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6.xml" ContentType="application/vnd.openxmlformats-officedocument.wordprocessingml.footer+xml"/>
  <Default Extension="wmf" ContentType="image/x-wmf"/>
  <Default Extension="jpeg" ContentType="image/jpeg"/>
  <Override PartName="/word/footer7.xml" ContentType="application/vnd.openxmlformats-officedocument.wordprocessingml.footer+xml"/>
  <Override PartName="/word/header14.xml" ContentType="application/vnd.openxmlformats-officedocument.wordprocessingml.header+xml"/>
  <Default Extension="emf" ContentType="image/x-emf"/>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bin" ContentType="application/vnd.openxmlformats-officedocument.oleObject"/>
  <Default Extension="png" ContentType="image/png"/>
  <Override PartName="/word/header19.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7C3D" w:rsidRPr="00D630D1" w:rsidRDefault="003C3D81">
      <w:pPr>
        <w:ind w:firstLineChars="0" w:firstLine="0"/>
        <w:jc w:val="center"/>
        <w:rPr>
          <w:rFonts w:ascii="Times New Roman" w:cs="Times New Roman"/>
          <w:b/>
        </w:rPr>
      </w:pPr>
      <w:r w:rsidRPr="00D630D1">
        <w:rPr>
          <w:rFonts w:ascii="Times New Roman" w:cs="Times New Roman" w:hint="eastAsia"/>
          <w:b/>
        </w:rPr>
        <w:t xml:space="preserve"> </w:t>
      </w:r>
    </w:p>
    <w:p w:rsidR="00117C3D" w:rsidRPr="00D630D1" w:rsidRDefault="00117C3D">
      <w:pPr>
        <w:ind w:firstLineChars="0" w:firstLine="0"/>
        <w:jc w:val="center"/>
        <w:rPr>
          <w:rFonts w:ascii="Times New Roman" w:cs="Times New Roman"/>
          <w:b/>
        </w:rPr>
      </w:pPr>
    </w:p>
    <w:p w:rsidR="00117C3D" w:rsidRPr="00D630D1" w:rsidRDefault="00117C3D">
      <w:pPr>
        <w:ind w:firstLineChars="0" w:firstLine="0"/>
        <w:jc w:val="center"/>
        <w:rPr>
          <w:rFonts w:ascii="Times New Roman" w:cs="Times New Roman"/>
          <w:b/>
        </w:rPr>
      </w:pPr>
    </w:p>
    <w:p w:rsidR="008B5B84" w:rsidRPr="00D630D1" w:rsidRDefault="00D630D1">
      <w:pPr>
        <w:ind w:firstLineChars="0" w:firstLine="0"/>
        <w:jc w:val="center"/>
        <w:rPr>
          <w:rFonts w:ascii="Times New Roman" w:cs="Times New Roman"/>
          <w:b/>
          <w:sz w:val="52"/>
          <w:szCs w:val="52"/>
        </w:rPr>
      </w:pPr>
      <w:r w:rsidRPr="00D630D1">
        <w:rPr>
          <w:rFonts w:ascii="Times New Roman" w:cs="Times New Roman"/>
          <w:b/>
          <w:sz w:val="52"/>
          <w:szCs w:val="52"/>
        </w:rPr>
        <w:t>普光气田普陆页</w:t>
      </w:r>
      <w:r w:rsidRPr="00D630D1">
        <w:rPr>
          <w:rFonts w:ascii="Times New Roman" w:cs="Times New Roman"/>
          <w:b/>
          <w:sz w:val="52"/>
          <w:szCs w:val="52"/>
        </w:rPr>
        <w:t>1</w:t>
      </w:r>
      <w:r w:rsidRPr="00D630D1">
        <w:rPr>
          <w:rFonts w:ascii="Times New Roman" w:cs="Times New Roman"/>
          <w:b/>
          <w:sz w:val="52"/>
          <w:szCs w:val="52"/>
        </w:rPr>
        <w:t>试验井组项目</w:t>
      </w:r>
    </w:p>
    <w:p w:rsidR="00117C3D" w:rsidRPr="00D630D1" w:rsidRDefault="008B5B84">
      <w:pPr>
        <w:ind w:firstLineChars="0" w:firstLine="0"/>
        <w:jc w:val="center"/>
        <w:rPr>
          <w:rFonts w:ascii="Times New Roman" w:cs="Times New Roman"/>
          <w:b/>
          <w:sz w:val="52"/>
          <w:szCs w:val="52"/>
        </w:rPr>
      </w:pPr>
      <w:r w:rsidRPr="00D630D1">
        <w:rPr>
          <w:rFonts w:ascii="Times New Roman" w:cs="Times New Roman"/>
          <w:b/>
          <w:sz w:val="52"/>
          <w:szCs w:val="52"/>
        </w:rPr>
        <w:t>环境影响报告书</w:t>
      </w:r>
    </w:p>
    <w:p w:rsidR="00810BEF" w:rsidRPr="00D630D1" w:rsidRDefault="008B5B84">
      <w:pPr>
        <w:ind w:firstLineChars="0" w:firstLine="0"/>
        <w:jc w:val="center"/>
        <w:rPr>
          <w:rFonts w:ascii="Times New Roman" w:cs="Times New Roman"/>
          <w:sz w:val="36"/>
          <w:szCs w:val="36"/>
        </w:rPr>
      </w:pPr>
      <w:r w:rsidRPr="00D630D1">
        <w:rPr>
          <w:rFonts w:ascii="Times New Roman" w:cs="Times New Roman"/>
          <w:sz w:val="36"/>
          <w:szCs w:val="36"/>
        </w:rPr>
        <w:t>（</w:t>
      </w:r>
      <w:r w:rsidR="002D5153" w:rsidRPr="00D630D1">
        <w:rPr>
          <w:rFonts w:ascii="Times New Roman" w:cs="Times New Roman" w:hint="eastAsia"/>
          <w:sz w:val="36"/>
          <w:szCs w:val="36"/>
        </w:rPr>
        <w:t>报</w:t>
      </w:r>
      <w:r w:rsidR="00D630D1" w:rsidRPr="00D630D1">
        <w:rPr>
          <w:rFonts w:ascii="Times New Roman" w:cs="Times New Roman" w:hint="eastAsia"/>
          <w:sz w:val="36"/>
          <w:szCs w:val="36"/>
        </w:rPr>
        <w:t>审</w:t>
      </w:r>
      <w:r w:rsidR="002D5153" w:rsidRPr="00D630D1">
        <w:rPr>
          <w:rFonts w:ascii="Times New Roman" w:cs="Times New Roman" w:hint="eastAsia"/>
          <w:sz w:val="36"/>
          <w:szCs w:val="36"/>
        </w:rPr>
        <w:t>版</w:t>
      </w:r>
      <w:r w:rsidRPr="00D630D1">
        <w:rPr>
          <w:rFonts w:ascii="Times New Roman" w:cs="Times New Roman"/>
          <w:sz w:val="36"/>
          <w:szCs w:val="36"/>
        </w:rPr>
        <w:t>）</w:t>
      </w:r>
    </w:p>
    <w:p w:rsidR="00117C3D" w:rsidRPr="00D630D1" w:rsidRDefault="00117C3D">
      <w:pPr>
        <w:ind w:firstLineChars="0" w:firstLine="0"/>
        <w:jc w:val="center"/>
        <w:rPr>
          <w:rFonts w:ascii="Times New Roman" w:cs="Times New Roman"/>
          <w:b/>
        </w:rPr>
      </w:pPr>
    </w:p>
    <w:p w:rsidR="00117C3D" w:rsidRPr="00D630D1" w:rsidRDefault="00117C3D">
      <w:pPr>
        <w:ind w:firstLineChars="0" w:firstLine="0"/>
        <w:jc w:val="center"/>
        <w:rPr>
          <w:rFonts w:ascii="Times New Roman" w:cs="Times New Roman"/>
          <w:b/>
        </w:rPr>
      </w:pPr>
    </w:p>
    <w:p w:rsidR="00117C3D" w:rsidRPr="00D630D1" w:rsidRDefault="00117C3D">
      <w:pPr>
        <w:ind w:firstLineChars="0" w:firstLine="0"/>
        <w:jc w:val="center"/>
        <w:rPr>
          <w:rFonts w:ascii="Times New Roman" w:cs="Times New Roman"/>
          <w:b/>
        </w:rPr>
      </w:pPr>
    </w:p>
    <w:p w:rsidR="003B58A5" w:rsidRPr="00D630D1" w:rsidRDefault="003B58A5">
      <w:pPr>
        <w:ind w:firstLineChars="0" w:firstLine="0"/>
        <w:jc w:val="center"/>
        <w:rPr>
          <w:rFonts w:ascii="Times New Roman" w:cs="Times New Roman"/>
          <w:b/>
        </w:rPr>
      </w:pPr>
    </w:p>
    <w:p w:rsidR="003B58A5" w:rsidRPr="00D630D1" w:rsidRDefault="003B58A5">
      <w:pPr>
        <w:ind w:firstLineChars="0" w:firstLine="0"/>
        <w:jc w:val="center"/>
        <w:rPr>
          <w:rFonts w:ascii="Times New Roman" w:cs="Times New Roman"/>
          <w:b/>
        </w:rPr>
      </w:pPr>
    </w:p>
    <w:p w:rsidR="00117C3D" w:rsidRPr="00D630D1" w:rsidRDefault="00117C3D">
      <w:pPr>
        <w:ind w:firstLineChars="0" w:firstLine="0"/>
        <w:jc w:val="center"/>
        <w:rPr>
          <w:rFonts w:ascii="Times New Roman" w:cs="Times New Roman"/>
          <w:b/>
        </w:rPr>
      </w:pPr>
    </w:p>
    <w:p w:rsidR="008B5B84" w:rsidRPr="00D630D1" w:rsidRDefault="008B5B84">
      <w:pPr>
        <w:ind w:firstLineChars="0" w:firstLine="0"/>
        <w:jc w:val="center"/>
        <w:rPr>
          <w:rFonts w:ascii="Times New Roman" w:cs="Times New Roman"/>
          <w:b/>
        </w:rPr>
      </w:pPr>
    </w:p>
    <w:p w:rsidR="008B5B84" w:rsidRPr="00D630D1" w:rsidRDefault="008B5B84">
      <w:pPr>
        <w:ind w:firstLineChars="0" w:firstLine="0"/>
        <w:jc w:val="center"/>
        <w:rPr>
          <w:rFonts w:ascii="Times New Roman" w:cs="Times New Roman"/>
          <w:b/>
        </w:rPr>
      </w:pPr>
    </w:p>
    <w:p w:rsidR="008B5B84" w:rsidRPr="00D630D1" w:rsidRDefault="008B5B84">
      <w:pPr>
        <w:ind w:firstLineChars="0" w:firstLine="0"/>
        <w:jc w:val="center"/>
        <w:rPr>
          <w:rFonts w:ascii="Times New Roman" w:cs="Times New Roman"/>
          <w:b/>
        </w:rPr>
      </w:pPr>
    </w:p>
    <w:p w:rsidR="00117C3D" w:rsidRPr="00D630D1" w:rsidRDefault="00117C3D">
      <w:pPr>
        <w:ind w:firstLineChars="0" w:firstLine="0"/>
        <w:jc w:val="center"/>
        <w:rPr>
          <w:rFonts w:ascii="Times New Roman" w:cs="Times New Roman"/>
          <w:b/>
        </w:rPr>
      </w:pPr>
    </w:p>
    <w:p w:rsidR="00117C3D" w:rsidRPr="00D630D1" w:rsidRDefault="00117C3D">
      <w:pPr>
        <w:ind w:firstLineChars="0" w:firstLine="0"/>
        <w:jc w:val="center"/>
        <w:rPr>
          <w:rFonts w:ascii="Times New Roman" w:cs="Times New Roman"/>
          <w:b/>
        </w:rPr>
      </w:pPr>
    </w:p>
    <w:p w:rsidR="00117C3D" w:rsidRPr="00D630D1" w:rsidRDefault="00117C3D">
      <w:pPr>
        <w:ind w:firstLineChars="0" w:firstLine="0"/>
        <w:jc w:val="center"/>
        <w:rPr>
          <w:rFonts w:ascii="Times New Roman" w:cs="Times New Roman"/>
          <w:b/>
        </w:rPr>
      </w:pPr>
    </w:p>
    <w:p w:rsidR="00117C3D" w:rsidRPr="00D630D1" w:rsidRDefault="00117C3D">
      <w:pPr>
        <w:ind w:firstLineChars="0" w:firstLine="0"/>
        <w:jc w:val="center"/>
        <w:rPr>
          <w:rFonts w:ascii="Times New Roman" w:cs="Times New Roman"/>
          <w:b/>
        </w:rPr>
      </w:pPr>
    </w:p>
    <w:p w:rsidR="008C6A0B" w:rsidRPr="00D630D1" w:rsidRDefault="008C6A0B">
      <w:pPr>
        <w:ind w:firstLineChars="0" w:firstLine="0"/>
        <w:jc w:val="center"/>
        <w:rPr>
          <w:rFonts w:ascii="Times New Roman" w:cs="Times New Roman"/>
          <w:b/>
        </w:rPr>
      </w:pPr>
    </w:p>
    <w:p w:rsidR="008C6A0B" w:rsidRPr="00D630D1" w:rsidRDefault="008C6A0B">
      <w:pPr>
        <w:ind w:firstLineChars="0" w:firstLine="0"/>
        <w:jc w:val="center"/>
        <w:rPr>
          <w:rFonts w:ascii="Times New Roman" w:cs="Times New Roman"/>
          <w:b/>
        </w:rPr>
      </w:pPr>
    </w:p>
    <w:p w:rsidR="008C6A0B" w:rsidRPr="00D630D1" w:rsidRDefault="008C6A0B">
      <w:pPr>
        <w:ind w:firstLineChars="0" w:firstLine="0"/>
        <w:jc w:val="center"/>
        <w:rPr>
          <w:rFonts w:ascii="Times New Roman" w:cs="Times New Roman"/>
          <w:b/>
        </w:rPr>
      </w:pPr>
    </w:p>
    <w:p w:rsidR="00117C3D" w:rsidRPr="00D630D1" w:rsidRDefault="00117C3D">
      <w:pPr>
        <w:ind w:firstLineChars="0" w:firstLine="0"/>
        <w:jc w:val="center"/>
        <w:rPr>
          <w:rFonts w:ascii="Times New Roman" w:cs="Times New Roman"/>
          <w:b/>
        </w:rPr>
      </w:pPr>
    </w:p>
    <w:p w:rsidR="00117C3D" w:rsidRPr="00D630D1" w:rsidRDefault="00117C3D">
      <w:pPr>
        <w:ind w:firstLineChars="0" w:firstLine="0"/>
        <w:jc w:val="center"/>
        <w:rPr>
          <w:rFonts w:ascii="Times New Roman" w:cs="Times New Roman"/>
          <w:b/>
        </w:rPr>
      </w:pPr>
    </w:p>
    <w:p w:rsidR="00117C3D" w:rsidRPr="00D630D1" w:rsidRDefault="008B5B84" w:rsidP="008C6A0B">
      <w:pPr>
        <w:ind w:firstLineChars="0" w:firstLine="0"/>
        <w:jc w:val="center"/>
        <w:rPr>
          <w:rFonts w:ascii="Times New Roman" w:cs="Times New Roman"/>
          <w:b/>
          <w:bCs/>
          <w:sz w:val="32"/>
          <w:szCs w:val="32"/>
        </w:rPr>
      </w:pPr>
      <w:r w:rsidRPr="00D630D1">
        <w:rPr>
          <w:rFonts w:ascii="Times New Roman" w:cs="Times New Roman"/>
          <w:b/>
          <w:bCs/>
          <w:sz w:val="32"/>
          <w:szCs w:val="32"/>
        </w:rPr>
        <w:t>建设单位：</w:t>
      </w:r>
      <w:r w:rsidR="008C6A0B" w:rsidRPr="00D630D1">
        <w:rPr>
          <w:rFonts w:ascii="Times New Roman" w:cs="Times New Roman"/>
          <w:b/>
          <w:bCs/>
          <w:sz w:val="32"/>
          <w:szCs w:val="32"/>
        </w:rPr>
        <w:t>中国石油化工股份有限公司中原油田普光分公司</w:t>
      </w:r>
    </w:p>
    <w:p w:rsidR="00117C3D" w:rsidRPr="00D630D1" w:rsidRDefault="008B5B84" w:rsidP="008C6A0B">
      <w:pPr>
        <w:ind w:firstLineChars="62" w:firstLine="199"/>
        <w:jc w:val="center"/>
        <w:rPr>
          <w:rFonts w:ascii="Times New Roman" w:cs="Times New Roman"/>
          <w:b/>
          <w:bCs/>
          <w:sz w:val="32"/>
          <w:szCs w:val="32"/>
        </w:rPr>
      </w:pPr>
      <w:r w:rsidRPr="00D630D1">
        <w:rPr>
          <w:rFonts w:ascii="Times New Roman" w:cs="Times New Roman"/>
          <w:b/>
          <w:bCs/>
          <w:sz w:val="32"/>
          <w:szCs w:val="32"/>
        </w:rPr>
        <w:t>评价单位：</w:t>
      </w:r>
      <w:r w:rsidR="004E24E2" w:rsidRPr="00D630D1">
        <w:rPr>
          <w:rFonts w:ascii="Times New Roman" w:cs="Times New Roman" w:hint="eastAsia"/>
          <w:b/>
          <w:bCs/>
          <w:sz w:val="32"/>
          <w:szCs w:val="32"/>
        </w:rPr>
        <w:t>重庆后科环保有限责任公司</w:t>
      </w:r>
    </w:p>
    <w:p w:rsidR="00117C3D" w:rsidRPr="00D630D1" w:rsidRDefault="008B5B84">
      <w:pPr>
        <w:ind w:firstLineChars="0" w:firstLine="0"/>
        <w:jc w:val="center"/>
        <w:rPr>
          <w:rFonts w:ascii="Times New Roman" w:cs="Times New Roman"/>
          <w:b/>
          <w:bCs/>
          <w:sz w:val="32"/>
          <w:szCs w:val="32"/>
        </w:rPr>
      </w:pPr>
      <w:r w:rsidRPr="00D630D1">
        <w:rPr>
          <w:rFonts w:ascii="Times New Roman" w:cs="Times New Roman"/>
          <w:b/>
          <w:bCs/>
          <w:sz w:val="32"/>
          <w:szCs w:val="32"/>
        </w:rPr>
        <w:t>二〇二</w:t>
      </w:r>
      <w:r w:rsidR="004E24E2" w:rsidRPr="00D630D1">
        <w:rPr>
          <w:rFonts w:ascii="Times New Roman" w:cs="Times New Roman"/>
          <w:b/>
          <w:bCs/>
          <w:sz w:val="32"/>
          <w:szCs w:val="32"/>
        </w:rPr>
        <w:t>二</w:t>
      </w:r>
      <w:r w:rsidRPr="00D630D1">
        <w:rPr>
          <w:rFonts w:ascii="Times New Roman" w:cs="Times New Roman"/>
          <w:b/>
          <w:bCs/>
          <w:sz w:val="32"/>
          <w:szCs w:val="32"/>
        </w:rPr>
        <w:t>年</w:t>
      </w:r>
      <w:r w:rsidR="00BD3248" w:rsidRPr="00D630D1">
        <w:rPr>
          <w:rFonts w:ascii="Times New Roman" w:cs="Times New Roman" w:hint="eastAsia"/>
          <w:b/>
          <w:bCs/>
          <w:sz w:val="32"/>
          <w:szCs w:val="32"/>
        </w:rPr>
        <w:t>八</w:t>
      </w:r>
      <w:r w:rsidRPr="00D630D1">
        <w:rPr>
          <w:rFonts w:ascii="Times New Roman" w:cs="Times New Roman"/>
          <w:b/>
          <w:bCs/>
          <w:sz w:val="32"/>
          <w:szCs w:val="32"/>
        </w:rPr>
        <w:t>月</w:t>
      </w:r>
    </w:p>
    <w:p w:rsidR="00117C3D" w:rsidRPr="00D630D1" w:rsidRDefault="00117C3D">
      <w:pPr>
        <w:ind w:firstLineChars="0" w:firstLine="0"/>
        <w:jc w:val="center"/>
        <w:rPr>
          <w:rFonts w:ascii="Times New Roman" w:cs="Times New Roman"/>
          <w:sz w:val="32"/>
          <w:szCs w:val="32"/>
        </w:rPr>
      </w:pPr>
    </w:p>
    <w:p w:rsidR="00117C3D" w:rsidRPr="00D630D1" w:rsidRDefault="00117C3D">
      <w:pPr>
        <w:widowControl/>
        <w:topLinePunct w:val="0"/>
        <w:adjustRightInd/>
        <w:ind w:firstLineChars="0" w:firstLine="0"/>
        <w:jc w:val="left"/>
        <w:rPr>
          <w:rFonts w:ascii="Times New Roman" w:cs="Times New Roman"/>
          <w:sz w:val="32"/>
          <w:szCs w:val="32"/>
        </w:rPr>
        <w:sectPr w:rsidR="00117C3D" w:rsidRPr="00D630D1" w:rsidSect="00BA4F10">
          <w:headerReference w:type="even" r:id="rId7"/>
          <w:headerReference w:type="default" r:id="rId8"/>
          <w:footerReference w:type="even" r:id="rId9"/>
          <w:footerReference w:type="default" r:id="rId10"/>
          <w:headerReference w:type="first" r:id="rId11"/>
          <w:footerReference w:type="first" r:id="rId12"/>
          <w:pgSz w:w="11910" w:h="16840"/>
          <w:pgMar w:top="1400" w:right="1680" w:bottom="280" w:left="1340" w:header="720" w:footer="720" w:gutter="0"/>
          <w:pgNumType w:fmt="upperRoman" w:start="1"/>
          <w:cols w:space="720"/>
        </w:sectPr>
      </w:pPr>
    </w:p>
    <w:p w:rsidR="00117C3D" w:rsidRPr="00D630D1" w:rsidRDefault="008B5B84" w:rsidP="008F32C2">
      <w:pPr>
        <w:pStyle w:val="TOC1"/>
        <w:spacing w:before="0" w:line="360" w:lineRule="auto"/>
        <w:jc w:val="center"/>
        <w:rPr>
          <w:rFonts w:ascii="Times New Roman" w:hAnsi="Times New Roman"/>
          <w:b/>
          <w:bCs w:val="0"/>
          <w:color w:val="auto"/>
          <w:sz w:val="24"/>
          <w:szCs w:val="24"/>
        </w:rPr>
      </w:pPr>
      <w:bookmarkStart w:id="0" w:name="_Toc19815912"/>
      <w:r w:rsidRPr="00D630D1">
        <w:rPr>
          <w:rFonts w:ascii="Times New Roman" w:hAnsi="Times New Roman"/>
          <w:b/>
          <w:bCs w:val="0"/>
          <w:color w:val="auto"/>
          <w:sz w:val="36"/>
          <w:szCs w:val="36"/>
          <w:lang w:val="zh-CN"/>
        </w:rPr>
        <w:lastRenderedPageBreak/>
        <w:t>目</w:t>
      </w:r>
      <w:r w:rsidRPr="00D630D1">
        <w:rPr>
          <w:rFonts w:ascii="Times New Roman" w:hAnsi="Times New Roman"/>
          <w:b/>
          <w:bCs w:val="0"/>
          <w:color w:val="auto"/>
          <w:sz w:val="36"/>
          <w:szCs w:val="36"/>
          <w:lang w:val="zh-CN"/>
        </w:rPr>
        <w:t xml:space="preserve"> </w:t>
      </w:r>
      <w:r w:rsidR="008F32C2" w:rsidRPr="00D630D1">
        <w:rPr>
          <w:rFonts w:ascii="Times New Roman" w:hAnsi="Times New Roman"/>
          <w:b/>
          <w:bCs w:val="0"/>
          <w:color w:val="auto"/>
          <w:sz w:val="36"/>
          <w:szCs w:val="36"/>
          <w:lang w:val="zh-CN"/>
        </w:rPr>
        <w:t xml:space="preserve"> </w:t>
      </w:r>
      <w:r w:rsidRPr="00D630D1">
        <w:rPr>
          <w:rFonts w:ascii="Times New Roman" w:hAnsi="Times New Roman"/>
          <w:b/>
          <w:bCs w:val="0"/>
          <w:color w:val="auto"/>
          <w:sz w:val="36"/>
          <w:szCs w:val="36"/>
          <w:lang w:val="zh-CN"/>
        </w:rPr>
        <w:t>录</w:t>
      </w:r>
    </w:p>
    <w:p w:rsidR="00C15FFC" w:rsidRPr="00D630D1" w:rsidRDefault="009913C3" w:rsidP="00315747">
      <w:pPr>
        <w:pStyle w:val="10"/>
        <w:tabs>
          <w:tab w:val="right" w:leader="dot" w:pos="9340"/>
        </w:tabs>
        <w:rPr>
          <w:rFonts w:cs="Times New Roman"/>
          <w:b w:val="0"/>
          <w:noProof/>
          <w:kern w:val="2"/>
          <w:sz w:val="24"/>
        </w:rPr>
      </w:pPr>
      <w:r w:rsidRPr="00D630D1">
        <w:rPr>
          <w:rFonts w:cs="Times New Roman"/>
          <w:b w:val="0"/>
          <w:sz w:val="24"/>
        </w:rPr>
        <w:fldChar w:fldCharType="begin"/>
      </w:r>
      <w:r w:rsidR="008B5B84" w:rsidRPr="00D630D1">
        <w:rPr>
          <w:rFonts w:cs="Times New Roman"/>
          <w:b w:val="0"/>
          <w:sz w:val="24"/>
        </w:rPr>
        <w:instrText xml:space="preserve"> TOC \o "1-2" \h \z \u </w:instrText>
      </w:r>
      <w:r w:rsidRPr="00D630D1">
        <w:rPr>
          <w:rFonts w:cs="Times New Roman"/>
          <w:b w:val="0"/>
          <w:sz w:val="24"/>
        </w:rPr>
        <w:fldChar w:fldCharType="separate"/>
      </w:r>
      <w:hyperlink w:anchor="_Toc81515242" w:history="1">
        <w:r w:rsidR="00C15FFC" w:rsidRPr="00D630D1">
          <w:rPr>
            <w:rStyle w:val="af1"/>
            <w:rFonts w:cs="Times New Roman"/>
            <w:b w:val="0"/>
            <w:noProof/>
            <w:color w:val="auto"/>
            <w:kern w:val="44"/>
            <w:sz w:val="24"/>
          </w:rPr>
          <w:t>概述</w:t>
        </w:r>
        <w:r w:rsidR="00C15FFC" w:rsidRPr="00D630D1">
          <w:rPr>
            <w:rFonts w:cs="Times New Roman"/>
            <w:b w:val="0"/>
            <w:noProof/>
            <w:webHidden/>
            <w:sz w:val="24"/>
          </w:rPr>
          <w:tab/>
        </w:r>
        <w:r w:rsidRPr="00D630D1">
          <w:rPr>
            <w:rFonts w:cs="Times New Roman"/>
            <w:b w:val="0"/>
            <w:noProof/>
            <w:webHidden/>
            <w:sz w:val="24"/>
          </w:rPr>
          <w:fldChar w:fldCharType="begin"/>
        </w:r>
        <w:r w:rsidR="00C15FFC" w:rsidRPr="00D630D1">
          <w:rPr>
            <w:rFonts w:cs="Times New Roman"/>
            <w:b w:val="0"/>
            <w:noProof/>
            <w:webHidden/>
            <w:sz w:val="24"/>
          </w:rPr>
          <w:instrText xml:space="preserve"> PAGEREF _Toc81515242 \h </w:instrText>
        </w:r>
        <w:r w:rsidRPr="00D630D1">
          <w:rPr>
            <w:rFonts w:cs="Times New Roman"/>
            <w:b w:val="0"/>
            <w:noProof/>
            <w:webHidden/>
            <w:sz w:val="24"/>
          </w:rPr>
        </w:r>
        <w:r w:rsidRPr="00D630D1">
          <w:rPr>
            <w:rFonts w:cs="Times New Roman"/>
            <w:b w:val="0"/>
            <w:noProof/>
            <w:webHidden/>
            <w:sz w:val="24"/>
          </w:rPr>
          <w:fldChar w:fldCharType="separate"/>
        </w:r>
        <w:r w:rsidR="007E403F">
          <w:rPr>
            <w:rFonts w:cs="Times New Roman"/>
            <w:b w:val="0"/>
            <w:noProof/>
            <w:webHidden/>
            <w:sz w:val="24"/>
          </w:rPr>
          <w:t>1</w:t>
        </w:r>
        <w:r w:rsidRPr="00D630D1">
          <w:rPr>
            <w:rFonts w:cs="Times New Roman"/>
            <w:b w:val="0"/>
            <w:noProof/>
            <w:webHidden/>
            <w:sz w:val="24"/>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43" w:history="1">
        <w:r w:rsidR="00C15FFC" w:rsidRPr="00D630D1">
          <w:rPr>
            <w:rStyle w:val="af1"/>
            <w:rFonts w:ascii="Times New Roman" w:cs="Times New Roman"/>
            <w:noProof/>
            <w:color w:val="auto"/>
          </w:rPr>
          <w:t>一、项目由来</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_Toc81515243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44" w:history="1">
        <w:r w:rsidR="00C15FFC" w:rsidRPr="00D630D1">
          <w:rPr>
            <w:rStyle w:val="af1"/>
            <w:rFonts w:ascii="Times New Roman" w:cs="Times New Roman"/>
            <w:noProof/>
            <w:color w:val="auto"/>
          </w:rPr>
          <w:t>二、项目特点</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_Toc81515244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45" w:history="1">
        <w:r w:rsidR="00C15FFC" w:rsidRPr="00D630D1">
          <w:rPr>
            <w:rStyle w:val="af1"/>
            <w:rFonts w:ascii="Times New Roman" w:cs="Times New Roman"/>
            <w:noProof/>
            <w:color w:val="auto"/>
          </w:rPr>
          <w:t>三、环境影响评价工作过程</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_Toc81515245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46" w:history="1">
        <w:r w:rsidR="00C15FFC" w:rsidRPr="00D630D1">
          <w:rPr>
            <w:rStyle w:val="af1"/>
            <w:rFonts w:ascii="Times New Roman" w:cs="Times New Roman"/>
            <w:noProof/>
            <w:color w:val="auto"/>
          </w:rPr>
          <w:t>四、分析判定相关情况</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_Toc81515246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4</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47" w:history="1">
        <w:r w:rsidR="00C15FFC" w:rsidRPr="00D630D1">
          <w:rPr>
            <w:rStyle w:val="af1"/>
            <w:rFonts w:ascii="Times New Roman" w:cs="Times New Roman"/>
            <w:noProof/>
            <w:color w:val="auto"/>
          </w:rPr>
          <w:t>五、项目关注的主要环境问题及环境影响</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_Toc81515247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5</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48" w:history="1">
        <w:r w:rsidR="00C15FFC" w:rsidRPr="00D630D1">
          <w:rPr>
            <w:rStyle w:val="af1"/>
            <w:rFonts w:ascii="Times New Roman" w:cs="Times New Roman"/>
            <w:noProof/>
            <w:color w:val="auto"/>
          </w:rPr>
          <w:t>六、主要环境影响结论</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_Toc81515248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5</w:t>
        </w:r>
        <w:r w:rsidRPr="00D630D1">
          <w:rPr>
            <w:rFonts w:ascii="Times New Roman" w:cs="Times New Roman"/>
            <w:noProof/>
            <w:webHidden/>
          </w:rPr>
          <w:fldChar w:fldCharType="end"/>
        </w:r>
      </w:hyperlink>
    </w:p>
    <w:p w:rsidR="00C15FFC" w:rsidRPr="00D630D1" w:rsidRDefault="009913C3" w:rsidP="00315747">
      <w:pPr>
        <w:pStyle w:val="10"/>
        <w:tabs>
          <w:tab w:val="right" w:leader="dot" w:pos="9340"/>
        </w:tabs>
        <w:rPr>
          <w:rFonts w:cs="Times New Roman"/>
          <w:b w:val="0"/>
          <w:noProof/>
          <w:kern w:val="2"/>
          <w:sz w:val="24"/>
        </w:rPr>
      </w:pPr>
      <w:hyperlink w:anchor="_Toc81515249" w:history="1">
        <w:r w:rsidR="00C15FFC" w:rsidRPr="00D630D1">
          <w:rPr>
            <w:rStyle w:val="af1"/>
            <w:rFonts w:cs="Times New Roman"/>
            <w:b w:val="0"/>
            <w:noProof/>
            <w:color w:val="auto"/>
            <w:kern w:val="44"/>
            <w:sz w:val="24"/>
          </w:rPr>
          <w:t xml:space="preserve">1 </w:t>
        </w:r>
        <w:r w:rsidR="00C15FFC" w:rsidRPr="00D630D1">
          <w:rPr>
            <w:rStyle w:val="af1"/>
            <w:rFonts w:cs="Times New Roman"/>
            <w:b w:val="0"/>
            <w:noProof/>
            <w:color w:val="auto"/>
            <w:kern w:val="44"/>
            <w:sz w:val="24"/>
          </w:rPr>
          <w:t>总则</w:t>
        </w:r>
        <w:r w:rsidR="00C15FFC" w:rsidRPr="00D630D1">
          <w:rPr>
            <w:rFonts w:cs="Times New Roman"/>
            <w:b w:val="0"/>
            <w:noProof/>
            <w:webHidden/>
            <w:sz w:val="24"/>
          </w:rPr>
          <w:tab/>
        </w:r>
        <w:r w:rsidRPr="00D630D1">
          <w:rPr>
            <w:rFonts w:cs="Times New Roman"/>
            <w:b w:val="0"/>
            <w:noProof/>
            <w:webHidden/>
            <w:sz w:val="24"/>
          </w:rPr>
          <w:fldChar w:fldCharType="begin"/>
        </w:r>
        <w:r w:rsidR="00C15FFC" w:rsidRPr="00D630D1">
          <w:rPr>
            <w:rFonts w:cs="Times New Roman"/>
            <w:b w:val="0"/>
            <w:noProof/>
            <w:webHidden/>
            <w:sz w:val="24"/>
          </w:rPr>
          <w:instrText xml:space="preserve"> PAGEREF _Toc81515249 \h </w:instrText>
        </w:r>
        <w:r w:rsidRPr="00D630D1">
          <w:rPr>
            <w:rFonts w:cs="Times New Roman"/>
            <w:b w:val="0"/>
            <w:noProof/>
            <w:webHidden/>
            <w:sz w:val="24"/>
          </w:rPr>
        </w:r>
        <w:r w:rsidRPr="00D630D1">
          <w:rPr>
            <w:rFonts w:cs="Times New Roman"/>
            <w:b w:val="0"/>
            <w:noProof/>
            <w:webHidden/>
            <w:sz w:val="24"/>
          </w:rPr>
          <w:fldChar w:fldCharType="separate"/>
        </w:r>
        <w:r w:rsidR="007E403F">
          <w:rPr>
            <w:rFonts w:cs="Times New Roman"/>
            <w:b w:val="0"/>
            <w:noProof/>
            <w:webHidden/>
            <w:sz w:val="24"/>
          </w:rPr>
          <w:t>7</w:t>
        </w:r>
        <w:r w:rsidRPr="00D630D1">
          <w:rPr>
            <w:rFonts w:cs="Times New Roman"/>
            <w:b w:val="0"/>
            <w:noProof/>
            <w:webHidden/>
            <w:sz w:val="24"/>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50" w:history="1">
        <w:r w:rsidR="00C15FFC" w:rsidRPr="00D630D1">
          <w:rPr>
            <w:rStyle w:val="af1"/>
            <w:rFonts w:ascii="Times New Roman" w:cs="Times New Roman"/>
            <w:noProof/>
            <w:color w:val="auto"/>
          </w:rPr>
          <w:t xml:space="preserve">1.1 </w:t>
        </w:r>
        <w:r w:rsidR="00C15FFC" w:rsidRPr="00D630D1">
          <w:rPr>
            <w:rStyle w:val="af1"/>
            <w:rFonts w:ascii="Times New Roman" w:cs="Times New Roman"/>
            <w:noProof/>
            <w:color w:val="auto"/>
          </w:rPr>
          <w:t>编制依据</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_Toc81515250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7</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51" w:history="1">
        <w:r w:rsidR="00C15FFC" w:rsidRPr="00D630D1">
          <w:rPr>
            <w:rStyle w:val="af1"/>
            <w:rFonts w:ascii="Times New Roman" w:cs="Times New Roman"/>
            <w:noProof/>
            <w:color w:val="auto"/>
          </w:rPr>
          <w:t xml:space="preserve">1.2 </w:t>
        </w:r>
        <w:r w:rsidR="00C15FFC" w:rsidRPr="00D630D1">
          <w:rPr>
            <w:rStyle w:val="af1"/>
            <w:rFonts w:ascii="Times New Roman" w:cs="Times New Roman"/>
            <w:noProof/>
            <w:color w:val="auto"/>
          </w:rPr>
          <w:t>评价目的、原则与评价重点</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_Toc81515251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11</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52" w:history="1">
        <w:r w:rsidR="00C15FFC" w:rsidRPr="00D630D1">
          <w:rPr>
            <w:rStyle w:val="af1"/>
            <w:rFonts w:ascii="Times New Roman" w:cs="Times New Roman"/>
            <w:noProof/>
            <w:color w:val="auto"/>
          </w:rPr>
          <w:t xml:space="preserve">1.3 </w:t>
        </w:r>
        <w:r w:rsidR="00C15FFC" w:rsidRPr="00D630D1">
          <w:rPr>
            <w:rStyle w:val="af1"/>
            <w:rFonts w:ascii="Times New Roman" w:cs="Times New Roman"/>
            <w:noProof/>
            <w:color w:val="auto"/>
          </w:rPr>
          <w:t>环境影响要素识别和评价因子筛选</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_Toc81515252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13</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53" w:history="1">
        <w:r w:rsidR="00C15FFC" w:rsidRPr="00D630D1">
          <w:rPr>
            <w:rStyle w:val="af1"/>
            <w:rFonts w:ascii="Times New Roman" w:cs="Times New Roman"/>
            <w:noProof/>
            <w:color w:val="auto"/>
          </w:rPr>
          <w:t xml:space="preserve">1.4 </w:t>
        </w:r>
        <w:r w:rsidR="00C15FFC" w:rsidRPr="00D630D1">
          <w:rPr>
            <w:rStyle w:val="af1"/>
            <w:rFonts w:ascii="Times New Roman" w:cs="Times New Roman"/>
            <w:noProof/>
            <w:color w:val="auto"/>
          </w:rPr>
          <w:t>环境功能区划</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_Toc81515253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18</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54" w:history="1">
        <w:r w:rsidR="00C15FFC" w:rsidRPr="00D630D1">
          <w:rPr>
            <w:rStyle w:val="af1"/>
            <w:rFonts w:ascii="Times New Roman" w:cs="Times New Roman"/>
            <w:noProof/>
            <w:color w:val="auto"/>
          </w:rPr>
          <w:t xml:space="preserve">1.5 </w:t>
        </w:r>
        <w:r w:rsidR="00C15FFC" w:rsidRPr="00D630D1">
          <w:rPr>
            <w:rStyle w:val="af1"/>
            <w:rFonts w:ascii="Times New Roman" w:cs="Times New Roman"/>
            <w:noProof/>
            <w:color w:val="auto"/>
          </w:rPr>
          <w:t>评价标准</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_Toc81515254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19</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55" w:history="1">
        <w:r w:rsidR="00C15FFC" w:rsidRPr="00D630D1">
          <w:rPr>
            <w:rStyle w:val="af1"/>
            <w:rFonts w:ascii="Times New Roman" w:cs="Times New Roman"/>
            <w:noProof/>
            <w:color w:val="auto"/>
          </w:rPr>
          <w:t xml:space="preserve">1.6 </w:t>
        </w:r>
        <w:r w:rsidR="00C15FFC" w:rsidRPr="00D630D1">
          <w:rPr>
            <w:rStyle w:val="af1"/>
            <w:rFonts w:ascii="Times New Roman" w:cs="Times New Roman"/>
            <w:noProof/>
            <w:color w:val="auto"/>
          </w:rPr>
          <w:t>评价等级及评价范围</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_Toc81515255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24</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56" w:history="1">
        <w:r w:rsidR="00C15FFC" w:rsidRPr="00D630D1">
          <w:rPr>
            <w:rStyle w:val="af1"/>
            <w:rFonts w:ascii="Times New Roman" w:cs="Times New Roman"/>
            <w:noProof/>
            <w:color w:val="auto"/>
          </w:rPr>
          <w:t xml:space="preserve">1.7 </w:t>
        </w:r>
        <w:r w:rsidR="00C15FFC" w:rsidRPr="00D630D1">
          <w:rPr>
            <w:rStyle w:val="af1"/>
            <w:rFonts w:ascii="Times New Roman" w:cs="Times New Roman"/>
            <w:noProof/>
            <w:color w:val="auto"/>
          </w:rPr>
          <w:t>选址符合性分析</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_Toc81515256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57" w:history="1">
        <w:r w:rsidR="00C15FFC" w:rsidRPr="00D630D1">
          <w:rPr>
            <w:rStyle w:val="af1"/>
            <w:rFonts w:ascii="Times New Roman" w:cs="Times New Roman"/>
            <w:noProof/>
            <w:color w:val="auto"/>
          </w:rPr>
          <w:t xml:space="preserve">1.8 </w:t>
        </w:r>
        <w:r w:rsidR="00C15FFC" w:rsidRPr="00D630D1">
          <w:rPr>
            <w:rStyle w:val="af1"/>
            <w:rFonts w:ascii="Times New Roman" w:cs="Times New Roman"/>
            <w:noProof/>
            <w:color w:val="auto"/>
          </w:rPr>
          <w:t>项目与相关符合性分析</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_Toc81515257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38</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58" w:history="1">
        <w:r w:rsidR="00C15FFC" w:rsidRPr="00D630D1">
          <w:rPr>
            <w:rStyle w:val="af1"/>
            <w:rFonts w:ascii="Times New Roman" w:cs="Times New Roman"/>
            <w:noProof/>
            <w:color w:val="auto"/>
          </w:rPr>
          <w:t xml:space="preserve">1.9 </w:t>
        </w:r>
        <w:r w:rsidR="00C15FFC" w:rsidRPr="00D630D1">
          <w:rPr>
            <w:rStyle w:val="af1"/>
            <w:rFonts w:ascii="Times New Roman" w:cs="Times New Roman"/>
            <w:noProof/>
            <w:color w:val="auto"/>
          </w:rPr>
          <w:t>污染控制与环境保护目标</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_Toc81515258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54</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59" w:history="1">
        <w:r w:rsidR="00C15FFC" w:rsidRPr="00D630D1">
          <w:rPr>
            <w:rStyle w:val="af1"/>
            <w:rFonts w:ascii="Times New Roman" w:cs="Times New Roman"/>
            <w:noProof/>
            <w:color w:val="auto"/>
          </w:rPr>
          <w:t xml:space="preserve">1.10 </w:t>
        </w:r>
        <w:r w:rsidR="00C15FFC" w:rsidRPr="00D630D1">
          <w:rPr>
            <w:rStyle w:val="af1"/>
            <w:rFonts w:ascii="Times New Roman" w:cs="Times New Roman"/>
            <w:noProof/>
            <w:color w:val="auto"/>
          </w:rPr>
          <w:t>评价方法和工作程序</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_Toc81515259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61</w:t>
        </w:r>
        <w:r w:rsidRPr="00D630D1">
          <w:rPr>
            <w:rFonts w:ascii="Times New Roman" w:cs="Times New Roman"/>
            <w:noProof/>
            <w:webHidden/>
          </w:rPr>
          <w:fldChar w:fldCharType="end"/>
        </w:r>
      </w:hyperlink>
    </w:p>
    <w:p w:rsidR="00C15FFC" w:rsidRPr="00D630D1" w:rsidRDefault="009913C3" w:rsidP="00DC5D18">
      <w:pPr>
        <w:pStyle w:val="10"/>
        <w:tabs>
          <w:tab w:val="right" w:leader="dot" w:pos="9340"/>
        </w:tabs>
        <w:rPr>
          <w:noProof/>
        </w:rPr>
      </w:pPr>
      <w:hyperlink w:anchor="_Toc81515260" w:history="1">
        <w:r w:rsidR="00C15FFC" w:rsidRPr="00D630D1">
          <w:rPr>
            <w:rStyle w:val="af1"/>
            <w:rFonts w:cs="Times New Roman"/>
            <w:b w:val="0"/>
            <w:noProof/>
            <w:color w:val="auto"/>
            <w:kern w:val="44"/>
            <w:sz w:val="24"/>
          </w:rPr>
          <w:t xml:space="preserve">2 </w:t>
        </w:r>
        <w:r w:rsidR="00265A8C" w:rsidRPr="00D630D1">
          <w:rPr>
            <w:rStyle w:val="af1"/>
            <w:rFonts w:cs="Times New Roman" w:hint="eastAsia"/>
            <w:b w:val="0"/>
            <w:noProof/>
            <w:color w:val="auto"/>
            <w:kern w:val="44"/>
            <w:sz w:val="24"/>
          </w:rPr>
          <w:t>现有</w:t>
        </w:r>
        <w:r w:rsidR="00DC5D18" w:rsidRPr="00D630D1">
          <w:rPr>
            <w:rStyle w:val="af1"/>
            <w:rFonts w:cs="Times New Roman" w:hint="eastAsia"/>
            <w:b w:val="0"/>
            <w:noProof/>
            <w:color w:val="auto"/>
            <w:kern w:val="44"/>
            <w:sz w:val="24"/>
          </w:rPr>
          <w:t>工程依托可行性</w:t>
        </w:r>
        <w:r w:rsidR="00C15FFC" w:rsidRPr="00D630D1">
          <w:rPr>
            <w:rStyle w:val="af1"/>
            <w:rFonts w:cs="Times New Roman"/>
            <w:b w:val="0"/>
            <w:noProof/>
            <w:color w:val="auto"/>
            <w:kern w:val="44"/>
            <w:sz w:val="24"/>
          </w:rPr>
          <w:t>分析</w:t>
        </w:r>
        <w:r w:rsidR="00C15FFC" w:rsidRPr="00D630D1">
          <w:rPr>
            <w:rFonts w:cs="Times New Roman"/>
            <w:b w:val="0"/>
            <w:noProof/>
            <w:webHidden/>
            <w:sz w:val="24"/>
          </w:rPr>
          <w:tab/>
        </w:r>
        <w:r w:rsidRPr="00D630D1">
          <w:rPr>
            <w:rFonts w:cs="Times New Roman"/>
            <w:b w:val="0"/>
            <w:noProof/>
            <w:webHidden/>
            <w:sz w:val="24"/>
          </w:rPr>
          <w:fldChar w:fldCharType="begin"/>
        </w:r>
        <w:r w:rsidR="00C15FFC" w:rsidRPr="00D630D1">
          <w:rPr>
            <w:rFonts w:cs="Times New Roman"/>
            <w:b w:val="0"/>
            <w:noProof/>
            <w:webHidden/>
            <w:sz w:val="24"/>
          </w:rPr>
          <w:instrText xml:space="preserve"> PAGEREF _Toc81515260 \h </w:instrText>
        </w:r>
        <w:r w:rsidRPr="00D630D1">
          <w:rPr>
            <w:rFonts w:cs="Times New Roman"/>
            <w:b w:val="0"/>
            <w:noProof/>
            <w:webHidden/>
            <w:sz w:val="24"/>
          </w:rPr>
        </w:r>
        <w:r w:rsidRPr="00D630D1">
          <w:rPr>
            <w:rFonts w:cs="Times New Roman"/>
            <w:b w:val="0"/>
            <w:noProof/>
            <w:webHidden/>
            <w:sz w:val="24"/>
          </w:rPr>
          <w:fldChar w:fldCharType="separate"/>
        </w:r>
        <w:r w:rsidR="007E403F">
          <w:rPr>
            <w:rFonts w:cs="Times New Roman"/>
            <w:b w:val="0"/>
            <w:noProof/>
            <w:webHidden/>
            <w:sz w:val="24"/>
          </w:rPr>
          <w:t>63</w:t>
        </w:r>
        <w:r w:rsidRPr="00D630D1">
          <w:rPr>
            <w:rFonts w:cs="Times New Roman"/>
            <w:b w:val="0"/>
            <w:noProof/>
            <w:webHidden/>
            <w:sz w:val="24"/>
          </w:rPr>
          <w:fldChar w:fldCharType="end"/>
        </w:r>
      </w:hyperlink>
    </w:p>
    <w:p w:rsidR="00265A8C" w:rsidRPr="00D630D1" w:rsidRDefault="009913C3" w:rsidP="00265A8C">
      <w:pPr>
        <w:pStyle w:val="21"/>
        <w:tabs>
          <w:tab w:val="right" w:leader="dot" w:pos="9340"/>
        </w:tabs>
        <w:ind w:leftChars="0" w:left="0" w:firstLine="480"/>
        <w:rPr>
          <w:rFonts w:ascii="Times New Roman" w:cs="Times New Roman"/>
          <w:noProof/>
          <w:kern w:val="2"/>
        </w:rPr>
      </w:pPr>
      <w:hyperlink w:anchor="_Toc81515265" w:history="1">
        <w:r w:rsidR="00265A8C" w:rsidRPr="00D630D1">
          <w:rPr>
            <w:rStyle w:val="af1"/>
            <w:rFonts w:ascii="Times New Roman" w:cs="Times New Roman" w:hint="eastAsia"/>
            <w:noProof/>
            <w:color w:val="auto"/>
          </w:rPr>
          <w:t>2</w:t>
        </w:r>
        <w:r w:rsidR="00265A8C" w:rsidRPr="00D630D1">
          <w:rPr>
            <w:rStyle w:val="af1"/>
            <w:rFonts w:ascii="Times New Roman" w:cs="Times New Roman"/>
            <w:noProof/>
            <w:color w:val="auto"/>
          </w:rPr>
          <w:t xml:space="preserve">.1 </w:t>
        </w:r>
        <w:r w:rsidR="00D57583">
          <w:rPr>
            <w:rStyle w:val="af1"/>
            <w:rFonts w:ascii="Times New Roman" w:cs="Times New Roman" w:hint="eastAsia"/>
            <w:noProof/>
            <w:color w:val="auto"/>
          </w:rPr>
          <w:t>普陆</w:t>
        </w:r>
        <w:r w:rsidR="00D57583">
          <w:rPr>
            <w:rStyle w:val="af1"/>
            <w:rFonts w:ascii="Times New Roman" w:cs="Times New Roman" w:hint="eastAsia"/>
            <w:noProof/>
            <w:color w:val="auto"/>
          </w:rPr>
          <w:t>3</w:t>
        </w:r>
        <w:r w:rsidR="00D57583">
          <w:rPr>
            <w:rStyle w:val="af1"/>
            <w:rFonts w:ascii="Times New Roman" w:cs="Times New Roman" w:hint="eastAsia"/>
            <w:noProof/>
            <w:color w:val="auto"/>
          </w:rPr>
          <w:t>集气站</w:t>
        </w:r>
        <w:r w:rsidR="00265A8C" w:rsidRPr="00D630D1">
          <w:rPr>
            <w:rStyle w:val="af1"/>
            <w:rFonts w:ascii="Times New Roman" w:cs="Times New Roman" w:hint="eastAsia"/>
            <w:noProof/>
            <w:color w:val="auto"/>
          </w:rPr>
          <w:t>现状及依托可行性</w:t>
        </w:r>
        <w:r w:rsidR="00265A8C" w:rsidRPr="00D630D1">
          <w:rPr>
            <w:rFonts w:ascii="Times New Roman" w:cs="Times New Roman"/>
            <w:noProof/>
            <w:webHidden/>
          </w:rPr>
          <w:tab/>
        </w:r>
        <w:r w:rsidRPr="00D630D1">
          <w:rPr>
            <w:rFonts w:ascii="Times New Roman" w:cs="Times New Roman"/>
            <w:noProof/>
            <w:webHidden/>
          </w:rPr>
          <w:fldChar w:fldCharType="begin"/>
        </w:r>
        <w:r w:rsidR="00265A8C" w:rsidRPr="00D630D1">
          <w:rPr>
            <w:rFonts w:ascii="Times New Roman" w:cs="Times New Roman"/>
            <w:noProof/>
            <w:webHidden/>
          </w:rPr>
          <w:instrText xml:space="preserve"> PAGEREF _Toc81515265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68</w:t>
        </w:r>
        <w:r w:rsidRPr="00D630D1">
          <w:rPr>
            <w:rFonts w:ascii="Times New Roman" w:cs="Times New Roman"/>
            <w:noProof/>
            <w:webHidden/>
          </w:rPr>
          <w:fldChar w:fldCharType="end"/>
        </w:r>
      </w:hyperlink>
    </w:p>
    <w:p w:rsidR="00265A8C" w:rsidRPr="00D630D1" w:rsidRDefault="009913C3" w:rsidP="00265A8C">
      <w:pPr>
        <w:pStyle w:val="21"/>
        <w:tabs>
          <w:tab w:val="right" w:leader="dot" w:pos="9340"/>
        </w:tabs>
        <w:ind w:leftChars="0" w:left="0" w:firstLine="480"/>
        <w:rPr>
          <w:rFonts w:ascii="Times New Roman" w:cs="Times New Roman"/>
          <w:noProof/>
          <w:kern w:val="2"/>
        </w:rPr>
      </w:pPr>
      <w:hyperlink w:anchor="_Toc81515265" w:history="1">
        <w:r w:rsidR="00265A8C" w:rsidRPr="00D630D1">
          <w:rPr>
            <w:rStyle w:val="af1"/>
            <w:rFonts w:ascii="Times New Roman" w:cs="Times New Roman" w:hint="eastAsia"/>
            <w:noProof/>
            <w:color w:val="auto"/>
          </w:rPr>
          <w:t>2</w:t>
        </w:r>
        <w:r w:rsidR="00265A8C" w:rsidRPr="00D630D1">
          <w:rPr>
            <w:rStyle w:val="af1"/>
            <w:rFonts w:ascii="Times New Roman" w:cs="Times New Roman"/>
            <w:noProof/>
            <w:color w:val="auto"/>
          </w:rPr>
          <w:t>.</w:t>
        </w:r>
        <w:r w:rsidR="00265A8C" w:rsidRPr="00D630D1">
          <w:rPr>
            <w:rStyle w:val="af1"/>
            <w:rFonts w:ascii="Times New Roman" w:cs="Times New Roman" w:hint="eastAsia"/>
            <w:noProof/>
            <w:color w:val="auto"/>
          </w:rPr>
          <w:t>2</w:t>
        </w:r>
        <w:r w:rsidR="00265A8C" w:rsidRPr="00D630D1">
          <w:rPr>
            <w:rStyle w:val="af1"/>
            <w:rFonts w:ascii="Times New Roman" w:cs="Times New Roman" w:hint="eastAsia"/>
            <w:noProof/>
            <w:color w:val="auto"/>
          </w:rPr>
          <w:t>现有环保工程依托可行性</w:t>
        </w:r>
        <w:r w:rsidR="00265A8C" w:rsidRPr="00D630D1">
          <w:rPr>
            <w:rFonts w:ascii="Times New Roman" w:cs="Times New Roman"/>
            <w:noProof/>
            <w:webHidden/>
          </w:rPr>
          <w:tab/>
        </w:r>
        <w:r w:rsidRPr="00D630D1">
          <w:rPr>
            <w:rFonts w:ascii="Times New Roman" w:cs="Times New Roman"/>
            <w:noProof/>
            <w:webHidden/>
          </w:rPr>
          <w:fldChar w:fldCharType="begin"/>
        </w:r>
        <w:r w:rsidR="00265A8C" w:rsidRPr="00D630D1">
          <w:rPr>
            <w:rFonts w:ascii="Times New Roman" w:cs="Times New Roman"/>
            <w:noProof/>
            <w:webHidden/>
          </w:rPr>
          <w:instrText xml:space="preserve"> PAGEREF _Toc81515265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68</w:t>
        </w:r>
        <w:r w:rsidRPr="00D630D1">
          <w:rPr>
            <w:rFonts w:ascii="Times New Roman" w:cs="Times New Roman"/>
            <w:noProof/>
            <w:webHidden/>
          </w:rPr>
          <w:fldChar w:fldCharType="end"/>
        </w:r>
      </w:hyperlink>
    </w:p>
    <w:p w:rsidR="00C15FFC" w:rsidRPr="00D630D1" w:rsidRDefault="009913C3" w:rsidP="00315747">
      <w:pPr>
        <w:pStyle w:val="10"/>
        <w:tabs>
          <w:tab w:val="right" w:leader="dot" w:pos="9340"/>
        </w:tabs>
        <w:rPr>
          <w:rFonts w:cs="Times New Roman"/>
          <w:b w:val="0"/>
          <w:noProof/>
          <w:kern w:val="2"/>
          <w:sz w:val="24"/>
        </w:rPr>
      </w:pPr>
      <w:hyperlink w:anchor="_Toc81515264" w:history="1">
        <w:r w:rsidR="00C15FFC" w:rsidRPr="00D630D1">
          <w:rPr>
            <w:rStyle w:val="af1"/>
            <w:rFonts w:cs="Times New Roman"/>
            <w:b w:val="0"/>
            <w:noProof/>
            <w:color w:val="auto"/>
            <w:sz w:val="24"/>
          </w:rPr>
          <w:t xml:space="preserve">3 </w:t>
        </w:r>
        <w:r w:rsidR="00C15FFC" w:rsidRPr="00D630D1">
          <w:rPr>
            <w:rStyle w:val="af1"/>
            <w:rFonts w:cs="Times New Roman"/>
            <w:b w:val="0"/>
            <w:noProof/>
            <w:color w:val="auto"/>
            <w:sz w:val="24"/>
          </w:rPr>
          <w:t>项目概况</w:t>
        </w:r>
        <w:r w:rsidR="00C15FFC" w:rsidRPr="00D630D1">
          <w:rPr>
            <w:rFonts w:cs="Times New Roman"/>
            <w:b w:val="0"/>
            <w:noProof/>
            <w:webHidden/>
            <w:sz w:val="24"/>
          </w:rPr>
          <w:tab/>
        </w:r>
        <w:r w:rsidRPr="00D630D1">
          <w:rPr>
            <w:rFonts w:cs="Times New Roman"/>
            <w:b w:val="0"/>
            <w:noProof/>
            <w:webHidden/>
            <w:sz w:val="24"/>
          </w:rPr>
          <w:fldChar w:fldCharType="begin"/>
        </w:r>
        <w:r w:rsidR="00C15FFC" w:rsidRPr="00D630D1">
          <w:rPr>
            <w:rFonts w:cs="Times New Roman"/>
            <w:b w:val="0"/>
            <w:noProof/>
            <w:webHidden/>
            <w:sz w:val="24"/>
          </w:rPr>
          <w:instrText xml:space="preserve"> PAGEREF _Toc81515264 \h </w:instrText>
        </w:r>
        <w:r w:rsidRPr="00D630D1">
          <w:rPr>
            <w:rFonts w:cs="Times New Roman"/>
            <w:b w:val="0"/>
            <w:noProof/>
            <w:webHidden/>
            <w:sz w:val="24"/>
          </w:rPr>
        </w:r>
        <w:r w:rsidRPr="00D630D1">
          <w:rPr>
            <w:rFonts w:cs="Times New Roman"/>
            <w:b w:val="0"/>
            <w:noProof/>
            <w:webHidden/>
            <w:sz w:val="24"/>
          </w:rPr>
          <w:fldChar w:fldCharType="separate"/>
        </w:r>
        <w:r w:rsidR="007E403F">
          <w:rPr>
            <w:rFonts w:cs="Times New Roman"/>
            <w:b w:val="0"/>
            <w:noProof/>
            <w:webHidden/>
            <w:sz w:val="24"/>
          </w:rPr>
          <w:t>68</w:t>
        </w:r>
        <w:r w:rsidRPr="00D630D1">
          <w:rPr>
            <w:rFonts w:cs="Times New Roman"/>
            <w:b w:val="0"/>
            <w:noProof/>
            <w:webHidden/>
            <w:sz w:val="24"/>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65" w:history="1">
        <w:r w:rsidR="00C15FFC" w:rsidRPr="00D630D1">
          <w:rPr>
            <w:rStyle w:val="af1"/>
            <w:rFonts w:ascii="Times New Roman" w:cs="Times New Roman"/>
            <w:noProof/>
            <w:color w:val="auto"/>
          </w:rPr>
          <w:t xml:space="preserve">3.1 </w:t>
        </w:r>
        <w:r w:rsidR="00C15FFC" w:rsidRPr="00D630D1">
          <w:rPr>
            <w:rStyle w:val="af1"/>
            <w:rFonts w:ascii="Times New Roman" w:cs="Times New Roman"/>
            <w:noProof/>
            <w:color w:val="auto"/>
          </w:rPr>
          <w:t>基本情况</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_Toc81515265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68</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66" w:history="1">
        <w:r w:rsidR="00C15FFC" w:rsidRPr="00D630D1">
          <w:rPr>
            <w:rStyle w:val="af1"/>
            <w:rFonts w:ascii="Times New Roman" w:cs="Times New Roman"/>
            <w:noProof/>
            <w:color w:val="auto"/>
          </w:rPr>
          <w:t xml:space="preserve">3.2 </w:t>
        </w:r>
        <w:r w:rsidR="00C15FFC" w:rsidRPr="00D630D1">
          <w:rPr>
            <w:rStyle w:val="af1"/>
            <w:rFonts w:ascii="Times New Roman" w:cs="Times New Roman"/>
            <w:noProof/>
            <w:color w:val="auto"/>
          </w:rPr>
          <w:t>工程规模及项目组成</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_Toc81515266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69</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67" w:history="1">
        <w:r w:rsidR="00C15FFC" w:rsidRPr="00D630D1">
          <w:rPr>
            <w:rStyle w:val="af1"/>
            <w:rFonts w:ascii="Times New Roman" w:cs="Times New Roman"/>
            <w:noProof/>
            <w:color w:val="auto"/>
          </w:rPr>
          <w:t xml:space="preserve">3.3 </w:t>
        </w:r>
        <w:r w:rsidR="00C15FFC" w:rsidRPr="00D630D1">
          <w:rPr>
            <w:rStyle w:val="af1"/>
            <w:rFonts w:ascii="Times New Roman" w:cs="Times New Roman"/>
            <w:noProof/>
            <w:color w:val="auto"/>
          </w:rPr>
          <w:t>输送介质情况</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_Toc81515267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74</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68" w:history="1">
        <w:r w:rsidR="00C15FFC" w:rsidRPr="00D630D1">
          <w:rPr>
            <w:rStyle w:val="af1"/>
            <w:rFonts w:ascii="Times New Roman" w:cs="Times New Roman"/>
            <w:noProof/>
            <w:color w:val="auto"/>
          </w:rPr>
          <w:t xml:space="preserve">3.4 </w:t>
        </w:r>
        <w:r w:rsidR="00C15FFC" w:rsidRPr="00D630D1">
          <w:rPr>
            <w:rStyle w:val="af1"/>
            <w:rFonts w:ascii="Times New Roman" w:cs="Times New Roman"/>
            <w:noProof/>
            <w:color w:val="auto"/>
          </w:rPr>
          <w:t>场站工程</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_Toc81515268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76</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69" w:history="1">
        <w:r w:rsidR="00C15FFC" w:rsidRPr="00D630D1">
          <w:rPr>
            <w:rStyle w:val="af1"/>
            <w:rFonts w:ascii="Times New Roman" w:cs="Times New Roman"/>
            <w:noProof/>
            <w:color w:val="auto"/>
          </w:rPr>
          <w:t xml:space="preserve">3.5 </w:t>
        </w:r>
        <w:r w:rsidR="00C15FFC" w:rsidRPr="00D630D1">
          <w:rPr>
            <w:rStyle w:val="af1"/>
            <w:rFonts w:ascii="Times New Roman" w:cs="Times New Roman"/>
            <w:noProof/>
            <w:color w:val="auto"/>
          </w:rPr>
          <w:t>线路工程</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_Toc81515269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84</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70" w:history="1">
        <w:r w:rsidR="00C15FFC" w:rsidRPr="00D630D1">
          <w:rPr>
            <w:rStyle w:val="af1"/>
            <w:rFonts w:ascii="Times New Roman" w:cs="Times New Roman"/>
            <w:noProof/>
            <w:color w:val="auto"/>
          </w:rPr>
          <w:t xml:space="preserve">3.6 </w:t>
        </w:r>
        <w:r w:rsidR="00C15FFC" w:rsidRPr="00D630D1">
          <w:rPr>
            <w:rStyle w:val="af1"/>
            <w:rFonts w:ascii="Times New Roman" w:cs="Times New Roman"/>
            <w:noProof/>
            <w:color w:val="auto"/>
          </w:rPr>
          <w:t>辅助工程</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_Toc81515270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86</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71" w:history="1">
        <w:r w:rsidR="00C15FFC" w:rsidRPr="00D630D1">
          <w:rPr>
            <w:rStyle w:val="af1"/>
            <w:rFonts w:ascii="Times New Roman" w:cs="Times New Roman"/>
            <w:noProof/>
            <w:color w:val="auto"/>
          </w:rPr>
          <w:t xml:space="preserve">3.7 </w:t>
        </w:r>
        <w:r w:rsidR="00C15FFC" w:rsidRPr="00D630D1">
          <w:rPr>
            <w:rStyle w:val="af1"/>
            <w:rFonts w:ascii="Times New Roman" w:cs="Times New Roman"/>
            <w:noProof/>
            <w:color w:val="auto"/>
          </w:rPr>
          <w:t>公用工程</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_Toc81515271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88</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72" w:history="1">
        <w:r w:rsidR="00C15FFC" w:rsidRPr="00D630D1">
          <w:rPr>
            <w:rStyle w:val="af1"/>
            <w:rFonts w:ascii="Times New Roman" w:cs="Times New Roman"/>
            <w:noProof/>
            <w:color w:val="auto"/>
          </w:rPr>
          <w:t xml:space="preserve">3.8 </w:t>
        </w:r>
        <w:r w:rsidR="00C15FFC" w:rsidRPr="00D630D1">
          <w:rPr>
            <w:rStyle w:val="af1"/>
            <w:rFonts w:ascii="Times New Roman" w:cs="Times New Roman"/>
            <w:noProof/>
            <w:color w:val="auto"/>
          </w:rPr>
          <w:t>其他工程</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_Toc81515272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89</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73" w:history="1">
        <w:r w:rsidR="00C15FFC" w:rsidRPr="00D630D1">
          <w:rPr>
            <w:rStyle w:val="af1"/>
            <w:rFonts w:ascii="Times New Roman" w:cs="Times New Roman"/>
            <w:noProof/>
            <w:color w:val="auto"/>
          </w:rPr>
          <w:t xml:space="preserve">3.9 </w:t>
        </w:r>
        <w:r w:rsidR="00C15FFC" w:rsidRPr="00D630D1">
          <w:rPr>
            <w:rStyle w:val="af1"/>
            <w:rFonts w:ascii="Times New Roman" w:cs="Times New Roman"/>
            <w:noProof/>
            <w:color w:val="auto"/>
          </w:rPr>
          <w:t>劳动定员、建设进度</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_Toc81515273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90</w:t>
        </w:r>
        <w:r w:rsidRPr="00D630D1">
          <w:rPr>
            <w:rFonts w:ascii="Times New Roman" w:cs="Times New Roman"/>
            <w:noProof/>
            <w:webHidden/>
          </w:rPr>
          <w:fldChar w:fldCharType="end"/>
        </w:r>
      </w:hyperlink>
    </w:p>
    <w:p w:rsidR="00C15FFC" w:rsidRPr="00D630D1" w:rsidRDefault="009913C3" w:rsidP="00315747">
      <w:pPr>
        <w:pStyle w:val="10"/>
        <w:tabs>
          <w:tab w:val="right" w:leader="dot" w:pos="9340"/>
        </w:tabs>
        <w:rPr>
          <w:rFonts w:cs="Times New Roman"/>
          <w:b w:val="0"/>
          <w:noProof/>
          <w:kern w:val="2"/>
          <w:sz w:val="24"/>
        </w:rPr>
      </w:pPr>
      <w:hyperlink w:anchor="_Toc81515274" w:history="1">
        <w:r w:rsidR="00C15FFC" w:rsidRPr="00D630D1">
          <w:rPr>
            <w:rStyle w:val="af1"/>
            <w:rFonts w:cs="Times New Roman"/>
            <w:b w:val="0"/>
            <w:noProof/>
            <w:color w:val="auto"/>
            <w:sz w:val="24"/>
          </w:rPr>
          <w:t xml:space="preserve">4 </w:t>
        </w:r>
        <w:r w:rsidR="00C15FFC" w:rsidRPr="00D630D1">
          <w:rPr>
            <w:rStyle w:val="af1"/>
            <w:rFonts w:cs="Times New Roman"/>
            <w:b w:val="0"/>
            <w:noProof/>
            <w:color w:val="auto"/>
            <w:sz w:val="24"/>
          </w:rPr>
          <w:t>工程分析</w:t>
        </w:r>
        <w:r w:rsidR="00C15FFC" w:rsidRPr="00D630D1">
          <w:rPr>
            <w:rFonts w:cs="Times New Roman"/>
            <w:b w:val="0"/>
            <w:noProof/>
            <w:webHidden/>
            <w:sz w:val="24"/>
          </w:rPr>
          <w:tab/>
        </w:r>
        <w:r w:rsidRPr="00D630D1">
          <w:rPr>
            <w:rFonts w:cs="Times New Roman"/>
            <w:b w:val="0"/>
            <w:noProof/>
            <w:webHidden/>
            <w:sz w:val="24"/>
          </w:rPr>
          <w:fldChar w:fldCharType="begin"/>
        </w:r>
        <w:r w:rsidR="00C15FFC" w:rsidRPr="00D630D1">
          <w:rPr>
            <w:rFonts w:cs="Times New Roman"/>
            <w:b w:val="0"/>
            <w:noProof/>
            <w:webHidden/>
            <w:sz w:val="24"/>
          </w:rPr>
          <w:instrText xml:space="preserve"> PAGEREF _Toc81515274 \h </w:instrText>
        </w:r>
        <w:r w:rsidRPr="00D630D1">
          <w:rPr>
            <w:rFonts w:cs="Times New Roman"/>
            <w:b w:val="0"/>
            <w:noProof/>
            <w:webHidden/>
            <w:sz w:val="24"/>
          </w:rPr>
        </w:r>
        <w:r w:rsidRPr="00D630D1">
          <w:rPr>
            <w:rFonts w:cs="Times New Roman"/>
            <w:b w:val="0"/>
            <w:noProof/>
            <w:webHidden/>
            <w:sz w:val="24"/>
          </w:rPr>
          <w:fldChar w:fldCharType="separate"/>
        </w:r>
        <w:r w:rsidR="007E403F">
          <w:rPr>
            <w:rFonts w:cs="Times New Roman"/>
            <w:b w:val="0"/>
            <w:noProof/>
            <w:webHidden/>
            <w:sz w:val="24"/>
          </w:rPr>
          <w:t>91</w:t>
        </w:r>
        <w:r w:rsidRPr="00D630D1">
          <w:rPr>
            <w:rFonts w:cs="Times New Roman"/>
            <w:b w:val="0"/>
            <w:noProof/>
            <w:webHidden/>
            <w:sz w:val="24"/>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75" w:history="1">
        <w:r w:rsidR="00C15FFC" w:rsidRPr="00D630D1">
          <w:rPr>
            <w:rStyle w:val="af1"/>
            <w:rFonts w:ascii="Times New Roman" w:cs="Times New Roman"/>
            <w:noProof/>
            <w:color w:val="auto"/>
          </w:rPr>
          <w:t xml:space="preserve">4.1 </w:t>
        </w:r>
        <w:r w:rsidR="00C15FFC" w:rsidRPr="00D630D1">
          <w:rPr>
            <w:rStyle w:val="af1"/>
            <w:rFonts w:ascii="Times New Roman" w:cs="Times New Roman"/>
            <w:noProof/>
            <w:color w:val="auto"/>
          </w:rPr>
          <w:t>施工期工程分析</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_Toc81515275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91</w:t>
        </w:r>
        <w:r w:rsidRPr="00D630D1">
          <w:rPr>
            <w:rFonts w:ascii="Times New Roman" w:cs="Times New Roman"/>
            <w:noProof/>
            <w:webHidden/>
          </w:rPr>
          <w:fldChar w:fldCharType="end"/>
        </w:r>
      </w:hyperlink>
    </w:p>
    <w:p w:rsidR="00C15FFC" w:rsidRDefault="009913C3" w:rsidP="00315747">
      <w:pPr>
        <w:pStyle w:val="21"/>
        <w:tabs>
          <w:tab w:val="right" w:leader="dot" w:pos="9340"/>
        </w:tabs>
        <w:ind w:leftChars="0" w:left="0" w:firstLine="480"/>
        <w:rPr>
          <w:noProof/>
        </w:rPr>
      </w:pPr>
      <w:hyperlink w:anchor="_Toc81515276" w:history="1">
        <w:r w:rsidR="00C15FFC" w:rsidRPr="00D630D1">
          <w:rPr>
            <w:rStyle w:val="af1"/>
            <w:rFonts w:ascii="Times New Roman" w:cs="Times New Roman"/>
            <w:noProof/>
            <w:color w:val="auto"/>
          </w:rPr>
          <w:t xml:space="preserve">4.2 </w:t>
        </w:r>
        <w:r w:rsidR="00C15FFC" w:rsidRPr="00D630D1">
          <w:rPr>
            <w:rStyle w:val="af1"/>
            <w:rFonts w:ascii="Times New Roman" w:cs="Times New Roman"/>
            <w:noProof/>
            <w:color w:val="auto"/>
          </w:rPr>
          <w:t>运营期工程分析</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_Toc81515276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118</w:t>
        </w:r>
        <w:r w:rsidRPr="00D630D1">
          <w:rPr>
            <w:rFonts w:ascii="Times New Roman" w:cs="Times New Roman"/>
            <w:noProof/>
            <w:webHidden/>
          </w:rPr>
          <w:fldChar w:fldCharType="end"/>
        </w:r>
      </w:hyperlink>
    </w:p>
    <w:p w:rsidR="004302B1" w:rsidRPr="00D630D1" w:rsidRDefault="009913C3" w:rsidP="004302B1">
      <w:pPr>
        <w:pStyle w:val="21"/>
        <w:tabs>
          <w:tab w:val="right" w:leader="dot" w:pos="9340"/>
        </w:tabs>
        <w:ind w:leftChars="0" w:left="0" w:firstLine="480"/>
        <w:rPr>
          <w:rFonts w:ascii="Times New Roman" w:cs="Times New Roman"/>
          <w:noProof/>
          <w:kern w:val="2"/>
        </w:rPr>
      </w:pPr>
      <w:hyperlink w:anchor="_Toc81515277" w:history="1">
        <w:r w:rsidR="004302B1" w:rsidRPr="00D630D1">
          <w:rPr>
            <w:rStyle w:val="af1"/>
            <w:rFonts w:ascii="Times New Roman" w:cs="Times New Roman"/>
            <w:noProof/>
            <w:color w:val="auto"/>
          </w:rPr>
          <w:t>4.3</w:t>
        </w:r>
        <w:r w:rsidR="004302B1">
          <w:rPr>
            <w:rStyle w:val="af1"/>
            <w:rFonts w:ascii="Times New Roman" w:cs="Times New Roman" w:hint="eastAsia"/>
            <w:noProof/>
            <w:color w:val="auto"/>
          </w:rPr>
          <w:t>退役</w:t>
        </w:r>
        <w:r w:rsidR="004302B1" w:rsidRPr="004302B1">
          <w:rPr>
            <w:rStyle w:val="af1"/>
            <w:rFonts w:ascii="Times New Roman" w:cs="Times New Roman"/>
            <w:noProof/>
            <w:color w:val="auto"/>
          </w:rPr>
          <w:t>期工程分析</w:t>
        </w:r>
        <w:r w:rsidR="004302B1" w:rsidRPr="00D630D1">
          <w:rPr>
            <w:rFonts w:ascii="Times New Roman" w:cs="Times New Roman"/>
            <w:noProof/>
            <w:webHidden/>
          </w:rPr>
          <w:tab/>
        </w:r>
        <w:r w:rsidRPr="00D630D1">
          <w:rPr>
            <w:rFonts w:ascii="Times New Roman" w:cs="Times New Roman"/>
            <w:noProof/>
            <w:webHidden/>
          </w:rPr>
          <w:fldChar w:fldCharType="begin"/>
        </w:r>
        <w:r w:rsidR="004302B1" w:rsidRPr="00D630D1">
          <w:rPr>
            <w:rFonts w:ascii="Times New Roman" w:cs="Times New Roman"/>
            <w:noProof/>
            <w:webHidden/>
          </w:rPr>
          <w:instrText xml:space="preserve"> PAGEREF _Toc81515277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123</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77" w:history="1">
        <w:r w:rsidR="00C15FFC" w:rsidRPr="00D630D1">
          <w:rPr>
            <w:rStyle w:val="af1"/>
            <w:rFonts w:ascii="Times New Roman" w:cs="Times New Roman"/>
            <w:noProof/>
            <w:color w:val="auto"/>
          </w:rPr>
          <w:t>4.</w:t>
        </w:r>
        <w:r w:rsidR="004302B1">
          <w:rPr>
            <w:rStyle w:val="af1"/>
            <w:rFonts w:ascii="Times New Roman" w:cs="Times New Roman" w:hint="eastAsia"/>
            <w:noProof/>
            <w:color w:val="auto"/>
          </w:rPr>
          <w:t>4</w:t>
        </w:r>
        <w:r w:rsidR="00C15FFC" w:rsidRPr="00D630D1">
          <w:rPr>
            <w:rStyle w:val="af1"/>
            <w:rFonts w:ascii="Times New Roman" w:cs="Times New Roman"/>
            <w:noProof/>
            <w:color w:val="auto"/>
          </w:rPr>
          <w:t xml:space="preserve"> </w:t>
        </w:r>
        <w:r w:rsidR="00C15FFC" w:rsidRPr="00D630D1">
          <w:rPr>
            <w:rStyle w:val="af1"/>
            <w:rFonts w:ascii="Times New Roman" w:cs="Times New Roman"/>
            <w:noProof/>
            <w:color w:val="auto"/>
          </w:rPr>
          <w:t>项目清洁性分析</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_Toc81515277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123</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78" w:history="1">
        <w:r w:rsidR="00C15FFC" w:rsidRPr="00D630D1">
          <w:rPr>
            <w:rStyle w:val="af1"/>
            <w:rFonts w:ascii="Times New Roman" w:cs="Times New Roman"/>
            <w:noProof/>
            <w:color w:val="auto"/>
          </w:rPr>
          <w:t>4.</w:t>
        </w:r>
        <w:r w:rsidR="004302B1">
          <w:rPr>
            <w:rStyle w:val="af1"/>
            <w:rFonts w:ascii="Times New Roman" w:cs="Times New Roman" w:hint="eastAsia"/>
            <w:noProof/>
            <w:color w:val="auto"/>
          </w:rPr>
          <w:t>5</w:t>
        </w:r>
        <w:r w:rsidR="00C15FFC" w:rsidRPr="00D630D1">
          <w:rPr>
            <w:rStyle w:val="af1"/>
            <w:rFonts w:ascii="Times New Roman" w:cs="Times New Roman"/>
            <w:noProof/>
            <w:color w:val="auto"/>
          </w:rPr>
          <w:t xml:space="preserve"> </w:t>
        </w:r>
        <w:r w:rsidR="00C15FFC" w:rsidRPr="00D630D1">
          <w:rPr>
            <w:rStyle w:val="af1"/>
            <w:rFonts w:ascii="Times New Roman" w:cs="Times New Roman"/>
            <w:noProof/>
            <w:color w:val="auto"/>
          </w:rPr>
          <w:t>总量控制</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_Toc81515278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124</w:t>
        </w:r>
        <w:r w:rsidRPr="00D630D1">
          <w:rPr>
            <w:rFonts w:ascii="Times New Roman" w:cs="Times New Roman"/>
            <w:noProof/>
            <w:webHidden/>
          </w:rPr>
          <w:fldChar w:fldCharType="end"/>
        </w:r>
      </w:hyperlink>
    </w:p>
    <w:p w:rsidR="00C15FFC" w:rsidRPr="00D630D1" w:rsidRDefault="009913C3" w:rsidP="00315747">
      <w:pPr>
        <w:pStyle w:val="10"/>
        <w:tabs>
          <w:tab w:val="right" w:leader="dot" w:pos="9340"/>
        </w:tabs>
        <w:rPr>
          <w:rFonts w:cs="Times New Roman"/>
          <w:b w:val="0"/>
          <w:noProof/>
          <w:kern w:val="2"/>
          <w:sz w:val="24"/>
        </w:rPr>
      </w:pPr>
      <w:hyperlink w:anchor="_Toc81515280" w:history="1">
        <w:r w:rsidR="00C15FFC" w:rsidRPr="00D630D1">
          <w:rPr>
            <w:rStyle w:val="af1"/>
            <w:rFonts w:cs="Times New Roman"/>
            <w:b w:val="0"/>
            <w:noProof/>
            <w:color w:val="auto"/>
            <w:sz w:val="24"/>
          </w:rPr>
          <w:t xml:space="preserve">5 </w:t>
        </w:r>
        <w:r w:rsidR="00C15FFC" w:rsidRPr="00D630D1">
          <w:rPr>
            <w:rStyle w:val="af1"/>
            <w:rFonts w:cs="Times New Roman"/>
            <w:b w:val="0"/>
            <w:noProof/>
            <w:color w:val="auto"/>
            <w:sz w:val="24"/>
          </w:rPr>
          <w:t>环境质量现状调查与评价</w:t>
        </w:r>
        <w:r w:rsidR="00C15FFC" w:rsidRPr="00D630D1">
          <w:rPr>
            <w:rFonts w:cs="Times New Roman"/>
            <w:b w:val="0"/>
            <w:noProof/>
            <w:webHidden/>
            <w:sz w:val="24"/>
          </w:rPr>
          <w:tab/>
        </w:r>
        <w:r w:rsidRPr="00D630D1">
          <w:rPr>
            <w:rFonts w:cs="Times New Roman"/>
            <w:b w:val="0"/>
            <w:noProof/>
            <w:webHidden/>
            <w:sz w:val="24"/>
          </w:rPr>
          <w:fldChar w:fldCharType="begin"/>
        </w:r>
        <w:r w:rsidR="00C15FFC" w:rsidRPr="00D630D1">
          <w:rPr>
            <w:rFonts w:cs="Times New Roman"/>
            <w:b w:val="0"/>
            <w:noProof/>
            <w:webHidden/>
            <w:sz w:val="24"/>
          </w:rPr>
          <w:instrText xml:space="preserve"> PAGEREF _Toc81515280 \h </w:instrText>
        </w:r>
        <w:r w:rsidRPr="00D630D1">
          <w:rPr>
            <w:rFonts w:cs="Times New Roman"/>
            <w:b w:val="0"/>
            <w:noProof/>
            <w:webHidden/>
            <w:sz w:val="24"/>
          </w:rPr>
        </w:r>
        <w:r w:rsidRPr="00D630D1">
          <w:rPr>
            <w:rFonts w:cs="Times New Roman"/>
            <w:b w:val="0"/>
            <w:noProof/>
            <w:webHidden/>
            <w:sz w:val="24"/>
          </w:rPr>
          <w:fldChar w:fldCharType="separate"/>
        </w:r>
        <w:r w:rsidR="007E403F">
          <w:rPr>
            <w:rFonts w:cs="Times New Roman"/>
            <w:b w:val="0"/>
            <w:noProof/>
            <w:webHidden/>
            <w:sz w:val="24"/>
          </w:rPr>
          <w:t>125</w:t>
        </w:r>
        <w:r w:rsidRPr="00D630D1">
          <w:rPr>
            <w:rFonts w:cs="Times New Roman"/>
            <w:b w:val="0"/>
            <w:noProof/>
            <w:webHidden/>
            <w:sz w:val="24"/>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81" w:history="1">
        <w:r w:rsidR="00C15FFC" w:rsidRPr="00D630D1">
          <w:rPr>
            <w:rStyle w:val="af1"/>
            <w:rFonts w:ascii="Times New Roman" w:cs="Times New Roman"/>
            <w:noProof/>
            <w:color w:val="auto"/>
          </w:rPr>
          <w:t xml:space="preserve">5.1 </w:t>
        </w:r>
        <w:r w:rsidR="00C15FFC" w:rsidRPr="00D630D1">
          <w:rPr>
            <w:rStyle w:val="af1"/>
            <w:rFonts w:ascii="Times New Roman" w:cs="Times New Roman"/>
            <w:noProof/>
            <w:color w:val="auto"/>
          </w:rPr>
          <w:t>自然环境概况</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_Toc81515281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125</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82" w:history="1">
        <w:r w:rsidR="00C15FFC" w:rsidRPr="00D630D1">
          <w:rPr>
            <w:rStyle w:val="af1"/>
            <w:rFonts w:ascii="Times New Roman" w:cs="Times New Roman"/>
            <w:noProof/>
            <w:color w:val="auto"/>
          </w:rPr>
          <w:t xml:space="preserve">5.2 </w:t>
        </w:r>
        <w:r w:rsidR="00C15FFC" w:rsidRPr="00D630D1">
          <w:rPr>
            <w:rStyle w:val="af1"/>
            <w:rFonts w:ascii="Times New Roman" w:cs="Times New Roman"/>
            <w:noProof/>
            <w:color w:val="auto"/>
          </w:rPr>
          <w:t>生态环境调查与评价</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_Toc81515282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130</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83" w:history="1">
        <w:r w:rsidR="00C15FFC" w:rsidRPr="00D630D1">
          <w:rPr>
            <w:rStyle w:val="af1"/>
            <w:rFonts w:ascii="Times New Roman" w:cs="Times New Roman"/>
            <w:noProof/>
            <w:color w:val="auto"/>
          </w:rPr>
          <w:t xml:space="preserve">5.3 </w:t>
        </w:r>
        <w:r w:rsidR="00C15FFC" w:rsidRPr="00D630D1">
          <w:rPr>
            <w:rStyle w:val="af1"/>
            <w:rFonts w:ascii="Times New Roman" w:cs="Times New Roman"/>
            <w:noProof/>
            <w:color w:val="auto"/>
          </w:rPr>
          <w:t>环境空气质量现状与评价</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_Toc81515283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171</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84" w:history="1">
        <w:r w:rsidR="00C15FFC" w:rsidRPr="00D630D1">
          <w:rPr>
            <w:rStyle w:val="af1"/>
            <w:rFonts w:ascii="Times New Roman" w:cs="Times New Roman"/>
            <w:noProof/>
            <w:color w:val="auto"/>
          </w:rPr>
          <w:t xml:space="preserve">5.4 </w:t>
        </w:r>
        <w:r w:rsidR="00C15FFC" w:rsidRPr="00D630D1">
          <w:rPr>
            <w:rStyle w:val="af1"/>
            <w:rFonts w:ascii="Times New Roman" w:cs="Times New Roman"/>
            <w:noProof/>
            <w:color w:val="auto"/>
          </w:rPr>
          <w:t>地表水环境质量现状与评价</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_Toc81515284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173</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85" w:history="1">
        <w:r w:rsidR="00C15FFC" w:rsidRPr="00D630D1">
          <w:rPr>
            <w:rStyle w:val="af1"/>
            <w:rFonts w:ascii="Times New Roman" w:cs="Times New Roman"/>
            <w:noProof/>
            <w:color w:val="auto"/>
          </w:rPr>
          <w:t xml:space="preserve">5.5 </w:t>
        </w:r>
        <w:r w:rsidR="00C15FFC" w:rsidRPr="00D630D1">
          <w:rPr>
            <w:rStyle w:val="af1"/>
            <w:rFonts w:ascii="Times New Roman" w:cs="Times New Roman"/>
            <w:noProof/>
            <w:color w:val="auto"/>
          </w:rPr>
          <w:t>地下水环境质量现状与评价</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_Toc81515285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174</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86" w:history="1">
        <w:r w:rsidR="00C15FFC" w:rsidRPr="00D630D1">
          <w:rPr>
            <w:rStyle w:val="af1"/>
            <w:rFonts w:ascii="Times New Roman" w:cs="Times New Roman"/>
            <w:noProof/>
            <w:color w:val="auto"/>
          </w:rPr>
          <w:t xml:space="preserve">5.6 </w:t>
        </w:r>
        <w:r w:rsidR="00C15FFC" w:rsidRPr="00D630D1">
          <w:rPr>
            <w:rStyle w:val="af1"/>
            <w:rFonts w:ascii="Times New Roman" w:cs="Times New Roman"/>
            <w:noProof/>
            <w:color w:val="auto"/>
          </w:rPr>
          <w:t>声环境质量现状与评价</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_Toc81515286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177</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87" w:history="1">
        <w:r w:rsidR="00C15FFC" w:rsidRPr="00D630D1">
          <w:rPr>
            <w:rStyle w:val="af1"/>
            <w:rFonts w:ascii="Times New Roman" w:cs="Times New Roman"/>
            <w:noProof/>
            <w:color w:val="auto"/>
          </w:rPr>
          <w:t xml:space="preserve">5.7 </w:t>
        </w:r>
        <w:r w:rsidR="00C15FFC" w:rsidRPr="00D630D1">
          <w:rPr>
            <w:rStyle w:val="af1"/>
            <w:rFonts w:ascii="Times New Roman" w:cs="Times New Roman"/>
            <w:noProof/>
            <w:color w:val="auto"/>
          </w:rPr>
          <w:t>土壤环境质量现状与评价</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_Toc81515287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179</w:t>
        </w:r>
        <w:r w:rsidRPr="00D630D1">
          <w:rPr>
            <w:rFonts w:ascii="Times New Roman" w:cs="Times New Roman"/>
            <w:noProof/>
            <w:webHidden/>
          </w:rPr>
          <w:fldChar w:fldCharType="end"/>
        </w:r>
      </w:hyperlink>
    </w:p>
    <w:p w:rsidR="00C15FFC" w:rsidRPr="00D630D1" w:rsidRDefault="009913C3" w:rsidP="00315747">
      <w:pPr>
        <w:pStyle w:val="10"/>
        <w:tabs>
          <w:tab w:val="right" w:leader="dot" w:pos="9340"/>
        </w:tabs>
        <w:rPr>
          <w:rFonts w:cs="Times New Roman"/>
          <w:b w:val="0"/>
          <w:noProof/>
          <w:kern w:val="2"/>
          <w:sz w:val="24"/>
        </w:rPr>
      </w:pPr>
      <w:hyperlink w:anchor="_Toc81515288" w:history="1">
        <w:r w:rsidR="00C15FFC" w:rsidRPr="00D630D1">
          <w:rPr>
            <w:rStyle w:val="af1"/>
            <w:rFonts w:cs="Times New Roman"/>
            <w:b w:val="0"/>
            <w:noProof/>
            <w:color w:val="auto"/>
            <w:sz w:val="24"/>
          </w:rPr>
          <w:t xml:space="preserve">6 </w:t>
        </w:r>
        <w:r w:rsidR="00C15FFC" w:rsidRPr="00D630D1">
          <w:rPr>
            <w:rStyle w:val="af1"/>
            <w:rFonts w:cs="Times New Roman"/>
            <w:b w:val="0"/>
            <w:noProof/>
            <w:color w:val="auto"/>
            <w:sz w:val="24"/>
          </w:rPr>
          <w:t>环境影响预测与评价</w:t>
        </w:r>
        <w:r w:rsidR="00C15FFC" w:rsidRPr="00D630D1">
          <w:rPr>
            <w:rFonts w:cs="Times New Roman"/>
            <w:b w:val="0"/>
            <w:noProof/>
            <w:webHidden/>
            <w:sz w:val="24"/>
          </w:rPr>
          <w:tab/>
        </w:r>
        <w:r w:rsidRPr="00D630D1">
          <w:rPr>
            <w:rFonts w:cs="Times New Roman"/>
            <w:b w:val="0"/>
            <w:noProof/>
            <w:webHidden/>
            <w:sz w:val="24"/>
          </w:rPr>
          <w:fldChar w:fldCharType="begin"/>
        </w:r>
        <w:r w:rsidR="00C15FFC" w:rsidRPr="00D630D1">
          <w:rPr>
            <w:rFonts w:cs="Times New Roman"/>
            <w:b w:val="0"/>
            <w:noProof/>
            <w:webHidden/>
            <w:sz w:val="24"/>
          </w:rPr>
          <w:instrText xml:space="preserve"> PAGEREF _Toc81515288 \h </w:instrText>
        </w:r>
        <w:r w:rsidRPr="00D630D1">
          <w:rPr>
            <w:rFonts w:cs="Times New Roman"/>
            <w:b w:val="0"/>
            <w:noProof/>
            <w:webHidden/>
            <w:sz w:val="24"/>
          </w:rPr>
        </w:r>
        <w:r w:rsidRPr="00D630D1">
          <w:rPr>
            <w:rFonts w:cs="Times New Roman"/>
            <w:b w:val="0"/>
            <w:noProof/>
            <w:webHidden/>
            <w:sz w:val="24"/>
          </w:rPr>
          <w:fldChar w:fldCharType="separate"/>
        </w:r>
        <w:r w:rsidR="007E403F">
          <w:rPr>
            <w:rFonts w:cs="Times New Roman"/>
            <w:b w:val="0"/>
            <w:noProof/>
            <w:webHidden/>
            <w:sz w:val="24"/>
          </w:rPr>
          <w:t>182</w:t>
        </w:r>
        <w:r w:rsidRPr="00D630D1">
          <w:rPr>
            <w:rFonts w:cs="Times New Roman"/>
            <w:b w:val="0"/>
            <w:noProof/>
            <w:webHidden/>
            <w:sz w:val="24"/>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89" w:history="1">
        <w:r w:rsidR="00C15FFC" w:rsidRPr="00D630D1">
          <w:rPr>
            <w:rStyle w:val="af1"/>
            <w:rFonts w:ascii="Times New Roman" w:cs="Times New Roman"/>
            <w:noProof/>
            <w:color w:val="auto"/>
          </w:rPr>
          <w:t xml:space="preserve">6.1 </w:t>
        </w:r>
        <w:r w:rsidR="00C15FFC" w:rsidRPr="00D630D1">
          <w:rPr>
            <w:rStyle w:val="af1"/>
            <w:rFonts w:ascii="Times New Roman" w:cs="Times New Roman"/>
            <w:noProof/>
            <w:color w:val="auto"/>
          </w:rPr>
          <w:t>施工期环境影响预测及评价</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_Toc81515289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182</w:t>
        </w:r>
        <w:r w:rsidRPr="00D630D1">
          <w:rPr>
            <w:rFonts w:ascii="Times New Roman" w:cs="Times New Roman"/>
            <w:noProof/>
            <w:webHidden/>
          </w:rPr>
          <w:fldChar w:fldCharType="end"/>
        </w:r>
      </w:hyperlink>
    </w:p>
    <w:p w:rsidR="00A62354" w:rsidRPr="00D630D1" w:rsidRDefault="009913C3" w:rsidP="00A62354">
      <w:pPr>
        <w:pStyle w:val="21"/>
        <w:tabs>
          <w:tab w:val="right" w:leader="dot" w:pos="9340"/>
        </w:tabs>
        <w:ind w:leftChars="0" w:left="0" w:firstLine="480"/>
        <w:rPr>
          <w:rFonts w:ascii="Times New Roman" w:cs="Times New Roman"/>
          <w:noProof/>
          <w:kern w:val="2"/>
        </w:rPr>
      </w:pPr>
      <w:hyperlink w:anchor="_Toc81515290" w:history="1">
        <w:r w:rsidR="00A62354" w:rsidRPr="00D630D1">
          <w:rPr>
            <w:rStyle w:val="af1"/>
            <w:rFonts w:ascii="Times New Roman" w:cs="Times New Roman"/>
            <w:noProof/>
            <w:color w:val="auto"/>
          </w:rPr>
          <w:t xml:space="preserve">6.2 </w:t>
        </w:r>
        <w:r w:rsidR="00A62354" w:rsidRPr="00D630D1">
          <w:rPr>
            <w:rStyle w:val="af1"/>
            <w:rFonts w:ascii="Times New Roman" w:cs="Times New Roman"/>
            <w:noProof/>
            <w:color w:val="auto"/>
          </w:rPr>
          <w:t>运营期环境影响预测及评价</w:t>
        </w:r>
        <w:r w:rsidR="00A62354" w:rsidRPr="00D630D1">
          <w:rPr>
            <w:rFonts w:ascii="Times New Roman" w:cs="Times New Roman"/>
            <w:noProof/>
            <w:webHidden/>
          </w:rPr>
          <w:tab/>
        </w:r>
        <w:r w:rsidRPr="00D630D1">
          <w:rPr>
            <w:rFonts w:ascii="Times New Roman" w:cs="Times New Roman"/>
            <w:noProof/>
            <w:webHidden/>
          </w:rPr>
          <w:fldChar w:fldCharType="begin"/>
        </w:r>
        <w:r w:rsidR="00A62354" w:rsidRPr="00D630D1">
          <w:rPr>
            <w:rFonts w:ascii="Times New Roman" w:cs="Times New Roman"/>
            <w:noProof/>
            <w:webHidden/>
          </w:rPr>
          <w:instrText xml:space="preserve"> PAGEREF _Toc81515290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204</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90" w:history="1">
        <w:r w:rsidR="00C15FFC" w:rsidRPr="00D630D1">
          <w:rPr>
            <w:rStyle w:val="af1"/>
            <w:rFonts w:ascii="Times New Roman" w:cs="Times New Roman"/>
            <w:noProof/>
            <w:color w:val="auto"/>
          </w:rPr>
          <w:t>6.</w:t>
        </w:r>
        <w:r w:rsidR="00A62354">
          <w:rPr>
            <w:rStyle w:val="af1"/>
            <w:rFonts w:ascii="Times New Roman" w:cs="Times New Roman" w:hint="eastAsia"/>
            <w:noProof/>
            <w:color w:val="auto"/>
          </w:rPr>
          <w:t>3</w:t>
        </w:r>
        <w:r w:rsidR="00C15FFC" w:rsidRPr="00D630D1">
          <w:rPr>
            <w:rStyle w:val="af1"/>
            <w:rFonts w:ascii="Times New Roman" w:cs="Times New Roman"/>
            <w:noProof/>
            <w:color w:val="auto"/>
          </w:rPr>
          <w:t xml:space="preserve"> </w:t>
        </w:r>
        <w:r w:rsidR="00A62354">
          <w:rPr>
            <w:rStyle w:val="af1"/>
            <w:rFonts w:ascii="Times New Roman" w:cs="Times New Roman" w:hint="eastAsia"/>
            <w:noProof/>
            <w:color w:val="auto"/>
          </w:rPr>
          <w:t>退役</w:t>
        </w:r>
        <w:r w:rsidR="00C15FFC" w:rsidRPr="00D630D1">
          <w:rPr>
            <w:rStyle w:val="af1"/>
            <w:rFonts w:ascii="Times New Roman" w:cs="Times New Roman"/>
            <w:noProof/>
            <w:color w:val="auto"/>
          </w:rPr>
          <w:t>期环境影响预测及评价</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_Toc81515290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204</w:t>
        </w:r>
        <w:r w:rsidRPr="00D630D1">
          <w:rPr>
            <w:rFonts w:ascii="Times New Roman" w:cs="Times New Roman"/>
            <w:noProof/>
            <w:webHidden/>
          </w:rPr>
          <w:fldChar w:fldCharType="end"/>
        </w:r>
      </w:hyperlink>
    </w:p>
    <w:p w:rsidR="00C15FFC" w:rsidRPr="00D630D1" w:rsidRDefault="009913C3" w:rsidP="00315747">
      <w:pPr>
        <w:pStyle w:val="10"/>
        <w:tabs>
          <w:tab w:val="right" w:leader="dot" w:pos="9340"/>
        </w:tabs>
        <w:rPr>
          <w:rFonts w:cs="Times New Roman"/>
          <w:b w:val="0"/>
          <w:noProof/>
          <w:kern w:val="2"/>
          <w:sz w:val="24"/>
        </w:rPr>
      </w:pPr>
      <w:hyperlink w:anchor="_Toc81515291" w:history="1">
        <w:r w:rsidR="00C15FFC" w:rsidRPr="00D630D1">
          <w:rPr>
            <w:rStyle w:val="af1"/>
            <w:rFonts w:cs="Times New Roman"/>
            <w:b w:val="0"/>
            <w:noProof/>
            <w:color w:val="auto"/>
            <w:sz w:val="24"/>
          </w:rPr>
          <w:t xml:space="preserve">7 </w:t>
        </w:r>
        <w:r w:rsidR="00C15FFC" w:rsidRPr="00D630D1">
          <w:rPr>
            <w:rStyle w:val="af1"/>
            <w:rFonts w:cs="Times New Roman"/>
            <w:b w:val="0"/>
            <w:noProof/>
            <w:color w:val="auto"/>
            <w:sz w:val="24"/>
          </w:rPr>
          <w:t>环境风险分析</w:t>
        </w:r>
        <w:r w:rsidR="00C15FFC" w:rsidRPr="00D630D1">
          <w:rPr>
            <w:rFonts w:cs="Times New Roman"/>
            <w:b w:val="0"/>
            <w:noProof/>
            <w:webHidden/>
            <w:sz w:val="24"/>
          </w:rPr>
          <w:tab/>
        </w:r>
        <w:r w:rsidRPr="00D630D1">
          <w:rPr>
            <w:rFonts w:cs="Times New Roman"/>
            <w:b w:val="0"/>
            <w:noProof/>
            <w:webHidden/>
            <w:sz w:val="24"/>
          </w:rPr>
          <w:fldChar w:fldCharType="begin"/>
        </w:r>
        <w:r w:rsidR="00C15FFC" w:rsidRPr="00D630D1">
          <w:rPr>
            <w:rFonts w:cs="Times New Roman"/>
            <w:b w:val="0"/>
            <w:noProof/>
            <w:webHidden/>
            <w:sz w:val="24"/>
          </w:rPr>
          <w:instrText xml:space="preserve"> PAGEREF _Toc81515291 \h </w:instrText>
        </w:r>
        <w:r w:rsidRPr="00D630D1">
          <w:rPr>
            <w:rFonts w:cs="Times New Roman"/>
            <w:b w:val="0"/>
            <w:noProof/>
            <w:webHidden/>
            <w:sz w:val="24"/>
          </w:rPr>
        </w:r>
        <w:r w:rsidRPr="00D630D1">
          <w:rPr>
            <w:rFonts w:cs="Times New Roman"/>
            <w:b w:val="0"/>
            <w:noProof/>
            <w:webHidden/>
            <w:sz w:val="24"/>
          </w:rPr>
          <w:fldChar w:fldCharType="separate"/>
        </w:r>
        <w:r w:rsidR="007E403F">
          <w:rPr>
            <w:rFonts w:cs="Times New Roman"/>
            <w:b w:val="0"/>
            <w:noProof/>
            <w:webHidden/>
            <w:sz w:val="24"/>
          </w:rPr>
          <w:t>223</w:t>
        </w:r>
        <w:r w:rsidRPr="00D630D1">
          <w:rPr>
            <w:rFonts w:cs="Times New Roman"/>
            <w:b w:val="0"/>
            <w:noProof/>
            <w:webHidden/>
            <w:sz w:val="24"/>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92" w:history="1">
        <w:r w:rsidR="00C15FFC" w:rsidRPr="00D630D1">
          <w:rPr>
            <w:rStyle w:val="af1"/>
            <w:rFonts w:ascii="Times New Roman" w:cs="Times New Roman"/>
            <w:noProof/>
            <w:color w:val="auto"/>
          </w:rPr>
          <w:t xml:space="preserve">7.1 </w:t>
        </w:r>
        <w:r w:rsidR="00C15FFC" w:rsidRPr="00D630D1">
          <w:rPr>
            <w:rStyle w:val="af1"/>
            <w:rFonts w:ascii="Times New Roman" w:cs="Times New Roman"/>
            <w:noProof/>
            <w:color w:val="auto"/>
          </w:rPr>
          <w:t>评价依据</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_Toc81515292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223</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93" w:history="1">
        <w:r w:rsidR="00C15FFC" w:rsidRPr="00D630D1">
          <w:rPr>
            <w:rStyle w:val="af1"/>
            <w:rFonts w:ascii="Times New Roman" w:cs="Times New Roman"/>
            <w:noProof/>
            <w:color w:val="auto"/>
          </w:rPr>
          <w:t xml:space="preserve">7.2 </w:t>
        </w:r>
        <w:r w:rsidR="00C15FFC" w:rsidRPr="00D630D1">
          <w:rPr>
            <w:rStyle w:val="af1"/>
            <w:rFonts w:ascii="Times New Roman" w:cs="Times New Roman"/>
            <w:noProof/>
            <w:color w:val="auto"/>
          </w:rPr>
          <w:t>一般性原则</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_Toc81515293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223</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94" w:history="1">
        <w:r w:rsidR="00C15FFC" w:rsidRPr="00D630D1">
          <w:rPr>
            <w:rStyle w:val="af1"/>
            <w:rFonts w:ascii="Times New Roman" w:cs="Times New Roman"/>
            <w:noProof/>
            <w:color w:val="auto"/>
          </w:rPr>
          <w:t xml:space="preserve">7.3 </w:t>
        </w:r>
        <w:r w:rsidR="00C15FFC" w:rsidRPr="00D630D1">
          <w:rPr>
            <w:rStyle w:val="af1"/>
            <w:rFonts w:ascii="Times New Roman" w:cs="Times New Roman"/>
            <w:noProof/>
            <w:color w:val="auto"/>
          </w:rPr>
          <w:t>评价目的及重点</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_Toc81515294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223</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95" w:history="1">
        <w:r w:rsidR="00C15FFC" w:rsidRPr="00D630D1">
          <w:rPr>
            <w:rStyle w:val="af1"/>
            <w:rFonts w:ascii="Times New Roman" w:cs="Times New Roman"/>
            <w:noProof/>
            <w:color w:val="auto"/>
          </w:rPr>
          <w:t xml:space="preserve">7.4 </w:t>
        </w:r>
        <w:r w:rsidR="00C15FFC" w:rsidRPr="00D630D1">
          <w:rPr>
            <w:rStyle w:val="af1"/>
            <w:rFonts w:ascii="Times New Roman" w:cs="Times New Roman"/>
            <w:noProof/>
            <w:color w:val="auto"/>
          </w:rPr>
          <w:t>风险调查</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_Toc81515295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223</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96" w:history="1">
        <w:r w:rsidR="00C15FFC" w:rsidRPr="00D630D1">
          <w:rPr>
            <w:rStyle w:val="af1"/>
            <w:rFonts w:ascii="Times New Roman" w:cs="Times New Roman"/>
            <w:noProof/>
            <w:color w:val="auto"/>
          </w:rPr>
          <w:t>7.4</w:t>
        </w:r>
        <w:r w:rsidR="00C15FFC" w:rsidRPr="00D630D1">
          <w:rPr>
            <w:rStyle w:val="af1"/>
            <w:rFonts w:ascii="Times New Roman" w:cs="Times New Roman"/>
            <w:noProof/>
            <w:color w:val="auto"/>
          </w:rPr>
          <w:t>环境风险潜势判定</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_Toc81515296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224</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97" w:history="1">
        <w:r w:rsidR="00C15FFC" w:rsidRPr="00D630D1">
          <w:rPr>
            <w:rStyle w:val="af1"/>
            <w:rFonts w:ascii="Times New Roman" w:cs="Times New Roman"/>
            <w:noProof/>
            <w:color w:val="auto"/>
          </w:rPr>
          <w:t xml:space="preserve">7.5 </w:t>
        </w:r>
        <w:r w:rsidR="00C15FFC" w:rsidRPr="00D630D1">
          <w:rPr>
            <w:rStyle w:val="af1"/>
            <w:rFonts w:ascii="Times New Roman" w:cs="Times New Roman"/>
            <w:noProof/>
            <w:color w:val="auto"/>
          </w:rPr>
          <w:t>评价等级及评价范围</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_Toc81515297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228</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98" w:history="1">
        <w:r w:rsidR="00C15FFC" w:rsidRPr="00D630D1">
          <w:rPr>
            <w:rStyle w:val="af1"/>
            <w:rFonts w:ascii="Times New Roman" w:cs="Times New Roman"/>
            <w:noProof/>
            <w:color w:val="auto"/>
          </w:rPr>
          <w:t xml:space="preserve">7.6 </w:t>
        </w:r>
        <w:r w:rsidR="00C15FFC" w:rsidRPr="00D630D1">
          <w:rPr>
            <w:rStyle w:val="af1"/>
            <w:rFonts w:ascii="Times New Roman" w:cs="Times New Roman"/>
            <w:noProof/>
            <w:color w:val="auto"/>
          </w:rPr>
          <w:t>风险识别</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_Toc81515298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228</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299" w:history="1">
        <w:r w:rsidR="00C15FFC" w:rsidRPr="00D630D1">
          <w:rPr>
            <w:rStyle w:val="af1"/>
            <w:rFonts w:ascii="Times New Roman" w:cs="Times New Roman"/>
            <w:noProof/>
            <w:color w:val="auto"/>
          </w:rPr>
          <w:t xml:space="preserve">7.7 </w:t>
        </w:r>
        <w:r w:rsidR="00C15FFC" w:rsidRPr="00D630D1">
          <w:rPr>
            <w:rStyle w:val="af1"/>
            <w:rFonts w:ascii="Times New Roman" w:cs="Times New Roman"/>
            <w:noProof/>
            <w:color w:val="auto"/>
          </w:rPr>
          <w:t>风险事故情形分析</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_Toc81515299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235</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00" w:history="1">
        <w:r w:rsidR="00C15FFC" w:rsidRPr="00D630D1">
          <w:rPr>
            <w:rStyle w:val="af1"/>
            <w:rFonts w:ascii="Times New Roman" w:cs="Times New Roman"/>
            <w:noProof/>
            <w:color w:val="auto"/>
          </w:rPr>
          <w:t xml:space="preserve">7.8 </w:t>
        </w:r>
        <w:r w:rsidR="00C15FFC" w:rsidRPr="00D630D1">
          <w:rPr>
            <w:rStyle w:val="af1"/>
            <w:rFonts w:ascii="Times New Roman" w:cs="Times New Roman"/>
            <w:noProof/>
            <w:color w:val="auto"/>
          </w:rPr>
          <w:t>环境风险分析</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_Toc81515300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242</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01" w:history="1">
        <w:r w:rsidR="00C15FFC" w:rsidRPr="00D630D1">
          <w:rPr>
            <w:rStyle w:val="af1"/>
            <w:rFonts w:ascii="Times New Roman" w:cs="Times New Roman"/>
            <w:noProof/>
            <w:color w:val="auto"/>
          </w:rPr>
          <w:t xml:space="preserve">7.9 </w:t>
        </w:r>
        <w:r w:rsidR="00C15FFC" w:rsidRPr="00D630D1">
          <w:rPr>
            <w:rStyle w:val="af1"/>
            <w:rFonts w:ascii="Times New Roman" w:cs="Times New Roman"/>
            <w:noProof/>
            <w:color w:val="auto"/>
          </w:rPr>
          <w:t>环境风险管理</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_Toc81515301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250</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02" w:history="1">
        <w:r w:rsidR="00C15FFC" w:rsidRPr="00D630D1">
          <w:rPr>
            <w:rStyle w:val="af1"/>
            <w:rFonts w:ascii="Times New Roman" w:cs="Times New Roman"/>
            <w:noProof/>
            <w:color w:val="auto"/>
          </w:rPr>
          <w:t xml:space="preserve">7.10 </w:t>
        </w:r>
        <w:r w:rsidR="00C15FFC" w:rsidRPr="00D630D1">
          <w:rPr>
            <w:rStyle w:val="af1"/>
            <w:rFonts w:ascii="Times New Roman" w:cs="Times New Roman"/>
            <w:noProof/>
            <w:color w:val="auto"/>
          </w:rPr>
          <w:t>事故应急预案</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_Toc81515302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261</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03" w:history="1">
        <w:r w:rsidR="00C15FFC" w:rsidRPr="00D630D1">
          <w:rPr>
            <w:rStyle w:val="af1"/>
            <w:rFonts w:ascii="Times New Roman" w:cs="Times New Roman"/>
            <w:noProof/>
            <w:color w:val="auto"/>
          </w:rPr>
          <w:t xml:space="preserve">7.11 </w:t>
        </w:r>
        <w:r w:rsidR="00C15FFC" w:rsidRPr="00D630D1">
          <w:rPr>
            <w:rStyle w:val="af1"/>
            <w:rFonts w:ascii="Times New Roman" w:cs="Times New Roman"/>
            <w:noProof/>
            <w:color w:val="auto"/>
          </w:rPr>
          <w:t>环境风险评价结论与建议</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_Toc81515303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275</w:t>
        </w:r>
        <w:r w:rsidRPr="00D630D1">
          <w:rPr>
            <w:rFonts w:ascii="Times New Roman" w:cs="Times New Roman"/>
            <w:noProof/>
            <w:webHidden/>
          </w:rPr>
          <w:fldChar w:fldCharType="end"/>
        </w:r>
      </w:hyperlink>
    </w:p>
    <w:p w:rsidR="00C15FFC" w:rsidRPr="00D630D1" w:rsidRDefault="009913C3" w:rsidP="00315747">
      <w:pPr>
        <w:pStyle w:val="10"/>
        <w:tabs>
          <w:tab w:val="right" w:leader="dot" w:pos="9340"/>
        </w:tabs>
        <w:rPr>
          <w:rFonts w:cs="Times New Roman"/>
          <w:b w:val="0"/>
          <w:noProof/>
          <w:kern w:val="2"/>
          <w:sz w:val="24"/>
        </w:rPr>
      </w:pPr>
      <w:hyperlink w:anchor="_Toc81515304" w:history="1">
        <w:r w:rsidR="00C15FFC" w:rsidRPr="00D630D1">
          <w:rPr>
            <w:rStyle w:val="af1"/>
            <w:rFonts w:cs="Times New Roman"/>
            <w:b w:val="0"/>
            <w:noProof/>
            <w:color w:val="auto"/>
            <w:sz w:val="24"/>
          </w:rPr>
          <w:t xml:space="preserve">8 </w:t>
        </w:r>
        <w:r w:rsidR="00C15FFC" w:rsidRPr="00D630D1">
          <w:rPr>
            <w:rStyle w:val="af1"/>
            <w:rFonts w:cs="Times New Roman"/>
            <w:b w:val="0"/>
            <w:noProof/>
            <w:color w:val="auto"/>
            <w:sz w:val="24"/>
          </w:rPr>
          <w:t>环保措施及其经济技术论证</w:t>
        </w:r>
        <w:r w:rsidR="00C15FFC" w:rsidRPr="00D630D1">
          <w:rPr>
            <w:rFonts w:cs="Times New Roman"/>
            <w:b w:val="0"/>
            <w:noProof/>
            <w:webHidden/>
            <w:sz w:val="24"/>
          </w:rPr>
          <w:tab/>
        </w:r>
        <w:r w:rsidRPr="00D630D1">
          <w:rPr>
            <w:rFonts w:cs="Times New Roman"/>
            <w:b w:val="0"/>
            <w:noProof/>
            <w:webHidden/>
            <w:sz w:val="24"/>
          </w:rPr>
          <w:fldChar w:fldCharType="begin"/>
        </w:r>
        <w:r w:rsidR="00C15FFC" w:rsidRPr="00D630D1">
          <w:rPr>
            <w:rFonts w:cs="Times New Roman"/>
            <w:b w:val="0"/>
            <w:noProof/>
            <w:webHidden/>
            <w:sz w:val="24"/>
          </w:rPr>
          <w:instrText xml:space="preserve"> PAGEREF _Toc81515304 \h </w:instrText>
        </w:r>
        <w:r w:rsidRPr="00D630D1">
          <w:rPr>
            <w:rFonts w:cs="Times New Roman"/>
            <w:b w:val="0"/>
            <w:noProof/>
            <w:webHidden/>
            <w:sz w:val="24"/>
          </w:rPr>
        </w:r>
        <w:r w:rsidRPr="00D630D1">
          <w:rPr>
            <w:rFonts w:cs="Times New Roman"/>
            <w:b w:val="0"/>
            <w:noProof/>
            <w:webHidden/>
            <w:sz w:val="24"/>
          </w:rPr>
          <w:fldChar w:fldCharType="separate"/>
        </w:r>
        <w:r w:rsidR="007E403F">
          <w:rPr>
            <w:rFonts w:cs="Times New Roman"/>
            <w:b w:val="0"/>
            <w:noProof/>
            <w:webHidden/>
            <w:sz w:val="24"/>
          </w:rPr>
          <w:t>276</w:t>
        </w:r>
        <w:r w:rsidRPr="00D630D1">
          <w:rPr>
            <w:rFonts w:cs="Times New Roman"/>
            <w:b w:val="0"/>
            <w:noProof/>
            <w:webHidden/>
            <w:sz w:val="24"/>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05" w:history="1">
        <w:r w:rsidR="00C15FFC" w:rsidRPr="00D630D1">
          <w:rPr>
            <w:rStyle w:val="af1"/>
            <w:rFonts w:ascii="Times New Roman" w:cs="Times New Roman"/>
            <w:noProof/>
            <w:color w:val="auto"/>
          </w:rPr>
          <w:t xml:space="preserve">8.1 </w:t>
        </w:r>
        <w:r w:rsidR="00C15FFC" w:rsidRPr="00D630D1">
          <w:rPr>
            <w:rStyle w:val="af1"/>
            <w:rFonts w:ascii="Times New Roman" w:cs="Times New Roman"/>
            <w:noProof/>
            <w:color w:val="auto"/>
          </w:rPr>
          <w:t>施工期的环境保护措施</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_Toc81515305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276</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06" w:history="1">
        <w:r w:rsidR="00C15FFC" w:rsidRPr="00D630D1">
          <w:rPr>
            <w:rStyle w:val="af1"/>
            <w:rFonts w:ascii="Times New Roman" w:cs="Times New Roman"/>
            <w:noProof/>
            <w:color w:val="auto"/>
          </w:rPr>
          <w:t xml:space="preserve">8.2 </w:t>
        </w:r>
        <w:r w:rsidR="00C15FFC" w:rsidRPr="00D630D1">
          <w:rPr>
            <w:rStyle w:val="af1"/>
            <w:rFonts w:ascii="Times New Roman" w:cs="Times New Roman"/>
            <w:noProof/>
            <w:color w:val="auto"/>
          </w:rPr>
          <w:t>营运期的环境保护措施</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_Toc81515306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295</w:t>
        </w:r>
        <w:r w:rsidRPr="00D630D1">
          <w:rPr>
            <w:rFonts w:ascii="Times New Roman" w:cs="Times New Roman"/>
            <w:noProof/>
            <w:webHidden/>
          </w:rPr>
          <w:fldChar w:fldCharType="end"/>
        </w:r>
      </w:hyperlink>
    </w:p>
    <w:p w:rsidR="00A62354" w:rsidRPr="00D630D1" w:rsidRDefault="009913C3" w:rsidP="00A62354">
      <w:pPr>
        <w:pStyle w:val="21"/>
        <w:tabs>
          <w:tab w:val="right" w:leader="dot" w:pos="9340"/>
        </w:tabs>
        <w:ind w:leftChars="0" w:left="0" w:firstLine="480"/>
        <w:rPr>
          <w:rFonts w:ascii="Times New Roman" w:cs="Times New Roman"/>
          <w:noProof/>
          <w:kern w:val="2"/>
        </w:rPr>
      </w:pPr>
      <w:hyperlink w:anchor="_Toc81515306" w:history="1">
        <w:r w:rsidR="00A62354" w:rsidRPr="00D630D1">
          <w:rPr>
            <w:rStyle w:val="af1"/>
            <w:rFonts w:ascii="Times New Roman" w:cs="Times New Roman"/>
            <w:noProof/>
            <w:color w:val="auto"/>
          </w:rPr>
          <w:t>8.</w:t>
        </w:r>
        <w:r w:rsidR="00A62354">
          <w:rPr>
            <w:rStyle w:val="af1"/>
            <w:rFonts w:ascii="Times New Roman" w:cs="Times New Roman" w:hint="eastAsia"/>
            <w:noProof/>
            <w:color w:val="auto"/>
          </w:rPr>
          <w:t>3</w:t>
        </w:r>
        <w:r w:rsidR="00A62354" w:rsidRPr="00D630D1">
          <w:rPr>
            <w:rStyle w:val="af1"/>
            <w:rFonts w:ascii="Times New Roman" w:cs="Times New Roman"/>
            <w:noProof/>
            <w:color w:val="auto"/>
          </w:rPr>
          <w:t xml:space="preserve"> </w:t>
        </w:r>
        <w:r w:rsidR="00A62354">
          <w:rPr>
            <w:rStyle w:val="af1"/>
            <w:rFonts w:ascii="Times New Roman" w:cs="Times New Roman" w:hint="eastAsia"/>
            <w:noProof/>
            <w:color w:val="auto"/>
          </w:rPr>
          <w:t>退役</w:t>
        </w:r>
        <w:r w:rsidR="00A62354" w:rsidRPr="00D630D1">
          <w:rPr>
            <w:rStyle w:val="af1"/>
            <w:rFonts w:ascii="Times New Roman" w:cs="Times New Roman"/>
            <w:noProof/>
            <w:color w:val="auto"/>
          </w:rPr>
          <w:t>期的环境保护措施</w:t>
        </w:r>
        <w:r w:rsidR="00A62354" w:rsidRPr="00D630D1">
          <w:rPr>
            <w:rFonts w:ascii="Times New Roman" w:cs="Times New Roman"/>
            <w:noProof/>
            <w:webHidden/>
          </w:rPr>
          <w:tab/>
        </w:r>
        <w:r w:rsidRPr="00D630D1">
          <w:rPr>
            <w:rFonts w:ascii="Times New Roman" w:cs="Times New Roman"/>
            <w:noProof/>
            <w:webHidden/>
          </w:rPr>
          <w:fldChar w:fldCharType="begin"/>
        </w:r>
        <w:r w:rsidR="00A62354" w:rsidRPr="00D630D1">
          <w:rPr>
            <w:rFonts w:ascii="Times New Roman" w:cs="Times New Roman"/>
            <w:noProof/>
            <w:webHidden/>
          </w:rPr>
          <w:instrText xml:space="preserve"> PAGEREF _Toc81515306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295</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07" w:history="1">
        <w:r w:rsidR="00C15FFC" w:rsidRPr="00D630D1">
          <w:rPr>
            <w:rStyle w:val="af1"/>
            <w:rFonts w:ascii="Times New Roman" w:cs="Times New Roman"/>
            <w:noProof/>
            <w:color w:val="auto"/>
          </w:rPr>
          <w:t>8.</w:t>
        </w:r>
        <w:r w:rsidR="00A62354">
          <w:rPr>
            <w:rStyle w:val="af1"/>
            <w:rFonts w:ascii="Times New Roman" w:cs="Times New Roman" w:hint="eastAsia"/>
            <w:noProof/>
            <w:color w:val="auto"/>
          </w:rPr>
          <w:t>4</w:t>
        </w:r>
        <w:r w:rsidR="00C15FFC" w:rsidRPr="00D630D1">
          <w:rPr>
            <w:rStyle w:val="af1"/>
            <w:rFonts w:ascii="Times New Roman" w:cs="Times New Roman"/>
            <w:noProof/>
            <w:color w:val="auto"/>
          </w:rPr>
          <w:t xml:space="preserve"> </w:t>
        </w:r>
        <w:r w:rsidR="0064592E" w:rsidRPr="00D630D1">
          <w:rPr>
            <w:rStyle w:val="af1"/>
            <w:rFonts w:ascii="Times New Roman" w:cs="Times New Roman" w:hint="eastAsia"/>
            <w:noProof/>
            <w:color w:val="auto"/>
          </w:rPr>
          <w:t>本项目</w:t>
        </w:r>
        <w:r w:rsidR="00C15FFC" w:rsidRPr="00D630D1">
          <w:rPr>
            <w:rStyle w:val="af1"/>
            <w:rFonts w:ascii="Times New Roman" w:cs="Times New Roman"/>
            <w:noProof/>
            <w:color w:val="auto"/>
          </w:rPr>
          <w:t>“</w:t>
        </w:r>
        <w:r w:rsidR="00C15FFC" w:rsidRPr="00D630D1">
          <w:rPr>
            <w:rStyle w:val="af1"/>
            <w:rFonts w:ascii="Times New Roman" w:cs="Times New Roman"/>
            <w:noProof/>
            <w:color w:val="auto"/>
          </w:rPr>
          <w:t>三同时</w:t>
        </w:r>
        <w:r w:rsidR="00C15FFC" w:rsidRPr="00D630D1">
          <w:rPr>
            <w:rStyle w:val="af1"/>
            <w:rFonts w:ascii="Times New Roman" w:cs="Times New Roman"/>
            <w:noProof/>
            <w:color w:val="auto"/>
          </w:rPr>
          <w:t>”</w:t>
        </w:r>
        <w:r w:rsidR="00C15FFC" w:rsidRPr="00D630D1">
          <w:rPr>
            <w:rStyle w:val="af1"/>
            <w:rFonts w:ascii="Times New Roman" w:cs="Times New Roman"/>
            <w:noProof/>
            <w:color w:val="auto"/>
          </w:rPr>
          <w:t>验收</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_Toc81515307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298</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08" w:history="1">
        <w:r w:rsidR="00C15FFC" w:rsidRPr="00D630D1">
          <w:rPr>
            <w:rStyle w:val="af1"/>
            <w:rFonts w:ascii="Times New Roman" w:cs="Times New Roman"/>
            <w:noProof/>
            <w:color w:val="auto"/>
          </w:rPr>
          <w:t>8.</w:t>
        </w:r>
        <w:r w:rsidR="00A62354">
          <w:rPr>
            <w:rStyle w:val="af1"/>
            <w:rFonts w:ascii="Times New Roman" w:cs="Times New Roman" w:hint="eastAsia"/>
            <w:noProof/>
            <w:color w:val="auto"/>
          </w:rPr>
          <w:t>5</w:t>
        </w:r>
        <w:r w:rsidR="00C15FFC" w:rsidRPr="00D630D1">
          <w:rPr>
            <w:rStyle w:val="af1"/>
            <w:rFonts w:ascii="Times New Roman" w:cs="Times New Roman"/>
            <w:noProof/>
            <w:color w:val="auto"/>
          </w:rPr>
          <w:t xml:space="preserve"> </w:t>
        </w:r>
        <w:r w:rsidR="00C15FFC" w:rsidRPr="00D630D1">
          <w:rPr>
            <w:rStyle w:val="af1"/>
            <w:rFonts w:ascii="Times New Roman" w:cs="Times New Roman"/>
            <w:noProof/>
            <w:color w:val="auto"/>
          </w:rPr>
          <w:t>环保投资估算</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_Toc81515308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301</w:t>
        </w:r>
        <w:r w:rsidRPr="00D630D1">
          <w:rPr>
            <w:rFonts w:ascii="Times New Roman" w:cs="Times New Roman"/>
            <w:noProof/>
            <w:webHidden/>
          </w:rPr>
          <w:fldChar w:fldCharType="end"/>
        </w:r>
      </w:hyperlink>
    </w:p>
    <w:p w:rsidR="00C15FFC" w:rsidRPr="00D630D1" w:rsidRDefault="009913C3" w:rsidP="00315747">
      <w:pPr>
        <w:pStyle w:val="10"/>
        <w:tabs>
          <w:tab w:val="right" w:leader="dot" w:pos="9340"/>
        </w:tabs>
        <w:rPr>
          <w:rFonts w:cs="Times New Roman"/>
          <w:b w:val="0"/>
          <w:noProof/>
          <w:kern w:val="2"/>
          <w:sz w:val="24"/>
        </w:rPr>
      </w:pPr>
      <w:hyperlink w:anchor="_Toc81515309" w:history="1">
        <w:r w:rsidR="00C15FFC" w:rsidRPr="00D630D1">
          <w:rPr>
            <w:rStyle w:val="af1"/>
            <w:rFonts w:cs="Times New Roman"/>
            <w:b w:val="0"/>
            <w:noProof/>
            <w:color w:val="auto"/>
            <w:sz w:val="24"/>
          </w:rPr>
          <w:t xml:space="preserve">9 </w:t>
        </w:r>
        <w:r w:rsidR="00C15FFC" w:rsidRPr="00D630D1">
          <w:rPr>
            <w:rStyle w:val="af1"/>
            <w:rFonts w:cs="Times New Roman"/>
            <w:b w:val="0"/>
            <w:noProof/>
            <w:color w:val="auto"/>
            <w:sz w:val="24"/>
          </w:rPr>
          <w:t>环境影响经济损益分析</w:t>
        </w:r>
        <w:r w:rsidR="00C15FFC" w:rsidRPr="00D630D1">
          <w:rPr>
            <w:rFonts w:cs="Times New Roman"/>
            <w:b w:val="0"/>
            <w:noProof/>
            <w:webHidden/>
            <w:sz w:val="24"/>
          </w:rPr>
          <w:tab/>
        </w:r>
        <w:r w:rsidRPr="00D630D1">
          <w:rPr>
            <w:rFonts w:cs="Times New Roman"/>
            <w:b w:val="0"/>
            <w:noProof/>
            <w:webHidden/>
            <w:sz w:val="24"/>
          </w:rPr>
          <w:fldChar w:fldCharType="begin"/>
        </w:r>
        <w:r w:rsidR="00C15FFC" w:rsidRPr="00D630D1">
          <w:rPr>
            <w:rFonts w:cs="Times New Roman"/>
            <w:b w:val="0"/>
            <w:noProof/>
            <w:webHidden/>
            <w:sz w:val="24"/>
          </w:rPr>
          <w:instrText xml:space="preserve"> PAGEREF _Toc81515309 \h </w:instrText>
        </w:r>
        <w:r w:rsidRPr="00D630D1">
          <w:rPr>
            <w:rFonts w:cs="Times New Roman"/>
            <w:b w:val="0"/>
            <w:noProof/>
            <w:webHidden/>
            <w:sz w:val="24"/>
          </w:rPr>
        </w:r>
        <w:r w:rsidRPr="00D630D1">
          <w:rPr>
            <w:rFonts w:cs="Times New Roman"/>
            <w:b w:val="0"/>
            <w:noProof/>
            <w:webHidden/>
            <w:sz w:val="24"/>
          </w:rPr>
          <w:fldChar w:fldCharType="separate"/>
        </w:r>
        <w:r w:rsidR="007E403F">
          <w:rPr>
            <w:rFonts w:cs="Times New Roman"/>
            <w:b w:val="0"/>
            <w:noProof/>
            <w:webHidden/>
            <w:sz w:val="24"/>
          </w:rPr>
          <w:t>304</w:t>
        </w:r>
        <w:r w:rsidRPr="00D630D1">
          <w:rPr>
            <w:rFonts w:cs="Times New Roman"/>
            <w:b w:val="0"/>
            <w:noProof/>
            <w:webHidden/>
            <w:sz w:val="24"/>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10" w:history="1">
        <w:r w:rsidR="00C15FFC" w:rsidRPr="00D630D1">
          <w:rPr>
            <w:rStyle w:val="af1"/>
            <w:rFonts w:ascii="Times New Roman" w:cs="Times New Roman"/>
            <w:noProof/>
            <w:color w:val="auto"/>
          </w:rPr>
          <w:t xml:space="preserve">9.1 </w:t>
        </w:r>
        <w:r w:rsidR="00C15FFC" w:rsidRPr="00D630D1">
          <w:rPr>
            <w:rStyle w:val="af1"/>
            <w:rFonts w:ascii="Times New Roman" w:cs="Times New Roman"/>
            <w:noProof/>
            <w:color w:val="auto"/>
          </w:rPr>
          <w:t>工程经济、社会效益分析</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_Toc81515310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304</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11" w:history="1">
        <w:r w:rsidR="00C15FFC" w:rsidRPr="00D630D1">
          <w:rPr>
            <w:rStyle w:val="af1"/>
            <w:rFonts w:ascii="Times New Roman" w:cs="Times New Roman"/>
            <w:noProof/>
            <w:color w:val="auto"/>
          </w:rPr>
          <w:t xml:space="preserve">9.2 </w:t>
        </w:r>
        <w:r w:rsidR="00C15FFC" w:rsidRPr="00D630D1">
          <w:rPr>
            <w:rStyle w:val="af1"/>
            <w:rFonts w:ascii="Times New Roman" w:cs="Times New Roman"/>
            <w:noProof/>
            <w:color w:val="auto"/>
          </w:rPr>
          <w:t>环境损益分析</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_Toc81515311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304</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12" w:history="1">
        <w:r w:rsidR="00C15FFC" w:rsidRPr="00D630D1">
          <w:rPr>
            <w:rStyle w:val="af1"/>
            <w:rFonts w:ascii="Times New Roman" w:cs="Times New Roman"/>
            <w:noProof/>
            <w:color w:val="auto"/>
          </w:rPr>
          <w:t xml:space="preserve">9.3 </w:t>
        </w:r>
        <w:r w:rsidR="00C15FFC" w:rsidRPr="00D630D1">
          <w:rPr>
            <w:rStyle w:val="af1"/>
            <w:rFonts w:ascii="Times New Roman" w:cs="Times New Roman"/>
            <w:noProof/>
            <w:color w:val="auto"/>
          </w:rPr>
          <w:t>结论</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_Toc81515312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305</w:t>
        </w:r>
        <w:r w:rsidRPr="00D630D1">
          <w:rPr>
            <w:rFonts w:ascii="Times New Roman" w:cs="Times New Roman"/>
            <w:noProof/>
            <w:webHidden/>
          </w:rPr>
          <w:fldChar w:fldCharType="end"/>
        </w:r>
      </w:hyperlink>
    </w:p>
    <w:p w:rsidR="00C15FFC" w:rsidRPr="00D630D1" w:rsidRDefault="009913C3" w:rsidP="00315747">
      <w:pPr>
        <w:pStyle w:val="10"/>
        <w:tabs>
          <w:tab w:val="right" w:leader="dot" w:pos="9340"/>
        </w:tabs>
        <w:rPr>
          <w:rFonts w:cs="Times New Roman"/>
          <w:b w:val="0"/>
          <w:noProof/>
          <w:kern w:val="2"/>
          <w:sz w:val="24"/>
        </w:rPr>
      </w:pPr>
      <w:hyperlink w:anchor="_Toc81515313" w:history="1">
        <w:r w:rsidR="00C15FFC" w:rsidRPr="00D630D1">
          <w:rPr>
            <w:rStyle w:val="af1"/>
            <w:rFonts w:cs="Times New Roman"/>
            <w:b w:val="0"/>
            <w:noProof/>
            <w:color w:val="auto"/>
            <w:sz w:val="24"/>
          </w:rPr>
          <w:t xml:space="preserve">10 </w:t>
        </w:r>
        <w:r w:rsidR="00C15FFC" w:rsidRPr="00D630D1">
          <w:rPr>
            <w:rStyle w:val="af1"/>
            <w:rFonts w:cs="Times New Roman"/>
            <w:b w:val="0"/>
            <w:noProof/>
            <w:color w:val="auto"/>
            <w:sz w:val="24"/>
          </w:rPr>
          <w:t>环境管理与监测计划</w:t>
        </w:r>
        <w:r w:rsidR="00C15FFC" w:rsidRPr="00D630D1">
          <w:rPr>
            <w:rFonts w:cs="Times New Roman"/>
            <w:b w:val="0"/>
            <w:noProof/>
            <w:webHidden/>
            <w:sz w:val="24"/>
          </w:rPr>
          <w:tab/>
        </w:r>
        <w:r w:rsidRPr="00D630D1">
          <w:rPr>
            <w:rFonts w:cs="Times New Roman"/>
            <w:b w:val="0"/>
            <w:noProof/>
            <w:webHidden/>
            <w:sz w:val="24"/>
          </w:rPr>
          <w:fldChar w:fldCharType="begin"/>
        </w:r>
        <w:r w:rsidR="00C15FFC" w:rsidRPr="00D630D1">
          <w:rPr>
            <w:rFonts w:cs="Times New Roman"/>
            <w:b w:val="0"/>
            <w:noProof/>
            <w:webHidden/>
            <w:sz w:val="24"/>
          </w:rPr>
          <w:instrText xml:space="preserve"> PAGEREF _Toc81515313 \h </w:instrText>
        </w:r>
        <w:r w:rsidRPr="00D630D1">
          <w:rPr>
            <w:rFonts w:cs="Times New Roman"/>
            <w:b w:val="0"/>
            <w:noProof/>
            <w:webHidden/>
            <w:sz w:val="24"/>
          </w:rPr>
        </w:r>
        <w:r w:rsidRPr="00D630D1">
          <w:rPr>
            <w:rFonts w:cs="Times New Roman"/>
            <w:b w:val="0"/>
            <w:noProof/>
            <w:webHidden/>
            <w:sz w:val="24"/>
          </w:rPr>
          <w:fldChar w:fldCharType="separate"/>
        </w:r>
        <w:r w:rsidR="007E403F">
          <w:rPr>
            <w:rFonts w:cs="Times New Roman"/>
            <w:b w:val="0"/>
            <w:noProof/>
            <w:webHidden/>
            <w:sz w:val="24"/>
          </w:rPr>
          <w:t>306</w:t>
        </w:r>
        <w:r w:rsidRPr="00D630D1">
          <w:rPr>
            <w:rFonts w:cs="Times New Roman"/>
            <w:b w:val="0"/>
            <w:noProof/>
            <w:webHidden/>
            <w:sz w:val="24"/>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14" w:history="1">
        <w:r w:rsidR="00C15FFC" w:rsidRPr="00D630D1">
          <w:rPr>
            <w:rStyle w:val="af1"/>
            <w:rFonts w:ascii="Times New Roman" w:cs="Times New Roman"/>
            <w:noProof/>
            <w:color w:val="auto"/>
          </w:rPr>
          <w:t xml:space="preserve">10.1 </w:t>
        </w:r>
        <w:r w:rsidR="00C15FFC" w:rsidRPr="00D630D1">
          <w:rPr>
            <w:rStyle w:val="af1"/>
            <w:rFonts w:ascii="Times New Roman" w:cs="Times New Roman"/>
            <w:noProof/>
            <w:color w:val="auto"/>
          </w:rPr>
          <w:t>施工期环境管理</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_Toc81515314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306</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15" w:history="1">
        <w:r w:rsidR="00C15FFC" w:rsidRPr="00D630D1">
          <w:rPr>
            <w:rStyle w:val="af1"/>
            <w:rFonts w:ascii="Times New Roman" w:cs="Times New Roman"/>
            <w:noProof/>
            <w:color w:val="auto"/>
          </w:rPr>
          <w:t xml:space="preserve">10.2 </w:t>
        </w:r>
        <w:r w:rsidR="00C15FFC" w:rsidRPr="00D630D1">
          <w:rPr>
            <w:rStyle w:val="af1"/>
            <w:rFonts w:ascii="Times New Roman" w:cs="Times New Roman"/>
            <w:noProof/>
            <w:color w:val="auto"/>
          </w:rPr>
          <w:t>运营期环境管理</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_Toc81515315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308</w:t>
        </w:r>
        <w:r w:rsidRPr="00D630D1">
          <w:rPr>
            <w:rFonts w:ascii="Times New Roman" w:cs="Times New Roman"/>
            <w:noProof/>
            <w:webHidden/>
          </w:rPr>
          <w:fldChar w:fldCharType="end"/>
        </w:r>
      </w:hyperlink>
    </w:p>
    <w:p w:rsidR="00C15FFC" w:rsidRPr="00D630D1" w:rsidRDefault="009913C3" w:rsidP="00315747">
      <w:pPr>
        <w:pStyle w:val="10"/>
        <w:tabs>
          <w:tab w:val="right" w:leader="dot" w:pos="9340"/>
        </w:tabs>
        <w:rPr>
          <w:rFonts w:cs="Times New Roman"/>
          <w:b w:val="0"/>
          <w:noProof/>
          <w:kern w:val="2"/>
          <w:sz w:val="24"/>
        </w:rPr>
      </w:pPr>
      <w:hyperlink w:anchor="_Toc81515316" w:history="1">
        <w:r w:rsidR="00C15FFC" w:rsidRPr="00D630D1">
          <w:rPr>
            <w:rStyle w:val="af1"/>
            <w:rFonts w:cs="Times New Roman"/>
            <w:b w:val="0"/>
            <w:noProof/>
            <w:color w:val="auto"/>
            <w:sz w:val="24"/>
          </w:rPr>
          <w:t xml:space="preserve">11 </w:t>
        </w:r>
        <w:r w:rsidR="00C15FFC" w:rsidRPr="00D630D1">
          <w:rPr>
            <w:rStyle w:val="af1"/>
            <w:rFonts w:cs="Times New Roman"/>
            <w:b w:val="0"/>
            <w:noProof/>
            <w:color w:val="auto"/>
            <w:sz w:val="24"/>
          </w:rPr>
          <w:t>结论与建议</w:t>
        </w:r>
        <w:r w:rsidR="00C15FFC" w:rsidRPr="00D630D1">
          <w:rPr>
            <w:rFonts w:cs="Times New Roman"/>
            <w:b w:val="0"/>
            <w:noProof/>
            <w:webHidden/>
            <w:sz w:val="24"/>
          </w:rPr>
          <w:tab/>
        </w:r>
        <w:r w:rsidRPr="00D630D1">
          <w:rPr>
            <w:rFonts w:cs="Times New Roman"/>
            <w:b w:val="0"/>
            <w:noProof/>
            <w:webHidden/>
            <w:sz w:val="24"/>
          </w:rPr>
          <w:fldChar w:fldCharType="begin"/>
        </w:r>
        <w:r w:rsidR="00C15FFC" w:rsidRPr="00D630D1">
          <w:rPr>
            <w:rFonts w:cs="Times New Roman"/>
            <w:b w:val="0"/>
            <w:noProof/>
            <w:webHidden/>
            <w:sz w:val="24"/>
          </w:rPr>
          <w:instrText xml:space="preserve"> PAGEREF _Toc81515316 \h </w:instrText>
        </w:r>
        <w:r w:rsidRPr="00D630D1">
          <w:rPr>
            <w:rFonts w:cs="Times New Roman"/>
            <w:b w:val="0"/>
            <w:noProof/>
            <w:webHidden/>
            <w:sz w:val="24"/>
          </w:rPr>
        </w:r>
        <w:r w:rsidRPr="00D630D1">
          <w:rPr>
            <w:rFonts w:cs="Times New Roman"/>
            <w:b w:val="0"/>
            <w:noProof/>
            <w:webHidden/>
            <w:sz w:val="24"/>
          </w:rPr>
          <w:fldChar w:fldCharType="separate"/>
        </w:r>
        <w:r w:rsidR="007E403F">
          <w:rPr>
            <w:rFonts w:cs="Times New Roman"/>
            <w:b w:val="0"/>
            <w:noProof/>
            <w:webHidden/>
            <w:sz w:val="24"/>
          </w:rPr>
          <w:t>310</w:t>
        </w:r>
        <w:r w:rsidRPr="00D630D1">
          <w:rPr>
            <w:rFonts w:cs="Times New Roman"/>
            <w:b w:val="0"/>
            <w:noProof/>
            <w:webHidden/>
            <w:sz w:val="24"/>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17" w:history="1">
        <w:r w:rsidR="00C15FFC" w:rsidRPr="00D630D1">
          <w:rPr>
            <w:rStyle w:val="af1"/>
            <w:rFonts w:ascii="Times New Roman" w:cs="Times New Roman"/>
            <w:noProof/>
            <w:color w:val="auto"/>
          </w:rPr>
          <w:t xml:space="preserve">11.1 </w:t>
        </w:r>
        <w:r w:rsidR="00C15FFC" w:rsidRPr="00D630D1">
          <w:rPr>
            <w:rStyle w:val="af1"/>
            <w:rFonts w:ascii="Times New Roman" w:cs="Times New Roman"/>
            <w:noProof/>
            <w:color w:val="auto"/>
          </w:rPr>
          <w:t>项目基本情况</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_Toc81515317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310</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18" w:history="1">
        <w:r w:rsidR="00C15FFC" w:rsidRPr="00D630D1">
          <w:rPr>
            <w:rStyle w:val="af1"/>
            <w:rFonts w:ascii="Times New Roman" w:cs="Times New Roman"/>
            <w:noProof/>
            <w:color w:val="auto"/>
          </w:rPr>
          <w:t xml:space="preserve">11.2 </w:t>
        </w:r>
        <w:r w:rsidR="00C15FFC" w:rsidRPr="00D630D1">
          <w:rPr>
            <w:rStyle w:val="af1"/>
            <w:rFonts w:ascii="Times New Roman" w:cs="Times New Roman"/>
            <w:noProof/>
            <w:color w:val="auto"/>
          </w:rPr>
          <w:t>产业政策符合性分析</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_Toc81515318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311</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19" w:history="1">
        <w:r w:rsidR="00C15FFC" w:rsidRPr="00D630D1">
          <w:rPr>
            <w:rStyle w:val="af1"/>
            <w:rFonts w:ascii="Times New Roman" w:cs="Times New Roman"/>
            <w:noProof/>
            <w:color w:val="auto"/>
          </w:rPr>
          <w:t xml:space="preserve">11.3 </w:t>
        </w:r>
        <w:r w:rsidR="00C15FFC" w:rsidRPr="00D630D1">
          <w:rPr>
            <w:rStyle w:val="af1"/>
            <w:rFonts w:ascii="Times New Roman" w:cs="Times New Roman"/>
            <w:noProof/>
            <w:color w:val="auto"/>
          </w:rPr>
          <w:t>清洁生产</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_Toc81515319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312</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20" w:history="1">
        <w:r w:rsidR="00C15FFC" w:rsidRPr="00D630D1">
          <w:rPr>
            <w:rStyle w:val="af1"/>
            <w:rFonts w:ascii="Times New Roman" w:cs="Times New Roman"/>
            <w:noProof/>
            <w:color w:val="auto"/>
          </w:rPr>
          <w:t xml:space="preserve">11.4 </w:t>
        </w:r>
        <w:r w:rsidR="00C15FFC" w:rsidRPr="00D630D1">
          <w:rPr>
            <w:rStyle w:val="af1"/>
            <w:rFonts w:ascii="Times New Roman" w:cs="Times New Roman"/>
            <w:noProof/>
            <w:color w:val="auto"/>
          </w:rPr>
          <w:t>总量控制</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_Toc81515320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312</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21" w:history="1">
        <w:r w:rsidR="00C15FFC" w:rsidRPr="00D630D1">
          <w:rPr>
            <w:rStyle w:val="af1"/>
            <w:rFonts w:ascii="Times New Roman" w:cs="Times New Roman"/>
            <w:noProof/>
            <w:color w:val="auto"/>
          </w:rPr>
          <w:t xml:space="preserve">11.5 </w:t>
        </w:r>
        <w:r w:rsidR="00C15FFC" w:rsidRPr="00D630D1">
          <w:rPr>
            <w:rStyle w:val="af1"/>
            <w:rFonts w:ascii="Times New Roman" w:cs="Times New Roman"/>
            <w:noProof/>
            <w:color w:val="auto"/>
          </w:rPr>
          <w:t>环境现状评价结论</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_Toc81515321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312</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22" w:history="1">
        <w:r w:rsidR="00C15FFC" w:rsidRPr="00D630D1">
          <w:rPr>
            <w:rStyle w:val="af1"/>
            <w:rFonts w:ascii="Times New Roman" w:cs="Times New Roman"/>
            <w:noProof/>
            <w:color w:val="auto"/>
          </w:rPr>
          <w:t xml:space="preserve">11.6 </w:t>
        </w:r>
        <w:r w:rsidR="00C15FFC" w:rsidRPr="00D630D1">
          <w:rPr>
            <w:rStyle w:val="af1"/>
            <w:rFonts w:ascii="Times New Roman" w:cs="Times New Roman"/>
            <w:noProof/>
            <w:color w:val="auto"/>
          </w:rPr>
          <w:t>环境影响评价结论</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_Toc81515322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313</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23" w:history="1">
        <w:r w:rsidR="00C15FFC" w:rsidRPr="00D630D1">
          <w:rPr>
            <w:rStyle w:val="af1"/>
            <w:rFonts w:ascii="Times New Roman" w:cs="Times New Roman"/>
            <w:noProof/>
            <w:color w:val="auto"/>
          </w:rPr>
          <w:t xml:space="preserve">11.7 </w:t>
        </w:r>
        <w:r w:rsidR="00C15FFC" w:rsidRPr="00D630D1">
          <w:rPr>
            <w:rStyle w:val="af1"/>
            <w:rFonts w:ascii="Times New Roman" w:cs="Times New Roman"/>
            <w:noProof/>
            <w:color w:val="auto"/>
          </w:rPr>
          <w:t>环保措施及经济技术论证</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_Toc81515323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315</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24" w:history="1">
        <w:r w:rsidR="00C15FFC" w:rsidRPr="00D630D1">
          <w:rPr>
            <w:rStyle w:val="af1"/>
            <w:rFonts w:ascii="Times New Roman" w:cs="Times New Roman"/>
            <w:noProof/>
            <w:color w:val="auto"/>
          </w:rPr>
          <w:t xml:space="preserve">11.8 </w:t>
        </w:r>
        <w:r w:rsidR="00C15FFC" w:rsidRPr="00D630D1">
          <w:rPr>
            <w:rStyle w:val="af1"/>
            <w:rFonts w:ascii="Times New Roman" w:cs="Times New Roman"/>
            <w:noProof/>
            <w:color w:val="auto"/>
          </w:rPr>
          <w:t>环境风险评价结论</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_Toc81515324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315</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25" w:history="1">
        <w:r w:rsidR="00C15FFC" w:rsidRPr="00D630D1">
          <w:rPr>
            <w:rStyle w:val="af1"/>
            <w:rFonts w:ascii="Times New Roman" w:cs="Times New Roman"/>
            <w:noProof/>
            <w:color w:val="auto"/>
          </w:rPr>
          <w:t xml:space="preserve">11.9 </w:t>
        </w:r>
        <w:r w:rsidR="00C15FFC" w:rsidRPr="00D630D1">
          <w:rPr>
            <w:rStyle w:val="af1"/>
            <w:rFonts w:ascii="Times New Roman" w:cs="Times New Roman"/>
            <w:noProof/>
            <w:color w:val="auto"/>
          </w:rPr>
          <w:t>选线、选址的环境可行性</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_Toc81515325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315</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26" w:history="1">
        <w:r w:rsidR="00C15FFC" w:rsidRPr="00D630D1">
          <w:rPr>
            <w:rStyle w:val="af1"/>
            <w:rFonts w:ascii="Times New Roman" w:cs="Times New Roman"/>
            <w:noProof/>
            <w:color w:val="auto"/>
          </w:rPr>
          <w:t xml:space="preserve">11.10 </w:t>
        </w:r>
        <w:r w:rsidR="00C15FFC" w:rsidRPr="00D630D1">
          <w:rPr>
            <w:rStyle w:val="af1"/>
            <w:rFonts w:ascii="Times New Roman" w:cs="Times New Roman"/>
            <w:noProof/>
            <w:color w:val="auto"/>
          </w:rPr>
          <w:t>环境影响经济损益分析</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_Toc81515326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316</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27" w:history="1">
        <w:r w:rsidR="00C15FFC" w:rsidRPr="00D630D1">
          <w:rPr>
            <w:rStyle w:val="af1"/>
            <w:rFonts w:ascii="Times New Roman" w:cs="Times New Roman"/>
            <w:noProof/>
            <w:color w:val="auto"/>
          </w:rPr>
          <w:t xml:space="preserve">11.11 </w:t>
        </w:r>
        <w:r w:rsidR="00C15FFC" w:rsidRPr="00D630D1">
          <w:rPr>
            <w:rStyle w:val="af1"/>
            <w:rFonts w:ascii="Times New Roman" w:cs="Times New Roman"/>
            <w:noProof/>
            <w:color w:val="auto"/>
          </w:rPr>
          <w:t>公众参与调查</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_Toc81515327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316</w:t>
        </w:r>
        <w:r w:rsidRPr="00D630D1">
          <w:rPr>
            <w:rFonts w:ascii="Times New Roman" w:cs="Times New Roman"/>
            <w:noProof/>
            <w:webHidden/>
          </w:rPr>
          <w:fldChar w:fldCharType="end"/>
        </w:r>
      </w:hyperlink>
    </w:p>
    <w:p w:rsidR="00C15FFC" w:rsidRPr="00D630D1" w:rsidRDefault="009913C3" w:rsidP="00315747">
      <w:pPr>
        <w:pStyle w:val="21"/>
        <w:tabs>
          <w:tab w:val="right" w:leader="dot" w:pos="9340"/>
        </w:tabs>
        <w:ind w:leftChars="0" w:left="0" w:firstLine="480"/>
        <w:rPr>
          <w:rFonts w:ascii="Times New Roman" w:cs="Times New Roman"/>
          <w:noProof/>
          <w:kern w:val="2"/>
        </w:rPr>
      </w:pPr>
      <w:hyperlink w:anchor="_Toc81515328" w:history="1">
        <w:r w:rsidR="00C15FFC" w:rsidRPr="00D630D1">
          <w:rPr>
            <w:rStyle w:val="af1"/>
            <w:rFonts w:ascii="Times New Roman" w:cs="Times New Roman"/>
            <w:noProof/>
            <w:color w:val="auto"/>
          </w:rPr>
          <w:t xml:space="preserve">11.12 </w:t>
        </w:r>
        <w:r w:rsidR="00C15FFC" w:rsidRPr="00D630D1">
          <w:rPr>
            <w:rStyle w:val="af1"/>
            <w:rFonts w:ascii="Times New Roman" w:cs="Times New Roman"/>
            <w:noProof/>
            <w:color w:val="auto"/>
          </w:rPr>
          <w:t>评价结论</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_Toc81515328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316</w:t>
        </w:r>
        <w:r w:rsidRPr="00D630D1">
          <w:rPr>
            <w:rFonts w:ascii="Times New Roman" w:cs="Times New Roman"/>
            <w:noProof/>
            <w:webHidden/>
          </w:rPr>
          <w:fldChar w:fldCharType="end"/>
        </w:r>
      </w:hyperlink>
    </w:p>
    <w:p w:rsidR="00117C3D" w:rsidRPr="00D630D1" w:rsidRDefault="009913C3" w:rsidP="00315747">
      <w:pPr>
        <w:pStyle w:val="21"/>
        <w:tabs>
          <w:tab w:val="right" w:leader="dot" w:pos="9340"/>
        </w:tabs>
        <w:ind w:leftChars="0" w:left="0" w:firstLine="480"/>
        <w:rPr>
          <w:rFonts w:ascii="Times New Roman" w:cs="Times New Roman"/>
        </w:rPr>
      </w:pPr>
      <w:hyperlink w:anchor="_Toc81515329" w:history="1">
        <w:r w:rsidR="00C15FFC" w:rsidRPr="00D630D1">
          <w:rPr>
            <w:rStyle w:val="af1"/>
            <w:rFonts w:ascii="Times New Roman" w:cs="Times New Roman"/>
            <w:noProof/>
            <w:color w:val="auto"/>
          </w:rPr>
          <w:t xml:space="preserve">11.13 </w:t>
        </w:r>
        <w:r w:rsidR="00C15FFC" w:rsidRPr="00D630D1">
          <w:rPr>
            <w:rStyle w:val="af1"/>
            <w:rFonts w:ascii="Times New Roman" w:cs="Times New Roman"/>
            <w:noProof/>
            <w:color w:val="auto"/>
          </w:rPr>
          <w:t>建议</w:t>
        </w:r>
        <w:r w:rsidR="00C15FFC" w:rsidRPr="00D630D1">
          <w:rPr>
            <w:rFonts w:ascii="Times New Roman" w:cs="Times New Roman"/>
            <w:noProof/>
            <w:webHidden/>
          </w:rPr>
          <w:tab/>
        </w:r>
        <w:r w:rsidRPr="00D630D1">
          <w:rPr>
            <w:rFonts w:ascii="Times New Roman" w:cs="Times New Roman"/>
            <w:noProof/>
            <w:webHidden/>
          </w:rPr>
          <w:fldChar w:fldCharType="begin"/>
        </w:r>
        <w:r w:rsidR="00C15FFC" w:rsidRPr="00D630D1">
          <w:rPr>
            <w:rFonts w:ascii="Times New Roman" w:cs="Times New Roman"/>
            <w:noProof/>
            <w:webHidden/>
          </w:rPr>
          <w:instrText xml:space="preserve"> PAGEREF _Toc81515329 \h </w:instrText>
        </w:r>
        <w:r w:rsidRPr="00D630D1">
          <w:rPr>
            <w:rFonts w:ascii="Times New Roman" w:cs="Times New Roman"/>
            <w:noProof/>
            <w:webHidden/>
          </w:rPr>
        </w:r>
        <w:r w:rsidRPr="00D630D1">
          <w:rPr>
            <w:rFonts w:ascii="Times New Roman" w:cs="Times New Roman"/>
            <w:noProof/>
            <w:webHidden/>
          </w:rPr>
          <w:fldChar w:fldCharType="separate"/>
        </w:r>
        <w:r w:rsidR="007E403F">
          <w:rPr>
            <w:rFonts w:ascii="Times New Roman" w:cs="Times New Roman"/>
            <w:noProof/>
            <w:webHidden/>
          </w:rPr>
          <w:t>317</w:t>
        </w:r>
        <w:r w:rsidRPr="00D630D1">
          <w:rPr>
            <w:rFonts w:ascii="Times New Roman" w:cs="Times New Roman"/>
            <w:noProof/>
            <w:webHidden/>
          </w:rPr>
          <w:fldChar w:fldCharType="end"/>
        </w:r>
      </w:hyperlink>
      <w:r w:rsidRPr="00D630D1">
        <w:rPr>
          <w:rFonts w:ascii="Times New Roman" w:cs="Times New Roman"/>
        </w:rPr>
        <w:fldChar w:fldCharType="end"/>
      </w:r>
    </w:p>
    <w:p w:rsidR="002A3528" w:rsidRPr="00D630D1" w:rsidRDefault="002A3528" w:rsidP="002A3528">
      <w:pPr>
        <w:ind w:firstLine="480"/>
      </w:pPr>
    </w:p>
    <w:p w:rsidR="002A3528" w:rsidRPr="00D630D1" w:rsidRDefault="002A3528" w:rsidP="002A3528">
      <w:pPr>
        <w:ind w:firstLine="480"/>
      </w:pPr>
    </w:p>
    <w:p w:rsidR="00117C3D" w:rsidRPr="00D630D1" w:rsidRDefault="008B5B84" w:rsidP="005608CB">
      <w:pPr>
        <w:ind w:firstLineChars="0" w:firstLine="0"/>
        <w:rPr>
          <w:rFonts w:ascii="Times New Roman" w:cs="Times New Roman"/>
          <w:b/>
          <w:bCs/>
        </w:rPr>
      </w:pPr>
      <w:r w:rsidRPr="00D630D1">
        <w:rPr>
          <w:rFonts w:ascii="Times New Roman" w:cs="Times New Roman"/>
          <w:b/>
          <w:bCs/>
        </w:rPr>
        <w:t>附</w:t>
      </w:r>
      <w:r w:rsidR="005608CB" w:rsidRPr="00D630D1">
        <w:rPr>
          <w:rFonts w:ascii="Times New Roman" w:cs="Times New Roman" w:hint="eastAsia"/>
          <w:b/>
          <w:bCs/>
        </w:rPr>
        <w:t xml:space="preserve"> </w:t>
      </w:r>
      <w:r w:rsidR="005608CB" w:rsidRPr="00D630D1">
        <w:rPr>
          <w:rFonts w:ascii="Times New Roman" w:cs="Times New Roman"/>
          <w:b/>
          <w:bCs/>
        </w:rPr>
        <w:t xml:space="preserve"> </w:t>
      </w:r>
      <w:r w:rsidRPr="00D630D1">
        <w:rPr>
          <w:rFonts w:ascii="Times New Roman" w:cs="Times New Roman"/>
          <w:b/>
          <w:bCs/>
        </w:rPr>
        <w:t>图：</w:t>
      </w:r>
    </w:p>
    <w:p w:rsidR="00117C3D" w:rsidRPr="00D630D1" w:rsidRDefault="008F32C2">
      <w:pPr>
        <w:ind w:firstLineChars="450" w:firstLine="1080"/>
        <w:rPr>
          <w:rFonts w:ascii="Times New Roman" w:cs="Times New Roman"/>
        </w:rPr>
      </w:pPr>
      <w:r w:rsidRPr="00D630D1">
        <w:rPr>
          <w:rFonts w:ascii="Times New Roman" w:cs="Times New Roman"/>
        </w:rPr>
        <w:t>附图</w:t>
      </w:r>
      <w:r w:rsidRPr="00D630D1">
        <w:rPr>
          <w:rFonts w:ascii="Times New Roman" w:cs="Times New Roman"/>
        </w:rPr>
        <w:t xml:space="preserve">1 </w:t>
      </w:r>
      <w:r w:rsidRPr="00D630D1">
        <w:rPr>
          <w:rFonts w:ascii="Times New Roman" w:cs="Times New Roman"/>
        </w:rPr>
        <w:t>项目地理位置图</w:t>
      </w:r>
    </w:p>
    <w:p w:rsidR="005608CB" w:rsidRPr="00D630D1" w:rsidRDefault="005608CB">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 xml:space="preserve">2 </w:t>
      </w:r>
      <w:r w:rsidRPr="00D630D1">
        <w:rPr>
          <w:rFonts w:ascii="Times New Roman" w:cs="Times New Roman" w:hint="eastAsia"/>
        </w:rPr>
        <w:t>项目所在区域水系图</w:t>
      </w:r>
    </w:p>
    <w:p w:rsidR="005608CB" w:rsidRPr="00D630D1" w:rsidRDefault="00502CEA">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 xml:space="preserve">3-1 </w:t>
      </w:r>
      <w:bookmarkStart w:id="1" w:name="_Ref495759037"/>
      <w:bookmarkStart w:id="2" w:name="_Toc500315313"/>
      <w:bookmarkStart w:id="3" w:name="_Toc524531004"/>
      <w:bookmarkStart w:id="4" w:name="_Toc11834"/>
      <w:r w:rsidRPr="00D630D1">
        <w:rPr>
          <w:rFonts w:ascii="Times New Roman" w:cs="Times New Roman" w:hint="eastAsia"/>
        </w:rPr>
        <w:t>监测布点图</w:t>
      </w:r>
      <w:bookmarkEnd w:id="1"/>
      <w:bookmarkEnd w:id="2"/>
      <w:bookmarkEnd w:id="3"/>
      <w:bookmarkEnd w:id="4"/>
      <w:r w:rsidRPr="00D630D1">
        <w:rPr>
          <w:rFonts w:ascii="Times New Roman" w:cs="Times New Roman" w:hint="eastAsia"/>
        </w:rPr>
        <w:t>（</w:t>
      </w:r>
      <w:r w:rsidR="00CD41DF" w:rsidRPr="00CD41DF">
        <w:rPr>
          <w:rFonts w:ascii="Times New Roman" w:cs="Times New Roman" w:hint="eastAsia"/>
        </w:rPr>
        <w:t>大气、土壤、噪声、包气带</w:t>
      </w:r>
      <w:r w:rsidRPr="00D630D1">
        <w:rPr>
          <w:rFonts w:ascii="Times New Roman" w:cs="Times New Roman" w:hint="eastAsia"/>
        </w:rPr>
        <w:t>）</w:t>
      </w:r>
    </w:p>
    <w:p w:rsidR="00502CEA" w:rsidRPr="00D630D1" w:rsidRDefault="00502CEA">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 xml:space="preserve">3-2 </w:t>
      </w:r>
      <w:r w:rsidRPr="00D630D1">
        <w:rPr>
          <w:rFonts w:ascii="Times New Roman" w:cs="Times New Roman" w:hint="eastAsia"/>
        </w:rPr>
        <w:t>监测布点图（</w:t>
      </w:r>
      <w:r w:rsidR="00CD41DF">
        <w:rPr>
          <w:rFonts w:ascii="Times New Roman" w:cs="Times New Roman" w:hint="eastAsia"/>
        </w:rPr>
        <w:t>地下水</w:t>
      </w:r>
      <w:r w:rsidRPr="00D630D1">
        <w:rPr>
          <w:rFonts w:ascii="Times New Roman" w:cs="Times New Roman" w:hint="eastAsia"/>
        </w:rPr>
        <w:t>）</w:t>
      </w:r>
    </w:p>
    <w:p w:rsidR="005608CB" w:rsidRPr="00D630D1" w:rsidRDefault="005608CB">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4</w:t>
      </w:r>
      <w:r w:rsidR="00CD41DF" w:rsidRPr="00CD41DF">
        <w:rPr>
          <w:rFonts w:ascii="Times New Roman" w:cs="Times New Roman" w:hint="eastAsia"/>
        </w:rPr>
        <w:t>普光</w:t>
      </w:r>
      <w:r w:rsidR="00CD41DF" w:rsidRPr="00CD41DF">
        <w:rPr>
          <w:rFonts w:ascii="Times New Roman" w:cs="Times New Roman" w:hint="eastAsia"/>
        </w:rPr>
        <w:t xml:space="preserve"> 12 </w:t>
      </w:r>
      <w:r w:rsidR="00CD41DF" w:rsidRPr="00CD41DF">
        <w:rPr>
          <w:rFonts w:ascii="Times New Roman" w:cs="Times New Roman" w:hint="eastAsia"/>
        </w:rPr>
        <w:t>采气站</w:t>
      </w:r>
      <w:r w:rsidR="002408F4" w:rsidRPr="00D630D1">
        <w:rPr>
          <w:rFonts w:ascii="Times New Roman" w:cs="Times New Roman" w:hint="eastAsia"/>
        </w:rPr>
        <w:t>5000m</w:t>
      </w:r>
      <w:r w:rsidR="002408F4" w:rsidRPr="00D630D1">
        <w:rPr>
          <w:rFonts w:ascii="Times New Roman" w:cs="Times New Roman" w:hint="eastAsia"/>
        </w:rPr>
        <w:t>范围内人居及外环境关系图</w:t>
      </w:r>
    </w:p>
    <w:p w:rsidR="005608CB" w:rsidRPr="00D630D1" w:rsidRDefault="005608CB">
      <w:pPr>
        <w:ind w:firstLineChars="450" w:firstLine="1080"/>
        <w:rPr>
          <w:rFonts w:ascii="Times New Roman" w:cs="Times New Roman"/>
        </w:rPr>
      </w:pPr>
      <w:r w:rsidRPr="00D630D1">
        <w:rPr>
          <w:rFonts w:ascii="Times New Roman" w:cs="Times New Roman" w:hint="eastAsia"/>
        </w:rPr>
        <w:t>附图</w:t>
      </w:r>
      <w:r w:rsidR="007965B8" w:rsidRPr="00D630D1">
        <w:rPr>
          <w:rFonts w:ascii="Times New Roman" w:cs="Times New Roman" w:hint="eastAsia"/>
        </w:rPr>
        <w:t>5</w:t>
      </w:r>
      <w:bookmarkStart w:id="5" w:name="_Toc500315314"/>
      <w:bookmarkStart w:id="6" w:name="_Ref502991641"/>
      <w:bookmarkStart w:id="7" w:name="_Toc524531005"/>
      <w:bookmarkStart w:id="8" w:name="_Toc9099"/>
      <w:r w:rsidR="00CD41DF" w:rsidRPr="00CD41DF">
        <w:rPr>
          <w:rFonts w:ascii="Times New Roman" w:cs="Times New Roman" w:hint="eastAsia"/>
        </w:rPr>
        <w:t>集输管线</w:t>
      </w:r>
      <w:r w:rsidR="00CD41DF" w:rsidRPr="00CD41DF">
        <w:rPr>
          <w:rFonts w:ascii="Times New Roman" w:cs="Times New Roman" w:hint="eastAsia"/>
        </w:rPr>
        <w:t xml:space="preserve"> 200m </w:t>
      </w:r>
      <w:r w:rsidR="00CD41DF" w:rsidRPr="00CD41DF">
        <w:rPr>
          <w:rFonts w:ascii="Times New Roman" w:cs="Times New Roman" w:hint="eastAsia"/>
        </w:rPr>
        <w:t>范围内人居及外环境关系图</w:t>
      </w:r>
      <w:bookmarkEnd w:id="5"/>
      <w:bookmarkEnd w:id="6"/>
      <w:bookmarkEnd w:id="7"/>
      <w:bookmarkEnd w:id="8"/>
    </w:p>
    <w:p w:rsidR="005608CB" w:rsidRPr="00D630D1" w:rsidRDefault="005608CB">
      <w:pPr>
        <w:ind w:firstLineChars="450" w:firstLine="1080"/>
        <w:rPr>
          <w:rFonts w:ascii="Times New Roman" w:cs="Times New Roman"/>
        </w:rPr>
      </w:pPr>
      <w:r w:rsidRPr="00D630D1">
        <w:rPr>
          <w:rFonts w:ascii="Times New Roman" w:cs="Times New Roman" w:hint="eastAsia"/>
        </w:rPr>
        <w:t>附图</w:t>
      </w:r>
      <w:r w:rsidR="007965B8" w:rsidRPr="00D630D1">
        <w:rPr>
          <w:rFonts w:ascii="Times New Roman" w:cs="Times New Roman" w:hint="eastAsia"/>
        </w:rPr>
        <w:t xml:space="preserve">6 </w:t>
      </w:r>
      <w:r w:rsidR="00CD41DF" w:rsidRPr="00D630D1">
        <w:rPr>
          <w:rFonts w:hint="eastAsia"/>
        </w:rPr>
        <w:t>普光气田管网图</w:t>
      </w:r>
    </w:p>
    <w:p w:rsidR="00CF68E6" w:rsidRPr="00D630D1" w:rsidRDefault="00CF68E6">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 xml:space="preserve">7 </w:t>
      </w:r>
      <w:r w:rsidR="00CD41DF">
        <w:rPr>
          <w:rFonts w:ascii="Times New Roman" w:cs="Times New Roman" w:hint="eastAsia"/>
        </w:rPr>
        <w:t>普光</w:t>
      </w:r>
      <w:r w:rsidR="00CD41DF">
        <w:rPr>
          <w:rFonts w:ascii="Times New Roman" w:cs="Times New Roman" w:hint="eastAsia"/>
        </w:rPr>
        <w:t>12</w:t>
      </w:r>
      <w:r w:rsidR="00CD41DF">
        <w:rPr>
          <w:rFonts w:ascii="Times New Roman" w:cs="Times New Roman" w:hint="eastAsia"/>
        </w:rPr>
        <w:t>采气站</w:t>
      </w:r>
      <w:r w:rsidR="00CD41DF" w:rsidRPr="00D630D1">
        <w:rPr>
          <w:rFonts w:ascii="Times New Roman" w:cs="Times New Roman" w:hint="eastAsia"/>
        </w:rPr>
        <w:t>平面布置图</w:t>
      </w:r>
    </w:p>
    <w:p w:rsidR="00CF68E6" w:rsidRPr="00D630D1" w:rsidRDefault="00CF68E6">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8</w:t>
      </w:r>
      <w:r w:rsidR="00CD41DF">
        <w:rPr>
          <w:rFonts w:ascii="Times New Roman" w:cs="Times New Roman" w:hint="eastAsia"/>
        </w:rPr>
        <w:t>普光</w:t>
      </w:r>
      <w:r w:rsidR="00CD41DF">
        <w:rPr>
          <w:rFonts w:ascii="Times New Roman" w:cs="Times New Roman" w:hint="eastAsia"/>
        </w:rPr>
        <w:t>12</w:t>
      </w:r>
      <w:r w:rsidR="00CD41DF">
        <w:rPr>
          <w:rFonts w:ascii="Times New Roman" w:cs="Times New Roman" w:hint="eastAsia"/>
        </w:rPr>
        <w:t>采气站</w:t>
      </w:r>
      <w:r w:rsidR="00CD41DF" w:rsidRPr="00D630D1">
        <w:rPr>
          <w:rFonts w:ascii="Times New Roman" w:cs="Times New Roman" w:hint="eastAsia"/>
        </w:rPr>
        <w:t>排污管网图</w:t>
      </w:r>
    </w:p>
    <w:p w:rsidR="00502CEA" w:rsidRPr="00D630D1" w:rsidRDefault="00502CEA">
      <w:pPr>
        <w:ind w:firstLineChars="450" w:firstLine="1080"/>
        <w:rPr>
          <w:rFonts w:ascii="Times New Roman" w:cs="Times New Roman"/>
        </w:rPr>
      </w:pPr>
      <w:r w:rsidRPr="00D630D1">
        <w:rPr>
          <w:rFonts w:ascii="Times New Roman" w:cs="Times New Roman" w:hint="eastAsia"/>
        </w:rPr>
        <w:t>附图</w:t>
      </w:r>
      <w:r w:rsidR="00CF68E6" w:rsidRPr="00D630D1">
        <w:rPr>
          <w:rFonts w:ascii="Times New Roman" w:cs="Times New Roman" w:hint="eastAsia"/>
        </w:rPr>
        <w:t>9</w:t>
      </w:r>
      <w:r w:rsidRPr="00D630D1">
        <w:rPr>
          <w:rFonts w:ascii="Times New Roman" w:cs="Times New Roman" w:hint="eastAsia"/>
        </w:rPr>
        <w:t xml:space="preserve"> </w:t>
      </w:r>
      <w:r w:rsidR="00CD41DF">
        <w:rPr>
          <w:rFonts w:ascii="Times New Roman" w:cs="Times New Roman" w:hint="eastAsia"/>
        </w:rPr>
        <w:t>普光</w:t>
      </w:r>
      <w:r w:rsidR="00CD41DF">
        <w:rPr>
          <w:rFonts w:ascii="Times New Roman" w:cs="Times New Roman" w:hint="eastAsia"/>
        </w:rPr>
        <w:t>12</w:t>
      </w:r>
      <w:r w:rsidR="00CD41DF">
        <w:rPr>
          <w:rFonts w:ascii="Times New Roman" w:cs="Times New Roman" w:hint="eastAsia"/>
        </w:rPr>
        <w:t>采气站</w:t>
      </w:r>
      <w:r w:rsidR="00CD41DF" w:rsidRPr="00CD41DF">
        <w:rPr>
          <w:rFonts w:ascii="Times New Roman" w:cs="Times New Roman" w:hint="eastAsia"/>
        </w:rPr>
        <w:t>排水沟结构图</w:t>
      </w:r>
    </w:p>
    <w:p w:rsidR="005608CB" w:rsidRPr="00D630D1" w:rsidRDefault="005608CB">
      <w:pPr>
        <w:ind w:firstLineChars="450" w:firstLine="1080"/>
        <w:rPr>
          <w:rFonts w:ascii="Times New Roman" w:cs="Times New Roman"/>
        </w:rPr>
      </w:pPr>
      <w:r w:rsidRPr="00D630D1">
        <w:rPr>
          <w:rFonts w:ascii="Times New Roman" w:cs="Times New Roman" w:hint="eastAsia"/>
        </w:rPr>
        <w:t>附图</w:t>
      </w:r>
      <w:r w:rsidR="00CF68E6" w:rsidRPr="00D630D1">
        <w:rPr>
          <w:rFonts w:ascii="Times New Roman" w:cs="Times New Roman" w:hint="eastAsia"/>
        </w:rPr>
        <w:t>10</w:t>
      </w:r>
      <w:r w:rsidR="002408F4" w:rsidRPr="00D630D1">
        <w:rPr>
          <w:rFonts w:ascii="Times New Roman" w:cs="Times New Roman" w:hint="eastAsia"/>
        </w:rPr>
        <w:t>本项目天然气管线图</w:t>
      </w:r>
    </w:p>
    <w:p w:rsidR="005608CB" w:rsidRPr="00D630D1" w:rsidRDefault="005608CB">
      <w:pPr>
        <w:ind w:firstLineChars="450" w:firstLine="1080"/>
        <w:rPr>
          <w:rFonts w:ascii="Times New Roman" w:cs="Times New Roman"/>
        </w:rPr>
      </w:pPr>
      <w:r w:rsidRPr="00D630D1">
        <w:rPr>
          <w:rFonts w:ascii="Times New Roman" w:cs="Times New Roman" w:hint="eastAsia"/>
        </w:rPr>
        <w:t>附图</w:t>
      </w:r>
      <w:r w:rsidR="00CF68E6" w:rsidRPr="00D630D1">
        <w:rPr>
          <w:rFonts w:ascii="Times New Roman" w:cs="Times New Roman" w:hint="eastAsia"/>
        </w:rPr>
        <w:t>11</w:t>
      </w:r>
      <w:r w:rsidR="002408F4" w:rsidRPr="00D630D1">
        <w:rPr>
          <w:rFonts w:ascii="Times New Roman" w:cs="Times New Roman" w:hint="eastAsia"/>
        </w:rPr>
        <w:t>大湾</w:t>
      </w:r>
      <w:r w:rsidR="002408F4" w:rsidRPr="00D630D1">
        <w:rPr>
          <w:rFonts w:ascii="Times New Roman" w:cs="Times New Roman" w:hint="eastAsia"/>
        </w:rPr>
        <w:t>403</w:t>
      </w:r>
      <w:r w:rsidR="002408F4" w:rsidRPr="00D630D1">
        <w:rPr>
          <w:rFonts w:ascii="Times New Roman" w:cs="Times New Roman" w:hint="eastAsia"/>
        </w:rPr>
        <w:t>污水站工艺流程图</w:t>
      </w:r>
    </w:p>
    <w:p w:rsidR="00163678" w:rsidRPr="00D630D1" w:rsidRDefault="00163678">
      <w:pPr>
        <w:ind w:firstLineChars="450" w:firstLine="1080"/>
        <w:rPr>
          <w:rFonts w:ascii="Times New Roman" w:cs="Times New Roman"/>
        </w:rPr>
      </w:pPr>
      <w:r w:rsidRPr="00D630D1">
        <w:rPr>
          <w:rFonts w:ascii="Times New Roman" w:cs="Times New Roman" w:hint="eastAsia"/>
        </w:rPr>
        <w:t>附图</w:t>
      </w:r>
      <w:r w:rsidR="00502CEA" w:rsidRPr="00D630D1">
        <w:rPr>
          <w:rFonts w:ascii="Times New Roman" w:cs="Times New Roman" w:hint="eastAsia"/>
        </w:rPr>
        <w:t>1</w:t>
      </w:r>
      <w:r w:rsidR="00CF68E6" w:rsidRPr="00D630D1">
        <w:rPr>
          <w:rFonts w:ascii="Times New Roman" w:cs="Times New Roman" w:hint="eastAsia"/>
        </w:rPr>
        <w:t>2</w:t>
      </w:r>
      <w:r w:rsidR="002408F4" w:rsidRPr="00D630D1">
        <w:rPr>
          <w:rFonts w:ascii="Times New Roman" w:cs="Times New Roman" w:hint="eastAsia"/>
        </w:rPr>
        <w:t>运营期废水转运路线图</w:t>
      </w:r>
    </w:p>
    <w:p w:rsidR="002408F4" w:rsidRPr="00D630D1" w:rsidRDefault="002408F4">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1</w:t>
      </w:r>
      <w:r w:rsidR="00CF68E6" w:rsidRPr="00D630D1">
        <w:rPr>
          <w:rFonts w:ascii="Times New Roman" w:cs="Times New Roman" w:hint="eastAsia"/>
        </w:rPr>
        <w:t>3</w:t>
      </w:r>
      <w:r w:rsidRPr="00D630D1">
        <w:rPr>
          <w:rFonts w:ascii="Times New Roman" w:cs="Times New Roman" w:hint="eastAsia"/>
        </w:rPr>
        <w:t>水文地质图</w:t>
      </w:r>
    </w:p>
    <w:p w:rsidR="002408F4" w:rsidRPr="00D630D1" w:rsidRDefault="002408F4">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1</w:t>
      </w:r>
      <w:r w:rsidR="00CF68E6" w:rsidRPr="00D630D1">
        <w:rPr>
          <w:rFonts w:ascii="Times New Roman" w:cs="Times New Roman" w:hint="eastAsia"/>
        </w:rPr>
        <w:t>4</w:t>
      </w:r>
      <w:r w:rsidR="00502CEA" w:rsidRPr="00D630D1">
        <w:rPr>
          <w:rFonts w:ascii="Times New Roman" w:cs="Times New Roman" w:hint="eastAsia"/>
        </w:rPr>
        <w:t>-1</w:t>
      </w:r>
      <w:r w:rsidRPr="00D630D1">
        <w:rPr>
          <w:rFonts w:ascii="Times New Roman" w:cs="Times New Roman" w:hint="eastAsia"/>
        </w:rPr>
        <w:t>与</w:t>
      </w:r>
      <w:r w:rsidR="00502CEA" w:rsidRPr="00D630D1">
        <w:rPr>
          <w:rFonts w:ascii="Times New Roman" w:cs="Times New Roman" w:hint="eastAsia"/>
        </w:rPr>
        <w:t>四川省</w:t>
      </w:r>
      <w:r w:rsidRPr="00D630D1">
        <w:rPr>
          <w:rFonts w:ascii="Times New Roman" w:cs="Times New Roman" w:hint="eastAsia"/>
        </w:rPr>
        <w:t>生态红线位置关系图</w:t>
      </w:r>
    </w:p>
    <w:p w:rsidR="00502CEA" w:rsidRPr="00D630D1" w:rsidRDefault="00502CEA">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1</w:t>
      </w:r>
      <w:r w:rsidR="00CF68E6" w:rsidRPr="00D630D1">
        <w:rPr>
          <w:rFonts w:ascii="Times New Roman" w:cs="Times New Roman" w:hint="eastAsia"/>
        </w:rPr>
        <w:t>4</w:t>
      </w:r>
      <w:r w:rsidRPr="00D630D1">
        <w:rPr>
          <w:rFonts w:ascii="Times New Roman" w:cs="Times New Roman" w:hint="eastAsia"/>
        </w:rPr>
        <w:t>-2</w:t>
      </w:r>
      <w:r w:rsidRPr="00D630D1">
        <w:rPr>
          <w:rFonts w:ascii="Times New Roman" w:cs="Times New Roman" w:hint="eastAsia"/>
        </w:rPr>
        <w:t>与达州市生态红线位置关系图</w:t>
      </w:r>
    </w:p>
    <w:p w:rsidR="002408F4" w:rsidRPr="00D630D1" w:rsidRDefault="002408F4">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1</w:t>
      </w:r>
      <w:r w:rsidR="00CF68E6" w:rsidRPr="00D630D1">
        <w:rPr>
          <w:rFonts w:ascii="Times New Roman" w:cs="Times New Roman" w:hint="eastAsia"/>
        </w:rPr>
        <w:t>5</w:t>
      </w:r>
      <w:r w:rsidRPr="00D630D1">
        <w:rPr>
          <w:rFonts w:ascii="Times New Roman" w:cs="Times New Roman" w:hint="eastAsia"/>
        </w:rPr>
        <w:t>项目所在地土地利用现状图</w:t>
      </w:r>
    </w:p>
    <w:p w:rsidR="002408F4" w:rsidRPr="00D630D1" w:rsidRDefault="002408F4">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1</w:t>
      </w:r>
      <w:r w:rsidR="00CF68E6" w:rsidRPr="00D630D1">
        <w:rPr>
          <w:rFonts w:ascii="Times New Roman" w:cs="Times New Roman" w:hint="eastAsia"/>
        </w:rPr>
        <w:t>6</w:t>
      </w:r>
      <w:r w:rsidRPr="00D630D1">
        <w:rPr>
          <w:rFonts w:ascii="Times New Roman" w:cs="Times New Roman" w:hint="eastAsia"/>
        </w:rPr>
        <w:t>项目所在地土壤侵蚀分布图</w:t>
      </w:r>
    </w:p>
    <w:p w:rsidR="00502CEA" w:rsidRPr="00D630D1" w:rsidRDefault="002408F4">
      <w:pPr>
        <w:ind w:firstLineChars="450" w:firstLine="1080"/>
        <w:rPr>
          <w:rFonts w:ascii="Times New Roman" w:cs="Times New Roman"/>
        </w:rPr>
      </w:pPr>
      <w:bookmarkStart w:id="9" w:name="OLE_LINK233"/>
      <w:bookmarkStart w:id="10" w:name="OLE_LINK234"/>
      <w:r w:rsidRPr="00D630D1">
        <w:rPr>
          <w:rFonts w:ascii="Times New Roman" w:cs="Times New Roman" w:hint="eastAsia"/>
        </w:rPr>
        <w:t>附图</w:t>
      </w:r>
      <w:r w:rsidRPr="00D630D1">
        <w:rPr>
          <w:rFonts w:ascii="Times New Roman" w:cs="Times New Roman" w:hint="eastAsia"/>
        </w:rPr>
        <w:t>1</w:t>
      </w:r>
      <w:bookmarkEnd w:id="9"/>
      <w:bookmarkEnd w:id="10"/>
      <w:r w:rsidR="00CF68E6" w:rsidRPr="00D630D1">
        <w:rPr>
          <w:rFonts w:ascii="Times New Roman" w:cs="Times New Roman" w:hint="eastAsia"/>
        </w:rPr>
        <w:t>7</w:t>
      </w:r>
      <w:r w:rsidR="00502CEA" w:rsidRPr="00D630D1">
        <w:rPr>
          <w:rFonts w:ascii="Times New Roman" w:cs="Times New Roman" w:hint="eastAsia"/>
        </w:rPr>
        <w:t>宣汉县水土重点防治区分区图</w:t>
      </w:r>
    </w:p>
    <w:p w:rsidR="002408F4" w:rsidRPr="00D630D1" w:rsidRDefault="00502CEA">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1</w:t>
      </w:r>
      <w:r w:rsidR="00CF68E6" w:rsidRPr="00D630D1">
        <w:rPr>
          <w:rFonts w:ascii="Times New Roman" w:cs="Times New Roman" w:hint="eastAsia"/>
        </w:rPr>
        <w:t>8</w:t>
      </w:r>
      <w:r w:rsidR="002408F4" w:rsidRPr="00D630D1">
        <w:rPr>
          <w:rFonts w:ascii="Times New Roman" w:cs="Times New Roman" w:hint="eastAsia"/>
        </w:rPr>
        <w:t>项目所在地植被分布图</w:t>
      </w:r>
      <w:r w:rsidRPr="00D630D1">
        <w:rPr>
          <w:rFonts w:ascii="Times New Roman" w:cs="Times New Roman" w:hint="eastAsia"/>
        </w:rPr>
        <w:t>（森林）</w:t>
      </w:r>
    </w:p>
    <w:p w:rsidR="00502CEA" w:rsidRPr="00D630D1" w:rsidRDefault="00502CEA">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1</w:t>
      </w:r>
      <w:r w:rsidR="00CF68E6" w:rsidRPr="00D630D1">
        <w:rPr>
          <w:rFonts w:ascii="Times New Roman" w:cs="Times New Roman" w:hint="eastAsia"/>
        </w:rPr>
        <w:t>9</w:t>
      </w:r>
      <w:r w:rsidRPr="00D630D1">
        <w:rPr>
          <w:rFonts w:ascii="Times New Roman" w:cs="Times New Roman" w:hint="eastAsia"/>
        </w:rPr>
        <w:t xml:space="preserve"> </w:t>
      </w:r>
      <w:r w:rsidRPr="00D630D1">
        <w:rPr>
          <w:rFonts w:ascii="Times New Roman" w:cs="Times New Roman" w:hint="eastAsia"/>
        </w:rPr>
        <w:t>项目所在地耕地分布图</w:t>
      </w:r>
    </w:p>
    <w:p w:rsidR="00502CEA" w:rsidRPr="00D630D1" w:rsidRDefault="00502CEA">
      <w:pPr>
        <w:ind w:firstLineChars="450" w:firstLine="1080"/>
        <w:rPr>
          <w:rFonts w:ascii="Times New Roman" w:cs="Times New Roman"/>
        </w:rPr>
      </w:pPr>
      <w:r w:rsidRPr="00D630D1">
        <w:rPr>
          <w:rFonts w:ascii="Times New Roman" w:cs="Times New Roman" w:hint="eastAsia"/>
        </w:rPr>
        <w:t>附图</w:t>
      </w:r>
      <w:r w:rsidR="00CF68E6" w:rsidRPr="00D630D1">
        <w:rPr>
          <w:rFonts w:ascii="Times New Roman" w:cs="Times New Roman" w:hint="eastAsia"/>
        </w:rPr>
        <w:t>20</w:t>
      </w:r>
      <w:r w:rsidR="00D037FA" w:rsidRPr="00D630D1">
        <w:rPr>
          <w:rFonts w:ascii="Times New Roman" w:cs="Times New Roman" w:hint="eastAsia"/>
        </w:rPr>
        <w:t>项目地下水评价范围及地下水环境敏感目标分布图</w:t>
      </w:r>
    </w:p>
    <w:p w:rsidR="00502CEA" w:rsidRPr="00D630D1" w:rsidRDefault="00502CEA">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2</w:t>
      </w:r>
      <w:r w:rsidR="00CF68E6" w:rsidRPr="00D630D1">
        <w:rPr>
          <w:rFonts w:ascii="Times New Roman" w:cs="Times New Roman" w:hint="eastAsia"/>
        </w:rPr>
        <w:t>3</w:t>
      </w:r>
      <w:r w:rsidRPr="00D630D1">
        <w:rPr>
          <w:rFonts w:ascii="Times New Roman" w:cs="Times New Roman" w:hint="eastAsia"/>
        </w:rPr>
        <w:t xml:space="preserve">-1 </w:t>
      </w:r>
      <w:r w:rsidRPr="00D630D1">
        <w:rPr>
          <w:rFonts w:ascii="Times New Roman" w:cs="Times New Roman" w:hint="eastAsia"/>
        </w:rPr>
        <w:t>现场影像资料图</w:t>
      </w:r>
    </w:p>
    <w:p w:rsidR="00502CEA" w:rsidRDefault="00502CEA">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2</w:t>
      </w:r>
      <w:r w:rsidR="00CF68E6" w:rsidRPr="00D630D1">
        <w:rPr>
          <w:rFonts w:ascii="Times New Roman" w:cs="Times New Roman" w:hint="eastAsia"/>
        </w:rPr>
        <w:t>3</w:t>
      </w:r>
      <w:r w:rsidRPr="00D630D1">
        <w:rPr>
          <w:rFonts w:ascii="Times New Roman" w:cs="Times New Roman" w:hint="eastAsia"/>
        </w:rPr>
        <w:t xml:space="preserve">-2 </w:t>
      </w:r>
      <w:r w:rsidRPr="00D630D1">
        <w:rPr>
          <w:rFonts w:ascii="Times New Roman" w:cs="Times New Roman" w:hint="eastAsia"/>
        </w:rPr>
        <w:t>现场影像资料图</w:t>
      </w:r>
    </w:p>
    <w:p w:rsidR="00D037FA" w:rsidRPr="00D630D1" w:rsidRDefault="00D037FA" w:rsidP="00D037FA">
      <w:pPr>
        <w:ind w:firstLineChars="450" w:firstLine="1080"/>
        <w:rPr>
          <w:rFonts w:ascii="Times New Roman" w:cs="Times New Roman"/>
        </w:rPr>
      </w:pPr>
      <w:r w:rsidRPr="00D630D1">
        <w:rPr>
          <w:rFonts w:ascii="Times New Roman" w:cs="Times New Roman" w:hint="eastAsia"/>
        </w:rPr>
        <w:t>附图</w:t>
      </w:r>
      <w:r w:rsidRPr="00D630D1">
        <w:rPr>
          <w:rFonts w:ascii="Times New Roman" w:cs="Times New Roman" w:hint="eastAsia"/>
        </w:rPr>
        <w:t>2</w:t>
      </w:r>
      <w:r>
        <w:rPr>
          <w:rFonts w:ascii="Times New Roman" w:cs="Times New Roman" w:hint="eastAsia"/>
        </w:rPr>
        <w:t>4</w:t>
      </w:r>
      <w:r w:rsidRPr="00D630D1">
        <w:rPr>
          <w:rFonts w:ascii="Times New Roman" w:cs="Times New Roman" w:hint="eastAsia"/>
        </w:rPr>
        <w:t xml:space="preserve"> </w:t>
      </w:r>
      <w:r>
        <w:rPr>
          <w:rFonts w:ascii="Times New Roman" w:cs="Times New Roman" w:hint="eastAsia"/>
        </w:rPr>
        <w:t>生态制图成果</w:t>
      </w:r>
    </w:p>
    <w:p w:rsidR="00D037FA" w:rsidRPr="00D630D1" w:rsidRDefault="00D037FA">
      <w:pPr>
        <w:ind w:firstLineChars="450" w:firstLine="1080"/>
        <w:rPr>
          <w:rFonts w:ascii="Times New Roman" w:cs="Times New Roman"/>
        </w:rPr>
      </w:pPr>
    </w:p>
    <w:p w:rsidR="00117C3D" w:rsidRPr="00D630D1" w:rsidRDefault="008B5B84" w:rsidP="005608CB">
      <w:pPr>
        <w:ind w:firstLineChars="0" w:firstLine="0"/>
        <w:rPr>
          <w:rFonts w:ascii="Times New Roman" w:cs="Times New Roman"/>
          <w:b/>
          <w:bCs/>
        </w:rPr>
      </w:pPr>
      <w:r w:rsidRPr="00D630D1">
        <w:rPr>
          <w:rFonts w:ascii="Times New Roman" w:cs="Times New Roman"/>
          <w:b/>
          <w:bCs/>
        </w:rPr>
        <w:lastRenderedPageBreak/>
        <w:t>附</w:t>
      </w:r>
      <w:r w:rsidR="005608CB" w:rsidRPr="00D630D1">
        <w:rPr>
          <w:rFonts w:ascii="Times New Roman" w:cs="Times New Roman" w:hint="eastAsia"/>
          <w:b/>
          <w:bCs/>
        </w:rPr>
        <w:t xml:space="preserve"> </w:t>
      </w:r>
      <w:r w:rsidR="005608CB" w:rsidRPr="00D630D1">
        <w:rPr>
          <w:rFonts w:ascii="Times New Roman" w:cs="Times New Roman"/>
          <w:b/>
          <w:bCs/>
        </w:rPr>
        <w:t xml:space="preserve"> </w:t>
      </w:r>
      <w:r w:rsidRPr="00D630D1">
        <w:rPr>
          <w:rFonts w:ascii="Times New Roman" w:cs="Times New Roman"/>
          <w:b/>
          <w:bCs/>
        </w:rPr>
        <w:t>件：</w:t>
      </w:r>
    </w:p>
    <w:p w:rsidR="0057458D" w:rsidRPr="00D630D1" w:rsidRDefault="0057458D">
      <w:pPr>
        <w:ind w:firstLineChars="450" w:firstLine="1080"/>
        <w:rPr>
          <w:rFonts w:ascii="Times New Roman" w:cs="Times New Roman"/>
        </w:rPr>
      </w:pPr>
      <w:r w:rsidRPr="00D630D1">
        <w:rPr>
          <w:rFonts w:ascii="Times New Roman" w:cs="Times New Roman"/>
        </w:rPr>
        <w:t>附件</w:t>
      </w:r>
      <w:r w:rsidRPr="00D630D1">
        <w:rPr>
          <w:rFonts w:ascii="Times New Roman" w:cs="Times New Roman"/>
        </w:rPr>
        <w:t>1</w:t>
      </w:r>
      <w:r w:rsidRPr="00D630D1">
        <w:rPr>
          <w:rFonts w:ascii="Times New Roman" w:cs="Times New Roman" w:hint="eastAsia"/>
        </w:rPr>
        <w:t>环境影响评价委托书</w:t>
      </w:r>
    </w:p>
    <w:p w:rsidR="00117C3D" w:rsidRPr="00D630D1" w:rsidRDefault="008F32C2">
      <w:pPr>
        <w:ind w:firstLineChars="450" w:firstLine="1080"/>
        <w:rPr>
          <w:rFonts w:ascii="Times New Roman" w:cs="Times New Roman"/>
        </w:rPr>
      </w:pPr>
      <w:r w:rsidRPr="00D630D1">
        <w:rPr>
          <w:rFonts w:ascii="Times New Roman" w:cs="Times New Roman"/>
        </w:rPr>
        <w:t>附件</w:t>
      </w:r>
      <w:r w:rsidR="0057458D" w:rsidRPr="00D630D1">
        <w:rPr>
          <w:rFonts w:ascii="Times New Roman" w:cs="Times New Roman" w:hint="eastAsia"/>
        </w:rPr>
        <w:t>2</w:t>
      </w:r>
      <w:r w:rsidR="00404320" w:rsidRPr="00D630D1">
        <w:rPr>
          <w:rFonts w:ascii="Times New Roman" w:cs="Times New Roman"/>
        </w:rPr>
        <w:t>可研批复</w:t>
      </w:r>
    </w:p>
    <w:p w:rsidR="008F32C2" w:rsidRPr="00D630D1" w:rsidRDefault="008F32C2">
      <w:pPr>
        <w:ind w:firstLineChars="450" w:firstLine="1080"/>
        <w:rPr>
          <w:rFonts w:ascii="Times New Roman" w:cs="Times New Roman"/>
        </w:rPr>
      </w:pPr>
      <w:r w:rsidRPr="00D630D1">
        <w:rPr>
          <w:rFonts w:ascii="Times New Roman" w:cs="Times New Roman"/>
        </w:rPr>
        <w:t>附件</w:t>
      </w:r>
      <w:r w:rsidR="0057458D" w:rsidRPr="00D630D1">
        <w:rPr>
          <w:rFonts w:ascii="Times New Roman" w:cs="Times New Roman" w:hint="eastAsia"/>
        </w:rPr>
        <w:t>3</w:t>
      </w:r>
      <w:r w:rsidR="004E24E2" w:rsidRPr="00D630D1">
        <w:rPr>
          <w:rFonts w:ascii="Times New Roman" w:cs="Times New Roman" w:hint="eastAsia"/>
        </w:rPr>
        <w:t>普光气田原国家环保总局环评批复文件</w:t>
      </w:r>
    </w:p>
    <w:p w:rsidR="005608CB" w:rsidRPr="00D630D1" w:rsidRDefault="005608CB">
      <w:pPr>
        <w:ind w:firstLineChars="450" w:firstLine="1080"/>
        <w:rPr>
          <w:rFonts w:ascii="Times New Roman" w:cs="Times New Roman"/>
        </w:rPr>
      </w:pPr>
      <w:r w:rsidRPr="00D630D1">
        <w:rPr>
          <w:rFonts w:ascii="Times New Roman" w:cs="Times New Roman" w:hint="eastAsia"/>
        </w:rPr>
        <w:t>附件</w:t>
      </w:r>
      <w:r w:rsidR="0057458D" w:rsidRPr="00D630D1">
        <w:rPr>
          <w:rFonts w:ascii="Times New Roman" w:cs="Times New Roman" w:hint="eastAsia"/>
        </w:rPr>
        <w:t>4</w:t>
      </w:r>
      <w:r w:rsidR="004E24E2" w:rsidRPr="00D630D1">
        <w:rPr>
          <w:rFonts w:ascii="Times New Roman" w:cs="Times New Roman" w:hint="eastAsia"/>
        </w:rPr>
        <w:t>大湾</w:t>
      </w:r>
      <w:r w:rsidR="004E24E2" w:rsidRPr="00D630D1">
        <w:rPr>
          <w:rFonts w:ascii="Times New Roman" w:cs="Times New Roman" w:hint="eastAsia"/>
        </w:rPr>
        <w:t>403</w:t>
      </w:r>
      <w:r w:rsidR="004E24E2" w:rsidRPr="00D630D1">
        <w:rPr>
          <w:rFonts w:ascii="Times New Roman" w:cs="Times New Roman" w:hint="eastAsia"/>
        </w:rPr>
        <w:t>污水站及回注站环评批复</w:t>
      </w:r>
    </w:p>
    <w:p w:rsidR="005608CB" w:rsidRPr="00D630D1" w:rsidRDefault="005608CB">
      <w:pPr>
        <w:ind w:firstLineChars="450" w:firstLine="1080"/>
        <w:rPr>
          <w:rFonts w:ascii="Times New Roman" w:cs="Times New Roman"/>
        </w:rPr>
      </w:pPr>
      <w:r w:rsidRPr="00D630D1">
        <w:rPr>
          <w:rFonts w:ascii="Times New Roman" w:cs="Times New Roman" w:hint="eastAsia"/>
        </w:rPr>
        <w:t>附件</w:t>
      </w:r>
      <w:r w:rsidR="0057458D" w:rsidRPr="00D630D1">
        <w:rPr>
          <w:rFonts w:ascii="Times New Roman" w:cs="Times New Roman" w:hint="eastAsia"/>
        </w:rPr>
        <w:t>5</w:t>
      </w:r>
      <w:r w:rsidR="004E24E2" w:rsidRPr="00D630D1">
        <w:rPr>
          <w:rFonts w:ascii="Times New Roman" w:cs="Times New Roman" w:hint="eastAsia"/>
        </w:rPr>
        <w:t>大湾</w:t>
      </w:r>
      <w:r w:rsidR="004E24E2" w:rsidRPr="00D630D1">
        <w:rPr>
          <w:rFonts w:ascii="Times New Roman" w:cs="Times New Roman" w:hint="eastAsia"/>
        </w:rPr>
        <w:t>403</w:t>
      </w:r>
      <w:r w:rsidR="004E24E2" w:rsidRPr="00D630D1">
        <w:rPr>
          <w:rFonts w:ascii="Times New Roman" w:cs="Times New Roman" w:hint="eastAsia"/>
        </w:rPr>
        <w:t>污水站及回注站验收批复</w:t>
      </w:r>
    </w:p>
    <w:p w:rsidR="005608CB" w:rsidRPr="00D630D1" w:rsidRDefault="005608CB">
      <w:pPr>
        <w:ind w:firstLineChars="450" w:firstLine="1080"/>
        <w:rPr>
          <w:rFonts w:ascii="Times New Roman" w:cs="Times New Roman"/>
        </w:rPr>
      </w:pPr>
      <w:r w:rsidRPr="00D630D1">
        <w:rPr>
          <w:rFonts w:ascii="Times New Roman" w:cs="Times New Roman" w:hint="eastAsia"/>
        </w:rPr>
        <w:t>附件</w:t>
      </w:r>
      <w:r w:rsidR="0057458D" w:rsidRPr="00D630D1">
        <w:rPr>
          <w:rFonts w:ascii="Times New Roman" w:cs="Times New Roman" w:hint="eastAsia"/>
        </w:rPr>
        <w:t>6</w:t>
      </w:r>
      <w:r w:rsidR="00466139" w:rsidRPr="00D630D1">
        <w:rPr>
          <w:rFonts w:ascii="Times New Roman" w:cs="Times New Roman" w:hint="eastAsia"/>
        </w:rPr>
        <w:t>引用</w:t>
      </w:r>
      <w:r w:rsidR="00BD7293" w:rsidRPr="00D630D1">
        <w:rPr>
          <w:rFonts w:ascii="Times New Roman" w:cs="Times New Roman" w:hint="eastAsia"/>
        </w:rPr>
        <w:t>监</w:t>
      </w:r>
      <w:r w:rsidR="004E24E2" w:rsidRPr="00D630D1">
        <w:rPr>
          <w:rFonts w:ascii="Times New Roman" w:cs="Times New Roman" w:hint="eastAsia"/>
        </w:rPr>
        <w:t>测报告</w:t>
      </w:r>
    </w:p>
    <w:p w:rsidR="00466139" w:rsidRPr="00D630D1" w:rsidRDefault="00466139">
      <w:pPr>
        <w:ind w:firstLineChars="450" w:firstLine="1080"/>
        <w:rPr>
          <w:rFonts w:ascii="Times New Roman" w:cs="Times New Roman"/>
        </w:rPr>
      </w:pPr>
      <w:r w:rsidRPr="00D630D1">
        <w:rPr>
          <w:rFonts w:ascii="Times New Roman" w:cs="Times New Roman" w:hint="eastAsia"/>
        </w:rPr>
        <w:t>附件</w:t>
      </w:r>
      <w:r w:rsidRPr="00D630D1">
        <w:rPr>
          <w:rFonts w:ascii="Times New Roman" w:cs="Times New Roman" w:hint="eastAsia"/>
        </w:rPr>
        <w:t>7</w:t>
      </w:r>
      <w:r w:rsidRPr="00D630D1">
        <w:rPr>
          <w:rFonts w:ascii="Times New Roman" w:cs="Times New Roman" w:hint="eastAsia"/>
        </w:rPr>
        <w:t>监测报告</w:t>
      </w:r>
    </w:p>
    <w:p w:rsidR="007965B8" w:rsidRPr="00D630D1" w:rsidRDefault="007965B8" w:rsidP="007965B8">
      <w:pPr>
        <w:ind w:firstLineChars="450" w:firstLine="1080"/>
        <w:rPr>
          <w:rFonts w:ascii="Times New Roman" w:cs="Times New Roman"/>
        </w:rPr>
      </w:pPr>
      <w:r w:rsidRPr="00D630D1">
        <w:rPr>
          <w:rFonts w:ascii="Times New Roman" w:cs="Times New Roman" w:hint="eastAsia"/>
        </w:rPr>
        <w:t>附件</w:t>
      </w:r>
      <w:r w:rsidR="00466139" w:rsidRPr="00D630D1">
        <w:rPr>
          <w:rFonts w:ascii="Times New Roman" w:cs="Times New Roman" w:hint="eastAsia"/>
        </w:rPr>
        <w:t>8</w:t>
      </w:r>
      <w:r w:rsidRPr="00D630D1">
        <w:rPr>
          <w:rFonts w:ascii="Times New Roman" w:cs="Times New Roman" w:hint="eastAsia"/>
        </w:rPr>
        <w:t>普光分公司危险化学品与危险废物贮存改造工程环评批复</w:t>
      </w:r>
    </w:p>
    <w:p w:rsidR="007965B8" w:rsidRPr="00D630D1" w:rsidRDefault="007965B8" w:rsidP="007965B8">
      <w:pPr>
        <w:ind w:firstLineChars="450" w:firstLine="1080"/>
        <w:rPr>
          <w:rFonts w:ascii="Times New Roman" w:cs="Times New Roman"/>
        </w:rPr>
      </w:pPr>
      <w:r w:rsidRPr="00D630D1">
        <w:rPr>
          <w:rFonts w:ascii="Times New Roman" w:cs="Times New Roman" w:hint="eastAsia"/>
        </w:rPr>
        <w:t>附件</w:t>
      </w:r>
      <w:r w:rsidR="00466139" w:rsidRPr="00D630D1">
        <w:rPr>
          <w:rFonts w:ascii="Times New Roman" w:cs="Times New Roman" w:hint="eastAsia"/>
        </w:rPr>
        <w:t>9</w:t>
      </w:r>
      <w:r w:rsidRPr="00D630D1">
        <w:rPr>
          <w:rFonts w:ascii="Times New Roman" w:cs="Times New Roman" w:hint="eastAsia"/>
        </w:rPr>
        <w:t>公司危险化学品与危险废物贮存改造工程竣工环境保护验收公示</w:t>
      </w:r>
    </w:p>
    <w:p w:rsidR="0057458D" w:rsidRPr="00D630D1" w:rsidRDefault="007965B8" w:rsidP="007965B8">
      <w:pPr>
        <w:ind w:firstLineChars="450" w:firstLine="1080"/>
        <w:rPr>
          <w:rFonts w:ascii="Times New Roman" w:cs="Times New Roman"/>
        </w:rPr>
      </w:pPr>
      <w:r w:rsidRPr="00D630D1">
        <w:rPr>
          <w:rFonts w:ascii="Times New Roman" w:cs="Times New Roman" w:hint="eastAsia"/>
        </w:rPr>
        <w:t>附件</w:t>
      </w:r>
      <w:r w:rsidR="00466139" w:rsidRPr="00D630D1">
        <w:rPr>
          <w:rFonts w:ascii="Times New Roman" w:cs="Times New Roman" w:hint="eastAsia"/>
        </w:rPr>
        <w:t>10</w:t>
      </w:r>
      <w:r w:rsidRPr="00D630D1">
        <w:rPr>
          <w:rFonts w:ascii="Times New Roman" w:cs="Times New Roman" w:hint="eastAsia"/>
        </w:rPr>
        <w:t>现有危废处置协议</w:t>
      </w:r>
    </w:p>
    <w:p w:rsidR="005608CB" w:rsidRPr="00D630D1" w:rsidRDefault="005608CB">
      <w:pPr>
        <w:ind w:firstLineChars="450" w:firstLine="1080"/>
        <w:rPr>
          <w:rFonts w:ascii="Times New Roman" w:cs="Times New Roman"/>
        </w:rPr>
      </w:pPr>
      <w:r w:rsidRPr="00D630D1">
        <w:rPr>
          <w:rFonts w:ascii="Times New Roman" w:cs="Times New Roman" w:hint="eastAsia"/>
        </w:rPr>
        <w:t>附件</w:t>
      </w:r>
      <w:r w:rsidR="00466139" w:rsidRPr="00D630D1">
        <w:rPr>
          <w:rFonts w:ascii="Times New Roman" w:cs="Times New Roman" w:hint="eastAsia"/>
        </w:rPr>
        <w:t>11</w:t>
      </w:r>
      <w:r w:rsidR="00BD7293" w:rsidRPr="00D630D1">
        <w:rPr>
          <w:rFonts w:ascii="Times New Roman" w:cs="Times New Roman" w:hint="eastAsia"/>
        </w:rPr>
        <w:t>应急预案备案文件</w:t>
      </w:r>
    </w:p>
    <w:p w:rsidR="00BD7293" w:rsidRPr="00D630D1" w:rsidRDefault="005608CB">
      <w:pPr>
        <w:ind w:firstLineChars="450" w:firstLine="1080"/>
        <w:rPr>
          <w:rFonts w:ascii="Times New Roman" w:cs="Times New Roman"/>
        </w:rPr>
      </w:pPr>
      <w:r w:rsidRPr="00D630D1">
        <w:rPr>
          <w:rFonts w:ascii="Times New Roman" w:cs="Times New Roman" w:hint="eastAsia"/>
        </w:rPr>
        <w:t>附件</w:t>
      </w:r>
      <w:r w:rsidR="0057458D" w:rsidRPr="00D630D1">
        <w:rPr>
          <w:rFonts w:ascii="Times New Roman" w:cs="Times New Roman" w:hint="eastAsia"/>
        </w:rPr>
        <w:t>1</w:t>
      </w:r>
      <w:r w:rsidR="00466139" w:rsidRPr="00D630D1">
        <w:rPr>
          <w:rFonts w:ascii="Times New Roman" w:cs="Times New Roman" w:hint="eastAsia"/>
        </w:rPr>
        <w:t>2</w:t>
      </w:r>
      <w:r w:rsidR="00BD7293" w:rsidRPr="00D630D1">
        <w:rPr>
          <w:rFonts w:ascii="Times New Roman" w:cs="Times New Roman" w:hint="eastAsia"/>
        </w:rPr>
        <w:t>大湾污水处理站监测报告</w:t>
      </w:r>
    </w:p>
    <w:p w:rsidR="00404320" w:rsidRPr="00D630D1" w:rsidRDefault="00404320">
      <w:pPr>
        <w:ind w:firstLineChars="450" w:firstLine="1080"/>
        <w:rPr>
          <w:rFonts w:ascii="Times New Roman" w:cs="Times New Roman"/>
        </w:rPr>
      </w:pPr>
      <w:r w:rsidRPr="00D630D1">
        <w:rPr>
          <w:rFonts w:ascii="Times New Roman" w:cs="Times New Roman" w:hint="eastAsia"/>
        </w:rPr>
        <w:t>附件</w:t>
      </w:r>
      <w:r w:rsidR="0057458D" w:rsidRPr="00D630D1">
        <w:rPr>
          <w:rFonts w:ascii="Times New Roman" w:cs="Times New Roman" w:hint="eastAsia"/>
        </w:rPr>
        <w:t>1</w:t>
      </w:r>
      <w:r w:rsidR="00466139" w:rsidRPr="00D630D1">
        <w:rPr>
          <w:rFonts w:ascii="Times New Roman" w:cs="Times New Roman" w:hint="eastAsia"/>
        </w:rPr>
        <w:t>3</w:t>
      </w:r>
      <w:r w:rsidR="00BD7293" w:rsidRPr="00D630D1">
        <w:rPr>
          <w:rFonts w:ascii="Times New Roman" w:cs="Times New Roman" w:hint="eastAsia"/>
        </w:rPr>
        <w:t>毛开</w:t>
      </w:r>
      <w:r w:rsidR="00BD7293" w:rsidRPr="00D630D1">
        <w:rPr>
          <w:rFonts w:ascii="Times New Roman" w:cs="Times New Roman" w:hint="eastAsia"/>
        </w:rPr>
        <w:t>1</w:t>
      </w:r>
      <w:r w:rsidR="00BD7293" w:rsidRPr="00D630D1">
        <w:rPr>
          <w:rFonts w:ascii="Times New Roman" w:cs="Times New Roman" w:hint="eastAsia"/>
        </w:rPr>
        <w:t>井回注站监测报告</w:t>
      </w:r>
    </w:p>
    <w:p w:rsidR="00404320" w:rsidRPr="00D630D1" w:rsidRDefault="00404320">
      <w:pPr>
        <w:ind w:firstLineChars="450" w:firstLine="1080"/>
        <w:rPr>
          <w:rFonts w:ascii="Times New Roman" w:cs="Times New Roman"/>
        </w:rPr>
      </w:pPr>
      <w:r w:rsidRPr="00D630D1">
        <w:rPr>
          <w:rFonts w:ascii="Times New Roman" w:cs="Times New Roman" w:hint="eastAsia"/>
        </w:rPr>
        <w:t>附件</w:t>
      </w:r>
      <w:r w:rsidR="0057458D" w:rsidRPr="00D630D1">
        <w:rPr>
          <w:rFonts w:ascii="Times New Roman" w:cs="Times New Roman" w:hint="eastAsia"/>
        </w:rPr>
        <w:t>1</w:t>
      </w:r>
      <w:r w:rsidR="00466139" w:rsidRPr="00D630D1">
        <w:rPr>
          <w:rFonts w:ascii="Times New Roman" w:cs="Times New Roman" w:hint="eastAsia"/>
        </w:rPr>
        <w:t>4</w:t>
      </w:r>
      <w:r w:rsidR="00BD7293" w:rsidRPr="00D630D1">
        <w:rPr>
          <w:rFonts w:ascii="Times New Roman" w:cs="Times New Roman" w:hint="eastAsia"/>
        </w:rPr>
        <w:t>达市府函〔</w:t>
      </w:r>
      <w:r w:rsidR="00BD7293" w:rsidRPr="00D630D1">
        <w:rPr>
          <w:rFonts w:ascii="Times New Roman" w:cs="Times New Roman" w:hint="eastAsia"/>
        </w:rPr>
        <w:t>2020</w:t>
      </w:r>
      <w:r w:rsidR="00BD7293" w:rsidRPr="00D630D1">
        <w:rPr>
          <w:rFonts w:ascii="Times New Roman" w:cs="Times New Roman" w:hint="eastAsia"/>
        </w:rPr>
        <w:t>〕</w:t>
      </w:r>
      <w:r w:rsidR="00BD7293" w:rsidRPr="00D630D1">
        <w:rPr>
          <w:rFonts w:ascii="Times New Roman" w:cs="Times New Roman" w:hint="eastAsia"/>
        </w:rPr>
        <w:t>124</w:t>
      </w:r>
      <w:r w:rsidR="00BD7293" w:rsidRPr="00D630D1">
        <w:rPr>
          <w:rFonts w:ascii="Times New Roman" w:cs="Times New Roman" w:hint="eastAsia"/>
        </w:rPr>
        <w:t>号关于划定万源市、宣汉县和大竹县乡镇及以下集中式饮用水水源地保护区的批复</w:t>
      </w:r>
    </w:p>
    <w:p w:rsidR="005608CB" w:rsidRPr="00D630D1" w:rsidRDefault="005608CB">
      <w:pPr>
        <w:ind w:firstLineChars="450" w:firstLine="1080"/>
        <w:rPr>
          <w:rFonts w:ascii="Times New Roman" w:cs="Times New Roman"/>
        </w:rPr>
      </w:pPr>
      <w:r w:rsidRPr="00D630D1">
        <w:rPr>
          <w:rFonts w:ascii="Times New Roman" w:cs="Times New Roman" w:hint="eastAsia"/>
        </w:rPr>
        <w:t>附件</w:t>
      </w:r>
      <w:r w:rsidR="00404320" w:rsidRPr="00D630D1">
        <w:rPr>
          <w:rFonts w:ascii="Times New Roman" w:cs="Times New Roman" w:hint="eastAsia"/>
        </w:rPr>
        <w:t>1</w:t>
      </w:r>
      <w:r w:rsidR="00466139" w:rsidRPr="00D630D1">
        <w:rPr>
          <w:rFonts w:ascii="Times New Roman" w:cs="Times New Roman" w:hint="eastAsia"/>
        </w:rPr>
        <w:t>5</w:t>
      </w:r>
      <w:r w:rsidR="00BD7293" w:rsidRPr="00D630D1">
        <w:rPr>
          <w:rFonts w:ascii="Times New Roman" w:cs="Times New Roman" w:hint="eastAsia"/>
        </w:rPr>
        <w:t>达市环办发〔</w:t>
      </w:r>
      <w:r w:rsidR="00BD7293" w:rsidRPr="00D630D1">
        <w:rPr>
          <w:rFonts w:ascii="Times New Roman" w:cs="Times New Roman" w:hint="eastAsia"/>
        </w:rPr>
        <w:t>2021</w:t>
      </w:r>
      <w:r w:rsidR="00BD7293" w:rsidRPr="00D630D1">
        <w:rPr>
          <w:rFonts w:ascii="Times New Roman" w:cs="Times New Roman" w:hint="eastAsia"/>
        </w:rPr>
        <w:t>〕</w:t>
      </w:r>
      <w:r w:rsidR="00BD7293" w:rsidRPr="00D630D1">
        <w:rPr>
          <w:rFonts w:ascii="Times New Roman" w:cs="Times New Roman" w:hint="eastAsia"/>
        </w:rPr>
        <w:t>24</w:t>
      </w:r>
      <w:r w:rsidR="00BD7293" w:rsidRPr="00D630D1">
        <w:rPr>
          <w:rFonts w:ascii="Times New Roman" w:cs="Times New Roman" w:hint="eastAsia"/>
        </w:rPr>
        <w:t>号</w:t>
      </w:r>
      <w:r w:rsidR="00BD7293" w:rsidRPr="00D630D1">
        <w:rPr>
          <w:rFonts w:ascii="Times New Roman" w:cs="Times New Roman" w:hint="eastAsia"/>
        </w:rPr>
        <w:t xml:space="preserve"> </w:t>
      </w:r>
      <w:r w:rsidR="00BD7293" w:rsidRPr="00D630D1">
        <w:rPr>
          <w:rFonts w:ascii="Times New Roman" w:cs="Times New Roman" w:hint="eastAsia"/>
        </w:rPr>
        <w:t>关于进一步加强固体废物污染防治工作的通知</w:t>
      </w:r>
    </w:p>
    <w:p w:rsidR="005608CB" w:rsidRPr="00D630D1" w:rsidRDefault="005608CB">
      <w:pPr>
        <w:ind w:firstLineChars="450" w:firstLine="1080"/>
        <w:rPr>
          <w:rFonts w:ascii="Times New Roman" w:cs="Times New Roman"/>
        </w:rPr>
      </w:pPr>
      <w:r w:rsidRPr="00D630D1">
        <w:rPr>
          <w:rFonts w:ascii="Times New Roman" w:cs="Times New Roman" w:hint="eastAsia"/>
        </w:rPr>
        <w:t>附件</w:t>
      </w:r>
      <w:r w:rsidR="00404320" w:rsidRPr="00D630D1">
        <w:rPr>
          <w:rFonts w:ascii="Times New Roman" w:cs="Times New Roman" w:hint="eastAsia"/>
        </w:rPr>
        <w:t>1</w:t>
      </w:r>
      <w:r w:rsidR="00466139" w:rsidRPr="00D630D1">
        <w:rPr>
          <w:rFonts w:ascii="Times New Roman" w:cs="Times New Roman" w:hint="eastAsia"/>
        </w:rPr>
        <w:t>6</w:t>
      </w:r>
      <w:r w:rsidR="00BD7293" w:rsidRPr="00D630D1">
        <w:rPr>
          <w:rFonts w:ascii="Times New Roman" w:cs="Times New Roman" w:hint="eastAsia"/>
        </w:rPr>
        <w:t>达市府发〔</w:t>
      </w:r>
      <w:r w:rsidR="00BD7293" w:rsidRPr="00D630D1">
        <w:rPr>
          <w:rFonts w:ascii="Times New Roman" w:cs="Times New Roman" w:hint="eastAsia"/>
        </w:rPr>
        <w:t>2021</w:t>
      </w:r>
      <w:r w:rsidR="00BD7293" w:rsidRPr="00D630D1">
        <w:rPr>
          <w:rFonts w:ascii="Times New Roman" w:cs="Times New Roman" w:hint="eastAsia"/>
        </w:rPr>
        <w:t>〕</w:t>
      </w:r>
      <w:r w:rsidR="00BD7293" w:rsidRPr="00D630D1">
        <w:rPr>
          <w:rFonts w:ascii="Times New Roman" w:cs="Times New Roman" w:hint="eastAsia"/>
        </w:rPr>
        <w:t>17</w:t>
      </w:r>
      <w:r w:rsidR="00BD7293" w:rsidRPr="00D630D1">
        <w:rPr>
          <w:rFonts w:ascii="Times New Roman" w:cs="Times New Roman" w:hint="eastAsia"/>
        </w:rPr>
        <w:t>号</w:t>
      </w:r>
    </w:p>
    <w:p w:rsidR="005608CB" w:rsidRPr="00D630D1" w:rsidRDefault="004475B5">
      <w:pPr>
        <w:ind w:firstLineChars="450" w:firstLine="1080"/>
        <w:rPr>
          <w:rFonts w:ascii="Times New Roman" w:cs="Times New Roman"/>
        </w:rPr>
      </w:pPr>
      <w:r w:rsidRPr="00D630D1">
        <w:rPr>
          <w:rFonts w:ascii="Times New Roman" w:cs="Times New Roman" w:hint="eastAsia"/>
        </w:rPr>
        <w:t>附件</w:t>
      </w:r>
      <w:r w:rsidR="007965B8" w:rsidRPr="00D630D1">
        <w:rPr>
          <w:rFonts w:ascii="Times New Roman" w:cs="Times New Roman" w:hint="eastAsia"/>
        </w:rPr>
        <w:t>1</w:t>
      </w:r>
      <w:r w:rsidR="00466139" w:rsidRPr="00D630D1">
        <w:rPr>
          <w:rFonts w:ascii="Times New Roman" w:cs="Times New Roman" w:hint="eastAsia"/>
        </w:rPr>
        <w:t>7</w:t>
      </w:r>
      <w:r w:rsidR="00BD7293" w:rsidRPr="00D630D1">
        <w:rPr>
          <w:rFonts w:ascii="Times New Roman" w:cs="Times New Roman" w:hint="eastAsia"/>
        </w:rPr>
        <w:t>水土流失重点保护区川水函</w:t>
      </w:r>
      <w:r w:rsidR="00BD7293" w:rsidRPr="00D630D1">
        <w:rPr>
          <w:rFonts w:ascii="Times New Roman" w:cs="Times New Roman" w:hint="eastAsia"/>
        </w:rPr>
        <w:t>[2017]482</w:t>
      </w:r>
      <w:r w:rsidR="00BD7293" w:rsidRPr="00D630D1">
        <w:rPr>
          <w:rFonts w:ascii="Times New Roman" w:cs="Times New Roman" w:hint="eastAsia"/>
        </w:rPr>
        <w:t>号</w:t>
      </w:r>
    </w:p>
    <w:p w:rsidR="004475B5" w:rsidRPr="00D630D1" w:rsidRDefault="00BD7293">
      <w:pPr>
        <w:ind w:firstLineChars="450" w:firstLine="1080"/>
        <w:rPr>
          <w:rFonts w:ascii="Times New Roman" w:cs="Times New Roman"/>
        </w:rPr>
      </w:pPr>
      <w:r w:rsidRPr="00D630D1">
        <w:rPr>
          <w:rFonts w:ascii="Times New Roman" w:cs="Times New Roman"/>
        </w:rPr>
        <w:t xml:space="preserve"> </w:t>
      </w:r>
    </w:p>
    <w:p w:rsidR="00117C3D" w:rsidRPr="00D630D1" w:rsidRDefault="008B5B84" w:rsidP="005608CB">
      <w:pPr>
        <w:ind w:firstLineChars="0" w:firstLine="0"/>
        <w:rPr>
          <w:rFonts w:ascii="Times New Roman" w:cs="Times New Roman"/>
          <w:b/>
          <w:bCs/>
        </w:rPr>
      </w:pPr>
      <w:r w:rsidRPr="00D630D1">
        <w:rPr>
          <w:rFonts w:ascii="Times New Roman" w:cs="Times New Roman"/>
          <w:b/>
          <w:bCs/>
        </w:rPr>
        <w:t>附</w:t>
      </w:r>
      <w:r w:rsidR="005608CB" w:rsidRPr="00D630D1">
        <w:rPr>
          <w:rFonts w:ascii="Times New Roman" w:cs="Times New Roman" w:hint="eastAsia"/>
          <w:b/>
          <w:bCs/>
        </w:rPr>
        <w:t xml:space="preserve"> </w:t>
      </w:r>
      <w:r w:rsidR="005608CB" w:rsidRPr="00D630D1">
        <w:rPr>
          <w:rFonts w:ascii="Times New Roman" w:cs="Times New Roman"/>
          <w:b/>
          <w:bCs/>
        </w:rPr>
        <w:t xml:space="preserve"> </w:t>
      </w:r>
      <w:r w:rsidRPr="00D630D1">
        <w:rPr>
          <w:rFonts w:ascii="Times New Roman" w:cs="Times New Roman"/>
          <w:b/>
          <w:bCs/>
        </w:rPr>
        <w:t>表：</w:t>
      </w:r>
    </w:p>
    <w:p w:rsidR="00117C3D" w:rsidRPr="00D630D1" w:rsidRDefault="008B5B84">
      <w:pPr>
        <w:ind w:firstLineChars="450" w:firstLine="1080"/>
        <w:rPr>
          <w:rFonts w:ascii="Times New Roman" w:cs="Times New Roman"/>
        </w:rPr>
      </w:pPr>
      <w:r w:rsidRPr="00D630D1">
        <w:rPr>
          <w:rFonts w:ascii="Times New Roman" w:cs="Times New Roman"/>
        </w:rPr>
        <w:t>附表</w:t>
      </w:r>
      <w:r w:rsidR="008F32C2" w:rsidRPr="00D630D1">
        <w:rPr>
          <w:rFonts w:ascii="Times New Roman" w:cs="Times New Roman"/>
        </w:rPr>
        <w:t xml:space="preserve"> </w:t>
      </w:r>
      <w:r w:rsidRPr="00D630D1">
        <w:rPr>
          <w:rFonts w:ascii="Times New Roman" w:cs="Times New Roman"/>
        </w:rPr>
        <w:t>建设项目环评审批基础信息表</w:t>
      </w:r>
    </w:p>
    <w:p w:rsidR="00117C3D" w:rsidRPr="00D630D1" w:rsidRDefault="00117C3D">
      <w:pPr>
        <w:ind w:firstLineChars="450" w:firstLine="1080"/>
        <w:rPr>
          <w:rFonts w:ascii="Times New Roman" w:cs="Times New Roman"/>
        </w:rPr>
        <w:sectPr w:rsidR="00117C3D" w:rsidRPr="00D630D1" w:rsidSect="00BA4F10">
          <w:headerReference w:type="even" r:id="rId13"/>
          <w:headerReference w:type="default" r:id="rId14"/>
          <w:footerReference w:type="even" r:id="rId15"/>
          <w:footerReference w:type="default" r:id="rId16"/>
          <w:headerReference w:type="first" r:id="rId17"/>
          <w:footerReference w:type="first" r:id="rId18"/>
          <w:pgSz w:w="11910" w:h="16840"/>
          <w:pgMar w:top="1280" w:right="1280" w:bottom="1300" w:left="1280" w:header="885" w:footer="1097" w:gutter="0"/>
          <w:pgNumType w:fmt="upperRoman" w:start="1"/>
          <w:cols w:space="720"/>
        </w:sectPr>
      </w:pPr>
    </w:p>
    <w:p w:rsidR="00117C3D" w:rsidRPr="00D630D1" w:rsidRDefault="008B5B84" w:rsidP="008B5B84">
      <w:pPr>
        <w:keepNext/>
        <w:keepLines/>
        <w:ind w:firstLineChars="0" w:firstLine="0"/>
        <w:jc w:val="left"/>
        <w:outlineLvl w:val="0"/>
        <w:rPr>
          <w:rFonts w:ascii="Times New Roman" w:cs="Times New Roman"/>
          <w:kern w:val="44"/>
          <w:sz w:val="32"/>
          <w:szCs w:val="44"/>
        </w:rPr>
      </w:pPr>
      <w:bookmarkStart w:id="11" w:name="_Toc81515242"/>
      <w:r w:rsidRPr="00D630D1">
        <w:rPr>
          <w:rFonts w:ascii="Times New Roman" w:cs="Times New Roman"/>
          <w:b/>
          <w:kern w:val="44"/>
          <w:sz w:val="32"/>
          <w:szCs w:val="44"/>
        </w:rPr>
        <w:lastRenderedPageBreak/>
        <w:t>概述</w:t>
      </w:r>
      <w:bookmarkEnd w:id="0"/>
      <w:bookmarkEnd w:id="11"/>
    </w:p>
    <w:p w:rsidR="00117C3D" w:rsidRPr="00D630D1" w:rsidRDefault="008B5B84" w:rsidP="006E46FC">
      <w:pPr>
        <w:keepNext/>
        <w:keepLines/>
        <w:spacing w:before="120"/>
        <w:ind w:firstLineChars="0" w:firstLine="0"/>
        <w:outlineLvl w:val="1"/>
        <w:rPr>
          <w:rFonts w:ascii="Times New Roman" w:cs="Times New Roman"/>
          <w:b/>
          <w:bCs/>
          <w:sz w:val="28"/>
          <w:szCs w:val="32"/>
        </w:rPr>
      </w:pPr>
      <w:bookmarkStart w:id="12" w:name="_Toc19815913"/>
      <w:bookmarkStart w:id="13" w:name="_Toc81515243"/>
      <w:r w:rsidRPr="00D630D1">
        <w:rPr>
          <w:rFonts w:ascii="Times New Roman" w:cs="Times New Roman"/>
          <w:b/>
          <w:bCs/>
          <w:sz w:val="28"/>
          <w:szCs w:val="32"/>
        </w:rPr>
        <w:t>一、项目由来</w:t>
      </w:r>
      <w:bookmarkEnd w:id="12"/>
      <w:bookmarkEnd w:id="13"/>
    </w:p>
    <w:p w:rsidR="00D630D1" w:rsidRPr="00D630D1" w:rsidRDefault="00D630D1" w:rsidP="00D630D1">
      <w:pPr>
        <w:pStyle w:val="afa"/>
        <w:ind w:firstLine="480"/>
      </w:pPr>
      <w:bookmarkStart w:id="14" w:name="_Hlk81418990"/>
      <w:bookmarkStart w:id="15" w:name="_Hlk52829788"/>
      <w:r w:rsidRPr="00D630D1">
        <w:rPr>
          <w:rFonts w:hint="eastAsia"/>
        </w:rPr>
        <w:t>普光气田是中石化川渝地区最大的气源，也是国内首个被成功开发的高含硫千亿方大型气田，是川气东送工程气源主产地。普光气田位于川东北达县－宣汉区块，矿权区面积</w:t>
      </w:r>
      <w:r w:rsidRPr="00D630D1">
        <w:t>1116.08k</w:t>
      </w:r>
      <w:r>
        <w:rPr>
          <w:rFonts w:hint="eastAsia"/>
        </w:rPr>
        <w:t>m</w:t>
      </w:r>
      <w:r>
        <w:rPr>
          <w:rFonts w:hint="eastAsia"/>
          <w:vertAlign w:val="superscript"/>
        </w:rPr>
        <w:t>2</w:t>
      </w:r>
      <w:r w:rsidRPr="00D630D1">
        <w:rPr>
          <w:rFonts w:hint="eastAsia"/>
        </w:rPr>
        <w:t>，天然气总资源量</w:t>
      </w:r>
      <w:r w:rsidRPr="00D630D1">
        <w:t>10259.8</w:t>
      </w:r>
      <w:r w:rsidRPr="00D630D1">
        <w:rPr>
          <w:rFonts w:hint="eastAsia"/>
        </w:rPr>
        <w:t>亿</w:t>
      </w:r>
      <w:r>
        <w:rPr>
          <w:rFonts w:hint="eastAsia"/>
        </w:rPr>
        <w:t>m</w:t>
      </w:r>
      <w:r w:rsidRPr="00D630D1">
        <w:rPr>
          <w:rFonts w:hint="eastAsia"/>
          <w:vertAlign w:val="superscript"/>
        </w:rPr>
        <w:t>3</w:t>
      </w:r>
      <w:r w:rsidRPr="00D630D1">
        <w:rPr>
          <w:rFonts w:hint="eastAsia"/>
        </w:rPr>
        <w:t>，包括普光主体、毛坝、大湾、老君山等共计</w:t>
      </w:r>
      <w:r w:rsidRPr="00D630D1">
        <w:t>16</w:t>
      </w:r>
      <w:r w:rsidRPr="00D630D1">
        <w:rPr>
          <w:rFonts w:hint="eastAsia"/>
        </w:rPr>
        <w:t>个构造。</w:t>
      </w:r>
    </w:p>
    <w:p w:rsidR="00D630D1" w:rsidRDefault="00D630D1" w:rsidP="00D630D1">
      <w:pPr>
        <w:pStyle w:val="afa"/>
        <w:ind w:firstLine="480"/>
      </w:pPr>
      <w:r w:rsidRPr="00D630D1">
        <w:rPr>
          <w:rFonts w:hint="eastAsia"/>
        </w:rPr>
        <w:t>普光气田主体和大湾区块已投入开发，清溪、双庙和普光陆相气藏进行试采间歇生产。共动用天然气地质储量</w:t>
      </w:r>
      <w:r w:rsidRPr="00D630D1">
        <w:t>2634.05×10</w:t>
      </w:r>
      <w:r w:rsidRPr="00D630D1">
        <w:rPr>
          <w:vertAlign w:val="superscript"/>
        </w:rPr>
        <w:t>8</w:t>
      </w:r>
      <w:r>
        <w:rPr>
          <w:rFonts w:hint="eastAsia"/>
        </w:rPr>
        <w:t>m</w:t>
      </w:r>
      <w:r w:rsidRPr="00D630D1">
        <w:rPr>
          <w:rFonts w:hint="eastAsia"/>
          <w:vertAlign w:val="superscript"/>
        </w:rPr>
        <w:t>3</w:t>
      </w:r>
      <w:r w:rsidRPr="00D630D1">
        <w:rPr>
          <w:rFonts w:hint="eastAsia"/>
        </w:rPr>
        <w:t>，可采储量</w:t>
      </w:r>
      <w:r w:rsidRPr="00D630D1">
        <w:t>1548.75×10</w:t>
      </w:r>
      <w:r w:rsidRPr="00D630D1">
        <w:rPr>
          <w:vertAlign w:val="superscript"/>
        </w:rPr>
        <w:t>8</w:t>
      </w:r>
      <w:r>
        <w:rPr>
          <w:rFonts w:hint="eastAsia"/>
        </w:rPr>
        <w:t>m</w:t>
      </w:r>
      <w:r w:rsidRPr="00D630D1">
        <w:rPr>
          <w:rFonts w:hint="eastAsia"/>
          <w:vertAlign w:val="superscript"/>
        </w:rPr>
        <w:t>3</w:t>
      </w:r>
      <w:r w:rsidRPr="00D630D1">
        <w:rPr>
          <w:rFonts w:hint="eastAsia"/>
        </w:rPr>
        <w:t>，已开发气藏剩余天然气可采储量</w:t>
      </w:r>
      <w:r w:rsidRPr="00D630D1">
        <w:t>726.3×10</w:t>
      </w:r>
      <w:r w:rsidRPr="00D630D1">
        <w:rPr>
          <w:vertAlign w:val="superscript"/>
        </w:rPr>
        <w:t>8</w:t>
      </w:r>
      <w:r>
        <w:rPr>
          <w:rFonts w:hint="eastAsia"/>
        </w:rPr>
        <w:t>m</w:t>
      </w:r>
      <w:r w:rsidRPr="00D630D1">
        <w:rPr>
          <w:rFonts w:hint="eastAsia"/>
          <w:vertAlign w:val="superscript"/>
        </w:rPr>
        <w:t>3</w:t>
      </w:r>
      <w:r w:rsidRPr="00D630D1">
        <w:rPr>
          <w:rFonts w:hint="eastAsia"/>
        </w:rPr>
        <w:t>，未动用天然气地质储量</w:t>
      </w:r>
      <w:r w:rsidRPr="00D630D1">
        <w:t>1487.68×10</w:t>
      </w:r>
      <w:r w:rsidRPr="00D630D1">
        <w:rPr>
          <w:vertAlign w:val="superscript"/>
        </w:rPr>
        <w:t>8</w:t>
      </w:r>
      <w:r>
        <w:rPr>
          <w:rFonts w:hint="eastAsia"/>
        </w:rPr>
        <w:t>m</w:t>
      </w:r>
      <w:r w:rsidRPr="00D630D1">
        <w:rPr>
          <w:rFonts w:hint="eastAsia"/>
          <w:vertAlign w:val="superscript"/>
        </w:rPr>
        <w:t>3</w:t>
      </w:r>
      <w:r>
        <w:rPr>
          <w:rFonts w:hint="eastAsia"/>
        </w:rPr>
        <w:t>。</w:t>
      </w:r>
    </w:p>
    <w:p w:rsidR="00D630D1" w:rsidRPr="00DF0037" w:rsidRDefault="00D630D1" w:rsidP="00272A45">
      <w:pPr>
        <w:pStyle w:val="afa"/>
        <w:ind w:firstLine="480"/>
      </w:pPr>
      <w:r w:rsidRPr="000819D9">
        <w:t>为了进一步服务普光气田普光主体区块的开发，</w:t>
      </w:r>
      <w:r w:rsidRPr="000819D9">
        <w:rPr>
          <w:rFonts w:hint="eastAsia"/>
        </w:rPr>
        <w:t>配合开发部门完成气井产量等评估工作，以满足对普光陆相气藏勘探评价的需求，</w:t>
      </w:r>
      <w:r w:rsidR="004C05C7" w:rsidRPr="004C05C7">
        <w:rPr>
          <w:rFonts w:hint="eastAsia"/>
        </w:rPr>
        <w:t>探索试验“井工厂”开发模式</w:t>
      </w:r>
      <w:r w:rsidR="004C05C7">
        <w:rPr>
          <w:rFonts w:hint="eastAsia"/>
        </w:rPr>
        <w:t>，</w:t>
      </w:r>
      <w:r w:rsidRPr="000819D9">
        <w:rPr>
          <w:rFonts w:hint="eastAsia"/>
        </w:rPr>
        <w:t>同时为后续普光陆相气井的规模性开发提供现场经验，</w:t>
      </w:r>
      <w:r w:rsidR="00DF0037" w:rsidRPr="00DF0037">
        <w:rPr>
          <w:rFonts w:hint="eastAsia"/>
        </w:rPr>
        <w:t>填补普光气田陆相凝析气藏开发的空白</w:t>
      </w:r>
      <w:r w:rsidR="00DF0037">
        <w:rPr>
          <w:rFonts w:hint="eastAsia"/>
        </w:rPr>
        <w:t>，</w:t>
      </w:r>
      <w:r w:rsidRPr="000819D9">
        <w:rPr>
          <w:rFonts w:hint="eastAsia"/>
        </w:rPr>
        <w:t>逐步形成标准化设计</w:t>
      </w:r>
      <w:r w:rsidRPr="000819D9">
        <w:t>，中国石油化工股份有限公司中原油田普光分公司</w:t>
      </w:r>
      <w:r w:rsidRPr="000819D9">
        <w:rPr>
          <w:rFonts w:hint="eastAsia"/>
        </w:rPr>
        <w:t>拟</w:t>
      </w:r>
      <w:r w:rsidRPr="000819D9">
        <w:t>实施新建</w:t>
      </w:r>
      <w:r w:rsidR="00DF0037" w:rsidRPr="00DF0037">
        <w:t>普光气田普陆页</w:t>
      </w:r>
      <w:r w:rsidR="00DF0037" w:rsidRPr="00DF0037">
        <w:t>1</w:t>
      </w:r>
      <w:r w:rsidR="00DF0037" w:rsidRPr="00DF0037">
        <w:t>试验井组项目</w:t>
      </w:r>
      <w:r w:rsidRPr="000819D9">
        <w:rPr>
          <w:rFonts w:hint="eastAsia"/>
        </w:rPr>
        <w:t>，试采普光陆相气藏，为期</w:t>
      </w:r>
      <w:r w:rsidRPr="000819D9">
        <w:rPr>
          <w:rFonts w:hint="eastAsia"/>
        </w:rPr>
        <w:t>2</w:t>
      </w:r>
      <w:r w:rsidRPr="000819D9">
        <w:rPr>
          <w:rFonts w:hint="eastAsia"/>
        </w:rPr>
        <w:t>年，为下一步</w:t>
      </w:r>
      <w:r w:rsidRPr="000819D9">
        <w:t>普光主体</w:t>
      </w:r>
      <w:r w:rsidRPr="000819D9">
        <w:rPr>
          <w:rFonts w:hint="eastAsia"/>
        </w:rPr>
        <w:t>区块开发做准备</w:t>
      </w:r>
      <w:r>
        <w:rPr>
          <w:rFonts w:hint="eastAsia"/>
        </w:rPr>
        <w:t>。</w:t>
      </w:r>
      <w:r w:rsidRPr="00DF0037">
        <w:rPr>
          <w:rFonts w:hint="eastAsia"/>
        </w:rPr>
        <w:t>本项目</w:t>
      </w:r>
      <w:r w:rsidRPr="00DF0037">
        <w:t>试采期结束后</w:t>
      </w:r>
      <w:r w:rsidRPr="00DF0037">
        <w:rPr>
          <w:rFonts w:hint="eastAsia"/>
        </w:rPr>
        <w:t>，若能够满足后期</w:t>
      </w:r>
      <w:r w:rsidRPr="00DF0037">
        <w:t>普光主体</w:t>
      </w:r>
      <w:r w:rsidRPr="00DF0037">
        <w:rPr>
          <w:rFonts w:hint="eastAsia"/>
        </w:rPr>
        <w:t>区块开发需要，则现有设施设备继续服务于</w:t>
      </w:r>
      <w:r w:rsidRPr="00DF0037">
        <w:t>普光主体</w:t>
      </w:r>
      <w:r w:rsidRPr="00DF0037">
        <w:rPr>
          <w:rFonts w:hint="eastAsia"/>
        </w:rPr>
        <w:t>区块开发，并需按照区块开发相关要求另行办理相关环保手续</w:t>
      </w:r>
      <w:r w:rsidRPr="00DF0037">
        <w:t>。</w:t>
      </w:r>
    </w:p>
    <w:p w:rsidR="00055EC3" w:rsidRPr="00D630D1" w:rsidRDefault="0095646F" w:rsidP="00272A45">
      <w:pPr>
        <w:pStyle w:val="afa"/>
        <w:ind w:firstLine="480"/>
      </w:pPr>
      <w:bookmarkStart w:id="16" w:name="OLE_LINK40"/>
      <w:bookmarkStart w:id="17" w:name="_Hlk80477079"/>
      <w:r w:rsidRPr="000819D9">
        <w:rPr>
          <w:rFonts w:hint="eastAsia"/>
        </w:rPr>
        <w:t>根据开发部署试采方案，</w:t>
      </w:r>
      <w:r>
        <w:rPr>
          <w:rFonts w:hint="eastAsia"/>
        </w:rPr>
        <w:t>本次在普光陆相气藏新建普光</w:t>
      </w:r>
      <w:r>
        <w:rPr>
          <w:rFonts w:hint="eastAsia"/>
        </w:rPr>
        <w:t>12</w:t>
      </w:r>
      <w:r w:rsidR="002F5050">
        <w:rPr>
          <w:rFonts w:hint="eastAsia"/>
        </w:rPr>
        <w:t>采气平台</w:t>
      </w:r>
      <w:r w:rsidR="002F5050">
        <w:rPr>
          <w:rFonts w:hint="eastAsia"/>
        </w:rPr>
        <w:t>1</w:t>
      </w:r>
      <w:r w:rsidR="002F5050">
        <w:rPr>
          <w:rFonts w:hint="eastAsia"/>
        </w:rPr>
        <w:t>座</w:t>
      </w:r>
      <w:r>
        <w:rPr>
          <w:rFonts w:hint="eastAsia"/>
        </w:rPr>
        <w:t>，</w:t>
      </w:r>
      <w:r w:rsidR="002F5050">
        <w:rPr>
          <w:rFonts w:hint="eastAsia"/>
        </w:rPr>
        <w:t>部署</w:t>
      </w:r>
      <w:r>
        <w:rPr>
          <w:rFonts w:hint="eastAsia"/>
        </w:rPr>
        <w:t>页岩气井</w:t>
      </w:r>
      <w:r>
        <w:rPr>
          <w:rFonts w:hint="eastAsia"/>
        </w:rPr>
        <w:t>6</w:t>
      </w:r>
      <w:r>
        <w:rPr>
          <w:rFonts w:hint="eastAsia"/>
        </w:rPr>
        <w:t>口（普陆页</w:t>
      </w:r>
      <w:r>
        <w:rPr>
          <w:rFonts w:hint="eastAsia"/>
        </w:rPr>
        <w:t>1-1~6</w:t>
      </w:r>
      <w:r>
        <w:rPr>
          <w:rFonts w:hint="eastAsia"/>
        </w:rPr>
        <w:t>）</w:t>
      </w:r>
      <w:r w:rsidR="001F1370">
        <w:rPr>
          <w:rFonts w:hint="eastAsia"/>
        </w:rPr>
        <w:t>和</w:t>
      </w:r>
      <w:r w:rsidR="001F1370" w:rsidRPr="001F1370">
        <w:rPr>
          <w:rFonts w:hint="eastAsia"/>
        </w:rPr>
        <w:t>普陆</w:t>
      </w:r>
      <w:r w:rsidR="001F1370" w:rsidRPr="001F1370">
        <w:rPr>
          <w:rFonts w:hint="eastAsia"/>
        </w:rPr>
        <w:t>3-1</w:t>
      </w:r>
      <w:r w:rsidR="001F1370" w:rsidRPr="001F1370">
        <w:rPr>
          <w:rFonts w:hint="eastAsia"/>
        </w:rPr>
        <w:t>井、普陆</w:t>
      </w:r>
      <w:r w:rsidR="001F1370" w:rsidRPr="001F1370">
        <w:rPr>
          <w:rFonts w:hint="eastAsia"/>
        </w:rPr>
        <w:t>3-2</w:t>
      </w:r>
      <w:r w:rsidR="001F1370" w:rsidRPr="001F1370">
        <w:rPr>
          <w:rFonts w:hint="eastAsia"/>
        </w:rPr>
        <w:t>井</w:t>
      </w:r>
      <w:r w:rsidR="001F1370">
        <w:rPr>
          <w:rFonts w:hint="eastAsia"/>
        </w:rPr>
        <w:t>，其中</w:t>
      </w:r>
      <w:r w:rsidR="001F1370" w:rsidRPr="001F1370">
        <w:rPr>
          <w:rFonts w:hint="eastAsia"/>
        </w:rPr>
        <w:t>普陆</w:t>
      </w:r>
      <w:r w:rsidR="001F1370" w:rsidRPr="001F1370">
        <w:rPr>
          <w:rFonts w:hint="eastAsia"/>
        </w:rPr>
        <w:t>3-1</w:t>
      </w:r>
      <w:r w:rsidR="001F1370" w:rsidRPr="001F1370">
        <w:rPr>
          <w:rFonts w:hint="eastAsia"/>
        </w:rPr>
        <w:t>井、普陆</w:t>
      </w:r>
      <w:r w:rsidR="001F1370" w:rsidRPr="001F1370">
        <w:rPr>
          <w:rFonts w:hint="eastAsia"/>
        </w:rPr>
        <w:t>3-2</w:t>
      </w:r>
      <w:r w:rsidR="001F1370" w:rsidRPr="001F1370">
        <w:rPr>
          <w:rFonts w:hint="eastAsia"/>
        </w:rPr>
        <w:t>井</w:t>
      </w:r>
      <w:r w:rsidR="001F1370">
        <w:rPr>
          <w:rFonts w:hint="eastAsia"/>
        </w:rPr>
        <w:t>建设内容不在本次评价范围内</w:t>
      </w:r>
      <w:r w:rsidRPr="000819D9">
        <w:rPr>
          <w:rFonts w:hint="eastAsia"/>
        </w:rPr>
        <w:t>。预计</w:t>
      </w:r>
      <w:r w:rsidR="002F5050">
        <w:rPr>
          <w:rFonts w:hint="eastAsia"/>
        </w:rPr>
        <w:t>6</w:t>
      </w:r>
      <w:r w:rsidRPr="000819D9">
        <w:rPr>
          <w:rFonts w:hint="eastAsia"/>
        </w:rPr>
        <w:t>口陆相气井试采</w:t>
      </w:r>
      <w:r w:rsidRPr="000819D9">
        <w:t>2</w:t>
      </w:r>
      <w:r w:rsidRPr="000819D9">
        <w:rPr>
          <w:rFonts w:hint="eastAsia"/>
        </w:rPr>
        <w:t>年，</w:t>
      </w:r>
      <w:r w:rsidR="002F5050" w:rsidRPr="002F5050">
        <w:rPr>
          <w:rFonts w:hint="eastAsia"/>
        </w:rPr>
        <w:t>设计规模</w:t>
      </w:r>
      <w:r w:rsidR="002F5050" w:rsidRPr="002F5050">
        <w:t>60</w:t>
      </w:r>
      <w:r w:rsidR="002F5050" w:rsidRPr="002F5050">
        <w:rPr>
          <w:rFonts w:hint="eastAsia"/>
        </w:rPr>
        <w:t>万立方米</w:t>
      </w:r>
      <w:r w:rsidR="002F5050" w:rsidRPr="002F5050">
        <w:t>/</w:t>
      </w:r>
      <w:r w:rsidR="002F5050" w:rsidRPr="002F5050">
        <w:rPr>
          <w:rFonts w:hint="eastAsia"/>
        </w:rPr>
        <w:t>天</w:t>
      </w:r>
      <w:r w:rsidRPr="000819D9">
        <w:rPr>
          <w:rFonts w:hint="eastAsia"/>
        </w:rPr>
        <w:t>。</w:t>
      </w:r>
      <w:r w:rsidR="00055EC3" w:rsidRPr="00D630D1">
        <w:t>具体</w:t>
      </w:r>
      <w:r w:rsidR="00042195" w:rsidRPr="00D630D1">
        <w:t>建设内容为</w:t>
      </w:r>
      <w:r w:rsidR="00055EC3" w:rsidRPr="00D630D1">
        <w:t>：</w:t>
      </w:r>
    </w:p>
    <w:p w:rsidR="0043787D" w:rsidRPr="00D630D1" w:rsidRDefault="00055EC3" w:rsidP="002330C4">
      <w:pPr>
        <w:pStyle w:val="afa"/>
        <w:ind w:firstLine="480"/>
      </w:pPr>
      <w:bookmarkStart w:id="18" w:name="OLE_LINK98"/>
      <w:bookmarkStart w:id="19" w:name="OLE_LINK145"/>
      <w:bookmarkStart w:id="20" w:name="OLE_LINK281"/>
      <w:bookmarkStart w:id="21" w:name="_Hlk80437017"/>
      <w:r w:rsidRPr="00D630D1">
        <w:t>（</w:t>
      </w:r>
      <w:r w:rsidRPr="00D630D1">
        <w:t>1</w:t>
      </w:r>
      <w:r w:rsidRPr="00D630D1">
        <w:t>）</w:t>
      </w:r>
      <w:r w:rsidR="0043787D" w:rsidRPr="00D630D1">
        <w:rPr>
          <w:rFonts w:hint="eastAsia"/>
        </w:rPr>
        <w:t>气藏地质与气藏工程</w:t>
      </w:r>
    </w:p>
    <w:p w:rsidR="0043787D" w:rsidRDefault="00C2778A" w:rsidP="00C2778A">
      <w:pPr>
        <w:pStyle w:val="afa"/>
        <w:ind w:firstLine="480"/>
      </w:pPr>
      <w:r w:rsidRPr="00C2778A">
        <w:rPr>
          <w:rFonts w:hint="eastAsia"/>
        </w:rPr>
        <w:t>在充分开展普陆页</w:t>
      </w:r>
      <w:r w:rsidRPr="00C2778A">
        <w:t xml:space="preserve">1 </w:t>
      </w:r>
      <w:r w:rsidRPr="00C2778A">
        <w:rPr>
          <w:rFonts w:hint="eastAsia"/>
        </w:rPr>
        <w:t>井试采跟踪分析的基础上，综合考虑地质工程一体化、地面地下一体化，优选普光东向斜普光</w:t>
      </w:r>
      <w:r w:rsidRPr="00C2778A">
        <w:t>12</w:t>
      </w:r>
      <w:r w:rsidRPr="00C2778A">
        <w:rPr>
          <w:rFonts w:hint="eastAsia"/>
        </w:rPr>
        <w:t>井区，采用“井工厂”开发模式，部署先导试验井组，目的为论证凝析气藏开发技术政策合理性（水平段长度、井距、穿行靶窗等），论证优快钻井可靠性，压裂改造及采气工艺适应性，探索“井工厂”模式提速降本增效，为整体效益开发奠定基础</w:t>
      </w:r>
      <w:r w:rsidR="0043787D" w:rsidRPr="00D630D1">
        <w:rPr>
          <w:rFonts w:hint="eastAsia"/>
        </w:rPr>
        <w:t>。</w:t>
      </w:r>
    </w:p>
    <w:p w:rsidR="00C2778A" w:rsidRPr="00C2778A" w:rsidRDefault="00C2778A" w:rsidP="00C2778A">
      <w:pPr>
        <w:pStyle w:val="afa"/>
        <w:ind w:firstLine="480"/>
      </w:pPr>
      <w:r w:rsidRPr="00C2778A">
        <w:rPr>
          <w:rFonts w:hint="eastAsia"/>
        </w:rPr>
        <w:t>试验井组部署井位</w:t>
      </w:r>
      <w:r w:rsidRPr="00C2778A">
        <w:t>6</w:t>
      </w:r>
      <w:r w:rsidRPr="00C2778A">
        <w:rPr>
          <w:rFonts w:hint="eastAsia"/>
        </w:rPr>
        <w:t>口，南北方向各</w:t>
      </w:r>
      <w:r w:rsidRPr="00C2778A">
        <w:t>3</w:t>
      </w:r>
      <w:r w:rsidRPr="00C2778A">
        <w:rPr>
          <w:rFonts w:hint="eastAsia"/>
        </w:rPr>
        <w:t>口，井距</w:t>
      </w:r>
      <w:r w:rsidRPr="00C2778A">
        <w:t>300</w:t>
      </w:r>
      <w:r w:rsidRPr="00C2778A">
        <w:rPr>
          <w:rFonts w:hint="eastAsia"/>
        </w:rPr>
        <w:t>米。其中北边</w:t>
      </w:r>
      <w:r w:rsidRPr="00C2778A">
        <w:t>3</w:t>
      </w:r>
      <w:r w:rsidRPr="00C2778A">
        <w:rPr>
          <w:rFonts w:hint="eastAsia"/>
        </w:rPr>
        <w:t>口普陆页</w:t>
      </w:r>
      <w:r w:rsidRPr="00C2778A">
        <w:t>1-1</w:t>
      </w:r>
      <w:r w:rsidRPr="00C2778A">
        <w:rPr>
          <w:rFonts w:hint="eastAsia"/>
        </w:rPr>
        <w:t>、普陆页</w:t>
      </w:r>
      <w:r w:rsidRPr="00C2778A">
        <w:t>1-2</w:t>
      </w:r>
      <w:r w:rsidRPr="00C2778A">
        <w:rPr>
          <w:rFonts w:hint="eastAsia"/>
        </w:rPr>
        <w:t>、普陆页</w:t>
      </w:r>
      <w:r w:rsidRPr="00C2778A">
        <w:t>1-3</w:t>
      </w:r>
      <w:r w:rsidRPr="00C2778A">
        <w:rPr>
          <w:rFonts w:hint="eastAsia"/>
        </w:rPr>
        <w:t>井，水平段长度均为</w:t>
      </w:r>
      <w:r w:rsidRPr="00C2778A">
        <w:t>2000</w:t>
      </w:r>
      <w:r w:rsidRPr="00C2778A">
        <w:rPr>
          <w:rFonts w:hint="eastAsia"/>
        </w:rPr>
        <w:t>米，以论证穿行层位为主；南边</w:t>
      </w:r>
      <w:r w:rsidRPr="00C2778A">
        <w:t>3</w:t>
      </w:r>
      <w:r w:rsidRPr="00C2778A">
        <w:rPr>
          <w:rFonts w:hint="eastAsia"/>
        </w:rPr>
        <w:t>口普陆页</w:t>
      </w:r>
      <w:r w:rsidRPr="00C2778A">
        <w:t>1-4</w:t>
      </w:r>
      <w:r w:rsidRPr="00C2778A">
        <w:rPr>
          <w:rFonts w:hint="eastAsia"/>
        </w:rPr>
        <w:t>、普陆页</w:t>
      </w:r>
      <w:r w:rsidRPr="00C2778A">
        <w:t>1-5</w:t>
      </w:r>
      <w:r w:rsidRPr="00C2778A">
        <w:rPr>
          <w:rFonts w:hint="eastAsia"/>
        </w:rPr>
        <w:t>、普陆页</w:t>
      </w:r>
      <w:r w:rsidRPr="00C2778A">
        <w:t>1-6</w:t>
      </w:r>
      <w:r w:rsidRPr="00C2778A">
        <w:rPr>
          <w:rFonts w:hint="eastAsia"/>
        </w:rPr>
        <w:t>井，水平段长度分别为</w:t>
      </w:r>
      <w:r w:rsidRPr="00C2778A">
        <w:t>2700</w:t>
      </w:r>
      <w:r w:rsidRPr="00C2778A">
        <w:rPr>
          <w:rFonts w:hint="eastAsia"/>
        </w:rPr>
        <w:t>米、</w:t>
      </w:r>
      <w:r w:rsidRPr="00C2778A">
        <w:t>3000</w:t>
      </w:r>
      <w:r w:rsidRPr="00C2778A">
        <w:rPr>
          <w:rFonts w:hint="eastAsia"/>
        </w:rPr>
        <w:t>米和</w:t>
      </w:r>
      <w:r w:rsidRPr="00C2778A">
        <w:t>3000</w:t>
      </w:r>
      <w:r w:rsidRPr="00C2778A">
        <w:rPr>
          <w:rFonts w:hint="eastAsia"/>
        </w:rPr>
        <w:t>米，以</w:t>
      </w:r>
      <w:r w:rsidRPr="00C2778A">
        <w:rPr>
          <w:rFonts w:hint="eastAsia"/>
        </w:rPr>
        <w:lastRenderedPageBreak/>
        <w:t>论证长水平段产能效果为主。试验井组方案预计动用天然气地质储量</w:t>
      </w:r>
      <w:r w:rsidRPr="00C2778A">
        <w:t>12.14</w:t>
      </w:r>
      <w:r w:rsidRPr="00C2778A">
        <w:rPr>
          <w:rFonts w:hint="eastAsia"/>
        </w:rPr>
        <w:t>亿立方米，凝析油地质储量</w:t>
      </w:r>
      <w:r w:rsidRPr="00C2778A">
        <w:t>4.84</w:t>
      </w:r>
      <w:r w:rsidRPr="00C2778A">
        <w:rPr>
          <w:rFonts w:hint="eastAsia"/>
        </w:rPr>
        <w:t>万吨。预测单井</w:t>
      </w:r>
      <w:r w:rsidRPr="00C2778A">
        <w:t>EUR1.01</w:t>
      </w:r>
      <w:r w:rsidRPr="00C2778A">
        <w:rPr>
          <w:rFonts w:hint="eastAsia"/>
        </w:rPr>
        <w:t>～</w:t>
      </w:r>
      <w:r w:rsidRPr="00C2778A">
        <w:t>1.39</w:t>
      </w:r>
      <w:r w:rsidRPr="00C2778A">
        <w:rPr>
          <w:rFonts w:hint="eastAsia"/>
        </w:rPr>
        <w:t>亿立方米，凝析油</w:t>
      </w:r>
      <w:r w:rsidRPr="00C2778A">
        <w:t>0.61</w:t>
      </w:r>
      <w:r w:rsidRPr="00C2778A">
        <w:rPr>
          <w:rFonts w:hint="eastAsia"/>
        </w:rPr>
        <w:t>～</w:t>
      </w:r>
      <w:r w:rsidRPr="00C2778A">
        <w:t>0.85</w:t>
      </w:r>
      <w:r w:rsidRPr="00C2778A">
        <w:rPr>
          <w:rFonts w:hint="eastAsia"/>
        </w:rPr>
        <w:t>万吨。</w:t>
      </w:r>
    </w:p>
    <w:p w:rsidR="0043787D" w:rsidRPr="00D630D1" w:rsidRDefault="0043787D" w:rsidP="002330C4">
      <w:pPr>
        <w:pStyle w:val="afa"/>
        <w:ind w:firstLine="480"/>
      </w:pPr>
      <w:r w:rsidRPr="00D630D1">
        <w:t>（</w:t>
      </w:r>
      <w:r w:rsidRPr="00D630D1">
        <w:t>2</w:t>
      </w:r>
      <w:r w:rsidRPr="00D630D1">
        <w:t>）</w:t>
      </w:r>
      <w:r w:rsidRPr="00D630D1">
        <w:rPr>
          <w:rFonts w:hint="eastAsia"/>
        </w:rPr>
        <w:t>钻前工程</w:t>
      </w:r>
    </w:p>
    <w:p w:rsidR="0043787D" w:rsidRPr="00D630D1" w:rsidRDefault="00C2778A" w:rsidP="00C2778A">
      <w:pPr>
        <w:pStyle w:val="afa"/>
        <w:ind w:firstLine="480"/>
      </w:pPr>
      <w:r w:rsidRPr="00C2778A">
        <w:rPr>
          <w:rFonts w:hint="eastAsia"/>
        </w:rPr>
        <w:t>利用原普光</w:t>
      </w:r>
      <w:r w:rsidRPr="00C2778A">
        <w:t>12</w:t>
      </w:r>
      <w:r w:rsidRPr="00C2778A">
        <w:rPr>
          <w:rFonts w:hint="eastAsia"/>
        </w:rPr>
        <w:t>井场，新建方井</w:t>
      </w:r>
      <w:r w:rsidRPr="00C2778A">
        <w:t>6</w:t>
      </w:r>
      <w:r w:rsidRPr="00C2778A">
        <w:rPr>
          <w:rFonts w:hint="eastAsia"/>
        </w:rPr>
        <w:t>口，加长型井架基础、泥浆泵基础、发电机房基础、循环罐基础等各</w:t>
      </w:r>
      <w:r w:rsidRPr="00C2778A">
        <w:t>1</w:t>
      </w:r>
      <w:r w:rsidRPr="00C2778A">
        <w:rPr>
          <w:rFonts w:hint="eastAsia"/>
        </w:rPr>
        <w:t>套，利旧修复原污水池和放喷池各</w:t>
      </w:r>
      <w:r w:rsidRPr="00C2778A">
        <w:t>1</w:t>
      </w:r>
      <w:r w:rsidRPr="00C2778A">
        <w:rPr>
          <w:rFonts w:hint="eastAsia"/>
        </w:rPr>
        <w:t>座，新建排水边沟及内排污沟，井场原破损地面</w:t>
      </w:r>
      <w:r>
        <w:rPr>
          <w:rFonts w:hint="eastAsia"/>
        </w:rPr>
        <w:t>修复</w:t>
      </w:r>
      <w:r w:rsidR="0043787D" w:rsidRPr="00D630D1">
        <w:rPr>
          <w:rFonts w:hint="eastAsia"/>
        </w:rPr>
        <w:t>。</w:t>
      </w:r>
    </w:p>
    <w:p w:rsidR="0043787D" w:rsidRPr="00D630D1" w:rsidRDefault="0043787D" w:rsidP="002330C4">
      <w:pPr>
        <w:pStyle w:val="afa"/>
        <w:ind w:firstLine="480"/>
        <w:rPr>
          <w:bCs/>
        </w:rPr>
      </w:pPr>
      <w:r w:rsidRPr="00D630D1">
        <w:rPr>
          <w:rFonts w:hint="eastAsia"/>
        </w:rPr>
        <w:t>（</w:t>
      </w:r>
      <w:r w:rsidRPr="00D630D1">
        <w:rPr>
          <w:rFonts w:hint="eastAsia"/>
        </w:rPr>
        <w:t>3</w:t>
      </w:r>
      <w:r w:rsidRPr="00D630D1">
        <w:rPr>
          <w:rFonts w:hint="eastAsia"/>
        </w:rPr>
        <w:t>）</w:t>
      </w:r>
      <w:r w:rsidRPr="00D630D1">
        <w:rPr>
          <w:rFonts w:hint="eastAsia"/>
          <w:bCs/>
        </w:rPr>
        <w:t>钻井工程</w:t>
      </w:r>
    </w:p>
    <w:p w:rsidR="0043787D" w:rsidRPr="00D630D1" w:rsidRDefault="00104CE9" w:rsidP="00104CE9">
      <w:pPr>
        <w:pStyle w:val="afa"/>
        <w:ind w:firstLine="480"/>
      </w:pPr>
      <w:r w:rsidRPr="00104CE9">
        <w:rPr>
          <w:rFonts w:hint="eastAsia"/>
        </w:rPr>
        <w:t>新钻井</w:t>
      </w:r>
      <w:r w:rsidRPr="00104CE9">
        <w:t xml:space="preserve">6 </w:t>
      </w:r>
      <w:r w:rsidRPr="00104CE9">
        <w:rPr>
          <w:rFonts w:hint="eastAsia"/>
        </w:rPr>
        <w:t>口（均为水平井），目的层为千佛崖组，选择</w:t>
      </w:r>
      <w:r w:rsidRPr="00104CE9">
        <w:t>70</w:t>
      </w:r>
      <w:r w:rsidRPr="00104CE9">
        <w:rPr>
          <w:rFonts w:hint="eastAsia"/>
        </w:rPr>
        <w:t>型电动滑轨钻机，采用“井工厂”模式，设计“导管</w:t>
      </w:r>
      <w:r w:rsidRPr="00104CE9">
        <w:t>+</w:t>
      </w:r>
      <w:r w:rsidRPr="00104CE9">
        <w:rPr>
          <w:rFonts w:hint="eastAsia"/>
        </w:rPr>
        <w:t>二开”井身结构，套管完井。总进尺</w:t>
      </w:r>
      <w:r w:rsidRPr="00104CE9">
        <w:t>37474</w:t>
      </w:r>
      <w:r w:rsidRPr="00104CE9">
        <w:rPr>
          <w:rFonts w:hint="eastAsia"/>
        </w:rPr>
        <w:t>米，其中普陆页</w:t>
      </w:r>
      <w:r>
        <w:t>1-1</w:t>
      </w:r>
      <w:r w:rsidRPr="00104CE9">
        <w:rPr>
          <w:rFonts w:hint="eastAsia"/>
        </w:rPr>
        <w:t>井设计井深</w:t>
      </w:r>
      <w:r w:rsidRPr="00104CE9">
        <w:t>5986.86</w:t>
      </w:r>
      <w:r w:rsidRPr="00104CE9">
        <w:rPr>
          <w:rFonts w:hint="eastAsia"/>
        </w:rPr>
        <w:t>米，普陆页</w:t>
      </w:r>
      <w:r w:rsidRPr="00104CE9">
        <w:t>1-2</w:t>
      </w:r>
      <w:r w:rsidRPr="00104CE9">
        <w:rPr>
          <w:rFonts w:hint="eastAsia"/>
        </w:rPr>
        <w:t>井设计井深</w:t>
      </w:r>
      <w:r w:rsidRPr="00104CE9">
        <w:t>5683.92</w:t>
      </w:r>
      <w:r w:rsidRPr="00104CE9">
        <w:rPr>
          <w:rFonts w:hint="eastAsia"/>
        </w:rPr>
        <w:t>米，普陆页</w:t>
      </w:r>
      <w:r w:rsidRPr="00104CE9">
        <w:t>1-3</w:t>
      </w:r>
      <w:r w:rsidRPr="00104CE9">
        <w:rPr>
          <w:rFonts w:hint="eastAsia"/>
        </w:rPr>
        <w:t>井设计井深</w:t>
      </w:r>
      <w:r>
        <w:t>5740.45</w:t>
      </w:r>
      <w:r w:rsidRPr="00104CE9">
        <w:rPr>
          <w:rFonts w:hint="eastAsia"/>
        </w:rPr>
        <w:t>米，普陆页</w:t>
      </w:r>
      <w:r w:rsidRPr="00104CE9">
        <w:t>1-4</w:t>
      </w:r>
      <w:r w:rsidRPr="00104CE9">
        <w:rPr>
          <w:rFonts w:hint="eastAsia"/>
        </w:rPr>
        <w:t>井设计井深</w:t>
      </w:r>
      <w:r w:rsidRPr="00104CE9">
        <w:t>6488.49</w:t>
      </w:r>
      <w:r w:rsidRPr="00104CE9">
        <w:rPr>
          <w:rFonts w:hint="eastAsia"/>
        </w:rPr>
        <w:t>米，普陆页</w:t>
      </w:r>
      <w:r w:rsidRPr="00104CE9">
        <w:t>1-5</w:t>
      </w:r>
      <w:r w:rsidRPr="00104CE9">
        <w:rPr>
          <w:rFonts w:hint="eastAsia"/>
        </w:rPr>
        <w:t>井设计井深</w:t>
      </w:r>
      <w:r w:rsidRPr="00104CE9">
        <w:t>6699.35</w:t>
      </w:r>
      <w:r w:rsidRPr="00104CE9">
        <w:rPr>
          <w:rFonts w:hint="eastAsia"/>
        </w:rPr>
        <w:t>米，普陆页</w:t>
      </w:r>
      <w:r w:rsidRPr="00104CE9">
        <w:t>1-6</w:t>
      </w:r>
      <w:r w:rsidRPr="00104CE9">
        <w:rPr>
          <w:rFonts w:hint="eastAsia"/>
        </w:rPr>
        <w:t>井设计井深</w:t>
      </w:r>
      <w:r w:rsidRPr="00104CE9">
        <w:t>6874.93</w:t>
      </w:r>
      <w:r w:rsidRPr="00104CE9">
        <w:rPr>
          <w:rFonts w:hint="eastAsia"/>
        </w:rPr>
        <w:t>米</w:t>
      </w:r>
      <w:r w:rsidR="0043787D" w:rsidRPr="00D630D1">
        <w:rPr>
          <w:rFonts w:hint="eastAsia"/>
        </w:rPr>
        <w:t>。</w:t>
      </w:r>
      <w:r w:rsidR="0043787D" w:rsidRPr="00D630D1">
        <w:cr/>
      </w:r>
      <w:r w:rsidR="0043787D" w:rsidRPr="00D630D1">
        <w:rPr>
          <w:rFonts w:hint="eastAsia"/>
        </w:rPr>
        <w:t xml:space="preserve">    </w:t>
      </w:r>
      <w:r w:rsidR="0043787D" w:rsidRPr="00D630D1">
        <w:rPr>
          <w:rFonts w:hint="eastAsia"/>
        </w:rPr>
        <w:t>（</w:t>
      </w:r>
      <w:r w:rsidR="0043787D" w:rsidRPr="00D630D1">
        <w:rPr>
          <w:rFonts w:hint="eastAsia"/>
        </w:rPr>
        <w:t>4</w:t>
      </w:r>
      <w:r w:rsidR="0043787D" w:rsidRPr="00D630D1">
        <w:rPr>
          <w:rFonts w:hint="eastAsia"/>
        </w:rPr>
        <w:t>）采气工程</w:t>
      </w:r>
    </w:p>
    <w:p w:rsidR="0043787D" w:rsidRPr="00D630D1" w:rsidRDefault="00104CE9" w:rsidP="00104CE9">
      <w:pPr>
        <w:pStyle w:val="afa"/>
        <w:ind w:firstLine="480"/>
      </w:pPr>
      <w:r w:rsidRPr="00104CE9">
        <w:t>6</w:t>
      </w:r>
      <w:r w:rsidRPr="00104CE9">
        <w:rPr>
          <w:rFonts w:hint="eastAsia"/>
        </w:rPr>
        <w:t>口页岩气井均采用“密切割</w:t>
      </w:r>
      <w:r w:rsidRPr="00104CE9">
        <w:t>+</w:t>
      </w:r>
      <w:r w:rsidRPr="00104CE9">
        <w:rPr>
          <w:rFonts w:hint="eastAsia"/>
        </w:rPr>
        <w:t>投球</w:t>
      </w:r>
      <w:r w:rsidRPr="00104CE9">
        <w:t>+</w:t>
      </w:r>
      <w:r w:rsidRPr="00104CE9">
        <w:rPr>
          <w:rFonts w:hint="eastAsia"/>
        </w:rPr>
        <w:t>缝内暂堵</w:t>
      </w:r>
      <w:r w:rsidRPr="00104CE9">
        <w:t>+</w:t>
      </w:r>
      <w:r w:rsidRPr="00104CE9">
        <w:rPr>
          <w:rFonts w:hint="eastAsia"/>
        </w:rPr>
        <w:t>多尺度裂缝强加砂</w:t>
      </w:r>
      <w:r w:rsidRPr="00104CE9">
        <w:t>+</w:t>
      </w:r>
      <w:r w:rsidRPr="00104CE9">
        <w:rPr>
          <w:rFonts w:hint="eastAsia"/>
        </w:rPr>
        <w:t>穿层扩体”体积压裂工艺技术，每</w:t>
      </w:r>
      <w:r w:rsidRPr="00104CE9">
        <w:t>3</w:t>
      </w:r>
      <w:r w:rsidRPr="00104CE9">
        <w:rPr>
          <w:rFonts w:hint="eastAsia"/>
        </w:rPr>
        <w:t>口井交叉拉链式压裂；套管安装双趾端滑套建立首段压裂通道，其他段采用泵送可溶桥塞</w:t>
      </w:r>
      <w:r w:rsidRPr="00104CE9">
        <w:t>+</w:t>
      </w:r>
      <w:r w:rsidRPr="00104CE9">
        <w:rPr>
          <w:rFonts w:hint="eastAsia"/>
        </w:rPr>
        <w:t>电缆簇射孔方式分段压裂，其中普陆页</w:t>
      </w:r>
      <w:r w:rsidRPr="00104CE9">
        <w:t>1-1</w:t>
      </w:r>
      <w:r w:rsidRPr="00104CE9">
        <w:rPr>
          <w:rFonts w:hint="eastAsia"/>
        </w:rPr>
        <w:t>分</w:t>
      </w:r>
      <w:r w:rsidRPr="00104CE9">
        <w:t>25</w:t>
      </w:r>
      <w:r w:rsidRPr="00104CE9">
        <w:rPr>
          <w:rFonts w:hint="eastAsia"/>
        </w:rPr>
        <w:t>段、总液量</w:t>
      </w:r>
      <w:r w:rsidRPr="00104CE9">
        <w:t>52500</w:t>
      </w:r>
      <w:r w:rsidRPr="00104CE9">
        <w:rPr>
          <w:rFonts w:hint="eastAsia"/>
        </w:rPr>
        <w:t>立方米，普陆页</w:t>
      </w:r>
      <w:r w:rsidRPr="00104CE9">
        <w:t>1-2</w:t>
      </w:r>
      <w:r w:rsidRPr="00104CE9">
        <w:rPr>
          <w:rFonts w:hint="eastAsia"/>
        </w:rPr>
        <w:t>分</w:t>
      </w:r>
      <w:r w:rsidRPr="00104CE9">
        <w:t>25</w:t>
      </w:r>
      <w:r w:rsidRPr="00104CE9">
        <w:rPr>
          <w:rFonts w:hint="eastAsia"/>
        </w:rPr>
        <w:t>段、总液量</w:t>
      </w:r>
      <w:r w:rsidRPr="00104CE9">
        <w:t>45000</w:t>
      </w:r>
      <w:r w:rsidRPr="00104CE9">
        <w:rPr>
          <w:rFonts w:hint="eastAsia"/>
        </w:rPr>
        <w:t>立方米，普陆页</w:t>
      </w:r>
      <w:r w:rsidRPr="00104CE9">
        <w:t>1-3</w:t>
      </w:r>
      <w:r w:rsidRPr="00104CE9">
        <w:rPr>
          <w:rFonts w:hint="eastAsia"/>
        </w:rPr>
        <w:t>分</w:t>
      </w:r>
      <w:r w:rsidRPr="00104CE9">
        <w:t>25</w:t>
      </w:r>
      <w:r w:rsidRPr="00104CE9">
        <w:rPr>
          <w:rFonts w:hint="eastAsia"/>
        </w:rPr>
        <w:t>段、总液量</w:t>
      </w:r>
      <w:r w:rsidRPr="00104CE9">
        <w:t>52500</w:t>
      </w:r>
      <w:r w:rsidRPr="00104CE9">
        <w:rPr>
          <w:rFonts w:hint="eastAsia"/>
        </w:rPr>
        <w:t>立方米，普陆页</w:t>
      </w:r>
      <w:r w:rsidRPr="00104CE9">
        <w:t>1-4</w:t>
      </w:r>
      <w:r w:rsidRPr="00104CE9">
        <w:rPr>
          <w:rFonts w:hint="eastAsia"/>
        </w:rPr>
        <w:t>分</w:t>
      </w:r>
      <w:r w:rsidRPr="00104CE9">
        <w:t>34</w:t>
      </w:r>
      <w:r w:rsidRPr="00104CE9">
        <w:rPr>
          <w:rFonts w:hint="eastAsia"/>
        </w:rPr>
        <w:t>段、总液量</w:t>
      </w:r>
      <w:r w:rsidRPr="00104CE9">
        <w:t>54400</w:t>
      </w:r>
      <w:r w:rsidRPr="00104CE9">
        <w:rPr>
          <w:rFonts w:hint="eastAsia"/>
        </w:rPr>
        <w:t>立方米，普陆页</w:t>
      </w:r>
      <w:r w:rsidRPr="00104CE9">
        <w:t>1-5</w:t>
      </w:r>
      <w:r w:rsidRPr="00104CE9">
        <w:rPr>
          <w:rFonts w:hint="eastAsia"/>
        </w:rPr>
        <w:t>分</w:t>
      </w:r>
      <w:r w:rsidRPr="00104CE9">
        <w:t>38</w:t>
      </w:r>
      <w:r w:rsidRPr="00104CE9">
        <w:rPr>
          <w:rFonts w:hint="eastAsia"/>
        </w:rPr>
        <w:t>段、总液量</w:t>
      </w:r>
      <w:r w:rsidRPr="00104CE9">
        <w:t>60800</w:t>
      </w:r>
      <w:r w:rsidRPr="00104CE9">
        <w:rPr>
          <w:rFonts w:hint="eastAsia"/>
        </w:rPr>
        <w:t>立方米，普陆页</w:t>
      </w:r>
      <w:r w:rsidRPr="00104CE9">
        <w:t>1-6</w:t>
      </w:r>
      <w:r w:rsidRPr="00104CE9">
        <w:rPr>
          <w:rFonts w:hint="eastAsia"/>
        </w:rPr>
        <w:t>分</w:t>
      </w:r>
      <w:r w:rsidRPr="00104CE9">
        <w:t>38</w:t>
      </w:r>
      <w:r w:rsidRPr="00104CE9">
        <w:rPr>
          <w:rFonts w:hint="eastAsia"/>
        </w:rPr>
        <w:t>段、总液量</w:t>
      </w:r>
      <w:r w:rsidRPr="00104CE9">
        <w:t>68400</w:t>
      </w:r>
      <w:r w:rsidRPr="00104CE9">
        <w:rPr>
          <w:rFonts w:hint="eastAsia"/>
        </w:rPr>
        <w:t>立方米；带压下</w:t>
      </w:r>
      <w:r w:rsidRPr="00104CE9">
        <w:t>73</w:t>
      </w:r>
      <w:r w:rsidRPr="00104CE9">
        <w:rPr>
          <w:rFonts w:hint="eastAsia"/>
        </w:rPr>
        <w:t>毫米完井管柱；采气井口为</w:t>
      </w:r>
      <w:r w:rsidRPr="00104CE9">
        <w:t>70</w:t>
      </w:r>
      <w:r w:rsidRPr="00104CE9">
        <w:rPr>
          <w:rFonts w:hint="eastAsia"/>
        </w:rPr>
        <w:t>兆帕</w:t>
      </w:r>
      <w:r w:rsidRPr="00104CE9">
        <w:t>DD</w:t>
      </w:r>
      <w:r w:rsidRPr="00104CE9">
        <w:rPr>
          <w:rFonts w:hint="eastAsia"/>
        </w:rPr>
        <w:t>级采气树、压裂井口为</w:t>
      </w:r>
      <w:r w:rsidRPr="00104CE9">
        <w:t>140</w:t>
      </w:r>
      <w:r w:rsidRPr="00104CE9">
        <w:rPr>
          <w:rFonts w:hint="eastAsia"/>
        </w:rPr>
        <w:t>兆帕</w:t>
      </w:r>
      <w:r w:rsidRPr="00104CE9">
        <w:t>DD</w:t>
      </w:r>
      <w:r w:rsidRPr="00104CE9">
        <w:rPr>
          <w:rFonts w:hint="eastAsia"/>
        </w:rPr>
        <w:t>级；放喷流程为</w:t>
      </w:r>
      <w:r w:rsidRPr="00104CE9">
        <w:t>105-70</w:t>
      </w:r>
      <w:r w:rsidRPr="00104CE9">
        <w:rPr>
          <w:rFonts w:hint="eastAsia"/>
        </w:rPr>
        <w:t>兆帕</w:t>
      </w:r>
      <w:r w:rsidRPr="00104CE9">
        <w:t>DD</w:t>
      </w:r>
      <w:r w:rsidRPr="00104CE9">
        <w:rPr>
          <w:rFonts w:hint="eastAsia"/>
        </w:rPr>
        <w:t>级二级节流</w:t>
      </w:r>
      <w:r w:rsidR="0043787D" w:rsidRPr="00D630D1">
        <w:rPr>
          <w:rFonts w:hint="eastAsia"/>
        </w:rPr>
        <w:t>。</w:t>
      </w:r>
    </w:p>
    <w:p w:rsidR="0043787D" w:rsidRPr="00D630D1" w:rsidRDefault="0043787D" w:rsidP="0043787D">
      <w:pPr>
        <w:pStyle w:val="afa"/>
        <w:ind w:firstLine="480"/>
      </w:pPr>
      <w:r w:rsidRPr="00D630D1">
        <w:rPr>
          <w:rFonts w:hint="eastAsia"/>
        </w:rPr>
        <w:t>（</w:t>
      </w:r>
      <w:r w:rsidRPr="00D630D1">
        <w:rPr>
          <w:rFonts w:hint="eastAsia"/>
        </w:rPr>
        <w:t>5</w:t>
      </w:r>
      <w:r w:rsidRPr="00D630D1">
        <w:rPr>
          <w:rFonts w:hint="eastAsia"/>
        </w:rPr>
        <w:t>）地面集输工程</w:t>
      </w:r>
    </w:p>
    <w:p w:rsidR="00104CE9" w:rsidRPr="00104CE9" w:rsidRDefault="00104CE9" w:rsidP="00104CE9">
      <w:pPr>
        <w:pStyle w:val="afa"/>
        <w:ind w:firstLine="480"/>
      </w:pPr>
      <w:r w:rsidRPr="00104CE9">
        <w:rPr>
          <w:rFonts w:hint="eastAsia"/>
        </w:rPr>
        <w:t>新建普光</w:t>
      </w:r>
      <w:r w:rsidRPr="00104CE9">
        <w:t>12</w:t>
      </w:r>
      <w:r w:rsidRPr="00104CE9">
        <w:rPr>
          <w:rFonts w:hint="eastAsia"/>
        </w:rPr>
        <w:t>采气平台</w:t>
      </w:r>
      <w:r w:rsidRPr="00104CE9">
        <w:t xml:space="preserve">1 </w:t>
      </w:r>
      <w:r w:rsidRPr="00104CE9">
        <w:rPr>
          <w:rFonts w:hint="eastAsia"/>
        </w:rPr>
        <w:t>座，设计规模</w:t>
      </w:r>
      <w:r w:rsidRPr="00104CE9">
        <w:t>60</w:t>
      </w:r>
      <w:r w:rsidRPr="00104CE9">
        <w:rPr>
          <w:rFonts w:hint="eastAsia"/>
        </w:rPr>
        <w:t>万立方米</w:t>
      </w:r>
      <w:r w:rsidRPr="00104CE9">
        <w:t>/</w:t>
      </w:r>
      <w:r w:rsidRPr="00104CE9">
        <w:rPr>
          <w:rFonts w:hint="eastAsia"/>
        </w:rPr>
        <w:t>天，采用“加热节流、带液计量、重力分离、低压闪蒸、预留增压接口、近期油水拉运、远期油水管输”集输工艺。平台内配套集输工艺、仪控、通信、消防、给排水等。</w:t>
      </w:r>
      <w:r w:rsidR="001B32FD">
        <w:rPr>
          <w:rFonts w:hint="eastAsia"/>
        </w:rPr>
        <w:t>新建普光</w:t>
      </w:r>
      <w:r w:rsidR="001B32FD">
        <w:rPr>
          <w:rFonts w:hint="eastAsia"/>
        </w:rPr>
        <w:t>12</w:t>
      </w:r>
      <w:r w:rsidR="001B32FD">
        <w:rPr>
          <w:rFonts w:hint="eastAsia"/>
        </w:rPr>
        <w:t>采气站</w:t>
      </w:r>
      <w:r w:rsidR="001B32FD">
        <w:rPr>
          <w:rFonts w:hint="eastAsia"/>
        </w:rPr>
        <w:t>~</w:t>
      </w:r>
      <w:r w:rsidR="001B32FD">
        <w:rPr>
          <w:rFonts w:hint="eastAsia"/>
        </w:rPr>
        <w:t>普陆</w:t>
      </w:r>
      <w:r w:rsidR="001B32FD">
        <w:rPr>
          <w:rFonts w:hint="eastAsia"/>
        </w:rPr>
        <w:t>3</w:t>
      </w:r>
      <w:r w:rsidR="001B32FD">
        <w:rPr>
          <w:rFonts w:hint="eastAsia"/>
        </w:rPr>
        <w:t>集气站集输管线</w:t>
      </w:r>
      <w:r w:rsidR="001B32FD">
        <w:rPr>
          <w:rFonts w:hint="eastAsia"/>
        </w:rPr>
        <w:t>1</w:t>
      </w:r>
      <w:r w:rsidR="001B32FD">
        <w:rPr>
          <w:rFonts w:hint="eastAsia"/>
        </w:rPr>
        <w:t>条，</w:t>
      </w:r>
      <w:r w:rsidR="001B32FD" w:rsidRPr="001B32FD">
        <w:rPr>
          <w:rFonts w:hint="eastAsia"/>
        </w:rPr>
        <w:t>设计压力</w:t>
      </w:r>
      <w:r w:rsidR="001B32FD" w:rsidRPr="001B32FD">
        <w:rPr>
          <w:rFonts w:hint="eastAsia"/>
        </w:rPr>
        <w:t>11MPa</w:t>
      </w:r>
      <w:r w:rsidR="001B32FD">
        <w:rPr>
          <w:rFonts w:hint="eastAsia"/>
        </w:rPr>
        <w:t>，</w:t>
      </w:r>
      <w:r w:rsidR="001B32FD" w:rsidRPr="001B32FD">
        <w:t>材质为</w:t>
      </w:r>
      <w:r w:rsidR="001B32FD" w:rsidRPr="001B32FD">
        <w:rPr>
          <w:rFonts w:hint="eastAsia"/>
        </w:rPr>
        <w:t>L</w:t>
      </w:r>
      <w:r w:rsidR="001B32FD" w:rsidRPr="001B32FD">
        <w:t>245</w:t>
      </w:r>
      <w:r w:rsidR="001B32FD" w:rsidRPr="001B32FD">
        <w:rPr>
          <w:rFonts w:hint="eastAsia"/>
        </w:rPr>
        <w:t>N</w:t>
      </w:r>
      <w:r w:rsidR="001B32FD" w:rsidRPr="001B32FD">
        <w:rPr>
          <w:rFonts w:hint="eastAsia"/>
        </w:rPr>
        <w:t>无缝钢管</w:t>
      </w:r>
      <w:r w:rsidR="001B32FD" w:rsidRPr="001B32FD">
        <w:rPr>
          <w:rFonts w:hint="eastAsia"/>
        </w:rPr>
        <w:t>PSL2</w:t>
      </w:r>
      <w:r w:rsidR="001B32FD">
        <w:rPr>
          <w:rFonts w:hint="eastAsia"/>
        </w:rPr>
        <w:t>，管径</w:t>
      </w:r>
      <w:r w:rsidR="001B32FD">
        <w:rPr>
          <w:rFonts w:hint="eastAsia"/>
        </w:rPr>
        <w:t>DN200</w:t>
      </w:r>
      <w:r w:rsidR="001B32FD">
        <w:rPr>
          <w:rFonts w:hint="eastAsia"/>
        </w:rPr>
        <w:t>，长度约</w:t>
      </w:r>
      <w:r w:rsidR="001B32FD">
        <w:rPr>
          <w:rFonts w:hint="eastAsia"/>
        </w:rPr>
        <w:t>3km</w:t>
      </w:r>
      <w:r w:rsidR="001B32FD">
        <w:rPr>
          <w:rFonts w:hint="eastAsia"/>
        </w:rPr>
        <w:t>；新建普陆</w:t>
      </w:r>
      <w:r w:rsidR="001B32FD">
        <w:rPr>
          <w:rFonts w:hint="eastAsia"/>
        </w:rPr>
        <w:t>3</w:t>
      </w:r>
      <w:r w:rsidR="001B32FD">
        <w:rPr>
          <w:rFonts w:hint="eastAsia"/>
        </w:rPr>
        <w:t>集气站</w:t>
      </w:r>
      <w:r w:rsidR="001B32FD">
        <w:rPr>
          <w:rFonts w:hint="eastAsia"/>
        </w:rPr>
        <w:t>~P105</w:t>
      </w:r>
      <w:r w:rsidR="001B32FD">
        <w:rPr>
          <w:rFonts w:hint="eastAsia"/>
        </w:rPr>
        <w:t>集气站集输管线</w:t>
      </w:r>
      <w:r w:rsidR="001B32FD">
        <w:rPr>
          <w:rFonts w:hint="eastAsia"/>
        </w:rPr>
        <w:t>1</w:t>
      </w:r>
      <w:r w:rsidR="001B32FD">
        <w:rPr>
          <w:rFonts w:hint="eastAsia"/>
        </w:rPr>
        <w:t>条，</w:t>
      </w:r>
      <w:r w:rsidR="001B32FD" w:rsidRPr="001B32FD">
        <w:rPr>
          <w:rFonts w:hint="eastAsia"/>
        </w:rPr>
        <w:t>设计压力</w:t>
      </w:r>
      <w:r w:rsidR="001B32FD" w:rsidRPr="001B32FD">
        <w:rPr>
          <w:rFonts w:hint="eastAsia"/>
        </w:rPr>
        <w:t>11MPa</w:t>
      </w:r>
      <w:r w:rsidR="001B32FD">
        <w:rPr>
          <w:rFonts w:hint="eastAsia"/>
        </w:rPr>
        <w:t>，</w:t>
      </w:r>
      <w:r w:rsidR="001B32FD" w:rsidRPr="001B32FD">
        <w:t>材质为</w:t>
      </w:r>
      <w:r w:rsidR="001B32FD" w:rsidRPr="001B32FD">
        <w:rPr>
          <w:rFonts w:hint="eastAsia"/>
        </w:rPr>
        <w:t>L</w:t>
      </w:r>
      <w:r w:rsidR="001B32FD" w:rsidRPr="001B32FD">
        <w:t>245</w:t>
      </w:r>
      <w:r w:rsidR="001B32FD">
        <w:rPr>
          <w:rFonts w:hint="eastAsia"/>
        </w:rPr>
        <w:t>N</w:t>
      </w:r>
      <w:r w:rsidR="001B32FD" w:rsidRPr="001B32FD">
        <w:rPr>
          <w:rFonts w:hint="eastAsia"/>
        </w:rPr>
        <w:t>无缝钢管</w:t>
      </w:r>
      <w:r w:rsidR="001B32FD" w:rsidRPr="001B32FD">
        <w:rPr>
          <w:rFonts w:hint="eastAsia"/>
        </w:rPr>
        <w:t>PSL2</w:t>
      </w:r>
      <w:r w:rsidR="001B32FD">
        <w:rPr>
          <w:rFonts w:hint="eastAsia"/>
        </w:rPr>
        <w:t>，管径</w:t>
      </w:r>
      <w:r w:rsidR="001B32FD">
        <w:rPr>
          <w:rFonts w:hint="eastAsia"/>
        </w:rPr>
        <w:t>DN150</w:t>
      </w:r>
      <w:r w:rsidR="001B32FD">
        <w:rPr>
          <w:rFonts w:hint="eastAsia"/>
        </w:rPr>
        <w:t>，长度约</w:t>
      </w:r>
      <w:r w:rsidR="001B32FD">
        <w:rPr>
          <w:rFonts w:hint="eastAsia"/>
        </w:rPr>
        <w:t>0.98km</w:t>
      </w:r>
      <w:r w:rsidR="00075350">
        <w:rPr>
          <w:rFonts w:hint="eastAsia"/>
        </w:rPr>
        <w:t>。</w:t>
      </w:r>
    </w:p>
    <w:bookmarkEnd w:id="16"/>
    <w:bookmarkEnd w:id="18"/>
    <w:bookmarkEnd w:id="19"/>
    <w:bookmarkEnd w:id="20"/>
    <w:p w:rsidR="00502B3B" w:rsidRPr="00D630D1" w:rsidRDefault="00895B09" w:rsidP="0037392F">
      <w:pPr>
        <w:pStyle w:val="afa"/>
        <w:ind w:firstLine="480"/>
      </w:pPr>
      <w:r w:rsidRPr="00895B09">
        <w:rPr>
          <w:rFonts w:hint="eastAsia"/>
        </w:rPr>
        <w:t>本</w:t>
      </w:r>
      <w:r w:rsidRPr="00895B09">
        <w:t>项目总投资</w:t>
      </w:r>
      <w:r w:rsidRPr="00895B09">
        <w:t>38141.6</w:t>
      </w:r>
      <w:r w:rsidRPr="00895B09">
        <w:t>万元，其中环保投资</w:t>
      </w:r>
      <w:r w:rsidRPr="00895B09">
        <w:rPr>
          <w:rFonts w:hint="eastAsia"/>
        </w:rPr>
        <w:t>187</w:t>
      </w:r>
      <w:r w:rsidRPr="00895B09">
        <w:t>0</w:t>
      </w:r>
      <w:r w:rsidRPr="00895B09">
        <w:t>万元，占项目总投资的</w:t>
      </w:r>
      <w:r w:rsidRPr="00895B09">
        <w:rPr>
          <w:rFonts w:hint="eastAsia"/>
        </w:rPr>
        <w:t>4.9</w:t>
      </w:r>
      <w:r w:rsidRPr="00895B09">
        <w:t>%</w:t>
      </w:r>
      <w:r w:rsidR="00502B3B" w:rsidRPr="00D630D1">
        <w:rPr>
          <w:rFonts w:hint="eastAsia"/>
        </w:rPr>
        <w:t>。</w:t>
      </w:r>
    </w:p>
    <w:bookmarkEnd w:id="17"/>
    <w:bookmarkEnd w:id="21"/>
    <w:p w:rsidR="00277566" w:rsidRPr="00D630D1" w:rsidRDefault="00277566" w:rsidP="00DE660A">
      <w:pPr>
        <w:pStyle w:val="afa"/>
        <w:ind w:firstLine="480"/>
      </w:pPr>
      <w:r w:rsidRPr="00D630D1">
        <w:t>根据《中华人民共和国环境保护法》（</w:t>
      </w:r>
      <w:r w:rsidRPr="00D630D1">
        <w:t>2015</w:t>
      </w:r>
      <w:r w:rsidRPr="00D630D1">
        <w:t>年</w:t>
      </w:r>
      <w:r w:rsidRPr="00D630D1">
        <w:t>1</w:t>
      </w:r>
      <w:r w:rsidRPr="00D630D1">
        <w:t>月</w:t>
      </w:r>
      <w:r w:rsidRPr="00D630D1">
        <w:t>1</w:t>
      </w:r>
      <w:r w:rsidRPr="00D630D1">
        <w:t>日实施）、《中华人民共和国环</w:t>
      </w:r>
      <w:r w:rsidRPr="00D630D1">
        <w:lastRenderedPageBreak/>
        <w:t>境影响评价法》（</w:t>
      </w:r>
      <w:r w:rsidRPr="00D630D1">
        <w:t>2018</w:t>
      </w:r>
      <w:r w:rsidRPr="00D630D1">
        <w:t>年</w:t>
      </w:r>
      <w:r w:rsidRPr="00D630D1">
        <w:t>12</w:t>
      </w:r>
      <w:r w:rsidRPr="00D630D1">
        <w:t>月</w:t>
      </w:r>
      <w:r w:rsidRPr="00D630D1">
        <w:t>29</w:t>
      </w:r>
      <w:r w:rsidRPr="00D630D1">
        <w:t>日实施）、</w:t>
      </w:r>
      <w:r w:rsidR="00C001C8" w:rsidRPr="00D630D1">
        <w:t>《建设项目环境影响评价分类管理名录》（</w:t>
      </w:r>
      <w:r w:rsidR="00C001C8" w:rsidRPr="00D630D1">
        <w:t>2021</w:t>
      </w:r>
      <w:r w:rsidR="00C001C8" w:rsidRPr="00D630D1">
        <w:t>年版）</w:t>
      </w:r>
      <w:r w:rsidRPr="00D630D1">
        <w:t>等的有关规定，建设过程中或者建成投产后可能对环境产生影响的新建、扩建、改建、迁建项目及区域开发建设项目，必须执行环境影响评价制度。根据国家</w:t>
      </w:r>
      <w:r w:rsidR="00C001C8" w:rsidRPr="00D630D1">
        <w:t>生态环境部</w:t>
      </w:r>
      <w:r w:rsidRPr="00D630D1">
        <w:t>制定的</w:t>
      </w:r>
      <w:r w:rsidR="00C001C8" w:rsidRPr="00D630D1">
        <w:t>《建设项目环境影响评价分类管理名录》（</w:t>
      </w:r>
      <w:r w:rsidR="00C001C8" w:rsidRPr="00D630D1">
        <w:t>2021</w:t>
      </w:r>
      <w:r w:rsidR="00C001C8" w:rsidRPr="00D630D1">
        <w:t>年版）</w:t>
      </w:r>
      <w:r w:rsidRPr="00D630D1">
        <w:t>中的相关要求，本项目属于</w:t>
      </w:r>
      <w:r w:rsidRPr="00D630D1">
        <w:t>“</w:t>
      </w:r>
      <w:r w:rsidR="00DE660A" w:rsidRPr="00D630D1">
        <w:t>五</w:t>
      </w:r>
      <w:r w:rsidRPr="00D630D1">
        <w:t>、</w:t>
      </w:r>
      <w:r w:rsidR="00DE660A" w:rsidRPr="00D630D1">
        <w:t>石油和天然气开采业</w:t>
      </w:r>
      <w:r w:rsidR="00DE660A" w:rsidRPr="00D630D1">
        <w:t>07</w:t>
      </w:r>
      <w:r w:rsidRPr="00D630D1">
        <w:t>-</w:t>
      </w:r>
      <w:r w:rsidR="00DE660A" w:rsidRPr="00D630D1">
        <w:t>8</w:t>
      </w:r>
      <w:r w:rsidRPr="00D630D1">
        <w:t>、</w:t>
      </w:r>
      <w:r w:rsidR="00DE660A" w:rsidRPr="00D630D1">
        <w:t>陆地天然气开采</w:t>
      </w:r>
      <w:r w:rsidR="00FA4C86" w:rsidRPr="00D630D1">
        <w:rPr>
          <w:rFonts w:hint="eastAsia"/>
        </w:rPr>
        <w:t>0721</w:t>
      </w:r>
      <w:r w:rsidR="00435B22" w:rsidRPr="00D630D1">
        <w:rPr>
          <w:rFonts w:hint="eastAsia"/>
        </w:rPr>
        <w:t>-</w:t>
      </w:r>
      <w:r w:rsidR="00DE660A" w:rsidRPr="00D630D1">
        <w:t>涉及环境敏感区的（含内部集输管线建设）</w:t>
      </w:r>
      <w:r w:rsidR="0037392F" w:rsidRPr="00D630D1">
        <w:t>”</w:t>
      </w:r>
      <w:r w:rsidR="00DE660A" w:rsidRPr="00D630D1">
        <w:t>。本项目涉及</w:t>
      </w:r>
      <w:r w:rsidR="00E22778" w:rsidRPr="00D630D1">
        <w:rPr>
          <w:rFonts w:hint="eastAsia"/>
        </w:rPr>
        <w:t>嘉陵江及沱江中下游国家级</w:t>
      </w:r>
      <w:r w:rsidR="004B6624" w:rsidRPr="00D630D1">
        <w:rPr>
          <w:rFonts w:hint="eastAsia"/>
        </w:rPr>
        <w:t>水土</w:t>
      </w:r>
      <w:r w:rsidR="00E22778" w:rsidRPr="00D630D1">
        <w:rPr>
          <w:rFonts w:hint="eastAsia"/>
        </w:rPr>
        <w:t>流失重点治理区</w:t>
      </w:r>
      <w:r w:rsidR="00EA51F0" w:rsidRPr="00D630D1">
        <w:rPr>
          <w:rFonts w:hint="eastAsia"/>
        </w:rPr>
        <w:t>（宣汉县水土保持重点防治分区图见附图</w:t>
      </w:r>
      <w:r w:rsidR="00EA51F0" w:rsidRPr="00D630D1">
        <w:rPr>
          <w:rFonts w:hint="eastAsia"/>
        </w:rPr>
        <w:t>1</w:t>
      </w:r>
      <w:r w:rsidR="005A3CC0" w:rsidRPr="00D630D1">
        <w:rPr>
          <w:rFonts w:hint="eastAsia"/>
        </w:rPr>
        <w:t>5</w:t>
      </w:r>
      <w:r w:rsidR="00EA51F0" w:rsidRPr="00D630D1">
        <w:rPr>
          <w:rFonts w:hint="eastAsia"/>
        </w:rPr>
        <w:t>）</w:t>
      </w:r>
      <w:r w:rsidR="00DE660A" w:rsidRPr="00D630D1">
        <w:t>，故</w:t>
      </w:r>
      <w:r w:rsidRPr="00D630D1">
        <w:t>应当编制环境影响报告书。</w:t>
      </w:r>
    </w:p>
    <w:bookmarkEnd w:id="14"/>
    <w:p w:rsidR="00277566" w:rsidRPr="00D630D1" w:rsidRDefault="00C001C8" w:rsidP="00277566">
      <w:pPr>
        <w:pStyle w:val="afa"/>
        <w:ind w:firstLine="480"/>
      </w:pPr>
      <w:r w:rsidRPr="00D630D1">
        <w:t>中国石油化工股份有限公司中原油田普光分公司</w:t>
      </w:r>
      <w:r w:rsidR="00277566" w:rsidRPr="00D630D1">
        <w:t>委托</w:t>
      </w:r>
      <w:r w:rsidR="0037392F" w:rsidRPr="00D630D1">
        <w:rPr>
          <w:rFonts w:hint="eastAsia"/>
        </w:rPr>
        <w:t>重庆后科环保有限责任公司</w:t>
      </w:r>
      <w:r w:rsidR="00277566" w:rsidRPr="00D630D1">
        <w:t>承担本项目环境影响评价工作。接受委托后，</w:t>
      </w:r>
      <w:r w:rsidR="0037392F" w:rsidRPr="00D630D1">
        <w:t>我公司立即</w:t>
      </w:r>
      <w:r w:rsidR="00277566" w:rsidRPr="00D630D1">
        <w:t>成立项目</w:t>
      </w:r>
      <w:r w:rsidR="00126822" w:rsidRPr="00D630D1">
        <w:t>组</w:t>
      </w:r>
      <w:r w:rsidR="00277566" w:rsidRPr="00D630D1">
        <w:t>，并随即对该项目建设沿线及其周边的自然环境进行踏勘调查，并收集了与项目有关的建设及技术资料，根据建设项目环境影响评价导则、规范及要求，编制《</w:t>
      </w:r>
      <w:r w:rsidR="00D630D1" w:rsidRPr="00D630D1">
        <w:t>普光气田普陆页</w:t>
      </w:r>
      <w:r w:rsidR="00D630D1" w:rsidRPr="00D630D1">
        <w:t>1</w:t>
      </w:r>
      <w:r w:rsidR="00D630D1" w:rsidRPr="00D630D1">
        <w:t>试验井组项目</w:t>
      </w:r>
      <w:r w:rsidR="00277566" w:rsidRPr="00D630D1">
        <w:t>环境影响报告书》。</w:t>
      </w:r>
    </w:p>
    <w:p w:rsidR="00117C3D" w:rsidRPr="00D630D1" w:rsidRDefault="008B5B84" w:rsidP="006E46FC">
      <w:pPr>
        <w:keepNext/>
        <w:keepLines/>
        <w:spacing w:before="120"/>
        <w:ind w:firstLineChars="0" w:firstLine="0"/>
        <w:outlineLvl w:val="1"/>
        <w:rPr>
          <w:rFonts w:ascii="Times New Roman" w:cs="Times New Roman"/>
          <w:b/>
          <w:bCs/>
          <w:sz w:val="28"/>
          <w:szCs w:val="32"/>
        </w:rPr>
      </w:pPr>
      <w:bookmarkStart w:id="22" w:name="_Toc19815914"/>
      <w:bookmarkStart w:id="23" w:name="_Toc81515244"/>
      <w:r w:rsidRPr="00D630D1">
        <w:rPr>
          <w:rFonts w:ascii="Times New Roman" w:cs="Times New Roman"/>
          <w:b/>
          <w:bCs/>
          <w:sz w:val="28"/>
          <w:szCs w:val="32"/>
        </w:rPr>
        <w:t>二、项目特点</w:t>
      </w:r>
      <w:bookmarkEnd w:id="22"/>
      <w:bookmarkEnd w:id="23"/>
    </w:p>
    <w:p w:rsidR="006C6841" w:rsidRPr="00D630D1" w:rsidRDefault="006C6841" w:rsidP="006C6841">
      <w:pPr>
        <w:pStyle w:val="afa"/>
        <w:ind w:firstLine="480"/>
      </w:pPr>
      <w:r w:rsidRPr="00D630D1">
        <w:t>本项目为天然气</w:t>
      </w:r>
      <w:r w:rsidR="00586C59" w:rsidRPr="00D630D1">
        <w:rPr>
          <w:rFonts w:hint="eastAsia"/>
        </w:rPr>
        <w:t>开采和</w:t>
      </w:r>
      <w:r w:rsidRPr="00D630D1">
        <w:t>内部集输工程，具有如下特点：</w:t>
      </w:r>
    </w:p>
    <w:p w:rsidR="00030601" w:rsidRPr="00D630D1" w:rsidRDefault="00030601" w:rsidP="00030601">
      <w:pPr>
        <w:pStyle w:val="afa"/>
        <w:ind w:firstLine="480"/>
      </w:pPr>
      <w:r w:rsidRPr="00D630D1">
        <w:rPr>
          <w:rFonts w:hint="eastAsia"/>
        </w:rPr>
        <w:t>（</w:t>
      </w:r>
      <w:r w:rsidRPr="00D630D1">
        <w:rPr>
          <w:rFonts w:hint="eastAsia"/>
        </w:rPr>
        <w:t>1</w:t>
      </w:r>
      <w:r w:rsidRPr="00D630D1">
        <w:rPr>
          <w:rFonts w:hint="eastAsia"/>
        </w:rPr>
        <w:t>）本项目涉及新建</w:t>
      </w:r>
      <w:r w:rsidR="00104CE9">
        <w:rPr>
          <w:rFonts w:hint="eastAsia"/>
        </w:rPr>
        <w:t>普陆页</w:t>
      </w:r>
      <w:r w:rsidR="00104CE9">
        <w:rPr>
          <w:rFonts w:hint="eastAsia"/>
        </w:rPr>
        <w:t>1-1~6</w:t>
      </w:r>
      <w:r w:rsidR="00104CE9">
        <w:rPr>
          <w:rFonts w:hint="eastAsia"/>
        </w:rPr>
        <w:t>共计</w:t>
      </w:r>
      <w:r w:rsidR="00104CE9">
        <w:rPr>
          <w:rFonts w:hint="eastAsia"/>
        </w:rPr>
        <w:t>6</w:t>
      </w:r>
      <w:r w:rsidR="00104CE9">
        <w:rPr>
          <w:rFonts w:hint="eastAsia"/>
        </w:rPr>
        <w:t>口</w:t>
      </w:r>
      <w:r w:rsidR="00104CE9" w:rsidRPr="00104CE9">
        <w:rPr>
          <w:rFonts w:hint="eastAsia"/>
        </w:rPr>
        <w:t>页岩气井</w:t>
      </w:r>
      <w:r w:rsidR="00104CE9">
        <w:rPr>
          <w:rFonts w:hint="eastAsia"/>
        </w:rPr>
        <w:t>的</w:t>
      </w:r>
      <w:r w:rsidRPr="00D630D1">
        <w:rPr>
          <w:rFonts w:hint="eastAsia"/>
          <w:bCs/>
        </w:rPr>
        <w:t>钻井工程，施工期主要为污染影响，</w:t>
      </w:r>
      <w:bookmarkStart w:id="24" w:name="OLE_LINK139"/>
      <w:bookmarkStart w:id="25" w:name="OLE_LINK140"/>
      <w:r w:rsidRPr="00D630D1">
        <w:rPr>
          <w:rFonts w:hint="eastAsia"/>
          <w:bCs/>
        </w:rPr>
        <w:t>主要体现在</w:t>
      </w:r>
      <w:bookmarkStart w:id="26" w:name="OLE_LINK138"/>
      <w:r w:rsidRPr="00D630D1">
        <w:rPr>
          <w:bCs/>
        </w:rPr>
        <w:t>钻井、完井过程中会产生废气、废水、废泥浆、岩屑、噪声</w:t>
      </w:r>
      <w:r w:rsidRPr="00D630D1">
        <w:rPr>
          <w:rFonts w:hint="eastAsia"/>
          <w:bCs/>
        </w:rPr>
        <w:t>、</w:t>
      </w:r>
      <w:r w:rsidRPr="00D630D1">
        <w:rPr>
          <w:bCs/>
        </w:rPr>
        <w:t>环境风险等</w:t>
      </w:r>
      <w:r w:rsidRPr="00D630D1">
        <w:rPr>
          <w:rFonts w:hint="eastAsia"/>
          <w:bCs/>
        </w:rPr>
        <w:t>以及</w:t>
      </w:r>
      <w:r w:rsidRPr="00D630D1">
        <w:rPr>
          <w:bCs/>
        </w:rPr>
        <w:t>钻井过程中可能造成地下水的污染</w:t>
      </w:r>
      <w:bookmarkEnd w:id="24"/>
      <w:bookmarkEnd w:id="25"/>
      <w:bookmarkEnd w:id="26"/>
      <w:r w:rsidRPr="00D630D1">
        <w:rPr>
          <w:rFonts w:hint="eastAsia"/>
          <w:bCs/>
        </w:rPr>
        <w:t>。</w:t>
      </w:r>
    </w:p>
    <w:p w:rsidR="006C6841" w:rsidRPr="00D630D1" w:rsidRDefault="006C6841" w:rsidP="006C6841">
      <w:pPr>
        <w:pStyle w:val="afa"/>
        <w:ind w:firstLine="480"/>
      </w:pPr>
      <w:r w:rsidRPr="00D630D1">
        <w:t>（</w:t>
      </w:r>
      <w:r w:rsidR="00030601" w:rsidRPr="00D630D1">
        <w:rPr>
          <w:rFonts w:hint="eastAsia"/>
        </w:rPr>
        <w:t>2</w:t>
      </w:r>
      <w:r w:rsidRPr="00D630D1">
        <w:t>）天然气</w:t>
      </w:r>
      <w:r w:rsidR="00586C59" w:rsidRPr="00D630D1">
        <w:rPr>
          <w:rFonts w:hint="eastAsia"/>
        </w:rPr>
        <w:t>开采</w:t>
      </w:r>
      <w:r w:rsidR="00B11B9F" w:rsidRPr="00D630D1">
        <w:t>和</w:t>
      </w:r>
      <w:r w:rsidRPr="00D630D1">
        <w:t>内部集输工程主要为生态影响，主要体现在施工期管线管沟开挖对沿线植被、土壤造成的破坏，同时会产生一定的水土流失影响</w:t>
      </w:r>
      <w:r w:rsidR="00D71DEA" w:rsidRPr="00D630D1">
        <w:t>。</w:t>
      </w:r>
    </w:p>
    <w:p w:rsidR="006C6841" w:rsidRPr="00D630D1" w:rsidRDefault="006C6841" w:rsidP="006C6841">
      <w:pPr>
        <w:pStyle w:val="afa"/>
        <w:ind w:firstLine="480"/>
      </w:pPr>
      <w:r w:rsidRPr="00D630D1">
        <w:t>（</w:t>
      </w:r>
      <w:r w:rsidR="00030601" w:rsidRPr="00D630D1">
        <w:rPr>
          <w:rFonts w:hint="eastAsia"/>
        </w:rPr>
        <w:t>3</w:t>
      </w:r>
      <w:r w:rsidRPr="00D630D1">
        <w:t>）本项目输送介质为天然气，运营期需考虑环境风险影响。</w:t>
      </w:r>
    </w:p>
    <w:p w:rsidR="006C6841" w:rsidRPr="00D630D1" w:rsidRDefault="006C6841" w:rsidP="006C6841">
      <w:pPr>
        <w:keepNext/>
        <w:keepLines/>
        <w:spacing w:before="120"/>
        <w:ind w:firstLineChars="0" w:firstLine="0"/>
        <w:outlineLvl w:val="1"/>
        <w:rPr>
          <w:rFonts w:ascii="Times New Roman" w:cs="Times New Roman"/>
          <w:b/>
          <w:bCs/>
          <w:sz w:val="28"/>
          <w:szCs w:val="32"/>
        </w:rPr>
      </w:pPr>
      <w:bookmarkStart w:id="27" w:name="_Toc81515245"/>
      <w:r w:rsidRPr="00D630D1">
        <w:rPr>
          <w:rFonts w:ascii="Times New Roman" w:cs="Times New Roman"/>
          <w:b/>
          <w:bCs/>
          <w:sz w:val="28"/>
          <w:szCs w:val="32"/>
        </w:rPr>
        <w:t>三、环境影响评价工作过程</w:t>
      </w:r>
      <w:bookmarkEnd w:id="27"/>
    </w:p>
    <w:p w:rsidR="006C6841" w:rsidRPr="00D630D1" w:rsidRDefault="006C6841" w:rsidP="006C6841">
      <w:pPr>
        <w:pStyle w:val="afa"/>
        <w:ind w:firstLine="482"/>
        <w:rPr>
          <w:b/>
          <w:bCs/>
        </w:rPr>
      </w:pPr>
      <w:r w:rsidRPr="00D630D1">
        <w:rPr>
          <w:b/>
          <w:bCs/>
        </w:rPr>
        <w:t>1</w:t>
      </w:r>
      <w:r w:rsidRPr="00D630D1">
        <w:rPr>
          <w:b/>
          <w:bCs/>
        </w:rPr>
        <w:t>、准备阶段</w:t>
      </w:r>
    </w:p>
    <w:p w:rsidR="006C6841" w:rsidRPr="00D630D1" w:rsidRDefault="006C6841" w:rsidP="006C6841">
      <w:pPr>
        <w:pStyle w:val="afa"/>
        <w:ind w:firstLine="480"/>
      </w:pPr>
      <w:r w:rsidRPr="00D630D1">
        <w:t>我公司承担本项目环评工作后，根据建设单位提供的项目资料，确立了如下环评工作思路：</w:t>
      </w:r>
    </w:p>
    <w:p w:rsidR="006C6841" w:rsidRPr="00D630D1" w:rsidRDefault="00B11B9F" w:rsidP="002D5153">
      <w:pPr>
        <w:pStyle w:val="afa"/>
        <w:ind w:firstLineChars="182" w:firstLine="437"/>
      </w:pPr>
      <w:r w:rsidRPr="00D630D1">
        <w:rPr>
          <w:rFonts w:ascii="宋体" w:hAnsi="宋体" w:hint="eastAsia"/>
        </w:rPr>
        <w:t>①</w:t>
      </w:r>
      <w:r w:rsidRPr="00D630D1">
        <w:rPr>
          <w:rFonts w:hint="eastAsia"/>
        </w:rPr>
        <w:t xml:space="preserve"> </w:t>
      </w:r>
      <w:r w:rsidR="006C6841" w:rsidRPr="00D630D1">
        <w:t>编制环境影响评价工作方案；</w:t>
      </w:r>
    </w:p>
    <w:p w:rsidR="006C6841" w:rsidRPr="00D630D1" w:rsidRDefault="006C6841" w:rsidP="006C6841">
      <w:pPr>
        <w:pStyle w:val="afa"/>
        <w:ind w:firstLine="480"/>
      </w:pPr>
      <w:r w:rsidRPr="00D630D1">
        <w:rPr>
          <w:rFonts w:ascii="宋体" w:hAnsi="宋体" w:cs="宋体" w:hint="eastAsia"/>
        </w:rPr>
        <w:t>②</w:t>
      </w:r>
      <w:r w:rsidRPr="00D630D1">
        <w:t xml:space="preserve"> </w:t>
      </w:r>
      <w:r w:rsidRPr="00D630D1">
        <w:t>根据项目设计资料，针对</w:t>
      </w:r>
      <w:bookmarkStart w:id="28" w:name="_Hlk80469903"/>
      <w:r w:rsidR="008C0D17" w:rsidRPr="00D630D1">
        <w:t>钻井工程</w:t>
      </w:r>
      <w:r w:rsidR="008C0D17" w:rsidRPr="00D630D1">
        <w:rPr>
          <w:rFonts w:hint="eastAsia"/>
        </w:rPr>
        <w:t>、</w:t>
      </w:r>
      <w:r w:rsidR="00D71DEA" w:rsidRPr="00D630D1">
        <w:t>天然气</w:t>
      </w:r>
      <w:r w:rsidR="00586C59" w:rsidRPr="00D630D1">
        <w:rPr>
          <w:rFonts w:hint="eastAsia"/>
        </w:rPr>
        <w:t>开采</w:t>
      </w:r>
      <w:r w:rsidR="00B11B9F" w:rsidRPr="00D630D1">
        <w:t>和</w:t>
      </w:r>
      <w:r w:rsidRPr="00D630D1">
        <w:t>内部集输工程</w:t>
      </w:r>
      <w:bookmarkEnd w:id="28"/>
      <w:r w:rsidRPr="00D630D1">
        <w:t>建设特点，进行了环境影响识别；</w:t>
      </w:r>
    </w:p>
    <w:p w:rsidR="006C6841" w:rsidRPr="00D630D1" w:rsidRDefault="006C6841" w:rsidP="006C6841">
      <w:pPr>
        <w:pStyle w:val="afa"/>
        <w:ind w:firstLine="480"/>
      </w:pPr>
      <w:r w:rsidRPr="00D630D1">
        <w:rPr>
          <w:rFonts w:ascii="宋体" w:hAnsi="宋体" w:cs="宋体" w:hint="eastAsia"/>
        </w:rPr>
        <w:t>③</w:t>
      </w:r>
      <w:r w:rsidRPr="00D630D1">
        <w:t xml:space="preserve"> </w:t>
      </w:r>
      <w:r w:rsidRPr="00D630D1">
        <w:t>在影响识别的基础上，对项目可能产生的生态环境、</w:t>
      </w:r>
      <w:r w:rsidR="00E664BB" w:rsidRPr="00D630D1">
        <w:t>大气环境</w:t>
      </w:r>
      <w:r w:rsidRPr="00D630D1">
        <w:t>、地表水</w:t>
      </w:r>
      <w:r w:rsidR="00E664BB" w:rsidRPr="00D630D1">
        <w:t>环境</w:t>
      </w:r>
      <w:r w:rsidRPr="00D630D1">
        <w:t>、</w:t>
      </w:r>
      <w:r w:rsidR="00E664BB" w:rsidRPr="00D630D1">
        <w:t>地下水环境</w:t>
      </w:r>
      <w:r w:rsidR="00E664BB" w:rsidRPr="00D630D1">
        <w:rPr>
          <w:rFonts w:hint="eastAsia"/>
        </w:rPr>
        <w:t>、</w:t>
      </w:r>
      <w:r w:rsidRPr="00D630D1">
        <w:t>声环境</w:t>
      </w:r>
      <w:r w:rsidR="00E664BB" w:rsidRPr="00D630D1">
        <w:t>环境</w:t>
      </w:r>
      <w:r w:rsidR="00E664BB" w:rsidRPr="00D630D1">
        <w:rPr>
          <w:rFonts w:hint="eastAsia"/>
        </w:rPr>
        <w:t>、土壤</w:t>
      </w:r>
      <w:r w:rsidR="00E664BB" w:rsidRPr="00D630D1">
        <w:t>环境</w:t>
      </w:r>
      <w:r w:rsidR="00E664BB" w:rsidRPr="00D630D1">
        <w:rPr>
          <w:rFonts w:hint="eastAsia"/>
        </w:rPr>
        <w:t>、</w:t>
      </w:r>
      <w:r w:rsidR="00E664BB" w:rsidRPr="00D630D1">
        <w:t>固体废物</w:t>
      </w:r>
      <w:r w:rsidRPr="00D630D1">
        <w:t>等影响和环境风险进行深入分析及预测，并</w:t>
      </w:r>
      <w:r w:rsidRPr="00D630D1">
        <w:lastRenderedPageBreak/>
        <w:t>论证工程的环境可行性；</w:t>
      </w:r>
    </w:p>
    <w:p w:rsidR="006C6841" w:rsidRPr="00D630D1" w:rsidRDefault="006C6841" w:rsidP="006C6841">
      <w:pPr>
        <w:pStyle w:val="afa"/>
        <w:ind w:firstLine="480"/>
      </w:pPr>
      <w:r w:rsidRPr="00D630D1">
        <w:rPr>
          <w:rFonts w:ascii="宋体" w:hAnsi="宋体" w:cs="宋体" w:hint="eastAsia"/>
        </w:rPr>
        <w:t>④</w:t>
      </w:r>
      <w:r w:rsidRPr="00D630D1">
        <w:t xml:space="preserve"> </w:t>
      </w:r>
      <w:r w:rsidRPr="00D630D1">
        <w:t>对工程可能带来的环境影响，提出有针对性的环境保护措施和环境风险防控措施</w:t>
      </w:r>
      <w:r w:rsidR="004127D5" w:rsidRPr="00D630D1">
        <w:t>。</w:t>
      </w:r>
    </w:p>
    <w:p w:rsidR="006C6841" w:rsidRPr="00D630D1" w:rsidRDefault="006C6841" w:rsidP="006C6841">
      <w:pPr>
        <w:pStyle w:val="afa"/>
        <w:ind w:firstLine="482"/>
        <w:rPr>
          <w:b/>
          <w:bCs/>
        </w:rPr>
      </w:pPr>
      <w:r w:rsidRPr="00D630D1">
        <w:rPr>
          <w:b/>
          <w:bCs/>
        </w:rPr>
        <w:t>2</w:t>
      </w:r>
      <w:r w:rsidRPr="00D630D1">
        <w:rPr>
          <w:b/>
          <w:bCs/>
        </w:rPr>
        <w:t>、环境影响评价工作阶段</w:t>
      </w:r>
    </w:p>
    <w:p w:rsidR="006C6841" w:rsidRPr="00D630D1" w:rsidRDefault="006C6841" w:rsidP="006C6841">
      <w:pPr>
        <w:pStyle w:val="afa"/>
        <w:ind w:firstLine="480"/>
      </w:pPr>
      <w:r w:rsidRPr="00D630D1">
        <w:rPr>
          <w:rFonts w:ascii="宋体" w:hAnsi="宋体" w:cs="宋体" w:hint="eastAsia"/>
        </w:rPr>
        <w:t>①</w:t>
      </w:r>
      <w:r w:rsidRPr="00D630D1">
        <w:t xml:space="preserve"> </w:t>
      </w:r>
      <w:r w:rsidRPr="00D630D1">
        <w:t>环境敏感区筛查</w:t>
      </w:r>
    </w:p>
    <w:p w:rsidR="006C6841" w:rsidRPr="00D630D1" w:rsidRDefault="006C6841" w:rsidP="00D71DEA">
      <w:pPr>
        <w:pStyle w:val="afa"/>
        <w:ind w:firstLine="480"/>
      </w:pPr>
      <w:r w:rsidRPr="00D630D1">
        <w:t>受到委托后，我单位多次对区域进行了详查，查明</w:t>
      </w:r>
      <w:r w:rsidR="002A1C47" w:rsidRPr="00D630D1">
        <w:rPr>
          <w:rFonts w:hint="eastAsia"/>
        </w:rPr>
        <w:t>评价</w:t>
      </w:r>
      <w:r w:rsidR="002A1C47" w:rsidRPr="00D630D1">
        <w:t>范围内</w:t>
      </w:r>
      <w:r w:rsidRPr="00D630D1">
        <w:t>饮用水源保护区、永久基本农田、风景名胜区、森林公园、自然保护区</w:t>
      </w:r>
      <w:r w:rsidR="00D71DEA" w:rsidRPr="00D630D1">
        <w:t>、水土流失重点预防区和重点治理区</w:t>
      </w:r>
      <w:r w:rsidRPr="00D630D1">
        <w:t>等各类环境敏感区</w:t>
      </w:r>
      <w:r w:rsidR="002A1C47" w:rsidRPr="00D630D1">
        <w:t>的情况</w:t>
      </w:r>
      <w:r w:rsidRPr="00D630D1">
        <w:t>。</w:t>
      </w:r>
    </w:p>
    <w:p w:rsidR="006C6841" w:rsidRPr="00D630D1" w:rsidRDefault="006C6841" w:rsidP="006C6841">
      <w:pPr>
        <w:pStyle w:val="afa"/>
        <w:ind w:firstLine="480"/>
      </w:pPr>
      <w:r w:rsidRPr="00D630D1">
        <w:rPr>
          <w:rFonts w:ascii="宋体" w:hAnsi="宋体" w:cs="宋体" w:hint="eastAsia"/>
        </w:rPr>
        <w:t>②</w:t>
      </w:r>
      <w:r w:rsidRPr="00D630D1">
        <w:t xml:space="preserve"> </w:t>
      </w:r>
      <w:r w:rsidRPr="00D630D1">
        <w:t>环境现状调查</w:t>
      </w:r>
    </w:p>
    <w:p w:rsidR="006C6841" w:rsidRPr="00D630D1" w:rsidRDefault="006C6841" w:rsidP="006C6841">
      <w:pPr>
        <w:pStyle w:val="afa"/>
        <w:ind w:firstLine="480"/>
      </w:pPr>
      <w:r w:rsidRPr="00D630D1">
        <w:t>结合项目区已有现状监测资料，本评价补充完善了项目区域地表水环境、</w:t>
      </w:r>
      <w:r w:rsidR="00E664BB" w:rsidRPr="00D630D1">
        <w:t>地下水环境</w:t>
      </w:r>
      <w:r w:rsidR="00E664BB" w:rsidRPr="00D630D1">
        <w:rPr>
          <w:rFonts w:hint="eastAsia"/>
        </w:rPr>
        <w:t>、</w:t>
      </w:r>
      <w:r w:rsidRPr="00D630D1">
        <w:t>声环境、土壤环境等现状监测工作。</w:t>
      </w:r>
    </w:p>
    <w:p w:rsidR="006C6841" w:rsidRPr="00D630D1" w:rsidRDefault="006C6841" w:rsidP="006C6841">
      <w:pPr>
        <w:pStyle w:val="afa"/>
        <w:ind w:firstLine="480"/>
      </w:pPr>
      <w:r w:rsidRPr="00D630D1">
        <w:rPr>
          <w:rFonts w:ascii="宋体" w:hAnsi="宋体" w:cs="宋体" w:hint="eastAsia"/>
        </w:rPr>
        <w:t>③</w:t>
      </w:r>
      <w:r w:rsidRPr="00D630D1">
        <w:t xml:space="preserve"> </w:t>
      </w:r>
      <w:r w:rsidRPr="00D630D1">
        <w:t>环境影响评价工作</w:t>
      </w:r>
    </w:p>
    <w:p w:rsidR="006C6841" w:rsidRPr="00D630D1" w:rsidRDefault="006C6841" w:rsidP="006C6841">
      <w:pPr>
        <w:pStyle w:val="afa"/>
        <w:ind w:firstLine="480"/>
      </w:pPr>
      <w:r w:rsidRPr="00D630D1">
        <w:t>根据调查、收集到的有关文件、资料，在环境现状调查结果的基础上，对建设项目对各环境要素的环境影响和环境风险进行了分析、预测及评价，提出环境保护措施。</w:t>
      </w:r>
    </w:p>
    <w:p w:rsidR="006C6841" w:rsidRPr="00D630D1" w:rsidRDefault="006C6841" w:rsidP="006C6841">
      <w:pPr>
        <w:pStyle w:val="afa"/>
        <w:ind w:firstLine="482"/>
        <w:rPr>
          <w:b/>
          <w:bCs/>
        </w:rPr>
      </w:pPr>
      <w:r w:rsidRPr="00D630D1">
        <w:rPr>
          <w:b/>
          <w:bCs/>
        </w:rPr>
        <w:t>3</w:t>
      </w:r>
      <w:r w:rsidRPr="00D630D1">
        <w:rPr>
          <w:b/>
          <w:bCs/>
        </w:rPr>
        <w:t>、编制环境影响报告书</w:t>
      </w:r>
    </w:p>
    <w:p w:rsidR="006C6841" w:rsidRPr="00D630D1" w:rsidRDefault="006C6841" w:rsidP="006C6841">
      <w:pPr>
        <w:pStyle w:val="afa"/>
        <w:ind w:firstLine="480"/>
      </w:pPr>
      <w:r w:rsidRPr="00D630D1">
        <w:t>整理各环境要素的分析、预测成果，评价工程建设对各环境要素的影响，编制环境影响报告书，论证工程建设的环境可行性。</w:t>
      </w:r>
    </w:p>
    <w:p w:rsidR="006C6841" w:rsidRPr="00D630D1" w:rsidRDefault="006C6841" w:rsidP="006C6841">
      <w:pPr>
        <w:pStyle w:val="afa"/>
        <w:ind w:firstLine="482"/>
        <w:rPr>
          <w:b/>
          <w:bCs/>
        </w:rPr>
      </w:pPr>
      <w:r w:rsidRPr="00D630D1">
        <w:rPr>
          <w:b/>
          <w:bCs/>
        </w:rPr>
        <w:t>4</w:t>
      </w:r>
      <w:r w:rsidRPr="00D630D1">
        <w:rPr>
          <w:b/>
          <w:bCs/>
        </w:rPr>
        <w:t>、公众参与</w:t>
      </w:r>
    </w:p>
    <w:p w:rsidR="006C6841" w:rsidRPr="00D630D1" w:rsidRDefault="006C6841" w:rsidP="006C6841">
      <w:pPr>
        <w:pStyle w:val="afa"/>
        <w:ind w:firstLine="480"/>
      </w:pPr>
      <w:r w:rsidRPr="00D630D1">
        <w:t>评价过程中建设单位按照《环境影响评价公众参与办法》（生态环境部令</w:t>
      </w:r>
      <w:r w:rsidRPr="00D630D1">
        <w:t xml:space="preserve"> </w:t>
      </w:r>
      <w:r w:rsidRPr="00D630D1">
        <w:t>第</w:t>
      </w:r>
      <w:r w:rsidRPr="00D630D1">
        <w:t>4</w:t>
      </w:r>
      <w:r w:rsidRPr="00D630D1">
        <w:t>号）开展了公众参与调查并编制了说明，本项目将公众参与结论纳入环评结论形成环评报告。</w:t>
      </w:r>
    </w:p>
    <w:p w:rsidR="00117C3D" w:rsidRPr="00D630D1" w:rsidRDefault="009B2B86" w:rsidP="006E46FC">
      <w:pPr>
        <w:keepNext/>
        <w:keepLines/>
        <w:spacing w:before="120"/>
        <w:ind w:firstLineChars="0" w:firstLine="0"/>
        <w:outlineLvl w:val="1"/>
        <w:rPr>
          <w:rFonts w:ascii="Times New Roman" w:cs="Times New Roman"/>
          <w:b/>
          <w:bCs/>
          <w:sz w:val="28"/>
          <w:szCs w:val="32"/>
        </w:rPr>
      </w:pPr>
      <w:bookmarkStart w:id="29" w:name="_Toc19815915"/>
      <w:bookmarkStart w:id="30" w:name="_Toc81515246"/>
      <w:bookmarkEnd w:id="15"/>
      <w:r w:rsidRPr="00D630D1">
        <w:rPr>
          <w:rFonts w:ascii="Times New Roman" w:cs="Times New Roman"/>
          <w:b/>
          <w:bCs/>
          <w:sz w:val="28"/>
          <w:szCs w:val="32"/>
        </w:rPr>
        <w:t>四、</w:t>
      </w:r>
      <w:bookmarkEnd w:id="29"/>
      <w:r w:rsidRPr="00D630D1">
        <w:rPr>
          <w:rFonts w:ascii="Times New Roman" w:cs="Times New Roman"/>
          <w:b/>
          <w:bCs/>
          <w:sz w:val="28"/>
          <w:szCs w:val="32"/>
        </w:rPr>
        <w:t>分析判定相关情况</w:t>
      </w:r>
      <w:bookmarkEnd w:id="30"/>
    </w:p>
    <w:p w:rsidR="009B2B86" w:rsidRPr="00D630D1" w:rsidRDefault="009B2B86" w:rsidP="009B2B86">
      <w:pPr>
        <w:pStyle w:val="afa"/>
        <w:ind w:firstLine="480"/>
      </w:pPr>
      <w:r w:rsidRPr="00D630D1">
        <w:t>本项目符合《产业结构调整指导目录（</w:t>
      </w:r>
      <w:r w:rsidRPr="00D630D1">
        <w:t>2019</w:t>
      </w:r>
      <w:r w:rsidRPr="00D630D1">
        <w:t>年本）》及相关环保政策要求，符合</w:t>
      </w:r>
      <w:r w:rsidR="00383319" w:rsidRPr="00D630D1">
        <w:rPr>
          <w:rFonts w:hint="eastAsia"/>
          <w:bCs/>
        </w:rPr>
        <w:t>《“十四五”现代能源体系规划》</w:t>
      </w:r>
      <w:r w:rsidR="00383319" w:rsidRPr="00D630D1">
        <w:rPr>
          <w:rFonts w:hint="eastAsia"/>
        </w:rPr>
        <w:t>（发改能源〔</w:t>
      </w:r>
      <w:r w:rsidR="00383319" w:rsidRPr="00D630D1">
        <w:rPr>
          <w:rFonts w:hint="eastAsia"/>
        </w:rPr>
        <w:t>2022</w:t>
      </w:r>
      <w:r w:rsidR="00383319" w:rsidRPr="00D630D1">
        <w:rPr>
          <w:rFonts w:hint="eastAsia"/>
        </w:rPr>
        <w:t>〕</w:t>
      </w:r>
      <w:r w:rsidR="00383319" w:rsidRPr="00D630D1">
        <w:rPr>
          <w:rFonts w:hint="eastAsia"/>
        </w:rPr>
        <w:t>210</w:t>
      </w:r>
      <w:r w:rsidR="00383319" w:rsidRPr="00D630D1">
        <w:rPr>
          <w:rFonts w:hint="eastAsia"/>
        </w:rPr>
        <w:t>号）</w:t>
      </w:r>
      <w:r w:rsidRPr="00D630D1">
        <w:t>、</w:t>
      </w:r>
      <w:r w:rsidR="00383319" w:rsidRPr="00D630D1">
        <w:rPr>
          <w:rFonts w:hint="eastAsia"/>
        </w:rPr>
        <w:t>《长江经济带生态环境保护规划》</w:t>
      </w:r>
      <w:r w:rsidRPr="00D630D1">
        <w:t>、</w:t>
      </w:r>
      <w:r w:rsidR="00383319" w:rsidRPr="00D630D1">
        <w:rPr>
          <w:rFonts w:hint="eastAsia"/>
        </w:rPr>
        <w:t>《四川省主体功能区规划》（川府发〔</w:t>
      </w:r>
      <w:r w:rsidR="00383319" w:rsidRPr="00D630D1">
        <w:rPr>
          <w:rFonts w:hint="eastAsia"/>
        </w:rPr>
        <w:t>2013</w:t>
      </w:r>
      <w:r w:rsidR="00383319" w:rsidRPr="00D630D1">
        <w:rPr>
          <w:rFonts w:hint="eastAsia"/>
        </w:rPr>
        <w:t>〕</w:t>
      </w:r>
      <w:r w:rsidR="00383319" w:rsidRPr="00D630D1">
        <w:rPr>
          <w:rFonts w:hint="eastAsia"/>
        </w:rPr>
        <w:t>16</w:t>
      </w:r>
      <w:r w:rsidR="00383319" w:rsidRPr="00D630D1">
        <w:rPr>
          <w:rFonts w:hint="eastAsia"/>
        </w:rPr>
        <w:t>号文）、《四川省“十四五”能源发展规划》（川府发〔</w:t>
      </w:r>
      <w:r w:rsidR="00383319" w:rsidRPr="00D630D1">
        <w:rPr>
          <w:rFonts w:hint="eastAsia"/>
        </w:rPr>
        <w:t>2022</w:t>
      </w:r>
      <w:r w:rsidR="00383319" w:rsidRPr="00D630D1">
        <w:rPr>
          <w:rFonts w:hint="eastAsia"/>
        </w:rPr>
        <w:t>〕</w:t>
      </w:r>
      <w:r w:rsidR="00383319" w:rsidRPr="00D630D1">
        <w:rPr>
          <w:rFonts w:hint="eastAsia"/>
        </w:rPr>
        <w:t>8</w:t>
      </w:r>
      <w:r w:rsidR="00383319" w:rsidRPr="00D630D1">
        <w:rPr>
          <w:rFonts w:hint="eastAsia"/>
        </w:rPr>
        <w:t>号）</w:t>
      </w:r>
      <w:r w:rsidRPr="00D630D1">
        <w:t>、《四川省长江经济带发展负面清单实施细则（试行）》的相关要求。</w:t>
      </w:r>
    </w:p>
    <w:p w:rsidR="009B2B86" w:rsidRPr="00D630D1" w:rsidRDefault="00383319" w:rsidP="009B2B86">
      <w:pPr>
        <w:pStyle w:val="afa"/>
        <w:ind w:firstLine="480"/>
      </w:pPr>
      <w:r w:rsidRPr="00D630D1">
        <w:t>本项目不位于四川省达州市划定的生态保护红线区域内，</w:t>
      </w:r>
      <w:r w:rsidRPr="00D630D1">
        <w:rPr>
          <w:rFonts w:hint="eastAsia"/>
        </w:rPr>
        <w:t>符合</w:t>
      </w:r>
      <w:r w:rsidR="009B2B86" w:rsidRPr="00D630D1">
        <w:t>四川省</w:t>
      </w:r>
      <w:r w:rsidR="009B2B86" w:rsidRPr="00D630D1">
        <w:t>“</w:t>
      </w:r>
      <w:r w:rsidR="009B2B86" w:rsidRPr="00D630D1">
        <w:t>三线一单</w:t>
      </w:r>
      <w:r w:rsidR="009B2B86" w:rsidRPr="00D630D1">
        <w:t>”</w:t>
      </w:r>
      <w:r w:rsidR="00E664BB" w:rsidRPr="00D630D1">
        <w:t>和达州市</w:t>
      </w:r>
      <w:r w:rsidR="00E664BB" w:rsidRPr="00D630D1">
        <w:t>“</w:t>
      </w:r>
      <w:r w:rsidR="00E664BB" w:rsidRPr="00D630D1">
        <w:t>三线一单</w:t>
      </w:r>
      <w:r w:rsidR="00E664BB" w:rsidRPr="00D630D1">
        <w:t>”</w:t>
      </w:r>
      <w:r w:rsidRPr="00D630D1">
        <w:rPr>
          <w:rFonts w:hint="eastAsia"/>
        </w:rPr>
        <w:t>相关要求</w:t>
      </w:r>
      <w:r w:rsidR="009B2B86" w:rsidRPr="00D630D1">
        <w:t>；本项目建设不占用永久基本农田，不位于自然保护区、森林公园、风景名胜区等生态敏感区范围内，拟建管线沿线不涉及集中式饮用水源保护区。</w:t>
      </w:r>
    </w:p>
    <w:p w:rsidR="00117C3D" w:rsidRPr="00D630D1" w:rsidRDefault="009B2B86" w:rsidP="006E46FC">
      <w:pPr>
        <w:keepNext/>
        <w:keepLines/>
        <w:spacing w:before="120"/>
        <w:ind w:firstLineChars="0" w:firstLine="0"/>
        <w:outlineLvl w:val="1"/>
        <w:rPr>
          <w:rFonts w:ascii="Times New Roman" w:cs="Times New Roman"/>
          <w:b/>
          <w:bCs/>
          <w:sz w:val="28"/>
          <w:szCs w:val="32"/>
        </w:rPr>
      </w:pPr>
      <w:bookmarkStart w:id="31" w:name="_Toc19815916"/>
      <w:bookmarkStart w:id="32" w:name="_Toc81515247"/>
      <w:r w:rsidRPr="00D630D1">
        <w:rPr>
          <w:rFonts w:ascii="Times New Roman" w:cs="Times New Roman"/>
          <w:b/>
          <w:bCs/>
          <w:sz w:val="28"/>
          <w:szCs w:val="32"/>
        </w:rPr>
        <w:lastRenderedPageBreak/>
        <w:t>五</w:t>
      </w:r>
      <w:r w:rsidR="008B5B84" w:rsidRPr="00D630D1">
        <w:rPr>
          <w:rFonts w:ascii="Times New Roman" w:cs="Times New Roman"/>
          <w:b/>
          <w:bCs/>
          <w:sz w:val="28"/>
          <w:szCs w:val="32"/>
        </w:rPr>
        <w:t>、项目关注的主要环境问题及环境影响</w:t>
      </w:r>
      <w:bookmarkEnd w:id="31"/>
      <w:bookmarkEnd w:id="32"/>
    </w:p>
    <w:p w:rsidR="009B2B86" w:rsidRPr="00D630D1" w:rsidRDefault="009B2B86" w:rsidP="009B2B86">
      <w:pPr>
        <w:pStyle w:val="afa"/>
        <w:ind w:firstLine="480"/>
      </w:pPr>
      <w:r w:rsidRPr="00D630D1">
        <w:t>（</w:t>
      </w:r>
      <w:r w:rsidRPr="00D630D1">
        <w:t>1</w:t>
      </w:r>
      <w:r w:rsidRPr="00D630D1">
        <w:t>）废气：施工期主要是管道开挖扬尘、部分机械设备运行产生的废气（主要污染物</w:t>
      </w:r>
      <w:r w:rsidRPr="00D630D1">
        <w:t>NOx</w:t>
      </w:r>
      <w:r w:rsidRPr="00D630D1">
        <w:t>、</w:t>
      </w:r>
      <w:r w:rsidRPr="00D630D1">
        <w:t>CO</w:t>
      </w:r>
      <w:r w:rsidRPr="00D630D1">
        <w:t>）、焊接烟尘</w:t>
      </w:r>
      <w:r w:rsidR="008C0D17" w:rsidRPr="00D630D1">
        <w:rPr>
          <w:rFonts w:hint="eastAsia"/>
        </w:rPr>
        <w:t>、</w:t>
      </w:r>
      <w:r w:rsidR="008C0D17" w:rsidRPr="00D630D1">
        <w:t>气体钻会产生少量粉尘</w:t>
      </w:r>
      <w:r w:rsidR="008C0D17" w:rsidRPr="00D630D1">
        <w:rPr>
          <w:rFonts w:hint="eastAsia"/>
        </w:rPr>
        <w:t>、</w:t>
      </w:r>
      <w:r w:rsidR="008C0D17" w:rsidRPr="00D630D1">
        <w:t>测试放喷废气</w:t>
      </w:r>
      <w:r w:rsidR="008C0D17" w:rsidRPr="00D630D1">
        <w:rPr>
          <w:rFonts w:hint="eastAsia"/>
        </w:rPr>
        <w:t>（</w:t>
      </w:r>
      <w:r w:rsidR="008C0D17" w:rsidRPr="00D630D1">
        <w:rPr>
          <w:rFonts w:hint="eastAsia"/>
        </w:rPr>
        <w:t>S</w:t>
      </w:r>
      <w:r w:rsidR="008C0D17" w:rsidRPr="00D630D1">
        <w:t>O</w:t>
      </w:r>
      <w:r w:rsidR="008C0D17" w:rsidRPr="00D630D1">
        <w:rPr>
          <w:rFonts w:hint="eastAsia"/>
          <w:vertAlign w:val="subscript"/>
        </w:rPr>
        <w:t>2</w:t>
      </w:r>
      <w:r w:rsidR="008C0D17" w:rsidRPr="00D630D1">
        <w:rPr>
          <w:rFonts w:hint="eastAsia"/>
        </w:rPr>
        <w:t>、</w:t>
      </w:r>
      <w:r w:rsidR="008C0D17" w:rsidRPr="00D630D1">
        <w:t>NOx</w:t>
      </w:r>
      <w:r w:rsidR="008C0D17" w:rsidRPr="00D630D1">
        <w:rPr>
          <w:rFonts w:hint="eastAsia"/>
        </w:rPr>
        <w:t>）</w:t>
      </w:r>
      <w:r w:rsidRPr="00D630D1">
        <w:t>等；营运期主要为</w:t>
      </w:r>
      <w:r w:rsidR="00CC46BB" w:rsidRPr="00D630D1">
        <w:t>水套炉</w:t>
      </w:r>
      <w:r w:rsidRPr="00D630D1">
        <w:t>燃烧废气、非正常工况下的检修废气和事故放空废气。环评中注重施工期废气的环境影响分析和营运期废气的达标排放及影响分析。</w:t>
      </w:r>
    </w:p>
    <w:p w:rsidR="009B2B86" w:rsidRPr="00D630D1" w:rsidRDefault="009B2B86" w:rsidP="009B2B86">
      <w:pPr>
        <w:pStyle w:val="afa"/>
        <w:ind w:firstLine="480"/>
      </w:pPr>
      <w:r w:rsidRPr="00D630D1">
        <w:t>（</w:t>
      </w:r>
      <w:r w:rsidRPr="00D630D1">
        <w:t>2</w:t>
      </w:r>
      <w:r w:rsidRPr="00D630D1">
        <w:t>）废水：施工期主要是</w:t>
      </w:r>
      <w:r w:rsidR="008C0D17" w:rsidRPr="00D630D1">
        <w:rPr>
          <w:rFonts w:hint="eastAsia"/>
        </w:rPr>
        <w:t>钻井废水、</w:t>
      </w:r>
      <w:r w:rsidR="008C0D17" w:rsidRPr="00D630D1">
        <w:t>压裂废水和洗井废水</w:t>
      </w:r>
      <w:r w:rsidR="008C0D17" w:rsidRPr="00D630D1">
        <w:rPr>
          <w:rFonts w:hint="eastAsia"/>
        </w:rPr>
        <w:t>、</w:t>
      </w:r>
      <w:r w:rsidRPr="00D630D1">
        <w:t>清管试压废水以及</w:t>
      </w:r>
      <w:r w:rsidR="004127D5" w:rsidRPr="00D630D1">
        <w:t>施工人员</w:t>
      </w:r>
      <w:r w:rsidRPr="00D630D1">
        <w:t>生活污水；营运期主要为</w:t>
      </w:r>
      <w:r w:rsidR="00A0659D" w:rsidRPr="00D630D1">
        <w:rPr>
          <w:rFonts w:hint="eastAsia"/>
        </w:rPr>
        <w:t>气田水</w:t>
      </w:r>
      <w:r w:rsidR="00D12572">
        <w:rPr>
          <w:rFonts w:hint="eastAsia"/>
        </w:rPr>
        <w:t>和生活污水</w:t>
      </w:r>
      <w:r w:rsidRPr="00D630D1">
        <w:t>。环评中注重施工期废水处理的可行性和可靠性论证</w:t>
      </w:r>
      <w:r w:rsidR="004127D5" w:rsidRPr="00D630D1">
        <w:t>，</w:t>
      </w:r>
      <w:r w:rsidRPr="00D630D1">
        <w:t>营运期</w:t>
      </w:r>
      <w:r w:rsidR="00A0659D" w:rsidRPr="00D630D1">
        <w:rPr>
          <w:rFonts w:hint="eastAsia"/>
        </w:rPr>
        <w:t>气田水</w:t>
      </w:r>
      <w:r w:rsidR="00D12572" w:rsidRPr="00F8192F">
        <w:t>以及场站值班人员生活污水</w:t>
      </w:r>
      <w:r w:rsidR="00A0659D" w:rsidRPr="00D630D1">
        <w:rPr>
          <w:rFonts w:hint="eastAsia"/>
        </w:rPr>
        <w:t>依托处置可行性分析</w:t>
      </w:r>
      <w:r w:rsidRPr="00D630D1">
        <w:t>。</w:t>
      </w:r>
    </w:p>
    <w:p w:rsidR="009B2B86" w:rsidRPr="00D630D1" w:rsidRDefault="009B2B86" w:rsidP="009B2B86">
      <w:pPr>
        <w:pStyle w:val="afa"/>
        <w:ind w:firstLine="480"/>
      </w:pPr>
      <w:r w:rsidRPr="00D630D1">
        <w:t>（</w:t>
      </w:r>
      <w:r w:rsidRPr="00D630D1">
        <w:t>3</w:t>
      </w:r>
      <w:r w:rsidRPr="00D630D1">
        <w:t>）噪声：施工期为各类机械设备产生的噪声；营运期主要为站场设备运行噪声。环评中注重施工期和营运期噪声控制措施的可行性论证。</w:t>
      </w:r>
    </w:p>
    <w:p w:rsidR="009B2B86" w:rsidRPr="00D630D1" w:rsidRDefault="009B2B86" w:rsidP="009B2B86">
      <w:pPr>
        <w:pStyle w:val="afa"/>
        <w:ind w:firstLine="480"/>
      </w:pPr>
      <w:r w:rsidRPr="00D630D1">
        <w:t>（</w:t>
      </w:r>
      <w:r w:rsidRPr="00D630D1">
        <w:t>4</w:t>
      </w:r>
      <w:r w:rsidRPr="00D630D1">
        <w:t>）固体废物：施工期主要是</w:t>
      </w:r>
      <w:r w:rsidR="00A4370D" w:rsidRPr="00D630D1">
        <w:t>泥浆、岩屑</w:t>
      </w:r>
      <w:r w:rsidR="00A4370D" w:rsidRPr="00D630D1">
        <w:rPr>
          <w:rFonts w:hint="eastAsia"/>
        </w:rPr>
        <w:t>、</w:t>
      </w:r>
      <w:r w:rsidR="00A4370D" w:rsidRPr="00D630D1">
        <w:t>废油</w:t>
      </w:r>
      <w:r w:rsidR="00A4370D" w:rsidRPr="00D630D1">
        <w:rPr>
          <w:rFonts w:hint="eastAsia"/>
        </w:rPr>
        <w:t>、</w:t>
      </w:r>
      <w:r w:rsidRPr="00D630D1">
        <w:t>废弃土石方、生活垃圾等；营运期主要为清管作业产生的少量固体粉末</w:t>
      </w:r>
      <w:r w:rsidR="004127D5" w:rsidRPr="00D630D1">
        <w:t>，</w:t>
      </w:r>
      <w:r w:rsidR="00D12572">
        <w:t>凝析油</w:t>
      </w:r>
      <w:r w:rsidR="00D12572">
        <w:rPr>
          <w:rFonts w:hint="eastAsia"/>
        </w:rPr>
        <w:t>，</w:t>
      </w:r>
      <w:r w:rsidR="004127D5" w:rsidRPr="00D630D1">
        <w:t>场站值班人员生活垃圾</w:t>
      </w:r>
      <w:r w:rsidRPr="00D630D1">
        <w:t>。环评中注重施工期</w:t>
      </w:r>
      <w:r w:rsidR="00A4370D" w:rsidRPr="00D630D1">
        <w:t>和运营期</w:t>
      </w:r>
      <w:r w:rsidRPr="00D630D1">
        <w:t>固体废物处理的可行性进行论证。</w:t>
      </w:r>
    </w:p>
    <w:p w:rsidR="00F624B4" w:rsidRPr="00D630D1" w:rsidRDefault="00F624B4" w:rsidP="00F624B4">
      <w:pPr>
        <w:pStyle w:val="afa"/>
        <w:ind w:firstLine="480"/>
      </w:pPr>
      <w:r w:rsidRPr="00D630D1">
        <w:t>（</w:t>
      </w:r>
      <w:r w:rsidRPr="00D630D1">
        <w:t>5</w:t>
      </w:r>
      <w:r w:rsidRPr="00D630D1">
        <w:t>）生态环境：施工期生态环境影响主要来自</w:t>
      </w:r>
      <w:r w:rsidR="00A4370D" w:rsidRPr="00D630D1">
        <w:t>场地平整</w:t>
      </w:r>
      <w:r w:rsidR="00A4370D" w:rsidRPr="00D630D1">
        <w:rPr>
          <w:rFonts w:hint="eastAsia"/>
        </w:rPr>
        <w:t>、</w:t>
      </w:r>
      <w:r w:rsidRPr="00D630D1">
        <w:t>管道施工过程中开挖管沟、整修施工便道、施工机械和人员的践踏等活动，以及工程临时占地、施工产生的固体废物等对土壤、生态环境的影响；营运期主要为生态恢复。环评中注意对生态环境保护措施进行论证。</w:t>
      </w:r>
    </w:p>
    <w:p w:rsidR="009B2B86" w:rsidRPr="00D630D1" w:rsidRDefault="00F624B4" w:rsidP="00F624B4">
      <w:pPr>
        <w:pStyle w:val="afa"/>
        <w:ind w:firstLine="480"/>
      </w:pPr>
      <w:r w:rsidRPr="00D630D1">
        <w:t>（</w:t>
      </w:r>
      <w:r w:rsidRPr="00D630D1">
        <w:t>6</w:t>
      </w:r>
      <w:r w:rsidRPr="00D630D1">
        <w:t>）环境风险：主要为</w:t>
      </w:r>
      <w:r w:rsidR="00A4370D" w:rsidRPr="00D630D1">
        <w:t>井喷</w:t>
      </w:r>
      <w:r w:rsidR="00A4370D" w:rsidRPr="00D630D1">
        <w:rPr>
          <w:rFonts w:hint="eastAsia"/>
        </w:rPr>
        <w:t>、</w:t>
      </w:r>
      <w:r w:rsidR="00A4370D" w:rsidRPr="00D630D1">
        <w:t>排污池、放喷池</w:t>
      </w:r>
      <w:r w:rsidR="00A4370D" w:rsidRPr="00D630D1">
        <w:rPr>
          <w:rFonts w:hint="eastAsia"/>
        </w:rPr>
        <w:t>、</w:t>
      </w:r>
      <w:r w:rsidR="00A4370D" w:rsidRPr="00D630D1">
        <w:t>泥浆循环罐及储罐区、油罐</w:t>
      </w:r>
      <w:r w:rsidR="00A4370D" w:rsidRPr="00D630D1">
        <w:rPr>
          <w:rFonts w:hint="eastAsia"/>
        </w:rPr>
        <w:t>、</w:t>
      </w:r>
      <w:r w:rsidRPr="00D630D1">
        <w:t>输气管道、设备等受影响而产生泄漏、火灾、爆炸，进而影响当地环境。环评中将对风险进行论述，并对现有风险防范措施不足提出补充。</w:t>
      </w:r>
    </w:p>
    <w:p w:rsidR="00117C3D" w:rsidRPr="00D630D1" w:rsidRDefault="00F624B4" w:rsidP="006E46FC">
      <w:pPr>
        <w:keepNext/>
        <w:keepLines/>
        <w:spacing w:before="120"/>
        <w:ind w:firstLineChars="0" w:firstLine="0"/>
        <w:outlineLvl w:val="1"/>
        <w:rPr>
          <w:rFonts w:ascii="Times New Roman" w:cs="Times New Roman"/>
          <w:b/>
          <w:bCs/>
          <w:sz w:val="28"/>
          <w:szCs w:val="32"/>
        </w:rPr>
      </w:pPr>
      <w:bookmarkStart w:id="33" w:name="_Toc19815917"/>
      <w:bookmarkStart w:id="34" w:name="_Toc81515248"/>
      <w:r w:rsidRPr="00D630D1">
        <w:rPr>
          <w:rFonts w:ascii="Times New Roman" w:cs="Times New Roman"/>
          <w:b/>
          <w:bCs/>
          <w:sz w:val="28"/>
          <w:szCs w:val="32"/>
        </w:rPr>
        <w:t>六</w:t>
      </w:r>
      <w:r w:rsidR="008B5B84" w:rsidRPr="00D630D1">
        <w:rPr>
          <w:rFonts w:ascii="Times New Roman" w:cs="Times New Roman"/>
          <w:b/>
          <w:bCs/>
          <w:sz w:val="28"/>
          <w:szCs w:val="32"/>
        </w:rPr>
        <w:t>、主要环境影响结论</w:t>
      </w:r>
      <w:bookmarkEnd w:id="33"/>
      <w:bookmarkEnd w:id="34"/>
    </w:p>
    <w:p w:rsidR="00F624B4" w:rsidRPr="00D630D1" w:rsidRDefault="00F624B4" w:rsidP="00F624B4">
      <w:pPr>
        <w:pStyle w:val="afa"/>
        <w:ind w:firstLine="480"/>
      </w:pPr>
      <w:r w:rsidRPr="00D630D1">
        <w:t>本项目符合国家产业政策，与当地规划相容，符合石油天然气发展规划；所在区域环境空气质量现状较好；建设期间对生态环境、地表水、地下水、大气、土壤、声环境影响小，不改变区域的环境功能；该项目达到清洁生产国内先进水平，采用的环保措施可行，社会、经济效益十分显著；建设项目环境可行，选址选线合理；该工程采取的环境风险措施可靠，制定的应急预案切实可行，在落实风险防范措施及应急预案后，环境风险达到可接受水平；所采取的</w:t>
      </w:r>
      <w:r w:rsidR="00174753" w:rsidRPr="00D630D1">
        <w:t>废气</w:t>
      </w:r>
      <w:r w:rsidR="00174753" w:rsidRPr="00D630D1">
        <w:rPr>
          <w:rFonts w:hint="eastAsia"/>
        </w:rPr>
        <w:t>、</w:t>
      </w:r>
      <w:r w:rsidRPr="00D630D1">
        <w:t>废水、固体废物和噪声防治措施以及水土保持措施可行有效，在建设过程认真落实报告提出的各项污染防治措施后，对周围环境不会造成污染影响。从环境角度而言，无明显制约项目建设的环境因素，本项目在拟选站址、线路建设是可行的。</w:t>
      </w:r>
    </w:p>
    <w:p w:rsidR="00117C3D" w:rsidRPr="00D630D1" w:rsidRDefault="00C45E32" w:rsidP="00F624B4">
      <w:pPr>
        <w:pStyle w:val="afa"/>
        <w:ind w:firstLine="480"/>
      </w:pPr>
      <w:r w:rsidRPr="00D630D1">
        <w:rPr>
          <w:kern w:val="2"/>
          <w:szCs w:val="22"/>
        </w:rPr>
        <w:lastRenderedPageBreak/>
        <w:t>综上，项目建设无明显制约的环境因素，建设过程中认真落实报告提出的各项污染防治、生态保护措施和应急预案后，从环境保护角度而言，本项目在拟选站址、线路建设是可行的。</w:t>
      </w:r>
    </w:p>
    <w:p w:rsidR="00117C3D" w:rsidRPr="00D630D1" w:rsidRDefault="00117C3D">
      <w:pPr>
        <w:widowControl/>
        <w:topLinePunct w:val="0"/>
        <w:adjustRightInd/>
        <w:ind w:firstLineChars="0" w:firstLine="0"/>
        <w:jc w:val="left"/>
        <w:rPr>
          <w:rFonts w:ascii="Times New Roman" w:cs="Times New Roman"/>
        </w:rPr>
        <w:sectPr w:rsidR="00117C3D" w:rsidRPr="00D630D1" w:rsidSect="00BA4F10">
          <w:pgSz w:w="11910" w:h="16840"/>
          <w:pgMar w:top="1280" w:right="1280" w:bottom="1300" w:left="1280" w:header="885" w:footer="1097" w:gutter="0"/>
          <w:pgNumType w:start="1"/>
          <w:cols w:space="720"/>
        </w:sectPr>
      </w:pPr>
    </w:p>
    <w:p w:rsidR="00117C3D" w:rsidRPr="00D630D1" w:rsidRDefault="008B5B84" w:rsidP="000A6257">
      <w:pPr>
        <w:keepNext/>
        <w:keepLines/>
        <w:ind w:firstLineChars="0" w:firstLine="0"/>
        <w:jc w:val="left"/>
        <w:outlineLvl w:val="0"/>
        <w:rPr>
          <w:rFonts w:ascii="Times New Roman" w:cs="Times New Roman"/>
          <w:b/>
          <w:kern w:val="44"/>
          <w:sz w:val="32"/>
          <w:szCs w:val="44"/>
        </w:rPr>
      </w:pPr>
      <w:bookmarkStart w:id="35" w:name="bookmark1"/>
      <w:bookmarkStart w:id="36" w:name="_Toc12288384"/>
      <w:bookmarkStart w:id="37" w:name="_Toc19815918"/>
      <w:bookmarkStart w:id="38" w:name="_Toc81515249"/>
      <w:bookmarkEnd w:id="35"/>
      <w:r w:rsidRPr="00D630D1">
        <w:rPr>
          <w:rFonts w:ascii="Times New Roman" w:cs="Times New Roman"/>
          <w:b/>
          <w:kern w:val="44"/>
          <w:sz w:val="32"/>
          <w:szCs w:val="44"/>
        </w:rPr>
        <w:lastRenderedPageBreak/>
        <w:t>1</w:t>
      </w:r>
      <w:r w:rsidR="0099742E" w:rsidRPr="00D630D1">
        <w:rPr>
          <w:rFonts w:ascii="Times New Roman" w:cs="Times New Roman"/>
          <w:b/>
          <w:kern w:val="44"/>
          <w:sz w:val="32"/>
          <w:szCs w:val="44"/>
        </w:rPr>
        <w:t xml:space="preserve"> </w:t>
      </w:r>
      <w:r w:rsidRPr="00D630D1">
        <w:rPr>
          <w:rFonts w:ascii="Times New Roman" w:cs="Times New Roman"/>
          <w:b/>
          <w:kern w:val="44"/>
          <w:sz w:val="32"/>
          <w:szCs w:val="44"/>
        </w:rPr>
        <w:t>总则</w:t>
      </w:r>
      <w:bookmarkEnd w:id="36"/>
      <w:bookmarkEnd w:id="37"/>
      <w:bookmarkEnd w:id="38"/>
    </w:p>
    <w:p w:rsidR="00117C3D" w:rsidRPr="00D630D1" w:rsidRDefault="008B5B84" w:rsidP="004E18BF">
      <w:pPr>
        <w:keepNext/>
        <w:keepLines/>
        <w:spacing w:before="120"/>
        <w:ind w:firstLineChars="0" w:firstLine="0"/>
        <w:outlineLvl w:val="1"/>
        <w:rPr>
          <w:rFonts w:ascii="Times New Roman" w:cs="Times New Roman"/>
          <w:b/>
          <w:bCs/>
          <w:sz w:val="28"/>
          <w:szCs w:val="32"/>
        </w:rPr>
      </w:pPr>
      <w:bookmarkStart w:id="39" w:name="bookmark2"/>
      <w:bookmarkStart w:id="40" w:name="_Toc19815919"/>
      <w:bookmarkStart w:id="41" w:name="_Toc12288385"/>
      <w:bookmarkStart w:id="42" w:name="_Toc81515250"/>
      <w:bookmarkEnd w:id="39"/>
      <w:r w:rsidRPr="00D630D1">
        <w:rPr>
          <w:rFonts w:ascii="Times New Roman" w:cs="Times New Roman"/>
          <w:b/>
          <w:bCs/>
          <w:sz w:val="28"/>
          <w:szCs w:val="32"/>
        </w:rPr>
        <w:t>1.1</w:t>
      </w:r>
      <w:r w:rsidR="00A64242" w:rsidRPr="00D630D1">
        <w:rPr>
          <w:rFonts w:ascii="Times New Roman" w:cs="Times New Roman"/>
          <w:b/>
          <w:bCs/>
          <w:sz w:val="28"/>
          <w:szCs w:val="32"/>
        </w:rPr>
        <w:t xml:space="preserve"> </w:t>
      </w:r>
      <w:r w:rsidRPr="00D630D1">
        <w:rPr>
          <w:rFonts w:ascii="Times New Roman" w:cs="Times New Roman"/>
          <w:b/>
          <w:bCs/>
          <w:sz w:val="28"/>
          <w:szCs w:val="32"/>
        </w:rPr>
        <w:t>编制依据</w:t>
      </w:r>
      <w:bookmarkEnd w:id="40"/>
      <w:bookmarkEnd w:id="41"/>
      <w:bookmarkEnd w:id="42"/>
    </w:p>
    <w:p w:rsidR="00117C3D" w:rsidRPr="00D630D1" w:rsidRDefault="008B5B84">
      <w:pPr>
        <w:keepNext/>
        <w:keepLines/>
        <w:ind w:firstLineChars="0" w:firstLine="0"/>
        <w:outlineLvl w:val="2"/>
        <w:rPr>
          <w:rFonts w:ascii="Times New Roman" w:cs="Times New Roman"/>
          <w:b/>
          <w:szCs w:val="32"/>
        </w:rPr>
      </w:pPr>
      <w:bookmarkStart w:id="43" w:name="_Toc19815920"/>
      <w:r w:rsidRPr="00D630D1">
        <w:rPr>
          <w:rFonts w:ascii="Times New Roman" w:cs="Times New Roman"/>
          <w:b/>
          <w:szCs w:val="32"/>
        </w:rPr>
        <w:t>1.1.1</w:t>
      </w:r>
      <w:r w:rsidR="00A64242" w:rsidRPr="00D630D1">
        <w:rPr>
          <w:rFonts w:ascii="Times New Roman" w:cs="Times New Roman"/>
          <w:b/>
          <w:szCs w:val="32"/>
        </w:rPr>
        <w:t xml:space="preserve"> </w:t>
      </w:r>
      <w:r w:rsidRPr="00D630D1">
        <w:rPr>
          <w:rFonts w:ascii="Times New Roman" w:cs="Times New Roman"/>
          <w:b/>
          <w:szCs w:val="32"/>
        </w:rPr>
        <w:t>相关法律</w:t>
      </w:r>
      <w:bookmarkEnd w:id="43"/>
    </w:p>
    <w:p w:rsidR="00117C3D" w:rsidRPr="00D630D1" w:rsidRDefault="00174753" w:rsidP="004E18BF">
      <w:pPr>
        <w:pStyle w:val="afa"/>
        <w:ind w:firstLine="480"/>
      </w:pPr>
      <w:r w:rsidRPr="00D630D1">
        <w:rPr>
          <w:rFonts w:hint="eastAsia"/>
        </w:rPr>
        <w:t>（</w:t>
      </w:r>
      <w:r w:rsidRPr="00D630D1">
        <w:rPr>
          <w:rFonts w:hint="eastAsia"/>
        </w:rPr>
        <w:t>1</w:t>
      </w:r>
      <w:r w:rsidRPr="00D630D1">
        <w:rPr>
          <w:rFonts w:hint="eastAsia"/>
        </w:rPr>
        <w:t>）</w:t>
      </w:r>
      <w:r w:rsidR="008B5B84" w:rsidRPr="00D630D1">
        <w:t>《中华人民共和国环境保护法》，</w:t>
      </w:r>
      <w:r w:rsidR="008B5B84" w:rsidRPr="00D630D1">
        <w:t>2014</w:t>
      </w:r>
      <w:r w:rsidR="008B5B84" w:rsidRPr="00D630D1">
        <w:t>年</w:t>
      </w:r>
      <w:r w:rsidR="008B5B84" w:rsidRPr="00D630D1">
        <w:t>4</w:t>
      </w:r>
      <w:r w:rsidR="008B5B84" w:rsidRPr="00D630D1">
        <w:t>月</w:t>
      </w:r>
      <w:r w:rsidR="008B5B84" w:rsidRPr="00D630D1">
        <w:t>24</w:t>
      </w:r>
      <w:r w:rsidR="008B5B84" w:rsidRPr="00D630D1">
        <w:t>日修订，</w:t>
      </w:r>
      <w:r w:rsidR="008B5B84" w:rsidRPr="00D630D1">
        <w:t>2015</w:t>
      </w:r>
      <w:r w:rsidR="008B5B84" w:rsidRPr="00D630D1">
        <w:t>年</w:t>
      </w:r>
      <w:r w:rsidR="008B5B84" w:rsidRPr="00D630D1">
        <w:t>1</w:t>
      </w:r>
      <w:r w:rsidR="008B5B84" w:rsidRPr="00D630D1">
        <w:t>月</w:t>
      </w:r>
      <w:r w:rsidR="008B5B84" w:rsidRPr="00D630D1">
        <w:t>1</w:t>
      </w:r>
      <w:r w:rsidR="008B5B84" w:rsidRPr="00D630D1">
        <w:t>日施行；</w:t>
      </w:r>
    </w:p>
    <w:p w:rsidR="00117C3D" w:rsidRPr="00D630D1" w:rsidRDefault="00174753" w:rsidP="004E18BF">
      <w:pPr>
        <w:pStyle w:val="afa"/>
        <w:ind w:firstLine="480"/>
      </w:pPr>
      <w:r w:rsidRPr="00D630D1">
        <w:rPr>
          <w:rFonts w:hint="eastAsia"/>
        </w:rPr>
        <w:t>（</w:t>
      </w:r>
      <w:r w:rsidRPr="00D630D1">
        <w:rPr>
          <w:rFonts w:hint="eastAsia"/>
        </w:rPr>
        <w:t>2</w:t>
      </w:r>
      <w:r w:rsidRPr="00D630D1">
        <w:rPr>
          <w:rFonts w:hint="eastAsia"/>
        </w:rPr>
        <w:t>）</w:t>
      </w:r>
      <w:r w:rsidR="008B5B84" w:rsidRPr="00D630D1">
        <w:t>《中华人民共和国环境影响评价法》，</w:t>
      </w:r>
      <w:r w:rsidR="008B5B84" w:rsidRPr="00D630D1">
        <w:t>2018</w:t>
      </w:r>
      <w:r w:rsidR="008B5B84" w:rsidRPr="00D630D1">
        <w:t>年</w:t>
      </w:r>
      <w:r w:rsidR="008B5B84" w:rsidRPr="00D630D1">
        <w:t>12</w:t>
      </w:r>
      <w:r w:rsidR="008B5B84" w:rsidRPr="00D630D1">
        <w:t>月</w:t>
      </w:r>
      <w:r w:rsidR="008B5B84" w:rsidRPr="00D630D1">
        <w:t>29</w:t>
      </w:r>
      <w:r w:rsidR="008B5B84" w:rsidRPr="00D630D1">
        <w:t>日修订并施行；</w:t>
      </w:r>
    </w:p>
    <w:p w:rsidR="00117C3D" w:rsidRPr="00D630D1" w:rsidRDefault="00174753" w:rsidP="004E18BF">
      <w:pPr>
        <w:pStyle w:val="afa"/>
        <w:ind w:firstLine="480"/>
      </w:pPr>
      <w:r w:rsidRPr="00D630D1">
        <w:rPr>
          <w:rFonts w:hint="eastAsia"/>
        </w:rPr>
        <w:t>（</w:t>
      </w:r>
      <w:r w:rsidRPr="00D630D1">
        <w:rPr>
          <w:rFonts w:hint="eastAsia"/>
        </w:rPr>
        <w:t>3</w:t>
      </w:r>
      <w:r w:rsidRPr="00D630D1">
        <w:rPr>
          <w:rFonts w:hint="eastAsia"/>
        </w:rPr>
        <w:t>）</w:t>
      </w:r>
      <w:r w:rsidR="008B5B84" w:rsidRPr="00D630D1">
        <w:t>《中华人民共和国水污染防治法》，</w:t>
      </w:r>
      <w:r w:rsidR="008B5B84" w:rsidRPr="00D630D1">
        <w:t>2017</w:t>
      </w:r>
      <w:r w:rsidR="008B5B84" w:rsidRPr="00D630D1">
        <w:t>年</w:t>
      </w:r>
      <w:r w:rsidR="008B5B84" w:rsidRPr="00D630D1">
        <w:t>6</w:t>
      </w:r>
      <w:r w:rsidR="008B5B84" w:rsidRPr="00D630D1">
        <w:t>月</w:t>
      </w:r>
      <w:r w:rsidR="008B5B84" w:rsidRPr="00D630D1">
        <w:t>27</w:t>
      </w:r>
      <w:r w:rsidR="008B5B84" w:rsidRPr="00D630D1">
        <w:t>日修订，</w:t>
      </w:r>
      <w:r w:rsidR="008B5B84" w:rsidRPr="00D630D1">
        <w:t>2018</w:t>
      </w:r>
      <w:r w:rsidR="008B5B84" w:rsidRPr="00D630D1">
        <w:t>年</w:t>
      </w:r>
      <w:r w:rsidR="008B5B84" w:rsidRPr="00D630D1">
        <w:t>1</w:t>
      </w:r>
      <w:r w:rsidR="008B5B84" w:rsidRPr="00D630D1">
        <w:t>月</w:t>
      </w:r>
      <w:r w:rsidR="008B5B84" w:rsidRPr="00D630D1">
        <w:t>1</w:t>
      </w:r>
      <w:r w:rsidR="008B5B84" w:rsidRPr="00D630D1">
        <w:t>日实施；</w:t>
      </w:r>
    </w:p>
    <w:p w:rsidR="00117C3D" w:rsidRPr="00D630D1" w:rsidRDefault="00174753" w:rsidP="004E18BF">
      <w:pPr>
        <w:pStyle w:val="afa"/>
        <w:ind w:firstLine="480"/>
      </w:pPr>
      <w:r w:rsidRPr="00D630D1">
        <w:rPr>
          <w:rFonts w:hint="eastAsia"/>
        </w:rPr>
        <w:t>（</w:t>
      </w:r>
      <w:r w:rsidRPr="00D630D1">
        <w:rPr>
          <w:rFonts w:hint="eastAsia"/>
        </w:rPr>
        <w:t>4</w:t>
      </w:r>
      <w:r w:rsidRPr="00D630D1">
        <w:rPr>
          <w:rFonts w:hint="eastAsia"/>
        </w:rPr>
        <w:t>）</w:t>
      </w:r>
      <w:r w:rsidR="008B5B84" w:rsidRPr="00D630D1">
        <w:t>《中华人民共和国大气污染防治法》，</w:t>
      </w:r>
      <w:r w:rsidR="008B5B84" w:rsidRPr="00D630D1">
        <w:t>2018</w:t>
      </w:r>
      <w:r w:rsidR="008B5B84" w:rsidRPr="00D630D1">
        <w:t>年</w:t>
      </w:r>
      <w:r w:rsidR="008B5B84" w:rsidRPr="00D630D1">
        <w:t>10</w:t>
      </w:r>
      <w:r w:rsidR="008B5B84" w:rsidRPr="00D630D1">
        <w:t>月</w:t>
      </w:r>
      <w:r w:rsidR="008B5B84" w:rsidRPr="00D630D1">
        <w:t>26</w:t>
      </w:r>
      <w:r w:rsidR="008B5B84" w:rsidRPr="00D630D1">
        <w:t>日修订并施行；</w:t>
      </w:r>
    </w:p>
    <w:p w:rsidR="00117C3D" w:rsidRPr="00D630D1" w:rsidRDefault="00174753" w:rsidP="004E18BF">
      <w:pPr>
        <w:pStyle w:val="afa"/>
        <w:ind w:firstLine="480"/>
      </w:pPr>
      <w:r w:rsidRPr="00D630D1">
        <w:rPr>
          <w:rFonts w:hint="eastAsia"/>
        </w:rPr>
        <w:t>（</w:t>
      </w:r>
      <w:r w:rsidRPr="00D630D1">
        <w:rPr>
          <w:rFonts w:hint="eastAsia"/>
        </w:rPr>
        <w:t>5</w:t>
      </w:r>
      <w:r w:rsidRPr="00D630D1">
        <w:rPr>
          <w:rFonts w:hint="eastAsia"/>
        </w:rPr>
        <w:t>）</w:t>
      </w:r>
      <w:r w:rsidR="008B5B84" w:rsidRPr="00D630D1">
        <w:t>《中华人民共和国环境噪声污染防治法》，</w:t>
      </w:r>
      <w:r w:rsidR="008B5B84" w:rsidRPr="00D630D1">
        <w:t>2018</w:t>
      </w:r>
      <w:r w:rsidR="008B5B84" w:rsidRPr="00D630D1">
        <w:t>年</w:t>
      </w:r>
      <w:r w:rsidR="008B5B84" w:rsidRPr="00D630D1">
        <w:t>12</w:t>
      </w:r>
      <w:r w:rsidR="008B5B84" w:rsidRPr="00D630D1">
        <w:t>月</w:t>
      </w:r>
      <w:r w:rsidR="008B5B84" w:rsidRPr="00D630D1">
        <w:t>29</w:t>
      </w:r>
      <w:r w:rsidR="008B5B84" w:rsidRPr="00D630D1">
        <w:t>日修订并施行；</w:t>
      </w:r>
    </w:p>
    <w:p w:rsidR="00117C3D" w:rsidRPr="00D630D1" w:rsidRDefault="00174753" w:rsidP="004E18BF">
      <w:pPr>
        <w:pStyle w:val="afa"/>
        <w:ind w:firstLine="480"/>
      </w:pPr>
      <w:r w:rsidRPr="00D630D1">
        <w:rPr>
          <w:rFonts w:hint="eastAsia"/>
        </w:rPr>
        <w:t>（</w:t>
      </w:r>
      <w:r w:rsidRPr="00D630D1">
        <w:rPr>
          <w:rFonts w:hint="eastAsia"/>
        </w:rPr>
        <w:t>6</w:t>
      </w:r>
      <w:r w:rsidRPr="00D630D1">
        <w:rPr>
          <w:rFonts w:hint="eastAsia"/>
        </w:rPr>
        <w:t>）</w:t>
      </w:r>
      <w:r w:rsidR="008B5B84" w:rsidRPr="00D630D1">
        <w:t>《中华人民共和国固体废物污染环境防治法》，</w:t>
      </w:r>
      <w:r w:rsidR="00C45E32" w:rsidRPr="00D630D1">
        <w:rPr>
          <w:kern w:val="2"/>
          <w:szCs w:val="22"/>
        </w:rPr>
        <w:t>中华人民共和国主席令第四十三号，</w:t>
      </w:r>
      <w:r w:rsidR="00C45E32" w:rsidRPr="00D630D1">
        <w:rPr>
          <w:kern w:val="2"/>
          <w:szCs w:val="22"/>
        </w:rPr>
        <w:t>2020</w:t>
      </w:r>
      <w:r w:rsidR="00C45E32" w:rsidRPr="00D630D1">
        <w:rPr>
          <w:kern w:val="2"/>
          <w:szCs w:val="22"/>
        </w:rPr>
        <w:t>年</w:t>
      </w:r>
      <w:r w:rsidR="00C45E32" w:rsidRPr="00D630D1">
        <w:rPr>
          <w:kern w:val="2"/>
          <w:szCs w:val="22"/>
        </w:rPr>
        <w:t>9</w:t>
      </w:r>
      <w:r w:rsidR="00C45E32" w:rsidRPr="00D630D1">
        <w:rPr>
          <w:kern w:val="2"/>
          <w:szCs w:val="22"/>
        </w:rPr>
        <w:t>月</w:t>
      </w:r>
      <w:r w:rsidR="00C45E32" w:rsidRPr="00D630D1">
        <w:rPr>
          <w:kern w:val="2"/>
          <w:szCs w:val="22"/>
        </w:rPr>
        <w:t>1</w:t>
      </w:r>
      <w:r w:rsidR="00C45E32" w:rsidRPr="00D630D1">
        <w:rPr>
          <w:kern w:val="2"/>
          <w:szCs w:val="22"/>
        </w:rPr>
        <w:t>日实施</w:t>
      </w:r>
      <w:r w:rsidR="008B5B84" w:rsidRPr="00D630D1">
        <w:t>；</w:t>
      </w:r>
    </w:p>
    <w:p w:rsidR="00117C3D" w:rsidRPr="00D630D1" w:rsidRDefault="00174753" w:rsidP="004E18BF">
      <w:pPr>
        <w:pStyle w:val="afa"/>
        <w:ind w:firstLine="480"/>
      </w:pPr>
      <w:r w:rsidRPr="00D630D1">
        <w:rPr>
          <w:rFonts w:hint="eastAsia"/>
        </w:rPr>
        <w:t>（</w:t>
      </w:r>
      <w:r w:rsidRPr="00D630D1">
        <w:rPr>
          <w:rFonts w:hint="eastAsia"/>
        </w:rPr>
        <w:t>7</w:t>
      </w:r>
      <w:r w:rsidRPr="00D630D1">
        <w:rPr>
          <w:rFonts w:hint="eastAsia"/>
        </w:rPr>
        <w:t>）</w:t>
      </w:r>
      <w:r w:rsidR="008B5B84" w:rsidRPr="00D630D1">
        <w:t>《中华人民共和国清洁生产促进法》，中华人民共和国主席令第</w:t>
      </w:r>
      <w:r w:rsidR="008B5B84" w:rsidRPr="00D630D1">
        <w:t>54</w:t>
      </w:r>
      <w:r w:rsidR="008B5B84" w:rsidRPr="00D630D1">
        <w:t>号，</w:t>
      </w:r>
      <w:r w:rsidR="008B5B84" w:rsidRPr="00D630D1">
        <w:t>2012</w:t>
      </w:r>
      <w:r w:rsidR="008B5B84" w:rsidRPr="00D630D1">
        <w:t>年</w:t>
      </w:r>
      <w:r w:rsidR="008B5B84" w:rsidRPr="00D630D1">
        <w:t>7</w:t>
      </w:r>
      <w:r w:rsidR="008B5B84" w:rsidRPr="00D630D1">
        <w:t>月</w:t>
      </w:r>
      <w:r w:rsidR="008B5B84" w:rsidRPr="00D630D1">
        <w:t>1</w:t>
      </w:r>
      <w:r w:rsidR="008B5B84" w:rsidRPr="00D630D1">
        <w:t>日实施；</w:t>
      </w:r>
    </w:p>
    <w:p w:rsidR="00117C3D" w:rsidRPr="00D630D1" w:rsidRDefault="00174753" w:rsidP="004E18BF">
      <w:pPr>
        <w:pStyle w:val="afa"/>
        <w:ind w:firstLine="480"/>
      </w:pPr>
      <w:r w:rsidRPr="00D630D1">
        <w:rPr>
          <w:rFonts w:hint="eastAsia"/>
        </w:rPr>
        <w:t>（</w:t>
      </w:r>
      <w:r w:rsidRPr="00D630D1">
        <w:rPr>
          <w:rFonts w:hint="eastAsia"/>
        </w:rPr>
        <w:t>8</w:t>
      </w:r>
      <w:r w:rsidRPr="00D630D1">
        <w:rPr>
          <w:rFonts w:hint="eastAsia"/>
        </w:rPr>
        <w:t>）</w:t>
      </w:r>
      <w:r w:rsidR="008B5B84" w:rsidRPr="00D630D1">
        <w:t>《中华人民共和国土地管理法》，</w:t>
      </w:r>
      <w:r w:rsidR="008B5B84" w:rsidRPr="00D630D1">
        <w:t>2020</w:t>
      </w:r>
      <w:r w:rsidR="008B5B84" w:rsidRPr="00D630D1">
        <w:t>年</w:t>
      </w:r>
      <w:r w:rsidR="008B5B84" w:rsidRPr="00D630D1">
        <w:t>1</w:t>
      </w:r>
      <w:r w:rsidR="008B5B84" w:rsidRPr="00D630D1">
        <w:t>月</w:t>
      </w:r>
      <w:r w:rsidR="008B5B84" w:rsidRPr="00D630D1">
        <w:t>1</w:t>
      </w:r>
      <w:r w:rsidR="008B5B84" w:rsidRPr="00D630D1">
        <w:t>日实施；</w:t>
      </w:r>
    </w:p>
    <w:p w:rsidR="00117C3D" w:rsidRPr="00D630D1" w:rsidRDefault="00174753" w:rsidP="004E18BF">
      <w:pPr>
        <w:pStyle w:val="afa"/>
        <w:ind w:firstLine="480"/>
      </w:pPr>
      <w:r w:rsidRPr="00D630D1">
        <w:rPr>
          <w:rFonts w:hint="eastAsia"/>
        </w:rPr>
        <w:t>（</w:t>
      </w:r>
      <w:r w:rsidRPr="00D630D1">
        <w:rPr>
          <w:rFonts w:hint="eastAsia"/>
        </w:rPr>
        <w:t>9</w:t>
      </w:r>
      <w:r w:rsidRPr="00D630D1">
        <w:rPr>
          <w:rFonts w:hint="eastAsia"/>
        </w:rPr>
        <w:t>）</w:t>
      </w:r>
      <w:r w:rsidR="008B5B84" w:rsidRPr="00D630D1">
        <w:t>《中华人民共和国水土保持法》，中华人民共和国主席令第</w:t>
      </w:r>
      <w:r w:rsidR="008B5B84" w:rsidRPr="00D630D1">
        <w:t>39</w:t>
      </w:r>
      <w:r w:rsidR="008B5B84" w:rsidRPr="00D630D1">
        <w:t>号，</w:t>
      </w:r>
      <w:r w:rsidR="008B5B84" w:rsidRPr="00D630D1">
        <w:t>2011</w:t>
      </w:r>
      <w:r w:rsidR="008B5B84" w:rsidRPr="00D630D1">
        <w:t>年</w:t>
      </w:r>
      <w:r w:rsidR="008B5B84" w:rsidRPr="00D630D1">
        <w:t>3</w:t>
      </w:r>
      <w:r w:rsidR="008B5B84" w:rsidRPr="00D630D1">
        <w:t>月</w:t>
      </w:r>
      <w:r w:rsidR="008B5B84" w:rsidRPr="00D630D1">
        <w:t>1</w:t>
      </w:r>
      <w:r w:rsidR="008B5B84" w:rsidRPr="00D630D1">
        <w:t>日实施；</w:t>
      </w:r>
    </w:p>
    <w:p w:rsidR="00117C3D" w:rsidRPr="00D630D1" w:rsidRDefault="00174753" w:rsidP="004E18BF">
      <w:pPr>
        <w:pStyle w:val="afa"/>
        <w:ind w:firstLine="480"/>
      </w:pPr>
      <w:r w:rsidRPr="00D630D1">
        <w:rPr>
          <w:rFonts w:hint="eastAsia"/>
        </w:rPr>
        <w:t>（</w:t>
      </w:r>
      <w:r w:rsidRPr="00D630D1">
        <w:rPr>
          <w:rFonts w:hint="eastAsia"/>
        </w:rPr>
        <w:t>10</w:t>
      </w:r>
      <w:r w:rsidRPr="00D630D1">
        <w:rPr>
          <w:rFonts w:hint="eastAsia"/>
        </w:rPr>
        <w:t>）</w:t>
      </w:r>
      <w:r w:rsidR="008B5B84" w:rsidRPr="00D630D1">
        <w:t>《中华人民共和国水法》，</w:t>
      </w:r>
      <w:r w:rsidR="008B5B84" w:rsidRPr="00D630D1">
        <w:t>2016</w:t>
      </w:r>
      <w:r w:rsidR="008B5B84" w:rsidRPr="00D630D1">
        <w:t>年</w:t>
      </w:r>
      <w:r w:rsidR="008B5B84" w:rsidRPr="00D630D1">
        <w:t>7</w:t>
      </w:r>
      <w:r w:rsidR="008B5B84" w:rsidRPr="00D630D1">
        <w:t>月</w:t>
      </w:r>
      <w:r w:rsidR="008B5B84" w:rsidRPr="00D630D1">
        <w:t>2</w:t>
      </w:r>
      <w:r w:rsidR="008B5B84" w:rsidRPr="00D630D1">
        <w:t>日第十二届全国人民代表大会常务委员会第二十一次会议修订，</w:t>
      </w:r>
      <w:r w:rsidR="008B5B84" w:rsidRPr="00D630D1">
        <w:t>2016</w:t>
      </w:r>
      <w:r w:rsidR="008B5B84" w:rsidRPr="00D630D1">
        <w:t>年</w:t>
      </w:r>
      <w:r w:rsidR="008B5B84" w:rsidRPr="00D630D1">
        <w:t>9</w:t>
      </w:r>
      <w:r w:rsidR="008B5B84" w:rsidRPr="00D630D1">
        <w:t>月</w:t>
      </w:r>
      <w:r w:rsidR="008B5B84" w:rsidRPr="00D630D1">
        <w:t>1</w:t>
      </w:r>
      <w:r w:rsidR="008B5B84" w:rsidRPr="00D630D1">
        <w:t>日实施；</w:t>
      </w:r>
    </w:p>
    <w:p w:rsidR="00117C3D" w:rsidRPr="00D630D1" w:rsidRDefault="00174753" w:rsidP="004E18BF">
      <w:pPr>
        <w:pStyle w:val="afa"/>
        <w:ind w:firstLine="480"/>
      </w:pPr>
      <w:r w:rsidRPr="00D630D1">
        <w:rPr>
          <w:rFonts w:hint="eastAsia"/>
        </w:rPr>
        <w:t>（</w:t>
      </w:r>
      <w:r w:rsidRPr="00D630D1">
        <w:t>11</w:t>
      </w:r>
      <w:r w:rsidRPr="00D630D1">
        <w:rPr>
          <w:rFonts w:hint="eastAsia"/>
        </w:rPr>
        <w:t>）</w:t>
      </w:r>
      <w:r w:rsidR="008B5B84" w:rsidRPr="00D630D1">
        <w:t>《中华人民共和国矿产资源法》，第十一届全国人民代表大会常务委员会第十次会议一次修正，</w:t>
      </w:r>
      <w:r w:rsidR="008B5B84" w:rsidRPr="00D630D1">
        <w:t>2009</w:t>
      </w:r>
      <w:r w:rsidR="008B5B84" w:rsidRPr="00D630D1">
        <w:t>年</w:t>
      </w:r>
      <w:r w:rsidR="008B5B84" w:rsidRPr="00D630D1">
        <w:t>8</w:t>
      </w:r>
      <w:r w:rsidR="008B5B84" w:rsidRPr="00D630D1">
        <w:t>月</w:t>
      </w:r>
      <w:r w:rsidR="008B5B84" w:rsidRPr="00D630D1">
        <w:t>27</w:t>
      </w:r>
      <w:r w:rsidR="008B5B84" w:rsidRPr="00D630D1">
        <w:t>日实施；</w:t>
      </w:r>
    </w:p>
    <w:p w:rsidR="00117C3D" w:rsidRPr="00D630D1" w:rsidRDefault="00174753" w:rsidP="004E18BF">
      <w:pPr>
        <w:pStyle w:val="afa"/>
        <w:ind w:firstLine="480"/>
      </w:pPr>
      <w:r w:rsidRPr="00D630D1">
        <w:rPr>
          <w:rFonts w:hint="eastAsia"/>
        </w:rPr>
        <w:t>（</w:t>
      </w:r>
      <w:r w:rsidRPr="00D630D1">
        <w:t>12</w:t>
      </w:r>
      <w:r w:rsidRPr="00D630D1">
        <w:rPr>
          <w:rFonts w:hint="eastAsia"/>
        </w:rPr>
        <w:t>）</w:t>
      </w:r>
      <w:r w:rsidR="008B5B84" w:rsidRPr="00D630D1">
        <w:t>《中华人民共和国节约能源法》，</w:t>
      </w:r>
      <w:r w:rsidR="008B5B84" w:rsidRPr="00D630D1">
        <w:t>2018</w:t>
      </w:r>
      <w:r w:rsidR="008B5B84" w:rsidRPr="00D630D1">
        <w:t>年</w:t>
      </w:r>
      <w:r w:rsidR="008B5B84" w:rsidRPr="00D630D1">
        <w:t>12</w:t>
      </w:r>
      <w:r w:rsidR="008B5B84" w:rsidRPr="00D630D1">
        <w:t>月</w:t>
      </w:r>
      <w:r w:rsidR="008B5B84" w:rsidRPr="00D630D1">
        <w:t>26</w:t>
      </w:r>
      <w:r w:rsidR="008B5B84" w:rsidRPr="00D630D1">
        <w:t>日修订并施行；</w:t>
      </w:r>
    </w:p>
    <w:p w:rsidR="00117C3D" w:rsidRPr="00D630D1" w:rsidRDefault="00174753" w:rsidP="004E18BF">
      <w:pPr>
        <w:pStyle w:val="afa"/>
        <w:ind w:firstLine="480"/>
      </w:pPr>
      <w:r w:rsidRPr="00D630D1">
        <w:rPr>
          <w:rFonts w:hint="eastAsia"/>
        </w:rPr>
        <w:t>（</w:t>
      </w:r>
      <w:r w:rsidRPr="00D630D1">
        <w:t>13</w:t>
      </w:r>
      <w:r w:rsidRPr="00D630D1">
        <w:rPr>
          <w:rFonts w:hint="eastAsia"/>
        </w:rPr>
        <w:t>）</w:t>
      </w:r>
      <w:r w:rsidR="008B5B84" w:rsidRPr="00D630D1">
        <w:t>《中华人民共和国野生动物保护法》，</w:t>
      </w:r>
      <w:r w:rsidR="008B5B84" w:rsidRPr="00D630D1">
        <w:t>2016</w:t>
      </w:r>
      <w:r w:rsidR="008B5B84" w:rsidRPr="00D630D1">
        <w:t>年</w:t>
      </w:r>
      <w:r w:rsidR="008B5B84" w:rsidRPr="00D630D1">
        <w:t>7</w:t>
      </w:r>
      <w:r w:rsidR="008B5B84" w:rsidRPr="00D630D1">
        <w:t>月</w:t>
      </w:r>
      <w:r w:rsidR="008B5B84" w:rsidRPr="00D630D1">
        <w:t>2</w:t>
      </w:r>
      <w:r w:rsidR="008B5B84" w:rsidRPr="00D630D1">
        <w:t>日第十二届全国人民代表大会常务委员会第二十一次会议修订，</w:t>
      </w:r>
      <w:r w:rsidR="008B5B84" w:rsidRPr="00D630D1">
        <w:t>2017</w:t>
      </w:r>
      <w:r w:rsidR="008B5B84" w:rsidRPr="00D630D1">
        <w:t>年</w:t>
      </w:r>
      <w:r w:rsidR="008B5B84" w:rsidRPr="00D630D1">
        <w:t>1</w:t>
      </w:r>
      <w:r w:rsidR="008B5B84" w:rsidRPr="00D630D1">
        <w:t>月</w:t>
      </w:r>
      <w:r w:rsidR="008B5B84" w:rsidRPr="00D630D1">
        <w:t>1</w:t>
      </w:r>
      <w:r w:rsidR="008B5B84" w:rsidRPr="00D630D1">
        <w:t>日实施；</w:t>
      </w:r>
    </w:p>
    <w:p w:rsidR="00117C3D" w:rsidRPr="00D630D1" w:rsidRDefault="00174753" w:rsidP="004E18BF">
      <w:pPr>
        <w:pStyle w:val="afa"/>
        <w:ind w:firstLine="480"/>
      </w:pPr>
      <w:r w:rsidRPr="00D630D1">
        <w:rPr>
          <w:rFonts w:hint="eastAsia"/>
        </w:rPr>
        <w:t>（</w:t>
      </w:r>
      <w:r w:rsidRPr="00D630D1">
        <w:t>14</w:t>
      </w:r>
      <w:r w:rsidRPr="00D630D1">
        <w:rPr>
          <w:rFonts w:hint="eastAsia"/>
        </w:rPr>
        <w:t>）</w:t>
      </w:r>
      <w:r w:rsidR="008B5B84" w:rsidRPr="00D630D1">
        <w:t>《中华人民共和国农业法》，第十一届全国人民代表大会常务委员会第三十次会议于</w:t>
      </w:r>
      <w:r w:rsidR="008B5B84" w:rsidRPr="00D630D1">
        <w:t>2012</w:t>
      </w:r>
      <w:r w:rsidR="008B5B84" w:rsidRPr="00D630D1">
        <w:t>年</w:t>
      </w:r>
      <w:r w:rsidR="008B5B84" w:rsidRPr="00D630D1">
        <w:t>12</w:t>
      </w:r>
      <w:r w:rsidR="008B5B84" w:rsidRPr="00D630D1">
        <w:t>月</w:t>
      </w:r>
      <w:r w:rsidR="008B5B84" w:rsidRPr="00D630D1">
        <w:t>28</w:t>
      </w:r>
      <w:r w:rsidR="008B5B84" w:rsidRPr="00D630D1">
        <w:t>日通过，</w:t>
      </w:r>
      <w:r w:rsidR="008B5B84" w:rsidRPr="00D630D1">
        <w:t>2013</w:t>
      </w:r>
      <w:r w:rsidR="008B5B84" w:rsidRPr="00D630D1">
        <w:t>年</w:t>
      </w:r>
      <w:r w:rsidR="008B5B84" w:rsidRPr="00D630D1">
        <w:t>1</w:t>
      </w:r>
      <w:r w:rsidR="008B5B84" w:rsidRPr="00D630D1">
        <w:t>月</w:t>
      </w:r>
      <w:r w:rsidR="008B5B84" w:rsidRPr="00D630D1">
        <w:t>1</w:t>
      </w:r>
      <w:r w:rsidR="008B5B84" w:rsidRPr="00D630D1">
        <w:t>日起施行；</w:t>
      </w:r>
    </w:p>
    <w:p w:rsidR="0054736B" w:rsidRPr="00D630D1" w:rsidRDefault="00174753" w:rsidP="004E18BF">
      <w:pPr>
        <w:pStyle w:val="afa"/>
        <w:ind w:firstLine="480"/>
      </w:pPr>
      <w:r w:rsidRPr="00D630D1">
        <w:rPr>
          <w:rFonts w:hint="eastAsia"/>
        </w:rPr>
        <w:t>（</w:t>
      </w:r>
      <w:r w:rsidRPr="00D630D1">
        <w:t>15</w:t>
      </w:r>
      <w:r w:rsidRPr="00D630D1">
        <w:rPr>
          <w:rFonts w:hint="eastAsia"/>
        </w:rPr>
        <w:t>）</w:t>
      </w:r>
      <w:r w:rsidR="008B5B84" w:rsidRPr="00D630D1">
        <w:t>《中华人民共和国石油天然气管道保护法》，</w:t>
      </w:r>
      <w:r w:rsidR="008B5B84" w:rsidRPr="00D630D1">
        <w:t>2010</w:t>
      </w:r>
      <w:r w:rsidR="008B5B84" w:rsidRPr="00D630D1">
        <w:t>年</w:t>
      </w:r>
      <w:r w:rsidR="008B5B84" w:rsidRPr="00D630D1">
        <w:t>10</w:t>
      </w:r>
      <w:r w:rsidR="008B5B84" w:rsidRPr="00D630D1">
        <w:t>月</w:t>
      </w:r>
      <w:r w:rsidR="008B5B84" w:rsidRPr="00D630D1">
        <w:t>1</w:t>
      </w:r>
      <w:r w:rsidR="008B5B84" w:rsidRPr="00D630D1">
        <w:t>日起施行</w:t>
      </w:r>
      <w:r w:rsidR="0054736B" w:rsidRPr="00D630D1">
        <w:rPr>
          <w:rFonts w:hint="eastAsia"/>
        </w:rPr>
        <w:t>；</w:t>
      </w:r>
    </w:p>
    <w:p w:rsidR="0054736B" w:rsidRPr="00D630D1" w:rsidRDefault="0054736B" w:rsidP="004E18BF">
      <w:pPr>
        <w:pStyle w:val="afa"/>
        <w:ind w:firstLine="480"/>
      </w:pPr>
      <w:r w:rsidRPr="00D630D1">
        <w:rPr>
          <w:rFonts w:hint="eastAsia"/>
        </w:rPr>
        <w:lastRenderedPageBreak/>
        <w:t>（</w:t>
      </w:r>
      <w:r w:rsidRPr="00D630D1">
        <w:rPr>
          <w:rFonts w:hint="eastAsia"/>
        </w:rPr>
        <w:t>16</w:t>
      </w:r>
      <w:r w:rsidRPr="00D630D1">
        <w:rPr>
          <w:rFonts w:hint="eastAsia"/>
        </w:rPr>
        <w:t>）《关于进一步加强石油天然气行业环境影响评价管理的通知》（环办环评函〔</w:t>
      </w:r>
      <w:r w:rsidRPr="00D630D1">
        <w:rPr>
          <w:rFonts w:hint="eastAsia"/>
        </w:rPr>
        <w:t>2019</w:t>
      </w:r>
      <w:r w:rsidRPr="00D630D1">
        <w:rPr>
          <w:rFonts w:hint="eastAsia"/>
        </w:rPr>
        <w:t>〕</w:t>
      </w:r>
      <w:r w:rsidRPr="00D630D1">
        <w:rPr>
          <w:rFonts w:hint="eastAsia"/>
        </w:rPr>
        <w:t>910</w:t>
      </w:r>
      <w:r w:rsidRPr="00D630D1">
        <w:rPr>
          <w:rFonts w:hint="eastAsia"/>
        </w:rPr>
        <w:t>号）；</w:t>
      </w:r>
    </w:p>
    <w:p w:rsidR="00117C3D" w:rsidRPr="00D630D1" w:rsidRDefault="008B5B84">
      <w:pPr>
        <w:keepNext/>
        <w:keepLines/>
        <w:ind w:firstLineChars="0" w:firstLine="0"/>
        <w:outlineLvl w:val="2"/>
        <w:rPr>
          <w:rFonts w:ascii="Times New Roman" w:cs="Times New Roman"/>
          <w:b/>
          <w:szCs w:val="32"/>
        </w:rPr>
      </w:pPr>
      <w:bookmarkStart w:id="44" w:name="_Toc19815921"/>
      <w:r w:rsidRPr="00D630D1">
        <w:rPr>
          <w:rFonts w:ascii="Times New Roman" w:cs="Times New Roman"/>
          <w:b/>
          <w:szCs w:val="32"/>
        </w:rPr>
        <w:t>1.1.2</w:t>
      </w:r>
      <w:r w:rsidR="00A64242" w:rsidRPr="00D630D1">
        <w:rPr>
          <w:rFonts w:ascii="Times New Roman" w:cs="Times New Roman"/>
          <w:b/>
          <w:szCs w:val="32"/>
        </w:rPr>
        <w:t xml:space="preserve"> </w:t>
      </w:r>
      <w:r w:rsidRPr="00D630D1">
        <w:rPr>
          <w:rFonts w:ascii="Times New Roman" w:cs="Times New Roman"/>
          <w:b/>
          <w:szCs w:val="32"/>
        </w:rPr>
        <w:t>行政法规与国务院发布的规划性文件</w:t>
      </w:r>
      <w:bookmarkEnd w:id="44"/>
    </w:p>
    <w:p w:rsidR="00C45E32" w:rsidRPr="00D630D1" w:rsidRDefault="00174753" w:rsidP="00C45E32">
      <w:pPr>
        <w:topLinePunct w:val="0"/>
        <w:adjustRightInd/>
        <w:ind w:firstLine="480"/>
        <w:rPr>
          <w:rFonts w:ascii="Times New Roman" w:cs="Times New Roman"/>
          <w:kern w:val="2"/>
          <w:szCs w:val="22"/>
        </w:rPr>
      </w:pPr>
      <w:r w:rsidRPr="00D630D1">
        <w:rPr>
          <w:rFonts w:ascii="Times New Roman" w:cs="Times New Roman" w:hint="eastAsia"/>
          <w:kern w:val="2"/>
          <w:szCs w:val="22"/>
        </w:rPr>
        <w:t>（</w:t>
      </w:r>
      <w:r w:rsidRPr="00D630D1">
        <w:rPr>
          <w:rFonts w:ascii="Times New Roman" w:cs="Times New Roman"/>
          <w:kern w:val="2"/>
          <w:szCs w:val="22"/>
        </w:rPr>
        <w:t>1</w:t>
      </w:r>
      <w:r w:rsidRPr="00D630D1">
        <w:rPr>
          <w:rFonts w:ascii="Times New Roman" w:cs="Times New Roman" w:hint="eastAsia"/>
          <w:kern w:val="2"/>
          <w:szCs w:val="22"/>
        </w:rPr>
        <w:t>）</w:t>
      </w:r>
      <w:r w:rsidR="00C45E32" w:rsidRPr="00D630D1">
        <w:rPr>
          <w:rFonts w:ascii="Times New Roman" w:cs="Times New Roman"/>
          <w:kern w:val="2"/>
          <w:szCs w:val="22"/>
        </w:rPr>
        <w:t>《中华人民共和国河道管理条例》，（根据</w:t>
      </w:r>
      <w:r w:rsidR="00C45E32" w:rsidRPr="00D630D1">
        <w:rPr>
          <w:rFonts w:ascii="Times New Roman" w:cs="Times New Roman"/>
          <w:kern w:val="2"/>
          <w:szCs w:val="22"/>
        </w:rPr>
        <w:t>2017</w:t>
      </w:r>
      <w:r w:rsidR="00C45E32" w:rsidRPr="00D630D1">
        <w:rPr>
          <w:rFonts w:ascii="Times New Roman" w:cs="Times New Roman"/>
          <w:kern w:val="2"/>
          <w:szCs w:val="22"/>
        </w:rPr>
        <w:t>年</w:t>
      </w:r>
      <w:r w:rsidR="00C45E32" w:rsidRPr="00D630D1">
        <w:rPr>
          <w:rFonts w:ascii="Times New Roman" w:cs="Times New Roman"/>
          <w:kern w:val="2"/>
          <w:szCs w:val="22"/>
        </w:rPr>
        <w:t>10</w:t>
      </w:r>
      <w:r w:rsidR="00C45E32" w:rsidRPr="00D630D1">
        <w:rPr>
          <w:rFonts w:ascii="Times New Roman" w:cs="Times New Roman"/>
          <w:kern w:val="2"/>
          <w:szCs w:val="22"/>
        </w:rPr>
        <w:t>月</w:t>
      </w:r>
      <w:r w:rsidR="00C45E32" w:rsidRPr="00D630D1">
        <w:rPr>
          <w:rFonts w:ascii="Times New Roman" w:cs="Times New Roman"/>
          <w:kern w:val="2"/>
          <w:szCs w:val="22"/>
        </w:rPr>
        <w:t>7</w:t>
      </w:r>
      <w:r w:rsidR="00C45E32" w:rsidRPr="00D630D1">
        <w:rPr>
          <w:rFonts w:ascii="Times New Roman" w:cs="Times New Roman"/>
          <w:kern w:val="2"/>
          <w:szCs w:val="22"/>
        </w:rPr>
        <w:t>日国务院令第</w:t>
      </w:r>
      <w:r w:rsidR="00C45E32" w:rsidRPr="00D630D1">
        <w:rPr>
          <w:rFonts w:ascii="Times New Roman" w:cs="Times New Roman"/>
          <w:kern w:val="2"/>
          <w:szCs w:val="22"/>
        </w:rPr>
        <w:t>687</w:t>
      </w:r>
      <w:r w:rsidR="00C45E32" w:rsidRPr="00D630D1">
        <w:rPr>
          <w:rFonts w:ascii="Times New Roman" w:cs="Times New Roman"/>
          <w:kern w:val="2"/>
          <w:szCs w:val="22"/>
        </w:rPr>
        <w:t>号《国务院关于修改部分行政法规的决定》第三次修订），</w:t>
      </w:r>
      <w:r w:rsidR="00C45E32" w:rsidRPr="00D630D1">
        <w:rPr>
          <w:rFonts w:ascii="Times New Roman" w:cs="Times New Roman"/>
          <w:kern w:val="2"/>
          <w:szCs w:val="22"/>
        </w:rPr>
        <w:t>2017</w:t>
      </w:r>
      <w:r w:rsidR="00C45E32" w:rsidRPr="00D630D1">
        <w:rPr>
          <w:rFonts w:ascii="Times New Roman" w:cs="Times New Roman"/>
          <w:kern w:val="2"/>
          <w:szCs w:val="22"/>
        </w:rPr>
        <w:t>年</w:t>
      </w:r>
      <w:r w:rsidR="00C45E32" w:rsidRPr="00D630D1">
        <w:rPr>
          <w:rFonts w:ascii="Times New Roman" w:cs="Times New Roman"/>
          <w:kern w:val="2"/>
          <w:szCs w:val="22"/>
        </w:rPr>
        <w:t>10</w:t>
      </w:r>
      <w:r w:rsidR="00C45E32" w:rsidRPr="00D630D1">
        <w:rPr>
          <w:rFonts w:ascii="Times New Roman" w:cs="Times New Roman"/>
          <w:kern w:val="2"/>
          <w:szCs w:val="22"/>
        </w:rPr>
        <w:t>月</w:t>
      </w:r>
      <w:r w:rsidR="00C45E32" w:rsidRPr="00D630D1">
        <w:rPr>
          <w:rFonts w:ascii="Times New Roman" w:cs="Times New Roman"/>
          <w:kern w:val="2"/>
          <w:szCs w:val="22"/>
        </w:rPr>
        <w:t>7</w:t>
      </w:r>
      <w:r w:rsidR="00C45E32" w:rsidRPr="00D630D1">
        <w:rPr>
          <w:rFonts w:ascii="Times New Roman" w:cs="Times New Roman"/>
          <w:kern w:val="2"/>
          <w:szCs w:val="22"/>
        </w:rPr>
        <w:t>日实施；</w:t>
      </w:r>
    </w:p>
    <w:p w:rsidR="00C45E32" w:rsidRPr="00D630D1" w:rsidRDefault="00174753" w:rsidP="00C45E32">
      <w:pPr>
        <w:topLinePunct w:val="0"/>
        <w:adjustRightInd/>
        <w:ind w:firstLine="480"/>
        <w:rPr>
          <w:rFonts w:ascii="Times New Roman" w:cs="Times New Roman"/>
          <w:kern w:val="2"/>
          <w:szCs w:val="22"/>
        </w:rPr>
      </w:pPr>
      <w:r w:rsidRPr="00D630D1">
        <w:rPr>
          <w:rFonts w:ascii="Times New Roman" w:cs="Times New Roman" w:hint="eastAsia"/>
          <w:kern w:val="2"/>
          <w:szCs w:val="22"/>
        </w:rPr>
        <w:t>（</w:t>
      </w:r>
      <w:r w:rsidR="0054736B" w:rsidRPr="00D630D1">
        <w:rPr>
          <w:rFonts w:ascii="Times New Roman" w:cs="Times New Roman" w:hint="eastAsia"/>
          <w:kern w:val="2"/>
          <w:szCs w:val="22"/>
        </w:rPr>
        <w:t>2</w:t>
      </w:r>
      <w:r w:rsidRPr="00D630D1">
        <w:rPr>
          <w:rFonts w:ascii="Times New Roman" w:cs="Times New Roman" w:hint="eastAsia"/>
          <w:kern w:val="2"/>
          <w:szCs w:val="22"/>
        </w:rPr>
        <w:t>）</w:t>
      </w:r>
      <w:r w:rsidR="00C45E32" w:rsidRPr="00D630D1">
        <w:rPr>
          <w:rFonts w:ascii="Times New Roman" w:cs="Times New Roman"/>
          <w:kern w:val="2"/>
          <w:szCs w:val="22"/>
        </w:rPr>
        <w:t>《中华人民共和国水土保持法实施条例》，（根据</w:t>
      </w:r>
      <w:r w:rsidR="00C45E32" w:rsidRPr="00D630D1">
        <w:rPr>
          <w:rFonts w:ascii="Times New Roman" w:cs="Times New Roman"/>
          <w:kern w:val="2"/>
          <w:szCs w:val="22"/>
        </w:rPr>
        <w:t>2011</w:t>
      </w:r>
      <w:r w:rsidR="00C45E32" w:rsidRPr="00D630D1">
        <w:rPr>
          <w:rFonts w:ascii="Times New Roman" w:cs="Times New Roman"/>
          <w:kern w:val="2"/>
          <w:szCs w:val="22"/>
        </w:rPr>
        <w:t>年</w:t>
      </w:r>
      <w:r w:rsidR="00C45E32" w:rsidRPr="00D630D1">
        <w:rPr>
          <w:rFonts w:ascii="Times New Roman" w:cs="Times New Roman"/>
          <w:kern w:val="2"/>
          <w:szCs w:val="22"/>
        </w:rPr>
        <w:t>1</w:t>
      </w:r>
      <w:r w:rsidR="00C45E32" w:rsidRPr="00D630D1">
        <w:rPr>
          <w:rFonts w:ascii="Times New Roman" w:cs="Times New Roman"/>
          <w:kern w:val="2"/>
          <w:szCs w:val="22"/>
        </w:rPr>
        <w:t>月</w:t>
      </w:r>
      <w:r w:rsidR="00C45E32" w:rsidRPr="00D630D1">
        <w:rPr>
          <w:rFonts w:ascii="Times New Roman" w:cs="Times New Roman"/>
          <w:kern w:val="2"/>
          <w:szCs w:val="22"/>
        </w:rPr>
        <w:t>8</w:t>
      </w:r>
      <w:r w:rsidR="00C45E32" w:rsidRPr="00D630D1">
        <w:rPr>
          <w:rFonts w:ascii="Times New Roman" w:cs="Times New Roman"/>
          <w:kern w:val="2"/>
          <w:szCs w:val="22"/>
        </w:rPr>
        <w:t>日《国务院关于废止和修改部分行政法规的决定》修订），</w:t>
      </w:r>
      <w:r w:rsidR="00C45E32" w:rsidRPr="00D630D1">
        <w:rPr>
          <w:rFonts w:ascii="Times New Roman" w:cs="Times New Roman"/>
          <w:kern w:val="2"/>
          <w:szCs w:val="22"/>
        </w:rPr>
        <w:t>2011</w:t>
      </w:r>
      <w:r w:rsidR="00C45E32" w:rsidRPr="00D630D1">
        <w:rPr>
          <w:rFonts w:ascii="Times New Roman" w:cs="Times New Roman"/>
          <w:kern w:val="2"/>
          <w:szCs w:val="22"/>
        </w:rPr>
        <w:t>年</w:t>
      </w:r>
      <w:r w:rsidR="00C45E32" w:rsidRPr="00D630D1">
        <w:rPr>
          <w:rFonts w:ascii="Times New Roman" w:cs="Times New Roman"/>
          <w:kern w:val="2"/>
          <w:szCs w:val="22"/>
        </w:rPr>
        <w:t>1</w:t>
      </w:r>
      <w:r w:rsidR="00C45E32" w:rsidRPr="00D630D1">
        <w:rPr>
          <w:rFonts w:ascii="Times New Roman" w:cs="Times New Roman"/>
          <w:kern w:val="2"/>
          <w:szCs w:val="22"/>
        </w:rPr>
        <w:t>月</w:t>
      </w:r>
      <w:r w:rsidR="00C45E32" w:rsidRPr="00D630D1">
        <w:rPr>
          <w:rFonts w:ascii="Times New Roman" w:cs="Times New Roman"/>
          <w:kern w:val="2"/>
          <w:szCs w:val="22"/>
        </w:rPr>
        <w:t>8</w:t>
      </w:r>
      <w:r w:rsidR="00C45E32" w:rsidRPr="00D630D1">
        <w:rPr>
          <w:rFonts w:ascii="Times New Roman" w:cs="Times New Roman"/>
          <w:kern w:val="2"/>
          <w:szCs w:val="22"/>
        </w:rPr>
        <w:t>日实施；</w:t>
      </w:r>
    </w:p>
    <w:p w:rsidR="00C45E32" w:rsidRPr="00D630D1" w:rsidRDefault="00174753" w:rsidP="00C45E32">
      <w:pPr>
        <w:topLinePunct w:val="0"/>
        <w:adjustRightInd/>
        <w:ind w:firstLine="480"/>
        <w:rPr>
          <w:rFonts w:ascii="Times New Roman" w:cs="Times New Roman"/>
          <w:kern w:val="2"/>
          <w:szCs w:val="22"/>
        </w:rPr>
      </w:pPr>
      <w:r w:rsidRPr="00D630D1">
        <w:rPr>
          <w:rFonts w:ascii="Times New Roman" w:cs="Times New Roman" w:hint="eastAsia"/>
          <w:kern w:val="2"/>
          <w:szCs w:val="22"/>
        </w:rPr>
        <w:t>（</w:t>
      </w:r>
      <w:r w:rsidR="0054736B" w:rsidRPr="00D630D1">
        <w:rPr>
          <w:rFonts w:ascii="Times New Roman" w:cs="Times New Roman" w:hint="eastAsia"/>
          <w:kern w:val="2"/>
          <w:szCs w:val="22"/>
        </w:rPr>
        <w:t>3</w:t>
      </w:r>
      <w:r w:rsidRPr="00D630D1">
        <w:rPr>
          <w:rFonts w:ascii="Times New Roman" w:cs="Times New Roman" w:hint="eastAsia"/>
          <w:kern w:val="2"/>
          <w:szCs w:val="22"/>
        </w:rPr>
        <w:t>）</w:t>
      </w:r>
      <w:r w:rsidR="00C45E32" w:rsidRPr="00D630D1">
        <w:rPr>
          <w:rFonts w:ascii="Times New Roman" w:cs="Times New Roman"/>
          <w:kern w:val="2"/>
          <w:szCs w:val="22"/>
        </w:rPr>
        <w:t>《中华人民共和国野生植物保护条例》，</w:t>
      </w:r>
      <w:r w:rsidR="00C45E32" w:rsidRPr="00D630D1">
        <w:rPr>
          <w:rFonts w:ascii="Times New Roman" w:cs="Times New Roman"/>
          <w:kern w:val="2"/>
          <w:szCs w:val="22"/>
        </w:rPr>
        <w:t>2017</w:t>
      </w:r>
      <w:r w:rsidR="00C45E32" w:rsidRPr="00D630D1">
        <w:rPr>
          <w:rFonts w:ascii="Times New Roman" w:cs="Times New Roman"/>
          <w:kern w:val="2"/>
          <w:szCs w:val="22"/>
        </w:rPr>
        <w:t>年</w:t>
      </w:r>
      <w:r w:rsidR="00C45E32" w:rsidRPr="00D630D1">
        <w:rPr>
          <w:rFonts w:ascii="Times New Roman" w:cs="Times New Roman"/>
          <w:kern w:val="2"/>
          <w:szCs w:val="22"/>
        </w:rPr>
        <w:t>10</w:t>
      </w:r>
      <w:r w:rsidR="00C45E32" w:rsidRPr="00D630D1">
        <w:rPr>
          <w:rFonts w:ascii="Times New Roman" w:cs="Times New Roman"/>
          <w:kern w:val="2"/>
          <w:szCs w:val="22"/>
        </w:rPr>
        <w:t>月</w:t>
      </w:r>
      <w:r w:rsidR="00C45E32" w:rsidRPr="00D630D1">
        <w:rPr>
          <w:rFonts w:ascii="Times New Roman" w:cs="Times New Roman"/>
          <w:kern w:val="2"/>
          <w:szCs w:val="22"/>
        </w:rPr>
        <w:t>7</w:t>
      </w:r>
      <w:r w:rsidR="00C45E32" w:rsidRPr="00D630D1">
        <w:rPr>
          <w:rFonts w:ascii="Times New Roman" w:cs="Times New Roman"/>
          <w:kern w:val="2"/>
          <w:szCs w:val="22"/>
        </w:rPr>
        <w:t>日，国务院令第</w:t>
      </w:r>
      <w:r w:rsidR="00C45E32" w:rsidRPr="00D630D1">
        <w:rPr>
          <w:rFonts w:ascii="Times New Roman" w:cs="Times New Roman"/>
          <w:kern w:val="2"/>
          <w:szCs w:val="22"/>
        </w:rPr>
        <w:t>687</w:t>
      </w:r>
      <w:r w:rsidR="00C45E32" w:rsidRPr="00D630D1">
        <w:rPr>
          <w:rFonts w:ascii="Times New Roman" w:cs="Times New Roman"/>
          <w:kern w:val="2"/>
          <w:szCs w:val="22"/>
        </w:rPr>
        <w:t>号修订；</w:t>
      </w:r>
    </w:p>
    <w:p w:rsidR="00C45E32" w:rsidRPr="00D630D1" w:rsidRDefault="00174753" w:rsidP="00C45E32">
      <w:pPr>
        <w:topLinePunct w:val="0"/>
        <w:adjustRightInd/>
        <w:ind w:firstLine="480"/>
        <w:rPr>
          <w:rFonts w:ascii="Times New Roman" w:cs="Times New Roman"/>
          <w:kern w:val="2"/>
          <w:szCs w:val="22"/>
        </w:rPr>
      </w:pPr>
      <w:r w:rsidRPr="00D630D1">
        <w:rPr>
          <w:rFonts w:ascii="Times New Roman" w:cs="Times New Roman" w:hint="eastAsia"/>
          <w:kern w:val="2"/>
          <w:szCs w:val="22"/>
        </w:rPr>
        <w:t>（</w:t>
      </w:r>
      <w:r w:rsidR="0054736B" w:rsidRPr="00D630D1">
        <w:rPr>
          <w:rFonts w:ascii="Times New Roman" w:cs="Times New Roman" w:hint="eastAsia"/>
          <w:kern w:val="2"/>
          <w:szCs w:val="22"/>
        </w:rPr>
        <w:t>4</w:t>
      </w:r>
      <w:r w:rsidRPr="00D630D1">
        <w:rPr>
          <w:rFonts w:ascii="Times New Roman" w:cs="Times New Roman" w:hint="eastAsia"/>
          <w:kern w:val="2"/>
          <w:szCs w:val="22"/>
        </w:rPr>
        <w:t>）</w:t>
      </w:r>
      <w:r w:rsidR="00C45E32" w:rsidRPr="00D630D1">
        <w:rPr>
          <w:rFonts w:ascii="Times New Roman" w:cs="Times New Roman"/>
          <w:kern w:val="2"/>
          <w:szCs w:val="22"/>
        </w:rPr>
        <w:t>《建设项目环境保护管理条例》（国务院令第</w:t>
      </w:r>
      <w:r w:rsidR="00C45E32" w:rsidRPr="00D630D1">
        <w:rPr>
          <w:rFonts w:ascii="Times New Roman" w:cs="Times New Roman"/>
          <w:kern w:val="2"/>
          <w:szCs w:val="22"/>
        </w:rPr>
        <w:t>682</w:t>
      </w:r>
      <w:r w:rsidR="00C45E32" w:rsidRPr="00D630D1">
        <w:rPr>
          <w:rFonts w:ascii="Times New Roman" w:cs="Times New Roman"/>
          <w:kern w:val="2"/>
          <w:szCs w:val="22"/>
        </w:rPr>
        <w:t>号），</w:t>
      </w:r>
      <w:r w:rsidR="00C45E32" w:rsidRPr="00D630D1">
        <w:rPr>
          <w:rFonts w:ascii="Times New Roman" w:cs="Times New Roman"/>
          <w:kern w:val="2"/>
          <w:szCs w:val="22"/>
        </w:rPr>
        <w:t>2017</w:t>
      </w:r>
      <w:r w:rsidR="00C45E32" w:rsidRPr="00D630D1">
        <w:rPr>
          <w:rFonts w:ascii="Times New Roman" w:cs="Times New Roman"/>
          <w:kern w:val="2"/>
          <w:szCs w:val="22"/>
        </w:rPr>
        <w:t>年</w:t>
      </w:r>
      <w:r w:rsidR="00C45E32" w:rsidRPr="00D630D1">
        <w:rPr>
          <w:rFonts w:ascii="Times New Roman" w:cs="Times New Roman"/>
          <w:kern w:val="2"/>
          <w:szCs w:val="22"/>
        </w:rPr>
        <w:t>10</w:t>
      </w:r>
      <w:r w:rsidR="00C45E32" w:rsidRPr="00D630D1">
        <w:rPr>
          <w:rFonts w:ascii="Times New Roman" w:cs="Times New Roman"/>
          <w:kern w:val="2"/>
          <w:szCs w:val="22"/>
        </w:rPr>
        <w:t>月</w:t>
      </w:r>
      <w:r w:rsidR="00C45E32" w:rsidRPr="00D630D1">
        <w:rPr>
          <w:rFonts w:ascii="Times New Roman" w:cs="Times New Roman"/>
          <w:kern w:val="2"/>
          <w:szCs w:val="22"/>
        </w:rPr>
        <w:t>1</w:t>
      </w:r>
      <w:r w:rsidR="00C45E32" w:rsidRPr="00D630D1">
        <w:rPr>
          <w:rFonts w:ascii="Times New Roman" w:cs="Times New Roman"/>
          <w:kern w:val="2"/>
          <w:szCs w:val="22"/>
        </w:rPr>
        <w:t>日施行；</w:t>
      </w:r>
    </w:p>
    <w:p w:rsidR="00C45E32" w:rsidRPr="00D630D1" w:rsidRDefault="00174753" w:rsidP="00C45E32">
      <w:pPr>
        <w:topLinePunct w:val="0"/>
        <w:adjustRightInd/>
        <w:ind w:firstLine="480"/>
        <w:rPr>
          <w:rFonts w:ascii="Times New Roman" w:cs="Times New Roman"/>
          <w:kern w:val="2"/>
          <w:szCs w:val="22"/>
        </w:rPr>
      </w:pPr>
      <w:r w:rsidRPr="00D630D1">
        <w:rPr>
          <w:rFonts w:ascii="Times New Roman" w:cs="Times New Roman" w:hint="eastAsia"/>
          <w:kern w:val="2"/>
          <w:szCs w:val="22"/>
        </w:rPr>
        <w:t>（</w:t>
      </w:r>
      <w:r w:rsidR="0054736B" w:rsidRPr="00D630D1">
        <w:rPr>
          <w:rFonts w:ascii="Times New Roman" w:cs="Times New Roman" w:hint="eastAsia"/>
          <w:kern w:val="2"/>
          <w:szCs w:val="22"/>
        </w:rPr>
        <w:t>5</w:t>
      </w:r>
      <w:r w:rsidRPr="00D630D1">
        <w:rPr>
          <w:rFonts w:ascii="Times New Roman" w:cs="Times New Roman" w:hint="eastAsia"/>
          <w:kern w:val="2"/>
          <w:szCs w:val="22"/>
        </w:rPr>
        <w:t>）</w:t>
      </w:r>
      <w:r w:rsidR="00C45E32" w:rsidRPr="00D630D1">
        <w:rPr>
          <w:rFonts w:ascii="Times New Roman" w:cs="Times New Roman"/>
          <w:kern w:val="2"/>
          <w:szCs w:val="22"/>
        </w:rPr>
        <w:t>《中华人民共和国基本农田保护条例》，</w:t>
      </w:r>
      <w:r w:rsidR="00C45E32" w:rsidRPr="00D630D1">
        <w:rPr>
          <w:rFonts w:ascii="Times New Roman" w:cs="Times New Roman"/>
          <w:kern w:val="2"/>
          <w:szCs w:val="22"/>
        </w:rPr>
        <w:t>2011</w:t>
      </w:r>
      <w:r w:rsidR="00C45E32" w:rsidRPr="00D630D1">
        <w:rPr>
          <w:rFonts w:ascii="Times New Roman" w:cs="Times New Roman"/>
          <w:kern w:val="2"/>
          <w:szCs w:val="22"/>
        </w:rPr>
        <w:t>年</w:t>
      </w:r>
      <w:r w:rsidR="00C45E32" w:rsidRPr="00D630D1">
        <w:rPr>
          <w:rFonts w:ascii="Times New Roman" w:cs="Times New Roman"/>
          <w:kern w:val="2"/>
          <w:szCs w:val="22"/>
        </w:rPr>
        <w:t>1</w:t>
      </w:r>
      <w:r w:rsidR="00C45E32" w:rsidRPr="00D630D1">
        <w:rPr>
          <w:rFonts w:ascii="Times New Roman" w:cs="Times New Roman"/>
          <w:kern w:val="2"/>
          <w:szCs w:val="22"/>
        </w:rPr>
        <w:t>月</w:t>
      </w:r>
      <w:r w:rsidR="00C45E32" w:rsidRPr="00D630D1">
        <w:rPr>
          <w:rFonts w:ascii="Times New Roman" w:cs="Times New Roman"/>
          <w:kern w:val="2"/>
          <w:szCs w:val="22"/>
        </w:rPr>
        <w:t>8</w:t>
      </w:r>
      <w:r w:rsidR="00C45E32" w:rsidRPr="00D630D1">
        <w:rPr>
          <w:rFonts w:ascii="Times New Roman" w:cs="Times New Roman"/>
          <w:kern w:val="2"/>
          <w:szCs w:val="22"/>
        </w:rPr>
        <w:t>日实施；</w:t>
      </w:r>
    </w:p>
    <w:p w:rsidR="00C45E32" w:rsidRPr="00D630D1" w:rsidRDefault="00174753" w:rsidP="00C45E32">
      <w:pPr>
        <w:topLinePunct w:val="0"/>
        <w:adjustRightInd/>
        <w:ind w:firstLine="480"/>
        <w:rPr>
          <w:rFonts w:ascii="Times New Roman" w:cs="Times New Roman"/>
          <w:kern w:val="2"/>
          <w:szCs w:val="22"/>
        </w:rPr>
      </w:pPr>
      <w:r w:rsidRPr="00D630D1">
        <w:rPr>
          <w:rFonts w:ascii="Times New Roman" w:cs="Times New Roman" w:hint="eastAsia"/>
          <w:kern w:val="2"/>
          <w:szCs w:val="22"/>
        </w:rPr>
        <w:t>（</w:t>
      </w:r>
      <w:r w:rsidR="0054736B" w:rsidRPr="00D630D1">
        <w:rPr>
          <w:rFonts w:ascii="Times New Roman" w:cs="Times New Roman" w:hint="eastAsia"/>
          <w:kern w:val="2"/>
          <w:szCs w:val="22"/>
        </w:rPr>
        <w:t>6</w:t>
      </w:r>
      <w:r w:rsidRPr="00D630D1">
        <w:rPr>
          <w:rFonts w:ascii="Times New Roman" w:cs="Times New Roman" w:hint="eastAsia"/>
          <w:kern w:val="2"/>
          <w:szCs w:val="22"/>
        </w:rPr>
        <w:t>）</w:t>
      </w:r>
      <w:r w:rsidR="00C45E32" w:rsidRPr="00D630D1">
        <w:rPr>
          <w:rFonts w:ascii="Times New Roman" w:cs="Times New Roman"/>
          <w:kern w:val="2"/>
          <w:szCs w:val="22"/>
        </w:rPr>
        <w:t>《关于做好占用永久基本农田重大建设项目用地预审的通知》（自然资归〔</w:t>
      </w:r>
      <w:r w:rsidR="00C45E32" w:rsidRPr="00D630D1">
        <w:rPr>
          <w:rFonts w:ascii="Times New Roman" w:cs="Times New Roman"/>
          <w:kern w:val="2"/>
          <w:szCs w:val="22"/>
        </w:rPr>
        <w:t>2018</w:t>
      </w:r>
      <w:r w:rsidR="00C45E32" w:rsidRPr="00D630D1">
        <w:rPr>
          <w:rFonts w:ascii="Times New Roman" w:cs="Times New Roman"/>
          <w:kern w:val="2"/>
          <w:szCs w:val="22"/>
        </w:rPr>
        <w:t>〕</w:t>
      </w:r>
      <w:r w:rsidR="00C45E32" w:rsidRPr="00D630D1">
        <w:rPr>
          <w:rFonts w:ascii="Times New Roman" w:cs="Times New Roman"/>
          <w:kern w:val="2"/>
          <w:szCs w:val="22"/>
        </w:rPr>
        <w:t>3</w:t>
      </w:r>
      <w:r w:rsidR="00C45E32" w:rsidRPr="00D630D1">
        <w:rPr>
          <w:rFonts w:ascii="Times New Roman" w:cs="Times New Roman"/>
          <w:kern w:val="2"/>
          <w:szCs w:val="22"/>
        </w:rPr>
        <w:t>号）；</w:t>
      </w:r>
    </w:p>
    <w:p w:rsidR="00C45E32" w:rsidRPr="00D630D1" w:rsidRDefault="00174753" w:rsidP="002A1C47">
      <w:pPr>
        <w:topLinePunct w:val="0"/>
        <w:adjustRightInd/>
        <w:ind w:firstLine="480"/>
        <w:rPr>
          <w:rFonts w:ascii="Times New Roman" w:cs="Times New Roman"/>
          <w:kern w:val="2"/>
          <w:szCs w:val="22"/>
        </w:rPr>
      </w:pPr>
      <w:r w:rsidRPr="00D630D1">
        <w:rPr>
          <w:rFonts w:ascii="Times New Roman" w:cs="Times New Roman" w:hint="eastAsia"/>
          <w:kern w:val="2"/>
          <w:szCs w:val="22"/>
        </w:rPr>
        <w:t>（</w:t>
      </w:r>
      <w:r w:rsidR="0054736B" w:rsidRPr="00D630D1">
        <w:rPr>
          <w:rFonts w:ascii="Times New Roman" w:cs="Times New Roman" w:hint="eastAsia"/>
          <w:kern w:val="2"/>
          <w:szCs w:val="22"/>
        </w:rPr>
        <w:t>7</w:t>
      </w:r>
      <w:r w:rsidRPr="00D630D1">
        <w:rPr>
          <w:rFonts w:ascii="Times New Roman" w:cs="Times New Roman" w:hint="eastAsia"/>
          <w:kern w:val="2"/>
          <w:szCs w:val="22"/>
        </w:rPr>
        <w:t>）</w:t>
      </w:r>
      <w:r w:rsidR="002A1C47" w:rsidRPr="00D630D1">
        <w:rPr>
          <w:rFonts w:ascii="Times New Roman" w:cs="Times New Roman"/>
          <w:kern w:val="2"/>
          <w:szCs w:val="22"/>
        </w:rPr>
        <w:t>《危险化学品安全管理条例》（国务院令第</w:t>
      </w:r>
      <w:r w:rsidR="002A1C47" w:rsidRPr="00D630D1">
        <w:rPr>
          <w:rFonts w:ascii="Times New Roman" w:cs="Times New Roman"/>
          <w:kern w:val="2"/>
          <w:szCs w:val="22"/>
        </w:rPr>
        <w:t>591</w:t>
      </w:r>
      <w:r w:rsidR="002A1C47" w:rsidRPr="00D630D1">
        <w:rPr>
          <w:rFonts w:ascii="Times New Roman" w:cs="Times New Roman"/>
          <w:kern w:val="2"/>
          <w:szCs w:val="22"/>
        </w:rPr>
        <w:t>号），</w:t>
      </w:r>
      <w:r w:rsidR="002A1C47" w:rsidRPr="00D630D1">
        <w:rPr>
          <w:rFonts w:ascii="Times New Roman" w:cs="Times New Roman"/>
          <w:kern w:val="2"/>
          <w:szCs w:val="22"/>
        </w:rPr>
        <w:t>2013</w:t>
      </w:r>
      <w:r w:rsidR="002A1C47" w:rsidRPr="00D630D1">
        <w:rPr>
          <w:rFonts w:ascii="Times New Roman" w:cs="Times New Roman"/>
          <w:kern w:val="2"/>
          <w:szCs w:val="22"/>
        </w:rPr>
        <w:t>年</w:t>
      </w:r>
      <w:r w:rsidR="002A1C47" w:rsidRPr="00D630D1">
        <w:rPr>
          <w:rFonts w:ascii="Times New Roman" w:cs="Times New Roman"/>
          <w:kern w:val="2"/>
          <w:szCs w:val="22"/>
        </w:rPr>
        <w:t>12</w:t>
      </w:r>
      <w:r w:rsidR="002A1C47" w:rsidRPr="00D630D1">
        <w:rPr>
          <w:rFonts w:ascii="Times New Roman" w:cs="Times New Roman"/>
          <w:kern w:val="2"/>
          <w:szCs w:val="22"/>
        </w:rPr>
        <w:t>月</w:t>
      </w:r>
      <w:r w:rsidR="002A1C47" w:rsidRPr="00D630D1">
        <w:rPr>
          <w:rFonts w:ascii="Times New Roman" w:cs="Times New Roman"/>
          <w:kern w:val="2"/>
          <w:szCs w:val="22"/>
        </w:rPr>
        <w:t>7</w:t>
      </w:r>
      <w:r w:rsidR="002A1C47" w:rsidRPr="00D630D1">
        <w:rPr>
          <w:rFonts w:ascii="Times New Roman" w:cs="Times New Roman"/>
          <w:kern w:val="2"/>
          <w:szCs w:val="22"/>
        </w:rPr>
        <w:t>日修订</w:t>
      </w:r>
      <w:r w:rsidR="00BA4733" w:rsidRPr="00D630D1">
        <w:rPr>
          <w:rFonts w:ascii="Times New Roman" w:cs="Times New Roman" w:hint="eastAsia"/>
          <w:kern w:val="2"/>
          <w:szCs w:val="22"/>
        </w:rPr>
        <w:t>；</w:t>
      </w:r>
    </w:p>
    <w:p w:rsidR="00BA4733" w:rsidRPr="00D630D1" w:rsidRDefault="00BA4733" w:rsidP="002A1C47">
      <w:pPr>
        <w:topLinePunct w:val="0"/>
        <w:adjustRightInd/>
        <w:ind w:firstLine="480"/>
        <w:rPr>
          <w:rFonts w:ascii="Times New Roman" w:cs="Times New Roman"/>
          <w:kern w:val="2"/>
          <w:szCs w:val="22"/>
        </w:rPr>
      </w:pPr>
      <w:r w:rsidRPr="00D630D1">
        <w:rPr>
          <w:rFonts w:ascii="Times New Roman" w:cs="Times New Roman" w:hint="eastAsia"/>
          <w:kern w:val="2"/>
          <w:szCs w:val="22"/>
        </w:rPr>
        <w:t>（</w:t>
      </w:r>
      <w:r w:rsidRPr="00D630D1">
        <w:rPr>
          <w:rFonts w:ascii="Times New Roman" w:cs="Times New Roman" w:hint="eastAsia"/>
          <w:kern w:val="2"/>
          <w:szCs w:val="22"/>
        </w:rPr>
        <w:t>8</w:t>
      </w:r>
      <w:r w:rsidR="004A6D3D" w:rsidRPr="00D630D1">
        <w:rPr>
          <w:rFonts w:ascii="Times New Roman" w:cs="Times New Roman" w:hint="eastAsia"/>
          <w:kern w:val="2"/>
          <w:szCs w:val="22"/>
        </w:rPr>
        <w:t>）《四川省</w:t>
      </w:r>
      <w:r w:rsidRPr="00D630D1">
        <w:rPr>
          <w:rFonts w:ascii="Times New Roman" w:cs="Times New Roman" w:hint="eastAsia"/>
          <w:kern w:val="2"/>
          <w:szCs w:val="22"/>
        </w:rPr>
        <w:t>长江经济带发展负面清单实施细则（试行）》</w:t>
      </w:r>
      <w:r w:rsidRPr="00D630D1">
        <w:rPr>
          <w:rFonts w:ascii="Times New Roman" w:cs="Times New Roman"/>
          <w:kern w:val="2"/>
          <w:szCs w:val="22"/>
        </w:rPr>
        <w:t>。</w:t>
      </w:r>
    </w:p>
    <w:p w:rsidR="00117C3D" w:rsidRPr="00D630D1" w:rsidRDefault="008B5B84">
      <w:pPr>
        <w:keepNext/>
        <w:keepLines/>
        <w:ind w:firstLineChars="0" w:firstLine="0"/>
        <w:outlineLvl w:val="2"/>
        <w:rPr>
          <w:rFonts w:ascii="Times New Roman" w:cs="Times New Roman"/>
          <w:b/>
          <w:szCs w:val="32"/>
        </w:rPr>
      </w:pPr>
      <w:bookmarkStart w:id="45" w:name="_Toc19815922"/>
      <w:r w:rsidRPr="00D630D1">
        <w:rPr>
          <w:rFonts w:ascii="Times New Roman" w:cs="Times New Roman"/>
          <w:b/>
          <w:szCs w:val="32"/>
        </w:rPr>
        <w:t>1.1.3</w:t>
      </w:r>
      <w:r w:rsidR="00A64242" w:rsidRPr="00D630D1">
        <w:rPr>
          <w:rFonts w:ascii="Times New Roman" w:cs="Times New Roman"/>
          <w:b/>
          <w:szCs w:val="32"/>
        </w:rPr>
        <w:t xml:space="preserve"> </w:t>
      </w:r>
      <w:r w:rsidRPr="00D630D1">
        <w:rPr>
          <w:rFonts w:ascii="Times New Roman" w:cs="Times New Roman"/>
          <w:b/>
          <w:szCs w:val="32"/>
        </w:rPr>
        <w:t>部门规章与部门发布的规范性文件</w:t>
      </w:r>
      <w:bookmarkEnd w:id="45"/>
    </w:p>
    <w:p w:rsidR="00117C3D" w:rsidRPr="00D630D1" w:rsidRDefault="00174753" w:rsidP="004E18BF">
      <w:pPr>
        <w:pStyle w:val="afa"/>
        <w:ind w:firstLine="480"/>
      </w:pPr>
      <w:r w:rsidRPr="00D630D1">
        <w:rPr>
          <w:rFonts w:hint="eastAsia"/>
        </w:rPr>
        <w:t>（</w:t>
      </w:r>
      <w:r w:rsidRPr="00D630D1">
        <w:t>1</w:t>
      </w:r>
      <w:r w:rsidRPr="00D630D1">
        <w:rPr>
          <w:rFonts w:hint="eastAsia"/>
        </w:rPr>
        <w:t>）</w:t>
      </w:r>
      <w:r w:rsidR="008B5B84" w:rsidRPr="00D630D1">
        <w:t>《建设项目环境</w:t>
      </w:r>
      <w:r w:rsidR="002A1C47" w:rsidRPr="00D630D1">
        <w:rPr>
          <w:rFonts w:hint="eastAsia"/>
        </w:rPr>
        <w:t>影响</w:t>
      </w:r>
      <w:r w:rsidR="002A1C47" w:rsidRPr="00D630D1">
        <w:t>评价</w:t>
      </w:r>
      <w:r w:rsidR="008B5B84" w:rsidRPr="00D630D1">
        <w:t>分类管理名录》（</w:t>
      </w:r>
      <w:r w:rsidR="00016A5F" w:rsidRPr="00D630D1">
        <w:t>2021</w:t>
      </w:r>
      <w:r w:rsidR="00016A5F" w:rsidRPr="00D630D1">
        <w:t>版</w:t>
      </w:r>
      <w:r w:rsidR="008B5B84" w:rsidRPr="00D630D1">
        <w:t>），</w:t>
      </w:r>
      <w:r w:rsidR="008B5B84" w:rsidRPr="00D630D1">
        <w:t>20</w:t>
      </w:r>
      <w:r w:rsidR="00016A5F" w:rsidRPr="00D630D1">
        <w:t>21</w:t>
      </w:r>
      <w:r w:rsidR="008B5B84" w:rsidRPr="00D630D1">
        <w:t>年</w:t>
      </w:r>
      <w:r w:rsidR="00016A5F" w:rsidRPr="00D630D1">
        <w:t>1</w:t>
      </w:r>
      <w:r w:rsidR="008B5B84" w:rsidRPr="00D630D1">
        <w:t>月</w:t>
      </w:r>
      <w:r w:rsidR="00016A5F" w:rsidRPr="00D630D1">
        <w:t>1</w:t>
      </w:r>
      <w:r w:rsidR="008B5B84" w:rsidRPr="00D630D1">
        <w:t>日实施；</w:t>
      </w:r>
    </w:p>
    <w:p w:rsidR="00117C3D" w:rsidRPr="00D630D1" w:rsidRDefault="00174753" w:rsidP="004E18BF">
      <w:pPr>
        <w:pStyle w:val="afa"/>
        <w:ind w:firstLine="480"/>
      </w:pPr>
      <w:r w:rsidRPr="00D630D1">
        <w:rPr>
          <w:rFonts w:hint="eastAsia"/>
        </w:rPr>
        <w:t>（</w:t>
      </w:r>
      <w:r w:rsidRPr="00D630D1">
        <w:t>2</w:t>
      </w:r>
      <w:r w:rsidRPr="00D630D1">
        <w:rPr>
          <w:rFonts w:hint="eastAsia"/>
        </w:rPr>
        <w:t>）</w:t>
      </w:r>
      <w:r w:rsidR="00D12572">
        <w:rPr>
          <w:rFonts w:hint="eastAsia"/>
        </w:rPr>
        <w:t xml:space="preserve"> </w:t>
      </w:r>
      <w:r w:rsidR="008B5B84" w:rsidRPr="00D630D1">
        <w:t>《关于进一步加强环境影响评价管理防范环境风险的通知》</w:t>
      </w:r>
      <w:r w:rsidR="00D12572">
        <w:rPr>
          <w:rFonts w:hint="eastAsia"/>
        </w:rPr>
        <w:t xml:space="preserve"> </w:t>
      </w:r>
      <w:r w:rsidR="008B5B84" w:rsidRPr="00D630D1">
        <w:t>（环发</w:t>
      </w:r>
      <w:r w:rsidR="007D6E2A" w:rsidRPr="00D630D1">
        <w:t>〔</w:t>
      </w:r>
      <w:r w:rsidR="007D6E2A" w:rsidRPr="00D630D1">
        <w:t>2012</w:t>
      </w:r>
      <w:r w:rsidR="007D6E2A" w:rsidRPr="00D630D1">
        <w:t>〕</w:t>
      </w:r>
      <w:r w:rsidR="008B5B84" w:rsidRPr="00D630D1">
        <w:t>77</w:t>
      </w:r>
      <w:r w:rsidR="008B5B84" w:rsidRPr="00D630D1">
        <w:t>号）；</w:t>
      </w:r>
    </w:p>
    <w:p w:rsidR="00117C3D" w:rsidRPr="00D630D1" w:rsidRDefault="00174753" w:rsidP="004E18BF">
      <w:pPr>
        <w:pStyle w:val="afa"/>
        <w:ind w:firstLine="480"/>
      </w:pPr>
      <w:r w:rsidRPr="00D630D1">
        <w:rPr>
          <w:rFonts w:hint="eastAsia"/>
        </w:rPr>
        <w:t>（</w:t>
      </w:r>
      <w:r w:rsidRPr="00D630D1">
        <w:t>3</w:t>
      </w:r>
      <w:r w:rsidRPr="00D630D1">
        <w:rPr>
          <w:rFonts w:hint="eastAsia"/>
        </w:rPr>
        <w:t>）</w:t>
      </w:r>
      <w:r w:rsidR="008B5B84" w:rsidRPr="00D630D1">
        <w:t>《环境影响评价公众参与办法》（生态环境部部令第</w:t>
      </w:r>
      <w:r w:rsidR="008B5B84" w:rsidRPr="00D630D1">
        <w:t>4</w:t>
      </w:r>
      <w:r w:rsidR="008B5B84" w:rsidRPr="00D630D1">
        <w:t>号），自</w:t>
      </w:r>
      <w:r w:rsidR="008B5B84" w:rsidRPr="00D630D1">
        <w:t>2019</w:t>
      </w:r>
      <w:r w:rsidR="008B5B84" w:rsidRPr="00D630D1">
        <w:t>年</w:t>
      </w:r>
      <w:r w:rsidR="008B5B84" w:rsidRPr="00D630D1">
        <w:t>1</w:t>
      </w:r>
      <w:r w:rsidR="008B5B84" w:rsidRPr="00D630D1">
        <w:t>月</w:t>
      </w:r>
      <w:r w:rsidR="008B5B84" w:rsidRPr="00D630D1">
        <w:t>1</w:t>
      </w:r>
      <w:r w:rsidR="008B5B84" w:rsidRPr="00D630D1">
        <w:t>日起施行；</w:t>
      </w:r>
    </w:p>
    <w:p w:rsidR="00117C3D" w:rsidRPr="00D630D1" w:rsidRDefault="00174753" w:rsidP="004E18BF">
      <w:pPr>
        <w:pStyle w:val="afa"/>
        <w:ind w:firstLine="480"/>
      </w:pPr>
      <w:r w:rsidRPr="00D630D1">
        <w:rPr>
          <w:rFonts w:hint="eastAsia"/>
        </w:rPr>
        <w:t>（</w:t>
      </w:r>
      <w:r w:rsidRPr="00D630D1">
        <w:t>4</w:t>
      </w:r>
      <w:r w:rsidRPr="00D630D1">
        <w:rPr>
          <w:rFonts w:hint="eastAsia"/>
        </w:rPr>
        <w:t>）</w:t>
      </w:r>
      <w:r w:rsidR="008B5B84" w:rsidRPr="00D630D1">
        <w:t>《国家重点保护野生动物名录》</w:t>
      </w:r>
      <w:r w:rsidRPr="00D630D1">
        <w:rPr>
          <w:rFonts w:hint="eastAsia"/>
        </w:rPr>
        <w:t>（</w:t>
      </w:r>
      <w:r w:rsidRPr="00D630D1">
        <w:t>中华人民共和国林业部、农业部第</w:t>
      </w:r>
      <w:r w:rsidRPr="00D630D1">
        <w:t>1</w:t>
      </w:r>
      <w:r w:rsidRPr="00D630D1">
        <w:t>号令</w:t>
      </w:r>
      <w:r w:rsidRPr="00D630D1">
        <w:rPr>
          <w:rFonts w:hint="eastAsia"/>
        </w:rPr>
        <w:t>）</w:t>
      </w:r>
      <w:r w:rsidR="008B5B84" w:rsidRPr="00D630D1">
        <w:t>；</w:t>
      </w:r>
    </w:p>
    <w:p w:rsidR="00CA39EB" w:rsidRPr="00D630D1" w:rsidRDefault="00CA39EB" w:rsidP="00CA39EB">
      <w:pPr>
        <w:pStyle w:val="afa"/>
        <w:ind w:firstLine="480"/>
      </w:pPr>
      <w:r w:rsidRPr="00D630D1">
        <w:rPr>
          <w:rFonts w:hint="eastAsia"/>
        </w:rPr>
        <w:t>（</w:t>
      </w:r>
      <w:r w:rsidRPr="00D630D1">
        <w:rPr>
          <w:rFonts w:hint="eastAsia"/>
        </w:rPr>
        <w:t>5</w:t>
      </w:r>
      <w:r w:rsidRPr="00D630D1">
        <w:rPr>
          <w:rFonts w:hint="eastAsia"/>
        </w:rPr>
        <w:t>）《国家重点保护野生植物名录》（</w:t>
      </w:r>
      <w:r w:rsidRPr="00D630D1">
        <w:rPr>
          <w:rFonts w:hint="eastAsia"/>
        </w:rPr>
        <w:t>2021</w:t>
      </w:r>
      <w:r w:rsidRPr="00D630D1">
        <w:rPr>
          <w:rFonts w:hint="eastAsia"/>
        </w:rPr>
        <w:t>年）；</w:t>
      </w:r>
    </w:p>
    <w:p w:rsidR="00117C3D" w:rsidRPr="00D630D1" w:rsidRDefault="00174753" w:rsidP="004E18BF">
      <w:pPr>
        <w:pStyle w:val="afa"/>
        <w:ind w:firstLine="480"/>
      </w:pPr>
      <w:r w:rsidRPr="00D630D1">
        <w:rPr>
          <w:rFonts w:hint="eastAsia"/>
        </w:rPr>
        <w:t>（</w:t>
      </w:r>
      <w:r w:rsidR="00CA39EB" w:rsidRPr="00D630D1">
        <w:rPr>
          <w:rFonts w:hint="eastAsia"/>
        </w:rPr>
        <w:t>6</w:t>
      </w:r>
      <w:r w:rsidRPr="00D630D1">
        <w:rPr>
          <w:rFonts w:hint="eastAsia"/>
        </w:rPr>
        <w:t>）</w:t>
      </w:r>
      <w:r w:rsidR="008B5B84" w:rsidRPr="00D630D1">
        <w:t>《中华人民共和国野生植物保护条例》（</w:t>
      </w:r>
      <w:r w:rsidR="008B5B84" w:rsidRPr="00D630D1">
        <w:t>2017</w:t>
      </w:r>
      <w:r w:rsidR="008B5B84" w:rsidRPr="00D630D1">
        <w:t>年</w:t>
      </w:r>
      <w:r w:rsidR="008B5B84" w:rsidRPr="00D630D1">
        <w:t>10</w:t>
      </w:r>
      <w:r w:rsidR="008B5B84" w:rsidRPr="00D630D1">
        <w:t>月</w:t>
      </w:r>
      <w:r w:rsidR="008B5B84" w:rsidRPr="00D630D1">
        <w:t>7</w:t>
      </w:r>
      <w:r w:rsidR="008B5B84" w:rsidRPr="00D630D1">
        <w:t>日修订）；</w:t>
      </w:r>
    </w:p>
    <w:p w:rsidR="00117C3D" w:rsidRPr="00D630D1" w:rsidRDefault="00174753" w:rsidP="004E18BF">
      <w:pPr>
        <w:pStyle w:val="afa"/>
        <w:ind w:firstLine="480"/>
      </w:pPr>
      <w:r w:rsidRPr="00D630D1">
        <w:rPr>
          <w:rFonts w:hint="eastAsia"/>
        </w:rPr>
        <w:lastRenderedPageBreak/>
        <w:t>（</w:t>
      </w:r>
      <w:r w:rsidR="00CA39EB" w:rsidRPr="00D630D1">
        <w:rPr>
          <w:rFonts w:hint="eastAsia"/>
        </w:rPr>
        <w:t>7</w:t>
      </w:r>
      <w:r w:rsidRPr="00D630D1">
        <w:rPr>
          <w:rFonts w:hint="eastAsia"/>
        </w:rPr>
        <w:t>）</w:t>
      </w:r>
      <w:r w:rsidR="008B5B84" w:rsidRPr="00D630D1">
        <w:t>《关于进一步做好基本农田保护有关工作的意见》（国土资发</w:t>
      </w:r>
      <w:r w:rsidR="007D6E2A" w:rsidRPr="00D630D1">
        <w:t>〔</w:t>
      </w:r>
      <w:r w:rsidR="007D6E2A" w:rsidRPr="00D630D1">
        <w:t>2005</w:t>
      </w:r>
      <w:r w:rsidR="007D6E2A" w:rsidRPr="00D630D1">
        <w:t>〕</w:t>
      </w:r>
      <w:r w:rsidR="008B5B84" w:rsidRPr="00D630D1">
        <w:t>196</w:t>
      </w:r>
      <w:r w:rsidR="008B5B84" w:rsidRPr="00D630D1">
        <w:t>号）；</w:t>
      </w:r>
    </w:p>
    <w:p w:rsidR="00117C3D" w:rsidRPr="00D630D1" w:rsidRDefault="00174753" w:rsidP="004E18BF">
      <w:pPr>
        <w:pStyle w:val="afa"/>
        <w:ind w:firstLine="480"/>
      </w:pPr>
      <w:r w:rsidRPr="00D630D1">
        <w:rPr>
          <w:rFonts w:hint="eastAsia"/>
        </w:rPr>
        <w:t>（</w:t>
      </w:r>
      <w:r w:rsidR="00CA39EB" w:rsidRPr="00D630D1">
        <w:rPr>
          <w:rFonts w:hint="eastAsia"/>
        </w:rPr>
        <w:t>8</w:t>
      </w:r>
      <w:r w:rsidRPr="00D630D1">
        <w:rPr>
          <w:rFonts w:hint="eastAsia"/>
        </w:rPr>
        <w:t>）</w:t>
      </w:r>
      <w:r w:rsidR="008B5B84" w:rsidRPr="00D630D1">
        <w:t>国家林业局《关于石油天然气管道建设使用林地有关问题的通知》（林资发</w:t>
      </w:r>
      <w:r w:rsidR="007D6E2A" w:rsidRPr="00D630D1">
        <w:t>〔</w:t>
      </w:r>
      <w:r w:rsidR="007D6E2A" w:rsidRPr="00D630D1">
        <w:t>2010</w:t>
      </w:r>
      <w:r w:rsidR="007D6E2A" w:rsidRPr="00D630D1">
        <w:t>〕</w:t>
      </w:r>
      <w:r w:rsidR="008B5B84" w:rsidRPr="00D630D1">
        <w:t>105</w:t>
      </w:r>
      <w:r w:rsidR="008B5B84" w:rsidRPr="00D630D1">
        <w:t>号）；</w:t>
      </w:r>
    </w:p>
    <w:p w:rsidR="00117C3D" w:rsidRPr="00D630D1" w:rsidRDefault="00174753" w:rsidP="004E18BF">
      <w:pPr>
        <w:pStyle w:val="afa"/>
        <w:ind w:firstLine="480"/>
      </w:pPr>
      <w:r w:rsidRPr="00D630D1">
        <w:rPr>
          <w:rFonts w:hint="eastAsia"/>
        </w:rPr>
        <w:t>（</w:t>
      </w:r>
      <w:r w:rsidR="00CA39EB" w:rsidRPr="00D630D1">
        <w:rPr>
          <w:rFonts w:hint="eastAsia"/>
        </w:rPr>
        <w:t>9</w:t>
      </w:r>
      <w:r w:rsidRPr="00D630D1">
        <w:rPr>
          <w:rFonts w:hint="eastAsia"/>
        </w:rPr>
        <w:t>）</w:t>
      </w:r>
      <w:r w:rsidR="008B5B84" w:rsidRPr="00D630D1">
        <w:t>《中华人民共和国水生野生动物保护实施条例》（林业部令第</w:t>
      </w:r>
      <w:r w:rsidR="008B5B84" w:rsidRPr="00D630D1">
        <w:t>1</w:t>
      </w:r>
      <w:r w:rsidR="008B5B84" w:rsidRPr="00D630D1">
        <w:t>号），</w:t>
      </w:r>
      <w:r w:rsidR="008B5B84" w:rsidRPr="00D630D1">
        <w:t>1993</w:t>
      </w:r>
      <w:r w:rsidR="008B5B84" w:rsidRPr="00D630D1">
        <w:t>年</w:t>
      </w:r>
      <w:r w:rsidR="008B5B84" w:rsidRPr="00D630D1">
        <w:t>10</w:t>
      </w:r>
      <w:r w:rsidR="008B5B84" w:rsidRPr="00D630D1">
        <w:t>月</w:t>
      </w:r>
      <w:r w:rsidR="008B5B84" w:rsidRPr="00D630D1">
        <w:t>5</w:t>
      </w:r>
      <w:r w:rsidR="008B5B84" w:rsidRPr="00D630D1">
        <w:t>日实施；</w:t>
      </w:r>
    </w:p>
    <w:p w:rsidR="00117C3D" w:rsidRPr="00D630D1" w:rsidRDefault="00174753" w:rsidP="004E18BF">
      <w:pPr>
        <w:pStyle w:val="afa"/>
        <w:ind w:firstLine="480"/>
      </w:pPr>
      <w:r w:rsidRPr="00D630D1">
        <w:rPr>
          <w:rFonts w:hint="eastAsia"/>
        </w:rPr>
        <w:t>（</w:t>
      </w:r>
      <w:r w:rsidR="00CA39EB" w:rsidRPr="00D630D1">
        <w:rPr>
          <w:rFonts w:hint="eastAsia"/>
        </w:rPr>
        <w:t>10</w:t>
      </w:r>
      <w:r w:rsidRPr="00D630D1">
        <w:rPr>
          <w:rFonts w:hint="eastAsia"/>
        </w:rPr>
        <w:t>）</w:t>
      </w:r>
      <w:r w:rsidR="008B5B84" w:rsidRPr="00D630D1">
        <w:t>《</w:t>
      </w:r>
      <w:r w:rsidR="00D12572">
        <w:rPr>
          <w:rFonts w:hint="eastAsia"/>
        </w:rPr>
        <w:t>生态</w:t>
      </w:r>
      <w:r w:rsidR="00D12572">
        <w:t>环境保护</w:t>
      </w:r>
      <w:r w:rsidR="008B5B84" w:rsidRPr="00D630D1">
        <w:t>十</w:t>
      </w:r>
      <w:r w:rsidR="00D12572">
        <w:rPr>
          <w:rFonts w:hint="eastAsia"/>
        </w:rPr>
        <w:t>四</w:t>
      </w:r>
      <w:r w:rsidR="008B5B84" w:rsidRPr="00D630D1">
        <w:t>五规划》；</w:t>
      </w:r>
    </w:p>
    <w:p w:rsidR="00117C3D" w:rsidRPr="00D630D1" w:rsidRDefault="00174753" w:rsidP="004E18BF">
      <w:pPr>
        <w:pStyle w:val="afa"/>
        <w:ind w:firstLine="480"/>
      </w:pPr>
      <w:r w:rsidRPr="00D630D1">
        <w:rPr>
          <w:rFonts w:hint="eastAsia"/>
        </w:rPr>
        <w:t>（</w:t>
      </w:r>
      <w:r w:rsidRPr="00D630D1">
        <w:rPr>
          <w:rFonts w:hint="eastAsia"/>
        </w:rPr>
        <w:t>1</w:t>
      </w:r>
      <w:r w:rsidR="00CA39EB" w:rsidRPr="00D630D1">
        <w:rPr>
          <w:rFonts w:hint="eastAsia"/>
        </w:rPr>
        <w:t>1</w:t>
      </w:r>
      <w:r w:rsidRPr="00D630D1">
        <w:rPr>
          <w:rFonts w:hint="eastAsia"/>
        </w:rPr>
        <w:t>）</w:t>
      </w:r>
      <w:r w:rsidR="008B5B84" w:rsidRPr="00D630D1">
        <w:t>《国务院关于印发全国生态环境保护纲要的通知》（国发</w:t>
      </w:r>
      <w:r w:rsidR="007D6E2A" w:rsidRPr="00D630D1">
        <w:t>〔</w:t>
      </w:r>
      <w:r w:rsidR="007D6E2A" w:rsidRPr="00D630D1">
        <w:t>2000</w:t>
      </w:r>
      <w:r w:rsidR="007D6E2A" w:rsidRPr="00D630D1">
        <w:t>〕</w:t>
      </w:r>
      <w:r w:rsidR="008B5B84" w:rsidRPr="00D630D1">
        <w:t>38</w:t>
      </w:r>
      <w:r w:rsidR="008B5B84" w:rsidRPr="00D630D1">
        <w:t>号），</w:t>
      </w:r>
      <w:r w:rsidR="008B5B84" w:rsidRPr="00D630D1">
        <w:t>2000</w:t>
      </w:r>
      <w:r w:rsidR="008B5B84" w:rsidRPr="00D630D1">
        <w:t>年</w:t>
      </w:r>
      <w:r w:rsidR="008B5B84" w:rsidRPr="00D630D1">
        <w:t>11</w:t>
      </w:r>
      <w:r w:rsidR="008B5B84" w:rsidRPr="00D630D1">
        <w:t>月</w:t>
      </w:r>
      <w:r w:rsidR="008B5B84" w:rsidRPr="00D630D1">
        <w:t>26</w:t>
      </w:r>
      <w:r w:rsidR="008B5B84" w:rsidRPr="00D630D1">
        <w:t>日实施；</w:t>
      </w:r>
    </w:p>
    <w:p w:rsidR="00117C3D" w:rsidRPr="00D630D1" w:rsidRDefault="00174753" w:rsidP="004E18BF">
      <w:pPr>
        <w:pStyle w:val="afa"/>
        <w:ind w:firstLine="480"/>
      </w:pPr>
      <w:r w:rsidRPr="00D630D1">
        <w:rPr>
          <w:rFonts w:hint="eastAsia"/>
        </w:rPr>
        <w:t>（</w:t>
      </w:r>
      <w:r w:rsidRPr="00D630D1">
        <w:t>1</w:t>
      </w:r>
      <w:r w:rsidR="00CA39EB" w:rsidRPr="00D630D1">
        <w:rPr>
          <w:rFonts w:hint="eastAsia"/>
        </w:rPr>
        <w:t>2</w:t>
      </w:r>
      <w:r w:rsidRPr="00D630D1">
        <w:rPr>
          <w:rFonts w:hint="eastAsia"/>
        </w:rPr>
        <w:t>）</w:t>
      </w:r>
      <w:r w:rsidR="008B5B84" w:rsidRPr="00D630D1">
        <w:t>《产业结构调整指导目录》（</w:t>
      </w:r>
      <w:r w:rsidR="008B5B84" w:rsidRPr="00D630D1">
        <w:t>2019</w:t>
      </w:r>
      <w:r w:rsidR="008B5B84" w:rsidRPr="00D630D1">
        <w:t>年本）；</w:t>
      </w:r>
    </w:p>
    <w:p w:rsidR="00117C3D" w:rsidRPr="00D630D1" w:rsidRDefault="00174753" w:rsidP="004E18BF">
      <w:pPr>
        <w:pStyle w:val="afa"/>
        <w:ind w:firstLine="480"/>
      </w:pPr>
      <w:r w:rsidRPr="00D630D1">
        <w:rPr>
          <w:rFonts w:hint="eastAsia"/>
        </w:rPr>
        <w:t>（</w:t>
      </w:r>
      <w:r w:rsidRPr="00D630D1">
        <w:t>1</w:t>
      </w:r>
      <w:r w:rsidR="00CA39EB" w:rsidRPr="00D630D1">
        <w:rPr>
          <w:rFonts w:hint="eastAsia"/>
        </w:rPr>
        <w:t>3</w:t>
      </w:r>
      <w:r w:rsidRPr="00D630D1">
        <w:rPr>
          <w:rFonts w:hint="eastAsia"/>
        </w:rPr>
        <w:t>）</w:t>
      </w:r>
      <w:r w:rsidR="008B5B84" w:rsidRPr="00D630D1">
        <w:t>《中华人民共和国渔业法》，</w:t>
      </w:r>
      <w:r w:rsidR="008B5B84" w:rsidRPr="00D630D1">
        <w:t>2013</w:t>
      </w:r>
      <w:r w:rsidR="008B5B84" w:rsidRPr="00D630D1">
        <w:t>年</w:t>
      </w:r>
      <w:r w:rsidR="008B5B84" w:rsidRPr="00D630D1">
        <w:t>12</w:t>
      </w:r>
      <w:r w:rsidR="008B5B84" w:rsidRPr="00D630D1">
        <w:t>月</w:t>
      </w:r>
      <w:r w:rsidR="008B5B84" w:rsidRPr="00D630D1">
        <w:t>28</w:t>
      </w:r>
      <w:r w:rsidR="008B5B84" w:rsidRPr="00D630D1">
        <w:t>日修订；</w:t>
      </w:r>
    </w:p>
    <w:p w:rsidR="00117C3D" w:rsidRPr="00D630D1" w:rsidRDefault="00174753" w:rsidP="004E18BF">
      <w:pPr>
        <w:pStyle w:val="afa"/>
        <w:ind w:firstLine="480"/>
      </w:pPr>
      <w:r w:rsidRPr="00D630D1">
        <w:rPr>
          <w:rFonts w:hint="eastAsia"/>
        </w:rPr>
        <w:t>（</w:t>
      </w:r>
      <w:r w:rsidRPr="00D630D1">
        <w:t>1</w:t>
      </w:r>
      <w:r w:rsidR="00CA39EB" w:rsidRPr="00D630D1">
        <w:rPr>
          <w:rFonts w:hint="eastAsia"/>
        </w:rPr>
        <w:t>4</w:t>
      </w:r>
      <w:r w:rsidRPr="00D630D1">
        <w:rPr>
          <w:rFonts w:hint="eastAsia"/>
        </w:rPr>
        <w:t>）</w:t>
      </w:r>
      <w:r w:rsidR="008B5B84" w:rsidRPr="00D630D1">
        <w:t>《水产种质资源保护区管理暂行办法》（农业部</w:t>
      </w:r>
      <w:r w:rsidR="008B5B84" w:rsidRPr="00D630D1">
        <w:t>2011</w:t>
      </w:r>
      <w:r w:rsidR="008B5B84" w:rsidRPr="00D630D1">
        <w:t>年第</w:t>
      </w:r>
      <w:r w:rsidR="008B5B84" w:rsidRPr="00D630D1">
        <w:t>1</w:t>
      </w:r>
      <w:r w:rsidR="008B5B84" w:rsidRPr="00D630D1">
        <w:t>号）；</w:t>
      </w:r>
    </w:p>
    <w:p w:rsidR="00117C3D" w:rsidRPr="00D630D1" w:rsidRDefault="00174753" w:rsidP="004E18BF">
      <w:pPr>
        <w:pStyle w:val="afa"/>
        <w:ind w:firstLine="480"/>
      </w:pPr>
      <w:r w:rsidRPr="00D630D1">
        <w:rPr>
          <w:rFonts w:hint="eastAsia"/>
        </w:rPr>
        <w:t>（</w:t>
      </w:r>
      <w:r w:rsidRPr="00D630D1">
        <w:t>1</w:t>
      </w:r>
      <w:r w:rsidR="00CA39EB" w:rsidRPr="00D630D1">
        <w:rPr>
          <w:rFonts w:hint="eastAsia"/>
        </w:rPr>
        <w:t>5</w:t>
      </w:r>
      <w:r w:rsidRPr="00D630D1">
        <w:rPr>
          <w:rFonts w:hint="eastAsia"/>
        </w:rPr>
        <w:t>）</w:t>
      </w:r>
      <w:r w:rsidR="00D12572" w:rsidRPr="00D630D1">
        <w:rPr>
          <w:rFonts w:hint="eastAsia"/>
          <w:bCs/>
        </w:rPr>
        <w:t>《“十四五”现代能源体系规划》</w:t>
      </w:r>
      <w:r w:rsidR="00D12572" w:rsidRPr="00D630D1">
        <w:rPr>
          <w:rFonts w:hint="eastAsia"/>
        </w:rPr>
        <w:t>（发改能源〔</w:t>
      </w:r>
      <w:r w:rsidR="00D12572" w:rsidRPr="00D630D1">
        <w:rPr>
          <w:rFonts w:hint="eastAsia"/>
        </w:rPr>
        <w:t>2022</w:t>
      </w:r>
      <w:r w:rsidR="00D12572" w:rsidRPr="00D630D1">
        <w:rPr>
          <w:rFonts w:hint="eastAsia"/>
        </w:rPr>
        <w:t>〕</w:t>
      </w:r>
      <w:r w:rsidR="00D12572" w:rsidRPr="00D630D1">
        <w:rPr>
          <w:rFonts w:hint="eastAsia"/>
        </w:rPr>
        <w:t>210</w:t>
      </w:r>
      <w:r w:rsidR="00D12572" w:rsidRPr="00D630D1">
        <w:rPr>
          <w:rFonts w:hint="eastAsia"/>
        </w:rPr>
        <w:t>号）</w:t>
      </w:r>
      <w:r w:rsidR="008B5B84" w:rsidRPr="00D630D1">
        <w:t>；</w:t>
      </w:r>
    </w:p>
    <w:p w:rsidR="00117C3D" w:rsidRPr="00D630D1" w:rsidRDefault="00174753" w:rsidP="004E18BF">
      <w:pPr>
        <w:pStyle w:val="afa"/>
        <w:ind w:firstLine="480"/>
      </w:pPr>
      <w:r w:rsidRPr="00D630D1">
        <w:rPr>
          <w:rFonts w:hint="eastAsia"/>
        </w:rPr>
        <w:t>（</w:t>
      </w:r>
      <w:r w:rsidRPr="00D630D1">
        <w:t>1</w:t>
      </w:r>
      <w:r w:rsidR="00CA39EB" w:rsidRPr="00D630D1">
        <w:rPr>
          <w:rFonts w:hint="eastAsia"/>
        </w:rPr>
        <w:t>6</w:t>
      </w:r>
      <w:r w:rsidRPr="00D630D1">
        <w:rPr>
          <w:rFonts w:hint="eastAsia"/>
        </w:rPr>
        <w:t>）</w:t>
      </w:r>
      <w:r w:rsidR="00D12572" w:rsidRPr="00D630D1">
        <w:rPr>
          <w:rFonts w:hint="eastAsia"/>
        </w:rPr>
        <w:t>《四川省“十四五”能源发展规划》（川府发〔</w:t>
      </w:r>
      <w:r w:rsidR="00D12572" w:rsidRPr="00D630D1">
        <w:rPr>
          <w:rFonts w:hint="eastAsia"/>
        </w:rPr>
        <w:t>2022</w:t>
      </w:r>
      <w:r w:rsidR="00D12572" w:rsidRPr="00D630D1">
        <w:rPr>
          <w:rFonts w:hint="eastAsia"/>
        </w:rPr>
        <w:t>〕</w:t>
      </w:r>
      <w:r w:rsidR="00D12572" w:rsidRPr="00D630D1">
        <w:rPr>
          <w:rFonts w:hint="eastAsia"/>
        </w:rPr>
        <w:t>8</w:t>
      </w:r>
      <w:r w:rsidR="00D12572" w:rsidRPr="00D630D1">
        <w:rPr>
          <w:rFonts w:hint="eastAsia"/>
        </w:rPr>
        <w:t>号）</w:t>
      </w:r>
      <w:r w:rsidR="008B5B84" w:rsidRPr="00D630D1">
        <w:t>；</w:t>
      </w:r>
    </w:p>
    <w:p w:rsidR="00117C3D" w:rsidRDefault="00174753" w:rsidP="004E18BF">
      <w:pPr>
        <w:pStyle w:val="afa"/>
        <w:ind w:firstLine="480"/>
      </w:pPr>
      <w:r w:rsidRPr="00D630D1">
        <w:rPr>
          <w:rFonts w:hint="eastAsia"/>
        </w:rPr>
        <w:t>（</w:t>
      </w:r>
      <w:r w:rsidRPr="00D630D1">
        <w:t>1</w:t>
      </w:r>
      <w:r w:rsidR="00CA39EB" w:rsidRPr="00D630D1">
        <w:rPr>
          <w:rFonts w:hint="eastAsia"/>
        </w:rPr>
        <w:t>7</w:t>
      </w:r>
      <w:r w:rsidRPr="00D630D1">
        <w:rPr>
          <w:rFonts w:hint="eastAsia"/>
        </w:rPr>
        <w:t>）</w:t>
      </w:r>
      <w:r w:rsidR="0054736B" w:rsidRPr="00D630D1">
        <w:t>《关于划定并严守生态保护红线的若干意见》，中共中央办公厅、国务院办公厅，</w:t>
      </w:r>
      <w:r w:rsidR="0054736B" w:rsidRPr="00D630D1">
        <w:t>2017</w:t>
      </w:r>
      <w:r w:rsidR="0054736B" w:rsidRPr="00D630D1">
        <w:t>年</w:t>
      </w:r>
      <w:r w:rsidR="0054736B" w:rsidRPr="00D630D1">
        <w:t>2</w:t>
      </w:r>
      <w:r w:rsidR="0054736B" w:rsidRPr="00D630D1">
        <w:t>月</w:t>
      </w:r>
      <w:r w:rsidR="0054736B" w:rsidRPr="00D630D1">
        <w:t>7</w:t>
      </w:r>
      <w:r w:rsidR="0054736B" w:rsidRPr="00D630D1">
        <w:t>日。</w:t>
      </w:r>
    </w:p>
    <w:p w:rsidR="00796E71" w:rsidRPr="00D630D1" w:rsidRDefault="00796E71" w:rsidP="00796E71">
      <w:pPr>
        <w:pStyle w:val="afa"/>
        <w:ind w:firstLine="480"/>
      </w:pPr>
      <w:r>
        <w:rPr>
          <w:rFonts w:hint="eastAsia"/>
        </w:rPr>
        <w:t>（</w:t>
      </w:r>
      <w:r>
        <w:rPr>
          <w:rFonts w:hint="eastAsia"/>
        </w:rPr>
        <w:t>18</w:t>
      </w:r>
      <w:r>
        <w:rPr>
          <w:rFonts w:hint="eastAsia"/>
        </w:rPr>
        <w:t>）达州市人民政府《关于落实生态保护红线、环境质量底线、资源利用上线制定生态环境准入清单实施生态环境分区管控的通知》达市府发〔</w:t>
      </w:r>
      <w:r>
        <w:rPr>
          <w:rFonts w:hint="eastAsia"/>
        </w:rPr>
        <w:t>2021</w:t>
      </w:r>
      <w:r>
        <w:rPr>
          <w:rFonts w:hint="eastAsia"/>
        </w:rPr>
        <w:t>〕</w:t>
      </w:r>
      <w:r>
        <w:rPr>
          <w:rFonts w:hint="eastAsia"/>
        </w:rPr>
        <w:t xml:space="preserve">17 </w:t>
      </w:r>
      <w:r>
        <w:rPr>
          <w:rFonts w:hint="eastAsia"/>
        </w:rPr>
        <w:t>号。</w:t>
      </w:r>
    </w:p>
    <w:p w:rsidR="00117C3D" w:rsidRPr="00D630D1" w:rsidRDefault="008B5B84">
      <w:pPr>
        <w:keepNext/>
        <w:keepLines/>
        <w:ind w:firstLineChars="0" w:firstLine="0"/>
        <w:outlineLvl w:val="2"/>
        <w:rPr>
          <w:rFonts w:ascii="Times New Roman" w:cs="Times New Roman"/>
          <w:b/>
          <w:szCs w:val="32"/>
        </w:rPr>
      </w:pPr>
      <w:bookmarkStart w:id="46" w:name="_Toc19815923"/>
      <w:r w:rsidRPr="00D630D1">
        <w:rPr>
          <w:rFonts w:ascii="Times New Roman" w:cs="Times New Roman"/>
          <w:b/>
          <w:szCs w:val="32"/>
        </w:rPr>
        <w:t>1.1.4</w:t>
      </w:r>
      <w:r w:rsidR="00A64242" w:rsidRPr="00D630D1">
        <w:rPr>
          <w:rFonts w:ascii="Times New Roman" w:cs="Times New Roman"/>
          <w:b/>
          <w:szCs w:val="32"/>
        </w:rPr>
        <w:t xml:space="preserve"> </w:t>
      </w:r>
      <w:r w:rsidRPr="00D630D1">
        <w:rPr>
          <w:rFonts w:ascii="Times New Roman" w:cs="Times New Roman"/>
          <w:b/>
          <w:szCs w:val="32"/>
        </w:rPr>
        <w:t>地方法律法规</w:t>
      </w:r>
      <w:bookmarkEnd w:id="46"/>
    </w:p>
    <w:p w:rsidR="00016A5F" w:rsidRPr="00D630D1" w:rsidRDefault="00174753" w:rsidP="00174753">
      <w:pPr>
        <w:pStyle w:val="afa"/>
        <w:ind w:firstLine="480"/>
        <w:rPr>
          <w:szCs w:val="24"/>
        </w:rPr>
      </w:pPr>
      <w:r w:rsidRPr="00D630D1">
        <w:rPr>
          <w:rFonts w:hint="eastAsia"/>
          <w:szCs w:val="24"/>
        </w:rPr>
        <w:t>（</w:t>
      </w:r>
      <w:r w:rsidRPr="00D630D1">
        <w:rPr>
          <w:szCs w:val="24"/>
        </w:rPr>
        <w:t>1</w:t>
      </w:r>
      <w:r w:rsidRPr="00D630D1">
        <w:rPr>
          <w:rFonts w:hint="eastAsia"/>
          <w:szCs w:val="24"/>
        </w:rPr>
        <w:t>）</w:t>
      </w:r>
      <w:r w:rsidR="00016A5F" w:rsidRPr="00D630D1">
        <w:rPr>
          <w:szCs w:val="24"/>
        </w:rPr>
        <w:t>《四川省环境保护条例》（四川省第十二届人民代表大会常务委员会公告第</w:t>
      </w:r>
      <w:r w:rsidR="00016A5F" w:rsidRPr="00D630D1">
        <w:rPr>
          <w:szCs w:val="24"/>
        </w:rPr>
        <w:t>94</w:t>
      </w:r>
      <w:r w:rsidR="00016A5F" w:rsidRPr="00D630D1">
        <w:rPr>
          <w:szCs w:val="24"/>
        </w:rPr>
        <w:t>号，</w:t>
      </w:r>
      <w:r w:rsidR="00016A5F" w:rsidRPr="00D630D1">
        <w:rPr>
          <w:szCs w:val="24"/>
        </w:rPr>
        <w:t>2018</w:t>
      </w:r>
      <w:r w:rsidR="00016A5F" w:rsidRPr="00D630D1">
        <w:rPr>
          <w:szCs w:val="24"/>
        </w:rPr>
        <w:t>年</w:t>
      </w:r>
      <w:r w:rsidR="00016A5F" w:rsidRPr="00D630D1">
        <w:rPr>
          <w:szCs w:val="24"/>
        </w:rPr>
        <w:t>1</w:t>
      </w:r>
      <w:r w:rsidR="00016A5F" w:rsidRPr="00D630D1">
        <w:rPr>
          <w:szCs w:val="24"/>
        </w:rPr>
        <w:t>月</w:t>
      </w:r>
      <w:r w:rsidR="00016A5F" w:rsidRPr="00D630D1">
        <w:rPr>
          <w:szCs w:val="24"/>
        </w:rPr>
        <w:t>1</w:t>
      </w:r>
      <w:r w:rsidR="00016A5F" w:rsidRPr="00D630D1">
        <w:rPr>
          <w:szCs w:val="24"/>
        </w:rPr>
        <w:t>日施行）；</w:t>
      </w:r>
    </w:p>
    <w:p w:rsidR="00016A5F" w:rsidRPr="00D630D1" w:rsidRDefault="00174753" w:rsidP="00174753">
      <w:pPr>
        <w:pStyle w:val="afa"/>
        <w:ind w:firstLine="480"/>
        <w:rPr>
          <w:szCs w:val="24"/>
        </w:rPr>
      </w:pPr>
      <w:r w:rsidRPr="00D630D1">
        <w:rPr>
          <w:rFonts w:hint="eastAsia"/>
          <w:szCs w:val="24"/>
        </w:rPr>
        <w:t>（</w:t>
      </w:r>
      <w:r w:rsidRPr="00D630D1">
        <w:rPr>
          <w:szCs w:val="24"/>
        </w:rPr>
        <w:t>2</w:t>
      </w:r>
      <w:r w:rsidRPr="00D630D1">
        <w:rPr>
          <w:rFonts w:hint="eastAsia"/>
          <w:szCs w:val="24"/>
        </w:rPr>
        <w:t>）</w:t>
      </w:r>
      <w:r w:rsidR="00016A5F" w:rsidRPr="00D630D1">
        <w:rPr>
          <w:szCs w:val="24"/>
        </w:rPr>
        <w:t>《四川省主体功能区规划》，川府发〔</w:t>
      </w:r>
      <w:r w:rsidR="00016A5F" w:rsidRPr="00D630D1">
        <w:rPr>
          <w:szCs w:val="24"/>
        </w:rPr>
        <w:t>2013</w:t>
      </w:r>
      <w:r w:rsidR="00016A5F" w:rsidRPr="00D630D1">
        <w:rPr>
          <w:szCs w:val="24"/>
        </w:rPr>
        <w:t>〕</w:t>
      </w:r>
      <w:r w:rsidR="00016A5F" w:rsidRPr="00D630D1">
        <w:rPr>
          <w:szCs w:val="24"/>
        </w:rPr>
        <w:t>16</w:t>
      </w:r>
      <w:r w:rsidR="00016A5F" w:rsidRPr="00D630D1">
        <w:rPr>
          <w:szCs w:val="24"/>
        </w:rPr>
        <w:t>号；</w:t>
      </w:r>
    </w:p>
    <w:p w:rsidR="00016A5F" w:rsidRPr="00D630D1" w:rsidRDefault="00174753" w:rsidP="00174753">
      <w:pPr>
        <w:pStyle w:val="afa"/>
        <w:ind w:firstLine="480"/>
        <w:rPr>
          <w:szCs w:val="24"/>
        </w:rPr>
      </w:pPr>
      <w:r w:rsidRPr="00D630D1">
        <w:rPr>
          <w:rFonts w:hint="eastAsia"/>
          <w:szCs w:val="24"/>
        </w:rPr>
        <w:t>（</w:t>
      </w:r>
      <w:r w:rsidRPr="00D630D1">
        <w:rPr>
          <w:szCs w:val="24"/>
        </w:rPr>
        <w:t>3</w:t>
      </w:r>
      <w:r w:rsidRPr="00D630D1">
        <w:rPr>
          <w:rFonts w:hint="eastAsia"/>
          <w:szCs w:val="24"/>
        </w:rPr>
        <w:t>）</w:t>
      </w:r>
      <w:r w:rsidR="0054736B" w:rsidRPr="00D630D1">
        <w:rPr>
          <w:rFonts w:hint="eastAsia"/>
          <w:kern w:val="2"/>
          <w:szCs w:val="22"/>
        </w:rPr>
        <w:t>《四川省嘉陵江流域生态环境保护条例》（</w:t>
      </w:r>
      <w:r w:rsidR="0054736B" w:rsidRPr="00D630D1">
        <w:rPr>
          <w:rFonts w:hint="eastAsia"/>
          <w:kern w:val="2"/>
          <w:szCs w:val="22"/>
        </w:rPr>
        <w:t>2021</w:t>
      </w:r>
      <w:r w:rsidR="0054736B" w:rsidRPr="00D630D1">
        <w:rPr>
          <w:rFonts w:hint="eastAsia"/>
          <w:kern w:val="2"/>
          <w:szCs w:val="22"/>
        </w:rPr>
        <w:t>年</w:t>
      </w:r>
      <w:r w:rsidR="0054736B" w:rsidRPr="00D630D1">
        <w:rPr>
          <w:rFonts w:hint="eastAsia"/>
          <w:kern w:val="2"/>
          <w:szCs w:val="22"/>
        </w:rPr>
        <w:t>11</w:t>
      </w:r>
      <w:r w:rsidR="0054736B" w:rsidRPr="00D630D1">
        <w:rPr>
          <w:rFonts w:hint="eastAsia"/>
          <w:kern w:val="2"/>
          <w:szCs w:val="22"/>
        </w:rPr>
        <w:t>月</w:t>
      </w:r>
      <w:r w:rsidR="0054736B" w:rsidRPr="00D630D1">
        <w:rPr>
          <w:rFonts w:hint="eastAsia"/>
          <w:kern w:val="2"/>
          <w:szCs w:val="22"/>
        </w:rPr>
        <w:t>25</w:t>
      </w:r>
      <w:r w:rsidR="0054736B" w:rsidRPr="00D630D1">
        <w:rPr>
          <w:rFonts w:hint="eastAsia"/>
          <w:kern w:val="2"/>
          <w:szCs w:val="22"/>
        </w:rPr>
        <w:t>日四川省第十三届人民代表大会常务委员会第三十一次会议通过）</w:t>
      </w:r>
      <w:r w:rsidR="00016A5F" w:rsidRPr="00D630D1">
        <w:rPr>
          <w:szCs w:val="24"/>
        </w:rPr>
        <w:t>；</w:t>
      </w:r>
    </w:p>
    <w:p w:rsidR="00016A5F" w:rsidRPr="00D630D1" w:rsidRDefault="00174753" w:rsidP="00174753">
      <w:pPr>
        <w:pStyle w:val="afa"/>
        <w:ind w:firstLine="480"/>
        <w:rPr>
          <w:szCs w:val="24"/>
        </w:rPr>
      </w:pPr>
      <w:r w:rsidRPr="00D630D1">
        <w:rPr>
          <w:rFonts w:hint="eastAsia"/>
          <w:szCs w:val="24"/>
        </w:rPr>
        <w:t>（</w:t>
      </w:r>
      <w:r w:rsidRPr="00D630D1">
        <w:rPr>
          <w:szCs w:val="24"/>
        </w:rPr>
        <w:t>4</w:t>
      </w:r>
      <w:r w:rsidRPr="00D630D1">
        <w:rPr>
          <w:rFonts w:hint="eastAsia"/>
          <w:szCs w:val="24"/>
        </w:rPr>
        <w:t>）</w:t>
      </w:r>
      <w:r w:rsidR="00796E71" w:rsidRPr="00D630D1">
        <w:rPr>
          <w:szCs w:val="24"/>
        </w:rPr>
        <w:t>《四川省环境污染防治</w:t>
      </w:r>
      <w:r w:rsidR="00796E71" w:rsidRPr="00D630D1">
        <w:rPr>
          <w:szCs w:val="24"/>
        </w:rPr>
        <w:t>“</w:t>
      </w:r>
      <w:r w:rsidR="00796E71" w:rsidRPr="00D630D1">
        <w:rPr>
          <w:szCs w:val="24"/>
        </w:rPr>
        <w:t>三大战役</w:t>
      </w:r>
      <w:r w:rsidR="00796E71" w:rsidRPr="00D630D1">
        <w:rPr>
          <w:szCs w:val="24"/>
        </w:rPr>
        <w:t>”</w:t>
      </w:r>
      <w:r w:rsidR="00796E71" w:rsidRPr="00D630D1">
        <w:rPr>
          <w:szCs w:val="24"/>
        </w:rPr>
        <w:t>实施方案》（川委厅〔</w:t>
      </w:r>
      <w:r w:rsidR="00796E71" w:rsidRPr="00D630D1">
        <w:rPr>
          <w:szCs w:val="24"/>
        </w:rPr>
        <w:t>2016</w:t>
      </w:r>
      <w:r w:rsidR="00796E71" w:rsidRPr="00D630D1">
        <w:rPr>
          <w:szCs w:val="24"/>
        </w:rPr>
        <w:t>〕</w:t>
      </w:r>
      <w:r w:rsidR="00796E71" w:rsidRPr="00D630D1">
        <w:rPr>
          <w:szCs w:val="24"/>
        </w:rPr>
        <w:t>92</w:t>
      </w:r>
      <w:r w:rsidR="00796E71" w:rsidRPr="00D630D1">
        <w:rPr>
          <w:szCs w:val="24"/>
        </w:rPr>
        <w:t>号）</w:t>
      </w:r>
      <w:r w:rsidR="00016A5F" w:rsidRPr="00D630D1">
        <w:rPr>
          <w:szCs w:val="24"/>
        </w:rPr>
        <w:t>；</w:t>
      </w:r>
    </w:p>
    <w:p w:rsidR="00016A5F" w:rsidRPr="00D630D1" w:rsidRDefault="00174753" w:rsidP="00174753">
      <w:pPr>
        <w:pStyle w:val="afa"/>
        <w:ind w:firstLine="480"/>
        <w:rPr>
          <w:szCs w:val="24"/>
        </w:rPr>
      </w:pPr>
      <w:r w:rsidRPr="00D630D1">
        <w:rPr>
          <w:rFonts w:hint="eastAsia"/>
          <w:szCs w:val="24"/>
        </w:rPr>
        <w:t>（</w:t>
      </w:r>
      <w:r w:rsidRPr="00D630D1">
        <w:rPr>
          <w:szCs w:val="24"/>
        </w:rPr>
        <w:t>5</w:t>
      </w:r>
      <w:r w:rsidRPr="00D630D1">
        <w:rPr>
          <w:rFonts w:hint="eastAsia"/>
          <w:szCs w:val="24"/>
        </w:rPr>
        <w:t>）</w:t>
      </w:r>
      <w:r w:rsidR="00796E71" w:rsidRPr="00D630D1">
        <w:rPr>
          <w:szCs w:val="24"/>
        </w:rPr>
        <w:t>《关于印发四川省蓝天保卫行动方案（</w:t>
      </w:r>
      <w:r w:rsidR="00796E71" w:rsidRPr="00D630D1">
        <w:rPr>
          <w:szCs w:val="24"/>
        </w:rPr>
        <w:t>2017-2020</w:t>
      </w:r>
      <w:r w:rsidR="00796E71" w:rsidRPr="00D630D1">
        <w:rPr>
          <w:szCs w:val="24"/>
        </w:rPr>
        <w:t>年）的通知》（川污防</w:t>
      </w:r>
      <w:r w:rsidR="00796E71" w:rsidRPr="00D630D1">
        <w:rPr>
          <w:szCs w:val="24"/>
        </w:rPr>
        <w:t>“</w:t>
      </w:r>
      <w:r w:rsidR="00796E71" w:rsidRPr="00D630D1">
        <w:rPr>
          <w:szCs w:val="24"/>
        </w:rPr>
        <w:t>三大战役</w:t>
      </w:r>
      <w:r w:rsidR="00796E71" w:rsidRPr="00D630D1">
        <w:rPr>
          <w:szCs w:val="24"/>
        </w:rPr>
        <w:t>”</w:t>
      </w:r>
      <w:r w:rsidR="00796E71" w:rsidRPr="00D630D1">
        <w:rPr>
          <w:szCs w:val="24"/>
        </w:rPr>
        <w:t>办〔</w:t>
      </w:r>
      <w:r w:rsidR="00796E71" w:rsidRPr="00D630D1">
        <w:rPr>
          <w:szCs w:val="24"/>
        </w:rPr>
        <w:t>2017</w:t>
      </w:r>
      <w:r w:rsidR="00796E71" w:rsidRPr="00D630D1">
        <w:rPr>
          <w:szCs w:val="24"/>
        </w:rPr>
        <w:t>〕</w:t>
      </w:r>
      <w:r w:rsidR="00796E71" w:rsidRPr="00D630D1">
        <w:rPr>
          <w:szCs w:val="24"/>
        </w:rPr>
        <w:t>33</w:t>
      </w:r>
      <w:r w:rsidR="00796E71" w:rsidRPr="00D630D1">
        <w:rPr>
          <w:szCs w:val="24"/>
        </w:rPr>
        <w:t>号）</w:t>
      </w:r>
      <w:r w:rsidR="00016A5F" w:rsidRPr="00D630D1">
        <w:rPr>
          <w:szCs w:val="24"/>
        </w:rPr>
        <w:t>；</w:t>
      </w:r>
    </w:p>
    <w:p w:rsidR="00016A5F" w:rsidRPr="00D630D1" w:rsidRDefault="00174753" w:rsidP="00174753">
      <w:pPr>
        <w:pStyle w:val="afa"/>
        <w:ind w:firstLine="480"/>
        <w:rPr>
          <w:szCs w:val="24"/>
        </w:rPr>
      </w:pPr>
      <w:r w:rsidRPr="00D630D1">
        <w:rPr>
          <w:rFonts w:hint="eastAsia"/>
          <w:szCs w:val="24"/>
        </w:rPr>
        <w:t>（</w:t>
      </w:r>
      <w:r w:rsidRPr="00D630D1">
        <w:rPr>
          <w:szCs w:val="24"/>
        </w:rPr>
        <w:t>6</w:t>
      </w:r>
      <w:r w:rsidRPr="00D630D1">
        <w:rPr>
          <w:rFonts w:hint="eastAsia"/>
          <w:szCs w:val="24"/>
        </w:rPr>
        <w:t>）</w:t>
      </w:r>
      <w:r w:rsidR="00796E71" w:rsidRPr="00D630D1">
        <w:rPr>
          <w:szCs w:val="24"/>
        </w:rPr>
        <w:t>《四川省基本农田保护实施细则》（</w:t>
      </w:r>
      <w:r w:rsidR="00796E71" w:rsidRPr="00D630D1">
        <w:rPr>
          <w:szCs w:val="24"/>
        </w:rPr>
        <w:t>1996</w:t>
      </w:r>
      <w:r w:rsidR="00796E71" w:rsidRPr="00D630D1">
        <w:rPr>
          <w:szCs w:val="24"/>
        </w:rPr>
        <w:t>年</w:t>
      </w:r>
      <w:r w:rsidR="00796E71" w:rsidRPr="00D630D1">
        <w:rPr>
          <w:szCs w:val="24"/>
        </w:rPr>
        <w:t>2</w:t>
      </w:r>
      <w:r w:rsidR="00796E71" w:rsidRPr="00D630D1">
        <w:rPr>
          <w:szCs w:val="24"/>
        </w:rPr>
        <w:t>月</w:t>
      </w:r>
      <w:r w:rsidR="00796E71" w:rsidRPr="00D630D1">
        <w:rPr>
          <w:szCs w:val="24"/>
        </w:rPr>
        <w:t>29</w:t>
      </w:r>
      <w:r w:rsidR="00796E71" w:rsidRPr="00D630D1">
        <w:rPr>
          <w:szCs w:val="24"/>
        </w:rPr>
        <w:t>日施行）</w:t>
      </w:r>
      <w:r w:rsidR="00016A5F" w:rsidRPr="00D630D1">
        <w:rPr>
          <w:szCs w:val="24"/>
        </w:rPr>
        <w:t>；</w:t>
      </w:r>
    </w:p>
    <w:p w:rsidR="00016A5F" w:rsidRPr="00D630D1" w:rsidRDefault="00174753" w:rsidP="00174753">
      <w:pPr>
        <w:pStyle w:val="afa"/>
        <w:ind w:firstLine="480"/>
        <w:rPr>
          <w:szCs w:val="24"/>
        </w:rPr>
      </w:pPr>
      <w:r w:rsidRPr="00D630D1">
        <w:rPr>
          <w:rFonts w:hint="eastAsia"/>
          <w:szCs w:val="24"/>
        </w:rPr>
        <w:lastRenderedPageBreak/>
        <w:t>（</w:t>
      </w:r>
      <w:r w:rsidRPr="00D630D1">
        <w:rPr>
          <w:szCs w:val="24"/>
        </w:rPr>
        <w:t>7</w:t>
      </w:r>
      <w:r w:rsidRPr="00D630D1">
        <w:rPr>
          <w:rFonts w:hint="eastAsia"/>
          <w:szCs w:val="24"/>
        </w:rPr>
        <w:t>）</w:t>
      </w:r>
      <w:r w:rsidR="00796E71" w:rsidRPr="00D630D1">
        <w:rPr>
          <w:szCs w:val="24"/>
        </w:rPr>
        <w:t>关于印发《土壤污染防治行动计划四川省工作方案》的通知，（川府发〔</w:t>
      </w:r>
      <w:r w:rsidR="00796E71" w:rsidRPr="00D630D1">
        <w:rPr>
          <w:szCs w:val="24"/>
        </w:rPr>
        <w:t>2016</w:t>
      </w:r>
      <w:r w:rsidR="00796E71" w:rsidRPr="00D630D1">
        <w:rPr>
          <w:szCs w:val="24"/>
        </w:rPr>
        <w:t>〕</w:t>
      </w:r>
      <w:r w:rsidR="00796E71" w:rsidRPr="00D630D1">
        <w:rPr>
          <w:szCs w:val="24"/>
        </w:rPr>
        <w:t>63</w:t>
      </w:r>
      <w:r w:rsidR="00796E71" w:rsidRPr="00D630D1">
        <w:rPr>
          <w:szCs w:val="24"/>
        </w:rPr>
        <w:t>号，</w:t>
      </w:r>
      <w:r w:rsidR="00796E71" w:rsidRPr="00D630D1">
        <w:rPr>
          <w:szCs w:val="24"/>
        </w:rPr>
        <w:t>2016</w:t>
      </w:r>
      <w:r w:rsidR="00796E71" w:rsidRPr="00D630D1">
        <w:rPr>
          <w:szCs w:val="24"/>
        </w:rPr>
        <w:t>年</w:t>
      </w:r>
      <w:r w:rsidR="00796E71" w:rsidRPr="00D630D1">
        <w:rPr>
          <w:szCs w:val="24"/>
        </w:rPr>
        <w:t>12</w:t>
      </w:r>
      <w:r w:rsidR="00796E71" w:rsidRPr="00D630D1">
        <w:rPr>
          <w:szCs w:val="24"/>
        </w:rPr>
        <w:t>月</w:t>
      </w:r>
      <w:r w:rsidR="00796E71" w:rsidRPr="00D630D1">
        <w:rPr>
          <w:szCs w:val="24"/>
        </w:rPr>
        <w:t>29</w:t>
      </w:r>
      <w:r w:rsidR="00796E71" w:rsidRPr="00D630D1">
        <w:rPr>
          <w:szCs w:val="24"/>
        </w:rPr>
        <w:t>日）</w:t>
      </w:r>
      <w:r w:rsidR="00016A5F" w:rsidRPr="00D630D1">
        <w:rPr>
          <w:szCs w:val="24"/>
        </w:rPr>
        <w:t>；</w:t>
      </w:r>
      <w:r w:rsidR="00016A5F" w:rsidRPr="00D630D1">
        <w:rPr>
          <w:szCs w:val="24"/>
        </w:rPr>
        <w:t xml:space="preserve"> </w:t>
      </w:r>
    </w:p>
    <w:p w:rsidR="00016A5F" w:rsidRPr="00D630D1" w:rsidRDefault="00174753" w:rsidP="00174753">
      <w:pPr>
        <w:pStyle w:val="afa"/>
        <w:ind w:firstLine="480"/>
        <w:rPr>
          <w:szCs w:val="24"/>
        </w:rPr>
      </w:pPr>
      <w:r w:rsidRPr="00D630D1">
        <w:rPr>
          <w:rFonts w:hint="eastAsia"/>
          <w:szCs w:val="24"/>
        </w:rPr>
        <w:t>（</w:t>
      </w:r>
      <w:r w:rsidRPr="00D630D1">
        <w:rPr>
          <w:szCs w:val="24"/>
        </w:rPr>
        <w:t>8</w:t>
      </w:r>
      <w:r w:rsidRPr="00D630D1">
        <w:rPr>
          <w:rFonts w:hint="eastAsia"/>
          <w:szCs w:val="24"/>
        </w:rPr>
        <w:t>）</w:t>
      </w:r>
      <w:r w:rsidR="00796E71" w:rsidRPr="00D630D1">
        <w:rPr>
          <w:szCs w:val="24"/>
        </w:rPr>
        <w:t>四川省《中华人民共和国土地管理法》实施办法，</w:t>
      </w:r>
      <w:r w:rsidR="00796E71" w:rsidRPr="00D630D1">
        <w:rPr>
          <w:szCs w:val="24"/>
        </w:rPr>
        <w:t>2012</w:t>
      </w:r>
      <w:r w:rsidR="00796E71" w:rsidRPr="00D630D1">
        <w:rPr>
          <w:szCs w:val="24"/>
        </w:rPr>
        <w:t>年</w:t>
      </w:r>
      <w:r w:rsidR="00796E71" w:rsidRPr="00D630D1">
        <w:rPr>
          <w:szCs w:val="24"/>
        </w:rPr>
        <w:t>7</w:t>
      </w:r>
      <w:r w:rsidR="00796E71" w:rsidRPr="00D630D1">
        <w:rPr>
          <w:szCs w:val="24"/>
        </w:rPr>
        <w:t>月</w:t>
      </w:r>
      <w:r w:rsidR="00796E71" w:rsidRPr="00D630D1">
        <w:rPr>
          <w:szCs w:val="24"/>
        </w:rPr>
        <w:t>27</w:t>
      </w:r>
      <w:r w:rsidR="00796E71" w:rsidRPr="00D630D1">
        <w:rPr>
          <w:szCs w:val="24"/>
        </w:rPr>
        <w:t>日</w:t>
      </w:r>
      <w:r w:rsidR="00016A5F" w:rsidRPr="00D630D1">
        <w:rPr>
          <w:szCs w:val="24"/>
        </w:rPr>
        <w:t>；</w:t>
      </w:r>
    </w:p>
    <w:p w:rsidR="00016A5F" w:rsidRPr="00D630D1" w:rsidRDefault="00174753" w:rsidP="00174753">
      <w:pPr>
        <w:pStyle w:val="afa"/>
        <w:ind w:firstLine="480"/>
        <w:rPr>
          <w:szCs w:val="24"/>
        </w:rPr>
      </w:pPr>
      <w:r w:rsidRPr="00D630D1">
        <w:rPr>
          <w:rFonts w:hint="eastAsia"/>
          <w:szCs w:val="24"/>
        </w:rPr>
        <w:t>（</w:t>
      </w:r>
      <w:r w:rsidRPr="00D630D1">
        <w:rPr>
          <w:szCs w:val="24"/>
        </w:rPr>
        <w:t>9</w:t>
      </w:r>
      <w:r w:rsidRPr="00D630D1">
        <w:rPr>
          <w:rFonts w:hint="eastAsia"/>
          <w:szCs w:val="24"/>
        </w:rPr>
        <w:t>）</w:t>
      </w:r>
      <w:r w:rsidR="00796E71" w:rsidRPr="00D630D1">
        <w:rPr>
          <w:szCs w:val="24"/>
        </w:rPr>
        <w:t>《四川省人民政府办公厅关于城镇集中式饮用水水源地保护区划定方案的通知》（川办函〔</w:t>
      </w:r>
      <w:r w:rsidR="00796E71" w:rsidRPr="00D630D1">
        <w:rPr>
          <w:szCs w:val="24"/>
        </w:rPr>
        <w:t>2010</w:t>
      </w:r>
      <w:r w:rsidR="00796E71" w:rsidRPr="00D630D1">
        <w:rPr>
          <w:szCs w:val="24"/>
        </w:rPr>
        <w:t>〕</w:t>
      </w:r>
      <w:r w:rsidR="00796E71" w:rsidRPr="00D630D1">
        <w:rPr>
          <w:szCs w:val="24"/>
        </w:rPr>
        <w:t>26</w:t>
      </w:r>
      <w:r w:rsidR="00796E71" w:rsidRPr="00D630D1">
        <w:rPr>
          <w:szCs w:val="24"/>
        </w:rPr>
        <w:t>号）</w:t>
      </w:r>
      <w:r w:rsidR="00016A5F" w:rsidRPr="00D630D1">
        <w:rPr>
          <w:szCs w:val="24"/>
        </w:rPr>
        <w:t>；</w:t>
      </w:r>
      <w:r w:rsidR="00016A5F" w:rsidRPr="00D630D1">
        <w:rPr>
          <w:szCs w:val="24"/>
        </w:rPr>
        <w:t xml:space="preserve"> </w:t>
      </w:r>
    </w:p>
    <w:p w:rsidR="00016A5F" w:rsidRPr="00D630D1" w:rsidRDefault="00174753" w:rsidP="00174753">
      <w:pPr>
        <w:pStyle w:val="afa"/>
        <w:ind w:firstLine="480"/>
        <w:rPr>
          <w:szCs w:val="24"/>
        </w:rPr>
      </w:pPr>
      <w:r w:rsidRPr="00D630D1">
        <w:rPr>
          <w:rFonts w:hint="eastAsia"/>
          <w:szCs w:val="24"/>
        </w:rPr>
        <w:t>（</w:t>
      </w:r>
      <w:r w:rsidRPr="00D630D1">
        <w:rPr>
          <w:szCs w:val="24"/>
        </w:rPr>
        <w:t>10</w:t>
      </w:r>
      <w:r w:rsidRPr="00D630D1">
        <w:rPr>
          <w:rFonts w:hint="eastAsia"/>
          <w:szCs w:val="24"/>
        </w:rPr>
        <w:t>）</w:t>
      </w:r>
      <w:r w:rsidR="00796E71" w:rsidRPr="00D630D1">
        <w:rPr>
          <w:szCs w:val="24"/>
        </w:rPr>
        <w:t>《四川省饮用水水源保护管理条例》，（四川省第十三届人民代表大会常务委员会公告第</w:t>
      </w:r>
      <w:r w:rsidR="00796E71" w:rsidRPr="00D630D1">
        <w:rPr>
          <w:szCs w:val="24"/>
        </w:rPr>
        <w:t>41</w:t>
      </w:r>
      <w:r w:rsidR="00796E71" w:rsidRPr="00D630D1">
        <w:rPr>
          <w:szCs w:val="24"/>
        </w:rPr>
        <w:t>号，</w:t>
      </w:r>
      <w:r w:rsidR="00796E71" w:rsidRPr="00D630D1">
        <w:rPr>
          <w:szCs w:val="24"/>
        </w:rPr>
        <w:t>2019</w:t>
      </w:r>
      <w:r w:rsidR="00796E71" w:rsidRPr="00D630D1">
        <w:rPr>
          <w:szCs w:val="24"/>
        </w:rPr>
        <w:t>年</w:t>
      </w:r>
      <w:r w:rsidR="00796E71" w:rsidRPr="00D630D1">
        <w:rPr>
          <w:szCs w:val="24"/>
        </w:rPr>
        <w:t>9</w:t>
      </w:r>
      <w:r w:rsidR="00796E71" w:rsidRPr="00D630D1">
        <w:rPr>
          <w:szCs w:val="24"/>
        </w:rPr>
        <w:t>月</w:t>
      </w:r>
      <w:r w:rsidR="00796E71" w:rsidRPr="00D630D1">
        <w:rPr>
          <w:szCs w:val="24"/>
        </w:rPr>
        <w:t>26</w:t>
      </w:r>
      <w:r w:rsidR="00796E71" w:rsidRPr="00D630D1">
        <w:rPr>
          <w:szCs w:val="24"/>
        </w:rPr>
        <w:t>日）</w:t>
      </w:r>
      <w:r w:rsidR="00016A5F" w:rsidRPr="00D630D1">
        <w:rPr>
          <w:szCs w:val="24"/>
        </w:rPr>
        <w:t>；</w:t>
      </w:r>
    </w:p>
    <w:p w:rsidR="00016A5F" w:rsidRPr="00D630D1" w:rsidRDefault="00174753" w:rsidP="00016A5F">
      <w:pPr>
        <w:pStyle w:val="afa"/>
        <w:ind w:firstLine="480"/>
        <w:rPr>
          <w:szCs w:val="24"/>
        </w:rPr>
      </w:pPr>
      <w:r w:rsidRPr="00D630D1">
        <w:rPr>
          <w:rFonts w:hint="eastAsia"/>
          <w:szCs w:val="24"/>
        </w:rPr>
        <w:t>（</w:t>
      </w:r>
      <w:r w:rsidRPr="00D630D1">
        <w:rPr>
          <w:szCs w:val="24"/>
        </w:rPr>
        <w:t>11</w:t>
      </w:r>
      <w:r w:rsidRPr="00D630D1">
        <w:rPr>
          <w:rFonts w:hint="eastAsia"/>
          <w:szCs w:val="24"/>
        </w:rPr>
        <w:t>）</w:t>
      </w:r>
      <w:r w:rsidR="00796E71" w:rsidRPr="00D630D1">
        <w:rPr>
          <w:szCs w:val="24"/>
        </w:rPr>
        <w:t>《四川省人民政府关于印发水污染防治行动计划四川省工作方案的通知》，川府发〔</w:t>
      </w:r>
      <w:r w:rsidR="00796E71" w:rsidRPr="00D630D1">
        <w:rPr>
          <w:szCs w:val="24"/>
        </w:rPr>
        <w:t>2015</w:t>
      </w:r>
      <w:r w:rsidR="00796E71" w:rsidRPr="00D630D1">
        <w:rPr>
          <w:szCs w:val="24"/>
        </w:rPr>
        <w:t>〕</w:t>
      </w:r>
      <w:r w:rsidR="00796E71" w:rsidRPr="00D630D1">
        <w:rPr>
          <w:szCs w:val="24"/>
        </w:rPr>
        <w:t>59</w:t>
      </w:r>
      <w:r w:rsidR="00796E71" w:rsidRPr="00D630D1">
        <w:rPr>
          <w:szCs w:val="24"/>
        </w:rPr>
        <w:t>号</w:t>
      </w:r>
      <w:r w:rsidR="00016A5F" w:rsidRPr="00D630D1">
        <w:rPr>
          <w:szCs w:val="24"/>
        </w:rPr>
        <w:t>；</w:t>
      </w:r>
    </w:p>
    <w:p w:rsidR="00016A5F" w:rsidRPr="00D630D1" w:rsidRDefault="00174753" w:rsidP="00016A5F">
      <w:pPr>
        <w:pStyle w:val="afa"/>
        <w:ind w:firstLine="480"/>
        <w:rPr>
          <w:szCs w:val="24"/>
        </w:rPr>
      </w:pPr>
      <w:r w:rsidRPr="00D630D1">
        <w:rPr>
          <w:rFonts w:hint="eastAsia"/>
          <w:szCs w:val="24"/>
        </w:rPr>
        <w:t>（</w:t>
      </w:r>
      <w:r w:rsidRPr="00D630D1">
        <w:rPr>
          <w:szCs w:val="24"/>
        </w:rPr>
        <w:t>12</w:t>
      </w:r>
      <w:r w:rsidRPr="00D630D1">
        <w:rPr>
          <w:rFonts w:hint="eastAsia"/>
          <w:szCs w:val="24"/>
        </w:rPr>
        <w:t>）</w:t>
      </w:r>
      <w:r w:rsidR="00796E71" w:rsidRPr="00D630D1">
        <w:rPr>
          <w:szCs w:val="24"/>
        </w:rPr>
        <w:t>《四川省环境保护厅关于进一步落实好环境影响评价风险防范措施的通知》，川环办发〔</w:t>
      </w:r>
      <w:r w:rsidR="00796E71" w:rsidRPr="00D630D1">
        <w:rPr>
          <w:szCs w:val="24"/>
        </w:rPr>
        <w:t>2013</w:t>
      </w:r>
      <w:r w:rsidR="00796E71" w:rsidRPr="00D630D1">
        <w:rPr>
          <w:szCs w:val="24"/>
        </w:rPr>
        <w:t>〕</w:t>
      </w:r>
      <w:r w:rsidR="00796E71" w:rsidRPr="00D630D1">
        <w:rPr>
          <w:szCs w:val="24"/>
        </w:rPr>
        <w:t>179</w:t>
      </w:r>
      <w:r w:rsidR="00796E71" w:rsidRPr="00D630D1">
        <w:rPr>
          <w:szCs w:val="24"/>
        </w:rPr>
        <w:t>号，</w:t>
      </w:r>
      <w:r w:rsidR="00796E71" w:rsidRPr="00D630D1">
        <w:rPr>
          <w:szCs w:val="24"/>
        </w:rPr>
        <w:t>2013</w:t>
      </w:r>
      <w:r w:rsidR="00796E71" w:rsidRPr="00D630D1">
        <w:rPr>
          <w:szCs w:val="24"/>
        </w:rPr>
        <w:t>年</w:t>
      </w:r>
      <w:r w:rsidR="00796E71" w:rsidRPr="00D630D1">
        <w:rPr>
          <w:szCs w:val="24"/>
        </w:rPr>
        <w:t>12</w:t>
      </w:r>
      <w:r w:rsidR="00796E71" w:rsidRPr="00D630D1">
        <w:rPr>
          <w:szCs w:val="24"/>
        </w:rPr>
        <w:t>月</w:t>
      </w:r>
      <w:r w:rsidR="00796E71" w:rsidRPr="00D630D1">
        <w:rPr>
          <w:szCs w:val="24"/>
        </w:rPr>
        <w:t>24</w:t>
      </w:r>
      <w:r w:rsidR="00796E71" w:rsidRPr="00D630D1">
        <w:rPr>
          <w:szCs w:val="24"/>
        </w:rPr>
        <w:t>日</w:t>
      </w:r>
      <w:r w:rsidR="00016A5F" w:rsidRPr="00D630D1">
        <w:rPr>
          <w:szCs w:val="24"/>
        </w:rPr>
        <w:t>；</w:t>
      </w:r>
    </w:p>
    <w:p w:rsidR="00016A5F" w:rsidRPr="00D630D1" w:rsidRDefault="00174753" w:rsidP="00016A5F">
      <w:pPr>
        <w:pStyle w:val="afa"/>
        <w:ind w:firstLine="480"/>
        <w:rPr>
          <w:szCs w:val="24"/>
        </w:rPr>
      </w:pPr>
      <w:r w:rsidRPr="00D630D1">
        <w:rPr>
          <w:rFonts w:hint="eastAsia"/>
          <w:szCs w:val="24"/>
        </w:rPr>
        <w:t>（</w:t>
      </w:r>
      <w:r w:rsidRPr="00D630D1">
        <w:rPr>
          <w:szCs w:val="24"/>
        </w:rPr>
        <w:t>13</w:t>
      </w:r>
      <w:r w:rsidRPr="00D630D1">
        <w:rPr>
          <w:rFonts w:hint="eastAsia"/>
          <w:szCs w:val="24"/>
        </w:rPr>
        <w:t>）</w:t>
      </w:r>
      <w:r w:rsidR="00796E71" w:rsidRPr="00D630D1">
        <w:rPr>
          <w:szCs w:val="24"/>
        </w:rPr>
        <w:t>《四川省人民政府关于印发四川省生态保护红线方案的通知》，川府发〔</w:t>
      </w:r>
      <w:r w:rsidR="00796E71" w:rsidRPr="00D630D1">
        <w:rPr>
          <w:szCs w:val="24"/>
        </w:rPr>
        <w:t>2018</w:t>
      </w:r>
      <w:r w:rsidR="00796E71" w:rsidRPr="00D630D1">
        <w:rPr>
          <w:szCs w:val="24"/>
        </w:rPr>
        <w:t>〕</w:t>
      </w:r>
      <w:r w:rsidR="00796E71" w:rsidRPr="00D630D1">
        <w:rPr>
          <w:szCs w:val="24"/>
        </w:rPr>
        <w:t>24</w:t>
      </w:r>
      <w:r w:rsidR="00796E71" w:rsidRPr="00D630D1">
        <w:rPr>
          <w:szCs w:val="24"/>
        </w:rPr>
        <w:t>号</w:t>
      </w:r>
      <w:r w:rsidR="00016A5F" w:rsidRPr="00D630D1">
        <w:rPr>
          <w:szCs w:val="24"/>
        </w:rPr>
        <w:t>；</w:t>
      </w:r>
    </w:p>
    <w:p w:rsidR="00016A5F" w:rsidRDefault="00174753" w:rsidP="00016A5F">
      <w:pPr>
        <w:pStyle w:val="afa"/>
        <w:ind w:firstLine="480"/>
        <w:rPr>
          <w:szCs w:val="24"/>
        </w:rPr>
      </w:pPr>
      <w:r w:rsidRPr="00D630D1">
        <w:rPr>
          <w:rFonts w:hint="eastAsia"/>
          <w:szCs w:val="24"/>
        </w:rPr>
        <w:t>（</w:t>
      </w:r>
      <w:r w:rsidRPr="00D630D1">
        <w:rPr>
          <w:szCs w:val="24"/>
        </w:rPr>
        <w:t>14</w:t>
      </w:r>
      <w:r w:rsidRPr="00D630D1">
        <w:rPr>
          <w:rFonts w:hint="eastAsia"/>
          <w:szCs w:val="24"/>
        </w:rPr>
        <w:t>）</w:t>
      </w:r>
      <w:r w:rsidR="00796E71" w:rsidRPr="00796E71">
        <w:rPr>
          <w:rFonts w:hint="eastAsia"/>
          <w:szCs w:val="24"/>
        </w:rPr>
        <w:t>《四川省人民政府关于落实生态保护红线、环境质量底线、资源利用上线制定生态环境准入清单实施生态环境分区管控的通知》（川府发〔</w:t>
      </w:r>
      <w:r w:rsidR="00796E71" w:rsidRPr="00796E71">
        <w:rPr>
          <w:rFonts w:hint="eastAsia"/>
          <w:szCs w:val="24"/>
        </w:rPr>
        <w:t>2020</w:t>
      </w:r>
      <w:r w:rsidR="00796E71" w:rsidRPr="00796E71">
        <w:rPr>
          <w:rFonts w:hint="eastAsia"/>
          <w:szCs w:val="24"/>
        </w:rPr>
        <w:t>〕</w:t>
      </w:r>
      <w:r w:rsidR="00796E71" w:rsidRPr="00796E71">
        <w:rPr>
          <w:rFonts w:hint="eastAsia"/>
          <w:szCs w:val="24"/>
        </w:rPr>
        <w:t xml:space="preserve">9 </w:t>
      </w:r>
      <w:r w:rsidR="00796E71" w:rsidRPr="00796E71">
        <w:rPr>
          <w:rFonts w:hint="eastAsia"/>
          <w:szCs w:val="24"/>
        </w:rPr>
        <w:t>号）</w:t>
      </w:r>
      <w:r w:rsidR="00016A5F" w:rsidRPr="00D630D1">
        <w:rPr>
          <w:szCs w:val="24"/>
        </w:rPr>
        <w:t>；</w:t>
      </w:r>
    </w:p>
    <w:p w:rsidR="00016A5F" w:rsidRPr="00D630D1" w:rsidRDefault="00174753" w:rsidP="00DD1E9A">
      <w:pPr>
        <w:pStyle w:val="afa"/>
        <w:ind w:firstLine="480"/>
        <w:rPr>
          <w:szCs w:val="24"/>
        </w:rPr>
      </w:pPr>
      <w:r w:rsidRPr="00D630D1">
        <w:rPr>
          <w:rFonts w:hint="eastAsia"/>
          <w:szCs w:val="24"/>
        </w:rPr>
        <w:t>（</w:t>
      </w:r>
      <w:r w:rsidRPr="00D630D1">
        <w:rPr>
          <w:szCs w:val="24"/>
        </w:rPr>
        <w:t>15</w:t>
      </w:r>
      <w:r w:rsidRPr="00D630D1">
        <w:rPr>
          <w:rFonts w:hint="eastAsia"/>
          <w:szCs w:val="24"/>
        </w:rPr>
        <w:t>）</w:t>
      </w:r>
      <w:r w:rsidR="00016A5F" w:rsidRPr="00D630D1">
        <w:rPr>
          <w:szCs w:val="24"/>
        </w:rPr>
        <w:t>《四川省环境保护厅关于发布生态保护红线市县级行政区汇总表和登记表的函》，川环函</w:t>
      </w:r>
      <w:r w:rsidR="00DD1E9A" w:rsidRPr="00D630D1">
        <w:rPr>
          <w:szCs w:val="24"/>
        </w:rPr>
        <w:t>〔</w:t>
      </w:r>
      <w:r w:rsidR="00DD1E9A" w:rsidRPr="00D630D1">
        <w:rPr>
          <w:szCs w:val="24"/>
        </w:rPr>
        <w:t>2018</w:t>
      </w:r>
      <w:r w:rsidR="00DD1E9A" w:rsidRPr="00D630D1">
        <w:rPr>
          <w:szCs w:val="24"/>
        </w:rPr>
        <w:t>〕</w:t>
      </w:r>
      <w:r w:rsidR="00016A5F" w:rsidRPr="00D630D1">
        <w:rPr>
          <w:szCs w:val="24"/>
        </w:rPr>
        <w:t>1201</w:t>
      </w:r>
      <w:r w:rsidR="00016A5F" w:rsidRPr="00D630D1">
        <w:rPr>
          <w:szCs w:val="24"/>
        </w:rPr>
        <w:t>号</w:t>
      </w:r>
      <w:r w:rsidR="00DD1E9A" w:rsidRPr="00D630D1">
        <w:rPr>
          <w:szCs w:val="24"/>
        </w:rPr>
        <w:t>；</w:t>
      </w:r>
    </w:p>
    <w:p w:rsidR="00DD1E9A" w:rsidRPr="00D630D1" w:rsidRDefault="00174753" w:rsidP="00DD1E9A">
      <w:pPr>
        <w:pStyle w:val="afa"/>
        <w:ind w:firstLine="480"/>
        <w:rPr>
          <w:szCs w:val="24"/>
        </w:rPr>
      </w:pPr>
      <w:r w:rsidRPr="00D630D1">
        <w:rPr>
          <w:rFonts w:hint="eastAsia"/>
          <w:szCs w:val="24"/>
        </w:rPr>
        <w:t>（</w:t>
      </w:r>
      <w:r w:rsidRPr="00D630D1">
        <w:rPr>
          <w:szCs w:val="24"/>
        </w:rPr>
        <w:t>16</w:t>
      </w:r>
      <w:r w:rsidRPr="00D630D1">
        <w:rPr>
          <w:rFonts w:hint="eastAsia"/>
          <w:szCs w:val="24"/>
        </w:rPr>
        <w:t>）</w:t>
      </w:r>
      <w:r w:rsidR="00016A5F" w:rsidRPr="00D630D1">
        <w:rPr>
          <w:szCs w:val="24"/>
        </w:rPr>
        <w:t>《四川省〈中华人民共和国大气污染防治法〉实施办法》（四川省第十三届</w:t>
      </w:r>
      <w:r w:rsidR="00DD1E9A" w:rsidRPr="00D630D1">
        <w:rPr>
          <w:szCs w:val="24"/>
        </w:rPr>
        <w:t>人民代表大会常务委员会公告第</w:t>
      </w:r>
      <w:r w:rsidR="00DD1E9A" w:rsidRPr="00D630D1">
        <w:rPr>
          <w:szCs w:val="24"/>
        </w:rPr>
        <w:t>24</w:t>
      </w:r>
      <w:r w:rsidR="00DD1E9A" w:rsidRPr="00D630D1">
        <w:rPr>
          <w:szCs w:val="24"/>
        </w:rPr>
        <w:t>号，</w:t>
      </w:r>
      <w:r w:rsidR="00DD1E9A" w:rsidRPr="00D630D1">
        <w:rPr>
          <w:szCs w:val="24"/>
        </w:rPr>
        <w:t>2019</w:t>
      </w:r>
      <w:r w:rsidR="00DD1E9A" w:rsidRPr="00D630D1">
        <w:rPr>
          <w:szCs w:val="24"/>
        </w:rPr>
        <w:t>年</w:t>
      </w:r>
      <w:r w:rsidR="00DD1E9A" w:rsidRPr="00D630D1">
        <w:rPr>
          <w:szCs w:val="24"/>
        </w:rPr>
        <w:t>1</w:t>
      </w:r>
      <w:r w:rsidR="00DD1E9A" w:rsidRPr="00D630D1">
        <w:rPr>
          <w:szCs w:val="24"/>
        </w:rPr>
        <w:t>月</w:t>
      </w:r>
      <w:r w:rsidR="00DD1E9A" w:rsidRPr="00D630D1">
        <w:rPr>
          <w:szCs w:val="24"/>
        </w:rPr>
        <w:t>1</w:t>
      </w:r>
      <w:r w:rsidR="00DD1E9A" w:rsidRPr="00D630D1">
        <w:rPr>
          <w:szCs w:val="24"/>
        </w:rPr>
        <w:t>日实施）；</w:t>
      </w:r>
    </w:p>
    <w:p w:rsidR="00DD1E9A" w:rsidRPr="00D630D1" w:rsidRDefault="00DD1E9A" w:rsidP="00174753">
      <w:pPr>
        <w:pStyle w:val="afa"/>
        <w:ind w:firstLine="480"/>
        <w:rPr>
          <w:szCs w:val="24"/>
        </w:rPr>
      </w:pPr>
      <w:r w:rsidRPr="00D630D1">
        <w:rPr>
          <w:szCs w:val="24"/>
        </w:rPr>
        <w:t>（</w:t>
      </w:r>
      <w:r w:rsidRPr="00D630D1">
        <w:rPr>
          <w:szCs w:val="24"/>
        </w:rPr>
        <w:t>17</w:t>
      </w:r>
      <w:r w:rsidRPr="00D630D1">
        <w:rPr>
          <w:szCs w:val="24"/>
        </w:rPr>
        <w:t>）《四川省固体废物污染环境防治条例》（四川省第十三届人民代表大会常务委员会公告第</w:t>
      </w:r>
      <w:r w:rsidRPr="00D630D1">
        <w:rPr>
          <w:szCs w:val="24"/>
        </w:rPr>
        <w:t>15</w:t>
      </w:r>
      <w:r w:rsidRPr="00D630D1">
        <w:rPr>
          <w:szCs w:val="24"/>
        </w:rPr>
        <w:t>号，</w:t>
      </w:r>
      <w:r w:rsidRPr="00D630D1">
        <w:rPr>
          <w:szCs w:val="24"/>
        </w:rPr>
        <w:t>2018</w:t>
      </w:r>
      <w:r w:rsidRPr="00D630D1">
        <w:rPr>
          <w:szCs w:val="24"/>
        </w:rPr>
        <w:t>年</w:t>
      </w:r>
      <w:r w:rsidRPr="00D630D1">
        <w:rPr>
          <w:szCs w:val="24"/>
        </w:rPr>
        <w:t>7</w:t>
      </w:r>
      <w:r w:rsidRPr="00D630D1">
        <w:rPr>
          <w:szCs w:val="24"/>
        </w:rPr>
        <w:t>月</w:t>
      </w:r>
      <w:r w:rsidRPr="00D630D1">
        <w:rPr>
          <w:szCs w:val="24"/>
        </w:rPr>
        <w:t>26</w:t>
      </w:r>
      <w:r w:rsidRPr="00D630D1">
        <w:rPr>
          <w:szCs w:val="24"/>
        </w:rPr>
        <w:t>日）。</w:t>
      </w:r>
    </w:p>
    <w:p w:rsidR="00117C3D" w:rsidRPr="00D630D1" w:rsidRDefault="008B5B84">
      <w:pPr>
        <w:keepNext/>
        <w:keepLines/>
        <w:ind w:firstLineChars="0" w:firstLine="0"/>
        <w:outlineLvl w:val="2"/>
        <w:rPr>
          <w:rFonts w:ascii="Times New Roman" w:cs="Times New Roman"/>
          <w:b/>
          <w:szCs w:val="32"/>
        </w:rPr>
      </w:pPr>
      <w:bookmarkStart w:id="47" w:name="_Toc19815924"/>
      <w:r w:rsidRPr="00D630D1">
        <w:rPr>
          <w:rFonts w:ascii="Times New Roman" w:cs="Times New Roman"/>
          <w:b/>
          <w:szCs w:val="32"/>
        </w:rPr>
        <w:t>1.1.5</w:t>
      </w:r>
      <w:r w:rsidR="00A64242" w:rsidRPr="00D630D1">
        <w:rPr>
          <w:rFonts w:ascii="Times New Roman" w:cs="Times New Roman"/>
          <w:b/>
          <w:szCs w:val="32"/>
        </w:rPr>
        <w:t xml:space="preserve"> </w:t>
      </w:r>
      <w:r w:rsidRPr="00D630D1">
        <w:rPr>
          <w:rFonts w:ascii="Times New Roman" w:cs="Times New Roman"/>
          <w:b/>
          <w:szCs w:val="32"/>
        </w:rPr>
        <w:t>相关环评技术规范</w:t>
      </w:r>
      <w:bookmarkEnd w:id="47"/>
    </w:p>
    <w:p w:rsidR="00117C3D" w:rsidRPr="00D630D1" w:rsidRDefault="00174753" w:rsidP="004E18BF">
      <w:pPr>
        <w:pStyle w:val="afa"/>
        <w:ind w:firstLine="480"/>
      </w:pPr>
      <w:r w:rsidRPr="00D630D1">
        <w:rPr>
          <w:rFonts w:hint="eastAsia"/>
        </w:rPr>
        <w:t>（</w:t>
      </w:r>
      <w:r w:rsidRPr="00D630D1">
        <w:rPr>
          <w:rFonts w:hint="eastAsia"/>
        </w:rPr>
        <w:t>1</w:t>
      </w:r>
      <w:r w:rsidRPr="00D630D1">
        <w:rPr>
          <w:rFonts w:hint="eastAsia"/>
        </w:rPr>
        <w:t>）</w:t>
      </w:r>
      <w:r w:rsidR="008B5B84" w:rsidRPr="00D630D1">
        <w:t>《建设项目环境影响评价技术导则</w:t>
      </w:r>
      <w:r w:rsidR="000B7A10" w:rsidRPr="00D630D1">
        <w:t xml:space="preserve"> </w:t>
      </w:r>
      <w:r w:rsidR="008B5B84" w:rsidRPr="00D630D1">
        <w:t>总纲》（</w:t>
      </w:r>
      <w:r w:rsidR="008B5B84" w:rsidRPr="00D630D1">
        <w:t>HJ2.1-2016</w:t>
      </w:r>
      <w:r w:rsidR="008B5B84" w:rsidRPr="00D630D1">
        <w:t>）；</w:t>
      </w:r>
    </w:p>
    <w:p w:rsidR="00117C3D" w:rsidRPr="00D630D1" w:rsidRDefault="00174753" w:rsidP="004E18BF">
      <w:pPr>
        <w:pStyle w:val="afa"/>
        <w:ind w:firstLine="480"/>
      </w:pPr>
      <w:r w:rsidRPr="00D630D1">
        <w:rPr>
          <w:rFonts w:hint="eastAsia"/>
        </w:rPr>
        <w:t>（</w:t>
      </w:r>
      <w:r w:rsidRPr="00D630D1">
        <w:rPr>
          <w:rFonts w:hint="eastAsia"/>
        </w:rPr>
        <w:t>2</w:t>
      </w:r>
      <w:r w:rsidRPr="00D630D1">
        <w:rPr>
          <w:rFonts w:hint="eastAsia"/>
        </w:rPr>
        <w:t>）</w:t>
      </w:r>
      <w:r w:rsidR="008B5B84" w:rsidRPr="00D630D1">
        <w:t>《环境影响评价技术导则</w:t>
      </w:r>
      <w:r w:rsidR="000B7A10" w:rsidRPr="00D630D1">
        <w:t xml:space="preserve"> </w:t>
      </w:r>
      <w:r w:rsidR="008B5B84" w:rsidRPr="00D630D1">
        <w:t>大气环境》（</w:t>
      </w:r>
      <w:r w:rsidR="008B5B84" w:rsidRPr="00D630D1">
        <w:t>HJ2.2-2018</w:t>
      </w:r>
      <w:r w:rsidR="008B5B84" w:rsidRPr="00D630D1">
        <w:t>）；</w:t>
      </w:r>
    </w:p>
    <w:p w:rsidR="00117C3D" w:rsidRPr="00D630D1" w:rsidRDefault="00174753" w:rsidP="004E18BF">
      <w:pPr>
        <w:pStyle w:val="afa"/>
        <w:ind w:firstLine="480"/>
      </w:pPr>
      <w:r w:rsidRPr="00D630D1">
        <w:rPr>
          <w:rFonts w:hint="eastAsia"/>
        </w:rPr>
        <w:t>（</w:t>
      </w:r>
      <w:r w:rsidRPr="00D630D1">
        <w:rPr>
          <w:rFonts w:hint="eastAsia"/>
        </w:rPr>
        <w:t>3</w:t>
      </w:r>
      <w:r w:rsidRPr="00D630D1">
        <w:rPr>
          <w:rFonts w:hint="eastAsia"/>
        </w:rPr>
        <w:t>）</w:t>
      </w:r>
      <w:r w:rsidR="008B5B84" w:rsidRPr="00D630D1">
        <w:t>《环境影响评价技术导则</w:t>
      </w:r>
      <w:r w:rsidR="000B7A10" w:rsidRPr="00D630D1">
        <w:t xml:space="preserve"> </w:t>
      </w:r>
      <w:r w:rsidR="008B5B84" w:rsidRPr="00D630D1">
        <w:t>地</w:t>
      </w:r>
      <w:r w:rsidR="000B7A10" w:rsidRPr="00D630D1">
        <w:t>表</w:t>
      </w:r>
      <w:r w:rsidR="008B5B84" w:rsidRPr="00D630D1">
        <w:t>水环境》（</w:t>
      </w:r>
      <w:r w:rsidR="008B5B84" w:rsidRPr="00D630D1">
        <w:t>HJ2.3-2018</w:t>
      </w:r>
      <w:r w:rsidR="008B5B84" w:rsidRPr="00D630D1">
        <w:t>）；</w:t>
      </w:r>
    </w:p>
    <w:p w:rsidR="00117C3D" w:rsidRPr="00D630D1" w:rsidRDefault="00174753" w:rsidP="004E18BF">
      <w:pPr>
        <w:pStyle w:val="afa"/>
        <w:ind w:firstLine="480"/>
      </w:pPr>
      <w:r w:rsidRPr="00D630D1">
        <w:rPr>
          <w:rFonts w:hint="eastAsia"/>
        </w:rPr>
        <w:t>（</w:t>
      </w:r>
      <w:r w:rsidRPr="00D630D1">
        <w:rPr>
          <w:rFonts w:hint="eastAsia"/>
        </w:rPr>
        <w:t>4</w:t>
      </w:r>
      <w:r w:rsidRPr="00D630D1">
        <w:rPr>
          <w:rFonts w:hint="eastAsia"/>
        </w:rPr>
        <w:t>）</w:t>
      </w:r>
      <w:r w:rsidR="008B5B84" w:rsidRPr="00D630D1">
        <w:t>《环境影响评价技术导则</w:t>
      </w:r>
      <w:r w:rsidR="000B7A10" w:rsidRPr="00D630D1">
        <w:t xml:space="preserve"> </w:t>
      </w:r>
      <w:r w:rsidR="008B5B84" w:rsidRPr="00D630D1">
        <w:t>声环境》（</w:t>
      </w:r>
      <w:r w:rsidR="008B5B84" w:rsidRPr="00D630D1">
        <w:t>HJ2.4-20</w:t>
      </w:r>
      <w:r w:rsidR="009A0B01" w:rsidRPr="00D630D1">
        <w:rPr>
          <w:rFonts w:hint="eastAsia"/>
        </w:rPr>
        <w:t>21</w:t>
      </w:r>
      <w:r w:rsidR="008B5B84" w:rsidRPr="00D630D1">
        <w:t>）；</w:t>
      </w:r>
    </w:p>
    <w:p w:rsidR="00117C3D" w:rsidRPr="00D630D1" w:rsidRDefault="00174753" w:rsidP="004E18BF">
      <w:pPr>
        <w:pStyle w:val="afa"/>
        <w:ind w:firstLine="480"/>
      </w:pPr>
      <w:r w:rsidRPr="00D630D1">
        <w:rPr>
          <w:rFonts w:hint="eastAsia"/>
        </w:rPr>
        <w:t>（</w:t>
      </w:r>
      <w:r w:rsidRPr="00D630D1">
        <w:rPr>
          <w:rFonts w:hint="eastAsia"/>
        </w:rPr>
        <w:t>5</w:t>
      </w:r>
      <w:r w:rsidRPr="00D630D1">
        <w:rPr>
          <w:rFonts w:hint="eastAsia"/>
        </w:rPr>
        <w:t>）</w:t>
      </w:r>
      <w:r w:rsidR="008B5B84" w:rsidRPr="00D630D1">
        <w:t>《环境影响评价技术导则</w:t>
      </w:r>
      <w:r w:rsidR="000B7A10" w:rsidRPr="00D630D1">
        <w:t xml:space="preserve"> </w:t>
      </w:r>
      <w:r w:rsidR="008B5B84" w:rsidRPr="00D630D1">
        <w:t>地下水环境》（</w:t>
      </w:r>
      <w:r w:rsidR="008B5B84" w:rsidRPr="00D630D1">
        <w:t>HJ610-2016</w:t>
      </w:r>
      <w:r w:rsidR="008B5B84" w:rsidRPr="00D630D1">
        <w:t>）</w:t>
      </w:r>
    </w:p>
    <w:p w:rsidR="00117C3D" w:rsidRPr="00D630D1" w:rsidRDefault="00174753" w:rsidP="004E18BF">
      <w:pPr>
        <w:pStyle w:val="afa"/>
        <w:ind w:firstLine="480"/>
      </w:pPr>
      <w:r w:rsidRPr="00D630D1">
        <w:rPr>
          <w:rFonts w:hint="eastAsia"/>
        </w:rPr>
        <w:t>（</w:t>
      </w:r>
      <w:r w:rsidRPr="00D630D1">
        <w:rPr>
          <w:rFonts w:hint="eastAsia"/>
        </w:rPr>
        <w:t>6</w:t>
      </w:r>
      <w:r w:rsidRPr="00D630D1">
        <w:rPr>
          <w:rFonts w:hint="eastAsia"/>
        </w:rPr>
        <w:t>）</w:t>
      </w:r>
      <w:r w:rsidR="008B5B84" w:rsidRPr="00D630D1">
        <w:t>《环境影响评价技术导则</w:t>
      </w:r>
      <w:r w:rsidR="000B7A10" w:rsidRPr="00D630D1">
        <w:t xml:space="preserve"> </w:t>
      </w:r>
      <w:r w:rsidR="008B5B84" w:rsidRPr="00D630D1">
        <w:t>生态影响》（</w:t>
      </w:r>
      <w:r w:rsidR="008B5B84" w:rsidRPr="00D630D1">
        <w:t>HJ19-20</w:t>
      </w:r>
      <w:r w:rsidR="009A0B01" w:rsidRPr="00D630D1">
        <w:rPr>
          <w:rFonts w:hint="eastAsia"/>
        </w:rPr>
        <w:t>22</w:t>
      </w:r>
      <w:r w:rsidR="008B5B84" w:rsidRPr="00D630D1">
        <w:t>）；</w:t>
      </w:r>
    </w:p>
    <w:p w:rsidR="00117C3D" w:rsidRPr="00D630D1" w:rsidRDefault="00174753" w:rsidP="004E18BF">
      <w:pPr>
        <w:pStyle w:val="afa"/>
        <w:ind w:firstLine="480"/>
      </w:pPr>
      <w:r w:rsidRPr="00D630D1">
        <w:rPr>
          <w:rFonts w:hint="eastAsia"/>
        </w:rPr>
        <w:t>（</w:t>
      </w:r>
      <w:r w:rsidRPr="00D630D1">
        <w:rPr>
          <w:rFonts w:hint="eastAsia"/>
        </w:rPr>
        <w:t>7</w:t>
      </w:r>
      <w:r w:rsidRPr="00D630D1">
        <w:rPr>
          <w:rFonts w:hint="eastAsia"/>
        </w:rPr>
        <w:t>）</w:t>
      </w:r>
      <w:r w:rsidR="008B5B84" w:rsidRPr="00D630D1">
        <w:t>《环境影响评价技术导则</w:t>
      </w:r>
      <w:r w:rsidR="000B7A10" w:rsidRPr="00D630D1">
        <w:t xml:space="preserve"> </w:t>
      </w:r>
      <w:r w:rsidR="008B5B84" w:rsidRPr="00D630D1">
        <w:t>土壤环境</w:t>
      </w:r>
      <w:r w:rsidR="000B7A10" w:rsidRPr="00D630D1">
        <w:t>（试行）</w:t>
      </w:r>
      <w:r w:rsidR="008B5B84" w:rsidRPr="00D630D1">
        <w:t>》（</w:t>
      </w:r>
      <w:r w:rsidR="008B5B84" w:rsidRPr="00D630D1">
        <w:t>HJ964-2018</w:t>
      </w:r>
      <w:r w:rsidR="008B5B84" w:rsidRPr="00D630D1">
        <w:t>）；</w:t>
      </w:r>
    </w:p>
    <w:p w:rsidR="00117C3D" w:rsidRPr="00D630D1" w:rsidRDefault="00174753" w:rsidP="004E18BF">
      <w:pPr>
        <w:pStyle w:val="afa"/>
        <w:ind w:firstLine="480"/>
      </w:pPr>
      <w:r w:rsidRPr="00D630D1">
        <w:rPr>
          <w:rFonts w:hint="eastAsia"/>
        </w:rPr>
        <w:lastRenderedPageBreak/>
        <w:t>（</w:t>
      </w:r>
      <w:r w:rsidRPr="00D630D1">
        <w:rPr>
          <w:rFonts w:hint="eastAsia"/>
        </w:rPr>
        <w:t>8</w:t>
      </w:r>
      <w:r w:rsidRPr="00D630D1">
        <w:rPr>
          <w:rFonts w:hint="eastAsia"/>
        </w:rPr>
        <w:t>）</w:t>
      </w:r>
      <w:r w:rsidR="008B5B84" w:rsidRPr="00D630D1">
        <w:t>《建设项目环境风险评价技术导则》（</w:t>
      </w:r>
      <w:r w:rsidR="008B5B84" w:rsidRPr="00D630D1">
        <w:t>HJ169-2018</w:t>
      </w:r>
      <w:r w:rsidR="008B5B84" w:rsidRPr="00D630D1">
        <w:t>）；</w:t>
      </w:r>
    </w:p>
    <w:p w:rsidR="00117C3D" w:rsidRPr="00D630D1" w:rsidRDefault="00174753" w:rsidP="004E18BF">
      <w:pPr>
        <w:pStyle w:val="afa"/>
        <w:ind w:firstLine="480"/>
      </w:pPr>
      <w:r w:rsidRPr="00D630D1">
        <w:rPr>
          <w:rFonts w:hint="eastAsia"/>
        </w:rPr>
        <w:t>（</w:t>
      </w:r>
      <w:r w:rsidRPr="00D630D1">
        <w:rPr>
          <w:rFonts w:hint="eastAsia"/>
        </w:rPr>
        <w:t>9</w:t>
      </w:r>
      <w:r w:rsidRPr="00D630D1">
        <w:rPr>
          <w:rFonts w:hint="eastAsia"/>
        </w:rPr>
        <w:t>）</w:t>
      </w:r>
      <w:r w:rsidR="008B5B84" w:rsidRPr="00D630D1">
        <w:t>《生态环境健康风险评价技术指南</w:t>
      </w:r>
      <w:r w:rsidR="000B7A10" w:rsidRPr="00D630D1">
        <w:t xml:space="preserve"> </w:t>
      </w:r>
      <w:r w:rsidR="008B5B84" w:rsidRPr="00D630D1">
        <w:t>总纲》（</w:t>
      </w:r>
      <w:r w:rsidR="008B5B84" w:rsidRPr="00D630D1">
        <w:t>HJ1111-2020</w:t>
      </w:r>
      <w:r w:rsidR="008B5B84" w:rsidRPr="00D630D1">
        <w:t>）；</w:t>
      </w:r>
    </w:p>
    <w:p w:rsidR="00117C3D" w:rsidRPr="00D630D1" w:rsidRDefault="00174753" w:rsidP="004E18BF">
      <w:pPr>
        <w:pStyle w:val="afa"/>
        <w:ind w:firstLine="480"/>
      </w:pPr>
      <w:r w:rsidRPr="00D630D1">
        <w:rPr>
          <w:rFonts w:hint="eastAsia"/>
        </w:rPr>
        <w:t>（</w:t>
      </w:r>
      <w:r w:rsidRPr="00D630D1">
        <w:rPr>
          <w:rFonts w:hint="eastAsia"/>
        </w:rPr>
        <w:t>10</w:t>
      </w:r>
      <w:r w:rsidRPr="00D630D1">
        <w:rPr>
          <w:rFonts w:hint="eastAsia"/>
        </w:rPr>
        <w:t>）</w:t>
      </w:r>
      <w:r w:rsidR="008B5B84" w:rsidRPr="00D630D1">
        <w:t>《环境影响评价技术导则</w:t>
      </w:r>
      <w:r w:rsidR="000B7A10" w:rsidRPr="00D630D1">
        <w:t xml:space="preserve"> </w:t>
      </w:r>
      <w:r w:rsidR="008B5B84" w:rsidRPr="00D630D1">
        <w:t>陆地石油天然气开发建设项目》（</w:t>
      </w:r>
      <w:r w:rsidR="008B5B84" w:rsidRPr="00D630D1">
        <w:t>HJ/T349-2007</w:t>
      </w:r>
      <w:r w:rsidR="008B5B84" w:rsidRPr="00D630D1">
        <w:t>）；</w:t>
      </w:r>
    </w:p>
    <w:p w:rsidR="00117C3D" w:rsidRPr="00D630D1" w:rsidRDefault="00174753" w:rsidP="004E18BF">
      <w:pPr>
        <w:pStyle w:val="afa"/>
        <w:ind w:firstLine="480"/>
      </w:pPr>
      <w:r w:rsidRPr="00D630D1">
        <w:rPr>
          <w:rFonts w:hint="eastAsia"/>
        </w:rPr>
        <w:t>（</w:t>
      </w:r>
      <w:r w:rsidRPr="00D630D1">
        <w:rPr>
          <w:rFonts w:hint="eastAsia"/>
        </w:rPr>
        <w:t>11</w:t>
      </w:r>
      <w:r w:rsidRPr="00D630D1">
        <w:rPr>
          <w:rFonts w:hint="eastAsia"/>
        </w:rPr>
        <w:t>）</w:t>
      </w:r>
      <w:r w:rsidR="008B5B84" w:rsidRPr="00D630D1">
        <w:t>《开发建设项目水土保持技术规范》（</w:t>
      </w:r>
      <w:r w:rsidR="008B5B84" w:rsidRPr="00D630D1">
        <w:t>GB50433-2008</w:t>
      </w:r>
      <w:r w:rsidR="008B5B84" w:rsidRPr="00D630D1">
        <w:t>）</w:t>
      </w:r>
      <w:r w:rsidR="000B7A10" w:rsidRPr="00D630D1">
        <w:t>；</w:t>
      </w:r>
    </w:p>
    <w:p w:rsidR="000B7A10" w:rsidRPr="00D630D1" w:rsidRDefault="00174753" w:rsidP="004E18BF">
      <w:pPr>
        <w:pStyle w:val="afa"/>
        <w:ind w:firstLine="480"/>
      </w:pPr>
      <w:r w:rsidRPr="00D630D1">
        <w:rPr>
          <w:rFonts w:hint="eastAsia"/>
        </w:rPr>
        <w:t>（</w:t>
      </w:r>
      <w:r w:rsidRPr="00D630D1">
        <w:rPr>
          <w:rFonts w:hint="eastAsia"/>
        </w:rPr>
        <w:t>12</w:t>
      </w:r>
      <w:r w:rsidRPr="00D630D1">
        <w:rPr>
          <w:rFonts w:hint="eastAsia"/>
        </w:rPr>
        <w:t>）</w:t>
      </w:r>
      <w:r w:rsidR="000B7A10" w:rsidRPr="00D630D1">
        <w:t>《危险化学品重大危险源辨识》（</w:t>
      </w:r>
      <w:r w:rsidR="000B7A10" w:rsidRPr="00D630D1">
        <w:t>GB18218-2018</w:t>
      </w:r>
      <w:r w:rsidR="000B7A10" w:rsidRPr="00D630D1">
        <w:t>），</w:t>
      </w:r>
      <w:r w:rsidR="000B7A10" w:rsidRPr="00D630D1">
        <w:t>2019</w:t>
      </w:r>
      <w:r w:rsidR="000B7A10" w:rsidRPr="00D630D1">
        <w:t>年</w:t>
      </w:r>
      <w:r w:rsidR="000B7A10" w:rsidRPr="00D630D1">
        <w:t>3</w:t>
      </w:r>
      <w:r w:rsidR="000B7A10" w:rsidRPr="00D630D1">
        <w:t>月</w:t>
      </w:r>
      <w:r w:rsidR="000B7A10" w:rsidRPr="00D630D1">
        <w:t>1</w:t>
      </w:r>
      <w:r w:rsidR="000B7A10" w:rsidRPr="00D630D1">
        <w:t>日；</w:t>
      </w:r>
    </w:p>
    <w:p w:rsidR="000B7A10" w:rsidRPr="00D630D1" w:rsidRDefault="00174753" w:rsidP="004E18BF">
      <w:pPr>
        <w:pStyle w:val="afa"/>
        <w:ind w:firstLine="480"/>
      </w:pPr>
      <w:r w:rsidRPr="00D630D1">
        <w:rPr>
          <w:rFonts w:hint="eastAsia"/>
        </w:rPr>
        <w:t>（</w:t>
      </w:r>
      <w:r w:rsidRPr="00D630D1">
        <w:rPr>
          <w:rFonts w:hint="eastAsia"/>
        </w:rPr>
        <w:t>13</w:t>
      </w:r>
      <w:r w:rsidRPr="00D630D1">
        <w:rPr>
          <w:rFonts w:hint="eastAsia"/>
        </w:rPr>
        <w:t>）</w:t>
      </w:r>
      <w:r w:rsidR="000B7A10" w:rsidRPr="00D630D1">
        <w:t>《油气输送管道穿越工程设计规范》（</w:t>
      </w:r>
      <w:r w:rsidR="000B7A10" w:rsidRPr="00D630D1">
        <w:t>GB50423-2015</w:t>
      </w:r>
      <w:r w:rsidR="000B7A10" w:rsidRPr="00D630D1">
        <w:t>）；</w:t>
      </w:r>
    </w:p>
    <w:p w:rsidR="000B7A10" w:rsidRPr="00D630D1" w:rsidRDefault="00174753" w:rsidP="004E18BF">
      <w:pPr>
        <w:pStyle w:val="afa"/>
        <w:ind w:firstLine="480"/>
      </w:pPr>
      <w:r w:rsidRPr="00D630D1">
        <w:rPr>
          <w:rFonts w:hint="eastAsia"/>
        </w:rPr>
        <w:t>（</w:t>
      </w:r>
      <w:r w:rsidRPr="00D630D1">
        <w:rPr>
          <w:rFonts w:hint="eastAsia"/>
        </w:rPr>
        <w:t>14</w:t>
      </w:r>
      <w:r w:rsidRPr="00D630D1">
        <w:rPr>
          <w:rFonts w:hint="eastAsia"/>
        </w:rPr>
        <w:t>）</w:t>
      </w:r>
      <w:r w:rsidR="000B7A10" w:rsidRPr="00D630D1">
        <w:t>《原油和天然气输送管道穿跨越工程设计规范</w:t>
      </w:r>
      <w:r w:rsidR="000B7A10" w:rsidRPr="00D630D1">
        <w:t>·</w:t>
      </w:r>
      <w:r w:rsidR="000B7A10" w:rsidRPr="00D630D1">
        <w:t>穿越工程》（</w:t>
      </w:r>
      <w:r w:rsidR="000B7A10" w:rsidRPr="00D630D1">
        <w:t>SY/T0015.1-98</w:t>
      </w:r>
      <w:r w:rsidR="000B7A10" w:rsidRPr="00D630D1">
        <w:t>）；</w:t>
      </w:r>
    </w:p>
    <w:p w:rsidR="000B7A10" w:rsidRPr="00D630D1" w:rsidRDefault="00174753" w:rsidP="004E18BF">
      <w:pPr>
        <w:pStyle w:val="afa"/>
        <w:ind w:firstLine="480"/>
      </w:pPr>
      <w:r w:rsidRPr="00D630D1">
        <w:rPr>
          <w:rFonts w:hint="eastAsia"/>
        </w:rPr>
        <w:t>（</w:t>
      </w:r>
      <w:r w:rsidRPr="00D630D1">
        <w:rPr>
          <w:rFonts w:hint="eastAsia"/>
        </w:rPr>
        <w:t>15</w:t>
      </w:r>
      <w:r w:rsidRPr="00D630D1">
        <w:rPr>
          <w:rFonts w:hint="eastAsia"/>
        </w:rPr>
        <w:t>）</w:t>
      </w:r>
      <w:r w:rsidR="000B7A10" w:rsidRPr="00D630D1">
        <w:t>《埋地钢质管道阴极保护技术规范》（</w:t>
      </w:r>
      <w:r w:rsidR="000B7A10" w:rsidRPr="00D630D1">
        <w:t>GB/T21448-2017</w:t>
      </w:r>
      <w:r w:rsidR="000B7A10" w:rsidRPr="00D630D1">
        <w:t>）；</w:t>
      </w:r>
    </w:p>
    <w:p w:rsidR="000B7A10" w:rsidRPr="00D630D1" w:rsidRDefault="00174753" w:rsidP="004E18BF">
      <w:pPr>
        <w:pStyle w:val="afa"/>
        <w:ind w:firstLine="480"/>
      </w:pPr>
      <w:r w:rsidRPr="00D630D1">
        <w:rPr>
          <w:rFonts w:hint="eastAsia"/>
        </w:rPr>
        <w:t>（</w:t>
      </w:r>
      <w:r w:rsidRPr="00D630D1">
        <w:rPr>
          <w:rFonts w:hint="eastAsia"/>
        </w:rPr>
        <w:t>16</w:t>
      </w:r>
      <w:r w:rsidRPr="00D630D1">
        <w:rPr>
          <w:rFonts w:hint="eastAsia"/>
        </w:rPr>
        <w:t>）</w:t>
      </w:r>
      <w:r w:rsidR="000B7A10" w:rsidRPr="00D630D1">
        <w:t>《天然气管道运行规范》（</w:t>
      </w:r>
      <w:r w:rsidR="000B7A10" w:rsidRPr="00D630D1">
        <w:t>SY/T5922-2003</w:t>
      </w:r>
      <w:r w:rsidR="000B7A10" w:rsidRPr="00D630D1">
        <w:t>）；</w:t>
      </w:r>
    </w:p>
    <w:p w:rsidR="000B7A10" w:rsidRPr="00D630D1" w:rsidRDefault="00174753" w:rsidP="004E18BF">
      <w:pPr>
        <w:pStyle w:val="afa"/>
        <w:ind w:firstLine="480"/>
      </w:pPr>
      <w:r w:rsidRPr="00D630D1">
        <w:rPr>
          <w:rFonts w:hint="eastAsia"/>
        </w:rPr>
        <w:t>（</w:t>
      </w:r>
      <w:r w:rsidRPr="00D630D1">
        <w:rPr>
          <w:rFonts w:hint="eastAsia"/>
        </w:rPr>
        <w:t>17</w:t>
      </w:r>
      <w:r w:rsidRPr="00D630D1">
        <w:rPr>
          <w:rFonts w:hint="eastAsia"/>
        </w:rPr>
        <w:t>）</w:t>
      </w:r>
      <w:r w:rsidR="000B7A10" w:rsidRPr="00D630D1">
        <w:t>《国家危险废物名录》（</w:t>
      </w:r>
      <w:r w:rsidR="000B7A10" w:rsidRPr="00D630D1">
        <w:t>20</w:t>
      </w:r>
      <w:r w:rsidR="00BF1B6C" w:rsidRPr="00D630D1">
        <w:rPr>
          <w:rFonts w:hint="eastAsia"/>
        </w:rPr>
        <w:t>21</w:t>
      </w:r>
      <w:r w:rsidR="00BF1B6C" w:rsidRPr="00D630D1">
        <w:rPr>
          <w:rFonts w:hint="eastAsia"/>
        </w:rPr>
        <w:t>年版</w:t>
      </w:r>
      <w:r w:rsidR="000B7A10" w:rsidRPr="00D630D1">
        <w:t>）；</w:t>
      </w:r>
    </w:p>
    <w:p w:rsidR="000B7A10" w:rsidRPr="00D630D1" w:rsidRDefault="00174753" w:rsidP="004E18BF">
      <w:pPr>
        <w:pStyle w:val="afa"/>
        <w:ind w:firstLine="480"/>
      </w:pPr>
      <w:r w:rsidRPr="00D630D1">
        <w:rPr>
          <w:rFonts w:hint="eastAsia"/>
        </w:rPr>
        <w:t>（</w:t>
      </w:r>
      <w:r w:rsidRPr="00D630D1">
        <w:rPr>
          <w:rFonts w:hint="eastAsia"/>
        </w:rPr>
        <w:t>18</w:t>
      </w:r>
      <w:r w:rsidRPr="00D630D1">
        <w:rPr>
          <w:rFonts w:hint="eastAsia"/>
        </w:rPr>
        <w:t>）</w:t>
      </w:r>
      <w:r w:rsidR="000B7A10" w:rsidRPr="00D630D1">
        <w:t>《建筑设计防火规范》</w:t>
      </w:r>
      <w:r w:rsidR="004E18BF" w:rsidRPr="00D630D1">
        <w:t>（</w:t>
      </w:r>
      <w:r w:rsidR="004E18BF" w:rsidRPr="00D630D1">
        <w:t>GB50016-2014</w:t>
      </w:r>
      <w:r w:rsidR="004E18BF" w:rsidRPr="00D630D1">
        <w:t>）</w:t>
      </w:r>
      <w:r w:rsidR="000B7A10" w:rsidRPr="00D630D1">
        <w:t>。</w:t>
      </w:r>
    </w:p>
    <w:p w:rsidR="00117C3D" w:rsidRPr="00D630D1" w:rsidRDefault="008B5B84">
      <w:pPr>
        <w:keepNext/>
        <w:keepLines/>
        <w:ind w:firstLineChars="0" w:firstLine="0"/>
        <w:outlineLvl w:val="2"/>
        <w:rPr>
          <w:rFonts w:ascii="Times New Roman" w:cs="Times New Roman"/>
          <w:b/>
          <w:szCs w:val="32"/>
        </w:rPr>
      </w:pPr>
      <w:bookmarkStart w:id="48" w:name="_Toc19815926"/>
      <w:r w:rsidRPr="00D630D1">
        <w:rPr>
          <w:rFonts w:ascii="Times New Roman" w:cs="Times New Roman"/>
          <w:b/>
          <w:szCs w:val="32"/>
        </w:rPr>
        <w:t>1.1.6</w:t>
      </w:r>
      <w:r w:rsidR="00A64242" w:rsidRPr="00D630D1">
        <w:rPr>
          <w:rFonts w:ascii="Times New Roman" w:cs="Times New Roman"/>
          <w:b/>
          <w:szCs w:val="32"/>
        </w:rPr>
        <w:t xml:space="preserve"> </w:t>
      </w:r>
      <w:r w:rsidRPr="00D630D1">
        <w:rPr>
          <w:rFonts w:ascii="Times New Roman" w:cs="Times New Roman"/>
          <w:b/>
          <w:szCs w:val="32"/>
        </w:rPr>
        <w:t>环境影响评价工作其它依据</w:t>
      </w:r>
      <w:bookmarkEnd w:id="48"/>
    </w:p>
    <w:p w:rsidR="00117C3D" w:rsidRPr="00D630D1" w:rsidRDefault="00A576CF" w:rsidP="004E18BF">
      <w:pPr>
        <w:pStyle w:val="afa"/>
        <w:ind w:firstLine="480"/>
      </w:pPr>
      <w:r w:rsidRPr="00D630D1">
        <w:rPr>
          <w:rFonts w:hint="eastAsia"/>
        </w:rPr>
        <w:t>（</w:t>
      </w:r>
      <w:r w:rsidRPr="00D630D1">
        <w:rPr>
          <w:rFonts w:hint="eastAsia"/>
        </w:rPr>
        <w:t>1</w:t>
      </w:r>
      <w:r w:rsidRPr="00D630D1">
        <w:rPr>
          <w:rFonts w:hint="eastAsia"/>
        </w:rPr>
        <w:t>）</w:t>
      </w:r>
      <w:r w:rsidR="008B5B84" w:rsidRPr="00D630D1">
        <w:t>环境影响评价委托书；</w:t>
      </w:r>
    </w:p>
    <w:p w:rsidR="00A576CF" w:rsidRPr="00D630D1" w:rsidRDefault="00A576CF" w:rsidP="00DD1E9A">
      <w:pPr>
        <w:pStyle w:val="afa"/>
        <w:ind w:firstLine="480"/>
      </w:pPr>
      <w:bookmarkStart w:id="49" w:name="_Hlk56956483"/>
      <w:r w:rsidRPr="00D630D1">
        <w:rPr>
          <w:rFonts w:hint="eastAsia"/>
        </w:rPr>
        <w:t>（</w:t>
      </w:r>
      <w:r w:rsidRPr="00D630D1">
        <w:rPr>
          <w:rFonts w:hint="eastAsia"/>
        </w:rPr>
        <w:t>2</w:t>
      </w:r>
      <w:r w:rsidRPr="00D630D1">
        <w:rPr>
          <w:rFonts w:hint="eastAsia"/>
        </w:rPr>
        <w:t>）</w:t>
      </w:r>
      <w:r w:rsidRPr="00D630D1">
        <w:t>《</w:t>
      </w:r>
      <w:r w:rsidR="00D630D1" w:rsidRPr="00D630D1">
        <w:t>普光气田普陆页</w:t>
      </w:r>
      <w:r w:rsidR="00D630D1" w:rsidRPr="00D630D1">
        <w:t>1</w:t>
      </w:r>
      <w:r w:rsidR="00D630D1" w:rsidRPr="00D630D1">
        <w:t>试验井组项目</w:t>
      </w:r>
      <w:r w:rsidRPr="00D630D1">
        <w:t>可行性研究报告》；</w:t>
      </w:r>
    </w:p>
    <w:p w:rsidR="00A576CF" w:rsidRPr="00D630D1" w:rsidRDefault="00A576CF" w:rsidP="00D1608A">
      <w:pPr>
        <w:pStyle w:val="afa"/>
        <w:ind w:firstLine="480"/>
      </w:pPr>
      <w:r w:rsidRPr="00D630D1">
        <w:rPr>
          <w:rFonts w:hint="eastAsia"/>
        </w:rPr>
        <w:t>（</w:t>
      </w:r>
      <w:r w:rsidRPr="00D630D1">
        <w:rPr>
          <w:rFonts w:hint="eastAsia"/>
        </w:rPr>
        <w:t>3</w:t>
      </w:r>
      <w:r w:rsidRPr="00D630D1">
        <w:rPr>
          <w:rFonts w:hint="eastAsia"/>
        </w:rPr>
        <w:t>）</w:t>
      </w:r>
      <w:r w:rsidRPr="00D630D1">
        <w:t>《</w:t>
      </w:r>
      <w:r w:rsidR="00FC2684" w:rsidRPr="00FC2684">
        <w:rPr>
          <w:rFonts w:hint="eastAsia"/>
        </w:rPr>
        <w:t>普光气田普陆</w:t>
      </w:r>
      <w:r w:rsidR="00FC2684" w:rsidRPr="00FC2684">
        <w:rPr>
          <w:rFonts w:hint="eastAsia"/>
        </w:rPr>
        <w:t>3-1</w:t>
      </w:r>
      <w:r w:rsidR="00FC2684" w:rsidRPr="00FC2684">
        <w:rPr>
          <w:rFonts w:hint="eastAsia"/>
        </w:rPr>
        <w:t>、普陆</w:t>
      </w:r>
      <w:r w:rsidR="00FC2684" w:rsidRPr="00FC2684">
        <w:rPr>
          <w:rFonts w:hint="eastAsia"/>
        </w:rPr>
        <w:t>3-2</w:t>
      </w:r>
      <w:r w:rsidR="00FC2684" w:rsidRPr="00FC2684">
        <w:rPr>
          <w:rFonts w:hint="eastAsia"/>
        </w:rPr>
        <w:t>井钻井及试采工程项目</w:t>
      </w:r>
      <w:r w:rsidRPr="00D630D1">
        <w:t>环境质量监测报告》</w:t>
      </w:r>
      <w:r w:rsidR="00FC2684">
        <w:rPr>
          <w:rFonts w:hint="eastAsia"/>
        </w:rPr>
        <w:t>（引用）</w:t>
      </w:r>
      <w:r w:rsidRPr="00D630D1">
        <w:t>；</w:t>
      </w:r>
    </w:p>
    <w:p w:rsidR="00A576CF" w:rsidRPr="00D630D1" w:rsidRDefault="00A576CF" w:rsidP="004E18BF">
      <w:pPr>
        <w:pStyle w:val="afa"/>
        <w:ind w:firstLine="480"/>
      </w:pPr>
      <w:r w:rsidRPr="00D630D1">
        <w:rPr>
          <w:rFonts w:hint="eastAsia"/>
        </w:rPr>
        <w:t>（</w:t>
      </w:r>
      <w:r w:rsidRPr="00D630D1">
        <w:rPr>
          <w:rFonts w:hint="eastAsia"/>
        </w:rPr>
        <w:t>4</w:t>
      </w:r>
      <w:r w:rsidRPr="00D630D1">
        <w:rPr>
          <w:rFonts w:hint="eastAsia"/>
        </w:rPr>
        <w:t>）</w:t>
      </w:r>
      <w:r w:rsidRPr="00D630D1">
        <w:t>项目直接影响区、县及相关乡镇规划、土地利用规划、植被分布现状、水系分布情况、旅游区发展规划等相关文件、资料；</w:t>
      </w:r>
    </w:p>
    <w:bookmarkEnd w:id="49"/>
    <w:p w:rsidR="00117C3D" w:rsidRPr="00D630D1" w:rsidRDefault="00A576CF" w:rsidP="004E18BF">
      <w:pPr>
        <w:pStyle w:val="afa"/>
        <w:ind w:firstLine="480"/>
      </w:pPr>
      <w:r w:rsidRPr="00D630D1">
        <w:rPr>
          <w:rFonts w:hint="eastAsia"/>
        </w:rPr>
        <w:t>（</w:t>
      </w:r>
      <w:r w:rsidRPr="00D630D1">
        <w:rPr>
          <w:rFonts w:hint="eastAsia"/>
        </w:rPr>
        <w:t>5</w:t>
      </w:r>
      <w:r w:rsidRPr="00D630D1">
        <w:rPr>
          <w:rFonts w:hint="eastAsia"/>
        </w:rPr>
        <w:t>）</w:t>
      </w:r>
      <w:r w:rsidRPr="00D630D1">
        <w:t>建设单位提供的项目其他有关资料。</w:t>
      </w:r>
    </w:p>
    <w:p w:rsidR="00117C3D" w:rsidRPr="00D630D1" w:rsidRDefault="008B5B84" w:rsidP="004E18BF">
      <w:pPr>
        <w:keepNext/>
        <w:keepLines/>
        <w:spacing w:before="120"/>
        <w:ind w:firstLineChars="0" w:firstLine="0"/>
        <w:outlineLvl w:val="1"/>
        <w:rPr>
          <w:rFonts w:ascii="Times New Roman" w:cs="Times New Roman"/>
          <w:b/>
          <w:bCs/>
          <w:sz w:val="28"/>
          <w:szCs w:val="32"/>
        </w:rPr>
      </w:pPr>
      <w:bookmarkStart w:id="50" w:name="bookmark3"/>
      <w:bookmarkStart w:id="51" w:name="_Toc12288386"/>
      <w:bookmarkStart w:id="52" w:name="_Toc19815927"/>
      <w:bookmarkStart w:id="53" w:name="_Toc81515251"/>
      <w:bookmarkEnd w:id="50"/>
      <w:r w:rsidRPr="00D630D1">
        <w:rPr>
          <w:rFonts w:ascii="Times New Roman" w:cs="Times New Roman"/>
          <w:b/>
          <w:bCs/>
          <w:sz w:val="28"/>
          <w:szCs w:val="32"/>
        </w:rPr>
        <w:t>1.2</w:t>
      </w:r>
      <w:r w:rsidR="00A64242" w:rsidRPr="00D630D1">
        <w:rPr>
          <w:rFonts w:ascii="Times New Roman" w:cs="Times New Roman"/>
          <w:b/>
          <w:bCs/>
          <w:sz w:val="28"/>
          <w:szCs w:val="32"/>
        </w:rPr>
        <w:t xml:space="preserve"> </w:t>
      </w:r>
      <w:r w:rsidRPr="00D630D1">
        <w:rPr>
          <w:rFonts w:ascii="Times New Roman" w:cs="Times New Roman"/>
          <w:b/>
          <w:bCs/>
          <w:sz w:val="28"/>
          <w:szCs w:val="32"/>
        </w:rPr>
        <w:t>评价目的、原则</w:t>
      </w:r>
      <w:bookmarkEnd w:id="51"/>
      <w:r w:rsidRPr="00D630D1">
        <w:rPr>
          <w:rFonts w:ascii="Times New Roman" w:cs="Times New Roman"/>
          <w:b/>
          <w:bCs/>
          <w:sz w:val="28"/>
          <w:szCs w:val="32"/>
        </w:rPr>
        <w:t>与评价重点</w:t>
      </w:r>
      <w:bookmarkEnd w:id="52"/>
      <w:bookmarkEnd w:id="53"/>
    </w:p>
    <w:p w:rsidR="00117C3D" w:rsidRPr="00D630D1" w:rsidRDefault="008B5B84">
      <w:pPr>
        <w:keepNext/>
        <w:keepLines/>
        <w:ind w:firstLineChars="0" w:firstLine="0"/>
        <w:outlineLvl w:val="2"/>
        <w:rPr>
          <w:rFonts w:ascii="Times New Roman" w:cs="Times New Roman"/>
          <w:b/>
          <w:szCs w:val="32"/>
        </w:rPr>
      </w:pPr>
      <w:bookmarkStart w:id="54" w:name="_Toc19815928"/>
      <w:r w:rsidRPr="00D630D1">
        <w:rPr>
          <w:rFonts w:ascii="Times New Roman" w:cs="Times New Roman"/>
          <w:b/>
          <w:szCs w:val="32"/>
        </w:rPr>
        <w:t>1.2.1</w:t>
      </w:r>
      <w:r w:rsidR="00A64242" w:rsidRPr="00D630D1">
        <w:rPr>
          <w:rFonts w:ascii="Times New Roman" w:cs="Times New Roman"/>
          <w:b/>
          <w:szCs w:val="32"/>
        </w:rPr>
        <w:t xml:space="preserve"> </w:t>
      </w:r>
      <w:r w:rsidRPr="00D630D1">
        <w:rPr>
          <w:rFonts w:ascii="Times New Roman" w:cs="Times New Roman"/>
          <w:b/>
          <w:szCs w:val="32"/>
        </w:rPr>
        <w:t>评价目的</w:t>
      </w:r>
      <w:bookmarkEnd w:id="54"/>
    </w:p>
    <w:p w:rsidR="00117C3D" w:rsidRPr="00D630D1" w:rsidRDefault="008B5B84" w:rsidP="004E18BF">
      <w:pPr>
        <w:pStyle w:val="afa"/>
        <w:ind w:firstLine="480"/>
      </w:pPr>
      <w:r w:rsidRPr="00D630D1">
        <w:t>环境影响评价的目的，是对项目实施后可能造成的环境影响进行分析、预测和评估，提出预防或者减轻不良环境影响的对策和措施。通过分析工程建设是否符合国家及地方产业、行业政策及相关专项规划要求；对工程选线进行环境可行性论证；通过工程分析，分析工程施工对生态环境影响情况，分析运营期环境风险是否可接受；提出污染防治和风险防控措施，为工程设计和环境管理提供科学</w:t>
      </w:r>
      <w:r w:rsidRPr="00D630D1">
        <w:lastRenderedPageBreak/>
        <w:t>依据。</w:t>
      </w:r>
    </w:p>
    <w:p w:rsidR="00117C3D" w:rsidRPr="00D630D1" w:rsidRDefault="008B5B84" w:rsidP="004E18BF">
      <w:pPr>
        <w:pStyle w:val="afa"/>
        <w:ind w:firstLine="480"/>
      </w:pPr>
      <w:r w:rsidRPr="00D630D1">
        <w:t>本次评价将针对项目环境影响问题，并结合本项目的特点，达到以下目的：</w:t>
      </w:r>
    </w:p>
    <w:p w:rsidR="00117C3D" w:rsidRPr="00D630D1" w:rsidRDefault="008B5B84" w:rsidP="004E18BF">
      <w:pPr>
        <w:pStyle w:val="afa"/>
        <w:ind w:firstLine="480"/>
      </w:pPr>
      <w:r w:rsidRPr="00D630D1">
        <w:t>（</w:t>
      </w:r>
      <w:r w:rsidRPr="00D630D1">
        <w:t>1</w:t>
      </w:r>
      <w:r w:rsidRPr="00D630D1">
        <w:t>）调查了解管道沿线</w:t>
      </w:r>
      <w:r w:rsidR="00DD1E9A" w:rsidRPr="00D630D1">
        <w:t>及场站</w:t>
      </w:r>
      <w:r w:rsidRPr="00D630D1">
        <w:t>周围生态环境、环境空气、地表水环境、地下水环境、声环境等现状及工程沿线限制性环境要素；</w:t>
      </w:r>
    </w:p>
    <w:p w:rsidR="00117C3D" w:rsidRPr="00D630D1" w:rsidRDefault="008B5B84" w:rsidP="004E18BF">
      <w:pPr>
        <w:pStyle w:val="afa"/>
        <w:ind w:firstLine="480"/>
      </w:pPr>
      <w:r w:rsidRPr="00D630D1">
        <w:t>（</w:t>
      </w:r>
      <w:r w:rsidRPr="00D630D1">
        <w:t>2</w:t>
      </w:r>
      <w:r w:rsidRPr="00D630D1">
        <w:t>）结合国家相关产业政策、行业规划、当地规划以及工程的环境影响进行预测与评价，分析论述项目建设选址的可行性和环境可行性；</w:t>
      </w:r>
    </w:p>
    <w:p w:rsidR="00117C3D" w:rsidRPr="00D630D1" w:rsidRDefault="008B5B84" w:rsidP="004E18BF">
      <w:pPr>
        <w:pStyle w:val="afa"/>
        <w:ind w:firstLine="480"/>
      </w:pPr>
      <w:r w:rsidRPr="00D630D1">
        <w:t>（</w:t>
      </w:r>
      <w:r w:rsidRPr="00D630D1">
        <w:t>3</w:t>
      </w:r>
      <w:r w:rsidRPr="00D630D1">
        <w:t>）根据项目与环境保护目标的关系，提出管道建设、营运过程中拟采取的保护措施、减缓措施，使工程建设对环境产生的不利影响降到最低程度；</w:t>
      </w:r>
    </w:p>
    <w:p w:rsidR="00117C3D" w:rsidRPr="00D630D1" w:rsidRDefault="008B5B84" w:rsidP="004E18BF">
      <w:pPr>
        <w:pStyle w:val="afa"/>
        <w:ind w:firstLine="480"/>
      </w:pPr>
      <w:r w:rsidRPr="00D630D1">
        <w:t>（</w:t>
      </w:r>
      <w:r w:rsidRPr="00D630D1">
        <w:t>4</w:t>
      </w:r>
      <w:r w:rsidRPr="00D630D1">
        <w:t>）根据工程在施工期对环境产生影响的主要特点，提出施工期环境管理、环境监理和监测计划；</w:t>
      </w:r>
    </w:p>
    <w:p w:rsidR="00117C3D" w:rsidRPr="00D630D1" w:rsidRDefault="008B5B84" w:rsidP="004E18BF">
      <w:pPr>
        <w:pStyle w:val="afa"/>
        <w:ind w:firstLine="480"/>
      </w:pPr>
      <w:r w:rsidRPr="00D630D1">
        <w:t>（</w:t>
      </w:r>
      <w:r w:rsidRPr="00D630D1">
        <w:t>5</w:t>
      </w:r>
      <w:r w:rsidRPr="00D630D1">
        <w:t>）坚持</w:t>
      </w:r>
      <w:r w:rsidRPr="00D630D1">
        <w:t>“</w:t>
      </w:r>
      <w:r w:rsidR="00BF1B6C" w:rsidRPr="00D630D1">
        <w:t>达标排放、总量控制</w:t>
      </w:r>
      <w:r w:rsidRPr="00D630D1">
        <w:t>、清洁生产</w:t>
      </w:r>
      <w:r w:rsidRPr="00D630D1">
        <w:t>”</w:t>
      </w:r>
      <w:r w:rsidRPr="00D630D1">
        <w:t>的原则，保证本项目建设实施后，不加重该区域的环境污染程度；</w:t>
      </w:r>
    </w:p>
    <w:p w:rsidR="00117C3D" w:rsidRPr="00D630D1" w:rsidRDefault="008B5B84" w:rsidP="004E18BF">
      <w:pPr>
        <w:pStyle w:val="afa"/>
        <w:ind w:firstLine="480"/>
      </w:pPr>
      <w:r w:rsidRPr="00D630D1">
        <w:t>（</w:t>
      </w:r>
      <w:r w:rsidRPr="00D630D1">
        <w:t>6</w:t>
      </w:r>
      <w:r w:rsidRPr="00D630D1">
        <w:t>）从经济、技术角度论证项目污染防治措施的可行性；</w:t>
      </w:r>
    </w:p>
    <w:p w:rsidR="00117C3D" w:rsidRPr="00D630D1" w:rsidRDefault="008B5B84" w:rsidP="004E18BF">
      <w:pPr>
        <w:pStyle w:val="afa"/>
        <w:ind w:firstLine="480"/>
      </w:pPr>
      <w:r w:rsidRPr="00D630D1">
        <w:t>（</w:t>
      </w:r>
      <w:r w:rsidRPr="00D630D1">
        <w:t>7</w:t>
      </w:r>
      <w:r w:rsidRPr="00D630D1">
        <w:t>）预测本项目建设过程中，对周围环境的影响程度和范围，在此基础上提出相应的防范措施；</w:t>
      </w:r>
    </w:p>
    <w:p w:rsidR="00117C3D" w:rsidRPr="00D630D1" w:rsidRDefault="008B5B84" w:rsidP="004E18BF">
      <w:pPr>
        <w:pStyle w:val="afa"/>
        <w:ind w:firstLine="480"/>
      </w:pPr>
      <w:r w:rsidRPr="00D630D1">
        <w:t>（</w:t>
      </w:r>
      <w:r w:rsidRPr="00D630D1">
        <w:t>8</w:t>
      </w:r>
      <w:r w:rsidRPr="00D630D1">
        <w:t>）针对项目特性进行环境风险分析，提出风险防范措施，明确项目环境风险影响的接受水平；</w:t>
      </w:r>
    </w:p>
    <w:p w:rsidR="00117C3D" w:rsidRPr="00D630D1" w:rsidRDefault="004E18BF" w:rsidP="004E18BF">
      <w:pPr>
        <w:pStyle w:val="afa"/>
        <w:ind w:firstLine="480"/>
      </w:pPr>
      <w:r w:rsidRPr="00D630D1">
        <w:t>（</w:t>
      </w:r>
      <w:r w:rsidRPr="00D630D1">
        <w:t>9</w:t>
      </w:r>
      <w:r w:rsidRPr="00D630D1">
        <w:t>）</w:t>
      </w:r>
      <w:r w:rsidR="008B5B84" w:rsidRPr="00D630D1">
        <w:t>为工程的建设及施工期的环境管理提供科学依据，做到经济建设与环境保护协调发展。</w:t>
      </w:r>
    </w:p>
    <w:p w:rsidR="00117C3D" w:rsidRPr="00D630D1" w:rsidRDefault="008B5B84">
      <w:pPr>
        <w:keepNext/>
        <w:keepLines/>
        <w:ind w:firstLineChars="0" w:firstLine="0"/>
        <w:outlineLvl w:val="2"/>
        <w:rPr>
          <w:rFonts w:ascii="Times New Roman" w:cs="Times New Roman"/>
          <w:b/>
          <w:szCs w:val="32"/>
        </w:rPr>
      </w:pPr>
      <w:bookmarkStart w:id="55" w:name="_Toc19815929"/>
      <w:r w:rsidRPr="00D630D1">
        <w:rPr>
          <w:rFonts w:ascii="Times New Roman" w:cs="Times New Roman"/>
          <w:b/>
          <w:szCs w:val="32"/>
        </w:rPr>
        <w:t>1.2.2</w:t>
      </w:r>
      <w:r w:rsidR="00A64242" w:rsidRPr="00D630D1">
        <w:rPr>
          <w:rFonts w:ascii="Times New Roman" w:cs="Times New Roman"/>
          <w:b/>
          <w:szCs w:val="32"/>
        </w:rPr>
        <w:t xml:space="preserve"> </w:t>
      </w:r>
      <w:r w:rsidRPr="00D630D1">
        <w:rPr>
          <w:rFonts w:ascii="Times New Roman" w:cs="Times New Roman"/>
          <w:b/>
          <w:szCs w:val="32"/>
        </w:rPr>
        <w:t>评价原则</w:t>
      </w:r>
      <w:bookmarkEnd w:id="55"/>
    </w:p>
    <w:p w:rsidR="00117C3D" w:rsidRPr="00D630D1" w:rsidRDefault="008B5B84" w:rsidP="004E18BF">
      <w:pPr>
        <w:pStyle w:val="afa"/>
        <w:ind w:firstLine="480"/>
      </w:pPr>
      <w:r w:rsidRPr="00D630D1">
        <w:t>本次评价坚持</w:t>
      </w:r>
      <w:r w:rsidRPr="00D630D1">
        <w:t>“</w:t>
      </w:r>
      <w:r w:rsidRPr="00D630D1">
        <w:t>依法评价、科学评价、突出重点的</w:t>
      </w:r>
      <w:r w:rsidRPr="00D630D1">
        <w:t>”</w:t>
      </w:r>
      <w:r w:rsidRPr="00D630D1">
        <w:t>原则，起到环境影响评价的源头预防作用，坚持保护和改善环境质量。</w:t>
      </w:r>
    </w:p>
    <w:p w:rsidR="00117C3D" w:rsidRPr="00D630D1" w:rsidRDefault="008B5B84" w:rsidP="004E18BF">
      <w:pPr>
        <w:pStyle w:val="afa"/>
        <w:ind w:firstLine="480"/>
      </w:pPr>
      <w:r w:rsidRPr="00D630D1">
        <w:t>（</w:t>
      </w:r>
      <w:r w:rsidRPr="00D630D1">
        <w:t>1</w:t>
      </w:r>
      <w:r w:rsidRPr="00D630D1">
        <w:t>）贯彻执行我国环境保护相关法律法规、标准、政策和规划等。</w:t>
      </w:r>
      <w:r w:rsidR="001947C2" w:rsidRPr="00D630D1">
        <w:t>建设</w:t>
      </w:r>
      <w:r w:rsidRPr="00D630D1">
        <w:t>项目一定要符合产业政策，符合本地区的总体规划、区域发展规划和环境保护规划的原则；</w:t>
      </w:r>
    </w:p>
    <w:p w:rsidR="00117C3D" w:rsidRPr="00D630D1" w:rsidRDefault="008B5B84" w:rsidP="004E18BF">
      <w:pPr>
        <w:pStyle w:val="afa"/>
        <w:ind w:firstLine="480"/>
      </w:pPr>
      <w:r w:rsidRPr="00D630D1">
        <w:t>（</w:t>
      </w:r>
      <w:r w:rsidRPr="00D630D1">
        <w:t>2</w:t>
      </w:r>
      <w:r w:rsidRPr="00D630D1">
        <w:t>）提出污染防治措施和环境管理要求，优化项目建设，提高企业环境管理水平；</w:t>
      </w:r>
    </w:p>
    <w:p w:rsidR="00117C3D" w:rsidRPr="00D630D1" w:rsidRDefault="008B5B84" w:rsidP="004E18BF">
      <w:pPr>
        <w:pStyle w:val="afa"/>
        <w:ind w:firstLine="480"/>
      </w:pPr>
      <w:r w:rsidRPr="00D630D1">
        <w:t>（</w:t>
      </w:r>
      <w:r w:rsidRPr="00D630D1">
        <w:t>3</w:t>
      </w:r>
      <w:r w:rsidRPr="00D630D1">
        <w:t>）科学分析项目建设对生态环境的影响，明确项目建设对生态环境影响的方式、范围及程度，预测评价生态环境影响可接受性，确定生态环境影响预防、</w:t>
      </w:r>
      <w:r w:rsidRPr="00D630D1">
        <w:lastRenderedPageBreak/>
        <w:t>恢复措施，并论证措施可行性及生态环境影响是否可以接受；</w:t>
      </w:r>
    </w:p>
    <w:p w:rsidR="00117C3D" w:rsidRPr="00D630D1" w:rsidRDefault="008B5B84" w:rsidP="004E18BF">
      <w:pPr>
        <w:pStyle w:val="afa"/>
        <w:ind w:firstLine="480"/>
      </w:pPr>
      <w:r w:rsidRPr="00D630D1">
        <w:t>（</w:t>
      </w:r>
      <w:r w:rsidRPr="00D630D1">
        <w:t>4</w:t>
      </w:r>
      <w:r w:rsidRPr="00D630D1">
        <w:t>）坚持评价重点突出，结果客观明确，环保措施具有可操作性；体现本次评价的实用性和针对性；充分利用符合时效的数据资料及成果，对建设项目主要环境影响予以重点分析和评价；</w:t>
      </w:r>
    </w:p>
    <w:p w:rsidR="00117C3D" w:rsidRPr="00D630D1" w:rsidRDefault="008B5B84" w:rsidP="004E18BF">
      <w:pPr>
        <w:pStyle w:val="afa"/>
        <w:ind w:firstLine="480"/>
      </w:pPr>
      <w:r w:rsidRPr="00D630D1">
        <w:rPr>
          <w:rFonts w:ascii="宋体" w:hAnsi="宋体" w:cs="宋体" w:hint="eastAsia"/>
        </w:rPr>
        <w:t>①</w:t>
      </w:r>
      <w:r w:rsidRPr="00D630D1">
        <w:t xml:space="preserve"> </w:t>
      </w:r>
      <w:r w:rsidRPr="00D630D1">
        <w:t>首先对项目建设地环境空气、水环境</w:t>
      </w:r>
      <w:r w:rsidR="004E18BF" w:rsidRPr="00D630D1">
        <w:t>（地下水、地表水）</w:t>
      </w:r>
      <w:r w:rsidRPr="00D630D1">
        <w:t>、声环境、</w:t>
      </w:r>
      <w:r w:rsidR="00BF1B6C" w:rsidRPr="00D630D1">
        <w:t>土壤环境</w:t>
      </w:r>
      <w:r w:rsidR="00BF1B6C" w:rsidRPr="00D630D1">
        <w:rPr>
          <w:rFonts w:hint="eastAsia"/>
        </w:rPr>
        <w:t>、</w:t>
      </w:r>
      <w:r w:rsidRPr="00D630D1">
        <w:t>生态环境等环境质量现状进行调查和评价。</w:t>
      </w:r>
    </w:p>
    <w:p w:rsidR="00117C3D" w:rsidRPr="00D630D1" w:rsidRDefault="008B5B84" w:rsidP="004E18BF">
      <w:pPr>
        <w:pStyle w:val="afa"/>
        <w:ind w:firstLine="480"/>
      </w:pPr>
      <w:r w:rsidRPr="00D630D1">
        <w:rPr>
          <w:rFonts w:ascii="宋体" w:hAnsi="宋体" w:cs="宋体" w:hint="eastAsia"/>
        </w:rPr>
        <w:t>②</w:t>
      </w:r>
      <w:r w:rsidRPr="00D630D1">
        <w:t xml:space="preserve"> </w:t>
      </w:r>
      <w:r w:rsidRPr="00D630D1">
        <w:t>对工程各阶段的环境影响因素进行充分识别，采取定量与定性相结合的方法，分析工程对周围环境各项环境要素的影响途径和程度。</w:t>
      </w:r>
    </w:p>
    <w:p w:rsidR="00117C3D" w:rsidRPr="00D630D1" w:rsidRDefault="008B5B84" w:rsidP="004E18BF">
      <w:pPr>
        <w:pStyle w:val="afa"/>
        <w:ind w:firstLine="480"/>
      </w:pPr>
      <w:r w:rsidRPr="00D630D1">
        <w:rPr>
          <w:rFonts w:ascii="宋体" w:hAnsi="宋体" w:cs="宋体" w:hint="eastAsia"/>
        </w:rPr>
        <w:t>③</w:t>
      </w:r>
      <w:r w:rsidRPr="00D630D1">
        <w:t xml:space="preserve"> </w:t>
      </w:r>
      <w:r w:rsidRPr="00D630D1">
        <w:t>结合项目建设地环境特征，根据各环境要素评价成果，对设计提出的环保措施的可行性、可靠性进行分析，并提出完善措施，以达到环保要求。</w:t>
      </w:r>
    </w:p>
    <w:p w:rsidR="00117C3D" w:rsidRPr="00D630D1" w:rsidRDefault="008B5B84">
      <w:pPr>
        <w:keepNext/>
        <w:keepLines/>
        <w:ind w:firstLineChars="0" w:firstLine="0"/>
        <w:outlineLvl w:val="2"/>
        <w:rPr>
          <w:rFonts w:ascii="Times New Roman" w:cs="Times New Roman"/>
          <w:b/>
          <w:szCs w:val="32"/>
        </w:rPr>
      </w:pPr>
      <w:bookmarkStart w:id="56" w:name="_Toc19815930"/>
      <w:r w:rsidRPr="00D630D1">
        <w:rPr>
          <w:rFonts w:ascii="Times New Roman" w:cs="Times New Roman"/>
          <w:b/>
          <w:szCs w:val="32"/>
        </w:rPr>
        <w:t>1.2.3</w:t>
      </w:r>
      <w:r w:rsidR="00A64242" w:rsidRPr="00D630D1">
        <w:rPr>
          <w:rFonts w:ascii="Times New Roman" w:cs="Times New Roman"/>
          <w:b/>
          <w:szCs w:val="32"/>
        </w:rPr>
        <w:t xml:space="preserve"> </w:t>
      </w:r>
      <w:r w:rsidRPr="00D630D1">
        <w:rPr>
          <w:rFonts w:ascii="Times New Roman" w:cs="Times New Roman"/>
          <w:b/>
          <w:szCs w:val="32"/>
        </w:rPr>
        <w:t>评价重点</w:t>
      </w:r>
      <w:bookmarkEnd w:id="56"/>
    </w:p>
    <w:p w:rsidR="00117C3D" w:rsidRPr="00D630D1" w:rsidRDefault="008B5B84" w:rsidP="004E18BF">
      <w:pPr>
        <w:pStyle w:val="afa"/>
        <w:ind w:firstLine="480"/>
      </w:pPr>
      <w:r w:rsidRPr="00D630D1">
        <w:t>根据本项目特点和工程沿线的环境概况，在工程分析的基础上，重点评价工程施工过程中对周边</w:t>
      </w:r>
      <w:r w:rsidR="00A4370D" w:rsidRPr="00D630D1">
        <w:t>大气</w:t>
      </w:r>
      <w:r w:rsidR="00A4370D" w:rsidRPr="00D630D1">
        <w:rPr>
          <w:rFonts w:hint="eastAsia"/>
        </w:rPr>
        <w:t>、</w:t>
      </w:r>
      <w:r w:rsidR="00A4370D" w:rsidRPr="00D630D1">
        <w:t>地表水</w:t>
      </w:r>
      <w:r w:rsidR="00A4370D" w:rsidRPr="00D630D1">
        <w:rPr>
          <w:rFonts w:hint="eastAsia"/>
        </w:rPr>
        <w:t>、</w:t>
      </w:r>
      <w:r w:rsidR="00A4370D" w:rsidRPr="00D630D1">
        <w:t>地下水</w:t>
      </w:r>
      <w:r w:rsidR="00390E60" w:rsidRPr="00D630D1">
        <w:rPr>
          <w:rFonts w:hint="eastAsia"/>
        </w:rPr>
        <w:t>、</w:t>
      </w:r>
      <w:r w:rsidR="00390E60" w:rsidRPr="00D630D1">
        <w:t>声环境</w:t>
      </w:r>
      <w:r w:rsidR="00390E60" w:rsidRPr="00D630D1">
        <w:rPr>
          <w:rFonts w:hint="eastAsia"/>
        </w:rPr>
        <w:t>、土壤环境</w:t>
      </w:r>
      <w:r w:rsidR="00FC2684">
        <w:rPr>
          <w:rFonts w:hint="eastAsia"/>
        </w:rPr>
        <w:t>、环境风险</w:t>
      </w:r>
      <w:r w:rsidR="00390E60" w:rsidRPr="00D630D1">
        <w:rPr>
          <w:rFonts w:hint="eastAsia"/>
        </w:rPr>
        <w:t>及</w:t>
      </w:r>
      <w:r w:rsidRPr="00D630D1">
        <w:t>生态环境的影响，评价运营期沿线环境风险。</w:t>
      </w:r>
    </w:p>
    <w:p w:rsidR="00117C3D" w:rsidRPr="00D630D1" w:rsidRDefault="008B5B84" w:rsidP="004E18BF">
      <w:pPr>
        <w:pStyle w:val="afa"/>
        <w:ind w:firstLine="480"/>
      </w:pPr>
      <w:r w:rsidRPr="00D630D1">
        <w:t>重点评价工程对管道穿越或临近的自然保护区、风景名胜区、世界文化和自然遗产地、地质公园、基本农田保护区</w:t>
      </w:r>
      <w:r w:rsidR="00DD1E9A" w:rsidRPr="00D630D1">
        <w:t>、水土流失重点预防区和重点治理区</w:t>
      </w:r>
      <w:r w:rsidRPr="00D630D1">
        <w:t>等《建设项目环境影响评价分类管理名录》（</w:t>
      </w:r>
      <w:r w:rsidR="00DD1E9A" w:rsidRPr="00D630D1">
        <w:t>2021</w:t>
      </w:r>
      <w:r w:rsidR="00DD1E9A" w:rsidRPr="00D630D1">
        <w:t>版</w:t>
      </w:r>
      <w:r w:rsidRPr="00D630D1">
        <w:t>）中所列的环境敏感区的影响。</w:t>
      </w:r>
    </w:p>
    <w:p w:rsidR="00117C3D" w:rsidRPr="00D630D1" w:rsidRDefault="008B5B84" w:rsidP="004E18BF">
      <w:pPr>
        <w:keepNext/>
        <w:keepLines/>
        <w:spacing w:before="120"/>
        <w:ind w:firstLineChars="0" w:firstLine="0"/>
        <w:outlineLvl w:val="1"/>
        <w:rPr>
          <w:rFonts w:ascii="Times New Roman" w:cs="Times New Roman"/>
          <w:b/>
          <w:bCs/>
          <w:sz w:val="28"/>
          <w:szCs w:val="32"/>
        </w:rPr>
      </w:pPr>
      <w:bookmarkStart w:id="57" w:name="bookmark4"/>
      <w:bookmarkStart w:id="58" w:name="_Toc12288387"/>
      <w:bookmarkStart w:id="59" w:name="_Toc19815931"/>
      <w:bookmarkStart w:id="60" w:name="_Toc81515252"/>
      <w:bookmarkEnd w:id="57"/>
      <w:r w:rsidRPr="00D630D1">
        <w:rPr>
          <w:rFonts w:ascii="Times New Roman" w:cs="Times New Roman"/>
          <w:b/>
          <w:bCs/>
          <w:sz w:val="28"/>
          <w:szCs w:val="32"/>
        </w:rPr>
        <w:t>1.3</w:t>
      </w:r>
      <w:r w:rsidR="00A64242" w:rsidRPr="00D630D1">
        <w:rPr>
          <w:rFonts w:ascii="Times New Roman" w:cs="Times New Roman"/>
          <w:b/>
          <w:bCs/>
          <w:sz w:val="28"/>
          <w:szCs w:val="32"/>
        </w:rPr>
        <w:t xml:space="preserve"> </w:t>
      </w:r>
      <w:r w:rsidRPr="00D630D1">
        <w:rPr>
          <w:rFonts w:ascii="Times New Roman" w:cs="Times New Roman"/>
          <w:b/>
          <w:bCs/>
          <w:sz w:val="28"/>
          <w:szCs w:val="32"/>
        </w:rPr>
        <w:t>环境影响要素识别和评价因子筛选</w:t>
      </w:r>
      <w:bookmarkEnd w:id="58"/>
      <w:bookmarkEnd w:id="59"/>
      <w:bookmarkEnd w:id="60"/>
    </w:p>
    <w:p w:rsidR="00117C3D" w:rsidRPr="00D630D1" w:rsidRDefault="008B5B84">
      <w:pPr>
        <w:keepNext/>
        <w:keepLines/>
        <w:ind w:firstLineChars="0" w:firstLine="0"/>
        <w:outlineLvl w:val="2"/>
        <w:rPr>
          <w:rFonts w:ascii="Times New Roman" w:cs="Times New Roman"/>
          <w:b/>
          <w:szCs w:val="32"/>
        </w:rPr>
      </w:pPr>
      <w:bookmarkStart w:id="61" w:name="_Toc19815932"/>
      <w:r w:rsidRPr="00D630D1">
        <w:rPr>
          <w:rFonts w:ascii="Times New Roman" w:cs="Times New Roman"/>
          <w:b/>
          <w:szCs w:val="32"/>
        </w:rPr>
        <w:t>1.3.1</w:t>
      </w:r>
      <w:r w:rsidR="00A64242" w:rsidRPr="00D630D1">
        <w:rPr>
          <w:rFonts w:ascii="Times New Roman" w:cs="Times New Roman"/>
          <w:b/>
          <w:szCs w:val="32"/>
        </w:rPr>
        <w:t xml:space="preserve"> </w:t>
      </w:r>
      <w:r w:rsidRPr="00D630D1">
        <w:rPr>
          <w:rFonts w:ascii="Times New Roman" w:cs="Times New Roman"/>
          <w:b/>
          <w:szCs w:val="32"/>
        </w:rPr>
        <w:t>环境影响要素识别</w:t>
      </w:r>
      <w:bookmarkEnd w:id="61"/>
    </w:p>
    <w:p w:rsidR="00117C3D" w:rsidRPr="00D630D1" w:rsidRDefault="008B5B84" w:rsidP="004E18BF">
      <w:pPr>
        <w:pStyle w:val="afa"/>
        <w:ind w:firstLine="480"/>
      </w:pPr>
      <w:r w:rsidRPr="00D630D1">
        <w:t>本项目为</w:t>
      </w:r>
      <w:r w:rsidR="00A4370D" w:rsidRPr="00D630D1">
        <w:t>污染影响型兼</w:t>
      </w:r>
      <w:r w:rsidRPr="00D630D1">
        <w:t>生态影响型建设工程，主要就工程建设及运行对区域</w:t>
      </w:r>
      <w:r w:rsidR="00A4370D" w:rsidRPr="00D630D1">
        <w:t>大气</w:t>
      </w:r>
      <w:r w:rsidR="00A4370D" w:rsidRPr="00D630D1">
        <w:rPr>
          <w:rFonts w:hint="eastAsia"/>
        </w:rPr>
        <w:t>、</w:t>
      </w:r>
      <w:r w:rsidR="00A4370D" w:rsidRPr="00D630D1">
        <w:t>地表水</w:t>
      </w:r>
      <w:r w:rsidR="00A4370D" w:rsidRPr="00D630D1">
        <w:rPr>
          <w:rFonts w:hint="eastAsia"/>
        </w:rPr>
        <w:t>、</w:t>
      </w:r>
      <w:r w:rsidR="00A4370D" w:rsidRPr="00D630D1">
        <w:t>地下水</w:t>
      </w:r>
      <w:r w:rsidR="00A4370D" w:rsidRPr="00D630D1">
        <w:rPr>
          <w:rFonts w:hint="eastAsia"/>
        </w:rPr>
        <w:t>、</w:t>
      </w:r>
      <w:r w:rsidR="00A4370D" w:rsidRPr="00D630D1">
        <w:t>声环境</w:t>
      </w:r>
      <w:r w:rsidR="00A4370D" w:rsidRPr="00D630D1">
        <w:rPr>
          <w:rFonts w:hint="eastAsia"/>
        </w:rPr>
        <w:t>、土壤环境及</w:t>
      </w:r>
      <w:r w:rsidRPr="00D630D1">
        <w:t>生态环境</w:t>
      </w:r>
      <w:r w:rsidR="00A4370D" w:rsidRPr="00D630D1">
        <w:rPr>
          <w:rFonts w:hint="eastAsia"/>
        </w:rPr>
        <w:t>等</w:t>
      </w:r>
      <w:r w:rsidRPr="00D630D1">
        <w:t>环境要素所造成的影响进行识别。</w:t>
      </w:r>
    </w:p>
    <w:p w:rsidR="00117C3D" w:rsidRPr="00D630D1" w:rsidRDefault="008B5B84" w:rsidP="004E18BF">
      <w:pPr>
        <w:pStyle w:val="afa"/>
        <w:ind w:firstLine="482"/>
        <w:rPr>
          <w:b/>
        </w:rPr>
      </w:pPr>
      <w:r w:rsidRPr="00D630D1">
        <w:rPr>
          <w:b/>
        </w:rPr>
        <w:t>1</w:t>
      </w:r>
      <w:r w:rsidRPr="00D630D1">
        <w:rPr>
          <w:b/>
        </w:rPr>
        <w:t>、生态环境影响</w:t>
      </w:r>
    </w:p>
    <w:p w:rsidR="00117C3D" w:rsidRPr="00D630D1" w:rsidRDefault="008B5B84" w:rsidP="004E18BF">
      <w:pPr>
        <w:pStyle w:val="afa"/>
        <w:ind w:firstLine="480"/>
        <w:rPr>
          <w:kern w:val="2"/>
          <w:szCs w:val="22"/>
        </w:rPr>
      </w:pPr>
      <w:r w:rsidRPr="00D630D1">
        <w:rPr>
          <w:kern w:val="2"/>
          <w:szCs w:val="22"/>
        </w:rPr>
        <w:t>本项目生态环境影响主要体现在施工期。工程施工期间对生态环境的影响主要是</w:t>
      </w:r>
      <w:r w:rsidR="002209D1" w:rsidRPr="00D630D1">
        <w:rPr>
          <w:kern w:val="2"/>
          <w:szCs w:val="22"/>
        </w:rPr>
        <w:t>场地平整</w:t>
      </w:r>
      <w:r w:rsidR="002209D1" w:rsidRPr="00D630D1">
        <w:rPr>
          <w:rFonts w:hint="eastAsia"/>
          <w:kern w:val="2"/>
          <w:szCs w:val="22"/>
        </w:rPr>
        <w:t>、</w:t>
      </w:r>
      <w:r w:rsidRPr="00D630D1">
        <w:rPr>
          <w:kern w:val="2"/>
          <w:szCs w:val="22"/>
        </w:rPr>
        <w:t>土石方工程开挖引起的自然地貌的改变和地表自然及人工植被的破坏，进而引起对土地利用的改变，生物量和生产力的变化，由此引发区域生态系统稳定性下降，致使生态环境的破坏；施工中临时道路、临时施工场地等将会占用耕地、林地及其它土地，导致农、林、种植业生态系统发生较大变化；</w:t>
      </w:r>
      <w:r w:rsidR="00BF1B6C" w:rsidRPr="00D630D1">
        <w:rPr>
          <w:kern w:val="2"/>
          <w:szCs w:val="22"/>
        </w:rPr>
        <w:t>混凝土</w:t>
      </w:r>
      <w:r w:rsidR="00BF1B6C" w:rsidRPr="00D630D1">
        <w:rPr>
          <w:rFonts w:hint="eastAsia"/>
          <w:kern w:val="2"/>
          <w:szCs w:val="22"/>
        </w:rPr>
        <w:t>道路</w:t>
      </w:r>
      <w:r w:rsidR="0031720E" w:rsidRPr="00D630D1">
        <w:rPr>
          <w:kern w:val="2"/>
          <w:szCs w:val="22"/>
        </w:rPr>
        <w:t>施工</w:t>
      </w:r>
      <w:r w:rsidRPr="00D630D1">
        <w:rPr>
          <w:kern w:val="2"/>
          <w:szCs w:val="22"/>
        </w:rPr>
        <w:t>等产生的弃土和施工行为对当地地表水环境容量产生影响；工程线路</w:t>
      </w:r>
      <w:r w:rsidRPr="00D630D1">
        <w:rPr>
          <w:kern w:val="2"/>
          <w:szCs w:val="22"/>
        </w:rPr>
        <w:lastRenderedPageBreak/>
        <w:t>对沿线生态敏感目标的干扰、阻断影响和破坏。</w:t>
      </w:r>
    </w:p>
    <w:p w:rsidR="00117C3D" w:rsidRPr="00D630D1" w:rsidRDefault="008B5B84" w:rsidP="004E18BF">
      <w:pPr>
        <w:pStyle w:val="afa"/>
        <w:ind w:firstLine="480"/>
        <w:rPr>
          <w:kern w:val="2"/>
          <w:szCs w:val="22"/>
        </w:rPr>
      </w:pPr>
      <w:r w:rsidRPr="00D630D1">
        <w:rPr>
          <w:kern w:val="2"/>
          <w:szCs w:val="22"/>
        </w:rPr>
        <w:t>营运期不会带来新的生态影响，受施工期影响的生态环境按相应的环境保护措施，逐步恢复重建。</w:t>
      </w:r>
    </w:p>
    <w:p w:rsidR="00117C3D" w:rsidRPr="00D630D1" w:rsidRDefault="008B5B84" w:rsidP="004E18BF">
      <w:pPr>
        <w:pStyle w:val="afa"/>
        <w:ind w:firstLine="482"/>
        <w:rPr>
          <w:b/>
        </w:rPr>
      </w:pPr>
      <w:r w:rsidRPr="00D630D1">
        <w:rPr>
          <w:b/>
        </w:rPr>
        <w:t>2</w:t>
      </w:r>
      <w:r w:rsidRPr="00D630D1">
        <w:rPr>
          <w:b/>
        </w:rPr>
        <w:t>、地表水环境影响</w:t>
      </w:r>
    </w:p>
    <w:p w:rsidR="00117C3D" w:rsidRPr="00D630D1" w:rsidRDefault="008B5B84" w:rsidP="004E18BF">
      <w:pPr>
        <w:pStyle w:val="afa"/>
        <w:ind w:firstLine="480"/>
        <w:rPr>
          <w:kern w:val="2"/>
          <w:szCs w:val="22"/>
        </w:rPr>
      </w:pPr>
      <w:r w:rsidRPr="00D630D1">
        <w:rPr>
          <w:kern w:val="2"/>
          <w:szCs w:val="22"/>
        </w:rPr>
        <w:t>（</w:t>
      </w:r>
      <w:r w:rsidRPr="00D630D1">
        <w:rPr>
          <w:kern w:val="2"/>
          <w:szCs w:val="22"/>
        </w:rPr>
        <w:t>1</w:t>
      </w:r>
      <w:r w:rsidRPr="00D630D1">
        <w:rPr>
          <w:kern w:val="2"/>
          <w:szCs w:val="22"/>
        </w:rPr>
        <w:t>）施工期</w:t>
      </w:r>
      <w:r w:rsidR="002209D1" w:rsidRPr="00D630D1">
        <w:rPr>
          <w:rFonts w:hint="eastAsia"/>
          <w:kern w:val="2"/>
          <w:szCs w:val="22"/>
        </w:rPr>
        <w:t>钻井</w:t>
      </w:r>
      <w:r w:rsidR="002209D1" w:rsidRPr="00D630D1">
        <w:rPr>
          <w:kern w:val="2"/>
          <w:szCs w:val="22"/>
        </w:rPr>
        <w:t>废水</w:t>
      </w:r>
      <w:r w:rsidR="002209D1" w:rsidRPr="00D630D1">
        <w:rPr>
          <w:rFonts w:hint="eastAsia"/>
          <w:kern w:val="2"/>
          <w:szCs w:val="22"/>
        </w:rPr>
        <w:t>、</w:t>
      </w:r>
      <w:r w:rsidR="002209D1" w:rsidRPr="00D630D1">
        <w:rPr>
          <w:kern w:val="2"/>
          <w:szCs w:val="22"/>
        </w:rPr>
        <w:t>压裂废水和洗井废水</w:t>
      </w:r>
      <w:r w:rsidRPr="00D630D1">
        <w:rPr>
          <w:kern w:val="2"/>
          <w:szCs w:val="22"/>
        </w:rPr>
        <w:t>对地表水环境的影响；</w:t>
      </w:r>
    </w:p>
    <w:p w:rsidR="00117C3D" w:rsidRPr="00D630D1" w:rsidRDefault="008B5B84" w:rsidP="004E18BF">
      <w:pPr>
        <w:pStyle w:val="afa"/>
        <w:ind w:firstLine="480"/>
        <w:rPr>
          <w:kern w:val="2"/>
          <w:szCs w:val="22"/>
        </w:rPr>
      </w:pPr>
      <w:r w:rsidRPr="00D630D1">
        <w:rPr>
          <w:kern w:val="2"/>
          <w:szCs w:val="22"/>
        </w:rPr>
        <w:t>（</w:t>
      </w:r>
      <w:r w:rsidRPr="00D630D1">
        <w:rPr>
          <w:kern w:val="2"/>
          <w:szCs w:val="22"/>
        </w:rPr>
        <w:t>2</w:t>
      </w:r>
      <w:r w:rsidRPr="00D630D1">
        <w:rPr>
          <w:kern w:val="2"/>
          <w:szCs w:val="22"/>
        </w:rPr>
        <w:t>）清管试压排放水对地表水环境的影响；</w:t>
      </w:r>
    </w:p>
    <w:p w:rsidR="00117C3D" w:rsidRPr="00D630D1" w:rsidRDefault="008B5B84" w:rsidP="004E18BF">
      <w:pPr>
        <w:pStyle w:val="afa"/>
        <w:ind w:firstLine="480"/>
        <w:rPr>
          <w:kern w:val="2"/>
          <w:szCs w:val="22"/>
        </w:rPr>
      </w:pPr>
      <w:r w:rsidRPr="00D630D1">
        <w:rPr>
          <w:kern w:val="2"/>
          <w:szCs w:val="22"/>
        </w:rPr>
        <w:t>（</w:t>
      </w:r>
      <w:r w:rsidRPr="00D630D1">
        <w:rPr>
          <w:kern w:val="2"/>
          <w:szCs w:val="22"/>
        </w:rPr>
        <w:t>3</w:t>
      </w:r>
      <w:r w:rsidRPr="00D630D1">
        <w:rPr>
          <w:kern w:val="2"/>
          <w:szCs w:val="22"/>
        </w:rPr>
        <w:t>）施工人员产生的生活污水排放对地表水环境的影响；</w:t>
      </w:r>
    </w:p>
    <w:p w:rsidR="00117C3D" w:rsidRPr="00D630D1" w:rsidRDefault="008B5B84" w:rsidP="004E18BF">
      <w:pPr>
        <w:pStyle w:val="afa"/>
        <w:ind w:firstLine="480"/>
        <w:rPr>
          <w:kern w:val="2"/>
          <w:szCs w:val="22"/>
        </w:rPr>
      </w:pPr>
      <w:r w:rsidRPr="00D630D1">
        <w:rPr>
          <w:kern w:val="2"/>
          <w:szCs w:val="22"/>
        </w:rPr>
        <w:t>（</w:t>
      </w:r>
      <w:r w:rsidRPr="00D630D1">
        <w:rPr>
          <w:kern w:val="2"/>
          <w:szCs w:val="22"/>
        </w:rPr>
        <w:t>4</w:t>
      </w:r>
      <w:r w:rsidRPr="00D630D1">
        <w:rPr>
          <w:kern w:val="2"/>
          <w:szCs w:val="22"/>
        </w:rPr>
        <w:t>）运营期</w:t>
      </w:r>
      <w:r w:rsidR="00A0659D" w:rsidRPr="00D630D1">
        <w:rPr>
          <w:kern w:val="2"/>
          <w:szCs w:val="22"/>
        </w:rPr>
        <w:t>气田水</w:t>
      </w:r>
      <w:r w:rsidR="00FC2684">
        <w:rPr>
          <w:rFonts w:hint="eastAsia"/>
          <w:kern w:val="2"/>
          <w:szCs w:val="22"/>
        </w:rPr>
        <w:t>、</w:t>
      </w:r>
      <w:r w:rsidR="00FC2684">
        <w:rPr>
          <w:kern w:val="2"/>
          <w:szCs w:val="22"/>
        </w:rPr>
        <w:t>生活污水</w:t>
      </w:r>
      <w:r w:rsidRPr="00D630D1">
        <w:rPr>
          <w:kern w:val="2"/>
          <w:szCs w:val="22"/>
        </w:rPr>
        <w:t>对地表水环境的影响。</w:t>
      </w:r>
    </w:p>
    <w:p w:rsidR="00117C3D" w:rsidRPr="00D630D1" w:rsidRDefault="008B5B84">
      <w:pPr>
        <w:ind w:firstLine="482"/>
        <w:rPr>
          <w:rFonts w:ascii="Times New Roman" w:cs="Times New Roman"/>
          <w:b/>
        </w:rPr>
      </w:pPr>
      <w:r w:rsidRPr="00D630D1">
        <w:rPr>
          <w:rFonts w:ascii="Times New Roman" w:cs="Times New Roman"/>
          <w:b/>
        </w:rPr>
        <w:t>3</w:t>
      </w:r>
      <w:r w:rsidRPr="00D630D1">
        <w:rPr>
          <w:rFonts w:ascii="Times New Roman" w:cs="Times New Roman"/>
          <w:b/>
        </w:rPr>
        <w:t>、地下水环境影响</w:t>
      </w:r>
    </w:p>
    <w:p w:rsidR="00F042AA" w:rsidRPr="00D630D1" w:rsidRDefault="00F042AA" w:rsidP="00F042AA">
      <w:pPr>
        <w:topLinePunct w:val="0"/>
        <w:adjustRightInd/>
        <w:ind w:firstLine="480"/>
        <w:rPr>
          <w:rFonts w:ascii="Times New Roman" w:cs="Times New Roman"/>
          <w:kern w:val="2"/>
          <w:szCs w:val="22"/>
        </w:rPr>
      </w:pPr>
      <w:r w:rsidRPr="00D630D1">
        <w:rPr>
          <w:rFonts w:ascii="Times New Roman" w:cs="Times New Roman"/>
          <w:kern w:val="2"/>
          <w:szCs w:val="22"/>
        </w:rPr>
        <w:t>（</w:t>
      </w:r>
      <w:r w:rsidRPr="00D630D1">
        <w:rPr>
          <w:rFonts w:ascii="Times New Roman" w:cs="Times New Roman"/>
          <w:kern w:val="2"/>
          <w:szCs w:val="22"/>
        </w:rPr>
        <w:t>1</w:t>
      </w:r>
      <w:r w:rsidR="002209D1" w:rsidRPr="00D630D1">
        <w:rPr>
          <w:rFonts w:ascii="Times New Roman" w:cs="Times New Roman"/>
          <w:kern w:val="2"/>
          <w:szCs w:val="22"/>
        </w:rPr>
        <w:t>）本项目施工期对地下水的影响是施工</w:t>
      </w:r>
      <w:r w:rsidR="002209D1" w:rsidRPr="00D630D1">
        <w:rPr>
          <w:rFonts w:ascii="Times New Roman" w:cs="Times New Roman" w:hint="eastAsia"/>
          <w:kern w:val="2"/>
          <w:szCs w:val="22"/>
        </w:rPr>
        <w:t>期</w:t>
      </w:r>
      <w:r w:rsidR="002209D1" w:rsidRPr="00D630D1">
        <w:rPr>
          <w:rFonts w:ascii="Times New Roman" w:cs="Times New Roman"/>
          <w:kern w:val="2"/>
          <w:szCs w:val="22"/>
        </w:rPr>
        <w:t>钻井过程中可能造成地下水的污染</w:t>
      </w:r>
      <w:r w:rsidR="002209D1" w:rsidRPr="00D630D1">
        <w:rPr>
          <w:rFonts w:ascii="Times New Roman" w:cs="Times New Roman" w:hint="eastAsia"/>
          <w:kern w:val="2"/>
          <w:szCs w:val="22"/>
        </w:rPr>
        <w:t>，同时施工</w:t>
      </w:r>
      <w:r w:rsidR="002209D1" w:rsidRPr="00D630D1">
        <w:rPr>
          <w:rFonts w:ascii="Times New Roman" w:cs="Times New Roman"/>
          <w:kern w:val="2"/>
          <w:szCs w:val="22"/>
        </w:rPr>
        <w:t>废水及施工生活污水</w:t>
      </w:r>
      <w:r w:rsidR="002209D1" w:rsidRPr="00D630D1">
        <w:rPr>
          <w:rFonts w:ascii="Times New Roman" w:cs="Times New Roman" w:hint="eastAsia"/>
          <w:kern w:val="2"/>
          <w:szCs w:val="22"/>
        </w:rPr>
        <w:t>若</w:t>
      </w:r>
      <w:r w:rsidR="002209D1" w:rsidRPr="00D630D1">
        <w:rPr>
          <w:rFonts w:ascii="Times New Roman" w:cs="Times New Roman"/>
          <w:kern w:val="2"/>
          <w:szCs w:val="22"/>
        </w:rPr>
        <w:t>处理不当外排，外排废水下渗对局部区域地下水水质造成影响；</w:t>
      </w:r>
    </w:p>
    <w:p w:rsidR="00F042AA" w:rsidRPr="00D630D1" w:rsidRDefault="00F042AA" w:rsidP="00F042AA">
      <w:pPr>
        <w:topLinePunct w:val="0"/>
        <w:adjustRightInd/>
        <w:ind w:firstLine="480"/>
        <w:rPr>
          <w:rFonts w:ascii="Times New Roman" w:cs="Times New Roman"/>
          <w:kern w:val="2"/>
          <w:szCs w:val="22"/>
        </w:rPr>
      </w:pPr>
      <w:r w:rsidRPr="00D630D1">
        <w:rPr>
          <w:rFonts w:ascii="Times New Roman" w:cs="Times New Roman"/>
          <w:kern w:val="2"/>
          <w:szCs w:val="22"/>
        </w:rPr>
        <w:t>（</w:t>
      </w:r>
      <w:r w:rsidRPr="00D630D1">
        <w:rPr>
          <w:rFonts w:ascii="Times New Roman" w:cs="Times New Roman"/>
          <w:kern w:val="2"/>
          <w:szCs w:val="22"/>
        </w:rPr>
        <w:t>2</w:t>
      </w:r>
      <w:r w:rsidRPr="00D630D1">
        <w:rPr>
          <w:rFonts w:ascii="Times New Roman" w:cs="Times New Roman"/>
          <w:kern w:val="2"/>
          <w:szCs w:val="22"/>
        </w:rPr>
        <w:t>）</w:t>
      </w:r>
      <w:r w:rsidR="002209D1" w:rsidRPr="00D630D1">
        <w:rPr>
          <w:rFonts w:ascii="Times New Roman" w:cs="Times New Roman"/>
          <w:kern w:val="2"/>
          <w:szCs w:val="22"/>
        </w:rPr>
        <w:t>营运期对地下水的影响是</w:t>
      </w:r>
      <w:r w:rsidR="00736EB1">
        <w:rPr>
          <w:rFonts w:ascii="Times New Roman" w:cs="Times New Roman" w:hint="eastAsia"/>
          <w:kern w:val="2"/>
          <w:szCs w:val="22"/>
        </w:rPr>
        <w:t>污水池、放喷池</w:t>
      </w:r>
      <w:r w:rsidR="002209D1" w:rsidRPr="00D630D1">
        <w:rPr>
          <w:rFonts w:ascii="Times New Roman" w:cs="Times New Roman"/>
          <w:kern w:val="2"/>
          <w:szCs w:val="22"/>
        </w:rPr>
        <w:t>因管理不当而损坏，导致污水下渗对局部区域地下水水质造成影响。</w:t>
      </w:r>
    </w:p>
    <w:p w:rsidR="00117C3D" w:rsidRPr="00D630D1" w:rsidRDefault="008B5B84" w:rsidP="00337B64">
      <w:pPr>
        <w:pStyle w:val="afa"/>
        <w:ind w:firstLine="482"/>
        <w:rPr>
          <w:b/>
          <w:bCs/>
        </w:rPr>
      </w:pPr>
      <w:r w:rsidRPr="00D630D1">
        <w:rPr>
          <w:b/>
          <w:bCs/>
        </w:rPr>
        <w:t>4</w:t>
      </w:r>
      <w:r w:rsidRPr="00D630D1">
        <w:rPr>
          <w:b/>
          <w:bCs/>
        </w:rPr>
        <w:t>、大气环境影响</w:t>
      </w:r>
    </w:p>
    <w:p w:rsidR="00117C3D" w:rsidRPr="00D630D1" w:rsidRDefault="008B5B84" w:rsidP="00337B64">
      <w:pPr>
        <w:pStyle w:val="afa"/>
        <w:ind w:firstLine="480"/>
      </w:pPr>
      <w:r w:rsidRPr="00D630D1">
        <w:t>（</w:t>
      </w:r>
      <w:r w:rsidRPr="00D630D1">
        <w:t>1</w:t>
      </w:r>
      <w:r w:rsidRPr="00D630D1">
        <w:t>）施工机械排放的废气；</w:t>
      </w:r>
    </w:p>
    <w:p w:rsidR="00117C3D" w:rsidRPr="00D630D1" w:rsidRDefault="008B5B84" w:rsidP="00337B64">
      <w:pPr>
        <w:pStyle w:val="afa"/>
        <w:ind w:firstLine="480"/>
      </w:pPr>
      <w:r w:rsidRPr="00D630D1">
        <w:t>（</w:t>
      </w:r>
      <w:r w:rsidRPr="00D630D1">
        <w:t>2</w:t>
      </w:r>
      <w:r w:rsidRPr="00D630D1">
        <w:t>）施工产生的扬尘；</w:t>
      </w:r>
    </w:p>
    <w:p w:rsidR="002209D1" w:rsidRPr="00D630D1" w:rsidRDefault="002209D1" w:rsidP="00337B64">
      <w:pPr>
        <w:pStyle w:val="afa"/>
        <w:ind w:firstLine="480"/>
      </w:pPr>
      <w:r w:rsidRPr="00D630D1">
        <w:rPr>
          <w:rFonts w:hint="eastAsia"/>
        </w:rPr>
        <w:t>（</w:t>
      </w:r>
      <w:r w:rsidRPr="00D630D1">
        <w:rPr>
          <w:rFonts w:hint="eastAsia"/>
        </w:rPr>
        <w:t>3</w:t>
      </w:r>
      <w:r w:rsidRPr="00D630D1">
        <w:rPr>
          <w:rFonts w:hint="eastAsia"/>
        </w:rPr>
        <w:t>）</w:t>
      </w:r>
      <w:r w:rsidRPr="00D630D1">
        <w:t>气体钻会产生少量粉尘</w:t>
      </w:r>
      <w:r w:rsidRPr="00D630D1">
        <w:rPr>
          <w:rFonts w:hint="eastAsia"/>
        </w:rPr>
        <w:t>；</w:t>
      </w:r>
    </w:p>
    <w:p w:rsidR="002209D1" w:rsidRPr="00D630D1" w:rsidRDefault="002209D1" w:rsidP="00337B64">
      <w:pPr>
        <w:pStyle w:val="afa"/>
        <w:ind w:firstLine="480"/>
      </w:pPr>
      <w:r w:rsidRPr="00D630D1">
        <w:rPr>
          <w:rFonts w:hint="eastAsia"/>
        </w:rPr>
        <w:t>（</w:t>
      </w:r>
      <w:r w:rsidRPr="00D630D1">
        <w:rPr>
          <w:rFonts w:hint="eastAsia"/>
        </w:rPr>
        <w:t>4</w:t>
      </w:r>
      <w:r w:rsidRPr="00D630D1">
        <w:rPr>
          <w:rFonts w:hint="eastAsia"/>
        </w:rPr>
        <w:t>）</w:t>
      </w:r>
      <w:r w:rsidRPr="00D630D1">
        <w:t>测试放喷废气</w:t>
      </w:r>
      <w:r w:rsidRPr="00D630D1">
        <w:rPr>
          <w:rFonts w:hint="eastAsia"/>
        </w:rPr>
        <w:t>；</w:t>
      </w:r>
    </w:p>
    <w:p w:rsidR="00A3522C" w:rsidRPr="00D630D1" w:rsidRDefault="00A3522C" w:rsidP="00337B64">
      <w:pPr>
        <w:pStyle w:val="afa"/>
        <w:ind w:firstLine="480"/>
      </w:pPr>
      <w:r w:rsidRPr="00D630D1">
        <w:t>（</w:t>
      </w:r>
      <w:r w:rsidR="002209D1" w:rsidRPr="00D630D1">
        <w:rPr>
          <w:rFonts w:hint="eastAsia"/>
        </w:rPr>
        <w:t>5</w:t>
      </w:r>
      <w:r w:rsidRPr="00D630D1">
        <w:t>）营运期非正常工况外排的废气，包括清管检修时冷排的天然气和事故放空时点燃放空的天然气；井场</w:t>
      </w:r>
      <w:r w:rsidR="00CC46BB" w:rsidRPr="00D630D1">
        <w:t>水套炉</w:t>
      </w:r>
      <w:r w:rsidRPr="00D630D1">
        <w:t>燃烧废气。</w:t>
      </w:r>
    </w:p>
    <w:p w:rsidR="00117C3D" w:rsidRPr="00D630D1" w:rsidRDefault="008B5B84" w:rsidP="00337B64">
      <w:pPr>
        <w:pStyle w:val="afa"/>
        <w:ind w:firstLine="482"/>
        <w:rPr>
          <w:b/>
          <w:bCs/>
        </w:rPr>
      </w:pPr>
      <w:r w:rsidRPr="00D630D1">
        <w:rPr>
          <w:b/>
          <w:bCs/>
        </w:rPr>
        <w:t>5</w:t>
      </w:r>
      <w:r w:rsidRPr="00D630D1">
        <w:rPr>
          <w:b/>
          <w:bCs/>
        </w:rPr>
        <w:t>、声环境影响</w:t>
      </w:r>
    </w:p>
    <w:p w:rsidR="00A3522C" w:rsidRPr="00D630D1" w:rsidRDefault="00A3522C" w:rsidP="00A3522C">
      <w:pPr>
        <w:topLinePunct w:val="0"/>
        <w:adjustRightInd/>
        <w:ind w:firstLine="480"/>
        <w:rPr>
          <w:rFonts w:ascii="Times New Roman" w:cs="Times New Roman"/>
          <w:kern w:val="2"/>
          <w:szCs w:val="22"/>
        </w:rPr>
      </w:pPr>
      <w:r w:rsidRPr="00D630D1">
        <w:rPr>
          <w:rFonts w:ascii="Times New Roman" w:cs="Times New Roman"/>
          <w:kern w:val="2"/>
          <w:szCs w:val="22"/>
        </w:rPr>
        <w:t>（</w:t>
      </w:r>
      <w:r w:rsidRPr="00D630D1">
        <w:rPr>
          <w:rFonts w:ascii="Times New Roman" w:cs="Times New Roman"/>
          <w:kern w:val="2"/>
          <w:szCs w:val="22"/>
        </w:rPr>
        <w:t>1</w:t>
      </w:r>
      <w:r w:rsidRPr="00D630D1">
        <w:rPr>
          <w:rFonts w:ascii="Times New Roman" w:cs="Times New Roman"/>
          <w:kern w:val="2"/>
          <w:szCs w:val="22"/>
        </w:rPr>
        <w:t>）施工期施工机械产生的机械噪声；</w:t>
      </w:r>
    </w:p>
    <w:p w:rsidR="00A3522C" w:rsidRPr="00D630D1" w:rsidRDefault="00A3522C" w:rsidP="00A3522C">
      <w:pPr>
        <w:topLinePunct w:val="0"/>
        <w:adjustRightInd/>
        <w:ind w:firstLine="480"/>
        <w:rPr>
          <w:rFonts w:ascii="Times New Roman" w:cs="Times New Roman"/>
          <w:kern w:val="2"/>
          <w:szCs w:val="22"/>
        </w:rPr>
      </w:pPr>
      <w:bookmarkStart w:id="62" w:name="_Hlk80470452"/>
      <w:r w:rsidRPr="00D630D1">
        <w:rPr>
          <w:rFonts w:ascii="Times New Roman" w:cs="Times New Roman"/>
          <w:kern w:val="2"/>
          <w:szCs w:val="22"/>
        </w:rPr>
        <w:t>（</w:t>
      </w:r>
      <w:r w:rsidRPr="00D630D1">
        <w:rPr>
          <w:rFonts w:ascii="Times New Roman" w:cs="Times New Roman"/>
          <w:kern w:val="2"/>
          <w:szCs w:val="22"/>
        </w:rPr>
        <w:t>2</w:t>
      </w:r>
      <w:r w:rsidRPr="00D630D1">
        <w:rPr>
          <w:rFonts w:ascii="Times New Roman" w:cs="Times New Roman"/>
          <w:kern w:val="2"/>
          <w:szCs w:val="22"/>
        </w:rPr>
        <w:t>）营运期加压设备产生的机械噪声及场站输气产生的机械噪声。</w:t>
      </w:r>
    </w:p>
    <w:bookmarkEnd w:id="62"/>
    <w:p w:rsidR="00117C3D" w:rsidRPr="00D630D1" w:rsidRDefault="008B5B84" w:rsidP="00337B64">
      <w:pPr>
        <w:pStyle w:val="afa"/>
        <w:ind w:firstLine="482"/>
        <w:rPr>
          <w:b/>
          <w:bCs/>
        </w:rPr>
      </w:pPr>
      <w:r w:rsidRPr="00D630D1">
        <w:rPr>
          <w:b/>
          <w:bCs/>
        </w:rPr>
        <w:t>6</w:t>
      </w:r>
      <w:r w:rsidRPr="00D630D1">
        <w:rPr>
          <w:b/>
          <w:bCs/>
        </w:rPr>
        <w:t>、固体废物环境影响</w:t>
      </w:r>
    </w:p>
    <w:p w:rsidR="00A3522C" w:rsidRPr="00D630D1" w:rsidRDefault="00A3522C" w:rsidP="00A3522C">
      <w:pPr>
        <w:pStyle w:val="afa"/>
        <w:ind w:firstLine="480"/>
      </w:pPr>
      <w:r w:rsidRPr="00D630D1">
        <w:t>（</w:t>
      </w:r>
      <w:r w:rsidRPr="00D630D1">
        <w:t>1</w:t>
      </w:r>
      <w:r w:rsidRPr="00D630D1">
        <w:t>）施工期产生的固体废物主要为</w:t>
      </w:r>
      <w:r w:rsidR="002209D1" w:rsidRPr="00D630D1">
        <w:rPr>
          <w:rFonts w:hint="eastAsia"/>
        </w:rPr>
        <w:t>钻井</w:t>
      </w:r>
      <w:r w:rsidR="002209D1" w:rsidRPr="00D630D1">
        <w:t>泥浆、岩屑</w:t>
      </w:r>
      <w:r w:rsidR="002209D1" w:rsidRPr="00D630D1">
        <w:rPr>
          <w:rFonts w:hint="eastAsia"/>
        </w:rPr>
        <w:t>、废油、</w:t>
      </w:r>
      <w:r w:rsidR="002209D1" w:rsidRPr="00D630D1">
        <w:t>生活</w:t>
      </w:r>
      <w:r w:rsidRPr="00D630D1">
        <w:t>垃圾、工程弃土和施工废料等；</w:t>
      </w:r>
    </w:p>
    <w:p w:rsidR="00A3522C" w:rsidRPr="00D630D1" w:rsidRDefault="00A3522C" w:rsidP="00A3522C">
      <w:pPr>
        <w:pStyle w:val="afa"/>
        <w:ind w:firstLine="480"/>
      </w:pPr>
      <w:r w:rsidRPr="00D630D1">
        <w:t>（</w:t>
      </w:r>
      <w:r w:rsidRPr="00D630D1">
        <w:t>2</w:t>
      </w:r>
      <w:r w:rsidRPr="00D630D1">
        <w:t>）营运期</w:t>
      </w:r>
      <w:r w:rsidR="00736EB1" w:rsidRPr="000819D9">
        <w:t>产生的固体废物主要为值班人员生活垃圾、清管作业以及分离器检修产生的少量固体粉末</w:t>
      </w:r>
      <w:r w:rsidR="00736EB1">
        <w:rPr>
          <w:rFonts w:hint="eastAsia"/>
        </w:rPr>
        <w:t>、</w:t>
      </w:r>
      <w:r w:rsidR="00736EB1">
        <w:t>凝析油</w:t>
      </w:r>
      <w:r w:rsidR="00D1608A" w:rsidRPr="00D630D1">
        <w:t>。</w:t>
      </w:r>
    </w:p>
    <w:p w:rsidR="00117C3D" w:rsidRPr="00D630D1" w:rsidRDefault="008B5B84" w:rsidP="00A3522C">
      <w:pPr>
        <w:pStyle w:val="afa"/>
        <w:ind w:firstLine="482"/>
        <w:rPr>
          <w:b/>
          <w:bCs/>
        </w:rPr>
      </w:pPr>
      <w:r w:rsidRPr="00D630D1">
        <w:rPr>
          <w:b/>
          <w:bCs/>
        </w:rPr>
        <w:lastRenderedPageBreak/>
        <w:t>7</w:t>
      </w:r>
      <w:r w:rsidRPr="00D630D1">
        <w:rPr>
          <w:b/>
          <w:bCs/>
        </w:rPr>
        <w:t>、土壤环境影响</w:t>
      </w:r>
    </w:p>
    <w:p w:rsidR="00117C3D" w:rsidRPr="00D630D1" w:rsidRDefault="008B5B84" w:rsidP="00337B64">
      <w:pPr>
        <w:pStyle w:val="afa"/>
        <w:ind w:firstLine="480"/>
      </w:pPr>
      <w:r w:rsidRPr="00D630D1">
        <w:t>（</w:t>
      </w:r>
      <w:r w:rsidRPr="00D630D1">
        <w:t>1</w:t>
      </w:r>
      <w:r w:rsidRPr="00D630D1">
        <w:t>）施工期</w:t>
      </w:r>
      <w:r w:rsidR="002209D1" w:rsidRPr="00D630D1">
        <w:rPr>
          <w:rFonts w:hint="eastAsia"/>
        </w:rPr>
        <w:t>场地平整、</w:t>
      </w:r>
      <w:r w:rsidRPr="00D630D1">
        <w:t>管线开挖造成土壤扰动；</w:t>
      </w:r>
    </w:p>
    <w:p w:rsidR="00117C3D" w:rsidRPr="00D630D1" w:rsidRDefault="008B5B84" w:rsidP="00337B64">
      <w:pPr>
        <w:pStyle w:val="afa"/>
        <w:ind w:firstLine="480"/>
      </w:pPr>
      <w:r w:rsidRPr="00D630D1">
        <w:t>（</w:t>
      </w:r>
      <w:r w:rsidRPr="00D630D1">
        <w:t>2</w:t>
      </w:r>
      <w:r w:rsidRPr="00D630D1">
        <w:t>）施工期施工废水对土壤的影响；</w:t>
      </w:r>
    </w:p>
    <w:p w:rsidR="00117C3D" w:rsidRPr="00D630D1" w:rsidRDefault="008B5B84" w:rsidP="00337B64">
      <w:pPr>
        <w:pStyle w:val="afa"/>
        <w:ind w:firstLine="480"/>
      </w:pPr>
      <w:r w:rsidRPr="00D630D1">
        <w:t>（</w:t>
      </w:r>
      <w:r w:rsidRPr="00D630D1">
        <w:t>3</w:t>
      </w:r>
      <w:r w:rsidRPr="00D630D1">
        <w:t>）施工期施工机械废机油渗漏对土壤的影响；</w:t>
      </w:r>
    </w:p>
    <w:p w:rsidR="00117C3D" w:rsidRPr="00D630D1" w:rsidRDefault="008B5B84" w:rsidP="00337B64">
      <w:pPr>
        <w:pStyle w:val="afa"/>
        <w:ind w:firstLine="480"/>
      </w:pPr>
      <w:r w:rsidRPr="00D630D1">
        <w:t>（</w:t>
      </w:r>
      <w:r w:rsidRPr="00D630D1">
        <w:t>4</w:t>
      </w:r>
      <w:r w:rsidRPr="00D630D1">
        <w:t>）运营期</w:t>
      </w:r>
      <w:r w:rsidR="00BE0268" w:rsidRPr="00D630D1">
        <w:t>生活污水</w:t>
      </w:r>
      <w:r w:rsidR="00A0659D" w:rsidRPr="00D630D1">
        <w:rPr>
          <w:rFonts w:hint="eastAsia"/>
        </w:rPr>
        <w:t>、</w:t>
      </w:r>
      <w:r w:rsidR="00A0659D" w:rsidRPr="00D630D1">
        <w:t>气田水</w:t>
      </w:r>
      <w:r w:rsidRPr="00D630D1">
        <w:t>对土壤环境的影响。</w:t>
      </w:r>
    </w:p>
    <w:p w:rsidR="00117C3D" w:rsidRPr="00D630D1" w:rsidRDefault="008B5B84" w:rsidP="00337B64">
      <w:pPr>
        <w:pStyle w:val="afa"/>
        <w:ind w:firstLine="482"/>
        <w:rPr>
          <w:b/>
          <w:bCs/>
        </w:rPr>
      </w:pPr>
      <w:r w:rsidRPr="00D630D1">
        <w:rPr>
          <w:b/>
          <w:bCs/>
        </w:rPr>
        <w:t>8</w:t>
      </w:r>
      <w:r w:rsidRPr="00D630D1">
        <w:rPr>
          <w:b/>
          <w:bCs/>
        </w:rPr>
        <w:t>、社会环境影响</w:t>
      </w:r>
    </w:p>
    <w:p w:rsidR="00117C3D" w:rsidRPr="00D630D1" w:rsidRDefault="008B5B84" w:rsidP="00337B64">
      <w:pPr>
        <w:pStyle w:val="afa"/>
        <w:ind w:firstLine="480"/>
      </w:pPr>
      <w:r w:rsidRPr="00D630D1">
        <w:t>（</w:t>
      </w:r>
      <w:r w:rsidRPr="00D630D1">
        <w:t>1</w:t>
      </w:r>
      <w:r w:rsidRPr="00D630D1">
        <w:t>）施工期对沿线农业生产的影响；</w:t>
      </w:r>
    </w:p>
    <w:p w:rsidR="00117C3D" w:rsidRPr="00D630D1" w:rsidRDefault="008B5B84" w:rsidP="00337B64">
      <w:pPr>
        <w:pStyle w:val="afa"/>
        <w:ind w:firstLine="480"/>
      </w:pPr>
      <w:r w:rsidRPr="00D630D1">
        <w:t>（</w:t>
      </w:r>
      <w:r w:rsidRPr="00D630D1">
        <w:t>2</w:t>
      </w:r>
      <w:r w:rsidRPr="00D630D1">
        <w:t>）</w:t>
      </w:r>
      <w:r w:rsidR="002209D1" w:rsidRPr="00D630D1">
        <w:t>施工期对居住环境的影响；</w:t>
      </w:r>
    </w:p>
    <w:p w:rsidR="00117C3D" w:rsidRPr="00D630D1" w:rsidRDefault="008B5B84" w:rsidP="00337B64">
      <w:pPr>
        <w:pStyle w:val="afa"/>
        <w:ind w:firstLine="480"/>
      </w:pPr>
      <w:r w:rsidRPr="00D630D1">
        <w:t>（</w:t>
      </w:r>
      <w:r w:rsidRPr="00D630D1">
        <w:t>3</w:t>
      </w:r>
      <w:r w:rsidRPr="00D630D1">
        <w:t>）</w:t>
      </w:r>
      <w:r w:rsidR="002209D1" w:rsidRPr="00D630D1">
        <w:t>工程建设对沿线景观的影响；</w:t>
      </w:r>
    </w:p>
    <w:p w:rsidR="00117C3D" w:rsidRPr="00D630D1" w:rsidRDefault="008B5B84" w:rsidP="00337B64">
      <w:pPr>
        <w:pStyle w:val="afa"/>
        <w:ind w:firstLine="480"/>
      </w:pPr>
      <w:r w:rsidRPr="00D630D1">
        <w:t>（</w:t>
      </w:r>
      <w:r w:rsidRPr="00D630D1">
        <w:t>4</w:t>
      </w:r>
      <w:r w:rsidRPr="00D630D1">
        <w:t>）</w:t>
      </w:r>
      <w:r w:rsidR="002209D1" w:rsidRPr="00D630D1">
        <w:t>对沿线的社会就业、社会经济的贡献。</w:t>
      </w:r>
    </w:p>
    <w:p w:rsidR="00117C3D" w:rsidRPr="003F0C16" w:rsidRDefault="00833DAF" w:rsidP="00337B64">
      <w:pPr>
        <w:pStyle w:val="afa"/>
        <w:ind w:firstLine="480"/>
      </w:pPr>
      <w:r w:rsidRPr="003F0C16">
        <w:t>本</w:t>
      </w:r>
      <w:r w:rsidR="008B5B84" w:rsidRPr="003F0C16">
        <w:t>项目环境影响具体内容见表</w:t>
      </w:r>
      <w:r w:rsidR="008B5B84" w:rsidRPr="003F0C16">
        <w:t>1.3-1</w:t>
      </w:r>
      <w:r w:rsidR="008B5B84" w:rsidRPr="003F0C16">
        <w:t>。</w:t>
      </w:r>
    </w:p>
    <w:p w:rsidR="00117C3D" w:rsidRPr="00D630D1" w:rsidRDefault="00F042AA" w:rsidP="00337B64">
      <w:pPr>
        <w:pStyle w:val="10"/>
        <w:rPr>
          <w:rFonts w:cs="Times New Roman"/>
        </w:rPr>
      </w:pPr>
      <w:r w:rsidRPr="00D630D1">
        <w:rPr>
          <w:rFonts w:cs="Times New Roman"/>
        </w:rPr>
        <w:br w:type="page"/>
      </w:r>
      <w:r w:rsidR="008B5B84" w:rsidRPr="00D630D1">
        <w:rPr>
          <w:rFonts w:cs="Times New Roman"/>
        </w:rPr>
        <w:lastRenderedPageBreak/>
        <w:t>表</w:t>
      </w:r>
      <w:r w:rsidR="008B5B84" w:rsidRPr="00D630D1">
        <w:rPr>
          <w:rFonts w:cs="Times New Roman"/>
        </w:rPr>
        <w:t>1.3-1</w:t>
      </w:r>
      <w:r w:rsidR="006E46FC" w:rsidRPr="00D630D1">
        <w:rPr>
          <w:rFonts w:cs="Times New Roman"/>
        </w:rPr>
        <w:t xml:space="preserve">  </w:t>
      </w:r>
      <w:r w:rsidR="00833DAF" w:rsidRPr="00D630D1">
        <w:rPr>
          <w:rFonts w:cs="Times New Roman"/>
        </w:rPr>
        <w:t>本项目施工期</w:t>
      </w:r>
      <w:r w:rsidR="008B5B84" w:rsidRPr="00D630D1">
        <w:rPr>
          <w:rFonts w:cs="Times New Roman"/>
        </w:rPr>
        <w:t>和运营期环境影响分析表</w:t>
      </w:r>
    </w:p>
    <w:tbl>
      <w:tblPr>
        <w:tblW w:w="5330" w:type="pct"/>
        <w:jc w:val="center"/>
        <w:tblCellMar>
          <w:left w:w="0" w:type="dxa"/>
          <w:right w:w="0" w:type="dxa"/>
        </w:tblCellMar>
        <w:tblLook w:val="04A0"/>
      </w:tblPr>
      <w:tblGrid>
        <w:gridCol w:w="542"/>
        <w:gridCol w:w="515"/>
        <w:gridCol w:w="1778"/>
        <w:gridCol w:w="6019"/>
      </w:tblGrid>
      <w:tr w:rsidR="00D1608A" w:rsidRPr="00D630D1" w:rsidTr="005E247F">
        <w:trPr>
          <w:trHeight w:val="17"/>
          <w:jc w:val="center"/>
        </w:trPr>
        <w:tc>
          <w:tcPr>
            <w:tcW w:w="306" w:type="pct"/>
            <w:tcBorders>
              <w:top w:val="single" w:sz="12" w:space="0" w:color="000000"/>
              <w:left w:val="nil"/>
              <w:bottom w:val="single" w:sz="2"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szCs w:val="21"/>
              </w:rPr>
            </w:pPr>
            <w:r w:rsidRPr="00D630D1">
              <w:rPr>
                <w:rFonts w:ascii="Times New Roman" w:cs="Times New Roman"/>
                <w:b/>
                <w:bCs/>
                <w:kern w:val="2"/>
                <w:sz w:val="21"/>
                <w:szCs w:val="21"/>
              </w:rPr>
              <w:t>时段</w:t>
            </w:r>
          </w:p>
        </w:tc>
        <w:tc>
          <w:tcPr>
            <w:tcW w:w="1295" w:type="pct"/>
            <w:gridSpan w:val="2"/>
            <w:tcBorders>
              <w:top w:val="single" w:sz="12" w:space="0" w:color="000000"/>
              <w:left w:val="single" w:sz="4" w:space="0" w:color="000000"/>
              <w:bottom w:val="single" w:sz="2"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szCs w:val="21"/>
              </w:rPr>
            </w:pPr>
            <w:r w:rsidRPr="00D630D1">
              <w:rPr>
                <w:rFonts w:ascii="Times New Roman" w:cs="Times New Roman"/>
                <w:b/>
                <w:bCs/>
                <w:kern w:val="2"/>
                <w:sz w:val="21"/>
                <w:szCs w:val="21"/>
              </w:rPr>
              <w:t>项目建设活动</w:t>
            </w:r>
          </w:p>
        </w:tc>
        <w:tc>
          <w:tcPr>
            <w:tcW w:w="3399" w:type="pct"/>
            <w:tcBorders>
              <w:top w:val="single" w:sz="12" w:space="0" w:color="000000"/>
              <w:left w:val="single" w:sz="4" w:space="0" w:color="000000"/>
              <w:bottom w:val="single" w:sz="2" w:space="0" w:color="000000"/>
              <w:right w:val="nil"/>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szCs w:val="21"/>
              </w:rPr>
            </w:pPr>
            <w:r w:rsidRPr="00D630D1">
              <w:rPr>
                <w:rFonts w:ascii="Times New Roman" w:cs="Times New Roman"/>
                <w:b/>
                <w:bCs/>
                <w:kern w:val="2"/>
                <w:sz w:val="21"/>
                <w:szCs w:val="21"/>
              </w:rPr>
              <w:t>环境影响内容</w:t>
            </w:r>
          </w:p>
        </w:tc>
      </w:tr>
      <w:tr w:rsidR="002209D1" w:rsidRPr="00D630D1" w:rsidTr="002209D1">
        <w:trPr>
          <w:trHeight w:val="17"/>
          <w:jc w:val="center"/>
        </w:trPr>
        <w:tc>
          <w:tcPr>
            <w:tcW w:w="306" w:type="pct"/>
            <w:vMerge w:val="restart"/>
            <w:tcBorders>
              <w:top w:val="single" w:sz="2" w:space="0" w:color="000000"/>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施</w:t>
            </w:r>
          </w:p>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工</w:t>
            </w:r>
          </w:p>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期</w:t>
            </w:r>
          </w:p>
        </w:tc>
        <w:tc>
          <w:tcPr>
            <w:tcW w:w="291" w:type="pct"/>
            <w:vMerge w:val="restar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线路工程</w:t>
            </w: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管道</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临时占用土地，改变土地利用的现有功能或类型。</w:t>
            </w:r>
          </w:p>
        </w:tc>
      </w:tr>
      <w:tr w:rsidR="002209D1" w:rsidRPr="00D630D1" w:rsidTr="002209D1">
        <w:trPr>
          <w:trHeight w:val="569"/>
          <w:jc w:val="center"/>
        </w:trPr>
        <w:tc>
          <w:tcPr>
            <w:tcW w:w="306" w:type="pct"/>
            <w:vMerge/>
            <w:tcBorders>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291" w:type="pct"/>
            <w:vMerge/>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管沟开挖与回填</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rsidP="00321EEC">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破坏施工作业带内的土壤、植被和视觉景观；特别对沿线林地的破坏是不可逆转的，需要提出林地补偿建设计划；可能产生废弃石方，且堆放不当易引起水土流失，污染地表水体或农田；运输、挖填作业中产生扬尘。</w:t>
            </w:r>
          </w:p>
        </w:tc>
      </w:tr>
      <w:tr w:rsidR="002209D1" w:rsidRPr="00D630D1" w:rsidTr="002209D1">
        <w:trPr>
          <w:trHeight w:val="17"/>
          <w:jc w:val="center"/>
        </w:trPr>
        <w:tc>
          <w:tcPr>
            <w:tcW w:w="306" w:type="pct"/>
            <w:vMerge/>
            <w:tcBorders>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291" w:type="pct"/>
            <w:vMerge/>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原材料运输</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运输车辆产生尾气、噪声和扬尘；</w:t>
            </w:r>
          </w:p>
          <w:p w:rsidR="002209D1" w:rsidRPr="00D630D1" w:rsidRDefault="002209D1" w:rsidP="00743803">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临时料场占用土地，短期影响土地的使用功能或类型</w:t>
            </w:r>
            <w:r w:rsidR="00743803">
              <w:rPr>
                <w:rFonts w:ascii="Times New Roman" w:cs="Times New Roman" w:hint="eastAsia"/>
                <w:kern w:val="2"/>
                <w:sz w:val="21"/>
                <w:szCs w:val="21"/>
              </w:rPr>
              <w:t>。</w:t>
            </w:r>
          </w:p>
        </w:tc>
      </w:tr>
      <w:tr w:rsidR="002209D1" w:rsidRPr="00D630D1" w:rsidTr="002209D1">
        <w:trPr>
          <w:trHeight w:val="17"/>
          <w:jc w:val="center"/>
        </w:trPr>
        <w:tc>
          <w:tcPr>
            <w:tcW w:w="306" w:type="pct"/>
            <w:vMerge/>
            <w:tcBorders>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291" w:type="pct"/>
            <w:vMerge/>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施工机械操作</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产生机械尾气和噪声。</w:t>
            </w:r>
          </w:p>
        </w:tc>
      </w:tr>
      <w:tr w:rsidR="002209D1" w:rsidRPr="00D630D1" w:rsidTr="002209D1">
        <w:trPr>
          <w:trHeight w:val="17"/>
          <w:jc w:val="center"/>
        </w:trPr>
        <w:tc>
          <w:tcPr>
            <w:tcW w:w="306" w:type="pct"/>
            <w:vMerge/>
            <w:tcBorders>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291" w:type="pct"/>
            <w:vMerge/>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管道组装焊接</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焊接烟尘，采用先进设备，野外作业自然排放，环境影响较小。</w:t>
            </w:r>
          </w:p>
        </w:tc>
      </w:tr>
      <w:tr w:rsidR="002209D1" w:rsidRPr="00D630D1" w:rsidTr="002209D1">
        <w:trPr>
          <w:trHeight w:val="17"/>
          <w:jc w:val="center"/>
        </w:trPr>
        <w:tc>
          <w:tcPr>
            <w:tcW w:w="306" w:type="pct"/>
            <w:vMerge/>
            <w:tcBorders>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291" w:type="pct"/>
            <w:vMerge/>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施工便道建设及使用</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临时占用部分土地，产生扬尘及噪声；</w:t>
            </w:r>
          </w:p>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施工结束后恢复，不改变土地利用的原有功能。</w:t>
            </w:r>
          </w:p>
        </w:tc>
      </w:tr>
      <w:tr w:rsidR="002209D1" w:rsidRPr="00D630D1" w:rsidTr="002209D1">
        <w:trPr>
          <w:trHeight w:val="17"/>
          <w:jc w:val="center"/>
        </w:trPr>
        <w:tc>
          <w:tcPr>
            <w:tcW w:w="306" w:type="pct"/>
            <w:vMerge/>
            <w:tcBorders>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291" w:type="pct"/>
            <w:vMerge/>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施工人员日常生活</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施工人员生活污水、生活垃圾产排。</w:t>
            </w:r>
          </w:p>
        </w:tc>
      </w:tr>
      <w:tr w:rsidR="002209D1" w:rsidRPr="00D630D1" w:rsidTr="002209D1">
        <w:trPr>
          <w:trHeight w:val="17"/>
          <w:jc w:val="center"/>
        </w:trPr>
        <w:tc>
          <w:tcPr>
            <w:tcW w:w="306" w:type="pct"/>
            <w:vMerge/>
            <w:tcBorders>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291" w:type="pct"/>
            <w:vMerge/>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施工作业场地</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临时占用部分土地，短期影响土地的使用功能或类型，破坏生态环境。</w:t>
            </w:r>
          </w:p>
        </w:tc>
      </w:tr>
      <w:tr w:rsidR="002209D1" w:rsidRPr="00D630D1" w:rsidTr="002209D1">
        <w:trPr>
          <w:trHeight w:val="17"/>
          <w:jc w:val="center"/>
        </w:trPr>
        <w:tc>
          <w:tcPr>
            <w:tcW w:w="306" w:type="pct"/>
            <w:vMerge/>
            <w:tcBorders>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291" w:type="pct"/>
            <w:vMerge w:val="restar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穿越工程</w:t>
            </w: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rsidP="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穿越或临近环境敏感区</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rsidP="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管道选线时，避开了地上已有环境敏感区和名胜古迹。</w:t>
            </w:r>
          </w:p>
        </w:tc>
      </w:tr>
      <w:tr w:rsidR="002209D1" w:rsidRPr="00D630D1" w:rsidTr="002209D1">
        <w:trPr>
          <w:trHeight w:val="17"/>
          <w:jc w:val="center"/>
        </w:trPr>
        <w:tc>
          <w:tcPr>
            <w:tcW w:w="306" w:type="pct"/>
            <w:vMerge/>
            <w:tcBorders>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291" w:type="pct"/>
            <w:vMerge/>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rsidP="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穿越或临近未发现名胜、文物古迹</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rsidP="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施工中如发现地下文物、古迹，应停止施工，及时向当地文物部门报告。</w:t>
            </w:r>
          </w:p>
        </w:tc>
      </w:tr>
      <w:tr w:rsidR="002209D1" w:rsidRPr="00D630D1" w:rsidTr="002209D1">
        <w:trPr>
          <w:trHeight w:val="17"/>
          <w:jc w:val="center"/>
        </w:trPr>
        <w:tc>
          <w:tcPr>
            <w:tcW w:w="306" w:type="pct"/>
            <w:vMerge/>
            <w:tcBorders>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291" w:type="pct"/>
            <w:vMerge/>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rsidP="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试压、清管作业</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rsidP="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废水排放对区域水环境短期内可能产生一定的影响，所排放废水必须经沉淀、过滤处理后</w:t>
            </w:r>
            <w:r w:rsidR="00743803">
              <w:rPr>
                <w:rFonts w:ascii="Times New Roman" w:cs="Times New Roman" w:hint="eastAsia"/>
                <w:kern w:val="2"/>
                <w:sz w:val="21"/>
                <w:szCs w:val="21"/>
              </w:rPr>
              <w:t>回用，</w:t>
            </w:r>
            <w:r w:rsidR="00743803">
              <w:rPr>
                <w:rFonts w:ascii="Times New Roman" w:cs="Times New Roman"/>
                <w:kern w:val="2"/>
                <w:sz w:val="21"/>
                <w:szCs w:val="21"/>
              </w:rPr>
              <w:t>不外排</w:t>
            </w:r>
            <w:r w:rsidR="00743803">
              <w:rPr>
                <w:rFonts w:ascii="Times New Roman" w:cs="Times New Roman" w:hint="eastAsia"/>
                <w:kern w:val="2"/>
                <w:sz w:val="21"/>
                <w:szCs w:val="21"/>
              </w:rPr>
              <w:t>。</w:t>
            </w:r>
          </w:p>
        </w:tc>
      </w:tr>
      <w:tr w:rsidR="002209D1" w:rsidRPr="00D630D1" w:rsidTr="002209D1">
        <w:trPr>
          <w:trHeight w:val="17"/>
          <w:jc w:val="center"/>
        </w:trPr>
        <w:tc>
          <w:tcPr>
            <w:tcW w:w="306" w:type="pct"/>
            <w:vMerge/>
            <w:tcBorders>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291" w:type="pct"/>
            <w:vMerge w:val="restart"/>
            <w:tcBorders>
              <w:top w:val="single" w:sz="2" w:space="0" w:color="000000"/>
              <w:left w:val="single" w:sz="4" w:space="0" w:color="000000"/>
              <w:bottom w:val="single" w:sz="2" w:space="0" w:color="000000"/>
              <w:right w:val="single" w:sz="4" w:space="0" w:color="000000"/>
            </w:tcBorders>
            <w:vAlign w:val="center"/>
          </w:tcPr>
          <w:p w:rsidR="002209D1" w:rsidRPr="00D630D1" w:rsidRDefault="00DC6697">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钻前工程</w:t>
            </w: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场站</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rsidP="002209D1">
            <w:pPr>
              <w:pStyle w:val="aff2"/>
            </w:pPr>
            <w:r w:rsidRPr="00D630D1">
              <w:t>永久占用土地，改变土地利用的现有功能；破坏生态植被</w:t>
            </w:r>
            <w:r w:rsidR="00DC6697" w:rsidRPr="00D630D1">
              <w:rPr>
                <w:rFonts w:hint="eastAsia"/>
              </w:rPr>
              <w:t>；</w:t>
            </w:r>
            <w:r w:rsidR="00DC6697" w:rsidRPr="00D630D1">
              <w:t>水土流失</w:t>
            </w:r>
            <w:r w:rsidRPr="00D630D1">
              <w:t>。</w:t>
            </w:r>
          </w:p>
        </w:tc>
      </w:tr>
      <w:tr w:rsidR="002209D1" w:rsidRPr="00D630D1" w:rsidTr="002209D1">
        <w:trPr>
          <w:trHeight w:val="17"/>
          <w:jc w:val="center"/>
        </w:trPr>
        <w:tc>
          <w:tcPr>
            <w:tcW w:w="306" w:type="pct"/>
            <w:vMerge/>
            <w:tcBorders>
              <w:left w:val="nil"/>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291" w:type="pct"/>
            <w:vMerge/>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施工机械操作</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rsidP="009043D9">
            <w:pPr>
              <w:pStyle w:val="aff2"/>
            </w:pPr>
            <w:r w:rsidRPr="00D630D1">
              <w:t>施工产生机械尾气和噪声。</w:t>
            </w:r>
          </w:p>
        </w:tc>
      </w:tr>
      <w:tr w:rsidR="002209D1" w:rsidRPr="00D630D1" w:rsidTr="002209D1">
        <w:trPr>
          <w:trHeight w:val="17"/>
          <w:jc w:val="center"/>
        </w:trPr>
        <w:tc>
          <w:tcPr>
            <w:tcW w:w="306" w:type="pct"/>
            <w:vMerge/>
            <w:tcBorders>
              <w:left w:val="nil"/>
              <w:right w:val="single" w:sz="4" w:space="0" w:color="000000"/>
            </w:tcBorders>
            <w:vAlign w:val="center"/>
          </w:tcPr>
          <w:p w:rsidR="002209D1" w:rsidRPr="00D630D1" w:rsidRDefault="002209D1" w:rsidP="00833DAF">
            <w:pPr>
              <w:topLinePunct w:val="0"/>
              <w:adjustRightInd/>
              <w:spacing w:line="240" w:lineRule="auto"/>
              <w:ind w:firstLineChars="0" w:firstLine="0"/>
              <w:jc w:val="center"/>
              <w:rPr>
                <w:rFonts w:ascii="Times New Roman" w:cs="Times New Roman"/>
                <w:kern w:val="2"/>
                <w:sz w:val="21"/>
                <w:szCs w:val="21"/>
              </w:rPr>
            </w:pPr>
          </w:p>
        </w:tc>
        <w:tc>
          <w:tcPr>
            <w:tcW w:w="291" w:type="pct"/>
            <w:vMerge/>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rsidP="00833DAF">
            <w:pPr>
              <w:topLinePunct w:val="0"/>
              <w:adjustRightInd/>
              <w:spacing w:line="240" w:lineRule="auto"/>
              <w:ind w:firstLineChars="0" w:firstLine="0"/>
              <w:jc w:val="center"/>
              <w:rPr>
                <w:rFonts w:ascii="Times New Roman" w:cs="Times New Roman"/>
                <w:kern w:val="2"/>
                <w:sz w:val="21"/>
                <w:szCs w:val="21"/>
              </w:rPr>
            </w:pP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rsidP="00833DAF">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施工人员日常生活</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rsidP="00833DAF">
            <w:pPr>
              <w:pStyle w:val="aff2"/>
            </w:pPr>
            <w:r w:rsidRPr="00D630D1">
              <w:t>施工人员生活污水、生活垃圾排放。</w:t>
            </w:r>
          </w:p>
        </w:tc>
      </w:tr>
      <w:tr w:rsidR="002209D1" w:rsidRPr="00D630D1" w:rsidTr="00DC6697">
        <w:trPr>
          <w:trHeight w:val="17"/>
          <w:jc w:val="center"/>
        </w:trPr>
        <w:tc>
          <w:tcPr>
            <w:tcW w:w="306" w:type="pct"/>
            <w:vMerge/>
            <w:tcBorders>
              <w:left w:val="nil"/>
              <w:right w:val="single" w:sz="4" w:space="0" w:color="000000"/>
            </w:tcBorders>
            <w:vAlign w:val="center"/>
          </w:tcPr>
          <w:p w:rsidR="002209D1" w:rsidRPr="00D630D1" w:rsidRDefault="002209D1" w:rsidP="00833DAF">
            <w:pPr>
              <w:topLinePunct w:val="0"/>
              <w:adjustRightInd/>
              <w:spacing w:line="240" w:lineRule="auto"/>
              <w:ind w:firstLineChars="0" w:firstLine="0"/>
              <w:jc w:val="center"/>
              <w:rPr>
                <w:rFonts w:ascii="Times New Roman" w:cs="Times New Roman"/>
                <w:kern w:val="2"/>
                <w:sz w:val="21"/>
                <w:szCs w:val="21"/>
              </w:rPr>
            </w:pPr>
          </w:p>
        </w:tc>
        <w:tc>
          <w:tcPr>
            <w:tcW w:w="291" w:type="pct"/>
            <w:tcBorders>
              <w:top w:val="single" w:sz="2" w:space="0" w:color="000000"/>
              <w:left w:val="single" w:sz="4" w:space="0" w:color="000000"/>
              <w:bottom w:val="single" w:sz="4" w:space="0" w:color="auto"/>
              <w:right w:val="single" w:sz="4" w:space="0" w:color="000000"/>
            </w:tcBorders>
            <w:vAlign w:val="center"/>
          </w:tcPr>
          <w:p w:rsidR="002209D1" w:rsidRPr="00D630D1" w:rsidRDefault="002209D1" w:rsidP="002209D1">
            <w:pPr>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钻井工程</w:t>
            </w: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DC6697" w:rsidP="00833DAF">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安装相关钻井设备，如钻机、天车、泥浆泵等，拟采用气体钻井和常规钻井相结合的方式，固井作业包括下套管和注水泥</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DC6697" w:rsidP="00DC6697">
            <w:pPr>
              <w:pStyle w:val="aff2"/>
            </w:pPr>
            <w:r w:rsidRPr="00D630D1">
              <w:t>钻井过程中会产生废气、废水、废泥浆、岩屑</w:t>
            </w:r>
            <w:r w:rsidRPr="00D630D1">
              <w:rPr>
                <w:rFonts w:hint="eastAsia"/>
              </w:rPr>
              <w:t>、废油</w:t>
            </w:r>
            <w:r w:rsidRPr="00D630D1">
              <w:t>、噪声等，对周围环境造成影响；钻井过程中可能造成地下水的污染。</w:t>
            </w:r>
          </w:p>
        </w:tc>
      </w:tr>
      <w:tr w:rsidR="002209D1" w:rsidRPr="00D630D1" w:rsidTr="00DC6697">
        <w:trPr>
          <w:trHeight w:val="17"/>
          <w:jc w:val="center"/>
        </w:trPr>
        <w:tc>
          <w:tcPr>
            <w:tcW w:w="306" w:type="pct"/>
            <w:vMerge/>
            <w:tcBorders>
              <w:left w:val="nil"/>
              <w:bottom w:val="single" w:sz="2" w:space="0" w:color="000000"/>
              <w:right w:val="single" w:sz="4" w:space="0" w:color="000000"/>
            </w:tcBorders>
            <w:vAlign w:val="center"/>
          </w:tcPr>
          <w:p w:rsidR="002209D1" w:rsidRPr="00D630D1" w:rsidRDefault="002209D1" w:rsidP="00833DAF">
            <w:pPr>
              <w:topLinePunct w:val="0"/>
              <w:adjustRightInd/>
              <w:spacing w:line="240" w:lineRule="auto"/>
              <w:ind w:firstLineChars="0" w:firstLine="0"/>
              <w:jc w:val="center"/>
              <w:rPr>
                <w:rFonts w:ascii="Times New Roman" w:cs="Times New Roman"/>
                <w:kern w:val="2"/>
                <w:sz w:val="21"/>
                <w:szCs w:val="21"/>
              </w:rPr>
            </w:pPr>
          </w:p>
        </w:tc>
        <w:tc>
          <w:tcPr>
            <w:tcW w:w="291" w:type="pct"/>
            <w:tcBorders>
              <w:top w:val="single" w:sz="4" w:space="0" w:color="auto"/>
              <w:left w:val="single" w:sz="4" w:space="0" w:color="000000"/>
              <w:bottom w:val="single" w:sz="2" w:space="0" w:color="000000"/>
              <w:right w:val="single" w:sz="4" w:space="0" w:color="000000"/>
            </w:tcBorders>
            <w:vAlign w:val="center"/>
          </w:tcPr>
          <w:p w:rsidR="002209D1" w:rsidRPr="00D630D1" w:rsidRDefault="00DC6697" w:rsidP="00DC6697">
            <w:pPr>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完井工程</w:t>
            </w:r>
          </w:p>
        </w:tc>
        <w:tc>
          <w:tcPr>
            <w:tcW w:w="1004" w:type="pct"/>
            <w:tcBorders>
              <w:top w:val="single" w:sz="2" w:space="0" w:color="000000"/>
              <w:left w:val="single" w:sz="4" w:space="0" w:color="000000"/>
              <w:bottom w:val="single" w:sz="2" w:space="0" w:color="000000"/>
              <w:right w:val="single" w:sz="4" w:space="0" w:color="000000"/>
            </w:tcBorders>
            <w:vAlign w:val="center"/>
          </w:tcPr>
          <w:p w:rsidR="002209D1" w:rsidRPr="00D630D1" w:rsidRDefault="00DC6697" w:rsidP="00833DAF">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射孔、酸压、测试放喷</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DC6697" w:rsidP="00DC6697">
            <w:pPr>
              <w:pStyle w:val="aff2"/>
            </w:pPr>
            <w:r w:rsidRPr="00D630D1">
              <w:t>完井过程中会产生废气、废水、废泥浆、岩屑</w:t>
            </w:r>
            <w:r w:rsidRPr="00D630D1">
              <w:rPr>
                <w:rFonts w:hint="eastAsia"/>
              </w:rPr>
              <w:t>、废油</w:t>
            </w:r>
            <w:r w:rsidRPr="00D630D1">
              <w:t>、噪声等，对周围环境造成影响</w:t>
            </w:r>
            <w:r w:rsidRPr="00D630D1">
              <w:rPr>
                <w:rFonts w:hint="eastAsia"/>
              </w:rPr>
              <w:t>。</w:t>
            </w:r>
          </w:p>
        </w:tc>
      </w:tr>
      <w:tr w:rsidR="002209D1" w:rsidRPr="00D630D1" w:rsidTr="004B5C3E">
        <w:trPr>
          <w:trHeight w:val="17"/>
          <w:jc w:val="center"/>
        </w:trPr>
        <w:tc>
          <w:tcPr>
            <w:tcW w:w="306" w:type="pct"/>
            <w:vMerge w:val="restart"/>
            <w:tcBorders>
              <w:top w:val="single" w:sz="2" w:space="0" w:color="000000"/>
              <w:left w:val="nil"/>
              <w:right w:val="single" w:sz="4" w:space="0" w:color="000000"/>
            </w:tcBorders>
            <w:vAlign w:val="center"/>
          </w:tcPr>
          <w:p w:rsidR="002209D1" w:rsidRPr="00D630D1" w:rsidRDefault="002209D1" w:rsidP="004B5C3E">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运</w:t>
            </w:r>
          </w:p>
          <w:p w:rsidR="002209D1" w:rsidRPr="00D630D1" w:rsidRDefault="002209D1" w:rsidP="004B5C3E">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营</w:t>
            </w:r>
          </w:p>
          <w:p w:rsidR="002209D1" w:rsidRPr="00D630D1" w:rsidRDefault="002209D1" w:rsidP="004B5C3E">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期</w:t>
            </w:r>
          </w:p>
        </w:tc>
        <w:tc>
          <w:tcPr>
            <w:tcW w:w="1295" w:type="pct"/>
            <w:gridSpan w:val="2"/>
            <w:tcBorders>
              <w:top w:val="single" w:sz="2" w:space="0" w:color="000000"/>
              <w:left w:val="single" w:sz="4" w:space="0" w:color="000000"/>
              <w:bottom w:val="single" w:sz="2" w:space="0" w:color="000000"/>
              <w:right w:val="single" w:sz="4" w:space="0" w:color="000000"/>
            </w:tcBorders>
            <w:vAlign w:val="center"/>
          </w:tcPr>
          <w:p w:rsidR="002209D1" w:rsidRPr="00D630D1" w:rsidRDefault="002209D1" w:rsidP="00743803">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管道（</w:t>
            </w:r>
            <w:r w:rsidR="000E3D17" w:rsidRPr="00D630D1">
              <w:rPr>
                <w:rFonts w:ascii="Times New Roman" w:cs="Times New Roman" w:hint="eastAsia"/>
                <w:kern w:val="2"/>
                <w:sz w:val="21"/>
                <w:szCs w:val="21"/>
              </w:rPr>
              <w:t>3</w:t>
            </w:r>
            <w:r w:rsidR="00743803">
              <w:rPr>
                <w:rFonts w:ascii="Times New Roman" w:cs="Times New Roman" w:hint="eastAsia"/>
                <w:kern w:val="2"/>
                <w:sz w:val="21"/>
                <w:szCs w:val="21"/>
              </w:rPr>
              <w:t>98</w:t>
            </w:r>
            <w:r w:rsidR="007E7AC5" w:rsidRPr="00D630D1">
              <w:rPr>
                <w:rFonts w:ascii="Times New Roman" w:cs="Times New Roman" w:hint="eastAsia"/>
                <w:kern w:val="2"/>
                <w:sz w:val="21"/>
                <w:szCs w:val="21"/>
              </w:rPr>
              <w:t>0</w:t>
            </w:r>
            <w:r w:rsidRPr="00D630D1">
              <w:rPr>
                <w:rFonts w:ascii="Times New Roman" w:cs="Times New Roman"/>
                <w:kern w:val="2"/>
                <w:sz w:val="21"/>
                <w:szCs w:val="21"/>
              </w:rPr>
              <w:t>m</w:t>
            </w:r>
            <w:r w:rsidRPr="00D630D1">
              <w:rPr>
                <w:rFonts w:ascii="Times New Roman" w:cs="Times New Roman"/>
                <w:kern w:val="2"/>
                <w:sz w:val="21"/>
                <w:szCs w:val="21"/>
              </w:rPr>
              <w:t>）</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rsidP="004B5C3E">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正常工况：无污染影响；</w:t>
            </w:r>
          </w:p>
          <w:p w:rsidR="002209D1" w:rsidRPr="00D630D1" w:rsidRDefault="002209D1" w:rsidP="004B5C3E">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事故工况：管线发生泄漏、火灾、爆炸对沿线自然环境和人群财产生命健康的影响。</w:t>
            </w:r>
          </w:p>
        </w:tc>
      </w:tr>
      <w:tr w:rsidR="002209D1" w:rsidRPr="00D630D1" w:rsidTr="004B5C3E">
        <w:trPr>
          <w:trHeight w:val="17"/>
          <w:jc w:val="center"/>
        </w:trPr>
        <w:tc>
          <w:tcPr>
            <w:tcW w:w="306" w:type="pct"/>
            <w:vMerge/>
            <w:tcBorders>
              <w:top w:val="single" w:sz="2" w:space="0" w:color="000000"/>
              <w:left w:val="nil"/>
              <w:right w:val="single" w:sz="4" w:space="0" w:color="000000"/>
            </w:tcBorders>
            <w:vAlign w:val="center"/>
          </w:tcPr>
          <w:p w:rsidR="002209D1" w:rsidRPr="00D630D1" w:rsidRDefault="002209D1" w:rsidP="004B5C3E">
            <w:pPr>
              <w:topLinePunct w:val="0"/>
              <w:adjustRightInd/>
              <w:spacing w:line="240" w:lineRule="auto"/>
              <w:ind w:firstLineChars="0" w:firstLine="0"/>
              <w:jc w:val="center"/>
              <w:rPr>
                <w:rFonts w:ascii="Times New Roman" w:cs="Times New Roman"/>
                <w:kern w:val="2"/>
                <w:sz w:val="21"/>
                <w:szCs w:val="21"/>
              </w:rPr>
            </w:pPr>
          </w:p>
        </w:tc>
        <w:tc>
          <w:tcPr>
            <w:tcW w:w="1295" w:type="pct"/>
            <w:gridSpan w:val="2"/>
            <w:tcBorders>
              <w:top w:val="single" w:sz="2" w:space="0" w:color="000000"/>
              <w:left w:val="single" w:sz="4" w:space="0" w:color="000000"/>
              <w:bottom w:val="single" w:sz="2" w:space="0" w:color="000000"/>
              <w:right w:val="single" w:sz="4" w:space="0" w:color="000000"/>
            </w:tcBorders>
            <w:vAlign w:val="center"/>
          </w:tcPr>
          <w:p w:rsidR="002209D1" w:rsidRPr="00D630D1" w:rsidRDefault="00743803" w:rsidP="00743803">
            <w:pPr>
              <w:topLinePunct w:val="0"/>
              <w:adjustRightInd/>
              <w:spacing w:line="240" w:lineRule="auto"/>
              <w:ind w:firstLineChars="0" w:firstLine="0"/>
              <w:jc w:val="center"/>
              <w:rPr>
                <w:rFonts w:ascii="Times New Roman" w:cs="Times New Roman"/>
                <w:sz w:val="21"/>
                <w:szCs w:val="21"/>
              </w:rPr>
            </w:pPr>
            <w:r>
              <w:rPr>
                <w:rFonts w:ascii="Times New Roman" w:cs="Times New Roman" w:hint="eastAsia"/>
                <w:kern w:val="2"/>
                <w:sz w:val="21"/>
                <w:szCs w:val="21"/>
              </w:rPr>
              <w:t>普光</w:t>
            </w:r>
            <w:r>
              <w:rPr>
                <w:rFonts w:ascii="Times New Roman" w:cs="Times New Roman" w:hint="eastAsia"/>
                <w:kern w:val="2"/>
                <w:sz w:val="21"/>
                <w:szCs w:val="21"/>
              </w:rPr>
              <w:t>12</w:t>
            </w:r>
            <w:r>
              <w:rPr>
                <w:rFonts w:ascii="Times New Roman" w:cs="Times New Roman" w:hint="eastAsia"/>
                <w:kern w:val="2"/>
                <w:sz w:val="21"/>
                <w:szCs w:val="21"/>
              </w:rPr>
              <w:t>井场</w:t>
            </w:r>
          </w:p>
        </w:tc>
        <w:tc>
          <w:tcPr>
            <w:tcW w:w="3399" w:type="pct"/>
            <w:tcBorders>
              <w:top w:val="single" w:sz="2" w:space="0" w:color="000000"/>
              <w:left w:val="single" w:sz="4" w:space="0" w:color="000000"/>
              <w:bottom w:val="single" w:sz="2" w:space="0" w:color="000000"/>
              <w:right w:val="nil"/>
            </w:tcBorders>
            <w:vAlign w:val="center"/>
          </w:tcPr>
          <w:p w:rsidR="002209D1" w:rsidRPr="00D630D1" w:rsidRDefault="002209D1" w:rsidP="004B5C3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废水：</w:t>
            </w:r>
            <w:r w:rsidR="002C36C4">
              <w:rPr>
                <w:rFonts w:ascii="Times New Roman" w:cs="Times New Roman" w:hint="eastAsia"/>
                <w:kern w:val="2"/>
                <w:sz w:val="21"/>
              </w:rPr>
              <w:t>值守人员生活污水、</w:t>
            </w:r>
            <w:r w:rsidR="00A0659D" w:rsidRPr="00D630D1">
              <w:rPr>
                <w:rFonts w:ascii="Times New Roman" w:cs="Times New Roman"/>
                <w:kern w:val="2"/>
                <w:sz w:val="21"/>
              </w:rPr>
              <w:t>气田水</w:t>
            </w:r>
            <w:r w:rsidRPr="00D630D1">
              <w:rPr>
                <w:rFonts w:ascii="Times New Roman" w:cs="Times New Roman"/>
                <w:kern w:val="2"/>
                <w:sz w:val="21"/>
              </w:rPr>
              <w:t>。</w:t>
            </w:r>
          </w:p>
          <w:p w:rsidR="002209D1" w:rsidRPr="00D630D1" w:rsidRDefault="00EB34DA" w:rsidP="004B5C3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废气</w:t>
            </w:r>
            <w:r w:rsidRPr="00D630D1">
              <w:rPr>
                <w:rFonts w:ascii="Times New Roman" w:cs="Times New Roman" w:hint="eastAsia"/>
                <w:kern w:val="2"/>
                <w:sz w:val="21"/>
              </w:rPr>
              <w:t>：</w:t>
            </w:r>
            <w:r w:rsidR="002209D1" w:rsidRPr="00D630D1">
              <w:rPr>
                <w:rFonts w:ascii="Times New Roman" w:cs="Times New Roman"/>
                <w:kern w:val="2"/>
                <w:sz w:val="21"/>
              </w:rPr>
              <w:t>水套炉燃烧废气；异常工况下管道需进行清管作业和分离检修排放的少量天然气</w:t>
            </w:r>
            <w:r w:rsidR="002209D1" w:rsidRPr="00D630D1">
              <w:rPr>
                <w:rFonts w:ascii="Times New Roman" w:cs="Times New Roman" w:hint="eastAsia"/>
                <w:kern w:val="2"/>
                <w:sz w:val="21"/>
              </w:rPr>
              <w:t>。</w:t>
            </w:r>
          </w:p>
          <w:p w:rsidR="002209D1" w:rsidRPr="00D630D1" w:rsidRDefault="002209D1" w:rsidP="004B5C3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噪声：过滤分离器、截流阀、汇气管、调压放空系统等设施运行产生的噪声</w:t>
            </w:r>
            <w:r w:rsidRPr="00D630D1">
              <w:rPr>
                <w:rFonts w:ascii="Times New Roman" w:cs="Times New Roman" w:hint="eastAsia"/>
                <w:kern w:val="2"/>
                <w:sz w:val="21"/>
              </w:rPr>
              <w:t>。</w:t>
            </w:r>
          </w:p>
          <w:p w:rsidR="002209D1" w:rsidRPr="00D630D1" w:rsidRDefault="002209D1" w:rsidP="004B5C3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固废：</w:t>
            </w:r>
            <w:r w:rsidR="00743803">
              <w:rPr>
                <w:rFonts w:ascii="Times New Roman" w:cs="Times New Roman"/>
                <w:kern w:val="2"/>
                <w:sz w:val="21"/>
              </w:rPr>
              <w:t>值守人员生活垃圾</w:t>
            </w:r>
            <w:r w:rsidR="00743803">
              <w:rPr>
                <w:rFonts w:ascii="Times New Roman" w:cs="Times New Roman" w:hint="eastAsia"/>
                <w:kern w:val="2"/>
                <w:sz w:val="21"/>
              </w:rPr>
              <w:t>；凝析油</w:t>
            </w:r>
            <w:r w:rsidRPr="00D630D1">
              <w:rPr>
                <w:rFonts w:ascii="Times New Roman" w:cs="Times New Roman"/>
                <w:kern w:val="2"/>
                <w:sz w:val="21"/>
              </w:rPr>
              <w:t>。</w:t>
            </w:r>
          </w:p>
          <w:p w:rsidR="002209D1" w:rsidRPr="00D630D1" w:rsidRDefault="002209D1" w:rsidP="00137B2F">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rPr>
              <w:lastRenderedPageBreak/>
              <w:t>环境风险事故：</w:t>
            </w:r>
            <w:r w:rsidR="00743803">
              <w:rPr>
                <w:rFonts w:ascii="Times New Roman" w:cs="Times New Roman"/>
                <w:kern w:val="2"/>
                <w:sz w:val="21"/>
              </w:rPr>
              <w:t>井喷</w:t>
            </w:r>
            <w:r w:rsidR="00743803">
              <w:rPr>
                <w:rFonts w:ascii="Times New Roman" w:cs="Times New Roman" w:hint="eastAsia"/>
                <w:kern w:val="2"/>
                <w:sz w:val="21"/>
              </w:rPr>
              <w:t>事故、</w:t>
            </w:r>
            <w:r w:rsidRPr="00D630D1">
              <w:rPr>
                <w:rFonts w:ascii="Times New Roman" w:cs="Times New Roman"/>
                <w:kern w:val="2"/>
                <w:sz w:val="21"/>
              </w:rPr>
              <w:t>管线发生泄漏、火灾、爆炸事故对周围环境和人员的影响；非正常生产时，站场检修时经放空装置直接排放的天然气或燃烧后排放的废气。</w:t>
            </w:r>
          </w:p>
        </w:tc>
      </w:tr>
    </w:tbl>
    <w:p w:rsidR="00117C3D" w:rsidRPr="00D630D1" w:rsidRDefault="008B5B84" w:rsidP="00264D2E">
      <w:pPr>
        <w:pStyle w:val="afa"/>
        <w:ind w:firstLine="480"/>
      </w:pPr>
      <w:r w:rsidRPr="00D630D1">
        <w:lastRenderedPageBreak/>
        <w:t>根据环境影响矩阵表，分析环境影响因子的影响类型和影响程度，其结果见表</w:t>
      </w:r>
      <w:r w:rsidRPr="00D630D1">
        <w:t>1.3-2</w:t>
      </w:r>
      <w:r w:rsidRPr="00D630D1">
        <w:t>。</w:t>
      </w:r>
    </w:p>
    <w:p w:rsidR="00117C3D" w:rsidRPr="00D630D1" w:rsidRDefault="008B5B84" w:rsidP="00264D2E">
      <w:pPr>
        <w:pStyle w:val="10"/>
        <w:rPr>
          <w:rFonts w:cs="Times New Roman"/>
        </w:rPr>
      </w:pPr>
      <w:r w:rsidRPr="00D630D1">
        <w:rPr>
          <w:rFonts w:cs="Times New Roman"/>
        </w:rPr>
        <w:t>表</w:t>
      </w:r>
      <w:r w:rsidRPr="00D630D1">
        <w:rPr>
          <w:rFonts w:cs="Times New Roman"/>
        </w:rPr>
        <w:t>1.3-2</w:t>
      </w:r>
      <w:r w:rsidR="00264D2E" w:rsidRPr="00D630D1">
        <w:rPr>
          <w:rFonts w:cs="Times New Roman"/>
        </w:rPr>
        <w:t xml:space="preserve">  </w:t>
      </w:r>
      <w:r w:rsidRPr="00D630D1">
        <w:rPr>
          <w:rFonts w:cs="Times New Roman"/>
        </w:rPr>
        <w:t>环境影响要素矩阵</w:t>
      </w:r>
    </w:p>
    <w:tbl>
      <w:tblPr>
        <w:tblW w:w="5293" w:type="pct"/>
        <w:jc w:val="center"/>
        <w:tblCellMar>
          <w:left w:w="0" w:type="dxa"/>
          <w:right w:w="0" w:type="dxa"/>
        </w:tblCellMar>
        <w:tblLook w:val="04A0"/>
      </w:tblPr>
      <w:tblGrid>
        <w:gridCol w:w="519"/>
        <w:gridCol w:w="1419"/>
        <w:gridCol w:w="589"/>
        <w:gridCol w:w="589"/>
        <w:gridCol w:w="589"/>
        <w:gridCol w:w="510"/>
        <w:gridCol w:w="566"/>
        <w:gridCol w:w="457"/>
        <w:gridCol w:w="593"/>
        <w:gridCol w:w="596"/>
        <w:gridCol w:w="596"/>
        <w:gridCol w:w="593"/>
        <w:gridCol w:w="593"/>
        <w:gridCol w:w="584"/>
      </w:tblGrid>
      <w:tr w:rsidR="00D1608A" w:rsidRPr="00D630D1" w:rsidTr="00D1608A">
        <w:trPr>
          <w:trHeight w:val="18"/>
          <w:jc w:val="center"/>
        </w:trPr>
        <w:tc>
          <w:tcPr>
            <w:tcW w:w="295" w:type="pct"/>
            <w:vMerge w:val="restart"/>
            <w:tcBorders>
              <w:top w:val="single" w:sz="12" w:space="0" w:color="000000"/>
              <w:left w:val="nil"/>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类别</w:t>
            </w:r>
          </w:p>
        </w:tc>
        <w:tc>
          <w:tcPr>
            <w:tcW w:w="807" w:type="pct"/>
            <w:vMerge w:val="restar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环境因子</w:t>
            </w:r>
          </w:p>
        </w:tc>
        <w:tc>
          <w:tcPr>
            <w:tcW w:w="1295" w:type="pct"/>
            <w:gridSpan w:val="4"/>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工程施工</w:t>
            </w:r>
          </w:p>
        </w:tc>
        <w:tc>
          <w:tcPr>
            <w:tcW w:w="1258" w:type="pct"/>
            <w:gridSpan w:val="4"/>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正常运行</w:t>
            </w:r>
          </w:p>
        </w:tc>
        <w:tc>
          <w:tcPr>
            <w:tcW w:w="1345" w:type="pct"/>
            <w:gridSpan w:val="4"/>
            <w:tcBorders>
              <w:top w:val="single" w:sz="12" w:space="0" w:color="000000"/>
              <w:left w:val="single" w:sz="4" w:space="0" w:color="000000"/>
              <w:bottom w:val="single" w:sz="4" w:space="0" w:color="000000"/>
              <w:right w:val="nil"/>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非正常工况</w:t>
            </w:r>
          </w:p>
        </w:tc>
      </w:tr>
      <w:tr w:rsidR="00D1608A" w:rsidRPr="00D630D1" w:rsidTr="00D1608A">
        <w:trPr>
          <w:trHeight w:val="18"/>
          <w:jc w:val="center"/>
        </w:trPr>
        <w:tc>
          <w:tcPr>
            <w:tcW w:w="0" w:type="auto"/>
            <w:vMerge/>
            <w:tcBorders>
              <w:top w:val="single" w:sz="12" w:space="0" w:color="000000"/>
              <w:left w:val="nil"/>
              <w:bottom w:val="single" w:sz="4" w:space="0" w:color="000000"/>
              <w:right w:val="single" w:sz="4" w:space="0" w:color="000000"/>
            </w:tcBorders>
            <w:vAlign w:val="center"/>
          </w:tcPr>
          <w:p w:rsidR="00117C3D" w:rsidRPr="00D630D1" w:rsidRDefault="00117C3D">
            <w:pPr>
              <w:topLinePunct w:val="0"/>
              <w:adjustRightInd/>
              <w:spacing w:line="240" w:lineRule="auto"/>
              <w:ind w:firstLineChars="0" w:firstLine="0"/>
              <w:jc w:val="center"/>
              <w:rPr>
                <w:rFonts w:ascii="Times New Roman" w:cs="Times New Roman"/>
                <w:b/>
                <w:bCs/>
                <w:kern w:val="2"/>
                <w:sz w:val="21"/>
              </w:rPr>
            </w:pPr>
          </w:p>
        </w:tc>
        <w:tc>
          <w:tcPr>
            <w:tcW w:w="807" w:type="pct"/>
            <w:vMerge/>
            <w:tcBorders>
              <w:top w:val="single" w:sz="12" w:space="0" w:color="000000"/>
              <w:left w:val="single" w:sz="4" w:space="0" w:color="000000"/>
              <w:bottom w:val="single" w:sz="4" w:space="0" w:color="000000"/>
              <w:right w:val="single" w:sz="4" w:space="0" w:color="000000"/>
            </w:tcBorders>
            <w:vAlign w:val="center"/>
          </w:tcPr>
          <w:p w:rsidR="00117C3D" w:rsidRPr="00D630D1" w:rsidRDefault="00117C3D">
            <w:pPr>
              <w:topLinePunct w:val="0"/>
              <w:adjustRightInd/>
              <w:spacing w:line="240" w:lineRule="auto"/>
              <w:ind w:firstLineChars="0" w:firstLine="0"/>
              <w:jc w:val="center"/>
              <w:rPr>
                <w:rFonts w:ascii="Times New Roman" w:cs="Times New Roman"/>
                <w:b/>
                <w:bCs/>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有利</w:t>
            </w:r>
          </w:p>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影响</w:t>
            </w:r>
          </w:p>
        </w:tc>
        <w:tc>
          <w:tcPr>
            <w:tcW w:w="335"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不利</w:t>
            </w:r>
          </w:p>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影响</w:t>
            </w:r>
          </w:p>
        </w:tc>
        <w:tc>
          <w:tcPr>
            <w:tcW w:w="335"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影响</w:t>
            </w:r>
          </w:p>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较大</w:t>
            </w:r>
          </w:p>
        </w:tc>
        <w:tc>
          <w:tcPr>
            <w:tcW w:w="290"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影响</w:t>
            </w:r>
          </w:p>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较轻</w:t>
            </w:r>
          </w:p>
        </w:tc>
        <w:tc>
          <w:tcPr>
            <w:tcW w:w="322"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有利</w:t>
            </w:r>
          </w:p>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影响</w:t>
            </w:r>
          </w:p>
        </w:tc>
        <w:tc>
          <w:tcPr>
            <w:tcW w:w="260"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不利</w:t>
            </w:r>
          </w:p>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影响</w:t>
            </w:r>
          </w:p>
        </w:tc>
        <w:tc>
          <w:tcPr>
            <w:tcW w:w="337"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影响</w:t>
            </w:r>
          </w:p>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较大</w:t>
            </w:r>
          </w:p>
        </w:tc>
        <w:tc>
          <w:tcPr>
            <w:tcW w:w="33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影响</w:t>
            </w:r>
          </w:p>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较轻</w:t>
            </w:r>
          </w:p>
        </w:tc>
        <w:tc>
          <w:tcPr>
            <w:tcW w:w="33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有利</w:t>
            </w:r>
          </w:p>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影响</w:t>
            </w:r>
          </w:p>
        </w:tc>
        <w:tc>
          <w:tcPr>
            <w:tcW w:w="337"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不利</w:t>
            </w:r>
          </w:p>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影响</w:t>
            </w:r>
          </w:p>
        </w:tc>
        <w:tc>
          <w:tcPr>
            <w:tcW w:w="337"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影响</w:t>
            </w:r>
          </w:p>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较大</w:t>
            </w:r>
          </w:p>
        </w:tc>
        <w:tc>
          <w:tcPr>
            <w:tcW w:w="332" w:type="pct"/>
            <w:tcBorders>
              <w:top w:val="single" w:sz="4" w:space="0" w:color="000000"/>
              <w:left w:val="single" w:sz="4" w:space="0" w:color="000000"/>
              <w:bottom w:val="single" w:sz="4" w:space="0" w:color="000000"/>
              <w:right w:val="nil"/>
            </w:tcBorders>
            <w:vAlign w:val="center"/>
          </w:tcPr>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影响</w:t>
            </w:r>
          </w:p>
          <w:p w:rsidR="00117C3D" w:rsidRPr="00D630D1" w:rsidRDefault="008B5B84">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较轻</w:t>
            </w:r>
          </w:p>
        </w:tc>
      </w:tr>
      <w:tr w:rsidR="00D1608A" w:rsidRPr="00D630D1" w:rsidTr="00D1608A">
        <w:trPr>
          <w:trHeight w:val="18"/>
          <w:jc w:val="center"/>
        </w:trPr>
        <w:tc>
          <w:tcPr>
            <w:tcW w:w="295" w:type="pct"/>
            <w:vMerge w:val="restart"/>
            <w:tcBorders>
              <w:top w:val="single" w:sz="4" w:space="0" w:color="000000"/>
              <w:left w:val="nil"/>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环境质量</w:t>
            </w: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地表水</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r>
      <w:tr w:rsidR="00D1608A" w:rsidRPr="00D630D1" w:rsidTr="00D1608A">
        <w:trPr>
          <w:trHeight w:val="18"/>
          <w:jc w:val="center"/>
        </w:trPr>
        <w:tc>
          <w:tcPr>
            <w:tcW w:w="0" w:type="auto"/>
            <w:vMerge/>
            <w:tcBorders>
              <w:top w:val="single" w:sz="4" w:space="0" w:color="000000"/>
              <w:left w:val="nil"/>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环境空气</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r>
      <w:tr w:rsidR="00D1608A" w:rsidRPr="00D630D1" w:rsidTr="00D1608A">
        <w:trPr>
          <w:trHeight w:val="18"/>
          <w:jc w:val="center"/>
        </w:trPr>
        <w:tc>
          <w:tcPr>
            <w:tcW w:w="0" w:type="auto"/>
            <w:vMerge/>
            <w:tcBorders>
              <w:top w:val="single" w:sz="4" w:space="0" w:color="000000"/>
              <w:left w:val="nil"/>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声环境</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r>
      <w:tr w:rsidR="00D1608A" w:rsidRPr="00D630D1" w:rsidTr="00D1608A">
        <w:trPr>
          <w:trHeight w:val="18"/>
          <w:jc w:val="center"/>
        </w:trPr>
        <w:tc>
          <w:tcPr>
            <w:tcW w:w="295" w:type="pct"/>
            <w:vMerge w:val="restart"/>
            <w:tcBorders>
              <w:top w:val="single" w:sz="4" w:space="0" w:color="000000"/>
              <w:left w:val="nil"/>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自然生态环境</w:t>
            </w: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地形地貌</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r>
      <w:tr w:rsidR="00D1608A" w:rsidRPr="00D630D1" w:rsidTr="00D1608A">
        <w:trPr>
          <w:trHeight w:val="18"/>
          <w:jc w:val="center"/>
        </w:trPr>
        <w:tc>
          <w:tcPr>
            <w:tcW w:w="0" w:type="auto"/>
            <w:vMerge/>
            <w:tcBorders>
              <w:top w:val="single" w:sz="4" w:space="0" w:color="000000"/>
              <w:left w:val="nil"/>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生态环境</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r>
      <w:tr w:rsidR="00D1608A" w:rsidRPr="00D630D1" w:rsidTr="00D1608A">
        <w:trPr>
          <w:trHeight w:val="18"/>
          <w:jc w:val="center"/>
        </w:trPr>
        <w:tc>
          <w:tcPr>
            <w:tcW w:w="0" w:type="auto"/>
            <w:vMerge/>
            <w:tcBorders>
              <w:top w:val="single" w:sz="4" w:space="0" w:color="000000"/>
              <w:left w:val="nil"/>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土壤</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r>
      <w:tr w:rsidR="00D1608A" w:rsidRPr="00D630D1" w:rsidTr="00D1608A">
        <w:trPr>
          <w:trHeight w:val="18"/>
          <w:jc w:val="center"/>
        </w:trPr>
        <w:tc>
          <w:tcPr>
            <w:tcW w:w="0" w:type="auto"/>
            <w:vMerge/>
            <w:tcBorders>
              <w:top w:val="single" w:sz="4" w:space="0" w:color="000000"/>
              <w:left w:val="nil"/>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植被</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r>
      <w:tr w:rsidR="00D1608A" w:rsidRPr="00D630D1" w:rsidTr="00D1608A">
        <w:trPr>
          <w:trHeight w:val="18"/>
          <w:jc w:val="center"/>
        </w:trPr>
        <w:tc>
          <w:tcPr>
            <w:tcW w:w="0" w:type="auto"/>
            <w:vMerge/>
            <w:tcBorders>
              <w:top w:val="single" w:sz="4" w:space="0" w:color="000000"/>
              <w:left w:val="nil"/>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水土流失</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r>
      <w:tr w:rsidR="00D1608A" w:rsidRPr="00D630D1" w:rsidTr="00D1608A">
        <w:trPr>
          <w:trHeight w:val="18"/>
          <w:jc w:val="center"/>
        </w:trPr>
        <w:tc>
          <w:tcPr>
            <w:tcW w:w="0" w:type="auto"/>
            <w:vMerge/>
            <w:tcBorders>
              <w:top w:val="single" w:sz="4" w:space="0" w:color="000000"/>
              <w:left w:val="nil"/>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土地利用</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r>
      <w:tr w:rsidR="00D1608A" w:rsidRPr="00D630D1" w:rsidTr="00D1608A">
        <w:trPr>
          <w:trHeight w:val="18"/>
          <w:jc w:val="center"/>
        </w:trPr>
        <w:tc>
          <w:tcPr>
            <w:tcW w:w="295" w:type="pct"/>
            <w:vMerge w:val="restart"/>
            <w:tcBorders>
              <w:top w:val="single" w:sz="4" w:space="0" w:color="000000"/>
              <w:left w:val="nil"/>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社会环境</w:t>
            </w: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农业生产</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r>
      <w:tr w:rsidR="00D1608A" w:rsidRPr="00D630D1" w:rsidTr="00D1608A">
        <w:trPr>
          <w:trHeight w:val="18"/>
          <w:jc w:val="center"/>
        </w:trPr>
        <w:tc>
          <w:tcPr>
            <w:tcW w:w="0" w:type="auto"/>
            <w:vMerge/>
            <w:tcBorders>
              <w:top w:val="single" w:sz="4" w:space="0" w:color="000000"/>
              <w:left w:val="nil"/>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劳动就业</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r>
      <w:tr w:rsidR="00D1608A" w:rsidRPr="00D630D1" w:rsidTr="00D1608A">
        <w:trPr>
          <w:trHeight w:val="18"/>
          <w:jc w:val="center"/>
        </w:trPr>
        <w:tc>
          <w:tcPr>
            <w:tcW w:w="0" w:type="auto"/>
            <w:vMerge/>
            <w:tcBorders>
              <w:top w:val="single" w:sz="4" w:space="0" w:color="000000"/>
              <w:left w:val="nil"/>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交通出行</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r>
      <w:tr w:rsidR="00D1608A" w:rsidRPr="00D630D1" w:rsidTr="00D1608A">
        <w:trPr>
          <w:trHeight w:val="18"/>
          <w:jc w:val="center"/>
        </w:trPr>
        <w:tc>
          <w:tcPr>
            <w:tcW w:w="0" w:type="auto"/>
            <w:vMerge/>
            <w:tcBorders>
              <w:top w:val="single" w:sz="4" w:space="0" w:color="000000"/>
              <w:left w:val="nil"/>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社会经济</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r>
      <w:tr w:rsidR="00D1608A" w:rsidRPr="00D630D1" w:rsidTr="00D1608A">
        <w:trPr>
          <w:trHeight w:val="18"/>
          <w:jc w:val="center"/>
        </w:trPr>
        <w:tc>
          <w:tcPr>
            <w:tcW w:w="0" w:type="auto"/>
            <w:vMerge/>
            <w:tcBorders>
              <w:top w:val="single" w:sz="4" w:space="0" w:color="000000"/>
              <w:left w:val="nil"/>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人体健康</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r>
      <w:tr w:rsidR="00D1608A" w:rsidRPr="00D630D1" w:rsidTr="00D1608A">
        <w:trPr>
          <w:trHeight w:val="18"/>
          <w:jc w:val="center"/>
        </w:trPr>
        <w:tc>
          <w:tcPr>
            <w:tcW w:w="0" w:type="auto"/>
            <w:vMerge/>
            <w:tcBorders>
              <w:top w:val="single" w:sz="4" w:space="0" w:color="000000"/>
              <w:left w:val="nil"/>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景观</w:t>
            </w:r>
          </w:p>
        </w:tc>
        <w:tc>
          <w:tcPr>
            <w:tcW w:w="335" w:type="pct"/>
            <w:tcBorders>
              <w:top w:val="single" w:sz="4" w:space="0" w:color="000000"/>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290" w:type="pct"/>
            <w:tcBorders>
              <w:top w:val="single" w:sz="4" w:space="0" w:color="000000"/>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22" w:type="pct"/>
            <w:tcBorders>
              <w:top w:val="single" w:sz="4" w:space="0" w:color="000000"/>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000000"/>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auto"/>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r>
      <w:tr w:rsidR="00D1608A" w:rsidRPr="00D630D1" w:rsidTr="00D1608A">
        <w:trPr>
          <w:trHeight w:val="18"/>
          <w:jc w:val="center"/>
        </w:trPr>
        <w:tc>
          <w:tcPr>
            <w:tcW w:w="0" w:type="auto"/>
            <w:vMerge/>
            <w:tcBorders>
              <w:top w:val="single" w:sz="4" w:space="0" w:color="000000"/>
              <w:left w:val="nil"/>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auto"/>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旅游</w:t>
            </w:r>
          </w:p>
        </w:tc>
        <w:tc>
          <w:tcPr>
            <w:tcW w:w="335" w:type="pct"/>
            <w:tcBorders>
              <w:top w:val="single" w:sz="4" w:space="0" w:color="auto"/>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auto"/>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auto"/>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auto"/>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auto"/>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auto"/>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auto"/>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auto"/>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auto"/>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auto"/>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7" w:type="pct"/>
            <w:tcBorders>
              <w:top w:val="single" w:sz="4" w:space="0" w:color="auto"/>
              <w:left w:val="single" w:sz="4" w:space="0" w:color="000000"/>
              <w:bottom w:val="single" w:sz="4" w:space="0" w:color="auto"/>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2" w:type="pct"/>
            <w:tcBorders>
              <w:top w:val="single" w:sz="4" w:space="0" w:color="auto"/>
              <w:left w:val="single" w:sz="4" w:space="0" w:color="000000"/>
              <w:bottom w:val="single" w:sz="4" w:space="0" w:color="auto"/>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r>
      <w:tr w:rsidR="00D1608A" w:rsidRPr="00D630D1" w:rsidTr="00D1608A">
        <w:trPr>
          <w:trHeight w:val="18"/>
          <w:jc w:val="center"/>
        </w:trPr>
        <w:tc>
          <w:tcPr>
            <w:tcW w:w="0" w:type="auto"/>
            <w:vMerge/>
            <w:tcBorders>
              <w:top w:val="single" w:sz="4" w:space="0" w:color="000000"/>
              <w:left w:val="nil"/>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居住</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35"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322"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60"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4"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4"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r>
      <w:tr w:rsidR="00D1608A" w:rsidRPr="00D630D1" w:rsidTr="00D1608A">
        <w:trPr>
          <w:trHeight w:val="18"/>
          <w:jc w:val="center"/>
        </w:trPr>
        <w:tc>
          <w:tcPr>
            <w:tcW w:w="0" w:type="auto"/>
            <w:vMerge/>
            <w:tcBorders>
              <w:top w:val="single" w:sz="4" w:space="0" w:color="000000"/>
              <w:left w:val="nil"/>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807" w:type="pct"/>
            <w:tcBorders>
              <w:top w:val="single" w:sz="4" w:space="0" w:color="000000"/>
              <w:left w:val="single" w:sz="4" w:space="0" w:color="000000"/>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减少温室效应</w:t>
            </w:r>
          </w:p>
        </w:tc>
        <w:tc>
          <w:tcPr>
            <w:tcW w:w="335" w:type="pct"/>
            <w:tcBorders>
              <w:top w:val="single" w:sz="4" w:space="0" w:color="000000"/>
              <w:left w:val="single" w:sz="4" w:space="0" w:color="000000"/>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5" w:type="pct"/>
            <w:tcBorders>
              <w:top w:val="single" w:sz="4" w:space="0" w:color="000000"/>
              <w:left w:val="single" w:sz="4" w:space="0" w:color="000000"/>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290" w:type="pct"/>
            <w:tcBorders>
              <w:top w:val="single" w:sz="4" w:space="0" w:color="000000"/>
              <w:left w:val="single" w:sz="4" w:space="0" w:color="000000"/>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22" w:type="pct"/>
            <w:tcBorders>
              <w:top w:val="single" w:sz="4" w:space="0" w:color="000000"/>
              <w:left w:val="single" w:sz="4" w:space="0" w:color="000000"/>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c>
          <w:tcPr>
            <w:tcW w:w="260" w:type="pct"/>
            <w:tcBorders>
              <w:top w:val="single" w:sz="4" w:space="0" w:color="000000"/>
              <w:left w:val="single" w:sz="4" w:space="0" w:color="000000"/>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9" w:type="pct"/>
            <w:tcBorders>
              <w:top w:val="single" w:sz="4" w:space="0" w:color="000000"/>
              <w:left w:val="single" w:sz="4" w:space="0" w:color="000000"/>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7" w:type="pct"/>
            <w:tcBorders>
              <w:top w:val="single" w:sz="4" w:space="0" w:color="000000"/>
              <w:left w:val="single" w:sz="4" w:space="0" w:color="000000"/>
              <w:bottom w:val="single" w:sz="12" w:space="0" w:color="000000"/>
              <w:right w:val="single" w:sz="4" w:space="0" w:color="000000"/>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c>
          <w:tcPr>
            <w:tcW w:w="332" w:type="pct"/>
            <w:tcBorders>
              <w:top w:val="single" w:sz="4" w:space="0" w:color="000000"/>
              <w:left w:val="single" w:sz="4" w:space="0" w:color="000000"/>
              <w:bottom w:val="single" w:sz="12" w:space="0" w:color="000000"/>
              <w:right w:val="nil"/>
            </w:tcBorders>
            <w:vAlign w:val="center"/>
          </w:tcPr>
          <w:p w:rsidR="00321EEC" w:rsidRPr="00D630D1" w:rsidRDefault="00321EEC" w:rsidP="00321EEC">
            <w:pPr>
              <w:topLinePunct w:val="0"/>
              <w:adjustRightInd/>
              <w:spacing w:line="240" w:lineRule="auto"/>
              <w:ind w:firstLineChars="0" w:firstLine="0"/>
              <w:jc w:val="center"/>
              <w:rPr>
                <w:rFonts w:ascii="Times New Roman" w:cs="Times New Roman"/>
                <w:kern w:val="2"/>
                <w:sz w:val="21"/>
              </w:rPr>
            </w:pPr>
          </w:p>
        </w:tc>
      </w:tr>
    </w:tbl>
    <w:p w:rsidR="00117C3D" w:rsidRPr="00D630D1" w:rsidRDefault="008B5B84" w:rsidP="00530EE9">
      <w:pPr>
        <w:pStyle w:val="afa"/>
        <w:ind w:firstLine="480"/>
      </w:pPr>
      <w:r w:rsidRPr="00D630D1">
        <w:t>根据表</w:t>
      </w:r>
      <w:r w:rsidRPr="00D630D1">
        <w:t>1.3-1</w:t>
      </w:r>
      <w:r w:rsidRPr="00D630D1">
        <w:t>和表</w:t>
      </w:r>
      <w:r w:rsidRPr="00D630D1">
        <w:t>1.3-2</w:t>
      </w:r>
      <w:r w:rsidRPr="00D630D1">
        <w:t>的分析结果可知，就环境影响因子影响而言，拟建工程主要影响</w:t>
      </w:r>
      <w:r w:rsidR="00DC6697" w:rsidRPr="00D630D1">
        <w:t>站场周围环境空气</w:t>
      </w:r>
      <w:r w:rsidR="00DC6697" w:rsidRPr="00D630D1">
        <w:rPr>
          <w:rFonts w:hint="eastAsia"/>
        </w:rPr>
        <w:t>、地表水、地下水、土壤、地下水和</w:t>
      </w:r>
      <w:r w:rsidR="00DC6697" w:rsidRPr="00D630D1">
        <w:t>生态环境</w:t>
      </w:r>
      <w:r w:rsidRPr="00D630D1">
        <w:t>。</w:t>
      </w:r>
    </w:p>
    <w:p w:rsidR="00117C3D" w:rsidRPr="00D630D1" w:rsidRDefault="008B5B84">
      <w:pPr>
        <w:keepNext/>
        <w:keepLines/>
        <w:ind w:firstLineChars="0" w:firstLine="0"/>
        <w:outlineLvl w:val="2"/>
        <w:rPr>
          <w:rFonts w:ascii="Times New Roman" w:cs="Times New Roman"/>
          <w:b/>
          <w:szCs w:val="32"/>
        </w:rPr>
      </w:pPr>
      <w:bookmarkStart w:id="63" w:name="_Toc19815933"/>
      <w:r w:rsidRPr="00D630D1">
        <w:rPr>
          <w:rFonts w:ascii="Times New Roman" w:cs="Times New Roman"/>
          <w:b/>
          <w:szCs w:val="32"/>
        </w:rPr>
        <w:t xml:space="preserve">1.3.2 </w:t>
      </w:r>
      <w:r w:rsidRPr="00D630D1">
        <w:rPr>
          <w:rFonts w:ascii="Times New Roman" w:cs="Times New Roman"/>
          <w:b/>
          <w:szCs w:val="32"/>
        </w:rPr>
        <w:t>评价因子筛选</w:t>
      </w:r>
      <w:bookmarkEnd w:id="63"/>
    </w:p>
    <w:p w:rsidR="00117C3D" w:rsidRPr="00D630D1" w:rsidRDefault="008B5B84" w:rsidP="00530EE9">
      <w:pPr>
        <w:pStyle w:val="afa"/>
        <w:ind w:firstLine="480"/>
      </w:pPr>
      <w:r w:rsidRPr="00D630D1">
        <w:t>根据工程分析及沿线现有污染源状况，本项目评价因子见表</w:t>
      </w:r>
      <w:r w:rsidRPr="00D630D1">
        <w:t>1.3-3</w:t>
      </w:r>
      <w:r w:rsidRPr="00D630D1">
        <w:t>。</w:t>
      </w:r>
    </w:p>
    <w:p w:rsidR="00F042AA" w:rsidRPr="00D630D1" w:rsidRDefault="00F042AA" w:rsidP="00530EE9">
      <w:pPr>
        <w:pStyle w:val="10"/>
        <w:rPr>
          <w:rFonts w:cs="Times New Roman"/>
        </w:rPr>
      </w:pPr>
      <w:r w:rsidRPr="00D630D1">
        <w:rPr>
          <w:rFonts w:cs="Times New Roman"/>
        </w:rPr>
        <w:br w:type="page"/>
      </w:r>
    </w:p>
    <w:p w:rsidR="00117C3D" w:rsidRPr="00D630D1" w:rsidRDefault="008B5B84" w:rsidP="00530EE9">
      <w:pPr>
        <w:pStyle w:val="10"/>
        <w:rPr>
          <w:rFonts w:cs="Times New Roman"/>
        </w:rPr>
      </w:pPr>
      <w:r w:rsidRPr="00D630D1">
        <w:rPr>
          <w:rFonts w:cs="Times New Roman"/>
        </w:rPr>
        <w:lastRenderedPageBreak/>
        <w:t>表</w:t>
      </w:r>
      <w:r w:rsidRPr="00D630D1">
        <w:rPr>
          <w:rFonts w:cs="Times New Roman"/>
        </w:rPr>
        <w:t>1.3-3</w:t>
      </w:r>
      <w:r w:rsidR="00530EE9" w:rsidRPr="00D630D1">
        <w:rPr>
          <w:rFonts w:cs="Times New Roman"/>
        </w:rPr>
        <w:t xml:space="preserve">  </w:t>
      </w:r>
      <w:r w:rsidR="00633FE9" w:rsidRPr="00D630D1">
        <w:rPr>
          <w:rFonts w:cs="Times New Roman"/>
          <w:szCs w:val="21"/>
        </w:rPr>
        <w:t>本项目</w:t>
      </w:r>
      <w:r w:rsidR="003608BC" w:rsidRPr="00D630D1">
        <w:rPr>
          <w:rFonts w:cs="Times New Roman"/>
          <w:szCs w:val="21"/>
        </w:rPr>
        <w:t>评价因子表</w:t>
      </w:r>
    </w:p>
    <w:tbl>
      <w:tblPr>
        <w:tblW w:w="5297" w:type="pct"/>
        <w:jc w:val="center"/>
        <w:tblCellMar>
          <w:left w:w="0" w:type="dxa"/>
          <w:right w:w="0" w:type="dxa"/>
        </w:tblCellMar>
        <w:tblLook w:val="04A0"/>
      </w:tblPr>
      <w:tblGrid>
        <w:gridCol w:w="1328"/>
        <w:gridCol w:w="2011"/>
        <w:gridCol w:w="3785"/>
        <w:gridCol w:w="1675"/>
      </w:tblGrid>
      <w:tr w:rsidR="00D1608A" w:rsidRPr="00D630D1" w:rsidTr="00E72C74">
        <w:trPr>
          <w:trHeight w:val="19"/>
          <w:jc w:val="center"/>
        </w:trPr>
        <w:tc>
          <w:tcPr>
            <w:tcW w:w="754" w:type="pct"/>
            <w:tcBorders>
              <w:top w:val="single" w:sz="12" w:space="0" w:color="000000"/>
              <w:left w:val="nil"/>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评价要素</w:t>
            </w:r>
          </w:p>
        </w:tc>
        <w:tc>
          <w:tcPr>
            <w:tcW w:w="1143" w:type="pct"/>
            <w:tcBorders>
              <w:top w:val="single" w:sz="12" w:space="0" w:color="000000"/>
              <w:left w:val="single" w:sz="4" w:space="0" w:color="000000"/>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评价类型</w:t>
            </w:r>
          </w:p>
        </w:tc>
        <w:tc>
          <w:tcPr>
            <w:tcW w:w="2151" w:type="pct"/>
            <w:tcBorders>
              <w:top w:val="single" w:sz="12" w:space="0" w:color="000000"/>
              <w:left w:val="single" w:sz="4" w:space="0" w:color="000000"/>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评价因子或评价对象</w:t>
            </w:r>
          </w:p>
        </w:tc>
        <w:tc>
          <w:tcPr>
            <w:tcW w:w="952" w:type="pct"/>
            <w:tcBorders>
              <w:top w:val="single" w:sz="12" w:space="0" w:color="000000"/>
              <w:left w:val="single" w:sz="4" w:space="0" w:color="000000"/>
              <w:bottom w:val="single" w:sz="4" w:space="0" w:color="000000"/>
              <w:right w:val="nil"/>
            </w:tcBorders>
            <w:vAlign w:val="center"/>
          </w:tcPr>
          <w:p w:rsidR="003608BC" w:rsidRPr="00D630D1" w:rsidRDefault="003608BC" w:rsidP="0071622A">
            <w:pPr>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备注</w:t>
            </w:r>
          </w:p>
        </w:tc>
      </w:tr>
      <w:tr w:rsidR="00D1608A" w:rsidRPr="00D630D1" w:rsidTr="00E72C74">
        <w:trPr>
          <w:trHeight w:val="19"/>
          <w:jc w:val="center"/>
        </w:trPr>
        <w:tc>
          <w:tcPr>
            <w:tcW w:w="754" w:type="pct"/>
            <w:tcBorders>
              <w:top w:val="single" w:sz="4" w:space="0" w:color="000000"/>
              <w:left w:val="nil"/>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生态</w:t>
            </w:r>
          </w:p>
        </w:tc>
        <w:tc>
          <w:tcPr>
            <w:tcW w:w="1143" w:type="pct"/>
            <w:tcBorders>
              <w:top w:val="single" w:sz="4" w:space="0" w:color="000000"/>
              <w:left w:val="single" w:sz="4" w:space="0" w:color="000000"/>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生态环境现状调查</w:t>
            </w:r>
          </w:p>
        </w:tc>
        <w:tc>
          <w:tcPr>
            <w:tcW w:w="2151" w:type="pct"/>
            <w:tcBorders>
              <w:top w:val="single" w:sz="4" w:space="0" w:color="000000"/>
              <w:left w:val="single" w:sz="4" w:space="0" w:color="000000"/>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动植物分布、土地利用、土壤侵蚀、自然保护区、风景名胜区等</w:t>
            </w:r>
          </w:p>
        </w:tc>
        <w:tc>
          <w:tcPr>
            <w:tcW w:w="952" w:type="pct"/>
            <w:tcBorders>
              <w:top w:val="single" w:sz="4" w:space="0" w:color="000000"/>
              <w:left w:val="single" w:sz="4" w:space="0" w:color="000000"/>
              <w:bottom w:val="single" w:sz="4" w:space="0" w:color="000000"/>
              <w:right w:val="nil"/>
            </w:tcBorders>
            <w:vAlign w:val="center"/>
          </w:tcPr>
          <w:p w:rsidR="003608BC" w:rsidRPr="00D630D1" w:rsidRDefault="00DC6697"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场站及</w:t>
            </w:r>
            <w:r w:rsidR="003608BC" w:rsidRPr="00D630D1">
              <w:rPr>
                <w:rFonts w:ascii="Times New Roman" w:cs="Times New Roman"/>
                <w:kern w:val="2"/>
                <w:sz w:val="21"/>
                <w:szCs w:val="21"/>
              </w:rPr>
              <w:t>管道沿线</w:t>
            </w:r>
          </w:p>
        </w:tc>
      </w:tr>
      <w:tr w:rsidR="00D1608A" w:rsidRPr="00D630D1" w:rsidTr="00E72C74">
        <w:trPr>
          <w:trHeight w:val="19"/>
          <w:jc w:val="center"/>
        </w:trPr>
        <w:tc>
          <w:tcPr>
            <w:tcW w:w="754" w:type="pct"/>
            <w:tcBorders>
              <w:top w:val="single" w:sz="4" w:space="0" w:color="000000"/>
              <w:left w:val="nil"/>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地表水</w:t>
            </w:r>
          </w:p>
        </w:tc>
        <w:tc>
          <w:tcPr>
            <w:tcW w:w="1143" w:type="pct"/>
            <w:tcBorders>
              <w:top w:val="single" w:sz="4" w:space="0" w:color="000000"/>
              <w:left w:val="single" w:sz="4" w:space="0" w:color="000000"/>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地表水环境质量现状调查</w:t>
            </w:r>
          </w:p>
        </w:tc>
        <w:tc>
          <w:tcPr>
            <w:tcW w:w="2151" w:type="pct"/>
            <w:tcBorders>
              <w:top w:val="single" w:sz="4" w:space="0" w:color="000000"/>
              <w:left w:val="single" w:sz="4" w:space="0" w:color="000000"/>
              <w:bottom w:val="single" w:sz="4" w:space="0" w:color="000000"/>
              <w:right w:val="single" w:sz="4" w:space="0" w:color="000000"/>
            </w:tcBorders>
            <w:vAlign w:val="center"/>
          </w:tcPr>
          <w:p w:rsidR="003608BC" w:rsidRPr="00D630D1" w:rsidRDefault="00DD1E9A"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pH</w:t>
            </w:r>
            <w:r w:rsidRPr="00D630D1">
              <w:rPr>
                <w:rFonts w:ascii="Times New Roman" w:cs="Times New Roman"/>
                <w:kern w:val="2"/>
                <w:sz w:val="21"/>
                <w:szCs w:val="21"/>
              </w:rPr>
              <w:t>、</w:t>
            </w:r>
            <w:r w:rsidRPr="00D630D1">
              <w:rPr>
                <w:rFonts w:ascii="Times New Roman" w:cs="Times New Roman"/>
                <w:kern w:val="2"/>
                <w:sz w:val="21"/>
                <w:szCs w:val="21"/>
              </w:rPr>
              <w:t>COD</w:t>
            </w:r>
            <w:r w:rsidRPr="00D630D1">
              <w:rPr>
                <w:rFonts w:ascii="Times New Roman" w:cs="Times New Roman"/>
                <w:kern w:val="2"/>
                <w:sz w:val="21"/>
                <w:szCs w:val="21"/>
              </w:rPr>
              <w:t>、</w:t>
            </w:r>
            <w:r w:rsidRPr="00D630D1">
              <w:rPr>
                <w:rFonts w:ascii="Times New Roman" w:cs="Times New Roman"/>
                <w:kern w:val="2"/>
                <w:sz w:val="21"/>
                <w:szCs w:val="21"/>
              </w:rPr>
              <w:t>BOD</w:t>
            </w:r>
            <w:r w:rsidRPr="00D630D1">
              <w:rPr>
                <w:rFonts w:ascii="Times New Roman" w:cs="Times New Roman"/>
                <w:kern w:val="2"/>
                <w:sz w:val="21"/>
                <w:szCs w:val="21"/>
                <w:vertAlign w:val="subscript"/>
              </w:rPr>
              <w:t>5</w:t>
            </w:r>
            <w:r w:rsidRPr="00D630D1">
              <w:rPr>
                <w:rFonts w:ascii="Times New Roman" w:cs="Times New Roman"/>
                <w:kern w:val="2"/>
                <w:sz w:val="21"/>
                <w:szCs w:val="21"/>
              </w:rPr>
              <w:t>、氨氮、</w:t>
            </w:r>
            <w:r w:rsidRPr="00D630D1">
              <w:rPr>
                <w:rFonts w:ascii="Times New Roman" w:cs="Times New Roman"/>
                <w:kern w:val="2"/>
                <w:sz w:val="21"/>
                <w:szCs w:val="21"/>
              </w:rPr>
              <w:t>SS</w:t>
            </w:r>
            <w:r w:rsidRPr="00D630D1">
              <w:rPr>
                <w:rFonts w:ascii="Times New Roman" w:cs="Times New Roman"/>
                <w:kern w:val="2"/>
                <w:sz w:val="21"/>
                <w:szCs w:val="21"/>
              </w:rPr>
              <w:t>、石油类、</w:t>
            </w:r>
            <w:r w:rsidR="00404445" w:rsidRPr="00D630D1">
              <w:rPr>
                <w:rFonts w:ascii="Times New Roman" w:cs="Times New Roman" w:hint="eastAsia"/>
                <w:kern w:val="2"/>
                <w:sz w:val="21"/>
                <w:szCs w:val="21"/>
              </w:rPr>
              <w:t>挥发酚</w:t>
            </w:r>
            <w:r w:rsidRPr="00D630D1">
              <w:rPr>
                <w:rFonts w:ascii="Times New Roman" w:cs="Times New Roman"/>
                <w:kern w:val="2"/>
                <w:sz w:val="21"/>
                <w:szCs w:val="21"/>
              </w:rPr>
              <w:t>、硫化物、氯化物</w:t>
            </w:r>
          </w:p>
        </w:tc>
        <w:tc>
          <w:tcPr>
            <w:tcW w:w="952" w:type="pct"/>
            <w:tcBorders>
              <w:top w:val="single" w:sz="4" w:space="0" w:color="000000"/>
              <w:left w:val="single" w:sz="4" w:space="0" w:color="000000"/>
              <w:bottom w:val="single" w:sz="4" w:space="0" w:color="000000"/>
              <w:right w:val="nil"/>
            </w:tcBorders>
            <w:vAlign w:val="center"/>
          </w:tcPr>
          <w:p w:rsidR="003608BC" w:rsidRPr="00D630D1" w:rsidRDefault="00DC6697"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场站及</w:t>
            </w:r>
            <w:r w:rsidR="003608BC" w:rsidRPr="00D630D1">
              <w:rPr>
                <w:rFonts w:ascii="Times New Roman" w:cs="Times New Roman"/>
                <w:kern w:val="2"/>
                <w:sz w:val="21"/>
                <w:szCs w:val="21"/>
              </w:rPr>
              <w:t>管道沿线</w:t>
            </w:r>
          </w:p>
        </w:tc>
      </w:tr>
      <w:tr w:rsidR="00D1608A" w:rsidRPr="00D630D1" w:rsidTr="00E72C74">
        <w:trPr>
          <w:trHeight w:val="19"/>
          <w:jc w:val="center"/>
        </w:trPr>
        <w:tc>
          <w:tcPr>
            <w:tcW w:w="754" w:type="pct"/>
            <w:tcBorders>
              <w:top w:val="single" w:sz="4" w:space="0" w:color="000000"/>
              <w:left w:val="nil"/>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大气</w:t>
            </w:r>
          </w:p>
        </w:tc>
        <w:tc>
          <w:tcPr>
            <w:tcW w:w="1143" w:type="pct"/>
            <w:tcBorders>
              <w:top w:val="single" w:sz="4" w:space="0" w:color="000000"/>
              <w:left w:val="single" w:sz="4" w:space="0" w:color="000000"/>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环境空气质量调查</w:t>
            </w:r>
          </w:p>
        </w:tc>
        <w:tc>
          <w:tcPr>
            <w:tcW w:w="2151" w:type="pct"/>
            <w:tcBorders>
              <w:top w:val="single" w:sz="4" w:space="0" w:color="000000"/>
              <w:left w:val="single" w:sz="4" w:space="0" w:color="000000"/>
              <w:bottom w:val="single" w:sz="4" w:space="0" w:color="000000"/>
              <w:right w:val="single" w:sz="4" w:space="0" w:color="000000"/>
            </w:tcBorders>
            <w:vAlign w:val="center"/>
          </w:tcPr>
          <w:p w:rsidR="003608BC" w:rsidRPr="00D630D1" w:rsidRDefault="003608BC" w:rsidP="00403916">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SO</w:t>
            </w:r>
            <w:r w:rsidRPr="00D630D1">
              <w:rPr>
                <w:rFonts w:ascii="Times New Roman" w:cs="Times New Roman"/>
                <w:kern w:val="2"/>
                <w:sz w:val="21"/>
                <w:szCs w:val="21"/>
                <w:vertAlign w:val="subscript"/>
              </w:rPr>
              <w:t>2</w:t>
            </w:r>
            <w:r w:rsidRPr="00D630D1">
              <w:rPr>
                <w:rFonts w:ascii="Times New Roman" w:cs="Times New Roman"/>
                <w:kern w:val="2"/>
                <w:sz w:val="21"/>
                <w:szCs w:val="21"/>
              </w:rPr>
              <w:t>、</w:t>
            </w:r>
            <w:r w:rsidRPr="00D630D1">
              <w:rPr>
                <w:rFonts w:ascii="Times New Roman" w:cs="Times New Roman"/>
                <w:kern w:val="2"/>
                <w:sz w:val="21"/>
                <w:szCs w:val="21"/>
              </w:rPr>
              <w:t>NO</w:t>
            </w:r>
            <w:r w:rsidRPr="00D630D1">
              <w:rPr>
                <w:rFonts w:ascii="Times New Roman" w:cs="Times New Roman"/>
                <w:kern w:val="2"/>
                <w:sz w:val="21"/>
                <w:szCs w:val="21"/>
                <w:vertAlign w:val="subscript"/>
              </w:rPr>
              <w:t>2</w:t>
            </w:r>
            <w:r w:rsidRPr="00D630D1">
              <w:rPr>
                <w:rFonts w:ascii="Times New Roman" w:cs="Times New Roman"/>
                <w:kern w:val="2"/>
                <w:sz w:val="21"/>
                <w:szCs w:val="21"/>
              </w:rPr>
              <w:t>、</w:t>
            </w:r>
            <w:r w:rsidRPr="00D630D1">
              <w:rPr>
                <w:rFonts w:ascii="Times New Roman" w:cs="Times New Roman"/>
                <w:kern w:val="2"/>
                <w:sz w:val="21"/>
                <w:szCs w:val="21"/>
              </w:rPr>
              <w:t>PM</w:t>
            </w:r>
            <w:r w:rsidRPr="00D630D1">
              <w:rPr>
                <w:rFonts w:ascii="Times New Roman" w:cs="Times New Roman"/>
                <w:kern w:val="2"/>
                <w:sz w:val="21"/>
                <w:szCs w:val="21"/>
                <w:vertAlign w:val="subscript"/>
              </w:rPr>
              <w:t>2.5</w:t>
            </w:r>
            <w:r w:rsidRPr="00D630D1">
              <w:rPr>
                <w:rFonts w:ascii="Times New Roman" w:cs="Times New Roman"/>
                <w:kern w:val="2"/>
                <w:sz w:val="21"/>
                <w:szCs w:val="21"/>
              </w:rPr>
              <w:t>、</w:t>
            </w:r>
            <w:r w:rsidRPr="00D630D1">
              <w:rPr>
                <w:rFonts w:ascii="Times New Roman" w:cs="Times New Roman"/>
                <w:kern w:val="2"/>
                <w:sz w:val="21"/>
                <w:szCs w:val="21"/>
              </w:rPr>
              <w:t>PM</w:t>
            </w:r>
            <w:r w:rsidRPr="00D630D1">
              <w:rPr>
                <w:rFonts w:ascii="Times New Roman" w:cs="Times New Roman"/>
                <w:kern w:val="2"/>
                <w:sz w:val="21"/>
                <w:szCs w:val="21"/>
                <w:vertAlign w:val="subscript"/>
              </w:rPr>
              <w:t>10</w:t>
            </w:r>
            <w:r w:rsidRPr="00D630D1">
              <w:rPr>
                <w:rFonts w:ascii="Times New Roman" w:cs="Times New Roman"/>
                <w:kern w:val="2"/>
                <w:sz w:val="21"/>
                <w:szCs w:val="21"/>
              </w:rPr>
              <w:t>、</w:t>
            </w:r>
            <w:r w:rsidRPr="00D630D1">
              <w:rPr>
                <w:rFonts w:ascii="Times New Roman" w:cs="Times New Roman"/>
                <w:kern w:val="2"/>
                <w:sz w:val="21"/>
                <w:szCs w:val="21"/>
              </w:rPr>
              <w:t>O</w:t>
            </w:r>
            <w:r w:rsidRPr="00D630D1">
              <w:rPr>
                <w:rFonts w:ascii="Times New Roman" w:cs="Times New Roman"/>
                <w:kern w:val="2"/>
                <w:sz w:val="21"/>
                <w:szCs w:val="21"/>
                <w:vertAlign w:val="subscript"/>
              </w:rPr>
              <w:t>3</w:t>
            </w:r>
            <w:r w:rsidRPr="00D630D1">
              <w:rPr>
                <w:rFonts w:ascii="Times New Roman" w:cs="Times New Roman"/>
                <w:kern w:val="2"/>
                <w:sz w:val="21"/>
                <w:szCs w:val="21"/>
              </w:rPr>
              <w:t>、</w:t>
            </w:r>
            <w:r w:rsidRPr="00D630D1">
              <w:rPr>
                <w:rFonts w:ascii="Times New Roman" w:cs="Times New Roman"/>
                <w:kern w:val="2"/>
                <w:sz w:val="21"/>
                <w:szCs w:val="21"/>
              </w:rPr>
              <w:t>CO</w:t>
            </w:r>
            <w:r w:rsidRPr="00D630D1">
              <w:rPr>
                <w:rFonts w:ascii="Times New Roman" w:cs="Times New Roman"/>
                <w:kern w:val="2"/>
                <w:sz w:val="21"/>
                <w:szCs w:val="21"/>
              </w:rPr>
              <w:t>、</w:t>
            </w:r>
            <w:r w:rsidR="00403916" w:rsidRPr="00D630D1">
              <w:rPr>
                <w:rFonts w:ascii="Times New Roman" w:cs="Times New Roman" w:hint="eastAsia"/>
                <w:kern w:val="2"/>
                <w:sz w:val="21"/>
                <w:szCs w:val="21"/>
              </w:rPr>
              <w:t>TVOC</w:t>
            </w:r>
            <w:r w:rsidRPr="00D630D1">
              <w:rPr>
                <w:rFonts w:ascii="Times New Roman" w:cs="Times New Roman"/>
                <w:kern w:val="2"/>
                <w:sz w:val="21"/>
                <w:szCs w:val="21"/>
              </w:rPr>
              <w:t>、</w:t>
            </w:r>
            <w:r w:rsidRPr="00D630D1">
              <w:rPr>
                <w:rFonts w:ascii="Times New Roman" w:cs="Times New Roman"/>
                <w:kern w:val="2"/>
                <w:sz w:val="21"/>
                <w:szCs w:val="21"/>
              </w:rPr>
              <w:t>H</w:t>
            </w:r>
            <w:r w:rsidRPr="00D630D1">
              <w:rPr>
                <w:rFonts w:ascii="Times New Roman" w:cs="Times New Roman"/>
                <w:kern w:val="2"/>
                <w:sz w:val="21"/>
                <w:szCs w:val="21"/>
                <w:vertAlign w:val="subscript"/>
              </w:rPr>
              <w:t>2</w:t>
            </w:r>
            <w:r w:rsidRPr="00D630D1">
              <w:rPr>
                <w:rFonts w:ascii="Times New Roman" w:cs="Times New Roman"/>
                <w:kern w:val="2"/>
                <w:sz w:val="21"/>
                <w:szCs w:val="21"/>
              </w:rPr>
              <w:t>S</w:t>
            </w:r>
          </w:p>
        </w:tc>
        <w:tc>
          <w:tcPr>
            <w:tcW w:w="952" w:type="pct"/>
            <w:tcBorders>
              <w:top w:val="single" w:sz="4" w:space="0" w:color="000000"/>
              <w:left w:val="single" w:sz="4" w:space="0" w:color="000000"/>
              <w:bottom w:val="single" w:sz="2" w:space="0" w:color="000000"/>
              <w:right w:val="nil"/>
            </w:tcBorders>
            <w:vAlign w:val="center"/>
          </w:tcPr>
          <w:p w:rsidR="003608BC" w:rsidRPr="00D630D1" w:rsidRDefault="00D1608A"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场站</w:t>
            </w:r>
            <w:r w:rsidR="00DD1E9A" w:rsidRPr="00D630D1">
              <w:rPr>
                <w:rFonts w:ascii="Times New Roman" w:cs="Times New Roman"/>
                <w:kern w:val="2"/>
                <w:sz w:val="21"/>
                <w:szCs w:val="21"/>
              </w:rPr>
              <w:t>及管道沿线</w:t>
            </w:r>
          </w:p>
        </w:tc>
      </w:tr>
      <w:tr w:rsidR="00D1608A" w:rsidRPr="00D630D1" w:rsidTr="00E72C74">
        <w:trPr>
          <w:trHeight w:val="19"/>
          <w:jc w:val="center"/>
        </w:trPr>
        <w:tc>
          <w:tcPr>
            <w:tcW w:w="754" w:type="pct"/>
            <w:tcBorders>
              <w:top w:val="single" w:sz="4" w:space="0" w:color="000000"/>
              <w:left w:val="nil"/>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噪声</w:t>
            </w:r>
          </w:p>
        </w:tc>
        <w:tc>
          <w:tcPr>
            <w:tcW w:w="1143" w:type="pct"/>
            <w:tcBorders>
              <w:top w:val="single" w:sz="4" w:space="0" w:color="000000"/>
              <w:left w:val="single" w:sz="4" w:space="0" w:color="000000"/>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现状调查与预测</w:t>
            </w:r>
          </w:p>
        </w:tc>
        <w:tc>
          <w:tcPr>
            <w:tcW w:w="2151" w:type="pct"/>
            <w:tcBorders>
              <w:top w:val="single" w:sz="4" w:space="0" w:color="000000"/>
              <w:left w:val="single" w:sz="4" w:space="0" w:color="000000"/>
              <w:bottom w:val="single" w:sz="4" w:space="0" w:color="000000"/>
              <w:right w:val="single" w:sz="4" w:space="0" w:color="000000"/>
            </w:tcBorders>
            <w:vAlign w:val="center"/>
          </w:tcPr>
          <w:p w:rsidR="003608BC" w:rsidRPr="00D630D1" w:rsidRDefault="0055650C"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昼夜等效连续</w:t>
            </w:r>
            <w:r w:rsidRPr="00D630D1">
              <w:rPr>
                <w:rFonts w:ascii="Times New Roman" w:cs="Times New Roman"/>
                <w:kern w:val="2"/>
                <w:sz w:val="21"/>
                <w:szCs w:val="21"/>
              </w:rPr>
              <w:t>A</w:t>
            </w:r>
            <w:r w:rsidRPr="00D630D1">
              <w:rPr>
                <w:rFonts w:ascii="Times New Roman" w:cs="Times New Roman"/>
                <w:kern w:val="2"/>
                <w:sz w:val="21"/>
                <w:szCs w:val="21"/>
              </w:rPr>
              <w:t>声级</w:t>
            </w:r>
          </w:p>
        </w:tc>
        <w:tc>
          <w:tcPr>
            <w:tcW w:w="952" w:type="pct"/>
            <w:tcBorders>
              <w:top w:val="single" w:sz="2" w:space="0" w:color="000000"/>
              <w:left w:val="single" w:sz="4" w:space="0" w:color="000000"/>
              <w:bottom w:val="single" w:sz="4" w:space="0" w:color="000000"/>
              <w:right w:val="nil"/>
            </w:tcBorders>
            <w:vAlign w:val="center"/>
          </w:tcPr>
          <w:p w:rsidR="003608BC" w:rsidRPr="00D630D1" w:rsidRDefault="00D1608A" w:rsidP="003608BC">
            <w:pPr>
              <w:pStyle w:val="afffffff1"/>
            </w:pPr>
            <w:r w:rsidRPr="00D630D1">
              <w:rPr>
                <w:kern w:val="2"/>
                <w:szCs w:val="21"/>
              </w:rPr>
              <w:t>场站</w:t>
            </w:r>
            <w:r w:rsidR="00DD1E9A" w:rsidRPr="00D630D1">
              <w:rPr>
                <w:kern w:val="2"/>
                <w:szCs w:val="21"/>
              </w:rPr>
              <w:t>及管道沿线</w:t>
            </w:r>
          </w:p>
        </w:tc>
      </w:tr>
      <w:tr w:rsidR="00D1608A" w:rsidRPr="00D630D1" w:rsidTr="00E72C74">
        <w:trPr>
          <w:trHeight w:val="19"/>
          <w:jc w:val="center"/>
        </w:trPr>
        <w:tc>
          <w:tcPr>
            <w:tcW w:w="754" w:type="pct"/>
            <w:tcBorders>
              <w:top w:val="single" w:sz="4" w:space="0" w:color="000000"/>
              <w:left w:val="nil"/>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浅层地下水</w:t>
            </w:r>
          </w:p>
        </w:tc>
        <w:tc>
          <w:tcPr>
            <w:tcW w:w="1143" w:type="pct"/>
            <w:tcBorders>
              <w:top w:val="single" w:sz="4" w:space="0" w:color="000000"/>
              <w:left w:val="single" w:sz="4" w:space="0" w:color="000000"/>
              <w:bottom w:val="single" w:sz="4" w:space="0" w:color="000000"/>
              <w:right w:val="single" w:sz="4" w:space="0" w:color="000000"/>
            </w:tcBorders>
            <w:vAlign w:val="center"/>
          </w:tcPr>
          <w:p w:rsidR="003608BC" w:rsidRPr="00D630D1" w:rsidRDefault="003608BC"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地下水环境质量现状调查</w:t>
            </w:r>
          </w:p>
        </w:tc>
        <w:tc>
          <w:tcPr>
            <w:tcW w:w="2151" w:type="pct"/>
            <w:tcBorders>
              <w:top w:val="single" w:sz="4" w:space="0" w:color="000000"/>
              <w:left w:val="single" w:sz="4" w:space="0" w:color="000000"/>
              <w:bottom w:val="single" w:sz="4" w:space="0" w:color="000000"/>
              <w:right w:val="single" w:sz="4" w:space="0" w:color="000000"/>
            </w:tcBorders>
            <w:vAlign w:val="center"/>
          </w:tcPr>
          <w:p w:rsidR="003608BC" w:rsidRPr="00D630D1" w:rsidRDefault="00403916" w:rsidP="0071622A">
            <w:pPr>
              <w:spacing w:line="240" w:lineRule="auto"/>
              <w:ind w:firstLineChars="0" w:firstLine="0"/>
              <w:jc w:val="center"/>
              <w:rPr>
                <w:rFonts w:ascii="Times New Roman" w:cs="Times New Roman"/>
                <w:kern w:val="2"/>
                <w:sz w:val="21"/>
                <w:szCs w:val="21"/>
              </w:rPr>
            </w:pPr>
            <w:r w:rsidRPr="00D630D1">
              <w:rPr>
                <w:rFonts w:ascii="Times New Roman" w:cs="Times New Roman"/>
                <w:sz w:val="21"/>
                <w:szCs w:val="21"/>
              </w:rPr>
              <w:t>K</w:t>
            </w:r>
            <w:r w:rsidRPr="00D630D1">
              <w:rPr>
                <w:rFonts w:ascii="Times New Roman" w:cs="Times New Roman"/>
                <w:sz w:val="21"/>
                <w:szCs w:val="21"/>
                <w:vertAlign w:val="superscript"/>
              </w:rPr>
              <w:t>+</w:t>
            </w:r>
            <w:r w:rsidRPr="00D630D1">
              <w:rPr>
                <w:rFonts w:ascii="Times New Roman" w:cs="Times New Roman"/>
                <w:sz w:val="21"/>
                <w:szCs w:val="21"/>
              </w:rPr>
              <w:t>+Na</w:t>
            </w:r>
            <w:r w:rsidRPr="00D630D1">
              <w:rPr>
                <w:rFonts w:ascii="Times New Roman" w:cs="Times New Roman"/>
                <w:sz w:val="21"/>
                <w:szCs w:val="21"/>
                <w:vertAlign w:val="superscript"/>
              </w:rPr>
              <w:t>+</w:t>
            </w:r>
            <w:r w:rsidRPr="00D630D1">
              <w:rPr>
                <w:rFonts w:ascii="Times New Roman" w:cs="Times New Roman"/>
                <w:sz w:val="21"/>
                <w:szCs w:val="21"/>
              </w:rPr>
              <w:t>、</w:t>
            </w:r>
            <w:r w:rsidRPr="00D630D1">
              <w:rPr>
                <w:rFonts w:ascii="Times New Roman" w:cs="Times New Roman"/>
                <w:sz w:val="21"/>
                <w:szCs w:val="21"/>
              </w:rPr>
              <w:t>Ca</w:t>
            </w:r>
            <w:r w:rsidRPr="00D630D1">
              <w:rPr>
                <w:rFonts w:ascii="Times New Roman" w:cs="Times New Roman"/>
                <w:sz w:val="21"/>
                <w:szCs w:val="21"/>
                <w:vertAlign w:val="superscript"/>
              </w:rPr>
              <w:t>2+</w:t>
            </w:r>
            <w:r w:rsidRPr="00D630D1">
              <w:rPr>
                <w:rFonts w:ascii="Times New Roman" w:cs="Times New Roman"/>
                <w:sz w:val="21"/>
                <w:szCs w:val="21"/>
              </w:rPr>
              <w:t>、</w:t>
            </w:r>
            <w:r w:rsidRPr="00D630D1">
              <w:rPr>
                <w:rFonts w:ascii="Times New Roman" w:cs="Times New Roman"/>
                <w:sz w:val="21"/>
                <w:szCs w:val="21"/>
              </w:rPr>
              <w:t>Mg</w:t>
            </w:r>
            <w:r w:rsidRPr="00D630D1">
              <w:rPr>
                <w:rFonts w:ascii="Times New Roman" w:cs="Times New Roman"/>
                <w:sz w:val="21"/>
                <w:szCs w:val="21"/>
                <w:vertAlign w:val="superscript"/>
              </w:rPr>
              <w:t>2+</w:t>
            </w:r>
            <w:r w:rsidRPr="00D630D1">
              <w:rPr>
                <w:rFonts w:ascii="Times New Roman" w:cs="Times New Roman"/>
                <w:sz w:val="21"/>
                <w:szCs w:val="21"/>
              </w:rPr>
              <w:t>、</w:t>
            </w:r>
            <w:r w:rsidRPr="00D630D1">
              <w:rPr>
                <w:rFonts w:ascii="Times New Roman" w:cs="Times New Roman"/>
                <w:sz w:val="21"/>
                <w:szCs w:val="21"/>
              </w:rPr>
              <w:t>CO</w:t>
            </w:r>
            <w:r w:rsidRPr="00D630D1">
              <w:rPr>
                <w:rFonts w:ascii="Times New Roman" w:cs="Times New Roman"/>
                <w:sz w:val="21"/>
                <w:szCs w:val="21"/>
                <w:vertAlign w:val="subscript"/>
              </w:rPr>
              <w:t>3</w:t>
            </w:r>
            <w:r w:rsidRPr="00D630D1">
              <w:rPr>
                <w:rFonts w:ascii="Times New Roman" w:cs="Times New Roman"/>
                <w:sz w:val="21"/>
                <w:szCs w:val="21"/>
                <w:vertAlign w:val="superscript"/>
              </w:rPr>
              <w:t>2-</w:t>
            </w:r>
            <w:r w:rsidRPr="00D630D1">
              <w:rPr>
                <w:rFonts w:ascii="Times New Roman" w:cs="Times New Roman"/>
                <w:sz w:val="21"/>
                <w:szCs w:val="21"/>
              </w:rPr>
              <w:t>、</w:t>
            </w:r>
            <w:r w:rsidRPr="00D630D1">
              <w:rPr>
                <w:rFonts w:ascii="Times New Roman" w:cs="Times New Roman"/>
                <w:sz w:val="21"/>
                <w:szCs w:val="21"/>
              </w:rPr>
              <w:t>HCO</w:t>
            </w:r>
            <w:r w:rsidRPr="00D630D1">
              <w:rPr>
                <w:rFonts w:ascii="Times New Roman" w:cs="Times New Roman"/>
                <w:sz w:val="21"/>
                <w:szCs w:val="21"/>
                <w:vertAlign w:val="subscript"/>
              </w:rPr>
              <w:t>3</w:t>
            </w:r>
            <w:r w:rsidRPr="00D630D1">
              <w:rPr>
                <w:rFonts w:ascii="Times New Roman" w:cs="Times New Roman"/>
                <w:sz w:val="21"/>
                <w:szCs w:val="21"/>
                <w:vertAlign w:val="superscript"/>
              </w:rPr>
              <w:t>-</w:t>
            </w:r>
            <w:r w:rsidRPr="00D630D1">
              <w:rPr>
                <w:rFonts w:ascii="Times New Roman" w:cs="Times New Roman"/>
                <w:sz w:val="21"/>
                <w:szCs w:val="21"/>
              </w:rPr>
              <w:t>、</w:t>
            </w:r>
            <w:r w:rsidRPr="00D630D1">
              <w:rPr>
                <w:rFonts w:ascii="Times New Roman" w:cs="Times New Roman"/>
                <w:sz w:val="21"/>
                <w:szCs w:val="21"/>
              </w:rPr>
              <w:t>Cl</w:t>
            </w:r>
            <w:r w:rsidRPr="00D630D1">
              <w:rPr>
                <w:rFonts w:ascii="Times New Roman" w:cs="Times New Roman"/>
                <w:sz w:val="21"/>
                <w:szCs w:val="21"/>
                <w:vertAlign w:val="superscript"/>
              </w:rPr>
              <w:t>-</w:t>
            </w:r>
            <w:r w:rsidRPr="00D630D1">
              <w:rPr>
                <w:rFonts w:ascii="Times New Roman" w:cs="Times New Roman"/>
                <w:sz w:val="21"/>
                <w:szCs w:val="21"/>
              </w:rPr>
              <w:t>、</w:t>
            </w:r>
            <w:r w:rsidRPr="00D630D1">
              <w:rPr>
                <w:rFonts w:ascii="Times New Roman" w:cs="Times New Roman"/>
                <w:sz w:val="21"/>
                <w:szCs w:val="21"/>
              </w:rPr>
              <w:t>SO</w:t>
            </w:r>
            <w:r w:rsidRPr="00D630D1">
              <w:rPr>
                <w:rFonts w:ascii="Times New Roman" w:cs="Times New Roman"/>
                <w:sz w:val="21"/>
                <w:szCs w:val="21"/>
                <w:vertAlign w:val="subscript"/>
              </w:rPr>
              <w:t>4</w:t>
            </w:r>
            <w:r w:rsidRPr="00D630D1">
              <w:rPr>
                <w:rFonts w:ascii="Times New Roman" w:cs="Times New Roman"/>
                <w:sz w:val="21"/>
                <w:szCs w:val="21"/>
                <w:vertAlign w:val="superscript"/>
              </w:rPr>
              <w:t>2-</w:t>
            </w:r>
            <w:r w:rsidRPr="00D630D1">
              <w:rPr>
                <w:rFonts w:ascii="Times New Roman" w:cs="Times New Roman"/>
                <w:sz w:val="21"/>
                <w:szCs w:val="21"/>
              </w:rPr>
              <w:t>；</w:t>
            </w:r>
            <w:r w:rsidRPr="00D630D1">
              <w:rPr>
                <w:rFonts w:ascii="Times New Roman" w:cs="Times New Roman"/>
                <w:sz w:val="21"/>
                <w:szCs w:val="21"/>
              </w:rPr>
              <w:t>pH</w:t>
            </w:r>
            <w:r w:rsidRPr="00D630D1">
              <w:rPr>
                <w:rFonts w:ascii="Times New Roman" w:cs="Times New Roman"/>
                <w:sz w:val="21"/>
                <w:szCs w:val="21"/>
              </w:rPr>
              <w:t>、氨氮、硝酸盐、亚硝酸盐、挥发性酚类、氰化物、砷、汞、铬（六价）、总硬度、铅、镉、铁、锰、溶解性总固体、耗氧量、硫酸盐、氯化物、菌落总数、氟化物、总大肠菌群</w:t>
            </w:r>
          </w:p>
        </w:tc>
        <w:tc>
          <w:tcPr>
            <w:tcW w:w="952" w:type="pct"/>
            <w:tcBorders>
              <w:top w:val="single" w:sz="4" w:space="0" w:color="000000"/>
              <w:left w:val="single" w:sz="4" w:space="0" w:color="000000"/>
              <w:bottom w:val="single" w:sz="4" w:space="0" w:color="000000"/>
              <w:right w:val="nil"/>
            </w:tcBorders>
            <w:vAlign w:val="center"/>
          </w:tcPr>
          <w:p w:rsidR="003608BC" w:rsidRPr="00D630D1" w:rsidRDefault="00DD1E9A"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r>
      <w:tr w:rsidR="00D1608A" w:rsidRPr="00D630D1" w:rsidTr="00E72C74">
        <w:trPr>
          <w:trHeight w:val="19"/>
          <w:jc w:val="center"/>
        </w:trPr>
        <w:tc>
          <w:tcPr>
            <w:tcW w:w="754" w:type="pct"/>
            <w:tcBorders>
              <w:top w:val="single" w:sz="4" w:space="0" w:color="000000"/>
              <w:left w:val="nil"/>
              <w:bottom w:val="single" w:sz="12" w:space="0" w:color="000000"/>
              <w:right w:val="single" w:sz="4" w:space="0" w:color="000000"/>
            </w:tcBorders>
            <w:vAlign w:val="center"/>
          </w:tcPr>
          <w:p w:rsidR="00DD1E9A" w:rsidRPr="00D630D1" w:rsidRDefault="00DD1E9A"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土壤</w:t>
            </w:r>
          </w:p>
        </w:tc>
        <w:tc>
          <w:tcPr>
            <w:tcW w:w="1143" w:type="pct"/>
            <w:tcBorders>
              <w:top w:val="single" w:sz="4" w:space="0" w:color="000000"/>
              <w:left w:val="single" w:sz="4" w:space="0" w:color="000000"/>
              <w:bottom w:val="single" w:sz="12" w:space="0" w:color="000000"/>
              <w:right w:val="single" w:sz="4" w:space="0" w:color="000000"/>
            </w:tcBorders>
            <w:vAlign w:val="center"/>
          </w:tcPr>
          <w:p w:rsidR="00DD1E9A" w:rsidRPr="00D630D1" w:rsidRDefault="00DD1E9A"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土壤环境质量现状调查</w:t>
            </w:r>
          </w:p>
        </w:tc>
        <w:tc>
          <w:tcPr>
            <w:tcW w:w="2151" w:type="pct"/>
            <w:tcBorders>
              <w:top w:val="single" w:sz="4" w:space="0" w:color="000000"/>
              <w:left w:val="single" w:sz="4" w:space="0" w:color="000000"/>
              <w:bottom w:val="single" w:sz="12" w:space="0" w:color="000000"/>
              <w:right w:val="single" w:sz="4" w:space="0" w:color="000000"/>
            </w:tcBorders>
            <w:vAlign w:val="center"/>
          </w:tcPr>
          <w:p w:rsidR="00DD1E9A" w:rsidRPr="00D630D1" w:rsidRDefault="00DC6697" w:rsidP="00403916">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建设用地：《土壤环境质量</w:t>
            </w:r>
            <w:r w:rsidRPr="00D630D1">
              <w:rPr>
                <w:rFonts w:ascii="Times New Roman" w:cs="Times New Roman" w:hint="eastAsia"/>
                <w:sz w:val="21"/>
                <w:szCs w:val="21"/>
              </w:rPr>
              <w:t xml:space="preserve"> </w:t>
            </w:r>
            <w:r w:rsidRPr="00D630D1">
              <w:rPr>
                <w:rFonts w:ascii="Times New Roman" w:cs="Times New Roman" w:hint="eastAsia"/>
                <w:sz w:val="21"/>
                <w:szCs w:val="21"/>
              </w:rPr>
              <w:t>建设用地土壤污染风险管控标准（试行）》（</w:t>
            </w:r>
            <w:r w:rsidRPr="00D630D1">
              <w:rPr>
                <w:rFonts w:ascii="Times New Roman" w:cs="Times New Roman" w:hint="eastAsia"/>
                <w:sz w:val="21"/>
                <w:szCs w:val="21"/>
              </w:rPr>
              <w:t>GB 36600-2018</w:t>
            </w:r>
            <w:r w:rsidRPr="00D630D1">
              <w:rPr>
                <w:rFonts w:ascii="Times New Roman" w:cs="Times New Roman" w:hint="eastAsia"/>
                <w:sz w:val="21"/>
                <w:szCs w:val="21"/>
              </w:rPr>
              <w:t>）中</w:t>
            </w:r>
            <w:r w:rsidRPr="00D630D1">
              <w:rPr>
                <w:rFonts w:ascii="Times New Roman" w:cs="Times New Roman" w:hint="eastAsia"/>
                <w:sz w:val="21"/>
                <w:szCs w:val="21"/>
              </w:rPr>
              <w:t>45</w:t>
            </w:r>
            <w:r w:rsidRPr="00D630D1">
              <w:rPr>
                <w:rFonts w:ascii="Times New Roman" w:cs="Times New Roman" w:hint="eastAsia"/>
                <w:sz w:val="21"/>
                <w:szCs w:val="21"/>
              </w:rPr>
              <w:t>项基本项目；农用地：</w:t>
            </w:r>
            <w:r w:rsidR="00DD1E9A" w:rsidRPr="00D630D1">
              <w:rPr>
                <w:rFonts w:ascii="Times New Roman" w:cs="Times New Roman"/>
                <w:sz w:val="21"/>
                <w:szCs w:val="21"/>
              </w:rPr>
              <w:t>pH</w:t>
            </w:r>
            <w:r w:rsidR="00DD1E9A" w:rsidRPr="00D630D1">
              <w:rPr>
                <w:rFonts w:ascii="Times New Roman" w:cs="Times New Roman"/>
                <w:sz w:val="21"/>
                <w:szCs w:val="21"/>
              </w:rPr>
              <w:t>、镉、汞、砷、铅、铜、镍、铬、锌</w:t>
            </w:r>
          </w:p>
        </w:tc>
        <w:tc>
          <w:tcPr>
            <w:tcW w:w="952" w:type="pct"/>
            <w:tcBorders>
              <w:top w:val="single" w:sz="4" w:space="0" w:color="000000"/>
              <w:left w:val="single" w:sz="4" w:space="0" w:color="000000"/>
              <w:bottom w:val="single" w:sz="12" w:space="0" w:color="000000"/>
              <w:right w:val="nil"/>
            </w:tcBorders>
            <w:vAlign w:val="center"/>
          </w:tcPr>
          <w:p w:rsidR="00DD1E9A" w:rsidRPr="00D630D1" w:rsidRDefault="00D1608A" w:rsidP="007162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场站</w:t>
            </w:r>
            <w:r w:rsidR="00DC6697" w:rsidRPr="00D630D1">
              <w:rPr>
                <w:rFonts w:ascii="Times New Roman" w:cs="Times New Roman"/>
                <w:kern w:val="2"/>
                <w:sz w:val="21"/>
                <w:szCs w:val="21"/>
              </w:rPr>
              <w:t>及</w:t>
            </w:r>
            <w:r w:rsidR="00403916" w:rsidRPr="00D630D1">
              <w:rPr>
                <w:rFonts w:ascii="Times New Roman" w:cs="Times New Roman" w:hint="eastAsia"/>
                <w:kern w:val="2"/>
                <w:sz w:val="21"/>
                <w:szCs w:val="21"/>
              </w:rPr>
              <w:t>周围</w:t>
            </w:r>
          </w:p>
        </w:tc>
      </w:tr>
    </w:tbl>
    <w:p w:rsidR="00117C3D" w:rsidRPr="00D630D1" w:rsidRDefault="008B5B84" w:rsidP="007F0E7C">
      <w:pPr>
        <w:keepNext/>
        <w:keepLines/>
        <w:spacing w:before="120"/>
        <w:ind w:firstLineChars="0" w:firstLine="0"/>
        <w:outlineLvl w:val="1"/>
        <w:rPr>
          <w:rFonts w:ascii="Times New Roman" w:cs="Times New Roman"/>
          <w:b/>
          <w:bCs/>
          <w:sz w:val="28"/>
          <w:szCs w:val="32"/>
        </w:rPr>
      </w:pPr>
      <w:bookmarkStart w:id="64" w:name="bookmark5"/>
      <w:bookmarkStart w:id="65" w:name="_Toc19815942"/>
      <w:bookmarkStart w:id="66" w:name="_Toc81515253"/>
      <w:bookmarkStart w:id="67" w:name="_Toc19815935"/>
      <w:bookmarkEnd w:id="64"/>
      <w:r w:rsidRPr="00D630D1">
        <w:rPr>
          <w:rFonts w:ascii="Times New Roman" w:cs="Times New Roman"/>
          <w:b/>
          <w:bCs/>
          <w:sz w:val="28"/>
          <w:szCs w:val="32"/>
        </w:rPr>
        <w:t xml:space="preserve">1.4 </w:t>
      </w:r>
      <w:r w:rsidRPr="00D630D1">
        <w:rPr>
          <w:rFonts w:ascii="Times New Roman" w:cs="Times New Roman"/>
          <w:b/>
          <w:bCs/>
          <w:sz w:val="28"/>
          <w:szCs w:val="32"/>
        </w:rPr>
        <w:t>环境功能区划</w:t>
      </w:r>
      <w:bookmarkEnd w:id="65"/>
      <w:bookmarkEnd w:id="66"/>
    </w:p>
    <w:p w:rsidR="00143564" w:rsidRPr="00D630D1" w:rsidRDefault="00143564" w:rsidP="00143564">
      <w:pPr>
        <w:keepNext/>
        <w:keepLines/>
        <w:ind w:firstLineChars="0" w:firstLine="0"/>
        <w:outlineLvl w:val="2"/>
        <w:rPr>
          <w:rFonts w:ascii="Times New Roman" w:cs="Times New Roman"/>
          <w:b/>
          <w:szCs w:val="32"/>
        </w:rPr>
      </w:pPr>
      <w:r w:rsidRPr="00D630D1">
        <w:rPr>
          <w:rFonts w:ascii="Times New Roman" w:cs="Times New Roman"/>
          <w:b/>
          <w:szCs w:val="32"/>
        </w:rPr>
        <w:t xml:space="preserve">1.4.1 </w:t>
      </w:r>
      <w:r w:rsidRPr="00D630D1">
        <w:rPr>
          <w:rFonts w:ascii="Times New Roman" w:cs="Times New Roman"/>
          <w:b/>
          <w:szCs w:val="32"/>
        </w:rPr>
        <w:t>大气环境</w:t>
      </w:r>
    </w:p>
    <w:p w:rsidR="00143564" w:rsidRPr="00D630D1" w:rsidRDefault="00DD1E9A" w:rsidP="00DD1E9A">
      <w:pPr>
        <w:pStyle w:val="afa"/>
        <w:ind w:firstLine="480"/>
      </w:pPr>
      <w:r w:rsidRPr="00D630D1">
        <w:t>工程</w:t>
      </w:r>
      <w:r w:rsidR="00D1608A" w:rsidRPr="00D630D1">
        <w:t>场站</w:t>
      </w:r>
      <w:r w:rsidRPr="00D630D1">
        <w:t>及管道沿线位于农村地区，根据《环境空气质量标准》（</w:t>
      </w:r>
      <w:r w:rsidRPr="00D630D1">
        <w:t>GB3095-2012</w:t>
      </w:r>
      <w:r w:rsidRPr="00D630D1">
        <w:t>），评价区的大气环境功能区划属二类区，执行大气环境功能区二类区标准。</w:t>
      </w:r>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1.4.2 </w:t>
      </w:r>
      <w:r w:rsidRPr="00D630D1">
        <w:rPr>
          <w:rFonts w:ascii="Times New Roman" w:cs="Times New Roman"/>
          <w:b/>
          <w:szCs w:val="32"/>
        </w:rPr>
        <w:t>地表水环境</w:t>
      </w:r>
    </w:p>
    <w:p w:rsidR="00117C3D" w:rsidRPr="00D630D1" w:rsidRDefault="007F0E7C" w:rsidP="007F0E7C">
      <w:pPr>
        <w:pStyle w:val="afa"/>
        <w:ind w:firstLine="480"/>
      </w:pPr>
      <w:r w:rsidRPr="00D630D1">
        <w:t>本项目周边地表水为《地表水环境质量标准》（</w:t>
      </w:r>
      <w:r w:rsidRPr="00D630D1">
        <w:t>GB3838-2002</w:t>
      </w:r>
      <w:r w:rsidRPr="00D630D1">
        <w:t>）</w:t>
      </w:r>
      <w:r w:rsidRPr="00D630D1">
        <w:t>Ⅲ</w:t>
      </w:r>
      <w:r w:rsidRPr="00D630D1">
        <w:t>类水域。</w:t>
      </w:r>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1.4.3 </w:t>
      </w:r>
      <w:r w:rsidRPr="00D630D1">
        <w:rPr>
          <w:rFonts w:ascii="Times New Roman" w:cs="Times New Roman"/>
          <w:b/>
          <w:szCs w:val="32"/>
        </w:rPr>
        <w:t>地下水环境</w:t>
      </w:r>
    </w:p>
    <w:p w:rsidR="00117C3D" w:rsidRPr="00D630D1" w:rsidRDefault="008B5B84">
      <w:pPr>
        <w:topLinePunct w:val="0"/>
        <w:adjustRightInd/>
        <w:ind w:firstLine="480"/>
        <w:rPr>
          <w:rFonts w:ascii="Times New Roman" w:cs="Times New Roman"/>
          <w:kern w:val="2"/>
          <w:szCs w:val="22"/>
        </w:rPr>
      </w:pPr>
      <w:r w:rsidRPr="00D630D1">
        <w:rPr>
          <w:rFonts w:ascii="Times New Roman" w:cs="Times New Roman"/>
          <w:kern w:val="2"/>
          <w:szCs w:val="22"/>
        </w:rPr>
        <w:t>项目</w:t>
      </w:r>
      <w:r w:rsidR="002409BF" w:rsidRPr="00D630D1">
        <w:t>场站及管道</w:t>
      </w:r>
      <w:r w:rsidRPr="00D630D1">
        <w:rPr>
          <w:rFonts w:ascii="Times New Roman" w:cs="Times New Roman"/>
          <w:kern w:val="2"/>
          <w:szCs w:val="22"/>
        </w:rPr>
        <w:t>沿线地下水环境质量评价均执行《地下水质量标准》（</w:t>
      </w:r>
      <w:r w:rsidRPr="00D630D1">
        <w:rPr>
          <w:rFonts w:ascii="Times New Roman" w:cs="Times New Roman"/>
          <w:kern w:val="2"/>
          <w:szCs w:val="22"/>
        </w:rPr>
        <w:t>GB/T14848-2017</w:t>
      </w:r>
      <w:r w:rsidRPr="00D630D1">
        <w:rPr>
          <w:rFonts w:ascii="Times New Roman" w:cs="Times New Roman"/>
          <w:kern w:val="2"/>
          <w:szCs w:val="22"/>
        </w:rPr>
        <w:t>）</w:t>
      </w:r>
      <w:r w:rsidRPr="00D630D1">
        <w:rPr>
          <w:rFonts w:ascii="Times New Roman" w:cs="Times New Roman"/>
          <w:kern w:val="2"/>
          <w:szCs w:val="22"/>
        </w:rPr>
        <w:t>III</w:t>
      </w:r>
      <w:r w:rsidRPr="00D630D1">
        <w:rPr>
          <w:rFonts w:ascii="Times New Roman" w:cs="Times New Roman"/>
          <w:kern w:val="2"/>
          <w:szCs w:val="22"/>
        </w:rPr>
        <w:t>类标准，项目沿线区域地下水均属于</w:t>
      </w:r>
      <w:r w:rsidRPr="00D630D1">
        <w:rPr>
          <w:rFonts w:ascii="Times New Roman" w:cs="Times New Roman"/>
          <w:kern w:val="2"/>
          <w:szCs w:val="22"/>
        </w:rPr>
        <w:t>III</w:t>
      </w:r>
      <w:r w:rsidRPr="00D630D1">
        <w:rPr>
          <w:rFonts w:ascii="Times New Roman" w:cs="Times New Roman"/>
          <w:kern w:val="2"/>
          <w:szCs w:val="22"/>
        </w:rPr>
        <w:t>类地下水功能区。</w:t>
      </w:r>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1.4.4 </w:t>
      </w:r>
      <w:r w:rsidRPr="00D630D1">
        <w:rPr>
          <w:rFonts w:ascii="Times New Roman" w:cs="Times New Roman"/>
          <w:b/>
          <w:szCs w:val="32"/>
        </w:rPr>
        <w:t>声环境</w:t>
      </w:r>
    </w:p>
    <w:p w:rsidR="00117C3D" w:rsidRPr="00D630D1" w:rsidRDefault="0031720E" w:rsidP="0031720E">
      <w:pPr>
        <w:pStyle w:val="afa"/>
        <w:ind w:firstLine="480"/>
      </w:pPr>
      <w:r w:rsidRPr="00D630D1">
        <w:t>工程建设区域内主要为散居农户，属一般居住环境，根据《声环境质量标准》（</w:t>
      </w:r>
      <w:r w:rsidRPr="00D630D1">
        <w:t>GB3096-2008</w:t>
      </w:r>
      <w:r w:rsidRPr="00D630D1">
        <w:t>），功能区划属</w:t>
      </w:r>
      <w:r w:rsidRPr="00D630D1">
        <w:t>2</w:t>
      </w:r>
      <w:r w:rsidRPr="00D630D1">
        <w:t>类区域。</w:t>
      </w:r>
    </w:p>
    <w:p w:rsidR="0031720E" w:rsidRPr="00D630D1" w:rsidRDefault="0031720E" w:rsidP="0031720E">
      <w:pPr>
        <w:keepNext/>
        <w:keepLines/>
        <w:ind w:firstLineChars="0" w:firstLine="0"/>
        <w:outlineLvl w:val="2"/>
        <w:rPr>
          <w:rFonts w:ascii="Times New Roman" w:cs="Times New Roman"/>
          <w:b/>
          <w:szCs w:val="32"/>
        </w:rPr>
      </w:pPr>
      <w:r w:rsidRPr="00D630D1">
        <w:rPr>
          <w:rFonts w:ascii="Times New Roman" w:cs="Times New Roman"/>
          <w:b/>
          <w:szCs w:val="32"/>
        </w:rPr>
        <w:t xml:space="preserve">1.4.5 </w:t>
      </w:r>
      <w:r w:rsidRPr="00D630D1">
        <w:rPr>
          <w:rFonts w:ascii="Times New Roman" w:cs="Times New Roman"/>
          <w:b/>
          <w:szCs w:val="32"/>
        </w:rPr>
        <w:t>土壤环境</w:t>
      </w:r>
    </w:p>
    <w:p w:rsidR="0031720E" w:rsidRPr="00D630D1" w:rsidRDefault="0031720E" w:rsidP="0031720E">
      <w:pPr>
        <w:pStyle w:val="afa"/>
        <w:ind w:firstLine="480"/>
      </w:pPr>
      <w:r w:rsidRPr="00D630D1">
        <w:t>项目</w:t>
      </w:r>
      <w:r w:rsidR="00053203" w:rsidRPr="00D630D1">
        <w:t>站场内土壤执行</w:t>
      </w:r>
      <w:r w:rsidR="00053203" w:rsidRPr="00D630D1">
        <w:rPr>
          <w:rFonts w:hint="eastAsia"/>
        </w:rPr>
        <w:t>《土壤环境质量</w:t>
      </w:r>
      <w:r w:rsidR="00053203" w:rsidRPr="00D630D1">
        <w:rPr>
          <w:rFonts w:hint="eastAsia"/>
        </w:rPr>
        <w:t xml:space="preserve"> </w:t>
      </w:r>
      <w:r w:rsidR="00053203" w:rsidRPr="00D630D1">
        <w:rPr>
          <w:rFonts w:hint="eastAsia"/>
        </w:rPr>
        <w:t>建设用地土壤污染风险管控标准（试行）》（</w:t>
      </w:r>
      <w:r w:rsidR="00053203" w:rsidRPr="00D630D1">
        <w:rPr>
          <w:rFonts w:hint="eastAsia"/>
        </w:rPr>
        <w:t>GB 36600-2018</w:t>
      </w:r>
      <w:r w:rsidR="00053203" w:rsidRPr="00D630D1">
        <w:rPr>
          <w:rFonts w:hint="eastAsia"/>
        </w:rPr>
        <w:t>）中风险筛选值；项目站场</w:t>
      </w:r>
      <w:r w:rsidRPr="00D630D1">
        <w:t>周边</w:t>
      </w:r>
      <w:r w:rsidR="00053203" w:rsidRPr="00D630D1">
        <w:rPr>
          <w:rFonts w:hint="eastAsia"/>
        </w:rPr>
        <w:t>耕地</w:t>
      </w:r>
      <w:r w:rsidRPr="00D630D1">
        <w:t>执行《土壤环境质</w:t>
      </w:r>
      <w:r w:rsidRPr="00D630D1">
        <w:lastRenderedPageBreak/>
        <w:t>量</w:t>
      </w:r>
      <w:r w:rsidR="002A1C47" w:rsidRPr="00D630D1">
        <w:rPr>
          <w:rFonts w:hint="eastAsia"/>
        </w:rPr>
        <w:t xml:space="preserve"> </w:t>
      </w:r>
      <w:r w:rsidRPr="00D630D1">
        <w:t>农用地土壤污染风险管控标准（试行）》（</w:t>
      </w:r>
      <w:r w:rsidRPr="00D630D1">
        <w:t>GB15618-2018</w:t>
      </w:r>
      <w:r w:rsidRPr="00D630D1">
        <w:t>）表</w:t>
      </w:r>
      <w:r w:rsidRPr="00D630D1">
        <w:t>1</w:t>
      </w:r>
      <w:r w:rsidRPr="00D630D1">
        <w:t>中其他标准限值。</w:t>
      </w:r>
    </w:p>
    <w:p w:rsidR="0031720E" w:rsidRPr="00D630D1" w:rsidRDefault="0031720E" w:rsidP="0031720E">
      <w:pPr>
        <w:keepNext/>
        <w:keepLines/>
        <w:ind w:firstLineChars="0" w:firstLine="0"/>
        <w:outlineLvl w:val="2"/>
        <w:rPr>
          <w:rFonts w:ascii="Times New Roman" w:cs="Times New Roman"/>
          <w:b/>
          <w:szCs w:val="32"/>
        </w:rPr>
      </w:pPr>
      <w:r w:rsidRPr="00D630D1">
        <w:rPr>
          <w:rFonts w:ascii="Times New Roman" w:cs="Times New Roman"/>
          <w:b/>
          <w:szCs w:val="32"/>
        </w:rPr>
        <w:t xml:space="preserve">1.4.6 </w:t>
      </w:r>
      <w:r w:rsidRPr="00D630D1">
        <w:rPr>
          <w:rFonts w:ascii="Times New Roman" w:cs="Times New Roman"/>
          <w:b/>
          <w:szCs w:val="32"/>
        </w:rPr>
        <w:t>生态环境</w:t>
      </w:r>
    </w:p>
    <w:p w:rsidR="00D26881" w:rsidRPr="00D630D1" w:rsidRDefault="00D26881" w:rsidP="0031720E">
      <w:pPr>
        <w:pStyle w:val="afa"/>
        <w:ind w:firstLine="480"/>
        <w:rPr>
          <w:kern w:val="2"/>
          <w:szCs w:val="22"/>
        </w:rPr>
      </w:pPr>
      <w:r w:rsidRPr="00D630D1">
        <w:t>根据《四川省生态功能区划》，</w:t>
      </w:r>
      <w:r w:rsidRPr="00D630D1">
        <w:rPr>
          <w:kern w:val="2"/>
          <w:szCs w:val="22"/>
        </w:rPr>
        <w:t>本项目位于四川盆地亚热带湿润气候生态区，属于大巴山水源涵养与土壤保持生态功能区（</w:t>
      </w:r>
      <w:r w:rsidRPr="00D630D1">
        <w:rPr>
          <w:kern w:val="2"/>
          <w:szCs w:val="22"/>
        </w:rPr>
        <w:t>I-3-2</w:t>
      </w:r>
      <w:r w:rsidRPr="00D630D1">
        <w:rPr>
          <w:kern w:val="2"/>
          <w:szCs w:val="22"/>
        </w:rPr>
        <w:t>），该生态功能区的主导功能是水源涵养功能，土壤保持功能。面临的主要环境问题是多洪灾，滑坡崩塌强烈发育，水土流失严重。</w:t>
      </w:r>
      <w:r w:rsidRPr="00D630D1">
        <w:t>项目区不属于特殊生态敏感区和重要生态敏感区，为一般区域。</w:t>
      </w:r>
    </w:p>
    <w:p w:rsidR="00117C3D" w:rsidRPr="00D630D1" w:rsidRDefault="008B5B84" w:rsidP="007F0E7C">
      <w:pPr>
        <w:keepNext/>
        <w:keepLines/>
        <w:spacing w:before="120"/>
        <w:ind w:firstLineChars="0" w:firstLine="0"/>
        <w:outlineLvl w:val="1"/>
        <w:rPr>
          <w:rFonts w:ascii="Times New Roman" w:cs="Times New Roman"/>
          <w:b/>
          <w:bCs/>
          <w:sz w:val="28"/>
          <w:szCs w:val="32"/>
        </w:rPr>
      </w:pPr>
      <w:bookmarkStart w:id="68" w:name="_Toc19815943"/>
      <w:bookmarkStart w:id="69" w:name="_Toc81515254"/>
      <w:r w:rsidRPr="00D630D1">
        <w:rPr>
          <w:rFonts w:ascii="Times New Roman" w:cs="Times New Roman"/>
          <w:b/>
          <w:bCs/>
          <w:sz w:val="28"/>
          <w:szCs w:val="32"/>
        </w:rPr>
        <w:t xml:space="preserve">1.5 </w:t>
      </w:r>
      <w:r w:rsidRPr="00D630D1">
        <w:rPr>
          <w:rFonts w:ascii="Times New Roman" w:cs="Times New Roman"/>
          <w:b/>
          <w:bCs/>
          <w:sz w:val="28"/>
          <w:szCs w:val="32"/>
        </w:rPr>
        <w:t>评价标准</w:t>
      </w:r>
      <w:bookmarkEnd w:id="68"/>
      <w:bookmarkEnd w:id="69"/>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1.5.1 </w:t>
      </w:r>
      <w:r w:rsidRPr="00D630D1">
        <w:rPr>
          <w:rFonts w:ascii="Times New Roman" w:cs="Times New Roman"/>
          <w:b/>
          <w:szCs w:val="32"/>
        </w:rPr>
        <w:t>环境质量标准</w:t>
      </w:r>
    </w:p>
    <w:p w:rsidR="00117C3D" w:rsidRPr="00D630D1" w:rsidRDefault="008B5B84" w:rsidP="00B43C65">
      <w:pPr>
        <w:pStyle w:val="afa"/>
        <w:ind w:firstLine="482"/>
        <w:rPr>
          <w:b/>
          <w:bCs/>
        </w:rPr>
      </w:pPr>
      <w:r w:rsidRPr="00D630D1">
        <w:rPr>
          <w:b/>
          <w:bCs/>
        </w:rPr>
        <w:t>1</w:t>
      </w:r>
      <w:r w:rsidRPr="00D630D1">
        <w:rPr>
          <w:b/>
          <w:bCs/>
        </w:rPr>
        <w:t>、环境空气质量标准</w:t>
      </w:r>
    </w:p>
    <w:p w:rsidR="00117C3D" w:rsidRPr="00D630D1" w:rsidRDefault="00B43C65" w:rsidP="00B43C65">
      <w:pPr>
        <w:pStyle w:val="afa"/>
        <w:ind w:firstLine="480"/>
        <w:rPr>
          <w:kern w:val="2"/>
          <w:szCs w:val="22"/>
        </w:rPr>
      </w:pPr>
      <w:r w:rsidRPr="00D630D1">
        <w:rPr>
          <w:kern w:val="2"/>
          <w:szCs w:val="22"/>
        </w:rPr>
        <w:t>评价区域环境空气执行《环境空气质量标准》（</w:t>
      </w:r>
      <w:r w:rsidRPr="00D630D1">
        <w:rPr>
          <w:kern w:val="2"/>
          <w:szCs w:val="22"/>
        </w:rPr>
        <w:t>GB3095-2012</w:t>
      </w:r>
      <w:r w:rsidRPr="00D630D1">
        <w:rPr>
          <w:kern w:val="2"/>
          <w:szCs w:val="22"/>
        </w:rPr>
        <w:t>）二级标准</w:t>
      </w:r>
      <w:r w:rsidR="009043D9" w:rsidRPr="00D630D1">
        <w:rPr>
          <w:kern w:val="2"/>
          <w:szCs w:val="22"/>
        </w:rPr>
        <w:t>；硫化氢执行《环境影响评价技术导则</w:t>
      </w:r>
      <w:r w:rsidR="002A1C47" w:rsidRPr="00D630D1">
        <w:rPr>
          <w:rFonts w:hint="eastAsia"/>
          <w:kern w:val="2"/>
          <w:szCs w:val="22"/>
        </w:rPr>
        <w:t xml:space="preserve"> </w:t>
      </w:r>
      <w:r w:rsidR="009043D9" w:rsidRPr="00D630D1">
        <w:rPr>
          <w:kern w:val="2"/>
          <w:szCs w:val="22"/>
        </w:rPr>
        <w:t>大气环境》（</w:t>
      </w:r>
      <w:r w:rsidR="009043D9" w:rsidRPr="00D630D1">
        <w:rPr>
          <w:kern w:val="2"/>
          <w:szCs w:val="22"/>
        </w:rPr>
        <w:t>HJ2.2-2018</w:t>
      </w:r>
      <w:r w:rsidR="009043D9" w:rsidRPr="00D630D1">
        <w:rPr>
          <w:kern w:val="2"/>
          <w:szCs w:val="22"/>
        </w:rPr>
        <w:t>）中附录</w:t>
      </w:r>
      <w:r w:rsidR="009043D9" w:rsidRPr="00D630D1">
        <w:rPr>
          <w:kern w:val="2"/>
          <w:szCs w:val="22"/>
        </w:rPr>
        <w:t>D</w:t>
      </w:r>
      <w:r w:rsidR="009043D9" w:rsidRPr="00D630D1">
        <w:rPr>
          <w:kern w:val="2"/>
          <w:szCs w:val="22"/>
        </w:rPr>
        <w:t>相关限值</w:t>
      </w:r>
      <w:r w:rsidR="00DD1647">
        <w:rPr>
          <w:rFonts w:hint="eastAsia"/>
          <w:kern w:val="2"/>
          <w:szCs w:val="22"/>
        </w:rPr>
        <w:t>，非甲烷总烃执行</w:t>
      </w:r>
      <w:r w:rsidR="00DD1647">
        <w:rPr>
          <w:rFonts w:hint="eastAsia"/>
        </w:rPr>
        <w:t>《大气污染物综合排放标准详解》</w:t>
      </w:r>
      <w:r w:rsidR="009043D9" w:rsidRPr="00D630D1">
        <w:rPr>
          <w:kern w:val="2"/>
          <w:szCs w:val="22"/>
        </w:rPr>
        <w:t>。</w:t>
      </w:r>
      <w:r w:rsidRPr="00D630D1">
        <w:rPr>
          <w:kern w:val="2"/>
          <w:szCs w:val="22"/>
        </w:rPr>
        <w:t>具体标准限值见表</w:t>
      </w:r>
      <w:r w:rsidRPr="00D630D1">
        <w:rPr>
          <w:kern w:val="2"/>
          <w:szCs w:val="22"/>
        </w:rPr>
        <w:t>1.5-1</w:t>
      </w:r>
      <w:r w:rsidRPr="00D630D1">
        <w:rPr>
          <w:kern w:val="2"/>
          <w:szCs w:val="22"/>
        </w:rPr>
        <w:t>。</w:t>
      </w:r>
    </w:p>
    <w:p w:rsidR="00B43C65" w:rsidRPr="00D630D1" w:rsidRDefault="008B5B84" w:rsidP="00B43C65">
      <w:pPr>
        <w:pStyle w:val="aff2"/>
        <w:spacing w:line="360" w:lineRule="auto"/>
        <w:ind w:firstLine="480"/>
      </w:pPr>
      <w:bookmarkStart w:id="70" w:name="_Hlk52913361"/>
      <w:r w:rsidRPr="00D630D1">
        <w:rPr>
          <w:b/>
        </w:rPr>
        <w:t>表</w:t>
      </w:r>
      <w:r w:rsidRPr="00D630D1">
        <w:rPr>
          <w:b/>
        </w:rPr>
        <w:t>1.5-1</w:t>
      </w:r>
      <w:r w:rsidR="00B43C65" w:rsidRPr="00D630D1">
        <w:t xml:space="preserve">  </w:t>
      </w:r>
      <w:r w:rsidRPr="00D630D1">
        <w:rPr>
          <w:b/>
        </w:rPr>
        <w:t>环境空气质量标准</w:t>
      </w:r>
      <w:r w:rsidR="00B43C65" w:rsidRPr="00D630D1">
        <w:rPr>
          <w:b/>
        </w:rPr>
        <w:t>（</w:t>
      </w:r>
      <w:r w:rsidR="00B43C65" w:rsidRPr="00D630D1">
        <w:rPr>
          <w:b/>
        </w:rPr>
        <w:t>GB3095-2012</w:t>
      </w:r>
      <w:r w:rsidR="00B43C65" w:rsidRPr="00D630D1">
        <w:rPr>
          <w:b/>
        </w:rPr>
        <w:t>）</w:t>
      </w:r>
      <w:r w:rsidR="00B43C65" w:rsidRPr="00D630D1">
        <w:t xml:space="preserve">  </w:t>
      </w:r>
      <w:r w:rsidRPr="00D630D1">
        <w:rPr>
          <w:b/>
        </w:rPr>
        <w:t>单位：</w:t>
      </w:r>
      <w:r w:rsidRPr="00D630D1">
        <w:rPr>
          <w:b/>
        </w:rPr>
        <w:t>µg/m</w:t>
      </w:r>
      <w:r w:rsidRPr="00D630D1">
        <w:rPr>
          <w:b/>
          <w:vertAlign w:val="superscript"/>
        </w:rPr>
        <w:t>3</w:t>
      </w:r>
    </w:p>
    <w:tbl>
      <w:tblPr>
        <w:tblW w:w="5194"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522"/>
        <w:gridCol w:w="1811"/>
        <w:gridCol w:w="1811"/>
        <w:gridCol w:w="3709"/>
      </w:tblGrid>
      <w:tr w:rsidR="00D1608A" w:rsidRPr="00D630D1" w:rsidTr="00403916">
        <w:trPr>
          <w:trHeight w:val="50"/>
          <w:tblHeader/>
          <w:jc w:val="center"/>
        </w:trPr>
        <w:tc>
          <w:tcPr>
            <w:tcW w:w="1522" w:type="dxa"/>
            <w:vMerge w:val="restart"/>
            <w:vAlign w:val="center"/>
          </w:tcPr>
          <w:p w:rsidR="00B43C65" w:rsidRPr="00D630D1" w:rsidRDefault="00B43C65" w:rsidP="00B43C65">
            <w:pPr>
              <w:pStyle w:val="aff2"/>
              <w:rPr>
                <w:b/>
              </w:rPr>
            </w:pPr>
            <w:r w:rsidRPr="00D630D1">
              <w:rPr>
                <w:b/>
              </w:rPr>
              <w:t>污染物</w:t>
            </w:r>
          </w:p>
        </w:tc>
        <w:tc>
          <w:tcPr>
            <w:tcW w:w="3622" w:type="dxa"/>
            <w:gridSpan w:val="2"/>
            <w:vAlign w:val="center"/>
          </w:tcPr>
          <w:p w:rsidR="00B43C65" w:rsidRPr="00D630D1" w:rsidRDefault="00B43C65" w:rsidP="00B43C65">
            <w:pPr>
              <w:pStyle w:val="aff2"/>
              <w:rPr>
                <w:b/>
              </w:rPr>
            </w:pPr>
            <w:r w:rsidRPr="00D630D1">
              <w:rPr>
                <w:b/>
              </w:rPr>
              <w:t>浓度限值</w:t>
            </w:r>
          </w:p>
        </w:tc>
        <w:tc>
          <w:tcPr>
            <w:tcW w:w="3709" w:type="dxa"/>
            <w:vMerge w:val="restart"/>
            <w:vAlign w:val="center"/>
          </w:tcPr>
          <w:p w:rsidR="00B43C65" w:rsidRPr="00D630D1" w:rsidRDefault="00B43C65" w:rsidP="00B43C65">
            <w:pPr>
              <w:pStyle w:val="aff2"/>
              <w:rPr>
                <w:b/>
              </w:rPr>
            </w:pPr>
            <w:r w:rsidRPr="00D630D1">
              <w:rPr>
                <w:b/>
              </w:rPr>
              <w:t>依据</w:t>
            </w:r>
          </w:p>
        </w:tc>
      </w:tr>
      <w:tr w:rsidR="00D1608A" w:rsidRPr="00D630D1" w:rsidTr="00403916">
        <w:trPr>
          <w:trHeight w:val="12"/>
          <w:tblHeader/>
          <w:jc w:val="center"/>
        </w:trPr>
        <w:tc>
          <w:tcPr>
            <w:tcW w:w="1522" w:type="dxa"/>
            <w:vMerge/>
            <w:vAlign w:val="center"/>
          </w:tcPr>
          <w:p w:rsidR="00B43C65" w:rsidRPr="00D630D1" w:rsidRDefault="00B43C65" w:rsidP="00B43C65">
            <w:pPr>
              <w:pStyle w:val="aff2"/>
              <w:rPr>
                <w:b/>
              </w:rPr>
            </w:pPr>
          </w:p>
        </w:tc>
        <w:tc>
          <w:tcPr>
            <w:tcW w:w="1811" w:type="dxa"/>
            <w:vAlign w:val="center"/>
          </w:tcPr>
          <w:p w:rsidR="00B43C65" w:rsidRPr="00D630D1" w:rsidRDefault="00B43C65" w:rsidP="00B43C65">
            <w:pPr>
              <w:pStyle w:val="aff2"/>
              <w:rPr>
                <w:b/>
              </w:rPr>
            </w:pPr>
            <w:r w:rsidRPr="00D630D1">
              <w:rPr>
                <w:b/>
              </w:rPr>
              <w:t>取值时间</w:t>
            </w:r>
          </w:p>
        </w:tc>
        <w:tc>
          <w:tcPr>
            <w:tcW w:w="1811" w:type="dxa"/>
            <w:vAlign w:val="center"/>
          </w:tcPr>
          <w:p w:rsidR="00B43C65" w:rsidRPr="00D630D1" w:rsidRDefault="00B43C65" w:rsidP="00B43C65">
            <w:pPr>
              <w:pStyle w:val="aff2"/>
              <w:rPr>
                <w:b/>
              </w:rPr>
            </w:pPr>
            <w:r w:rsidRPr="00D630D1">
              <w:rPr>
                <w:b/>
              </w:rPr>
              <w:t>标准限值</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restart"/>
            <w:vAlign w:val="center"/>
          </w:tcPr>
          <w:p w:rsidR="00B43C65" w:rsidRPr="00D630D1" w:rsidRDefault="00B43C65" w:rsidP="00B43C65">
            <w:pPr>
              <w:pStyle w:val="aff2"/>
            </w:pPr>
            <w:r w:rsidRPr="00D630D1">
              <w:t>PM</w:t>
            </w:r>
            <w:r w:rsidRPr="00D630D1">
              <w:rPr>
                <w:vertAlign w:val="subscript"/>
              </w:rPr>
              <w:t>10</w:t>
            </w:r>
          </w:p>
        </w:tc>
        <w:tc>
          <w:tcPr>
            <w:tcW w:w="1811" w:type="dxa"/>
            <w:vAlign w:val="center"/>
          </w:tcPr>
          <w:p w:rsidR="00B43C65" w:rsidRPr="00D630D1" w:rsidRDefault="00B43C65" w:rsidP="00B43C65">
            <w:pPr>
              <w:pStyle w:val="aff2"/>
            </w:pPr>
            <w:r w:rsidRPr="00D630D1">
              <w:t>年平均</w:t>
            </w:r>
          </w:p>
        </w:tc>
        <w:tc>
          <w:tcPr>
            <w:tcW w:w="1811" w:type="dxa"/>
            <w:vAlign w:val="center"/>
          </w:tcPr>
          <w:p w:rsidR="00B43C65" w:rsidRPr="00D630D1" w:rsidRDefault="00B43C65" w:rsidP="00B43C65">
            <w:pPr>
              <w:pStyle w:val="aff2"/>
            </w:pPr>
            <w:r w:rsidRPr="00D630D1">
              <w:t>70μg/m</w:t>
            </w:r>
            <w:r w:rsidRPr="00D630D1">
              <w:rPr>
                <w:vertAlign w:val="superscript"/>
              </w:rPr>
              <w:t>3</w:t>
            </w:r>
          </w:p>
        </w:tc>
        <w:tc>
          <w:tcPr>
            <w:tcW w:w="3709" w:type="dxa"/>
            <w:vMerge w:val="restart"/>
            <w:vAlign w:val="center"/>
          </w:tcPr>
          <w:p w:rsidR="00B43C65" w:rsidRPr="00D630D1" w:rsidRDefault="00B43C65" w:rsidP="00B43C65">
            <w:pPr>
              <w:pStyle w:val="aff2"/>
            </w:pPr>
            <w:r w:rsidRPr="00D630D1">
              <w:t>《环境空气质量标准》（</w:t>
            </w:r>
            <w:r w:rsidRPr="00D630D1">
              <w:t>GB3095-2012</w:t>
            </w:r>
            <w:r w:rsidRPr="00D630D1">
              <w:t>）二级标准</w:t>
            </w:r>
          </w:p>
        </w:tc>
      </w:tr>
      <w:tr w:rsidR="00D1608A" w:rsidRPr="00D630D1" w:rsidTr="00403916">
        <w:trPr>
          <w:trHeight w:val="12"/>
          <w:jc w:val="center"/>
        </w:trPr>
        <w:tc>
          <w:tcPr>
            <w:tcW w:w="1522" w:type="dxa"/>
            <w:vMerge/>
            <w:vAlign w:val="center"/>
          </w:tcPr>
          <w:p w:rsidR="00B43C65" w:rsidRPr="00D630D1" w:rsidRDefault="00B43C65" w:rsidP="00B43C65">
            <w:pPr>
              <w:pStyle w:val="aff2"/>
              <w:rPr>
                <w:vertAlign w:val="subscript"/>
              </w:rPr>
            </w:pPr>
          </w:p>
        </w:tc>
        <w:tc>
          <w:tcPr>
            <w:tcW w:w="1811" w:type="dxa"/>
            <w:vAlign w:val="center"/>
          </w:tcPr>
          <w:p w:rsidR="00B43C65" w:rsidRPr="00D630D1" w:rsidRDefault="00B43C65" w:rsidP="00B43C65">
            <w:pPr>
              <w:pStyle w:val="aff2"/>
            </w:pPr>
            <w:r w:rsidRPr="00D630D1">
              <w:t>24</w:t>
            </w:r>
            <w:r w:rsidRPr="00D630D1">
              <w:t>小时平均</w:t>
            </w:r>
          </w:p>
        </w:tc>
        <w:tc>
          <w:tcPr>
            <w:tcW w:w="1811" w:type="dxa"/>
            <w:vAlign w:val="center"/>
          </w:tcPr>
          <w:p w:rsidR="00B43C65" w:rsidRPr="00D630D1" w:rsidRDefault="00B43C65" w:rsidP="00B43C65">
            <w:pPr>
              <w:pStyle w:val="aff2"/>
            </w:pPr>
            <w:r w:rsidRPr="00D630D1">
              <w:t>150μg/m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restart"/>
            <w:vAlign w:val="center"/>
          </w:tcPr>
          <w:p w:rsidR="00B43C65" w:rsidRPr="00D630D1" w:rsidRDefault="00B43C65" w:rsidP="00B43C65">
            <w:pPr>
              <w:pStyle w:val="aff2"/>
            </w:pPr>
            <w:r w:rsidRPr="00D630D1">
              <w:t>PM</w:t>
            </w:r>
            <w:r w:rsidRPr="00D630D1">
              <w:rPr>
                <w:vertAlign w:val="subscript"/>
              </w:rPr>
              <w:t>2.5</w:t>
            </w:r>
          </w:p>
        </w:tc>
        <w:tc>
          <w:tcPr>
            <w:tcW w:w="1811" w:type="dxa"/>
            <w:vAlign w:val="center"/>
          </w:tcPr>
          <w:p w:rsidR="00B43C65" w:rsidRPr="00D630D1" w:rsidRDefault="00B43C65" w:rsidP="00B43C65">
            <w:pPr>
              <w:pStyle w:val="aff2"/>
            </w:pPr>
            <w:r w:rsidRPr="00D630D1">
              <w:t>年平均</w:t>
            </w:r>
          </w:p>
        </w:tc>
        <w:tc>
          <w:tcPr>
            <w:tcW w:w="1811" w:type="dxa"/>
            <w:vAlign w:val="center"/>
          </w:tcPr>
          <w:p w:rsidR="00B43C65" w:rsidRPr="00D630D1" w:rsidRDefault="00B43C65" w:rsidP="00B43C65">
            <w:pPr>
              <w:pStyle w:val="aff2"/>
            </w:pPr>
            <w:r w:rsidRPr="00D630D1">
              <w:t>35μg/m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ign w:val="center"/>
          </w:tcPr>
          <w:p w:rsidR="00B43C65" w:rsidRPr="00D630D1" w:rsidRDefault="00B43C65" w:rsidP="00B43C65">
            <w:pPr>
              <w:pStyle w:val="aff2"/>
              <w:rPr>
                <w:vertAlign w:val="subscript"/>
              </w:rPr>
            </w:pPr>
          </w:p>
        </w:tc>
        <w:tc>
          <w:tcPr>
            <w:tcW w:w="1811" w:type="dxa"/>
            <w:vAlign w:val="center"/>
          </w:tcPr>
          <w:p w:rsidR="00B43C65" w:rsidRPr="00D630D1" w:rsidRDefault="00B43C65" w:rsidP="00B43C65">
            <w:pPr>
              <w:pStyle w:val="aff2"/>
            </w:pPr>
            <w:r w:rsidRPr="00D630D1">
              <w:t>24</w:t>
            </w:r>
            <w:r w:rsidRPr="00D630D1">
              <w:t>小时平均</w:t>
            </w:r>
          </w:p>
        </w:tc>
        <w:tc>
          <w:tcPr>
            <w:tcW w:w="1811" w:type="dxa"/>
            <w:vAlign w:val="center"/>
          </w:tcPr>
          <w:p w:rsidR="00B43C65" w:rsidRPr="00D630D1" w:rsidRDefault="00B43C65" w:rsidP="00B43C65">
            <w:pPr>
              <w:pStyle w:val="aff2"/>
            </w:pPr>
            <w:r w:rsidRPr="00D630D1">
              <w:t>75μg/m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restart"/>
            <w:vAlign w:val="center"/>
          </w:tcPr>
          <w:p w:rsidR="00B43C65" w:rsidRPr="00D630D1" w:rsidRDefault="00B43C65" w:rsidP="00B43C65">
            <w:pPr>
              <w:pStyle w:val="aff2"/>
              <w:rPr>
                <w:vertAlign w:val="subscript"/>
              </w:rPr>
            </w:pPr>
            <w:r w:rsidRPr="00D630D1">
              <w:t>SO</w:t>
            </w:r>
            <w:r w:rsidRPr="00D630D1">
              <w:rPr>
                <w:vertAlign w:val="subscript"/>
              </w:rPr>
              <w:t>2</w:t>
            </w:r>
          </w:p>
        </w:tc>
        <w:tc>
          <w:tcPr>
            <w:tcW w:w="1811" w:type="dxa"/>
            <w:vAlign w:val="center"/>
          </w:tcPr>
          <w:p w:rsidR="00B43C65" w:rsidRPr="00D630D1" w:rsidRDefault="00B43C65" w:rsidP="00B43C65">
            <w:pPr>
              <w:pStyle w:val="aff2"/>
            </w:pPr>
            <w:r w:rsidRPr="00D630D1">
              <w:t>年平均</w:t>
            </w:r>
          </w:p>
        </w:tc>
        <w:tc>
          <w:tcPr>
            <w:tcW w:w="1811" w:type="dxa"/>
            <w:vAlign w:val="center"/>
          </w:tcPr>
          <w:p w:rsidR="00B43C65" w:rsidRPr="00D630D1" w:rsidRDefault="00B43C65" w:rsidP="00B43C65">
            <w:pPr>
              <w:pStyle w:val="aff2"/>
            </w:pPr>
            <w:r w:rsidRPr="00D630D1">
              <w:t>60μg/m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53"/>
          <w:jc w:val="center"/>
        </w:trPr>
        <w:tc>
          <w:tcPr>
            <w:tcW w:w="1522" w:type="dxa"/>
            <w:vMerge/>
            <w:vAlign w:val="center"/>
          </w:tcPr>
          <w:p w:rsidR="00B43C65" w:rsidRPr="00D630D1" w:rsidRDefault="00B43C65" w:rsidP="00B43C65">
            <w:pPr>
              <w:pStyle w:val="aff2"/>
            </w:pPr>
          </w:p>
        </w:tc>
        <w:tc>
          <w:tcPr>
            <w:tcW w:w="1811" w:type="dxa"/>
            <w:vAlign w:val="center"/>
          </w:tcPr>
          <w:p w:rsidR="00B43C65" w:rsidRPr="00D630D1" w:rsidRDefault="00B43C65" w:rsidP="00B43C65">
            <w:pPr>
              <w:pStyle w:val="aff2"/>
            </w:pPr>
            <w:r w:rsidRPr="00D630D1">
              <w:t>24</w:t>
            </w:r>
            <w:r w:rsidRPr="00D630D1">
              <w:t>小时平均</w:t>
            </w:r>
          </w:p>
        </w:tc>
        <w:tc>
          <w:tcPr>
            <w:tcW w:w="1811" w:type="dxa"/>
            <w:vAlign w:val="center"/>
          </w:tcPr>
          <w:p w:rsidR="00B43C65" w:rsidRPr="00D630D1" w:rsidRDefault="00B43C65" w:rsidP="00B43C65">
            <w:pPr>
              <w:pStyle w:val="aff2"/>
            </w:pPr>
            <w:r w:rsidRPr="00D630D1">
              <w:t>150μg/m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53"/>
          <w:jc w:val="center"/>
        </w:trPr>
        <w:tc>
          <w:tcPr>
            <w:tcW w:w="1522" w:type="dxa"/>
            <w:vMerge/>
            <w:vAlign w:val="center"/>
          </w:tcPr>
          <w:p w:rsidR="00B43C65" w:rsidRPr="00D630D1" w:rsidRDefault="00B43C65" w:rsidP="00B43C65">
            <w:pPr>
              <w:pStyle w:val="aff2"/>
            </w:pPr>
          </w:p>
        </w:tc>
        <w:tc>
          <w:tcPr>
            <w:tcW w:w="1811" w:type="dxa"/>
            <w:vAlign w:val="center"/>
          </w:tcPr>
          <w:p w:rsidR="00B43C65" w:rsidRPr="00D630D1" w:rsidRDefault="00B43C65" w:rsidP="00B43C65">
            <w:pPr>
              <w:pStyle w:val="aff2"/>
            </w:pPr>
            <w:r w:rsidRPr="00D630D1">
              <w:t>1</w:t>
            </w:r>
            <w:r w:rsidRPr="00D630D1">
              <w:t>小时平均</w:t>
            </w:r>
          </w:p>
        </w:tc>
        <w:tc>
          <w:tcPr>
            <w:tcW w:w="1811" w:type="dxa"/>
            <w:vAlign w:val="center"/>
          </w:tcPr>
          <w:p w:rsidR="00B43C65" w:rsidRPr="00D630D1" w:rsidRDefault="00B43C65" w:rsidP="00B43C65">
            <w:pPr>
              <w:pStyle w:val="aff2"/>
            </w:pPr>
            <w:r w:rsidRPr="00D630D1">
              <w:t>500μg/m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restart"/>
            <w:vAlign w:val="center"/>
          </w:tcPr>
          <w:p w:rsidR="00B43C65" w:rsidRPr="00D630D1" w:rsidRDefault="00B43C65" w:rsidP="00B43C65">
            <w:pPr>
              <w:pStyle w:val="aff2"/>
            </w:pPr>
            <w:r w:rsidRPr="00D630D1">
              <w:t>NO</w:t>
            </w:r>
            <w:r w:rsidRPr="00D630D1">
              <w:rPr>
                <w:vertAlign w:val="subscript"/>
              </w:rPr>
              <w:t>2</w:t>
            </w:r>
          </w:p>
        </w:tc>
        <w:tc>
          <w:tcPr>
            <w:tcW w:w="1811" w:type="dxa"/>
            <w:vAlign w:val="center"/>
          </w:tcPr>
          <w:p w:rsidR="00B43C65" w:rsidRPr="00D630D1" w:rsidRDefault="00B43C65" w:rsidP="00B43C65">
            <w:pPr>
              <w:pStyle w:val="aff2"/>
            </w:pPr>
            <w:r w:rsidRPr="00D630D1">
              <w:t>年平均</w:t>
            </w:r>
          </w:p>
        </w:tc>
        <w:tc>
          <w:tcPr>
            <w:tcW w:w="1811" w:type="dxa"/>
            <w:vAlign w:val="center"/>
          </w:tcPr>
          <w:p w:rsidR="00B43C65" w:rsidRPr="00D630D1" w:rsidRDefault="00B43C65" w:rsidP="00B43C65">
            <w:pPr>
              <w:pStyle w:val="aff2"/>
            </w:pPr>
            <w:r w:rsidRPr="00D630D1">
              <w:t>40μg/m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ign w:val="center"/>
          </w:tcPr>
          <w:p w:rsidR="00B43C65" w:rsidRPr="00D630D1" w:rsidRDefault="00B43C65" w:rsidP="00B43C65">
            <w:pPr>
              <w:pStyle w:val="aff2"/>
            </w:pPr>
          </w:p>
        </w:tc>
        <w:tc>
          <w:tcPr>
            <w:tcW w:w="1811" w:type="dxa"/>
            <w:vAlign w:val="center"/>
          </w:tcPr>
          <w:p w:rsidR="00B43C65" w:rsidRPr="00D630D1" w:rsidRDefault="00B43C65" w:rsidP="00B43C65">
            <w:pPr>
              <w:pStyle w:val="aff2"/>
            </w:pPr>
            <w:r w:rsidRPr="00D630D1">
              <w:t>24</w:t>
            </w:r>
            <w:r w:rsidRPr="00D630D1">
              <w:t>小时平均</w:t>
            </w:r>
          </w:p>
        </w:tc>
        <w:tc>
          <w:tcPr>
            <w:tcW w:w="1811" w:type="dxa"/>
            <w:vAlign w:val="center"/>
          </w:tcPr>
          <w:p w:rsidR="00B43C65" w:rsidRPr="00D630D1" w:rsidRDefault="00B43C65" w:rsidP="00B43C65">
            <w:pPr>
              <w:pStyle w:val="aff2"/>
            </w:pPr>
            <w:r w:rsidRPr="00D630D1">
              <w:t>80μg/m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ign w:val="center"/>
          </w:tcPr>
          <w:p w:rsidR="00B43C65" w:rsidRPr="00D630D1" w:rsidRDefault="00B43C65" w:rsidP="00B43C65">
            <w:pPr>
              <w:pStyle w:val="aff2"/>
            </w:pPr>
          </w:p>
        </w:tc>
        <w:tc>
          <w:tcPr>
            <w:tcW w:w="1811" w:type="dxa"/>
            <w:vAlign w:val="center"/>
          </w:tcPr>
          <w:p w:rsidR="00B43C65" w:rsidRPr="00D630D1" w:rsidRDefault="00B43C65" w:rsidP="00B43C65">
            <w:pPr>
              <w:pStyle w:val="aff2"/>
            </w:pPr>
            <w:r w:rsidRPr="00D630D1">
              <w:t>1</w:t>
            </w:r>
            <w:r w:rsidRPr="00D630D1">
              <w:t>小时平均</w:t>
            </w:r>
          </w:p>
        </w:tc>
        <w:tc>
          <w:tcPr>
            <w:tcW w:w="1811" w:type="dxa"/>
            <w:vAlign w:val="center"/>
          </w:tcPr>
          <w:p w:rsidR="00B43C65" w:rsidRPr="00D630D1" w:rsidRDefault="00B43C65" w:rsidP="00B43C65">
            <w:pPr>
              <w:pStyle w:val="aff2"/>
            </w:pPr>
            <w:r w:rsidRPr="00D630D1">
              <w:t>200μg/m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restart"/>
            <w:vAlign w:val="center"/>
          </w:tcPr>
          <w:p w:rsidR="00B43C65" w:rsidRPr="00D630D1" w:rsidRDefault="00B43C65" w:rsidP="00B43C65">
            <w:pPr>
              <w:pStyle w:val="aff2"/>
            </w:pPr>
            <w:r w:rsidRPr="00D630D1">
              <w:t>TSP</w:t>
            </w:r>
          </w:p>
        </w:tc>
        <w:tc>
          <w:tcPr>
            <w:tcW w:w="1811" w:type="dxa"/>
            <w:vAlign w:val="center"/>
          </w:tcPr>
          <w:p w:rsidR="00B43C65" w:rsidRPr="00D630D1" w:rsidRDefault="00B43C65" w:rsidP="00B43C65">
            <w:pPr>
              <w:pStyle w:val="aff2"/>
            </w:pPr>
            <w:r w:rsidRPr="00D630D1">
              <w:t>年平均</w:t>
            </w:r>
          </w:p>
        </w:tc>
        <w:tc>
          <w:tcPr>
            <w:tcW w:w="1811" w:type="dxa"/>
            <w:vAlign w:val="center"/>
          </w:tcPr>
          <w:p w:rsidR="00B43C65" w:rsidRPr="00D630D1" w:rsidRDefault="00B43C65" w:rsidP="00B43C65">
            <w:pPr>
              <w:pStyle w:val="aff2"/>
            </w:pPr>
            <w:r w:rsidRPr="00D630D1">
              <w:t>200μg/m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ign w:val="center"/>
          </w:tcPr>
          <w:p w:rsidR="00B43C65" w:rsidRPr="00D630D1" w:rsidRDefault="00B43C65" w:rsidP="00B43C65">
            <w:pPr>
              <w:pStyle w:val="aff2"/>
            </w:pPr>
          </w:p>
        </w:tc>
        <w:tc>
          <w:tcPr>
            <w:tcW w:w="1811" w:type="dxa"/>
            <w:vAlign w:val="center"/>
          </w:tcPr>
          <w:p w:rsidR="00B43C65" w:rsidRPr="00D630D1" w:rsidRDefault="00B43C65" w:rsidP="00B43C65">
            <w:pPr>
              <w:pStyle w:val="aff2"/>
            </w:pPr>
            <w:r w:rsidRPr="00D630D1">
              <w:t>24</w:t>
            </w:r>
            <w:r w:rsidRPr="00D630D1">
              <w:t>小时平均</w:t>
            </w:r>
          </w:p>
        </w:tc>
        <w:tc>
          <w:tcPr>
            <w:tcW w:w="1811" w:type="dxa"/>
            <w:vAlign w:val="center"/>
          </w:tcPr>
          <w:p w:rsidR="00B43C65" w:rsidRPr="00D630D1" w:rsidRDefault="00B43C65" w:rsidP="00B43C65">
            <w:pPr>
              <w:pStyle w:val="aff2"/>
            </w:pPr>
            <w:r w:rsidRPr="00D630D1">
              <w:t>300μg/m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restart"/>
            <w:vAlign w:val="center"/>
          </w:tcPr>
          <w:p w:rsidR="00B43C65" w:rsidRPr="00D630D1" w:rsidRDefault="00B43C65" w:rsidP="00B43C65">
            <w:pPr>
              <w:pStyle w:val="aff2"/>
            </w:pPr>
            <w:r w:rsidRPr="00D630D1">
              <w:t>CO</w:t>
            </w:r>
          </w:p>
        </w:tc>
        <w:tc>
          <w:tcPr>
            <w:tcW w:w="1811" w:type="dxa"/>
            <w:vAlign w:val="center"/>
          </w:tcPr>
          <w:p w:rsidR="00B43C65" w:rsidRPr="00D630D1" w:rsidRDefault="00B43C65" w:rsidP="00B43C65">
            <w:pPr>
              <w:pStyle w:val="aff2"/>
            </w:pPr>
            <w:r w:rsidRPr="00D630D1">
              <w:t>24</w:t>
            </w:r>
            <w:r w:rsidRPr="00D630D1">
              <w:t>小时平均</w:t>
            </w:r>
          </w:p>
        </w:tc>
        <w:tc>
          <w:tcPr>
            <w:tcW w:w="1811" w:type="dxa"/>
            <w:vAlign w:val="center"/>
          </w:tcPr>
          <w:p w:rsidR="00B43C65" w:rsidRPr="00D630D1" w:rsidRDefault="00B43C65" w:rsidP="00B43C65">
            <w:pPr>
              <w:pStyle w:val="aff2"/>
            </w:pPr>
            <w:r w:rsidRPr="00D630D1">
              <w:t>4mg/m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ign w:val="center"/>
          </w:tcPr>
          <w:p w:rsidR="00B43C65" w:rsidRPr="00D630D1" w:rsidRDefault="00B43C65" w:rsidP="00B43C65">
            <w:pPr>
              <w:pStyle w:val="aff2"/>
            </w:pPr>
          </w:p>
        </w:tc>
        <w:tc>
          <w:tcPr>
            <w:tcW w:w="1811" w:type="dxa"/>
            <w:vAlign w:val="center"/>
          </w:tcPr>
          <w:p w:rsidR="00B43C65" w:rsidRPr="00D630D1" w:rsidRDefault="00B43C65" w:rsidP="00B43C65">
            <w:pPr>
              <w:pStyle w:val="aff2"/>
            </w:pPr>
            <w:r w:rsidRPr="00D630D1">
              <w:t>1</w:t>
            </w:r>
            <w:r w:rsidRPr="00D630D1">
              <w:t>小时平均</w:t>
            </w:r>
          </w:p>
        </w:tc>
        <w:tc>
          <w:tcPr>
            <w:tcW w:w="1811" w:type="dxa"/>
            <w:vAlign w:val="center"/>
          </w:tcPr>
          <w:p w:rsidR="00B43C65" w:rsidRPr="00D630D1" w:rsidRDefault="00B43C65" w:rsidP="00B43C65">
            <w:pPr>
              <w:pStyle w:val="aff2"/>
            </w:pPr>
            <w:r w:rsidRPr="00D630D1">
              <w:t>10mg/m</w:t>
            </w:r>
            <w:r w:rsidRPr="00D630D1">
              <w:rPr>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restart"/>
            <w:vAlign w:val="center"/>
          </w:tcPr>
          <w:p w:rsidR="00B43C65" w:rsidRPr="00D630D1" w:rsidRDefault="00B43C65" w:rsidP="00B43C65">
            <w:pPr>
              <w:pStyle w:val="aff2"/>
            </w:pPr>
            <w:r w:rsidRPr="00D630D1">
              <w:rPr>
                <w:iCs/>
                <w:kern w:val="0"/>
                <w:szCs w:val="21"/>
              </w:rPr>
              <w:t>O</w:t>
            </w:r>
            <w:r w:rsidRPr="00D630D1">
              <w:rPr>
                <w:iCs/>
                <w:kern w:val="0"/>
                <w:szCs w:val="21"/>
                <w:vertAlign w:val="subscript"/>
              </w:rPr>
              <w:t>3</w:t>
            </w:r>
          </w:p>
        </w:tc>
        <w:tc>
          <w:tcPr>
            <w:tcW w:w="1811" w:type="dxa"/>
          </w:tcPr>
          <w:p w:rsidR="00B43C65" w:rsidRPr="00D630D1" w:rsidRDefault="00B43C65" w:rsidP="00B43C65">
            <w:pPr>
              <w:pStyle w:val="aff2"/>
            </w:pPr>
            <w:r w:rsidRPr="00D630D1">
              <w:rPr>
                <w:iCs/>
                <w:szCs w:val="21"/>
              </w:rPr>
              <w:t>8</w:t>
            </w:r>
            <w:r w:rsidRPr="00D630D1">
              <w:rPr>
                <w:iCs/>
                <w:szCs w:val="21"/>
              </w:rPr>
              <w:t>小时平均</w:t>
            </w:r>
          </w:p>
        </w:tc>
        <w:tc>
          <w:tcPr>
            <w:tcW w:w="1811" w:type="dxa"/>
          </w:tcPr>
          <w:p w:rsidR="00B43C65" w:rsidRPr="00D630D1" w:rsidRDefault="00B43C65" w:rsidP="00B43C65">
            <w:pPr>
              <w:pStyle w:val="aff2"/>
            </w:pPr>
            <w:r w:rsidRPr="00D630D1">
              <w:rPr>
                <w:iCs/>
                <w:szCs w:val="21"/>
              </w:rPr>
              <w:t>160</w:t>
            </w:r>
            <w:r w:rsidRPr="00D630D1">
              <w:rPr>
                <w:iCs/>
                <w:kern w:val="0"/>
                <w:szCs w:val="21"/>
              </w:rPr>
              <w:t>μg/m</w:t>
            </w:r>
            <w:r w:rsidRPr="00D630D1">
              <w:rPr>
                <w:iCs/>
                <w:kern w:val="0"/>
                <w:szCs w:val="21"/>
                <w:vertAlign w:val="superscript"/>
              </w:rPr>
              <w:t>3</w:t>
            </w:r>
          </w:p>
        </w:tc>
        <w:tc>
          <w:tcPr>
            <w:tcW w:w="3709" w:type="dxa"/>
            <w:vMerge/>
            <w:vAlign w:val="center"/>
          </w:tcPr>
          <w:p w:rsidR="00B43C65" w:rsidRPr="00D630D1" w:rsidRDefault="00B43C65" w:rsidP="00B43C65">
            <w:pPr>
              <w:pStyle w:val="aff2"/>
            </w:pPr>
          </w:p>
        </w:tc>
      </w:tr>
      <w:tr w:rsidR="00D1608A" w:rsidRPr="00D630D1" w:rsidTr="00403916">
        <w:trPr>
          <w:trHeight w:val="12"/>
          <w:jc w:val="center"/>
        </w:trPr>
        <w:tc>
          <w:tcPr>
            <w:tcW w:w="1522" w:type="dxa"/>
            <w:vMerge/>
            <w:vAlign w:val="center"/>
          </w:tcPr>
          <w:p w:rsidR="00B43C65" w:rsidRPr="00D630D1" w:rsidRDefault="00B43C65" w:rsidP="00B43C65">
            <w:pPr>
              <w:pStyle w:val="aff2"/>
            </w:pPr>
          </w:p>
        </w:tc>
        <w:tc>
          <w:tcPr>
            <w:tcW w:w="1811" w:type="dxa"/>
          </w:tcPr>
          <w:p w:rsidR="00B43C65" w:rsidRPr="00D630D1" w:rsidRDefault="00B43C65" w:rsidP="00B43C65">
            <w:pPr>
              <w:pStyle w:val="aff2"/>
            </w:pPr>
            <w:r w:rsidRPr="00D630D1">
              <w:rPr>
                <w:iCs/>
                <w:szCs w:val="21"/>
              </w:rPr>
              <w:t>1</w:t>
            </w:r>
            <w:r w:rsidRPr="00D630D1">
              <w:rPr>
                <w:iCs/>
                <w:szCs w:val="21"/>
              </w:rPr>
              <w:t>小时平均</w:t>
            </w:r>
          </w:p>
        </w:tc>
        <w:tc>
          <w:tcPr>
            <w:tcW w:w="1811" w:type="dxa"/>
          </w:tcPr>
          <w:p w:rsidR="00B43C65" w:rsidRPr="00D630D1" w:rsidRDefault="00B43C65" w:rsidP="00B43C65">
            <w:pPr>
              <w:pStyle w:val="aff2"/>
            </w:pPr>
            <w:r w:rsidRPr="00D630D1">
              <w:rPr>
                <w:iCs/>
                <w:szCs w:val="21"/>
              </w:rPr>
              <w:t>200</w:t>
            </w:r>
            <w:r w:rsidRPr="00D630D1">
              <w:rPr>
                <w:iCs/>
                <w:kern w:val="0"/>
                <w:szCs w:val="21"/>
              </w:rPr>
              <w:t>μg/m</w:t>
            </w:r>
            <w:r w:rsidRPr="00D630D1">
              <w:rPr>
                <w:iCs/>
                <w:kern w:val="0"/>
                <w:szCs w:val="21"/>
                <w:vertAlign w:val="superscript"/>
              </w:rPr>
              <w:t>3</w:t>
            </w:r>
          </w:p>
        </w:tc>
        <w:tc>
          <w:tcPr>
            <w:tcW w:w="3709" w:type="dxa"/>
            <w:vMerge/>
            <w:vAlign w:val="center"/>
          </w:tcPr>
          <w:p w:rsidR="00B43C65" w:rsidRPr="00D630D1" w:rsidRDefault="00B43C65" w:rsidP="00B43C65">
            <w:pPr>
              <w:pStyle w:val="aff2"/>
            </w:pPr>
          </w:p>
        </w:tc>
      </w:tr>
      <w:tr w:rsidR="00DD1647" w:rsidRPr="00D630D1" w:rsidTr="00403916">
        <w:trPr>
          <w:trHeight w:val="12"/>
          <w:jc w:val="center"/>
        </w:trPr>
        <w:tc>
          <w:tcPr>
            <w:tcW w:w="1522" w:type="dxa"/>
            <w:vAlign w:val="center"/>
          </w:tcPr>
          <w:p w:rsidR="00DD1647" w:rsidRPr="00D630D1" w:rsidRDefault="00DD1647" w:rsidP="00AE3108">
            <w:pPr>
              <w:pStyle w:val="aff2"/>
            </w:pPr>
            <w:r w:rsidRPr="00D630D1">
              <w:t>硫化氢</w:t>
            </w:r>
          </w:p>
        </w:tc>
        <w:tc>
          <w:tcPr>
            <w:tcW w:w="1811" w:type="dxa"/>
            <w:vAlign w:val="center"/>
          </w:tcPr>
          <w:p w:rsidR="00DD1647" w:rsidRPr="00D630D1" w:rsidRDefault="00DD1647" w:rsidP="00AE3108">
            <w:pPr>
              <w:pStyle w:val="aff2"/>
              <w:rPr>
                <w:iCs/>
                <w:szCs w:val="21"/>
              </w:rPr>
            </w:pPr>
            <w:r w:rsidRPr="00D630D1">
              <w:t>1</w:t>
            </w:r>
            <w:r w:rsidRPr="00D630D1">
              <w:t>小时平均</w:t>
            </w:r>
          </w:p>
        </w:tc>
        <w:tc>
          <w:tcPr>
            <w:tcW w:w="1811" w:type="dxa"/>
            <w:vAlign w:val="center"/>
          </w:tcPr>
          <w:p w:rsidR="00DD1647" w:rsidRPr="00D630D1" w:rsidRDefault="00DD1647" w:rsidP="00AE3108">
            <w:pPr>
              <w:pStyle w:val="aff2"/>
              <w:rPr>
                <w:iCs/>
                <w:szCs w:val="21"/>
              </w:rPr>
            </w:pPr>
            <w:r w:rsidRPr="00D630D1">
              <w:t>10</w:t>
            </w:r>
            <w:r w:rsidRPr="00D630D1">
              <w:rPr>
                <w:iCs/>
                <w:kern w:val="0"/>
                <w:szCs w:val="21"/>
              </w:rPr>
              <w:t>μ</w:t>
            </w:r>
            <w:r w:rsidRPr="00D630D1">
              <w:t>g/m</w:t>
            </w:r>
            <w:r w:rsidRPr="00D630D1">
              <w:rPr>
                <w:vertAlign w:val="superscript"/>
              </w:rPr>
              <w:t>3</w:t>
            </w:r>
          </w:p>
        </w:tc>
        <w:tc>
          <w:tcPr>
            <w:tcW w:w="3709" w:type="dxa"/>
            <w:vAlign w:val="center"/>
          </w:tcPr>
          <w:p w:rsidR="00DD1647" w:rsidRPr="00D630D1" w:rsidRDefault="00DD1647" w:rsidP="009043D9">
            <w:pPr>
              <w:pStyle w:val="aff2"/>
            </w:pPr>
            <w:r w:rsidRPr="00D630D1">
              <w:rPr>
                <w:szCs w:val="21"/>
              </w:rPr>
              <w:t>《环境影响评价技术导则大气环境》（</w:t>
            </w:r>
            <w:r w:rsidRPr="00D630D1">
              <w:rPr>
                <w:szCs w:val="21"/>
              </w:rPr>
              <w:t>HJ2.2-2018</w:t>
            </w:r>
            <w:r w:rsidRPr="00D630D1">
              <w:rPr>
                <w:szCs w:val="21"/>
              </w:rPr>
              <w:t>）中附录</w:t>
            </w:r>
            <w:r w:rsidRPr="00D630D1">
              <w:rPr>
                <w:szCs w:val="21"/>
              </w:rPr>
              <w:t>D</w:t>
            </w:r>
          </w:p>
        </w:tc>
      </w:tr>
      <w:tr w:rsidR="00DD1647" w:rsidRPr="00D630D1" w:rsidTr="00403916">
        <w:trPr>
          <w:trHeight w:val="12"/>
          <w:jc w:val="center"/>
        </w:trPr>
        <w:tc>
          <w:tcPr>
            <w:tcW w:w="1522" w:type="dxa"/>
            <w:vAlign w:val="center"/>
          </w:tcPr>
          <w:p w:rsidR="00DD1647" w:rsidRPr="00D630D1" w:rsidRDefault="00DD1647" w:rsidP="009043D9">
            <w:pPr>
              <w:pStyle w:val="aff2"/>
            </w:pPr>
            <w:r w:rsidRPr="00DD1647">
              <w:rPr>
                <w:rFonts w:hint="eastAsia"/>
              </w:rPr>
              <w:t>非甲烷总烃</w:t>
            </w:r>
          </w:p>
        </w:tc>
        <w:tc>
          <w:tcPr>
            <w:tcW w:w="1811" w:type="dxa"/>
            <w:vAlign w:val="center"/>
          </w:tcPr>
          <w:p w:rsidR="00DD1647" w:rsidRPr="00D630D1" w:rsidRDefault="00DD1647" w:rsidP="009043D9">
            <w:pPr>
              <w:pStyle w:val="aff2"/>
            </w:pPr>
            <w:r w:rsidRPr="00D630D1">
              <w:t>1</w:t>
            </w:r>
            <w:r w:rsidRPr="00D630D1">
              <w:t>小时平均</w:t>
            </w:r>
          </w:p>
        </w:tc>
        <w:tc>
          <w:tcPr>
            <w:tcW w:w="1811" w:type="dxa"/>
            <w:vAlign w:val="center"/>
          </w:tcPr>
          <w:p w:rsidR="00DD1647" w:rsidRPr="00D630D1" w:rsidRDefault="00DD1647" w:rsidP="009043D9">
            <w:pPr>
              <w:pStyle w:val="aff2"/>
            </w:pPr>
            <w:r w:rsidRPr="00DD1647">
              <w:rPr>
                <w:rFonts w:hint="eastAsia"/>
              </w:rPr>
              <w:t>2.0mg/m</w:t>
            </w:r>
            <w:r w:rsidRPr="00DD1647">
              <w:rPr>
                <w:rFonts w:hint="eastAsia"/>
                <w:vertAlign w:val="superscript"/>
              </w:rPr>
              <w:t>3</w:t>
            </w:r>
          </w:p>
        </w:tc>
        <w:tc>
          <w:tcPr>
            <w:tcW w:w="3709" w:type="dxa"/>
            <w:vAlign w:val="center"/>
          </w:tcPr>
          <w:p w:rsidR="00DD1647" w:rsidRPr="00D630D1" w:rsidRDefault="00DD1647" w:rsidP="009043D9">
            <w:pPr>
              <w:pStyle w:val="aff2"/>
            </w:pPr>
            <w:r>
              <w:rPr>
                <w:rFonts w:hint="eastAsia"/>
              </w:rPr>
              <w:t>《大气污染物综合排放标准详解》</w:t>
            </w:r>
          </w:p>
        </w:tc>
      </w:tr>
    </w:tbl>
    <w:bookmarkEnd w:id="70"/>
    <w:p w:rsidR="00117C3D" w:rsidRPr="00D630D1" w:rsidRDefault="008B5B84" w:rsidP="00B43C65">
      <w:pPr>
        <w:ind w:firstLine="482"/>
        <w:rPr>
          <w:rFonts w:ascii="Times New Roman" w:cs="Times New Roman"/>
          <w:b/>
        </w:rPr>
      </w:pPr>
      <w:r w:rsidRPr="00D630D1">
        <w:rPr>
          <w:rFonts w:ascii="Times New Roman" w:cs="Times New Roman"/>
          <w:b/>
        </w:rPr>
        <w:t>2</w:t>
      </w:r>
      <w:r w:rsidRPr="00D630D1">
        <w:rPr>
          <w:rFonts w:ascii="Times New Roman" w:cs="Times New Roman"/>
          <w:b/>
        </w:rPr>
        <w:t>、地表水环境质量标准</w:t>
      </w:r>
    </w:p>
    <w:p w:rsidR="00117C3D" w:rsidRPr="00D630D1" w:rsidRDefault="008B5B84">
      <w:pPr>
        <w:topLinePunct w:val="0"/>
        <w:adjustRightInd/>
        <w:ind w:firstLine="480"/>
        <w:rPr>
          <w:rFonts w:ascii="Times New Roman" w:cs="Times New Roman"/>
          <w:kern w:val="2"/>
          <w:szCs w:val="22"/>
        </w:rPr>
      </w:pPr>
      <w:r w:rsidRPr="00D630D1">
        <w:rPr>
          <w:rFonts w:ascii="Times New Roman" w:cs="Times New Roman"/>
          <w:kern w:val="2"/>
          <w:szCs w:val="22"/>
        </w:rPr>
        <w:lastRenderedPageBreak/>
        <w:t>本项目的地表水环境执行《地表水环境质量标准》（</w:t>
      </w:r>
      <w:r w:rsidRPr="00D630D1">
        <w:rPr>
          <w:rFonts w:ascii="Times New Roman" w:cs="Times New Roman"/>
          <w:kern w:val="2"/>
          <w:szCs w:val="22"/>
        </w:rPr>
        <w:t>GB3838-2002</w:t>
      </w:r>
      <w:r w:rsidRPr="00D630D1">
        <w:rPr>
          <w:rFonts w:ascii="Times New Roman" w:cs="Times New Roman"/>
          <w:kern w:val="2"/>
          <w:szCs w:val="22"/>
        </w:rPr>
        <w:t>）中的</w:t>
      </w:r>
      <w:r w:rsidRPr="00D630D1">
        <w:rPr>
          <w:rFonts w:ascii="Times New Roman" w:cs="Times New Roman"/>
          <w:kern w:val="2"/>
          <w:szCs w:val="22"/>
        </w:rPr>
        <w:t>Ⅲ</w:t>
      </w:r>
      <w:r w:rsidRPr="00D630D1">
        <w:rPr>
          <w:rFonts w:ascii="Times New Roman" w:cs="Times New Roman"/>
          <w:kern w:val="2"/>
          <w:szCs w:val="22"/>
        </w:rPr>
        <w:t>类标准，见表</w:t>
      </w:r>
      <w:r w:rsidRPr="00D630D1">
        <w:rPr>
          <w:rFonts w:ascii="Times New Roman" w:cs="Times New Roman"/>
          <w:kern w:val="2"/>
          <w:szCs w:val="22"/>
        </w:rPr>
        <w:t>1.5-2</w:t>
      </w:r>
      <w:r w:rsidRPr="00D630D1">
        <w:rPr>
          <w:rFonts w:ascii="Times New Roman" w:cs="Times New Roman"/>
          <w:kern w:val="2"/>
          <w:szCs w:val="22"/>
        </w:rPr>
        <w:t>。</w:t>
      </w:r>
    </w:p>
    <w:p w:rsidR="00117C3D" w:rsidRPr="00D630D1" w:rsidRDefault="008B5B84" w:rsidP="00B43C65">
      <w:pPr>
        <w:pStyle w:val="10"/>
        <w:rPr>
          <w:rFonts w:cs="Times New Roman"/>
          <w:szCs w:val="21"/>
        </w:rPr>
      </w:pPr>
      <w:r w:rsidRPr="00D630D1">
        <w:rPr>
          <w:rFonts w:cs="Times New Roman"/>
        </w:rPr>
        <w:t>表</w:t>
      </w:r>
      <w:r w:rsidRPr="00D630D1">
        <w:rPr>
          <w:rFonts w:cs="Times New Roman"/>
        </w:rPr>
        <w:t>1.5-2</w:t>
      </w:r>
      <w:r w:rsidR="00B43C65" w:rsidRPr="00D630D1">
        <w:rPr>
          <w:rFonts w:cs="Times New Roman"/>
        </w:rPr>
        <w:t xml:space="preserve">  </w:t>
      </w:r>
      <w:r w:rsidRPr="00D630D1">
        <w:rPr>
          <w:rFonts w:cs="Times New Roman"/>
        </w:rPr>
        <w:t>地表水环境质量标准</w:t>
      </w:r>
      <w:r w:rsidR="00B43C65" w:rsidRPr="00D630D1">
        <w:rPr>
          <w:rFonts w:cs="Times New Roman"/>
        </w:rPr>
        <w:t>（</w:t>
      </w:r>
      <w:r w:rsidR="00B43C65" w:rsidRPr="00D630D1">
        <w:rPr>
          <w:rFonts w:cs="Times New Roman"/>
        </w:rPr>
        <w:t>GB3838</w:t>
      </w:r>
      <w:r w:rsidR="00B43C65" w:rsidRPr="00D630D1">
        <w:rPr>
          <w:rFonts w:cs="Times New Roman"/>
        </w:rPr>
        <w:t>－</w:t>
      </w:r>
      <w:r w:rsidR="00B43C65" w:rsidRPr="00D630D1">
        <w:rPr>
          <w:rFonts w:cs="Times New Roman"/>
        </w:rPr>
        <w:t>2002</w:t>
      </w:r>
      <w:r w:rsidR="00B43C65" w:rsidRPr="00D630D1">
        <w:rPr>
          <w:rFonts w:cs="Times New Roman"/>
        </w:rPr>
        <w:t>）</w:t>
      </w:r>
      <w:r w:rsidR="00B43C65" w:rsidRPr="00D630D1">
        <w:rPr>
          <w:rFonts w:cs="Times New Roman"/>
        </w:rPr>
        <w:t xml:space="preserve">  </w:t>
      </w:r>
      <w:r w:rsidRPr="00D630D1">
        <w:rPr>
          <w:rFonts w:cs="Times New Roman"/>
        </w:rPr>
        <w:t>单位：</w:t>
      </w:r>
      <w:r w:rsidRPr="00D630D1">
        <w:rPr>
          <w:rFonts w:cs="Times New Roman"/>
        </w:rPr>
        <w:t>mg/L</w:t>
      </w:r>
    </w:p>
    <w:tbl>
      <w:tblPr>
        <w:tblW w:w="5188" w:type="pct"/>
        <w:jc w:val="center"/>
        <w:tblLayout w:type="fixed"/>
        <w:tblCellMar>
          <w:left w:w="0" w:type="dxa"/>
          <w:right w:w="0" w:type="dxa"/>
        </w:tblCellMar>
        <w:tblLook w:val="04A0"/>
      </w:tblPr>
      <w:tblGrid>
        <w:gridCol w:w="1229"/>
        <w:gridCol w:w="820"/>
        <w:gridCol w:w="807"/>
        <w:gridCol w:w="955"/>
        <w:gridCol w:w="957"/>
        <w:gridCol w:w="955"/>
        <w:gridCol w:w="982"/>
        <w:gridCol w:w="1020"/>
        <w:gridCol w:w="893"/>
      </w:tblGrid>
      <w:tr w:rsidR="00D1608A" w:rsidRPr="00D630D1" w:rsidTr="005D3A58">
        <w:trPr>
          <w:trHeight w:hRule="exact" w:val="339"/>
          <w:jc w:val="center"/>
        </w:trPr>
        <w:tc>
          <w:tcPr>
            <w:tcW w:w="713" w:type="pct"/>
            <w:tcBorders>
              <w:top w:val="single" w:sz="12" w:space="0" w:color="000000"/>
              <w:left w:val="nil"/>
              <w:bottom w:val="single" w:sz="4" w:space="0" w:color="000000"/>
              <w:right w:val="single" w:sz="4" w:space="0" w:color="000000"/>
            </w:tcBorders>
            <w:vAlign w:val="center"/>
          </w:tcPr>
          <w:p w:rsidR="00F042AA" w:rsidRPr="00D630D1" w:rsidRDefault="00F042AA" w:rsidP="00B43C65">
            <w:pPr>
              <w:pStyle w:val="aff2"/>
              <w:rPr>
                <w:b/>
                <w:bCs/>
              </w:rPr>
            </w:pPr>
            <w:r w:rsidRPr="00D630D1">
              <w:rPr>
                <w:b/>
                <w:bCs/>
              </w:rPr>
              <w:t>评价因子</w:t>
            </w:r>
          </w:p>
        </w:tc>
        <w:tc>
          <w:tcPr>
            <w:tcW w:w="476" w:type="pct"/>
            <w:tcBorders>
              <w:top w:val="single" w:sz="12" w:space="0" w:color="000000"/>
              <w:left w:val="single" w:sz="4" w:space="0" w:color="000000"/>
              <w:bottom w:val="single" w:sz="4" w:space="0" w:color="000000"/>
              <w:right w:val="single" w:sz="4" w:space="0" w:color="000000"/>
            </w:tcBorders>
            <w:vAlign w:val="center"/>
          </w:tcPr>
          <w:p w:rsidR="00F042AA" w:rsidRPr="00D630D1" w:rsidRDefault="00F042AA" w:rsidP="00B43C65">
            <w:pPr>
              <w:pStyle w:val="aff2"/>
              <w:rPr>
                <w:b/>
                <w:bCs/>
              </w:rPr>
            </w:pPr>
            <w:r w:rsidRPr="00D630D1">
              <w:rPr>
                <w:b/>
                <w:bCs/>
              </w:rPr>
              <w:t>pH</w:t>
            </w:r>
          </w:p>
        </w:tc>
        <w:tc>
          <w:tcPr>
            <w:tcW w:w="468" w:type="pct"/>
            <w:tcBorders>
              <w:top w:val="single" w:sz="12" w:space="0" w:color="000000"/>
              <w:left w:val="single" w:sz="4" w:space="0" w:color="000000"/>
              <w:bottom w:val="single" w:sz="4" w:space="0" w:color="000000"/>
              <w:right w:val="single" w:sz="4" w:space="0" w:color="000000"/>
            </w:tcBorders>
            <w:vAlign w:val="center"/>
          </w:tcPr>
          <w:p w:rsidR="00F042AA" w:rsidRPr="00D630D1" w:rsidRDefault="00F042AA" w:rsidP="00B43C65">
            <w:pPr>
              <w:pStyle w:val="aff2"/>
              <w:rPr>
                <w:b/>
                <w:bCs/>
              </w:rPr>
            </w:pPr>
            <w:r w:rsidRPr="00D630D1">
              <w:rPr>
                <w:b/>
                <w:bCs/>
              </w:rPr>
              <w:t>COD</w:t>
            </w:r>
          </w:p>
        </w:tc>
        <w:tc>
          <w:tcPr>
            <w:tcW w:w="554" w:type="pct"/>
            <w:tcBorders>
              <w:top w:val="single" w:sz="12" w:space="0" w:color="000000"/>
              <w:left w:val="single" w:sz="4" w:space="0" w:color="000000"/>
              <w:bottom w:val="single" w:sz="4" w:space="0" w:color="000000"/>
              <w:right w:val="single" w:sz="4" w:space="0" w:color="000000"/>
            </w:tcBorders>
            <w:vAlign w:val="center"/>
          </w:tcPr>
          <w:p w:rsidR="00F042AA" w:rsidRPr="00D630D1" w:rsidRDefault="00F042AA" w:rsidP="00B43C65">
            <w:pPr>
              <w:pStyle w:val="aff2"/>
              <w:rPr>
                <w:b/>
                <w:bCs/>
              </w:rPr>
            </w:pPr>
            <w:r w:rsidRPr="00D630D1">
              <w:rPr>
                <w:b/>
                <w:bCs/>
              </w:rPr>
              <w:t>BOD</w:t>
            </w:r>
            <w:r w:rsidRPr="00D630D1">
              <w:rPr>
                <w:b/>
                <w:bCs/>
                <w:vertAlign w:val="subscript"/>
              </w:rPr>
              <w:t>5</w:t>
            </w:r>
          </w:p>
        </w:tc>
        <w:tc>
          <w:tcPr>
            <w:tcW w:w="555" w:type="pct"/>
            <w:tcBorders>
              <w:top w:val="single" w:sz="12" w:space="0" w:color="000000"/>
              <w:left w:val="single" w:sz="4" w:space="0" w:color="000000"/>
              <w:bottom w:val="single" w:sz="4" w:space="0" w:color="000000"/>
              <w:right w:val="single" w:sz="4" w:space="0" w:color="000000"/>
            </w:tcBorders>
            <w:vAlign w:val="center"/>
          </w:tcPr>
          <w:p w:rsidR="00F042AA" w:rsidRPr="00D630D1" w:rsidRDefault="00F042AA" w:rsidP="00B43C65">
            <w:pPr>
              <w:pStyle w:val="aff2"/>
              <w:rPr>
                <w:b/>
                <w:bCs/>
              </w:rPr>
            </w:pPr>
            <w:r w:rsidRPr="00D630D1">
              <w:rPr>
                <w:b/>
                <w:bCs/>
              </w:rPr>
              <w:t>氨氮</w:t>
            </w:r>
          </w:p>
        </w:tc>
        <w:tc>
          <w:tcPr>
            <w:tcW w:w="554" w:type="pct"/>
            <w:tcBorders>
              <w:top w:val="single" w:sz="12" w:space="0" w:color="000000"/>
              <w:left w:val="single" w:sz="4" w:space="0" w:color="000000"/>
              <w:bottom w:val="single" w:sz="4" w:space="0" w:color="000000"/>
              <w:right w:val="single" w:sz="4" w:space="0" w:color="auto"/>
            </w:tcBorders>
            <w:vAlign w:val="center"/>
          </w:tcPr>
          <w:p w:rsidR="00F042AA" w:rsidRPr="00D630D1" w:rsidRDefault="00404445" w:rsidP="00B43C65">
            <w:pPr>
              <w:pStyle w:val="aff2"/>
              <w:rPr>
                <w:b/>
                <w:bCs/>
              </w:rPr>
            </w:pPr>
            <w:r w:rsidRPr="00D630D1">
              <w:rPr>
                <w:rFonts w:hint="eastAsia"/>
                <w:b/>
                <w:bCs/>
              </w:rPr>
              <w:t>挥发酚</w:t>
            </w:r>
          </w:p>
        </w:tc>
        <w:tc>
          <w:tcPr>
            <w:tcW w:w="570" w:type="pct"/>
            <w:tcBorders>
              <w:top w:val="single" w:sz="12" w:space="0" w:color="000000"/>
              <w:left w:val="single" w:sz="4" w:space="0" w:color="auto"/>
              <w:bottom w:val="single" w:sz="4" w:space="0" w:color="000000"/>
              <w:right w:val="single" w:sz="4" w:space="0" w:color="auto"/>
            </w:tcBorders>
            <w:vAlign w:val="center"/>
          </w:tcPr>
          <w:p w:rsidR="00F042AA" w:rsidRPr="00D630D1" w:rsidRDefault="00F042AA" w:rsidP="00F042AA">
            <w:pPr>
              <w:pStyle w:val="aff2"/>
              <w:rPr>
                <w:b/>
                <w:bCs/>
              </w:rPr>
            </w:pPr>
            <w:r w:rsidRPr="00D630D1">
              <w:rPr>
                <w:b/>
                <w:bCs/>
              </w:rPr>
              <w:t>硫化物</w:t>
            </w:r>
          </w:p>
        </w:tc>
        <w:tc>
          <w:tcPr>
            <w:tcW w:w="592" w:type="pct"/>
            <w:tcBorders>
              <w:top w:val="single" w:sz="12" w:space="0" w:color="000000"/>
              <w:left w:val="single" w:sz="4" w:space="0" w:color="auto"/>
              <w:bottom w:val="single" w:sz="4" w:space="0" w:color="000000"/>
              <w:right w:val="nil"/>
            </w:tcBorders>
            <w:vAlign w:val="center"/>
          </w:tcPr>
          <w:p w:rsidR="00F042AA" w:rsidRPr="00D630D1" w:rsidRDefault="00F042AA" w:rsidP="00B43C65">
            <w:pPr>
              <w:pStyle w:val="aff2"/>
              <w:rPr>
                <w:b/>
                <w:bCs/>
              </w:rPr>
            </w:pPr>
            <w:r w:rsidRPr="00D630D1">
              <w:rPr>
                <w:b/>
                <w:bCs/>
              </w:rPr>
              <w:t>石油类</w:t>
            </w:r>
          </w:p>
        </w:tc>
        <w:tc>
          <w:tcPr>
            <w:tcW w:w="518" w:type="pct"/>
            <w:tcBorders>
              <w:top w:val="single" w:sz="12" w:space="0" w:color="000000"/>
              <w:left w:val="single" w:sz="4" w:space="0" w:color="auto"/>
              <w:bottom w:val="single" w:sz="4" w:space="0" w:color="000000"/>
              <w:right w:val="nil"/>
            </w:tcBorders>
            <w:vAlign w:val="center"/>
          </w:tcPr>
          <w:p w:rsidR="00F042AA" w:rsidRPr="00D630D1" w:rsidRDefault="00F042AA" w:rsidP="00F042AA">
            <w:pPr>
              <w:pStyle w:val="aff2"/>
              <w:rPr>
                <w:b/>
                <w:bCs/>
              </w:rPr>
            </w:pPr>
            <w:r w:rsidRPr="00D630D1">
              <w:rPr>
                <w:b/>
                <w:bCs/>
              </w:rPr>
              <w:t>氯化物</w:t>
            </w:r>
          </w:p>
        </w:tc>
      </w:tr>
      <w:tr w:rsidR="00D1608A" w:rsidRPr="00D630D1" w:rsidTr="005D3A58">
        <w:trPr>
          <w:trHeight w:hRule="exact" w:val="349"/>
          <w:jc w:val="center"/>
        </w:trPr>
        <w:tc>
          <w:tcPr>
            <w:tcW w:w="713" w:type="pct"/>
            <w:tcBorders>
              <w:top w:val="single" w:sz="4" w:space="0" w:color="000000"/>
              <w:left w:val="nil"/>
              <w:bottom w:val="single" w:sz="12" w:space="0" w:color="000000"/>
              <w:right w:val="single" w:sz="4" w:space="0" w:color="000000"/>
            </w:tcBorders>
            <w:vAlign w:val="center"/>
          </w:tcPr>
          <w:p w:rsidR="00F042AA" w:rsidRPr="00D630D1" w:rsidRDefault="00F042AA" w:rsidP="00B43C65">
            <w:pPr>
              <w:pStyle w:val="aff2"/>
            </w:pPr>
            <w:r w:rsidRPr="00D630D1">
              <w:t>浓度限制</w:t>
            </w:r>
          </w:p>
        </w:tc>
        <w:tc>
          <w:tcPr>
            <w:tcW w:w="476" w:type="pct"/>
            <w:tcBorders>
              <w:top w:val="single" w:sz="4" w:space="0" w:color="000000"/>
              <w:left w:val="single" w:sz="4" w:space="0" w:color="000000"/>
              <w:bottom w:val="single" w:sz="12" w:space="0" w:color="000000"/>
              <w:right w:val="single" w:sz="4" w:space="0" w:color="000000"/>
            </w:tcBorders>
            <w:vAlign w:val="center"/>
          </w:tcPr>
          <w:p w:rsidR="00F042AA" w:rsidRPr="00D630D1" w:rsidRDefault="00F042AA" w:rsidP="00B43C65">
            <w:pPr>
              <w:pStyle w:val="aff2"/>
            </w:pPr>
            <w:r w:rsidRPr="00D630D1">
              <w:t>6~9</w:t>
            </w:r>
          </w:p>
        </w:tc>
        <w:tc>
          <w:tcPr>
            <w:tcW w:w="468" w:type="pct"/>
            <w:tcBorders>
              <w:top w:val="single" w:sz="4" w:space="0" w:color="000000"/>
              <w:left w:val="single" w:sz="4" w:space="0" w:color="000000"/>
              <w:bottom w:val="single" w:sz="12" w:space="0" w:color="000000"/>
              <w:right w:val="single" w:sz="4" w:space="0" w:color="000000"/>
            </w:tcBorders>
            <w:vAlign w:val="center"/>
          </w:tcPr>
          <w:p w:rsidR="00F042AA" w:rsidRPr="00D630D1" w:rsidRDefault="00F042AA" w:rsidP="00B43C65">
            <w:pPr>
              <w:pStyle w:val="aff2"/>
            </w:pPr>
            <w:r w:rsidRPr="00D630D1">
              <w:t>≤20</w:t>
            </w:r>
          </w:p>
        </w:tc>
        <w:tc>
          <w:tcPr>
            <w:tcW w:w="554" w:type="pct"/>
            <w:tcBorders>
              <w:top w:val="single" w:sz="4" w:space="0" w:color="000000"/>
              <w:left w:val="single" w:sz="4" w:space="0" w:color="000000"/>
              <w:bottom w:val="single" w:sz="12" w:space="0" w:color="000000"/>
              <w:right w:val="single" w:sz="4" w:space="0" w:color="000000"/>
            </w:tcBorders>
            <w:vAlign w:val="center"/>
          </w:tcPr>
          <w:p w:rsidR="00F042AA" w:rsidRPr="00D630D1" w:rsidRDefault="00F042AA" w:rsidP="00B43C65">
            <w:pPr>
              <w:pStyle w:val="aff2"/>
            </w:pPr>
            <w:r w:rsidRPr="00D630D1">
              <w:t>≤4</w:t>
            </w:r>
          </w:p>
        </w:tc>
        <w:tc>
          <w:tcPr>
            <w:tcW w:w="555" w:type="pct"/>
            <w:tcBorders>
              <w:top w:val="single" w:sz="4" w:space="0" w:color="000000"/>
              <w:left w:val="single" w:sz="4" w:space="0" w:color="000000"/>
              <w:bottom w:val="single" w:sz="12" w:space="0" w:color="000000"/>
              <w:right w:val="single" w:sz="4" w:space="0" w:color="000000"/>
            </w:tcBorders>
            <w:vAlign w:val="center"/>
          </w:tcPr>
          <w:p w:rsidR="00F042AA" w:rsidRPr="00D630D1" w:rsidRDefault="00F042AA" w:rsidP="00B43C65">
            <w:pPr>
              <w:pStyle w:val="aff2"/>
            </w:pPr>
            <w:r w:rsidRPr="00D630D1">
              <w:t>≤1.0</w:t>
            </w:r>
          </w:p>
        </w:tc>
        <w:tc>
          <w:tcPr>
            <w:tcW w:w="554" w:type="pct"/>
            <w:tcBorders>
              <w:top w:val="single" w:sz="4" w:space="0" w:color="000000"/>
              <w:left w:val="single" w:sz="4" w:space="0" w:color="000000"/>
              <w:bottom w:val="single" w:sz="12" w:space="0" w:color="000000"/>
              <w:right w:val="single" w:sz="4" w:space="0" w:color="auto"/>
            </w:tcBorders>
            <w:vAlign w:val="center"/>
          </w:tcPr>
          <w:p w:rsidR="00F042AA" w:rsidRPr="00D630D1" w:rsidRDefault="00F042AA" w:rsidP="00404445">
            <w:pPr>
              <w:pStyle w:val="aff2"/>
            </w:pPr>
            <w:r w:rsidRPr="00D630D1">
              <w:t>≤0.</w:t>
            </w:r>
            <w:r w:rsidR="00404445" w:rsidRPr="00D630D1">
              <w:rPr>
                <w:rFonts w:hint="eastAsia"/>
              </w:rPr>
              <w:t>005</w:t>
            </w:r>
          </w:p>
        </w:tc>
        <w:tc>
          <w:tcPr>
            <w:tcW w:w="570" w:type="pct"/>
            <w:tcBorders>
              <w:top w:val="single" w:sz="4" w:space="0" w:color="000000"/>
              <w:left w:val="single" w:sz="4" w:space="0" w:color="auto"/>
              <w:bottom w:val="single" w:sz="12" w:space="0" w:color="000000"/>
              <w:right w:val="single" w:sz="4" w:space="0" w:color="auto"/>
            </w:tcBorders>
            <w:vAlign w:val="center"/>
          </w:tcPr>
          <w:p w:rsidR="00F042AA" w:rsidRPr="00D630D1" w:rsidRDefault="005D3A58" w:rsidP="00F042AA">
            <w:pPr>
              <w:pStyle w:val="aff2"/>
            </w:pPr>
            <w:r w:rsidRPr="00D630D1">
              <w:t>≤0.1</w:t>
            </w:r>
          </w:p>
        </w:tc>
        <w:tc>
          <w:tcPr>
            <w:tcW w:w="592" w:type="pct"/>
            <w:tcBorders>
              <w:top w:val="single" w:sz="4" w:space="0" w:color="000000"/>
              <w:left w:val="single" w:sz="4" w:space="0" w:color="auto"/>
              <w:bottom w:val="single" w:sz="12" w:space="0" w:color="000000"/>
              <w:right w:val="nil"/>
            </w:tcBorders>
            <w:vAlign w:val="center"/>
          </w:tcPr>
          <w:p w:rsidR="00F042AA" w:rsidRPr="00D630D1" w:rsidRDefault="00F042AA" w:rsidP="00B43C65">
            <w:pPr>
              <w:pStyle w:val="aff2"/>
            </w:pPr>
            <w:r w:rsidRPr="00D630D1">
              <w:t>≤0.05</w:t>
            </w:r>
          </w:p>
        </w:tc>
        <w:tc>
          <w:tcPr>
            <w:tcW w:w="518" w:type="pct"/>
            <w:tcBorders>
              <w:top w:val="single" w:sz="4" w:space="0" w:color="000000"/>
              <w:left w:val="single" w:sz="4" w:space="0" w:color="auto"/>
              <w:bottom w:val="single" w:sz="12" w:space="0" w:color="000000"/>
              <w:right w:val="nil"/>
            </w:tcBorders>
            <w:vAlign w:val="center"/>
          </w:tcPr>
          <w:p w:rsidR="00F042AA" w:rsidRPr="00D630D1" w:rsidRDefault="005D3A58" w:rsidP="00F042AA">
            <w:pPr>
              <w:pStyle w:val="aff2"/>
            </w:pPr>
            <w:r w:rsidRPr="00D630D1">
              <w:t>≤250</w:t>
            </w:r>
          </w:p>
        </w:tc>
      </w:tr>
    </w:tbl>
    <w:p w:rsidR="00117C3D" w:rsidRPr="00D630D1" w:rsidRDefault="008B5B84" w:rsidP="00B43C65">
      <w:pPr>
        <w:ind w:firstLine="482"/>
        <w:rPr>
          <w:rFonts w:ascii="Times New Roman" w:cs="Times New Roman"/>
          <w:b/>
        </w:rPr>
      </w:pPr>
      <w:r w:rsidRPr="00D630D1">
        <w:rPr>
          <w:rFonts w:ascii="Times New Roman" w:cs="Times New Roman"/>
          <w:b/>
        </w:rPr>
        <w:t>3</w:t>
      </w:r>
      <w:r w:rsidRPr="00D630D1">
        <w:rPr>
          <w:rFonts w:ascii="Times New Roman" w:cs="Times New Roman"/>
          <w:b/>
        </w:rPr>
        <w:t>、地下水环境质量标准</w:t>
      </w:r>
    </w:p>
    <w:p w:rsidR="00117C3D" w:rsidRPr="00D630D1" w:rsidRDefault="008B5B84" w:rsidP="00B43C65">
      <w:pPr>
        <w:topLinePunct w:val="0"/>
        <w:adjustRightInd/>
        <w:ind w:firstLine="480"/>
        <w:rPr>
          <w:rFonts w:ascii="Times New Roman" w:cs="Times New Roman"/>
          <w:kern w:val="2"/>
          <w:szCs w:val="22"/>
        </w:rPr>
      </w:pPr>
      <w:r w:rsidRPr="00D630D1">
        <w:rPr>
          <w:rFonts w:ascii="Times New Roman" w:cs="Times New Roman"/>
          <w:kern w:val="2"/>
          <w:szCs w:val="22"/>
        </w:rPr>
        <w:t>本项目的地下水环境执行《地下水质量标准》（</w:t>
      </w:r>
      <w:r w:rsidRPr="00D630D1">
        <w:rPr>
          <w:rFonts w:ascii="Times New Roman" w:cs="Times New Roman"/>
          <w:kern w:val="2"/>
          <w:szCs w:val="22"/>
        </w:rPr>
        <w:t>GB/T14848-2017</w:t>
      </w:r>
      <w:r w:rsidRPr="00D630D1">
        <w:rPr>
          <w:rFonts w:ascii="Times New Roman" w:cs="Times New Roman"/>
          <w:kern w:val="2"/>
          <w:szCs w:val="22"/>
        </w:rPr>
        <w:t>）中的</w:t>
      </w:r>
      <w:r w:rsidRPr="00D630D1">
        <w:rPr>
          <w:rFonts w:ascii="Times New Roman" w:cs="Times New Roman"/>
          <w:kern w:val="2"/>
          <w:szCs w:val="22"/>
        </w:rPr>
        <w:t>Ⅲ</w:t>
      </w:r>
      <w:r w:rsidRPr="00D630D1">
        <w:rPr>
          <w:rFonts w:ascii="Times New Roman" w:cs="Times New Roman"/>
          <w:kern w:val="2"/>
          <w:szCs w:val="22"/>
        </w:rPr>
        <w:t>类标准，见表</w:t>
      </w:r>
      <w:r w:rsidRPr="00D630D1">
        <w:rPr>
          <w:rFonts w:ascii="Times New Roman" w:cs="Times New Roman"/>
          <w:kern w:val="2"/>
          <w:szCs w:val="22"/>
        </w:rPr>
        <w:t>1.5-3</w:t>
      </w:r>
      <w:r w:rsidRPr="00D630D1">
        <w:rPr>
          <w:rFonts w:ascii="Times New Roman" w:cs="Times New Roman"/>
          <w:kern w:val="2"/>
          <w:szCs w:val="22"/>
        </w:rPr>
        <w:t>。</w:t>
      </w:r>
    </w:p>
    <w:p w:rsidR="00117C3D" w:rsidRPr="00D630D1" w:rsidRDefault="008B5B84" w:rsidP="00B43C65">
      <w:pPr>
        <w:pStyle w:val="10"/>
        <w:rPr>
          <w:rFonts w:cs="Times New Roman"/>
        </w:rPr>
      </w:pPr>
      <w:r w:rsidRPr="00D630D1">
        <w:rPr>
          <w:rFonts w:cs="Times New Roman"/>
        </w:rPr>
        <w:t>表</w:t>
      </w:r>
      <w:r w:rsidRPr="00D630D1">
        <w:rPr>
          <w:rFonts w:cs="Times New Roman"/>
        </w:rPr>
        <w:t>1.5-3</w:t>
      </w:r>
      <w:r w:rsidR="00B43C65" w:rsidRPr="00D630D1">
        <w:rPr>
          <w:rFonts w:cs="Times New Roman"/>
        </w:rPr>
        <w:t xml:space="preserve">  </w:t>
      </w:r>
      <w:r w:rsidR="000C4E8D" w:rsidRPr="00D630D1">
        <w:rPr>
          <w:rFonts w:cs="Times New Roman"/>
        </w:rPr>
        <w:t>地下水质量标准</w:t>
      </w:r>
      <w:r w:rsidRPr="00D630D1">
        <w:rPr>
          <w:rFonts w:cs="Times New Roman"/>
        </w:rPr>
        <w:t>（</w:t>
      </w:r>
      <w:r w:rsidRPr="00D630D1">
        <w:rPr>
          <w:rFonts w:cs="Times New Roman"/>
        </w:rPr>
        <w:t>GB/T14848-2017</w:t>
      </w:r>
      <w:r w:rsidRPr="00D630D1">
        <w:rPr>
          <w:rFonts w:cs="Times New Roman"/>
        </w:rPr>
        <w:t>）</w:t>
      </w:r>
      <w:r w:rsidR="00B43C65" w:rsidRPr="00D630D1">
        <w:rPr>
          <w:rFonts w:cs="Times New Roman"/>
        </w:rPr>
        <w:t xml:space="preserve">  </w:t>
      </w:r>
      <w:r w:rsidRPr="00D630D1">
        <w:rPr>
          <w:rFonts w:cs="Times New Roman"/>
        </w:rPr>
        <w:t>单位：</w:t>
      </w:r>
      <w:r w:rsidRPr="00D630D1">
        <w:rPr>
          <w:rFonts w:cs="Times New Roman"/>
        </w:rPr>
        <w:t>mg/L</w:t>
      </w:r>
      <w:r w:rsidRPr="00D630D1">
        <w:rPr>
          <w:rFonts w:cs="Times New Roman"/>
        </w:rPr>
        <w:t>、</w:t>
      </w:r>
      <w:r w:rsidRPr="00D630D1">
        <w:rPr>
          <w:rFonts w:cs="Times New Roman"/>
        </w:rPr>
        <w:t>pH</w:t>
      </w:r>
      <w:r w:rsidRPr="00D630D1">
        <w:rPr>
          <w:rFonts w:cs="Times New Roman"/>
        </w:rPr>
        <w:t>无量纲</w:t>
      </w:r>
    </w:p>
    <w:tbl>
      <w:tblPr>
        <w:tblW w:w="5275" w:type="pct"/>
        <w:jc w:val="center"/>
        <w:tblBorders>
          <w:top w:val="single" w:sz="12" w:space="0" w:color="auto"/>
          <w:bottom w:val="single" w:sz="12" w:space="0" w:color="auto"/>
          <w:insideH w:val="single" w:sz="2" w:space="0" w:color="auto"/>
          <w:insideV w:val="single" w:sz="2" w:space="0" w:color="auto"/>
        </w:tblBorders>
        <w:tblLayout w:type="fixed"/>
        <w:tblCellMar>
          <w:top w:w="28" w:type="dxa"/>
          <w:left w:w="0" w:type="dxa"/>
          <w:bottom w:w="28" w:type="dxa"/>
          <w:right w:w="0" w:type="dxa"/>
        </w:tblCellMar>
        <w:tblLook w:val="0000"/>
      </w:tblPr>
      <w:tblGrid>
        <w:gridCol w:w="703"/>
        <w:gridCol w:w="2053"/>
        <w:gridCol w:w="1864"/>
        <w:gridCol w:w="892"/>
        <w:gridCol w:w="1870"/>
        <w:gridCol w:w="1495"/>
      </w:tblGrid>
      <w:tr w:rsidR="00D1608A" w:rsidRPr="00D630D1" w:rsidTr="00404445">
        <w:trPr>
          <w:trHeight w:val="232"/>
          <w:tblHeader/>
          <w:jc w:val="center"/>
        </w:trPr>
        <w:tc>
          <w:tcPr>
            <w:tcW w:w="703" w:type="dxa"/>
            <w:tcMar>
              <w:top w:w="0" w:type="dxa"/>
              <w:left w:w="108" w:type="dxa"/>
              <w:bottom w:w="0" w:type="dxa"/>
              <w:right w:w="108" w:type="dxa"/>
            </w:tcMar>
            <w:vAlign w:val="center"/>
          </w:tcPr>
          <w:p w:rsidR="000C4E8D" w:rsidRPr="00D630D1" w:rsidRDefault="000C4E8D" w:rsidP="000C4E8D">
            <w:pPr>
              <w:pStyle w:val="Style2"/>
              <w:adjustRightInd w:val="0"/>
              <w:snapToGrid w:val="0"/>
              <w:ind w:firstLineChars="0" w:firstLine="0"/>
              <w:jc w:val="center"/>
              <w:rPr>
                <w:b/>
                <w:bCs/>
                <w:szCs w:val="21"/>
              </w:rPr>
            </w:pPr>
            <w:r w:rsidRPr="00D630D1">
              <w:rPr>
                <w:b/>
                <w:bCs/>
                <w:szCs w:val="21"/>
              </w:rPr>
              <w:t>序号</w:t>
            </w:r>
          </w:p>
        </w:tc>
        <w:tc>
          <w:tcPr>
            <w:tcW w:w="2053" w:type="dxa"/>
            <w:tcMar>
              <w:top w:w="0" w:type="dxa"/>
              <w:left w:w="108" w:type="dxa"/>
              <w:bottom w:w="0" w:type="dxa"/>
              <w:right w:w="108" w:type="dxa"/>
            </w:tcMar>
            <w:vAlign w:val="center"/>
          </w:tcPr>
          <w:p w:rsidR="000C4E8D" w:rsidRPr="00D630D1" w:rsidRDefault="000C4E8D" w:rsidP="000C4E8D">
            <w:pPr>
              <w:pStyle w:val="Style2"/>
              <w:adjustRightInd w:val="0"/>
              <w:snapToGrid w:val="0"/>
              <w:ind w:firstLineChars="0" w:firstLine="0"/>
              <w:jc w:val="center"/>
              <w:rPr>
                <w:b/>
                <w:bCs/>
                <w:szCs w:val="21"/>
              </w:rPr>
            </w:pPr>
            <w:r w:rsidRPr="00D630D1">
              <w:rPr>
                <w:b/>
                <w:bCs/>
                <w:szCs w:val="21"/>
              </w:rPr>
              <w:t>项目</w:t>
            </w:r>
          </w:p>
        </w:tc>
        <w:tc>
          <w:tcPr>
            <w:tcW w:w="1864" w:type="dxa"/>
            <w:tcMar>
              <w:top w:w="0" w:type="dxa"/>
              <w:left w:w="108" w:type="dxa"/>
              <w:bottom w:w="0" w:type="dxa"/>
              <w:right w:w="108" w:type="dxa"/>
            </w:tcMar>
            <w:vAlign w:val="center"/>
          </w:tcPr>
          <w:p w:rsidR="000C4E8D" w:rsidRPr="00D630D1" w:rsidRDefault="000C4E8D" w:rsidP="000C4E8D">
            <w:pPr>
              <w:pStyle w:val="Style2"/>
              <w:adjustRightInd w:val="0"/>
              <w:snapToGrid w:val="0"/>
              <w:ind w:firstLineChars="0" w:firstLine="0"/>
              <w:jc w:val="center"/>
              <w:rPr>
                <w:b/>
                <w:bCs/>
                <w:szCs w:val="21"/>
              </w:rPr>
            </w:pPr>
            <w:r w:rsidRPr="00D630D1">
              <w:rPr>
                <w:b/>
                <w:bCs/>
                <w:szCs w:val="21"/>
              </w:rPr>
              <w:t>Ⅲ</w:t>
            </w:r>
            <w:r w:rsidRPr="00D630D1">
              <w:rPr>
                <w:b/>
                <w:bCs/>
                <w:szCs w:val="21"/>
              </w:rPr>
              <w:t>类（</w:t>
            </w:r>
            <w:r w:rsidRPr="00D630D1">
              <w:rPr>
                <w:b/>
                <w:bCs/>
                <w:szCs w:val="21"/>
              </w:rPr>
              <w:t>mg/L</w:t>
            </w:r>
            <w:r w:rsidRPr="00D630D1">
              <w:rPr>
                <w:b/>
                <w:bCs/>
                <w:szCs w:val="21"/>
              </w:rPr>
              <w:t>）</w:t>
            </w:r>
          </w:p>
        </w:tc>
        <w:tc>
          <w:tcPr>
            <w:tcW w:w="892" w:type="dxa"/>
            <w:vAlign w:val="center"/>
          </w:tcPr>
          <w:p w:rsidR="000C4E8D" w:rsidRPr="00D630D1" w:rsidRDefault="000C4E8D" w:rsidP="000C4E8D">
            <w:pPr>
              <w:pStyle w:val="Style2"/>
              <w:adjustRightInd w:val="0"/>
              <w:snapToGrid w:val="0"/>
              <w:ind w:firstLineChars="0" w:firstLine="0"/>
              <w:jc w:val="center"/>
              <w:rPr>
                <w:b/>
                <w:bCs/>
                <w:szCs w:val="21"/>
              </w:rPr>
            </w:pPr>
            <w:r w:rsidRPr="00D630D1">
              <w:rPr>
                <w:b/>
                <w:bCs/>
                <w:szCs w:val="21"/>
              </w:rPr>
              <w:t>序号</w:t>
            </w:r>
          </w:p>
        </w:tc>
        <w:tc>
          <w:tcPr>
            <w:tcW w:w="1870" w:type="dxa"/>
            <w:vAlign w:val="center"/>
          </w:tcPr>
          <w:p w:rsidR="000C4E8D" w:rsidRPr="00D630D1" w:rsidRDefault="000C4E8D" w:rsidP="000C4E8D">
            <w:pPr>
              <w:pStyle w:val="Style2"/>
              <w:adjustRightInd w:val="0"/>
              <w:snapToGrid w:val="0"/>
              <w:ind w:firstLineChars="0" w:firstLine="0"/>
              <w:jc w:val="center"/>
              <w:rPr>
                <w:b/>
                <w:bCs/>
                <w:szCs w:val="21"/>
              </w:rPr>
            </w:pPr>
            <w:r w:rsidRPr="00D630D1">
              <w:rPr>
                <w:b/>
                <w:bCs/>
                <w:szCs w:val="21"/>
              </w:rPr>
              <w:t>项目</w:t>
            </w:r>
          </w:p>
        </w:tc>
        <w:tc>
          <w:tcPr>
            <w:tcW w:w="1495" w:type="dxa"/>
            <w:vAlign w:val="center"/>
          </w:tcPr>
          <w:p w:rsidR="000C4E8D" w:rsidRPr="00D630D1" w:rsidRDefault="000C4E8D" w:rsidP="000C4E8D">
            <w:pPr>
              <w:pStyle w:val="Style2"/>
              <w:adjustRightInd w:val="0"/>
              <w:snapToGrid w:val="0"/>
              <w:ind w:firstLineChars="0" w:firstLine="0"/>
              <w:jc w:val="center"/>
              <w:rPr>
                <w:b/>
                <w:bCs/>
                <w:szCs w:val="21"/>
              </w:rPr>
            </w:pPr>
            <w:r w:rsidRPr="00D630D1">
              <w:rPr>
                <w:b/>
                <w:bCs/>
                <w:szCs w:val="21"/>
              </w:rPr>
              <w:t>Ⅲ</w:t>
            </w:r>
            <w:r w:rsidRPr="00D630D1">
              <w:rPr>
                <w:b/>
                <w:bCs/>
                <w:szCs w:val="21"/>
              </w:rPr>
              <w:t>类（</w:t>
            </w:r>
            <w:r w:rsidRPr="00D630D1">
              <w:rPr>
                <w:b/>
                <w:bCs/>
                <w:szCs w:val="21"/>
              </w:rPr>
              <w:t>mg/L</w:t>
            </w:r>
            <w:r w:rsidRPr="00D630D1">
              <w:rPr>
                <w:b/>
                <w:bCs/>
                <w:szCs w:val="21"/>
              </w:rPr>
              <w:t>）</w:t>
            </w:r>
          </w:p>
        </w:tc>
      </w:tr>
      <w:tr w:rsidR="00404445" w:rsidRPr="00D630D1" w:rsidTr="00404445">
        <w:trPr>
          <w:trHeight w:val="232"/>
          <w:jc w:val="center"/>
        </w:trPr>
        <w:tc>
          <w:tcPr>
            <w:tcW w:w="70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1</w:t>
            </w:r>
          </w:p>
        </w:tc>
        <w:tc>
          <w:tcPr>
            <w:tcW w:w="205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pH</w:t>
            </w:r>
            <w:r w:rsidRPr="00D630D1">
              <w:rPr>
                <w:szCs w:val="21"/>
              </w:rPr>
              <w:t>值（无量纲）</w:t>
            </w:r>
          </w:p>
        </w:tc>
        <w:tc>
          <w:tcPr>
            <w:tcW w:w="1864" w:type="dxa"/>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6.5~8.5</w:t>
            </w:r>
          </w:p>
        </w:tc>
        <w:tc>
          <w:tcPr>
            <w:tcW w:w="892"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12</w:t>
            </w:r>
          </w:p>
        </w:tc>
        <w:tc>
          <w:tcPr>
            <w:tcW w:w="1870"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lang w:val="zh-CN"/>
              </w:rPr>
              <w:t>汞</w:t>
            </w:r>
          </w:p>
        </w:tc>
        <w:tc>
          <w:tcPr>
            <w:tcW w:w="1495"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0.001</w:t>
            </w:r>
          </w:p>
        </w:tc>
      </w:tr>
      <w:tr w:rsidR="00404445" w:rsidRPr="00D630D1" w:rsidTr="00404445">
        <w:trPr>
          <w:trHeight w:val="232"/>
          <w:jc w:val="center"/>
        </w:trPr>
        <w:tc>
          <w:tcPr>
            <w:tcW w:w="70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2</w:t>
            </w:r>
          </w:p>
        </w:tc>
        <w:tc>
          <w:tcPr>
            <w:tcW w:w="205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lang w:val="zh-CN"/>
              </w:rPr>
              <w:t>氨氮</w:t>
            </w:r>
          </w:p>
        </w:tc>
        <w:tc>
          <w:tcPr>
            <w:tcW w:w="1864" w:type="dxa"/>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0.5</w:t>
            </w:r>
          </w:p>
        </w:tc>
        <w:tc>
          <w:tcPr>
            <w:tcW w:w="892"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13</w:t>
            </w:r>
          </w:p>
        </w:tc>
        <w:tc>
          <w:tcPr>
            <w:tcW w:w="1870"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lang w:val="zh-CN"/>
              </w:rPr>
              <w:t>六价铬</w:t>
            </w:r>
          </w:p>
        </w:tc>
        <w:tc>
          <w:tcPr>
            <w:tcW w:w="1495"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0.05</w:t>
            </w:r>
          </w:p>
        </w:tc>
      </w:tr>
      <w:tr w:rsidR="00404445" w:rsidRPr="00D630D1" w:rsidTr="00404445">
        <w:trPr>
          <w:trHeight w:val="232"/>
          <w:jc w:val="center"/>
        </w:trPr>
        <w:tc>
          <w:tcPr>
            <w:tcW w:w="70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3</w:t>
            </w:r>
          </w:p>
        </w:tc>
        <w:tc>
          <w:tcPr>
            <w:tcW w:w="205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lang w:val="zh-CN"/>
              </w:rPr>
              <w:t>硝酸盐</w:t>
            </w:r>
          </w:p>
        </w:tc>
        <w:tc>
          <w:tcPr>
            <w:tcW w:w="1864"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20</w:t>
            </w:r>
          </w:p>
        </w:tc>
        <w:tc>
          <w:tcPr>
            <w:tcW w:w="892"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14</w:t>
            </w:r>
          </w:p>
        </w:tc>
        <w:tc>
          <w:tcPr>
            <w:tcW w:w="1870"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lang w:val="zh-CN"/>
              </w:rPr>
              <w:t>铅</w:t>
            </w:r>
          </w:p>
        </w:tc>
        <w:tc>
          <w:tcPr>
            <w:tcW w:w="1495"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0.01</w:t>
            </w:r>
          </w:p>
        </w:tc>
      </w:tr>
      <w:tr w:rsidR="00404445" w:rsidRPr="00D630D1" w:rsidTr="00404445">
        <w:trPr>
          <w:trHeight w:val="232"/>
          <w:jc w:val="center"/>
        </w:trPr>
        <w:tc>
          <w:tcPr>
            <w:tcW w:w="70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4</w:t>
            </w:r>
          </w:p>
        </w:tc>
        <w:tc>
          <w:tcPr>
            <w:tcW w:w="205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lang w:val="zh-CN"/>
              </w:rPr>
              <w:t>亚硝酸盐</w:t>
            </w:r>
          </w:p>
        </w:tc>
        <w:tc>
          <w:tcPr>
            <w:tcW w:w="1864"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1.00</w:t>
            </w:r>
          </w:p>
        </w:tc>
        <w:tc>
          <w:tcPr>
            <w:tcW w:w="892"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15</w:t>
            </w:r>
          </w:p>
        </w:tc>
        <w:tc>
          <w:tcPr>
            <w:tcW w:w="1870"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lang w:val="zh-CN"/>
              </w:rPr>
              <w:t>镉</w:t>
            </w:r>
          </w:p>
        </w:tc>
        <w:tc>
          <w:tcPr>
            <w:tcW w:w="1495"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0.005</w:t>
            </w:r>
          </w:p>
        </w:tc>
      </w:tr>
      <w:tr w:rsidR="00404445" w:rsidRPr="00D630D1" w:rsidTr="00404445">
        <w:trPr>
          <w:trHeight w:val="232"/>
          <w:jc w:val="center"/>
        </w:trPr>
        <w:tc>
          <w:tcPr>
            <w:tcW w:w="70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5</w:t>
            </w:r>
          </w:p>
        </w:tc>
        <w:tc>
          <w:tcPr>
            <w:tcW w:w="205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lang w:val="zh-CN"/>
              </w:rPr>
              <w:t>挥发性酚类</w:t>
            </w:r>
          </w:p>
        </w:tc>
        <w:tc>
          <w:tcPr>
            <w:tcW w:w="1864"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0.002</w:t>
            </w:r>
          </w:p>
        </w:tc>
        <w:tc>
          <w:tcPr>
            <w:tcW w:w="892"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16</w:t>
            </w:r>
          </w:p>
        </w:tc>
        <w:tc>
          <w:tcPr>
            <w:tcW w:w="1870"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lang w:val="zh-CN"/>
              </w:rPr>
              <w:t>铁</w:t>
            </w:r>
          </w:p>
        </w:tc>
        <w:tc>
          <w:tcPr>
            <w:tcW w:w="1495"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0.3</w:t>
            </w:r>
          </w:p>
        </w:tc>
      </w:tr>
      <w:tr w:rsidR="00404445" w:rsidRPr="00D630D1" w:rsidTr="00404445">
        <w:trPr>
          <w:trHeight w:val="232"/>
          <w:jc w:val="center"/>
        </w:trPr>
        <w:tc>
          <w:tcPr>
            <w:tcW w:w="70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6</w:t>
            </w:r>
          </w:p>
        </w:tc>
        <w:tc>
          <w:tcPr>
            <w:tcW w:w="205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lang w:val="zh-CN"/>
              </w:rPr>
              <w:t>总硬度</w:t>
            </w:r>
          </w:p>
        </w:tc>
        <w:tc>
          <w:tcPr>
            <w:tcW w:w="1864"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450</w:t>
            </w:r>
          </w:p>
        </w:tc>
        <w:tc>
          <w:tcPr>
            <w:tcW w:w="892"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17</w:t>
            </w:r>
          </w:p>
        </w:tc>
        <w:tc>
          <w:tcPr>
            <w:tcW w:w="1870"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lang w:val="zh-CN"/>
              </w:rPr>
              <w:t>锰</w:t>
            </w:r>
          </w:p>
        </w:tc>
        <w:tc>
          <w:tcPr>
            <w:tcW w:w="1495"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0.10</w:t>
            </w:r>
          </w:p>
        </w:tc>
      </w:tr>
      <w:tr w:rsidR="00404445" w:rsidRPr="00D630D1" w:rsidTr="00404445">
        <w:trPr>
          <w:trHeight w:val="232"/>
          <w:jc w:val="center"/>
        </w:trPr>
        <w:tc>
          <w:tcPr>
            <w:tcW w:w="70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7</w:t>
            </w:r>
          </w:p>
        </w:tc>
        <w:tc>
          <w:tcPr>
            <w:tcW w:w="205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lang w:val="zh-CN"/>
              </w:rPr>
              <w:t>溶解性总固体</w:t>
            </w:r>
          </w:p>
        </w:tc>
        <w:tc>
          <w:tcPr>
            <w:tcW w:w="1864"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1000</w:t>
            </w:r>
          </w:p>
        </w:tc>
        <w:tc>
          <w:tcPr>
            <w:tcW w:w="892"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18</w:t>
            </w:r>
          </w:p>
        </w:tc>
        <w:tc>
          <w:tcPr>
            <w:tcW w:w="1870"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氟化物</w:t>
            </w:r>
          </w:p>
        </w:tc>
        <w:tc>
          <w:tcPr>
            <w:tcW w:w="1495"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1.0</w:t>
            </w:r>
          </w:p>
        </w:tc>
      </w:tr>
      <w:tr w:rsidR="00404445" w:rsidRPr="00D630D1" w:rsidTr="00404445">
        <w:trPr>
          <w:trHeight w:val="232"/>
          <w:jc w:val="center"/>
        </w:trPr>
        <w:tc>
          <w:tcPr>
            <w:tcW w:w="70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8</w:t>
            </w:r>
          </w:p>
        </w:tc>
        <w:tc>
          <w:tcPr>
            <w:tcW w:w="205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lang w:val="zh-CN"/>
              </w:rPr>
              <w:t>硫酸盐</w:t>
            </w:r>
          </w:p>
        </w:tc>
        <w:tc>
          <w:tcPr>
            <w:tcW w:w="1864"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250</w:t>
            </w:r>
          </w:p>
        </w:tc>
        <w:tc>
          <w:tcPr>
            <w:tcW w:w="892" w:type="dxa"/>
            <w:vAlign w:val="center"/>
          </w:tcPr>
          <w:p w:rsidR="00404445" w:rsidRPr="00D630D1" w:rsidRDefault="00404445" w:rsidP="00BE0268">
            <w:pPr>
              <w:pStyle w:val="Style2"/>
              <w:adjustRightInd w:val="0"/>
              <w:snapToGrid w:val="0"/>
              <w:ind w:firstLineChars="0" w:firstLine="0"/>
              <w:jc w:val="center"/>
              <w:rPr>
                <w:szCs w:val="21"/>
              </w:rPr>
            </w:pPr>
            <w:r w:rsidRPr="00D630D1">
              <w:rPr>
                <w:rFonts w:hint="eastAsia"/>
                <w:szCs w:val="21"/>
              </w:rPr>
              <w:t>19</w:t>
            </w:r>
          </w:p>
        </w:tc>
        <w:tc>
          <w:tcPr>
            <w:tcW w:w="1870"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氰化物</w:t>
            </w:r>
          </w:p>
        </w:tc>
        <w:tc>
          <w:tcPr>
            <w:tcW w:w="1495" w:type="dxa"/>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0.05</w:t>
            </w:r>
          </w:p>
        </w:tc>
      </w:tr>
      <w:tr w:rsidR="00404445" w:rsidRPr="00D630D1" w:rsidTr="00404445">
        <w:trPr>
          <w:trHeight w:val="232"/>
          <w:jc w:val="center"/>
        </w:trPr>
        <w:tc>
          <w:tcPr>
            <w:tcW w:w="70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9</w:t>
            </w:r>
          </w:p>
        </w:tc>
        <w:tc>
          <w:tcPr>
            <w:tcW w:w="205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bCs/>
                <w:szCs w:val="21"/>
              </w:rPr>
            </w:pPr>
            <w:r w:rsidRPr="00D630D1">
              <w:rPr>
                <w:szCs w:val="21"/>
                <w:lang w:val="zh-CN"/>
              </w:rPr>
              <w:t>氯化物</w:t>
            </w:r>
          </w:p>
        </w:tc>
        <w:tc>
          <w:tcPr>
            <w:tcW w:w="1864"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250</w:t>
            </w:r>
          </w:p>
        </w:tc>
        <w:tc>
          <w:tcPr>
            <w:tcW w:w="892" w:type="dxa"/>
            <w:vAlign w:val="center"/>
          </w:tcPr>
          <w:p w:rsidR="00404445" w:rsidRPr="00D630D1" w:rsidRDefault="00404445" w:rsidP="00BE0268">
            <w:pPr>
              <w:pStyle w:val="Style2"/>
              <w:adjustRightInd w:val="0"/>
              <w:snapToGrid w:val="0"/>
              <w:ind w:firstLineChars="0" w:firstLine="0"/>
              <w:jc w:val="center"/>
              <w:rPr>
                <w:szCs w:val="21"/>
              </w:rPr>
            </w:pPr>
            <w:r w:rsidRPr="00D630D1">
              <w:rPr>
                <w:rFonts w:hint="eastAsia"/>
                <w:szCs w:val="21"/>
              </w:rPr>
              <w:t>20</w:t>
            </w:r>
          </w:p>
        </w:tc>
        <w:tc>
          <w:tcPr>
            <w:tcW w:w="1870" w:type="dxa"/>
            <w:vAlign w:val="center"/>
          </w:tcPr>
          <w:p w:rsidR="00404445" w:rsidRPr="00D630D1" w:rsidRDefault="00404445" w:rsidP="00BE0268">
            <w:pPr>
              <w:pStyle w:val="Style2"/>
              <w:adjustRightInd w:val="0"/>
              <w:snapToGrid w:val="0"/>
              <w:ind w:firstLineChars="0" w:firstLine="0"/>
              <w:jc w:val="center"/>
              <w:rPr>
                <w:szCs w:val="21"/>
              </w:rPr>
            </w:pPr>
            <w:r w:rsidRPr="00D630D1">
              <w:rPr>
                <w:rFonts w:hint="eastAsia"/>
                <w:szCs w:val="21"/>
              </w:rPr>
              <w:t>菌落总数</w:t>
            </w:r>
          </w:p>
        </w:tc>
        <w:tc>
          <w:tcPr>
            <w:tcW w:w="1495" w:type="dxa"/>
            <w:vAlign w:val="center"/>
          </w:tcPr>
          <w:p w:rsidR="00404445" w:rsidRPr="00D630D1" w:rsidRDefault="00404445" w:rsidP="00404445">
            <w:pPr>
              <w:pStyle w:val="Style2"/>
              <w:adjustRightInd w:val="0"/>
              <w:snapToGrid w:val="0"/>
              <w:ind w:firstLineChars="0" w:firstLine="0"/>
              <w:jc w:val="center"/>
              <w:rPr>
                <w:szCs w:val="21"/>
              </w:rPr>
            </w:pPr>
            <w:r w:rsidRPr="00D630D1">
              <w:rPr>
                <w:rFonts w:hint="eastAsia"/>
                <w:szCs w:val="21"/>
              </w:rPr>
              <w:t>100</w:t>
            </w:r>
            <w:r w:rsidRPr="00D630D1">
              <w:rPr>
                <w:rFonts w:hint="eastAsia"/>
                <w:szCs w:val="21"/>
              </w:rPr>
              <w:t>（</w:t>
            </w:r>
            <w:r w:rsidRPr="00D630D1">
              <w:rPr>
                <w:rFonts w:hint="eastAsia"/>
                <w:szCs w:val="21"/>
              </w:rPr>
              <w:t>CFU/mL</w:t>
            </w:r>
            <w:r w:rsidRPr="00D630D1">
              <w:rPr>
                <w:rFonts w:hint="eastAsia"/>
                <w:szCs w:val="21"/>
              </w:rPr>
              <w:t>）</w:t>
            </w:r>
          </w:p>
        </w:tc>
      </w:tr>
      <w:tr w:rsidR="00404445" w:rsidRPr="00D630D1" w:rsidTr="00404445">
        <w:trPr>
          <w:trHeight w:val="232"/>
          <w:jc w:val="center"/>
        </w:trPr>
        <w:tc>
          <w:tcPr>
            <w:tcW w:w="70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10</w:t>
            </w:r>
          </w:p>
        </w:tc>
        <w:tc>
          <w:tcPr>
            <w:tcW w:w="205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lang w:val="zh-CN"/>
              </w:rPr>
            </w:pPr>
            <w:r w:rsidRPr="00D630D1">
              <w:rPr>
                <w:szCs w:val="21"/>
                <w:lang w:val="zh-CN"/>
              </w:rPr>
              <w:t>硫化物</w:t>
            </w:r>
          </w:p>
        </w:tc>
        <w:tc>
          <w:tcPr>
            <w:tcW w:w="1864"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rFonts w:hint="eastAsia"/>
                <w:szCs w:val="21"/>
              </w:rPr>
              <w:t>0.02</w:t>
            </w:r>
          </w:p>
        </w:tc>
        <w:tc>
          <w:tcPr>
            <w:tcW w:w="892" w:type="dxa"/>
            <w:vAlign w:val="center"/>
          </w:tcPr>
          <w:p w:rsidR="00404445" w:rsidRPr="00D630D1" w:rsidRDefault="00404445" w:rsidP="003608BC">
            <w:pPr>
              <w:pStyle w:val="Style2"/>
              <w:adjustRightInd w:val="0"/>
              <w:snapToGrid w:val="0"/>
              <w:ind w:firstLineChars="0" w:firstLine="0"/>
              <w:jc w:val="center"/>
              <w:rPr>
                <w:szCs w:val="21"/>
              </w:rPr>
            </w:pPr>
            <w:r w:rsidRPr="00D630D1">
              <w:rPr>
                <w:rFonts w:hint="eastAsia"/>
                <w:szCs w:val="21"/>
              </w:rPr>
              <w:t>21</w:t>
            </w:r>
          </w:p>
        </w:tc>
        <w:tc>
          <w:tcPr>
            <w:tcW w:w="1870" w:type="dxa"/>
            <w:vAlign w:val="center"/>
          </w:tcPr>
          <w:p w:rsidR="00404445" w:rsidRPr="00D630D1" w:rsidRDefault="00404445" w:rsidP="003608BC">
            <w:pPr>
              <w:pStyle w:val="Style2"/>
              <w:adjustRightInd w:val="0"/>
              <w:snapToGrid w:val="0"/>
              <w:ind w:firstLineChars="0" w:firstLine="0"/>
              <w:jc w:val="center"/>
              <w:rPr>
                <w:szCs w:val="21"/>
              </w:rPr>
            </w:pPr>
            <w:r w:rsidRPr="00D630D1">
              <w:rPr>
                <w:rFonts w:hint="eastAsia"/>
                <w:szCs w:val="21"/>
              </w:rPr>
              <w:t>总大肠菌群</w:t>
            </w:r>
          </w:p>
        </w:tc>
        <w:tc>
          <w:tcPr>
            <w:tcW w:w="1495" w:type="dxa"/>
            <w:vAlign w:val="center"/>
          </w:tcPr>
          <w:p w:rsidR="00404445" w:rsidRPr="00D630D1" w:rsidRDefault="00404445" w:rsidP="00404445">
            <w:pPr>
              <w:pStyle w:val="Style2"/>
              <w:adjustRightInd w:val="0"/>
              <w:snapToGrid w:val="0"/>
              <w:ind w:firstLineChars="0" w:firstLine="0"/>
              <w:jc w:val="center"/>
              <w:rPr>
                <w:szCs w:val="21"/>
              </w:rPr>
            </w:pPr>
            <w:r w:rsidRPr="00D630D1">
              <w:rPr>
                <w:rFonts w:hint="eastAsia"/>
                <w:szCs w:val="21"/>
              </w:rPr>
              <w:t>3.0</w:t>
            </w:r>
            <w:r w:rsidRPr="00D630D1">
              <w:rPr>
                <w:rFonts w:hint="eastAsia"/>
                <w:szCs w:val="21"/>
              </w:rPr>
              <w:t>（</w:t>
            </w:r>
            <w:r w:rsidRPr="00D630D1">
              <w:rPr>
                <w:rFonts w:hint="eastAsia"/>
                <w:szCs w:val="21"/>
              </w:rPr>
              <w:t>MPN/100mL</w:t>
            </w:r>
            <w:r w:rsidRPr="00D630D1">
              <w:rPr>
                <w:rFonts w:hint="eastAsia"/>
                <w:szCs w:val="21"/>
              </w:rPr>
              <w:t>）</w:t>
            </w:r>
          </w:p>
        </w:tc>
      </w:tr>
      <w:tr w:rsidR="00404445" w:rsidRPr="00D630D1" w:rsidTr="00404445">
        <w:trPr>
          <w:trHeight w:val="232"/>
          <w:jc w:val="center"/>
        </w:trPr>
        <w:tc>
          <w:tcPr>
            <w:tcW w:w="703" w:type="dxa"/>
            <w:tcMar>
              <w:top w:w="0" w:type="dxa"/>
              <w:left w:w="108" w:type="dxa"/>
              <w:bottom w:w="0" w:type="dxa"/>
              <w:right w:w="108" w:type="dxa"/>
            </w:tcMar>
            <w:vAlign w:val="center"/>
          </w:tcPr>
          <w:p w:rsidR="00404445" w:rsidRPr="00D630D1" w:rsidRDefault="00404445" w:rsidP="003608BC">
            <w:pPr>
              <w:pStyle w:val="Style2"/>
              <w:adjustRightInd w:val="0"/>
              <w:snapToGrid w:val="0"/>
              <w:ind w:firstLineChars="0" w:firstLine="0"/>
              <w:jc w:val="center"/>
              <w:rPr>
                <w:szCs w:val="21"/>
              </w:rPr>
            </w:pPr>
            <w:r w:rsidRPr="00D630D1">
              <w:rPr>
                <w:szCs w:val="21"/>
              </w:rPr>
              <w:t>11</w:t>
            </w:r>
          </w:p>
        </w:tc>
        <w:tc>
          <w:tcPr>
            <w:tcW w:w="2053" w:type="dxa"/>
            <w:tcMar>
              <w:top w:w="0" w:type="dxa"/>
              <w:left w:w="108" w:type="dxa"/>
              <w:bottom w:w="0" w:type="dxa"/>
              <w:right w:w="108" w:type="dxa"/>
            </w:tcMar>
            <w:vAlign w:val="center"/>
          </w:tcPr>
          <w:p w:rsidR="00404445" w:rsidRPr="00D630D1" w:rsidRDefault="00404445" w:rsidP="00BE0268">
            <w:pPr>
              <w:pStyle w:val="Style2"/>
              <w:adjustRightInd w:val="0"/>
              <w:snapToGrid w:val="0"/>
              <w:ind w:firstLineChars="0" w:firstLine="0"/>
              <w:jc w:val="center"/>
              <w:rPr>
                <w:szCs w:val="21"/>
              </w:rPr>
            </w:pPr>
            <w:r w:rsidRPr="00D630D1">
              <w:rPr>
                <w:szCs w:val="21"/>
                <w:lang w:val="zh-CN"/>
              </w:rPr>
              <w:t>砷</w:t>
            </w:r>
          </w:p>
        </w:tc>
        <w:tc>
          <w:tcPr>
            <w:tcW w:w="1864" w:type="dxa"/>
            <w:tcMar>
              <w:top w:w="0" w:type="dxa"/>
              <w:left w:w="108" w:type="dxa"/>
              <w:bottom w:w="0" w:type="dxa"/>
              <w:right w:w="108" w:type="dxa"/>
            </w:tcMar>
            <w:vAlign w:val="center"/>
          </w:tcPr>
          <w:p w:rsidR="00404445" w:rsidRPr="00D630D1" w:rsidRDefault="00404445" w:rsidP="00BE0268">
            <w:pPr>
              <w:pStyle w:val="Style2"/>
              <w:adjustRightInd w:val="0"/>
              <w:snapToGrid w:val="0"/>
              <w:ind w:firstLineChars="0" w:firstLine="0"/>
              <w:jc w:val="center"/>
              <w:rPr>
                <w:szCs w:val="21"/>
              </w:rPr>
            </w:pPr>
            <w:r w:rsidRPr="00D630D1">
              <w:rPr>
                <w:szCs w:val="21"/>
              </w:rPr>
              <w:t>0.01</w:t>
            </w:r>
          </w:p>
        </w:tc>
        <w:tc>
          <w:tcPr>
            <w:tcW w:w="892" w:type="dxa"/>
            <w:vAlign w:val="center"/>
          </w:tcPr>
          <w:p w:rsidR="00404445" w:rsidRPr="00D630D1" w:rsidRDefault="00404445" w:rsidP="003608BC">
            <w:pPr>
              <w:pStyle w:val="Style2"/>
              <w:adjustRightInd w:val="0"/>
              <w:snapToGrid w:val="0"/>
              <w:ind w:firstLineChars="0" w:firstLine="0"/>
              <w:jc w:val="center"/>
              <w:rPr>
                <w:szCs w:val="21"/>
              </w:rPr>
            </w:pPr>
          </w:p>
        </w:tc>
        <w:tc>
          <w:tcPr>
            <w:tcW w:w="1870" w:type="dxa"/>
            <w:vAlign w:val="center"/>
          </w:tcPr>
          <w:p w:rsidR="00404445" w:rsidRPr="00D630D1" w:rsidRDefault="00404445" w:rsidP="003608BC">
            <w:pPr>
              <w:pStyle w:val="Style2"/>
              <w:adjustRightInd w:val="0"/>
              <w:snapToGrid w:val="0"/>
              <w:ind w:firstLineChars="0" w:firstLine="0"/>
              <w:jc w:val="center"/>
              <w:rPr>
                <w:szCs w:val="21"/>
              </w:rPr>
            </w:pPr>
          </w:p>
        </w:tc>
        <w:tc>
          <w:tcPr>
            <w:tcW w:w="1495" w:type="dxa"/>
            <w:vAlign w:val="center"/>
          </w:tcPr>
          <w:p w:rsidR="00404445" w:rsidRPr="00D630D1" w:rsidRDefault="00404445" w:rsidP="00404445">
            <w:pPr>
              <w:pStyle w:val="Style2"/>
              <w:adjustRightInd w:val="0"/>
              <w:snapToGrid w:val="0"/>
              <w:ind w:firstLineChars="0" w:firstLine="0"/>
              <w:jc w:val="center"/>
              <w:rPr>
                <w:szCs w:val="21"/>
              </w:rPr>
            </w:pPr>
          </w:p>
        </w:tc>
      </w:tr>
    </w:tbl>
    <w:p w:rsidR="005D3A58" w:rsidRPr="00D630D1" w:rsidRDefault="005D3A58" w:rsidP="005D3A58">
      <w:pPr>
        <w:ind w:firstLine="482"/>
        <w:rPr>
          <w:rFonts w:ascii="Times New Roman" w:cs="Times New Roman"/>
          <w:b/>
        </w:rPr>
      </w:pPr>
      <w:r w:rsidRPr="00D630D1">
        <w:rPr>
          <w:rFonts w:ascii="Times New Roman" w:cs="Times New Roman"/>
          <w:b/>
        </w:rPr>
        <w:t>4</w:t>
      </w:r>
      <w:r w:rsidRPr="00D630D1">
        <w:rPr>
          <w:rFonts w:ascii="Times New Roman" w:cs="Times New Roman"/>
          <w:b/>
        </w:rPr>
        <w:t>、声环境质量标准</w:t>
      </w:r>
    </w:p>
    <w:p w:rsidR="005D3A58" w:rsidRPr="00D630D1" w:rsidRDefault="005D3A58" w:rsidP="005D3A58">
      <w:pPr>
        <w:pStyle w:val="afa"/>
        <w:ind w:firstLine="480"/>
      </w:pPr>
      <w:r w:rsidRPr="00D630D1">
        <w:t>声环境质量执行《声环境质量标准》（</w:t>
      </w:r>
      <w:r w:rsidRPr="00D630D1">
        <w:t>GB3096-2008</w:t>
      </w:r>
      <w:r w:rsidRPr="00D630D1">
        <w:t>）中的</w:t>
      </w:r>
      <w:r w:rsidRPr="00D630D1">
        <w:t>2</w:t>
      </w:r>
      <w:r w:rsidRPr="00D630D1">
        <w:t>类声环境功能区标准。</w:t>
      </w:r>
    </w:p>
    <w:p w:rsidR="005D3A58" w:rsidRPr="00D630D1" w:rsidRDefault="005D3A58" w:rsidP="005D3A58">
      <w:pPr>
        <w:pStyle w:val="10"/>
        <w:rPr>
          <w:rFonts w:cs="Times New Roman"/>
        </w:rPr>
      </w:pPr>
      <w:r w:rsidRPr="00D630D1">
        <w:rPr>
          <w:rFonts w:cs="Times New Roman"/>
        </w:rPr>
        <w:t>表</w:t>
      </w:r>
      <w:r w:rsidRPr="00D630D1">
        <w:rPr>
          <w:rFonts w:cs="Times New Roman"/>
        </w:rPr>
        <w:t xml:space="preserve">1.5-4  </w:t>
      </w:r>
      <w:r w:rsidRPr="00D630D1">
        <w:rPr>
          <w:rFonts w:cs="Times New Roman"/>
        </w:rPr>
        <w:t>环境噪声标准限值（</w:t>
      </w:r>
      <w:r w:rsidRPr="00D630D1">
        <w:rPr>
          <w:rFonts w:cs="Times New Roman"/>
        </w:rPr>
        <w:t>GB3096-2008</w:t>
      </w:r>
      <w:r w:rsidRPr="00D630D1">
        <w:rPr>
          <w:rFonts w:cs="Times New Roman"/>
        </w:rPr>
        <w:t>）</w:t>
      </w:r>
      <w:r w:rsidRPr="00D630D1">
        <w:rPr>
          <w:rFonts w:cs="Times New Roman"/>
        </w:rPr>
        <w:t xml:space="preserve">  </w:t>
      </w:r>
      <w:r w:rsidRPr="00D630D1">
        <w:rPr>
          <w:rFonts w:cs="Times New Roman"/>
        </w:rPr>
        <w:t>单位：</w:t>
      </w:r>
      <w:r w:rsidRPr="00D630D1">
        <w:rPr>
          <w:rFonts w:cs="Times New Roman"/>
        </w:rPr>
        <w:t>dB</w:t>
      </w:r>
      <w:r w:rsidRPr="00D630D1">
        <w:rPr>
          <w:rFonts w:cs="Times New Roman"/>
        </w:rPr>
        <w:t>（</w:t>
      </w:r>
      <w:r w:rsidRPr="00D630D1">
        <w:rPr>
          <w:rFonts w:cs="Times New Roman"/>
        </w:rPr>
        <w:t>A</w:t>
      </w:r>
      <w:r w:rsidRPr="00D630D1">
        <w:rPr>
          <w:rFonts w:cs="Times New Roman"/>
        </w:rPr>
        <w:t>）</w:t>
      </w:r>
    </w:p>
    <w:tbl>
      <w:tblPr>
        <w:tblW w:w="5323" w:type="pct"/>
        <w:jc w:val="center"/>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tblPr>
      <w:tblGrid>
        <w:gridCol w:w="2201"/>
        <w:gridCol w:w="3321"/>
        <w:gridCol w:w="3321"/>
      </w:tblGrid>
      <w:tr w:rsidR="00D1608A" w:rsidRPr="00D630D1" w:rsidTr="00FD3961">
        <w:trPr>
          <w:trHeight w:hRule="exact" w:val="356"/>
          <w:jc w:val="center"/>
        </w:trPr>
        <w:tc>
          <w:tcPr>
            <w:tcW w:w="1244" w:type="pct"/>
            <w:vAlign w:val="center"/>
          </w:tcPr>
          <w:p w:rsidR="005D3A58" w:rsidRPr="00D630D1" w:rsidRDefault="005D3A58" w:rsidP="00AA2CA8">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声环境功能区类别</w:t>
            </w:r>
          </w:p>
        </w:tc>
        <w:tc>
          <w:tcPr>
            <w:tcW w:w="1878" w:type="pct"/>
            <w:vAlign w:val="center"/>
          </w:tcPr>
          <w:p w:rsidR="005D3A58" w:rsidRPr="00D630D1" w:rsidRDefault="005D3A58" w:rsidP="00AA2CA8">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昼间</w:t>
            </w:r>
          </w:p>
        </w:tc>
        <w:tc>
          <w:tcPr>
            <w:tcW w:w="1878" w:type="pct"/>
            <w:vAlign w:val="center"/>
          </w:tcPr>
          <w:p w:rsidR="005D3A58" w:rsidRPr="00D630D1" w:rsidRDefault="005D3A58" w:rsidP="00AA2CA8">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夜间</w:t>
            </w:r>
          </w:p>
        </w:tc>
      </w:tr>
      <w:tr w:rsidR="00D1608A" w:rsidRPr="00D630D1" w:rsidTr="00FD3961">
        <w:trPr>
          <w:trHeight w:hRule="exact" w:val="356"/>
          <w:jc w:val="center"/>
        </w:trPr>
        <w:tc>
          <w:tcPr>
            <w:tcW w:w="1244" w:type="pct"/>
            <w:vAlign w:val="center"/>
          </w:tcPr>
          <w:p w:rsidR="005D3A58" w:rsidRPr="00D630D1" w:rsidRDefault="005D3A58"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2</w:t>
            </w:r>
            <w:r w:rsidRPr="00D630D1">
              <w:rPr>
                <w:rFonts w:ascii="Times New Roman" w:cs="Times New Roman"/>
                <w:kern w:val="2"/>
                <w:sz w:val="21"/>
              </w:rPr>
              <w:t>类</w:t>
            </w:r>
          </w:p>
        </w:tc>
        <w:tc>
          <w:tcPr>
            <w:tcW w:w="1878" w:type="pct"/>
            <w:vAlign w:val="center"/>
          </w:tcPr>
          <w:p w:rsidR="005D3A58" w:rsidRPr="00D630D1" w:rsidRDefault="005D3A58"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60</w:t>
            </w:r>
          </w:p>
        </w:tc>
        <w:tc>
          <w:tcPr>
            <w:tcW w:w="1878" w:type="pct"/>
            <w:vAlign w:val="center"/>
          </w:tcPr>
          <w:p w:rsidR="005D3A58" w:rsidRPr="00D630D1" w:rsidRDefault="005D3A58"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50</w:t>
            </w:r>
          </w:p>
        </w:tc>
      </w:tr>
    </w:tbl>
    <w:p w:rsidR="005D3A58" w:rsidRPr="00D630D1" w:rsidRDefault="005D3A58" w:rsidP="005D3A58">
      <w:pPr>
        <w:pStyle w:val="afa"/>
        <w:ind w:firstLine="482"/>
        <w:rPr>
          <w:b/>
          <w:bCs/>
        </w:rPr>
      </w:pPr>
      <w:r w:rsidRPr="00D630D1">
        <w:rPr>
          <w:b/>
          <w:bCs/>
        </w:rPr>
        <w:t>5</w:t>
      </w:r>
      <w:r w:rsidRPr="00D630D1">
        <w:rPr>
          <w:b/>
          <w:bCs/>
        </w:rPr>
        <w:t>、土壤环境质量标准</w:t>
      </w:r>
    </w:p>
    <w:p w:rsidR="005D3A58" w:rsidRPr="00D630D1" w:rsidRDefault="005D3A58" w:rsidP="005D3A58">
      <w:pPr>
        <w:pStyle w:val="afa"/>
        <w:ind w:firstLine="480"/>
      </w:pPr>
      <w:r w:rsidRPr="00D630D1">
        <w:t>项目</w:t>
      </w:r>
      <w:r w:rsidR="00FD3961" w:rsidRPr="00D630D1">
        <w:rPr>
          <w:rFonts w:hint="eastAsia"/>
        </w:rPr>
        <w:t>周边</w:t>
      </w:r>
      <w:r w:rsidRPr="00D630D1">
        <w:t>区域属于农业用地，土壤环境质量执行《土壤环境质量</w:t>
      </w:r>
      <w:r w:rsidR="002A1C47" w:rsidRPr="00D630D1">
        <w:rPr>
          <w:rFonts w:hint="eastAsia"/>
        </w:rPr>
        <w:t xml:space="preserve"> </w:t>
      </w:r>
      <w:r w:rsidRPr="00D630D1">
        <w:t>农用地土壤污染风险管控标准（试行）》（</w:t>
      </w:r>
      <w:r w:rsidRPr="00D630D1">
        <w:t>GB15618-2018</w:t>
      </w:r>
      <w:r w:rsidRPr="00D630D1">
        <w:t>）中风险筛选值标准</w:t>
      </w:r>
      <w:r w:rsidR="00FD3961" w:rsidRPr="00D630D1">
        <w:rPr>
          <w:rFonts w:hint="eastAsia"/>
        </w:rPr>
        <w:t>；项目涉及的</w:t>
      </w:r>
      <w:r w:rsidR="002C00AE">
        <w:rPr>
          <w:rFonts w:hint="eastAsia"/>
        </w:rPr>
        <w:t>普光</w:t>
      </w:r>
      <w:r w:rsidR="002C00AE">
        <w:rPr>
          <w:rFonts w:hint="eastAsia"/>
        </w:rPr>
        <w:t>12</w:t>
      </w:r>
      <w:r w:rsidR="002C00AE">
        <w:rPr>
          <w:rFonts w:hint="eastAsia"/>
        </w:rPr>
        <w:t>采气站</w:t>
      </w:r>
      <w:r w:rsidR="00FD3961" w:rsidRPr="00D630D1">
        <w:rPr>
          <w:rFonts w:hint="eastAsia"/>
        </w:rPr>
        <w:t>内土壤执行</w:t>
      </w:r>
      <w:r w:rsidR="00FD3961" w:rsidRPr="00D630D1">
        <w:t>《土壤环境质量</w:t>
      </w:r>
      <w:r w:rsidR="00FD3961" w:rsidRPr="00D630D1">
        <w:t xml:space="preserve"> </w:t>
      </w:r>
      <w:r w:rsidR="00FD3961" w:rsidRPr="00D630D1">
        <w:t>建设用地土壤污染风险管控标准（试行）》（</w:t>
      </w:r>
      <w:r w:rsidR="00FD3961" w:rsidRPr="00D630D1">
        <w:t>GB 36600-2018</w:t>
      </w:r>
      <w:r w:rsidR="00FD3961" w:rsidRPr="00D630D1">
        <w:t>）</w:t>
      </w:r>
      <w:r w:rsidR="002A1C47" w:rsidRPr="00D630D1">
        <w:rPr>
          <w:rFonts w:hint="eastAsia"/>
        </w:rPr>
        <w:t>第二类用地</w:t>
      </w:r>
      <w:r w:rsidR="00FD3961" w:rsidRPr="00D630D1">
        <w:t>风险筛选值</w:t>
      </w:r>
      <w:r w:rsidRPr="00D630D1">
        <w:t>。</w:t>
      </w:r>
    </w:p>
    <w:p w:rsidR="002409BF" w:rsidRDefault="002409BF" w:rsidP="005D3A58">
      <w:pPr>
        <w:pStyle w:val="afa"/>
        <w:ind w:firstLine="480"/>
      </w:pPr>
    </w:p>
    <w:p w:rsidR="002C36C4" w:rsidRPr="00D630D1" w:rsidRDefault="002C36C4" w:rsidP="005D3A58">
      <w:pPr>
        <w:pStyle w:val="afa"/>
        <w:ind w:firstLine="480"/>
      </w:pPr>
    </w:p>
    <w:p w:rsidR="00FD3961" w:rsidRPr="00D630D1" w:rsidRDefault="00FD3961" w:rsidP="00FD3961">
      <w:pPr>
        <w:pStyle w:val="10"/>
        <w:rPr>
          <w:rFonts w:cs="Times New Roman"/>
        </w:rPr>
      </w:pPr>
      <w:r w:rsidRPr="00D630D1">
        <w:rPr>
          <w:rFonts w:cs="Times New Roman"/>
        </w:rPr>
        <w:t>表</w:t>
      </w:r>
      <w:r w:rsidRPr="00D630D1">
        <w:rPr>
          <w:rFonts w:cs="Times New Roman"/>
        </w:rPr>
        <w:t xml:space="preserve">1.5-5  </w:t>
      </w:r>
      <w:r w:rsidRPr="00D630D1">
        <w:rPr>
          <w:rFonts w:cs="Times New Roman"/>
        </w:rPr>
        <w:t>农用地土壤污染风险筛选值（基本项目）</w:t>
      </w:r>
      <w:r w:rsidRPr="00D630D1">
        <w:rPr>
          <w:rFonts w:cs="Times New Roman"/>
        </w:rPr>
        <w:t xml:space="preserve">   </w:t>
      </w:r>
      <w:r w:rsidRPr="00D630D1">
        <w:rPr>
          <w:rFonts w:cs="Times New Roman"/>
        </w:rPr>
        <w:t>单位</w:t>
      </w:r>
      <w:r w:rsidRPr="00D630D1">
        <w:rPr>
          <w:rFonts w:cs="Times New Roman"/>
        </w:rPr>
        <w:t>mg/kg</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44"/>
        <w:gridCol w:w="720"/>
        <w:gridCol w:w="1398"/>
        <w:gridCol w:w="1221"/>
        <w:gridCol w:w="1430"/>
        <w:gridCol w:w="1761"/>
        <w:gridCol w:w="1248"/>
      </w:tblGrid>
      <w:tr w:rsidR="00FD3961" w:rsidRPr="00D630D1" w:rsidTr="00053203">
        <w:trPr>
          <w:trHeight w:val="120"/>
          <w:jc w:val="center"/>
        </w:trPr>
        <w:tc>
          <w:tcPr>
            <w:tcW w:w="789" w:type="dxa"/>
            <w:vMerge w:val="restart"/>
            <w:tcBorders>
              <w:top w:val="single" w:sz="1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rPr>
            </w:pPr>
            <w:r w:rsidRPr="00D630D1">
              <w:rPr>
                <w:rFonts w:cs="Times New Roman"/>
              </w:rPr>
              <w:t>序号</w:t>
            </w:r>
          </w:p>
        </w:tc>
        <w:tc>
          <w:tcPr>
            <w:tcW w:w="2265" w:type="dxa"/>
            <w:gridSpan w:val="2"/>
            <w:vMerge w:val="restart"/>
            <w:tcBorders>
              <w:top w:val="single" w:sz="1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rPr>
            </w:pPr>
            <w:r w:rsidRPr="00D630D1">
              <w:rPr>
                <w:rFonts w:cs="Times New Roman"/>
              </w:rPr>
              <w:t>污染物项目</w:t>
            </w:r>
          </w:p>
        </w:tc>
        <w:tc>
          <w:tcPr>
            <w:tcW w:w="6083" w:type="dxa"/>
            <w:gridSpan w:val="4"/>
            <w:tcBorders>
              <w:top w:val="single" w:sz="1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rPr>
            </w:pPr>
            <w:r w:rsidRPr="00D630D1">
              <w:rPr>
                <w:rFonts w:cs="Times New Roman"/>
              </w:rPr>
              <w:t>风险筛选值</w:t>
            </w:r>
          </w:p>
        </w:tc>
      </w:tr>
      <w:tr w:rsidR="00FD3961" w:rsidRPr="00D630D1" w:rsidTr="00053203">
        <w:trPr>
          <w:trHeight w:val="120"/>
          <w:jc w:val="center"/>
        </w:trPr>
        <w:tc>
          <w:tcPr>
            <w:tcW w:w="789" w:type="dxa"/>
            <w:vMerge/>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rPr>
            </w:pPr>
          </w:p>
        </w:tc>
        <w:tc>
          <w:tcPr>
            <w:tcW w:w="2265" w:type="dxa"/>
            <w:gridSpan w:val="2"/>
            <w:vMerge/>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rPr>
            </w:pP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rPr>
            </w:pPr>
            <w:r w:rsidRPr="00D630D1">
              <w:rPr>
                <w:rFonts w:cs="Times New Roman"/>
              </w:rPr>
              <w:t>pH≤5.5</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rPr>
            </w:pPr>
            <w:r w:rsidRPr="00D630D1">
              <w:rPr>
                <w:rFonts w:cs="Times New Roman"/>
              </w:rPr>
              <w:t>5.5</w:t>
            </w:r>
            <w:r w:rsidRPr="00D630D1">
              <w:rPr>
                <w:rFonts w:cs="Times New Roman"/>
              </w:rPr>
              <w:t>＜</w:t>
            </w:r>
            <w:r w:rsidRPr="00D630D1">
              <w:rPr>
                <w:rFonts w:cs="Times New Roman"/>
              </w:rPr>
              <w:t>pH≤6.5</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rPr>
            </w:pPr>
            <w:r w:rsidRPr="00D630D1">
              <w:rPr>
                <w:rFonts w:cs="Times New Roman"/>
              </w:rPr>
              <w:t>6.5</w:t>
            </w:r>
            <w:r w:rsidRPr="00D630D1">
              <w:rPr>
                <w:rFonts w:cs="Times New Roman"/>
              </w:rPr>
              <w:t>＜</w:t>
            </w:r>
            <w:r w:rsidRPr="00D630D1">
              <w:rPr>
                <w:rFonts w:cs="Times New Roman"/>
              </w:rPr>
              <w:t>pH≤7.5</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rPr>
            </w:pPr>
            <w:r w:rsidRPr="00D630D1">
              <w:rPr>
                <w:rFonts w:cs="Times New Roman"/>
              </w:rPr>
              <w:t>pH</w:t>
            </w:r>
            <w:r w:rsidRPr="00D630D1">
              <w:rPr>
                <w:rFonts w:cs="Times New Roman"/>
              </w:rPr>
              <w:t>＞</w:t>
            </w:r>
            <w:r w:rsidRPr="00D630D1">
              <w:rPr>
                <w:rFonts w:cs="Times New Roman"/>
              </w:rPr>
              <w:t>7.5</w:t>
            </w:r>
          </w:p>
        </w:tc>
      </w:tr>
      <w:tr w:rsidR="00FD3961" w:rsidRPr="00D630D1" w:rsidTr="00053203">
        <w:trPr>
          <w:trHeight w:val="270"/>
          <w:jc w:val="center"/>
        </w:trPr>
        <w:tc>
          <w:tcPr>
            <w:tcW w:w="789" w:type="dxa"/>
            <w:vMerge w:val="restart"/>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w:t>
            </w:r>
          </w:p>
        </w:tc>
        <w:tc>
          <w:tcPr>
            <w:tcW w:w="763" w:type="dxa"/>
            <w:vMerge w:val="restart"/>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镉</w:t>
            </w:r>
          </w:p>
        </w:tc>
        <w:tc>
          <w:tcPr>
            <w:tcW w:w="1502"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水田</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0.3</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0.4</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0.6</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0.8</w:t>
            </w:r>
          </w:p>
        </w:tc>
      </w:tr>
      <w:tr w:rsidR="00FD3961" w:rsidRPr="00D630D1" w:rsidTr="00053203">
        <w:trPr>
          <w:trHeight w:val="285"/>
          <w:jc w:val="center"/>
        </w:trPr>
        <w:tc>
          <w:tcPr>
            <w:tcW w:w="789" w:type="dxa"/>
            <w:vMerge/>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p>
        </w:tc>
        <w:tc>
          <w:tcPr>
            <w:tcW w:w="763" w:type="dxa"/>
            <w:vMerge/>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p>
        </w:tc>
        <w:tc>
          <w:tcPr>
            <w:tcW w:w="1502"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其他</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0.3</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0.3</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0.3</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0.6</w:t>
            </w:r>
          </w:p>
        </w:tc>
      </w:tr>
      <w:tr w:rsidR="00FD3961" w:rsidRPr="00D630D1" w:rsidTr="00053203">
        <w:trPr>
          <w:trHeight w:val="285"/>
          <w:jc w:val="center"/>
        </w:trPr>
        <w:tc>
          <w:tcPr>
            <w:tcW w:w="789" w:type="dxa"/>
            <w:vMerge w:val="restart"/>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w:t>
            </w:r>
          </w:p>
        </w:tc>
        <w:tc>
          <w:tcPr>
            <w:tcW w:w="763" w:type="dxa"/>
            <w:vMerge w:val="restart"/>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汞</w:t>
            </w:r>
          </w:p>
        </w:tc>
        <w:tc>
          <w:tcPr>
            <w:tcW w:w="1502"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水田</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0.5</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0.5</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0.6</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1.0</w:t>
            </w:r>
          </w:p>
        </w:tc>
      </w:tr>
      <w:tr w:rsidR="00FD3961" w:rsidRPr="00D630D1" w:rsidTr="00053203">
        <w:trPr>
          <w:trHeight w:val="270"/>
          <w:jc w:val="center"/>
        </w:trPr>
        <w:tc>
          <w:tcPr>
            <w:tcW w:w="789" w:type="dxa"/>
            <w:vMerge/>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p>
        </w:tc>
        <w:tc>
          <w:tcPr>
            <w:tcW w:w="763" w:type="dxa"/>
            <w:vMerge/>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p>
        </w:tc>
        <w:tc>
          <w:tcPr>
            <w:tcW w:w="1502"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其他</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1.3</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1.8</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2.4</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3.4</w:t>
            </w:r>
          </w:p>
        </w:tc>
      </w:tr>
      <w:tr w:rsidR="00FD3961" w:rsidRPr="00D630D1" w:rsidTr="00053203">
        <w:trPr>
          <w:trHeight w:val="285"/>
          <w:jc w:val="center"/>
        </w:trPr>
        <w:tc>
          <w:tcPr>
            <w:tcW w:w="789" w:type="dxa"/>
            <w:vMerge w:val="restart"/>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3</w:t>
            </w:r>
          </w:p>
        </w:tc>
        <w:tc>
          <w:tcPr>
            <w:tcW w:w="763" w:type="dxa"/>
            <w:vMerge w:val="restart"/>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砷</w:t>
            </w:r>
          </w:p>
        </w:tc>
        <w:tc>
          <w:tcPr>
            <w:tcW w:w="1502"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水田</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30</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30</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25</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20</w:t>
            </w:r>
          </w:p>
        </w:tc>
      </w:tr>
      <w:tr w:rsidR="00FD3961" w:rsidRPr="00D630D1" w:rsidTr="00053203">
        <w:trPr>
          <w:trHeight w:val="270"/>
          <w:jc w:val="center"/>
        </w:trPr>
        <w:tc>
          <w:tcPr>
            <w:tcW w:w="789" w:type="dxa"/>
            <w:vMerge/>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p>
        </w:tc>
        <w:tc>
          <w:tcPr>
            <w:tcW w:w="763" w:type="dxa"/>
            <w:vMerge/>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p>
        </w:tc>
        <w:tc>
          <w:tcPr>
            <w:tcW w:w="1502"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其他</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40</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40</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30</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25</w:t>
            </w:r>
          </w:p>
        </w:tc>
      </w:tr>
      <w:tr w:rsidR="00FD3961" w:rsidRPr="00D630D1" w:rsidTr="00053203">
        <w:trPr>
          <w:trHeight w:val="285"/>
          <w:jc w:val="center"/>
        </w:trPr>
        <w:tc>
          <w:tcPr>
            <w:tcW w:w="789" w:type="dxa"/>
            <w:vMerge w:val="restart"/>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4</w:t>
            </w:r>
          </w:p>
        </w:tc>
        <w:tc>
          <w:tcPr>
            <w:tcW w:w="763" w:type="dxa"/>
            <w:vMerge w:val="restart"/>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铅</w:t>
            </w:r>
          </w:p>
        </w:tc>
        <w:tc>
          <w:tcPr>
            <w:tcW w:w="1502"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水田</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80</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100</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140</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240</w:t>
            </w:r>
          </w:p>
        </w:tc>
      </w:tr>
      <w:tr w:rsidR="00FD3961" w:rsidRPr="00D630D1" w:rsidTr="00053203">
        <w:trPr>
          <w:trHeight w:val="285"/>
          <w:jc w:val="center"/>
        </w:trPr>
        <w:tc>
          <w:tcPr>
            <w:tcW w:w="789" w:type="dxa"/>
            <w:vMerge/>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p>
        </w:tc>
        <w:tc>
          <w:tcPr>
            <w:tcW w:w="763" w:type="dxa"/>
            <w:vMerge/>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p>
        </w:tc>
        <w:tc>
          <w:tcPr>
            <w:tcW w:w="1502"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其他</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70</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90</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120</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170</w:t>
            </w:r>
          </w:p>
        </w:tc>
      </w:tr>
      <w:tr w:rsidR="00FD3961" w:rsidRPr="00D630D1" w:rsidTr="00053203">
        <w:trPr>
          <w:trHeight w:val="285"/>
          <w:jc w:val="center"/>
        </w:trPr>
        <w:tc>
          <w:tcPr>
            <w:tcW w:w="789" w:type="dxa"/>
            <w:vMerge w:val="restart"/>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5</w:t>
            </w:r>
          </w:p>
        </w:tc>
        <w:tc>
          <w:tcPr>
            <w:tcW w:w="763" w:type="dxa"/>
            <w:vMerge w:val="restart"/>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铬</w:t>
            </w:r>
          </w:p>
        </w:tc>
        <w:tc>
          <w:tcPr>
            <w:tcW w:w="1502"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水田</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250</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250</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300</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350</w:t>
            </w:r>
          </w:p>
        </w:tc>
      </w:tr>
      <w:tr w:rsidR="00FD3961" w:rsidRPr="00D630D1" w:rsidTr="00053203">
        <w:trPr>
          <w:trHeight w:val="270"/>
          <w:jc w:val="center"/>
        </w:trPr>
        <w:tc>
          <w:tcPr>
            <w:tcW w:w="789" w:type="dxa"/>
            <w:vMerge/>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p>
        </w:tc>
        <w:tc>
          <w:tcPr>
            <w:tcW w:w="763" w:type="dxa"/>
            <w:vMerge/>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p>
        </w:tc>
        <w:tc>
          <w:tcPr>
            <w:tcW w:w="1502"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其他</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150</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150</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200</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250</w:t>
            </w:r>
          </w:p>
        </w:tc>
      </w:tr>
      <w:tr w:rsidR="00FD3961" w:rsidRPr="00D630D1" w:rsidTr="00053203">
        <w:trPr>
          <w:trHeight w:val="285"/>
          <w:jc w:val="center"/>
        </w:trPr>
        <w:tc>
          <w:tcPr>
            <w:tcW w:w="789" w:type="dxa"/>
            <w:vMerge w:val="restart"/>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6</w:t>
            </w:r>
          </w:p>
        </w:tc>
        <w:tc>
          <w:tcPr>
            <w:tcW w:w="763" w:type="dxa"/>
            <w:vMerge w:val="restart"/>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铜</w:t>
            </w:r>
          </w:p>
        </w:tc>
        <w:tc>
          <w:tcPr>
            <w:tcW w:w="1502"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果园</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150</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150</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200</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200</w:t>
            </w:r>
          </w:p>
        </w:tc>
      </w:tr>
      <w:tr w:rsidR="00FD3961" w:rsidRPr="00D630D1" w:rsidTr="00053203">
        <w:trPr>
          <w:trHeight w:val="153"/>
          <w:jc w:val="center"/>
        </w:trPr>
        <w:tc>
          <w:tcPr>
            <w:tcW w:w="789" w:type="dxa"/>
            <w:vMerge/>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p>
        </w:tc>
        <w:tc>
          <w:tcPr>
            <w:tcW w:w="763" w:type="dxa"/>
            <w:vMerge/>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p>
        </w:tc>
        <w:tc>
          <w:tcPr>
            <w:tcW w:w="1502"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其他</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50</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50</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100</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100</w:t>
            </w:r>
          </w:p>
        </w:tc>
      </w:tr>
      <w:tr w:rsidR="00FD3961" w:rsidRPr="00D630D1" w:rsidTr="00053203">
        <w:trPr>
          <w:trHeight w:val="136"/>
          <w:jc w:val="center"/>
        </w:trPr>
        <w:tc>
          <w:tcPr>
            <w:tcW w:w="789" w:type="dxa"/>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7</w:t>
            </w:r>
          </w:p>
        </w:tc>
        <w:tc>
          <w:tcPr>
            <w:tcW w:w="2265" w:type="dxa"/>
            <w:gridSpan w:val="2"/>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镍</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60</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70</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100</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190</w:t>
            </w:r>
          </w:p>
        </w:tc>
      </w:tr>
      <w:tr w:rsidR="00FD3961" w:rsidRPr="00D630D1" w:rsidTr="00053203">
        <w:trPr>
          <w:trHeight w:val="285"/>
          <w:jc w:val="center"/>
        </w:trPr>
        <w:tc>
          <w:tcPr>
            <w:tcW w:w="789" w:type="dxa"/>
            <w:tcBorders>
              <w:top w:val="single" w:sz="2" w:space="0" w:color="000000"/>
              <w:left w:val="nil"/>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8</w:t>
            </w:r>
          </w:p>
        </w:tc>
        <w:tc>
          <w:tcPr>
            <w:tcW w:w="2265" w:type="dxa"/>
            <w:gridSpan w:val="2"/>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锌</w:t>
            </w:r>
          </w:p>
        </w:tc>
        <w:tc>
          <w:tcPr>
            <w:tcW w:w="1309"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200</w:t>
            </w:r>
          </w:p>
        </w:tc>
        <w:tc>
          <w:tcPr>
            <w:tcW w:w="1537"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200</w:t>
            </w:r>
          </w:p>
        </w:tc>
        <w:tc>
          <w:tcPr>
            <w:tcW w:w="1898" w:type="dxa"/>
            <w:tcBorders>
              <w:top w:val="single" w:sz="2" w:space="0" w:color="000000"/>
              <w:left w:val="single" w:sz="2" w:space="0" w:color="000000"/>
              <w:bottom w:val="single" w:sz="2" w:space="0" w:color="000000"/>
              <w:right w:val="single" w:sz="2" w:space="0" w:color="000000"/>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250</w:t>
            </w:r>
          </w:p>
        </w:tc>
        <w:tc>
          <w:tcPr>
            <w:tcW w:w="1339" w:type="dxa"/>
            <w:tcBorders>
              <w:top w:val="single" w:sz="2" w:space="0" w:color="000000"/>
              <w:left w:val="single" w:sz="2" w:space="0" w:color="000000"/>
              <w:bottom w:val="single" w:sz="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300</w:t>
            </w:r>
          </w:p>
        </w:tc>
      </w:tr>
      <w:tr w:rsidR="00FD3961" w:rsidRPr="00D630D1" w:rsidTr="00053203">
        <w:trPr>
          <w:trHeight w:val="285"/>
          <w:jc w:val="center"/>
        </w:trPr>
        <w:tc>
          <w:tcPr>
            <w:tcW w:w="9137" w:type="dxa"/>
            <w:gridSpan w:val="7"/>
            <w:tcBorders>
              <w:top w:val="single" w:sz="2" w:space="0" w:color="000000"/>
              <w:left w:val="nil"/>
              <w:bottom w:val="single" w:sz="12" w:space="0" w:color="000000"/>
              <w:right w:val="nil"/>
            </w:tcBorders>
            <w:vAlign w:val="center"/>
          </w:tcPr>
          <w:p w:rsidR="00FD3961" w:rsidRPr="00D630D1" w:rsidRDefault="00FD3961" w:rsidP="00D53D7C">
            <w:pPr>
              <w:pStyle w:val="10"/>
              <w:spacing w:line="240" w:lineRule="auto"/>
              <w:rPr>
                <w:rFonts w:cs="Times New Roman"/>
                <w:b w:val="0"/>
                <w:bCs/>
              </w:rPr>
            </w:pPr>
            <w:r w:rsidRPr="00D630D1">
              <w:rPr>
                <w:rFonts w:cs="Times New Roman"/>
                <w:b w:val="0"/>
                <w:bCs/>
              </w:rPr>
              <w:t>注：重金属和类金属砷均按元素总量计。对于水旱轮作地，采用较严格的风险筛选值。</w:t>
            </w:r>
          </w:p>
        </w:tc>
      </w:tr>
    </w:tbl>
    <w:p w:rsidR="00FD3961" w:rsidRPr="00D630D1" w:rsidRDefault="00FD3961" w:rsidP="00FD3961">
      <w:pPr>
        <w:pStyle w:val="afa"/>
        <w:ind w:firstLine="422"/>
        <w:rPr>
          <w:b/>
          <w:sz w:val="21"/>
          <w:szCs w:val="21"/>
        </w:rPr>
      </w:pPr>
      <w:r w:rsidRPr="00D630D1">
        <w:rPr>
          <w:b/>
          <w:sz w:val="21"/>
          <w:szCs w:val="21"/>
        </w:rPr>
        <w:t>表</w:t>
      </w:r>
      <w:r w:rsidRPr="00D630D1">
        <w:rPr>
          <w:b/>
          <w:sz w:val="21"/>
          <w:szCs w:val="21"/>
        </w:rPr>
        <w:t>1.5-</w:t>
      </w:r>
      <w:r w:rsidRPr="00D630D1">
        <w:rPr>
          <w:rFonts w:hint="eastAsia"/>
          <w:b/>
          <w:sz w:val="21"/>
          <w:szCs w:val="21"/>
        </w:rPr>
        <w:t xml:space="preserve">6  </w:t>
      </w:r>
      <w:r w:rsidR="002C36C4">
        <w:rPr>
          <w:rFonts w:hint="eastAsia"/>
          <w:b/>
          <w:sz w:val="21"/>
          <w:szCs w:val="21"/>
        </w:rPr>
        <w:t>土壤环境质量</w:t>
      </w:r>
      <w:r w:rsidRPr="00D630D1">
        <w:rPr>
          <w:rFonts w:hint="eastAsia"/>
          <w:b/>
          <w:sz w:val="21"/>
          <w:szCs w:val="21"/>
        </w:rPr>
        <w:t xml:space="preserve"> </w:t>
      </w:r>
      <w:r w:rsidRPr="00D630D1">
        <w:rPr>
          <w:rFonts w:hint="eastAsia"/>
          <w:b/>
          <w:sz w:val="21"/>
          <w:szCs w:val="21"/>
        </w:rPr>
        <w:t>建设用地土壤污染风险管控标准（试行）</w:t>
      </w:r>
      <w:r w:rsidRPr="00D630D1">
        <w:rPr>
          <w:rFonts w:hint="eastAsia"/>
          <w:b/>
          <w:sz w:val="21"/>
          <w:szCs w:val="21"/>
        </w:rPr>
        <w:t xml:space="preserve"> </w:t>
      </w:r>
      <w:r w:rsidRPr="00D630D1">
        <w:rPr>
          <w:rFonts w:hint="eastAsia"/>
          <w:b/>
          <w:sz w:val="21"/>
          <w:szCs w:val="21"/>
        </w:rPr>
        <w:t>单位：</w:t>
      </w:r>
      <w:r w:rsidRPr="00D630D1">
        <w:rPr>
          <w:rFonts w:hint="eastAsia"/>
          <w:b/>
          <w:sz w:val="21"/>
          <w:szCs w:val="21"/>
        </w:rPr>
        <w:t>mg/kg</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899"/>
        <w:gridCol w:w="2489"/>
        <w:gridCol w:w="2489"/>
        <w:gridCol w:w="2645"/>
      </w:tblGrid>
      <w:tr w:rsidR="00FD3961" w:rsidRPr="00D630D1" w:rsidTr="00FD3961">
        <w:trPr>
          <w:cantSplit/>
          <w:trHeight w:val="20"/>
          <w:jc w:val="center"/>
        </w:trPr>
        <w:tc>
          <w:tcPr>
            <w:tcW w:w="959" w:type="dxa"/>
            <w:vMerge w:val="restart"/>
            <w:vAlign w:val="center"/>
          </w:tcPr>
          <w:p w:rsidR="00FD3961" w:rsidRPr="00D630D1" w:rsidRDefault="00FD3961" w:rsidP="00FD3961">
            <w:pPr>
              <w:pStyle w:val="af7"/>
              <w:rPr>
                <w:b/>
                <w:sz w:val="21"/>
                <w:szCs w:val="21"/>
              </w:rPr>
            </w:pPr>
            <w:r w:rsidRPr="00D630D1">
              <w:rPr>
                <w:b/>
                <w:sz w:val="21"/>
                <w:szCs w:val="21"/>
              </w:rPr>
              <w:t>序号</w:t>
            </w:r>
          </w:p>
        </w:tc>
        <w:tc>
          <w:tcPr>
            <w:tcW w:w="2693" w:type="dxa"/>
            <w:vMerge w:val="restart"/>
            <w:vAlign w:val="center"/>
          </w:tcPr>
          <w:p w:rsidR="00FD3961" w:rsidRPr="00D630D1" w:rsidRDefault="00FD3961" w:rsidP="00D53D7C">
            <w:pPr>
              <w:pStyle w:val="af7"/>
              <w:rPr>
                <w:b/>
                <w:sz w:val="21"/>
                <w:szCs w:val="21"/>
              </w:rPr>
            </w:pPr>
            <w:r w:rsidRPr="00D630D1">
              <w:rPr>
                <w:b/>
                <w:sz w:val="21"/>
                <w:szCs w:val="21"/>
              </w:rPr>
              <w:t>污染物项目</w:t>
            </w:r>
          </w:p>
        </w:tc>
        <w:tc>
          <w:tcPr>
            <w:tcW w:w="2693" w:type="dxa"/>
            <w:vAlign w:val="center"/>
          </w:tcPr>
          <w:p w:rsidR="00FD3961" w:rsidRPr="00D630D1" w:rsidRDefault="00FD3961" w:rsidP="00D53D7C">
            <w:pPr>
              <w:pStyle w:val="af7"/>
              <w:rPr>
                <w:b/>
                <w:sz w:val="21"/>
                <w:szCs w:val="21"/>
              </w:rPr>
            </w:pPr>
            <w:r w:rsidRPr="00D630D1">
              <w:rPr>
                <w:b/>
                <w:sz w:val="21"/>
                <w:szCs w:val="21"/>
              </w:rPr>
              <w:t>筛选值</w:t>
            </w:r>
          </w:p>
        </w:tc>
        <w:tc>
          <w:tcPr>
            <w:tcW w:w="2863" w:type="dxa"/>
            <w:vAlign w:val="center"/>
          </w:tcPr>
          <w:p w:rsidR="00FD3961" w:rsidRPr="00D630D1" w:rsidRDefault="00FD3961" w:rsidP="00D53D7C">
            <w:pPr>
              <w:pStyle w:val="af7"/>
              <w:rPr>
                <w:b/>
                <w:sz w:val="21"/>
                <w:szCs w:val="21"/>
              </w:rPr>
            </w:pPr>
            <w:r w:rsidRPr="00D630D1">
              <w:rPr>
                <w:b/>
                <w:sz w:val="21"/>
                <w:szCs w:val="21"/>
              </w:rPr>
              <w:t>管制值</w:t>
            </w:r>
          </w:p>
        </w:tc>
      </w:tr>
      <w:tr w:rsidR="00FD3961" w:rsidRPr="00D630D1" w:rsidTr="00FD3961">
        <w:trPr>
          <w:cantSplit/>
          <w:trHeight w:val="20"/>
          <w:jc w:val="center"/>
        </w:trPr>
        <w:tc>
          <w:tcPr>
            <w:tcW w:w="959" w:type="dxa"/>
            <w:vMerge/>
            <w:vAlign w:val="center"/>
          </w:tcPr>
          <w:p w:rsidR="00FD3961" w:rsidRPr="00D630D1" w:rsidRDefault="00FD3961" w:rsidP="00D53D7C">
            <w:pPr>
              <w:pStyle w:val="af7"/>
              <w:rPr>
                <w:b/>
                <w:sz w:val="21"/>
                <w:szCs w:val="21"/>
              </w:rPr>
            </w:pPr>
          </w:p>
        </w:tc>
        <w:tc>
          <w:tcPr>
            <w:tcW w:w="2693" w:type="dxa"/>
            <w:vMerge/>
            <w:vAlign w:val="center"/>
          </w:tcPr>
          <w:p w:rsidR="00FD3961" w:rsidRPr="00D630D1" w:rsidRDefault="00FD3961" w:rsidP="00D53D7C">
            <w:pPr>
              <w:pStyle w:val="af7"/>
              <w:rPr>
                <w:b/>
                <w:sz w:val="21"/>
                <w:szCs w:val="21"/>
              </w:rPr>
            </w:pPr>
          </w:p>
        </w:tc>
        <w:tc>
          <w:tcPr>
            <w:tcW w:w="2693" w:type="dxa"/>
            <w:vAlign w:val="center"/>
          </w:tcPr>
          <w:p w:rsidR="00FD3961" w:rsidRPr="00D630D1" w:rsidRDefault="00FD3961" w:rsidP="00D53D7C">
            <w:pPr>
              <w:pStyle w:val="af7"/>
              <w:rPr>
                <w:b/>
                <w:sz w:val="21"/>
                <w:szCs w:val="21"/>
              </w:rPr>
            </w:pPr>
            <w:r w:rsidRPr="00D630D1">
              <w:rPr>
                <w:b/>
                <w:sz w:val="21"/>
                <w:szCs w:val="21"/>
              </w:rPr>
              <w:t>第二类用地</w:t>
            </w:r>
          </w:p>
        </w:tc>
        <w:tc>
          <w:tcPr>
            <w:tcW w:w="2863" w:type="dxa"/>
            <w:vAlign w:val="center"/>
          </w:tcPr>
          <w:p w:rsidR="00FD3961" w:rsidRPr="00D630D1" w:rsidRDefault="00FD3961" w:rsidP="00D53D7C">
            <w:pPr>
              <w:pStyle w:val="af7"/>
              <w:rPr>
                <w:b/>
                <w:sz w:val="21"/>
                <w:szCs w:val="21"/>
              </w:rPr>
            </w:pPr>
            <w:r w:rsidRPr="00D630D1">
              <w:rPr>
                <w:b/>
                <w:sz w:val="21"/>
                <w:szCs w:val="21"/>
              </w:rPr>
              <w:t>第二类用地</w:t>
            </w:r>
          </w:p>
        </w:tc>
      </w:tr>
      <w:tr w:rsidR="00FD3961" w:rsidRPr="00D630D1" w:rsidTr="00FD3961">
        <w:trPr>
          <w:cantSplit/>
          <w:trHeight w:val="20"/>
          <w:jc w:val="center"/>
        </w:trPr>
        <w:tc>
          <w:tcPr>
            <w:tcW w:w="9208" w:type="dxa"/>
            <w:gridSpan w:val="4"/>
            <w:vAlign w:val="center"/>
          </w:tcPr>
          <w:p w:rsidR="00FD3961" w:rsidRPr="00D630D1" w:rsidRDefault="00FD3961" w:rsidP="00D53D7C">
            <w:pPr>
              <w:pStyle w:val="af7"/>
              <w:jc w:val="both"/>
              <w:rPr>
                <w:sz w:val="21"/>
                <w:szCs w:val="21"/>
              </w:rPr>
            </w:pPr>
            <w:r w:rsidRPr="00D630D1">
              <w:rPr>
                <w:sz w:val="21"/>
                <w:szCs w:val="21"/>
              </w:rPr>
              <w:t>重金属和无机物</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1</w:t>
            </w:r>
          </w:p>
        </w:tc>
        <w:tc>
          <w:tcPr>
            <w:tcW w:w="2693" w:type="dxa"/>
            <w:vAlign w:val="center"/>
          </w:tcPr>
          <w:p w:rsidR="00FD3961" w:rsidRPr="00D630D1" w:rsidRDefault="00FD3961" w:rsidP="00D53D7C">
            <w:pPr>
              <w:pStyle w:val="af7"/>
              <w:rPr>
                <w:sz w:val="21"/>
                <w:szCs w:val="21"/>
              </w:rPr>
            </w:pPr>
            <w:r w:rsidRPr="00D630D1">
              <w:rPr>
                <w:sz w:val="21"/>
                <w:szCs w:val="21"/>
              </w:rPr>
              <w:t>砷</w:t>
            </w:r>
          </w:p>
        </w:tc>
        <w:tc>
          <w:tcPr>
            <w:tcW w:w="2693" w:type="dxa"/>
            <w:vAlign w:val="center"/>
          </w:tcPr>
          <w:p w:rsidR="00FD3961" w:rsidRPr="00D630D1" w:rsidRDefault="00FD3961" w:rsidP="00D53D7C">
            <w:pPr>
              <w:pStyle w:val="af7"/>
              <w:rPr>
                <w:sz w:val="21"/>
                <w:szCs w:val="21"/>
              </w:rPr>
            </w:pPr>
            <w:r w:rsidRPr="00D630D1">
              <w:rPr>
                <w:sz w:val="21"/>
                <w:szCs w:val="21"/>
              </w:rPr>
              <w:t>60</w:t>
            </w:r>
          </w:p>
        </w:tc>
        <w:tc>
          <w:tcPr>
            <w:tcW w:w="2863" w:type="dxa"/>
            <w:vAlign w:val="center"/>
          </w:tcPr>
          <w:p w:rsidR="00FD3961" w:rsidRPr="00D630D1" w:rsidRDefault="00FD3961" w:rsidP="00D53D7C">
            <w:pPr>
              <w:pStyle w:val="af7"/>
              <w:rPr>
                <w:sz w:val="21"/>
                <w:szCs w:val="21"/>
              </w:rPr>
            </w:pPr>
            <w:r w:rsidRPr="00D630D1">
              <w:rPr>
                <w:sz w:val="21"/>
                <w:szCs w:val="21"/>
              </w:rPr>
              <w:t>140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2</w:t>
            </w:r>
          </w:p>
        </w:tc>
        <w:tc>
          <w:tcPr>
            <w:tcW w:w="2693" w:type="dxa"/>
            <w:vAlign w:val="center"/>
          </w:tcPr>
          <w:p w:rsidR="00FD3961" w:rsidRPr="00D630D1" w:rsidRDefault="00FD3961" w:rsidP="00D53D7C">
            <w:pPr>
              <w:pStyle w:val="af7"/>
              <w:rPr>
                <w:sz w:val="21"/>
                <w:szCs w:val="21"/>
              </w:rPr>
            </w:pPr>
            <w:r w:rsidRPr="00D630D1">
              <w:rPr>
                <w:sz w:val="21"/>
                <w:szCs w:val="21"/>
              </w:rPr>
              <w:t>镉</w:t>
            </w:r>
          </w:p>
        </w:tc>
        <w:tc>
          <w:tcPr>
            <w:tcW w:w="2693" w:type="dxa"/>
            <w:vAlign w:val="center"/>
          </w:tcPr>
          <w:p w:rsidR="00FD3961" w:rsidRPr="00D630D1" w:rsidRDefault="00FD3961" w:rsidP="00D53D7C">
            <w:pPr>
              <w:pStyle w:val="af7"/>
              <w:rPr>
                <w:sz w:val="21"/>
                <w:szCs w:val="21"/>
              </w:rPr>
            </w:pPr>
            <w:r w:rsidRPr="00D630D1">
              <w:rPr>
                <w:sz w:val="21"/>
                <w:szCs w:val="21"/>
              </w:rPr>
              <w:t>65</w:t>
            </w:r>
          </w:p>
        </w:tc>
        <w:tc>
          <w:tcPr>
            <w:tcW w:w="2863" w:type="dxa"/>
            <w:vAlign w:val="center"/>
          </w:tcPr>
          <w:p w:rsidR="00FD3961" w:rsidRPr="00D630D1" w:rsidRDefault="00FD3961" w:rsidP="00D53D7C">
            <w:pPr>
              <w:pStyle w:val="af7"/>
              <w:rPr>
                <w:sz w:val="21"/>
                <w:szCs w:val="21"/>
              </w:rPr>
            </w:pPr>
            <w:r w:rsidRPr="00D630D1">
              <w:rPr>
                <w:sz w:val="21"/>
                <w:szCs w:val="21"/>
              </w:rPr>
              <w:t>172</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3</w:t>
            </w:r>
          </w:p>
        </w:tc>
        <w:tc>
          <w:tcPr>
            <w:tcW w:w="2693" w:type="dxa"/>
            <w:vAlign w:val="center"/>
          </w:tcPr>
          <w:p w:rsidR="00FD3961" w:rsidRPr="00D630D1" w:rsidRDefault="00FD3961" w:rsidP="00D53D7C">
            <w:pPr>
              <w:pStyle w:val="af7"/>
              <w:rPr>
                <w:sz w:val="21"/>
                <w:szCs w:val="21"/>
              </w:rPr>
            </w:pPr>
            <w:r w:rsidRPr="00D630D1">
              <w:rPr>
                <w:sz w:val="21"/>
                <w:szCs w:val="21"/>
              </w:rPr>
              <w:t>铬（六价）</w:t>
            </w:r>
          </w:p>
        </w:tc>
        <w:tc>
          <w:tcPr>
            <w:tcW w:w="2693" w:type="dxa"/>
            <w:vAlign w:val="center"/>
          </w:tcPr>
          <w:p w:rsidR="00FD3961" w:rsidRPr="00D630D1" w:rsidRDefault="00FD3961" w:rsidP="00D53D7C">
            <w:pPr>
              <w:pStyle w:val="af7"/>
              <w:rPr>
                <w:sz w:val="21"/>
                <w:szCs w:val="21"/>
              </w:rPr>
            </w:pPr>
            <w:r w:rsidRPr="00D630D1">
              <w:rPr>
                <w:sz w:val="21"/>
                <w:szCs w:val="21"/>
              </w:rPr>
              <w:t>5.7</w:t>
            </w:r>
          </w:p>
        </w:tc>
        <w:tc>
          <w:tcPr>
            <w:tcW w:w="2863" w:type="dxa"/>
            <w:vAlign w:val="center"/>
          </w:tcPr>
          <w:p w:rsidR="00FD3961" w:rsidRPr="00D630D1" w:rsidRDefault="00FD3961" w:rsidP="00D53D7C">
            <w:pPr>
              <w:pStyle w:val="af7"/>
              <w:rPr>
                <w:sz w:val="21"/>
                <w:szCs w:val="21"/>
              </w:rPr>
            </w:pPr>
            <w:r w:rsidRPr="00D630D1">
              <w:rPr>
                <w:sz w:val="21"/>
                <w:szCs w:val="21"/>
              </w:rPr>
              <w:t>78</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4</w:t>
            </w:r>
          </w:p>
        </w:tc>
        <w:tc>
          <w:tcPr>
            <w:tcW w:w="2693" w:type="dxa"/>
            <w:vAlign w:val="center"/>
          </w:tcPr>
          <w:p w:rsidR="00FD3961" w:rsidRPr="00D630D1" w:rsidRDefault="00FD3961" w:rsidP="00D53D7C">
            <w:pPr>
              <w:pStyle w:val="af7"/>
              <w:rPr>
                <w:sz w:val="21"/>
                <w:szCs w:val="21"/>
              </w:rPr>
            </w:pPr>
            <w:r w:rsidRPr="00D630D1">
              <w:rPr>
                <w:sz w:val="21"/>
                <w:szCs w:val="21"/>
              </w:rPr>
              <w:t>铜</w:t>
            </w:r>
          </w:p>
        </w:tc>
        <w:tc>
          <w:tcPr>
            <w:tcW w:w="2693" w:type="dxa"/>
            <w:vAlign w:val="center"/>
          </w:tcPr>
          <w:p w:rsidR="00FD3961" w:rsidRPr="00D630D1" w:rsidRDefault="00FD3961" w:rsidP="00D53D7C">
            <w:pPr>
              <w:pStyle w:val="af7"/>
              <w:rPr>
                <w:sz w:val="21"/>
                <w:szCs w:val="21"/>
              </w:rPr>
            </w:pPr>
            <w:r w:rsidRPr="00D630D1">
              <w:rPr>
                <w:sz w:val="21"/>
                <w:szCs w:val="21"/>
              </w:rPr>
              <w:t>18000</w:t>
            </w:r>
          </w:p>
        </w:tc>
        <w:tc>
          <w:tcPr>
            <w:tcW w:w="2863" w:type="dxa"/>
            <w:vAlign w:val="center"/>
          </w:tcPr>
          <w:p w:rsidR="00FD3961" w:rsidRPr="00D630D1" w:rsidRDefault="00FD3961" w:rsidP="00D53D7C">
            <w:pPr>
              <w:pStyle w:val="af7"/>
              <w:rPr>
                <w:sz w:val="21"/>
                <w:szCs w:val="21"/>
              </w:rPr>
            </w:pPr>
            <w:r w:rsidRPr="00D630D1">
              <w:rPr>
                <w:sz w:val="21"/>
                <w:szCs w:val="21"/>
              </w:rPr>
              <w:t>36000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5</w:t>
            </w:r>
          </w:p>
        </w:tc>
        <w:tc>
          <w:tcPr>
            <w:tcW w:w="2693" w:type="dxa"/>
            <w:vAlign w:val="center"/>
          </w:tcPr>
          <w:p w:rsidR="00FD3961" w:rsidRPr="00D630D1" w:rsidRDefault="00FD3961" w:rsidP="00D53D7C">
            <w:pPr>
              <w:pStyle w:val="af7"/>
              <w:rPr>
                <w:sz w:val="21"/>
                <w:szCs w:val="21"/>
              </w:rPr>
            </w:pPr>
            <w:r w:rsidRPr="00D630D1">
              <w:rPr>
                <w:sz w:val="21"/>
                <w:szCs w:val="21"/>
              </w:rPr>
              <w:t>铅</w:t>
            </w:r>
          </w:p>
        </w:tc>
        <w:tc>
          <w:tcPr>
            <w:tcW w:w="2693" w:type="dxa"/>
            <w:vAlign w:val="center"/>
          </w:tcPr>
          <w:p w:rsidR="00FD3961" w:rsidRPr="00D630D1" w:rsidRDefault="00FD3961" w:rsidP="00D53D7C">
            <w:pPr>
              <w:pStyle w:val="af7"/>
              <w:rPr>
                <w:sz w:val="21"/>
                <w:szCs w:val="21"/>
              </w:rPr>
            </w:pPr>
            <w:r w:rsidRPr="00D630D1">
              <w:rPr>
                <w:sz w:val="21"/>
                <w:szCs w:val="21"/>
              </w:rPr>
              <w:t>800</w:t>
            </w:r>
          </w:p>
        </w:tc>
        <w:tc>
          <w:tcPr>
            <w:tcW w:w="2863" w:type="dxa"/>
            <w:vAlign w:val="center"/>
          </w:tcPr>
          <w:p w:rsidR="00FD3961" w:rsidRPr="00D630D1" w:rsidRDefault="00FD3961" w:rsidP="00D53D7C">
            <w:pPr>
              <w:pStyle w:val="af7"/>
              <w:rPr>
                <w:sz w:val="21"/>
                <w:szCs w:val="21"/>
              </w:rPr>
            </w:pPr>
            <w:r w:rsidRPr="00D630D1">
              <w:rPr>
                <w:sz w:val="21"/>
                <w:szCs w:val="21"/>
              </w:rPr>
              <w:t>2500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6</w:t>
            </w:r>
          </w:p>
        </w:tc>
        <w:tc>
          <w:tcPr>
            <w:tcW w:w="2693" w:type="dxa"/>
            <w:vAlign w:val="center"/>
          </w:tcPr>
          <w:p w:rsidR="00FD3961" w:rsidRPr="00D630D1" w:rsidRDefault="00FD3961" w:rsidP="00D53D7C">
            <w:pPr>
              <w:pStyle w:val="af7"/>
              <w:rPr>
                <w:sz w:val="21"/>
                <w:szCs w:val="21"/>
              </w:rPr>
            </w:pPr>
            <w:r w:rsidRPr="00D630D1">
              <w:rPr>
                <w:sz w:val="21"/>
                <w:szCs w:val="21"/>
              </w:rPr>
              <w:t>汞</w:t>
            </w:r>
          </w:p>
        </w:tc>
        <w:tc>
          <w:tcPr>
            <w:tcW w:w="2693" w:type="dxa"/>
            <w:vAlign w:val="center"/>
          </w:tcPr>
          <w:p w:rsidR="00FD3961" w:rsidRPr="00D630D1" w:rsidRDefault="00FD3961" w:rsidP="00D53D7C">
            <w:pPr>
              <w:pStyle w:val="af7"/>
              <w:rPr>
                <w:sz w:val="21"/>
                <w:szCs w:val="21"/>
              </w:rPr>
            </w:pPr>
            <w:r w:rsidRPr="00D630D1">
              <w:rPr>
                <w:sz w:val="21"/>
                <w:szCs w:val="21"/>
              </w:rPr>
              <w:t>38</w:t>
            </w:r>
          </w:p>
        </w:tc>
        <w:tc>
          <w:tcPr>
            <w:tcW w:w="2863" w:type="dxa"/>
            <w:vAlign w:val="center"/>
          </w:tcPr>
          <w:p w:rsidR="00FD3961" w:rsidRPr="00D630D1" w:rsidRDefault="00FD3961" w:rsidP="00D53D7C">
            <w:pPr>
              <w:pStyle w:val="af7"/>
              <w:rPr>
                <w:sz w:val="21"/>
                <w:szCs w:val="21"/>
              </w:rPr>
            </w:pPr>
            <w:r w:rsidRPr="00D630D1">
              <w:rPr>
                <w:sz w:val="21"/>
                <w:szCs w:val="21"/>
              </w:rPr>
              <w:t>82</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7</w:t>
            </w:r>
          </w:p>
        </w:tc>
        <w:tc>
          <w:tcPr>
            <w:tcW w:w="2693" w:type="dxa"/>
            <w:vAlign w:val="center"/>
          </w:tcPr>
          <w:p w:rsidR="00FD3961" w:rsidRPr="00D630D1" w:rsidRDefault="00FD3961" w:rsidP="00D53D7C">
            <w:pPr>
              <w:pStyle w:val="af7"/>
              <w:rPr>
                <w:sz w:val="21"/>
                <w:szCs w:val="21"/>
              </w:rPr>
            </w:pPr>
            <w:r w:rsidRPr="00D630D1">
              <w:rPr>
                <w:sz w:val="21"/>
                <w:szCs w:val="21"/>
              </w:rPr>
              <w:t>镍</w:t>
            </w:r>
          </w:p>
        </w:tc>
        <w:tc>
          <w:tcPr>
            <w:tcW w:w="2693" w:type="dxa"/>
            <w:vAlign w:val="center"/>
          </w:tcPr>
          <w:p w:rsidR="00FD3961" w:rsidRPr="00D630D1" w:rsidRDefault="00FD3961" w:rsidP="00D53D7C">
            <w:pPr>
              <w:pStyle w:val="af7"/>
              <w:rPr>
                <w:sz w:val="21"/>
                <w:szCs w:val="21"/>
              </w:rPr>
            </w:pPr>
            <w:r w:rsidRPr="00D630D1">
              <w:rPr>
                <w:sz w:val="21"/>
                <w:szCs w:val="21"/>
              </w:rPr>
              <w:t>900</w:t>
            </w:r>
          </w:p>
        </w:tc>
        <w:tc>
          <w:tcPr>
            <w:tcW w:w="2863" w:type="dxa"/>
            <w:vAlign w:val="center"/>
          </w:tcPr>
          <w:p w:rsidR="00FD3961" w:rsidRPr="00D630D1" w:rsidRDefault="00FD3961" w:rsidP="00D53D7C">
            <w:pPr>
              <w:pStyle w:val="af7"/>
              <w:rPr>
                <w:sz w:val="21"/>
                <w:szCs w:val="21"/>
              </w:rPr>
            </w:pPr>
            <w:r w:rsidRPr="00D630D1">
              <w:rPr>
                <w:sz w:val="21"/>
                <w:szCs w:val="21"/>
              </w:rPr>
              <w:t>2000</w:t>
            </w:r>
          </w:p>
        </w:tc>
      </w:tr>
      <w:tr w:rsidR="00FD3961" w:rsidRPr="00D630D1" w:rsidTr="00FD3961">
        <w:trPr>
          <w:cantSplit/>
          <w:trHeight w:val="20"/>
          <w:jc w:val="center"/>
        </w:trPr>
        <w:tc>
          <w:tcPr>
            <w:tcW w:w="9208" w:type="dxa"/>
            <w:gridSpan w:val="4"/>
            <w:vAlign w:val="center"/>
          </w:tcPr>
          <w:p w:rsidR="00FD3961" w:rsidRPr="00D630D1" w:rsidRDefault="00FD3961" w:rsidP="00D53D7C">
            <w:pPr>
              <w:pStyle w:val="af7"/>
              <w:jc w:val="both"/>
              <w:rPr>
                <w:sz w:val="21"/>
                <w:szCs w:val="21"/>
              </w:rPr>
            </w:pPr>
            <w:r w:rsidRPr="00D630D1">
              <w:rPr>
                <w:sz w:val="21"/>
                <w:szCs w:val="21"/>
              </w:rPr>
              <w:t>挥发性有机物</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8</w:t>
            </w:r>
          </w:p>
        </w:tc>
        <w:tc>
          <w:tcPr>
            <w:tcW w:w="2693" w:type="dxa"/>
            <w:vAlign w:val="center"/>
          </w:tcPr>
          <w:p w:rsidR="00FD3961" w:rsidRPr="00D630D1" w:rsidRDefault="00FD3961" w:rsidP="00D53D7C">
            <w:pPr>
              <w:pStyle w:val="af7"/>
              <w:rPr>
                <w:sz w:val="21"/>
                <w:szCs w:val="21"/>
              </w:rPr>
            </w:pPr>
            <w:r w:rsidRPr="00D630D1">
              <w:rPr>
                <w:sz w:val="21"/>
                <w:szCs w:val="21"/>
              </w:rPr>
              <w:t>四氯化碳</w:t>
            </w:r>
          </w:p>
        </w:tc>
        <w:tc>
          <w:tcPr>
            <w:tcW w:w="2693" w:type="dxa"/>
            <w:vAlign w:val="center"/>
          </w:tcPr>
          <w:p w:rsidR="00FD3961" w:rsidRPr="00D630D1" w:rsidRDefault="00FD3961" w:rsidP="00D53D7C">
            <w:pPr>
              <w:pStyle w:val="af7"/>
              <w:rPr>
                <w:sz w:val="21"/>
                <w:szCs w:val="21"/>
              </w:rPr>
            </w:pPr>
            <w:r w:rsidRPr="00D630D1">
              <w:rPr>
                <w:sz w:val="21"/>
                <w:szCs w:val="21"/>
              </w:rPr>
              <w:t>2.8</w:t>
            </w:r>
          </w:p>
        </w:tc>
        <w:tc>
          <w:tcPr>
            <w:tcW w:w="2863" w:type="dxa"/>
            <w:vAlign w:val="center"/>
          </w:tcPr>
          <w:p w:rsidR="00FD3961" w:rsidRPr="00D630D1" w:rsidRDefault="00FD3961" w:rsidP="00D53D7C">
            <w:pPr>
              <w:pStyle w:val="af7"/>
              <w:rPr>
                <w:sz w:val="21"/>
                <w:szCs w:val="21"/>
              </w:rPr>
            </w:pPr>
            <w:r w:rsidRPr="00D630D1">
              <w:rPr>
                <w:sz w:val="21"/>
                <w:szCs w:val="21"/>
              </w:rPr>
              <w:t>36</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9</w:t>
            </w:r>
          </w:p>
        </w:tc>
        <w:tc>
          <w:tcPr>
            <w:tcW w:w="2693" w:type="dxa"/>
            <w:vAlign w:val="center"/>
          </w:tcPr>
          <w:p w:rsidR="00FD3961" w:rsidRPr="00D630D1" w:rsidRDefault="00FD3961" w:rsidP="00D53D7C">
            <w:pPr>
              <w:pStyle w:val="af7"/>
              <w:rPr>
                <w:sz w:val="21"/>
                <w:szCs w:val="21"/>
              </w:rPr>
            </w:pPr>
            <w:r w:rsidRPr="00D630D1">
              <w:rPr>
                <w:sz w:val="21"/>
                <w:szCs w:val="21"/>
              </w:rPr>
              <w:t>氯仿</w:t>
            </w:r>
          </w:p>
        </w:tc>
        <w:tc>
          <w:tcPr>
            <w:tcW w:w="2693" w:type="dxa"/>
            <w:vAlign w:val="center"/>
          </w:tcPr>
          <w:p w:rsidR="00FD3961" w:rsidRPr="00D630D1" w:rsidRDefault="00FD3961" w:rsidP="00D53D7C">
            <w:pPr>
              <w:pStyle w:val="af7"/>
              <w:rPr>
                <w:sz w:val="21"/>
                <w:szCs w:val="21"/>
              </w:rPr>
            </w:pPr>
            <w:r w:rsidRPr="00D630D1">
              <w:rPr>
                <w:sz w:val="21"/>
                <w:szCs w:val="21"/>
              </w:rPr>
              <w:t>0.9</w:t>
            </w:r>
          </w:p>
        </w:tc>
        <w:tc>
          <w:tcPr>
            <w:tcW w:w="2863" w:type="dxa"/>
            <w:vAlign w:val="center"/>
          </w:tcPr>
          <w:p w:rsidR="00FD3961" w:rsidRPr="00D630D1" w:rsidRDefault="00FD3961" w:rsidP="00D53D7C">
            <w:pPr>
              <w:pStyle w:val="af7"/>
              <w:rPr>
                <w:sz w:val="21"/>
                <w:szCs w:val="21"/>
              </w:rPr>
            </w:pPr>
            <w:r w:rsidRPr="00D630D1">
              <w:rPr>
                <w:sz w:val="21"/>
                <w:szCs w:val="21"/>
              </w:rPr>
              <w:t>10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10</w:t>
            </w:r>
          </w:p>
        </w:tc>
        <w:tc>
          <w:tcPr>
            <w:tcW w:w="2693" w:type="dxa"/>
            <w:vAlign w:val="center"/>
          </w:tcPr>
          <w:p w:rsidR="00FD3961" w:rsidRPr="00D630D1" w:rsidRDefault="00FD3961" w:rsidP="00D53D7C">
            <w:pPr>
              <w:pStyle w:val="af7"/>
              <w:rPr>
                <w:sz w:val="21"/>
                <w:szCs w:val="21"/>
              </w:rPr>
            </w:pPr>
            <w:r w:rsidRPr="00D630D1">
              <w:rPr>
                <w:sz w:val="21"/>
                <w:szCs w:val="21"/>
              </w:rPr>
              <w:t>氯甲烷</w:t>
            </w:r>
          </w:p>
        </w:tc>
        <w:tc>
          <w:tcPr>
            <w:tcW w:w="2693" w:type="dxa"/>
            <w:vAlign w:val="center"/>
          </w:tcPr>
          <w:p w:rsidR="00FD3961" w:rsidRPr="00D630D1" w:rsidRDefault="00FD3961" w:rsidP="00D53D7C">
            <w:pPr>
              <w:pStyle w:val="af7"/>
              <w:rPr>
                <w:sz w:val="21"/>
                <w:szCs w:val="21"/>
              </w:rPr>
            </w:pPr>
            <w:r w:rsidRPr="00D630D1">
              <w:rPr>
                <w:sz w:val="21"/>
                <w:szCs w:val="21"/>
              </w:rPr>
              <w:t>37</w:t>
            </w:r>
          </w:p>
        </w:tc>
        <w:tc>
          <w:tcPr>
            <w:tcW w:w="2863" w:type="dxa"/>
            <w:vAlign w:val="center"/>
          </w:tcPr>
          <w:p w:rsidR="00FD3961" w:rsidRPr="00D630D1" w:rsidRDefault="00FD3961" w:rsidP="00D53D7C">
            <w:pPr>
              <w:pStyle w:val="af7"/>
              <w:rPr>
                <w:sz w:val="21"/>
                <w:szCs w:val="21"/>
              </w:rPr>
            </w:pPr>
            <w:r w:rsidRPr="00D630D1">
              <w:rPr>
                <w:sz w:val="21"/>
                <w:szCs w:val="21"/>
              </w:rPr>
              <w:t>120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11</w:t>
            </w:r>
          </w:p>
        </w:tc>
        <w:tc>
          <w:tcPr>
            <w:tcW w:w="2693" w:type="dxa"/>
            <w:vAlign w:val="center"/>
          </w:tcPr>
          <w:p w:rsidR="00FD3961" w:rsidRPr="00D630D1" w:rsidRDefault="00FD3961" w:rsidP="00D53D7C">
            <w:pPr>
              <w:pStyle w:val="af7"/>
              <w:rPr>
                <w:sz w:val="21"/>
                <w:szCs w:val="21"/>
              </w:rPr>
            </w:pPr>
            <w:r w:rsidRPr="00D630D1">
              <w:rPr>
                <w:sz w:val="21"/>
                <w:szCs w:val="21"/>
              </w:rPr>
              <w:t>1,1-</w:t>
            </w:r>
            <w:r w:rsidRPr="00D630D1">
              <w:rPr>
                <w:sz w:val="21"/>
                <w:szCs w:val="21"/>
              </w:rPr>
              <w:t>二氯乙烷</w:t>
            </w:r>
          </w:p>
        </w:tc>
        <w:tc>
          <w:tcPr>
            <w:tcW w:w="2693" w:type="dxa"/>
            <w:vAlign w:val="center"/>
          </w:tcPr>
          <w:p w:rsidR="00FD3961" w:rsidRPr="00D630D1" w:rsidRDefault="00FD3961" w:rsidP="00D53D7C">
            <w:pPr>
              <w:pStyle w:val="af7"/>
              <w:rPr>
                <w:sz w:val="21"/>
                <w:szCs w:val="21"/>
              </w:rPr>
            </w:pPr>
            <w:r w:rsidRPr="00D630D1">
              <w:rPr>
                <w:sz w:val="21"/>
                <w:szCs w:val="21"/>
              </w:rPr>
              <w:t>9</w:t>
            </w:r>
          </w:p>
        </w:tc>
        <w:tc>
          <w:tcPr>
            <w:tcW w:w="2863" w:type="dxa"/>
            <w:vAlign w:val="center"/>
          </w:tcPr>
          <w:p w:rsidR="00FD3961" w:rsidRPr="00D630D1" w:rsidRDefault="00FD3961" w:rsidP="00D53D7C">
            <w:pPr>
              <w:pStyle w:val="af7"/>
              <w:rPr>
                <w:sz w:val="21"/>
                <w:szCs w:val="21"/>
              </w:rPr>
            </w:pPr>
            <w:r w:rsidRPr="00D630D1">
              <w:rPr>
                <w:sz w:val="21"/>
                <w:szCs w:val="21"/>
              </w:rPr>
              <w:t>100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12</w:t>
            </w:r>
          </w:p>
        </w:tc>
        <w:tc>
          <w:tcPr>
            <w:tcW w:w="2693" w:type="dxa"/>
            <w:vAlign w:val="center"/>
          </w:tcPr>
          <w:p w:rsidR="00FD3961" w:rsidRPr="00D630D1" w:rsidRDefault="00FD3961" w:rsidP="00D53D7C">
            <w:pPr>
              <w:pStyle w:val="af7"/>
              <w:rPr>
                <w:sz w:val="21"/>
                <w:szCs w:val="21"/>
              </w:rPr>
            </w:pPr>
            <w:r w:rsidRPr="00D630D1">
              <w:rPr>
                <w:sz w:val="21"/>
                <w:szCs w:val="21"/>
              </w:rPr>
              <w:t>1,2-</w:t>
            </w:r>
            <w:r w:rsidRPr="00D630D1">
              <w:rPr>
                <w:sz w:val="21"/>
                <w:szCs w:val="21"/>
              </w:rPr>
              <w:t>二氯乙烷</w:t>
            </w:r>
          </w:p>
        </w:tc>
        <w:tc>
          <w:tcPr>
            <w:tcW w:w="2693" w:type="dxa"/>
            <w:vAlign w:val="center"/>
          </w:tcPr>
          <w:p w:rsidR="00FD3961" w:rsidRPr="00D630D1" w:rsidRDefault="00FD3961" w:rsidP="00D53D7C">
            <w:pPr>
              <w:pStyle w:val="af7"/>
              <w:rPr>
                <w:sz w:val="21"/>
                <w:szCs w:val="21"/>
              </w:rPr>
            </w:pPr>
            <w:r w:rsidRPr="00D630D1">
              <w:rPr>
                <w:sz w:val="21"/>
                <w:szCs w:val="21"/>
              </w:rPr>
              <w:t>5</w:t>
            </w:r>
          </w:p>
        </w:tc>
        <w:tc>
          <w:tcPr>
            <w:tcW w:w="2863" w:type="dxa"/>
            <w:vAlign w:val="center"/>
          </w:tcPr>
          <w:p w:rsidR="00FD3961" w:rsidRPr="00D630D1" w:rsidRDefault="00FD3961" w:rsidP="00D53D7C">
            <w:pPr>
              <w:pStyle w:val="af7"/>
              <w:rPr>
                <w:sz w:val="21"/>
                <w:szCs w:val="21"/>
              </w:rPr>
            </w:pPr>
            <w:r w:rsidRPr="00D630D1">
              <w:rPr>
                <w:sz w:val="21"/>
                <w:szCs w:val="21"/>
              </w:rPr>
              <w:t>21</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13</w:t>
            </w:r>
          </w:p>
        </w:tc>
        <w:tc>
          <w:tcPr>
            <w:tcW w:w="2693" w:type="dxa"/>
            <w:vAlign w:val="center"/>
          </w:tcPr>
          <w:p w:rsidR="00FD3961" w:rsidRPr="00D630D1" w:rsidRDefault="00FD3961" w:rsidP="00D53D7C">
            <w:pPr>
              <w:pStyle w:val="af7"/>
              <w:rPr>
                <w:sz w:val="21"/>
                <w:szCs w:val="21"/>
              </w:rPr>
            </w:pPr>
            <w:r w:rsidRPr="00D630D1">
              <w:rPr>
                <w:sz w:val="21"/>
                <w:szCs w:val="21"/>
              </w:rPr>
              <w:t>1,1-</w:t>
            </w:r>
            <w:r w:rsidRPr="00D630D1">
              <w:rPr>
                <w:sz w:val="21"/>
                <w:szCs w:val="21"/>
              </w:rPr>
              <w:t>二氯乙烯</w:t>
            </w:r>
          </w:p>
        </w:tc>
        <w:tc>
          <w:tcPr>
            <w:tcW w:w="2693" w:type="dxa"/>
            <w:vAlign w:val="center"/>
          </w:tcPr>
          <w:p w:rsidR="00FD3961" w:rsidRPr="00D630D1" w:rsidRDefault="00FD3961" w:rsidP="00D53D7C">
            <w:pPr>
              <w:pStyle w:val="af7"/>
              <w:rPr>
                <w:sz w:val="21"/>
                <w:szCs w:val="21"/>
              </w:rPr>
            </w:pPr>
            <w:r w:rsidRPr="00D630D1">
              <w:rPr>
                <w:sz w:val="21"/>
                <w:szCs w:val="21"/>
              </w:rPr>
              <w:t>66</w:t>
            </w:r>
          </w:p>
        </w:tc>
        <w:tc>
          <w:tcPr>
            <w:tcW w:w="2863" w:type="dxa"/>
            <w:vAlign w:val="center"/>
          </w:tcPr>
          <w:p w:rsidR="00FD3961" w:rsidRPr="00D630D1" w:rsidRDefault="00FD3961" w:rsidP="00D53D7C">
            <w:pPr>
              <w:pStyle w:val="af7"/>
              <w:rPr>
                <w:sz w:val="21"/>
                <w:szCs w:val="21"/>
              </w:rPr>
            </w:pPr>
            <w:r w:rsidRPr="00D630D1">
              <w:rPr>
                <w:sz w:val="21"/>
                <w:szCs w:val="21"/>
              </w:rPr>
              <w:t>200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14</w:t>
            </w:r>
          </w:p>
        </w:tc>
        <w:tc>
          <w:tcPr>
            <w:tcW w:w="2693" w:type="dxa"/>
            <w:vAlign w:val="center"/>
          </w:tcPr>
          <w:p w:rsidR="00FD3961" w:rsidRPr="00D630D1" w:rsidRDefault="00FD3961" w:rsidP="00D53D7C">
            <w:pPr>
              <w:pStyle w:val="af7"/>
              <w:rPr>
                <w:sz w:val="21"/>
                <w:szCs w:val="21"/>
              </w:rPr>
            </w:pPr>
            <w:r w:rsidRPr="00D630D1">
              <w:rPr>
                <w:sz w:val="21"/>
                <w:szCs w:val="21"/>
              </w:rPr>
              <w:t>顺</w:t>
            </w:r>
            <w:r w:rsidRPr="00D630D1">
              <w:rPr>
                <w:sz w:val="21"/>
                <w:szCs w:val="21"/>
              </w:rPr>
              <w:t>1,2-</w:t>
            </w:r>
            <w:r w:rsidRPr="00D630D1">
              <w:rPr>
                <w:sz w:val="21"/>
                <w:szCs w:val="21"/>
              </w:rPr>
              <w:t>二氯乙烯</w:t>
            </w:r>
          </w:p>
        </w:tc>
        <w:tc>
          <w:tcPr>
            <w:tcW w:w="2693" w:type="dxa"/>
            <w:vAlign w:val="center"/>
          </w:tcPr>
          <w:p w:rsidR="00FD3961" w:rsidRPr="00D630D1" w:rsidRDefault="00FD3961" w:rsidP="00D53D7C">
            <w:pPr>
              <w:pStyle w:val="af7"/>
              <w:rPr>
                <w:sz w:val="21"/>
                <w:szCs w:val="21"/>
              </w:rPr>
            </w:pPr>
            <w:r w:rsidRPr="00D630D1">
              <w:rPr>
                <w:sz w:val="21"/>
                <w:szCs w:val="21"/>
              </w:rPr>
              <w:t>596</w:t>
            </w:r>
          </w:p>
        </w:tc>
        <w:tc>
          <w:tcPr>
            <w:tcW w:w="2863" w:type="dxa"/>
            <w:vAlign w:val="center"/>
          </w:tcPr>
          <w:p w:rsidR="00FD3961" w:rsidRPr="00D630D1" w:rsidRDefault="00FD3961" w:rsidP="00D53D7C">
            <w:pPr>
              <w:pStyle w:val="af7"/>
              <w:rPr>
                <w:sz w:val="21"/>
                <w:szCs w:val="21"/>
              </w:rPr>
            </w:pPr>
            <w:r w:rsidRPr="00D630D1">
              <w:rPr>
                <w:sz w:val="21"/>
                <w:szCs w:val="21"/>
              </w:rPr>
              <w:t>2000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15</w:t>
            </w:r>
          </w:p>
        </w:tc>
        <w:tc>
          <w:tcPr>
            <w:tcW w:w="2693" w:type="dxa"/>
            <w:vAlign w:val="center"/>
          </w:tcPr>
          <w:p w:rsidR="00FD3961" w:rsidRPr="00D630D1" w:rsidRDefault="00FD3961" w:rsidP="00D53D7C">
            <w:pPr>
              <w:pStyle w:val="af7"/>
              <w:rPr>
                <w:sz w:val="21"/>
                <w:szCs w:val="21"/>
              </w:rPr>
            </w:pPr>
            <w:r w:rsidRPr="00D630D1">
              <w:rPr>
                <w:sz w:val="21"/>
                <w:szCs w:val="21"/>
              </w:rPr>
              <w:t>反</w:t>
            </w:r>
            <w:r w:rsidRPr="00D630D1">
              <w:rPr>
                <w:sz w:val="21"/>
                <w:szCs w:val="21"/>
              </w:rPr>
              <w:t>1,2-</w:t>
            </w:r>
            <w:r w:rsidRPr="00D630D1">
              <w:rPr>
                <w:sz w:val="21"/>
                <w:szCs w:val="21"/>
              </w:rPr>
              <w:t>二氯乙烯</w:t>
            </w:r>
          </w:p>
        </w:tc>
        <w:tc>
          <w:tcPr>
            <w:tcW w:w="2693" w:type="dxa"/>
            <w:vAlign w:val="center"/>
          </w:tcPr>
          <w:p w:rsidR="00FD3961" w:rsidRPr="00D630D1" w:rsidRDefault="00FD3961" w:rsidP="00D53D7C">
            <w:pPr>
              <w:pStyle w:val="af7"/>
              <w:rPr>
                <w:sz w:val="21"/>
                <w:szCs w:val="21"/>
              </w:rPr>
            </w:pPr>
            <w:r w:rsidRPr="00D630D1">
              <w:rPr>
                <w:sz w:val="21"/>
                <w:szCs w:val="21"/>
              </w:rPr>
              <w:t>54</w:t>
            </w:r>
          </w:p>
        </w:tc>
        <w:tc>
          <w:tcPr>
            <w:tcW w:w="2863" w:type="dxa"/>
            <w:vAlign w:val="center"/>
          </w:tcPr>
          <w:p w:rsidR="00FD3961" w:rsidRPr="00D630D1" w:rsidRDefault="00FD3961" w:rsidP="00D53D7C">
            <w:pPr>
              <w:pStyle w:val="af7"/>
              <w:rPr>
                <w:sz w:val="21"/>
                <w:szCs w:val="21"/>
              </w:rPr>
            </w:pPr>
            <w:r w:rsidRPr="00D630D1">
              <w:rPr>
                <w:sz w:val="21"/>
                <w:szCs w:val="21"/>
              </w:rPr>
              <w:t>163</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16</w:t>
            </w:r>
          </w:p>
        </w:tc>
        <w:tc>
          <w:tcPr>
            <w:tcW w:w="2693" w:type="dxa"/>
            <w:vAlign w:val="center"/>
          </w:tcPr>
          <w:p w:rsidR="00FD3961" w:rsidRPr="00D630D1" w:rsidRDefault="00FD3961" w:rsidP="00D53D7C">
            <w:pPr>
              <w:pStyle w:val="af7"/>
              <w:rPr>
                <w:sz w:val="21"/>
                <w:szCs w:val="21"/>
              </w:rPr>
            </w:pPr>
            <w:r w:rsidRPr="00D630D1">
              <w:rPr>
                <w:sz w:val="21"/>
                <w:szCs w:val="21"/>
              </w:rPr>
              <w:t>二氯甲烷</w:t>
            </w:r>
          </w:p>
        </w:tc>
        <w:tc>
          <w:tcPr>
            <w:tcW w:w="2693" w:type="dxa"/>
            <w:vAlign w:val="center"/>
          </w:tcPr>
          <w:p w:rsidR="00FD3961" w:rsidRPr="00D630D1" w:rsidRDefault="00FD3961" w:rsidP="00D53D7C">
            <w:pPr>
              <w:pStyle w:val="af7"/>
              <w:rPr>
                <w:sz w:val="21"/>
                <w:szCs w:val="21"/>
              </w:rPr>
            </w:pPr>
            <w:r w:rsidRPr="00D630D1">
              <w:rPr>
                <w:sz w:val="21"/>
                <w:szCs w:val="21"/>
              </w:rPr>
              <w:t>616</w:t>
            </w:r>
          </w:p>
        </w:tc>
        <w:tc>
          <w:tcPr>
            <w:tcW w:w="2863" w:type="dxa"/>
            <w:vAlign w:val="center"/>
          </w:tcPr>
          <w:p w:rsidR="00FD3961" w:rsidRPr="00D630D1" w:rsidRDefault="00FD3961" w:rsidP="00D53D7C">
            <w:pPr>
              <w:pStyle w:val="af7"/>
              <w:rPr>
                <w:sz w:val="21"/>
                <w:szCs w:val="21"/>
              </w:rPr>
            </w:pPr>
            <w:r w:rsidRPr="00D630D1">
              <w:rPr>
                <w:sz w:val="21"/>
                <w:szCs w:val="21"/>
              </w:rPr>
              <w:t>2000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17</w:t>
            </w:r>
          </w:p>
        </w:tc>
        <w:tc>
          <w:tcPr>
            <w:tcW w:w="2693" w:type="dxa"/>
            <w:vAlign w:val="center"/>
          </w:tcPr>
          <w:p w:rsidR="00FD3961" w:rsidRPr="00D630D1" w:rsidRDefault="00FD3961" w:rsidP="00D53D7C">
            <w:pPr>
              <w:pStyle w:val="af7"/>
              <w:rPr>
                <w:sz w:val="21"/>
                <w:szCs w:val="21"/>
              </w:rPr>
            </w:pPr>
            <w:r w:rsidRPr="00D630D1">
              <w:rPr>
                <w:sz w:val="21"/>
                <w:szCs w:val="21"/>
              </w:rPr>
              <w:t>1,2-</w:t>
            </w:r>
            <w:r w:rsidRPr="00D630D1">
              <w:rPr>
                <w:sz w:val="21"/>
                <w:szCs w:val="21"/>
              </w:rPr>
              <w:t>二氯丙烷</w:t>
            </w:r>
          </w:p>
        </w:tc>
        <w:tc>
          <w:tcPr>
            <w:tcW w:w="2693" w:type="dxa"/>
            <w:vAlign w:val="center"/>
          </w:tcPr>
          <w:p w:rsidR="00FD3961" w:rsidRPr="00D630D1" w:rsidRDefault="00FD3961" w:rsidP="00D53D7C">
            <w:pPr>
              <w:pStyle w:val="af7"/>
              <w:rPr>
                <w:sz w:val="21"/>
                <w:szCs w:val="21"/>
              </w:rPr>
            </w:pPr>
            <w:r w:rsidRPr="00D630D1">
              <w:rPr>
                <w:sz w:val="21"/>
                <w:szCs w:val="21"/>
              </w:rPr>
              <w:t>5</w:t>
            </w:r>
          </w:p>
        </w:tc>
        <w:tc>
          <w:tcPr>
            <w:tcW w:w="2863" w:type="dxa"/>
            <w:vAlign w:val="center"/>
          </w:tcPr>
          <w:p w:rsidR="00FD3961" w:rsidRPr="00D630D1" w:rsidRDefault="00FD3961" w:rsidP="00D53D7C">
            <w:pPr>
              <w:pStyle w:val="af7"/>
              <w:rPr>
                <w:sz w:val="21"/>
                <w:szCs w:val="21"/>
              </w:rPr>
            </w:pPr>
            <w:r w:rsidRPr="00D630D1">
              <w:rPr>
                <w:sz w:val="21"/>
                <w:szCs w:val="21"/>
              </w:rPr>
              <w:t>47</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lastRenderedPageBreak/>
              <w:t>18</w:t>
            </w:r>
          </w:p>
        </w:tc>
        <w:tc>
          <w:tcPr>
            <w:tcW w:w="2693" w:type="dxa"/>
            <w:vAlign w:val="center"/>
          </w:tcPr>
          <w:p w:rsidR="00FD3961" w:rsidRPr="00D630D1" w:rsidRDefault="00FD3961" w:rsidP="00D53D7C">
            <w:pPr>
              <w:pStyle w:val="af7"/>
              <w:rPr>
                <w:sz w:val="21"/>
                <w:szCs w:val="21"/>
              </w:rPr>
            </w:pPr>
            <w:r w:rsidRPr="00D630D1">
              <w:rPr>
                <w:sz w:val="21"/>
                <w:szCs w:val="21"/>
              </w:rPr>
              <w:t>1,1,1,2-</w:t>
            </w:r>
            <w:r w:rsidRPr="00D630D1">
              <w:rPr>
                <w:sz w:val="21"/>
                <w:szCs w:val="21"/>
              </w:rPr>
              <w:t>四氯乙烷</w:t>
            </w:r>
          </w:p>
        </w:tc>
        <w:tc>
          <w:tcPr>
            <w:tcW w:w="2693" w:type="dxa"/>
            <w:vAlign w:val="center"/>
          </w:tcPr>
          <w:p w:rsidR="00FD3961" w:rsidRPr="00D630D1" w:rsidRDefault="00FD3961" w:rsidP="00D53D7C">
            <w:pPr>
              <w:pStyle w:val="af7"/>
              <w:rPr>
                <w:sz w:val="21"/>
                <w:szCs w:val="21"/>
              </w:rPr>
            </w:pPr>
            <w:r w:rsidRPr="00D630D1">
              <w:rPr>
                <w:sz w:val="21"/>
                <w:szCs w:val="21"/>
              </w:rPr>
              <w:t>10</w:t>
            </w:r>
          </w:p>
        </w:tc>
        <w:tc>
          <w:tcPr>
            <w:tcW w:w="2863" w:type="dxa"/>
            <w:vAlign w:val="center"/>
          </w:tcPr>
          <w:p w:rsidR="00FD3961" w:rsidRPr="00D630D1" w:rsidRDefault="00FD3961" w:rsidP="00D53D7C">
            <w:pPr>
              <w:pStyle w:val="af7"/>
              <w:rPr>
                <w:sz w:val="21"/>
                <w:szCs w:val="21"/>
              </w:rPr>
            </w:pPr>
            <w:r w:rsidRPr="00D630D1">
              <w:rPr>
                <w:sz w:val="21"/>
                <w:szCs w:val="21"/>
              </w:rPr>
              <w:t>100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19</w:t>
            </w:r>
          </w:p>
        </w:tc>
        <w:tc>
          <w:tcPr>
            <w:tcW w:w="2693" w:type="dxa"/>
            <w:vAlign w:val="center"/>
          </w:tcPr>
          <w:p w:rsidR="00FD3961" w:rsidRPr="00D630D1" w:rsidRDefault="00FD3961" w:rsidP="00D53D7C">
            <w:pPr>
              <w:pStyle w:val="af7"/>
              <w:rPr>
                <w:sz w:val="21"/>
                <w:szCs w:val="21"/>
              </w:rPr>
            </w:pPr>
            <w:r w:rsidRPr="00D630D1">
              <w:rPr>
                <w:sz w:val="21"/>
                <w:szCs w:val="21"/>
              </w:rPr>
              <w:t>1,1,2,2-</w:t>
            </w:r>
            <w:r w:rsidRPr="00D630D1">
              <w:rPr>
                <w:sz w:val="21"/>
                <w:szCs w:val="21"/>
              </w:rPr>
              <w:t>四氯乙烷</w:t>
            </w:r>
          </w:p>
        </w:tc>
        <w:tc>
          <w:tcPr>
            <w:tcW w:w="2693" w:type="dxa"/>
            <w:vAlign w:val="center"/>
          </w:tcPr>
          <w:p w:rsidR="00FD3961" w:rsidRPr="00D630D1" w:rsidRDefault="00FD3961" w:rsidP="00D53D7C">
            <w:pPr>
              <w:pStyle w:val="af7"/>
              <w:rPr>
                <w:sz w:val="21"/>
                <w:szCs w:val="21"/>
              </w:rPr>
            </w:pPr>
            <w:r w:rsidRPr="00D630D1">
              <w:rPr>
                <w:sz w:val="21"/>
                <w:szCs w:val="21"/>
              </w:rPr>
              <w:t>6.8</w:t>
            </w:r>
          </w:p>
        </w:tc>
        <w:tc>
          <w:tcPr>
            <w:tcW w:w="2863" w:type="dxa"/>
            <w:vAlign w:val="center"/>
          </w:tcPr>
          <w:p w:rsidR="00FD3961" w:rsidRPr="00D630D1" w:rsidRDefault="00FD3961" w:rsidP="00D53D7C">
            <w:pPr>
              <w:pStyle w:val="af7"/>
              <w:rPr>
                <w:sz w:val="21"/>
                <w:szCs w:val="21"/>
              </w:rPr>
            </w:pPr>
            <w:r w:rsidRPr="00D630D1">
              <w:rPr>
                <w:sz w:val="21"/>
                <w:szCs w:val="21"/>
              </w:rPr>
              <w:t>50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20</w:t>
            </w:r>
          </w:p>
        </w:tc>
        <w:tc>
          <w:tcPr>
            <w:tcW w:w="2693" w:type="dxa"/>
            <w:vAlign w:val="center"/>
          </w:tcPr>
          <w:p w:rsidR="00FD3961" w:rsidRPr="00D630D1" w:rsidRDefault="00FD3961" w:rsidP="00D53D7C">
            <w:pPr>
              <w:pStyle w:val="af7"/>
              <w:rPr>
                <w:sz w:val="21"/>
                <w:szCs w:val="21"/>
              </w:rPr>
            </w:pPr>
            <w:r w:rsidRPr="00D630D1">
              <w:rPr>
                <w:sz w:val="21"/>
                <w:szCs w:val="21"/>
              </w:rPr>
              <w:t>四氯乙烯</w:t>
            </w:r>
          </w:p>
        </w:tc>
        <w:tc>
          <w:tcPr>
            <w:tcW w:w="2693" w:type="dxa"/>
            <w:vAlign w:val="center"/>
          </w:tcPr>
          <w:p w:rsidR="00FD3961" w:rsidRPr="00D630D1" w:rsidRDefault="00FD3961" w:rsidP="00D53D7C">
            <w:pPr>
              <w:pStyle w:val="af7"/>
              <w:rPr>
                <w:sz w:val="21"/>
                <w:szCs w:val="21"/>
              </w:rPr>
            </w:pPr>
            <w:r w:rsidRPr="00D630D1">
              <w:rPr>
                <w:sz w:val="21"/>
                <w:szCs w:val="21"/>
              </w:rPr>
              <w:t>53</w:t>
            </w:r>
          </w:p>
        </w:tc>
        <w:tc>
          <w:tcPr>
            <w:tcW w:w="2863" w:type="dxa"/>
            <w:vAlign w:val="center"/>
          </w:tcPr>
          <w:p w:rsidR="00FD3961" w:rsidRPr="00D630D1" w:rsidRDefault="00FD3961" w:rsidP="00D53D7C">
            <w:pPr>
              <w:pStyle w:val="af7"/>
              <w:rPr>
                <w:sz w:val="21"/>
                <w:szCs w:val="21"/>
              </w:rPr>
            </w:pPr>
            <w:r w:rsidRPr="00D630D1">
              <w:rPr>
                <w:sz w:val="21"/>
                <w:szCs w:val="21"/>
              </w:rPr>
              <w:t>183</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21</w:t>
            </w:r>
          </w:p>
        </w:tc>
        <w:tc>
          <w:tcPr>
            <w:tcW w:w="2693" w:type="dxa"/>
            <w:vAlign w:val="center"/>
          </w:tcPr>
          <w:p w:rsidR="00FD3961" w:rsidRPr="00D630D1" w:rsidRDefault="00FD3961" w:rsidP="00D53D7C">
            <w:pPr>
              <w:pStyle w:val="af7"/>
              <w:rPr>
                <w:sz w:val="21"/>
                <w:szCs w:val="21"/>
              </w:rPr>
            </w:pPr>
            <w:r w:rsidRPr="00D630D1">
              <w:rPr>
                <w:sz w:val="21"/>
                <w:szCs w:val="21"/>
              </w:rPr>
              <w:t>1,1,1-</w:t>
            </w:r>
            <w:r w:rsidRPr="00D630D1">
              <w:rPr>
                <w:sz w:val="21"/>
                <w:szCs w:val="21"/>
              </w:rPr>
              <w:t>三氯乙烷</w:t>
            </w:r>
          </w:p>
        </w:tc>
        <w:tc>
          <w:tcPr>
            <w:tcW w:w="2693" w:type="dxa"/>
            <w:vAlign w:val="center"/>
          </w:tcPr>
          <w:p w:rsidR="00FD3961" w:rsidRPr="00D630D1" w:rsidRDefault="00FD3961" w:rsidP="00D53D7C">
            <w:pPr>
              <w:pStyle w:val="af7"/>
              <w:rPr>
                <w:sz w:val="21"/>
                <w:szCs w:val="21"/>
              </w:rPr>
            </w:pPr>
            <w:r w:rsidRPr="00D630D1">
              <w:rPr>
                <w:sz w:val="21"/>
                <w:szCs w:val="21"/>
              </w:rPr>
              <w:t>840</w:t>
            </w:r>
          </w:p>
        </w:tc>
        <w:tc>
          <w:tcPr>
            <w:tcW w:w="2863" w:type="dxa"/>
            <w:vAlign w:val="center"/>
          </w:tcPr>
          <w:p w:rsidR="00FD3961" w:rsidRPr="00D630D1" w:rsidRDefault="00FD3961" w:rsidP="00D53D7C">
            <w:pPr>
              <w:pStyle w:val="af7"/>
              <w:rPr>
                <w:sz w:val="21"/>
                <w:szCs w:val="21"/>
              </w:rPr>
            </w:pPr>
            <w:r w:rsidRPr="00D630D1">
              <w:rPr>
                <w:sz w:val="21"/>
                <w:szCs w:val="21"/>
              </w:rPr>
              <w:t>840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22</w:t>
            </w:r>
          </w:p>
        </w:tc>
        <w:tc>
          <w:tcPr>
            <w:tcW w:w="2693" w:type="dxa"/>
            <w:vAlign w:val="center"/>
          </w:tcPr>
          <w:p w:rsidR="00FD3961" w:rsidRPr="00D630D1" w:rsidRDefault="00FD3961" w:rsidP="00D53D7C">
            <w:pPr>
              <w:pStyle w:val="af7"/>
              <w:rPr>
                <w:sz w:val="21"/>
                <w:szCs w:val="21"/>
              </w:rPr>
            </w:pPr>
            <w:r w:rsidRPr="00D630D1">
              <w:rPr>
                <w:sz w:val="21"/>
                <w:szCs w:val="21"/>
              </w:rPr>
              <w:t>1,1,2-</w:t>
            </w:r>
            <w:r w:rsidRPr="00D630D1">
              <w:rPr>
                <w:sz w:val="21"/>
                <w:szCs w:val="21"/>
              </w:rPr>
              <w:t>三氯乙烷</w:t>
            </w:r>
          </w:p>
        </w:tc>
        <w:tc>
          <w:tcPr>
            <w:tcW w:w="2693" w:type="dxa"/>
            <w:vAlign w:val="center"/>
          </w:tcPr>
          <w:p w:rsidR="00FD3961" w:rsidRPr="00D630D1" w:rsidRDefault="00FD3961" w:rsidP="00D53D7C">
            <w:pPr>
              <w:pStyle w:val="af7"/>
              <w:rPr>
                <w:sz w:val="21"/>
                <w:szCs w:val="21"/>
              </w:rPr>
            </w:pPr>
            <w:r w:rsidRPr="00D630D1">
              <w:rPr>
                <w:sz w:val="21"/>
                <w:szCs w:val="21"/>
              </w:rPr>
              <w:t>2.8</w:t>
            </w:r>
          </w:p>
        </w:tc>
        <w:tc>
          <w:tcPr>
            <w:tcW w:w="2863" w:type="dxa"/>
            <w:vAlign w:val="center"/>
          </w:tcPr>
          <w:p w:rsidR="00FD3961" w:rsidRPr="00D630D1" w:rsidRDefault="00FD3961" w:rsidP="00D53D7C">
            <w:pPr>
              <w:pStyle w:val="af7"/>
              <w:rPr>
                <w:sz w:val="21"/>
                <w:szCs w:val="21"/>
              </w:rPr>
            </w:pPr>
            <w:r w:rsidRPr="00D630D1">
              <w:rPr>
                <w:sz w:val="21"/>
                <w:szCs w:val="21"/>
              </w:rPr>
              <w:t>15</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23</w:t>
            </w:r>
          </w:p>
        </w:tc>
        <w:tc>
          <w:tcPr>
            <w:tcW w:w="2693" w:type="dxa"/>
            <w:vAlign w:val="center"/>
          </w:tcPr>
          <w:p w:rsidR="00FD3961" w:rsidRPr="00D630D1" w:rsidRDefault="00FD3961" w:rsidP="00D53D7C">
            <w:pPr>
              <w:pStyle w:val="af7"/>
              <w:rPr>
                <w:sz w:val="21"/>
                <w:szCs w:val="21"/>
              </w:rPr>
            </w:pPr>
            <w:r w:rsidRPr="00D630D1">
              <w:rPr>
                <w:sz w:val="21"/>
                <w:szCs w:val="21"/>
              </w:rPr>
              <w:t>三氯乙烯</w:t>
            </w:r>
          </w:p>
        </w:tc>
        <w:tc>
          <w:tcPr>
            <w:tcW w:w="2693" w:type="dxa"/>
            <w:vAlign w:val="center"/>
          </w:tcPr>
          <w:p w:rsidR="00FD3961" w:rsidRPr="00D630D1" w:rsidRDefault="00FD3961" w:rsidP="00D53D7C">
            <w:pPr>
              <w:pStyle w:val="af7"/>
              <w:rPr>
                <w:sz w:val="21"/>
                <w:szCs w:val="21"/>
              </w:rPr>
            </w:pPr>
            <w:r w:rsidRPr="00D630D1">
              <w:rPr>
                <w:sz w:val="21"/>
                <w:szCs w:val="21"/>
              </w:rPr>
              <w:t>2.8</w:t>
            </w:r>
          </w:p>
        </w:tc>
        <w:tc>
          <w:tcPr>
            <w:tcW w:w="2863" w:type="dxa"/>
            <w:vAlign w:val="center"/>
          </w:tcPr>
          <w:p w:rsidR="00FD3961" w:rsidRPr="00D630D1" w:rsidRDefault="00FD3961" w:rsidP="00D53D7C">
            <w:pPr>
              <w:pStyle w:val="af7"/>
              <w:rPr>
                <w:sz w:val="21"/>
                <w:szCs w:val="21"/>
              </w:rPr>
            </w:pPr>
            <w:r w:rsidRPr="00D630D1">
              <w:rPr>
                <w:sz w:val="21"/>
                <w:szCs w:val="21"/>
              </w:rPr>
              <w:t>20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24</w:t>
            </w:r>
          </w:p>
        </w:tc>
        <w:tc>
          <w:tcPr>
            <w:tcW w:w="2693" w:type="dxa"/>
            <w:vAlign w:val="center"/>
          </w:tcPr>
          <w:p w:rsidR="00FD3961" w:rsidRPr="00D630D1" w:rsidRDefault="00FD3961" w:rsidP="00D53D7C">
            <w:pPr>
              <w:pStyle w:val="af7"/>
              <w:rPr>
                <w:sz w:val="21"/>
                <w:szCs w:val="21"/>
              </w:rPr>
            </w:pPr>
            <w:r w:rsidRPr="00D630D1">
              <w:rPr>
                <w:sz w:val="21"/>
                <w:szCs w:val="21"/>
              </w:rPr>
              <w:t>1,2,3-</w:t>
            </w:r>
            <w:r w:rsidRPr="00D630D1">
              <w:rPr>
                <w:sz w:val="21"/>
                <w:szCs w:val="21"/>
              </w:rPr>
              <w:t>三氯丙烷</w:t>
            </w:r>
          </w:p>
        </w:tc>
        <w:tc>
          <w:tcPr>
            <w:tcW w:w="2693" w:type="dxa"/>
            <w:vAlign w:val="center"/>
          </w:tcPr>
          <w:p w:rsidR="00FD3961" w:rsidRPr="00D630D1" w:rsidRDefault="00FD3961" w:rsidP="00D53D7C">
            <w:pPr>
              <w:pStyle w:val="af7"/>
              <w:rPr>
                <w:sz w:val="21"/>
                <w:szCs w:val="21"/>
              </w:rPr>
            </w:pPr>
            <w:r w:rsidRPr="00D630D1">
              <w:rPr>
                <w:sz w:val="21"/>
                <w:szCs w:val="21"/>
              </w:rPr>
              <w:t>0.5</w:t>
            </w:r>
          </w:p>
        </w:tc>
        <w:tc>
          <w:tcPr>
            <w:tcW w:w="2863" w:type="dxa"/>
            <w:vAlign w:val="center"/>
          </w:tcPr>
          <w:p w:rsidR="00FD3961" w:rsidRPr="00D630D1" w:rsidRDefault="00FD3961" w:rsidP="00D53D7C">
            <w:pPr>
              <w:pStyle w:val="af7"/>
              <w:rPr>
                <w:sz w:val="21"/>
                <w:szCs w:val="21"/>
              </w:rPr>
            </w:pPr>
            <w:r w:rsidRPr="00D630D1">
              <w:rPr>
                <w:sz w:val="21"/>
                <w:szCs w:val="21"/>
              </w:rPr>
              <w:t>5</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25</w:t>
            </w:r>
          </w:p>
        </w:tc>
        <w:tc>
          <w:tcPr>
            <w:tcW w:w="2693" w:type="dxa"/>
            <w:vAlign w:val="center"/>
          </w:tcPr>
          <w:p w:rsidR="00FD3961" w:rsidRPr="00D630D1" w:rsidRDefault="00FD3961" w:rsidP="00D53D7C">
            <w:pPr>
              <w:pStyle w:val="af7"/>
              <w:rPr>
                <w:sz w:val="21"/>
                <w:szCs w:val="21"/>
              </w:rPr>
            </w:pPr>
            <w:r w:rsidRPr="00D630D1">
              <w:rPr>
                <w:sz w:val="21"/>
                <w:szCs w:val="21"/>
              </w:rPr>
              <w:t>氯乙烯</w:t>
            </w:r>
          </w:p>
        </w:tc>
        <w:tc>
          <w:tcPr>
            <w:tcW w:w="2693" w:type="dxa"/>
            <w:vAlign w:val="center"/>
          </w:tcPr>
          <w:p w:rsidR="00FD3961" w:rsidRPr="00D630D1" w:rsidRDefault="00FD3961" w:rsidP="00D53D7C">
            <w:pPr>
              <w:pStyle w:val="af7"/>
              <w:rPr>
                <w:sz w:val="21"/>
                <w:szCs w:val="21"/>
              </w:rPr>
            </w:pPr>
            <w:r w:rsidRPr="00D630D1">
              <w:rPr>
                <w:sz w:val="21"/>
                <w:szCs w:val="21"/>
              </w:rPr>
              <w:t>0.43</w:t>
            </w:r>
          </w:p>
        </w:tc>
        <w:tc>
          <w:tcPr>
            <w:tcW w:w="2863" w:type="dxa"/>
            <w:vAlign w:val="center"/>
          </w:tcPr>
          <w:p w:rsidR="00FD3961" w:rsidRPr="00D630D1" w:rsidRDefault="00FD3961" w:rsidP="00D53D7C">
            <w:pPr>
              <w:pStyle w:val="af7"/>
              <w:rPr>
                <w:sz w:val="21"/>
                <w:szCs w:val="21"/>
              </w:rPr>
            </w:pPr>
            <w:r w:rsidRPr="00D630D1">
              <w:rPr>
                <w:sz w:val="21"/>
                <w:szCs w:val="21"/>
              </w:rPr>
              <w:t>4.3</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26</w:t>
            </w:r>
          </w:p>
        </w:tc>
        <w:tc>
          <w:tcPr>
            <w:tcW w:w="2693" w:type="dxa"/>
            <w:vAlign w:val="center"/>
          </w:tcPr>
          <w:p w:rsidR="00FD3961" w:rsidRPr="00D630D1" w:rsidRDefault="00FD3961" w:rsidP="00D53D7C">
            <w:pPr>
              <w:pStyle w:val="af7"/>
              <w:rPr>
                <w:sz w:val="21"/>
                <w:szCs w:val="21"/>
              </w:rPr>
            </w:pPr>
            <w:r w:rsidRPr="00D630D1">
              <w:rPr>
                <w:sz w:val="21"/>
                <w:szCs w:val="21"/>
              </w:rPr>
              <w:t>苯</w:t>
            </w:r>
          </w:p>
        </w:tc>
        <w:tc>
          <w:tcPr>
            <w:tcW w:w="2693" w:type="dxa"/>
            <w:vAlign w:val="center"/>
          </w:tcPr>
          <w:p w:rsidR="00FD3961" w:rsidRPr="00D630D1" w:rsidRDefault="00FD3961" w:rsidP="00D53D7C">
            <w:pPr>
              <w:pStyle w:val="af7"/>
              <w:rPr>
                <w:sz w:val="21"/>
                <w:szCs w:val="21"/>
              </w:rPr>
            </w:pPr>
            <w:r w:rsidRPr="00D630D1">
              <w:rPr>
                <w:sz w:val="21"/>
                <w:szCs w:val="21"/>
              </w:rPr>
              <w:t>4</w:t>
            </w:r>
          </w:p>
        </w:tc>
        <w:tc>
          <w:tcPr>
            <w:tcW w:w="2863" w:type="dxa"/>
            <w:vAlign w:val="center"/>
          </w:tcPr>
          <w:p w:rsidR="00FD3961" w:rsidRPr="00D630D1" w:rsidRDefault="00FD3961" w:rsidP="00D53D7C">
            <w:pPr>
              <w:pStyle w:val="af7"/>
              <w:rPr>
                <w:sz w:val="21"/>
                <w:szCs w:val="21"/>
              </w:rPr>
            </w:pPr>
            <w:r w:rsidRPr="00D630D1">
              <w:rPr>
                <w:sz w:val="21"/>
                <w:szCs w:val="21"/>
              </w:rPr>
              <w:t>40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27</w:t>
            </w:r>
          </w:p>
        </w:tc>
        <w:tc>
          <w:tcPr>
            <w:tcW w:w="2693" w:type="dxa"/>
            <w:vAlign w:val="center"/>
          </w:tcPr>
          <w:p w:rsidR="00FD3961" w:rsidRPr="00D630D1" w:rsidRDefault="00FD3961" w:rsidP="00D53D7C">
            <w:pPr>
              <w:pStyle w:val="af7"/>
              <w:rPr>
                <w:sz w:val="21"/>
                <w:szCs w:val="21"/>
              </w:rPr>
            </w:pPr>
            <w:r w:rsidRPr="00D630D1">
              <w:rPr>
                <w:sz w:val="21"/>
                <w:szCs w:val="21"/>
              </w:rPr>
              <w:t>氯苯</w:t>
            </w:r>
          </w:p>
        </w:tc>
        <w:tc>
          <w:tcPr>
            <w:tcW w:w="2693" w:type="dxa"/>
            <w:vAlign w:val="center"/>
          </w:tcPr>
          <w:p w:rsidR="00FD3961" w:rsidRPr="00D630D1" w:rsidRDefault="00FD3961" w:rsidP="00D53D7C">
            <w:pPr>
              <w:pStyle w:val="af7"/>
              <w:rPr>
                <w:sz w:val="21"/>
                <w:szCs w:val="21"/>
              </w:rPr>
            </w:pPr>
            <w:r w:rsidRPr="00D630D1">
              <w:rPr>
                <w:sz w:val="21"/>
                <w:szCs w:val="21"/>
              </w:rPr>
              <w:t>270</w:t>
            </w:r>
          </w:p>
        </w:tc>
        <w:tc>
          <w:tcPr>
            <w:tcW w:w="2863" w:type="dxa"/>
            <w:vAlign w:val="center"/>
          </w:tcPr>
          <w:p w:rsidR="00FD3961" w:rsidRPr="00D630D1" w:rsidRDefault="00FD3961" w:rsidP="00D53D7C">
            <w:pPr>
              <w:pStyle w:val="af7"/>
              <w:rPr>
                <w:sz w:val="21"/>
                <w:szCs w:val="21"/>
              </w:rPr>
            </w:pPr>
            <w:r w:rsidRPr="00D630D1">
              <w:rPr>
                <w:sz w:val="21"/>
                <w:szCs w:val="21"/>
              </w:rPr>
              <w:t>1000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28</w:t>
            </w:r>
          </w:p>
        </w:tc>
        <w:tc>
          <w:tcPr>
            <w:tcW w:w="2693" w:type="dxa"/>
            <w:vAlign w:val="center"/>
          </w:tcPr>
          <w:p w:rsidR="00FD3961" w:rsidRPr="00D630D1" w:rsidRDefault="00FD3961" w:rsidP="00D53D7C">
            <w:pPr>
              <w:pStyle w:val="af7"/>
              <w:rPr>
                <w:sz w:val="21"/>
                <w:szCs w:val="21"/>
              </w:rPr>
            </w:pPr>
            <w:r w:rsidRPr="00D630D1">
              <w:rPr>
                <w:sz w:val="21"/>
                <w:szCs w:val="21"/>
              </w:rPr>
              <w:t>1,2-</w:t>
            </w:r>
            <w:r w:rsidRPr="00D630D1">
              <w:rPr>
                <w:sz w:val="21"/>
                <w:szCs w:val="21"/>
              </w:rPr>
              <w:t>二氯苯</w:t>
            </w:r>
          </w:p>
        </w:tc>
        <w:tc>
          <w:tcPr>
            <w:tcW w:w="2693" w:type="dxa"/>
            <w:vAlign w:val="center"/>
          </w:tcPr>
          <w:p w:rsidR="00FD3961" w:rsidRPr="00D630D1" w:rsidRDefault="00FD3961" w:rsidP="00D53D7C">
            <w:pPr>
              <w:pStyle w:val="af7"/>
              <w:rPr>
                <w:sz w:val="21"/>
                <w:szCs w:val="21"/>
              </w:rPr>
            </w:pPr>
            <w:r w:rsidRPr="00D630D1">
              <w:rPr>
                <w:sz w:val="21"/>
                <w:szCs w:val="21"/>
              </w:rPr>
              <w:t>560</w:t>
            </w:r>
          </w:p>
        </w:tc>
        <w:tc>
          <w:tcPr>
            <w:tcW w:w="2863" w:type="dxa"/>
            <w:vAlign w:val="center"/>
          </w:tcPr>
          <w:p w:rsidR="00FD3961" w:rsidRPr="00D630D1" w:rsidRDefault="00FD3961" w:rsidP="00D53D7C">
            <w:pPr>
              <w:pStyle w:val="af7"/>
              <w:rPr>
                <w:sz w:val="21"/>
                <w:szCs w:val="21"/>
              </w:rPr>
            </w:pPr>
            <w:r w:rsidRPr="00D630D1">
              <w:rPr>
                <w:sz w:val="21"/>
                <w:szCs w:val="21"/>
              </w:rPr>
              <w:t>560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29</w:t>
            </w:r>
          </w:p>
        </w:tc>
        <w:tc>
          <w:tcPr>
            <w:tcW w:w="2693" w:type="dxa"/>
            <w:vAlign w:val="center"/>
          </w:tcPr>
          <w:p w:rsidR="00FD3961" w:rsidRPr="00D630D1" w:rsidRDefault="00FD3961" w:rsidP="00D53D7C">
            <w:pPr>
              <w:pStyle w:val="af7"/>
              <w:rPr>
                <w:sz w:val="21"/>
                <w:szCs w:val="21"/>
              </w:rPr>
            </w:pPr>
            <w:r w:rsidRPr="00D630D1">
              <w:rPr>
                <w:sz w:val="21"/>
                <w:szCs w:val="21"/>
              </w:rPr>
              <w:t>1,4-</w:t>
            </w:r>
            <w:r w:rsidRPr="00D630D1">
              <w:rPr>
                <w:sz w:val="21"/>
                <w:szCs w:val="21"/>
              </w:rPr>
              <w:t>二氯苯</w:t>
            </w:r>
          </w:p>
        </w:tc>
        <w:tc>
          <w:tcPr>
            <w:tcW w:w="2693" w:type="dxa"/>
            <w:vAlign w:val="center"/>
          </w:tcPr>
          <w:p w:rsidR="00FD3961" w:rsidRPr="00D630D1" w:rsidRDefault="00FD3961" w:rsidP="00D53D7C">
            <w:pPr>
              <w:pStyle w:val="af7"/>
              <w:rPr>
                <w:sz w:val="21"/>
                <w:szCs w:val="21"/>
              </w:rPr>
            </w:pPr>
            <w:r w:rsidRPr="00D630D1">
              <w:rPr>
                <w:sz w:val="21"/>
                <w:szCs w:val="21"/>
              </w:rPr>
              <w:t>20</w:t>
            </w:r>
          </w:p>
        </w:tc>
        <w:tc>
          <w:tcPr>
            <w:tcW w:w="2863" w:type="dxa"/>
            <w:vAlign w:val="center"/>
          </w:tcPr>
          <w:p w:rsidR="00FD3961" w:rsidRPr="00D630D1" w:rsidRDefault="00FD3961" w:rsidP="00D53D7C">
            <w:pPr>
              <w:pStyle w:val="af7"/>
              <w:rPr>
                <w:sz w:val="21"/>
                <w:szCs w:val="21"/>
              </w:rPr>
            </w:pPr>
            <w:r w:rsidRPr="00D630D1">
              <w:rPr>
                <w:sz w:val="21"/>
                <w:szCs w:val="21"/>
              </w:rPr>
              <w:t>200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30</w:t>
            </w:r>
          </w:p>
        </w:tc>
        <w:tc>
          <w:tcPr>
            <w:tcW w:w="2693" w:type="dxa"/>
            <w:vAlign w:val="center"/>
          </w:tcPr>
          <w:p w:rsidR="00FD3961" w:rsidRPr="00D630D1" w:rsidRDefault="00FD3961" w:rsidP="00D53D7C">
            <w:pPr>
              <w:pStyle w:val="af7"/>
              <w:rPr>
                <w:sz w:val="21"/>
                <w:szCs w:val="21"/>
              </w:rPr>
            </w:pPr>
            <w:r w:rsidRPr="00D630D1">
              <w:rPr>
                <w:sz w:val="21"/>
                <w:szCs w:val="21"/>
              </w:rPr>
              <w:t>乙苯</w:t>
            </w:r>
          </w:p>
        </w:tc>
        <w:tc>
          <w:tcPr>
            <w:tcW w:w="2693" w:type="dxa"/>
            <w:vAlign w:val="center"/>
          </w:tcPr>
          <w:p w:rsidR="00FD3961" w:rsidRPr="00D630D1" w:rsidRDefault="00FD3961" w:rsidP="00D53D7C">
            <w:pPr>
              <w:pStyle w:val="af7"/>
              <w:rPr>
                <w:sz w:val="21"/>
                <w:szCs w:val="21"/>
              </w:rPr>
            </w:pPr>
            <w:r w:rsidRPr="00D630D1">
              <w:rPr>
                <w:sz w:val="21"/>
                <w:szCs w:val="21"/>
              </w:rPr>
              <w:t>28</w:t>
            </w:r>
          </w:p>
        </w:tc>
        <w:tc>
          <w:tcPr>
            <w:tcW w:w="2863" w:type="dxa"/>
            <w:vAlign w:val="center"/>
          </w:tcPr>
          <w:p w:rsidR="00FD3961" w:rsidRPr="00D630D1" w:rsidRDefault="00FD3961" w:rsidP="00D53D7C">
            <w:pPr>
              <w:pStyle w:val="af7"/>
              <w:rPr>
                <w:sz w:val="21"/>
                <w:szCs w:val="21"/>
              </w:rPr>
            </w:pPr>
            <w:r w:rsidRPr="00D630D1">
              <w:rPr>
                <w:sz w:val="21"/>
                <w:szCs w:val="21"/>
              </w:rPr>
              <w:t>280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31</w:t>
            </w:r>
          </w:p>
        </w:tc>
        <w:tc>
          <w:tcPr>
            <w:tcW w:w="2693" w:type="dxa"/>
            <w:vAlign w:val="center"/>
          </w:tcPr>
          <w:p w:rsidR="00FD3961" w:rsidRPr="00D630D1" w:rsidRDefault="00FD3961" w:rsidP="00D53D7C">
            <w:pPr>
              <w:pStyle w:val="af7"/>
              <w:rPr>
                <w:sz w:val="21"/>
                <w:szCs w:val="21"/>
              </w:rPr>
            </w:pPr>
            <w:r w:rsidRPr="00D630D1">
              <w:rPr>
                <w:sz w:val="21"/>
                <w:szCs w:val="21"/>
              </w:rPr>
              <w:t>苯乙烯</w:t>
            </w:r>
          </w:p>
        </w:tc>
        <w:tc>
          <w:tcPr>
            <w:tcW w:w="2693" w:type="dxa"/>
            <w:vAlign w:val="center"/>
          </w:tcPr>
          <w:p w:rsidR="00FD3961" w:rsidRPr="00D630D1" w:rsidRDefault="00FD3961" w:rsidP="00D53D7C">
            <w:pPr>
              <w:pStyle w:val="af7"/>
              <w:rPr>
                <w:sz w:val="21"/>
                <w:szCs w:val="21"/>
              </w:rPr>
            </w:pPr>
            <w:r w:rsidRPr="00D630D1">
              <w:rPr>
                <w:sz w:val="21"/>
                <w:szCs w:val="21"/>
              </w:rPr>
              <w:t>1290</w:t>
            </w:r>
          </w:p>
        </w:tc>
        <w:tc>
          <w:tcPr>
            <w:tcW w:w="2863" w:type="dxa"/>
            <w:vAlign w:val="center"/>
          </w:tcPr>
          <w:p w:rsidR="00FD3961" w:rsidRPr="00D630D1" w:rsidRDefault="00FD3961" w:rsidP="00D53D7C">
            <w:pPr>
              <w:pStyle w:val="af7"/>
              <w:rPr>
                <w:sz w:val="21"/>
                <w:szCs w:val="21"/>
              </w:rPr>
            </w:pPr>
            <w:r w:rsidRPr="00D630D1">
              <w:rPr>
                <w:sz w:val="21"/>
                <w:szCs w:val="21"/>
              </w:rPr>
              <w:t>1290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32</w:t>
            </w:r>
          </w:p>
        </w:tc>
        <w:tc>
          <w:tcPr>
            <w:tcW w:w="2693" w:type="dxa"/>
            <w:vAlign w:val="center"/>
          </w:tcPr>
          <w:p w:rsidR="00FD3961" w:rsidRPr="00D630D1" w:rsidRDefault="00FD3961" w:rsidP="00D53D7C">
            <w:pPr>
              <w:pStyle w:val="af7"/>
              <w:rPr>
                <w:sz w:val="21"/>
                <w:szCs w:val="21"/>
              </w:rPr>
            </w:pPr>
            <w:r w:rsidRPr="00D630D1">
              <w:rPr>
                <w:sz w:val="21"/>
                <w:szCs w:val="21"/>
              </w:rPr>
              <w:t>甲苯</w:t>
            </w:r>
          </w:p>
        </w:tc>
        <w:tc>
          <w:tcPr>
            <w:tcW w:w="2693" w:type="dxa"/>
            <w:vAlign w:val="center"/>
          </w:tcPr>
          <w:p w:rsidR="00FD3961" w:rsidRPr="00D630D1" w:rsidRDefault="00FD3961" w:rsidP="00D53D7C">
            <w:pPr>
              <w:pStyle w:val="af7"/>
              <w:rPr>
                <w:sz w:val="21"/>
                <w:szCs w:val="21"/>
              </w:rPr>
            </w:pPr>
            <w:r w:rsidRPr="00D630D1">
              <w:rPr>
                <w:sz w:val="21"/>
                <w:szCs w:val="21"/>
              </w:rPr>
              <w:t>1200</w:t>
            </w:r>
          </w:p>
        </w:tc>
        <w:tc>
          <w:tcPr>
            <w:tcW w:w="2863" w:type="dxa"/>
            <w:vAlign w:val="center"/>
          </w:tcPr>
          <w:p w:rsidR="00FD3961" w:rsidRPr="00D630D1" w:rsidRDefault="00FD3961" w:rsidP="00D53D7C">
            <w:pPr>
              <w:pStyle w:val="af7"/>
              <w:rPr>
                <w:sz w:val="21"/>
                <w:szCs w:val="21"/>
              </w:rPr>
            </w:pPr>
            <w:r w:rsidRPr="00D630D1">
              <w:rPr>
                <w:sz w:val="21"/>
                <w:szCs w:val="21"/>
              </w:rPr>
              <w:t>1200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33</w:t>
            </w:r>
          </w:p>
        </w:tc>
        <w:tc>
          <w:tcPr>
            <w:tcW w:w="2693" w:type="dxa"/>
            <w:vAlign w:val="center"/>
          </w:tcPr>
          <w:p w:rsidR="00FD3961" w:rsidRPr="00D630D1" w:rsidRDefault="00FD3961" w:rsidP="00D53D7C">
            <w:pPr>
              <w:pStyle w:val="af7"/>
              <w:rPr>
                <w:sz w:val="21"/>
                <w:szCs w:val="21"/>
              </w:rPr>
            </w:pPr>
            <w:r w:rsidRPr="00D630D1">
              <w:rPr>
                <w:sz w:val="21"/>
                <w:szCs w:val="21"/>
              </w:rPr>
              <w:t>间二甲苯</w:t>
            </w:r>
            <w:r w:rsidRPr="00D630D1">
              <w:rPr>
                <w:sz w:val="21"/>
                <w:szCs w:val="21"/>
              </w:rPr>
              <w:t>+</w:t>
            </w:r>
            <w:r w:rsidRPr="00D630D1">
              <w:rPr>
                <w:sz w:val="21"/>
                <w:szCs w:val="21"/>
              </w:rPr>
              <w:t>对二甲苯</w:t>
            </w:r>
          </w:p>
        </w:tc>
        <w:tc>
          <w:tcPr>
            <w:tcW w:w="2693" w:type="dxa"/>
            <w:vAlign w:val="center"/>
          </w:tcPr>
          <w:p w:rsidR="00FD3961" w:rsidRPr="00D630D1" w:rsidRDefault="00FD3961" w:rsidP="00D53D7C">
            <w:pPr>
              <w:pStyle w:val="af7"/>
              <w:rPr>
                <w:sz w:val="21"/>
                <w:szCs w:val="21"/>
              </w:rPr>
            </w:pPr>
            <w:r w:rsidRPr="00D630D1">
              <w:rPr>
                <w:sz w:val="21"/>
                <w:szCs w:val="21"/>
              </w:rPr>
              <w:t>570</w:t>
            </w:r>
          </w:p>
        </w:tc>
        <w:tc>
          <w:tcPr>
            <w:tcW w:w="2863" w:type="dxa"/>
            <w:vAlign w:val="center"/>
          </w:tcPr>
          <w:p w:rsidR="00FD3961" w:rsidRPr="00D630D1" w:rsidRDefault="00FD3961" w:rsidP="00D53D7C">
            <w:pPr>
              <w:pStyle w:val="af7"/>
              <w:rPr>
                <w:sz w:val="21"/>
                <w:szCs w:val="21"/>
              </w:rPr>
            </w:pPr>
            <w:r w:rsidRPr="00D630D1">
              <w:rPr>
                <w:sz w:val="21"/>
                <w:szCs w:val="21"/>
              </w:rPr>
              <w:t>570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34</w:t>
            </w:r>
          </w:p>
        </w:tc>
        <w:tc>
          <w:tcPr>
            <w:tcW w:w="2693" w:type="dxa"/>
            <w:vAlign w:val="center"/>
          </w:tcPr>
          <w:p w:rsidR="00FD3961" w:rsidRPr="00D630D1" w:rsidRDefault="00FD3961" w:rsidP="00D53D7C">
            <w:pPr>
              <w:pStyle w:val="af7"/>
              <w:rPr>
                <w:sz w:val="21"/>
                <w:szCs w:val="21"/>
              </w:rPr>
            </w:pPr>
            <w:r w:rsidRPr="00D630D1">
              <w:rPr>
                <w:sz w:val="21"/>
                <w:szCs w:val="21"/>
              </w:rPr>
              <w:t>邻二甲苯</w:t>
            </w:r>
          </w:p>
        </w:tc>
        <w:tc>
          <w:tcPr>
            <w:tcW w:w="2693" w:type="dxa"/>
            <w:vAlign w:val="center"/>
          </w:tcPr>
          <w:p w:rsidR="00FD3961" w:rsidRPr="00D630D1" w:rsidRDefault="00FD3961" w:rsidP="00D53D7C">
            <w:pPr>
              <w:pStyle w:val="af7"/>
              <w:rPr>
                <w:sz w:val="21"/>
                <w:szCs w:val="21"/>
              </w:rPr>
            </w:pPr>
            <w:r w:rsidRPr="00D630D1">
              <w:rPr>
                <w:sz w:val="21"/>
                <w:szCs w:val="21"/>
              </w:rPr>
              <w:t>640</w:t>
            </w:r>
          </w:p>
        </w:tc>
        <w:tc>
          <w:tcPr>
            <w:tcW w:w="2863" w:type="dxa"/>
            <w:vAlign w:val="center"/>
          </w:tcPr>
          <w:p w:rsidR="00FD3961" w:rsidRPr="00D630D1" w:rsidRDefault="00FD3961" w:rsidP="00D53D7C">
            <w:pPr>
              <w:pStyle w:val="af7"/>
              <w:rPr>
                <w:sz w:val="21"/>
                <w:szCs w:val="21"/>
              </w:rPr>
            </w:pPr>
            <w:r w:rsidRPr="00D630D1">
              <w:rPr>
                <w:sz w:val="21"/>
                <w:szCs w:val="21"/>
              </w:rPr>
              <w:t>640</w:t>
            </w:r>
          </w:p>
        </w:tc>
      </w:tr>
      <w:tr w:rsidR="00FD3961" w:rsidRPr="00D630D1" w:rsidTr="00FD3961">
        <w:trPr>
          <w:cantSplit/>
          <w:trHeight w:val="20"/>
          <w:jc w:val="center"/>
        </w:trPr>
        <w:tc>
          <w:tcPr>
            <w:tcW w:w="9208" w:type="dxa"/>
            <w:gridSpan w:val="4"/>
            <w:vAlign w:val="center"/>
          </w:tcPr>
          <w:p w:rsidR="00FD3961" w:rsidRPr="00D630D1" w:rsidRDefault="00FD3961" w:rsidP="00D53D7C">
            <w:pPr>
              <w:pStyle w:val="af7"/>
              <w:jc w:val="both"/>
              <w:rPr>
                <w:sz w:val="21"/>
                <w:szCs w:val="21"/>
              </w:rPr>
            </w:pPr>
            <w:r w:rsidRPr="00D630D1">
              <w:rPr>
                <w:sz w:val="21"/>
                <w:szCs w:val="21"/>
              </w:rPr>
              <w:t>半挥发性有机物</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35</w:t>
            </w:r>
          </w:p>
        </w:tc>
        <w:tc>
          <w:tcPr>
            <w:tcW w:w="2693" w:type="dxa"/>
            <w:vAlign w:val="center"/>
          </w:tcPr>
          <w:p w:rsidR="00FD3961" w:rsidRPr="00D630D1" w:rsidRDefault="00FD3961" w:rsidP="00D53D7C">
            <w:pPr>
              <w:pStyle w:val="af7"/>
              <w:rPr>
                <w:sz w:val="21"/>
                <w:szCs w:val="21"/>
              </w:rPr>
            </w:pPr>
            <w:r w:rsidRPr="00D630D1">
              <w:rPr>
                <w:sz w:val="21"/>
                <w:szCs w:val="21"/>
              </w:rPr>
              <w:t>硝基苯</w:t>
            </w:r>
          </w:p>
        </w:tc>
        <w:tc>
          <w:tcPr>
            <w:tcW w:w="2693" w:type="dxa"/>
            <w:vAlign w:val="center"/>
          </w:tcPr>
          <w:p w:rsidR="00FD3961" w:rsidRPr="00D630D1" w:rsidRDefault="00FD3961" w:rsidP="00D53D7C">
            <w:pPr>
              <w:pStyle w:val="af7"/>
              <w:rPr>
                <w:sz w:val="21"/>
                <w:szCs w:val="21"/>
              </w:rPr>
            </w:pPr>
            <w:r w:rsidRPr="00D630D1">
              <w:rPr>
                <w:sz w:val="21"/>
                <w:szCs w:val="21"/>
              </w:rPr>
              <w:t>76</w:t>
            </w:r>
          </w:p>
        </w:tc>
        <w:tc>
          <w:tcPr>
            <w:tcW w:w="2863" w:type="dxa"/>
            <w:vAlign w:val="center"/>
          </w:tcPr>
          <w:p w:rsidR="00FD3961" w:rsidRPr="00D630D1" w:rsidRDefault="00FD3961" w:rsidP="00D53D7C">
            <w:pPr>
              <w:pStyle w:val="af7"/>
              <w:rPr>
                <w:sz w:val="21"/>
                <w:szCs w:val="21"/>
              </w:rPr>
            </w:pPr>
            <w:r w:rsidRPr="00D630D1">
              <w:rPr>
                <w:sz w:val="21"/>
                <w:szCs w:val="21"/>
              </w:rPr>
              <w:t>760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36</w:t>
            </w:r>
          </w:p>
        </w:tc>
        <w:tc>
          <w:tcPr>
            <w:tcW w:w="2693" w:type="dxa"/>
            <w:vAlign w:val="center"/>
          </w:tcPr>
          <w:p w:rsidR="00FD3961" w:rsidRPr="00D630D1" w:rsidRDefault="00FD3961" w:rsidP="00D53D7C">
            <w:pPr>
              <w:pStyle w:val="af7"/>
              <w:rPr>
                <w:sz w:val="21"/>
                <w:szCs w:val="21"/>
              </w:rPr>
            </w:pPr>
            <w:r w:rsidRPr="00D630D1">
              <w:rPr>
                <w:sz w:val="21"/>
                <w:szCs w:val="21"/>
              </w:rPr>
              <w:t>苯胺</w:t>
            </w:r>
          </w:p>
        </w:tc>
        <w:tc>
          <w:tcPr>
            <w:tcW w:w="2693" w:type="dxa"/>
            <w:vAlign w:val="center"/>
          </w:tcPr>
          <w:p w:rsidR="00FD3961" w:rsidRPr="00D630D1" w:rsidRDefault="00FD3961" w:rsidP="00D53D7C">
            <w:pPr>
              <w:pStyle w:val="af7"/>
              <w:rPr>
                <w:sz w:val="21"/>
                <w:szCs w:val="21"/>
              </w:rPr>
            </w:pPr>
            <w:r w:rsidRPr="00D630D1">
              <w:rPr>
                <w:sz w:val="21"/>
                <w:szCs w:val="21"/>
              </w:rPr>
              <w:t>260</w:t>
            </w:r>
          </w:p>
        </w:tc>
        <w:tc>
          <w:tcPr>
            <w:tcW w:w="2863" w:type="dxa"/>
            <w:vAlign w:val="center"/>
          </w:tcPr>
          <w:p w:rsidR="00FD3961" w:rsidRPr="00D630D1" w:rsidRDefault="00FD3961" w:rsidP="00D53D7C">
            <w:pPr>
              <w:pStyle w:val="af7"/>
              <w:rPr>
                <w:sz w:val="21"/>
                <w:szCs w:val="21"/>
              </w:rPr>
            </w:pPr>
            <w:r w:rsidRPr="00D630D1">
              <w:rPr>
                <w:sz w:val="21"/>
                <w:szCs w:val="21"/>
              </w:rPr>
              <w:t>663</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37</w:t>
            </w:r>
          </w:p>
        </w:tc>
        <w:tc>
          <w:tcPr>
            <w:tcW w:w="2693" w:type="dxa"/>
            <w:vAlign w:val="center"/>
          </w:tcPr>
          <w:p w:rsidR="00FD3961" w:rsidRPr="00D630D1" w:rsidRDefault="00FD3961" w:rsidP="00D53D7C">
            <w:pPr>
              <w:pStyle w:val="af7"/>
              <w:rPr>
                <w:sz w:val="21"/>
                <w:szCs w:val="21"/>
              </w:rPr>
            </w:pPr>
            <w:r w:rsidRPr="00D630D1">
              <w:rPr>
                <w:sz w:val="21"/>
                <w:szCs w:val="21"/>
              </w:rPr>
              <w:t>2-</w:t>
            </w:r>
            <w:r w:rsidRPr="00D630D1">
              <w:rPr>
                <w:sz w:val="21"/>
                <w:szCs w:val="21"/>
              </w:rPr>
              <w:t>氯酚</w:t>
            </w:r>
          </w:p>
        </w:tc>
        <w:tc>
          <w:tcPr>
            <w:tcW w:w="2693" w:type="dxa"/>
            <w:vAlign w:val="center"/>
          </w:tcPr>
          <w:p w:rsidR="00FD3961" w:rsidRPr="00D630D1" w:rsidRDefault="00FD3961" w:rsidP="00D53D7C">
            <w:pPr>
              <w:pStyle w:val="af7"/>
              <w:rPr>
                <w:sz w:val="21"/>
                <w:szCs w:val="21"/>
              </w:rPr>
            </w:pPr>
            <w:r w:rsidRPr="00D630D1">
              <w:rPr>
                <w:sz w:val="21"/>
                <w:szCs w:val="21"/>
              </w:rPr>
              <w:t>2256</w:t>
            </w:r>
          </w:p>
        </w:tc>
        <w:tc>
          <w:tcPr>
            <w:tcW w:w="2863" w:type="dxa"/>
            <w:vAlign w:val="center"/>
          </w:tcPr>
          <w:p w:rsidR="00FD3961" w:rsidRPr="00D630D1" w:rsidRDefault="00FD3961" w:rsidP="00D53D7C">
            <w:pPr>
              <w:pStyle w:val="af7"/>
              <w:rPr>
                <w:sz w:val="21"/>
                <w:szCs w:val="21"/>
              </w:rPr>
            </w:pPr>
            <w:r w:rsidRPr="00D630D1">
              <w:rPr>
                <w:sz w:val="21"/>
                <w:szCs w:val="21"/>
              </w:rPr>
              <w:t>4500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38</w:t>
            </w:r>
          </w:p>
        </w:tc>
        <w:tc>
          <w:tcPr>
            <w:tcW w:w="2693" w:type="dxa"/>
            <w:vAlign w:val="center"/>
          </w:tcPr>
          <w:p w:rsidR="00FD3961" w:rsidRPr="00D630D1" w:rsidRDefault="00FD3961" w:rsidP="00D53D7C">
            <w:pPr>
              <w:pStyle w:val="af7"/>
              <w:rPr>
                <w:sz w:val="21"/>
                <w:szCs w:val="21"/>
              </w:rPr>
            </w:pPr>
            <w:r w:rsidRPr="00D630D1">
              <w:rPr>
                <w:sz w:val="21"/>
                <w:szCs w:val="21"/>
              </w:rPr>
              <w:t>苯并</w:t>
            </w:r>
            <w:r w:rsidRPr="00D630D1">
              <w:rPr>
                <w:sz w:val="21"/>
                <w:szCs w:val="21"/>
              </w:rPr>
              <w:t>[a]</w:t>
            </w:r>
            <w:r w:rsidRPr="00D630D1">
              <w:rPr>
                <w:sz w:val="21"/>
                <w:szCs w:val="21"/>
              </w:rPr>
              <w:t>蒽</w:t>
            </w:r>
          </w:p>
        </w:tc>
        <w:tc>
          <w:tcPr>
            <w:tcW w:w="2693" w:type="dxa"/>
            <w:vAlign w:val="center"/>
          </w:tcPr>
          <w:p w:rsidR="00FD3961" w:rsidRPr="00D630D1" w:rsidRDefault="00FD3961" w:rsidP="00D53D7C">
            <w:pPr>
              <w:pStyle w:val="af7"/>
              <w:rPr>
                <w:sz w:val="21"/>
                <w:szCs w:val="21"/>
              </w:rPr>
            </w:pPr>
            <w:r w:rsidRPr="00D630D1">
              <w:rPr>
                <w:sz w:val="21"/>
                <w:szCs w:val="21"/>
              </w:rPr>
              <w:t>15</w:t>
            </w:r>
          </w:p>
        </w:tc>
        <w:tc>
          <w:tcPr>
            <w:tcW w:w="2863" w:type="dxa"/>
            <w:vAlign w:val="center"/>
          </w:tcPr>
          <w:p w:rsidR="00FD3961" w:rsidRPr="00D630D1" w:rsidRDefault="00FD3961" w:rsidP="00D53D7C">
            <w:pPr>
              <w:pStyle w:val="af7"/>
              <w:rPr>
                <w:sz w:val="21"/>
                <w:szCs w:val="21"/>
              </w:rPr>
            </w:pPr>
            <w:r w:rsidRPr="00D630D1">
              <w:rPr>
                <w:sz w:val="21"/>
                <w:szCs w:val="21"/>
              </w:rPr>
              <w:t>151</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39</w:t>
            </w:r>
          </w:p>
        </w:tc>
        <w:tc>
          <w:tcPr>
            <w:tcW w:w="2693" w:type="dxa"/>
            <w:vAlign w:val="center"/>
          </w:tcPr>
          <w:p w:rsidR="00FD3961" w:rsidRPr="00D630D1" w:rsidRDefault="00FD3961" w:rsidP="00D53D7C">
            <w:pPr>
              <w:pStyle w:val="af7"/>
              <w:rPr>
                <w:sz w:val="21"/>
                <w:szCs w:val="21"/>
              </w:rPr>
            </w:pPr>
            <w:r w:rsidRPr="00D630D1">
              <w:rPr>
                <w:sz w:val="21"/>
                <w:szCs w:val="21"/>
              </w:rPr>
              <w:t>苯并</w:t>
            </w:r>
            <w:r w:rsidRPr="00D630D1">
              <w:rPr>
                <w:sz w:val="21"/>
                <w:szCs w:val="21"/>
              </w:rPr>
              <w:t>[a]</w:t>
            </w:r>
            <w:r w:rsidRPr="00D630D1">
              <w:rPr>
                <w:sz w:val="21"/>
                <w:szCs w:val="21"/>
              </w:rPr>
              <w:t>芘</w:t>
            </w:r>
          </w:p>
        </w:tc>
        <w:tc>
          <w:tcPr>
            <w:tcW w:w="2693" w:type="dxa"/>
            <w:vAlign w:val="center"/>
          </w:tcPr>
          <w:p w:rsidR="00FD3961" w:rsidRPr="00D630D1" w:rsidRDefault="00FD3961" w:rsidP="00D53D7C">
            <w:pPr>
              <w:pStyle w:val="af7"/>
              <w:rPr>
                <w:sz w:val="21"/>
                <w:szCs w:val="21"/>
              </w:rPr>
            </w:pPr>
            <w:r w:rsidRPr="00D630D1">
              <w:rPr>
                <w:sz w:val="21"/>
                <w:szCs w:val="21"/>
              </w:rPr>
              <w:t>1.5</w:t>
            </w:r>
          </w:p>
        </w:tc>
        <w:tc>
          <w:tcPr>
            <w:tcW w:w="2863" w:type="dxa"/>
            <w:vAlign w:val="center"/>
          </w:tcPr>
          <w:p w:rsidR="00FD3961" w:rsidRPr="00D630D1" w:rsidRDefault="00FD3961" w:rsidP="00D53D7C">
            <w:pPr>
              <w:pStyle w:val="af7"/>
              <w:rPr>
                <w:sz w:val="21"/>
                <w:szCs w:val="21"/>
              </w:rPr>
            </w:pPr>
            <w:r w:rsidRPr="00D630D1">
              <w:rPr>
                <w:sz w:val="21"/>
                <w:szCs w:val="21"/>
              </w:rPr>
              <w:t>15</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40</w:t>
            </w:r>
          </w:p>
        </w:tc>
        <w:tc>
          <w:tcPr>
            <w:tcW w:w="2693" w:type="dxa"/>
            <w:vAlign w:val="center"/>
          </w:tcPr>
          <w:p w:rsidR="00FD3961" w:rsidRPr="00D630D1" w:rsidRDefault="00FD3961" w:rsidP="00D53D7C">
            <w:pPr>
              <w:pStyle w:val="af7"/>
              <w:rPr>
                <w:sz w:val="21"/>
                <w:szCs w:val="21"/>
              </w:rPr>
            </w:pPr>
            <w:r w:rsidRPr="00D630D1">
              <w:rPr>
                <w:sz w:val="21"/>
                <w:szCs w:val="21"/>
              </w:rPr>
              <w:t>苯并</w:t>
            </w:r>
            <w:r w:rsidRPr="00D630D1">
              <w:rPr>
                <w:sz w:val="21"/>
                <w:szCs w:val="21"/>
              </w:rPr>
              <w:t>[b]</w:t>
            </w:r>
            <w:r w:rsidRPr="00D630D1">
              <w:rPr>
                <w:sz w:val="21"/>
                <w:szCs w:val="21"/>
              </w:rPr>
              <w:t>荧蒽</w:t>
            </w:r>
          </w:p>
        </w:tc>
        <w:tc>
          <w:tcPr>
            <w:tcW w:w="2693" w:type="dxa"/>
            <w:vAlign w:val="center"/>
          </w:tcPr>
          <w:p w:rsidR="00FD3961" w:rsidRPr="00D630D1" w:rsidRDefault="00FD3961" w:rsidP="00D53D7C">
            <w:pPr>
              <w:pStyle w:val="af7"/>
              <w:rPr>
                <w:sz w:val="21"/>
                <w:szCs w:val="21"/>
              </w:rPr>
            </w:pPr>
            <w:r w:rsidRPr="00D630D1">
              <w:rPr>
                <w:sz w:val="21"/>
                <w:szCs w:val="21"/>
              </w:rPr>
              <w:t>15</w:t>
            </w:r>
          </w:p>
        </w:tc>
        <w:tc>
          <w:tcPr>
            <w:tcW w:w="2863" w:type="dxa"/>
            <w:vAlign w:val="center"/>
          </w:tcPr>
          <w:p w:rsidR="00FD3961" w:rsidRPr="00D630D1" w:rsidRDefault="00FD3961" w:rsidP="00D53D7C">
            <w:pPr>
              <w:pStyle w:val="af7"/>
              <w:rPr>
                <w:sz w:val="21"/>
                <w:szCs w:val="21"/>
              </w:rPr>
            </w:pPr>
            <w:r w:rsidRPr="00D630D1">
              <w:rPr>
                <w:sz w:val="21"/>
                <w:szCs w:val="21"/>
              </w:rPr>
              <w:t>151</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41</w:t>
            </w:r>
          </w:p>
        </w:tc>
        <w:tc>
          <w:tcPr>
            <w:tcW w:w="2693" w:type="dxa"/>
            <w:vAlign w:val="center"/>
          </w:tcPr>
          <w:p w:rsidR="00FD3961" w:rsidRPr="00D630D1" w:rsidRDefault="00FD3961" w:rsidP="00D53D7C">
            <w:pPr>
              <w:pStyle w:val="af7"/>
              <w:rPr>
                <w:sz w:val="21"/>
                <w:szCs w:val="21"/>
              </w:rPr>
            </w:pPr>
            <w:r w:rsidRPr="00D630D1">
              <w:rPr>
                <w:sz w:val="21"/>
                <w:szCs w:val="21"/>
              </w:rPr>
              <w:t>苯并</w:t>
            </w:r>
            <w:r w:rsidRPr="00D630D1">
              <w:rPr>
                <w:sz w:val="21"/>
                <w:szCs w:val="21"/>
              </w:rPr>
              <w:t>[k]</w:t>
            </w:r>
            <w:r w:rsidRPr="00D630D1">
              <w:rPr>
                <w:sz w:val="21"/>
                <w:szCs w:val="21"/>
              </w:rPr>
              <w:t>荧蒽</w:t>
            </w:r>
          </w:p>
        </w:tc>
        <w:tc>
          <w:tcPr>
            <w:tcW w:w="2693" w:type="dxa"/>
            <w:vAlign w:val="center"/>
          </w:tcPr>
          <w:p w:rsidR="00FD3961" w:rsidRPr="00D630D1" w:rsidRDefault="00FD3961" w:rsidP="00D53D7C">
            <w:pPr>
              <w:pStyle w:val="af7"/>
              <w:rPr>
                <w:sz w:val="21"/>
                <w:szCs w:val="21"/>
              </w:rPr>
            </w:pPr>
            <w:r w:rsidRPr="00D630D1">
              <w:rPr>
                <w:sz w:val="21"/>
                <w:szCs w:val="21"/>
              </w:rPr>
              <w:t>151</w:t>
            </w:r>
          </w:p>
        </w:tc>
        <w:tc>
          <w:tcPr>
            <w:tcW w:w="2863" w:type="dxa"/>
            <w:vAlign w:val="center"/>
          </w:tcPr>
          <w:p w:rsidR="00FD3961" w:rsidRPr="00D630D1" w:rsidRDefault="00FD3961" w:rsidP="00D53D7C">
            <w:pPr>
              <w:pStyle w:val="af7"/>
              <w:rPr>
                <w:sz w:val="21"/>
                <w:szCs w:val="21"/>
              </w:rPr>
            </w:pPr>
            <w:r w:rsidRPr="00D630D1">
              <w:rPr>
                <w:sz w:val="21"/>
                <w:szCs w:val="21"/>
              </w:rPr>
              <w:t>1500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42</w:t>
            </w:r>
          </w:p>
        </w:tc>
        <w:tc>
          <w:tcPr>
            <w:tcW w:w="2693" w:type="dxa"/>
            <w:vAlign w:val="center"/>
          </w:tcPr>
          <w:p w:rsidR="00FD3961" w:rsidRPr="00D630D1" w:rsidRDefault="00FD3961" w:rsidP="00D53D7C">
            <w:pPr>
              <w:pStyle w:val="af7"/>
              <w:rPr>
                <w:sz w:val="21"/>
                <w:szCs w:val="21"/>
              </w:rPr>
            </w:pPr>
            <w:r w:rsidRPr="00D630D1">
              <w:rPr>
                <w:bCs/>
                <w:sz w:val="21"/>
                <w:szCs w:val="21"/>
              </w:rPr>
              <w:t>䓛</w:t>
            </w:r>
          </w:p>
        </w:tc>
        <w:tc>
          <w:tcPr>
            <w:tcW w:w="2693" w:type="dxa"/>
            <w:vAlign w:val="center"/>
          </w:tcPr>
          <w:p w:rsidR="00FD3961" w:rsidRPr="00D630D1" w:rsidRDefault="00FD3961" w:rsidP="00D53D7C">
            <w:pPr>
              <w:pStyle w:val="af7"/>
              <w:rPr>
                <w:sz w:val="21"/>
                <w:szCs w:val="21"/>
              </w:rPr>
            </w:pPr>
            <w:r w:rsidRPr="00D630D1">
              <w:rPr>
                <w:sz w:val="21"/>
                <w:szCs w:val="21"/>
              </w:rPr>
              <w:t>1293</w:t>
            </w:r>
          </w:p>
        </w:tc>
        <w:tc>
          <w:tcPr>
            <w:tcW w:w="2863" w:type="dxa"/>
            <w:vAlign w:val="center"/>
          </w:tcPr>
          <w:p w:rsidR="00FD3961" w:rsidRPr="00D630D1" w:rsidRDefault="00FD3961" w:rsidP="00D53D7C">
            <w:pPr>
              <w:pStyle w:val="af7"/>
              <w:rPr>
                <w:sz w:val="21"/>
                <w:szCs w:val="21"/>
              </w:rPr>
            </w:pPr>
            <w:r w:rsidRPr="00D630D1">
              <w:rPr>
                <w:sz w:val="21"/>
                <w:szCs w:val="21"/>
              </w:rPr>
              <w:t>12900</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43</w:t>
            </w:r>
          </w:p>
        </w:tc>
        <w:tc>
          <w:tcPr>
            <w:tcW w:w="2693" w:type="dxa"/>
            <w:vAlign w:val="center"/>
          </w:tcPr>
          <w:p w:rsidR="00FD3961" w:rsidRPr="00D630D1" w:rsidRDefault="00FD3961" w:rsidP="00D53D7C">
            <w:pPr>
              <w:pStyle w:val="af7"/>
              <w:rPr>
                <w:sz w:val="21"/>
                <w:szCs w:val="21"/>
              </w:rPr>
            </w:pPr>
            <w:r w:rsidRPr="00D630D1">
              <w:rPr>
                <w:sz w:val="21"/>
                <w:szCs w:val="21"/>
              </w:rPr>
              <w:t>二苯并</w:t>
            </w:r>
            <w:r w:rsidRPr="00D630D1">
              <w:rPr>
                <w:sz w:val="21"/>
                <w:szCs w:val="21"/>
              </w:rPr>
              <w:t>[a,h]</w:t>
            </w:r>
            <w:r w:rsidRPr="00D630D1">
              <w:rPr>
                <w:sz w:val="21"/>
                <w:szCs w:val="21"/>
              </w:rPr>
              <w:t>蒽</w:t>
            </w:r>
          </w:p>
        </w:tc>
        <w:tc>
          <w:tcPr>
            <w:tcW w:w="2693" w:type="dxa"/>
            <w:vAlign w:val="center"/>
          </w:tcPr>
          <w:p w:rsidR="00FD3961" w:rsidRPr="00D630D1" w:rsidRDefault="00FD3961" w:rsidP="00D53D7C">
            <w:pPr>
              <w:pStyle w:val="af7"/>
              <w:rPr>
                <w:sz w:val="21"/>
                <w:szCs w:val="21"/>
              </w:rPr>
            </w:pPr>
            <w:r w:rsidRPr="00D630D1">
              <w:rPr>
                <w:sz w:val="21"/>
                <w:szCs w:val="21"/>
              </w:rPr>
              <w:t>1.5</w:t>
            </w:r>
          </w:p>
        </w:tc>
        <w:tc>
          <w:tcPr>
            <w:tcW w:w="2863" w:type="dxa"/>
            <w:vAlign w:val="center"/>
          </w:tcPr>
          <w:p w:rsidR="00FD3961" w:rsidRPr="00D630D1" w:rsidRDefault="00FD3961" w:rsidP="00D53D7C">
            <w:pPr>
              <w:pStyle w:val="af7"/>
              <w:rPr>
                <w:sz w:val="21"/>
                <w:szCs w:val="21"/>
              </w:rPr>
            </w:pPr>
            <w:r w:rsidRPr="00D630D1">
              <w:rPr>
                <w:sz w:val="21"/>
                <w:szCs w:val="21"/>
              </w:rPr>
              <w:t>15</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44</w:t>
            </w:r>
          </w:p>
        </w:tc>
        <w:tc>
          <w:tcPr>
            <w:tcW w:w="2693" w:type="dxa"/>
            <w:vAlign w:val="center"/>
          </w:tcPr>
          <w:p w:rsidR="00FD3961" w:rsidRPr="00D630D1" w:rsidRDefault="00FD3961" w:rsidP="00D53D7C">
            <w:pPr>
              <w:pStyle w:val="af7"/>
              <w:rPr>
                <w:sz w:val="21"/>
                <w:szCs w:val="21"/>
              </w:rPr>
            </w:pPr>
            <w:r w:rsidRPr="00D630D1">
              <w:rPr>
                <w:sz w:val="21"/>
                <w:szCs w:val="21"/>
              </w:rPr>
              <w:t>茚并</w:t>
            </w:r>
            <w:r w:rsidRPr="00D630D1">
              <w:rPr>
                <w:sz w:val="21"/>
                <w:szCs w:val="21"/>
              </w:rPr>
              <w:t>[1,2,3-cd]</w:t>
            </w:r>
            <w:r w:rsidRPr="00D630D1">
              <w:rPr>
                <w:sz w:val="21"/>
                <w:szCs w:val="21"/>
              </w:rPr>
              <w:t>芘</w:t>
            </w:r>
          </w:p>
        </w:tc>
        <w:tc>
          <w:tcPr>
            <w:tcW w:w="2693" w:type="dxa"/>
            <w:vAlign w:val="center"/>
          </w:tcPr>
          <w:p w:rsidR="00FD3961" w:rsidRPr="00D630D1" w:rsidRDefault="00FD3961" w:rsidP="00D53D7C">
            <w:pPr>
              <w:pStyle w:val="af7"/>
              <w:rPr>
                <w:sz w:val="21"/>
                <w:szCs w:val="21"/>
              </w:rPr>
            </w:pPr>
            <w:r w:rsidRPr="00D630D1">
              <w:rPr>
                <w:sz w:val="21"/>
                <w:szCs w:val="21"/>
              </w:rPr>
              <w:t>15</w:t>
            </w:r>
          </w:p>
        </w:tc>
        <w:tc>
          <w:tcPr>
            <w:tcW w:w="2863" w:type="dxa"/>
            <w:vAlign w:val="center"/>
          </w:tcPr>
          <w:p w:rsidR="00FD3961" w:rsidRPr="00D630D1" w:rsidRDefault="00FD3961" w:rsidP="00D53D7C">
            <w:pPr>
              <w:pStyle w:val="af7"/>
              <w:rPr>
                <w:sz w:val="21"/>
                <w:szCs w:val="21"/>
              </w:rPr>
            </w:pPr>
            <w:r w:rsidRPr="00D630D1">
              <w:rPr>
                <w:sz w:val="21"/>
                <w:szCs w:val="21"/>
              </w:rPr>
              <w:t>151</w:t>
            </w:r>
          </w:p>
        </w:tc>
      </w:tr>
      <w:tr w:rsidR="00FD3961" w:rsidRPr="00D630D1" w:rsidTr="00FD3961">
        <w:trPr>
          <w:cantSplit/>
          <w:trHeight w:val="20"/>
          <w:jc w:val="center"/>
        </w:trPr>
        <w:tc>
          <w:tcPr>
            <w:tcW w:w="959" w:type="dxa"/>
            <w:vAlign w:val="center"/>
          </w:tcPr>
          <w:p w:rsidR="00FD3961" w:rsidRPr="00D630D1" w:rsidRDefault="00FD3961" w:rsidP="00D53D7C">
            <w:pPr>
              <w:pStyle w:val="af7"/>
              <w:rPr>
                <w:sz w:val="21"/>
                <w:szCs w:val="21"/>
              </w:rPr>
            </w:pPr>
            <w:r w:rsidRPr="00D630D1">
              <w:rPr>
                <w:sz w:val="21"/>
                <w:szCs w:val="21"/>
              </w:rPr>
              <w:t>45</w:t>
            </w:r>
          </w:p>
        </w:tc>
        <w:tc>
          <w:tcPr>
            <w:tcW w:w="2693" w:type="dxa"/>
            <w:vAlign w:val="center"/>
          </w:tcPr>
          <w:p w:rsidR="00FD3961" w:rsidRPr="00D630D1" w:rsidRDefault="00FD3961" w:rsidP="00D53D7C">
            <w:pPr>
              <w:pStyle w:val="af7"/>
              <w:rPr>
                <w:sz w:val="21"/>
                <w:szCs w:val="21"/>
              </w:rPr>
            </w:pPr>
            <w:r w:rsidRPr="00D630D1">
              <w:rPr>
                <w:sz w:val="21"/>
                <w:szCs w:val="21"/>
              </w:rPr>
              <w:t>萘</w:t>
            </w:r>
          </w:p>
        </w:tc>
        <w:tc>
          <w:tcPr>
            <w:tcW w:w="2693" w:type="dxa"/>
            <w:vAlign w:val="center"/>
          </w:tcPr>
          <w:p w:rsidR="00FD3961" w:rsidRPr="00D630D1" w:rsidRDefault="00FD3961" w:rsidP="00D53D7C">
            <w:pPr>
              <w:pStyle w:val="af7"/>
              <w:rPr>
                <w:sz w:val="21"/>
                <w:szCs w:val="21"/>
              </w:rPr>
            </w:pPr>
            <w:r w:rsidRPr="00D630D1">
              <w:rPr>
                <w:sz w:val="21"/>
                <w:szCs w:val="21"/>
              </w:rPr>
              <w:t>70</w:t>
            </w:r>
          </w:p>
        </w:tc>
        <w:tc>
          <w:tcPr>
            <w:tcW w:w="2863" w:type="dxa"/>
            <w:vAlign w:val="center"/>
          </w:tcPr>
          <w:p w:rsidR="00FD3961" w:rsidRPr="00D630D1" w:rsidRDefault="00FD3961" w:rsidP="00D53D7C">
            <w:pPr>
              <w:pStyle w:val="af7"/>
              <w:rPr>
                <w:sz w:val="21"/>
                <w:szCs w:val="21"/>
              </w:rPr>
            </w:pPr>
            <w:r w:rsidRPr="00D630D1">
              <w:rPr>
                <w:sz w:val="21"/>
                <w:szCs w:val="21"/>
              </w:rPr>
              <w:t>700</w:t>
            </w:r>
          </w:p>
        </w:tc>
      </w:tr>
    </w:tbl>
    <w:p w:rsidR="00FD3961" w:rsidRPr="00D630D1" w:rsidRDefault="00FD3961" w:rsidP="005D3A58">
      <w:pPr>
        <w:pStyle w:val="afa"/>
        <w:ind w:firstLine="480"/>
      </w:pPr>
    </w:p>
    <w:p w:rsidR="00FD3961" w:rsidRPr="00D630D1" w:rsidRDefault="00FD3961" w:rsidP="005D3A58">
      <w:pPr>
        <w:pStyle w:val="afa"/>
        <w:ind w:firstLine="480"/>
      </w:pPr>
    </w:p>
    <w:p w:rsidR="0006480A" w:rsidRPr="00D630D1" w:rsidRDefault="0006480A" w:rsidP="005D3A58">
      <w:pPr>
        <w:pStyle w:val="10"/>
        <w:rPr>
          <w:rFonts w:cs="Times New Roman"/>
        </w:rPr>
      </w:pPr>
      <w:r w:rsidRPr="00D630D1">
        <w:rPr>
          <w:rFonts w:cs="Times New Roman"/>
        </w:rPr>
        <w:br w:type="page"/>
      </w:r>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lastRenderedPageBreak/>
        <w:t xml:space="preserve">1.5.2 </w:t>
      </w:r>
      <w:r w:rsidRPr="00D630D1">
        <w:rPr>
          <w:rFonts w:ascii="Times New Roman" w:cs="Times New Roman"/>
          <w:b/>
          <w:szCs w:val="32"/>
        </w:rPr>
        <w:t>污染物排放标准</w:t>
      </w:r>
    </w:p>
    <w:p w:rsidR="00117C3D" w:rsidRPr="00D630D1" w:rsidRDefault="008B5B84">
      <w:pPr>
        <w:ind w:firstLine="482"/>
        <w:rPr>
          <w:rFonts w:ascii="Times New Roman" w:cs="Times New Roman"/>
          <w:b/>
          <w:bCs/>
        </w:rPr>
      </w:pPr>
      <w:r w:rsidRPr="00D630D1">
        <w:rPr>
          <w:rFonts w:ascii="Times New Roman" w:cs="Times New Roman"/>
          <w:b/>
          <w:bCs/>
        </w:rPr>
        <w:t>1</w:t>
      </w:r>
      <w:r w:rsidRPr="00D630D1">
        <w:rPr>
          <w:rFonts w:ascii="Times New Roman" w:cs="Times New Roman"/>
          <w:b/>
          <w:bCs/>
        </w:rPr>
        <w:t>、废气</w:t>
      </w:r>
    </w:p>
    <w:p w:rsidR="00CA3FA2" w:rsidRPr="00D630D1" w:rsidRDefault="002409BF" w:rsidP="00CA3FA2">
      <w:pPr>
        <w:pStyle w:val="afa"/>
        <w:ind w:firstLine="480"/>
      </w:pPr>
      <w:r w:rsidRPr="00D630D1">
        <w:t>站场施工期</w:t>
      </w:r>
      <w:r w:rsidR="00CA3FA2" w:rsidRPr="00D630D1">
        <w:t>总悬浮颗粒物执行《四川省施工场地扬尘排放标准》（</w:t>
      </w:r>
      <w:r w:rsidR="00CA3FA2" w:rsidRPr="00D630D1">
        <w:t>DB51/2682—2020</w:t>
      </w:r>
      <w:r w:rsidR="00CA3FA2" w:rsidRPr="00D630D1">
        <w:t>）表</w:t>
      </w:r>
      <w:r w:rsidR="00CA3FA2" w:rsidRPr="00D630D1">
        <w:t>1</w:t>
      </w:r>
      <w:r w:rsidR="00CA3FA2" w:rsidRPr="00D630D1">
        <w:t>排放限值。</w:t>
      </w:r>
    </w:p>
    <w:p w:rsidR="00CA3FA2" w:rsidRPr="00D630D1" w:rsidRDefault="00CA3FA2" w:rsidP="00CA3FA2">
      <w:pPr>
        <w:pStyle w:val="10"/>
        <w:rPr>
          <w:rFonts w:cs="Times New Roman"/>
        </w:rPr>
      </w:pPr>
      <w:r w:rsidRPr="00D630D1">
        <w:rPr>
          <w:rFonts w:cs="Times New Roman"/>
        </w:rPr>
        <w:t>表</w:t>
      </w:r>
      <w:r w:rsidRPr="00D630D1">
        <w:rPr>
          <w:rFonts w:cs="Times New Roman"/>
        </w:rPr>
        <w:t>1.5-</w:t>
      </w:r>
      <w:r w:rsidR="00FD3961" w:rsidRPr="00D630D1">
        <w:rPr>
          <w:rFonts w:cs="Times New Roman" w:hint="eastAsia"/>
        </w:rPr>
        <w:t>7</w:t>
      </w:r>
      <w:r w:rsidRPr="00D630D1">
        <w:rPr>
          <w:rFonts w:cs="Times New Roman"/>
        </w:rPr>
        <w:t xml:space="preserve">  </w:t>
      </w:r>
      <w:r w:rsidRPr="00D630D1">
        <w:rPr>
          <w:rFonts w:cs="Times New Roman"/>
        </w:rPr>
        <w:t>四川省施工场地扬尘排放限值</w:t>
      </w:r>
      <w:r w:rsidRPr="00D630D1">
        <w:rPr>
          <w:rFonts w:cs="Times New Roman"/>
        </w:rPr>
        <w:t xml:space="preserve">   </w:t>
      </w:r>
      <w:r w:rsidRPr="00D630D1">
        <w:rPr>
          <w:rFonts w:cs="Times New Roman"/>
        </w:rPr>
        <w:t>单位：</w:t>
      </w:r>
      <w:r w:rsidRPr="00D630D1">
        <w:rPr>
          <w:rFonts w:cs="Times New Roman"/>
        </w:rPr>
        <w:t>μg/m</w:t>
      </w:r>
      <w:r w:rsidRPr="00D630D1">
        <w:rPr>
          <w:rFonts w:cs="Times New Roman"/>
          <w:vertAlign w:val="superscript"/>
        </w:rPr>
        <w:t>3</w:t>
      </w:r>
    </w:p>
    <w:tbl>
      <w:tblPr>
        <w:tblW w:w="8917"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165"/>
        <w:gridCol w:w="1020"/>
        <w:gridCol w:w="3739"/>
        <w:gridCol w:w="1670"/>
        <w:gridCol w:w="1323"/>
      </w:tblGrid>
      <w:tr w:rsidR="00D1608A" w:rsidRPr="00D630D1" w:rsidTr="005608CB">
        <w:trPr>
          <w:trHeight w:val="501"/>
          <w:jc w:val="center"/>
        </w:trPr>
        <w:tc>
          <w:tcPr>
            <w:tcW w:w="1165" w:type="dxa"/>
            <w:vAlign w:val="center"/>
          </w:tcPr>
          <w:p w:rsidR="00CA3FA2" w:rsidRPr="00D630D1" w:rsidRDefault="00CA3FA2" w:rsidP="00CA3FA2">
            <w:pPr>
              <w:pStyle w:val="aff2"/>
              <w:rPr>
                <w:b/>
                <w:bCs/>
              </w:rPr>
            </w:pPr>
            <w:r w:rsidRPr="00D630D1">
              <w:rPr>
                <w:b/>
                <w:bCs/>
              </w:rPr>
              <w:t>监测项目</w:t>
            </w:r>
          </w:p>
        </w:tc>
        <w:tc>
          <w:tcPr>
            <w:tcW w:w="1020" w:type="dxa"/>
            <w:vAlign w:val="center"/>
          </w:tcPr>
          <w:p w:rsidR="00CA3FA2" w:rsidRPr="00D630D1" w:rsidRDefault="00CA3FA2" w:rsidP="00CA3FA2">
            <w:pPr>
              <w:pStyle w:val="aff2"/>
              <w:rPr>
                <w:b/>
                <w:bCs/>
              </w:rPr>
            </w:pPr>
            <w:r w:rsidRPr="00D630D1">
              <w:rPr>
                <w:b/>
                <w:bCs/>
              </w:rPr>
              <w:t>区域</w:t>
            </w:r>
          </w:p>
        </w:tc>
        <w:tc>
          <w:tcPr>
            <w:tcW w:w="3739" w:type="dxa"/>
            <w:vAlign w:val="center"/>
          </w:tcPr>
          <w:p w:rsidR="00CA3FA2" w:rsidRPr="00D630D1" w:rsidRDefault="00CA3FA2" w:rsidP="00CA3FA2">
            <w:pPr>
              <w:pStyle w:val="aff2"/>
              <w:rPr>
                <w:b/>
                <w:bCs/>
              </w:rPr>
            </w:pPr>
            <w:r w:rsidRPr="00D630D1">
              <w:rPr>
                <w:b/>
                <w:bCs/>
              </w:rPr>
              <w:t>施工阶段</w:t>
            </w:r>
          </w:p>
        </w:tc>
        <w:tc>
          <w:tcPr>
            <w:tcW w:w="1670" w:type="dxa"/>
            <w:vAlign w:val="center"/>
          </w:tcPr>
          <w:p w:rsidR="00CA3FA2" w:rsidRPr="00D630D1" w:rsidRDefault="00CA3FA2" w:rsidP="00CA3FA2">
            <w:pPr>
              <w:pStyle w:val="aff2"/>
              <w:rPr>
                <w:b/>
                <w:bCs/>
              </w:rPr>
            </w:pPr>
            <w:r w:rsidRPr="00D630D1">
              <w:rPr>
                <w:b/>
                <w:bCs/>
              </w:rPr>
              <w:t>监测点排放限值（</w:t>
            </w:r>
            <w:r w:rsidRPr="00D630D1">
              <w:rPr>
                <w:b/>
                <w:bCs/>
              </w:rPr>
              <w:t>μg/m</w:t>
            </w:r>
            <w:r w:rsidRPr="00D630D1">
              <w:rPr>
                <w:b/>
                <w:bCs/>
                <w:vertAlign w:val="superscript"/>
              </w:rPr>
              <w:t>3</w:t>
            </w:r>
            <w:r w:rsidRPr="00D630D1">
              <w:rPr>
                <w:b/>
                <w:bCs/>
              </w:rPr>
              <w:t>）</w:t>
            </w:r>
          </w:p>
        </w:tc>
        <w:tc>
          <w:tcPr>
            <w:tcW w:w="1323" w:type="dxa"/>
            <w:vAlign w:val="center"/>
          </w:tcPr>
          <w:p w:rsidR="00CA3FA2" w:rsidRPr="00D630D1" w:rsidRDefault="00CA3FA2" w:rsidP="00CA3FA2">
            <w:pPr>
              <w:pStyle w:val="aff2"/>
              <w:rPr>
                <w:b/>
                <w:bCs/>
              </w:rPr>
            </w:pPr>
            <w:r w:rsidRPr="00D630D1">
              <w:rPr>
                <w:b/>
                <w:bCs/>
              </w:rPr>
              <w:t>监测时间</w:t>
            </w:r>
          </w:p>
        </w:tc>
      </w:tr>
      <w:tr w:rsidR="00D1608A" w:rsidRPr="00D630D1" w:rsidTr="005608CB">
        <w:trPr>
          <w:trHeight w:val="69"/>
          <w:jc w:val="center"/>
        </w:trPr>
        <w:tc>
          <w:tcPr>
            <w:tcW w:w="1165" w:type="dxa"/>
            <w:vMerge w:val="restart"/>
            <w:vAlign w:val="center"/>
          </w:tcPr>
          <w:p w:rsidR="00CA3FA2" w:rsidRPr="00D630D1" w:rsidRDefault="00CA3FA2" w:rsidP="00CA3FA2">
            <w:pPr>
              <w:pStyle w:val="aff2"/>
            </w:pPr>
            <w:r w:rsidRPr="00D630D1">
              <w:t>总悬浮颗粒物</w:t>
            </w:r>
          </w:p>
        </w:tc>
        <w:tc>
          <w:tcPr>
            <w:tcW w:w="1020" w:type="dxa"/>
            <w:vMerge w:val="restart"/>
            <w:vAlign w:val="center"/>
          </w:tcPr>
          <w:p w:rsidR="00CA3FA2" w:rsidRPr="00D630D1" w:rsidRDefault="00CA3FA2" w:rsidP="00CA3FA2">
            <w:pPr>
              <w:pStyle w:val="aff2"/>
            </w:pPr>
            <w:r w:rsidRPr="00D630D1">
              <w:t>达州市</w:t>
            </w:r>
          </w:p>
        </w:tc>
        <w:tc>
          <w:tcPr>
            <w:tcW w:w="3739" w:type="dxa"/>
            <w:vAlign w:val="center"/>
          </w:tcPr>
          <w:p w:rsidR="00CA3FA2" w:rsidRPr="00D630D1" w:rsidRDefault="00CA3FA2" w:rsidP="00CA3FA2">
            <w:pPr>
              <w:pStyle w:val="aff2"/>
            </w:pPr>
            <w:r w:rsidRPr="00D630D1">
              <w:t>拆除工程</w:t>
            </w:r>
            <w:r w:rsidRPr="00D630D1">
              <w:t>/</w:t>
            </w:r>
            <w:r w:rsidRPr="00D630D1">
              <w:t>土方开挖</w:t>
            </w:r>
            <w:r w:rsidRPr="00D630D1">
              <w:t>/</w:t>
            </w:r>
            <w:r w:rsidRPr="00D630D1">
              <w:t>土方回填阶段</w:t>
            </w:r>
            <w:r w:rsidRPr="00D630D1">
              <w:t>600</w:t>
            </w:r>
          </w:p>
        </w:tc>
        <w:tc>
          <w:tcPr>
            <w:tcW w:w="1670" w:type="dxa"/>
            <w:vAlign w:val="center"/>
          </w:tcPr>
          <w:p w:rsidR="00CA3FA2" w:rsidRPr="00D630D1" w:rsidRDefault="00CA3FA2" w:rsidP="00CA3FA2">
            <w:pPr>
              <w:pStyle w:val="aff2"/>
            </w:pPr>
            <w:r w:rsidRPr="00D630D1">
              <w:t>600</w:t>
            </w:r>
          </w:p>
        </w:tc>
        <w:tc>
          <w:tcPr>
            <w:tcW w:w="1323" w:type="dxa"/>
            <w:vMerge w:val="restart"/>
            <w:vAlign w:val="center"/>
          </w:tcPr>
          <w:p w:rsidR="00CA3FA2" w:rsidRPr="00D630D1" w:rsidRDefault="00CA3FA2" w:rsidP="00CA3FA2">
            <w:pPr>
              <w:pStyle w:val="aff2"/>
            </w:pPr>
            <w:r w:rsidRPr="00D630D1">
              <w:t>自监测起持续</w:t>
            </w:r>
            <w:r w:rsidRPr="00D630D1">
              <w:t>15</w:t>
            </w:r>
            <w:r w:rsidRPr="00D630D1">
              <w:t>分钟</w:t>
            </w:r>
          </w:p>
        </w:tc>
      </w:tr>
      <w:tr w:rsidR="00D1608A" w:rsidRPr="00D630D1" w:rsidTr="005608CB">
        <w:trPr>
          <w:trHeight w:val="277"/>
          <w:jc w:val="center"/>
        </w:trPr>
        <w:tc>
          <w:tcPr>
            <w:tcW w:w="1165" w:type="dxa"/>
            <w:vMerge/>
            <w:vAlign w:val="center"/>
          </w:tcPr>
          <w:p w:rsidR="00CA3FA2" w:rsidRPr="00D630D1" w:rsidRDefault="00CA3FA2" w:rsidP="00CA3FA2">
            <w:pPr>
              <w:pStyle w:val="aff2"/>
            </w:pPr>
          </w:p>
        </w:tc>
        <w:tc>
          <w:tcPr>
            <w:tcW w:w="1020" w:type="dxa"/>
            <w:vMerge/>
            <w:vAlign w:val="center"/>
          </w:tcPr>
          <w:p w:rsidR="00CA3FA2" w:rsidRPr="00D630D1" w:rsidRDefault="00CA3FA2" w:rsidP="00CA3FA2">
            <w:pPr>
              <w:pStyle w:val="aff2"/>
            </w:pPr>
          </w:p>
        </w:tc>
        <w:tc>
          <w:tcPr>
            <w:tcW w:w="3739" w:type="dxa"/>
            <w:vAlign w:val="center"/>
          </w:tcPr>
          <w:p w:rsidR="00CA3FA2" w:rsidRPr="00D630D1" w:rsidRDefault="00CA3FA2" w:rsidP="00CA3FA2">
            <w:pPr>
              <w:pStyle w:val="aff2"/>
            </w:pPr>
            <w:r w:rsidRPr="00D630D1">
              <w:t>其他工程阶段</w:t>
            </w:r>
          </w:p>
        </w:tc>
        <w:tc>
          <w:tcPr>
            <w:tcW w:w="1670" w:type="dxa"/>
            <w:vAlign w:val="center"/>
          </w:tcPr>
          <w:p w:rsidR="00CA3FA2" w:rsidRPr="00D630D1" w:rsidRDefault="00CA3FA2" w:rsidP="00CA3FA2">
            <w:pPr>
              <w:pStyle w:val="aff2"/>
            </w:pPr>
            <w:r w:rsidRPr="00D630D1">
              <w:t>250</w:t>
            </w:r>
          </w:p>
        </w:tc>
        <w:tc>
          <w:tcPr>
            <w:tcW w:w="1323" w:type="dxa"/>
            <w:vMerge/>
            <w:vAlign w:val="center"/>
          </w:tcPr>
          <w:p w:rsidR="00CA3FA2" w:rsidRPr="00D630D1" w:rsidRDefault="00CA3FA2" w:rsidP="00CA3FA2">
            <w:pPr>
              <w:pStyle w:val="aff2"/>
            </w:pPr>
          </w:p>
        </w:tc>
      </w:tr>
    </w:tbl>
    <w:p w:rsidR="002409BF" w:rsidRPr="00D630D1" w:rsidRDefault="002409BF" w:rsidP="00CA3FA2">
      <w:pPr>
        <w:pStyle w:val="afa"/>
        <w:ind w:firstLine="480"/>
      </w:pPr>
      <w:r w:rsidRPr="00D630D1">
        <w:t>空气钻粉尘和测试放喷废气执行《大气污染物综合排放标准》（</w:t>
      </w:r>
      <w:r w:rsidRPr="00D630D1">
        <w:t>GB 16297-1996</w:t>
      </w:r>
      <w:r w:rsidRPr="00D630D1">
        <w:t>）表</w:t>
      </w:r>
      <w:r w:rsidRPr="00D630D1">
        <w:t>2</w:t>
      </w:r>
      <w:r w:rsidRPr="00D630D1">
        <w:t>中的二级标准</w:t>
      </w:r>
      <w:r w:rsidRPr="00D630D1">
        <w:rPr>
          <w:rFonts w:hint="eastAsia"/>
        </w:rPr>
        <w:t>。</w:t>
      </w:r>
    </w:p>
    <w:p w:rsidR="002409BF" w:rsidRPr="00D630D1" w:rsidRDefault="002409BF" w:rsidP="00F96E37">
      <w:pPr>
        <w:topLinePunct w:val="0"/>
        <w:snapToGrid w:val="0"/>
        <w:spacing w:beforeLines="50"/>
        <w:ind w:firstLineChars="0" w:firstLine="480"/>
        <w:jc w:val="center"/>
        <w:rPr>
          <w:rFonts w:ascii="Times New Roman" w:cs="Times New Roman"/>
          <w:b/>
          <w:kern w:val="2"/>
          <w:sz w:val="21"/>
          <w:szCs w:val="20"/>
        </w:rPr>
      </w:pPr>
      <w:r w:rsidRPr="00D630D1">
        <w:rPr>
          <w:rFonts w:ascii="Times New Roman" w:cs="Times New Roman"/>
          <w:b/>
          <w:kern w:val="2"/>
          <w:sz w:val="21"/>
          <w:szCs w:val="20"/>
        </w:rPr>
        <w:t>表</w:t>
      </w:r>
      <w:r w:rsidRPr="00D630D1">
        <w:rPr>
          <w:rFonts w:ascii="Times New Roman" w:cs="Times New Roman"/>
          <w:b/>
          <w:kern w:val="2"/>
          <w:sz w:val="21"/>
          <w:szCs w:val="20"/>
        </w:rPr>
        <w:t>1.5-</w:t>
      </w:r>
      <w:r w:rsidRPr="00D630D1">
        <w:rPr>
          <w:rFonts w:ascii="Times New Roman" w:cs="Times New Roman" w:hint="eastAsia"/>
          <w:b/>
          <w:kern w:val="2"/>
          <w:sz w:val="21"/>
          <w:szCs w:val="20"/>
        </w:rPr>
        <w:t>8</w:t>
      </w:r>
      <w:r w:rsidRPr="00D630D1">
        <w:rPr>
          <w:rFonts w:ascii="Times New Roman" w:cs="Times New Roman"/>
          <w:b/>
          <w:kern w:val="2"/>
          <w:sz w:val="21"/>
          <w:szCs w:val="20"/>
        </w:rPr>
        <w:t xml:space="preserve">  </w:t>
      </w:r>
      <w:r w:rsidRPr="00D630D1">
        <w:rPr>
          <w:rFonts w:ascii="Times New Roman" w:cs="Times New Roman"/>
          <w:b/>
          <w:kern w:val="2"/>
          <w:sz w:val="21"/>
          <w:szCs w:val="20"/>
        </w:rPr>
        <w:t>其他废气排放执行标准</w:t>
      </w:r>
      <w:r w:rsidRPr="00D630D1">
        <w:rPr>
          <w:rFonts w:ascii="Times New Roman" w:cs="Times New Roman"/>
          <w:b/>
          <w:kern w:val="2"/>
          <w:sz w:val="21"/>
          <w:szCs w:val="20"/>
        </w:rPr>
        <w:t xml:space="preserve">  </w:t>
      </w:r>
      <w:r w:rsidRPr="00D630D1">
        <w:rPr>
          <w:rFonts w:ascii="Times New Roman" w:cs="Times New Roman"/>
          <w:b/>
          <w:kern w:val="2"/>
          <w:sz w:val="21"/>
          <w:szCs w:val="20"/>
        </w:rPr>
        <w:t>单位：</w:t>
      </w:r>
      <w:r w:rsidRPr="00D630D1">
        <w:rPr>
          <w:rFonts w:ascii="Times New Roman" w:cs="Times New Roman"/>
          <w:b/>
          <w:kern w:val="2"/>
          <w:sz w:val="21"/>
          <w:szCs w:val="20"/>
        </w:rPr>
        <w:t>mg/m</w:t>
      </w:r>
      <w:r w:rsidRPr="00D630D1">
        <w:rPr>
          <w:rFonts w:ascii="Times New Roman" w:cs="Times New Roman"/>
          <w:b/>
          <w:kern w:val="2"/>
          <w:sz w:val="21"/>
          <w:szCs w:val="20"/>
          <w:vertAlign w:val="superscript"/>
        </w:rPr>
        <w:t>3</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731"/>
        <w:gridCol w:w="1632"/>
        <w:gridCol w:w="1103"/>
        <w:gridCol w:w="1077"/>
        <w:gridCol w:w="1738"/>
        <w:gridCol w:w="1241"/>
      </w:tblGrid>
      <w:tr w:rsidR="002409BF" w:rsidRPr="00D630D1" w:rsidTr="002409BF">
        <w:trPr>
          <w:jc w:val="center"/>
        </w:trPr>
        <w:tc>
          <w:tcPr>
            <w:tcW w:w="1631" w:type="dxa"/>
            <w:vAlign w:val="center"/>
          </w:tcPr>
          <w:p w:rsidR="002409BF" w:rsidRPr="00D630D1" w:rsidRDefault="002409BF" w:rsidP="002409BF">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标准</w:t>
            </w:r>
          </w:p>
        </w:tc>
        <w:tc>
          <w:tcPr>
            <w:tcW w:w="1537" w:type="dxa"/>
            <w:vAlign w:val="center"/>
          </w:tcPr>
          <w:p w:rsidR="002409BF" w:rsidRPr="00D630D1" w:rsidRDefault="002409BF" w:rsidP="002409BF">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项目</w:t>
            </w:r>
          </w:p>
        </w:tc>
        <w:tc>
          <w:tcPr>
            <w:tcW w:w="1039" w:type="dxa"/>
            <w:vAlign w:val="center"/>
          </w:tcPr>
          <w:p w:rsidR="002409BF" w:rsidRPr="00D630D1" w:rsidRDefault="002409BF" w:rsidP="002409BF">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SO</w:t>
            </w:r>
            <w:r w:rsidRPr="00D630D1">
              <w:rPr>
                <w:rFonts w:ascii="Times New Roman" w:cs="Times New Roman"/>
                <w:b/>
                <w:kern w:val="2"/>
                <w:sz w:val="21"/>
                <w:szCs w:val="21"/>
                <w:vertAlign w:val="subscript"/>
              </w:rPr>
              <w:t>2</w:t>
            </w:r>
          </w:p>
        </w:tc>
        <w:tc>
          <w:tcPr>
            <w:tcW w:w="1014" w:type="dxa"/>
            <w:vAlign w:val="center"/>
          </w:tcPr>
          <w:p w:rsidR="002409BF" w:rsidRPr="00D630D1" w:rsidRDefault="002409BF" w:rsidP="002409BF">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NO</w:t>
            </w:r>
            <w:r w:rsidRPr="00D630D1">
              <w:rPr>
                <w:rFonts w:ascii="Times New Roman" w:cs="Times New Roman"/>
                <w:b/>
                <w:kern w:val="2"/>
                <w:sz w:val="21"/>
                <w:szCs w:val="21"/>
                <w:vertAlign w:val="subscript"/>
              </w:rPr>
              <w:t>x</w:t>
            </w:r>
          </w:p>
        </w:tc>
        <w:tc>
          <w:tcPr>
            <w:tcW w:w="1637" w:type="dxa"/>
            <w:vAlign w:val="center"/>
          </w:tcPr>
          <w:p w:rsidR="002409BF" w:rsidRPr="00D630D1" w:rsidRDefault="002409BF" w:rsidP="002409BF">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颗粒物</w:t>
            </w:r>
          </w:p>
        </w:tc>
        <w:tc>
          <w:tcPr>
            <w:tcW w:w="1169" w:type="dxa"/>
            <w:vAlign w:val="center"/>
          </w:tcPr>
          <w:p w:rsidR="002409BF" w:rsidRPr="00D630D1" w:rsidRDefault="002409BF" w:rsidP="002409BF">
            <w:pPr>
              <w:widowControl/>
              <w:topLinePunct w:val="0"/>
              <w:snapToGrid w:val="0"/>
              <w:spacing w:line="240" w:lineRule="auto"/>
              <w:ind w:left="152" w:hangingChars="72" w:hanging="152"/>
              <w:jc w:val="center"/>
              <w:rPr>
                <w:rFonts w:ascii="Times New Roman" w:cs="Times New Roman"/>
                <w:b/>
                <w:kern w:val="2"/>
                <w:sz w:val="21"/>
                <w:szCs w:val="21"/>
              </w:rPr>
            </w:pPr>
            <w:r w:rsidRPr="00D630D1">
              <w:rPr>
                <w:rFonts w:ascii="Times New Roman" w:hAnsi="宋体" w:cs="Times New Roman"/>
                <w:b/>
                <w:kern w:val="2"/>
                <w:sz w:val="21"/>
                <w:szCs w:val="21"/>
              </w:rPr>
              <w:t>硫化氢</w:t>
            </w:r>
          </w:p>
        </w:tc>
      </w:tr>
      <w:tr w:rsidR="002409BF" w:rsidRPr="00D630D1" w:rsidTr="002409BF">
        <w:trPr>
          <w:trHeight w:val="300"/>
          <w:jc w:val="center"/>
        </w:trPr>
        <w:tc>
          <w:tcPr>
            <w:tcW w:w="1631" w:type="dxa"/>
            <w:vAlign w:val="center"/>
          </w:tcPr>
          <w:p w:rsidR="002409BF" w:rsidRPr="00D630D1" w:rsidRDefault="002409BF" w:rsidP="002409B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大气污染物综合排放标准</w:t>
            </w:r>
          </w:p>
        </w:tc>
        <w:tc>
          <w:tcPr>
            <w:tcW w:w="1537" w:type="dxa"/>
            <w:vAlign w:val="center"/>
          </w:tcPr>
          <w:p w:rsidR="002409BF" w:rsidRPr="00D630D1" w:rsidRDefault="002409BF" w:rsidP="002409B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周界外浓度最高点</w:t>
            </w:r>
          </w:p>
        </w:tc>
        <w:tc>
          <w:tcPr>
            <w:tcW w:w="1039" w:type="dxa"/>
            <w:vAlign w:val="center"/>
          </w:tcPr>
          <w:p w:rsidR="002409BF" w:rsidRPr="00D630D1" w:rsidRDefault="002409BF" w:rsidP="002409B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0.40</w:t>
            </w:r>
          </w:p>
        </w:tc>
        <w:tc>
          <w:tcPr>
            <w:tcW w:w="1014" w:type="dxa"/>
            <w:vAlign w:val="center"/>
          </w:tcPr>
          <w:p w:rsidR="002409BF" w:rsidRPr="00D630D1" w:rsidRDefault="002409BF" w:rsidP="002409B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0.1</w:t>
            </w:r>
            <w:r w:rsidRPr="00D630D1">
              <w:rPr>
                <w:rFonts w:ascii="Times New Roman" w:cs="Times New Roman" w:hint="eastAsia"/>
                <w:kern w:val="2"/>
                <w:sz w:val="21"/>
                <w:szCs w:val="21"/>
              </w:rPr>
              <w:t>2</w:t>
            </w:r>
          </w:p>
        </w:tc>
        <w:tc>
          <w:tcPr>
            <w:tcW w:w="1637" w:type="dxa"/>
            <w:vAlign w:val="center"/>
          </w:tcPr>
          <w:p w:rsidR="002409BF" w:rsidRPr="00D630D1" w:rsidRDefault="002409BF" w:rsidP="002409B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1.0</w:t>
            </w:r>
          </w:p>
        </w:tc>
        <w:tc>
          <w:tcPr>
            <w:tcW w:w="1169" w:type="dxa"/>
            <w:vAlign w:val="center"/>
          </w:tcPr>
          <w:p w:rsidR="002409BF" w:rsidRPr="00D630D1" w:rsidRDefault="002409BF" w:rsidP="002409B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r>
    </w:tbl>
    <w:p w:rsidR="00BC05B4" w:rsidRPr="00D630D1" w:rsidRDefault="00BC05B4" w:rsidP="00CA3FA2">
      <w:pPr>
        <w:pStyle w:val="afa"/>
        <w:ind w:firstLine="480"/>
        <w:rPr>
          <w:szCs w:val="24"/>
        </w:rPr>
      </w:pPr>
      <w:r w:rsidRPr="00D630D1">
        <w:t>营运期水套炉废气执行《锅炉大气污染物排放标准》（</w:t>
      </w:r>
      <w:r w:rsidRPr="00D630D1">
        <w:t>GB13271-2014</w:t>
      </w:r>
      <w:r w:rsidRPr="00D630D1">
        <w:t>）中表</w:t>
      </w:r>
      <w:r w:rsidRPr="00D630D1">
        <w:t>2</w:t>
      </w:r>
      <w:r w:rsidRPr="00D630D1">
        <w:t>新建锅炉大气污染物排放限值燃气锅炉排放标准</w:t>
      </w:r>
      <w:r w:rsidR="00FD6638" w:rsidRPr="00D630D1">
        <w:rPr>
          <w:rFonts w:hint="eastAsia"/>
        </w:rPr>
        <w:t>，</w:t>
      </w:r>
      <w:r w:rsidR="00FD6638" w:rsidRPr="00D630D1">
        <w:t>食堂油烟</w:t>
      </w:r>
      <w:r w:rsidR="009E5083" w:rsidRPr="00D630D1">
        <w:t>执行</w:t>
      </w:r>
      <w:r w:rsidR="009E5083" w:rsidRPr="00D630D1">
        <w:rPr>
          <w:rFonts w:hint="eastAsia"/>
        </w:rPr>
        <w:t>《饮食业油烟排放标准》（</w:t>
      </w:r>
      <w:r w:rsidR="009E5083" w:rsidRPr="00D630D1">
        <w:t>GB</w:t>
      </w:r>
      <w:r w:rsidR="009E5083" w:rsidRPr="00D630D1">
        <w:rPr>
          <w:rFonts w:hint="eastAsia"/>
        </w:rPr>
        <w:t>18483</w:t>
      </w:r>
      <w:r w:rsidR="009E5083" w:rsidRPr="00D630D1">
        <w:t>-20</w:t>
      </w:r>
      <w:r w:rsidR="009E5083" w:rsidRPr="00D630D1">
        <w:rPr>
          <w:rFonts w:hint="eastAsia"/>
        </w:rPr>
        <w:t>01</w:t>
      </w:r>
      <w:r w:rsidR="009E5083" w:rsidRPr="00D630D1">
        <w:rPr>
          <w:rFonts w:hint="eastAsia"/>
        </w:rPr>
        <w:t>）</w:t>
      </w:r>
      <w:r w:rsidRPr="00D630D1">
        <w:t>。</w:t>
      </w:r>
      <w:r w:rsidR="00FD6638" w:rsidRPr="00D630D1">
        <w:rPr>
          <w:szCs w:val="24"/>
        </w:rPr>
        <w:t>具体执行标准详见</w:t>
      </w:r>
      <w:r w:rsidRPr="00D630D1">
        <w:rPr>
          <w:szCs w:val="24"/>
        </w:rPr>
        <w:t>表</w:t>
      </w:r>
      <w:r w:rsidR="00FD6638" w:rsidRPr="00D630D1">
        <w:rPr>
          <w:rFonts w:hint="eastAsia"/>
          <w:szCs w:val="24"/>
        </w:rPr>
        <w:t>1.5-</w:t>
      </w:r>
      <w:r w:rsidR="00A058C9" w:rsidRPr="00D630D1">
        <w:rPr>
          <w:rFonts w:hint="eastAsia"/>
          <w:szCs w:val="24"/>
        </w:rPr>
        <w:t>9</w:t>
      </w:r>
      <w:r w:rsidR="00DB2055" w:rsidRPr="00D630D1">
        <w:rPr>
          <w:rFonts w:hint="eastAsia"/>
          <w:szCs w:val="24"/>
        </w:rPr>
        <w:t xml:space="preserve">~ </w:t>
      </w:r>
      <w:r w:rsidR="009E5083" w:rsidRPr="00D630D1">
        <w:rPr>
          <w:rFonts w:hint="eastAsia"/>
          <w:szCs w:val="24"/>
        </w:rPr>
        <w:t>1.5-</w:t>
      </w:r>
      <w:r w:rsidR="00DB2055" w:rsidRPr="00D630D1">
        <w:rPr>
          <w:rFonts w:hint="eastAsia"/>
          <w:szCs w:val="24"/>
        </w:rPr>
        <w:t>1</w:t>
      </w:r>
      <w:r w:rsidR="00034734" w:rsidRPr="00D630D1">
        <w:rPr>
          <w:rFonts w:hint="eastAsia"/>
          <w:szCs w:val="24"/>
        </w:rPr>
        <w:t>0</w:t>
      </w:r>
      <w:r w:rsidRPr="00D630D1">
        <w:rPr>
          <w:szCs w:val="24"/>
        </w:rPr>
        <w:t>。</w:t>
      </w:r>
    </w:p>
    <w:p w:rsidR="00FD6638" w:rsidRPr="00D630D1" w:rsidRDefault="00FD6638" w:rsidP="00FD6638">
      <w:pPr>
        <w:pStyle w:val="10"/>
        <w:rPr>
          <w:rFonts w:cs="Times New Roman"/>
        </w:rPr>
      </w:pPr>
      <w:r w:rsidRPr="00D630D1">
        <w:rPr>
          <w:rFonts w:cs="Times New Roman"/>
        </w:rPr>
        <w:t>表</w:t>
      </w:r>
      <w:r w:rsidRPr="00D630D1">
        <w:rPr>
          <w:rFonts w:cs="Times New Roman"/>
        </w:rPr>
        <w:t>1.5-</w:t>
      </w:r>
      <w:r w:rsidR="00A058C9" w:rsidRPr="00D630D1">
        <w:rPr>
          <w:rFonts w:cs="Times New Roman" w:hint="eastAsia"/>
        </w:rPr>
        <w:t>9</w:t>
      </w:r>
      <w:r w:rsidRPr="00D630D1">
        <w:rPr>
          <w:rFonts w:cs="Times New Roman"/>
        </w:rPr>
        <w:t xml:space="preserve">  </w:t>
      </w:r>
      <w:r w:rsidRPr="00D630D1">
        <w:rPr>
          <w:rFonts w:cs="Times New Roman"/>
        </w:rPr>
        <w:t>《锅炉大气污染物排放标准》（</w:t>
      </w:r>
      <w:r w:rsidRPr="00D630D1">
        <w:rPr>
          <w:rFonts w:cs="Times New Roman"/>
        </w:rPr>
        <w:t>GB13271-2014</w:t>
      </w:r>
      <w:r w:rsidRPr="00D630D1">
        <w:rPr>
          <w:rFonts w:cs="Times New Roman"/>
        </w:rPr>
        <w:t>）标准浓度限值</w:t>
      </w:r>
    </w:p>
    <w:tbl>
      <w:tblPr>
        <w:tblW w:w="8866" w:type="dxa"/>
        <w:jc w:val="center"/>
        <w:tblBorders>
          <w:top w:val="single" w:sz="12" w:space="0" w:color="auto"/>
          <w:bottom w:val="single" w:sz="12" w:space="0" w:color="auto"/>
          <w:insideH w:val="single" w:sz="4" w:space="0" w:color="auto"/>
          <w:insideV w:val="single" w:sz="4" w:space="0" w:color="auto"/>
        </w:tblBorders>
        <w:tblLook w:val="0000"/>
      </w:tblPr>
      <w:tblGrid>
        <w:gridCol w:w="3339"/>
        <w:gridCol w:w="2603"/>
        <w:gridCol w:w="2924"/>
      </w:tblGrid>
      <w:tr w:rsidR="00FD6638" w:rsidRPr="00D630D1" w:rsidTr="009E5083">
        <w:trPr>
          <w:trHeight w:val="260"/>
          <w:jc w:val="center"/>
        </w:trPr>
        <w:tc>
          <w:tcPr>
            <w:tcW w:w="3339" w:type="dxa"/>
            <w:vAlign w:val="center"/>
          </w:tcPr>
          <w:p w:rsidR="00FD6638" w:rsidRPr="00D630D1" w:rsidRDefault="00FD6638" w:rsidP="009E5083">
            <w:pPr>
              <w:pStyle w:val="10"/>
              <w:spacing w:line="240" w:lineRule="auto"/>
              <w:rPr>
                <w:rFonts w:cs="Times New Roman"/>
              </w:rPr>
            </w:pPr>
            <w:r w:rsidRPr="00D630D1">
              <w:rPr>
                <w:rFonts w:cs="Times New Roman"/>
              </w:rPr>
              <w:t>污染物项目</w:t>
            </w:r>
          </w:p>
        </w:tc>
        <w:tc>
          <w:tcPr>
            <w:tcW w:w="2603" w:type="dxa"/>
            <w:vAlign w:val="center"/>
          </w:tcPr>
          <w:p w:rsidR="00FD6638" w:rsidRPr="00D630D1" w:rsidRDefault="00FD6638" w:rsidP="009E5083">
            <w:pPr>
              <w:pStyle w:val="10"/>
              <w:spacing w:line="240" w:lineRule="auto"/>
              <w:rPr>
                <w:rFonts w:cs="Times New Roman"/>
              </w:rPr>
            </w:pPr>
            <w:r w:rsidRPr="00D630D1">
              <w:rPr>
                <w:rFonts w:cs="Times New Roman"/>
              </w:rPr>
              <w:t>燃气锅炉限值</w:t>
            </w:r>
            <w:r w:rsidRPr="00D630D1">
              <w:rPr>
                <w:rFonts w:cs="Times New Roman" w:hint="eastAsia"/>
              </w:rPr>
              <w:t>（</w:t>
            </w:r>
            <w:r w:rsidRPr="00D630D1">
              <w:rPr>
                <w:rFonts w:cs="Times New Roman" w:hint="eastAsia"/>
              </w:rPr>
              <w:t>mg</w:t>
            </w:r>
            <w:r w:rsidRPr="00D630D1">
              <w:rPr>
                <w:rFonts w:cs="Times New Roman"/>
              </w:rPr>
              <w:t>/</w:t>
            </w:r>
            <w:r w:rsidRPr="00D630D1">
              <w:rPr>
                <w:rFonts w:cs="Times New Roman" w:hint="eastAsia"/>
              </w:rPr>
              <w:t>m</w:t>
            </w:r>
            <w:r w:rsidRPr="00D630D1">
              <w:rPr>
                <w:rFonts w:cs="Times New Roman"/>
                <w:vertAlign w:val="superscript"/>
              </w:rPr>
              <w:t>3</w:t>
            </w:r>
            <w:r w:rsidRPr="00D630D1">
              <w:rPr>
                <w:rFonts w:cs="Times New Roman" w:hint="eastAsia"/>
              </w:rPr>
              <w:t>）</w:t>
            </w:r>
          </w:p>
        </w:tc>
        <w:tc>
          <w:tcPr>
            <w:tcW w:w="2924" w:type="dxa"/>
            <w:vAlign w:val="center"/>
          </w:tcPr>
          <w:p w:rsidR="00FD6638" w:rsidRPr="00D630D1" w:rsidRDefault="00FD6638" w:rsidP="009E5083">
            <w:pPr>
              <w:pStyle w:val="10"/>
              <w:spacing w:line="240" w:lineRule="auto"/>
              <w:rPr>
                <w:rFonts w:cs="Times New Roman"/>
              </w:rPr>
            </w:pPr>
            <w:r w:rsidRPr="00D630D1">
              <w:rPr>
                <w:rFonts w:cs="Times New Roman"/>
              </w:rPr>
              <w:t>污染物监控位置</w:t>
            </w:r>
          </w:p>
        </w:tc>
      </w:tr>
      <w:tr w:rsidR="00FD6638" w:rsidRPr="00D630D1" w:rsidTr="009E5083">
        <w:trPr>
          <w:trHeight w:val="252"/>
          <w:jc w:val="center"/>
        </w:trPr>
        <w:tc>
          <w:tcPr>
            <w:tcW w:w="3339" w:type="dxa"/>
            <w:vAlign w:val="center"/>
          </w:tcPr>
          <w:p w:rsidR="00FD6638" w:rsidRPr="00D630D1" w:rsidRDefault="00FD6638" w:rsidP="009E5083">
            <w:pPr>
              <w:pStyle w:val="10"/>
              <w:spacing w:line="240" w:lineRule="auto"/>
              <w:rPr>
                <w:rFonts w:cs="Times New Roman"/>
                <w:b w:val="0"/>
                <w:bCs/>
              </w:rPr>
            </w:pPr>
            <w:r w:rsidRPr="00D630D1">
              <w:rPr>
                <w:rFonts w:cs="Times New Roman"/>
                <w:b w:val="0"/>
                <w:bCs/>
              </w:rPr>
              <w:t>颗粒物</w:t>
            </w:r>
          </w:p>
        </w:tc>
        <w:tc>
          <w:tcPr>
            <w:tcW w:w="2603" w:type="dxa"/>
            <w:vAlign w:val="center"/>
          </w:tcPr>
          <w:p w:rsidR="00FD6638" w:rsidRPr="00D630D1" w:rsidRDefault="00FD6638" w:rsidP="009E5083">
            <w:pPr>
              <w:pStyle w:val="10"/>
              <w:spacing w:line="240" w:lineRule="auto"/>
              <w:rPr>
                <w:rFonts w:cs="Times New Roman"/>
                <w:b w:val="0"/>
                <w:bCs/>
              </w:rPr>
            </w:pPr>
            <w:r w:rsidRPr="00D630D1">
              <w:rPr>
                <w:rFonts w:cs="Times New Roman"/>
                <w:b w:val="0"/>
                <w:bCs/>
              </w:rPr>
              <w:t>20</w:t>
            </w:r>
          </w:p>
        </w:tc>
        <w:tc>
          <w:tcPr>
            <w:tcW w:w="2924" w:type="dxa"/>
            <w:vMerge w:val="restart"/>
            <w:vAlign w:val="center"/>
          </w:tcPr>
          <w:p w:rsidR="00FD6638" w:rsidRPr="00D630D1" w:rsidRDefault="00FD6638" w:rsidP="009E5083">
            <w:pPr>
              <w:pStyle w:val="10"/>
              <w:spacing w:line="240" w:lineRule="auto"/>
              <w:rPr>
                <w:rFonts w:cs="Times New Roman"/>
                <w:b w:val="0"/>
                <w:bCs/>
              </w:rPr>
            </w:pPr>
            <w:r w:rsidRPr="00D630D1">
              <w:rPr>
                <w:rFonts w:cs="Times New Roman"/>
                <w:b w:val="0"/>
                <w:bCs/>
              </w:rPr>
              <w:t>烟囱或烟道</w:t>
            </w:r>
          </w:p>
        </w:tc>
      </w:tr>
      <w:tr w:rsidR="00FD6638" w:rsidRPr="00D630D1" w:rsidTr="009E5083">
        <w:trPr>
          <w:trHeight w:val="260"/>
          <w:jc w:val="center"/>
        </w:trPr>
        <w:tc>
          <w:tcPr>
            <w:tcW w:w="3339" w:type="dxa"/>
            <w:vAlign w:val="center"/>
          </w:tcPr>
          <w:p w:rsidR="00FD6638" w:rsidRPr="00D630D1" w:rsidRDefault="00FD6638" w:rsidP="009E5083">
            <w:pPr>
              <w:pStyle w:val="10"/>
              <w:spacing w:line="240" w:lineRule="auto"/>
              <w:rPr>
                <w:rFonts w:cs="Times New Roman"/>
                <w:b w:val="0"/>
                <w:bCs/>
              </w:rPr>
            </w:pPr>
            <w:r w:rsidRPr="00D630D1">
              <w:rPr>
                <w:rFonts w:cs="Times New Roman"/>
                <w:b w:val="0"/>
                <w:bCs/>
              </w:rPr>
              <w:t>二氧化硫</w:t>
            </w:r>
          </w:p>
        </w:tc>
        <w:tc>
          <w:tcPr>
            <w:tcW w:w="2603" w:type="dxa"/>
            <w:vAlign w:val="center"/>
          </w:tcPr>
          <w:p w:rsidR="00FD6638" w:rsidRPr="00D630D1" w:rsidRDefault="00FD6638" w:rsidP="009E5083">
            <w:pPr>
              <w:pStyle w:val="10"/>
              <w:spacing w:line="240" w:lineRule="auto"/>
              <w:rPr>
                <w:rFonts w:cs="Times New Roman"/>
                <w:b w:val="0"/>
                <w:bCs/>
              </w:rPr>
            </w:pPr>
            <w:r w:rsidRPr="00D630D1">
              <w:rPr>
                <w:rFonts w:cs="Times New Roman"/>
                <w:b w:val="0"/>
                <w:bCs/>
              </w:rPr>
              <w:t>50</w:t>
            </w:r>
          </w:p>
        </w:tc>
        <w:tc>
          <w:tcPr>
            <w:tcW w:w="2924" w:type="dxa"/>
            <w:vMerge/>
            <w:vAlign w:val="center"/>
          </w:tcPr>
          <w:p w:rsidR="00FD6638" w:rsidRPr="00D630D1" w:rsidRDefault="00FD6638" w:rsidP="009E5083">
            <w:pPr>
              <w:pStyle w:val="10"/>
              <w:spacing w:line="240" w:lineRule="auto"/>
              <w:rPr>
                <w:rFonts w:cs="Times New Roman"/>
                <w:b w:val="0"/>
                <w:bCs/>
              </w:rPr>
            </w:pPr>
          </w:p>
        </w:tc>
      </w:tr>
      <w:tr w:rsidR="00FD6638" w:rsidRPr="00D630D1" w:rsidTr="009E5083">
        <w:trPr>
          <w:trHeight w:val="252"/>
          <w:jc w:val="center"/>
        </w:trPr>
        <w:tc>
          <w:tcPr>
            <w:tcW w:w="3339" w:type="dxa"/>
            <w:vAlign w:val="center"/>
          </w:tcPr>
          <w:p w:rsidR="00FD6638" w:rsidRPr="00D630D1" w:rsidRDefault="00FD6638" w:rsidP="009E5083">
            <w:pPr>
              <w:pStyle w:val="10"/>
              <w:spacing w:line="240" w:lineRule="auto"/>
              <w:rPr>
                <w:rFonts w:cs="Times New Roman"/>
                <w:b w:val="0"/>
                <w:bCs/>
              </w:rPr>
            </w:pPr>
            <w:r w:rsidRPr="00D630D1">
              <w:rPr>
                <w:rFonts w:cs="Times New Roman"/>
                <w:b w:val="0"/>
                <w:bCs/>
              </w:rPr>
              <w:t>氮氧化物</w:t>
            </w:r>
          </w:p>
        </w:tc>
        <w:tc>
          <w:tcPr>
            <w:tcW w:w="2603" w:type="dxa"/>
            <w:vAlign w:val="center"/>
          </w:tcPr>
          <w:p w:rsidR="00FD6638" w:rsidRPr="00D630D1" w:rsidRDefault="00FD6638" w:rsidP="009E5083">
            <w:pPr>
              <w:pStyle w:val="10"/>
              <w:spacing w:line="240" w:lineRule="auto"/>
              <w:rPr>
                <w:rFonts w:cs="Times New Roman"/>
                <w:b w:val="0"/>
                <w:bCs/>
              </w:rPr>
            </w:pPr>
            <w:r w:rsidRPr="00D630D1">
              <w:rPr>
                <w:rFonts w:cs="Times New Roman"/>
                <w:b w:val="0"/>
                <w:bCs/>
              </w:rPr>
              <w:t>200</w:t>
            </w:r>
          </w:p>
        </w:tc>
        <w:tc>
          <w:tcPr>
            <w:tcW w:w="2924" w:type="dxa"/>
            <w:vMerge/>
            <w:vAlign w:val="center"/>
          </w:tcPr>
          <w:p w:rsidR="00FD6638" w:rsidRPr="00D630D1" w:rsidRDefault="00FD6638" w:rsidP="009E5083">
            <w:pPr>
              <w:pStyle w:val="10"/>
              <w:spacing w:line="240" w:lineRule="auto"/>
              <w:rPr>
                <w:rFonts w:cs="Times New Roman"/>
                <w:b w:val="0"/>
                <w:bCs/>
              </w:rPr>
            </w:pPr>
          </w:p>
        </w:tc>
      </w:tr>
      <w:tr w:rsidR="00FD6638" w:rsidRPr="00D630D1" w:rsidTr="009E5083">
        <w:trPr>
          <w:trHeight w:val="60"/>
          <w:jc w:val="center"/>
        </w:trPr>
        <w:tc>
          <w:tcPr>
            <w:tcW w:w="3339" w:type="dxa"/>
            <w:vAlign w:val="center"/>
          </w:tcPr>
          <w:p w:rsidR="00FD6638" w:rsidRPr="00D630D1" w:rsidRDefault="00FD6638" w:rsidP="009E5083">
            <w:pPr>
              <w:pStyle w:val="10"/>
              <w:spacing w:line="240" w:lineRule="auto"/>
              <w:rPr>
                <w:rFonts w:cs="Times New Roman"/>
                <w:b w:val="0"/>
                <w:bCs/>
              </w:rPr>
            </w:pPr>
            <w:r w:rsidRPr="00D630D1">
              <w:rPr>
                <w:rFonts w:cs="Times New Roman"/>
                <w:b w:val="0"/>
                <w:bCs/>
              </w:rPr>
              <w:t>烟气黑度（林格曼黑度，级）</w:t>
            </w:r>
          </w:p>
        </w:tc>
        <w:tc>
          <w:tcPr>
            <w:tcW w:w="2603" w:type="dxa"/>
            <w:vAlign w:val="center"/>
          </w:tcPr>
          <w:p w:rsidR="00FD6638" w:rsidRPr="00D630D1" w:rsidRDefault="00FD6638" w:rsidP="009E5083">
            <w:pPr>
              <w:pStyle w:val="10"/>
              <w:spacing w:line="240" w:lineRule="auto"/>
              <w:rPr>
                <w:rFonts w:cs="Times New Roman"/>
                <w:b w:val="0"/>
                <w:bCs/>
              </w:rPr>
            </w:pPr>
            <w:r w:rsidRPr="00D630D1">
              <w:rPr>
                <w:rFonts w:cs="Times New Roman"/>
                <w:b w:val="0"/>
                <w:bCs/>
              </w:rPr>
              <w:t>≤1</w:t>
            </w:r>
          </w:p>
        </w:tc>
        <w:tc>
          <w:tcPr>
            <w:tcW w:w="2924" w:type="dxa"/>
            <w:vAlign w:val="center"/>
          </w:tcPr>
          <w:p w:rsidR="00FD6638" w:rsidRPr="00D630D1" w:rsidRDefault="00FD6638" w:rsidP="009E5083">
            <w:pPr>
              <w:pStyle w:val="10"/>
              <w:spacing w:line="240" w:lineRule="auto"/>
              <w:rPr>
                <w:rFonts w:cs="Times New Roman"/>
                <w:b w:val="0"/>
                <w:bCs/>
              </w:rPr>
            </w:pPr>
            <w:r w:rsidRPr="00D630D1">
              <w:rPr>
                <w:rFonts w:cs="Times New Roman"/>
                <w:b w:val="0"/>
                <w:bCs/>
              </w:rPr>
              <w:t>烟囱排放口</w:t>
            </w:r>
          </w:p>
        </w:tc>
      </w:tr>
    </w:tbl>
    <w:p w:rsidR="009E5083" w:rsidRPr="00D630D1" w:rsidRDefault="009E5083" w:rsidP="009E5083">
      <w:pPr>
        <w:topLinePunct w:val="0"/>
        <w:adjustRightInd/>
        <w:spacing w:line="240" w:lineRule="auto"/>
        <w:ind w:firstLineChars="0" w:firstLine="0"/>
        <w:jc w:val="center"/>
        <w:rPr>
          <w:rFonts w:ascii="Times New Roman" w:cs="Times New Roman"/>
          <w:b/>
          <w:bCs/>
          <w:kern w:val="2"/>
          <w:sz w:val="21"/>
          <w:szCs w:val="21"/>
        </w:rPr>
      </w:pPr>
      <w:r w:rsidRPr="00D630D1">
        <w:rPr>
          <w:rFonts w:ascii="Times New Roman" w:cs="Times New Roman" w:hint="eastAsia"/>
          <w:b/>
          <w:bCs/>
          <w:kern w:val="2"/>
          <w:sz w:val="21"/>
          <w:szCs w:val="21"/>
        </w:rPr>
        <w:t>表</w:t>
      </w:r>
      <w:r w:rsidRPr="00D630D1">
        <w:rPr>
          <w:rFonts w:ascii="Times New Roman" w:cs="Times New Roman"/>
          <w:b/>
          <w:bCs/>
          <w:kern w:val="2"/>
          <w:sz w:val="21"/>
          <w:szCs w:val="21"/>
        </w:rPr>
        <w:t>1.5-</w:t>
      </w:r>
      <w:r w:rsidR="00DB2055" w:rsidRPr="00D630D1">
        <w:rPr>
          <w:rFonts w:ascii="Times New Roman" w:cs="Times New Roman" w:hint="eastAsia"/>
          <w:b/>
          <w:bCs/>
          <w:kern w:val="2"/>
          <w:sz w:val="21"/>
          <w:szCs w:val="21"/>
        </w:rPr>
        <w:t>1</w:t>
      </w:r>
      <w:r w:rsidR="00034734" w:rsidRPr="00D630D1">
        <w:rPr>
          <w:rFonts w:ascii="Times New Roman" w:cs="Times New Roman" w:hint="eastAsia"/>
          <w:b/>
          <w:bCs/>
          <w:kern w:val="2"/>
          <w:sz w:val="21"/>
          <w:szCs w:val="21"/>
        </w:rPr>
        <w:t>0</w:t>
      </w:r>
      <w:r w:rsidRPr="00D630D1">
        <w:rPr>
          <w:rFonts w:ascii="Times New Roman" w:cs="Times New Roman" w:hint="eastAsia"/>
          <w:b/>
          <w:bCs/>
          <w:kern w:val="2"/>
          <w:sz w:val="21"/>
          <w:szCs w:val="21"/>
        </w:rPr>
        <w:t xml:space="preserve">  </w:t>
      </w:r>
      <w:r w:rsidRPr="00D630D1">
        <w:rPr>
          <w:rFonts w:ascii="Times New Roman" w:cs="Times New Roman" w:hint="eastAsia"/>
          <w:b/>
          <w:bCs/>
          <w:kern w:val="2"/>
          <w:sz w:val="21"/>
          <w:szCs w:val="21"/>
        </w:rPr>
        <w:t>饮食业油烟排放标准</w:t>
      </w:r>
    </w:p>
    <w:tbl>
      <w:tblPr>
        <w:tblW w:w="8787"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3206"/>
        <w:gridCol w:w="5581"/>
      </w:tblGrid>
      <w:tr w:rsidR="009E5083" w:rsidRPr="00D630D1" w:rsidTr="009E5083">
        <w:trPr>
          <w:cantSplit/>
          <w:trHeight w:val="386"/>
          <w:jc w:val="center"/>
        </w:trPr>
        <w:tc>
          <w:tcPr>
            <w:tcW w:w="3206" w:type="dxa"/>
            <w:vAlign w:val="center"/>
          </w:tcPr>
          <w:p w:rsidR="009E5083" w:rsidRPr="00D630D1" w:rsidRDefault="009E5083" w:rsidP="009E5083">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污染物项目</w:t>
            </w:r>
          </w:p>
        </w:tc>
        <w:tc>
          <w:tcPr>
            <w:tcW w:w="5581" w:type="dxa"/>
            <w:vAlign w:val="center"/>
          </w:tcPr>
          <w:p w:rsidR="009E5083" w:rsidRPr="00D630D1" w:rsidRDefault="009E5083" w:rsidP="009E5083">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最高允许排放浓度</w:t>
            </w:r>
            <w:r w:rsidRPr="00D630D1">
              <w:rPr>
                <w:rFonts w:ascii="Times New Roman" w:cs="Times New Roman" w:hint="eastAsia"/>
                <w:kern w:val="2"/>
                <w:sz w:val="21"/>
                <w:szCs w:val="21"/>
              </w:rPr>
              <w:t>(mg/m</w:t>
            </w:r>
            <w:r w:rsidRPr="00D630D1">
              <w:rPr>
                <w:rFonts w:ascii="Times New Roman" w:cs="Times New Roman" w:hint="eastAsia"/>
                <w:kern w:val="2"/>
                <w:sz w:val="21"/>
                <w:szCs w:val="21"/>
                <w:vertAlign w:val="superscript"/>
              </w:rPr>
              <w:t>3</w:t>
            </w:r>
            <w:r w:rsidRPr="00D630D1">
              <w:rPr>
                <w:rFonts w:ascii="Times New Roman" w:cs="Times New Roman" w:hint="eastAsia"/>
                <w:kern w:val="2"/>
                <w:sz w:val="21"/>
                <w:szCs w:val="21"/>
              </w:rPr>
              <w:t>)</w:t>
            </w:r>
          </w:p>
        </w:tc>
      </w:tr>
      <w:tr w:rsidR="009E5083" w:rsidRPr="00D630D1" w:rsidTr="009E5083">
        <w:trPr>
          <w:cantSplit/>
          <w:trHeight w:val="386"/>
          <w:jc w:val="center"/>
        </w:trPr>
        <w:tc>
          <w:tcPr>
            <w:tcW w:w="3206" w:type="dxa"/>
            <w:vAlign w:val="center"/>
          </w:tcPr>
          <w:p w:rsidR="009E5083" w:rsidRPr="00D630D1" w:rsidRDefault="009E5083" w:rsidP="009E5083">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油烟</w:t>
            </w:r>
          </w:p>
        </w:tc>
        <w:tc>
          <w:tcPr>
            <w:tcW w:w="5581" w:type="dxa"/>
            <w:vAlign w:val="center"/>
          </w:tcPr>
          <w:p w:rsidR="009E5083" w:rsidRPr="00D630D1" w:rsidRDefault="009E5083" w:rsidP="009E5083">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2.0</w:t>
            </w:r>
          </w:p>
        </w:tc>
      </w:tr>
    </w:tbl>
    <w:p w:rsidR="00117C3D" w:rsidRPr="00D630D1" w:rsidRDefault="008B5B84" w:rsidP="00CA3FA2">
      <w:pPr>
        <w:pStyle w:val="afa"/>
        <w:ind w:firstLine="482"/>
        <w:rPr>
          <w:b/>
          <w:bCs/>
        </w:rPr>
      </w:pPr>
      <w:r w:rsidRPr="00D630D1">
        <w:rPr>
          <w:b/>
          <w:bCs/>
        </w:rPr>
        <w:t>2</w:t>
      </w:r>
      <w:r w:rsidRPr="00D630D1">
        <w:rPr>
          <w:b/>
          <w:bCs/>
        </w:rPr>
        <w:t>、废水</w:t>
      </w:r>
    </w:p>
    <w:p w:rsidR="005D3A58" w:rsidRPr="00D630D1" w:rsidRDefault="005D3A58" w:rsidP="00E35006">
      <w:pPr>
        <w:pStyle w:val="afa"/>
        <w:ind w:firstLine="480"/>
      </w:pPr>
      <w:r w:rsidRPr="00D630D1">
        <w:t>本项目</w:t>
      </w:r>
      <w:r w:rsidR="00645A40" w:rsidRPr="00D630D1">
        <w:rPr>
          <w:spacing w:val="-8"/>
          <w:szCs w:val="21"/>
        </w:rPr>
        <w:t>施工期管线施工人员生活污水依托租用附近居民房收集处理</w:t>
      </w:r>
      <w:r w:rsidR="00645A40" w:rsidRPr="00D630D1">
        <w:rPr>
          <w:rFonts w:hint="eastAsia"/>
          <w:spacing w:val="-8"/>
          <w:szCs w:val="21"/>
        </w:rPr>
        <w:t>，井</w:t>
      </w:r>
      <w:r w:rsidR="00645A40" w:rsidRPr="00D630D1">
        <w:rPr>
          <w:spacing w:val="-8"/>
          <w:szCs w:val="21"/>
        </w:rPr>
        <w:t>场施工生活污水</w:t>
      </w:r>
      <w:r w:rsidR="00A058C9" w:rsidRPr="00D630D1">
        <w:rPr>
          <w:spacing w:val="-8"/>
          <w:szCs w:val="21"/>
        </w:rPr>
        <w:t>经</w:t>
      </w:r>
      <w:r w:rsidR="00A058C9" w:rsidRPr="00D630D1">
        <w:rPr>
          <w:bCs/>
          <w:spacing w:val="-8"/>
          <w:szCs w:val="21"/>
        </w:rPr>
        <w:t>生态环保厕所收集处理</w:t>
      </w:r>
      <w:r w:rsidR="00A058C9" w:rsidRPr="00D630D1">
        <w:t>后，用作周边农肥，不外排</w:t>
      </w:r>
      <w:r w:rsidR="00A058C9" w:rsidRPr="00D630D1">
        <w:rPr>
          <w:rFonts w:hint="eastAsia"/>
          <w:spacing w:val="-8"/>
          <w:szCs w:val="21"/>
        </w:rPr>
        <w:t>；</w:t>
      </w:r>
      <w:r w:rsidR="000C6323" w:rsidRPr="00D630D1">
        <w:rPr>
          <w:rFonts w:hint="eastAsia"/>
          <w:spacing w:val="-8"/>
          <w:szCs w:val="21"/>
        </w:rPr>
        <w:t>初期雨水和</w:t>
      </w:r>
      <w:r w:rsidR="00A058C9" w:rsidRPr="00D630D1">
        <w:rPr>
          <w:spacing w:val="-8"/>
          <w:szCs w:val="21"/>
        </w:rPr>
        <w:t>钻井废水经</w:t>
      </w:r>
      <w:r w:rsidR="000C6323" w:rsidRPr="00D630D1">
        <w:rPr>
          <w:rFonts w:hint="eastAsia"/>
          <w:spacing w:val="-8"/>
          <w:szCs w:val="21"/>
        </w:rPr>
        <w:t>清洁化操作平台</w:t>
      </w:r>
      <w:r w:rsidR="00A058C9" w:rsidRPr="00D630D1">
        <w:rPr>
          <w:spacing w:val="-8"/>
          <w:szCs w:val="21"/>
        </w:rPr>
        <w:t>预处理后装车拉运至毛开</w:t>
      </w:r>
      <w:r w:rsidR="00A058C9" w:rsidRPr="00D630D1">
        <w:rPr>
          <w:spacing w:val="-8"/>
          <w:szCs w:val="21"/>
        </w:rPr>
        <w:t>1</w:t>
      </w:r>
      <w:r w:rsidR="00A058C9" w:rsidRPr="00D630D1">
        <w:rPr>
          <w:spacing w:val="-8"/>
          <w:szCs w:val="21"/>
        </w:rPr>
        <w:t>井回注站回注</w:t>
      </w:r>
      <w:r w:rsidR="00A058C9" w:rsidRPr="00D630D1">
        <w:rPr>
          <w:rFonts w:hint="eastAsia"/>
          <w:spacing w:val="-8"/>
          <w:szCs w:val="21"/>
        </w:rPr>
        <w:t>；</w:t>
      </w:r>
      <w:r w:rsidR="00A058C9" w:rsidRPr="00D630D1">
        <w:rPr>
          <w:spacing w:val="-8"/>
          <w:szCs w:val="21"/>
        </w:rPr>
        <w:t>压裂废水和洗井废水</w:t>
      </w:r>
      <w:r w:rsidR="00775840" w:rsidRPr="00D630D1">
        <w:rPr>
          <w:rFonts w:hint="eastAsia"/>
          <w:spacing w:val="-8"/>
          <w:szCs w:val="21"/>
        </w:rPr>
        <w:t>部分</w:t>
      </w:r>
      <w:r w:rsidR="00A058C9" w:rsidRPr="00D630D1">
        <w:rPr>
          <w:spacing w:val="-8"/>
          <w:szCs w:val="21"/>
        </w:rPr>
        <w:t>暂存</w:t>
      </w:r>
      <w:r w:rsidR="00A058C9" w:rsidRPr="00D630D1">
        <w:rPr>
          <w:rFonts w:hint="eastAsia"/>
          <w:spacing w:val="-8"/>
          <w:szCs w:val="21"/>
        </w:rPr>
        <w:t>于</w:t>
      </w:r>
      <w:r w:rsidR="00775840" w:rsidRPr="00D630D1">
        <w:rPr>
          <w:rFonts w:hint="eastAsia"/>
          <w:spacing w:val="-8"/>
          <w:szCs w:val="21"/>
        </w:rPr>
        <w:t>放喷池，剩余部分暂存于</w:t>
      </w:r>
      <w:r w:rsidR="00E35006" w:rsidRPr="00D630D1">
        <w:rPr>
          <w:rFonts w:hint="eastAsia"/>
          <w:spacing w:val="-8"/>
          <w:szCs w:val="21"/>
        </w:rPr>
        <w:t>污水缓冲罐</w:t>
      </w:r>
      <w:r w:rsidR="00A058C9" w:rsidRPr="00D630D1">
        <w:rPr>
          <w:spacing w:val="-8"/>
          <w:szCs w:val="21"/>
        </w:rPr>
        <w:t>，装车拉运至大湾</w:t>
      </w:r>
      <w:r w:rsidR="00A058C9" w:rsidRPr="00D630D1">
        <w:rPr>
          <w:spacing w:val="-8"/>
          <w:szCs w:val="21"/>
        </w:rPr>
        <w:t>403</w:t>
      </w:r>
      <w:r w:rsidR="00A058C9" w:rsidRPr="00D630D1">
        <w:rPr>
          <w:spacing w:val="-8"/>
          <w:szCs w:val="21"/>
        </w:rPr>
        <w:t>污水站处理达标后管输至毛开</w:t>
      </w:r>
      <w:r w:rsidR="00A058C9" w:rsidRPr="00D630D1">
        <w:rPr>
          <w:spacing w:val="-8"/>
          <w:szCs w:val="21"/>
        </w:rPr>
        <w:t>1</w:t>
      </w:r>
      <w:r w:rsidR="00A058C9" w:rsidRPr="00D630D1">
        <w:rPr>
          <w:spacing w:val="-8"/>
          <w:szCs w:val="21"/>
        </w:rPr>
        <w:t>井回注站回注</w:t>
      </w:r>
      <w:r w:rsidRPr="00D630D1">
        <w:t>。</w:t>
      </w:r>
      <w:bookmarkStart w:id="71" w:name="_Hlk80470696"/>
      <w:r w:rsidR="00A0659D" w:rsidRPr="00D630D1">
        <w:t>本项目运营期产生的气田水</w:t>
      </w:r>
      <w:r w:rsidR="002C36C4" w:rsidRPr="002C36C4">
        <w:rPr>
          <w:rFonts w:hint="eastAsia"/>
        </w:rPr>
        <w:t>暂存于污水缓冲罐</w:t>
      </w:r>
      <w:r w:rsidR="00A0659D" w:rsidRPr="00D630D1">
        <w:t>，然后通过密闭罐车拉运至大湾</w:t>
      </w:r>
      <w:r w:rsidR="00A0659D" w:rsidRPr="00D630D1">
        <w:t>403</w:t>
      </w:r>
      <w:r w:rsidR="00A0659D" w:rsidRPr="00D630D1">
        <w:t>污水站处理达到《气田水回注方法》（</w:t>
      </w:r>
      <w:r w:rsidR="00A0659D" w:rsidRPr="00D630D1">
        <w:t xml:space="preserve">SY/T </w:t>
      </w:r>
      <w:r w:rsidR="00A0659D" w:rsidRPr="00D630D1">
        <w:lastRenderedPageBreak/>
        <w:t>6596</w:t>
      </w:r>
      <w:r w:rsidR="00A0659D" w:rsidRPr="00D630D1">
        <w:rPr>
          <w:rFonts w:hint="eastAsia"/>
        </w:rPr>
        <w:t>-</w:t>
      </w:r>
      <w:r w:rsidR="00A0659D" w:rsidRPr="00D630D1">
        <w:t>2016</w:t>
      </w:r>
      <w:r w:rsidR="00A0659D" w:rsidRPr="00D630D1">
        <w:t>）中注入水基本要求后管输至毛开</w:t>
      </w:r>
      <w:r w:rsidR="00A0659D" w:rsidRPr="00D630D1">
        <w:t>1</w:t>
      </w:r>
      <w:r w:rsidR="00A0659D" w:rsidRPr="00D630D1">
        <w:t>井回注站回注处理，不外排</w:t>
      </w:r>
      <w:r w:rsidR="002C36C4">
        <w:rPr>
          <w:rFonts w:hint="eastAsia"/>
        </w:rPr>
        <w:t>；值守</w:t>
      </w:r>
      <w:r w:rsidR="002C36C4" w:rsidRPr="000819D9">
        <w:t>人员生活</w:t>
      </w:r>
      <w:r w:rsidR="002C36C4" w:rsidRPr="000819D9">
        <w:rPr>
          <w:rFonts w:hint="eastAsia"/>
        </w:rPr>
        <w:t>污水</w:t>
      </w:r>
      <w:r w:rsidR="002C36C4">
        <w:rPr>
          <w:rFonts w:hint="eastAsia"/>
        </w:rPr>
        <w:t>经</w:t>
      </w:r>
      <w:r w:rsidR="002C36C4" w:rsidRPr="000819D9">
        <w:t>生态环保厕所收集后，用作周边农肥，不外排</w:t>
      </w:r>
      <w:r w:rsidR="00D1608A" w:rsidRPr="00D630D1">
        <w:t>。</w:t>
      </w:r>
    </w:p>
    <w:bookmarkEnd w:id="71"/>
    <w:p w:rsidR="00117C3D" w:rsidRPr="00D630D1" w:rsidRDefault="008B5B84" w:rsidP="00CA3FA2">
      <w:pPr>
        <w:pStyle w:val="afa"/>
        <w:ind w:firstLine="482"/>
        <w:rPr>
          <w:b/>
          <w:bCs/>
        </w:rPr>
      </w:pPr>
      <w:r w:rsidRPr="00D630D1">
        <w:rPr>
          <w:b/>
          <w:bCs/>
        </w:rPr>
        <w:t>3</w:t>
      </w:r>
      <w:r w:rsidRPr="00D630D1">
        <w:rPr>
          <w:b/>
          <w:bCs/>
        </w:rPr>
        <w:t>、噪声</w:t>
      </w:r>
    </w:p>
    <w:p w:rsidR="00117C3D" w:rsidRPr="00D630D1" w:rsidRDefault="00821956" w:rsidP="00CA3FA2">
      <w:pPr>
        <w:pStyle w:val="afa"/>
        <w:ind w:firstLine="480"/>
      </w:pPr>
      <w:r w:rsidRPr="00D630D1">
        <w:t>运营期噪声执行《工业企业厂界环境噪声排放标准》（</w:t>
      </w:r>
      <w:r w:rsidRPr="00D630D1">
        <w:t>GB12348-2008</w:t>
      </w:r>
      <w:r w:rsidRPr="00D630D1">
        <w:t>）中的</w:t>
      </w:r>
      <w:r w:rsidRPr="00D630D1">
        <w:t>2</w:t>
      </w:r>
      <w:r w:rsidRPr="00D630D1">
        <w:t>类标准。</w:t>
      </w:r>
    </w:p>
    <w:p w:rsidR="00117C3D" w:rsidRPr="00D630D1" w:rsidRDefault="008B5B84" w:rsidP="00CA3FA2">
      <w:pPr>
        <w:pStyle w:val="10"/>
        <w:rPr>
          <w:rFonts w:cs="Times New Roman"/>
        </w:rPr>
      </w:pPr>
      <w:r w:rsidRPr="00D630D1">
        <w:rPr>
          <w:rFonts w:cs="Times New Roman"/>
        </w:rPr>
        <w:t>表</w:t>
      </w:r>
      <w:r w:rsidRPr="00D630D1">
        <w:rPr>
          <w:rFonts w:cs="Times New Roman"/>
        </w:rPr>
        <w:t>1.5-</w:t>
      </w:r>
      <w:r w:rsidR="00FD3961" w:rsidRPr="00D630D1">
        <w:rPr>
          <w:rStyle w:val="Charc"/>
          <w:rFonts w:hint="eastAsia"/>
        </w:rPr>
        <w:t>1</w:t>
      </w:r>
      <w:r w:rsidR="00A624BD" w:rsidRPr="00D630D1">
        <w:rPr>
          <w:rStyle w:val="Charc"/>
          <w:rFonts w:hint="eastAsia"/>
        </w:rPr>
        <w:t>1</w:t>
      </w:r>
      <w:r w:rsidR="00CA3FA2" w:rsidRPr="00D630D1">
        <w:rPr>
          <w:rStyle w:val="Charc"/>
        </w:rPr>
        <w:t xml:space="preserve">  </w:t>
      </w:r>
      <w:r w:rsidR="00821956" w:rsidRPr="00D630D1">
        <w:rPr>
          <w:rFonts w:cs="Times New Roman"/>
        </w:rPr>
        <w:t>工业企业厂界环境噪声排放标准</w:t>
      </w:r>
      <w:r w:rsidR="00CA3FA2" w:rsidRPr="00D630D1">
        <w:rPr>
          <w:rFonts w:cs="Times New Roman"/>
        </w:rPr>
        <w:t xml:space="preserve">   </w:t>
      </w:r>
      <w:r w:rsidRPr="00D630D1">
        <w:rPr>
          <w:rFonts w:cs="Times New Roman"/>
        </w:rPr>
        <w:t>单位：</w:t>
      </w:r>
      <w:r w:rsidRPr="00D630D1">
        <w:rPr>
          <w:rFonts w:cs="Times New Roman"/>
        </w:rPr>
        <w:t>dB</w:t>
      </w:r>
      <w:r w:rsidR="002C36C4">
        <w:rPr>
          <w:rFonts w:cs="Times New Roman" w:hint="eastAsia"/>
        </w:rPr>
        <w:t>（</w:t>
      </w:r>
      <w:r w:rsidR="002C36C4" w:rsidRPr="00D630D1">
        <w:rPr>
          <w:rFonts w:cs="Times New Roman"/>
        </w:rPr>
        <w:t>A</w:t>
      </w:r>
      <w:r w:rsidR="002C36C4">
        <w:rPr>
          <w:rFonts w:cs="Times New Roman" w:hint="eastAsia"/>
        </w:rPr>
        <w:t>）</w:t>
      </w:r>
    </w:p>
    <w:tbl>
      <w:tblPr>
        <w:tblW w:w="5249" w:type="pct"/>
        <w:jc w:val="center"/>
        <w:tblCellMar>
          <w:left w:w="0" w:type="dxa"/>
          <w:right w:w="0" w:type="dxa"/>
        </w:tblCellMar>
        <w:tblLook w:val="04A0"/>
      </w:tblPr>
      <w:tblGrid>
        <w:gridCol w:w="3238"/>
        <w:gridCol w:w="2742"/>
        <w:gridCol w:w="2740"/>
      </w:tblGrid>
      <w:tr w:rsidR="006A0A66" w:rsidRPr="00D630D1" w:rsidTr="008A363F">
        <w:trPr>
          <w:trHeight w:hRule="exact" w:val="311"/>
          <w:jc w:val="center"/>
        </w:trPr>
        <w:tc>
          <w:tcPr>
            <w:tcW w:w="1857" w:type="pct"/>
            <w:tcBorders>
              <w:top w:val="single" w:sz="12" w:space="0" w:color="000000"/>
              <w:left w:val="nil"/>
              <w:bottom w:val="single" w:sz="4" w:space="0" w:color="000000"/>
              <w:right w:val="single" w:sz="4" w:space="0" w:color="000000"/>
            </w:tcBorders>
            <w:vAlign w:val="center"/>
          </w:tcPr>
          <w:p w:rsidR="00117C3D" w:rsidRPr="00D630D1" w:rsidRDefault="008B5B84" w:rsidP="00CA3FA2">
            <w:pPr>
              <w:pStyle w:val="aff2"/>
              <w:rPr>
                <w:b/>
                <w:bCs/>
              </w:rPr>
            </w:pPr>
            <w:r w:rsidRPr="00D630D1">
              <w:rPr>
                <w:b/>
                <w:bCs/>
              </w:rPr>
              <w:t>类别</w:t>
            </w:r>
          </w:p>
        </w:tc>
        <w:tc>
          <w:tcPr>
            <w:tcW w:w="1572" w:type="pc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rsidP="00CA3FA2">
            <w:pPr>
              <w:pStyle w:val="aff2"/>
              <w:rPr>
                <w:b/>
                <w:bCs/>
              </w:rPr>
            </w:pPr>
            <w:r w:rsidRPr="00D630D1">
              <w:rPr>
                <w:b/>
                <w:bCs/>
              </w:rPr>
              <w:t>昼间</w:t>
            </w:r>
          </w:p>
        </w:tc>
        <w:tc>
          <w:tcPr>
            <w:tcW w:w="1571" w:type="pct"/>
            <w:tcBorders>
              <w:top w:val="single" w:sz="12" w:space="0" w:color="000000"/>
              <w:left w:val="single" w:sz="4" w:space="0" w:color="000000"/>
              <w:bottom w:val="single" w:sz="4" w:space="0" w:color="000000"/>
              <w:right w:val="nil"/>
            </w:tcBorders>
            <w:vAlign w:val="center"/>
          </w:tcPr>
          <w:p w:rsidR="00117C3D" w:rsidRPr="00D630D1" w:rsidRDefault="008B5B84" w:rsidP="00CA3FA2">
            <w:pPr>
              <w:pStyle w:val="aff2"/>
              <w:rPr>
                <w:b/>
                <w:bCs/>
              </w:rPr>
            </w:pPr>
            <w:r w:rsidRPr="00D630D1">
              <w:rPr>
                <w:b/>
                <w:bCs/>
              </w:rPr>
              <w:t>夜间</w:t>
            </w:r>
          </w:p>
        </w:tc>
      </w:tr>
      <w:tr w:rsidR="006A0A66" w:rsidRPr="00D630D1" w:rsidTr="008A363F">
        <w:trPr>
          <w:trHeight w:hRule="exact" w:val="344"/>
          <w:jc w:val="center"/>
        </w:trPr>
        <w:tc>
          <w:tcPr>
            <w:tcW w:w="1857" w:type="pct"/>
            <w:tcBorders>
              <w:top w:val="single" w:sz="4" w:space="0" w:color="000000"/>
              <w:left w:val="nil"/>
              <w:bottom w:val="single" w:sz="12" w:space="0" w:color="000000"/>
              <w:right w:val="single" w:sz="4" w:space="0" w:color="000000"/>
            </w:tcBorders>
            <w:vAlign w:val="center"/>
          </w:tcPr>
          <w:p w:rsidR="00117C3D" w:rsidRPr="00D630D1" w:rsidRDefault="008B5B84" w:rsidP="00CA3FA2">
            <w:pPr>
              <w:pStyle w:val="aff2"/>
            </w:pPr>
            <w:r w:rsidRPr="00D630D1">
              <w:t>2</w:t>
            </w:r>
            <w:r w:rsidRPr="00D630D1">
              <w:t>类</w:t>
            </w:r>
          </w:p>
        </w:tc>
        <w:tc>
          <w:tcPr>
            <w:tcW w:w="1572" w:type="pct"/>
            <w:tcBorders>
              <w:top w:val="single" w:sz="4" w:space="0" w:color="000000"/>
              <w:left w:val="single" w:sz="4" w:space="0" w:color="000000"/>
              <w:bottom w:val="single" w:sz="12" w:space="0" w:color="000000"/>
              <w:right w:val="single" w:sz="4" w:space="0" w:color="000000"/>
            </w:tcBorders>
            <w:vAlign w:val="center"/>
          </w:tcPr>
          <w:p w:rsidR="00117C3D" w:rsidRPr="00D630D1" w:rsidRDefault="008B5B84" w:rsidP="00CA3FA2">
            <w:pPr>
              <w:pStyle w:val="aff2"/>
            </w:pPr>
            <w:r w:rsidRPr="00D630D1">
              <w:t>60</w:t>
            </w:r>
          </w:p>
        </w:tc>
        <w:tc>
          <w:tcPr>
            <w:tcW w:w="1571" w:type="pct"/>
            <w:tcBorders>
              <w:top w:val="single" w:sz="4" w:space="0" w:color="000000"/>
              <w:left w:val="single" w:sz="4" w:space="0" w:color="000000"/>
              <w:bottom w:val="single" w:sz="12" w:space="0" w:color="000000"/>
              <w:right w:val="nil"/>
            </w:tcBorders>
            <w:vAlign w:val="center"/>
          </w:tcPr>
          <w:p w:rsidR="00117C3D" w:rsidRPr="00D630D1" w:rsidRDefault="008B5B84" w:rsidP="00CA3FA2">
            <w:pPr>
              <w:pStyle w:val="aff2"/>
            </w:pPr>
            <w:r w:rsidRPr="00D630D1">
              <w:t>50</w:t>
            </w:r>
          </w:p>
        </w:tc>
      </w:tr>
    </w:tbl>
    <w:p w:rsidR="00117C3D" w:rsidRPr="00D630D1" w:rsidRDefault="008B5B84" w:rsidP="00CA3FA2">
      <w:pPr>
        <w:pStyle w:val="afa"/>
        <w:ind w:firstLine="480"/>
      </w:pPr>
      <w:r w:rsidRPr="00D630D1">
        <w:t>施工期噪声采用《建筑施工场界环境噪声排放标准》</w:t>
      </w:r>
      <w:r w:rsidR="00345AF9" w:rsidRPr="00D630D1">
        <w:t>（</w:t>
      </w:r>
      <w:r w:rsidR="00345AF9" w:rsidRPr="00D630D1">
        <w:t>GB12523-2011</w:t>
      </w:r>
      <w:r w:rsidR="00345AF9" w:rsidRPr="00D630D1">
        <w:t>）</w:t>
      </w:r>
      <w:r w:rsidRPr="00D630D1">
        <w:t>标准。</w:t>
      </w:r>
    </w:p>
    <w:p w:rsidR="00117C3D" w:rsidRPr="00D630D1" w:rsidRDefault="008B5B84" w:rsidP="00CA3FA2">
      <w:pPr>
        <w:pStyle w:val="10"/>
        <w:rPr>
          <w:rFonts w:cs="Times New Roman"/>
        </w:rPr>
      </w:pPr>
      <w:r w:rsidRPr="00D630D1">
        <w:rPr>
          <w:rFonts w:cs="Times New Roman"/>
        </w:rPr>
        <w:t>表</w:t>
      </w:r>
      <w:r w:rsidRPr="00D630D1">
        <w:rPr>
          <w:rFonts w:cs="Times New Roman"/>
        </w:rPr>
        <w:t>1.5-</w:t>
      </w:r>
      <w:r w:rsidR="005D3A58" w:rsidRPr="00D630D1">
        <w:rPr>
          <w:rFonts w:cs="Times New Roman"/>
        </w:rPr>
        <w:t>1</w:t>
      </w:r>
      <w:r w:rsidR="00A624BD" w:rsidRPr="00D630D1">
        <w:rPr>
          <w:rFonts w:cs="Times New Roman" w:hint="eastAsia"/>
        </w:rPr>
        <w:t>2</w:t>
      </w:r>
      <w:r w:rsidR="00CA3FA2" w:rsidRPr="00D630D1">
        <w:rPr>
          <w:rFonts w:cs="Times New Roman"/>
        </w:rPr>
        <w:t xml:space="preserve">  </w:t>
      </w:r>
      <w:r w:rsidRPr="00D630D1">
        <w:rPr>
          <w:rFonts w:cs="Times New Roman"/>
        </w:rPr>
        <w:t>建筑施工场界噪声限值</w:t>
      </w:r>
      <w:r w:rsidR="00CA3FA2" w:rsidRPr="00D630D1">
        <w:rPr>
          <w:rFonts w:cs="Times New Roman"/>
        </w:rPr>
        <w:t xml:space="preserve">  </w:t>
      </w:r>
      <w:r w:rsidRPr="00D630D1">
        <w:rPr>
          <w:rFonts w:cs="Times New Roman"/>
        </w:rPr>
        <w:t>单位：</w:t>
      </w:r>
      <w:r w:rsidRPr="00D630D1">
        <w:rPr>
          <w:rFonts w:cs="Times New Roman"/>
        </w:rPr>
        <w:t>dB</w:t>
      </w:r>
      <w:r w:rsidR="002C36C4">
        <w:rPr>
          <w:rFonts w:cs="Times New Roman" w:hint="eastAsia"/>
        </w:rPr>
        <w:t>（</w:t>
      </w:r>
      <w:r w:rsidR="002C36C4" w:rsidRPr="00D630D1">
        <w:rPr>
          <w:rFonts w:cs="Times New Roman"/>
        </w:rPr>
        <w:t>A</w:t>
      </w:r>
      <w:r w:rsidR="002C36C4">
        <w:rPr>
          <w:rFonts w:cs="Times New Roman" w:hint="eastAsia"/>
        </w:rPr>
        <w:t>）</w:t>
      </w:r>
    </w:p>
    <w:tbl>
      <w:tblPr>
        <w:tblW w:w="8699" w:type="dxa"/>
        <w:jc w:val="center"/>
        <w:tblCellMar>
          <w:left w:w="0" w:type="dxa"/>
          <w:right w:w="0" w:type="dxa"/>
        </w:tblCellMar>
        <w:tblLook w:val="04A0"/>
      </w:tblPr>
      <w:tblGrid>
        <w:gridCol w:w="5499"/>
        <w:gridCol w:w="1634"/>
        <w:gridCol w:w="1566"/>
      </w:tblGrid>
      <w:tr w:rsidR="006A0A66" w:rsidRPr="00D630D1" w:rsidTr="008A363F">
        <w:trPr>
          <w:trHeight w:val="352"/>
          <w:jc w:val="center"/>
        </w:trPr>
        <w:tc>
          <w:tcPr>
            <w:tcW w:w="5499" w:type="dxa"/>
            <w:tcBorders>
              <w:top w:val="single" w:sz="12" w:space="0" w:color="000000"/>
              <w:left w:val="nil"/>
              <w:bottom w:val="single" w:sz="2" w:space="0" w:color="000000"/>
              <w:right w:val="single" w:sz="2" w:space="0" w:color="000000"/>
            </w:tcBorders>
            <w:vAlign w:val="center"/>
          </w:tcPr>
          <w:p w:rsidR="00117C3D" w:rsidRPr="00D630D1" w:rsidRDefault="008B5B84" w:rsidP="005D3A58">
            <w:pPr>
              <w:pStyle w:val="aff2"/>
              <w:rPr>
                <w:b/>
                <w:bCs/>
              </w:rPr>
            </w:pPr>
            <w:r w:rsidRPr="00D630D1">
              <w:rPr>
                <w:b/>
                <w:bCs/>
              </w:rPr>
              <w:t>执行标准</w:t>
            </w:r>
          </w:p>
        </w:tc>
        <w:tc>
          <w:tcPr>
            <w:tcW w:w="1634" w:type="dxa"/>
            <w:tcBorders>
              <w:top w:val="single" w:sz="12" w:space="0" w:color="000000"/>
              <w:left w:val="nil"/>
              <w:bottom w:val="single" w:sz="2" w:space="0" w:color="000000"/>
              <w:right w:val="single" w:sz="2" w:space="0" w:color="000000"/>
            </w:tcBorders>
            <w:vAlign w:val="center"/>
          </w:tcPr>
          <w:p w:rsidR="00117C3D" w:rsidRPr="00D630D1" w:rsidRDefault="008B5B84" w:rsidP="005D3A58">
            <w:pPr>
              <w:pStyle w:val="aff2"/>
              <w:rPr>
                <w:b/>
                <w:bCs/>
              </w:rPr>
            </w:pPr>
            <w:r w:rsidRPr="00D630D1">
              <w:rPr>
                <w:b/>
                <w:bCs/>
              </w:rPr>
              <w:t>昼间</w:t>
            </w:r>
          </w:p>
        </w:tc>
        <w:tc>
          <w:tcPr>
            <w:tcW w:w="1566" w:type="dxa"/>
            <w:tcBorders>
              <w:top w:val="single" w:sz="12" w:space="0" w:color="000000"/>
              <w:left w:val="single" w:sz="2" w:space="0" w:color="000000"/>
              <w:bottom w:val="single" w:sz="2" w:space="0" w:color="000000"/>
              <w:right w:val="nil"/>
            </w:tcBorders>
            <w:vAlign w:val="center"/>
          </w:tcPr>
          <w:p w:rsidR="00117C3D" w:rsidRPr="00D630D1" w:rsidRDefault="008B5B84" w:rsidP="005D3A58">
            <w:pPr>
              <w:pStyle w:val="aff2"/>
              <w:rPr>
                <w:b/>
                <w:bCs/>
              </w:rPr>
            </w:pPr>
            <w:r w:rsidRPr="00D630D1">
              <w:rPr>
                <w:b/>
                <w:bCs/>
              </w:rPr>
              <w:t>夜间</w:t>
            </w:r>
          </w:p>
        </w:tc>
      </w:tr>
      <w:tr w:rsidR="006A0A66" w:rsidRPr="00D630D1" w:rsidTr="008A363F">
        <w:trPr>
          <w:trHeight w:val="397"/>
          <w:jc w:val="center"/>
        </w:trPr>
        <w:tc>
          <w:tcPr>
            <w:tcW w:w="5499" w:type="dxa"/>
            <w:tcBorders>
              <w:top w:val="single" w:sz="2" w:space="0" w:color="000000"/>
              <w:left w:val="nil"/>
              <w:bottom w:val="single" w:sz="12" w:space="0" w:color="000000"/>
              <w:right w:val="single" w:sz="2" w:space="0" w:color="000000"/>
            </w:tcBorders>
            <w:vAlign w:val="center"/>
          </w:tcPr>
          <w:p w:rsidR="00117C3D" w:rsidRPr="00D630D1" w:rsidRDefault="008B5B84" w:rsidP="005D3A58">
            <w:pPr>
              <w:pStyle w:val="aff2"/>
            </w:pPr>
            <w:r w:rsidRPr="00D630D1">
              <w:t>《建筑施工场界环境噪声排放标准》</w:t>
            </w:r>
            <w:r w:rsidR="00CA3FA2" w:rsidRPr="00D630D1">
              <w:t>（</w:t>
            </w:r>
            <w:r w:rsidR="00CA3FA2" w:rsidRPr="00D630D1">
              <w:t>GB12523-2011</w:t>
            </w:r>
            <w:r w:rsidR="00CA3FA2" w:rsidRPr="00D630D1">
              <w:t>）</w:t>
            </w:r>
          </w:p>
        </w:tc>
        <w:tc>
          <w:tcPr>
            <w:tcW w:w="1634" w:type="dxa"/>
            <w:tcBorders>
              <w:top w:val="single" w:sz="2" w:space="0" w:color="000000"/>
              <w:left w:val="nil"/>
              <w:bottom w:val="single" w:sz="12" w:space="0" w:color="000000"/>
              <w:right w:val="single" w:sz="2" w:space="0" w:color="000000"/>
            </w:tcBorders>
            <w:vAlign w:val="center"/>
          </w:tcPr>
          <w:p w:rsidR="00117C3D" w:rsidRPr="00D630D1" w:rsidRDefault="008B5B84" w:rsidP="005D3A58">
            <w:pPr>
              <w:pStyle w:val="aff2"/>
            </w:pPr>
            <w:r w:rsidRPr="00D630D1">
              <w:t>70</w:t>
            </w:r>
          </w:p>
        </w:tc>
        <w:tc>
          <w:tcPr>
            <w:tcW w:w="1566" w:type="dxa"/>
            <w:tcBorders>
              <w:top w:val="single" w:sz="2" w:space="0" w:color="000000"/>
              <w:left w:val="single" w:sz="2" w:space="0" w:color="000000"/>
              <w:bottom w:val="single" w:sz="12" w:space="0" w:color="000000"/>
              <w:right w:val="nil"/>
            </w:tcBorders>
            <w:vAlign w:val="center"/>
          </w:tcPr>
          <w:p w:rsidR="00117C3D" w:rsidRPr="00D630D1" w:rsidRDefault="008B5B84" w:rsidP="005D3A58">
            <w:pPr>
              <w:pStyle w:val="aff2"/>
            </w:pPr>
            <w:r w:rsidRPr="00D630D1">
              <w:t>55</w:t>
            </w:r>
          </w:p>
        </w:tc>
      </w:tr>
    </w:tbl>
    <w:p w:rsidR="00117C3D" w:rsidRPr="00D630D1" w:rsidRDefault="008B5B84" w:rsidP="00821956">
      <w:pPr>
        <w:pStyle w:val="afa"/>
        <w:ind w:firstLine="482"/>
        <w:rPr>
          <w:b/>
          <w:bCs/>
        </w:rPr>
      </w:pPr>
      <w:r w:rsidRPr="00D630D1">
        <w:rPr>
          <w:b/>
          <w:bCs/>
        </w:rPr>
        <w:t>4</w:t>
      </w:r>
      <w:r w:rsidRPr="00D630D1">
        <w:rPr>
          <w:b/>
          <w:bCs/>
        </w:rPr>
        <w:t>、固体废物</w:t>
      </w:r>
    </w:p>
    <w:p w:rsidR="00117C3D" w:rsidRPr="00D630D1" w:rsidRDefault="008B5B84" w:rsidP="00821956">
      <w:pPr>
        <w:pStyle w:val="afa"/>
        <w:ind w:firstLine="480"/>
        <w:rPr>
          <w:kern w:val="2"/>
          <w:szCs w:val="22"/>
        </w:rPr>
      </w:pPr>
      <w:r w:rsidRPr="00D630D1">
        <w:rPr>
          <w:kern w:val="2"/>
          <w:szCs w:val="22"/>
        </w:rPr>
        <w:t>（</w:t>
      </w:r>
      <w:r w:rsidRPr="00D630D1">
        <w:rPr>
          <w:kern w:val="2"/>
          <w:szCs w:val="22"/>
        </w:rPr>
        <w:t>1</w:t>
      </w:r>
      <w:r w:rsidRPr="00D630D1">
        <w:rPr>
          <w:kern w:val="2"/>
          <w:szCs w:val="22"/>
        </w:rPr>
        <w:t>）</w:t>
      </w:r>
      <w:r w:rsidR="008A363F" w:rsidRPr="00D630D1">
        <w:rPr>
          <w:kern w:val="2"/>
          <w:szCs w:val="22"/>
        </w:rPr>
        <w:t>一般工业固体废物：</w:t>
      </w:r>
      <w:r w:rsidR="00535F05" w:rsidRPr="00D630D1">
        <w:rPr>
          <w:rFonts w:hint="eastAsia"/>
          <w:kern w:val="2"/>
          <w:szCs w:val="22"/>
        </w:rPr>
        <w:t>按</w:t>
      </w:r>
      <w:r w:rsidR="008A363F" w:rsidRPr="00D630D1">
        <w:rPr>
          <w:kern w:val="2"/>
          <w:szCs w:val="22"/>
        </w:rPr>
        <w:t>《一般工业固体废物贮存和填埋污染控制标准》（</w:t>
      </w:r>
      <w:r w:rsidR="008A363F" w:rsidRPr="00D630D1">
        <w:rPr>
          <w:kern w:val="2"/>
          <w:szCs w:val="22"/>
        </w:rPr>
        <w:t>GB18599-2020</w:t>
      </w:r>
      <w:r w:rsidR="008A363F" w:rsidRPr="00D630D1">
        <w:rPr>
          <w:kern w:val="2"/>
          <w:szCs w:val="22"/>
        </w:rPr>
        <w:t>）</w:t>
      </w:r>
      <w:r w:rsidR="00535F05" w:rsidRPr="00D630D1">
        <w:rPr>
          <w:kern w:val="2"/>
          <w:szCs w:val="22"/>
        </w:rPr>
        <w:t>进行</w:t>
      </w:r>
      <w:r w:rsidR="00535F05" w:rsidRPr="00D630D1">
        <w:t>贮存和管理</w:t>
      </w:r>
      <w:r w:rsidR="008A363F" w:rsidRPr="00D630D1">
        <w:rPr>
          <w:kern w:val="2"/>
          <w:szCs w:val="22"/>
        </w:rPr>
        <w:t>；</w:t>
      </w:r>
    </w:p>
    <w:p w:rsidR="00117C3D" w:rsidRPr="00D630D1" w:rsidRDefault="008B5B84" w:rsidP="00821956">
      <w:pPr>
        <w:pStyle w:val="afa"/>
        <w:ind w:firstLine="480"/>
        <w:rPr>
          <w:kern w:val="2"/>
          <w:szCs w:val="22"/>
        </w:rPr>
      </w:pPr>
      <w:r w:rsidRPr="00D630D1">
        <w:rPr>
          <w:kern w:val="2"/>
          <w:szCs w:val="22"/>
        </w:rPr>
        <w:t>（</w:t>
      </w:r>
      <w:r w:rsidRPr="00D630D1">
        <w:rPr>
          <w:kern w:val="2"/>
          <w:szCs w:val="22"/>
        </w:rPr>
        <w:t>2</w:t>
      </w:r>
      <w:r w:rsidRPr="00D630D1">
        <w:rPr>
          <w:kern w:val="2"/>
          <w:szCs w:val="22"/>
        </w:rPr>
        <w:t>）</w:t>
      </w:r>
      <w:r w:rsidR="008A363F" w:rsidRPr="00D630D1">
        <w:rPr>
          <w:szCs w:val="24"/>
        </w:rPr>
        <w:t>危险废物：</w:t>
      </w:r>
      <w:r w:rsidR="008A363F" w:rsidRPr="00D630D1">
        <w:t>按《国家危险废物名录》</w:t>
      </w:r>
      <w:r w:rsidR="00535F05" w:rsidRPr="00D630D1">
        <w:rPr>
          <w:rFonts w:hint="eastAsia"/>
        </w:rPr>
        <w:t>（</w:t>
      </w:r>
      <w:r w:rsidR="00535F05" w:rsidRPr="00D630D1">
        <w:rPr>
          <w:rFonts w:hint="eastAsia"/>
        </w:rPr>
        <w:t>2021</w:t>
      </w:r>
      <w:r w:rsidR="00535F05" w:rsidRPr="00D630D1">
        <w:rPr>
          <w:rFonts w:hint="eastAsia"/>
        </w:rPr>
        <w:t>年版）</w:t>
      </w:r>
      <w:r w:rsidR="008A363F" w:rsidRPr="00D630D1">
        <w:t>、《危险废物鉴别标准》（</w:t>
      </w:r>
      <w:r w:rsidR="008A363F" w:rsidRPr="00D630D1">
        <w:t>GB5085-2007</w:t>
      </w:r>
      <w:r w:rsidR="008A363F" w:rsidRPr="00D630D1">
        <w:t>）、《危险废物贮存污染控制标准》（</w:t>
      </w:r>
      <w:r w:rsidR="008A363F" w:rsidRPr="00D630D1">
        <w:t>GB18597-2001</w:t>
      </w:r>
      <w:r w:rsidR="008A363F" w:rsidRPr="00D630D1">
        <w:t>）、《危险废物贮存污染控制标准》国家标准第</w:t>
      </w:r>
      <w:r w:rsidR="008A363F" w:rsidRPr="00D630D1">
        <w:t>1</w:t>
      </w:r>
      <w:r w:rsidR="008A363F" w:rsidRPr="00D630D1">
        <w:t>号修改单（</w:t>
      </w:r>
      <w:r w:rsidR="008A363F" w:rsidRPr="00D630D1">
        <w:t>GB18597</w:t>
      </w:r>
      <w:r w:rsidR="008A363F" w:rsidRPr="00D630D1">
        <w:t>－</w:t>
      </w:r>
      <w:r w:rsidR="008A363F" w:rsidRPr="00D630D1">
        <w:t>2001/XG1-2013</w:t>
      </w:r>
      <w:r w:rsidR="008A363F" w:rsidRPr="00D630D1">
        <w:t>）和《危险化学品安全管理条例》进行识别、贮存和管理。</w:t>
      </w:r>
    </w:p>
    <w:p w:rsidR="00117C3D" w:rsidRPr="00D630D1" w:rsidRDefault="008B5B84" w:rsidP="00821956">
      <w:pPr>
        <w:keepNext/>
        <w:keepLines/>
        <w:spacing w:before="120"/>
        <w:ind w:firstLineChars="0" w:firstLine="0"/>
        <w:outlineLvl w:val="1"/>
        <w:rPr>
          <w:rFonts w:ascii="Times New Roman" w:cs="Times New Roman"/>
          <w:b/>
          <w:bCs/>
          <w:sz w:val="28"/>
          <w:szCs w:val="32"/>
        </w:rPr>
      </w:pPr>
      <w:bookmarkStart w:id="72" w:name="_Toc81515255"/>
      <w:r w:rsidRPr="00D630D1">
        <w:rPr>
          <w:rFonts w:ascii="Times New Roman" w:cs="Times New Roman"/>
          <w:b/>
          <w:bCs/>
          <w:sz w:val="28"/>
          <w:szCs w:val="32"/>
        </w:rPr>
        <w:t xml:space="preserve">1.6 </w:t>
      </w:r>
      <w:r w:rsidRPr="00D630D1">
        <w:rPr>
          <w:rFonts w:ascii="Times New Roman" w:cs="Times New Roman"/>
          <w:b/>
          <w:bCs/>
          <w:sz w:val="28"/>
          <w:szCs w:val="32"/>
        </w:rPr>
        <w:t>评价等级</w:t>
      </w:r>
      <w:bookmarkEnd w:id="67"/>
      <w:r w:rsidRPr="00D630D1">
        <w:rPr>
          <w:rFonts w:ascii="Times New Roman" w:cs="Times New Roman"/>
          <w:b/>
          <w:bCs/>
          <w:sz w:val="28"/>
          <w:szCs w:val="32"/>
        </w:rPr>
        <w:t>及评价范围</w:t>
      </w:r>
      <w:bookmarkEnd w:id="72"/>
    </w:p>
    <w:p w:rsidR="00860FBA" w:rsidRPr="00D630D1" w:rsidRDefault="00860FBA" w:rsidP="00821956">
      <w:pPr>
        <w:pStyle w:val="afa"/>
        <w:ind w:firstLine="480"/>
      </w:pPr>
      <w:r w:rsidRPr="00D630D1">
        <w:t>本项目评价工作等级以管线和</w:t>
      </w:r>
      <w:r w:rsidR="007E741D" w:rsidRPr="00D630D1">
        <w:t>场站</w:t>
      </w:r>
      <w:r w:rsidRPr="00D630D1">
        <w:t>进行评价，工程内容中涉及</w:t>
      </w:r>
      <w:r w:rsidR="00A058C9" w:rsidRPr="00D630D1">
        <w:rPr>
          <w:rFonts w:hint="eastAsia"/>
        </w:rPr>
        <w:t>新建</w:t>
      </w:r>
      <w:r w:rsidR="00D57583" w:rsidRPr="00D57583">
        <w:rPr>
          <w:rFonts w:hint="eastAsia"/>
        </w:rPr>
        <w:t>普陆页</w:t>
      </w:r>
      <w:r w:rsidR="00D57583" w:rsidRPr="00D57583">
        <w:rPr>
          <w:rFonts w:hint="eastAsia"/>
        </w:rPr>
        <w:t>1-1~6</w:t>
      </w:r>
      <w:r w:rsidR="00A058C9" w:rsidRPr="00D630D1">
        <w:rPr>
          <w:rFonts w:hint="eastAsia"/>
        </w:rPr>
        <w:t>井</w:t>
      </w:r>
      <w:r w:rsidR="00A058C9" w:rsidRPr="00D630D1">
        <w:rPr>
          <w:rFonts w:hint="eastAsia"/>
          <w:bCs/>
        </w:rPr>
        <w:t>钻井工程、</w:t>
      </w:r>
      <w:r w:rsidR="00CA5544" w:rsidRPr="00D630D1">
        <w:t>新建</w:t>
      </w:r>
      <w:r w:rsidR="00D57583" w:rsidRPr="00D57583">
        <w:rPr>
          <w:rFonts w:hint="eastAsia"/>
        </w:rPr>
        <w:t>普光</w:t>
      </w:r>
      <w:r w:rsidR="00D57583" w:rsidRPr="00D57583">
        <w:rPr>
          <w:rFonts w:hint="eastAsia"/>
        </w:rPr>
        <w:t>12</w:t>
      </w:r>
      <w:r w:rsidR="00D57583">
        <w:rPr>
          <w:rFonts w:hint="eastAsia"/>
        </w:rPr>
        <w:t>采气</w:t>
      </w:r>
      <w:r w:rsidR="00D57583" w:rsidRPr="00D57583">
        <w:rPr>
          <w:rFonts w:hint="eastAsia"/>
        </w:rPr>
        <w:t>站</w:t>
      </w:r>
      <w:r w:rsidR="00CA5544" w:rsidRPr="00D630D1">
        <w:rPr>
          <w:rFonts w:hint="eastAsia"/>
        </w:rPr>
        <w:t>、</w:t>
      </w:r>
      <w:r w:rsidR="00A058C9" w:rsidRPr="00D630D1">
        <w:rPr>
          <w:rFonts w:hint="eastAsia"/>
        </w:rPr>
        <w:t>新建</w:t>
      </w:r>
      <w:r w:rsidR="00D57583" w:rsidRPr="00D57583">
        <w:rPr>
          <w:rFonts w:hint="eastAsia"/>
        </w:rPr>
        <w:t>普光</w:t>
      </w:r>
      <w:r w:rsidR="00D57583" w:rsidRPr="00D57583">
        <w:rPr>
          <w:rFonts w:hint="eastAsia"/>
        </w:rPr>
        <w:t>12</w:t>
      </w:r>
      <w:r w:rsidR="00D57583">
        <w:rPr>
          <w:rFonts w:hint="eastAsia"/>
        </w:rPr>
        <w:t>采气</w:t>
      </w:r>
      <w:r w:rsidR="00D57583" w:rsidRPr="00D57583">
        <w:rPr>
          <w:rFonts w:hint="eastAsia"/>
        </w:rPr>
        <w:t>站</w:t>
      </w:r>
      <w:r w:rsidR="00A058C9" w:rsidRPr="00D630D1">
        <w:t>~</w:t>
      </w:r>
      <w:r w:rsidR="00D57583">
        <w:rPr>
          <w:rFonts w:hint="eastAsia"/>
        </w:rPr>
        <w:t>普陆</w:t>
      </w:r>
      <w:r w:rsidR="00D57583">
        <w:rPr>
          <w:rFonts w:hint="eastAsia"/>
        </w:rPr>
        <w:t>3</w:t>
      </w:r>
      <w:r w:rsidR="00D57583">
        <w:rPr>
          <w:rFonts w:hint="eastAsia"/>
        </w:rPr>
        <w:t>集气站</w:t>
      </w:r>
      <w:r w:rsidR="00A058C9" w:rsidRPr="00D630D1">
        <w:rPr>
          <w:rFonts w:hint="eastAsia"/>
        </w:rPr>
        <w:t>集气管道和</w:t>
      </w:r>
      <w:r w:rsidR="00D57583" w:rsidRPr="00D57583">
        <w:t>普陆</w:t>
      </w:r>
      <w:r w:rsidR="00D57583" w:rsidRPr="00D57583">
        <w:rPr>
          <w:rFonts w:hint="eastAsia"/>
        </w:rPr>
        <w:t>3</w:t>
      </w:r>
      <w:r w:rsidR="00D57583" w:rsidRPr="00D57583">
        <w:rPr>
          <w:rFonts w:hint="eastAsia"/>
        </w:rPr>
        <w:t>集气站</w:t>
      </w:r>
      <w:r w:rsidR="00E71269" w:rsidRPr="00D630D1">
        <w:t>~</w:t>
      </w:r>
      <w:r w:rsidR="00D57583" w:rsidRPr="00D57583">
        <w:rPr>
          <w:rFonts w:hint="eastAsia"/>
        </w:rPr>
        <w:t>P105</w:t>
      </w:r>
      <w:r w:rsidR="00D57583" w:rsidRPr="00D57583">
        <w:rPr>
          <w:rFonts w:hint="eastAsia"/>
        </w:rPr>
        <w:t>集气站</w:t>
      </w:r>
      <w:r w:rsidR="00E71269" w:rsidRPr="00D630D1">
        <w:rPr>
          <w:rFonts w:hint="eastAsia"/>
        </w:rPr>
        <w:t>集气管道</w:t>
      </w:r>
      <w:r w:rsidRPr="00D630D1">
        <w:t>。</w:t>
      </w:r>
    </w:p>
    <w:p w:rsidR="00860FBA" w:rsidRPr="00D630D1" w:rsidRDefault="00860FBA" w:rsidP="00860FBA">
      <w:pPr>
        <w:keepNext/>
        <w:keepLines/>
        <w:ind w:firstLineChars="0" w:firstLine="0"/>
        <w:outlineLvl w:val="2"/>
        <w:rPr>
          <w:rFonts w:ascii="Times New Roman" w:cs="Times New Roman"/>
          <w:b/>
          <w:szCs w:val="32"/>
        </w:rPr>
      </w:pPr>
      <w:r w:rsidRPr="00D630D1">
        <w:rPr>
          <w:rFonts w:ascii="Times New Roman" w:cs="Times New Roman"/>
          <w:b/>
          <w:szCs w:val="32"/>
        </w:rPr>
        <w:t xml:space="preserve">1.6.1 </w:t>
      </w:r>
      <w:r w:rsidRPr="00D630D1">
        <w:rPr>
          <w:rFonts w:ascii="Times New Roman" w:cs="Times New Roman"/>
          <w:b/>
          <w:szCs w:val="32"/>
        </w:rPr>
        <w:t>生态环境</w:t>
      </w:r>
    </w:p>
    <w:p w:rsidR="00117C3D" w:rsidRPr="00D630D1" w:rsidRDefault="008B5B84" w:rsidP="00821956">
      <w:pPr>
        <w:pStyle w:val="afa"/>
        <w:ind w:firstLine="482"/>
        <w:rPr>
          <w:b/>
          <w:bCs/>
        </w:rPr>
      </w:pPr>
      <w:r w:rsidRPr="00D630D1">
        <w:rPr>
          <w:b/>
          <w:bCs/>
        </w:rPr>
        <w:t>1</w:t>
      </w:r>
      <w:r w:rsidRPr="00D630D1">
        <w:rPr>
          <w:b/>
          <w:bCs/>
        </w:rPr>
        <w:t>、评价等级</w:t>
      </w:r>
    </w:p>
    <w:p w:rsidR="00117C3D" w:rsidRPr="00D630D1" w:rsidRDefault="00695DB1" w:rsidP="009A0B01">
      <w:pPr>
        <w:pStyle w:val="afa"/>
        <w:ind w:firstLine="480"/>
      </w:pPr>
      <w:bookmarkStart w:id="73" w:name="_Hlk81147998"/>
      <w:bookmarkStart w:id="74" w:name="OLE_LINK174"/>
      <w:r w:rsidRPr="00D630D1">
        <w:t>本项目</w:t>
      </w:r>
      <w:r w:rsidR="00146FCA" w:rsidRPr="00D630D1">
        <w:t>土壤影响范围内</w:t>
      </w:r>
      <w:r w:rsidR="00146FCA" w:rsidRPr="00D630D1">
        <w:rPr>
          <w:rFonts w:hint="eastAsia"/>
        </w:rPr>
        <w:t>（</w:t>
      </w:r>
      <w:r w:rsidR="00146FCA" w:rsidRPr="00D630D1">
        <w:rPr>
          <w:rFonts w:hint="eastAsia"/>
        </w:rPr>
        <w:t>200m</w:t>
      </w:r>
      <w:r w:rsidR="00146FCA" w:rsidRPr="00D630D1">
        <w:rPr>
          <w:rFonts w:hint="eastAsia"/>
        </w:rPr>
        <w:t>范围）分布有</w:t>
      </w:r>
      <w:r w:rsidR="00836CF8">
        <w:rPr>
          <w:rFonts w:hint="eastAsia"/>
        </w:rPr>
        <w:t>二级公益</w:t>
      </w:r>
      <w:r w:rsidR="00146FCA" w:rsidRPr="00D630D1">
        <w:rPr>
          <w:rFonts w:hint="eastAsia"/>
        </w:rPr>
        <w:t>林，属于生态保护目标，因此根据</w:t>
      </w:r>
      <w:bookmarkEnd w:id="73"/>
      <w:bookmarkEnd w:id="74"/>
      <w:r w:rsidR="00146FCA" w:rsidRPr="00D630D1">
        <w:rPr>
          <w:rFonts w:hint="eastAsia"/>
        </w:rPr>
        <w:t>，</w:t>
      </w:r>
      <w:r w:rsidR="008B5B84" w:rsidRPr="00D630D1">
        <w:t>因此，根据项目特点及《环境影响评价技术导则</w:t>
      </w:r>
      <w:r w:rsidR="00535F05" w:rsidRPr="00D630D1">
        <w:rPr>
          <w:rFonts w:hint="eastAsia"/>
        </w:rPr>
        <w:t xml:space="preserve"> </w:t>
      </w:r>
      <w:r w:rsidR="008B5B84" w:rsidRPr="00D630D1">
        <w:t>生态环境》（</w:t>
      </w:r>
      <w:r w:rsidR="008B5B84" w:rsidRPr="00D630D1">
        <w:t>HJ19-20</w:t>
      </w:r>
      <w:r w:rsidR="009A0B01" w:rsidRPr="00D630D1">
        <w:rPr>
          <w:rFonts w:hint="eastAsia"/>
        </w:rPr>
        <w:t>22</w:t>
      </w:r>
      <w:r w:rsidR="008B5B84" w:rsidRPr="00D630D1">
        <w:t>）生态影响评价等级划分规定，本项目的生态环境影响评价工作等级定为</w:t>
      </w:r>
      <w:r w:rsidR="00146FCA" w:rsidRPr="00D630D1">
        <w:rPr>
          <w:rFonts w:hint="eastAsia"/>
        </w:rPr>
        <w:t>二</w:t>
      </w:r>
      <w:r w:rsidR="008B5B84" w:rsidRPr="00D630D1">
        <w:t>级。</w:t>
      </w:r>
    </w:p>
    <w:p w:rsidR="00117C3D" w:rsidRPr="00D630D1" w:rsidRDefault="008B5B84">
      <w:pPr>
        <w:topLinePunct w:val="0"/>
        <w:adjustRightInd/>
        <w:ind w:firstLine="490"/>
        <w:rPr>
          <w:rFonts w:ascii="Times New Roman" w:cs="Times New Roman"/>
          <w:b/>
          <w:bCs/>
          <w:spacing w:val="2"/>
          <w:kern w:val="2"/>
          <w:position w:val="2"/>
          <w:szCs w:val="22"/>
        </w:rPr>
      </w:pPr>
      <w:r w:rsidRPr="00D630D1">
        <w:rPr>
          <w:rFonts w:ascii="Times New Roman" w:cs="Times New Roman"/>
          <w:b/>
          <w:bCs/>
          <w:spacing w:val="2"/>
          <w:kern w:val="2"/>
          <w:position w:val="2"/>
          <w:szCs w:val="22"/>
        </w:rPr>
        <w:lastRenderedPageBreak/>
        <w:t>2</w:t>
      </w:r>
      <w:r w:rsidRPr="00D630D1">
        <w:rPr>
          <w:rFonts w:ascii="Times New Roman" w:cs="Times New Roman"/>
          <w:b/>
          <w:bCs/>
          <w:spacing w:val="2"/>
          <w:kern w:val="2"/>
          <w:position w:val="2"/>
          <w:szCs w:val="22"/>
        </w:rPr>
        <w:t>、评价范围</w:t>
      </w:r>
    </w:p>
    <w:p w:rsidR="00117C3D" w:rsidRPr="00D630D1" w:rsidRDefault="008B5B84" w:rsidP="0006480A">
      <w:pPr>
        <w:pStyle w:val="afa"/>
        <w:ind w:firstLine="480"/>
      </w:pPr>
      <w:r w:rsidRPr="00D630D1">
        <w:t>根据《环境影响评价技术导则</w:t>
      </w:r>
      <w:r w:rsidR="00535F05" w:rsidRPr="00D630D1">
        <w:rPr>
          <w:rFonts w:hint="eastAsia"/>
        </w:rPr>
        <w:t xml:space="preserve"> </w:t>
      </w:r>
      <w:r w:rsidRPr="00D630D1">
        <w:t>生态影响》（</w:t>
      </w:r>
      <w:r w:rsidRPr="00D630D1">
        <w:t>HJ19-20</w:t>
      </w:r>
      <w:r w:rsidR="006A3F08" w:rsidRPr="00D630D1">
        <w:rPr>
          <w:rFonts w:hint="eastAsia"/>
        </w:rPr>
        <w:t>22</w:t>
      </w:r>
      <w:r w:rsidRPr="00D630D1">
        <w:t>）、</w:t>
      </w:r>
      <w:r w:rsidR="00146FCA" w:rsidRPr="00D630D1">
        <w:t>《环境影响评价技术导则</w:t>
      </w:r>
      <w:r w:rsidR="00146FCA" w:rsidRPr="00D630D1">
        <w:t xml:space="preserve"> </w:t>
      </w:r>
      <w:r w:rsidR="00146FCA" w:rsidRPr="00D630D1">
        <w:t>陆地石油天然气开发建设项目》（</w:t>
      </w:r>
      <w:r w:rsidR="00146FCA" w:rsidRPr="00D630D1">
        <w:t>HJ/T349-2007</w:t>
      </w:r>
      <w:r w:rsidR="00146FCA" w:rsidRPr="00D630D1">
        <w:t>）</w:t>
      </w:r>
      <w:r w:rsidRPr="00D630D1">
        <w:t>中关于评价范围的划分原则和本项目现场踏勘调查实际情况，确定本评价范围如下：</w:t>
      </w:r>
    </w:p>
    <w:p w:rsidR="00117C3D" w:rsidRPr="00D630D1" w:rsidRDefault="002062D5" w:rsidP="0006480A">
      <w:pPr>
        <w:pStyle w:val="afa"/>
        <w:ind w:firstLine="480"/>
      </w:pPr>
      <w:r w:rsidRPr="00D630D1">
        <w:t>为沿管道两侧各</w:t>
      </w:r>
      <w:r w:rsidRPr="00D630D1">
        <w:t>200m</w:t>
      </w:r>
      <w:r w:rsidRPr="00D630D1">
        <w:t>，站场周边</w:t>
      </w:r>
      <w:r w:rsidR="00146FCA" w:rsidRPr="00D630D1">
        <w:rPr>
          <w:rFonts w:hint="eastAsia"/>
        </w:rPr>
        <w:t>20</w:t>
      </w:r>
      <w:r w:rsidRPr="00D630D1">
        <w:t>00m</w:t>
      </w:r>
      <w:r w:rsidRPr="00D630D1">
        <w:t>范围，并对管道沿线涉及的生态环境敏感目标进行调查。</w:t>
      </w:r>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1.6.2 </w:t>
      </w:r>
      <w:r w:rsidRPr="00D630D1">
        <w:rPr>
          <w:rFonts w:ascii="Times New Roman" w:cs="Times New Roman"/>
          <w:b/>
          <w:szCs w:val="32"/>
        </w:rPr>
        <w:t>大气环境</w:t>
      </w:r>
    </w:p>
    <w:p w:rsidR="00117C3D" w:rsidRPr="007200A5" w:rsidRDefault="008B5B84">
      <w:pPr>
        <w:ind w:firstLine="490"/>
        <w:rPr>
          <w:rFonts w:ascii="Times New Roman" w:cs="Times New Roman"/>
          <w:b/>
          <w:bCs/>
          <w:spacing w:val="2"/>
          <w:kern w:val="2"/>
          <w:position w:val="2"/>
          <w:szCs w:val="22"/>
        </w:rPr>
      </w:pPr>
      <w:r w:rsidRPr="007200A5">
        <w:rPr>
          <w:rFonts w:ascii="Times New Roman" w:cs="Times New Roman"/>
          <w:b/>
          <w:bCs/>
          <w:spacing w:val="2"/>
          <w:kern w:val="2"/>
          <w:position w:val="2"/>
          <w:szCs w:val="22"/>
        </w:rPr>
        <w:t>1</w:t>
      </w:r>
      <w:r w:rsidRPr="007200A5">
        <w:rPr>
          <w:rFonts w:ascii="Times New Roman" w:cs="Times New Roman"/>
          <w:b/>
          <w:bCs/>
          <w:spacing w:val="2"/>
          <w:kern w:val="2"/>
          <w:position w:val="2"/>
          <w:szCs w:val="22"/>
        </w:rPr>
        <w:t>、评价等级</w:t>
      </w:r>
    </w:p>
    <w:p w:rsidR="002062D5" w:rsidRPr="00D630D1" w:rsidRDefault="002062D5" w:rsidP="002062D5">
      <w:pPr>
        <w:pStyle w:val="afa"/>
        <w:ind w:firstLine="480"/>
      </w:pPr>
      <w:r w:rsidRPr="007200A5">
        <w:t>本项目施工期大气环境影响为施工机械、车辆的尾气</w:t>
      </w:r>
      <w:r w:rsidR="00607C67" w:rsidRPr="007200A5">
        <w:rPr>
          <w:rFonts w:hint="eastAsia"/>
        </w:rPr>
        <w:t>、</w:t>
      </w:r>
      <w:r w:rsidRPr="007200A5">
        <w:t>施工扬尘</w:t>
      </w:r>
      <w:r w:rsidR="00607C67" w:rsidRPr="007200A5">
        <w:rPr>
          <w:rFonts w:hint="eastAsia"/>
        </w:rPr>
        <w:t>、气体钻粉尘以及测试放喷废</w:t>
      </w:r>
      <w:r w:rsidR="00607C67" w:rsidRPr="00D630D1">
        <w:rPr>
          <w:rFonts w:hint="eastAsia"/>
        </w:rPr>
        <w:t>气</w:t>
      </w:r>
      <w:r w:rsidRPr="00D630D1">
        <w:t>；营运期正常工况下废气主要为</w:t>
      </w:r>
      <w:r w:rsidR="002C00AE">
        <w:t>普光</w:t>
      </w:r>
      <w:r w:rsidR="002C00AE">
        <w:t>12</w:t>
      </w:r>
      <w:r w:rsidR="002C00AE">
        <w:t>采气站</w:t>
      </w:r>
      <w:r w:rsidRPr="00D630D1">
        <w:t>站场内</w:t>
      </w:r>
      <w:r w:rsidR="00CC46BB" w:rsidRPr="00D630D1">
        <w:t>水套炉</w:t>
      </w:r>
      <w:r w:rsidRPr="00D630D1">
        <w:t>燃烧废气。</w:t>
      </w:r>
      <w:r w:rsidR="00CC46BB" w:rsidRPr="00D630D1">
        <w:t>水套炉</w:t>
      </w:r>
      <w:r w:rsidRPr="00D630D1">
        <w:t>燃烧废气主要为</w:t>
      </w:r>
      <w:r w:rsidRPr="00D630D1">
        <w:t>NO</w:t>
      </w:r>
      <w:r w:rsidRPr="00D630D1">
        <w:rPr>
          <w:vertAlign w:val="subscript"/>
        </w:rPr>
        <w:t>X</w:t>
      </w:r>
      <w:r w:rsidR="0006480A" w:rsidRPr="00D630D1">
        <w:t>。</w:t>
      </w:r>
    </w:p>
    <w:p w:rsidR="002062D5" w:rsidRPr="00D630D1" w:rsidRDefault="002062D5" w:rsidP="002062D5">
      <w:pPr>
        <w:pStyle w:val="afa"/>
        <w:ind w:firstLine="480"/>
        <w:rPr>
          <w:kern w:val="2"/>
          <w:szCs w:val="22"/>
        </w:rPr>
      </w:pPr>
      <w:r w:rsidRPr="00D630D1">
        <w:t>根据《环境影响评价技术导则</w:t>
      </w:r>
      <w:r w:rsidR="00535F05" w:rsidRPr="00D630D1">
        <w:rPr>
          <w:rFonts w:hint="eastAsia"/>
        </w:rPr>
        <w:t xml:space="preserve"> </w:t>
      </w:r>
      <w:r w:rsidRPr="00D630D1">
        <w:t>大气环境》（</w:t>
      </w:r>
      <w:r w:rsidRPr="00D630D1">
        <w:t>HJ2.2-2018</w:t>
      </w:r>
      <w:r w:rsidRPr="00D630D1">
        <w:t>）中评价等级划分的规定，按照导则推荐模式中的估算模式预测上述污染物下风向落地浓度，并分别计算该种污染物的最大地面浓度占标率</w:t>
      </w:r>
      <w:r w:rsidRPr="00D630D1">
        <w:t>Pi</w:t>
      </w:r>
      <w:r w:rsidRPr="00D630D1">
        <w:t>（第</w:t>
      </w:r>
      <w:r w:rsidRPr="00D630D1">
        <w:t>i</w:t>
      </w:r>
      <w:r w:rsidRPr="00D630D1">
        <w:t>个污染物），及第</w:t>
      </w:r>
      <w:r w:rsidRPr="00D630D1">
        <w:t>i</w:t>
      </w:r>
      <w:r w:rsidRPr="00D630D1">
        <w:t>个污染物的地面浓度达标准限值</w:t>
      </w:r>
      <w:r w:rsidRPr="00D630D1">
        <w:rPr>
          <w:kern w:val="2"/>
          <w:szCs w:val="22"/>
        </w:rPr>
        <w:t>10%</w:t>
      </w:r>
      <w:r w:rsidRPr="00D630D1">
        <w:rPr>
          <w:kern w:val="2"/>
          <w:szCs w:val="22"/>
        </w:rPr>
        <w:t>时所对应的最远距离</w:t>
      </w:r>
      <w:r w:rsidRPr="00D630D1">
        <w:rPr>
          <w:kern w:val="2"/>
          <w:szCs w:val="22"/>
        </w:rPr>
        <w:t>D</w:t>
      </w:r>
      <w:r w:rsidRPr="00D630D1">
        <w:rPr>
          <w:kern w:val="2"/>
          <w:szCs w:val="22"/>
          <w:vertAlign w:val="subscript"/>
        </w:rPr>
        <w:t>10%</w:t>
      </w:r>
      <w:r w:rsidRPr="00D630D1">
        <w:rPr>
          <w:kern w:val="2"/>
          <w:szCs w:val="22"/>
        </w:rPr>
        <w:t>。其中</w:t>
      </w:r>
      <w:r w:rsidRPr="00D630D1">
        <w:rPr>
          <w:kern w:val="2"/>
          <w:szCs w:val="22"/>
        </w:rPr>
        <w:t>Pi</w:t>
      </w:r>
      <w:r w:rsidRPr="00D630D1">
        <w:rPr>
          <w:kern w:val="2"/>
          <w:szCs w:val="22"/>
        </w:rPr>
        <w:t>定义为：</w:t>
      </w:r>
    </w:p>
    <w:p w:rsidR="00ED383D" w:rsidRPr="00D630D1" w:rsidRDefault="00ED383D" w:rsidP="00ED383D">
      <w:pPr>
        <w:snapToGrid w:val="0"/>
        <w:ind w:firstLine="560"/>
        <w:jc w:val="center"/>
        <w:rPr>
          <w:rFonts w:ascii="Times New Roman" w:cs="Times New Roman"/>
          <w:bCs/>
        </w:rPr>
      </w:pPr>
      <w:r w:rsidRPr="00D630D1">
        <w:rPr>
          <w:rFonts w:ascii="Times New Roman" w:cs="Times New Roman"/>
          <w:sz w:val="28"/>
        </w:rPr>
        <w:t xml:space="preserve">                  </w:t>
      </w:r>
      <w:r w:rsidRPr="00D630D1">
        <w:rPr>
          <w:rFonts w:ascii="Times New Roman" w:cs="Times New Roman"/>
          <w:position w:val="-30"/>
          <w:sz w:val="28"/>
        </w:rPr>
        <w:object w:dxaOrig="1619" w:dyaOrig="6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2pt;height:36pt;mso-position-horizontal-relative:page;mso-position-vertical-relative:page" o:ole="">
            <v:imagedata r:id="rId19" o:title=""/>
          </v:shape>
          <o:OLEObject Type="Embed" ProgID="Equation.3" ShapeID="_x0000_i1025" DrawAspect="Content" ObjectID="_1723238839" r:id="rId20"/>
        </w:object>
      </w:r>
      <w:r w:rsidRPr="00D630D1">
        <w:rPr>
          <w:rFonts w:ascii="Times New Roman" w:cs="Times New Roman"/>
          <w:sz w:val="28"/>
        </w:rPr>
        <w:t xml:space="preserve">                </w:t>
      </w:r>
      <w:r w:rsidRPr="00D630D1">
        <w:rPr>
          <w:rFonts w:ascii="Times New Roman" w:cs="Times New Roman"/>
        </w:rPr>
        <w:t>（</w:t>
      </w:r>
      <w:r w:rsidRPr="00D630D1">
        <w:rPr>
          <w:rFonts w:ascii="Times New Roman" w:cs="Times New Roman"/>
        </w:rPr>
        <w:t>1</w:t>
      </w:r>
      <w:r w:rsidRPr="00D630D1">
        <w:rPr>
          <w:rFonts w:ascii="Times New Roman" w:cs="Times New Roman"/>
        </w:rPr>
        <w:t>）</w:t>
      </w:r>
    </w:p>
    <w:p w:rsidR="00ED383D" w:rsidRPr="00D630D1" w:rsidRDefault="00ED383D" w:rsidP="00ED383D">
      <w:pPr>
        <w:pStyle w:val="afa"/>
        <w:ind w:firstLine="480"/>
      </w:pPr>
      <w:r w:rsidRPr="00D630D1">
        <w:t>式中：</w:t>
      </w:r>
      <w:r w:rsidRPr="00D630D1">
        <w:t>P</w:t>
      </w:r>
      <w:r w:rsidRPr="00D630D1">
        <w:rPr>
          <w:vertAlign w:val="subscript"/>
        </w:rPr>
        <w:t>i</w:t>
      </w:r>
      <w:r w:rsidRPr="00D630D1">
        <w:t>——</w:t>
      </w:r>
      <w:r w:rsidRPr="00D630D1">
        <w:t>第</w:t>
      </w:r>
      <w:r w:rsidRPr="00D630D1">
        <w:t>i</w:t>
      </w:r>
      <w:r w:rsidRPr="00D630D1">
        <w:t>个污染物的最大地面空气质量浓度占标率，</w:t>
      </w:r>
      <w:r w:rsidRPr="00D630D1">
        <w:t>%</w:t>
      </w:r>
      <w:r w:rsidRPr="00D630D1">
        <w:t>；</w:t>
      </w:r>
    </w:p>
    <w:p w:rsidR="00ED383D" w:rsidRPr="00D630D1" w:rsidRDefault="00ED383D" w:rsidP="00ED383D">
      <w:pPr>
        <w:pStyle w:val="afa"/>
        <w:ind w:firstLineChars="500" w:firstLine="1200"/>
      </w:pPr>
      <w:r w:rsidRPr="00D630D1">
        <w:t>C</w:t>
      </w:r>
      <w:r w:rsidRPr="00D630D1">
        <w:rPr>
          <w:vertAlign w:val="subscript"/>
        </w:rPr>
        <w:t>i</w:t>
      </w:r>
      <w:r w:rsidRPr="00D630D1">
        <w:t>——</w:t>
      </w:r>
      <w:r w:rsidRPr="00D630D1">
        <w:t>采用估算模式计算出的第</w:t>
      </w:r>
      <w:r w:rsidRPr="00D630D1">
        <w:t>i</w:t>
      </w:r>
      <w:r w:rsidRPr="00D630D1">
        <w:t>个污染物的最大</w:t>
      </w:r>
      <w:r w:rsidRPr="00D630D1">
        <w:t>1h</w:t>
      </w:r>
      <w:r w:rsidRPr="00D630D1">
        <w:t>地面空气质量浓度，</w:t>
      </w:r>
      <w:r w:rsidRPr="00D630D1">
        <w:t>ug/m</w:t>
      </w:r>
      <w:r w:rsidRPr="00D630D1">
        <w:rPr>
          <w:vertAlign w:val="superscript"/>
        </w:rPr>
        <w:t>3</w:t>
      </w:r>
      <w:r w:rsidRPr="00D630D1">
        <w:t>；</w:t>
      </w:r>
    </w:p>
    <w:p w:rsidR="00ED383D" w:rsidRPr="00D630D1" w:rsidRDefault="00ED383D" w:rsidP="00ED383D">
      <w:pPr>
        <w:pStyle w:val="afa"/>
        <w:ind w:firstLineChars="500" w:firstLine="1200"/>
      </w:pPr>
      <w:r w:rsidRPr="00D630D1">
        <w:t>C</w:t>
      </w:r>
      <w:r w:rsidRPr="00D630D1">
        <w:rPr>
          <w:vertAlign w:val="subscript"/>
        </w:rPr>
        <w:t>oi</w:t>
      </w:r>
      <w:r w:rsidRPr="00D630D1">
        <w:t>——</w:t>
      </w:r>
      <w:r w:rsidRPr="00D630D1">
        <w:t>第</w:t>
      </w:r>
      <w:r w:rsidRPr="00D630D1">
        <w:t>i</w:t>
      </w:r>
      <w:r w:rsidRPr="00D630D1">
        <w:t>个污染物的环境空气质量浓度标准，</w:t>
      </w:r>
      <w:r w:rsidRPr="00D630D1">
        <w:t>ug/m</w:t>
      </w:r>
      <w:r w:rsidRPr="00D630D1">
        <w:rPr>
          <w:vertAlign w:val="superscript"/>
        </w:rPr>
        <w:t>3</w:t>
      </w:r>
      <w:r w:rsidRPr="00D630D1">
        <w:t>。</w:t>
      </w:r>
    </w:p>
    <w:p w:rsidR="00ED383D" w:rsidRPr="00D630D1" w:rsidRDefault="00ED383D" w:rsidP="00ED383D">
      <w:pPr>
        <w:pStyle w:val="afa"/>
        <w:ind w:firstLine="480"/>
      </w:pPr>
      <w:r w:rsidRPr="00D630D1">
        <w:t>在采用估算模型计算评价等级，估算模型参数表见下表。</w:t>
      </w:r>
    </w:p>
    <w:p w:rsidR="00ED383D" w:rsidRPr="00D630D1" w:rsidRDefault="00ED383D" w:rsidP="00ED383D">
      <w:pPr>
        <w:pStyle w:val="10"/>
        <w:rPr>
          <w:rFonts w:cs="Times New Roman"/>
        </w:rPr>
      </w:pPr>
      <w:r w:rsidRPr="00D630D1">
        <w:rPr>
          <w:rFonts w:cs="Times New Roman"/>
        </w:rPr>
        <w:t>表</w:t>
      </w:r>
      <w:r w:rsidRPr="00D630D1">
        <w:rPr>
          <w:rFonts w:cs="Times New Roman"/>
        </w:rPr>
        <w:t>1.6-</w:t>
      </w:r>
      <w:r w:rsidR="006A3F08" w:rsidRPr="00D630D1">
        <w:rPr>
          <w:rFonts w:cs="Times New Roman" w:hint="eastAsia"/>
        </w:rPr>
        <w:t>1</w:t>
      </w:r>
      <w:r w:rsidRPr="00D630D1">
        <w:rPr>
          <w:rFonts w:cs="Times New Roman"/>
        </w:rPr>
        <w:t xml:space="preserve">  </w:t>
      </w:r>
      <w:r w:rsidRPr="00D630D1">
        <w:rPr>
          <w:rFonts w:cs="Times New Roman"/>
        </w:rPr>
        <w:t>估算模型参数表</w:t>
      </w:r>
    </w:p>
    <w:tbl>
      <w:tblPr>
        <w:tblW w:w="8892" w:type="dxa"/>
        <w:jc w:val="center"/>
        <w:tblBorders>
          <w:top w:val="single" w:sz="12" w:space="0" w:color="auto"/>
          <w:bottom w:val="single" w:sz="12" w:space="0" w:color="auto"/>
          <w:insideH w:val="single" w:sz="2" w:space="0" w:color="auto"/>
          <w:insideV w:val="single" w:sz="2" w:space="0" w:color="auto"/>
        </w:tblBorders>
        <w:tblLayout w:type="fixed"/>
        <w:tblCellMar>
          <w:left w:w="0" w:type="dxa"/>
          <w:right w:w="0" w:type="dxa"/>
        </w:tblCellMar>
        <w:tblLook w:val="0000"/>
      </w:tblPr>
      <w:tblGrid>
        <w:gridCol w:w="2396"/>
        <w:gridCol w:w="2924"/>
        <w:gridCol w:w="3572"/>
      </w:tblGrid>
      <w:tr w:rsidR="0017585A" w:rsidRPr="00D630D1" w:rsidTr="0006480A">
        <w:trPr>
          <w:trHeight w:val="273"/>
          <w:jc w:val="center"/>
        </w:trPr>
        <w:tc>
          <w:tcPr>
            <w:tcW w:w="5320" w:type="dxa"/>
            <w:gridSpan w:val="2"/>
            <w:vAlign w:val="center"/>
          </w:tcPr>
          <w:p w:rsidR="00ED383D" w:rsidRPr="00D630D1" w:rsidRDefault="00ED383D" w:rsidP="00AA2CA8">
            <w:pPr>
              <w:pStyle w:val="afffffff1"/>
              <w:rPr>
                <w:b/>
                <w:bCs/>
              </w:rPr>
            </w:pPr>
            <w:r w:rsidRPr="00D630D1">
              <w:rPr>
                <w:b/>
                <w:bCs/>
              </w:rPr>
              <w:t>参数</w:t>
            </w:r>
          </w:p>
        </w:tc>
        <w:tc>
          <w:tcPr>
            <w:tcW w:w="3572" w:type="dxa"/>
            <w:vAlign w:val="center"/>
          </w:tcPr>
          <w:p w:rsidR="00ED383D" w:rsidRPr="00D630D1" w:rsidRDefault="00ED383D" w:rsidP="00AA2CA8">
            <w:pPr>
              <w:pStyle w:val="afffffff1"/>
              <w:rPr>
                <w:b/>
                <w:bCs/>
              </w:rPr>
            </w:pPr>
            <w:r w:rsidRPr="00D630D1">
              <w:rPr>
                <w:b/>
                <w:bCs/>
              </w:rPr>
              <w:t>取值</w:t>
            </w:r>
          </w:p>
        </w:tc>
      </w:tr>
      <w:tr w:rsidR="0017585A" w:rsidRPr="00D630D1" w:rsidTr="0006480A">
        <w:trPr>
          <w:trHeight w:val="273"/>
          <w:jc w:val="center"/>
        </w:trPr>
        <w:tc>
          <w:tcPr>
            <w:tcW w:w="2396" w:type="dxa"/>
            <w:vMerge w:val="restart"/>
            <w:vAlign w:val="center"/>
          </w:tcPr>
          <w:p w:rsidR="00ED383D" w:rsidRPr="00D630D1" w:rsidRDefault="00ED383D" w:rsidP="00AA2CA8">
            <w:pPr>
              <w:pStyle w:val="afffffff1"/>
            </w:pPr>
            <w:r w:rsidRPr="00D630D1">
              <w:t>城市农村</w:t>
            </w:r>
            <w:r w:rsidRPr="00D630D1">
              <w:t>/</w:t>
            </w:r>
            <w:r w:rsidRPr="00D630D1">
              <w:t>选项</w:t>
            </w:r>
          </w:p>
        </w:tc>
        <w:tc>
          <w:tcPr>
            <w:tcW w:w="2923" w:type="dxa"/>
            <w:vAlign w:val="center"/>
          </w:tcPr>
          <w:p w:rsidR="00ED383D" w:rsidRPr="00D630D1" w:rsidRDefault="00ED383D" w:rsidP="00AA2CA8">
            <w:pPr>
              <w:pStyle w:val="afffffff1"/>
            </w:pPr>
            <w:r w:rsidRPr="00D630D1">
              <w:t>城市</w:t>
            </w:r>
            <w:r w:rsidRPr="00D630D1">
              <w:t>/</w:t>
            </w:r>
            <w:r w:rsidRPr="00D630D1">
              <w:t>农村</w:t>
            </w:r>
          </w:p>
        </w:tc>
        <w:tc>
          <w:tcPr>
            <w:tcW w:w="3572" w:type="dxa"/>
            <w:vAlign w:val="center"/>
          </w:tcPr>
          <w:p w:rsidR="00ED383D" w:rsidRPr="00D630D1" w:rsidRDefault="00ED383D" w:rsidP="00AA2CA8">
            <w:pPr>
              <w:pStyle w:val="afffffff1"/>
            </w:pPr>
            <w:r w:rsidRPr="00D630D1">
              <w:t>农村</w:t>
            </w:r>
          </w:p>
        </w:tc>
      </w:tr>
      <w:tr w:rsidR="0017585A" w:rsidRPr="00D630D1" w:rsidTr="0006480A">
        <w:trPr>
          <w:trHeight w:val="273"/>
          <w:jc w:val="center"/>
        </w:trPr>
        <w:tc>
          <w:tcPr>
            <w:tcW w:w="2396" w:type="dxa"/>
            <w:vMerge/>
            <w:vAlign w:val="center"/>
          </w:tcPr>
          <w:p w:rsidR="00ED383D" w:rsidRPr="00D630D1" w:rsidRDefault="00ED383D" w:rsidP="00AA2CA8">
            <w:pPr>
              <w:pStyle w:val="afffffff1"/>
            </w:pPr>
          </w:p>
        </w:tc>
        <w:tc>
          <w:tcPr>
            <w:tcW w:w="2923" w:type="dxa"/>
            <w:vAlign w:val="center"/>
          </w:tcPr>
          <w:p w:rsidR="00ED383D" w:rsidRPr="00D630D1" w:rsidRDefault="00ED383D" w:rsidP="00AA2CA8">
            <w:pPr>
              <w:pStyle w:val="afffffff1"/>
            </w:pPr>
            <w:r w:rsidRPr="00D630D1">
              <w:t>人口数</w:t>
            </w:r>
            <w:r w:rsidR="00CC46BB" w:rsidRPr="00D630D1">
              <w:t>（城市人口数）</w:t>
            </w:r>
          </w:p>
        </w:tc>
        <w:tc>
          <w:tcPr>
            <w:tcW w:w="3572" w:type="dxa"/>
            <w:vAlign w:val="center"/>
          </w:tcPr>
          <w:p w:rsidR="00ED383D" w:rsidRPr="00D630D1" w:rsidRDefault="00ED383D" w:rsidP="00AA2CA8">
            <w:pPr>
              <w:pStyle w:val="afffffff1"/>
            </w:pPr>
            <w:r w:rsidRPr="00D630D1">
              <w:t>/</w:t>
            </w:r>
          </w:p>
        </w:tc>
      </w:tr>
      <w:tr w:rsidR="0017585A" w:rsidRPr="00D630D1" w:rsidTr="0006480A">
        <w:trPr>
          <w:trHeight w:val="70"/>
          <w:jc w:val="center"/>
        </w:trPr>
        <w:tc>
          <w:tcPr>
            <w:tcW w:w="5320" w:type="dxa"/>
            <w:gridSpan w:val="2"/>
            <w:vAlign w:val="center"/>
          </w:tcPr>
          <w:p w:rsidR="00ED383D" w:rsidRPr="00D630D1" w:rsidRDefault="00ED383D" w:rsidP="00AA2CA8">
            <w:pPr>
              <w:pStyle w:val="afffffff1"/>
            </w:pPr>
            <w:r w:rsidRPr="00D630D1">
              <w:t>最高环境温度</w:t>
            </w:r>
            <w:r w:rsidRPr="00D630D1">
              <w:t>/℃</w:t>
            </w:r>
          </w:p>
        </w:tc>
        <w:tc>
          <w:tcPr>
            <w:tcW w:w="3572" w:type="dxa"/>
            <w:vAlign w:val="center"/>
          </w:tcPr>
          <w:p w:rsidR="00ED383D" w:rsidRPr="00D630D1" w:rsidRDefault="00ED383D" w:rsidP="00AA2CA8">
            <w:pPr>
              <w:pStyle w:val="afffffff1"/>
            </w:pPr>
            <w:r w:rsidRPr="00D630D1">
              <w:t>41.3</w:t>
            </w:r>
          </w:p>
        </w:tc>
      </w:tr>
      <w:tr w:rsidR="0017585A" w:rsidRPr="00D630D1" w:rsidTr="0006480A">
        <w:trPr>
          <w:trHeight w:val="273"/>
          <w:jc w:val="center"/>
        </w:trPr>
        <w:tc>
          <w:tcPr>
            <w:tcW w:w="5320" w:type="dxa"/>
            <w:gridSpan w:val="2"/>
            <w:vAlign w:val="center"/>
          </w:tcPr>
          <w:p w:rsidR="00ED383D" w:rsidRPr="00D630D1" w:rsidRDefault="00ED383D" w:rsidP="00AA2CA8">
            <w:pPr>
              <w:pStyle w:val="afffffff1"/>
            </w:pPr>
            <w:r w:rsidRPr="00D630D1">
              <w:t>最低环境温度</w:t>
            </w:r>
            <w:r w:rsidRPr="00D630D1">
              <w:t>/℃</w:t>
            </w:r>
          </w:p>
        </w:tc>
        <w:tc>
          <w:tcPr>
            <w:tcW w:w="3572" w:type="dxa"/>
            <w:vAlign w:val="center"/>
          </w:tcPr>
          <w:p w:rsidR="00ED383D" w:rsidRPr="00D630D1" w:rsidRDefault="00ED383D" w:rsidP="00AA2CA8">
            <w:pPr>
              <w:pStyle w:val="afffffff1"/>
            </w:pPr>
            <w:r w:rsidRPr="00D630D1">
              <w:t>-5.3</w:t>
            </w:r>
          </w:p>
        </w:tc>
      </w:tr>
      <w:tr w:rsidR="0017585A" w:rsidRPr="00D630D1" w:rsidTr="0006480A">
        <w:trPr>
          <w:trHeight w:val="273"/>
          <w:jc w:val="center"/>
        </w:trPr>
        <w:tc>
          <w:tcPr>
            <w:tcW w:w="5320" w:type="dxa"/>
            <w:gridSpan w:val="2"/>
            <w:vAlign w:val="center"/>
          </w:tcPr>
          <w:p w:rsidR="00ED383D" w:rsidRPr="00D630D1" w:rsidRDefault="00ED383D" w:rsidP="00AA2CA8">
            <w:pPr>
              <w:pStyle w:val="afffffff1"/>
            </w:pPr>
            <w:r w:rsidRPr="00D630D1">
              <w:t>土地利用类型</w:t>
            </w:r>
          </w:p>
        </w:tc>
        <w:tc>
          <w:tcPr>
            <w:tcW w:w="3572" w:type="dxa"/>
            <w:vAlign w:val="center"/>
          </w:tcPr>
          <w:p w:rsidR="00ED383D" w:rsidRPr="00D630D1" w:rsidRDefault="00ED383D" w:rsidP="00AA2CA8">
            <w:pPr>
              <w:pStyle w:val="afffffff1"/>
            </w:pPr>
            <w:r w:rsidRPr="00D630D1">
              <w:t>农村</w:t>
            </w:r>
          </w:p>
        </w:tc>
      </w:tr>
      <w:tr w:rsidR="0017585A" w:rsidRPr="00D630D1" w:rsidTr="0006480A">
        <w:trPr>
          <w:trHeight w:val="273"/>
          <w:jc w:val="center"/>
        </w:trPr>
        <w:tc>
          <w:tcPr>
            <w:tcW w:w="5320" w:type="dxa"/>
            <w:gridSpan w:val="2"/>
            <w:vAlign w:val="center"/>
          </w:tcPr>
          <w:p w:rsidR="00ED383D" w:rsidRPr="00D630D1" w:rsidRDefault="00ED383D" w:rsidP="00AA2CA8">
            <w:pPr>
              <w:pStyle w:val="afffffff1"/>
            </w:pPr>
            <w:r w:rsidRPr="00D630D1">
              <w:t>区域湿度条件</w:t>
            </w:r>
          </w:p>
        </w:tc>
        <w:tc>
          <w:tcPr>
            <w:tcW w:w="3572" w:type="dxa"/>
            <w:vAlign w:val="center"/>
          </w:tcPr>
          <w:p w:rsidR="00ED383D" w:rsidRPr="00D630D1" w:rsidRDefault="00ED383D" w:rsidP="00AA2CA8">
            <w:pPr>
              <w:pStyle w:val="afffffff1"/>
            </w:pPr>
            <w:r w:rsidRPr="00D630D1">
              <w:t>潮湿</w:t>
            </w:r>
          </w:p>
        </w:tc>
      </w:tr>
      <w:tr w:rsidR="0017585A" w:rsidRPr="00D630D1" w:rsidTr="0006480A">
        <w:trPr>
          <w:trHeight w:val="153"/>
          <w:jc w:val="center"/>
        </w:trPr>
        <w:tc>
          <w:tcPr>
            <w:tcW w:w="2396" w:type="dxa"/>
            <w:vMerge w:val="restart"/>
            <w:vAlign w:val="center"/>
          </w:tcPr>
          <w:p w:rsidR="00ED383D" w:rsidRPr="00D630D1" w:rsidRDefault="00ED383D" w:rsidP="00AA2CA8">
            <w:pPr>
              <w:pStyle w:val="afffffff1"/>
            </w:pPr>
            <w:r w:rsidRPr="00D630D1">
              <w:t>是否考虑地形</w:t>
            </w:r>
          </w:p>
        </w:tc>
        <w:tc>
          <w:tcPr>
            <w:tcW w:w="2923" w:type="dxa"/>
            <w:vAlign w:val="center"/>
          </w:tcPr>
          <w:p w:rsidR="00ED383D" w:rsidRPr="00D630D1" w:rsidRDefault="00ED383D" w:rsidP="00AA2CA8">
            <w:pPr>
              <w:pStyle w:val="afffffff1"/>
            </w:pPr>
            <w:r w:rsidRPr="00D630D1">
              <w:t>考虑地形</w:t>
            </w:r>
          </w:p>
        </w:tc>
        <w:tc>
          <w:tcPr>
            <w:tcW w:w="3572" w:type="dxa"/>
            <w:vAlign w:val="center"/>
          </w:tcPr>
          <w:p w:rsidR="00ED383D" w:rsidRPr="00D630D1" w:rsidRDefault="00ED383D" w:rsidP="00AA2CA8">
            <w:pPr>
              <w:pStyle w:val="afffffff1"/>
            </w:pPr>
            <w:r w:rsidRPr="00D630D1">
              <w:t>是</w:t>
            </w:r>
          </w:p>
        </w:tc>
      </w:tr>
      <w:tr w:rsidR="0017585A" w:rsidRPr="00D630D1" w:rsidTr="0006480A">
        <w:trPr>
          <w:trHeight w:val="153"/>
          <w:jc w:val="center"/>
        </w:trPr>
        <w:tc>
          <w:tcPr>
            <w:tcW w:w="2396" w:type="dxa"/>
            <w:vMerge/>
            <w:vAlign w:val="center"/>
          </w:tcPr>
          <w:p w:rsidR="00ED383D" w:rsidRPr="00D630D1" w:rsidRDefault="00ED383D" w:rsidP="00AA2CA8">
            <w:pPr>
              <w:pStyle w:val="afffffff1"/>
            </w:pPr>
          </w:p>
        </w:tc>
        <w:tc>
          <w:tcPr>
            <w:tcW w:w="2923" w:type="dxa"/>
            <w:vAlign w:val="center"/>
          </w:tcPr>
          <w:p w:rsidR="00ED383D" w:rsidRPr="00D630D1" w:rsidRDefault="00ED383D" w:rsidP="00817B1D">
            <w:pPr>
              <w:pStyle w:val="afffffff1"/>
            </w:pPr>
            <w:r w:rsidRPr="00D630D1">
              <w:t>地形数据分辨率</w:t>
            </w:r>
            <w:r w:rsidR="00817B1D" w:rsidRPr="00D630D1">
              <w:rPr>
                <w:rFonts w:hint="eastAsia"/>
              </w:rPr>
              <w:t>（</w:t>
            </w:r>
            <w:r w:rsidR="00817B1D" w:rsidRPr="00D630D1">
              <w:t>m</w:t>
            </w:r>
            <w:r w:rsidR="00817B1D" w:rsidRPr="00D630D1">
              <w:rPr>
                <w:rFonts w:hint="eastAsia"/>
              </w:rPr>
              <w:t>）</w:t>
            </w:r>
          </w:p>
        </w:tc>
        <w:tc>
          <w:tcPr>
            <w:tcW w:w="3572" w:type="dxa"/>
            <w:vAlign w:val="center"/>
          </w:tcPr>
          <w:p w:rsidR="00ED383D" w:rsidRPr="00D630D1" w:rsidRDefault="00ED383D" w:rsidP="00AA2CA8">
            <w:pPr>
              <w:pStyle w:val="afffffff1"/>
            </w:pPr>
            <w:r w:rsidRPr="00D630D1">
              <w:t>90</w:t>
            </w:r>
          </w:p>
        </w:tc>
      </w:tr>
      <w:tr w:rsidR="0017585A" w:rsidRPr="00D630D1" w:rsidTr="0006480A">
        <w:trPr>
          <w:trHeight w:val="102"/>
          <w:jc w:val="center"/>
        </w:trPr>
        <w:tc>
          <w:tcPr>
            <w:tcW w:w="2396" w:type="dxa"/>
            <w:vMerge w:val="restart"/>
            <w:vAlign w:val="center"/>
          </w:tcPr>
          <w:p w:rsidR="00ED383D" w:rsidRPr="00D630D1" w:rsidRDefault="00ED383D" w:rsidP="00AA2CA8">
            <w:pPr>
              <w:pStyle w:val="afffffff1"/>
            </w:pPr>
            <w:r w:rsidRPr="00D630D1">
              <w:t>是否考虑岸线熏烟</w:t>
            </w:r>
          </w:p>
        </w:tc>
        <w:tc>
          <w:tcPr>
            <w:tcW w:w="2923" w:type="dxa"/>
            <w:vAlign w:val="center"/>
          </w:tcPr>
          <w:p w:rsidR="00ED383D" w:rsidRPr="00D630D1" w:rsidRDefault="00ED383D" w:rsidP="00AA2CA8">
            <w:pPr>
              <w:pStyle w:val="afffffff1"/>
            </w:pPr>
            <w:r w:rsidRPr="00D630D1">
              <w:t>考虑岸线熏烟</w:t>
            </w:r>
          </w:p>
        </w:tc>
        <w:tc>
          <w:tcPr>
            <w:tcW w:w="3572" w:type="dxa"/>
            <w:vAlign w:val="center"/>
          </w:tcPr>
          <w:p w:rsidR="00ED383D" w:rsidRPr="00D630D1" w:rsidRDefault="00ED383D" w:rsidP="00AA2CA8">
            <w:pPr>
              <w:pStyle w:val="afffffff1"/>
            </w:pPr>
            <w:r w:rsidRPr="00D630D1">
              <w:t>否</w:t>
            </w:r>
          </w:p>
        </w:tc>
      </w:tr>
      <w:tr w:rsidR="0017585A" w:rsidRPr="00D630D1" w:rsidTr="0006480A">
        <w:trPr>
          <w:trHeight w:val="102"/>
          <w:jc w:val="center"/>
        </w:trPr>
        <w:tc>
          <w:tcPr>
            <w:tcW w:w="2396" w:type="dxa"/>
            <w:vMerge/>
            <w:vAlign w:val="center"/>
          </w:tcPr>
          <w:p w:rsidR="00ED383D" w:rsidRPr="00D630D1" w:rsidRDefault="00ED383D" w:rsidP="00AA2CA8">
            <w:pPr>
              <w:pStyle w:val="afffffff1"/>
            </w:pPr>
          </w:p>
        </w:tc>
        <w:tc>
          <w:tcPr>
            <w:tcW w:w="2923" w:type="dxa"/>
            <w:vAlign w:val="center"/>
          </w:tcPr>
          <w:p w:rsidR="00ED383D" w:rsidRPr="00D630D1" w:rsidRDefault="00ED383D" w:rsidP="00AA2CA8">
            <w:pPr>
              <w:pStyle w:val="afffffff1"/>
            </w:pPr>
            <w:r w:rsidRPr="00D630D1">
              <w:t>岸线距离</w:t>
            </w:r>
            <w:r w:rsidRPr="00D630D1">
              <w:t>/km</w:t>
            </w:r>
          </w:p>
        </w:tc>
        <w:tc>
          <w:tcPr>
            <w:tcW w:w="3572" w:type="dxa"/>
            <w:vAlign w:val="center"/>
          </w:tcPr>
          <w:p w:rsidR="00ED383D" w:rsidRPr="00D630D1" w:rsidRDefault="00ED383D" w:rsidP="00AA2CA8">
            <w:pPr>
              <w:pStyle w:val="afffffff1"/>
            </w:pPr>
            <w:r w:rsidRPr="00D630D1">
              <w:t>/</w:t>
            </w:r>
          </w:p>
        </w:tc>
      </w:tr>
      <w:tr w:rsidR="0017585A" w:rsidRPr="00D630D1" w:rsidTr="0006480A">
        <w:trPr>
          <w:trHeight w:val="102"/>
          <w:jc w:val="center"/>
        </w:trPr>
        <w:tc>
          <w:tcPr>
            <w:tcW w:w="2396" w:type="dxa"/>
            <w:vMerge/>
            <w:vAlign w:val="center"/>
          </w:tcPr>
          <w:p w:rsidR="00ED383D" w:rsidRPr="00D630D1" w:rsidRDefault="00ED383D" w:rsidP="00AA2CA8">
            <w:pPr>
              <w:pStyle w:val="afffffff1"/>
            </w:pPr>
          </w:p>
        </w:tc>
        <w:tc>
          <w:tcPr>
            <w:tcW w:w="2923" w:type="dxa"/>
            <w:vAlign w:val="center"/>
          </w:tcPr>
          <w:p w:rsidR="00ED383D" w:rsidRPr="00D630D1" w:rsidRDefault="00ED383D" w:rsidP="00AA2CA8">
            <w:pPr>
              <w:pStyle w:val="afffffff1"/>
            </w:pPr>
            <w:r w:rsidRPr="00D630D1">
              <w:t>岸线方向</w:t>
            </w:r>
            <w:r w:rsidRPr="00D630D1">
              <w:t>/o</w:t>
            </w:r>
          </w:p>
        </w:tc>
        <w:tc>
          <w:tcPr>
            <w:tcW w:w="3572" w:type="dxa"/>
            <w:vAlign w:val="center"/>
          </w:tcPr>
          <w:p w:rsidR="00ED383D" w:rsidRPr="00D630D1" w:rsidRDefault="00ED383D" w:rsidP="00AA2CA8">
            <w:pPr>
              <w:pStyle w:val="afffffff1"/>
            </w:pPr>
            <w:r w:rsidRPr="00D630D1">
              <w:t>/</w:t>
            </w:r>
          </w:p>
        </w:tc>
      </w:tr>
    </w:tbl>
    <w:p w:rsidR="00ED383D" w:rsidRPr="00D630D1" w:rsidRDefault="00ED383D" w:rsidP="00ED383D">
      <w:pPr>
        <w:pStyle w:val="afa"/>
        <w:ind w:firstLine="480"/>
      </w:pPr>
      <w:r w:rsidRPr="00D630D1">
        <w:t>各污染物</w:t>
      </w:r>
      <w:r w:rsidRPr="00D630D1">
        <w:t>Pi</w:t>
      </w:r>
      <w:r w:rsidRPr="00D630D1">
        <w:t>估算模式计算结果如下表。</w:t>
      </w:r>
    </w:p>
    <w:p w:rsidR="00ED383D" w:rsidRPr="00D630D1" w:rsidRDefault="00ED383D" w:rsidP="00ED383D">
      <w:pPr>
        <w:pStyle w:val="10"/>
        <w:rPr>
          <w:rFonts w:cs="Times New Roman"/>
        </w:rPr>
      </w:pPr>
      <w:r w:rsidRPr="00D630D1">
        <w:rPr>
          <w:rFonts w:cs="Times New Roman"/>
        </w:rPr>
        <w:t>表</w:t>
      </w:r>
      <w:r w:rsidRPr="00D630D1">
        <w:rPr>
          <w:rFonts w:cs="Times New Roman"/>
        </w:rPr>
        <w:t>1.6-</w:t>
      </w:r>
      <w:r w:rsidR="006A3F08" w:rsidRPr="00D630D1">
        <w:rPr>
          <w:rFonts w:cs="Times New Roman" w:hint="eastAsia"/>
        </w:rPr>
        <w:t>2</w:t>
      </w:r>
      <w:r w:rsidRPr="00D630D1">
        <w:rPr>
          <w:rFonts w:cs="Times New Roman"/>
        </w:rPr>
        <w:t xml:space="preserve">  </w:t>
      </w:r>
      <w:r w:rsidRPr="00D630D1">
        <w:rPr>
          <w:rFonts w:cs="Times New Roman"/>
        </w:rPr>
        <w:t>估算模式计算结果</w:t>
      </w:r>
    </w:p>
    <w:tbl>
      <w:tblPr>
        <w:tblW w:w="893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733"/>
        <w:gridCol w:w="1102"/>
        <w:gridCol w:w="1276"/>
        <w:gridCol w:w="2835"/>
        <w:gridCol w:w="1990"/>
      </w:tblGrid>
      <w:tr w:rsidR="0017585A" w:rsidRPr="00D630D1" w:rsidTr="00817B1D">
        <w:trPr>
          <w:trHeight w:val="191"/>
          <w:jc w:val="center"/>
        </w:trPr>
        <w:tc>
          <w:tcPr>
            <w:tcW w:w="1733" w:type="dxa"/>
            <w:vMerge w:val="restart"/>
            <w:tcBorders>
              <w:right w:val="single" w:sz="4" w:space="0" w:color="000000"/>
            </w:tcBorders>
            <w:vAlign w:val="center"/>
          </w:tcPr>
          <w:p w:rsidR="00ED383D" w:rsidRPr="00D630D1" w:rsidRDefault="00ED383D" w:rsidP="00ED383D">
            <w:pPr>
              <w:pStyle w:val="10"/>
              <w:spacing w:line="240" w:lineRule="auto"/>
              <w:rPr>
                <w:rFonts w:cs="Times New Roman"/>
                <w:szCs w:val="21"/>
              </w:rPr>
            </w:pPr>
            <w:r w:rsidRPr="00D630D1">
              <w:rPr>
                <w:rFonts w:cs="Times New Roman"/>
                <w:szCs w:val="21"/>
              </w:rPr>
              <w:t>污染源</w:t>
            </w:r>
          </w:p>
        </w:tc>
        <w:tc>
          <w:tcPr>
            <w:tcW w:w="1102" w:type="dxa"/>
            <w:vMerge w:val="restart"/>
            <w:tcBorders>
              <w:left w:val="single" w:sz="4" w:space="0" w:color="000000"/>
            </w:tcBorders>
            <w:vAlign w:val="center"/>
          </w:tcPr>
          <w:p w:rsidR="00ED383D" w:rsidRPr="00D630D1" w:rsidRDefault="00ED383D" w:rsidP="00ED383D">
            <w:pPr>
              <w:pStyle w:val="10"/>
              <w:spacing w:line="240" w:lineRule="auto"/>
              <w:rPr>
                <w:rFonts w:cs="Times New Roman"/>
                <w:szCs w:val="21"/>
              </w:rPr>
            </w:pPr>
            <w:r w:rsidRPr="00D630D1">
              <w:rPr>
                <w:rFonts w:cs="Times New Roman"/>
                <w:szCs w:val="21"/>
              </w:rPr>
              <w:t>污染物</w:t>
            </w:r>
          </w:p>
        </w:tc>
        <w:tc>
          <w:tcPr>
            <w:tcW w:w="6101" w:type="dxa"/>
            <w:gridSpan w:val="3"/>
            <w:tcBorders>
              <w:bottom w:val="single" w:sz="2" w:space="0" w:color="auto"/>
            </w:tcBorders>
            <w:vAlign w:val="center"/>
          </w:tcPr>
          <w:p w:rsidR="00ED383D" w:rsidRPr="00D630D1" w:rsidRDefault="00ED383D" w:rsidP="00ED383D">
            <w:pPr>
              <w:pStyle w:val="10"/>
              <w:spacing w:line="240" w:lineRule="auto"/>
              <w:rPr>
                <w:rFonts w:cs="Times New Roman"/>
                <w:szCs w:val="21"/>
              </w:rPr>
            </w:pPr>
            <w:r w:rsidRPr="00D630D1">
              <w:rPr>
                <w:rFonts w:cs="Times New Roman"/>
                <w:szCs w:val="21"/>
              </w:rPr>
              <w:t>预测结果</w:t>
            </w:r>
          </w:p>
        </w:tc>
      </w:tr>
      <w:tr w:rsidR="0017585A" w:rsidRPr="00D630D1" w:rsidTr="00817B1D">
        <w:trPr>
          <w:trHeight w:val="117"/>
          <w:jc w:val="center"/>
        </w:trPr>
        <w:tc>
          <w:tcPr>
            <w:tcW w:w="1733" w:type="dxa"/>
            <w:vMerge/>
            <w:tcBorders>
              <w:right w:val="single" w:sz="4" w:space="0" w:color="000000"/>
            </w:tcBorders>
            <w:vAlign w:val="center"/>
          </w:tcPr>
          <w:p w:rsidR="00ED383D" w:rsidRPr="00D630D1" w:rsidRDefault="00ED383D" w:rsidP="00ED383D">
            <w:pPr>
              <w:pStyle w:val="10"/>
              <w:spacing w:line="240" w:lineRule="auto"/>
              <w:rPr>
                <w:rFonts w:cs="Times New Roman"/>
                <w:szCs w:val="21"/>
              </w:rPr>
            </w:pPr>
          </w:p>
        </w:tc>
        <w:tc>
          <w:tcPr>
            <w:tcW w:w="1102" w:type="dxa"/>
            <w:vMerge/>
            <w:tcBorders>
              <w:left w:val="single" w:sz="4" w:space="0" w:color="000000"/>
            </w:tcBorders>
            <w:vAlign w:val="center"/>
          </w:tcPr>
          <w:p w:rsidR="00ED383D" w:rsidRPr="00D630D1" w:rsidRDefault="00ED383D" w:rsidP="00ED383D">
            <w:pPr>
              <w:pStyle w:val="10"/>
              <w:spacing w:line="240" w:lineRule="auto"/>
              <w:rPr>
                <w:rFonts w:cs="Times New Roman"/>
                <w:szCs w:val="21"/>
              </w:rPr>
            </w:pPr>
          </w:p>
        </w:tc>
        <w:tc>
          <w:tcPr>
            <w:tcW w:w="1276" w:type="dxa"/>
            <w:tcBorders>
              <w:top w:val="single" w:sz="2" w:space="0" w:color="auto"/>
              <w:right w:val="single" w:sz="2" w:space="0" w:color="auto"/>
            </w:tcBorders>
            <w:vAlign w:val="center"/>
          </w:tcPr>
          <w:p w:rsidR="00ED383D" w:rsidRPr="00D630D1" w:rsidRDefault="00ED383D" w:rsidP="00ED383D">
            <w:pPr>
              <w:pStyle w:val="10"/>
              <w:spacing w:line="240" w:lineRule="auto"/>
              <w:rPr>
                <w:rFonts w:cs="Times New Roman"/>
                <w:szCs w:val="21"/>
              </w:rPr>
            </w:pPr>
            <w:r w:rsidRPr="00D630D1">
              <w:rPr>
                <w:rFonts w:cs="Times New Roman"/>
                <w:szCs w:val="21"/>
              </w:rPr>
              <w:t>距离（</w:t>
            </w:r>
            <w:r w:rsidRPr="00D630D1">
              <w:rPr>
                <w:rFonts w:cs="Times New Roman"/>
                <w:szCs w:val="21"/>
              </w:rPr>
              <w:t>m</w:t>
            </w:r>
            <w:r w:rsidRPr="00D630D1">
              <w:rPr>
                <w:rFonts w:cs="Times New Roman"/>
                <w:szCs w:val="21"/>
              </w:rPr>
              <w:t>）</w:t>
            </w:r>
          </w:p>
        </w:tc>
        <w:tc>
          <w:tcPr>
            <w:tcW w:w="2835" w:type="dxa"/>
            <w:tcBorders>
              <w:top w:val="single" w:sz="2" w:space="0" w:color="auto"/>
              <w:left w:val="single" w:sz="2" w:space="0" w:color="auto"/>
              <w:right w:val="single" w:sz="4" w:space="0" w:color="000000"/>
            </w:tcBorders>
            <w:vAlign w:val="center"/>
          </w:tcPr>
          <w:p w:rsidR="00ED383D" w:rsidRPr="00D630D1" w:rsidRDefault="00ED383D" w:rsidP="00ED383D">
            <w:pPr>
              <w:pStyle w:val="10"/>
              <w:spacing w:line="240" w:lineRule="auto"/>
              <w:rPr>
                <w:rFonts w:cs="Times New Roman"/>
                <w:szCs w:val="21"/>
              </w:rPr>
            </w:pPr>
            <w:r w:rsidRPr="00D630D1">
              <w:rPr>
                <w:rFonts w:cs="Times New Roman"/>
                <w:szCs w:val="21"/>
              </w:rPr>
              <w:t>最大落地浓度（</w:t>
            </w:r>
            <w:r w:rsidRPr="00D630D1">
              <w:rPr>
                <w:rFonts w:cs="Times New Roman"/>
                <w:szCs w:val="21"/>
              </w:rPr>
              <w:t>mg/m</w:t>
            </w:r>
            <w:r w:rsidRPr="00D630D1">
              <w:rPr>
                <w:rFonts w:cs="Times New Roman"/>
                <w:szCs w:val="21"/>
                <w:vertAlign w:val="superscript"/>
              </w:rPr>
              <w:t>3</w:t>
            </w:r>
            <w:r w:rsidRPr="00D630D1">
              <w:rPr>
                <w:rFonts w:cs="Times New Roman"/>
                <w:szCs w:val="21"/>
              </w:rPr>
              <w:t>）</w:t>
            </w:r>
          </w:p>
        </w:tc>
        <w:tc>
          <w:tcPr>
            <w:tcW w:w="1990" w:type="dxa"/>
            <w:tcBorders>
              <w:top w:val="single" w:sz="2" w:space="0" w:color="auto"/>
              <w:left w:val="single" w:sz="4" w:space="0" w:color="000000"/>
            </w:tcBorders>
            <w:vAlign w:val="center"/>
          </w:tcPr>
          <w:p w:rsidR="00ED383D" w:rsidRPr="00D630D1" w:rsidRDefault="00ED383D" w:rsidP="00ED383D">
            <w:pPr>
              <w:pStyle w:val="10"/>
              <w:spacing w:line="240" w:lineRule="auto"/>
              <w:rPr>
                <w:rFonts w:cs="Times New Roman"/>
                <w:szCs w:val="21"/>
              </w:rPr>
            </w:pPr>
            <w:r w:rsidRPr="00D630D1">
              <w:rPr>
                <w:rFonts w:cs="Times New Roman"/>
                <w:szCs w:val="21"/>
              </w:rPr>
              <w:t>最大占标率（</w:t>
            </w:r>
            <w:r w:rsidRPr="00D630D1">
              <w:rPr>
                <w:rFonts w:cs="Times New Roman"/>
                <w:szCs w:val="21"/>
              </w:rPr>
              <w:t>%</w:t>
            </w:r>
            <w:r w:rsidRPr="00D630D1">
              <w:rPr>
                <w:rFonts w:cs="Times New Roman"/>
                <w:szCs w:val="21"/>
              </w:rPr>
              <w:t>）</w:t>
            </w:r>
          </w:p>
        </w:tc>
      </w:tr>
      <w:tr w:rsidR="00607C67" w:rsidRPr="00D630D1" w:rsidTr="00817B1D">
        <w:trPr>
          <w:trHeight w:val="234"/>
          <w:jc w:val="center"/>
        </w:trPr>
        <w:tc>
          <w:tcPr>
            <w:tcW w:w="1733" w:type="dxa"/>
            <w:tcBorders>
              <w:right w:val="single" w:sz="4" w:space="0" w:color="000000"/>
            </w:tcBorders>
            <w:vAlign w:val="center"/>
          </w:tcPr>
          <w:p w:rsidR="00607C67" w:rsidRPr="00D630D1" w:rsidRDefault="00607C67" w:rsidP="00607C67">
            <w:pPr>
              <w:pStyle w:val="10"/>
              <w:spacing w:line="240" w:lineRule="auto"/>
              <w:rPr>
                <w:rFonts w:cs="Times New Roman"/>
                <w:b w:val="0"/>
                <w:bCs/>
                <w:szCs w:val="21"/>
              </w:rPr>
            </w:pPr>
            <w:r w:rsidRPr="00D630D1">
              <w:rPr>
                <w:rFonts w:cs="Times New Roman"/>
                <w:b w:val="0"/>
                <w:bCs/>
                <w:szCs w:val="21"/>
              </w:rPr>
              <w:t>水套炉排气筒</w:t>
            </w:r>
          </w:p>
        </w:tc>
        <w:tc>
          <w:tcPr>
            <w:tcW w:w="1102" w:type="dxa"/>
            <w:tcBorders>
              <w:left w:val="single" w:sz="4" w:space="0" w:color="000000"/>
            </w:tcBorders>
            <w:vAlign w:val="center"/>
          </w:tcPr>
          <w:p w:rsidR="00607C67" w:rsidRPr="00D630D1" w:rsidRDefault="00607C67" w:rsidP="001F1679">
            <w:pPr>
              <w:pStyle w:val="10"/>
              <w:spacing w:line="240" w:lineRule="auto"/>
              <w:rPr>
                <w:rFonts w:cs="Times New Roman"/>
                <w:b w:val="0"/>
                <w:bCs/>
                <w:szCs w:val="21"/>
              </w:rPr>
            </w:pPr>
            <w:r w:rsidRPr="00D630D1">
              <w:rPr>
                <w:rFonts w:cs="Times New Roman"/>
                <w:b w:val="0"/>
                <w:bCs/>
                <w:szCs w:val="21"/>
              </w:rPr>
              <w:t>氮氧化物</w:t>
            </w:r>
          </w:p>
        </w:tc>
        <w:tc>
          <w:tcPr>
            <w:tcW w:w="1276" w:type="dxa"/>
            <w:tcBorders>
              <w:right w:val="single" w:sz="2" w:space="0" w:color="auto"/>
            </w:tcBorders>
            <w:vAlign w:val="center"/>
          </w:tcPr>
          <w:p w:rsidR="00607C67" w:rsidRPr="00D630D1" w:rsidRDefault="00607C67" w:rsidP="001F1679">
            <w:pPr>
              <w:pStyle w:val="10"/>
              <w:spacing w:line="240" w:lineRule="auto"/>
              <w:rPr>
                <w:rFonts w:cs="Times New Roman"/>
                <w:b w:val="0"/>
                <w:bCs/>
                <w:szCs w:val="21"/>
              </w:rPr>
            </w:pPr>
            <w:r w:rsidRPr="00D630D1">
              <w:rPr>
                <w:rFonts w:cs="Times New Roman"/>
                <w:b w:val="0"/>
                <w:bCs/>
                <w:szCs w:val="21"/>
              </w:rPr>
              <w:t>26</w:t>
            </w:r>
          </w:p>
        </w:tc>
        <w:tc>
          <w:tcPr>
            <w:tcW w:w="2835" w:type="dxa"/>
            <w:tcBorders>
              <w:left w:val="single" w:sz="2" w:space="0" w:color="auto"/>
              <w:right w:val="single" w:sz="4" w:space="0" w:color="000000"/>
            </w:tcBorders>
            <w:vAlign w:val="center"/>
          </w:tcPr>
          <w:p w:rsidR="00607C67" w:rsidRPr="00D630D1" w:rsidRDefault="00607C67" w:rsidP="001F1679">
            <w:pPr>
              <w:pStyle w:val="10"/>
              <w:spacing w:line="240" w:lineRule="auto"/>
              <w:rPr>
                <w:rFonts w:cs="Times New Roman"/>
                <w:b w:val="0"/>
                <w:bCs/>
                <w:szCs w:val="21"/>
              </w:rPr>
            </w:pPr>
            <w:r w:rsidRPr="00D630D1">
              <w:rPr>
                <w:rFonts w:cs="Times New Roman"/>
                <w:b w:val="0"/>
                <w:bCs/>
                <w:szCs w:val="21"/>
              </w:rPr>
              <w:t>0.00</w:t>
            </w:r>
            <w:r w:rsidRPr="00D630D1">
              <w:rPr>
                <w:rFonts w:cs="Times New Roman" w:hint="eastAsia"/>
                <w:b w:val="0"/>
                <w:bCs/>
                <w:szCs w:val="21"/>
              </w:rPr>
              <w:t>58</w:t>
            </w:r>
          </w:p>
        </w:tc>
        <w:tc>
          <w:tcPr>
            <w:tcW w:w="1990" w:type="dxa"/>
            <w:tcBorders>
              <w:left w:val="single" w:sz="4" w:space="0" w:color="000000"/>
            </w:tcBorders>
            <w:vAlign w:val="center"/>
          </w:tcPr>
          <w:p w:rsidR="00607C67" w:rsidRPr="00D630D1" w:rsidRDefault="00607C67" w:rsidP="001F1679">
            <w:pPr>
              <w:pStyle w:val="10"/>
              <w:spacing w:line="240" w:lineRule="auto"/>
              <w:rPr>
                <w:rFonts w:cs="Times New Roman"/>
                <w:b w:val="0"/>
                <w:bCs/>
                <w:szCs w:val="21"/>
              </w:rPr>
            </w:pPr>
            <w:r w:rsidRPr="00D630D1">
              <w:rPr>
                <w:rFonts w:cs="Times New Roman" w:hint="eastAsia"/>
                <w:b w:val="0"/>
                <w:bCs/>
                <w:szCs w:val="21"/>
              </w:rPr>
              <w:t>2.33</w:t>
            </w:r>
          </w:p>
        </w:tc>
      </w:tr>
    </w:tbl>
    <w:p w:rsidR="00ED383D" w:rsidRPr="00D630D1" w:rsidRDefault="00ED383D" w:rsidP="00ED383D">
      <w:pPr>
        <w:pStyle w:val="afa"/>
        <w:ind w:firstLine="480"/>
      </w:pPr>
      <w:r w:rsidRPr="00D630D1">
        <w:t>大气环境影响评价工作等级按下表</w:t>
      </w:r>
      <w:r w:rsidR="001540E2" w:rsidRPr="00D630D1">
        <w:t>1.6-4</w:t>
      </w:r>
      <w:r w:rsidRPr="00D630D1">
        <w:t>分级判据进行划分，若污染物数</w:t>
      </w:r>
      <w:r w:rsidRPr="00D630D1">
        <w:t>i</w:t>
      </w:r>
      <w:r w:rsidRPr="00D630D1">
        <w:t>＞</w:t>
      </w:r>
      <w:r w:rsidRPr="00D630D1">
        <w:t>1</w:t>
      </w:r>
      <w:r w:rsidRPr="00D630D1">
        <w:t>，取</w:t>
      </w:r>
      <w:r w:rsidRPr="00D630D1">
        <w:t>P</w:t>
      </w:r>
      <w:r w:rsidRPr="00D630D1">
        <w:t>值中最大者（</w:t>
      </w:r>
      <w:r w:rsidRPr="00D630D1">
        <w:t>P</w:t>
      </w:r>
      <w:r w:rsidRPr="00D630D1">
        <w:rPr>
          <w:vertAlign w:val="subscript"/>
        </w:rPr>
        <w:t>max</w:t>
      </w:r>
      <w:r w:rsidRPr="00D630D1">
        <w:t>）；则本次评价</w:t>
      </w:r>
      <w:r w:rsidRPr="00D630D1">
        <w:t>P</w:t>
      </w:r>
      <w:r w:rsidRPr="00D630D1">
        <w:rPr>
          <w:vertAlign w:val="subscript"/>
        </w:rPr>
        <w:t>max</w:t>
      </w:r>
      <w:r w:rsidRPr="00D630D1">
        <w:t>=</w:t>
      </w:r>
      <w:r w:rsidR="00817B1D" w:rsidRPr="00D630D1">
        <w:rPr>
          <w:rFonts w:hint="eastAsia"/>
        </w:rPr>
        <w:t>2.33</w:t>
      </w:r>
      <w:r w:rsidRPr="00D630D1">
        <w:t>%</w:t>
      </w:r>
      <w:r w:rsidRPr="00D630D1">
        <w:t>，评价等级划分情况见下表。</w:t>
      </w:r>
    </w:p>
    <w:p w:rsidR="00ED383D" w:rsidRPr="00D630D1" w:rsidRDefault="00ED383D" w:rsidP="00ED383D">
      <w:pPr>
        <w:pStyle w:val="10"/>
        <w:rPr>
          <w:rFonts w:cs="Times New Roman"/>
        </w:rPr>
      </w:pPr>
      <w:r w:rsidRPr="00D630D1">
        <w:rPr>
          <w:rFonts w:cs="Times New Roman"/>
        </w:rPr>
        <w:t>表</w:t>
      </w:r>
      <w:r w:rsidR="001540E2" w:rsidRPr="00D630D1">
        <w:rPr>
          <w:rFonts w:cs="Times New Roman"/>
        </w:rPr>
        <w:t>1.6-</w:t>
      </w:r>
      <w:r w:rsidR="006A3F08" w:rsidRPr="00D630D1">
        <w:rPr>
          <w:rFonts w:cs="Times New Roman" w:hint="eastAsia"/>
        </w:rPr>
        <w:t>3</w:t>
      </w:r>
      <w:r w:rsidRPr="00D630D1">
        <w:rPr>
          <w:rFonts w:cs="Times New Roman"/>
        </w:rPr>
        <w:t xml:space="preserve">  </w:t>
      </w:r>
      <w:r w:rsidRPr="00D630D1">
        <w:rPr>
          <w:rFonts w:cs="Times New Roman"/>
        </w:rPr>
        <w:t>评价工作等级</w:t>
      </w:r>
    </w:p>
    <w:tbl>
      <w:tblPr>
        <w:tblW w:w="9039"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3063"/>
        <w:gridCol w:w="5976"/>
      </w:tblGrid>
      <w:tr w:rsidR="0017585A" w:rsidRPr="00D630D1" w:rsidTr="001540E2">
        <w:trPr>
          <w:trHeight w:val="245"/>
          <w:jc w:val="center"/>
        </w:trPr>
        <w:tc>
          <w:tcPr>
            <w:tcW w:w="3063" w:type="dxa"/>
            <w:vAlign w:val="center"/>
          </w:tcPr>
          <w:p w:rsidR="00ED383D" w:rsidRPr="00D630D1" w:rsidRDefault="00ED383D" w:rsidP="00AA2CA8">
            <w:pPr>
              <w:pStyle w:val="afffffff1"/>
              <w:rPr>
                <w:b/>
                <w:bCs/>
              </w:rPr>
            </w:pPr>
            <w:r w:rsidRPr="00D630D1">
              <w:rPr>
                <w:b/>
                <w:bCs/>
              </w:rPr>
              <w:t>评价工作等级</w:t>
            </w:r>
          </w:p>
        </w:tc>
        <w:tc>
          <w:tcPr>
            <w:tcW w:w="5976" w:type="dxa"/>
            <w:vAlign w:val="center"/>
          </w:tcPr>
          <w:p w:rsidR="00ED383D" w:rsidRPr="00D630D1" w:rsidRDefault="00ED383D" w:rsidP="00AA2CA8">
            <w:pPr>
              <w:pStyle w:val="afffffff1"/>
              <w:rPr>
                <w:b/>
                <w:bCs/>
              </w:rPr>
            </w:pPr>
            <w:r w:rsidRPr="00D630D1">
              <w:rPr>
                <w:b/>
                <w:bCs/>
              </w:rPr>
              <w:t>评价工作分级判据</w:t>
            </w:r>
          </w:p>
        </w:tc>
      </w:tr>
      <w:tr w:rsidR="0017585A" w:rsidRPr="00D630D1" w:rsidTr="001540E2">
        <w:trPr>
          <w:trHeight w:val="245"/>
          <w:jc w:val="center"/>
        </w:trPr>
        <w:tc>
          <w:tcPr>
            <w:tcW w:w="3063" w:type="dxa"/>
            <w:vAlign w:val="center"/>
          </w:tcPr>
          <w:p w:rsidR="00ED383D" w:rsidRPr="00D630D1" w:rsidRDefault="00ED383D" w:rsidP="00AA2CA8">
            <w:pPr>
              <w:pStyle w:val="afffffff1"/>
            </w:pPr>
            <w:r w:rsidRPr="00D630D1">
              <w:t>一级评价</w:t>
            </w:r>
          </w:p>
        </w:tc>
        <w:tc>
          <w:tcPr>
            <w:tcW w:w="5976" w:type="dxa"/>
            <w:vAlign w:val="center"/>
          </w:tcPr>
          <w:p w:rsidR="00ED383D" w:rsidRPr="00D630D1" w:rsidRDefault="00ED383D" w:rsidP="00AA2CA8">
            <w:pPr>
              <w:pStyle w:val="afffffff1"/>
            </w:pPr>
            <w:r w:rsidRPr="00D630D1">
              <w:t>P</w:t>
            </w:r>
            <w:r w:rsidRPr="00D630D1">
              <w:rPr>
                <w:vertAlign w:val="subscript"/>
              </w:rPr>
              <w:t>max</w:t>
            </w:r>
            <w:r w:rsidRPr="00D630D1">
              <w:t>≥10%</w:t>
            </w:r>
          </w:p>
        </w:tc>
      </w:tr>
      <w:tr w:rsidR="0017585A" w:rsidRPr="00D630D1" w:rsidTr="001540E2">
        <w:trPr>
          <w:trHeight w:val="232"/>
          <w:jc w:val="center"/>
        </w:trPr>
        <w:tc>
          <w:tcPr>
            <w:tcW w:w="3063" w:type="dxa"/>
            <w:vAlign w:val="center"/>
          </w:tcPr>
          <w:p w:rsidR="00ED383D" w:rsidRPr="00D630D1" w:rsidRDefault="00ED383D" w:rsidP="00AA2CA8">
            <w:pPr>
              <w:pStyle w:val="afffffff1"/>
            </w:pPr>
            <w:r w:rsidRPr="00D630D1">
              <w:t>二级评价</w:t>
            </w:r>
          </w:p>
        </w:tc>
        <w:tc>
          <w:tcPr>
            <w:tcW w:w="5976" w:type="dxa"/>
            <w:vAlign w:val="center"/>
          </w:tcPr>
          <w:p w:rsidR="00ED383D" w:rsidRPr="00D630D1" w:rsidRDefault="00ED383D" w:rsidP="00AA2CA8">
            <w:pPr>
              <w:pStyle w:val="afffffff1"/>
            </w:pPr>
            <w:r w:rsidRPr="00D630D1">
              <w:t>1≤P</w:t>
            </w:r>
            <w:r w:rsidRPr="00D630D1">
              <w:rPr>
                <w:vertAlign w:val="subscript"/>
              </w:rPr>
              <w:t>max</w:t>
            </w:r>
            <w:r w:rsidRPr="00D630D1">
              <w:t>&lt;10%</w:t>
            </w:r>
          </w:p>
        </w:tc>
      </w:tr>
      <w:tr w:rsidR="0017585A" w:rsidRPr="00D630D1" w:rsidTr="001540E2">
        <w:trPr>
          <w:trHeight w:val="245"/>
          <w:jc w:val="center"/>
        </w:trPr>
        <w:tc>
          <w:tcPr>
            <w:tcW w:w="3063" w:type="dxa"/>
            <w:vAlign w:val="center"/>
          </w:tcPr>
          <w:p w:rsidR="00ED383D" w:rsidRPr="00D630D1" w:rsidRDefault="00ED383D" w:rsidP="00AA2CA8">
            <w:pPr>
              <w:pStyle w:val="afffffff1"/>
            </w:pPr>
            <w:r w:rsidRPr="00D630D1">
              <w:t>三级评价</w:t>
            </w:r>
          </w:p>
        </w:tc>
        <w:tc>
          <w:tcPr>
            <w:tcW w:w="5976" w:type="dxa"/>
            <w:vAlign w:val="center"/>
          </w:tcPr>
          <w:p w:rsidR="00ED383D" w:rsidRPr="00D630D1" w:rsidRDefault="00ED383D" w:rsidP="00AA2CA8">
            <w:pPr>
              <w:pStyle w:val="afffffff1"/>
            </w:pPr>
            <w:r w:rsidRPr="00D630D1">
              <w:t>P</w:t>
            </w:r>
            <w:r w:rsidRPr="00D630D1">
              <w:rPr>
                <w:vertAlign w:val="subscript"/>
              </w:rPr>
              <w:t>max</w:t>
            </w:r>
            <w:r w:rsidRPr="00D630D1">
              <w:t>&lt;1%</w:t>
            </w:r>
          </w:p>
        </w:tc>
      </w:tr>
    </w:tbl>
    <w:p w:rsidR="00ED383D" w:rsidRPr="00D630D1" w:rsidRDefault="00ED383D" w:rsidP="0017585A">
      <w:pPr>
        <w:pStyle w:val="afa"/>
        <w:ind w:firstLine="480"/>
      </w:pPr>
      <w:r w:rsidRPr="00D630D1">
        <w:t>经估算模式计算，</w:t>
      </w:r>
      <w:r w:rsidRPr="00D630D1">
        <w:t>1%≤P</w:t>
      </w:r>
      <w:r w:rsidRPr="00D630D1">
        <w:rPr>
          <w:vertAlign w:val="subscript"/>
        </w:rPr>
        <w:t>max</w:t>
      </w:r>
      <w:r w:rsidRPr="00D630D1">
        <w:t>&lt;10%</w:t>
      </w:r>
      <w:r w:rsidRPr="00D630D1">
        <w:t>；由上表判定依据可知，本项目大气环境影响评价等级为</w:t>
      </w:r>
      <w:r w:rsidR="00CC46BB" w:rsidRPr="00D630D1">
        <w:t>二</w:t>
      </w:r>
      <w:r w:rsidRPr="00D630D1">
        <w:t>级。</w:t>
      </w:r>
      <w:r w:rsidR="00CC46BB" w:rsidRPr="00D630D1">
        <w:t>根据导则要求，二级评价不进行进一步预测与评价，只对污染物排放量进行核算。</w:t>
      </w:r>
    </w:p>
    <w:p w:rsidR="00117C3D" w:rsidRPr="00D630D1" w:rsidRDefault="008B5B84">
      <w:pPr>
        <w:ind w:firstLine="490"/>
        <w:rPr>
          <w:rFonts w:ascii="Times New Roman" w:cs="Times New Roman"/>
          <w:b/>
          <w:bCs/>
          <w:spacing w:val="2"/>
          <w:kern w:val="2"/>
          <w:position w:val="2"/>
          <w:szCs w:val="22"/>
        </w:rPr>
      </w:pPr>
      <w:r w:rsidRPr="00D630D1">
        <w:rPr>
          <w:rFonts w:ascii="Times New Roman" w:cs="Times New Roman"/>
          <w:b/>
          <w:bCs/>
          <w:spacing w:val="2"/>
          <w:kern w:val="2"/>
          <w:position w:val="2"/>
          <w:szCs w:val="22"/>
        </w:rPr>
        <w:t>2</w:t>
      </w:r>
      <w:r w:rsidRPr="00D630D1">
        <w:rPr>
          <w:rFonts w:ascii="Times New Roman" w:cs="Times New Roman"/>
          <w:b/>
          <w:bCs/>
          <w:spacing w:val="2"/>
          <w:kern w:val="2"/>
          <w:position w:val="2"/>
          <w:szCs w:val="22"/>
        </w:rPr>
        <w:t>、评价范围</w:t>
      </w:r>
    </w:p>
    <w:p w:rsidR="00117C3D" w:rsidRPr="00D630D1" w:rsidRDefault="008B5B84">
      <w:pPr>
        <w:ind w:firstLine="480"/>
        <w:rPr>
          <w:rFonts w:ascii="Times New Roman" w:cs="Times New Roman"/>
        </w:rPr>
      </w:pPr>
      <w:r w:rsidRPr="00D630D1">
        <w:rPr>
          <w:rFonts w:ascii="Times New Roman" w:cs="Times New Roman"/>
        </w:rPr>
        <w:t>本项目</w:t>
      </w:r>
      <w:r w:rsidR="0028375E" w:rsidRPr="00D630D1">
        <w:rPr>
          <w:rFonts w:ascii="Times New Roman" w:cs="Times New Roman"/>
        </w:rPr>
        <w:t>大气评价范围</w:t>
      </w:r>
      <w:r w:rsidR="0028375E" w:rsidRPr="00D630D1">
        <w:rPr>
          <w:rFonts w:ascii="Times New Roman" w:cs="Times New Roman" w:hint="eastAsia"/>
        </w:rPr>
        <w:t>：以</w:t>
      </w:r>
      <w:r w:rsidR="002C00AE">
        <w:rPr>
          <w:rFonts w:ascii="Times New Roman" w:cs="Times New Roman" w:hint="eastAsia"/>
        </w:rPr>
        <w:t>普光</w:t>
      </w:r>
      <w:r w:rsidR="002C00AE">
        <w:rPr>
          <w:rFonts w:ascii="Times New Roman" w:cs="Times New Roman" w:hint="eastAsia"/>
        </w:rPr>
        <w:t>12</w:t>
      </w:r>
      <w:r w:rsidR="002C00AE">
        <w:rPr>
          <w:rFonts w:ascii="Times New Roman" w:cs="Times New Roman" w:hint="eastAsia"/>
        </w:rPr>
        <w:t>采气站</w:t>
      </w:r>
      <w:r w:rsidR="0028375E" w:rsidRPr="00D630D1">
        <w:rPr>
          <w:rFonts w:ascii="Times New Roman" w:cs="Times New Roman" w:hint="eastAsia"/>
        </w:rPr>
        <w:t>为中心</w:t>
      </w:r>
      <w:r w:rsidR="0028375E" w:rsidRPr="00D630D1">
        <w:rPr>
          <w:rFonts w:ascii="Times New Roman" w:cs="Times New Roman"/>
        </w:rPr>
        <w:t>，边长为</w:t>
      </w:r>
      <w:r w:rsidR="0028375E" w:rsidRPr="00D630D1">
        <w:rPr>
          <w:rFonts w:ascii="Times New Roman" w:cs="Times New Roman"/>
        </w:rPr>
        <w:t>5km</w:t>
      </w:r>
      <w:r w:rsidR="0028375E" w:rsidRPr="00D630D1">
        <w:rPr>
          <w:rFonts w:ascii="Times New Roman" w:cs="Times New Roman"/>
        </w:rPr>
        <w:t>的矩形区域</w:t>
      </w:r>
      <w:r w:rsidRPr="00D630D1">
        <w:rPr>
          <w:rFonts w:ascii="Times New Roman" w:cs="Times New Roman"/>
        </w:rPr>
        <w:t>。</w:t>
      </w:r>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1.6.3 </w:t>
      </w:r>
      <w:r w:rsidRPr="00D630D1">
        <w:rPr>
          <w:rFonts w:ascii="Times New Roman" w:cs="Times New Roman"/>
          <w:b/>
          <w:szCs w:val="32"/>
        </w:rPr>
        <w:t>地表水环境</w:t>
      </w:r>
    </w:p>
    <w:p w:rsidR="00117C3D" w:rsidRPr="00D630D1" w:rsidRDefault="008B5B84">
      <w:pPr>
        <w:ind w:firstLineChars="199" w:firstLine="487"/>
        <w:rPr>
          <w:rFonts w:ascii="Times New Roman" w:cs="Times New Roman"/>
          <w:b/>
          <w:bCs/>
          <w:spacing w:val="2"/>
          <w:kern w:val="2"/>
          <w:position w:val="2"/>
          <w:szCs w:val="22"/>
        </w:rPr>
      </w:pPr>
      <w:r w:rsidRPr="00D630D1">
        <w:rPr>
          <w:rFonts w:ascii="Times New Roman" w:cs="Times New Roman"/>
          <w:b/>
          <w:bCs/>
          <w:spacing w:val="2"/>
          <w:kern w:val="2"/>
          <w:position w:val="2"/>
          <w:szCs w:val="22"/>
        </w:rPr>
        <w:t>1</w:t>
      </w:r>
      <w:r w:rsidRPr="00D630D1">
        <w:rPr>
          <w:rFonts w:ascii="Times New Roman" w:cs="Times New Roman"/>
          <w:b/>
          <w:bCs/>
          <w:spacing w:val="2"/>
          <w:kern w:val="2"/>
          <w:position w:val="2"/>
          <w:szCs w:val="22"/>
        </w:rPr>
        <w:t>、评价等级</w:t>
      </w:r>
    </w:p>
    <w:p w:rsidR="00CC46BB" w:rsidRPr="00D630D1" w:rsidRDefault="00CC46BB" w:rsidP="0006480A">
      <w:pPr>
        <w:pStyle w:val="afa"/>
        <w:ind w:firstLine="480"/>
      </w:pPr>
      <w:r w:rsidRPr="00D630D1">
        <w:t>根据《环境影响评价技术导则</w:t>
      </w:r>
      <w:r w:rsidRPr="00D630D1">
        <w:t xml:space="preserve"> </w:t>
      </w:r>
      <w:r w:rsidRPr="00D630D1">
        <w:t>地表水环境》（</w:t>
      </w:r>
      <w:r w:rsidRPr="00D630D1">
        <w:t>HJ2.3-2018</w:t>
      </w:r>
      <w:r w:rsidR="000D2CA4" w:rsidRPr="00D630D1">
        <w:t>）中关于项目评价等级与评价范围的规定及工程分析</w:t>
      </w:r>
      <w:r w:rsidR="00607C67" w:rsidRPr="00D630D1">
        <w:rPr>
          <w:rFonts w:hint="eastAsia"/>
        </w:rPr>
        <w:t>，</w:t>
      </w:r>
      <w:r w:rsidR="000D2CA4" w:rsidRPr="00D630D1">
        <w:rPr>
          <w:spacing w:val="-8"/>
          <w:szCs w:val="21"/>
        </w:rPr>
        <w:t>施工期管线施工人员生活污水依托租用附近居民房收集处理</w:t>
      </w:r>
      <w:r w:rsidR="000D2CA4" w:rsidRPr="00D630D1">
        <w:rPr>
          <w:rFonts w:hint="eastAsia"/>
          <w:spacing w:val="-8"/>
          <w:szCs w:val="21"/>
        </w:rPr>
        <w:t>，井</w:t>
      </w:r>
      <w:r w:rsidR="000D2CA4" w:rsidRPr="00D630D1">
        <w:rPr>
          <w:spacing w:val="-8"/>
          <w:szCs w:val="21"/>
        </w:rPr>
        <w:t>场施工生活污水</w:t>
      </w:r>
      <w:r w:rsidR="000D2CA4" w:rsidRPr="00D630D1">
        <w:rPr>
          <w:rFonts w:hint="eastAsia"/>
          <w:spacing w:val="-8"/>
          <w:szCs w:val="21"/>
        </w:rPr>
        <w:t>依托</w:t>
      </w:r>
      <w:r w:rsidR="000D2CA4" w:rsidRPr="00D630D1">
        <w:rPr>
          <w:spacing w:val="-8"/>
          <w:szCs w:val="21"/>
        </w:rPr>
        <w:t>经</w:t>
      </w:r>
      <w:r w:rsidR="000D2CA4" w:rsidRPr="00D630D1">
        <w:rPr>
          <w:bCs/>
          <w:spacing w:val="-8"/>
          <w:szCs w:val="21"/>
        </w:rPr>
        <w:t>生态环保厕所收集处理</w:t>
      </w:r>
      <w:r w:rsidR="000D2CA4" w:rsidRPr="00D630D1">
        <w:t>后，用作周边农肥，不外排</w:t>
      </w:r>
      <w:r w:rsidR="000D2CA4" w:rsidRPr="00D630D1">
        <w:rPr>
          <w:rFonts w:hint="eastAsia"/>
          <w:spacing w:val="-8"/>
          <w:szCs w:val="21"/>
        </w:rPr>
        <w:t>；</w:t>
      </w:r>
      <w:r w:rsidR="000C6323" w:rsidRPr="00D630D1">
        <w:rPr>
          <w:rFonts w:hint="eastAsia"/>
          <w:spacing w:val="-8"/>
          <w:szCs w:val="21"/>
        </w:rPr>
        <w:t>初期雨水和</w:t>
      </w:r>
      <w:r w:rsidR="000C6323" w:rsidRPr="00D630D1">
        <w:rPr>
          <w:spacing w:val="-8"/>
          <w:szCs w:val="21"/>
        </w:rPr>
        <w:t>钻井废水经</w:t>
      </w:r>
      <w:r w:rsidR="000C6323" w:rsidRPr="00D630D1">
        <w:rPr>
          <w:rFonts w:hint="eastAsia"/>
          <w:spacing w:val="-8"/>
          <w:szCs w:val="21"/>
        </w:rPr>
        <w:t>清洁化操作平台</w:t>
      </w:r>
      <w:r w:rsidR="000C6323" w:rsidRPr="00D630D1">
        <w:rPr>
          <w:spacing w:val="-8"/>
          <w:szCs w:val="21"/>
        </w:rPr>
        <w:t>预处理后装车拉运至毛开</w:t>
      </w:r>
      <w:r w:rsidR="000C6323" w:rsidRPr="00D630D1">
        <w:rPr>
          <w:spacing w:val="-8"/>
          <w:szCs w:val="21"/>
        </w:rPr>
        <w:t>1</w:t>
      </w:r>
      <w:r w:rsidR="000C6323" w:rsidRPr="00D630D1">
        <w:rPr>
          <w:spacing w:val="-8"/>
          <w:szCs w:val="21"/>
        </w:rPr>
        <w:t>井回注站回注</w:t>
      </w:r>
      <w:r w:rsidR="00607C67" w:rsidRPr="00D630D1">
        <w:rPr>
          <w:rFonts w:hint="eastAsia"/>
          <w:spacing w:val="-8"/>
          <w:szCs w:val="21"/>
        </w:rPr>
        <w:t>；</w:t>
      </w:r>
      <w:r w:rsidR="00775840" w:rsidRPr="00D630D1">
        <w:rPr>
          <w:spacing w:val="-8"/>
          <w:szCs w:val="21"/>
        </w:rPr>
        <w:t>压裂废水和洗井废水</w:t>
      </w:r>
      <w:r w:rsidR="00775840" w:rsidRPr="00D630D1">
        <w:rPr>
          <w:rFonts w:hint="eastAsia"/>
          <w:spacing w:val="-8"/>
          <w:szCs w:val="21"/>
        </w:rPr>
        <w:t>部分</w:t>
      </w:r>
      <w:r w:rsidR="00775840" w:rsidRPr="00D630D1">
        <w:rPr>
          <w:spacing w:val="-8"/>
          <w:szCs w:val="21"/>
        </w:rPr>
        <w:t>暂存</w:t>
      </w:r>
      <w:r w:rsidR="00775840" w:rsidRPr="00D630D1">
        <w:rPr>
          <w:rFonts w:hint="eastAsia"/>
          <w:spacing w:val="-8"/>
          <w:szCs w:val="21"/>
        </w:rPr>
        <w:t>于放喷池，剩余部分暂存于污水缓冲罐</w:t>
      </w:r>
      <w:r w:rsidR="00775840" w:rsidRPr="00D630D1">
        <w:rPr>
          <w:spacing w:val="-8"/>
          <w:szCs w:val="21"/>
        </w:rPr>
        <w:t>，装车拉运至大湾</w:t>
      </w:r>
      <w:r w:rsidR="00775840" w:rsidRPr="00D630D1">
        <w:rPr>
          <w:spacing w:val="-8"/>
          <w:szCs w:val="21"/>
        </w:rPr>
        <w:t>403</w:t>
      </w:r>
      <w:r w:rsidR="00775840" w:rsidRPr="00D630D1">
        <w:rPr>
          <w:spacing w:val="-8"/>
          <w:szCs w:val="21"/>
        </w:rPr>
        <w:t>污水站处理达标后管输至毛开</w:t>
      </w:r>
      <w:r w:rsidR="00775840" w:rsidRPr="00D630D1">
        <w:rPr>
          <w:spacing w:val="-8"/>
          <w:szCs w:val="21"/>
        </w:rPr>
        <w:t>1</w:t>
      </w:r>
      <w:r w:rsidR="00775840" w:rsidRPr="00D630D1">
        <w:rPr>
          <w:spacing w:val="-8"/>
          <w:szCs w:val="21"/>
        </w:rPr>
        <w:t>井回注站回注</w:t>
      </w:r>
      <w:r w:rsidRPr="00D630D1">
        <w:t>。</w:t>
      </w:r>
      <w:bookmarkStart w:id="75" w:name="_Hlk81048370"/>
      <w:r w:rsidR="007200A5" w:rsidRPr="00D630D1">
        <w:t>本项目运营期产生的气田水</w:t>
      </w:r>
      <w:r w:rsidR="007200A5" w:rsidRPr="002C36C4">
        <w:rPr>
          <w:rFonts w:hint="eastAsia"/>
        </w:rPr>
        <w:t>暂存于污水缓冲罐</w:t>
      </w:r>
      <w:r w:rsidR="007200A5" w:rsidRPr="00D630D1">
        <w:t>，然后通过密闭罐车拉运至大湾</w:t>
      </w:r>
      <w:r w:rsidR="007200A5" w:rsidRPr="00D630D1">
        <w:t>403</w:t>
      </w:r>
      <w:r w:rsidR="007200A5" w:rsidRPr="00D630D1">
        <w:t>污水站处理达到《气田水回注方法》（</w:t>
      </w:r>
      <w:r w:rsidR="007200A5" w:rsidRPr="00D630D1">
        <w:t>SY/T 6596</w:t>
      </w:r>
      <w:r w:rsidR="007200A5" w:rsidRPr="00D630D1">
        <w:rPr>
          <w:rFonts w:hint="eastAsia"/>
        </w:rPr>
        <w:t>-</w:t>
      </w:r>
      <w:r w:rsidR="007200A5" w:rsidRPr="00D630D1">
        <w:t>2016</w:t>
      </w:r>
      <w:r w:rsidR="007200A5" w:rsidRPr="00D630D1">
        <w:t>）中注入水基本要求后管输至毛开</w:t>
      </w:r>
      <w:r w:rsidR="007200A5" w:rsidRPr="00D630D1">
        <w:t>1</w:t>
      </w:r>
      <w:r w:rsidR="007200A5" w:rsidRPr="00D630D1">
        <w:t>井回注站回注处理，不外排</w:t>
      </w:r>
      <w:r w:rsidR="007200A5">
        <w:rPr>
          <w:rFonts w:hint="eastAsia"/>
        </w:rPr>
        <w:t>；值守</w:t>
      </w:r>
      <w:r w:rsidR="007200A5" w:rsidRPr="000819D9">
        <w:t>人员生活</w:t>
      </w:r>
      <w:r w:rsidR="007200A5" w:rsidRPr="000819D9">
        <w:rPr>
          <w:rFonts w:hint="eastAsia"/>
        </w:rPr>
        <w:t>污水</w:t>
      </w:r>
      <w:r w:rsidR="007200A5">
        <w:rPr>
          <w:rFonts w:hint="eastAsia"/>
        </w:rPr>
        <w:t>经</w:t>
      </w:r>
      <w:r w:rsidR="007200A5" w:rsidRPr="000819D9">
        <w:t>生态环保厕所收集后，用作周边农肥，不外排</w:t>
      </w:r>
      <w:r w:rsidR="0017585A" w:rsidRPr="00D630D1">
        <w:t>。</w:t>
      </w:r>
      <w:bookmarkEnd w:id="75"/>
      <w:r w:rsidRPr="00D630D1">
        <w:t>因此，本项目地表水环境影响评价等级定为水污染影响型三级</w:t>
      </w:r>
      <w:r w:rsidRPr="00D630D1">
        <w:t>B</w:t>
      </w:r>
      <w:r w:rsidRPr="00D630D1">
        <w:t>。</w:t>
      </w:r>
      <w:r w:rsidRPr="00D630D1">
        <w:lastRenderedPageBreak/>
        <w:t>根据建设项目水文要素影响分析，项目不涉及水文要素影响。</w:t>
      </w:r>
    </w:p>
    <w:p w:rsidR="00117C3D" w:rsidRPr="00D630D1" w:rsidRDefault="008B5B84">
      <w:pPr>
        <w:ind w:firstLine="490"/>
        <w:rPr>
          <w:rFonts w:ascii="Times New Roman" w:cs="Times New Roman"/>
          <w:b/>
          <w:bCs/>
          <w:spacing w:val="2"/>
          <w:kern w:val="2"/>
          <w:position w:val="2"/>
          <w:szCs w:val="22"/>
        </w:rPr>
      </w:pPr>
      <w:r w:rsidRPr="00D630D1">
        <w:rPr>
          <w:rFonts w:ascii="Times New Roman" w:cs="Times New Roman"/>
          <w:b/>
          <w:bCs/>
          <w:spacing w:val="2"/>
          <w:kern w:val="2"/>
          <w:position w:val="2"/>
          <w:szCs w:val="22"/>
        </w:rPr>
        <w:t>2</w:t>
      </w:r>
      <w:r w:rsidRPr="00D630D1">
        <w:rPr>
          <w:rFonts w:ascii="Times New Roman" w:cs="Times New Roman"/>
          <w:b/>
          <w:bCs/>
          <w:spacing w:val="2"/>
          <w:kern w:val="2"/>
          <w:position w:val="2"/>
          <w:szCs w:val="22"/>
        </w:rPr>
        <w:t>、评价范围</w:t>
      </w:r>
    </w:p>
    <w:p w:rsidR="00117C3D" w:rsidRPr="00D630D1" w:rsidRDefault="008B5B84">
      <w:pPr>
        <w:ind w:firstLine="480"/>
        <w:rPr>
          <w:rFonts w:ascii="Times New Roman" w:cs="Times New Roman"/>
        </w:rPr>
      </w:pPr>
      <w:r w:rsidRPr="00D630D1">
        <w:rPr>
          <w:rFonts w:ascii="Times New Roman" w:cs="Times New Roman"/>
        </w:rPr>
        <w:t>根据《环境影响评价技术导则</w:t>
      </w:r>
      <w:r w:rsidR="00263096" w:rsidRPr="00D630D1">
        <w:rPr>
          <w:rFonts w:ascii="Times New Roman" w:cs="Times New Roman"/>
        </w:rPr>
        <w:t xml:space="preserve"> </w:t>
      </w:r>
      <w:r w:rsidRPr="00D630D1">
        <w:rPr>
          <w:rFonts w:ascii="Times New Roman" w:cs="Times New Roman"/>
        </w:rPr>
        <w:t>地</w:t>
      </w:r>
      <w:r w:rsidR="00263096" w:rsidRPr="00D630D1">
        <w:rPr>
          <w:rFonts w:ascii="Times New Roman" w:cs="Times New Roman"/>
        </w:rPr>
        <w:t>表</w:t>
      </w:r>
      <w:r w:rsidRPr="00D630D1">
        <w:rPr>
          <w:rFonts w:ascii="Times New Roman" w:cs="Times New Roman"/>
        </w:rPr>
        <w:t>水环境》（</w:t>
      </w:r>
      <w:r w:rsidRPr="00D630D1">
        <w:rPr>
          <w:rFonts w:ascii="Times New Roman" w:cs="Times New Roman"/>
        </w:rPr>
        <w:t>HJ2.3</w:t>
      </w:r>
      <w:r w:rsidR="00CC46BB" w:rsidRPr="00D630D1">
        <w:rPr>
          <w:rFonts w:ascii="Times New Roman" w:cs="Times New Roman"/>
        </w:rPr>
        <w:t>-</w:t>
      </w:r>
      <w:r w:rsidRPr="00D630D1">
        <w:rPr>
          <w:rFonts w:ascii="Times New Roman" w:cs="Times New Roman"/>
        </w:rPr>
        <w:t>2018</w:t>
      </w:r>
      <w:r w:rsidRPr="00D630D1">
        <w:rPr>
          <w:rFonts w:ascii="Times New Roman" w:cs="Times New Roman"/>
        </w:rPr>
        <w:t>）中第</w:t>
      </w:r>
      <w:r w:rsidRPr="00D630D1">
        <w:rPr>
          <w:rFonts w:ascii="Times New Roman" w:cs="Times New Roman"/>
        </w:rPr>
        <w:t>5.3.2.2</w:t>
      </w:r>
      <w:r w:rsidRPr="00D630D1">
        <w:rPr>
          <w:rFonts w:ascii="Times New Roman" w:cs="Times New Roman"/>
        </w:rPr>
        <w:t>条规定，并结合项目实际情况，本次环评地表水环境影响评价不作预测评价，仅对污、废水的产生情况等进行说明，并进行简单的环境影响分析。</w:t>
      </w:r>
    </w:p>
    <w:p w:rsidR="00117C3D" w:rsidRPr="00D630D1" w:rsidRDefault="008B5B84">
      <w:pPr>
        <w:ind w:firstLine="480"/>
        <w:rPr>
          <w:rFonts w:ascii="Times New Roman" w:cs="Times New Roman"/>
        </w:rPr>
      </w:pPr>
      <w:r w:rsidRPr="00D630D1">
        <w:rPr>
          <w:rFonts w:ascii="Times New Roman" w:cs="Times New Roman"/>
        </w:rPr>
        <w:t>因此，本项目不设地表水评价范围。</w:t>
      </w:r>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1.6.4 </w:t>
      </w:r>
      <w:r w:rsidRPr="00D630D1">
        <w:rPr>
          <w:rFonts w:ascii="Times New Roman" w:cs="Times New Roman"/>
          <w:b/>
          <w:szCs w:val="32"/>
        </w:rPr>
        <w:t>地下水环境</w:t>
      </w:r>
    </w:p>
    <w:p w:rsidR="00117C3D" w:rsidRPr="00D630D1" w:rsidRDefault="008B5B84">
      <w:pPr>
        <w:ind w:firstLine="490"/>
        <w:rPr>
          <w:rFonts w:ascii="Times New Roman" w:cs="Times New Roman"/>
          <w:b/>
          <w:bCs/>
          <w:spacing w:val="2"/>
          <w:kern w:val="2"/>
          <w:position w:val="2"/>
          <w:szCs w:val="22"/>
        </w:rPr>
      </w:pPr>
      <w:r w:rsidRPr="00D630D1">
        <w:rPr>
          <w:rFonts w:ascii="Times New Roman" w:cs="Times New Roman"/>
          <w:b/>
          <w:bCs/>
          <w:spacing w:val="2"/>
          <w:kern w:val="2"/>
          <w:position w:val="2"/>
          <w:szCs w:val="22"/>
        </w:rPr>
        <w:t>1</w:t>
      </w:r>
      <w:r w:rsidRPr="00D630D1">
        <w:rPr>
          <w:rFonts w:ascii="Times New Roman" w:cs="Times New Roman"/>
          <w:b/>
          <w:bCs/>
          <w:spacing w:val="2"/>
          <w:kern w:val="2"/>
          <w:position w:val="2"/>
          <w:szCs w:val="22"/>
        </w:rPr>
        <w:t>、评价等级</w:t>
      </w:r>
    </w:p>
    <w:p w:rsidR="001540E2" w:rsidRPr="00D630D1" w:rsidRDefault="001540E2" w:rsidP="001540E2">
      <w:pPr>
        <w:pStyle w:val="afa"/>
        <w:ind w:firstLine="480"/>
      </w:pPr>
      <w:r w:rsidRPr="00D630D1">
        <w:t>根据《环境影响评价技术导则</w:t>
      </w:r>
      <w:r w:rsidRPr="00D630D1">
        <w:t xml:space="preserve"> </w:t>
      </w:r>
      <w:r w:rsidRPr="00D630D1">
        <w:t>地下水环境》（</w:t>
      </w:r>
      <w:r w:rsidRPr="00D630D1">
        <w:t>HJ610-2016</w:t>
      </w:r>
      <w:r w:rsidRPr="00D630D1">
        <w:t>）第</w:t>
      </w:r>
      <w:r w:rsidRPr="00D630D1">
        <w:t>6.2.2.4</w:t>
      </w:r>
      <w:r w:rsidRPr="00D630D1">
        <w:t>条：线性工程根据所涉地下水环境敏感程度和主要站场位置（如输油站、泵站、加油站、机务段、服务站等）进行分段判定评价等级。</w:t>
      </w:r>
      <w:r w:rsidR="000D2CA4" w:rsidRPr="00D630D1">
        <w:t>本项目</w:t>
      </w:r>
      <w:r w:rsidR="000D2CA4" w:rsidRPr="00D630D1">
        <w:rPr>
          <w:rFonts w:hint="eastAsia"/>
        </w:rPr>
        <w:t>按</w:t>
      </w:r>
      <w:r w:rsidR="00DD3EA1">
        <w:rPr>
          <w:rFonts w:hint="eastAsia"/>
        </w:rPr>
        <w:t>3</w:t>
      </w:r>
      <w:r w:rsidR="000D2CA4" w:rsidRPr="00D630D1">
        <w:t>段进行评价</w:t>
      </w:r>
      <w:r w:rsidRPr="00D630D1">
        <w:t>，即</w:t>
      </w:r>
      <w:r w:rsidR="002C00AE">
        <w:t>普光</w:t>
      </w:r>
      <w:r w:rsidR="002C00AE">
        <w:t>12</w:t>
      </w:r>
      <w:r w:rsidR="002C00AE">
        <w:t>采气站</w:t>
      </w:r>
      <w:r w:rsidR="000D2CA4" w:rsidRPr="00D630D1">
        <w:rPr>
          <w:rFonts w:hint="eastAsia"/>
        </w:rPr>
        <w:t>、</w:t>
      </w:r>
      <w:r w:rsidR="00DD3EA1">
        <w:t>普光</w:t>
      </w:r>
      <w:r w:rsidR="00DD3EA1">
        <w:t>12</w:t>
      </w:r>
      <w:r w:rsidR="00DD3EA1">
        <w:t>采气站</w:t>
      </w:r>
      <w:r w:rsidR="000D2CA4" w:rsidRPr="00D630D1">
        <w:t>~</w:t>
      </w:r>
      <w:r w:rsidR="00D57583">
        <w:rPr>
          <w:rFonts w:hint="eastAsia"/>
        </w:rPr>
        <w:t>普陆</w:t>
      </w:r>
      <w:r w:rsidR="00D57583">
        <w:rPr>
          <w:rFonts w:hint="eastAsia"/>
        </w:rPr>
        <w:t>3</w:t>
      </w:r>
      <w:r w:rsidR="00D57583">
        <w:rPr>
          <w:rFonts w:hint="eastAsia"/>
        </w:rPr>
        <w:t>集气站</w:t>
      </w:r>
      <w:r w:rsidR="000D2CA4" w:rsidRPr="00D630D1">
        <w:rPr>
          <w:rFonts w:hint="eastAsia"/>
        </w:rPr>
        <w:t>集气管道</w:t>
      </w:r>
      <w:r w:rsidR="00DD3EA1">
        <w:rPr>
          <w:rFonts w:hint="eastAsia"/>
        </w:rPr>
        <w:t>、</w:t>
      </w:r>
      <w:r w:rsidR="00DD3EA1" w:rsidRPr="00D57583">
        <w:t>普陆</w:t>
      </w:r>
      <w:r w:rsidR="00DD3EA1" w:rsidRPr="00D57583">
        <w:rPr>
          <w:rFonts w:hint="eastAsia"/>
        </w:rPr>
        <w:t>3</w:t>
      </w:r>
      <w:r w:rsidR="00DD3EA1" w:rsidRPr="00D57583">
        <w:rPr>
          <w:rFonts w:hint="eastAsia"/>
        </w:rPr>
        <w:t>集气站</w:t>
      </w:r>
      <w:r w:rsidR="00DD3EA1" w:rsidRPr="00D630D1">
        <w:t>~</w:t>
      </w:r>
      <w:r w:rsidR="00DD3EA1" w:rsidRPr="00D57583">
        <w:rPr>
          <w:rFonts w:hint="eastAsia"/>
        </w:rPr>
        <w:t>P105</w:t>
      </w:r>
      <w:r w:rsidR="00DD3EA1" w:rsidRPr="00D57583">
        <w:rPr>
          <w:rFonts w:hint="eastAsia"/>
        </w:rPr>
        <w:t>集气站</w:t>
      </w:r>
      <w:r w:rsidR="00DD3EA1" w:rsidRPr="00D630D1">
        <w:rPr>
          <w:rFonts w:hint="eastAsia"/>
        </w:rPr>
        <w:t>集气管道</w:t>
      </w:r>
      <w:r w:rsidRPr="00D630D1">
        <w:t>。根据《环境影响评价技术导则</w:t>
      </w:r>
      <w:r w:rsidRPr="00D630D1">
        <w:t xml:space="preserve"> </w:t>
      </w:r>
      <w:r w:rsidRPr="00D630D1">
        <w:t>地下水环境》（</w:t>
      </w:r>
      <w:r w:rsidRPr="00D630D1">
        <w:t>HJ610-2016</w:t>
      </w:r>
      <w:r w:rsidRPr="00D630D1">
        <w:t>）附录</w:t>
      </w:r>
      <w:r w:rsidRPr="00D630D1">
        <w:t>A</w:t>
      </w:r>
      <w:r w:rsidRPr="00D630D1">
        <w:t>，</w:t>
      </w:r>
      <w:r w:rsidR="000D2CA4" w:rsidRPr="00D630D1">
        <w:t xml:space="preserve"> </w:t>
      </w:r>
      <w:r w:rsidR="002C00AE">
        <w:t>普光</w:t>
      </w:r>
      <w:r w:rsidR="002C00AE">
        <w:t>12</w:t>
      </w:r>
      <w:r w:rsidR="002C00AE">
        <w:t>采气站</w:t>
      </w:r>
      <w:r w:rsidRPr="00D630D1">
        <w:t>属于</w:t>
      </w:r>
      <w:r w:rsidRPr="00D630D1">
        <w:t>“F</w:t>
      </w:r>
      <w:r w:rsidRPr="00D630D1">
        <w:t>石油、天然气第</w:t>
      </w:r>
      <w:r w:rsidRPr="00D630D1">
        <w:t>38</w:t>
      </w:r>
      <w:r w:rsidRPr="00D630D1">
        <w:t>项天然气、页岩气开采（含净化）</w:t>
      </w:r>
      <w:r w:rsidRPr="00D630D1">
        <w:t>”</w:t>
      </w:r>
      <w:r w:rsidRPr="00D630D1">
        <w:t>，编制环评报告书的</w:t>
      </w:r>
      <w:r w:rsidRPr="00D630D1">
        <w:t>Ⅱ</w:t>
      </w:r>
      <w:r w:rsidRPr="00D630D1">
        <w:t>类建设项目；集输管线属于</w:t>
      </w:r>
      <w:r w:rsidRPr="00D630D1">
        <w:t>“F</w:t>
      </w:r>
      <w:r w:rsidRPr="00D630D1">
        <w:t>石油、天然气第</w:t>
      </w:r>
      <w:r w:rsidRPr="00D630D1">
        <w:t>41</w:t>
      </w:r>
      <w:r w:rsidRPr="00D630D1">
        <w:t>项石油、天然气、成品油管线（不含城市天然气管线）</w:t>
      </w:r>
      <w:r w:rsidRPr="00D630D1">
        <w:t>”</w:t>
      </w:r>
      <w:r w:rsidRPr="00D630D1">
        <w:t>，编制环评报告书的</w:t>
      </w:r>
      <w:r w:rsidRPr="00D630D1">
        <w:t>Ⅲ</w:t>
      </w:r>
      <w:r w:rsidR="00BE0268" w:rsidRPr="00D630D1">
        <w:t>类建设项目</w:t>
      </w:r>
      <w:r w:rsidRPr="00D630D1">
        <w:t>。</w:t>
      </w:r>
    </w:p>
    <w:p w:rsidR="009620CD" w:rsidRPr="00D630D1" w:rsidRDefault="001540E2" w:rsidP="007B3182">
      <w:pPr>
        <w:pStyle w:val="afa"/>
        <w:ind w:firstLine="480"/>
      </w:pPr>
      <w:r w:rsidRPr="00D630D1">
        <w:t>根据《环境影响评价技术导则</w:t>
      </w:r>
      <w:r w:rsidRPr="00D630D1">
        <w:t xml:space="preserve"> </w:t>
      </w:r>
      <w:r w:rsidRPr="00D630D1">
        <w:t>地下水环境》（</w:t>
      </w:r>
      <w:r w:rsidRPr="00D630D1">
        <w:t>HJ610-2016</w:t>
      </w:r>
      <w:r w:rsidRPr="00D630D1">
        <w:t>）中地下水环境影响评价工作等级划分原则，地下水评价工作等级应依据建设项目行业类别和地下水环境敏感程度分级进行判定。</w:t>
      </w:r>
      <w:r w:rsidR="007B3182" w:rsidRPr="00D630D1">
        <w:t>由于项目集输管线输送介质为气液</w:t>
      </w:r>
      <w:r w:rsidR="000D2CA4" w:rsidRPr="00D630D1">
        <w:rPr>
          <w:rFonts w:hint="eastAsia"/>
        </w:rPr>
        <w:t>混合</w:t>
      </w:r>
      <w:r w:rsidR="007B3182" w:rsidRPr="00D630D1">
        <w:t>天然气，输气管线是全封闭系统，采用外防腐层和强制电流阴极保护联合方式，对地下水不会造成影响。当管线发生破裂事故，其泄漏的天然气绝大部分进</w:t>
      </w:r>
      <w:r w:rsidR="00535F05" w:rsidRPr="00D630D1">
        <w:rPr>
          <w:rFonts w:hint="eastAsia"/>
        </w:rPr>
        <w:t>入</w:t>
      </w:r>
      <w:r w:rsidR="007B3182" w:rsidRPr="00D630D1">
        <w:t>大气环境中，因此项目管线</w:t>
      </w:r>
      <w:r w:rsidRPr="00D630D1">
        <w:t>本工程不论在施工期或运营期排放的污、废水量都极小，且污染物类型简单，不易对地下水造成污染影响。</w:t>
      </w:r>
    </w:p>
    <w:p w:rsidR="00ED6A44" w:rsidRPr="00D630D1" w:rsidRDefault="009620CD" w:rsidP="007B3182">
      <w:pPr>
        <w:pStyle w:val="afa"/>
        <w:ind w:firstLine="480"/>
      </w:pPr>
      <w:r w:rsidRPr="00D630D1">
        <w:t>根据现场调查和资料收集，评价区范围内有居民分布，井场周围分散居民主要以浅层地下水（山泉出露水为主）作为生活饮用水源</w:t>
      </w:r>
      <w:r w:rsidRPr="00D630D1">
        <w:rPr>
          <w:rFonts w:hint="eastAsia"/>
        </w:rPr>
        <w:t>，</w:t>
      </w:r>
      <w:r w:rsidRPr="00D630D1">
        <w:t>属于</w:t>
      </w:r>
      <w:r w:rsidRPr="00D630D1">
        <w:rPr>
          <w:bCs/>
        </w:rPr>
        <w:t>分散式饮用水水源地</w:t>
      </w:r>
      <w:r w:rsidRPr="00D630D1">
        <w:t>。因此，评价区地下水环境敏感程度定为</w:t>
      </w:r>
      <w:r w:rsidRPr="00D630D1">
        <w:t>“</w:t>
      </w:r>
      <w:r w:rsidR="004B6624" w:rsidRPr="00D630D1">
        <w:t>较</w:t>
      </w:r>
      <w:r w:rsidRPr="00D630D1">
        <w:t>敏感</w:t>
      </w:r>
      <w:r w:rsidRPr="00D630D1">
        <w:t>”</w:t>
      </w:r>
      <w:r w:rsidR="00ED6A44" w:rsidRPr="00D630D1">
        <w:t>。地下水环境敏感程度识别详见表</w:t>
      </w:r>
      <w:r w:rsidR="00ED6A44" w:rsidRPr="00D630D1">
        <w:t>1.6-</w:t>
      </w:r>
      <w:r w:rsidR="006A3F08" w:rsidRPr="00D630D1">
        <w:rPr>
          <w:rFonts w:hint="eastAsia"/>
        </w:rPr>
        <w:t>4</w:t>
      </w:r>
      <w:r w:rsidR="00ED6A44" w:rsidRPr="00D630D1">
        <w:t>。</w:t>
      </w:r>
    </w:p>
    <w:p w:rsidR="00ED6A44" w:rsidRPr="00D630D1" w:rsidRDefault="00ED6A44" w:rsidP="00ED6A44">
      <w:pPr>
        <w:pStyle w:val="10"/>
        <w:rPr>
          <w:rFonts w:cs="Times New Roman"/>
        </w:rPr>
      </w:pPr>
      <w:r w:rsidRPr="00D630D1">
        <w:rPr>
          <w:rFonts w:cs="Times New Roman"/>
        </w:rPr>
        <w:t>表</w:t>
      </w:r>
      <w:r w:rsidRPr="00D630D1">
        <w:rPr>
          <w:rFonts w:cs="Times New Roman"/>
        </w:rPr>
        <w:t>1.6-</w:t>
      </w:r>
      <w:r w:rsidR="006A3F08" w:rsidRPr="00D630D1">
        <w:rPr>
          <w:rFonts w:cs="Times New Roman" w:hint="eastAsia"/>
        </w:rPr>
        <w:t>4</w:t>
      </w:r>
      <w:r w:rsidRPr="00D630D1">
        <w:rPr>
          <w:rFonts w:cs="Times New Roman"/>
        </w:rPr>
        <w:t xml:space="preserve">  </w:t>
      </w:r>
      <w:r w:rsidRPr="00D630D1">
        <w:rPr>
          <w:rFonts w:cs="Times New Roman"/>
        </w:rPr>
        <w:t>地下水环境敏感程度分级表</w:t>
      </w:r>
    </w:p>
    <w:tbl>
      <w:tblPr>
        <w:tblW w:w="5199" w:type="pct"/>
        <w:jc w:val="center"/>
        <w:tblCellMar>
          <w:left w:w="0" w:type="dxa"/>
          <w:right w:w="0" w:type="dxa"/>
        </w:tblCellMar>
        <w:tblLook w:val="04A0"/>
      </w:tblPr>
      <w:tblGrid>
        <w:gridCol w:w="1277"/>
        <w:gridCol w:w="7360"/>
      </w:tblGrid>
      <w:tr w:rsidR="0017585A" w:rsidRPr="00D630D1" w:rsidTr="00ED6A44">
        <w:trPr>
          <w:trHeight w:val="19"/>
          <w:jc w:val="center"/>
        </w:trPr>
        <w:tc>
          <w:tcPr>
            <w:tcW w:w="739" w:type="pct"/>
            <w:tcBorders>
              <w:top w:val="single" w:sz="12" w:space="0" w:color="000000"/>
              <w:left w:val="nil"/>
              <w:bottom w:val="single" w:sz="4"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分级</w:t>
            </w:r>
          </w:p>
        </w:tc>
        <w:tc>
          <w:tcPr>
            <w:tcW w:w="4261" w:type="pct"/>
            <w:tcBorders>
              <w:top w:val="single" w:sz="12" w:space="0" w:color="000000"/>
              <w:left w:val="single" w:sz="4" w:space="0" w:color="000000"/>
              <w:bottom w:val="single" w:sz="4" w:space="0" w:color="000000"/>
              <w:right w:val="nil"/>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地下水环境敏感特征</w:t>
            </w:r>
          </w:p>
        </w:tc>
      </w:tr>
      <w:tr w:rsidR="0017585A" w:rsidRPr="00D630D1" w:rsidTr="00ED6A44">
        <w:trPr>
          <w:trHeight w:val="19"/>
          <w:jc w:val="center"/>
        </w:trPr>
        <w:tc>
          <w:tcPr>
            <w:tcW w:w="739" w:type="pct"/>
            <w:tcBorders>
              <w:top w:val="single" w:sz="4" w:space="0" w:color="000000"/>
              <w:left w:val="nil"/>
              <w:bottom w:val="single" w:sz="4"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lastRenderedPageBreak/>
              <w:t>敏感</w:t>
            </w:r>
          </w:p>
        </w:tc>
        <w:tc>
          <w:tcPr>
            <w:tcW w:w="4261" w:type="pct"/>
            <w:tcBorders>
              <w:top w:val="single" w:sz="4" w:space="0" w:color="000000"/>
              <w:left w:val="single" w:sz="4" w:space="0" w:color="000000"/>
              <w:bottom w:val="single" w:sz="4" w:space="0" w:color="000000"/>
              <w:right w:val="nil"/>
            </w:tcBorders>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集中式饮用水水源（包括已建成的在用、备用、应急水源地，在建和规划的水源地）准保护区；除集中式饮用水水源地以外的国家或地方政府设定的与地下水环境相关的其它保护区，如热水、矿泉水、温泉等特殊地下水资源保护区。</w:t>
            </w:r>
          </w:p>
        </w:tc>
      </w:tr>
      <w:tr w:rsidR="0017585A" w:rsidRPr="00D630D1" w:rsidTr="00ED6A44">
        <w:trPr>
          <w:trHeight w:val="19"/>
          <w:jc w:val="center"/>
        </w:trPr>
        <w:tc>
          <w:tcPr>
            <w:tcW w:w="739" w:type="pct"/>
            <w:tcBorders>
              <w:top w:val="single" w:sz="4" w:space="0" w:color="000000"/>
              <w:left w:val="nil"/>
              <w:bottom w:val="single" w:sz="4"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较敏感</w:t>
            </w:r>
            <w:r w:rsidR="009620CD" w:rsidRPr="00D630D1">
              <w:rPr>
                <w:rFonts w:ascii="Times New Roman" w:cs="Times New Roman"/>
                <w:kern w:val="2"/>
                <w:sz w:val="21"/>
              </w:rPr>
              <w:t>（</w:t>
            </w:r>
            <w:r w:rsidR="009620CD" w:rsidRPr="00D630D1">
              <w:rPr>
                <w:rFonts w:ascii="Times New Roman" w:cs="Times New Roman"/>
                <w:kern w:val="2"/>
                <w:sz w:val="21"/>
              </w:rPr>
              <w:t>√</w:t>
            </w:r>
            <w:r w:rsidR="009620CD" w:rsidRPr="00D630D1">
              <w:rPr>
                <w:rFonts w:ascii="Times New Roman" w:cs="Times New Roman"/>
                <w:kern w:val="2"/>
                <w:sz w:val="21"/>
              </w:rPr>
              <w:t>）</w:t>
            </w:r>
          </w:p>
        </w:tc>
        <w:tc>
          <w:tcPr>
            <w:tcW w:w="4261" w:type="pct"/>
            <w:tcBorders>
              <w:top w:val="single" w:sz="4" w:space="0" w:color="000000"/>
              <w:left w:val="single" w:sz="4" w:space="0" w:color="000000"/>
              <w:bottom w:val="single" w:sz="4" w:space="0" w:color="000000"/>
              <w:right w:val="nil"/>
            </w:tcBorders>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集中式饮用水水源（包括已建成的在用、备用、应急水源，在建和规划的饮用水水源）准保护区以外的补给径流区；未划定准保护区的集中水式饮用水水源，其保护区以外的补给径流区；</w:t>
            </w:r>
            <w:r w:rsidRPr="00D630D1">
              <w:rPr>
                <w:rFonts w:ascii="Times New Roman" w:cs="Times New Roman"/>
                <w:bCs/>
                <w:kern w:val="2"/>
                <w:sz w:val="21"/>
              </w:rPr>
              <w:t>分散式饮用水水源地；</w:t>
            </w:r>
            <w:r w:rsidRPr="00D630D1">
              <w:rPr>
                <w:rFonts w:ascii="Times New Roman" w:cs="Times New Roman"/>
                <w:kern w:val="2"/>
                <w:sz w:val="21"/>
              </w:rPr>
              <w:t>特殊地下水资源（如矿泉水、温泉等）保护区以外的分布区等其他未列入上述敏感分级的环境敏感区。</w:t>
            </w:r>
          </w:p>
        </w:tc>
      </w:tr>
      <w:tr w:rsidR="0017585A" w:rsidRPr="00D630D1" w:rsidTr="00ED6A44">
        <w:trPr>
          <w:trHeight w:val="19"/>
          <w:jc w:val="center"/>
        </w:trPr>
        <w:tc>
          <w:tcPr>
            <w:tcW w:w="739" w:type="pct"/>
            <w:tcBorders>
              <w:top w:val="single" w:sz="4" w:space="0" w:color="000000"/>
              <w:left w:val="nil"/>
              <w:bottom w:val="single" w:sz="12" w:space="0" w:color="000000"/>
              <w:right w:val="single" w:sz="4" w:space="0" w:color="000000"/>
            </w:tcBorders>
            <w:vAlign w:val="center"/>
          </w:tcPr>
          <w:p w:rsidR="00ED6A44" w:rsidRPr="00D630D1" w:rsidRDefault="00ED6A44" w:rsidP="009620C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不敏感</w:t>
            </w:r>
          </w:p>
        </w:tc>
        <w:tc>
          <w:tcPr>
            <w:tcW w:w="4261" w:type="pct"/>
            <w:tcBorders>
              <w:top w:val="single" w:sz="4" w:space="0" w:color="000000"/>
              <w:left w:val="single" w:sz="4" w:space="0" w:color="000000"/>
              <w:bottom w:val="single" w:sz="12" w:space="0" w:color="000000"/>
              <w:right w:val="nil"/>
            </w:tcBorders>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上述地区之外的其它地区。</w:t>
            </w:r>
          </w:p>
        </w:tc>
      </w:tr>
    </w:tbl>
    <w:p w:rsidR="00ED6A44" w:rsidRPr="00D630D1" w:rsidRDefault="007B3182" w:rsidP="007B3182">
      <w:pPr>
        <w:pStyle w:val="afa"/>
        <w:ind w:firstLine="480"/>
      </w:pPr>
      <w:r w:rsidRPr="00D630D1">
        <w:t>根据《环境影响评价技术导则地下水环境》（</w:t>
      </w:r>
      <w:r w:rsidRPr="00D630D1">
        <w:t>HJ610-2016</w:t>
      </w:r>
      <w:r w:rsidRPr="00D630D1">
        <w:t>）建设项目地下水环境影响评价工作等级划分见表</w:t>
      </w:r>
      <w:r w:rsidR="00ED6A44" w:rsidRPr="00D630D1">
        <w:t>1.6-</w:t>
      </w:r>
      <w:r w:rsidR="006A3F08" w:rsidRPr="00D630D1">
        <w:rPr>
          <w:rFonts w:hint="eastAsia"/>
        </w:rPr>
        <w:t>5</w:t>
      </w:r>
      <w:r w:rsidR="00ED6A44" w:rsidRPr="00D630D1">
        <w:t>。</w:t>
      </w:r>
    </w:p>
    <w:p w:rsidR="00ED6A44" w:rsidRPr="00D630D1" w:rsidRDefault="00ED6A44" w:rsidP="00ED6A44">
      <w:pPr>
        <w:pStyle w:val="10"/>
        <w:rPr>
          <w:rFonts w:cs="Times New Roman"/>
        </w:rPr>
      </w:pPr>
      <w:r w:rsidRPr="00D630D1">
        <w:rPr>
          <w:rFonts w:cs="Times New Roman"/>
        </w:rPr>
        <w:t>表</w:t>
      </w:r>
      <w:r w:rsidRPr="00D630D1">
        <w:rPr>
          <w:rFonts w:cs="Times New Roman"/>
        </w:rPr>
        <w:t>1.6-</w:t>
      </w:r>
      <w:r w:rsidR="006A3F08" w:rsidRPr="00D630D1">
        <w:rPr>
          <w:rFonts w:cs="Times New Roman" w:hint="eastAsia"/>
        </w:rPr>
        <w:t>5</w:t>
      </w:r>
      <w:r w:rsidRPr="00D630D1">
        <w:rPr>
          <w:rFonts w:cs="Times New Roman"/>
        </w:rPr>
        <w:t xml:space="preserve">  </w:t>
      </w:r>
      <w:r w:rsidRPr="00D630D1">
        <w:rPr>
          <w:rFonts w:cs="Times New Roman"/>
        </w:rPr>
        <w:t>地下水环境影响评价工作等级分级表</w:t>
      </w:r>
    </w:p>
    <w:tbl>
      <w:tblPr>
        <w:tblW w:w="5126" w:type="pct"/>
        <w:jc w:val="center"/>
        <w:tblCellMar>
          <w:left w:w="0" w:type="dxa"/>
          <w:right w:w="0" w:type="dxa"/>
        </w:tblCellMar>
        <w:tblLook w:val="04A0"/>
      </w:tblPr>
      <w:tblGrid>
        <w:gridCol w:w="3108"/>
        <w:gridCol w:w="1824"/>
        <w:gridCol w:w="1829"/>
        <w:gridCol w:w="1754"/>
      </w:tblGrid>
      <w:tr w:rsidR="0017585A" w:rsidRPr="00D630D1" w:rsidTr="00AA2CA8">
        <w:trPr>
          <w:trHeight w:val="19"/>
          <w:jc w:val="center"/>
        </w:trPr>
        <w:tc>
          <w:tcPr>
            <w:tcW w:w="1825" w:type="pct"/>
            <w:tcBorders>
              <w:top w:val="single" w:sz="12" w:space="0" w:color="000000"/>
              <w:left w:val="nil"/>
              <w:bottom w:val="single" w:sz="4" w:space="0" w:color="000000"/>
              <w:right w:val="single" w:sz="4" w:space="0" w:color="000000"/>
              <w:tl2br w:val="single" w:sz="4" w:space="0" w:color="auto"/>
            </w:tcBorders>
          </w:tcPr>
          <w:p w:rsidR="00ED6A44" w:rsidRPr="00D630D1" w:rsidRDefault="00ED6A44" w:rsidP="00AA2CA8">
            <w:pPr>
              <w:topLinePunct w:val="0"/>
              <w:adjustRightInd/>
              <w:spacing w:line="240" w:lineRule="auto"/>
              <w:ind w:firstLineChars="0" w:firstLine="0"/>
              <w:jc w:val="right"/>
              <w:rPr>
                <w:rFonts w:ascii="Times New Roman" w:cs="Times New Roman"/>
                <w:b/>
                <w:bCs/>
                <w:kern w:val="2"/>
                <w:sz w:val="21"/>
              </w:rPr>
            </w:pPr>
            <w:r w:rsidRPr="00D630D1">
              <w:rPr>
                <w:rFonts w:ascii="Times New Roman" w:cs="Times New Roman"/>
                <w:b/>
                <w:bCs/>
                <w:kern w:val="2"/>
                <w:sz w:val="21"/>
              </w:rPr>
              <w:t>类别</w:t>
            </w:r>
          </w:p>
          <w:p w:rsidR="00ED6A44" w:rsidRPr="00D630D1" w:rsidRDefault="00ED6A44" w:rsidP="00AA2CA8">
            <w:pPr>
              <w:topLinePunct w:val="0"/>
              <w:adjustRightInd/>
              <w:spacing w:line="240" w:lineRule="auto"/>
              <w:ind w:firstLineChars="0" w:firstLine="0"/>
              <w:rPr>
                <w:rFonts w:ascii="Times New Roman" w:cs="Times New Roman"/>
                <w:b/>
                <w:bCs/>
                <w:kern w:val="2"/>
                <w:sz w:val="21"/>
              </w:rPr>
            </w:pPr>
            <w:r w:rsidRPr="00D630D1">
              <w:rPr>
                <w:rFonts w:ascii="Times New Roman" w:cs="Times New Roman"/>
                <w:b/>
                <w:bCs/>
                <w:kern w:val="2"/>
                <w:sz w:val="21"/>
              </w:rPr>
              <w:t>环境敏感程度</w:t>
            </w:r>
          </w:p>
        </w:tc>
        <w:tc>
          <w:tcPr>
            <w:tcW w:w="1071" w:type="pct"/>
            <w:tcBorders>
              <w:top w:val="single" w:sz="12" w:space="0" w:color="000000"/>
              <w:left w:val="single" w:sz="4" w:space="0" w:color="000000"/>
              <w:bottom w:val="single" w:sz="4"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Ⅰ</w:t>
            </w:r>
            <w:r w:rsidRPr="00D630D1">
              <w:rPr>
                <w:rFonts w:ascii="Times New Roman" w:cs="Times New Roman"/>
                <w:b/>
                <w:bCs/>
                <w:kern w:val="2"/>
                <w:sz w:val="21"/>
              </w:rPr>
              <w:t>类项目</w:t>
            </w:r>
          </w:p>
        </w:tc>
        <w:tc>
          <w:tcPr>
            <w:tcW w:w="1074" w:type="pct"/>
            <w:tcBorders>
              <w:top w:val="single" w:sz="12" w:space="0" w:color="000000"/>
              <w:left w:val="single" w:sz="4" w:space="0" w:color="000000"/>
              <w:bottom w:val="single" w:sz="4"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Ⅱ</w:t>
            </w:r>
            <w:r w:rsidRPr="00D630D1">
              <w:rPr>
                <w:rFonts w:ascii="Times New Roman" w:cs="Times New Roman"/>
                <w:b/>
                <w:bCs/>
                <w:kern w:val="2"/>
                <w:sz w:val="21"/>
              </w:rPr>
              <w:t>类项目</w:t>
            </w:r>
          </w:p>
        </w:tc>
        <w:tc>
          <w:tcPr>
            <w:tcW w:w="1030" w:type="pct"/>
            <w:tcBorders>
              <w:top w:val="single" w:sz="12" w:space="0" w:color="000000"/>
              <w:left w:val="single" w:sz="4" w:space="0" w:color="000000"/>
              <w:bottom w:val="single" w:sz="4" w:space="0" w:color="000000"/>
              <w:right w:val="nil"/>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Ⅲ</w:t>
            </w:r>
            <w:r w:rsidRPr="00D630D1">
              <w:rPr>
                <w:rFonts w:ascii="Times New Roman" w:cs="Times New Roman"/>
                <w:b/>
                <w:bCs/>
                <w:kern w:val="2"/>
                <w:sz w:val="21"/>
              </w:rPr>
              <w:t>类项目</w:t>
            </w:r>
          </w:p>
        </w:tc>
      </w:tr>
      <w:tr w:rsidR="0017585A" w:rsidRPr="00D630D1" w:rsidTr="00AA2CA8">
        <w:trPr>
          <w:trHeight w:val="19"/>
          <w:jc w:val="center"/>
        </w:trPr>
        <w:tc>
          <w:tcPr>
            <w:tcW w:w="1825" w:type="pct"/>
            <w:tcBorders>
              <w:top w:val="single" w:sz="4" w:space="0" w:color="000000"/>
              <w:left w:val="nil"/>
              <w:bottom w:val="single" w:sz="4"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敏感</w:t>
            </w:r>
          </w:p>
        </w:tc>
        <w:tc>
          <w:tcPr>
            <w:tcW w:w="1071" w:type="pct"/>
            <w:tcBorders>
              <w:top w:val="single" w:sz="4" w:space="0" w:color="000000"/>
              <w:left w:val="single" w:sz="4" w:space="0" w:color="000000"/>
              <w:bottom w:val="single" w:sz="4"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一</w:t>
            </w:r>
          </w:p>
        </w:tc>
        <w:tc>
          <w:tcPr>
            <w:tcW w:w="1074" w:type="pct"/>
            <w:tcBorders>
              <w:top w:val="single" w:sz="4" w:space="0" w:color="000000"/>
              <w:left w:val="single" w:sz="4" w:space="0" w:color="000000"/>
              <w:bottom w:val="single" w:sz="4"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一</w:t>
            </w:r>
          </w:p>
        </w:tc>
        <w:tc>
          <w:tcPr>
            <w:tcW w:w="1030" w:type="pct"/>
            <w:tcBorders>
              <w:top w:val="single" w:sz="4" w:space="0" w:color="000000"/>
              <w:left w:val="single" w:sz="4" w:space="0" w:color="000000"/>
              <w:bottom w:val="single" w:sz="4" w:space="0" w:color="000000"/>
              <w:right w:val="nil"/>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二</w:t>
            </w:r>
          </w:p>
        </w:tc>
      </w:tr>
      <w:tr w:rsidR="0017585A" w:rsidRPr="00D630D1" w:rsidTr="00AA2CA8">
        <w:trPr>
          <w:trHeight w:val="19"/>
          <w:jc w:val="center"/>
        </w:trPr>
        <w:tc>
          <w:tcPr>
            <w:tcW w:w="1825" w:type="pct"/>
            <w:tcBorders>
              <w:top w:val="single" w:sz="4" w:space="0" w:color="000000"/>
              <w:left w:val="nil"/>
              <w:bottom w:val="single" w:sz="4"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较敏感</w:t>
            </w:r>
          </w:p>
        </w:tc>
        <w:tc>
          <w:tcPr>
            <w:tcW w:w="1071" w:type="pct"/>
            <w:tcBorders>
              <w:top w:val="single" w:sz="4" w:space="0" w:color="000000"/>
              <w:left w:val="single" w:sz="4" w:space="0" w:color="000000"/>
              <w:bottom w:val="single" w:sz="4"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一</w:t>
            </w:r>
          </w:p>
        </w:tc>
        <w:tc>
          <w:tcPr>
            <w:tcW w:w="1074" w:type="pct"/>
            <w:tcBorders>
              <w:top w:val="single" w:sz="4" w:space="0" w:color="000000"/>
              <w:left w:val="single" w:sz="4" w:space="0" w:color="000000"/>
              <w:bottom w:val="single" w:sz="4"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二</w:t>
            </w:r>
            <w:r w:rsidR="002B3E0C" w:rsidRPr="00D630D1">
              <w:rPr>
                <w:rFonts w:ascii="Times New Roman" w:cs="Times New Roman"/>
                <w:bCs/>
                <w:kern w:val="2"/>
                <w:sz w:val="21"/>
              </w:rPr>
              <w:t>（</w:t>
            </w:r>
            <w:r w:rsidR="002B3E0C" w:rsidRPr="00D630D1">
              <w:rPr>
                <w:rFonts w:ascii="Times New Roman" w:cs="Times New Roman"/>
                <w:bCs/>
                <w:kern w:val="2"/>
                <w:sz w:val="21"/>
              </w:rPr>
              <w:t>√</w:t>
            </w:r>
            <w:r w:rsidR="002B3E0C" w:rsidRPr="00D630D1">
              <w:rPr>
                <w:rFonts w:ascii="Times New Roman" w:cs="Times New Roman"/>
                <w:bCs/>
                <w:kern w:val="2"/>
                <w:sz w:val="21"/>
              </w:rPr>
              <w:t>）</w:t>
            </w:r>
          </w:p>
        </w:tc>
        <w:tc>
          <w:tcPr>
            <w:tcW w:w="1030" w:type="pct"/>
            <w:tcBorders>
              <w:top w:val="single" w:sz="4" w:space="0" w:color="000000"/>
              <w:left w:val="single" w:sz="4" w:space="0" w:color="000000"/>
              <w:bottom w:val="single" w:sz="4" w:space="0" w:color="000000"/>
              <w:right w:val="nil"/>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三</w:t>
            </w:r>
            <w:r w:rsidR="002B3E0C" w:rsidRPr="00D630D1">
              <w:rPr>
                <w:rFonts w:ascii="Times New Roman" w:cs="Times New Roman"/>
                <w:bCs/>
                <w:kern w:val="2"/>
                <w:sz w:val="21"/>
              </w:rPr>
              <w:t>（</w:t>
            </w:r>
            <w:r w:rsidR="002B3E0C" w:rsidRPr="00D630D1">
              <w:rPr>
                <w:rFonts w:ascii="Times New Roman" w:cs="Times New Roman"/>
                <w:bCs/>
                <w:kern w:val="2"/>
                <w:sz w:val="21"/>
              </w:rPr>
              <w:t>√</w:t>
            </w:r>
            <w:r w:rsidR="002B3E0C" w:rsidRPr="00D630D1">
              <w:rPr>
                <w:rFonts w:ascii="Times New Roman" w:cs="Times New Roman"/>
                <w:bCs/>
                <w:kern w:val="2"/>
                <w:sz w:val="21"/>
              </w:rPr>
              <w:t>）</w:t>
            </w:r>
          </w:p>
        </w:tc>
      </w:tr>
      <w:tr w:rsidR="0017585A" w:rsidRPr="00D630D1" w:rsidTr="00AA2CA8">
        <w:trPr>
          <w:trHeight w:val="19"/>
          <w:jc w:val="center"/>
        </w:trPr>
        <w:tc>
          <w:tcPr>
            <w:tcW w:w="1825" w:type="pct"/>
            <w:tcBorders>
              <w:top w:val="single" w:sz="4" w:space="0" w:color="000000"/>
              <w:left w:val="nil"/>
              <w:bottom w:val="single" w:sz="12"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不敏感</w:t>
            </w:r>
          </w:p>
        </w:tc>
        <w:tc>
          <w:tcPr>
            <w:tcW w:w="1071" w:type="pct"/>
            <w:tcBorders>
              <w:top w:val="single" w:sz="4" w:space="0" w:color="000000"/>
              <w:left w:val="single" w:sz="4" w:space="0" w:color="000000"/>
              <w:bottom w:val="single" w:sz="12" w:space="0" w:color="000000"/>
              <w:right w:val="single" w:sz="4" w:space="0" w:color="000000"/>
            </w:tcBorders>
            <w:vAlign w:val="center"/>
          </w:tcPr>
          <w:p w:rsidR="00ED6A44" w:rsidRPr="00D630D1" w:rsidRDefault="00ED6A44" w:rsidP="00AA2CA8">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二</w:t>
            </w:r>
          </w:p>
        </w:tc>
        <w:tc>
          <w:tcPr>
            <w:tcW w:w="1074" w:type="pct"/>
            <w:tcBorders>
              <w:top w:val="single" w:sz="4" w:space="0" w:color="000000"/>
              <w:left w:val="single" w:sz="4" w:space="0" w:color="000000"/>
              <w:bottom w:val="single" w:sz="12" w:space="0" w:color="000000"/>
              <w:right w:val="single" w:sz="4" w:space="0" w:color="000000"/>
            </w:tcBorders>
            <w:vAlign w:val="center"/>
          </w:tcPr>
          <w:p w:rsidR="00ED6A44" w:rsidRPr="00D630D1" w:rsidRDefault="00ED6A44" w:rsidP="002B3E0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三</w:t>
            </w:r>
          </w:p>
        </w:tc>
        <w:tc>
          <w:tcPr>
            <w:tcW w:w="1030" w:type="pct"/>
            <w:tcBorders>
              <w:top w:val="single" w:sz="4" w:space="0" w:color="000000"/>
              <w:left w:val="single" w:sz="4" w:space="0" w:color="000000"/>
              <w:bottom w:val="single" w:sz="12" w:space="0" w:color="000000"/>
              <w:right w:val="nil"/>
            </w:tcBorders>
            <w:vAlign w:val="center"/>
          </w:tcPr>
          <w:p w:rsidR="00ED6A44" w:rsidRPr="00D630D1" w:rsidRDefault="00ED6A44" w:rsidP="002B3E0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三</w:t>
            </w:r>
          </w:p>
        </w:tc>
      </w:tr>
    </w:tbl>
    <w:p w:rsidR="007B3182" w:rsidRPr="00D630D1" w:rsidRDefault="007B3182" w:rsidP="007B3182">
      <w:pPr>
        <w:ind w:firstLineChars="199" w:firstLine="478"/>
        <w:rPr>
          <w:rFonts w:ascii="Times New Roman" w:cs="Times New Roman"/>
        </w:rPr>
      </w:pPr>
      <w:r w:rsidRPr="00D630D1">
        <w:rPr>
          <w:rFonts w:ascii="Times New Roman" w:cs="Times New Roman"/>
        </w:rPr>
        <w:t>综合以上</w:t>
      </w:r>
      <w:r w:rsidRPr="00D630D1">
        <w:rPr>
          <w:rFonts w:ascii="Times New Roman" w:cs="Times New Roman"/>
        </w:rPr>
        <w:t>“</w:t>
      </w:r>
      <w:r w:rsidRPr="00D630D1">
        <w:rPr>
          <w:rFonts w:ascii="Times New Roman" w:cs="Times New Roman"/>
        </w:rPr>
        <w:t>项目类别</w:t>
      </w:r>
      <w:r w:rsidRPr="00D630D1">
        <w:rPr>
          <w:rFonts w:ascii="Times New Roman" w:cs="Times New Roman"/>
        </w:rPr>
        <w:t>”</w:t>
      </w:r>
      <w:r w:rsidRPr="00D630D1">
        <w:rPr>
          <w:rFonts w:ascii="Times New Roman" w:cs="Times New Roman"/>
        </w:rPr>
        <w:t>和</w:t>
      </w:r>
      <w:r w:rsidRPr="00D630D1">
        <w:rPr>
          <w:rFonts w:ascii="Times New Roman" w:cs="Times New Roman"/>
        </w:rPr>
        <w:t>“</w:t>
      </w:r>
      <w:r w:rsidRPr="00D630D1">
        <w:rPr>
          <w:rFonts w:ascii="Times New Roman" w:cs="Times New Roman"/>
        </w:rPr>
        <w:t>地下水环境敏感程度分级</w:t>
      </w:r>
      <w:r w:rsidRPr="00D630D1">
        <w:rPr>
          <w:rFonts w:ascii="Times New Roman" w:cs="Times New Roman"/>
        </w:rPr>
        <w:t>”</w:t>
      </w:r>
      <w:r w:rsidRPr="00D630D1">
        <w:rPr>
          <w:rFonts w:ascii="Times New Roman" w:cs="Times New Roman"/>
        </w:rPr>
        <w:t>结果，查询《环境影响评价技术导则</w:t>
      </w:r>
      <w:r w:rsidRPr="00D630D1">
        <w:rPr>
          <w:rFonts w:ascii="Times New Roman" w:cs="Times New Roman"/>
        </w:rPr>
        <w:t xml:space="preserve"> </w:t>
      </w:r>
      <w:r w:rsidRPr="00D630D1">
        <w:rPr>
          <w:rFonts w:ascii="Times New Roman" w:cs="Times New Roman"/>
        </w:rPr>
        <w:t>地下水环境》（</w:t>
      </w:r>
      <w:r w:rsidRPr="00D630D1">
        <w:rPr>
          <w:rFonts w:ascii="Times New Roman" w:cs="Times New Roman"/>
        </w:rPr>
        <w:t>HJ610-2016</w:t>
      </w:r>
      <w:r w:rsidRPr="00D630D1">
        <w:rPr>
          <w:rFonts w:ascii="Times New Roman" w:cs="Times New Roman"/>
        </w:rPr>
        <w:t>）建设项目评价工作等级分级表，</w:t>
      </w:r>
      <w:r w:rsidR="004B6624" w:rsidRPr="00D630D1">
        <w:rPr>
          <w:rFonts w:ascii="Times New Roman" w:cs="Times New Roman"/>
        </w:rPr>
        <w:t>确定本次建设项目中涉及的</w:t>
      </w:r>
      <w:r w:rsidR="002C00AE">
        <w:rPr>
          <w:rFonts w:ascii="Times New Roman" w:cs="Times New Roman"/>
        </w:rPr>
        <w:t>普光</w:t>
      </w:r>
      <w:r w:rsidR="002C00AE">
        <w:rPr>
          <w:rFonts w:ascii="Times New Roman" w:cs="Times New Roman"/>
        </w:rPr>
        <w:t>12</w:t>
      </w:r>
      <w:r w:rsidR="002C00AE">
        <w:rPr>
          <w:rFonts w:ascii="Times New Roman" w:cs="Times New Roman"/>
        </w:rPr>
        <w:t>采气站</w:t>
      </w:r>
      <w:r w:rsidR="000D2CA4" w:rsidRPr="00D630D1">
        <w:rPr>
          <w:rFonts w:ascii="Times New Roman" w:cs="Times New Roman"/>
        </w:rPr>
        <w:t>评价工作等级</w:t>
      </w:r>
      <w:r w:rsidR="004B6624" w:rsidRPr="00D630D1">
        <w:rPr>
          <w:rFonts w:ascii="Times New Roman" w:cs="Times New Roman"/>
        </w:rPr>
        <w:t>为</w:t>
      </w:r>
      <w:r w:rsidR="004B6624" w:rsidRPr="00D630D1">
        <w:rPr>
          <w:rFonts w:ascii="Times New Roman" w:cs="Times New Roman"/>
        </w:rPr>
        <w:t>“</w:t>
      </w:r>
      <w:r w:rsidR="004B6624" w:rsidRPr="00D630D1">
        <w:rPr>
          <w:rFonts w:ascii="Times New Roman" w:cs="Times New Roman" w:hint="eastAsia"/>
        </w:rPr>
        <w:t>二</w:t>
      </w:r>
      <w:r w:rsidR="004B6624" w:rsidRPr="00D630D1">
        <w:rPr>
          <w:rFonts w:ascii="Times New Roman" w:cs="Times New Roman"/>
        </w:rPr>
        <w:t>级</w:t>
      </w:r>
      <w:r w:rsidR="004B6624" w:rsidRPr="00D630D1">
        <w:rPr>
          <w:rFonts w:ascii="Times New Roman" w:cs="Times New Roman"/>
        </w:rPr>
        <w:t>”</w:t>
      </w:r>
      <w:r w:rsidR="004B6624" w:rsidRPr="00D630D1">
        <w:rPr>
          <w:rFonts w:ascii="Times New Roman" w:cs="Times New Roman" w:hint="eastAsia"/>
        </w:rPr>
        <w:t>，</w:t>
      </w:r>
      <w:r w:rsidR="004B6624" w:rsidRPr="00D630D1">
        <w:t xml:space="preserve"> </w:t>
      </w:r>
      <w:r w:rsidR="00DD3EA1">
        <w:rPr>
          <w:rFonts w:ascii="Times New Roman" w:cs="Times New Roman"/>
        </w:rPr>
        <w:t>普光</w:t>
      </w:r>
      <w:r w:rsidR="00DD3EA1">
        <w:rPr>
          <w:rFonts w:ascii="Times New Roman" w:cs="Times New Roman"/>
        </w:rPr>
        <w:t>12</w:t>
      </w:r>
      <w:r w:rsidR="00DD3EA1">
        <w:rPr>
          <w:rFonts w:ascii="Times New Roman" w:cs="Times New Roman"/>
        </w:rPr>
        <w:t>采气站</w:t>
      </w:r>
      <w:r w:rsidR="000D2CA4" w:rsidRPr="00D630D1">
        <w:rPr>
          <w:rFonts w:ascii="Times New Roman" w:cs="Times New Roman"/>
        </w:rPr>
        <w:t>~</w:t>
      </w:r>
      <w:r w:rsidR="00D57583">
        <w:rPr>
          <w:rFonts w:ascii="Times New Roman" w:cs="Times New Roman" w:hint="eastAsia"/>
        </w:rPr>
        <w:t>普陆</w:t>
      </w:r>
      <w:r w:rsidR="00D57583">
        <w:rPr>
          <w:rFonts w:ascii="Times New Roman" w:cs="Times New Roman" w:hint="eastAsia"/>
        </w:rPr>
        <w:t>3</w:t>
      </w:r>
      <w:r w:rsidR="00D57583">
        <w:rPr>
          <w:rFonts w:ascii="Times New Roman" w:cs="Times New Roman" w:hint="eastAsia"/>
        </w:rPr>
        <w:t>集气站</w:t>
      </w:r>
      <w:r w:rsidR="000D2CA4" w:rsidRPr="00D630D1">
        <w:rPr>
          <w:rFonts w:ascii="Times New Roman" w:cs="Times New Roman" w:hint="eastAsia"/>
        </w:rPr>
        <w:t>集气管道</w:t>
      </w:r>
      <w:r w:rsidR="008F2B19">
        <w:rPr>
          <w:rFonts w:ascii="Times New Roman" w:cs="Times New Roman" w:hint="eastAsia"/>
        </w:rPr>
        <w:t>、</w:t>
      </w:r>
      <w:r w:rsidR="008F2B19" w:rsidRPr="008F2B19">
        <w:rPr>
          <w:rFonts w:ascii="Times New Roman" w:cs="Times New Roman"/>
        </w:rPr>
        <w:t>普陆</w:t>
      </w:r>
      <w:r w:rsidR="008F2B19" w:rsidRPr="008F2B19">
        <w:rPr>
          <w:rFonts w:ascii="Times New Roman" w:cs="Times New Roman" w:hint="eastAsia"/>
        </w:rPr>
        <w:t>3</w:t>
      </w:r>
      <w:r w:rsidR="008F2B19" w:rsidRPr="008F2B19">
        <w:rPr>
          <w:rFonts w:ascii="Times New Roman" w:cs="Times New Roman" w:hint="eastAsia"/>
        </w:rPr>
        <w:t>集气站</w:t>
      </w:r>
      <w:r w:rsidR="008F2B19" w:rsidRPr="008F2B19">
        <w:rPr>
          <w:rFonts w:ascii="Times New Roman" w:cs="Times New Roman"/>
        </w:rPr>
        <w:t>~</w:t>
      </w:r>
      <w:r w:rsidR="008F2B19" w:rsidRPr="008F2B19">
        <w:rPr>
          <w:rFonts w:ascii="Times New Roman" w:cs="Times New Roman" w:hint="eastAsia"/>
        </w:rPr>
        <w:t>P105</w:t>
      </w:r>
      <w:r w:rsidR="008F2B19" w:rsidRPr="008F2B19">
        <w:rPr>
          <w:rFonts w:ascii="Times New Roman" w:cs="Times New Roman" w:hint="eastAsia"/>
        </w:rPr>
        <w:t>集气站集气管道</w:t>
      </w:r>
      <w:r w:rsidR="004B6624" w:rsidRPr="00D630D1">
        <w:rPr>
          <w:rFonts w:ascii="Times New Roman" w:cs="Times New Roman"/>
        </w:rPr>
        <w:t>评价工作等级均为</w:t>
      </w:r>
      <w:r w:rsidR="004B6624" w:rsidRPr="00D630D1">
        <w:rPr>
          <w:rFonts w:ascii="Times New Roman" w:cs="Times New Roman"/>
        </w:rPr>
        <w:t>“</w:t>
      </w:r>
      <w:r w:rsidR="004B6624" w:rsidRPr="00D630D1">
        <w:rPr>
          <w:rFonts w:ascii="Times New Roman" w:cs="Times New Roman" w:hint="eastAsia"/>
        </w:rPr>
        <w:t>三</w:t>
      </w:r>
      <w:r w:rsidR="004B6624" w:rsidRPr="00D630D1">
        <w:rPr>
          <w:rFonts w:ascii="Times New Roman" w:cs="Times New Roman"/>
        </w:rPr>
        <w:t>级</w:t>
      </w:r>
      <w:r w:rsidR="004B6624" w:rsidRPr="00D630D1">
        <w:rPr>
          <w:rFonts w:ascii="Times New Roman" w:cs="Times New Roman"/>
        </w:rPr>
        <w:t>”</w:t>
      </w:r>
      <w:r w:rsidRPr="00D630D1">
        <w:rPr>
          <w:rFonts w:ascii="Times New Roman" w:cs="Times New Roman"/>
        </w:rPr>
        <w:t>。</w:t>
      </w:r>
    </w:p>
    <w:p w:rsidR="00117C3D" w:rsidRPr="00D630D1" w:rsidRDefault="008B5B84">
      <w:pPr>
        <w:ind w:firstLine="482"/>
        <w:rPr>
          <w:rFonts w:ascii="Times New Roman" w:cs="Times New Roman"/>
          <w:b/>
          <w:bCs/>
        </w:rPr>
      </w:pPr>
      <w:r w:rsidRPr="00D630D1">
        <w:rPr>
          <w:rFonts w:ascii="Times New Roman" w:cs="Times New Roman"/>
          <w:b/>
          <w:bCs/>
        </w:rPr>
        <w:t>2</w:t>
      </w:r>
      <w:r w:rsidRPr="00D630D1">
        <w:rPr>
          <w:rFonts w:ascii="Times New Roman" w:cs="Times New Roman"/>
          <w:b/>
          <w:bCs/>
        </w:rPr>
        <w:t>、评价范围</w:t>
      </w:r>
    </w:p>
    <w:p w:rsidR="00BD2CD1" w:rsidRPr="00D630D1" w:rsidRDefault="00BD2CD1" w:rsidP="00BD2CD1">
      <w:pPr>
        <w:pStyle w:val="afa"/>
        <w:ind w:firstLine="480"/>
      </w:pPr>
      <w:r w:rsidRPr="00D630D1">
        <w:rPr>
          <w:rFonts w:ascii="宋体" w:hAnsi="宋体" w:cs="宋体" w:hint="eastAsia"/>
        </w:rPr>
        <w:t>①</w:t>
      </w:r>
      <w:r w:rsidRPr="00D630D1">
        <w:t>公式计算法</w:t>
      </w:r>
    </w:p>
    <w:p w:rsidR="00BD2CD1" w:rsidRPr="00D630D1" w:rsidRDefault="00BD2CD1" w:rsidP="00BD2CD1">
      <w:pPr>
        <w:pStyle w:val="afa"/>
        <w:ind w:firstLine="480"/>
      </w:pPr>
      <w:r w:rsidRPr="00D630D1">
        <w:t>根据《环境影响评价技术导则</w:t>
      </w:r>
      <w:r w:rsidR="00CB1B19" w:rsidRPr="00D630D1">
        <w:t xml:space="preserve"> </w:t>
      </w:r>
      <w:r w:rsidRPr="00D630D1">
        <w:t>地下水环境》（</w:t>
      </w:r>
      <w:r w:rsidRPr="00D630D1">
        <w:t>HJ610-2016</w:t>
      </w:r>
      <w:r w:rsidRPr="00D630D1">
        <w:t>）</w:t>
      </w:r>
      <w:r w:rsidRPr="00D630D1">
        <w:t>2016</w:t>
      </w:r>
      <w:r w:rsidRPr="00D630D1">
        <w:t>），当建设项目所在地水文地质条件相对简单，且所掌握的资料能够满足公式计算法的要求时，应采用公式计算法确定：</w:t>
      </w:r>
    </w:p>
    <w:p w:rsidR="00BD2CD1" w:rsidRPr="00D630D1" w:rsidRDefault="00BD2CD1" w:rsidP="00BD2CD1">
      <w:pPr>
        <w:ind w:firstLineChars="0" w:firstLine="0"/>
        <w:jc w:val="center"/>
        <w:rPr>
          <w:rFonts w:ascii="Times New Roman" w:cs="Times New Roman"/>
        </w:rPr>
      </w:pPr>
      <w:r w:rsidRPr="00D630D1">
        <w:rPr>
          <w:rFonts w:ascii="Times New Roman" w:cs="Times New Roman"/>
        </w:rPr>
        <w:t>L=α×K×I×T/n</w:t>
      </w:r>
      <w:r w:rsidRPr="00D630D1">
        <w:rPr>
          <w:rFonts w:ascii="Times New Roman" w:cs="Times New Roman"/>
          <w:vertAlign w:val="subscript"/>
        </w:rPr>
        <w:t>e</w:t>
      </w:r>
    </w:p>
    <w:p w:rsidR="00BD2CD1" w:rsidRPr="00D630D1" w:rsidRDefault="00BD2CD1" w:rsidP="00BD2CD1">
      <w:pPr>
        <w:ind w:firstLine="480"/>
        <w:rPr>
          <w:rFonts w:ascii="Times New Roman" w:cs="Times New Roman"/>
        </w:rPr>
      </w:pPr>
      <w:r w:rsidRPr="00D630D1">
        <w:rPr>
          <w:rFonts w:ascii="Times New Roman" w:cs="Times New Roman"/>
        </w:rPr>
        <w:t>式中：</w:t>
      </w:r>
      <w:r w:rsidRPr="00D630D1">
        <w:rPr>
          <w:rFonts w:ascii="Times New Roman" w:cs="Times New Roman"/>
        </w:rPr>
        <w:t>L—</w:t>
      </w:r>
      <w:r w:rsidRPr="00D630D1">
        <w:rPr>
          <w:rFonts w:ascii="Times New Roman" w:cs="Times New Roman"/>
        </w:rPr>
        <w:t>下游迁移距离，</w:t>
      </w:r>
      <w:r w:rsidRPr="00D630D1">
        <w:rPr>
          <w:rFonts w:ascii="Times New Roman" w:cs="Times New Roman"/>
        </w:rPr>
        <w:t>m</w:t>
      </w:r>
      <w:r w:rsidRPr="00D630D1">
        <w:rPr>
          <w:rFonts w:ascii="Times New Roman" w:cs="Times New Roman"/>
        </w:rPr>
        <w:t>；</w:t>
      </w:r>
    </w:p>
    <w:p w:rsidR="00BD2CD1" w:rsidRPr="00D630D1" w:rsidRDefault="00BD2CD1" w:rsidP="00BD2CD1">
      <w:pPr>
        <w:ind w:firstLine="480"/>
        <w:rPr>
          <w:rFonts w:ascii="Times New Roman" w:cs="Times New Roman"/>
        </w:rPr>
      </w:pPr>
      <w:r w:rsidRPr="00D630D1">
        <w:rPr>
          <w:rFonts w:ascii="Times New Roman" w:cs="Times New Roman"/>
        </w:rPr>
        <w:t xml:space="preserve">      α—</w:t>
      </w:r>
      <w:r w:rsidRPr="00D630D1">
        <w:rPr>
          <w:rFonts w:ascii="Times New Roman" w:cs="Times New Roman"/>
        </w:rPr>
        <w:t>变化系数，</w:t>
      </w:r>
      <w:r w:rsidRPr="00D630D1">
        <w:rPr>
          <w:rFonts w:ascii="Times New Roman" w:cs="Times New Roman"/>
        </w:rPr>
        <w:t>α≥1</w:t>
      </w:r>
      <w:r w:rsidRPr="00D630D1">
        <w:rPr>
          <w:rFonts w:ascii="Times New Roman" w:cs="Times New Roman"/>
        </w:rPr>
        <w:t>，一般取</w:t>
      </w:r>
      <w:r w:rsidRPr="00D630D1">
        <w:rPr>
          <w:rFonts w:ascii="Times New Roman" w:cs="Times New Roman"/>
        </w:rPr>
        <w:t>2</w:t>
      </w:r>
      <w:r w:rsidRPr="00D630D1">
        <w:rPr>
          <w:rFonts w:ascii="Times New Roman" w:cs="Times New Roman"/>
        </w:rPr>
        <w:t>；</w:t>
      </w:r>
    </w:p>
    <w:p w:rsidR="00BD2CD1" w:rsidRPr="00D630D1" w:rsidRDefault="00BD2CD1" w:rsidP="00BD2CD1">
      <w:pPr>
        <w:ind w:firstLine="480"/>
        <w:rPr>
          <w:rFonts w:ascii="Times New Roman" w:cs="Times New Roman"/>
        </w:rPr>
      </w:pPr>
      <w:r w:rsidRPr="00D630D1">
        <w:rPr>
          <w:rFonts w:ascii="Times New Roman" w:cs="Times New Roman"/>
        </w:rPr>
        <w:t xml:space="preserve">      K—</w:t>
      </w:r>
      <w:r w:rsidRPr="00D630D1">
        <w:rPr>
          <w:rFonts w:ascii="Times New Roman" w:cs="Times New Roman"/>
        </w:rPr>
        <w:t>渗透系数；</w:t>
      </w:r>
    </w:p>
    <w:p w:rsidR="00BD2CD1" w:rsidRPr="00D630D1" w:rsidRDefault="00BD2CD1" w:rsidP="00BD2CD1">
      <w:pPr>
        <w:ind w:firstLine="480"/>
        <w:rPr>
          <w:rFonts w:ascii="Times New Roman" w:cs="Times New Roman"/>
        </w:rPr>
      </w:pPr>
      <w:r w:rsidRPr="00D630D1">
        <w:rPr>
          <w:rFonts w:ascii="Times New Roman" w:cs="Times New Roman"/>
        </w:rPr>
        <w:t xml:space="preserve">      I—</w:t>
      </w:r>
      <w:r w:rsidRPr="00D630D1">
        <w:rPr>
          <w:rFonts w:ascii="Times New Roman" w:cs="Times New Roman"/>
        </w:rPr>
        <w:t>水力坡度；</w:t>
      </w:r>
    </w:p>
    <w:p w:rsidR="00BD2CD1" w:rsidRPr="00D630D1" w:rsidRDefault="00BD2CD1" w:rsidP="00BD2CD1">
      <w:pPr>
        <w:ind w:firstLine="480"/>
        <w:rPr>
          <w:rFonts w:ascii="Times New Roman" w:cs="Times New Roman"/>
        </w:rPr>
      </w:pPr>
      <w:r w:rsidRPr="00D630D1">
        <w:rPr>
          <w:rFonts w:ascii="Times New Roman" w:cs="Times New Roman"/>
        </w:rPr>
        <w:t xml:space="preserve">      T—</w:t>
      </w:r>
      <w:r w:rsidRPr="00D630D1">
        <w:rPr>
          <w:rFonts w:ascii="Times New Roman" w:cs="Times New Roman"/>
        </w:rPr>
        <w:t>质点迁移天数；</w:t>
      </w:r>
    </w:p>
    <w:p w:rsidR="00BD2CD1" w:rsidRPr="00D630D1" w:rsidRDefault="00BD2CD1" w:rsidP="00BD2CD1">
      <w:pPr>
        <w:ind w:firstLine="480"/>
        <w:rPr>
          <w:rFonts w:ascii="Times New Roman" w:cs="Times New Roman"/>
        </w:rPr>
      </w:pPr>
      <w:r w:rsidRPr="00D630D1">
        <w:rPr>
          <w:rFonts w:ascii="Times New Roman" w:cs="Times New Roman"/>
        </w:rPr>
        <w:t xml:space="preserve">      Ne—</w:t>
      </w:r>
      <w:r w:rsidRPr="00D630D1">
        <w:rPr>
          <w:rFonts w:ascii="Times New Roman" w:cs="Times New Roman"/>
        </w:rPr>
        <w:t>有效孔隙度，无量纲。</w:t>
      </w:r>
    </w:p>
    <w:p w:rsidR="00BD2CD1" w:rsidRPr="00D630D1" w:rsidRDefault="00BD2CD1" w:rsidP="00BD2CD1">
      <w:pPr>
        <w:pStyle w:val="afa"/>
        <w:ind w:firstLine="480"/>
      </w:pPr>
      <w:r w:rsidRPr="00D630D1">
        <w:rPr>
          <w:rFonts w:ascii="宋体" w:hAnsi="宋体" w:cs="宋体" w:hint="eastAsia"/>
        </w:rPr>
        <w:t>②</w:t>
      </w:r>
      <w:r w:rsidRPr="00D630D1">
        <w:t>查表法</w:t>
      </w:r>
    </w:p>
    <w:p w:rsidR="00BD2CD1" w:rsidRPr="00D630D1" w:rsidRDefault="00BD2CD1" w:rsidP="00BD2CD1">
      <w:pPr>
        <w:pStyle w:val="afa"/>
        <w:ind w:firstLine="480"/>
      </w:pPr>
      <w:r w:rsidRPr="00D630D1">
        <w:lastRenderedPageBreak/>
        <w:t>当不满足公式计算法要求</w:t>
      </w:r>
      <w:r w:rsidR="00535F05" w:rsidRPr="00D630D1">
        <w:rPr>
          <w:rFonts w:hint="eastAsia"/>
        </w:rPr>
        <w:t>时</w:t>
      </w:r>
      <w:r w:rsidRPr="00D630D1">
        <w:t>，可采用查表法确定。</w:t>
      </w:r>
    </w:p>
    <w:p w:rsidR="00BD2CD1" w:rsidRPr="00D630D1" w:rsidRDefault="00BD2CD1" w:rsidP="00BD2CD1">
      <w:pPr>
        <w:pStyle w:val="10"/>
        <w:rPr>
          <w:rFonts w:cs="Times New Roman"/>
        </w:rPr>
      </w:pPr>
      <w:r w:rsidRPr="00D630D1">
        <w:rPr>
          <w:rFonts w:cs="Times New Roman"/>
        </w:rPr>
        <w:t>表</w:t>
      </w:r>
      <w:r w:rsidRPr="00D630D1">
        <w:rPr>
          <w:rFonts w:cs="Times New Roman"/>
        </w:rPr>
        <w:t>1.6-</w:t>
      </w:r>
      <w:r w:rsidR="006A3F08" w:rsidRPr="00D630D1">
        <w:rPr>
          <w:rFonts w:cs="Times New Roman" w:hint="eastAsia"/>
        </w:rPr>
        <w:t>6</w:t>
      </w:r>
      <w:r w:rsidRPr="00D630D1">
        <w:rPr>
          <w:rFonts w:cs="Times New Roman"/>
        </w:rPr>
        <w:t xml:space="preserve">  </w:t>
      </w:r>
      <w:r w:rsidRPr="00D630D1">
        <w:rPr>
          <w:rFonts w:cs="Times New Roman"/>
        </w:rPr>
        <w:t>地下水环境现状调查评价范围参照表</w:t>
      </w:r>
    </w:p>
    <w:tbl>
      <w:tblPr>
        <w:tblW w:w="5419" w:type="pct"/>
        <w:jc w:val="center"/>
        <w:tblBorders>
          <w:top w:val="single" w:sz="12" w:space="0" w:color="000000"/>
          <w:bottom w:val="single" w:sz="12" w:space="0" w:color="auto"/>
          <w:insideH w:val="single" w:sz="4" w:space="0" w:color="000000"/>
          <w:insideV w:val="single" w:sz="4" w:space="0" w:color="000000"/>
        </w:tblBorders>
        <w:tblLook w:val="04A0"/>
      </w:tblPr>
      <w:tblGrid>
        <w:gridCol w:w="2268"/>
        <w:gridCol w:w="3227"/>
        <w:gridCol w:w="3741"/>
      </w:tblGrid>
      <w:tr w:rsidR="0017585A" w:rsidRPr="00D630D1" w:rsidTr="006D2FAC">
        <w:trPr>
          <w:trHeight w:val="280"/>
          <w:jc w:val="center"/>
        </w:trPr>
        <w:tc>
          <w:tcPr>
            <w:tcW w:w="1228" w:type="pct"/>
          </w:tcPr>
          <w:p w:rsidR="00BD2CD1" w:rsidRPr="00D630D1" w:rsidRDefault="00BD2CD1" w:rsidP="006D2FAC">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评价等级</w:t>
            </w:r>
          </w:p>
        </w:tc>
        <w:tc>
          <w:tcPr>
            <w:tcW w:w="1747" w:type="pct"/>
          </w:tcPr>
          <w:p w:rsidR="00BD2CD1" w:rsidRPr="00D630D1" w:rsidRDefault="00BD2CD1" w:rsidP="006D2FAC">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调查评价面积（</w:t>
            </w:r>
            <w:r w:rsidRPr="00D630D1">
              <w:rPr>
                <w:rFonts w:ascii="Times New Roman" w:cs="Times New Roman"/>
                <w:b/>
                <w:bCs/>
                <w:kern w:val="2"/>
                <w:sz w:val="21"/>
              </w:rPr>
              <w:t>km</w:t>
            </w:r>
            <w:r w:rsidRPr="00D630D1">
              <w:rPr>
                <w:rFonts w:ascii="Times New Roman" w:cs="Times New Roman"/>
                <w:b/>
                <w:bCs/>
                <w:kern w:val="2"/>
                <w:sz w:val="21"/>
                <w:vertAlign w:val="superscript"/>
              </w:rPr>
              <w:t>2</w:t>
            </w:r>
            <w:r w:rsidRPr="00D630D1">
              <w:rPr>
                <w:rFonts w:ascii="Times New Roman" w:cs="Times New Roman"/>
                <w:b/>
                <w:bCs/>
                <w:kern w:val="2"/>
                <w:sz w:val="21"/>
              </w:rPr>
              <w:t>）</w:t>
            </w:r>
          </w:p>
        </w:tc>
        <w:tc>
          <w:tcPr>
            <w:tcW w:w="2025" w:type="pct"/>
          </w:tcPr>
          <w:p w:rsidR="00BD2CD1" w:rsidRPr="00D630D1" w:rsidRDefault="00BD2CD1" w:rsidP="006D2FAC">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备注</w:t>
            </w:r>
          </w:p>
        </w:tc>
      </w:tr>
      <w:tr w:rsidR="0017585A" w:rsidRPr="00D630D1" w:rsidTr="006D2FAC">
        <w:trPr>
          <w:trHeight w:val="280"/>
          <w:jc w:val="center"/>
        </w:trPr>
        <w:tc>
          <w:tcPr>
            <w:tcW w:w="1228" w:type="pct"/>
          </w:tcPr>
          <w:p w:rsidR="00BD2CD1" w:rsidRPr="00D630D1" w:rsidRDefault="00BD2CD1" w:rsidP="006D2FA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一级</w:t>
            </w:r>
          </w:p>
        </w:tc>
        <w:tc>
          <w:tcPr>
            <w:tcW w:w="1747" w:type="pct"/>
          </w:tcPr>
          <w:p w:rsidR="00BD2CD1" w:rsidRPr="00D630D1" w:rsidRDefault="00BD2CD1" w:rsidP="006D2FA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≥20</w:t>
            </w:r>
          </w:p>
        </w:tc>
        <w:tc>
          <w:tcPr>
            <w:tcW w:w="2025" w:type="pct"/>
            <w:vMerge w:val="restart"/>
            <w:vAlign w:val="center"/>
          </w:tcPr>
          <w:p w:rsidR="00BD2CD1" w:rsidRPr="00D630D1" w:rsidRDefault="00BD2CD1" w:rsidP="006D2FA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应包括重要的地下水环境保护目标，必要时适当扩大范围</w:t>
            </w:r>
          </w:p>
        </w:tc>
      </w:tr>
      <w:tr w:rsidR="0017585A" w:rsidRPr="00D630D1" w:rsidTr="006D2FAC">
        <w:trPr>
          <w:trHeight w:val="280"/>
          <w:jc w:val="center"/>
        </w:trPr>
        <w:tc>
          <w:tcPr>
            <w:tcW w:w="1228" w:type="pct"/>
          </w:tcPr>
          <w:p w:rsidR="00BD2CD1" w:rsidRPr="00D630D1" w:rsidRDefault="00BD2CD1" w:rsidP="006D2FA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二级</w:t>
            </w:r>
          </w:p>
        </w:tc>
        <w:tc>
          <w:tcPr>
            <w:tcW w:w="1747" w:type="pct"/>
          </w:tcPr>
          <w:p w:rsidR="00BD2CD1" w:rsidRPr="00D630D1" w:rsidRDefault="00BD2CD1" w:rsidP="006D2FA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6-20</w:t>
            </w:r>
          </w:p>
        </w:tc>
        <w:tc>
          <w:tcPr>
            <w:tcW w:w="2025" w:type="pct"/>
            <w:vMerge/>
          </w:tcPr>
          <w:p w:rsidR="00BD2CD1" w:rsidRPr="00D630D1" w:rsidRDefault="00BD2CD1" w:rsidP="006D2FAC">
            <w:pPr>
              <w:topLinePunct w:val="0"/>
              <w:adjustRightInd/>
              <w:spacing w:line="240" w:lineRule="auto"/>
              <w:ind w:firstLineChars="0" w:firstLine="0"/>
              <w:jc w:val="center"/>
              <w:rPr>
                <w:rFonts w:ascii="Times New Roman" w:cs="Times New Roman"/>
                <w:kern w:val="2"/>
                <w:sz w:val="21"/>
              </w:rPr>
            </w:pPr>
          </w:p>
        </w:tc>
      </w:tr>
      <w:tr w:rsidR="0017585A" w:rsidRPr="00D630D1" w:rsidTr="006D2FAC">
        <w:trPr>
          <w:trHeight w:val="280"/>
          <w:jc w:val="center"/>
        </w:trPr>
        <w:tc>
          <w:tcPr>
            <w:tcW w:w="1228" w:type="pct"/>
          </w:tcPr>
          <w:p w:rsidR="00BD2CD1" w:rsidRPr="00D630D1" w:rsidRDefault="00BD2CD1" w:rsidP="006D2FA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三级</w:t>
            </w:r>
          </w:p>
        </w:tc>
        <w:tc>
          <w:tcPr>
            <w:tcW w:w="1747" w:type="pct"/>
          </w:tcPr>
          <w:p w:rsidR="00BD2CD1" w:rsidRPr="00D630D1" w:rsidRDefault="00BD2CD1" w:rsidP="006D2FAC">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w:t>
            </w:r>
          </w:p>
        </w:tc>
        <w:tc>
          <w:tcPr>
            <w:tcW w:w="2025" w:type="pct"/>
            <w:vMerge/>
          </w:tcPr>
          <w:p w:rsidR="00BD2CD1" w:rsidRPr="00D630D1" w:rsidRDefault="00BD2CD1" w:rsidP="006D2FAC">
            <w:pPr>
              <w:topLinePunct w:val="0"/>
              <w:adjustRightInd/>
              <w:spacing w:line="240" w:lineRule="auto"/>
              <w:ind w:firstLineChars="0" w:firstLine="0"/>
              <w:jc w:val="center"/>
              <w:rPr>
                <w:rFonts w:ascii="Times New Roman" w:cs="Times New Roman"/>
                <w:kern w:val="2"/>
                <w:sz w:val="21"/>
              </w:rPr>
            </w:pPr>
          </w:p>
        </w:tc>
      </w:tr>
    </w:tbl>
    <w:p w:rsidR="00BD2CD1" w:rsidRPr="00D630D1" w:rsidRDefault="00BD2CD1" w:rsidP="00BD2CD1">
      <w:pPr>
        <w:pStyle w:val="afa"/>
        <w:ind w:firstLine="480"/>
      </w:pPr>
      <w:r w:rsidRPr="00D630D1">
        <w:rPr>
          <w:rFonts w:ascii="宋体" w:hAnsi="宋体" w:cs="宋体" w:hint="eastAsia"/>
        </w:rPr>
        <w:t>③</w:t>
      </w:r>
      <w:r w:rsidRPr="00D630D1">
        <w:t>自定义法</w:t>
      </w:r>
    </w:p>
    <w:p w:rsidR="00BD2CD1" w:rsidRPr="00D630D1" w:rsidRDefault="00BD2CD1" w:rsidP="00BD2CD1">
      <w:pPr>
        <w:pStyle w:val="afa"/>
        <w:ind w:firstLine="480"/>
      </w:pPr>
      <w:r w:rsidRPr="00D630D1">
        <w:t>当计算或查表范围超出所处水文地质单元边界时，应以所处水文地质单元边界为宜，可根据建设项目所在区域水文地质条件确定</w:t>
      </w:r>
      <w:r w:rsidR="003171EC" w:rsidRPr="00D630D1">
        <w:rPr>
          <w:rFonts w:hint="eastAsia"/>
        </w:rPr>
        <w:t>，</w:t>
      </w:r>
      <w:r w:rsidR="007D517E" w:rsidRPr="00D630D1">
        <w:rPr>
          <w:rFonts w:hint="eastAsia"/>
        </w:rPr>
        <w:t>本项目采用自定义法确定，以</w:t>
      </w:r>
      <w:r w:rsidR="002C00AE">
        <w:rPr>
          <w:bCs/>
        </w:rPr>
        <w:t>普光</w:t>
      </w:r>
      <w:r w:rsidR="002C00AE">
        <w:rPr>
          <w:bCs/>
        </w:rPr>
        <w:t>12</w:t>
      </w:r>
      <w:r w:rsidR="002C00AE">
        <w:rPr>
          <w:bCs/>
        </w:rPr>
        <w:t>采气站</w:t>
      </w:r>
      <w:r w:rsidR="007D517E" w:rsidRPr="00D630D1">
        <w:rPr>
          <w:bCs/>
        </w:rPr>
        <w:t>所在地</w:t>
      </w:r>
      <w:r w:rsidR="00584463" w:rsidRPr="00D630D1">
        <w:rPr>
          <w:rFonts w:hint="eastAsia"/>
          <w:bCs/>
        </w:rPr>
        <w:t>的</w:t>
      </w:r>
      <w:r w:rsidR="00584463" w:rsidRPr="00D630D1">
        <w:rPr>
          <w:bCs/>
        </w:rPr>
        <w:t>分水岭</w:t>
      </w:r>
      <w:r w:rsidR="007D517E" w:rsidRPr="00D630D1">
        <w:rPr>
          <w:bCs/>
        </w:rPr>
        <w:t>和周边地表水为界</w:t>
      </w:r>
      <w:r w:rsidR="007D517E" w:rsidRPr="00D630D1">
        <w:rPr>
          <w:rFonts w:hint="eastAsia"/>
          <w:bCs/>
        </w:rPr>
        <w:t>，</w:t>
      </w:r>
      <w:r w:rsidR="007D517E" w:rsidRPr="00D630D1">
        <w:rPr>
          <w:bCs/>
        </w:rPr>
        <w:t>确定本项目</w:t>
      </w:r>
      <w:r w:rsidR="007D517E" w:rsidRPr="00D630D1">
        <w:rPr>
          <w:rFonts w:hint="eastAsia"/>
        </w:rPr>
        <w:t>地下水评价范围为</w:t>
      </w:r>
      <w:r w:rsidR="008F2B19">
        <w:rPr>
          <w:rFonts w:hint="eastAsia"/>
        </w:rPr>
        <w:t>9.8</w:t>
      </w:r>
      <w:r w:rsidR="007D517E" w:rsidRPr="00D630D1">
        <w:t>km</w:t>
      </w:r>
      <w:r w:rsidR="007D517E" w:rsidRPr="00D630D1">
        <w:rPr>
          <w:vertAlign w:val="superscript"/>
        </w:rPr>
        <w:t>2</w:t>
      </w:r>
      <w:r w:rsidRPr="00D630D1">
        <w:t>。</w:t>
      </w:r>
    </w:p>
    <w:p w:rsidR="00BD2CD1" w:rsidRPr="00D630D1" w:rsidRDefault="00BD2CD1" w:rsidP="00BD2CD1">
      <w:pPr>
        <w:pStyle w:val="afa"/>
        <w:ind w:firstLine="480"/>
      </w:pPr>
      <w:r w:rsidRPr="00D630D1">
        <w:t>综上，根据</w:t>
      </w:r>
      <w:r w:rsidR="003171EC" w:rsidRPr="00D630D1">
        <w:rPr>
          <w:rFonts w:hint="eastAsia"/>
        </w:rPr>
        <w:t>自定义</w:t>
      </w:r>
      <w:r w:rsidRPr="00D630D1">
        <w:t>法结果及项目所在地的水文地质特点同时考虑项目周边地下水环境保护目标，最终确定本工程的地下水环境影响评价范围为见下表，项目地下水环境影响评价范围见附图。</w:t>
      </w:r>
    </w:p>
    <w:p w:rsidR="00BD2CD1" w:rsidRPr="00D630D1" w:rsidRDefault="00BD2CD1" w:rsidP="00BD2CD1">
      <w:pPr>
        <w:pStyle w:val="10"/>
        <w:rPr>
          <w:rFonts w:cs="Times New Roman"/>
        </w:rPr>
      </w:pPr>
      <w:r w:rsidRPr="00D630D1">
        <w:rPr>
          <w:rFonts w:cs="Times New Roman"/>
        </w:rPr>
        <w:t>表</w:t>
      </w:r>
      <w:r w:rsidRPr="00D630D1">
        <w:rPr>
          <w:rFonts w:cs="Times New Roman"/>
        </w:rPr>
        <w:t>1.6-</w:t>
      </w:r>
      <w:r w:rsidR="006A3F08" w:rsidRPr="00D630D1">
        <w:rPr>
          <w:rFonts w:cs="Times New Roman" w:hint="eastAsia"/>
        </w:rPr>
        <w:t>7</w:t>
      </w:r>
      <w:r w:rsidRPr="00D630D1">
        <w:rPr>
          <w:rFonts w:cs="Times New Roman"/>
        </w:rPr>
        <w:t xml:space="preserve">  </w:t>
      </w:r>
      <w:r w:rsidRPr="00D630D1">
        <w:rPr>
          <w:rFonts w:cs="Times New Roman"/>
        </w:rPr>
        <w:t>项目地下水环境影响评价范围一览表</w:t>
      </w:r>
    </w:p>
    <w:tbl>
      <w:tblPr>
        <w:tblW w:w="5314" w:type="pct"/>
        <w:jc w:val="center"/>
        <w:tblBorders>
          <w:top w:val="single" w:sz="12" w:space="0" w:color="000000"/>
          <w:bottom w:val="single" w:sz="12" w:space="0" w:color="000000"/>
          <w:insideH w:val="single" w:sz="4" w:space="0" w:color="000000"/>
          <w:insideV w:val="single" w:sz="4" w:space="0" w:color="000000"/>
        </w:tblBorders>
        <w:tblLook w:val="04A0"/>
      </w:tblPr>
      <w:tblGrid>
        <w:gridCol w:w="3621"/>
        <w:gridCol w:w="5436"/>
      </w:tblGrid>
      <w:tr w:rsidR="003171EC" w:rsidRPr="00D630D1" w:rsidTr="00D237DC">
        <w:trPr>
          <w:trHeight w:val="315"/>
          <w:jc w:val="center"/>
        </w:trPr>
        <w:tc>
          <w:tcPr>
            <w:tcW w:w="1999" w:type="pct"/>
            <w:tcBorders>
              <w:top w:val="single" w:sz="12" w:space="0" w:color="000000"/>
              <w:bottom w:val="single" w:sz="4" w:space="0" w:color="000000"/>
            </w:tcBorders>
            <w:vAlign w:val="center"/>
          </w:tcPr>
          <w:p w:rsidR="003171EC" w:rsidRPr="00D630D1" w:rsidRDefault="003171EC" w:rsidP="006D2FAC">
            <w:pPr>
              <w:topLinePunct w:val="0"/>
              <w:adjustRightInd/>
              <w:spacing w:line="240" w:lineRule="auto"/>
              <w:ind w:firstLineChars="0" w:firstLine="0"/>
              <w:jc w:val="center"/>
              <w:rPr>
                <w:rFonts w:ascii="Times New Roman" w:cs="Times New Roman"/>
                <w:b/>
                <w:sz w:val="21"/>
                <w:szCs w:val="20"/>
              </w:rPr>
            </w:pPr>
            <w:r w:rsidRPr="00D630D1">
              <w:rPr>
                <w:rFonts w:ascii="Times New Roman" w:cs="Times New Roman"/>
                <w:b/>
                <w:sz w:val="21"/>
                <w:szCs w:val="20"/>
              </w:rPr>
              <w:t>站场名称</w:t>
            </w:r>
          </w:p>
        </w:tc>
        <w:tc>
          <w:tcPr>
            <w:tcW w:w="3001" w:type="pct"/>
            <w:tcBorders>
              <w:top w:val="single" w:sz="12" w:space="0" w:color="000000"/>
              <w:bottom w:val="single" w:sz="4" w:space="0" w:color="000000"/>
            </w:tcBorders>
            <w:vAlign w:val="center"/>
          </w:tcPr>
          <w:p w:rsidR="003171EC" w:rsidRPr="00D630D1" w:rsidRDefault="003171EC" w:rsidP="003171EC">
            <w:pPr>
              <w:topLinePunct w:val="0"/>
              <w:adjustRightInd/>
              <w:spacing w:line="240" w:lineRule="auto"/>
              <w:ind w:firstLineChars="0" w:firstLine="0"/>
              <w:jc w:val="center"/>
              <w:rPr>
                <w:rFonts w:ascii="Times New Roman" w:cs="Times New Roman"/>
                <w:b/>
                <w:sz w:val="21"/>
                <w:szCs w:val="20"/>
              </w:rPr>
            </w:pPr>
            <w:r w:rsidRPr="00D630D1">
              <w:rPr>
                <w:rFonts w:ascii="Times New Roman" w:cs="Times New Roman"/>
                <w:b/>
                <w:sz w:val="21"/>
                <w:szCs w:val="20"/>
              </w:rPr>
              <w:t>评价范围面</w:t>
            </w:r>
            <w:r w:rsidRPr="00D630D1">
              <w:rPr>
                <w:rFonts w:ascii="Times New Roman" w:cs="Times New Roman"/>
                <w:b/>
                <w:sz w:val="21"/>
                <w:szCs w:val="20"/>
              </w:rPr>
              <w:t>S</w:t>
            </w:r>
            <w:r w:rsidRPr="00D630D1">
              <w:rPr>
                <w:rFonts w:ascii="Times New Roman" w:cs="Times New Roman"/>
                <w:b/>
                <w:sz w:val="21"/>
                <w:szCs w:val="20"/>
              </w:rPr>
              <w:t>（</w:t>
            </w:r>
            <w:r w:rsidRPr="00D630D1">
              <w:rPr>
                <w:rFonts w:ascii="Times New Roman" w:cs="Times New Roman"/>
                <w:b/>
                <w:sz w:val="21"/>
                <w:szCs w:val="20"/>
              </w:rPr>
              <w:t>km</w:t>
            </w:r>
            <w:r w:rsidRPr="00D630D1">
              <w:rPr>
                <w:rFonts w:ascii="Times New Roman" w:cs="Times New Roman"/>
                <w:b/>
                <w:sz w:val="21"/>
                <w:szCs w:val="20"/>
                <w:vertAlign w:val="superscript"/>
              </w:rPr>
              <w:t>2</w:t>
            </w:r>
            <w:r w:rsidRPr="00D630D1">
              <w:rPr>
                <w:rFonts w:ascii="Times New Roman" w:cs="Times New Roman"/>
                <w:b/>
                <w:sz w:val="21"/>
                <w:szCs w:val="20"/>
              </w:rPr>
              <w:t>）</w:t>
            </w:r>
          </w:p>
        </w:tc>
      </w:tr>
      <w:tr w:rsidR="003171EC" w:rsidRPr="00D630D1" w:rsidTr="00D237DC">
        <w:trPr>
          <w:trHeight w:val="311"/>
          <w:jc w:val="center"/>
        </w:trPr>
        <w:tc>
          <w:tcPr>
            <w:tcW w:w="1999" w:type="pct"/>
            <w:tcBorders>
              <w:top w:val="single" w:sz="4" w:space="0" w:color="000000"/>
              <w:bottom w:val="single" w:sz="4" w:space="0" w:color="000000"/>
            </w:tcBorders>
            <w:vAlign w:val="center"/>
          </w:tcPr>
          <w:p w:rsidR="003171EC" w:rsidRPr="00D630D1" w:rsidRDefault="002C00AE" w:rsidP="00572AB4">
            <w:pPr>
              <w:topLinePunct w:val="0"/>
              <w:adjustRightInd/>
              <w:spacing w:line="240" w:lineRule="auto"/>
              <w:ind w:firstLineChars="0" w:firstLine="0"/>
              <w:jc w:val="center"/>
              <w:rPr>
                <w:rFonts w:ascii="Times New Roman" w:cs="Times New Roman"/>
                <w:bCs/>
                <w:sz w:val="21"/>
                <w:szCs w:val="20"/>
              </w:rPr>
            </w:pPr>
            <w:r>
              <w:rPr>
                <w:rFonts w:ascii="Times New Roman" w:cs="Times New Roman"/>
                <w:bCs/>
                <w:sz w:val="21"/>
                <w:szCs w:val="20"/>
              </w:rPr>
              <w:t>普光</w:t>
            </w:r>
            <w:r>
              <w:rPr>
                <w:rFonts w:ascii="Times New Roman" w:cs="Times New Roman"/>
                <w:bCs/>
                <w:sz w:val="21"/>
                <w:szCs w:val="20"/>
              </w:rPr>
              <w:t>12</w:t>
            </w:r>
            <w:r>
              <w:rPr>
                <w:rFonts w:ascii="Times New Roman" w:cs="Times New Roman"/>
                <w:bCs/>
                <w:sz w:val="21"/>
                <w:szCs w:val="20"/>
              </w:rPr>
              <w:t>采气站</w:t>
            </w:r>
          </w:p>
        </w:tc>
        <w:tc>
          <w:tcPr>
            <w:tcW w:w="3001" w:type="pct"/>
            <w:tcBorders>
              <w:top w:val="single" w:sz="4" w:space="0" w:color="000000"/>
              <w:bottom w:val="single" w:sz="4" w:space="0" w:color="000000"/>
            </w:tcBorders>
            <w:vAlign w:val="center"/>
          </w:tcPr>
          <w:p w:rsidR="003171EC" w:rsidRPr="00D630D1" w:rsidRDefault="008F2B19" w:rsidP="003171EC">
            <w:pPr>
              <w:topLinePunct w:val="0"/>
              <w:adjustRightInd/>
              <w:spacing w:line="240" w:lineRule="auto"/>
              <w:ind w:firstLineChars="0" w:firstLine="0"/>
              <w:jc w:val="center"/>
              <w:rPr>
                <w:rFonts w:ascii="Times New Roman" w:cs="Times New Roman"/>
                <w:bCs/>
                <w:sz w:val="21"/>
                <w:szCs w:val="20"/>
              </w:rPr>
            </w:pPr>
            <w:r>
              <w:rPr>
                <w:rFonts w:ascii="Times New Roman" w:cs="Times New Roman" w:hint="eastAsia"/>
                <w:bCs/>
                <w:sz w:val="21"/>
                <w:szCs w:val="20"/>
              </w:rPr>
              <w:t>9.8</w:t>
            </w:r>
          </w:p>
        </w:tc>
      </w:tr>
      <w:tr w:rsidR="0017585A" w:rsidRPr="00D630D1" w:rsidTr="00D237DC">
        <w:trPr>
          <w:trHeight w:val="311"/>
          <w:jc w:val="center"/>
        </w:trPr>
        <w:tc>
          <w:tcPr>
            <w:tcW w:w="1999" w:type="pct"/>
            <w:tcBorders>
              <w:top w:val="single" w:sz="4" w:space="0" w:color="000000"/>
              <w:bottom w:val="single" w:sz="12" w:space="0" w:color="000000"/>
            </w:tcBorders>
            <w:vAlign w:val="center"/>
          </w:tcPr>
          <w:p w:rsidR="00BD2CD1" w:rsidRPr="00D630D1" w:rsidRDefault="00BD2CD1" w:rsidP="006D2FAC">
            <w:pPr>
              <w:topLinePunct w:val="0"/>
              <w:adjustRightInd/>
              <w:spacing w:line="240" w:lineRule="auto"/>
              <w:ind w:firstLineChars="0" w:firstLine="0"/>
              <w:jc w:val="center"/>
              <w:rPr>
                <w:rFonts w:ascii="Times New Roman" w:cs="Times New Roman"/>
                <w:bCs/>
                <w:sz w:val="21"/>
                <w:szCs w:val="20"/>
              </w:rPr>
            </w:pPr>
            <w:r w:rsidRPr="00D630D1">
              <w:rPr>
                <w:rFonts w:ascii="Times New Roman" w:cs="Times New Roman"/>
                <w:bCs/>
                <w:sz w:val="21"/>
                <w:szCs w:val="20"/>
              </w:rPr>
              <w:t>管线区域</w:t>
            </w:r>
          </w:p>
        </w:tc>
        <w:tc>
          <w:tcPr>
            <w:tcW w:w="3001" w:type="pct"/>
            <w:tcBorders>
              <w:top w:val="single" w:sz="4" w:space="0" w:color="000000"/>
              <w:bottom w:val="single" w:sz="12" w:space="0" w:color="000000"/>
            </w:tcBorders>
            <w:vAlign w:val="center"/>
          </w:tcPr>
          <w:p w:rsidR="00BD2CD1" w:rsidRPr="00D630D1" w:rsidRDefault="00BD2CD1" w:rsidP="006D2FAC">
            <w:pPr>
              <w:topLinePunct w:val="0"/>
              <w:adjustRightInd/>
              <w:spacing w:line="240" w:lineRule="auto"/>
              <w:ind w:firstLineChars="0" w:firstLine="0"/>
              <w:jc w:val="center"/>
              <w:rPr>
                <w:rFonts w:ascii="Times New Roman" w:cs="Times New Roman"/>
                <w:bCs/>
                <w:sz w:val="21"/>
                <w:szCs w:val="20"/>
              </w:rPr>
            </w:pPr>
            <w:r w:rsidRPr="00D630D1">
              <w:rPr>
                <w:rFonts w:ascii="Times New Roman" w:cs="Times New Roman"/>
                <w:bCs/>
                <w:sz w:val="21"/>
                <w:szCs w:val="20"/>
              </w:rPr>
              <w:t>管线边界两侧外延</w:t>
            </w:r>
            <w:r w:rsidRPr="00D630D1">
              <w:rPr>
                <w:rFonts w:ascii="Times New Roman" w:cs="Times New Roman"/>
                <w:bCs/>
                <w:sz w:val="21"/>
                <w:szCs w:val="20"/>
              </w:rPr>
              <w:t>200m</w:t>
            </w:r>
            <w:r w:rsidRPr="00D630D1">
              <w:rPr>
                <w:rFonts w:ascii="Times New Roman" w:cs="Times New Roman"/>
                <w:bCs/>
                <w:sz w:val="21"/>
                <w:szCs w:val="20"/>
              </w:rPr>
              <w:t>作为评价范围</w:t>
            </w:r>
          </w:p>
        </w:tc>
      </w:tr>
    </w:tbl>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1.6.5 </w:t>
      </w:r>
      <w:r w:rsidRPr="00D630D1">
        <w:rPr>
          <w:rFonts w:ascii="Times New Roman" w:cs="Times New Roman"/>
          <w:b/>
          <w:szCs w:val="32"/>
        </w:rPr>
        <w:t>声环境</w:t>
      </w:r>
    </w:p>
    <w:p w:rsidR="00117C3D" w:rsidRPr="00D630D1" w:rsidRDefault="008B5B84">
      <w:pPr>
        <w:ind w:firstLineChars="199" w:firstLine="487"/>
        <w:rPr>
          <w:rFonts w:ascii="Times New Roman" w:cs="Times New Roman"/>
          <w:b/>
          <w:bCs/>
          <w:spacing w:val="2"/>
          <w:kern w:val="2"/>
          <w:position w:val="2"/>
          <w:szCs w:val="22"/>
        </w:rPr>
      </w:pPr>
      <w:r w:rsidRPr="00D630D1">
        <w:rPr>
          <w:rFonts w:ascii="Times New Roman" w:cs="Times New Roman"/>
          <w:b/>
          <w:bCs/>
          <w:spacing w:val="2"/>
          <w:kern w:val="2"/>
          <w:position w:val="2"/>
          <w:szCs w:val="22"/>
        </w:rPr>
        <w:t>1</w:t>
      </w:r>
      <w:r w:rsidRPr="00D630D1">
        <w:rPr>
          <w:rFonts w:ascii="Times New Roman" w:cs="Times New Roman"/>
          <w:b/>
          <w:bCs/>
          <w:spacing w:val="2"/>
          <w:kern w:val="2"/>
          <w:position w:val="2"/>
          <w:szCs w:val="22"/>
        </w:rPr>
        <w:t>、评价等级</w:t>
      </w:r>
    </w:p>
    <w:p w:rsidR="00117C3D" w:rsidRPr="00D630D1" w:rsidRDefault="008B5B84" w:rsidP="00B21D1D">
      <w:pPr>
        <w:pStyle w:val="afa"/>
        <w:ind w:firstLine="480"/>
      </w:pPr>
      <w:r w:rsidRPr="00D630D1">
        <w:t>根据《环境影响评价技术导则</w:t>
      </w:r>
      <w:r w:rsidR="00B21D1D" w:rsidRPr="00D630D1">
        <w:t xml:space="preserve"> </w:t>
      </w:r>
      <w:r w:rsidRPr="00D630D1">
        <w:t>声环境》（</w:t>
      </w:r>
      <w:r w:rsidRPr="00D630D1">
        <w:t>HJ2.4-20</w:t>
      </w:r>
      <w:r w:rsidR="006A3F08" w:rsidRPr="00D630D1">
        <w:rPr>
          <w:rFonts w:hint="eastAsia"/>
        </w:rPr>
        <w:t>21</w:t>
      </w:r>
      <w:r w:rsidRPr="00D630D1">
        <w:t>）中声环境影响评价工作等级划分的基本原则及工程设计资料确定本项目声环境影响评价工作等级。本项目施工期噪声主要来自施工作业机械，营运期噪声主要</w:t>
      </w:r>
      <w:r w:rsidR="003530C3" w:rsidRPr="00D630D1">
        <w:t>为管输设备</w:t>
      </w:r>
      <w:r w:rsidR="00B21D1D" w:rsidRPr="00D630D1">
        <w:t>高压输气产生的气流噪声</w:t>
      </w:r>
      <w:r w:rsidRPr="00D630D1">
        <w:t>；根据现场调查，沿线地区声环境质量较好，本项目管道沿线所处的环境功能区为《声环境质量标准》（</w:t>
      </w:r>
      <w:r w:rsidRPr="00D630D1">
        <w:t>GB3096-2008</w:t>
      </w:r>
      <w:r w:rsidRPr="00D630D1">
        <w:t>）规定的</w:t>
      </w:r>
      <w:r w:rsidRPr="00D630D1">
        <w:t>2</w:t>
      </w:r>
      <w:r w:rsidRPr="00D630D1">
        <w:t>类地区。因此，按照《环境影响评价技术导则</w:t>
      </w:r>
      <w:r w:rsidR="00B21D1D" w:rsidRPr="00D630D1">
        <w:t xml:space="preserve"> </w:t>
      </w:r>
      <w:r w:rsidRPr="00D630D1">
        <w:t>声环境》（</w:t>
      </w:r>
      <w:r w:rsidRPr="00D630D1">
        <w:t>HJ2.4-20</w:t>
      </w:r>
      <w:r w:rsidR="006A3F08" w:rsidRPr="00D630D1">
        <w:rPr>
          <w:rFonts w:hint="eastAsia"/>
        </w:rPr>
        <w:t>21</w:t>
      </w:r>
      <w:r w:rsidRPr="00D630D1">
        <w:t>）中推荐的声学环境评价工作等级划分方法，本项目属</w:t>
      </w:r>
      <w:r w:rsidRPr="00D630D1">
        <w:t>“</w:t>
      </w:r>
      <w:r w:rsidRPr="00D630D1">
        <w:t>建设项目建设前后评价范围内敏感目标噪声级增量在</w:t>
      </w:r>
      <w:r w:rsidRPr="00D630D1">
        <w:t>3dB</w:t>
      </w:r>
      <w:r w:rsidRPr="00D630D1">
        <w:t>（</w:t>
      </w:r>
      <w:r w:rsidRPr="00D630D1">
        <w:t>A</w:t>
      </w:r>
      <w:r w:rsidRPr="00D630D1">
        <w:t>）以下</w:t>
      </w:r>
      <w:r w:rsidRPr="00D630D1">
        <w:t>[</w:t>
      </w:r>
      <w:r w:rsidRPr="00D630D1">
        <w:t>不含</w:t>
      </w:r>
      <w:r w:rsidRPr="00D630D1">
        <w:t>3dB</w:t>
      </w:r>
      <w:r w:rsidRPr="00D630D1">
        <w:t>（</w:t>
      </w:r>
      <w:r w:rsidRPr="00D630D1">
        <w:t>A</w:t>
      </w:r>
      <w:r w:rsidRPr="00D630D1">
        <w:t>）</w:t>
      </w:r>
      <w:r w:rsidRPr="00D630D1">
        <w:t>]</w:t>
      </w:r>
      <w:r w:rsidRPr="00D630D1">
        <w:t>，且受影响人口数量变化不大时，按</w:t>
      </w:r>
      <w:r w:rsidR="00B21D1D" w:rsidRPr="00D630D1">
        <w:t>二</w:t>
      </w:r>
      <w:r w:rsidRPr="00D630D1">
        <w:t>级评价</w:t>
      </w:r>
      <w:r w:rsidRPr="00D630D1">
        <w:t>”</w:t>
      </w:r>
      <w:r w:rsidRPr="00D630D1">
        <w:t>。因此，本次声环境影响评价级别定为二级</w:t>
      </w:r>
      <w:r w:rsidR="00F7691B" w:rsidRPr="00D630D1">
        <w:t>评价</w:t>
      </w:r>
      <w:r w:rsidRPr="00D630D1">
        <w:t>。</w:t>
      </w:r>
    </w:p>
    <w:p w:rsidR="00117C3D" w:rsidRPr="00D630D1" w:rsidRDefault="008B5B84">
      <w:pPr>
        <w:ind w:firstLine="490"/>
        <w:rPr>
          <w:rFonts w:ascii="Times New Roman" w:cs="Times New Roman"/>
          <w:b/>
          <w:bCs/>
          <w:spacing w:val="2"/>
          <w:kern w:val="2"/>
          <w:position w:val="2"/>
          <w:szCs w:val="22"/>
        </w:rPr>
      </w:pPr>
      <w:r w:rsidRPr="00D630D1">
        <w:rPr>
          <w:rFonts w:ascii="Times New Roman" w:cs="Times New Roman"/>
          <w:b/>
          <w:bCs/>
          <w:spacing w:val="2"/>
          <w:kern w:val="2"/>
          <w:position w:val="2"/>
          <w:szCs w:val="22"/>
        </w:rPr>
        <w:t>2</w:t>
      </w:r>
      <w:r w:rsidRPr="00D630D1">
        <w:rPr>
          <w:rFonts w:ascii="Times New Roman" w:cs="Times New Roman"/>
          <w:b/>
          <w:bCs/>
          <w:spacing w:val="2"/>
          <w:kern w:val="2"/>
          <w:position w:val="2"/>
          <w:szCs w:val="22"/>
        </w:rPr>
        <w:t>、评价范围</w:t>
      </w:r>
    </w:p>
    <w:p w:rsidR="00B21D1D" w:rsidRPr="00D630D1" w:rsidRDefault="008B5B84" w:rsidP="00B21D1D">
      <w:pPr>
        <w:pStyle w:val="afa"/>
        <w:ind w:firstLine="480"/>
      </w:pPr>
      <w:r w:rsidRPr="00D630D1">
        <w:t>本项目噪声环境影响评价工作等级为</w:t>
      </w:r>
      <w:r w:rsidR="00F7691B" w:rsidRPr="00D630D1">
        <w:t>二</w:t>
      </w:r>
      <w:r w:rsidRPr="00D630D1">
        <w:t>级</w:t>
      </w:r>
      <w:r w:rsidR="00F7691B" w:rsidRPr="00D630D1">
        <w:t>评价</w:t>
      </w:r>
      <w:r w:rsidRPr="00D630D1">
        <w:t>，根据《环境影响评价技术导</w:t>
      </w:r>
      <w:r w:rsidRPr="00D630D1">
        <w:lastRenderedPageBreak/>
        <w:t>则</w:t>
      </w:r>
      <w:r w:rsidR="00B21D1D" w:rsidRPr="00D630D1">
        <w:t xml:space="preserve"> </w:t>
      </w:r>
      <w:r w:rsidRPr="00D630D1">
        <w:t>声环境》（</w:t>
      </w:r>
      <w:r w:rsidRPr="00D630D1">
        <w:t>HJ2.4-20</w:t>
      </w:r>
      <w:r w:rsidR="006A3F08" w:rsidRPr="00D630D1">
        <w:rPr>
          <w:rFonts w:hint="eastAsia"/>
        </w:rPr>
        <w:t>21</w:t>
      </w:r>
      <w:r w:rsidRPr="00D630D1">
        <w:t>）中有关规定及沿线各工艺站场周边环境特征</w:t>
      </w:r>
      <w:r w:rsidR="00B21D1D" w:rsidRPr="00D630D1">
        <w:t>。</w:t>
      </w:r>
      <w:r w:rsidRPr="00D630D1">
        <w:t>施工期声环境评价范围确定为沿线两侧各</w:t>
      </w:r>
      <w:r w:rsidRPr="00D630D1">
        <w:t>200m</w:t>
      </w:r>
      <w:r w:rsidRPr="00D630D1">
        <w:t>范围内的村庄或居民区，营运期的声环境评价范围确定为</w:t>
      </w:r>
      <w:r w:rsidR="003530C3" w:rsidRPr="00D630D1">
        <w:t>场站</w:t>
      </w:r>
      <w:r w:rsidRPr="00D630D1">
        <w:t>厂界及沿线两侧各</w:t>
      </w:r>
      <w:r w:rsidRPr="00D630D1">
        <w:t>200m</w:t>
      </w:r>
      <w:r w:rsidRPr="00D630D1">
        <w:t>范围内的村庄或居民区。</w:t>
      </w:r>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1.6.6 </w:t>
      </w:r>
      <w:r w:rsidRPr="00D630D1">
        <w:rPr>
          <w:rFonts w:ascii="Times New Roman" w:cs="Times New Roman"/>
          <w:b/>
          <w:szCs w:val="32"/>
        </w:rPr>
        <w:t>土壤环境影响</w:t>
      </w:r>
    </w:p>
    <w:p w:rsidR="00117C3D" w:rsidRPr="00D630D1" w:rsidRDefault="008B5B84">
      <w:pPr>
        <w:ind w:firstLineChars="199" w:firstLine="487"/>
        <w:rPr>
          <w:rFonts w:ascii="Times New Roman" w:cs="Times New Roman"/>
          <w:b/>
          <w:bCs/>
          <w:spacing w:val="2"/>
          <w:kern w:val="2"/>
          <w:position w:val="2"/>
          <w:szCs w:val="22"/>
        </w:rPr>
      </w:pPr>
      <w:r w:rsidRPr="00D630D1">
        <w:rPr>
          <w:rFonts w:ascii="Times New Roman" w:cs="Times New Roman"/>
          <w:b/>
          <w:bCs/>
          <w:spacing w:val="2"/>
          <w:kern w:val="2"/>
          <w:position w:val="2"/>
          <w:szCs w:val="22"/>
        </w:rPr>
        <w:t>1</w:t>
      </w:r>
      <w:r w:rsidRPr="00D630D1">
        <w:rPr>
          <w:rFonts w:ascii="Times New Roman" w:cs="Times New Roman"/>
          <w:b/>
          <w:bCs/>
          <w:spacing w:val="2"/>
          <w:kern w:val="2"/>
          <w:position w:val="2"/>
          <w:szCs w:val="22"/>
        </w:rPr>
        <w:t>、评价等级</w:t>
      </w:r>
    </w:p>
    <w:p w:rsidR="00A31DAB" w:rsidRPr="00D630D1" w:rsidRDefault="00A31DAB" w:rsidP="00A31DAB">
      <w:pPr>
        <w:pStyle w:val="afa"/>
        <w:ind w:firstLine="480"/>
      </w:pPr>
      <w:r w:rsidRPr="00D630D1">
        <w:t>根据《环境影响评价技术导则</w:t>
      </w:r>
      <w:r w:rsidRPr="00D630D1">
        <w:t xml:space="preserve"> </w:t>
      </w:r>
      <w:r w:rsidRPr="00D630D1">
        <w:t>土壤环境</w:t>
      </w:r>
      <w:r w:rsidR="00535F05" w:rsidRPr="00D630D1">
        <w:rPr>
          <w:rFonts w:hint="eastAsia"/>
        </w:rPr>
        <w:t>（试行）</w:t>
      </w:r>
      <w:r w:rsidRPr="00D630D1">
        <w:t>》（</w:t>
      </w:r>
      <w:r w:rsidRPr="00D630D1">
        <w:t>HJ964-2018</w:t>
      </w:r>
      <w:r w:rsidRPr="00D630D1">
        <w:t>）第</w:t>
      </w:r>
      <w:r w:rsidRPr="00D630D1">
        <w:t>6.2.5</w:t>
      </w:r>
      <w:r w:rsidRPr="00D630D1">
        <w:t>条：线性工程重点针对主要站场位置（如输油站、泵站、阀室、加油站、维修场所等）参照</w:t>
      </w:r>
      <w:r w:rsidRPr="00D630D1">
        <w:t>6.2.2</w:t>
      </w:r>
      <w:r w:rsidRPr="00D630D1">
        <w:t>分段判定评价等级。本项目</w:t>
      </w:r>
      <w:r w:rsidR="000D2CA4" w:rsidRPr="00D630D1">
        <w:rPr>
          <w:rFonts w:hint="eastAsia"/>
        </w:rPr>
        <w:t>按</w:t>
      </w:r>
      <w:r w:rsidR="000D2CA4" w:rsidRPr="00D630D1">
        <w:rPr>
          <w:rFonts w:hint="eastAsia"/>
        </w:rPr>
        <w:t>2</w:t>
      </w:r>
      <w:r w:rsidRPr="00D630D1">
        <w:t>段</w:t>
      </w:r>
      <w:r w:rsidR="000D2CA4" w:rsidRPr="00D630D1">
        <w:t>进行评价</w:t>
      </w:r>
      <w:r w:rsidRPr="00D630D1">
        <w:t>，</w:t>
      </w:r>
      <w:r w:rsidR="000D2CA4" w:rsidRPr="00D630D1">
        <w:t>即</w:t>
      </w:r>
      <w:r w:rsidR="002C00AE">
        <w:t>普光</w:t>
      </w:r>
      <w:r w:rsidR="002C00AE">
        <w:t>12</w:t>
      </w:r>
      <w:r w:rsidR="002C00AE">
        <w:t>采气站</w:t>
      </w:r>
      <w:r w:rsidR="000D2CA4" w:rsidRPr="00D630D1">
        <w:rPr>
          <w:rFonts w:hint="eastAsia"/>
        </w:rPr>
        <w:t>、</w:t>
      </w:r>
      <w:r w:rsidR="00DD3EA1">
        <w:t>普光</w:t>
      </w:r>
      <w:r w:rsidR="00DD3EA1">
        <w:t>12</w:t>
      </w:r>
      <w:r w:rsidR="00DD3EA1">
        <w:t>采气站</w:t>
      </w:r>
      <w:r w:rsidR="000D2CA4" w:rsidRPr="00D630D1">
        <w:t>~</w:t>
      </w:r>
      <w:r w:rsidR="00D57583">
        <w:t>普陆</w:t>
      </w:r>
      <w:r w:rsidR="00D57583">
        <w:t>3</w:t>
      </w:r>
      <w:r w:rsidR="00D57583">
        <w:t>集气站</w:t>
      </w:r>
      <w:r w:rsidR="000D2CA4" w:rsidRPr="00D630D1">
        <w:rPr>
          <w:rFonts w:hint="eastAsia"/>
        </w:rPr>
        <w:t>集气管道</w:t>
      </w:r>
      <w:r w:rsidR="008F2B19">
        <w:rPr>
          <w:rFonts w:hint="eastAsia"/>
        </w:rPr>
        <w:t>、</w:t>
      </w:r>
      <w:r w:rsidR="008F2B19" w:rsidRPr="008F2B19">
        <w:t>普陆</w:t>
      </w:r>
      <w:r w:rsidR="008F2B19" w:rsidRPr="008F2B19">
        <w:rPr>
          <w:rFonts w:hint="eastAsia"/>
        </w:rPr>
        <w:t>3</w:t>
      </w:r>
      <w:r w:rsidR="008F2B19" w:rsidRPr="008F2B19">
        <w:rPr>
          <w:rFonts w:hint="eastAsia"/>
        </w:rPr>
        <w:t>集气站</w:t>
      </w:r>
      <w:r w:rsidR="008F2B19" w:rsidRPr="008F2B19">
        <w:t>~</w:t>
      </w:r>
      <w:r w:rsidR="008F2B19" w:rsidRPr="008F2B19">
        <w:rPr>
          <w:rFonts w:hint="eastAsia"/>
        </w:rPr>
        <w:t>P105</w:t>
      </w:r>
      <w:r w:rsidR="008F2B19" w:rsidRPr="008F2B19">
        <w:rPr>
          <w:rFonts w:hint="eastAsia"/>
        </w:rPr>
        <w:t>集气站集气管道</w:t>
      </w:r>
      <w:r w:rsidRPr="00D630D1">
        <w:t>。根据《环境影响评价技术导则</w:t>
      </w:r>
      <w:r w:rsidRPr="00D630D1">
        <w:t xml:space="preserve"> </w:t>
      </w:r>
      <w:r w:rsidRPr="00D630D1">
        <w:t>土壤环境</w:t>
      </w:r>
      <w:r w:rsidR="00535F05" w:rsidRPr="00D630D1">
        <w:rPr>
          <w:rFonts w:hint="eastAsia"/>
        </w:rPr>
        <w:t>（试行）</w:t>
      </w:r>
      <w:r w:rsidRPr="00D630D1">
        <w:t>》（</w:t>
      </w:r>
      <w:r w:rsidRPr="00D630D1">
        <w:t>HJ964-2018</w:t>
      </w:r>
      <w:r w:rsidRPr="00D630D1">
        <w:t>）附录</w:t>
      </w:r>
      <w:r w:rsidRPr="00D630D1">
        <w:t>A</w:t>
      </w:r>
      <w:r w:rsidRPr="00D630D1">
        <w:t>，</w:t>
      </w:r>
      <w:r w:rsidR="000D2CA4" w:rsidRPr="00D630D1">
        <w:t xml:space="preserve"> </w:t>
      </w:r>
      <w:r w:rsidR="002C00AE">
        <w:t>普光</w:t>
      </w:r>
      <w:r w:rsidR="002C00AE">
        <w:t>12</w:t>
      </w:r>
      <w:r w:rsidR="002C00AE">
        <w:t>采气站</w:t>
      </w:r>
      <w:r w:rsidRPr="00D630D1">
        <w:t>属于</w:t>
      </w:r>
      <w:r w:rsidRPr="00D630D1">
        <w:t>“</w:t>
      </w:r>
      <w:r w:rsidRPr="00D630D1">
        <w:t>采矿业化学矿采选；石棉矿采选；煤矿采选、天然气开采、页岩气开采、砂岩气开采、煤层气开采（含净化、液化）</w:t>
      </w:r>
      <w:r w:rsidRPr="00D630D1">
        <w:t>”</w:t>
      </w:r>
      <w:r w:rsidRPr="00D630D1">
        <w:t>，为</w:t>
      </w:r>
      <w:r w:rsidRPr="00D630D1">
        <w:t>Ⅱ</w:t>
      </w:r>
      <w:r w:rsidRPr="00D630D1">
        <w:t>类建设项目；集输管线属于</w:t>
      </w:r>
      <w:r w:rsidRPr="00D630D1">
        <w:t>“</w:t>
      </w:r>
      <w:r w:rsidRPr="00D630D1">
        <w:t>交通运输仓储邮政业其他</w:t>
      </w:r>
      <w:r w:rsidRPr="00D630D1">
        <w:t>”</w:t>
      </w:r>
      <w:r w:rsidRPr="00D630D1">
        <w:t>，为</w:t>
      </w:r>
      <w:r w:rsidRPr="00D630D1">
        <w:t>Ⅳ</w:t>
      </w:r>
      <w:r w:rsidRPr="00D630D1">
        <w:t>类建设项目。</w:t>
      </w:r>
    </w:p>
    <w:p w:rsidR="00302320" w:rsidRPr="00D630D1" w:rsidRDefault="00DD3EA1" w:rsidP="00302320">
      <w:pPr>
        <w:pStyle w:val="afa"/>
        <w:ind w:firstLine="480"/>
      </w:pPr>
      <w:r>
        <w:t>普光</w:t>
      </w:r>
      <w:r>
        <w:t>12</w:t>
      </w:r>
      <w:r>
        <w:t>采气站</w:t>
      </w:r>
      <w:r w:rsidR="008F2B19">
        <w:rPr>
          <w:rFonts w:hint="eastAsia"/>
        </w:rPr>
        <w:t>总</w:t>
      </w:r>
      <w:r w:rsidR="00A31DAB" w:rsidRPr="00D630D1">
        <w:t>占地面积</w:t>
      </w:r>
      <w:r w:rsidR="00302320" w:rsidRPr="00D630D1">
        <w:t>约</w:t>
      </w:r>
      <w:r w:rsidR="00A31DAB" w:rsidRPr="00D630D1">
        <w:t>为</w:t>
      </w:r>
      <w:r w:rsidR="008F2B19">
        <w:rPr>
          <w:rFonts w:hint="eastAsia"/>
        </w:rPr>
        <w:t>1</w:t>
      </w:r>
      <w:r w:rsidR="007E5702">
        <w:rPr>
          <w:rFonts w:hint="eastAsia"/>
        </w:rPr>
        <w:t>4</w:t>
      </w:r>
      <w:r w:rsidR="008F2B19">
        <w:rPr>
          <w:rFonts w:hint="eastAsia"/>
        </w:rPr>
        <w:t>9</w:t>
      </w:r>
      <w:r w:rsidR="007E5702">
        <w:rPr>
          <w:rFonts w:hint="eastAsia"/>
        </w:rPr>
        <w:t>0</w:t>
      </w:r>
      <w:r w:rsidR="000D2CA4" w:rsidRPr="00D630D1">
        <w:rPr>
          <w:rFonts w:hint="eastAsia"/>
        </w:rPr>
        <w:t>0</w:t>
      </w:r>
      <w:r w:rsidR="00FC2F91" w:rsidRPr="00D630D1">
        <w:rPr>
          <w:rFonts w:hint="eastAsia"/>
          <w:bCs/>
        </w:rPr>
        <w:t>m</w:t>
      </w:r>
      <w:r w:rsidR="00FC2F91" w:rsidRPr="00D630D1">
        <w:rPr>
          <w:rFonts w:hint="eastAsia"/>
          <w:bCs/>
          <w:vertAlign w:val="superscript"/>
        </w:rPr>
        <w:t>2</w:t>
      </w:r>
      <w:r w:rsidR="008B63ED" w:rsidRPr="00D630D1">
        <w:t>，占地规模为小型，周边存在耕地，土壤环境敏感程度为敏感</w:t>
      </w:r>
      <w:r w:rsidR="00FC2F91" w:rsidRPr="00D630D1">
        <w:t>，周边存在耕地，土壤环境敏感程度为敏感</w:t>
      </w:r>
      <w:r w:rsidR="00302320" w:rsidRPr="00D630D1">
        <w:t>。</w:t>
      </w:r>
    </w:p>
    <w:p w:rsidR="00302320" w:rsidRPr="00D630D1" w:rsidRDefault="00302320" w:rsidP="00302320">
      <w:pPr>
        <w:pStyle w:val="10"/>
        <w:rPr>
          <w:rFonts w:cs="Times New Roman"/>
        </w:rPr>
      </w:pPr>
      <w:r w:rsidRPr="00D630D1">
        <w:rPr>
          <w:rFonts w:cs="Times New Roman"/>
        </w:rPr>
        <w:t>表</w:t>
      </w:r>
      <w:r w:rsidRPr="00D630D1">
        <w:rPr>
          <w:rFonts w:cs="Times New Roman"/>
        </w:rPr>
        <w:t>1.6-</w:t>
      </w:r>
      <w:r w:rsidR="006A3F08" w:rsidRPr="00D630D1">
        <w:rPr>
          <w:rFonts w:cs="Times New Roman" w:hint="eastAsia"/>
        </w:rPr>
        <w:t>8</w:t>
      </w:r>
      <w:r w:rsidR="002641F6" w:rsidRPr="00D630D1">
        <w:rPr>
          <w:rFonts w:cs="Times New Roman"/>
        </w:rPr>
        <w:t xml:space="preserve"> </w:t>
      </w:r>
      <w:r w:rsidRPr="00D630D1">
        <w:rPr>
          <w:rFonts w:cs="Times New Roman"/>
        </w:rPr>
        <w:t xml:space="preserve"> </w:t>
      </w:r>
      <w:r w:rsidRPr="00D630D1">
        <w:rPr>
          <w:rFonts w:cs="Times New Roman"/>
        </w:rPr>
        <w:t>污染影响型评价工作等级划分表</w:t>
      </w:r>
    </w:p>
    <w:tbl>
      <w:tblPr>
        <w:tblW w:w="8679"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1620"/>
        <w:gridCol w:w="723"/>
        <w:gridCol w:w="791"/>
        <w:gridCol w:w="792"/>
        <w:gridCol w:w="792"/>
        <w:gridCol w:w="792"/>
        <w:gridCol w:w="792"/>
        <w:gridCol w:w="792"/>
        <w:gridCol w:w="792"/>
        <w:gridCol w:w="793"/>
      </w:tblGrid>
      <w:tr w:rsidR="0017585A" w:rsidRPr="00D630D1" w:rsidTr="006D2FAC">
        <w:trPr>
          <w:trHeight w:val="340"/>
          <w:jc w:val="center"/>
        </w:trPr>
        <w:tc>
          <w:tcPr>
            <w:tcW w:w="1620" w:type="dxa"/>
            <w:vMerge w:val="restart"/>
            <w:vAlign w:val="center"/>
          </w:tcPr>
          <w:p w:rsidR="00302320" w:rsidRPr="00D630D1" w:rsidRDefault="009913C3" w:rsidP="006D2FAC">
            <w:pPr>
              <w:snapToGrid w:val="0"/>
              <w:spacing w:line="240" w:lineRule="auto"/>
              <w:ind w:firstLine="422"/>
              <w:rPr>
                <w:rFonts w:ascii="Times New Roman" w:cs="Times New Roman"/>
                <w:b/>
                <w:bCs/>
                <w:sz w:val="21"/>
                <w:szCs w:val="21"/>
              </w:rPr>
            </w:pPr>
            <w:r>
              <w:rPr>
                <w:rFonts w:ascii="Times New Roman" w:cs="Times New Roman"/>
                <w:b/>
                <w:bCs/>
                <w:noProof/>
                <w:sz w:val="21"/>
                <w:szCs w:val="21"/>
              </w:rPr>
              <w:pict>
                <v:line id="直接连接符 57" o:spid="_x0000_s1026" style="position:absolute;left:0;text-align:left;z-index:251655168;visibility:visible;mso-width-relative:margin;mso-height-relative:margin" from="-5.3pt,-.35pt" to="73.35pt,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"/>
              </w:pict>
            </w:r>
            <w:r w:rsidR="00302320" w:rsidRPr="00D630D1">
              <w:rPr>
                <w:rFonts w:ascii="Times New Roman" w:cs="Times New Roman"/>
                <w:b/>
                <w:bCs/>
                <w:sz w:val="21"/>
                <w:szCs w:val="21"/>
              </w:rPr>
              <w:t>项目类别</w:t>
            </w:r>
          </w:p>
          <w:p w:rsidR="00302320" w:rsidRPr="00D630D1" w:rsidRDefault="00302320" w:rsidP="007D517E">
            <w:pPr>
              <w:snapToGrid w:val="0"/>
              <w:spacing w:line="240" w:lineRule="auto"/>
              <w:ind w:firstLineChars="0" w:firstLine="0"/>
              <w:rPr>
                <w:rFonts w:ascii="Times New Roman" w:cs="Times New Roman"/>
                <w:b/>
                <w:bCs/>
                <w:sz w:val="21"/>
                <w:szCs w:val="21"/>
              </w:rPr>
            </w:pPr>
            <w:r w:rsidRPr="00D630D1">
              <w:rPr>
                <w:rFonts w:ascii="Times New Roman" w:cs="Times New Roman"/>
                <w:b/>
                <w:bCs/>
                <w:sz w:val="21"/>
                <w:szCs w:val="21"/>
              </w:rPr>
              <w:t>评价工</w:t>
            </w:r>
          </w:p>
          <w:p w:rsidR="00302320" w:rsidRPr="00D630D1" w:rsidRDefault="009913C3" w:rsidP="007D517E">
            <w:pPr>
              <w:snapToGrid w:val="0"/>
              <w:spacing w:line="240" w:lineRule="auto"/>
              <w:ind w:firstLineChars="0" w:firstLine="0"/>
              <w:rPr>
                <w:rFonts w:ascii="Times New Roman" w:cs="Times New Roman"/>
                <w:b/>
                <w:bCs/>
                <w:sz w:val="21"/>
                <w:szCs w:val="21"/>
              </w:rPr>
            </w:pPr>
            <w:r>
              <w:rPr>
                <w:rFonts w:ascii="Times New Roman" w:cs="Times New Roman"/>
                <w:b/>
                <w:bCs/>
                <w:noProof/>
                <w:sz w:val="21"/>
                <w:szCs w:val="21"/>
              </w:rPr>
              <w:pict>
                <v:line id="直接连接符 58" o:spid="_x0000_s1031" style="position:absolute;left:0;text-align:left;z-index:251656192;visibility:visible;mso-width-relative:margin;mso-height-relative:margin" from="-5.3pt,9.45pt" to="73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"/>
              </w:pict>
            </w:r>
            <w:r w:rsidR="00302320" w:rsidRPr="00D630D1">
              <w:rPr>
                <w:rFonts w:ascii="Times New Roman" w:cs="Times New Roman"/>
                <w:b/>
                <w:bCs/>
                <w:sz w:val="21"/>
                <w:szCs w:val="21"/>
              </w:rPr>
              <w:t>作等级</w:t>
            </w:r>
          </w:p>
          <w:p w:rsidR="00302320" w:rsidRPr="00D630D1" w:rsidRDefault="00302320" w:rsidP="006D2FAC">
            <w:pPr>
              <w:snapToGrid w:val="0"/>
              <w:spacing w:line="240" w:lineRule="auto"/>
              <w:ind w:firstLineChars="0" w:firstLine="0"/>
              <w:rPr>
                <w:rFonts w:ascii="Times New Roman" w:cs="Times New Roman"/>
                <w:b/>
                <w:bCs/>
                <w:sz w:val="21"/>
                <w:szCs w:val="21"/>
              </w:rPr>
            </w:pPr>
            <w:r w:rsidRPr="00D630D1">
              <w:rPr>
                <w:rFonts w:ascii="Times New Roman" w:cs="Times New Roman"/>
                <w:b/>
                <w:bCs/>
                <w:sz w:val="21"/>
                <w:szCs w:val="21"/>
              </w:rPr>
              <w:t>敏感程度</w:t>
            </w:r>
          </w:p>
        </w:tc>
        <w:tc>
          <w:tcPr>
            <w:tcW w:w="2306" w:type="dxa"/>
            <w:gridSpan w:val="3"/>
            <w:vAlign w:val="center"/>
          </w:tcPr>
          <w:p w:rsidR="00302320" w:rsidRPr="00D630D1" w:rsidRDefault="009913C3" w:rsidP="006D2FAC">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fldChar w:fldCharType="begin"/>
            </w:r>
            <w:r w:rsidR="00302320" w:rsidRPr="00D630D1">
              <w:rPr>
                <w:rFonts w:ascii="Times New Roman" w:cs="Times New Roman"/>
                <w:b/>
                <w:bCs/>
                <w:sz w:val="21"/>
                <w:szCs w:val="21"/>
              </w:rPr>
              <w:instrText xml:space="preserve"> = 1 \* ROMAN </w:instrText>
            </w:r>
            <w:r w:rsidRPr="00D630D1">
              <w:rPr>
                <w:rFonts w:ascii="Times New Roman" w:cs="Times New Roman"/>
                <w:b/>
                <w:bCs/>
                <w:sz w:val="21"/>
                <w:szCs w:val="21"/>
              </w:rPr>
              <w:fldChar w:fldCharType="separate"/>
            </w:r>
            <w:r w:rsidR="00302320" w:rsidRPr="00D630D1">
              <w:rPr>
                <w:rFonts w:ascii="Times New Roman" w:cs="Times New Roman"/>
                <w:b/>
                <w:bCs/>
                <w:sz w:val="21"/>
                <w:szCs w:val="21"/>
              </w:rPr>
              <w:t>I</w:t>
            </w:r>
            <w:r w:rsidRPr="00D630D1">
              <w:rPr>
                <w:rFonts w:ascii="Times New Roman" w:cs="Times New Roman"/>
                <w:b/>
                <w:bCs/>
                <w:sz w:val="21"/>
                <w:szCs w:val="21"/>
              </w:rPr>
              <w:fldChar w:fldCharType="end"/>
            </w:r>
            <w:r w:rsidR="00302320" w:rsidRPr="00D630D1">
              <w:rPr>
                <w:rFonts w:ascii="Times New Roman" w:cs="Times New Roman"/>
                <w:b/>
                <w:bCs/>
                <w:sz w:val="21"/>
                <w:szCs w:val="21"/>
              </w:rPr>
              <w:t>类</w:t>
            </w:r>
          </w:p>
        </w:tc>
        <w:tc>
          <w:tcPr>
            <w:tcW w:w="2376" w:type="dxa"/>
            <w:gridSpan w:val="3"/>
            <w:vAlign w:val="center"/>
          </w:tcPr>
          <w:p w:rsidR="00302320" w:rsidRPr="00D630D1" w:rsidRDefault="009913C3" w:rsidP="006D2FAC">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fldChar w:fldCharType="begin"/>
            </w:r>
            <w:r w:rsidR="00302320" w:rsidRPr="00D630D1">
              <w:rPr>
                <w:rFonts w:ascii="Times New Roman" w:cs="Times New Roman"/>
                <w:b/>
                <w:bCs/>
                <w:sz w:val="21"/>
                <w:szCs w:val="21"/>
              </w:rPr>
              <w:instrText xml:space="preserve"> = 2 \* ROMAN </w:instrText>
            </w:r>
            <w:r w:rsidRPr="00D630D1">
              <w:rPr>
                <w:rFonts w:ascii="Times New Roman" w:cs="Times New Roman"/>
                <w:b/>
                <w:bCs/>
                <w:sz w:val="21"/>
                <w:szCs w:val="21"/>
              </w:rPr>
              <w:fldChar w:fldCharType="separate"/>
            </w:r>
            <w:r w:rsidR="00302320" w:rsidRPr="00D630D1">
              <w:rPr>
                <w:rFonts w:ascii="Times New Roman" w:cs="Times New Roman"/>
                <w:b/>
                <w:bCs/>
                <w:sz w:val="21"/>
                <w:szCs w:val="21"/>
              </w:rPr>
              <w:t>II</w:t>
            </w:r>
            <w:r w:rsidRPr="00D630D1">
              <w:rPr>
                <w:rFonts w:ascii="Times New Roman" w:cs="Times New Roman"/>
                <w:b/>
                <w:bCs/>
                <w:sz w:val="21"/>
                <w:szCs w:val="21"/>
              </w:rPr>
              <w:fldChar w:fldCharType="end"/>
            </w:r>
            <w:r w:rsidR="00302320" w:rsidRPr="00D630D1">
              <w:rPr>
                <w:rFonts w:ascii="Times New Roman" w:cs="Times New Roman"/>
                <w:b/>
                <w:bCs/>
                <w:sz w:val="21"/>
                <w:szCs w:val="21"/>
              </w:rPr>
              <w:t>类</w:t>
            </w:r>
          </w:p>
        </w:tc>
        <w:tc>
          <w:tcPr>
            <w:tcW w:w="2377" w:type="dxa"/>
            <w:gridSpan w:val="3"/>
            <w:vAlign w:val="center"/>
          </w:tcPr>
          <w:p w:rsidR="00302320" w:rsidRPr="00D630D1" w:rsidRDefault="009913C3" w:rsidP="006D2FAC">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fldChar w:fldCharType="begin"/>
            </w:r>
            <w:r w:rsidR="00302320" w:rsidRPr="00D630D1">
              <w:rPr>
                <w:rFonts w:ascii="Times New Roman" w:cs="Times New Roman"/>
                <w:b/>
                <w:bCs/>
                <w:sz w:val="21"/>
                <w:szCs w:val="21"/>
              </w:rPr>
              <w:instrText xml:space="preserve"> = 3 \* ROMAN </w:instrText>
            </w:r>
            <w:r w:rsidRPr="00D630D1">
              <w:rPr>
                <w:rFonts w:ascii="Times New Roman" w:cs="Times New Roman"/>
                <w:b/>
                <w:bCs/>
                <w:sz w:val="21"/>
                <w:szCs w:val="21"/>
              </w:rPr>
              <w:fldChar w:fldCharType="separate"/>
            </w:r>
            <w:r w:rsidR="00302320" w:rsidRPr="00D630D1">
              <w:rPr>
                <w:rFonts w:ascii="Times New Roman" w:cs="Times New Roman"/>
                <w:b/>
                <w:bCs/>
                <w:sz w:val="21"/>
                <w:szCs w:val="21"/>
              </w:rPr>
              <w:t>III</w:t>
            </w:r>
            <w:r w:rsidRPr="00D630D1">
              <w:rPr>
                <w:rFonts w:ascii="Times New Roman" w:cs="Times New Roman"/>
                <w:b/>
                <w:bCs/>
                <w:sz w:val="21"/>
                <w:szCs w:val="21"/>
              </w:rPr>
              <w:fldChar w:fldCharType="end"/>
            </w:r>
            <w:r w:rsidR="00302320" w:rsidRPr="00D630D1">
              <w:rPr>
                <w:rFonts w:ascii="Times New Roman" w:cs="Times New Roman"/>
                <w:b/>
                <w:bCs/>
                <w:sz w:val="21"/>
                <w:szCs w:val="21"/>
              </w:rPr>
              <w:t>类</w:t>
            </w:r>
          </w:p>
        </w:tc>
      </w:tr>
      <w:tr w:rsidR="0017585A" w:rsidRPr="00D630D1" w:rsidTr="006D2FAC">
        <w:trPr>
          <w:trHeight w:val="596"/>
          <w:jc w:val="center"/>
        </w:trPr>
        <w:tc>
          <w:tcPr>
            <w:tcW w:w="1620" w:type="dxa"/>
            <w:vMerge/>
            <w:vAlign w:val="center"/>
          </w:tcPr>
          <w:p w:rsidR="00302320" w:rsidRPr="00D630D1" w:rsidRDefault="00302320" w:rsidP="006D2FAC">
            <w:pPr>
              <w:snapToGrid w:val="0"/>
              <w:spacing w:line="240" w:lineRule="auto"/>
              <w:ind w:firstLineChars="0" w:firstLine="0"/>
              <w:jc w:val="center"/>
              <w:rPr>
                <w:rFonts w:ascii="Times New Roman" w:cs="Times New Roman"/>
                <w:b/>
                <w:bCs/>
                <w:sz w:val="21"/>
                <w:szCs w:val="21"/>
              </w:rPr>
            </w:pPr>
          </w:p>
        </w:tc>
        <w:tc>
          <w:tcPr>
            <w:tcW w:w="723" w:type="dxa"/>
            <w:vAlign w:val="center"/>
          </w:tcPr>
          <w:p w:rsidR="00302320" w:rsidRPr="00D630D1" w:rsidRDefault="00302320" w:rsidP="006D2FAC">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大</w:t>
            </w:r>
          </w:p>
        </w:tc>
        <w:tc>
          <w:tcPr>
            <w:tcW w:w="791" w:type="dxa"/>
            <w:vAlign w:val="center"/>
          </w:tcPr>
          <w:p w:rsidR="00302320" w:rsidRPr="00D630D1" w:rsidRDefault="00302320" w:rsidP="006D2FAC">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中</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小</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中</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小</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中</w:t>
            </w:r>
          </w:p>
        </w:tc>
        <w:tc>
          <w:tcPr>
            <w:tcW w:w="793" w:type="dxa"/>
            <w:vAlign w:val="center"/>
          </w:tcPr>
          <w:p w:rsidR="00302320" w:rsidRPr="00D630D1" w:rsidRDefault="00302320" w:rsidP="006D2FAC">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小</w:t>
            </w:r>
          </w:p>
        </w:tc>
      </w:tr>
      <w:tr w:rsidR="0017585A" w:rsidRPr="00D630D1" w:rsidTr="006D2FAC">
        <w:trPr>
          <w:trHeight w:val="340"/>
          <w:jc w:val="center"/>
        </w:trPr>
        <w:tc>
          <w:tcPr>
            <w:tcW w:w="1620"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敏感</w:t>
            </w:r>
          </w:p>
        </w:tc>
        <w:tc>
          <w:tcPr>
            <w:tcW w:w="723"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一级</w:t>
            </w:r>
          </w:p>
        </w:tc>
        <w:tc>
          <w:tcPr>
            <w:tcW w:w="791"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一级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一级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二级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二级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b/>
                <w:bCs/>
                <w:sz w:val="21"/>
                <w:szCs w:val="21"/>
              </w:rPr>
              <w:t>二级</w:t>
            </w:r>
          </w:p>
        </w:tc>
        <w:tc>
          <w:tcPr>
            <w:tcW w:w="792" w:type="dxa"/>
            <w:shd w:val="clear" w:color="auto" w:fill="FFFFFF"/>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三级</w:t>
            </w:r>
          </w:p>
        </w:tc>
        <w:tc>
          <w:tcPr>
            <w:tcW w:w="792" w:type="dxa"/>
            <w:shd w:val="clear" w:color="auto" w:fill="FFFFFF"/>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三级</w:t>
            </w:r>
          </w:p>
        </w:tc>
        <w:tc>
          <w:tcPr>
            <w:tcW w:w="793" w:type="dxa"/>
            <w:shd w:val="clear" w:color="auto" w:fill="FFFFFF"/>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三级</w:t>
            </w:r>
          </w:p>
        </w:tc>
      </w:tr>
      <w:tr w:rsidR="0017585A" w:rsidRPr="00D630D1" w:rsidTr="006D2FAC">
        <w:trPr>
          <w:trHeight w:val="340"/>
          <w:jc w:val="center"/>
        </w:trPr>
        <w:tc>
          <w:tcPr>
            <w:tcW w:w="1620"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较敏感</w:t>
            </w:r>
          </w:p>
        </w:tc>
        <w:tc>
          <w:tcPr>
            <w:tcW w:w="723"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一级</w:t>
            </w:r>
          </w:p>
        </w:tc>
        <w:tc>
          <w:tcPr>
            <w:tcW w:w="791"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一级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二级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二级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二级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三级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三级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三级</w:t>
            </w:r>
          </w:p>
        </w:tc>
        <w:tc>
          <w:tcPr>
            <w:tcW w:w="793"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r>
      <w:tr w:rsidR="0017585A" w:rsidRPr="00D630D1" w:rsidTr="006D2FAC">
        <w:trPr>
          <w:trHeight w:val="340"/>
          <w:jc w:val="center"/>
        </w:trPr>
        <w:tc>
          <w:tcPr>
            <w:tcW w:w="1620"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不敏感</w:t>
            </w:r>
          </w:p>
        </w:tc>
        <w:tc>
          <w:tcPr>
            <w:tcW w:w="723"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一级</w:t>
            </w:r>
          </w:p>
        </w:tc>
        <w:tc>
          <w:tcPr>
            <w:tcW w:w="791"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二级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二级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二级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三级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三级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三级</w:t>
            </w:r>
          </w:p>
        </w:tc>
        <w:tc>
          <w:tcPr>
            <w:tcW w:w="792"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793" w:type="dxa"/>
            <w:vAlign w:val="center"/>
          </w:tcPr>
          <w:p w:rsidR="00302320" w:rsidRPr="00D630D1" w:rsidRDefault="00302320" w:rsidP="006D2FAC">
            <w:pPr>
              <w:snapToGrid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r>
      <w:tr w:rsidR="0017585A" w:rsidRPr="00D630D1" w:rsidTr="006D2FAC">
        <w:trPr>
          <w:trHeight w:val="340"/>
          <w:jc w:val="center"/>
        </w:trPr>
        <w:tc>
          <w:tcPr>
            <w:tcW w:w="8679" w:type="dxa"/>
            <w:gridSpan w:val="10"/>
            <w:vAlign w:val="center"/>
          </w:tcPr>
          <w:p w:rsidR="00302320" w:rsidRPr="00D630D1" w:rsidRDefault="00302320" w:rsidP="006D2FAC">
            <w:pPr>
              <w:snapToGrid w:val="0"/>
              <w:spacing w:line="240" w:lineRule="auto"/>
              <w:ind w:firstLineChars="0" w:firstLine="0"/>
              <w:rPr>
                <w:rFonts w:ascii="Times New Roman" w:cs="Times New Roman"/>
                <w:sz w:val="21"/>
                <w:szCs w:val="21"/>
              </w:rPr>
            </w:pPr>
            <w:r w:rsidRPr="00D630D1">
              <w:rPr>
                <w:rFonts w:ascii="Times New Roman" w:cs="Times New Roman"/>
                <w:sz w:val="21"/>
                <w:szCs w:val="21"/>
              </w:rPr>
              <w:t>注：</w:t>
            </w:r>
            <w:r w:rsidRPr="00D630D1">
              <w:rPr>
                <w:rFonts w:ascii="Times New Roman" w:cs="Times New Roman"/>
                <w:sz w:val="21"/>
                <w:szCs w:val="21"/>
              </w:rPr>
              <w:t>“-”</w:t>
            </w:r>
            <w:r w:rsidRPr="00D630D1">
              <w:rPr>
                <w:rFonts w:ascii="Times New Roman" w:cs="Times New Roman"/>
                <w:sz w:val="21"/>
                <w:szCs w:val="21"/>
              </w:rPr>
              <w:t>表示可不开展土壤环境影响评价工作</w:t>
            </w:r>
          </w:p>
        </w:tc>
      </w:tr>
    </w:tbl>
    <w:p w:rsidR="00A31DAB" w:rsidRPr="00D630D1" w:rsidRDefault="00302320" w:rsidP="00302320">
      <w:pPr>
        <w:pStyle w:val="afa"/>
        <w:ind w:firstLine="480"/>
      </w:pPr>
      <w:r w:rsidRPr="00D630D1">
        <w:t>根据《环境影响评价技术导则</w:t>
      </w:r>
      <w:r w:rsidR="00535F05" w:rsidRPr="00D630D1">
        <w:rPr>
          <w:rFonts w:hint="eastAsia"/>
        </w:rPr>
        <w:t xml:space="preserve"> </w:t>
      </w:r>
      <w:r w:rsidRPr="00D630D1">
        <w:t>土壤环境（试行）》（</w:t>
      </w:r>
      <w:r w:rsidRPr="00D630D1">
        <w:t>HJ964-2018</w:t>
      </w:r>
      <w:r w:rsidRPr="00D630D1">
        <w:t>）第</w:t>
      </w:r>
      <w:r w:rsidRPr="00D630D1">
        <w:t>6.2.2.3</w:t>
      </w:r>
      <w:r w:rsidRPr="00D630D1">
        <w:t>条规定，项目</w:t>
      </w:r>
      <w:r w:rsidR="002C00AE">
        <w:t>普光</w:t>
      </w:r>
      <w:r w:rsidR="002C00AE">
        <w:t>12</w:t>
      </w:r>
      <w:r w:rsidR="002C00AE">
        <w:t>采气站</w:t>
      </w:r>
      <w:r w:rsidRPr="00D630D1">
        <w:t>土壤环境评价工作等级</w:t>
      </w:r>
      <w:r w:rsidR="00FC2F91" w:rsidRPr="00D630D1">
        <w:t>均</w:t>
      </w:r>
      <w:r w:rsidRPr="00D630D1">
        <w:t>为二级，集输管线段可不开展土壤环境影响评价。</w:t>
      </w:r>
    </w:p>
    <w:p w:rsidR="00117C3D" w:rsidRPr="00D630D1" w:rsidRDefault="008B5B84">
      <w:pPr>
        <w:ind w:firstLineChars="199" w:firstLine="487"/>
        <w:rPr>
          <w:rFonts w:ascii="Times New Roman" w:cs="Times New Roman"/>
          <w:b/>
          <w:bCs/>
          <w:spacing w:val="2"/>
          <w:kern w:val="2"/>
          <w:position w:val="2"/>
          <w:szCs w:val="22"/>
        </w:rPr>
      </w:pPr>
      <w:r w:rsidRPr="00D630D1">
        <w:rPr>
          <w:rFonts w:ascii="Times New Roman" w:cs="Times New Roman"/>
          <w:b/>
          <w:bCs/>
          <w:spacing w:val="2"/>
          <w:kern w:val="2"/>
          <w:position w:val="2"/>
          <w:szCs w:val="22"/>
        </w:rPr>
        <w:t>2</w:t>
      </w:r>
      <w:r w:rsidRPr="00D630D1">
        <w:rPr>
          <w:rFonts w:ascii="Times New Roman" w:cs="Times New Roman"/>
          <w:b/>
          <w:bCs/>
          <w:spacing w:val="2"/>
          <w:kern w:val="2"/>
          <w:position w:val="2"/>
          <w:szCs w:val="22"/>
        </w:rPr>
        <w:t>、评价范围</w:t>
      </w:r>
    </w:p>
    <w:p w:rsidR="00117C3D" w:rsidRPr="00D630D1" w:rsidRDefault="00302320" w:rsidP="00302320">
      <w:pPr>
        <w:pStyle w:val="afa"/>
        <w:ind w:firstLine="480"/>
      </w:pPr>
      <w:r w:rsidRPr="00D630D1">
        <w:t>本项目为土壤二级评价，重点针对主要站场位置（</w:t>
      </w:r>
      <w:r w:rsidR="002C00AE">
        <w:t>普光</w:t>
      </w:r>
      <w:r w:rsidR="002C00AE">
        <w:t>12</w:t>
      </w:r>
      <w:r w:rsidR="002C00AE">
        <w:t>采气站</w:t>
      </w:r>
      <w:r w:rsidRPr="00D630D1">
        <w:t>）进行评价，因此评价范围为站场外</w:t>
      </w:r>
      <w:r w:rsidRPr="00D630D1">
        <w:t>200m</w:t>
      </w:r>
      <w:r w:rsidRPr="00D630D1">
        <w:t>。</w:t>
      </w:r>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1.6.7 </w:t>
      </w:r>
      <w:r w:rsidRPr="00D630D1">
        <w:rPr>
          <w:rFonts w:ascii="Times New Roman" w:cs="Times New Roman"/>
          <w:b/>
          <w:szCs w:val="32"/>
        </w:rPr>
        <w:t>环境风险</w:t>
      </w:r>
    </w:p>
    <w:p w:rsidR="00117C3D" w:rsidRPr="00D630D1" w:rsidRDefault="008B5B84">
      <w:pPr>
        <w:ind w:firstLine="490"/>
        <w:rPr>
          <w:rFonts w:ascii="Times New Roman" w:cs="Times New Roman"/>
          <w:b/>
          <w:bCs/>
          <w:spacing w:val="2"/>
          <w:kern w:val="2"/>
          <w:position w:val="2"/>
          <w:szCs w:val="22"/>
        </w:rPr>
      </w:pPr>
      <w:bookmarkStart w:id="76" w:name="_Hlk53171179"/>
      <w:r w:rsidRPr="00D630D1">
        <w:rPr>
          <w:rFonts w:ascii="Times New Roman" w:cs="Times New Roman"/>
          <w:b/>
          <w:bCs/>
          <w:spacing w:val="2"/>
          <w:kern w:val="2"/>
          <w:position w:val="2"/>
          <w:szCs w:val="22"/>
        </w:rPr>
        <w:t>1</w:t>
      </w:r>
      <w:r w:rsidRPr="00D630D1">
        <w:rPr>
          <w:rFonts w:ascii="Times New Roman" w:cs="Times New Roman"/>
          <w:b/>
          <w:bCs/>
          <w:spacing w:val="2"/>
          <w:kern w:val="2"/>
          <w:position w:val="2"/>
          <w:szCs w:val="22"/>
        </w:rPr>
        <w:t>、评价等级</w:t>
      </w:r>
    </w:p>
    <w:p w:rsidR="007C1654" w:rsidRPr="00D630D1" w:rsidRDefault="007C1654" w:rsidP="007C1654">
      <w:pPr>
        <w:pStyle w:val="afa"/>
        <w:ind w:firstLine="480"/>
      </w:pPr>
      <w:r w:rsidRPr="00D630D1">
        <w:lastRenderedPageBreak/>
        <w:t>根据《建设项目环境风险评价技术导则》（</w:t>
      </w:r>
      <w:r w:rsidRPr="00D630D1">
        <w:t>HJ169-2018</w:t>
      </w:r>
      <w:r w:rsidRPr="00D630D1">
        <w:t>）中关于环境风险评价工作等级的划分方法，本工程输送的介质为含硫天然气，</w:t>
      </w:r>
      <w:r w:rsidR="00043E39" w:rsidRPr="00D630D1">
        <w:t>同时本项目涉及柴油储存</w:t>
      </w:r>
      <w:r w:rsidR="00043E39" w:rsidRPr="00D630D1">
        <w:rPr>
          <w:rFonts w:hint="eastAsia"/>
        </w:rPr>
        <w:t>，</w:t>
      </w:r>
      <w:r w:rsidR="00043E39" w:rsidRPr="00D630D1">
        <w:t>项目涉及的主要危险有害物质为甲烷、硫化氢</w:t>
      </w:r>
      <w:r w:rsidR="00043E39" w:rsidRPr="00D630D1">
        <w:rPr>
          <w:rFonts w:hint="eastAsia"/>
        </w:rPr>
        <w:t>、</w:t>
      </w:r>
      <w:r w:rsidR="00043E39" w:rsidRPr="00D630D1">
        <w:t>柴油</w:t>
      </w:r>
      <w:r w:rsidR="00E326C4" w:rsidRPr="00D630D1">
        <w:rPr>
          <w:rFonts w:hint="eastAsia"/>
        </w:rPr>
        <w:t>。</w:t>
      </w:r>
      <w:r w:rsidR="00E326C4" w:rsidRPr="00D630D1">
        <w:t>由于</w:t>
      </w:r>
      <w:r w:rsidR="00E326C4" w:rsidRPr="00D630D1">
        <w:rPr>
          <w:rFonts w:hint="eastAsia"/>
        </w:rPr>
        <w:t>压裂、洗井废水</w:t>
      </w:r>
      <w:r w:rsidR="00E326C4" w:rsidRPr="00D630D1">
        <w:t>不属于《建设项目</w:t>
      </w:r>
      <w:r w:rsidR="00E326C4" w:rsidRPr="00D630D1">
        <w:rPr>
          <w:rFonts w:hint="eastAsia"/>
        </w:rPr>
        <w:t>环境</w:t>
      </w:r>
      <w:r w:rsidR="00E326C4" w:rsidRPr="00D630D1">
        <w:t>风险评价技术导则》（</w:t>
      </w:r>
      <w:r w:rsidR="00E326C4" w:rsidRPr="00D630D1">
        <w:t>HJ169-2018</w:t>
      </w:r>
      <w:r w:rsidR="00E326C4" w:rsidRPr="00D630D1">
        <w:t>），附录</w:t>
      </w:r>
      <w:r w:rsidR="00E326C4" w:rsidRPr="00D630D1">
        <w:t>B</w:t>
      </w:r>
      <w:r w:rsidR="00E326C4" w:rsidRPr="00D630D1">
        <w:t>中重点关注的危险物质，根据分析</w:t>
      </w:r>
      <w:r w:rsidR="00E326C4" w:rsidRPr="00D630D1">
        <w:rPr>
          <w:rFonts w:hint="eastAsia"/>
        </w:rPr>
        <w:t>压裂、洗井废水</w:t>
      </w:r>
      <w:r w:rsidR="00E326C4" w:rsidRPr="00D630D1">
        <w:t>属于危害水环境物质，但不属于急性毒性类别</w:t>
      </w:r>
      <w:r w:rsidR="00E326C4" w:rsidRPr="00D630D1">
        <w:t>1</w:t>
      </w:r>
      <w:r w:rsidR="00E326C4" w:rsidRPr="00D630D1">
        <w:t>中物质。故不作为环境风险等级判定物质，本次评价仅对其在储存过程中的风险提出措施</w:t>
      </w:r>
      <w:r w:rsidRPr="00D630D1">
        <w:t>。</w:t>
      </w:r>
    </w:p>
    <w:p w:rsidR="007C1654" w:rsidRPr="00D630D1" w:rsidRDefault="007C1654" w:rsidP="007C1654">
      <w:pPr>
        <w:pStyle w:val="afa"/>
        <w:ind w:firstLine="480"/>
      </w:pPr>
      <w:r w:rsidRPr="00D630D1">
        <w:t>根据地</w:t>
      </w:r>
      <w:r w:rsidRPr="00D630D1">
        <w:t>7</w:t>
      </w:r>
      <w:r w:rsidRPr="00D630D1">
        <w:t>章环境风险分析，</w:t>
      </w:r>
      <w:r w:rsidR="00043E39" w:rsidRPr="00D630D1">
        <w:t>本项目危险</w:t>
      </w:r>
      <w:r w:rsidR="00043E39" w:rsidRPr="00D630D1">
        <w:rPr>
          <w:rFonts w:hint="eastAsia"/>
        </w:rPr>
        <w:t>物质</w:t>
      </w:r>
      <w:r w:rsidR="00043E39" w:rsidRPr="00D630D1">
        <w:t>最大存在量</w:t>
      </w:r>
      <w:r w:rsidR="00043E39" w:rsidRPr="00D630D1">
        <w:t>Q=</w:t>
      </w:r>
      <w:r w:rsidR="00043E39" w:rsidRPr="00D630D1">
        <w:rPr>
          <w:rFonts w:hint="eastAsia"/>
        </w:rPr>
        <w:t>1.</w:t>
      </w:r>
      <w:r w:rsidR="002A4396">
        <w:rPr>
          <w:rFonts w:hint="eastAsia"/>
        </w:rPr>
        <w:t>113</w:t>
      </w:r>
      <w:r w:rsidR="00043E39" w:rsidRPr="00D630D1">
        <w:rPr>
          <w:rFonts w:hint="eastAsia"/>
        </w:rPr>
        <w:t>7</w:t>
      </w:r>
      <w:r w:rsidR="00043E39" w:rsidRPr="00D630D1">
        <w:rPr>
          <w:rFonts w:hint="eastAsia"/>
        </w:rPr>
        <w:t>，</w:t>
      </w:r>
      <w:r w:rsidR="00043E39" w:rsidRPr="00D630D1">
        <w:rPr>
          <w:rFonts w:hint="eastAsia"/>
        </w:rPr>
        <w:t>Q</w:t>
      </w:r>
      <w:r w:rsidR="00043E39" w:rsidRPr="00D630D1">
        <w:rPr>
          <w:rFonts w:hint="eastAsia"/>
        </w:rPr>
        <w:t>值划分为（</w:t>
      </w:r>
      <w:r w:rsidR="00043E39" w:rsidRPr="00D630D1">
        <w:rPr>
          <w:rFonts w:hint="eastAsia"/>
        </w:rPr>
        <w:t>1</w:t>
      </w:r>
      <w:r w:rsidR="00043E39" w:rsidRPr="00D630D1">
        <w:rPr>
          <w:rFonts w:hint="eastAsia"/>
        </w:rPr>
        <w:t>）</w:t>
      </w:r>
      <w:r w:rsidR="00043E39" w:rsidRPr="00D630D1">
        <w:rPr>
          <w:rFonts w:hint="eastAsia"/>
        </w:rPr>
        <w:t>1</w:t>
      </w:r>
      <w:r w:rsidR="00043E39" w:rsidRPr="00D630D1">
        <w:rPr>
          <w:rFonts w:hint="eastAsia"/>
        </w:rPr>
        <w:t>＜</w:t>
      </w:r>
      <w:r w:rsidR="00043E39" w:rsidRPr="00D630D1">
        <w:rPr>
          <w:rFonts w:hint="eastAsia"/>
        </w:rPr>
        <w:t>Q</w:t>
      </w:r>
      <w:r w:rsidR="00043E39" w:rsidRPr="00D630D1">
        <w:rPr>
          <w:rFonts w:hint="eastAsia"/>
        </w:rPr>
        <w:t>≤</w:t>
      </w:r>
      <w:r w:rsidR="00043E39" w:rsidRPr="00D630D1">
        <w:rPr>
          <w:rFonts w:hint="eastAsia"/>
        </w:rPr>
        <w:t>10</w:t>
      </w:r>
      <w:r w:rsidR="00043E39" w:rsidRPr="00D630D1">
        <w:rPr>
          <w:rFonts w:hint="eastAsia"/>
        </w:rPr>
        <w:t>；</w:t>
      </w:r>
      <w:r w:rsidR="00043E39" w:rsidRPr="00D630D1">
        <w:rPr>
          <w:kern w:val="2"/>
        </w:rPr>
        <w:t>本项目行业及生产工艺</w:t>
      </w:r>
      <w:r w:rsidR="00043E39" w:rsidRPr="00D630D1">
        <w:rPr>
          <w:kern w:val="2"/>
        </w:rPr>
        <w:t>M</w:t>
      </w:r>
      <w:r w:rsidR="00043E39" w:rsidRPr="00D630D1">
        <w:rPr>
          <w:kern w:val="2"/>
        </w:rPr>
        <w:t>为</w:t>
      </w:r>
      <w:r w:rsidR="00043E39" w:rsidRPr="00D630D1">
        <w:rPr>
          <w:rFonts w:hint="eastAsia"/>
          <w:kern w:val="2"/>
        </w:rPr>
        <w:t>15</w:t>
      </w:r>
      <w:r w:rsidR="00043E39" w:rsidRPr="00D630D1">
        <w:rPr>
          <w:kern w:val="2"/>
        </w:rPr>
        <w:t>，属于</w:t>
      </w:r>
      <w:r w:rsidR="00043E39" w:rsidRPr="00D630D1">
        <w:rPr>
          <w:rFonts w:hint="eastAsia"/>
          <w:kern w:val="2"/>
        </w:rPr>
        <w:t>（</w:t>
      </w:r>
      <w:r w:rsidR="00043E39" w:rsidRPr="00D630D1">
        <w:rPr>
          <w:rFonts w:hint="eastAsia"/>
          <w:kern w:val="2"/>
        </w:rPr>
        <w:t>2</w:t>
      </w:r>
      <w:r w:rsidR="00043E39" w:rsidRPr="00D630D1">
        <w:rPr>
          <w:rFonts w:hint="eastAsia"/>
          <w:kern w:val="2"/>
        </w:rPr>
        <w:t>）</w:t>
      </w:r>
      <w:r w:rsidR="00043E39" w:rsidRPr="00D630D1">
        <w:rPr>
          <w:kern w:val="2"/>
        </w:rPr>
        <w:t>10</w:t>
      </w:r>
      <w:r w:rsidR="00043E39" w:rsidRPr="00D630D1">
        <w:rPr>
          <w:kern w:val="2"/>
        </w:rPr>
        <w:t>＜</w:t>
      </w:r>
      <w:r w:rsidR="00043E39" w:rsidRPr="00D630D1">
        <w:rPr>
          <w:kern w:val="2"/>
        </w:rPr>
        <w:t>M≤20</w:t>
      </w:r>
      <w:r w:rsidR="00043E39" w:rsidRPr="00D630D1">
        <w:rPr>
          <w:rFonts w:hint="eastAsia"/>
          <w:kern w:val="2"/>
        </w:rPr>
        <w:t>（以</w:t>
      </w:r>
      <w:r w:rsidR="00043E39" w:rsidRPr="00D630D1">
        <w:rPr>
          <w:kern w:val="2"/>
        </w:rPr>
        <w:t>M</w:t>
      </w:r>
      <w:r w:rsidR="00043E39" w:rsidRPr="00D630D1">
        <w:rPr>
          <w:rFonts w:hint="eastAsia"/>
          <w:kern w:val="2"/>
        </w:rPr>
        <w:t>2</w:t>
      </w:r>
      <w:r w:rsidR="00043E39" w:rsidRPr="00D630D1">
        <w:rPr>
          <w:rFonts w:hint="eastAsia"/>
          <w:kern w:val="2"/>
        </w:rPr>
        <w:t>表示）；</w:t>
      </w:r>
      <w:r w:rsidR="00043E39" w:rsidRPr="00D630D1">
        <w:rPr>
          <w:kern w:val="2"/>
        </w:rPr>
        <w:t>本项目危险物质及工艺系统危险性等级（</w:t>
      </w:r>
      <w:r w:rsidR="00043E39" w:rsidRPr="00D630D1">
        <w:rPr>
          <w:kern w:val="2"/>
        </w:rPr>
        <w:t>P</w:t>
      </w:r>
      <w:r w:rsidR="00043E39" w:rsidRPr="00D630D1">
        <w:rPr>
          <w:kern w:val="2"/>
        </w:rPr>
        <w:t>）划分为</w:t>
      </w:r>
      <w:r w:rsidR="00043E39" w:rsidRPr="00D630D1">
        <w:rPr>
          <w:rFonts w:hint="eastAsia"/>
          <w:kern w:val="2"/>
        </w:rPr>
        <w:t>P3</w:t>
      </w:r>
      <w:r w:rsidR="00043E39" w:rsidRPr="00D630D1">
        <w:rPr>
          <w:rFonts w:hint="eastAsia"/>
          <w:kern w:val="2"/>
        </w:rPr>
        <w:t>，</w:t>
      </w:r>
      <w:r w:rsidR="00043E39" w:rsidRPr="00D630D1">
        <w:rPr>
          <w:kern w:val="2"/>
        </w:rPr>
        <w:t>大气环境敏感程度为</w:t>
      </w:r>
      <w:r w:rsidR="00043E39" w:rsidRPr="00D630D1">
        <w:rPr>
          <w:kern w:val="2"/>
        </w:rPr>
        <w:t>E</w:t>
      </w:r>
      <w:r w:rsidR="00043E39" w:rsidRPr="00D630D1">
        <w:rPr>
          <w:rFonts w:hint="eastAsia"/>
          <w:kern w:val="2"/>
        </w:rPr>
        <w:t>3</w:t>
      </w:r>
      <w:r w:rsidR="00043E39" w:rsidRPr="00D630D1">
        <w:rPr>
          <w:rFonts w:hint="eastAsia"/>
          <w:kern w:val="2"/>
        </w:rPr>
        <w:t>，</w:t>
      </w:r>
      <w:r w:rsidR="00043E39" w:rsidRPr="00D630D1">
        <w:rPr>
          <w:kern w:val="2"/>
        </w:rPr>
        <w:t>地表水环境敏感程度为</w:t>
      </w:r>
      <w:r w:rsidR="00043E39" w:rsidRPr="00D630D1">
        <w:rPr>
          <w:kern w:val="2"/>
        </w:rPr>
        <w:t>E2</w:t>
      </w:r>
      <w:r w:rsidR="00043E39" w:rsidRPr="00D630D1">
        <w:rPr>
          <w:rFonts w:hint="eastAsia"/>
          <w:kern w:val="2"/>
        </w:rPr>
        <w:t>，</w:t>
      </w:r>
      <w:r w:rsidR="00043E39" w:rsidRPr="00D630D1">
        <w:rPr>
          <w:kern w:val="2"/>
        </w:rPr>
        <w:t>地下水环境敏感程度为</w:t>
      </w:r>
      <w:r w:rsidR="00043E39" w:rsidRPr="00D630D1">
        <w:rPr>
          <w:kern w:val="2"/>
        </w:rPr>
        <w:t>E3</w:t>
      </w:r>
      <w:r w:rsidR="00043E39" w:rsidRPr="00D630D1">
        <w:rPr>
          <w:rFonts w:hint="eastAsia"/>
          <w:kern w:val="2"/>
        </w:rPr>
        <w:t>；</w:t>
      </w:r>
      <w:r w:rsidR="00043E39" w:rsidRPr="00D630D1">
        <w:rPr>
          <w:kern w:val="2"/>
        </w:rPr>
        <w:t>根据《建设项目环境风险评价技术导则》（</w:t>
      </w:r>
      <w:r w:rsidR="00043E39" w:rsidRPr="00D630D1">
        <w:rPr>
          <w:kern w:val="2"/>
        </w:rPr>
        <w:t>HJ169-2018</w:t>
      </w:r>
      <w:r w:rsidR="00043E39" w:rsidRPr="00D630D1">
        <w:rPr>
          <w:kern w:val="2"/>
        </w:rPr>
        <w:t>）中关于环境风险评价工作等级的划分方法，本项目风险潜势为</w:t>
      </w:r>
      <w:r w:rsidR="00043E39" w:rsidRPr="00D630D1">
        <w:rPr>
          <w:rFonts w:ascii="宋体" w:hAnsi="宋体" w:cs="宋体" w:hint="eastAsia"/>
          <w:kern w:val="2"/>
        </w:rPr>
        <w:t>Ⅲ</w:t>
      </w:r>
      <w:r w:rsidR="00043E39" w:rsidRPr="00D630D1">
        <w:rPr>
          <w:kern w:val="2"/>
        </w:rPr>
        <w:t>，确定本项目环境风险评价等级为</w:t>
      </w:r>
      <w:r w:rsidR="00043E39" w:rsidRPr="00D630D1">
        <w:rPr>
          <w:rFonts w:hint="eastAsia"/>
          <w:kern w:val="2"/>
        </w:rPr>
        <w:t>二级</w:t>
      </w:r>
      <w:r w:rsidR="00043E39" w:rsidRPr="00D630D1">
        <w:rPr>
          <w:kern w:val="2"/>
        </w:rPr>
        <w:t>。</w:t>
      </w:r>
    </w:p>
    <w:p w:rsidR="00380F96" w:rsidRPr="00D630D1" w:rsidRDefault="00380F96" w:rsidP="00380F96">
      <w:pPr>
        <w:ind w:firstLine="490"/>
        <w:rPr>
          <w:rFonts w:ascii="Times New Roman" w:cs="Times New Roman"/>
          <w:b/>
          <w:bCs/>
          <w:spacing w:val="2"/>
          <w:kern w:val="2"/>
          <w:position w:val="2"/>
          <w:szCs w:val="22"/>
        </w:rPr>
      </w:pPr>
      <w:bookmarkStart w:id="77" w:name="_Hlk53176163"/>
      <w:r w:rsidRPr="00D630D1">
        <w:rPr>
          <w:rFonts w:ascii="Times New Roman" w:cs="Times New Roman"/>
          <w:b/>
          <w:bCs/>
          <w:spacing w:val="2"/>
          <w:kern w:val="2"/>
          <w:position w:val="2"/>
          <w:szCs w:val="22"/>
        </w:rPr>
        <w:t>2</w:t>
      </w:r>
      <w:r w:rsidRPr="00D630D1">
        <w:rPr>
          <w:rFonts w:ascii="Times New Roman" w:cs="Times New Roman"/>
          <w:b/>
          <w:bCs/>
          <w:spacing w:val="2"/>
          <w:kern w:val="2"/>
          <w:position w:val="2"/>
          <w:szCs w:val="22"/>
        </w:rPr>
        <w:t>、评价范围</w:t>
      </w:r>
    </w:p>
    <w:bookmarkEnd w:id="76"/>
    <w:p w:rsidR="00380F96" w:rsidRPr="00D630D1" w:rsidRDefault="007C1654" w:rsidP="007C1654">
      <w:pPr>
        <w:pStyle w:val="afa"/>
        <w:ind w:firstLine="480"/>
      </w:pPr>
      <w:r w:rsidRPr="00D630D1">
        <w:t>风险评价范围为沿管线两侧各</w:t>
      </w:r>
      <w:r w:rsidR="00043E39" w:rsidRPr="00D630D1">
        <w:rPr>
          <w:rFonts w:hint="eastAsia"/>
        </w:rPr>
        <w:t>2</w:t>
      </w:r>
      <w:r w:rsidRPr="00D630D1">
        <w:t>00m</w:t>
      </w:r>
      <w:r w:rsidRPr="00D630D1">
        <w:t>的带状区域</w:t>
      </w:r>
      <w:r w:rsidR="00535F05" w:rsidRPr="00D630D1">
        <w:rPr>
          <w:rFonts w:hint="eastAsia"/>
        </w:rPr>
        <w:t>，</w:t>
      </w:r>
      <w:r w:rsidR="00535F05" w:rsidRPr="00D630D1">
        <w:t>站场</w:t>
      </w:r>
      <w:r w:rsidR="00535F05" w:rsidRPr="00D630D1">
        <w:rPr>
          <w:rFonts w:hint="eastAsia"/>
        </w:rPr>
        <w:t>周边</w:t>
      </w:r>
      <w:r w:rsidR="00535F05" w:rsidRPr="00D630D1">
        <w:rPr>
          <w:rFonts w:hint="eastAsia"/>
        </w:rPr>
        <w:t>5</w:t>
      </w:r>
      <w:r w:rsidR="00043E39" w:rsidRPr="00D630D1">
        <w:rPr>
          <w:rFonts w:hint="eastAsia"/>
        </w:rPr>
        <w:t>k</w:t>
      </w:r>
      <w:r w:rsidR="00535F05" w:rsidRPr="00D630D1">
        <w:rPr>
          <w:rFonts w:hint="eastAsia"/>
        </w:rPr>
        <w:t>m</w:t>
      </w:r>
      <w:r w:rsidR="00535F05" w:rsidRPr="00D630D1">
        <w:rPr>
          <w:rFonts w:hint="eastAsia"/>
        </w:rPr>
        <w:t>区域</w:t>
      </w:r>
      <w:r w:rsidRPr="00D630D1">
        <w:t>。</w:t>
      </w:r>
    </w:p>
    <w:bookmarkEnd w:id="77"/>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1.6.8 </w:t>
      </w:r>
      <w:r w:rsidRPr="00D630D1">
        <w:rPr>
          <w:rFonts w:ascii="Times New Roman" w:cs="Times New Roman"/>
          <w:b/>
          <w:szCs w:val="32"/>
        </w:rPr>
        <w:t>工作等级的评价范围表</w:t>
      </w:r>
    </w:p>
    <w:p w:rsidR="00117C3D" w:rsidRPr="00D630D1" w:rsidRDefault="008B5B84" w:rsidP="00380F96">
      <w:pPr>
        <w:pStyle w:val="10"/>
        <w:rPr>
          <w:rFonts w:cs="Times New Roman"/>
        </w:rPr>
      </w:pPr>
      <w:r w:rsidRPr="00D630D1">
        <w:rPr>
          <w:rFonts w:cs="Times New Roman"/>
        </w:rPr>
        <w:t>表</w:t>
      </w:r>
      <w:r w:rsidRPr="00D630D1">
        <w:rPr>
          <w:rFonts w:cs="Times New Roman"/>
        </w:rPr>
        <w:t>1.6-</w:t>
      </w:r>
      <w:r w:rsidR="006A3F08" w:rsidRPr="00D630D1">
        <w:rPr>
          <w:rFonts w:cs="Times New Roman" w:hint="eastAsia"/>
        </w:rPr>
        <w:t>9</w:t>
      </w:r>
      <w:r w:rsidR="00380F96" w:rsidRPr="00D630D1">
        <w:rPr>
          <w:rFonts w:cs="Times New Roman"/>
        </w:rPr>
        <w:t xml:space="preserve">  </w:t>
      </w:r>
      <w:r w:rsidR="00380F96" w:rsidRPr="00D630D1">
        <w:rPr>
          <w:rFonts w:cs="Times New Roman"/>
        </w:rPr>
        <w:t>项</w:t>
      </w:r>
      <w:r w:rsidRPr="00D630D1">
        <w:rPr>
          <w:rFonts w:cs="Times New Roman"/>
        </w:rPr>
        <w:t>目的工作等级和范围</w:t>
      </w:r>
    </w:p>
    <w:tbl>
      <w:tblPr>
        <w:tblW w:w="5302" w:type="pct"/>
        <w:jc w:val="center"/>
        <w:tblBorders>
          <w:top w:val="single" w:sz="12" w:space="0" w:color="000000"/>
          <w:bottom w:val="single" w:sz="12" w:space="0" w:color="000000"/>
          <w:insideH w:val="single" w:sz="2" w:space="0" w:color="000000"/>
          <w:insideV w:val="single" w:sz="2" w:space="0" w:color="000000"/>
        </w:tblBorders>
        <w:tblCellMar>
          <w:left w:w="0" w:type="dxa"/>
          <w:right w:w="0" w:type="dxa"/>
        </w:tblCellMar>
        <w:tblLook w:val="04A0"/>
      </w:tblPr>
      <w:tblGrid>
        <w:gridCol w:w="948"/>
        <w:gridCol w:w="883"/>
        <w:gridCol w:w="1446"/>
        <w:gridCol w:w="5531"/>
      </w:tblGrid>
      <w:tr w:rsidR="0017585A" w:rsidRPr="00D630D1" w:rsidTr="00A126C5">
        <w:trPr>
          <w:trHeight w:val="16"/>
          <w:jc w:val="center"/>
        </w:trPr>
        <w:tc>
          <w:tcPr>
            <w:tcW w:w="1039" w:type="pct"/>
            <w:gridSpan w:val="2"/>
            <w:vAlign w:val="center"/>
          </w:tcPr>
          <w:p w:rsidR="00117C3D" w:rsidRPr="00D630D1" w:rsidRDefault="008B5B84" w:rsidP="00A64242">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评价内容</w:t>
            </w:r>
          </w:p>
        </w:tc>
        <w:tc>
          <w:tcPr>
            <w:tcW w:w="821" w:type="pct"/>
            <w:vAlign w:val="center"/>
          </w:tcPr>
          <w:p w:rsidR="00117C3D" w:rsidRPr="00D630D1" w:rsidRDefault="008B5B84" w:rsidP="00A64242">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工作等级</w:t>
            </w:r>
          </w:p>
        </w:tc>
        <w:tc>
          <w:tcPr>
            <w:tcW w:w="3140" w:type="pct"/>
            <w:vAlign w:val="center"/>
          </w:tcPr>
          <w:p w:rsidR="00117C3D" w:rsidRPr="00D630D1" w:rsidRDefault="008B5B84" w:rsidP="00A64242">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评价范围</w:t>
            </w:r>
          </w:p>
        </w:tc>
      </w:tr>
      <w:tr w:rsidR="0017585A" w:rsidRPr="00D630D1" w:rsidTr="00A126C5">
        <w:trPr>
          <w:trHeight w:val="16"/>
          <w:jc w:val="center"/>
        </w:trPr>
        <w:tc>
          <w:tcPr>
            <w:tcW w:w="1039" w:type="pct"/>
            <w:gridSpan w:val="2"/>
            <w:vAlign w:val="center"/>
          </w:tcPr>
          <w:p w:rsidR="00117C3D" w:rsidRPr="00D630D1" w:rsidRDefault="008B5B84"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生态环境</w:t>
            </w:r>
          </w:p>
        </w:tc>
        <w:tc>
          <w:tcPr>
            <w:tcW w:w="821" w:type="pct"/>
            <w:vAlign w:val="center"/>
          </w:tcPr>
          <w:p w:rsidR="00117C3D" w:rsidRPr="00D630D1" w:rsidRDefault="00644481"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hint="eastAsia"/>
                <w:kern w:val="2"/>
                <w:sz w:val="21"/>
              </w:rPr>
              <w:t>二</w:t>
            </w:r>
            <w:r w:rsidR="008B5B84" w:rsidRPr="00D630D1">
              <w:rPr>
                <w:rFonts w:ascii="Times New Roman" w:cs="Times New Roman"/>
                <w:kern w:val="2"/>
                <w:sz w:val="21"/>
              </w:rPr>
              <w:t>级</w:t>
            </w:r>
          </w:p>
        </w:tc>
        <w:tc>
          <w:tcPr>
            <w:tcW w:w="3140" w:type="pct"/>
            <w:vAlign w:val="center"/>
          </w:tcPr>
          <w:p w:rsidR="00117C3D" w:rsidRPr="00D630D1" w:rsidRDefault="007E741D" w:rsidP="00644481">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为沿管道两侧各</w:t>
            </w:r>
            <w:r w:rsidRPr="00D630D1">
              <w:rPr>
                <w:rFonts w:ascii="Times New Roman" w:cs="Times New Roman"/>
                <w:kern w:val="2"/>
                <w:sz w:val="21"/>
              </w:rPr>
              <w:t>200m</w:t>
            </w:r>
            <w:r w:rsidRPr="00D630D1">
              <w:rPr>
                <w:rFonts w:ascii="Times New Roman" w:cs="Times New Roman"/>
                <w:kern w:val="2"/>
                <w:sz w:val="21"/>
              </w:rPr>
              <w:t>，站场周边</w:t>
            </w:r>
            <w:r w:rsidR="00644481" w:rsidRPr="00D630D1">
              <w:rPr>
                <w:rFonts w:ascii="Times New Roman" w:cs="Times New Roman" w:hint="eastAsia"/>
                <w:kern w:val="2"/>
                <w:sz w:val="21"/>
              </w:rPr>
              <w:t>20</w:t>
            </w:r>
            <w:r w:rsidRPr="00D630D1">
              <w:rPr>
                <w:rFonts w:ascii="Times New Roman" w:cs="Times New Roman"/>
                <w:kern w:val="2"/>
                <w:sz w:val="21"/>
              </w:rPr>
              <w:t>00m</w:t>
            </w:r>
            <w:r w:rsidRPr="00D630D1">
              <w:rPr>
                <w:rFonts w:ascii="Times New Roman" w:cs="Times New Roman"/>
                <w:kern w:val="2"/>
                <w:sz w:val="21"/>
              </w:rPr>
              <w:t>范围，并对管道沿线涉及的生态环境敏感目标进行调查。</w:t>
            </w:r>
          </w:p>
        </w:tc>
      </w:tr>
      <w:tr w:rsidR="0017585A" w:rsidRPr="00D630D1" w:rsidTr="00A126C5">
        <w:trPr>
          <w:trHeight w:val="16"/>
          <w:jc w:val="center"/>
        </w:trPr>
        <w:tc>
          <w:tcPr>
            <w:tcW w:w="1039" w:type="pct"/>
            <w:gridSpan w:val="2"/>
            <w:vAlign w:val="center"/>
          </w:tcPr>
          <w:p w:rsidR="00117C3D" w:rsidRPr="00D630D1" w:rsidRDefault="008B5B84"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环境空气</w:t>
            </w:r>
          </w:p>
        </w:tc>
        <w:tc>
          <w:tcPr>
            <w:tcW w:w="821" w:type="pct"/>
            <w:vAlign w:val="center"/>
          </w:tcPr>
          <w:p w:rsidR="00117C3D" w:rsidRPr="00D630D1" w:rsidRDefault="008B5B84"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三级</w:t>
            </w:r>
          </w:p>
        </w:tc>
        <w:tc>
          <w:tcPr>
            <w:tcW w:w="3140" w:type="pct"/>
            <w:vAlign w:val="center"/>
          </w:tcPr>
          <w:p w:rsidR="00117C3D" w:rsidRPr="00D630D1" w:rsidRDefault="0028375E" w:rsidP="00572AB4">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hint="eastAsia"/>
                <w:kern w:val="2"/>
                <w:sz w:val="21"/>
              </w:rPr>
              <w:t>以</w:t>
            </w:r>
            <w:r w:rsidR="002C00AE">
              <w:rPr>
                <w:rFonts w:ascii="Times New Roman" w:cs="Times New Roman" w:hint="eastAsia"/>
                <w:kern w:val="2"/>
                <w:sz w:val="21"/>
              </w:rPr>
              <w:t>普光</w:t>
            </w:r>
            <w:r w:rsidR="002C00AE">
              <w:rPr>
                <w:rFonts w:ascii="Times New Roman" w:cs="Times New Roman" w:hint="eastAsia"/>
                <w:kern w:val="2"/>
                <w:sz w:val="21"/>
              </w:rPr>
              <w:t>12</w:t>
            </w:r>
            <w:r w:rsidR="002C00AE">
              <w:rPr>
                <w:rFonts w:ascii="Times New Roman" w:cs="Times New Roman" w:hint="eastAsia"/>
                <w:kern w:val="2"/>
                <w:sz w:val="21"/>
              </w:rPr>
              <w:t>采气站</w:t>
            </w:r>
            <w:r w:rsidRPr="00D630D1">
              <w:rPr>
                <w:rFonts w:ascii="Times New Roman" w:cs="Times New Roman" w:hint="eastAsia"/>
                <w:kern w:val="2"/>
                <w:sz w:val="21"/>
              </w:rPr>
              <w:t>为中心</w:t>
            </w:r>
            <w:r w:rsidR="002641F6" w:rsidRPr="00D630D1">
              <w:rPr>
                <w:rFonts w:ascii="Times New Roman" w:cs="Times New Roman"/>
                <w:kern w:val="2"/>
                <w:sz w:val="21"/>
              </w:rPr>
              <w:t>，边长为</w:t>
            </w:r>
            <w:r w:rsidR="002641F6" w:rsidRPr="00D630D1">
              <w:rPr>
                <w:rFonts w:ascii="Times New Roman" w:cs="Times New Roman"/>
                <w:kern w:val="2"/>
                <w:sz w:val="21"/>
              </w:rPr>
              <w:t>5km</w:t>
            </w:r>
            <w:r w:rsidR="002641F6" w:rsidRPr="00D630D1">
              <w:rPr>
                <w:rFonts w:ascii="Times New Roman" w:cs="Times New Roman"/>
                <w:kern w:val="2"/>
                <w:sz w:val="21"/>
              </w:rPr>
              <w:t>的矩形区域</w:t>
            </w:r>
            <w:r w:rsidR="00E41233" w:rsidRPr="00D630D1">
              <w:rPr>
                <w:rFonts w:ascii="Times New Roman" w:cs="Times New Roman" w:hint="eastAsia"/>
                <w:kern w:val="2"/>
                <w:sz w:val="21"/>
              </w:rPr>
              <w:t>。</w:t>
            </w:r>
          </w:p>
        </w:tc>
      </w:tr>
      <w:tr w:rsidR="0017585A" w:rsidRPr="00D630D1" w:rsidTr="00A126C5">
        <w:trPr>
          <w:trHeight w:val="16"/>
          <w:jc w:val="center"/>
        </w:trPr>
        <w:tc>
          <w:tcPr>
            <w:tcW w:w="1039" w:type="pct"/>
            <w:gridSpan w:val="2"/>
            <w:vAlign w:val="center"/>
          </w:tcPr>
          <w:p w:rsidR="00117C3D" w:rsidRPr="00D630D1" w:rsidRDefault="008B5B84"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地表水</w:t>
            </w:r>
          </w:p>
        </w:tc>
        <w:tc>
          <w:tcPr>
            <w:tcW w:w="821" w:type="pct"/>
            <w:vAlign w:val="center"/>
          </w:tcPr>
          <w:p w:rsidR="00117C3D" w:rsidRPr="00D630D1" w:rsidRDefault="008B5B84"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三级</w:t>
            </w:r>
            <w:r w:rsidRPr="00D630D1">
              <w:rPr>
                <w:rFonts w:ascii="Times New Roman" w:cs="Times New Roman"/>
                <w:kern w:val="2"/>
                <w:sz w:val="21"/>
              </w:rPr>
              <w:t>B</w:t>
            </w:r>
          </w:p>
        </w:tc>
        <w:tc>
          <w:tcPr>
            <w:tcW w:w="3140" w:type="pct"/>
            <w:vAlign w:val="center"/>
          </w:tcPr>
          <w:p w:rsidR="00117C3D" w:rsidRPr="00D630D1" w:rsidRDefault="008B5B84"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本项目不设地表水评价范围</w:t>
            </w:r>
          </w:p>
        </w:tc>
      </w:tr>
      <w:tr w:rsidR="0017585A" w:rsidRPr="00D630D1" w:rsidTr="00A126C5">
        <w:trPr>
          <w:trHeight w:val="16"/>
          <w:jc w:val="center"/>
        </w:trPr>
        <w:tc>
          <w:tcPr>
            <w:tcW w:w="1039" w:type="pct"/>
            <w:gridSpan w:val="2"/>
            <w:vAlign w:val="center"/>
          </w:tcPr>
          <w:p w:rsidR="00117C3D" w:rsidRPr="00D630D1" w:rsidRDefault="008B5B84"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地下水</w:t>
            </w:r>
          </w:p>
        </w:tc>
        <w:tc>
          <w:tcPr>
            <w:tcW w:w="821" w:type="pct"/>
            <w:vAlign w:val="center"/>
          </w:tcPr>
          <w:p w:rsidR="00117C3D" w:rsidRPr="00D630D1" w:rsidRDefault="008B5B84"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三级</w:t>
            </w:r>
          </w:p>
        </w:tc>
        <w:tc>
          <w:tcPr>
            <w:tcW w:w="3140" w:type="pct"/>
            <w:vAlign w:val="center"/>
          </w:tcPr>
          <w:p w:rsidR="00117C3D" w:rsidRPr="00D630D1" w:rsidRDefault="002C00AE" w:rsidP="008F2B19">
            <w:pPr>
              <w:topLinePunct w:val="0"/>
              <w:adjustRightInd/>
              <w:spacing w:line="240" w:lineRule="auto"/>
              <w:ind w:firstLineChars="0" w:firstLine="0"/>
              <w:jc w:val="center"/>
              <w:rPr>
                <w:rFonts w:ascii="Times New Roman" w:cs="Times New Roman"/>
                <w:kern w:val="2"/>
                <w:sz w:val="21"/>
              </w:rPr>
            </w:pPr>
            <w:r>
              <w:rPr>
                <w:rFonts w:ascii="Times New Roman" w:cs="Times New Roman"/>
                <w:bCs/>
                <w:sz w:val="21"/>
                <w:szCs w:val="20"/>
              </w:rPr>
              <w:t>普光</w:t>
            </w:r>
            <w:r>
              <w:rPr>
                <w:rFonts w:ascii="Times New Roman" w:cs="Times New Roman"/>
                <w:bCs/>
                <w:sz w:val="21"/>
                <w:szCs w:val="20"/>
              </w:rPr>
              <w:t>12</w:t>
            </w:r>
            <w:r>
              <w:rPr>
                <w:rFonts w:ascii="Times New Roman" w:cs="Times New Roman"/>
                <w:bCs/>
                <w:sz w:val="21"/>
                <w:szCs w:val="20"/>
              </w:rPr>
              <w:t>采气站</w:t>
            </w:r>
            <w:r w:rsidR="007D517E" w:rsidRPr="00D630D1">
              <w:rPr>
                <w:rFonts w:ascii="Times New Roman" w:cs="Times New Roman" w:hint="eastAsia"/>
                <w:kern w:val="2"/>
                <w:sz w:val="21"/>
              </w:rPr>
              <w:t>周边</w:t>
            </w:r>
            <w:r w:rsidR="008F2B19">
              <w:rPr>
                <w:rFonts w:ascii="Times New Roman" w:cs="Times New Roman" w:hint="eastAsia"/>
                <w:kern w:val="2"/>
                <w:sz w:val="21"/>
              </w:rPr>
              <w:t>9.8</w:t>
            </w:r>
            <w:r w:rsidR="007D517E" w:rsidRPr="00D630D1">
              <w:rPr>
                <w:rFonts w:ascii="Times New Roman" w:cs="Times New Roman" w:hint="eastAsia"/>
                <w:kern w:val="2"/>
                <w:sz w:val="21"/>
              </w:rPr>
              <w:t>km</w:t>
            </w:r>
            <w:r w:rsidR="007D517E" w:rsidRPr="00D630D1">
              <w:rPr>
                <w:rFonts w:ascii="Times New Roman" w:cs="Times New Roman" w:hint="eastAsia"/>
                <w:kern w:val="2"/>
                <w:sz w:val="21"/>
                <w:vertAlign w:val="superscript"/>
              </w:rPr>
              <w:t>2</w:t>
            </w:r>
            <w:r w:rsidR="00A126C5" w:rsidRPr="00D630D1">
              <w:rPr>
                <w:rFonts w:ascii="Times New Roman" w:cs="Times New Roman"/>
                <w:kern w:val="2"/>
                <w:sz w:val="21"/>
              </w:rPr>
              <w:t>；</w:t>
            </w:r>
            <w:r w:rsidR="00A64242" w:rsidRPr="00D630D1">
              <w:rPr>
                <w:rFonts w:ascii="Times New Roman" w:cs="Times New Roman"/>
                <w:kern w:val="2"/>
                <w:sz w:val="21"/>
              </w:rPr>
              <w:t>管道沿线两侧各</w:t>
            </w:r>
            <w:r w:rsidR="00A64242" w:rsidRPr="00D630D1">
              <w:rPr>
                <w:rFonts w:ascii="Times New Roman" w:cs="Times New Roman"/>
                <w:kern w:val="2"/>
                <w:sz w:val="21"/>
              </w:rPr>
              <w:t>200m</w:t>
            </w:r>
            <w:r w:rsidR="00A64242" w:rsidRPr="00D630D1">
              <w:rPr>
                <w:rFonts w:ascii="Times New Roman" w:cs="Times New Roman"/>
                <w:kern w:val="2"/>
                <w:sz w:val="21"/>
              </w:rPr>
              <w:t>的带状区域</w:t>
            </w:r>
            <w:r w:rsidR="00E41233" w:rsidRPr="00D630D1">
              <w:rPr>
                <w:rFonts w:ascii="Times New Roman" w:cs="Times New Roman" w:hint="eastAsia"/>
                <w:kern w:val="2"/>
                <w:sz w:val="21"/>
              </w:rPr>
              <w:t>。</w:t>
            </w:r>
          </w:p>
        </w:tc>
      </w:tr>
      <w:tr w:rsidR="0017585A" w:rsidRPr="00D630D1" w:rsidTr="00A126C5">
        <w:trPr>
          <w:trHeight w:val="122"/>
          <w:jc w:val="center"/>
        </w:trPr>
        <w:tc>
          <w:tcPr>
            <w:tcW w:w="1039" w:type="pct"/>
            <w:gridSpan w:val="2"/>
            <w:vAlign w:val="center"/>
          </w:tcPr>
          <w:p w:rsidR="00117C3D" w:rsidRPr="00D630D1" w:rsidRDefault="008B5B84"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噪声</w:t>
            </w:r>
          </w:p>
        </w:tc>
        <w:tc>
          <w:tcPr>
            <w:tcW w:w="821" w:type="pct"/>
            <w:vAlign w:val="center"/>
          </w:tcPr>
          <w:p w:rsidR="00117C3D" w:rsidRPr="00D630D1" w:rsidRDefault="007E741D"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二</w:t>
            </w:r>
            <w:r w:rsidR="008B5B84" w:rsidRPr="00D630D1">
              <w:rPr>
                <w:rFonts w:ascii="Times New Roman" w:cs="Times New Roman"/>
                <w:kern w:val="2"/>
                <w:sz w:val="21"/>
              </w:rPr>
              <w:t>级</w:t>
            </w:r>
          </w:p>
        </w:tc>
        <w:tc>
          <w:tcPr>
            <w:tcW w:w="3140" w:type="pct"/>
            <w:vAlign w:val="center"/>
          </w:tcPr>
          <w:p w:rsidR="007E741D" w:rsidRPr="00D630D1" w:rsidRDefault="00057F74"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施工期：沿线两侧各</w:t>
            </w:r>
            <w:r w:rsidRPr="00D630D1">
              <w:rPr>
                <w:rFonts w:ascii="Times New Roman" w:cs="Times New Roman"/>
                <w:kern w:val="2"/>
                <w:sz w:val="21"/>
              </w:rPr>
              <w:t>200m</w:t>
            </w:r>
            <w:r w:rsidRPr="00D630D1">
              <w:rPr>
                <w:rFonts w:ascii="Times New Roman" w:cs="Times New Roman"/>
                <w:kern w:val="2"/>
                <w:sz w:val="21"/>
              </w:rPr>
              <w:t>范围内的村庄或居民区。</w:t>
            </w:r>
          </w:p>
          <w:p w:rsidR="00117C3D" w:rsidRPr="00D630D1" w:rsidRDefault="00057F74" w:rsidP="00A64242">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营运期：</w:t>
            </w:r>
            <w:r w:rsidR="002641F6" w:rsidRPr="00D630D1">
              <w:rPr>
                <w:rFonts w:ascii="Times New Roman" w:cs="Times New Roman"/>
                <w:kern w:val="2"/>
                <w:sz w:val="21"/>
              </w:rPr>
              <w:t>站场周边</w:t>
            </w:r>
            <w:r w:rsidR="002641F6" w:rsidRPr="00D630D1">
              <w:rPr>
                <w:rFonts w:ascii="Times New Roman" w:cs="Times New Roman"/>
                <w:kern w:val="2"/>
                <w:sz w:val="21"/>
              </w:rPr>
              <w:t>200m</w:t>
            </w:r>
            <w:r w:rsidR="002641F6" w:rsidRPr="00D630D1">
              <w:rPr>
                <w:rFonts w:ascii="Times New Roman" w:cs="Times New Roman"/>
                <w:kern w:val="2"/>
                <w:sz w:val="21"/>
              </w:rPr>
              <w:t>范围内的村庄或居民区</w:t>
            </w:r>
            <w:r w:rsidRPr="00D630D1">
              <w:rPr>
                <w:rFonts w:ascii="Times New Roman" w:cs="Times New Roman"/>
                <w:kern w:val="2"/>
                <w:sz w:val="21"/>
              </w:rPr>
              <w:t>。</w:t>
            </w:r>
          </w:p>
        </w:tc>
      </w:tr>
      <w:tr w:rsidR="0017585A" w:rsidRPr="00D630D1" w:rsidTr="00A126C5">
        <w:trPr>
          <w:trHeight w:val="150"/>
          <w:jc w:val="center"/>
        </w:trPr>
        <w:tc>
          <w:tcPr>
            <w:tcW w:w="538" w:type="pct"/>
            <w:vMerge w:val="restart"/>
            <w:tcBorders>
              <w:right w:val="single" w:sz="2" w:space="0" w:color="000000"/>
            </w:tcBorders>
            <w:vAlign w:val="center"/>
          </w:tcPr>
          <w:p w:rsidR="007E741D" w:rsidRPr="00D630D1" w:rsidRDefault="007E741D" w:rsidP="007E741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土壤</w:t>
            </w:r>
          </w:p>
        </w:tc>
        <w:tc>
          <w:tcPr>
            <w:tcW w:w="501" w:type="pct"/>
            <w:tcBorders>
              <w:left w:val="single" w:sz="2" w:space="0" w:color="000000"/>
              <w:bottom w:val="single" w:sz="2" w:space="0" w:color="000000"/>
            </w:tcBorders>
            <w:vAlign w:val="center"/>
          </w:tcPr>
          <w:p w:rsidR="007E741D" w:rsidRPr="00D630D1" w:rsidRDefault="007E741D" w:rsidP="007E741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管线</w:t>
            </w:r>
          </w:p>
        </w:tc>
        <w:tc>
          <w:tcPr>
            <w:tcW w:w="821" w:type="pct"/>
            <w:tcBorders>
              <w:bottom w:val="single" w:sz="2" w:space="0" w:color="000000"/>
            </w:tcBorders>
            <w:vAlign w:val="center"/>
          </w:tcPr>
          <w:p w:rsidR="007E741D" w:rsidRPr="00D630D1" w:rsidRDefault="007E741D" w:rsidP="007E741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不开展评价</w:t>
            </w:r>
          </w:p>
        </w:tc>
        <w:tc>
          <w:tcPr>
            <w:tcW w:w="3140" w:type="pct"/>
            <w:vAlign w:val="center"/>
          </w:tcPr>
          <w:p w:rsidR="007E741D" w:rsidRPr="00D630D1" w:rsidRDefault="007E741D" w:rsidP="007E741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w:t>
            </w:r>
          </w:p>
        </w:tc>
      </w:tr>
      <w:tr w:rsidR="0017585A" w:rsidRPr="00D630D1" w:rsidTr="00A126C5">
        <w:trPr>
          <w:trHeight w:val="16"/>
          <w:jc w:val="center"/>
        </w:trPr>
        <w:tc>
          <w:tcPr>
            <w:tcW w:w="538" w:type="pct"/>
            <w:vMerge/>
            <w:tcBorders>
              <w:right w:val="single" w:sz="2" w:space="0" w:color="000000"/>
            </w:tcBorders>
            <w:vAlign w:val="center"/>
          </w:tcPr>
          <w:p w:rsidR="007E741D" w:rsidRPr="00D630D1" w:rsidRDefault="007E741D" w:rsidP="007E741D">
            <w:pPr>
              <w:topLinePunct w:val="0"/>
              <w:adjustRightInd/>
              <w:spacing w:line="240" w:lineRule="auto"/>
              <w:ind w:firstLineChars="0" w:firstLine="0"/>
              <w:jc w:val="center"/>
              <w:rPr>
                <w:rFonts w:ascii="Times New Roman" w:cs="Times New Roman"/>
                <w:kern w:val="2"/>
                <w:sz w:val="21"/>
              </w:rPr>
            </w:pPr>
          </w:p>
        </w:tc>
        <w:tc>
          <w:tcPr>
            <w:tcW w:w="501" w:type="pct"/>
            <w:tcBorders>
              <w:top w:val="single" w:sz="2" w:space="0" w:color="000000"/>
              <w:left w:val="single" w:sz="2" w:space="0" w:color="000000"/>
              <w:bottom w:val="single" w:sz="2" w:space="0" w:color="000000"/>
            </w:tcBorders>
            <w:vAlign w:val="center"/>
          </w:tcPr>
          <w:p w:rsidR="007E741D" w:rsidRPr="00D630D1" w:rsidRDefault="007E741D" w:rsidP="007E741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场站</w:t>
            </w:r>
          </w:p>
        </w:tc>
        <w:tc>
          <w:tcPr>
            <w:tcW w:w="821" w:type="pct"/>
            <w:tcBorders>
              <w:top w:val="single" w:sz="2" w:space="0" w:color="000000"/>
              <w:bottom w:val="single" w:sz="2" w:space="0" w:color="000000"/>
            </w:tcBorders>
            <w:vAlign w:val="center"/>
          </w:tcPr>
          <w:p w:rsidR="007E741D" w:rsidRPr="00D630D1" w:rsidRDefault="007E741D" w:rsidP="007E741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二级</w:t>
            </w:r>
          </w:p>
        </w:tc>
        <w:tc>
          <w:tcPr>
            <w:tcW w:w="3140" w:type="pct"/>
            <w:vAlign w:val="center"/>
          </w:tcPr>
          <w:p w:rsidR="007E741D" w:rsidRPr="00D630D1" w:rsidRDefault="007E741D" w:rsidP="007E741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站场外</w:t>
            </w:r>
            <w:r w:rsidRPr="00D630D1">
              <w:rPr>
                <w:rFonts w:ascii="Times New Roman" w:cs="Times New Roman"/>
                <w:kern w:val="2"/>
                <w:sz w:val="21"/>
              </w:rPr>
              <w:t>200m</w:t>
            </w:r>
            <w:r w:rsidRPr="00D630D1">
              <w:rPr>
                <w:rFonts w:ascii="Times New Roman" w:cs="Times New Roman"/>
                <w:kern w:val="2"/>
                <w:sz w:val="21"/>
              </w:rPr>
              <w:t>范围</w:t>
            </w:r>
          </w:p>
        </w:tc>
      </w:tr>
      <w:tr w:rsidR="0017585A" w:rsidRPr="00D630D1" w:rsidTr="00A126C5">
        <w:trPr>
          <w:trHeight w:val="193"/>
          <w:jc w:val="center"/>
        </w:trPr>
        <w:tc>
          <w:tcPr>
            <w:tcW w:w="538" w:type="pct"/>
            <w:vMerge w:val="restart"/>
            <w:tcBorders>
              <w:right w:val="single" w:sz="2" w:space="0" w:color="000000"/>
            </w:tcBorders>
            <w:vAlign w:val="center"/>
          </w:tcPr>
          <w:p w:rsidR="007E741D" w:rsidRPr="00D630D1" w:rsidRDefault="007E741D" w:rsidP="007E741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环境风险</w:t>
            </w:r>
          </w:p>
        </w:tc>
        <w:tc>
          <w:tcPr>
            <w:tcW w:w="501" w:type="pct"/>
            <w:tcBorders>
              <w:top w:val="single" w:sz="2" w:space="0" w:color="000000"/>
              <w:left w:val="single" w:sz="2" w:space="0" w:color="000000"/>
              <w:bottom w:val="single" w:sz="2" w:space="0" w:color="000000"/>
            </w:tcBorders>
            <w:vAlign w:val="center"/>
          </w:tcPr>
          <w:p w:rsidR="007E741D" w:rsidRPr="00D630D1" w:rsidRDefault="007E741D" w:rsidP="007E741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管线</w:t>
            </w:r>
          </w:p>
        </w:tc>
        <w:tc>
          <w:tcPr>
            <w:tcW w:w="821" w:type="pct"/>
            <w:tcBorders>
              <w:top w:val="single" w:sz="2" w:space="0" w:color="000000"/>
              <w:bottom w:val="single" w:sz="2" w:space="0" w:color="000000"/>
            </w:tcBorders>
            <w:vAlign w:val="center"/>
          </w:tcPr>
          <w:p w:rsidR="007E741D" w:rsidRPr="00D630D1" w:rsidRDefault="00043E39" w:rsidP="007E741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二级</w:t>
            </w:r>
          </w:p>
        </w:tc>
        <w:tc>
          <w:tcPr>
            <w:tcW w:w="3140" w:type="pct"/>
            <w:vAlign w:val="center"/>
          </w:tcPr>
          <w:p w:rsidR="007E741D" w:rsidRPr="00D630D1" w:rsidRDefault="007E741D" w:rsidP="00043E39">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管道沿线两侧各</w:t>
            </w:r>
            <w:r w:rsidR="00043E39" w:rsidRPr="00D630D1">
              <w:rPr>
                <w:rFonts w:ascii="Times New Roman" w:cs="Times New Roman" w:hint="eastAsia"/>
                <w:kern w:val="2"/>
                <w:sz w:val="21"/>
              </w:rPr>
              <w:t>2</w:t>
            </w:r>
            <w:r w:rsidRPr="00D630D1">
              <w:rPr>
                <w:rFonts w:ascii="Times New Roman" w:cs="Times New Roman"/>
                <w:kern w:val="2"/>
                <w:sz w:val="21"/>
              </w:rPr>
              <w:t>00m</w:t>
            </w:r>
            <w:r w:rsidRPr="00D630D1">
              <w:rPr>
                <w:rFonts w:ascii="Times New Roman" w:cs="Times New Roman"/>
                <w:kern w:val="2"/>
                <w:sz w:val="21"/>
              </w:rPr>
              <w:t>的带状区域</w:t>
            </w:r>
          </w:p>
        </w:tc>
      </w:tr>
      <w:tr w:rsidR="0017585A" w:rsidRPr="00D630D1" w:rsidTr="00A126C5">
        <w:trPr>
          <w:trHeight w:val="16"/>
          <w:jc w:val="center"/>
        </w:trPr>
        <w:tc>
          <w:tcPr>
            <w:tcW w:w="538" w:type="pct"/>
            <w:vMerge/>
            <w:tcBorders>
              <w:right w:val="single" w:sz="2" w:space="0" w:color="000000"/>
            </w:tcBorders>
            <w:vAlign w:val="center"/>
          </w:tcPr>
          <w:p w:rsidR="007E741D" w:rsidRPr="00D630D1" w:rsidRDefault="007E741D" w:rsidP="007E741D">
            <w:pPr>
              <w:topLinePunct w:val="0"/>
              <w:adjustRightInd/>
              <w:spacing w:line="240" w:lineRule="auto"/>
              <w:ind w:firstLineChars="0" w:firstLine="0"/>
              <w:jc w:val="center"/>
              <w:rPr>
                <w:rFonts w:ascii="Times New Roman" w:cs="Times New Roman"/>
                <w:kern w:val="2"/>
                <w:sz w:val="21"/>
              </w:rPr>
            </w:pPr>
          </w:p>
        </w:tc>
        <w:tc>
          <w:tcPr>
            <w:tcW w:w="501" w:type="pct"/>
            <w:tcBorders>
              <w:top w:val="single" w:sz="2" w:space="0" w:color="000000"/>
              <w:left w:val="single" w:sz="2" w:space="0" w:color="000000"/>
            </w:tcBorders>
            <w:vAlign w:val="center"/>
          </w:tcPr>
          <w:p w:rsidR="007E741D" w:rsidRPr="00D630D1" w:rsidRDefault="007E741D" w:rsidP="007E741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场站</w:t>
            </w:r>
          </w:p>
        </w:tc>
        <w:tc>
          <w:tcPr>
            <w:tcW w:w="821" w:type="pct"/>
            <w:tcBorders>
              <w:top w:val="single" w:sz="2" w:space="0" w:color="000000"/>
            </w:tcBorders>
            <w:vAlign w:val="center"/>
          </w:tcPr>
          <w:p w:rsidR="007E741D" w:rsidRPr="00D630D1" w:rsidRDefault="00043E39" w:rsidP="007E741D">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二级</w:t>
            </w:r>
          </w:p>
        </w:tc>
        <w:tc>
          <w:tcPr>
            <w:tcW w:w="3140" w:type="pct"/>
            <w:vAlign w:val="center"/>
          </w:tcPr>
          <w:p w:rsidR="007E741D" w:rsidRPr="00D630D1" w:rsidRDefault="007C1654" w:rsidP="00043E39">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站场周边</w:t>
            </w:r>
            <w:r w:rsidRPr="00D630D1">
              <w:rPr>
                <w:rFonts w:ascii="Times New Roman" w:cs="Times New Roman"/>
                <w:kern w:val="2"/>
                <w:sz w:val="21"/>
              </w:rPr>
              <w:t>5</w:t>
            </w:r>
            <w:r w:rsidR="00043E39" w:rsidRPr="00D630D1">
              <w:rPr>
                <w:rFonts w:ascii="Times New Roman" w:cs="Times New Roman" w:hint="eastAsia"/>
                <w:kern w:val="2"/>
                <w:sz w:val="21"/>
              </w:rPr>
              <w:t>k</w:t>
            </w:r>
            <w:r w:rsidRPr="00D630D1">
              <w:rPr>
                <w:rFonts w:ascii="Times New Roman" w:cs="Times New Roman"/>
                <w:kern w:val="2"/>
                <w:sz w:val="21"/>
              </w:rPr>
              <w:t>m</w:t>
            </w:r>
            <w:r w:rsidRPr="00D630D1">
              <w:rPr>
                <w:rFonts w:ascii="Times New Roman" w:cs="Times New Roman"/>
                <w:kern w:val="2"/>
                <w:sz w:val="21"/>
              </w:rPr>
              <w:t>区域</w:t>
            </w:r>
          </w:p>
        </w:tc>
      </w:tr>
    </w:tbl>
    <w:p w:rsidR="00117C3D" w:rsidRPr="00D630D1" w:rsidRDefault="008B5B84" w:rsidP="00CC0D0B">
      <w:pPr>
        <w:keepNext/>
        <w:keepLines/>
        <w:spacing w:before="120"/>
        <w:ind w:firstLineChars="0" w:firstLine="0"/>
        <w:outlineLvl w:val="1"/>
        <w:rPr>
          <w:rFonts w:ascii="Times New Roman" w:cs="Times New Roman"/>
          <w:b/>
          <w:bCs/>
          <w:sz w:val="28"/>
          <w:szCs w:val="32"/>
        </w:rPr>
      </w:pPr>
      <w:bookmarkStart w:id="78" w:name="bookmark8"/>
      <w:bookmarkStart w:id="79" w:name="bookmark6"/>
      <w:bookmarkStart w:id="80" w:name="_Toc81515256"/>
      <w:bookmarkStart w:id="81" w:name="_Toc19815944"/>
      <w:bookmarkStart w:id="82" w:name="_Toc12288391"/>
      <w:bookmarkEnd w:id="78"/>
      <w:bookmarkEnd w:id="79"/>
      <w:r w:rsidRPr="00D630D1">
        <w:rPr>
          <w:rFonts w:ascii="Times New Roman" w:cs="Times New Roman"/>
          <w:b/>
          <w:bCs/>
          <w:sz w:val="28"/>
          <w:szCs w:val="32"/>
        </w:rPr>
        <w:t xml:space="preserve">1.7 </w:t>
      </w:r>
      <w:r w:rsidRPr="00D630D1">
        <w:rPr>
          <w:rFonts w:ascii="Times New Roman" w:cs="Times New Roman"/>
          <w:b/>
          <w:bCs/>
          <w:sz w:val="28"/>
          <w:szCs w:val="32"/>
        </w:rPr>
        <w:t>选址符合性分析</w:t>
      </w:r>
      <w:bookmarkEnd w:id="80"/>
    </w:p>
    <w:p w:rsidR="00117C3D" w:rsidRPr="00D630D1" w:rsidRDefault="008B5B84" w:rsidP="00A64242">
      <w:pPr>
        <w:pStyle w:val="afa"/>
        <w:ind w:firstLine="480"/>
      </w:pPr>
      <w:bookmarkStart w:id="83" w:name="bookmark30"/>
      <w:bookmarkEnd w:id="83"/>
      <w:r w:rsidRPr="00D630D1">
        <w:t>管道线路工程的特点决定了其对周围环境的影响是线性影响。路由的选择和确定，将对管道沿线周围敏感区域的影响起到决定性的作用，同时对是否符合管</w:t>
      </w:r>
      <w:r w:rsidRPr="00D630D1">
        <w:lastRenderedPageBreak/>
        <w:t>道沿线各城镇发展规划、环境保护规划、生态保护规划等也起到了决定性的作用。因此，确定了线路的路由也就确定了其对沿线周围环境的影响程度。</w:t>
      </w:r>
    </w:p>
    <w:p w:rsidR="00117C3D" w:rsidRPr="00D630D1" w:rsidRDefault="008B5B84" w:rsidP="00A64242">
      <w:pPr>
        <w:pStyle w:val="afa"/>
        <w:ind w:firstLine="480"/>
      </w:pPr>
      <w:r w:rsidRPr="00D630D1">
        <w:t>本项目吸取了以往输气管道的建设经验，特别是在保护环境方面。对工程路由的确定采取了在可研阶段就让环评工作介入，对拟定的比选线路进行初步评价，充分听取环境初步评价意见。采取避绕或改线等措施，优化线路对环境的影响，减少管道沿线对环境敏感区域的影响。</w:t>
      </w:r>
    </w:p>
    <w:p w:rsidR="00117C3D" w:rsidRPr="00D630D1" w:rsidRDefault="008B5B84">
      <w:pPr>
        <w:keepNext/>
        <w:keepLines/>
        <w:ind w:firstLineChars="0" w:firstLine="0"/>
        <w:outlineLvl w:val="2"/>
        <w:rPr>
          <w:rFonts w:ascii="Times New Roman" w:cs="Times New Roman"/>
          <w:b/>
          <w:szCs w:val="32"/>
        </w:rPr>
      </w:pPr>
      <w:bookmarkStart w:id="84" w:name="_Toc19816021"/>
      <w:bookmarkStart w:id="85" w:name="_Toc12288593"/>
      <w:r w:rsidRPr="00D630D1">
        <w:rPr>
          <w:rFonts w:ascii="Times New Roman" w:cs="Times New Roman"/>
          <w:b/>
          <w:szCs w:val="32"/>
        </w:rPr>
        <w:t xml:space="preserve">1.7.1 </w:t>
      </w:r>
      <w:r w:rsidR="00BF0A0F" w:rsidRPr="00D630D1">
        <w:rPr>
          <w:rFonts w:ascii="Times New Roman" w:cs="Times New Roman" w:hint="eastAsia"/>
          <w:b/>
          <w:szCs w:val="32"/>
        </w:rPr>
        <w:t>管线</w:t>
      </w:r>
      <w:r w:rsidRPr="00D630D1">
        <w:rPr>
          <w:rFonts w:ascii="Times New Roman" w:cs="Times New Roman"/>
          <w:b/>
          <w:szCs w:val="32"/>
        </w:rPr>
        <w:t>选址原则</w:t>
      </w:r>
      <w:bookmarkEnd w:id="84"/>
      <w:bookmarkEnd w:id="85"/>
    </w:p>
    <w:p w:rsidR="00C67558" w:rsidRPr="00D630D1" w:rsidRDefault="00C67558" w:rsidP="00C67558">
      <w:pPr>
        <w:pStyle w:val="afa"/>
        <w:ind w:firstLine="480"/>
      </w:pPr>
      <w:r w:rsidRPr="00D630D1">
        <w:t>根据《输气管道工程设计规范》（</w:t>
      </w:r>
      <w:r w:rsidRPr="00D630D1">
        <w:t>GB50251-2015</w:t>
      </w:r>
      <w:r w:rsidRPr="00D630D1">
        <w:t>）的有关规定，结合本工程管道所经地区的地形、地貌、环境、工程地质条件、交通、人文、经济的发展状况，确定本工程线路选线原则如下：</w:t>
      </w:r>
    </w:p>
    <w:p w:rsidR="00C67558" w:rsidRPr="00D630D1" w:rsidRDefault="00C67558" w:rsidP="00C67558">
      <w:pPr>
        <w:pStyle w:val="afa"/>
        <w:ind w:firstLine="480"/>
      </w:pPr>
      <w:r w:rsidRPr="00D630D1">
        <w:rPr>
          <w:rFonts w:ascii="宋体" w:hAnsi="宋体" w:cs="宋体" w:hint="eastAsia"/>
        </w:rPr>
        <w:t>①</w:t>
      </w:r>
      <w:r w:rsidRPr="00D630D1">
        <w:t>线路选择符合国家有关法律法规，做到安全第一、环保优先、以人为本。</w:t>
      </w:r>
    </w:p>
    <w:p w:rsidR="00C67558" w:rsidRPr="00D630D1" w:rsidRDefault="00C67558" w:rsidP="00C67558">
      <w:pPr>
        <w:pStyle w:val="afa"/>
        <w:ind w:firstLine="480"/>
      </w:pPr>
      <w:r w:rsidRPr="00D630D1">
        <w:rPr>
          <w:rFonts w:ascii="宋体" w:hAnsi="宋体" w:cs="宋体" w:hint="eastAsia"/>
        </w:rPr>
        <w:t>②</w:t>
      </w:r>
      <w:r w:rsidRPr="00D630D1">
        <w:t>线路选择与国家和地方经济发展规划、环境保护要求相一致，充分考虑天然气市场的发展。尽量避免对自然环境和生态平衡的破坏，防止水土流失，有利于自然环境和生态平衡的恢复，保护沿线景观，使线路工程与自然环境、城市生态相协调。</w:t>
      </w:r>
    </w:p>
    <w:p w:rsidR="00C67558" w:rsidRPr="00D630D1" w:rsidRDefault="00C67558" w:rsidP="00C67558">
      <w:pPr>
        <w:pStyle w:val="afa"/>
        <w:ind w:firstLine="480"/>
      </w:pPr>
      <w:r w:rsidRPr="00D630D1">
        <w:rPr>
          <w:rFonts w:ascii="宋体" w:hAnsi="宋体" w:cs="宋体" w:hint="eastAsia"/>
        </w:rPr>
        <w:t>③</w:t>
      </w:r>
      <w:r w:rsidRPr="00D630D1">
        <w:t>线路走向应结合地形、工程地质、沿线主要供气点的地理位置以及交通运输、动力等条件，进行多方案调查、分析比选，确定最优线路。</w:t>
      </w:r>
    </w:p>
    <w:p w:rsidR="00C67558" w:rsidRPr="00D630D1" w:rsidRDefault="00C67558" w:rsidP="00C67558">
      <w:pPr>
        <w:pStyle w:val="afa"/>
        <w:ind w:firstLine="480"/>
      </w:pPr>
      <w:r w:rsidRPr="00D630D1">
        <w:rPr>
          <w:rFonts w:ascii="宋体" w:hAnsi="宋体" w:cs="宋体" w:hint="eastAsia"/>
        </w:rPr>
        <w:t>④</w:t>
      </w:r>
      <w:r w:rsidRPr="00D630D1">
        <w:t>线路走向尽量依托现有公路、碎石路，少修施工便道，以方便物资及设备运输、施工和运行维护管理。</w:t>
      </w:r>
    </w:p>
    <w:p w:rsidR="00C67558" w:rsidRPr="00D630D1" w:rsidRDefault="00C67558" w:rsidP="00C67558">
      <w:pPr>
        <w:pStyle w:val="afa"/>
        <w:ind w:firstLine="480"/>
      </w:pPr>
      <w:r w:rsidRPr="00D630D1">
        <w:rPr>
          <w:rFonts w:ascii="宋体" w:hAnsi="宋体" w:cs="宋体" w:hint="eastAsia"/>
        </w:rPr>
        <w:t>⑤</w:t>
      </w:r>
      <w:r w:rsidRPr="00D630D1">
        <w:t>线路应顺直、平缓，合理利用地形条件，以降低工程建设投资和施工难度。线路走向应减少与天然和人工障碍物的交叉，尽量避免发生大型的穿、跨越。</w:t>
      </w:r>
    </w:p>
    <w:p w:rsidR="00C67558" w:rsidRPr="00D630D1" w:rsidRDefault="00C67558" w:rsidP="00C67558">
      <w:pPr>
        <w:pStyle w:val="afa"/>
        <w:ind w:firstLine="480"/>
      </w:pPr>
      <w:r w:rsidRPr="00D630D1">
        <w:rPr>
          <w:rFonts w:ascii="宋体" w:hAnsi="宋体" w:cs="宋体" w:hint="eastAsia"/>
        </w:rPr>
        <w:t>⑥</w:t>
      </w:r>
      <w:r w:rsidRPr="00D630D1">
        <w:t>线路需避开重要的军事设施、易燃易爆仓库、国家重点文物保护单位的安全保护区等区域。</w:t>
      </w:r>
    </w:p>
    <w:p w:rsidR="00C67558" w:rsidRPr="00D630D1" w:rsidRDefault="00C67558" w:rsidP="00C67558">
      <w:pPr>
        <w:pStyle w:val="afa"/>
        <w:ind w:firstLine="480"/>
      </w:pPr>
      <w:r w:rsidRPr="00D630D1">
        <w:rPr>
          <w:rFonts w:ascii="宋体" w:hAnsi="宋体" w:cs="宋体" w:hint="eastAsia"/>
        </w:rPr>
        <w:t>⑦</w:t>
      </w:r>
      <w:r w:rsidRPr="00D630D1">
        <w:t>线路应避开不良地质现象（如滑坡、崩塌、冲沟等）发育的地段，避免在横坡通过。</w:t>
      </w:r>
    </w:p>
    <w:p w:rsidR="00C67558" w:rsidRPr="00D630D1" w:rsidRDefault="00C67558" w:rsidP="00C67558">
      <w:pPr>
        <w:pStyle w:val="afa"/>
        <w:ind w:firstLine="480"/>
      </w:pPr>
      <w:r w:rsidRPr="00D630D1">
        <w:rPr>
          <w:rFonts w:ascii="宋体" w:hAnsi="宋体" w:cs="宋体" w:hint="eastAsia"/>
        </w:rPr>
        <w:t>⑧</w:t>
      </w:r>
      <w:r w:rsidR="005F0550" w:rsidRPr="00D630D1">
        <w:t>山区选线应结合地形、地质条件、道路状况，考虑施工的可行性和管道的安全性。尽量选择山间河谷敷设，当山区河谷方案难以实施时，若山脊线与管道走向一致且山脊较宽、顺直、上下山脊坡度较平缓，地质条件稳定时，应考虑走山脊的方案。</w:t>
      </w:r>
    </w:p>
    <w:p w:rsidR="00D14FB3" w:rsidRPr="00D630D1" w:rsidRDefault="00D14FB3" w:rsidP="00D14FB3">
      <w:pPr>
        <w:keepNext/>
        <w:keepLines/>
        <w:ind w:firstLineChars="0" w:firstLine="0"/>
        <w:outlineLvl w:val="2"/>
        <w:rPr>
          <w:rFonts w:ascii="Times New Roman" w:cs="Times New Roman"/>
          <w:b/>
          <w:szCs w:val="32"/>
        </w:rPr>
      </w:pPr>
      <w:r w:rsidRPr="00D630D1">
        <w:rPr>
          <w:rFonts w:ascii="Times New Roman" w:cs="Times New Roman"/>
          <w:b/>
          <w:szCs w:val="32"/>
        </w:rPr>
        <w:lastRenderedPageBreak/>
        <w:t xml:space="preserve">1.7.2 </w:t>
      </w:r>
      <w:r w:rsidRPr="00D630D1">
        <w:rPr>
          <w:rFonts w:ascii="Times New Roman" w:cs="Times New Roman"/>
          <w:b/>
          <w:szCs w:val="32"/>
        </w:rPr>
        <w:t>选址选线与相关法律法规、技术规范的符合性分析</w:t>
      </w:r>
    </w:p>
    <w:p w:rsidR="00D14FB3" w:rsidRPr="00D630D1" w:rsidRDefault="00D14FB3" w:rsidP="00D14FB3">
      <w:pPr>
        <w:pStyle w:val="afa"/>
        <w:ind w:firstLine="480"/>
      </w:pPr>
      <w:r w:rsidRPr="00D630D1">
        <w:t>本项目站场选址和集气管线选线与相关法律法规、技术规范的符合性见下表。</w:t>
      </w:r>
    </w:p>
    <w:p w:rsidR="00D14FB3" w:rsidRPr="00D630D1" w:rsidRDefault="00D14FB3" w:rsidP="00D14FB3">
      <w:pPr>
        <w:pStyle w:val="10"/>
        <w:rPr>
          <w:rFonts w:cs="Times New Roman"/>
        </w:rPr>
      </w:pPr>
      <w:r w:rsidRPr="00D630D1">
        <w:rPr>
          <w:rFonts w:cs="Times New Roman"/>
        </w:rPr>
        <w:t>表</w:t>
      </w:r>
      <w:r w:rsidRPr="00D630D1">
        <w:rPr>
          <w:rFonts w:cs="Times New Roman"/>
          <w:bCs/>
        </w:rPr>
        <w:t xml:space="preserve">1.7-1  </w:t>
      </w:r>
      <w:r w:rsidRPr="00D630D1">
        <w:rPr>
          <w:rFonts w:cs="Times New Roman"/>
        </w:rPr>
        <w:t>选址选线与相关法律法规、技术规范的符合性分析</w:t>
      </w:r>
    </w:p>
    <w:tbl>
      <w:tblPr>
        <w:tblW w:w="8624"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851"/>
        <w:gridCol w:w="709"/>
        <w:gridCol w:w="3969"/>
        <w:gridCol w:w="2126"/>
        <w:gridCol w:w="969"/>
      </w:tblGrid>
      <w:tr w:rsidR="00E55C62" w:rsidRPr="00D630D1" w:rsidTr="00E55C62">
        <w:trPr>
          <w:trHeight w:val="240"/>
          <w:jc w:val="center"/>
        </w:trPr>
        <w:tc>
          <w:tcPr>
            <w:tcW w:w="1560" w:type="dxa"/>
            <w:gridSpan w:val="2"/>
            <w:vAlign w:val="center"/>
          </w:tcPr>
          <w:p w:rsidR="00D14FB3" w:rsidRPr="00D630D1" w:rsidRDefault="00D14FB3" w:rsidP="00D14FB3">
            <w:pPr>
              <w:pStyle w:val="aff2"/>
              <w:rPr>
                <w:b/>
                <w:bCs/>
                <w:szCs w:val="21"/>
              </w:rPr>
            </w:pPr>
            <w:r w:rsidRPr="00D630D1">
              <w:rPr>
                <w:b/>
                <w:bCs/>
                <w:szCs w:val="21"/>
              </w:rPr>
              <w:t>文件</w:t>
            </w:r>
          </w:p>
        </w:tc>
        <w:tc>
          <w:tcPr>
            <w:tcW w:w="3969" w:type="dxa"/>
            <w:vAlign w:val="center"/>
          </w:tcPr>
          <w:p w:rsidR="00D14FB3" w:rsidRPr="00D630D1" w:rsidRDefault="00D14FB3" w:rsidP="00D14FB3">
            <w:pPr>
              <w:pStyle w:val="aff2"/>
              <w:rPr>
                <w:b/>
                <w:bCs/>
                <w:szCs w:val="21"/>
              </w:rPr>
            </w:pPr>
            <w:r w:rsidRPr="00D630D1">
              <w:rPr>
                <w:b/>
                <w:bCs/>
                <w:szCs w:val="21"/>
              </w:rPr>
              <w:t>要求</w:t>
            </w:r>
          </w:p>
        </w:tc>
        <w:tc>
          <w:tcPr>
            <w:tcW w:w="2126" w:type="dxa"/>
            <w:vAlign w:val="center"/>
          </w:tcPr>
          <w:p w:rsidR="00D14FB3" w:rsidRPr="00D630D1" w:rsidRDefault="00D14FB3" w:rsidP="00D14FB3">
            <w:pPr>
              <w:pStyle w:val="aff2"/>
              <w:rPr>
                <w:b/>
                <w:bCs/>
                <w:szCs w:val="21"/>
              </w:rPr>
            </w:pPr>
            <w:r w:rsidRPr="00D630D1">
              <w:rPr>
                <w:b/>
                <w:bCs/>
                <w:szCs w:val="21"/>
              </w:rPr>
              <w:t>本项目</w:t>
            </w:r>
          </w:p>
        </w:tc>
        <w:tc>
          <w:tcPr>
            <w:tcW w:w="969" w:type="dxa"/>
            <w:vAlign w:val="center"/>
          </w:tcPr>
          <w:p w:rsidR="00D14FB3" w:rsidRPr="00D630D1" w:rsidRDefault="00D14FB3" w:rsidP="00D14FB3">
            <w:pPr>
              <w:pStyle w:val="aff2"/>
              <w:rPr>
                <w:b/>
                <w:bCs/>
                <w:szCs w:val="21"/>
              </w:rPr>
            </w:pPr>
            <w:r w:rsidRPr="00D630D1">
              <w:rPr>
                <w:b/>
                <w:bCs/>
                <w:szCs w:val="21"/>
              </w:rPr>
              <w:t>符合性分析</w:t>
            </w:r>
          </w:p>
        </w:tc>
      </w:tr>
      <w:tr w:rsidR="00E55C62" w:rsidRPr="00D630D1" w:rsidTr="00E55C62">
        <w:trPr>
          <w:trHeight w:val="240"/>
          <w:jc w:val="center"/>
        </w:trPr>
        <w:tc>
          <w:tcPr>
            <w:tcW w:w="1560" w:type="dxa"/>
            <w:gridSpan w:val="2"/>
            <w:vMerge w:val="restart"/>
            <w:vAlign w:val="center"/>
          </w:tcPr>
          <w:p w:rsidR="00D14FB3" w:rsidRPr="00D630D1" w:rsidRDefault="00D14FB3" w:rsidP="00D14FB3">
            <w:pPr>
              <w:pStyle w:val="aff2"/>
              <w:rPr>
                <w:szCs w:val="21"/>
              </w:rPr>
            </w:pPr>
            <w:r w:rsidRPr="00D630D1">
              <w:rPr>
                <w:szCs w:val="21"/>
              </w:rPr>
              <w:t>《输气管道工程设计规范》（</w:t>
            </w:r>
            <w:r w:rsidRPr="00D630D1">
              <w:rPr>
                <w:szCs w:val="21"/>
              </w:rPr>
              <w:t>GB50251-2015</w:t>
            </w:r>
            <w:r w:rsidRPr="00D630D1">
              <w:rPr>
                <w:szCs w:val="21"/>
              </w:rPr>
              <w:t>）</w:t>
            </w:r>
          </w:p>
        </w:tc>
        <w:tc>
          <w:tcPr>
            <w:tcW w:w="3969" w:type="dxa"/>
            <w:vAlign w:val="center"/>
          </w:tcPr>
          <w:p w:rsidR="00D14FB3" w:rsidRPr="00D630D1" w:rsidRDefault="00D14FB3" w:rsidP="00D14FB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禁止在饮用水水源一级保护区内建设输气管道</w:t>
            </w:r>
            <w:r w:rsidR="009F2783" w:rsidRPr="00D630D1">
              <w:rPr>
                <w:rFonts w:ascii="Times New Roman" w:hAnsi="Times New Roman" w:cs="Times New Roman"/>
                <w:color w:val="auto"/>
                <w:sz w:val="21"/>
                <w:szCs w:val="21"/>
              </w:rPr>
              <w:t>。</w:t>
            </w:r>
          </w:p>
        </w:tc>
        <w:tc>
          <w:tcPr>
            <w:tcW w:w="2126" w:type="dxa"/>
            <w:vAlign w:val="center"/>
          </w:tcPr>
          <w:p w:rsidR="00D14FB3" w:rsidRPr="00D630D1" w:rsidRDefault="00D14FB3" w:rsidP="00D14FB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本项目管线不穿越饮用水水源一级保护区</w:t>
            </w:r>
            <w:r w:rsidR="009F2783" w:rsidRPr="00D630D1">
              <w:rPr>
                <w:rFonts w:ascii="Times New Roman" w:hAnsi="Times New Roman" w:cs="Times New Roman"/>
                <w:color w:val="auto"/>
                <w:sz w:val="21"/>
                <w:szCs w:val="21"/>
              </w:rPr>
              <w:t>。</w:t>
            </w:r>
          </w:p>
        </w:tc>
        <w:tc>
          <w:tcPr>
            <w:tcW w:w="969" w:type="dxa"/>
            <w:vAlign w:val="center"/>
          </w:tcPr>
          <w:p w:rsidR="00D14FB3" w:rsidRPr="00D630D1" w:rsidRDefault="00D14FB3" w:rsidP="00D14FB3">
            <w:pPr>
              <w:pStyle w:val="aff2"/>
              <w:rPr>
                <w:szCs w:val="21"/>
              </w:rPr>
            </w:pPr>
            <w:r w:rsidRPr="00D630D1">
              <w:rPr>
                <w:szCs w:val="21"/>
              </w:rPr>
              <w:t>符合</w:t>
            </w:r>
          </w:p>
        </w:tc>
      </w:tr>
      <w:tr w:rsidR="00E55C62" w:rsidRPr="00D630D1" w:rsidTr="00E55C62">
        <w:trPr>
          <w:trHeight w:val="240"/>
          <w:jc w:val="center"/>
        </w:trPr>
        <w:tc>
          <w:tcPr>
            <w:tcW w:w="1560" w:type="dxa"/>
            <w:gridSpan w:val="2"/>
            <w:vMerge/>
            <w:vAlign w:val="center"/>
          </w:tcPr>
          <w:p w:rsidR="00D14FB3" w:rsidRPr="00D630D1" w:rsidRDefault="00D14FB3" w:rsidP="00D14FB3">
            <w:pPr>
              <w:pStyle w:val="aff2"/>
              <w:rPr>
                <w:szCs w:val="21"/>
              </w:rPr>
            </w:pPr>
          </w:p>
        </w:tc>
        <w:tc>
          <w:tcPr>
            <w:tcW w:w="3969" w:type="dxa"/>
            <w:vAlign w:val="center"/>
          </w:tcPr>
          <w:p w:rsidR="00D14FB3" w:rsidRPr="00D630D1" w:rsidRDefault="00D14FB3"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天然气输送管道穿（跨）越河流时，管道距公路、铁路大桥的距离，不应小于</w:t>
            </w:r>
            <w:r w:rsidRPr="00D630D1">
              <w:rPr>
                <w:rFonts w:ascii="Times New Roman" w:hAnsi="Times New Roman" w:cs="Times New Roman"/>
                <w:color w:val="auto"/>
                <w:sz w:val="21"/>
                <w:szCs w:val="21"/>
              </w:rPr>
              <w:t>100m</w:t>
            </w:r>
            <w:r w:rsidRPr="00D630D1">
              <w:rPr>
                <w:rFonts w:ascii="Times New Roman" w:hAnsi="Times New Roman" w:cs="Times New Roman"/>
                <w:color w:val="auto"/>
                <w:sz w:val="21"/>
                <w:szCs w:val="21"/>
              </w:rPr>
              <w:t>；距中桥不应小于</w:t>
            </w:r>
            <w:r w:rsidRPr="00D630D1">
              <w:rPr>
                <w:rFonts w:ascii="Times New Roman" w:hAnsi="Times New Roman" w:cs="Times New Roman"/>
                <w:color w:val="auto"/>
                <w:sz w:val="21"/>
                <w:szCs w:val="21"/>
              </w:rPr>
              <w:t>50m</w:t>
            </w:r>
            <w:r w:rsidR="009F2783" w:rsidRPr="00D630D1">
              <w:rPr>
                <w:rFonts w:ascii="Times New Roman" w:hAnsi="Times New Roman" w:cs="Times New Roman"/>
                <w:color w:val="auto"/>
                <w:sz w:val="21"/>
                <w:szCs w:val="21"/>
              </w:rPr>
              <w:t>。</w:t>
            </w:r>
          </w:p>
        </w:tc>
        <w:tc>
          <w:tcPr>
            <w:tcW w:w="2126" w:type="dxa"/>
            <w:vAlign w:val="center"/>
          </w:tcPr>
          <w:p w:rsidR="00D14FB3" w:rsidRPr="00D630D1" w:rsidRDefault="00D14FB3"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本项管道沿线无公路、铁路大桥及中桥</w:t>
            </w:r>
            <w:r w:rsidR="009F2783" w:rsidRPr="00D630D1">
              <w:rPr>
                <w:rFonts w:ascii="Times New Roman" w:hAnsi="Times New Roman" w:cs="Times New Roman"/>
                <w:color w:val="auto"/>
                <w:sz w:val="21"/>
                <w:szCs w:val="21"/>
              </w:rPr>
              <w:t>。</w:t>
            </w:r>
          </w:p>
        </w:tc>
        <w:tc>
          <w:tcPr>
            <w:tcW w:w="969" w:type="dxa"/>
            <w:vAlign w:val="center"/>
          </w:tcPr>
          <w:p w:rsidR="00D14FB3" w:rsidRPr="00D630D1" w:rsidRDefault="00D14FB3" w:rsidP="009F2783">
            <w:pPr>
              <w:pStyle w:val="aff2"/>
              <w:rPr>
                <w:szCs w:val="21"/>
              </w:rPr>
            </w:pPr>
            <w:r w:rsidRPr="00D630D1">
              <w:rPr>
                <w:szCs w:val="21"/>
              </w:rPr>
              <w:t>符合</w:t>
            </w:r>
          </w:p>
        </w:tc>
      </w:tr>
      <w:tr w:rsidR="00E55C62" w:rsidRPr="00D630D1" w:rsidTr="00E55C62">
        <w:trPr>
          <w:trHeight w:val="240"/>
          <w:jc w:val="center"/>
        </w:trPr>
        <w:tc>
          <w:tcPr>
            <w:tcW w:w="1560" w:type="dxa"/>
            <w:gridSpan w:val="2"/>
            <w:vMerge/>
            <w:vAlign w:val="center"/>
          </w:tcPr>
          <w:p w:rsidR="00D14FB3" w:rsidRPr="00D630D1" w:rsidRDefault="00D14FB3" w:rsidP="00D14FB3">
            <w:pPr>
              <w:pStyle w:val="aff2"/>
              <w:rPr>
                <w:szCs w:val="21"/>
              </w:rPr>
            </w:pPr>
          </w:p>
        </w:tc>
        <w:tc>
          <w:tcPr>
            <w:tcW w:w="3969" w:type="dxa"/>
            <w:vAlign w:val="center"/>
          </w:tcPr>
          <w:p w:rsidR="00D14FB3" w:rsidRPr="00D630D1" w:rsidRDefault="00D14FB3"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管道中心线与建</w:t>
            </w:r>
            <w:r w:rsidR="009F2783" w:rsidRPr="00D630D1">
              <w:rPr>
                <w:rFonts w:ascii="Times New Roman" w:hAnsi="Times New Roman" w:cs="Times New Roman"/>
                <w:color w:val="auto"/>
                <w:sz w:val="21"/>
                <w:szCs w:val="21"/>
              </w:rPr>
              <w:t>（构）</w:t>
            </w:r>
            <w:r w:rsidRPr="00D630D1">
              <w:rPr>
                <w:rFonts w:ascii="Times New Roman" w:hAnsi="Times New Roman" w:cs="Times New Roman"/>
                <w:color w:val="auto"/>
                <w:sz w:val="21"/>
                <w:szCs w:val="21"/>
              </w:rPr>
              <w:t>筑物的最小距离不应小于</w:t>
            </w:r>
            <w:r w:rsidRPr="00D630D1">
              <w:rPr>
                <w:rFonts w:ascii="Times New Roman" w:hAnsi="Times New Roman" w:cs="Times New Roman"/>
                <w:color w:val="auto"/>
                <w:sz w:val="21"/>
                <w:szCs w:val="21"/>
              </w:rPr>
              <w:t>5m</w:t>
            </w:r>
            <w:r w:rsidR="009F2783" w:rsidRPr="00D630D1">
              <w:rPr>
                <w:rFonts w:ascii="Times New Roman" w:hAnsi="Times New Roman" w:cs="Times New Roman"/>
                <w:color w:val="auto"/>
                <w:sz w:val="21"/>
                <w:szCs w:val="21"/>
              </w:rPr>
              <w:t>。</w:t>
            </w:r>
          </w:p>
        </w:tc>
        <w:tc>
          <w:tcPr>
            <w:tcW w:w="2126" w:type="dxa"/>
            <w:vAlign w:val="center"/>
          </w:tcPr>
          <w:p w:rsidR="00D14FB3" w:rsidRPr="00D630D1" w:rsidRDefault="00D14FB3" w:rsidP="005471F7">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项目管线与建构筑物最小距离为</w:t>
            </w:r>
            <w:r w:rsidR="005471F7">
              <w:rPr>
                <w:rFonts w:ascii="Times New Roman" w:hAnsi="Times New Roman" w:cs="Times New Roman" w:hint="eastAsia"/>
                <w:color w:val="auto"/>
                <w:sz w:val="21"/>
                <w:szCs w:val="21"/>
              </w:rPr>
              <w:t>15</w:t>
            </w:r>
            <w:r w:rsidRPr="00D630D1">
              <w:rPr>
                <w:rFonts w:ascii="Times New Roman" w:hAnsi="Times New Roman" w:cs="Times New Roman"/>
                <w:color w:val="auto"/>
                <w:sz w:val="21"/>
                <w:szCs w:val="21"/>
              </w:rPr>
              <w:t>m</w:t>
            </w:r>
            <w:r w:rsidR="009F2783" w:rsidRPr="00D630D1">
              <w:rPr>
                <w:rFonts w:ascii="Times New Roman" w:hAnsi="Times New Roman" w:cs="Times New Roman"/>
                <w:color w:val="auto"/>
                <w:sz w:val="21"/>
                <w:szCs w:val="21"/>
              </w:rPr>
              <w:t>。</w:t>
            </w:r>
          </w:p>
        </w:tc>
        <w:tc>
          <w:tcPr>
            <w:tcW w:w="969" w:type="dxa"/>
            <w:vAlign w:val="center"/>
          </w:tcPr>
          <w:p w:rsidR="00D14FB3" w:rsidRPr="00D630D1" w:rsidRDefault="00D14FB3" w:rsidP="009F2783">
            <w:pPr>
              <w:pStyle w:val="aff2"/>
              <w:rPr>
                <w:szCs w:val="21"/>
              </w:rPr>
            </w:pPr>
            <w:r w:rsidRPr="00D630D1">
              <w:rPr>
                <w:szCs w:val="21"/>
              </w:rPr>
              <w:t>符合</w:t>
            </w:r>
          </w:p>
        </w:tc>
      </w:tr>
      <w:tr w:rsidR="00E55C62" w:rsidRPr="00D630D1" w:rsidTr="00E55C62">
        <w:trPr>
          <w:trHeight w:val="240"/>
          <w:jc w:val="center"/>
        </w:trPr>
        <w:tc>
          <w:tcPr>
            <w:tcW w:w="851" w:type="dxa"/>
            <w:vMerge w:val="restart"/>
            <w:tcBorders>
              <w:right w:val="single" w:sz="2" w:space="0" w:color="auto"/>
            </w:tcBorders>
            <w:vAlign w:val="center"/>
          </w:tcPr>
          <w:p w:rsidR="00D14FB3" w:rsidRPr="00D630D1" w:rsidRDefault="00D14FB3" w:rsidP="00D14FB3">
            <w:pPr>
              <w:pStyle w:val="aff2"/>
              <w:rPr>
                <w:szCs w:val="21"/>
              </w:rPr>
            </w:pPr>
            <w:r w:rsidRPr="00D630D1">
              <w:rPr>
                <w:szCs w:val="21"/>
              </w:rPr>
              <w:t>《石油天然气工程设计防火规范》（</w:t>
            </w:r>
            <w:r w:rsidRPr="00D630D1">
              <w:rPr>
                <w:szCs w:val="21"/>
              </w:rPr>
              <w:t>GB50183-2004</w:t>
            </w:r>
            <w:r w:rsidRPr="00D630D1">
              <w:rPr>
                <w:szCs w:val="21"/>
              </w:rPr>
              <w:t>）</w:t>
            </w:r>
          </w:p>
        </w:tc>
        <w:tc>
          <w:tcPr>
            <w:tcW w:w="709" w:type="dxa"/>
            <w:vMerge w:val="restart"/>
            <w:tcBorders>
              <w:left w:val="single" w:sz="2" w:space="0" w:color="auto"/>
            </w:tcBorders>
            <w:vAlign w:val="center"/>
          </w:tcPr>
          <w:p w:rsidR="00D14FB3" w:rsidRPr="00D630D1" w:rsidRDefault="002C00AE" w:rsidP="00572AB4">
            <w:pPr>
              <w:pStyle w:val="aff2"/>
              <w:rPr>
                <w:szCs w:val="21"/>
              </w:rPr>
            </w:pPr>
            <w:r>
              <w:rPr>
                <w:rFonts w:hint="eastAsia"/>
                <w:szCs w:val="21"/>
              </w:rPr>
              <w:t>普光</w:t>
            </w:r>
            <w:r>
              <w:rPr>
                <w:rFonts w:hint="eastAsia"/>
                <w:szCs w:val="21"/>
              </w:rPr>
              <w:t>12</w:t>
            </w:r>
            <w:r>
              <w:rPr>
                <w:rFonts w:hint="eastAsia"/>
                <w:szCs w:val="21"/>
              </w:rPr>
              <w:t>采气站</w:t>
            </w:r>
          </w:p>
        </w:tc>
        <w:tc>
          <w:tcPr>
            <w:tcW w:w="3969" w:type="dxa"/>
            <w:vAlign w:val="center"/>
          </w:tcPr>
          <w:p w:rsidR="00D14FB3" w:rsidRPr="00D630D1" w:rsidRDefault="00D14FB3"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100</w:t>
            </w:r>
            <w:r w:rsidRPr="00D630D1">
              <w:rPr>
                <w:rFonts w:ascii="Times New Roman" w:hAnsi="Times New Roman" w:cs="Times New Roman"/>
                <w:color w:val="auto"/>
                <w:sz w:val="21"/>
                <w:szCs w:val="21"/>
              </w:rPr>
              <w:t>人以上的居住区、村镇、公共福利设施距离</w:t>
            </w:r>
            <w:r w:rsidRPr="00D630D1">
              <w:rPr>
                <w:rFonts w:ascii="Times New Roman" w:hAnsi="Times New Roman" w:cs="Times New Roman"/>
                <w:color w:val="auto"/>
                <w:sz w:val="21"/>
                <w:szCs w:val="21"/>
              </w:rPr>
              <w:t>50m</w:t>
            </w:r>
            <w:r w:rsidRPr="00D630D1">
              <w:rPr>
                <w:rFonts w:ascii="Times New Roman" w:hAnsi="Times New Roman" w:cs="Times New Roman"/>
                <w:color w:val="auto"/>
                <w:sz w:val="21"/>
                <w:szCs w:val="21"/>
              </w:rPr>
              <w:t>以上</w:t>
            </w:r>
            <w:r w:rsidR="009F2783" w:rsidRPr="00D630D1">
              <w:rPr>
                <w:rFonts w:ascii="Times New Roman" w:hAnsi="Times New Roman" w:cs="Times New Roman"/>
                <w:color w:val="auto"/>
                <w:sz w:val="21"/>
                <w:szCs w:val="21"/>
              </w:rPr>
              <w:t>。</w:t>
            </w:r>
          </w:p>
        </w:tc>
        <w:tc>
          <w:tcPr>
            <w:tcW w:w="2126" w:type="dxa"/>
            <w:vAlign w:val="center"/>
          </w:tcPr>
          <w:p w:rsidR="00D14FB3" w:rsidRPr="00D630D1" w:rsidRDefault="00D14FB3" w:rsidP="005471F7">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最近为</w:t>
            </w:r>
            <w:r w:rsidR="005471F7">
              <w:rPr>
                <w:rFonts w:ascii="Times New Roman" w:hAnsi="Times New Roman" w:cs="Times New Roman" w:hint="eastAsia"/>
                <w:color w:val="auto"/>
                <w:sz w:val="21"/>
                <w:szCs w:val="21"/>
              </w:rPr>
              <w:t>老君乡</w:t>
            </w:r>
            <w:r w:rsidRPr="00D630D1">
              <w:rPr>
                <w:rFonts w:ascii="Times New Roman" w:hAnsi="Times New Roman" w:cs="Times New Roman"/>
                <w:color w:val="auto"/>
                <w:sz w:val="21"/>
                <w:szCs w:val="21"/>
              </w:rPr>
              <w:t>，</w:t>
            </w:r>
            <w:r w:rsidR="005471F7">
              <w:rPr>
                <w:rFonts w:ascii="Times New Roman" w:hAnsi="Times New Roman" w:cs="Times New Roman" w:hint="eastAsia"/>
                <w:color w:val="auto"/>
                <w:sz w:val="21"/>
                <w:szCs w:val="21"/>
              </w:rPr>
              <w:t>3.</w:t>
            </w:r>
            <w:r w:rsidR="008B63ED" w:rsidRPr="00D630D1">
              <w:rPr>
                <w:rFonts w:ascii="Times New Roman" w:hAnsi="Times New Roman" w:cs="Times New Roman" w:hint="eastAsia"/>
                <w:color w:val="auto"/>
                <w:sz w:val="21"/>
                <w:szCs w:val="21"/>
              </w:rPr>
              <w:t>4</w:t>
            </w:r>
            <w:r w:rsidRPr="00D630D1">
              <w:rPr>
                <w:rFonts w:ascii="Times New Roman" w:hAnsi="Times New Roman" w:cs="Times New Roman"/>
                <w:color w:val="auto"/>
                <w:sz w:val="21"/>
                <w:szCs w:val="21"/>
              </w:rPr>
              <w:t>km</w:t>
            </w:r>
            <w:r w:rsidR="009F2783" w:rsidRPr="00D630D1">
              <w:rPr>
                <w:rFonts w:ascii="Times New Roman" w:hAnsi="Times New Roman" w:cs="Times New Roman"/>
                <w:color w:val="auto"/>
                <w:sz w:val="21"/>
                <w:szCs w:val="21"/>
              </w:rPr>
              <w:t>。</w:t>
            </w:r>
          </w:p>
        </w:tc>
        <w:tc>
          <w:tcPr>
            <w:tcW w:w="969" w:type="dxa"/>
            <w:vAlign w:val="center"/>
          </w:tcPr>
          <w:p w:rsidR="00D14FB3" w:rsidRPr="00D630D1" w:rsidRDefault="00D14FB3" w:rsidP="009F2783">
            <w:pPr>
              <w:pStyle w:val="aff2"/>
              <w:rPr>
                <w:szCs w:val="21"/>
              </w:rPr>
            </w:pPr>
            <w:r w:rsidRPr="00D630D1">
              <w:rPr>
                <w:szCs w:val="21"/>
              </w:rPr>
              <w:t>符合</w:t>
            </w:r>
          </w:p>
        </w:tc>
      </w:tr>
      <w:tr w:rsidR="00E55C62" w:rsidRPr="00D630D1" w:rsidTr="00E55C62">
        <w:trPr>
          <w:trHeight w:val="240"/>
          <w:jc w:val="center"/>
        </w:trPr>
        <w:tc>
          <w:tcPr>
            <w:tcW w:w="851" w:type="dxa"/>
            <w:vMerge/>
            <w:tcBorders>
              <w:right w:val="single" w:sz="2" w:space="0" w:color="auto"/>
            </w:tcBorders>
            <w:vAlign w:val="center"/>
          </w:tcPr>
          <w:p w:rsidR="00D14FB3" w:rsidRPr="00D630D1" w:rsidRDefault="00D14FB3" w:rsidP="00D14FB3">
            <w:pPr>
              <w:pStyle w:val="aff2"/>
              <w:rPr>
                <w:szCs w:val="21"/>
              </w:rPr>
            </w:pPr>
          </w:p>
        </w:tc>
        <w:tc>
          <w:tcPr>
            <w:tcW w:w="709" w:type="dxa"/>
            <w:vMerge/>
            <w:tcBorders>
              <w:left w:val="single" w:sz="2" w:space="0" w:color="auto"/>
            </w:tcBorders>
            <w:vAlign w:val="center"/>
          </w:tcPr>
          <w:p w:rsidR="00D14FB3" w:rsidRPr="00D630D1" w:rsidRDefault="00D14FB3" w:rsidP="00D14FB3">
            <w:pPr>
              <w:pStyle w:val="aff2"/>
              <w:rPr>
                <w:szCs w:val="21"/>
              </w:rPr>
            </w:pPr>
          </w:p>
        </w:tc>
        <w:tc>
          <w:tcPr>
            <w:tcW w:w="3969" w:type="dxa"/>
            <w:vAlign w:val="center"/>
          </w:tcPr>
          <w:p w:rsidR="00D14FB3" w:rsidRPr="00D630D1" w:rsidRDefault="00D14FB3"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与</w:t>
            </w:r>
            <w:r w:rsidRPr="00D630D1">
              <w:rPr>
                <w:rFonts w:ascii="Times New Roman" w:hAnsi="Times New Roman" w:cs="Times New Roman"/>
                <w:color w:val="auto"/>
                <w:sz w:val="21"/>
                <w:szCs w:val="21"/>
              </w:rPr>
              <w:t>100</w:t>
            </w:r>
            <w:r w:rsidRPr="00D630D1">
              <w:rPr>
                <w:rFonts w:ascii="Times New Roman" w:hAnsi="Times New Roman" w:cs="Times New Roman"/>
                <w:color w:val="auto"/>
                <w:sz w:val="21"/>
                <w:szCs w:val="21"/>
              </w:rPr>
              <w:t>人以下的散居房屋距离</w:t>
            </w:r>
            <w:r w:rsidRPr="00D630D1">
              <w:rPr>
                <w:rFonts w:ascii="Times New Roman" w:hAnsi="Times New Roman" w:cs="Times New Roman"/>
                <w:color w:val="auto"/>
                <w:sz w:val="21"/>
                <w:szCs w:val="21"/>
              </w:rPr>
              <w:t>30m</w:t>
            </w:r>
            <w:r w:rsidRPr="00D630D1">
              <w:rPr>
                <w:rFonts w:ascii="Times New Roman" w:hAnsi="Times New Roman" w:cs="Times New Roman"/>
                <w:color w:val="auto"/>
                <w:sz w:val="21"/>
                <w:szCs w:val="21"/>
              </w:rPr>
              <w:t>以上</w:t>
            </w:r>
            <w:r w:rsidR="009F2783" w:rsidRPr="00D630D1">
              <w:rPr>
                <w:rFonts w:ascii="Times New Roman" w:hAnsi="Times New Roman" w:cs="Times New Roman"/>
                <w:color w:val="auto"/>
                <w:sz w:val="21"/>
                <w:szCs w:val="21"/>
              </w:rPr>
              <w:t>。</w:t>
            </w:r>
          </w:p>
        </w:tc>
        <w:tc>
          <w:tcPr>
            <w:tcW w:w="2126" w:type="dxa"/>
            <w:vAlign w:val="center"/>
          </w:tcPr>
          <w:p w:rsidR="00D14FB3" w:rsidRPr="00D630D1" w:rsidRDefault="00D14FB3" w:rsidP="005471F7">
            <w:pPr>
              <w:pStyle w:val="aff2"/>
              <w:rPr>
                <w:szCs w:val="21"/>
              </w:rPr>
            </w:pPr>
            <w:r w:rsidRPr="00D630D1">
              <w:rPr>
                <w:szCs w:val="21"/>
              </w:rPr>
              <w:t>最近</w:t>
            </w:r>
            <w:r w:rsidR="005471F7">
              <w:rPr>
                <w:rFonts w:hint="eastAsia"/>
                <w:szCs w:val="21"/>
              </w:rPr>
              <w:t>110</w:t>
            </w:r>
            <w:r w:rsidRPr="00D630D1">
              <w:rPr>
                <w:szCs w:val="21"/>
              </w:rPr>
              <w:t>m</w:t>
            </w:r>
            <w:r w:rsidR="009F2783" w:rsidRPr="00D630D1">
              <w:rPr>
                <w:szCs w:val="21"/>
              </w:rPr>
              <w:t>。</w:t>
            </w:r>
          </w:p>
        </w:tc>
        <w:tc>
          <w:tcPr>
            <w:tcW w:w="969" w:type="dxa"/>
            <w:vAlign w:val="center"/>
          </w:tcPr>
          <w:p w:rsidR="00D14FB3" w:rsidRPr="00D630D1" w:rsidRDefault="00D14FB3" w:rsidP="009F2783">
            <w:pPr>
              <w:pStyle w:val="aff2"/>
              <w:rPr>
                <w:szCs w:val="21"/>
              </w:rPr>
            </w:pPr>
            <w:r w:rsidRPr="00D630D1">
              <w:rPr>
                <w:szCs w:val="21"/>
              </w:rPr>
              <w:t>符合</w:t>
            </w:r>
          </w:p>
        </w:tc>
      </w:tr>
      <w:tr w:rsidR="00E55C62" w:rsidRPr="00D630D1" w:rsidTr="00E55C62">
        <w:trPr>
          <w:trHeight w:val="238"/>
          <w:jc w:val="center"/>
        </w:trPr>
        <w:tc>
          <w:tcPr>
            <w:tcW w:w="851" w:type="dxa"/>
            <w:vMerge/>
            <w:tcBorders>
              <w:right w:val="single" w:sz="2" w:space="0" w:color="auto"/>
            </w:tcBorders>
            <w:vAlign w:val="center"/>
          </w:tcPr>
          <w:p w:rsidR="00D14FB3" w:rsidRPr="00D630D1" w:rsidRDefault="00D14FB3" w:rsidP="00D14FB3">
            <w:pPr>
              <w:pStyle w:val="aff2"/>
              <w:rPr>
                <w:szCs w:val="21"/>
              </w:rPr>
            </w:pPr>
          </w:p>
        </w:tc>
        <w:tc>
          <w:tcPr>
            <w:tcW w:w="709" w:type="dxa"/>
            <w:vMerge/>
            <w:tcBorders>
              <w:left w:val="single" w:sz="2" w:space="0" w:color="auto"/>
            </w:tcBorders>
            <w:vAlign w:val="center"/>
          </w:tcPr>
          <w:p w:rsidR="00D14FB3" w:rsidRPr="00D630D1" w:rsidRDefault="00D14FB3" w:rsidP="00D14FB3">
            <w:pPr>
              <w:pStyle w:val="aff2"/>
              <w:rPr>
                <w:szCs w:val="21"/>
              </w:rPr>
            </w:pPr>
          </w:p>
        </w:tc>
        <w:tc>
          <w:tcPr>
            <w:tcW w:w="3969" w:type="dxa"/>
            <w:vAlign w:val="center"/>
          </w:tcPr>
          <w:p w:rsidR="00D14FB3" w:rsidRPr="00D630D1" w:rsidRDefault="00D14FB3"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与国家铁路距离</w:t>
            </w:r>
            <w:r w:rsidRPr="00D630D1">
              <w:rPr>
                <w:rFonts w:ascii="Times New Roman" w:hAnsi="Times New Roman" w:cs="Times New Roman"/>
                <w:color w:val="auto"/>
                <w:sz w:val="21"/>
                <w:szCs w:val="21"/>
              </w:rPr>
              <w:t>30m</w:t>
            </w:r>
            <w:r w:rsidRPr="00D630D1">
              <w:rPr>
                <w:rFonts w:ascii="Times New Roman" w:hAnsi="Times New Roman" w:cs="Times New Roman"/>
                <w:color w:val="auto"/>
                <w:sz w:val="21"/>
                <w:szCs w:val="21"/>
              </w:rPr>
              <w:t>以上</w:t>
            </w:r>
            <w:r w:rsidR="009F2783" w:rsidRPr="00D630D1">
              <w:rPr>
                <w:rFonts w:ascii="Times New Roman" w:hAnsi="Times New Roman" w:cs="Times New Roman"/>
                <w:color w:val="auto"/>
                <w:sz w:val="21"/>
                <w:szCs w:val="21"/>
              </w:rPr>
              <w:t>。</w:t>
            </w:r>
          </w:p>
        </w:tc>
        <w:tc>
          <w:tcPr>
            <w:tcW w:w="2126" w:type="dxa"/>
            <w:vMerge w:val="restart"/>
            <w:vAlign w:val="center"/>
          </w:tcPr>
          <w:p w:rsidR="00D14FB3" w:rsidRPr="00D630D1" w:rsidRDefault="00D14FB3"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周边无铁路、高速公路</w:t>
            </w:r>
            <w:r w:rsidR="009F2783" w:rsidRPr="00D630D1">
              <w:rPr>
                <w:rFonts w:ascii="Times New Roman" w:hAnsi="Times New Roman" w:cs="Times New Roman"/>
                <w:color w:val="auto"/>
                <w:sz w:val="21"/>
                <w:szCs w:val="21"/>
              </w:rPr>
              <w:t>。</w:t>
            </w:r>
          </w:p>
        </w:tc>
        <w:tc>
          <w:tcPr>
            <w:tcW w:w="969" w:type="dxa"/>
            <w:vAlign w:val="center"/>
          </w:tcPr>
          <w:p w:rsidR="00D14FB3" w:rsidRPr="00D630D1" w:rsidRDefault="00D14FB3" w:rsidP="009F2783">
            <w:pPr>
              <w:pStyle w:val="aff2"/>
              <w:rPr>
                <w:szCs w:val="21"/>
              </w:rPr>
            </w:pPr>
            <w:r w:rsidRPr="00D630D1">
              <w:rPr>
                <w:szCs w:val="21"/>
              </w:rPr>
              <w:t>符合</w:t>
            </w:r>
          </w:p>
        </w:tc>
      </w:tr>
      <w:tr w:rsidR="00E55C62" w:rsidRPr="00D630D1" w:rsidTr="00E55C62">
        <w:trPr>
          <w:trHeight w:val="238"/>
          <w:jc w:val="center"/>
        </w:trPr>
        <w:tc>
          <w:tcPr>
            <w:tcW w:w="851" w:type="dxa"/>
            <w:vMerge/>
            <w:tcBorders>
              <w:right w:val="single" w:sz="2" w:space="0" w:color="auto"/>
            </w:tcBorders>
            <w:vAlign w:val="center"/>
          </w:tcPr>
          <w:p w:rsidR="00D14FB3" w:rsidRPr="00D630D1" w:rsidRDefault="00D14FB3" w:rsidP="00D14FB3">
            <w:pPr>
              <w:pStyle w:val="aff2"/>
              <w:rPr>
                <w:szCs w:val="21"/>
              </w:rPr>
            </w:pPr>
          </w:p>
        </w:tc>
        <w:tc>
          <w:tcPr>
            <w:tcW w:w="709" w:type="dxa"/>
            <w:vMerge/>
            <w:tcBorders>
              <w:left w:val="single" w:sz="2" w:space="0" w:color="auto"/>
            </w:tcBorders>
            <w:vAlign w:val="center"/>
          </w:tcPr>
          <w:p w:rsidR="00D14FB3" w:rsidRPr="00D630D1" w:rsidRDefault="00D14FB3" w:rsidP="00D14FB3">
            <w:pPr>
              <w:pStyle w:val="aff2"/>
              <w:rPr>
                <w:szCs w:val="21"/>
              </w:rPr>
            </w:pPr>
          </w:p>
        </w:tc>
        <w:tc>
          <w:tcPr>
            <w:tcW w:w="3969" w:type="dxa"/>
            <w:vAlign w:val="center"/>
          </w:tcPr>
          <w:p w:rsidR="00D14FB3" w:rsidRPr="00D630D1" w:rsidRDefault="00D14FB3"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与高速公路距离</w:t>
            </w:r>
            <w:r w:rsidRPr="00D630D1">
              <w:rPr>
                <w:rFonts w:ascii="Times New Roman" w:hAnsi="Times New Roman" w:cs="Times New Roman"/>
                <w:color w:val="auto"/>
                <w:sz w:val="21"/>
                <w:szCs w:val="21"/>
              </w:rPr>
              <w:t>20m</w:t>
            </w:r>
            <w:r w:rsidRPr="00D630D1">
              <w:rPr>
                <w:rFonts w:ascii="Times New Roman" w:hAnsi="Times New Roman" w:cs="Times New Roman"/>
                <w:color w:val="auto"/>
                <w:sz w:val="21"/>
                <w:szCs w:val="21"/>
              </w:rPr>
              <w:t>以上，与其他公路距离</w:t>
            </w:r>
            <w:r w:rsidRPr="00D630D1">
              <w:rPr>
                <w:rFonts w:ascii="Times New Roman" w:hAnsi="Times New Roman" w:cs="Times New Roman"/>
                <w:color w:val="auto"/>
                <w:sz w:val="21"/>
                <w:szCs w:val="21"/>
              </w:rPr>
              <w:t>10m</w:t>
            </w:r>
            <w:r w:rsidRPr="00D630D1">
              <w:rPr>
                <w:rFonts w:ascii="Times New Roman" w:hAnsi="Times New Roman" w:cs="Times New Roman"/>
                <w:color w:val="auto"/>
                <w:sz w:val="21"/>
                <w:szCs w:val="21"/>
              </w:rPr>
              <w:t>以上</w:t>
            </w:r>
            <w:r w:rsidR="009F2783" w:rsidRPr="00D630D1">
              <w:rPr>
                <w:rFonts w:ascii="Times New Roman" w:hAnsi="Times New Roman" w:cs="Times New Roman"/>
                <w:color w:val="auto"/>
                <w:sz w:val="21"/>
                <w:szCs w:val="21"/>
              </w:rPr>
              <w:t>。</w:t>
            </w:r>
          </w:p>
        </w:tc>
        <w:tc>
          <w:tcPr>
            <w:tcW w:w="2126" w:type="dxa"/>
            <w:vMerge/>
            <w:vAlign w:val="center"/>
          </w:tcPr>
          <w:p w:rsidR="00D14FB3" w:rsidRPr="00D630D1" w:rsidRDefault="00D14FB3" w:rsidP="009F2783">
            <w:pPr>
              <w:pStyle w:val="aff2"/>
              <w:rPr>
                <w:szCs w:val="21"/>
              </w:rPr>
            </w:pPr>
          </w:p>
        </w:tc>
        <w:tc>
          <w:tcPr>
            <w:tcW w:w="969" w:type="dxa"/>
            <w:vAlign w:val="center"/>
          </w:tcPr>
          <w:p w:rsidR="00D14FB3" w:rsidRPr="00D630D1" w:rsidRDefault="00D14FB3" w:rsidP="009F2783">
            <w:pPr>
              <w:pStyle w:val="aff2"/>
              <w:rPr>
                <w:szCs w:val="21"/>
              </w:rPr>
            </w:pPr>
            <w:r w:rsidRPr="00D630D1">
              <w:rPr>
                <w:szCs w:val="21"/>
              </w:rPr>
              <w:t>符合</w:t>
            </w:r>
          </w:p>
        </w:tc>
      </w:tr>
      <w:tr w:rsidR="00E55C62" w:rsidRPr="00D630D1" w:rsidTr="00E55C62">
        <w:trPr>
          <w:trHeight w:val="235"/>
          <w:jc w:val="center"/>
        </w:trPr>
        <w:tc>
          <w:tcPr>
            <w:tcW w:w="851" w:type="dxa"/>
            <w:vMerge/>
            <w:tcBorders>
              <w:right w:val="single" w:sz="2" w:space="0" w:color="auto"/>
            </w:tcBorders>
            <w:vAlign w:val="center"/>
          </w:tcPr>
          <w:p w:rsidR="00D14FB3" w:rsidRPr="00D630D1" w:rsidRDefault="00D14FB3" w:rsidP="00D14FB3">
            <w:pPr>
              <w:topLinePunct w:val="0"/>
              <w:autoSpaceDE w:val="0"/>
              <w:autoSpaceDN w:val="0"/>
              <w:spacing w:line="240" w:lineRule="auto"/>
              <w:ind w:firstLineChars="0" w:firstLine="0"/>
              <w:jc w:val="center"/>
              <w:rPr>
                <w:rFonts w:ascii="Times New Roman" w:cs="Times New Roman"/>
                <w:kern w:val="2"/>
                <w:sz w:val="21"/>
                <w:szCs w:val="21"/>
                <w:shd w:val="clear" w:color="auto" w:fill="FFFFFF"/>
              </w:rPr>
            </w:pPr>
          </w:p>
        </w:tc>
        <w:tc>
          <w:tcPr>
            <w:tcW w:w="709" w:type="dxa"/>
            <w:vMerge/>
            <w:tcBorders>
              <w:left w:val="single" w:sz="2" w:space="0" w:color="auto"/>
            </w:tcBorders>
            <w:vAlign w:val="center"/>
          </w:tcPr>
          <w:p w:rsidR="00D14FB3" w:rsidRPr="00D630D1" w:rsidRDefault="00D14FB3" w:rsidP="00D14FB3">
            <w:pPr>
              <w:topLinePunct w:val="0"/>
              <w:autoSpaceDE w:val="0"/>
              <w:autoSpaceDN w:val="0"/>
              <w:spacing w:line="240" w:lineRule="auto"/>
              <w:ind w:firstLineChars="0" w:firstLine="0"/>
              <w:jc w:val="center"/>
              <w:rPr>
                <w:rFonts w:ascii="Times New Roman" w:cs="Times New Roman"/>
                <w:kern w:val="2"/>
                <w:sz w:val="21"/>
                <w:szCs w:val="21"/>
                <w:shd w:val="clear" w:color="auto" w:fill="FFFFFF"/>
              </w:rPr>
            </w:pPr>
          </w:p>
        </w:tc>
        <w:tc>
          <w:tcPr>
            <w:tcW w:w="3969" w:type="dxa"/>
            <w:vAlign w:val="center"/>
          </w:tcPr>
          <w:p w:rsidR="00D14FB3" w:rsidRPr="00D630D1" w:rsidRDefault="00D14FB3"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石油天然气站场内的锅炉房、</w:t>
            </w:r>
            <w:r w:rsidRPr="00D630D1">
              <w:rPr>
                <w:rFonts w:ascii="Times New Roman" w:hAnsi="Times New Roman" w:cs="Times New Roman"/>
                <w:color w:val="auto"/>
                <w:sz w:val="21"/>
                <w:szCs w:val="21"/>
              </w:rPr>
              <w:t>35kV</w:t>
            </w:r>
            <w:r w:rsidRPr="00D630D1">
              <w:rPr>
                <w:rFonts w:ascii="Times New Roman" w:hAnsi="Times New Roman" w:cs="Times New Roman"/>
                <w:color w:val="auto"/>
                <w:sz w:val="21"/>
                <w:szCs w:val="21"/>
              </w:rPr>
              <w:t>及以上的变（配）电所、加热炉、水套炉等有明火或散发火花的地点，宜布置在站场或油气生产区边缘。</w:t>
            </w:r>
          </w:p>
        </w:tc>
        <w:tc>
          <w:tcPr>
            <w:tcW w:w="2126" w:type="dxa"/>
            <w:vAlign w:val="center"/>
          </w:tcPr>
          <w:p w:rsidR="00D14FB3" w:rsidRPr="00D630D1" w:rsidRDefault="00D14FB3" w:rsidP="003345B2">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水套炉布置在</w:t>
            </w:r>
            <w:r w:rsidR="005471F7" w:rsidRPr="005471F7">
              <w:rPr>
                <w:rFonts w:ascii="Times New Roman" w:hAnsi="Times New Roman" w:cs="Times New Roman" w:hint="eastAsia"/>
                <w:color w:val="auto"/>
                <w:sz w:val="21"/>
                <w:szCs w:val="21"/>
              </w:rPr>
              <w:t>普光</w:t>
            </w:r>
            <w:r w:rsidR="005471F7" w:rsidRPr="005471F7">
              <w:rPr>
                <w:rFonts w:ascii="Times New Roman" w:hAnsi="Times New Roman" w:cs="Times New Roman" w:hint="eastAsia"/>
                <w:color w:val="auto"/>
                <w:sz w:val="21"/>
                <w:szCs w:val="21"/>
              </w:rPr>
              <w:t>12</w:t>
            </w:r>
            <w:r w:rsidR="005471F7" w:rsidRPr="005471F7">
              <w:rPr>
                <w:rFonts w:ascii="Times New Roman" w:hAnsi="Times New Roman" w:cs="Times New Roman" w:hint="eastAsia"/>
                <w:color w:val="auto"/>
                <w:sz w:val="21"/>
                <w:szCs w:val="21"/>
              </w:rPr>
              <w:t>采气站</w:t>
            </w:r>
            <w:r w:rsidR="00A126C5" w:rsidRPr="00D630D1">
              <w:rPr>
                <w:rFonts w:ascii="Times New Roman" w:hAnsi="Times New Roman" w:cs="Times New Roman"/>
                <w:color w:val="auto"/>
                <w:sz w:val="21"/>
                <w:szCs w:val="21"/>
              </w:rPr>
              <w:t>北</w:t>
            </w:r>
            <w:r w:rsidRPr="00D630D1">
              <w:rPr>
                <w:rFonts w:ascii="Times New Roman" w:hAnsi="Times New Roman" w:cs="Times New Roman"/>
                <w:color w:val="auto"/>
                <w:sz w:val="21"/>
                <w:szCs w:val="21"/>
              </w:rPr>
              <w:t>侧边缘位置</w:t>
            </w:r>
            <w:r w:rsidR="009F2783" w:rsidRPr="00D630D1">
              <w:rPr>
                <w:rFonts w:ascii="Times New Roman" w:hAnsi="Times New Roman" w:cs="Times New Roman"/>
                <w:color w:val="auto"/>
                <w:sz w:val="21"/>
                <w:szCs w:val="21"/>
              </w:rPr>
              <w:t>。</w:t>
            </w:r>
          </w:p>
        </w:tc>
        <w:tc>
          <w:tcPr>
            <w:tcW w:w="969" w:type="dxa"/>
            <w:vAlign w:val="center"/>
          </w:tcPr>
          <w:p w:rsidR="00D14FB3" w:rsidRPr="00D630D1" w:rsidRDefault="00D14FB3" w:rsidP="009F2783">
            <w:pPr>
              <w:pStyle w:val="aff2"/>
              <w:rPr>
                <w:szCs w:val="21"/>
              </w:rPr>
            </w:pPr>
            <w:r w:rsidRPr="00D630D1">
              <w:rPr>
                <w:szCs w:val="21"/>
              </w:rPr>
              <w:t>符合</w:t>
            </w:r>
          </w:p>
        </w:tc>
      </w:tr>
      <w:tr w:rsidR="004951DA" w:rsidRPr="00D630D1" w:rsidTr="00E55C62">
        <w:trPr>
          <w:trHeight w:val="235"/>
          <w:jc w:val="center"/>
        </w:trPr>
        <w:tc>
          <w:tcPr>
            <w:tcW w:w="851" w:type="dxa"/>
            <w:vMerge/>
            <w:tcBorders>
              <w:right w:val="single" w:sz="2" w:space="0" w:color="auto"/>
            </w:tcBorders>
            <w:vAlign w:val="center"/>
          </w:tcPr>
          <w:p w:rsidR="004951DA" w:rsidRPr="00D630D1" w:rsidRDefault="004951DA" w:rsidP="00D14FB3">
            <w:pPr>
              <w:topLinePunct w:val="0"/>
              <w:autoSpaceDE w:val="0"/>
              <w:autoSpaceDN w:val="0"/>
              <w:spacing w:line="240" w:lineRule="auto"/>
              <w:ind w:firstLineChars="0" w:firstLine="0"/>
              <w:jc w:val="center"/>
              <w:rPr>
                <w:rFonts w:ascii="Times New Roman" w:cs="Times New Roman"/>
                <w:kern w:val="2"/>
                <w:sz w:val="21"/>
                <w:szCs w:val="21"/>
                <w:shd w:val="clear" w:color="auto" w:fill="FFFFFF"/>
              </w:rPr>
            </w:pPr>
          </w:p>
        </w:tc>
        <w:tc>
          <w:tcPr>
            <w:tcW w:w="709" w:type="dxa"/>
            <w:vMerge w:val="restart"/>
            <w:tcBorders>
              <w:left w:val="single" w:sz="2" w:space="0" w:color="auto"/>
            </w:tcBorders>
            <w:vAlign w:val="center"/>
          </w:tcPr>
          <w:p w:rsidR="004951DA" w:rsidRPr="00D630D1" w:rsidRDefault="004951DA" w:rsidP="009F2783">
            <w:pPr>
              <w:topLinePunct w:val="0"/>
              <w:autoSpaceDE w:val="0"/>
              <w:autoSpaceDN w:val="0"/>
              <w:spacing w:line="240" w:lineRule="auto"/>
              <w:ind w:firstLineChars="0" w:firstLine="0"/>
              <w:jc w:val="center"/>
              <w:rPr>
                <w:rFonts w:ascii="Times New Roman" w:cs="Times New Roman"/>
                <w:kern w:val="2"/>
                <w:sz w:val="21"/>
                <w:szCs w:val="21"/>
                <w:shd w:val="clear" w:color="auto" w:fill="FFFFFF"/>
              </w:rPr>
            </w:pPr>
            <w:r w:rsidRPr="00D630D1">
              <w:rPr>
                <w:rFonts w:ascii="Times New Roman" w:cs="Times New Roman"/>
                <w:kern w:val="2"/>
                <w:sz w:val="21"/>
                <w:szCs w:val="21"/>
                <w:shd w:val="clear" w:color="auto" w:fill="FFFFFF"/>
              </w:rPr>
              <w:t>集气管线</w:t>
            </w:r>
          </w:p>
        </w:tc>
        <w:tc>
          <w:tcPr>
            <w:tcW w:w="3969" w:type="dxa"/>
            <w:vAlign w:val="center"/>
          </w:tcPr>
          <w:p w:rsidR="004951DA" w:rsidRPr="00D630D1" w:rsidRDefault="004951DA"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油气田内部集输管道宜埋地敷设</w:t>
            </w:r>
          </w:p>
        </w:tc>
        <w:tc>
          <w:tcPr>
            <w:tcW w:w="2126" w:type="dxa"/>
            <w:vAlign w:val="center"/>
          </w:tcPr>
          <w:p w:rsidR="004951DA" w:rsidRPr="00D630D1" w:rsidRDefault="004951DA"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本项目管道埋地敷设。</w:t>
            </w:r>
          </w:p>
        </w:tc>
        <w:tc>
          <w:tcPr>
            <w:tcW w:w="969" w:type="dxa"/>
            <w:vAlign w:val="center"/>
          </w:tcPr>
          <w:p w:rsidR="004951DA" w:rsidRPr="00D630D1" w:rsidRDefault="004951DA" w:rsidP="009F2783">
            <w:pPr>
              <w:pStyle w:val="aff2"/>
              <w:rPr>
                <w:szCs w:val="21"/>
              </w:rPr>
            </w:pPr>
            <w:r w:rsidRPr="00D630D1">
              <w:rPr>
                <w:szCs w:val="21"/>
              </w:rPr>
              <w:t>符合</w:t>
            </w:r>
          </w:p>
        </w:tc>
      </w:tr>
      <w:tr w:rsidR="004951DA" w:rsidRPr="00D630D1" w:rsidTr="00E55C62">
        <w:trPr>
          <w:trHeight w:val="235"/>
          <w:jc w:val="center"/>
        </w:trPr>
        <w:tc>
          <w:tcPr>
            <w:tcW w:w="851" w:type="dxa"/>
            <w:vMerge/>
            <w:tcBorders>
              <w:right w:val="single" w:sz="2" w:space="0" w:color="auto"/>
            </w:tcBorders>
            <w:vAlign w:val="center"/>
          </w:tcPr>
          <w:p w:rsidR="004951DA" w:rsidRPr="00D630D1" w:rsidRDefault="004951DA" w:rsidP="00D14FB3">
            <w:pPr>
              <w:topLinePunct w:val="0"/>
              <w:autoSpaceDE w:val="0"/>
              <w:autoSpaceDN w:val="0"/>
              <w:spacing w:line="240" w:lineRule="auto"/>
              <w:ind w:firstLineChars="0" w:firstLine="0"/>
              <w:jc w:val="center"/>
              <w:rPr>
                <w:rFonts w:ascii="Times New Roman" w:cs="Times New Roman"/>
                <w:kern w:val="2"/>
                <w:sz w:val="21"/>
                <w:szCs w:val="21"/>
                <w:shd w:val="clear" w:color="auto" w:fill="FFFFFF"/>
              </w:rPr>
            </w:pPr>
          </w:p>
        </w:tc>
        <w:tc>
          <w:tcPr>
            <w:tcW w:w="709" w:type="dxa"/>
            <w:vMerge/>
            <w:tcBorders>
              <w:left w:val="single" w:sz="2" w:space="0" w:color="auto"/>
            </w:tcBorders>
            <w:vAlign w:val="center"/>
          </w:tcPr>
          <w:p w:rsidR="004951DA" w:rsidRPr="00D630D1" w:rsidRDefault="004951DA" w:rsidP="009F2783">
            <w:pPr>
              <w:topLinePunct w:val="0"/>
              <w:autoSpaceDE w:val="0"/>
              <w:autoSpaceDN w:val="0"/>
              <w:spacing w:line="240" w:lineRule="auto"/>
              <w:ind w:firstLineChars="0" w:firstLine="0"/>
              <w:jc w:val="center"/>
              <w:rPr>
                <w:rFonts w:ascii="Times New Roman" w:cs="Times New Roman"/>
                <w:kern w:val="2"/>
                <w:sz w:val="21"/>
                <w:szCs w:val="21"/>
                <w:shd w:val="clear" w:color="auto" w:fill="FFFFFF"/>
              </w:rPr>
            </w:pPr>
          </w:p>
        </w:tc>
        <w:tc>
          <w:tcPr>
            <w:tcW w:w="3969" w:type="dxa"/>
            <w:vAlign w:val="center"/>
          </w:tcPr>
          <w:p w:rsidR="004951DA" w:rsidRPr="00D630D1" w:rsidRDefault="004951DA" w:rsidP="009F2783">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埋地集输管道与其他地下管道、通信电缆、电力系统的各种接地装置等平行或交叉敷设时，其间距应符合国家现行标准《钢质管道及储罐腐蚀控制工程设计规范》</w:t>
            </w:r>
            <w:r w:rsidRPr="00D630D1">
              <w:rPr>
                <w:rFonts w:ascii="Times New Roman" w:hAnsi="Times New Roman" w:cs="Times New Roman"/>
                <w:color w:val="auto"/>
                <w:sz w:val="21"/>
                <w:szCs w:val="21"/>
              </w:rPr>
              <w:t>SY 0007</w:t>
            </w:r>
            <w:r w:rsidRPr="00D630D1">
              <w:rPr>
                <w:rFonts w:ascii="Times New Roman" w:hAnsi="Times New Roman" w:cs="Times New Roman"/>
                <w:color w:val="auto"/>
                <w:sz w:val="21"/>
                <w:szCs w:val="21"/>
              </w:rPr>
              <w:t>的有关规定。</w:t>
            </w:r>
          </w:p>
        </w:tc>
        <w:tc>
          <w:tcPr>
            <w:tcW w:w="2126" w:type="dxa"/>
            <w:vAlign w:val="center"/>
          </w:tcPr>
          <w:p w:rsidR="004951DA" w:rsidRPr="00D630D1" w:rsidRDefault="004951DA" w:rsidP="009F2783">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符合国家现行标准《钢质管道及储罐腐蚀控制工程设计规范》</w:t>
            </w:r>
            <w:r w:rsidRPr="00D630D1">
              <w:rPr>
                <w:rFonts w:ascii="Times New Roman" w:hAnsi="Times New Roman" w:cs="Times New Roman"/>
                <w:color w:val="auto"/>
                <w:sz w:val="21"/>
                <w:szCs w:val="21"/>
              </w:rPr>
              <w:t>SY0007</w:t>
            </w:r>
            <w:r w:rsidRPr="00D630D1">
              <w:rPr>
                <w:rFonts w:ascii="Times New Roman" w:hAnsi="Times New Roman" w:cs="Times New Roman"/>
                <w:color w:val="auto"/>
                <w:sz w:val="21"/>
                <w:szCs w:val="21"/>
              </w:rPr>
              <w:t>的有关规定。</w:t>
            </w:r>
          </w:p>
        </w:tc>
        <w:tc>
          <w:tcPr>
            <w:tcW w:w="969" w:type="dxa"/>
            <w:vAlign w:val="center"/>
          </w:tcPr>
          <w:p w:rsidR="004951DA" w:rsidRPr="00D630D1" w:rsidRDefault="004951DA" w:rsidP="009F2783">
            <w:pPr>
              <w:topLinePunct w:val="0"/>
              <w:autoSpaceDE w:val="0"/>
              <w:autoSpaceDN w:val="0"/>
              <w:spacing w:line="240" w:lineRule="auto"/>
              <w:ind w:firstLineChars="0" w:firstLine="0"/>
              <w:jc w:val="center"/>
              <w:rPr>
                <w:rFonts w:ascii="Times New Roman" w:cs="Times New Roman"/>
                <w:kern w:val="2"/>
                <w:sz w:val="21"/>
                <w:szCs w:val="21"/>
                <w:shd w:val="clear" w:color="auto" w:fill="FFFFFF"/>
              </w:rPr>
            </w:pPr>
            <w:r w:rsidRPr="00D630D1">
              <w:rPr>
                <w:rFonts w:ascii="Times New Roman" w:cs="Times New Roman"/>
                <w:sz w:val="21"/>
                <w:szCs w:val="21"/>
              </w:rPr>
              <w:t>符合</w:t>
            </w:r>
          </w:p>
        </w:tc>
      </w:tr>
      <w:tr w:rsidR="004951DA" w:rsidRPr="00D630D1" w:rsidTr="00E55C62">
        <w:trPr>
          <w:trHeight w:val="235"/>
          <w:jc w:val="center"/>
        </w:trPr>
        <w:tc>
          <w:tcPr>
            <w:tcW w:w="851" w:type="dxa"/>
            <w:vMerge/>
            <w:tcBorders>
              <w:right w:val="single" w:sz="2" w:space="0" w:color="auto"/>
            </w:tcBorders>
            <w:vAlign w:val="center"/>
          </w:tcPr>
          <w:p w:rsidR="004951DA" w:rsidRPr="00D630D1" w:rsidRDefault="004951DA" w:rsidP="00D14FB3">
            <w:pPr>
              <w:topLinePunct w:val="0"/>
              <w:autoSpaceDE w:val="0"/>
              <w:autoSpaceDN w:val="0"/>
              <w:spacing w:line="240" w:lineRule="auto"/>
              <w:ind w:firstLineChars="0" w:firstLine="0"/>
              <w:jc w:val="center"/>
              <w:rPr>
                <w:rFonts w:ascii="Times New Roman" w:cs="Times New Roman"/>
                <w:kern w:val="2"/>
                <w:sz w:val="21"/>
                <w:szCs w:val="21"/>
                <w:shd w:val="clear" w:color="auto" w:fill="FFFFFF"/>
              </w:rPr>
            </w:pPr>
          </w:p>
        </w:tc>
        <w:tc>
          <w:tcPr>
            <w:tcW w:w="709" w:type="dxa"/>
            <w:vMerge/>
            <w:tcBorders>
              <w:left w:val="single" w:sz="2" w:space="0" w:color="auto"/>
            </w:tcBorders>
            <w:vAlign w:val="center"/>
          </w:tcPr>
          <w:p w:rsidR="004951DA" w:rsidRPr="00D630D1" w:rsidRDefault="004951DA" w:rsidP="009F2783">
            <w:pPr>
              <w:topLinePunct w:val="0"/>
              <w:autoSpaceDE w:val="0"/>
              <w:autoSpaceDN w:val="0"/>
              <w:spacing w:line="240" w:lineRule="auto"/>
              <w:ind w:firstLineChars="0" w:firstLine="0"/>
              <w:jc w:val="center"/>
              <w:rPr>
                <w:rFonts w:ascii="Times New Roman" w:cs="Times New Roman"/>
                <w:kern w:val="2"/>
                <w:sz w:val="21"/>
                <w:szCs w:val="21"/>
                <w:shd w:val="clear" w:color="auto" w:fill="FFFFFF"/>
              </w:rPr>
            </w:pPr>
          </w:p>
        </w:tc>
        <w:tc>
          <w:tcPr>
            <w:tcW w:w="3969" w:type="dxa"/>
            <w:vAlign w:val="center"/>
          </w:tcPr>
          <w:p w:rsidR="004951DA" w:rsidRPr="00D630D1" w:rsidRDefault="004951DA"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管道同公路平行敷设时，宜敷设在公路用地范围外。</w:t>
            </w:r>
          </w:p>
        </w:tc>
        <w:tc>
          <w:tcPr>
            <w:tcW w:w="2126" w:type="dxa"/>
            <w:vAlign w:val="center"/>
          </w:tcPr>
          <w:p w:rsidR="004951DA" w:rsidRPr="00D630D1" w:rsidRDefault="004951DA" w:rsidP="009F278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本项目在公路用地范围外。</w:t>
            </w:r>
          </w:p>
        </w:tc>
        <w:tc>
          <w:tcPr>
            <w:tcW w:w="969" w:type="dxa"/>
            <w:vAlign w:val="center"/>
          </w:tcPr>
          <w:p w:rsidR="004951DA" w:rsidRPr="00D630D1" w:rsidRDefault="004951DA" w:rsidP="009F2783">
            <w:pPr>
              <w:topLinePunct w:val="0"/>
              <w:autoSpaceDE w:val="0"/>
              <w:autoSpaceDN w:val="0"/>
              <w:spacing w:line="240" w:lineRule="auto"/>
              <w:ind w:firstLineChars="0" w:firstLine="0"/>
              <w:jc w:val="center"/>
              <w:rPr>
                <w:rFonts w:ascii="Times New Roman" w:cs="Times New Roman"/>
                <w:sz w:val="21"/>
                <w:szCs w:val="21"/>
              </w:rPr>
            </w:pPr>
            <w:r w:rsidRPr="00D630D1">
              <w:rPr>
                <w:rFonts w:ascii="Times New Roman" w:cs="Times New Roman"/>
                <w:sz w:val="21"/>
                <w:szCs w:val="21"/>
              </w:rPr>
              <w:t>符合</w:t>
            </w:r>
          </w:p>
        </w:tc>
      </w:tr>
      <w:tr w:rsidR="004951DA" w:rsidRPr="00D630D1" w:rsidTr="00E55C62">
        <w:trPr>
          <w:trHeight w:val="235"/>
          <w:jc w:val="center"/>
        </w:trPr>
        <w:tc>
          <w:tcPr>
            <w:tcW w:w="851" w:type="dxa"/>
            <w:vMerge/>
            <w:tcBorders>
              <w:right w:val="single" w:sz="2" w:space="0" w:color="auto"/>
            </w:tcBorders>
            <w:vAlign w:val="center"/>
          </w:tcPr>
          <w:p w:rsidR="004951DA" w:rsidRPr="00D630D1" w:rsidRDefault="004951DA" w:rsidP="00D14FB3">
            <w:pPr>
              <w:topLinePunct w:val="0"/>
              <w:autoSpaceDE w:val="0"/>
              <w:autoSpaceDN w:val="0"/>
              <w:spacing w:line="240" w:lineRule="auto"/>
              <w:ind w:firstLineChars="0" w:firstLine="0"/>
              <w:jc w:val="center"/>
              <w:rPr>
                <w:rFonts w:ascii="Times New Roman" w:cs="Times New Roman"/>
                <w:kern w:val="2"/>
                <w:sz w:val="21"/>
                <w:szCs w:val="21"/>
                <w:shd w:val="clear" w:color="auto" w:fill="FFFFFF"/>
              </w:rPr>
            </w:pPr>
          </w:p>
        </w:tc>
        <w:tc>
          <w:tcPr>
            <w:tcW w:w="709" w:type="dxa"/>
            <w:vMerge/>
            <w:tcBorders>
              <w:left w:val="single" w:sz="2" w:space="0" w:color="auto"/>
            </w:tcBorders>
            <w:vAlign w:val="center"/>
          </w:tcPr>
          <w:p w:rsidR="004951DA" w:rsidRPr="00D630D1" w:rsidRDefault="004951DA" w:rsidP="009F2783">
            <w:pPr>
              <w:topLinePunct w:val="0"/>
              <w:autoSpaceDE w:val="0"/>
              <w:autoSpaceDN w:val="0"/>
              <w:spacing w:line="240" w:lineRule="auto"/>
              <w:ind w:firstLineChars="0" w:firstLine="0"/>
              <w:jc w:val="center"/>
              <w:rPr>
                <w:rFonts w:ascii="Times New Roman" w:cs="Times New Roman"/>
                <w:kern w:val="2"/>
                <w:sz w:val="21"/>
                <w:szCs w:val="21"/>
                <w:shd w:val="clear" w:color="auto" w:fill="FFFFFF"/>
              </w:rPr>
            </w:pPr>
          </w:p>
        </w:tc>
        <w:tc>
          <w:tcPr>
            <w:tcW w:w="3969" w:type="dxa"/>
            <w:vAlign w:val="center"/>
          </w:tcPr>
          <w:p w:rsidR="004951DA" w:rsidRPr="00D630D1" w:rsidRDefault="004951DA" w:rsidP="009F2783">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集输管道宜设清管设施。清管设施设计应按现行国家标准《输气管道工程设计规范》</w:t>
            </w:r>
            <w:r w:rsidRPr="00D630D1">
              <w:rPr>
                <w:rFonts w:ascii="Times New Roman" w:hAnsi="Times New Roman" w:cs="Times New Roman"/>
                <w:color w:val="auto"/>
                <w:sz w:val="21"/>
                <w:szCs w:val="21"/>
              </w:rPr>
              <w:t>GB50251</w:t>
            </w:r>
            <w:r w:rsidRPr="00D630D1">
              <w:rPr>
                <w:rFonts w:ascii="Times New Roman" w:hAnsi="Times New Roman" w:cs="Times New Roman"/>
                <w:color w:val="auto"/>
                <w:sz w:val="21"/>
                <w:szCs w:val="21"/>
              </w:rPr>
              <w:t>的有关规定执行。</w:t>
            </w:r>
          </w:p>
        </w:tc>
        <w:tc>
          <w:tcPr>
            <w:tcW w:w="2126" w:type="dxa"/>
            <w:vAlign w:val="center"/>
          </w:tcPr>
          <w:p w:rsidR="004951DA" w:rsidRPr="00D630D1" w:rsidRDefault="004951DA" w:rsidP="009F2783">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项目设置清管设施。</w:t>
            </w:r>
          </w:p>
        </w:tc>
        <w:tc>
          <w:tcPr>
            <w:tcW w:w="969" w:type="dxa"/>
            <w:vAlign w:val="center"/>
          </w:tcPr>
          <w:p w:rsidR="004951DA" w:rsidRPr="00D630D1" w:rsidRDefault="004951DA" w:rsidP="009F2783">
            <w:pPr>
              <w:topLinePunct w:val="0"/>
              <w:autoSpaceDE w:val="0"/>
              <w:autoSpaceDN w:val="0"/>
              <w:spacing w:line="240" w:lineRule="auto"/>
              <w:ind w:firstLineChars="0" w:firstLine="0"/>
              <w:jc w:val="center"/>
              <w:rPr>
                <w:rFonts w:ascii="Times New Roman" w:cs="Times New Roman"/>
                <w:kern w:val="2"/>
                <w:sz w:val="21"/>
                <w:szCs w:val="21"/>
                <w:shd w:val="clear" w:color="auto" w:fill="FFFFFF"/>
              </w:rPr>
            </w:pPr>
            <w:r w:rsidRPr="00D630D1">
              <w:rPr>
                <w:rFonts w:ascii="Times New Roman" w:cs="Times New Roman"/>
                <w:kern w:val="2"/>
                <w:sz w:val="21"/>
                <w:szCs w:val="21"/>
                <w:shd w:val="clear" w:color="auto" w:fill="FFFFFF"/>
              </w:rPr>
              <w:t>符合</w:t>
            </w:r>
          </w:p>
        </w:tc>
      </w:tr>
    </w:tbl>
    <w:p w:rsidR="00117C3D" w:rsidRPr="00D630D1" w:rsidRDefault="008B5B84">
      <w:pPr>
        <w:keepNext/>
        <w:keepLines/>
        <w:ind w:firstLineChars="0" w:firstLine="0"/>
        <w:outlineLvl w:val="2"/>
        <w:rPr>
          <w:rFonts w:ascii="Times New Roman" w:cs="Times New Roman"/>
          <w:b/>
          <w:szCs w:val="32"/>
        </w:rPr>
      </w:pPr>
      <w:bookmarkStart w:id="86" w:name="bookmark31"/>
      <w:bookmarkStart w:id="87" w:name="_Toc12288599"/>
      <w:bookmarkStart w:id="88" w:name="_Toc19816023"/>
      <w:bookmarkEnd w:id="86"/>
      <w:r w:rsidRPr="00D630D1">
        <w:rPr>
          <w:rFonts w:ascii="Times New Roman" w:cs="Times New Roman"/>
          <w:b/>
          <w:szCs w:val="32"/>
        </w:rPr>
        <w:t>1.7.</w:t>
      </w:r>
      <w:r w:rsidR="00D14FB3" w:rsidRPr="00D630D1">
        <w:rPr>
          <w:rFonts w:ascii="Times New Roman" w:cs="Times New Roman"/>
          <w:b/>
          <w:szCs w:val="32"/>
        </w:rPr>
        <w:t>3</w:t>
      </w:r>
      <w:r w:rsidRPr="00D630D1">
        <w:rPr>
          <w:rFonts w:ascii="Times New Roman" w:cs="Times New Roman"/>
          <w:b/>
          <w:szCs w:val="32"/>
        </w:rPr>
        <w:t xml:space="preserve"> </w:t>
      </w:r>
      <w:bookmarkEnd w:id="87"/>
      <w:bookmarkEnd w:id="88"/>
      <w:r w:rsidRPr="00D630D1">
        <w:rPr>
          <w:rFonts w:ascii="Times New Roman" w:cs="Times New Roman"/>
          <w:b/>
          <w:szCs w:val="32"/>
        </w:rPr>
        <w:t>项目管线选址符合性分析</w:t>
      </w:r>
    </w:p>
    <w:p w:rsidR="00AC126A" w:rsidRPr="00D630D1" w:rsidRDefault="00AC126A" w:rsidP="00AC126A">
      <w:pPr>
        <w:pStyle w:val="afa"/>
        <w:ind w:firstLine="482"/>
        <w:rPr>
          <w:b/>
          <w:bCs/>
        </w:rPr>
      </w:pPr>
      <w:bookmarkStart w:id="89" w:name="bookmark32"/>
      <w:bookmarkStart w:id="90" w:name="_Toc12288602"/>
      <w:bookmarkEnd w:id="89"/>
      <w:r w:rsidRPr="00D630D1">
        <w:rPr>
          <w:b/>
          <w:bCs/>
        </w:rPr>
        <w:t>1</w:t>
      </w:r>
      <w:r w:rsidRPr="00D630D1">
        <w:rPr>
          <w:b/>
          <w:bCs/>
        </w:rPr>
        <w:t>、</w:t>
      </w:r>
      <w:r w:rsidRPr="00D630D1">
        <w:rPr>
          <w:b/>
          <w:bCs/>
          <w:sz w:val="23"/>
          <w:szCs w:val="23"/>
        </w:rPr>
        <w:t>路由确定程序</w:t>
      </w:r>
    </w:p>
    <w:p w:rsidR="00AC126A" w:rsidRPr="00D630D1" w:rsidRDefault="00AC126A" w:rsidP="00AC126A">
      <w:pPr>
        <w:pStyle w:val="afa"/>
        <w:ind w:firstLine="480"/>
      </w:pPr>
      <w:r w:rsidRPr="00D630D1">
        <w:t>本管道工程线路路由的确定程序为：首先对可研提出的初步路由走向和比选线路，由环评单位与设计单位一起进行初步调研和评价。对管道线路进行踏勘，走访沿线重点城市和区县的生态环境局、规资局、文物局等相关部门，听取当地</w:t>
      </w:r>
      <w:r w:rsidRPr="00D630D1">
        <w:lastRenderedPageBreak/>
        <w:t>政府部门的意见和建议。其次根据环评批复要求，结合线路的路由，对可研及初步设计提出线路走向意见。最后对局部路由的比选再进行现场调研和踏勘，以确定最优化的线路方案。</w:t>
      </w:r>
    </w:p>
    <w:p w:rsidR="00AC126A" w:rsidRPr="00D630D1" w:rsidRDefault="00AC126A" w:rsidP="00AC126A">
      <w:pPr>
        <w:pStyle w:val="afa"/>
        <w:ind w:firstLine="482"/>
        <w:rPr>
          <w:b/>
          <w:bCs/>
        </w:rPr>
      </w:pPr>
      <w:r w:rsidRPr="00D630D1">
        <w:rPr>
          <w:b/>
          <w:bCs/>
        </w:rPr>
        <w:t>2</w:t>
      </w:r>
      <w:r w:rsidRPr="00D630D1">
        <w:rPr>
          <w:b/>
          <w:bCs/>
        </w:rPr>
        <w:t>、</w:t>
      </w:r>
      <w:r w:rsidRPr="00D630D1">
        <w:rPr>
          <w:b/>
          <w:bCs/>
          <w:sz w:val="23"/>
          <w:szCs w:val="23"/>
        </w:rPr>
        <w:t>线路由确定</w:t>
      </w:r>
    </w:p>
    <w:p w:rsidR="00CA0959" w:rsidRPr="00D630D1" w:rsidRDefault="00CA0959" w:rsidP="00E34481">
      <w:pPr>
        <w:pStyle w:val="afa"/>
        <w:ind w:firstLine="480"/>
      </w:pPr>
      <w:r w:rsidRPr="00D630D1">
        <w:rPr>
          <w:rFonts w:hint="eastAsia"/>
        </w:rPr>
        <w:t>（</w:t>
      </w:r>
      <w:r w:rsidRPr="00D630D1">
        <w:rPr>
          <w:rFonts w:hint="eastAsia"/>
        </w:rPr>
        <w:t>1</w:t>
      </w:r>
      <w:r w:rsidRPr="00D630D1">
        <w:rPr>
          <w:rFonts w:hint="eastAsia"/>
        </w:rPr>
        <w:t>）</w:t>
      </w:r>
      <w:r w:rsidR="00DD3EA1">
        <w:t>普光</w:t>
      </w:r>
      <w:r w:rsidR="00DD3EA1">
        <w:t>12</w:t>
      </w:r>
      <w:r w:rsidR="00DD3EA1">
        <w:t>采气站</w:t>
      </w:r>
      <w:r w:rsidR="008B63ED" w:rsidRPr="00D630D1">
        <w:t>~</w:t>
      </w:r>
      <w:r w:rsidR="00572AB4" w:rsidRPr="00D630D1">
        <w:rPr>
          <w:rFonts w:hint="eastAsia"/>
        </w:rPr>
        <w:t xml:space="preserve"> </w:t>
      </w:r>
      <w:r w:rsidR="005471F7">
        <w:rPr>
          <w:rFonts w:hint="eastAsia"/>
        </w:rPr>
        <w:t>普陆</w:t>
      </w:r>
      <w:r w:rsidR="005471F7">
        <w:rPr>
          <w:rFonts w:hint="eastAsia"/>
        </w:rPr>
        <w:t>3</w:t>
      </w:r>
      <w:r w:rsidR="005471F7">
        <w:rPr>
          <w:rFonts w:hint="eastAsia"/>
        </w:rPr>
        <w:t>集气站</w:t>
      </w:r>
      <w:r w:rsidR="008B63ED" w:rsidRPr="00D630D1">
        <w:rPr>
          <w:rFonts w:hint="eastAsia"/>
        </w:rPr>
        <w:t>集气管道</w:t>
      </w:r>
    </w:p>
    <w:p w:rsidR="00AC126A" w:rsidRDefault="00024CC8" w:rsidP="005471F7">
      <w:pPr>
        <w:pStyle w:val="afa"/>
        <w:ind w:firstLine="480"/>
      </w:pPr>
      <w:r w:rsidRPr="00024CC8">
        <w:rPr>
          <w:rFonts w:hint="eastAsia"/>
        </w:rPr>
        <w:t>设计压力</w:t>
      </w:r>
      <w:r w:rsidRPr="00024CC8">
        <w:rPr>
          <w:rFonts w:hint="eastAsia"/>
        </w:rPr>
        <w:t>11MPa</w:t>
      </w:r>
      <w:r w:rsidRPr="00024CC8">
        <w:rPr>
          <w:rFonts w:hint="eastAsia"/>
        </w:rPr>
        <w:t>，</w:t>
      </w:r>
      <w:r w:rsidRPr="00024CC8">
        <w:t>材质为</w:t>
      </w:r>
      <w:r w:rsidRPr="00024CC8">
        <w:rPr>
          <w:rFonts w:hint="eastAsia"/>
        </w:rPr>
        <w:t>L</w:t>
      </w:r>
      <w:r w:rsidRPr="00024CC8">
        <w:t>245</w:t>
      </w:r>
      <w:r w:rsidRPr="00024CC8">
        <w:rPr>
          <w:rFonts w:hint="eastAsia"/>
        </w:rPr>
        <w:t>N</w:t>
      </w:r>
      <w:r w:rsidRPr="00024CC8">
        <w:rPr>
          <w:rFonts w:hint="eastAsia"/>
        </w:rPr>
        <w:t>无缝钢管</w:t>
      </w:r>
      <w:r w:rsidRPr="00024CC8">
        <w:rPr>
          <w:rFonts w:hint="eastAsia"/>
        </w:rPr>
        <w:t>PSL2</w:t>
      </w:r>
      <w:r w:rsidRPr="00024CC8">
        <w:rPr>
          <w:rFonts w:hint="eastAsia"/>
        </w:rPr>
        <w:t>，</w:t>
      </w:r>
      <w:r w:rsidR="005471F7">
        <w:rPr>
          <w:rFonts w:hint="eastAsia"/>
        </w:rPr>
        <w:t>管径</w:t>
      </w:r>
      <w:r w:rsidR="005471F7">
        <w:rPr>
          <w:rFonts w:hint="eastAsia"/>
        </w:rPr>
        <w:t xml:space="preserve"> DN200</w:t>
      </w:r>
      <w:r w:rsidR="005471F7">
        <w:rPr>
          <w:rFonts w:hint="eastAsia"/>
        </w:rPr>
        <w:t>，长度约</w:t>
      </w:r>
      <w:r w:rsidR="005471F7">
        <w:rPr>
          <w:rFonts w:hint="eastAsia"/>
        </w:rPr>
        <w:t>3km</w:t>
      </w:r>
      <w:r w:rsidR="005471F7">
        <w:rPr>
          <w:rFonts w:hint="eastAsia"/>
        </w:rPr>
        <w:t>，管道起于普光</w:t>
      </w:r>
      <w:r w:rsidR="005471F7">
        <w:rPr>
          <w:rFonts w:hint="eastAsia"/>
        </w:rPr>
        <w:t>12</w:t>
      </w:r>
      <w:r w:rsidR="005471F7">
        <w:t>采气站</w:t>
      </w:r>
      <w:r w:rsidR="005471F7">
        <w:rPr>
          <w:rFonts w:hint="eastAsia"/>
        </w:rPr>
        <w:t>，出站后往北走线，穿越塌娅村后往东北走线，于鲜家坪后往北，接入普陆</w:t>
      </w:r>
      <w:r w:rsidR="005471F7">
        <w:rPr>
          <w:rFonts w:hint="eastAsia"/>
        </w:rPr>
        <w:t>3</w:t>
      </w:r>
      <w:r w:rsidR="005471F7">
        <w:rPr>
          <w:rFonts w:hint="eastAsia"/>
        </w:rPr>
        <w:t>集气站</w:t>
      </w:r>
      <w:r w:rsidR="00572AB4" w:rsidRPr="00D630D1">
        <w:rPr>
          <w:rFonts w:hint="eastAsia"/>
        </w:rPr>
        <w:t>。</w:t>
      </w:r>
      <w:r w:rsidR="00AC126A" w:rsidRPr="00D630D1">
        <w:t>集输管道路由示意图见图</w:t>
      </w:r>
      <w:r w:rsidR="00AC126A" w:rsidRPr="00D630D1">
        <w:t>1.7-1</w:t>
      </w:r>
      <w:r w:rsidR="00AC126A" w:rsidRPr="00D630D1">
        <w:t>。</w:t>
      </w:r>
    </w:p>
    <w:p w:rsidR="005471F7" w:rsidRDefault="005471F7" w:rsidP="005471F7">
      <w:pPr>
        <w:pStyle w:val="afa"/>
        <w:ind w:firstLineChars="83" w:firstLine="199"/>
        <w:jc w:val="center"/>
      </w:pPr>
      <w:r w:rsidRPr="005471F7">
        <w:rPr>
          <w:noProof/>
        </w:rPr>
        <w:drawing>
          <wp:inline distT="0" distB="0" distL="0" distR="0">
            <wp:extent cx="3913258" cy="5007760"/>
            <wp:effectExtent l="19050" t="0" r="0" b="0"/>
            <wp:docPr id="24" name="对象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913258" cy="5007760"/>
                      <a:chOff x="7481030" y="809645"/>
                      <a:chExt cx="3913258" cy="5007760"/>
                    </a:xfrm>
                  </a:grpSpPr>
                  <a:grpSp>
                    <a:nvGrpSpPr>
                      <a:cNvPr id="2" name="组合 1"/>
                      <a:cNvGrpSpPr/>
                    </a:nvGrpSpPr>
                    <a:grpSpPr>
                      <a:xfrm>
                        <a:off x="7481030" y="809645"/>
                        <a:ext cx="3913258" cy="5007760"/>
                        <a:chOff x="6725692" y="931866"/>
                        <a:chExt cx="3248478" cy="5087060"/>
                      </a:xfrm>
                    </a:grpSpPr>
                    <a:pic>
                      <a:nvPicPr>
                        <a:cNvPr id="22" name="图片 21"/>
                        <a:cNvPicPr>
                          <a:picLocks noChangeAspect="1"/>
                        </a:cNvPicPr>
                      </a:nvPicPr>
                      <a:blipFill>
                        <a:blip r:embed="rId21">
                          <a:extLst>
                            <a:ext uri="{28A0092B-C50C-407E-A947-70E740481C1C}">
                              <a14:useLocalDpi xmlns:arto="http://schemas.microsoft.com/office/word/2006/arto"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a:blipFill>
                      <a:spPr>
                        <a:xfrm>
                          <a:off x="6725692" y="931866"/>
                          <a:ext cx="3248478" cy="5087060"/>
                        </a:xfrm>
                        <a:prstGeom prst="rect">
                          <a:avLst/>
                        </a:prstGeom>
                      </a:spPr>
                    </a:pic>
                    <a:sp>
                      <a:nvSpPr>
                        <a:cNvPr id="23" name="任意多边形 22"/>
                        <a:cNvSpPr/>
                      </a:nvSpPr>
                      <a:spPr>
                        <a:xfrm>
                          <a:off x="7701908" y="1458409"/>
                          <a:ext cx="1142034" cy="4118322"/>
                        </a:xfrm>
                        <a:custGeom>
                          <a:avLst/>
                          <a:gdLst>
                            <a:gd name="connsiteX0" fmla="*/ 1142034 w 1142034"/>
                            <a:gd name="connsiteY0" fmla="*/ 125871 h 4118322"/>
                            <a:gd name="connsiteX1" fmla="*/ 935972 w 1142034"/>
                            <a:gd name="connsiteY1" fmla="*/ 22840 h 4118322"/>
                            <a:gd name="connsiteX2" fmla="*/ 678395 w 1142034"/>
                            <a:gd name="connsiteY2" fmla="*/ 512237 h 4118322"/>
                            <a:gd name="connsiteX3" fmla="*/ 523848 w 1142034"/>
                            <a:gd name="connsiteY3" fmla="*/ 962998 h 4118322"/>
                            <a:gd name="connsiteX4" fmla="*/ 304907 w 1142034"/>
                            <a:gd name="connsiteY4" fmla="*/ 1491032 h 4118322"/>
                            <a:gd name="connsiteX5" fmla="*/ 343544 w 1142034"/>
                            <a:gd name="connsiteY5" fmla="*/ 1658457 h 4118322"/>
                            <a:gd name="connsiteX6" fmla="*/ 21572 w 1142034"/>
                            <a:gd name="connsiteY6" fmla="*/ 2109218 h 4118322"/>
                            <a:gd name="connsiteX7" fmla="*/ 34451 w 1142034"/>
                            <a:gd name="connsiteY7" fmla="*/ 2778919 h 4118322"/>
                            <a:gd name="connsiteX8" fmla="*/ 73088 w 1142034"/>
                            <a:gd name="connsiteY8" fmla="*/ 2997860 h 4118322"/>
                            <a:gd name="connsiteX9" fmla="*/ 639758 w 1142034"/>
                            <a:gd name="connsiteY9" fmla="*/ 3371347 h 4118322"/>
                            <a:gd name="connsiteX10" fmla="*/ 794305 w 1142034"/>
                            <a:gd name="connsiteY10" fmla="*/ 3551652 h 4118322"/>
                            <a:gd name="connsiteX11" fmla="*/ 974609 w 1142034"/>
                            <a:gd name="connsiteY11" fmla="*/ 3796350 h 4118322"/>
                            <a:gd name="connsiteX12" fmla="*/ 742789 w 1142034"/>
                            <a:gd name="connsiteY12" fmla="*/ 3860745 h 4118322"/>
                            <a:gd name="connsiteX13" fmla="*/ 704152 w 1142034"/>
                            <a:gd name="connsiteY13" fmla="*/ 3950897 h 4118322"/>
                            <a:gd name="connsiteX14" fmla="*/ 807183 w 1142034"/>
                            <a:gd name="connsiteY14" fmla="*/ 4079685 h 4118322"/>
                            <a:gd name="connsiteX15" fmla="*/ 807183 w 1142034"/>
                            <a:gd name="connsiteY15" fmla="*/ 4118322 h 41183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142034" h="4118322">
                              <a:moveTo>
                                <a:pt x="1142034" y="125871"/>
                              </a:moveTo>
                              <a:cubicBezTo>
                                <a:pt x="1077639" y="42158"/>
                                <a:pt x="1013245" y="-41554"/>
                                <a:pt x="935972" y="22840"/>
                              </a:cubicBezTo>
                              <a:cubicBezTo>
                                <a:pt x="858699" y="87234"/>
                                <a:pt x="747082" y="355544"/>
                                <a:pt x="678395" y="512237"/>
                              </a:cubicBezTo>
                              <a:cubicBezTo>
                                <a:pt x="609708" y="668930"/>
                                <a:pt x="586096" y="799866"/>
                                <a:pt x="523848" y="962998"/>
                              </a:cubicBezTo>
                              <a:cubicBezTo>
                                <a:pt x="461600" y="1126130"/>
                                <a:pt x="334958" y="1375122"/>
                                <a:pt x="304907" y="1491032"/>
                              </a:cubicBezTo>
                              <a:cubicBezTo>
                                <a:pt x="274856" y="1606942"/>
                                <a:pt x="390766" y="1555426"/>
                                <a:pt x="343544" y="1658457"/>
                              </a:cubicBezTo>
                              <a:cubicBezTo>
                                <a:pt x="296322" y="1761488"/>
                                <a:pt x="73088" y="1922474"/>
                                <a:pt x="21572" y="2109218"/>
                              </a:cubicBezTo>
                              <a:cubicBezTo>
                                <a:pt x="-29944" y="2295962"/>
                                <a:pt x="25865" y="2630812"/>
                                <a:pt x="34451" y="2778919"/>
                              </a:cubicBezTo>
                              <a:cubicBezTo>
                                <a:pt x="43037" y="2927026"/>
                                <a:pt x="-27796" y="2899122"/>
                                <a:pt x="73088" y="2997860"/>
                              </a:cubicBezTo>
                              <a:cubicBezTo>
                                <a:pt x="173972" y="3096598"/>
                                <a:pt x="519555" y="3279048"/>
                                <a:pt x="639758" y="3371347"/>
                              </a:cubicBezTo>
                              <a:cubicBezTo>
                                <a:pt x="759961" y="3463646"/>
                                <a:pt x="738497" y="3480818"/>
                                <a:pt x="794305" y="3551652"/>
                              </a:cubicBezTo>
                              <a:cubicBezTo>
                                <a:pt x="850113" y="3622486"/>
                                <a:pt x="983195" y="3744835"/>
                                <a:pt x="974609" y="3796350"/>
                              </a:cubicBezTo>
                              <a:cubicBezTo>
                                <a:pt x="966023" y="3847865"/>
                                <a:pt x="787865" y="3834987"/>
                                <a:pt x="742789" y="3860745"/>
                              </a:cubicBezTo>
                              <a:cubicBezTo>
                                <a:pt x="697713" y="3886503"/>
                                <a:pt x="693420" y="3914407"/>
                                <a:pt x="704152" y="3950897"/>
                              </a:cubicBezTo>
                              <a:cubicBezTo>
                                <a:pt x="714884" y="3987387"/>
                                <a:pt x="790011" y="4051781"/>
                                <a:pt x="807183" y="4079685"/>
                              </a:cubicBezTo>
                              <a:cubicBezTo>
                                <a:pt x="824355" y="4107589"/>
                                <a:pt x="815769" y="4112955"/>
                                <a:pt x="807183" y="4118322"/>
                              </a:cubicBezTo>
                            </a:path>
                          </a:pathLst>
                        </a:custGeom>
                        <a:noFill/>
                        <a:ln w="50800">
                          <a:solidFill>
                            <a:srgbClr val="FFFF00"/>
                          </a:solidFill>
                        </a:ln>
                      </a:spPr>
                      <a:txSp>
                        <a:txBody>
                          <a:bodyPr rtlCol="0" anchor="ctr"/>
                          <a:lstStyle>
                            <a:defPPr>
                              <a:defRPr lang="zh-CN"/>
                            </a:defPPr>
                            <a:lvl1pPr marL="0" algn="l" defTabSz="1219200" rtl="0" eaLnBrk="1" latinLnBrk="0" hangingPunct="1">
                              <a:defRPr sz="2400" kern="1200">
                                <a:solidFill>
                                  <a:schemeClr val="lt1"/>
                                </a:solidFill>
                                <a:latin typeface="+mn-lt"/>
                                <a:ea typeface="+mn-ea"/>
                                <a:cs typeface="+mn-cs"/>
                              </a:defRPr>
                            </a:lvl1pPr>
                            <a:lvl2pPr marL="609600" algn="l" defTabSz="1219200" rtl="0" eaLnBrk="1" latinLnBrk="0" hangingPunct="1">
                              <a:defRPr sz="2400" kern="1200">
                                <a:solidFill>
                                  <a:schemeClr val="lt1"/>
                                </a:solidFill>
                                <a:latin typeface="+mn-lt"/>
                                <a:ea typeface="+mn-ea"/>
                                <a:cs typeface="+mn-cs"/>
                              </a:defRPr>
                            </a:lvl2pPr>
                            <a:lvl3pPr marL="1219200" algn="l" defTabSz="1219200" rtl="0" eaLnBrk="1" latinLnBrk="0" hangingPunct="1">
                              <a:defRPr sz="2400" kern="1200">
                                <a:solidFill>
                                  <a:schemeClr val="lt1"/>
                                </a:solidFill>
                                <a:latin typeface="+mn-lt"/>
                                <a:ea typeface="+mn-ea"/>
                                <a:cs typeface="+mn-cs"/>
                              </a:defRPr>
                            </a:lvl3pPr>
                            <a:lvl4pPr marL="1828800" algn="l" defTabSz="1219200" rtl="0" eaLnBrk="1" latinLnBrk="0" hangingPunct="1">
                              <a:defRPr sz="2400" kern="1200">
                                <a:solidFill>
                                  <a:schemeClr val="lt1"/>
                                </a:solidFill>
                                <a:latin typeface="+mn-lt"/>
                                <a:ea typeface="+mn-ea"/>
                                <a:cs typeface="+mn-cs"/>
                              </a:defRPr>
                            </a:lvl4pPr>
                            <a:lvl5pPr marL="2438400" algn="l" defTabSz="1219200" rtl="0" eaLnBrk="1" latinLnBrk="0" hangingPunct="1">
                              <a:defRPr sz="2400" kern="1200">
                                <a:solidFill>
                                  <a:schemeClr val="lt1"/>
                                </a:solidFill>
                                <a:latin typeface="+mn-lt"/>
                                <a:ea typeface="+mn-ea"/>
                                <a:cs typeface="+mn-cs"/>
                              </a:defRPr>
                            </a:lvl5pPr>
                            <a:lvl6pPr marL="3048000" algn="l" defTabSz="1219200" rtl="0" eaLnBrk="1" latinLnBrk="0" hangingPunct="1">
                              <a:defRPr sz="2400" kern="1200">
                                <a:solidFill>
                                  <a:schemeClr val="lt1"/>
                                </a:solidFill>
                                <a:latin typeface="+mn-lt"/>
                                <a:ea typeface="+mn-ea"/>
                                <a:cs typeface="+mn-cs"/>
                              </a:defRPr>
                            </a:lvl6pPr>
                            <a:lvl7pPr marL="3657600" algn="l" defTabSz="1219200" rtl="0" eaLnBrk="1" latinLnBrk="0" hangingPunct="1">
                              <a:defRPr sz="2400" kern="1200">
                                <a:solidFill>
                                  <a:schemeClr val="lt1"/>
                                </a:solidFill>
                                <a:latin typeface="+mn-lt"/>
                                <a:ea typeface="+mn-ea"/>
                                <a:cs typeface="+mn-cs"/>
                              </a:defRPr>
                            </a:lvl7pPr>
                            <a:lvl8pPr marL="4267200" algn="l" defTabSz="1219200" rtl="0" eaLnBrk="1" latinLnBrk="0" hangingPunct="1">
                              <a:defRPr sz="2400" kern="1200">
                                <a:solidFill>
                                  <a:schemeClr val="lt1"/>
                                </a:solidFill>
                                <a:latin typeface="+mn-lt"/>
                                <a:ea typeface="+mn-ea"/>
                                <a:cs typeface="+mn-cs"/>
                              </a:defRPr>
                            </a:lvl8pPr>
                            <a:lvl9pPr marL="4876800" algn="l" defTabSz="1219200" rtl="0" eaLnBrk="1" latinLnBrk="0" hangingPunct="1">
                              <a:defRPr sz="24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AC126A" w:rsidRPr="00D630D1" w:rsidRDefault="00AC126A" w:rsidP="00AC126A">
      <w:pPr>
        <w:pStyle w:val="10"/>
        <w:rPr>
          <w:rFonts w:cs="Times New Roman"/>
        </w:rPr>
      </w:pPr>
      <w:r w:rsidRPr="00D630D1">
        <w:rPr>
          <w:rFonts w:cs="Times New Roman"/>
        </w:rPr>
        <w:t>图</w:t>
      </w:r>
      <w:r w:rsidRPr="00D630D1">
        <w:rPr>
          <w:rFonts w:cs="Times New Roman"/>
        </w:rPr>
        <w:t xml:space="preserve">1.7-1  </w:t>
      </w:r>
      <w:r w:rsidR="00DD3EA1">
        <w:rPr>
          <w:rFonts w:cs="Times New Roman" w:hint="eastAsia"/>
        </w:rPr>
        <w:t>普光</w:t>
      </w:r>
      <w:r w:rsidR="00DD3EA1">
        <w:rPr>
          <w:rFonts w:cs="Times New Roman" w:hint="eastAsia"/>
        </w:rPr>
        <w:t>12</w:t>
      </w:r>
      <w:r w:rsidR="00DD3EA1">
        <w:rPr>
          <w:rFonts w:cs="Times New Roman" w:hint="eastAsia"/>
        </w:rPr>
        <w:t>采气站</w:t>
      </w:r>
      <w:r w:rsidR="00572AB4" w:rsidRPr="00D630D1">
        <w:rPr>
          <w:rFonts w:cs="Times New Roman" w:hint="eastAsia"/>
        </w:rPr>
        <w:t>～</w:t>
      </w:r>
      <w:r w:rsidR="00D57583">
        <w:rPr>
          <w:rFonts w:cs="Times New Roman" w:hint="eastAsia"/>
        </w:rPr>
        <w:t>普陆</w:t>
      </w:r>
      <w:r w:rsidR="00D57583">
        <w:rPr>
          <w:rFonts w:cs="Times New Roman" w:hint="eastAsia"/>
        </w:rPr>
        <w:t>3</w:t>
      </w:r>
      <w:r w:rsidR="00D57583">
        <w:rPr>
          <w:rFonts w:cs="Times New Roman" w:hint="eastAsia"/>
        </w:rPr>
        <w:t>集气站</w:t>
      </w:r>
      <w:r w:rsidR="00572AB4" w:rsidRPr="00D630D1">
        <w:rPr>
          <w:rFonts w:cs="Times New Roman" w:hint="eastAsia"/>
        </w:rPr>
        <w:t>线路走向示意图</w:t>
      </w:r>
    </w:p>
    <w:p w:rsidR="0047248F" w:rsidRPr="00D630D1" w:rsidRDefault="0047248F" w:rsidP="0047248F">
      <w:pPr>
        <w:pStyle w:val="afa"/>
        <w:ind w:firstLine="480"/>
      </w:pPr>
      <w:r w:rsidRPr="00D630D1">
        <w:t>依据管线对环境影响最小的原则，从环境影响和环境保护角度进行环境要素比选，结合环保要求等对部分敏感区域段路由进行了优化比选。</w:t>
      </w:r>
      <w:r w:rsidR="00CA0959" w:rsidRPr="00D630D1">
        <w:rPr>
          <w:rFonts w:hint="eastAsia"/>
        </w:rPr>
        <w:t>管线</w:t>
      </w:r>
      <w:r w:rsidR="007E7AC5" w:rsidRPr="00D630D1">
        <w:t>采用</w:t>
      </w:r>
      <w:r w:rsidR="00CA0959" w:rsidRPr="00D630D1">
        <w:rPr>
          <w:rFonts w:hint="eastAsia"/>
        </w:rPr>
        <w:t>直接过沟方式</w:t>
      </w:r>
      <w:r w:rsidR="001364E0" w:rsidRPr="00D630D1">
        <w:t>可避免施工期管沟开挖对地表植被的破坏和水土流失；同时管沟土石方量</w:t>
      </w:r>
      <w:r w:rsidR="001364E0" w:rsidRPr="00D630D1">
        <w:lastRenderedPageBreak/>
        <w:t>更少；受地形高差影响，</w:t>
      </w:r>
      <w:r w:rsidR="007E7AC5" w:rsidRPr="00D630D1">
        <w:rPr>
          <w:rFonts w:hint="eastAsia"/>
        </w:rPr>
        <w:t>拟采取的管线路由</w:t>
      </w:r>
      <w:r w:rsidR="00CA0959" w:rsidRPr="00D630D1">
        <w:t>施工难度较小</w:t>
      </w:r>
      <w:r w:rsidR="00CA0959" w:rsidRPr="00D630D1">
        <w:rPr>
          <w:rFonts w:hint="eastAsia"/>
        </w:rPr>
        <w:t>，</w:t>
      </w:r>
      <w:r w:rsidR="007E7AC5" w:rsidRPr="00D630D1">
        <w:t>安全性</w:t>
      </w:r>
      <w:r w:rsidR="001364E0" w:rsidRPr="00D630D1">
        <w:t>高</w:t>
      </w:r>
      <w:r w:rsidR="00DE7807" w:rsidRPr="00D630D1">
        <w:t>。</w:t>
      </w:r>
      <w:r w:rsidRPr="00D630D1">
        <w:t>从环境影响和环境保护、节约</w:t>
      </w:r>
      <w:r w:rsidR="00884269" w:rsidRPr="00D630D1">
        <w:t>占地</w:t>
      </w:r>
      <w:r w:rsidRPr="00D630D1">
        <w:t>、</w:t>
      </w:r>
      <w:r w:rsidR="001364E0" w:rsidRPr="00D630D1">
        <w:t>安全生产</w:t>
      </w:r>
      <w:r w:rsidRPr="00D630D1">
        <w:t>角度出发，管线</w:t>
      </w:r>
      <w:r w:rsidR="00DC5D18" w:rsidRPr="00D630D1">
        <w:rPr>
          <w:rFonts w:hint="eastAsia"/>
        </w:rPr>
        <w:t>路由</w:t>
      </w:r>
      <w:r w:rsidR="007E7AC5" w:rsidRPr="00D630D1">
        <w:rPr>
          <w:rFonts w:hint="eastAsia"/>
        </w:rPr>
        <w:t>选用合理</w:t>
      </w:r>
      <w:r w:rsidRPr="00D630D1">
        <w:t>。</w:t>
      </w:r>
    </w:p>
    <w:p w:rsidR="00CA0959" w:rsidRDefault="00CA0959" w:rsidP="0047248F">
      <w:pPr>
        <w:pStyle w:val="afa"/>
        <w:ind w:firstLine="480"/>
      </w:pPr>
      <w:r w:rsidRPr="00D630D1">
        <w:rPr>
          <w:rFonts w:hint="eastAsia"/>
        </w:rPr>
        <w:t>（</w:t>
      </w:r>
      <w:r w:rsidRPr="00D630D1">
        <w:rPr>
          <w:rFonts w:hint="eastAsia"/>
        </w:rPr>
        <w:t>2</w:t>
      </w:r>
      <w:r w:rsidRPr="00D630D1">
        <w:rPr>
          <w:rFonts w:hint="eastAsia"/>
        </w:rPr>
        <w:t>）</w:t>
      </w:r>
      <w:r w:rsidR="00925ADD">
        <w:rPr>
          <w:rFonts w:hint="eastAsia"/>
        </w:rPr>
        <w:t>普陆</w:t>
      </w:r>
      <w:r w:rsidR="00925ADD">
        <w:rPr>
          <w:rFonts w:hint="eastAsia"/>
        </w:rPr>
        <w:t>3</w:t>
      </w:r>
      <w:r w:rsidR="00925ADD">
        <w:rPr>
          <w:rFonts w:hint="eastAsia"/>
        </w:rPr>
        <w:t>集气站</w:t>
      </w:r>
      <w:r w:rsidR="00925ADD" w:rsidRPr="00D630D1">
        <w:t>~</w:t>
      </w:r>
      <w:r w:rsidR="00925ADD" w:rsidRPr="00D630D1">
        <w:rPr>
          <w:rFonts w:hint="eastAsia"/>
        </w:rPr>
        <w:t xml:space="preserve"> </w:t>
      </w:r>
      <w:r w:rsidR="00925ADD">
        <w:rPr>
          <w:rFonts w:hint="eastAsia"/>
        </w:rPr>
        <w:t>P105</w:t>
      </w:r>
      <w:r w:rsidR="00925ADD">
        <w:rPr>
          <w:rFonts w:hint="eastAsia"/>
        </w:rPr>
        <w:t>集气站</w:t>
      </w:r>
      <w:r w:rsidR="00925ADD" w:rsidRPr="00D630D1">
        <w:rPr>
          <w:rFonts w:hint="eastAsia"/>
        </w:rPr>
        <w:t>集气管道</w:t>
      </w:r>
    </w:p>
    <w:p w:rsidR="00925ADD" w:rsidRDefault="00024CC8" w:rsidP="0047248F">
      <w:pPr>
        <w:pStyle w:val="afa"/>
        <w:ind w:firstLine="480"/>
      </w:pPr>
      <w:r w:rsidRPr="00024CC8">
        <w:rPr>
          <w:rFonts w:hint="eastAsia"/>
        </w:rPr>
        <w:t>设计压力</w:t>
      </w:r>
      <w:r w:rsidRPr="00024CC8">
        <w:rPr>
          <w:rFonts w:hint="eastAsia"/>
        </w:rPr>
        <w:t>11MPa</w:t>
      </w:r>
      <w:r w:rsidRPr="00024CC8">
        <w:rPr>
          <w:rFonts w:hint="eastAsia"/>
        </w:rPr>
        <w:t>，</w:t>
      </w:r>
      <w:r w:rsidRPr="00024CC8">
        <w:t>材质为</w:t>
      </w:r>
      <w:r w:rsidRPr="00024CC8">
        <w:rPr>
          <w:rFonts w:hint="eastAsia"/>
        </w:rPr>
        <w:t>L</w:t>
      </w:r>
      <w:r w:rsidRPr="00024CC8">
        <w:t>245</w:t>
      </w:r>
      <w:r w:rsidRPr="00024CC8">
        <w:rPr>
          <w:rFonts w:hint="eastAsia"/>
        </w:rPr>
        <w:t>N</w:t>
      </w:r>
      <w:r w:rsidRPr="00024CC8">
        <w:rPr>
          <w:rFonts w:hint="eastAsia"/>
        </w:rPr>
        <w:t>无缝钢管</w:t>
      </w:r>
      <w:r w:rsidRPr="00024CC8">
        <w:rPr>
          <w:rFonts w:hint="eastAsia"/>
        </w:rPr>
        <w:t>PSL2</w:t>
      </w:r>
      <w:r w:rsidRPr="00024CC8">
        <w:rPr>
          <w:rFonts w:hint="eastAsia"/>
        </w:rPr>
        <w:t>，</w:t>
      </w:r>
      <w:r w:rsidR="00925ADD" w:rsidRPr="00925ADD">
        <w:rPr>
          <w:rFonts w:hint="eastAsia"/>
        </w:rPr>
        <w:t>管径</w:t>
      </w:r>
      <w:r w:rsidR="00925ADD" w:rsidRPr="00925ADD">
        <w:rPr>
          <w:rFonts w:hint="eastAsia"/>
        </w:rPr>
        <w:t>DN150</w:t>
      </w:r>
      <w:r w:rsidR="00925ADD" w:rsidRPr="00925ADD">
        <w:rPr>
          <w:rFonts w:hint="eastAsia"/>
        </w:rPr>
        <w:t>，长度约</w:t>
      </w:r>
      <w:r w:rsidR="00925ADD" w:rsidRPr="00925ADD">
        <w:rPr>
          <w:rFonts w:hint="eastAsia"/>
        </w:rPr>
        <w:t xml:space="preserve"> 0.98</w:t>
      </w:r>
      <w:r w:rsidR="00925ADD">
        <w:rPr>
          <w:rFonts w:hint="eastAsia"/>
        </w:rPr>
        <w:t>km</w:t>
      </w:r>
      <w:r w:rsidR="00925ADD" w:rsidRPr="00925ADD">
        <w:rPr>
          <w:rFonts w:hint="eastAsia"/>
        </w:rPr>
        <w:t>，管道起于普陆</w:t>
      </w:r>
      <w:r w:rsidR="00925ADD" w:rsidRPr="00925ADD">
        <w:rPr>
          <w:rFonts w:hint="eastAsia"/>
        </w:rPr>
        <w:t xml:space="preserve"> 3</w:t>
      </w:r>
      <w:r w:rsidR="00925ADD" w:rsidRPr="00925ADD">
        <w:rPr>
          <w:rFonts w:hint="eastAsia"/>
        </w:rPr>
        <w:t>井场，往西走线约</w:t>
      </w:r>
      <w:r w:rsidR="00925ADD" w:rsidRPr="00925ADD">
        <w:rPr>
          <w:rFonts w:hint="eastAsia"/>
        </w:rPr>
        <w:t xml:space="preserve"> 130m </w:t>
      </w:r>
      <w:r w:rsidR="00925ADD" w:rsidRPr="00925ADD">
        <w:rPr>
          <w:rFonts w:hint="eastAsia"/>
        </w:rPr>
        <w:t>后往南走线，穿越鲜家坪后进入</w:t>
      </w:r>
      <w:r w:rsidR="00925ADD" w:rsidRPr="00925ADD">
        <w:rPr>
          <w:rFonts w:hint="eastAsia"/>
        </w:rPr>
        <w:t xml:space="preserve"> P105 </w:t>
      </w:r>
      <w:r w:rsidR="00925ADD" w:rsidRPr="00925ADD">
        <w:rPr>
          <w:rFonts w:hint="eastAsia"/>
        </w:rPr>
        <w:t>集气站</w:t>
      </w:r>
      <w:r w:rsidR="00925ADD">
        <w:rPr>
          <w:rFonts w:hint="eastAsia"/>
        </w:rPr>
        <w:t>。</w:t>
      </w:r>
      <w:r w:rsidR="009123F8" w:rsidRPr="00D630D1">
        <w:t>集输管道路由示意图见图</w:t>
      </w:r>
      <w:r w:rsidR="009123F8" w:rsidRPr="00D630D1">
        <w:t>1.7-</w:t>
      </w:r>
      <w:r w:rsidR="009123F8">
        <w:rPr>
          <w:rFonts w:hint="eastAsia"/>
        </w:rPr>
        <w:t>2</w:t>
      </w:r>
      <w:r w:rsidR="009123F8" w:rsidRPr="00D630D1">
        <w:t>。</w:t>
      </w:r>
    </w:p>
    <w:p w:rsidR="00925ADD" w:rsidRDefault="00925ADD" w:rsidP="0047248F">
      <w:pPr>
        <w:pStyle w:val="afa"/>
        <w:ind w:firstLine="480"/>
      </w:pPr>
    </w:p>
    <w:p w:rsidR="00925ADD" w:rsidRPr="00D630D1" w:rsidRDefault="00925ADD" w:rsidP="00925ADD">
      <w:pPr>
        <w:pStyle w:val="10"/>
        <w:rPr>
          <w:rFonts w:cs="Times New Roman"/>
        </w:rPr>
      </w:pPr>
      <w:r w:rsidRPr="00925ADD">
        <w:rPr>
          <w:rFonts w:cs="Times New Roman"/>
          <w:noProof/>
        </w:rPr>
        <w:drawing>
          <wp:inline distT="0" distB="0" distL="0" distR="0">
            <wp:extent cx="3681095" cy="4752975"/>
            <wp:effectExtent l="19050" t="0" r="0" b="0"/>
            <wp:docPr id="27" name="图片 2"/>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2" cstate="print"/>
                    <a:stretch>
                      <a:fillRect/>
                    </a:stretch>
                  </pic:blipFill>
                  <pic:spPr>
                    <a:xfrm>
                      <a:off x="0" y="0"/>
                      <a:ext cx="3681095" cy="4752975"/>
                    </a:xfrm>
                    <a:prstGeom prst="rect">
                      <a:avLst/>
                    </a:prstGeom>
                  </pic:spPr>
                </pic:pic>
              </a:graphicData>
            </a:graphic>
          </wp:inline>
        </w:drawing>
      </w:r>
    </w:p>
    <w:p w:rsidR="00925ADD" w:rsidRDefault="00925ADD" w:rsidP="00925ADD">
      <w:pPr>
        <w:pStyle w:val="afa"/>
        <w:ind w:firstLineChars="83" w:firstLine="199"/>
        <w:jc w:val="center"/>
      </w:pPr>
      <w:r w:rsidRPr="00D630D1">
        <w:t>图</w:t>
      </w:r>
      <w:r w:rsidRPr="00D630D1">
        <w:t>1.7-</w:t>
      </w:r>
      <w:r w:rsidR="009123F8">
        <w:rPr>
          <w:rFonts w:hint="eastAsia"/>
        </w:rPr>
        <w:t>2</w:t>
      </w:r>
      <w:r w:rsidRPr="00D630D1">
        <w:t xml:space="preserve">  </w:t>
      </w:r>
      <w:r w:rsidR="009123F8">
        <w:rPr>
          <w:rFonts w:hint="eastAsia"/>
        </w:rPr>
        <w:t>普陆</w:t>
      </w:r>
      <w:r w:rsidR="009123F8">
        <w:rPr>
          <w:rFonts w:hint="eastAsia"/>
        </w:rPr>
        <w:t>3</w:t>
      </w:r>
      <w:r w:rsidR="009123F8">
        <w:rPr>
          <w:rFonts w:hint="eastAsia"/>
        </w:rPr>
        <w:t>集气站</w:t>
      </w:r>
      <w:r w:rsidRPr="00D630D1">
        <w:rPr>
          <w:rFonts w:hint="eastAsia"/>
        </w:rPr>
        <w:t>～</w:t>
      </w:r>
      <w:r w:rsidR="009123F8">
        <w:rPr>
          <w:rFonts w:hint="eastAsia"/>
        </w:rPr>
        <w:t>P105</w:t>
      </w:r>
      <w:r>
        <w:rPr>
          <w:rFonts w:hint="eastAsia"/>
        </w:rPr>
        <w:t>集气站</w:t>
      </w:r>
      <w:r w:rsidRPr="00D630D1">
        <w:rPr>
          <w:rFonts w:hint="eastAsia"/>
        </w:rPr>
        <w:t>线路走向示意图</w:t>
      </w:r>
    </w:p>
    <w:p w:rsidR="00413A18" w:rsidRPr="00D630D1" w:rsidRDefault="00AC126A" w:rsidP="0047248F">
      <w:pPr>
        <w:pStyle w:val="afa"/>
        <w:ind w:firstLine="482"/>
        <w:rPr>
          <w:b/>
          <w:bCs/>
        </w:rPr>
      </w:pPr>
      <w:r w:rsidRPr="00D630D1">
        <w:rPr>
          <w:b/>
          <w:bCs/>
        </w:rPr>
        <w:t>3</w:t>
      </w:r>
      <w:r w:rsidR="00413A18" w:rsidRPr="00D630D1">
        <w:rPr>
          <w:b/>
          <w:bCs/>
        </w:rPr>
        <w:t>、管线《中华人民共和国石油天然气管道保护法》符合性分析</w:t>
      </w:r>
    </w:p>
    <w:p w:rsidR="00413A18" w:rsidRPr="00D630D1" w:rsidRDefault="00944029" w:rsidP="0047248F">
      <w:pPr>
        <w:pStyle w:val="afa"/>
        <w:ind w:firstLine="480"/>
      </w:pPr>
      <w:r w:rsidRPr="00D630D1">
        <w:t>根据工程设计，在管线敷设过程中，为了保证房屋与管线的安全距离</w:t>
      </w:r>
      <w:r w:rsidRPr="00D630D1">
        <w:t>5m</w:t>
      </w:r>
      <w:r w:rsidRPr="00D630D1">
        <w:t>，对管道敷设沿线不满足安全距离房屋进行拆除，沿线</w:t>
      </w:r>
      <w:r w:rsidR="00DC5D18" w:rsidRPr="00D630D1">
        <w:rPr>
          <w:rFonts w:hint="eastAsia"/>
        </w:rPr>
        <w:t>不</w:t>
      </w:r>
      <w:r w:rsidRPr="00D630D1">
        <w:t>涉及拆迁。管道沿线满足《中华人民共和国石油天然气管道保护法》中第三十条规定的</w:t>
      </w:r>
      <w:r w:rsidRPr="00D630D1">
        <w:t>“</w:t>
      </w:r>
      <w:r w:rsidRPr="00D630D1">
        <w:t>在管道线路中心线两侧各</w:t>
      </w:r>
      <w:r w:rsidRPr="00D630D1">
        <w:t>5m</w:t>
      </w:r>
      <w:r w:rsidRPr="00D630D1">
        <w:t>地域范围内，禁止下列危害管道安全的行为：建家畜棚圈、建房以</w:t>
      </w:r>
      <w:r w:rsidRPr="00D630D1">
        <w:lastRenderedPageBreak/>
        <w:t>及修建其他建筑物、构筑物。</w:t>
      </w:r>
      <w:r w:rsidRPr="00D630D1">
        <w:t>”</w:t>
      </w:r>
      <w:r w:rsidRPr="00D630D1">
        <w:t>的相关要求</w:t>
      </w:r>
      <w:r w:rsidR="00413A18" w:rsidRPr="00D630D1">
        <w:t>。</w:t>
      </w:r>
    </w:p>
    <w:p w:rsidR="00BF0A0F" w:rsidRPr="00D630D1" w:rsidRDefault="00BF0A0F" w:rsidP="00BF0A0F">
      <w:pPr>
        <w:keepNext/>
        <w:keepLines/>
        <w:ind w:firstLineChars="0" w:firstLine="0"/>
        <w:outlineLvl w:val="2"/>
        <w:rPr>
          <w:rFonts w:ascii="Times New Roman" w:cs="Times New Roman"/>
          <w:b/>
          <w:szCs w:val="32"/>
        </w:rPr>
      </w:pPr>
      <w:r w:rsidRPr="00D630D1">
        <w:rPr>
          <w:rFonts w:ascii="Times New Roman" w:cs="Times New Roman"/>
          <w:b/>
          <w:szCs w:val="32"/>
        </w:rPr>
        <w:t>1.7.</w:t>
      </w:r>
      <w:r w:rsidRPr="00D630D1">
        <w:rPr>
          <w:rFonts w:ascii="Times New Roman" w:cs="Times New Roman" w:hint="eastAsia"/>
          <w:b/>
          <w:szCs w:val="32"/>
        </w:rPr>
        <w:t>4</w:t>
      </w:r>
      <w:r w:rsidRPr="00D630D1">
        <w:rPr>
          <w:rFonts w:ascii="Times New Roman" w:cs="Times New Roman"/>
          <w:b/>
          <w:szCs w:val="32"/>
        </w:rPr>
        <w:t xml:space="preserve"> </w:t>
      </w:r>
      <w:r w:rsidRPr="00D630D1">
        <w:rPr>
          <w:rFonts w:ascii="Times New Roman" w:cs="Times New Roman"/>
          <w:b/>
          <w:szCs w:val="32"/>
        </w:rPr>
        <w:t>项目</w:t>
      </w:r>
      <w:r w:rsidRPr="00D630D1">
        <w:rPr>
          <w:rFonts w:ascii="Times New Roman" w:cs="Times New Roman" w:hint="eastAsia"/>
          <w:b/>
          <w:szCs w:val="32"/>
        </w:rPr>
        <w:t>井场</w:t>
      </w:r>
      <w:r w:rsidRPr="00D630D1">
        <w:rPr>
          <w:rFonts w:ascii="Times New Roman" w:cs="Times New Roman"/>
          <w:b/>
          <w:szCs w:val="32"/>
        </w:rPr>
        <w:t>选址符合性分析</w:t>
      </w:r>
    </w:p>
    <w:p w:rsidR="00BF0A0F" w:rsidRPr="00D630D1" w:rsidRDefault="009123F8" w:rsidP="00BF0A0F">
      <w:pPr>
        <w:pStyle w:val="afa"/>
        <w:ind w:firstLine="480"/>
      </w:pPr>
      <w:r w:rsidRPr="009123F8">
        <w:rPr>
          <w:rFonts w:hint="eastAsia"/>
        </w:rPr>
        <w:t>普陆页</w:t>
      </w:r>
      <w:r w:rsidRPr="009123F8">
        <w:rPr>
          <w:rFonts w:hint="eastAsia"/>
        </w:rPr>
        <w:t>1-1~6</w:t>
      </w:r>
      <w:r w:rsidR="00BF0A0F" w:rsidRPr="00D630D1">
        <w:rPr>
          <w:rFonts w:hint="eastAsia"/>
        </w:rPr>
        <w:t>井的选址综合考虑了选址唯一性、工程合理性、环境可行性、地质地形等各方面因素综合确定。</w:t>
      </w:r>
    </w:p>
    <w:p w:rsidR="00BF0A0F" w:rsidRPr="00D630D1" w:rsidRDefault="00BF0A0F" w:rsidP="00BF0A0F">
      <w:pPr>
        <w:pStyle w:val="afa"/>
        <w:ind w:left="476" w:firstLineChars="0" w:firstLine="0"/>
      </w:pPr>
      <w:r w:rsidRPr="00D630D1">
        <w:t>（</w:t>
      </w:r>
      <w:r w:rsidRPr="00D630D1">
        <w:t>1</w:t>
      </w:r>
      <w:r w:rsidRPr="00D630D1">
        <w:t>）选址唯一性</w:t>
      </w:r>
    </w:p>
    <w:p w:rsidR="00BF0A0F" w:rsidRPr="00D630D1" w:rsidRDefault="007E5702" w:rsidP="00BF0A0F">
      <w:pPr>
        <w:pStyle w:val="afa"/>
        <w:ind w:firstLine="480"/>
      </w:pPr>
      <w:r w:rsidRPr="009123F8">
        <w:rPr>
          <w:rFonts w:hint="eastAsia"/>
        </w:rPr>
        <w:t>普陆页</w:t>
      </w:r>
      <w:r w:rsidRPr="009123F8">
        <w:rPr>
          <w:rFonts w:hint="eastAsia"/>
        </w:rPr>
        <w:t>1-1~6</w:t>
      </w:r>
      <w:r w:rsidRPr="00D630D1">
        <w:rPr>
          <w:rFonts w:hint="eastAsia"/>
        </w:rPr>
        <w:t>井</w:t>
      </w:r>
      <w:r>
        <w:rPr>
          <w:rFonts w:hint="eastAsia"/>
        </w:rPr>
        <w:t>所在的</w:t>
      </w:r>
      <w:r w:rsidR="00314CB3">
        <w:t>普光</w:t>
      </w:r>
      <w:r w:rsidR="00314CB3">
        <w:t>12</w:t>
      </w:r>
      <w:r w:rsidR="00314CB3">
        <w:t>井场</w:t>
      </w:r>
      <w:r w:rsidR="00BF0A0F" w:rsidRPr="00D630D1">
        <w:t>地主要以耕地、草地分布，地形相对较平缓。井场处于抗震设防烈度</w:t>
      </w:r>
      <w:r w:rsidR="00BF0A0F" w:rsidRPr="00D630D1">
        <w:t>Ⅵ</w:t>
      </w:r>
      <w:r w:rsidR="00BF0A0F" w:rsidRPr="00D630D1">
        <w:t>度区，区域稳定性良好；地形平坦，地质灾害不发育，场地稳定性好，适宜建筑。</w:t>
      </w:r>
    </w:p>
    <w:p w:rsidR="00BF0A0F" w:rsidRPr="00D630D1" w:rsidRDefault="00BF0A0F" w:rsidP="00BF0A0F">
      <w:pPr>
        <w:pStyle w:val="afa"/>
        <w:ind w:firstLine="480"/>
      </w:pPr>
      <w:r w:rsidRPr="00D630D1">
        <w:t>（</w:t>
      </w:r>
      <w:r w:rsidRPr="00D630D1">
        <w:t>2</w:t>
      </w:r>
      <w:r w:rsidRPr="00D630D1">
        <w:t>）工程合理性</w:t>
      </w:r>
    </w:p>
    <w:p w:rsidR="00BF0A0F" w:rsidRPr="00D630D1" w:rsidRDefault="00BF0A0F" w:rsidP="00BF0A0F">
      <w:pPr>
        <w:pStyle w:val="afa"/>
        <w:ind w:firstLine="480"/>
      </w:pPr>
      <w:r w:rsidRPr="00D630D1">
        <w:t>本项目位于</w:t>
      </w:r>
      <w:r w:rsidR="009123F8" w:rsidRPr="009123F8">
        <w:rPr>
          <w:rFonts w:hint="eastAsia"/>
          <w:bCs/>
        </w:rPr>
        <w:t>普光陆相气藏</w:t>
      </w:r>
      <w:r w:rsidRPr="00D630D1">
        <w:t>，所在地天然气能源丰富，本项目所在地交通方便，施工期很短，</w:t>
      </w:r>
      <w:r w:rsidRPr="00D630D1">
        <w:rPr>
          <w:bCs/>
        </w:rPr>
        <w:t>本项目的建设后可作为试采井，</w:t>
      </w:r>
      <w:r w:rsidR="007E5702" w:rsidRPr="000819D9">
        <w:rPr>
          <w:rFonts w:hint="eastAsia"/>
        </w:rPr>
        <w:t>满足对普光陆相气藏勘探评价的需求，同时为后续普光陆相气井的规模性开发提供现场经验</w:t>
      </w:r>
      <w:r w:rsidRPr="00D630D1">
        <w:t>。</w:t>
      </w:r>
    </w:p>
    <w:p w:rsidR="00BF0A0F" w:rsidRPr="00D630D1" w:rsidRDefault="00BF0A0F" w:rsidP="00BF0A0F">
      <w:pPr>
        <w:pStyle w:val="afa"/>
        <w:ind w:firstLine="480"/>
      </w:pPr>
      <w:r w:rsidRPr="00D630D1">
        <w:t>（</w:t>
      </w:r>
      <w:r w:rsidRPr="00D630D1">
        <w:t>3</w:t>
      </w:r>
      <w:r w:rsidRPr="00D630D1">
        <w:t>）环境可行性</w:t>
      </w:r>
    </w:p>
    <w:p w:rsidR="00BF0A0F" w:rsidRPr="00D630D1" w:rsidRDefault="00BF0A0F" w:rsidP="00BF0A0F">
      <w:pPr>
        <w:pStyle w:val="afa"/>
        <w:ind w:firstLine="480"/>
      </w:pPr>
      <w:r w:rsidRPr="00D630D1">
        <w:t>1</w:t>
      </w:r>
      <w:r w:rsidRPr="00D630D1">
        <w:t>）居民分布</w:t>
      </w:r>
    </w:p>
    <w:p w:rsidR="00BF0A0F" w:rsidRPr="00D630D1" w:rsidRDefault="007E5702" w:rsidP="007E5702">
      <w:pPr>
        <w:pStyle w:val="afa"/>
        <w:ind w:firstLine="480"/>
      </w:pPr>
      <w:r w:rsidRPr="009123F8">
        <w:rPr>
          <w:rFonts w:hint="eastAsia"/>
        </w:rPr>
        <w:t>普陆页</w:t>
      </w:r>
      <w:r w:rsidRPr="009123F8">
        <w:rPr>
          <w:rFonts w:hint="eastAsia"/>
        </w:rPr>
        <w:t>1-1~6</w:t>
      </w:r>
      <w:r w:rsidRPr="00D630D1">
        <w:rPr>
          <w:rFonts w:hint="eastAsia"/>
        </w:rPr>
        <w:t>井</w:t>
      </w:r>
      <w:r>
        <w:rPr>
          <w:rFonts w:hint="eastAsia"/>
        </w:rPr>
        <w:t>所在的</w:t>
      </w:r>
      <w:r>
        <w:t>普光</w:t>
      </w:r>
      <w:r>
        <w:t>12</w:t>
      </w:r>
      <w:r>
        <w:t>井场</w:t>
      </w:r>
      <w:r>
        <w:rPr>
          <w:rFonts w:hint="eastAsia"/>
        </w:rPr>
        <w:t>中心</w:t>
      </w:r>
      <w:r>
        <w:rPr>
          <w:rFonts w:hint="eastAsia"/>
        </w:rPr>
        <w:t>1</w:t>
      </w:r>
      <w:r w:rsidR="00BF0A0F" w:rsidRPr="00D630D1">
        <w:t>00m</w:t>
      </w:r>
      <w:r w:rsidR="00BF0A0F" w:rsidRPr="00D630D1">
        <w:t>范围内无居民点分布，</w:t>
      </w:r>
      <w:r>
        <w:rPr>
          <w:rFonts w:hint="eastAsia"/>
        </w:rPr>
        <w:t>100m</w:t>
      </w:r>
      <w:r>
        <w:rPr>
          <w:rFonts w:hint="eastAsia"/>
        </w:rPr>
        <w:t>～</w:t>
      </w:r>
      <w:r>
        <w:rPr>
          <w:rFonts w:hint="eastAsia"/>
        </w:rPr>
        <w:t>300m</w:t>
      </w:r>
      <w:r>
        <w:rPr>
          <w:rFonts w:hint="eastAsia"/>
        </w:rPr>
        <w:t>范围</w:t>
      </w:r>
      <w:r>
        <w:rPr>
          <w:rFonts w:hint="eastAsia"/>
        </w:rPr>
        <w:t xml:space="preserve"> 4</w:t>
      </w:r>
      <w:r>
        <w:rPr>
          <w:rFonts w:hint="eastAsia"/>
        </w:rPr>
        <w:t>户</w:t>
      </w:r>
      <w:r>
        <w:rPr>
          <w:rFonts w:hint="eastAsia"/>
        </w:rPr>
        <w:t>15</w:t>
      </w:r>
      <w:r>
        <w:rPr>
          <w:rFonts w:hint="eastAsia"/>
        </w:rPr>
        <w:t>人；</w:t>
      </w:r>
      <w:r>
        <w:rPr>
          <w:rFonts w:hint="eastAsia"/>
        </w:rPr>
        <w:t>300m</w:t>
      </w:r>
      <w:r>
        <w:rPr>
          <w:rFonts w:hint="eastAsia"/>
        </w:rPr>
        <w:t>～</w:t>
      </w:r>
      <w:r>
        <w:rPr>
          <w:rFonts w:hint="eastAsia"/>
        </w:rPr>
        <w:t>500m</w:t>
      </w:r>
      <w:r>
        <w:rPr>
          <w:rFonts w:hint="eastAsia"/>
        </w:rPr>
        <w:t>范围约</w:t>
      </w:r>
      <w:r>
        <w:rPr>
          <w:rFonts w:hint="eastAsia"/>
        </w:rPr>
        <w:t xml:space="preserve"> 18</w:t>
      </w:r>
      <w:r>
        <w:rPr>
          <w:rFonts w:hint="eastAsia"/>
        </w:rPr>
        <w:t>户</w:t>
      </w:r>
      <w:r>
        <w:rPr>
          <w:rFonts w:hint="eastAsia"/>
        </w:rPr>
        <w:t xml:space="preserve"> 70</w:t>
      </w:r>
      <w:r>
        <w:rPr>
          <w:rFonts w:hint="eastAsia"/>
        </w:rPr>
        <w:t>人；井场中心方圆</w:t>
      </w:r>
      <w:r>
        <w:rPr>
          <w:rFonts w:hint="eastAsia"/>
        </w:rPr>
        <w:t xml:space="preserve"> 500m </w:t>
      </w:r>
      <w:r>
        <w:rPr>
          <w:rFonts w:hint="eastAsia"/>
        </w:rPr>
        <w:t>范围内共计</w:t>
      </w:r>
      <w:r>
        <w:rPr>
          <w:rFonts w:hint="eastAsia"/>
        </w:rPr>
        <w:t>22</w:t>
      </w:r>
      <w:r>
        <w:rPr>
          <w:rFonts w:hint="eastAsia"/>
        </w:rPr>
        <w:t>户</w:t>
      </w:r>
      <w:r>
        <w:rPr>
          <w:rFonts w:hint="eastAsia"/>
        </w:rPr>
        <w:t xml:space="preserve"> 85</w:t>
      </w:r>
      <w:r>
        <w:rPr>
          <w:rFonts w:hint="eastAsia"/>
        </w:rPr>
        <w:t>人</w:t>
      </w:r>
      <w:r w:rsidR="00BF0A0F" w:rsidRPr="00D630D1">
        <w:t>，且多数于外地打工，常住居民人数较少，本项目位于</w:t>
      </w:r>
      <w:r>
        <w:rPr>
          <w:rFonts w:hint="eastAsia"/>
          <w:bCs/>
        </w:rPr>
        <w:t>老君乡</w:t>
      </w:r>
      <w:r w:rsidR="00BF0A0F" w:rsidRPr="00D630D1">
        <w:rPr>
          <w:bCs/>
        </w:rPr>
        <w:t>场镇</w:t>
      </w:r>
      <w:r>
        <w:rPr>
          <w:rFonts w:hint="eastAsia"/>
          <w:bCs/>
        </w:rPr>
        <w:t>西北</w:t>
      </w:r>
      <w:r w:rsidR="00BF0A0F" w:rsidRPr="00D630D1">
        <w:rPr>
          <w:bCs/>
        </w:rPr>
        <w:t>侧，</w:t>
      </w:r>
      <w:r w:rsidR="00BF0A0F" w:rsidRPr="00D630D1">
        <w:t>与</w:t>
      </w:r>
      <w:r>
        <w:rPr>
          <w:rFonts w:hint="eastAsia"/>
          <w:bCs/>
        </w:rPr>
        <w:t>老君乡</w:t>
      </w:r>
      <w:r w:rsidR="00BF0A0F" w:rsidRPr="00D630D1">
        <w:rPr>
          <w:bCs/>
        </w:rPr>
        <w:t>场镇直线距离约</w:t>
      </w:r>
      <w:r>
        <w:rPr>
          <w:rFonts w:hint="eastAsia"/>
          <w:bCs/>
        </w:rPr>
        <w:t>3.</w:t>
      </w:r>
      <w:r w:rsidR="00BF0A0F" w:rsidRPr="00D630D1">
        <w:rPr>
          <w:bCs/>
        </w:rPr>
        <w:t>4km</w:t>
      </w:r>
      <w:r w:rsidR="00BF0A0F" w:rsidRPr="00D630D1">
        <w:t>，距离场镇较远，对场镇影响小。</w:t>
      </w:r>
      <w:r w:rsidR="00BF0A0F" w:rsidRPr="00D630D1">
        <w:t xml:space="preserve"> </w:t>
      </w:r>
    </w:p>
    <w:p w:rsidR="00BF0A0F" w:rsidRPr="00D630D1" w:rsidRDefault="00BF0A0F" w:rsidP="00BF0A0F">
      <w:pPr>
        <w:pStyle w:val="afa"/>
        <w:ind w:firstLine="480"/>
      </w:pPr>
      <w:r w:rsidRPr="00D630D1">
        <w:t>2</w:t>
      </w:r>
      <w:r w:rsidRPr="00D630D1">
        <w:t>）周边敏感区情况</w:t>
      </w:r>
    </w:p>
    <w:p w:rsidR="00BF0A0F" w:rsidRPr="00D630D1" w:rsidRDefault="007E5702" w:rsidP="00BF0A0F">
      <w:pPr>
        <w:pStyle w:val="afa"/>
        <w:ind w:firstLine="480"/>
      </w:pPr>
      <w:r w:rsidRPr="009123F8">
        <w:rPr>
          <w:rFonts w:hint="eastAsia"/>
        </w:rPr>
        <w:t>普陆页</w:t>
      </w:r>
      <w:r w:rsidRPr="009123F8">
        <w:rPr>
          <w:rFonts w:hint="eastAsia"/>
        </w:rPr>
        <w:t>1-1~6</w:t>
      </w:r>
      <w:r w:rsidRPr="00D630D1">
        <w:rPr>
          <w:rFonts w:hint="eastAsia"/>
        </w:rPr>
        <w:t>井</w:t>
      </w:r>
      <w:r>
        <w:rPr>
          <w:rFonts w:hint="eastAsia"/>
        </w:rPr>
        <w:t>所在的</w:t>
      </w:r>
      <w:r>
        <w:t>普光</w:t>
      </w:r>
      <w:r>
        <w:t>12</w:t>
      </w:r>
      <w:r>
        <w:t>井场</w:t>
      </w:r>
      <w:r>
        <w:rPr>
          <w:rFonts w:hint="eastAsia"/>
        </w:rPr>
        <w:t>中心</w:t>
      </w:r>
      <w:r w:rsidR="00BF0A0F" w:rsidRPr="00D630D1">
        <w:t>5km</w:t>
      </w:r>
      <w:r w:rsidR="00BF0A0F" w:rsidRPr="00D630D1">
        <w:t>范围内无环境敏感区。本项目下游无取水口分布。</w:t>
      </w:r>
    </w:p>
    <w:p w:rsidR="00BF0A0F" w:rsidRPr="00D630D1" w:rsidRDefault="00BF0A0F" w:rsidP="00BF0A0F">
      <w:pPr>
        <w:pStyle w:val="afa"/>
        <w:ind w:firstLine="480"/>
      </w:pPr>
      <w:r w:rsidRPr="00D630D1">
        <w:t>本项目施工期间废水均不排放，正常状况下不会对水体产生影响。同时，钻井公司已制定完善的应急预案并配备应急物资，事故状态下能够及时阻隔废水的外排。且井场与后河之间有山体等阻隔，流至水体的可能性较小。</w:t>
      </w:r>
    </w:p>
    <w:p w:rsidR="00BF0A0F" w:rsidRPr="00D630D1" w:rsidRDefault="00BF0A0F" w:rsidP="00BF0A0F">
      <w:pPr>
        <w:pStyle w:val="afa"/>
        <w:ind w:firstLine="480"/>
      </w:pPr>
      <w:r w:rsidRPr="00D630D1">
        <w:t>本项目周边</w:t>
      </w:r>
      <w:r w:rsidRPr="00D630D1">
        <w:t>5km</w:t>
      </w:r>
      <w:r w:rsidRPr="00D630D1">
        <w:t>内无自然保护区、风景名胜区等敏感区分布。</w:t>
      </w:r>
    </w:p>
    <w:p w:rsidR="00BF0A0F" w:rsidRPr="00D630D1" w:rsidRDefault="00BF0A0F" w:rsidP="00BF0A0F">
      <w:pPr>
        <w:pStyle w:val="afa"/>
        <w:ind w:firstLine="480"/>
      </w:pPr>
      <w:r w:rsidRPr="00D630D1">
        <w:t>综上所述，本项目井场选址可行。</w:t>
      </w:r>
    </w:p>
    <w:p w:rsidR="00475289" w:rsidRPr="00D630D1" w:rsidRDefault="00475289" w:rsidP="00475289">
      <w:pPr>
        <w:keepNext/>
        <w:keepLines/>
        <w:ind w:firstLineChars="0" w:firstLine="0"/>
        <w:outlineLvl w:val="2"/>
        <w:rPr>
          <w:rFonts w:ascii="Times New Roman" w:cs="Times New Roman"/>
          <w:b/>
          <w:szCs w:val="32"/>
        </w:rPr>
      </w:pPr>
      <w:r w:rsidRPr="00D630D1">
        <w:rPr>
          <w:rFonts w:ascii="Times New Roman" w:cs="Times New Roman"/>
          <w:b/>
          <w:szCs w:val="32"/>
        </w:rPr>
        <w:t>1.7.</w:t>
      </w:r>
      <w:r w:rsidRPr="00D630D1">
        <w:rPr>
          <w:rFonts w:ascii="Times New Roman" w:cs="Times New Roman" w:hint="eastAsia"/>
          <w:b/>
          <w:szCs w:val="32"/>
        </w:rPr>
        <w:t>5</w:t>
      </w:r>
      <w:r w:rsidRPr="00D630D1">
        <w:rPr>
          <w:rFonts w:ascii="Times New Roman" w:cs="Times New Roman"/>
          <w:b/>
          <w:szCs w:val="32"/>
        </w:rPr>
        <w:t xml:space="preserve"> </w:t>
      </w:r>
      <w:r w:rsidRPr="00D630D1">
        <w:rPr>
          <w:rFonts w:ascii="Times New Roman" w:cs="Times New Roman" w:hint="eastAsia"/>
          <w:b/>
          <w:szCs w:val="32"/>
        </w:rPr>
        <w:t>井场平面布置合理</w:t>
      </w:r>
      <w:r w:rsidRPr="00D630D1">
        <w:rPr>
          <w:rFonts w:ascii="Times New Roman" w:cs="Times New Roman"/>
          <w:b/>
          <w:szCs w:val="32"/>
        </w:rPr>
        <w:t>性分析</w:t>
      </w:r>
    </w:p>
    <w:p w:rsidR="00475289" w:rsidRPr="00D630D1" w:rsidRDefault="00475289" w:rsidP="00475289">
      <w:pPr>
        <w:pStyle w:val="afa"/>
        <w:ind w:firstLine="480"/>
      </w:pPr>
      <w:r w:rsidRPr="00D630D1">
        <w:rPr>
          <w:rFonts w:hint="eastAsia"/>
        </w:rPr>
        <w:t>本次评价从噪声源、放喷池、排污池及</w:t>
      </w:r>
      <w:r w:rsidR="00DB6EC5" w:rsidRPr="00D630D1">
        <w:rPr>
          <w:rFonts w:hint="eastAsia"/>
        </w:rPr>
        <w:t>柴油储罐</w:t>
      </w:r>
      <w:r w:rsidRPr="00D630D1">
        <w:rPr>
          <w:rFonts w:hint="eastAsia"/>
        </w:rPr>
        <w:t>布置等</w:t>
      </w:r>
      <w:r w:rsidRPr="00D630D1">
        <w:t>方面</w:t>
      </w:r>
      <w:r w:rsidRPr="00D630D1">
        <w:rPr>
          <w:rFonts w:hint="eastAsia"/>
        </w:rPr>
        <w:t>分析本项目井场</w:t>
      </w:r>
      <w:r w:rsidRPr="00D630D1">
        <w:rPr>
          <w:rFonts w:hint="eastAsia"/>
        </w:rPr>
        <w:lastRenderedPageBreak/>
        <w:t>平面布置的合理性。</w:t>
      </w:r>
    </w:p>
    <w:p w:rsidR="00475289" w:rsidRPr="00D630D1" w:rsidRDefault="00475289" w:rsidP="00475289">
      <w:pPr>
        <w:pStyle w:val="afa"/>
        <w:ind w:firstLine="480"/>
      </w:pPr>
      <w:r w:rsidRPr="00D630D1">
        <w:rPr>
          <w:rFonts w:hint="eastAsia"/>
        </w:rPr>
        <w:t>（</w:t>
      </w:r>
      <w:r w:rsidRPr="00D630D1">
        <w:rPr>
          <w:rFonts w:hint="eastAsia"/>
        </w:rPr>
        <w:t>1</w:t>
      </w:r>
      <w:r w:rsidRPr="00D630D1">
        <w:rPr>
          <w:rFonts w:hint="eastAsia"/>
        </w:rPr>
        <w:t>）噪声源布置合理性分析</w:t>
      </w:r>
    </w:p>
    <w:p w:rsidR="00475289" w:rsidRPr="00D630D1" w:rsidRDefault="00475289" w:rsidP="00475289">
      <w:pPr>
        <w:pStyle w:val="afa"/>
        <w:ind w:firstLine="480"/>
      </w:pPr>
      <w:r w:rsidRPr="00D630D1">
        <w:rPr>
          <w:rFonts w:hint="eastAsia"/>
        </w:rPr>
        <w:t>本项目钻机采用网电，备用</w:t>
      </w:r>
      <w:r w:rsidRPr="00D630D1">
        <w:t>柴油发电机。</w:t>
      </w:r>
      <w:r w:rsidRPr="00D630D1">
        <w:rPr>
          <w:rFonts w:hint="eastAsia"/>
        </w:rPr>
        <w:t>根据《钻前工程及井场布置技术要求》（</w:t>
      </w:r>
      <w:r w:rsidRPr="00D630D1">
        <w:rPr>
          <w:rFonts w:hint="eastAsia"/>
        </w:rPr>
        <w:t>SY/T 5466-2013</w:t>
      </w:r>
      <w:r w:rsidRPr="00D630D1">
        <w:rPr>
          <w:rFonts w:hint="eastAsia"/>
        </w:rPr>
        <w:t>）规定，发电机房位于井场后场右方，结合平面布置图和外环境关系图可知，本项目住户主要分布于</w:t>
      </w:r>
      <w:r w:rsidR="00FD40BA">
        <w:rPr>
          <w:rFonts w:hint="eastAsia"/>
        </w:rPr>
        <w:t>井场西南</w:t>
      </w:r>
      <w:r w:rsidRPr="00D630D1">
        <w:rPr>
          <w:rFonts w:hint="eastAsia"/>
        </w:rPr>
        <w:t>侧，将发电机布设于井场中部，尽量远离住户布设，对住户的噪声影响可接受，噪声源布置合理。</w:t>
      </w:r>
    </w:p>
    <w:p w:rsidR="00475289" w:rsidRPr="00D630D1" w:rsidRDefault="00475289" w:rsidP="00475289">
      <w:pPr>
        <w:pStyle w:val="afa"/>
        <w:ind w:firstLine="480"/>
      </w:pPr>
      <w:r w:rsidRPr="00D630D1">
        <w:rPr>
          <w:rFonts w:hint="eastAsia"/>
        </w:rPr>
        <w:t>（</w:t>
      </w:r>
      <w:r w:rsidRPr="00D630D1">
        <w:rPr>
          <w:rFonts w:hint="eastAsia"/>
        </w:rPr>
        <w:t>2</w:t>
      </w:r>
      <w:r w:rsidRPr="00D630D1">
        <w:rPr>
          <w:rFonts w:hint="eastAsia"/>
        </w:rPr>
        <w:t>）放喷池布置合理性分析</w:t>
      </w:r>
    </w:p>
    <w:p w:rsidR="00475289" w:rsidRPr="00D630D1" w:rsidRDefault="00475289" w:rsidP="00475289">
      <w:pPr>
        <w:pStyle w:val="afa"/>
        <w:ind w:firstLine="480"/>
      </w:pPr>
      <w:r w:rsidRPr="00D630D1">
        <w:rPr>
          <w:rFonts w:hint="eastAsia"/>
        </w:rPr>
        <w:t>根据《石油天然气钻井、开发、储运防火防爆安全生产技术规程》（</w:t>
      </w:r>
      <w:r w:rsidRPr="00D630D1">
        <w:t>SY/T 5225-2012</w:t>
      </w:r>
      <w:r w:rsidRPr="00D630D1">
        <w:rPr>
          <w:rFonts w:hint="eastAsia"/>
        </w:rPr>
        <w:t>）及相关规定：放喷管线出口距井口应不小于</w:t>
      </w:r>
      <w:r w:rsidRPr="00D630D1">
        <w:rPr>
          <w:rFonts w:hint="eastAsia"/>
        </w:rPr>
        <w:t>75m</w:t>
      </w:r>
      <w:r w:rsidRPr="00D630D1">
        <w:rPr>
          <w:rFonts w:hint="eastAsia"/>
        </w:rPr>
        <w:t>，并远离居民密集区。根据项目井场平面布置图可知，项目的放喷管线出口位于井场</w:t>
      </w:r>
      <w:r w:rsidR="00FD40BA">
        <w:rPr>
          <w:rFonts w:hint="eastAsia"/>
        </w:rPr>
        <w:t>西</w:t>
      </w:r>
      <w:r w:rsidRPr="00D630D1">
        <w:rPr>
          <w:rFonts w:hint="eastAsia"/>
        </w:rPr>
        <w:t>南侧，距离井口</w:t>
      </w:r>
      <w:r w:rsidR="00FD40BA">
        <w:rPr>
          <w:rFonts w:hint="eastAsia"/>
        </w:rPr>
        <w:t>最近</w:t>
      </w:r>
      <w:r w:rsidRPr="00D630D1">
        <w:rPr>
          <w:rFonts w:hint="eastAsia"/>
        </w:rPr>
        <w:t>距离为</w:t>
      </w:r>
      <w:r w:rsidR="008D058C" w:rsidRPr="00D630D1">
        <w:rPr>
          <w:rFonts w:hint="eastAsia"/>
        </w:rPr>
        <w:t>120m</w:t>
      </w:r>
      <w:r w:rsidR="00A67B4D">
        <w:rPr>
          <w:rFonts w:hint="eastAsia"/>
        </w:rPr>
        <w:t>，满足要求</w:t>
      </w:r>
      <w:r w:rsidRPr="00D630D1">
        <w:rPr>
          <w:rFonts w:hint="eastAsia"/>
        </w:rPr>
        <w:t>。</w:t>
      </w:r>
    </w:p>
    <w:p w:rsidR="00475289" w:rsidRPr="00D630D1" w:rsidRDefault="00475289" w:rsidP="00475289">
      <w:pPr>
        <w:pStyle w:val="afa"/>
        <w:ind w:firstLine="480"/>
      </w:pPr>
      <w:r w:rsidRPr="00D630D1">
        <w:rPr>
          <w:rFonts w:hint="eastAsia"/>
        </w:rPr>
        <w:t>本项目放喷池周围的住户很少，同时由于气井测试放喷持续时间较短（</w:t>
      </w:r>
      <w:r w:rsidRPr="00D630D1">
        <w:rPr>
          <w:rFonts w:hint="eastAsia"/>
        </w:rPr>
        <w:t>4h</w:t>
      </w:r>
      <w:r w:rsidRPr="00D630D1">
        <w:rPr>
          <w:rFonts w:hint="eastAsia"/>
        </w:rPr>
        <w:t>～</w:t>
      </w:r>
      <w:r w:rsidRPr="00D630D1">
        <w:rPr>
          <w:rFonts w:hint="eastAsia"/>
        </w:rPr>
        <w:t>6h</w:t>
      </w:r>
      <w:r w:rsidRPr="00D630D1">
        <w:rPr>
          <w:rFonts w:hint="eastAsia"/>
        </w:rPr>
        <w:t>），属于短期排放，住户受测试放喷</w:t>
      </w:r>
      <w:r w:rsidRPr="00D630D1">
        <w:rPr>
          <w:rFonts w:hint="eastAsia"/>
        </w:rPr>
        <w:t>SO</w:t>
      </w:r>
      <w:r w:rsidRPr="00D630D1">
        <w:rPr>
          <w:rFonts w:hint="eastAsia"/>
          <w:vertAlign w:val="subscript"/>
        </w:rPr>
        <w:t>2</w:t>
      </w:r>
      <w:r w:rsidRPr="00D630D1">
        <w:rPr>
          <w:rFonts w:hint="eastAsia"/>
        </w:rPr>
        <w:t>的影响持续时间短，影响小。此外，建设方在测试放喷期间采取临时撤离措施后，可避免测试放喷对住户的不利影响。本</w:t>
      </w:r>
      <w:r w:rsidRPr="00D630D1">
        <w:t>项目放喷池布置合理</w:t>
      </w:r>
      <w:r w:rsidRPr="00D630D1">
        <w:rPr>
          <w:rFonts w:hint="eastAsia"/>
        </w:rPr>
        <w:t>。</w:t>
      </w:r>
    </w:p>
    <w:p w:rsidR="00475289" w:rsidRPr="00D630D1" w:rsidRDefault="00475289" w:rsidP="00475289">
      <w:pPr>
        <w:pStyle w:val="afa"/>
        <w:ind w:firstLine="480"/>
      </w:pPr>
      <w:r w:rsidRPr="00D630D1">
        <w:rPr>
          <w:rFonts w:hint="eastAsia"/>
        </w:rPr>
        <w:t>（</w:t>
      </w:r>
      <w:r w:rsidRPr="00D630D1">
        <w:rPr>
          <w:rFonts w:hint="eastAsia"/>
        </w:rPr>
        <w:t>3</w:t>
      </w:r>
      <w:r w:rsidRPr="00D630D1">
        <w:rPr>
          <w:rFonts w:hint="eastAsia"/>
        </w:rPr>
        <w:t>）排污池布置合理性分析</w:t>
      </w:r>
    </w:p>
    <w:p w:rsidR="00475289" w:rsidRPr="00D630D1" w:rsidRDefault="00475289" w:rsidP="00475289">
      <w:pPr>
        <w:pStyle w:val="afa"/>
        <w:ind w:firstLine="480"/>
      </w:pPr>
      <w:r w:rsidRPr="00D630D1">
        <w:rPr>
          <w:rFonts w:hint="eastAsia"/>
        </w:rPr>
        <w:t>排污池位于</w:t>
      </w:r>
      <w:r w:rsidR="00A67B4D">
        <w:rPr>
          <w:rFonts w:hint="eastAsia"/>
        </w:rPr>
        <w:t>井场西南</w:t>
      </w:r>
      <w:r w:rsidRPr="00D630D1">
        <w:rPr>
          <w:rFonts w:hint="eastAsia"/>
        </w:rPr>
        <w:t>侧，排污池采用地上式设计并加盖雨棚，经过地质勘察，地质结构良好，不在崩塌、滑坡、沉陷和不稳定边坡、泥石流流道区域。</w:t>
      </w:r>
    </w:p>
    <w:p w:rsidR="00475289" w:rsidRPr="00D630D1" w:rsidRDefault="00475289" w:rsidP="00475289">
      <w:pPr>
        <w:pStyle w:val="afa"/>
        <w:ind w:firstLine="480"/>
      </w:pPr>
      <w:r w:rsidRPr="00D630D1">
        <w:rPr>
          <w:rFonts w:hint="eastAsia"/>
        </w:rPr>
        <w:t>排污池布设于井场</w:t>
      </w:r>
      <w:r w:rsidR="00A67B4D">
        <w:rPr>
          <w:rFonts w:hint="eastAsia"/>
        </w:rPr>
        <w:t>西南</w:t>
      </w:r>
      <w:r w:rsidR="00A67B4D" w:rsidRPr="00D630D1">
        <w:rPr>
          <w:rFonts w:hint="eastAsia"/>
        </w:rPr>
        <w:t>侧</w:t>
      </w:r>
      <w:r w:rsidRPr="00D630D1">
        <w:rPr>
          <w:rFonts w:hint="eastAsia"/>
        </w:rPr>
        <w:t>，从总体布局来说，排污池地势相对较低，排污池往东地势相对井场较平缓。排污池</w:t>
      </w:r>
      <w:r w:rsidRPr="00D630D1">
        <w:t>不会对</w:t>
      </w:r>
      <w:r w:rsidRPr="00D630D1">
        <w:rPr>
          <w:rFonts w:hint="eastAsia"/>
        </w:rPr>
        <w:t>居民</w:t>
      </w:r>
      <w:r w:rsidRPr="00D630D1">
        <w:t>饮用水</w:t>
      </w:r>
      <w:r w:rsidRPr="00D630D1">
        <w:rPr>
          <w:rFonts w:hint="eastAsia"/>
        </w:rPr>
        <w:t>带来影响</w:t>
      </w:r>
      <w:r w:rsidRPr="00D630D1">
        <w:t>，</w:t>
      </w:r>
      <w:r w:rsidRPr="00D630D1">
        <w:rPr>
          <w:rFonts w:hint="eastAsia"/>
        </w:rPr>
        <w:t>排污池</w:t>
      </w:r>
      <w:r w:rsidRPr="00D630D1">
        <w:t>布局合理</w:t>
      </w:r>
      <w:r w:rsidRPr="00D630D1">
        <w:rPr>
          <w:rFonts w:hint="eastAsia"/>
        </w:rPr>
        <w:t>。</w:t>
      </w:r>
    </w:p>
    <w:p w:rsidR="00475289" w:rsidRPr="00D630D1" w:rsidRDefault="00475289" w:rsidP="00475289">
      <w:pPr>
        <w:pStyle w:val="afa"/>
        <w:ind w:firstLine="480"/>
      </w:pPr>
      <w:r w:rsidRPr="00D630D1">
        <w:rPr>
          <w:rFonts w:hint="eastAsia"/>
        </w:rPr>
        <w:t>（</w:t>
      </w:r>
      <w:r w:rsidRPr="00D630D1">
        <w:rPr>
          <w:rFonts w:hint="eastAsia"/>
        </w:rPr>
        <w:t>4</w:t>
      </w:r>
      <w:r w:rsidRPr="00D630D1">
        <w:rPr>
          <w:rFonts w:hint="eastAsia"/>
        </w:rPr>
        <w:t>）</w:t>
      </w:r>
      <w:r w:rsidR="00DB6EC5" w:rsidRPr="00D630D1">
        <w:rPr>
          <w:rFonts w:hint="eastAsia"/>
        </w:rPr>
        <w:t>柴油储罐</w:t>
      </w:r>
      <w:r w:rsidRPr="00D630D1">
        <w:rPr>
          <w:rFonts w:hint="eastAsia"/>
        </w:rPr>
        <w:t>布置合理性分析</w:t>
      </w:r>
    </w:p>
    <w:p w:rsidR="00475289" w:rsidRPr="00D630D1" w:rsidRDefault="00475289" w:rsidP="00475289">
      <w:pPr>
        <w:pStyle w:val="afa"/>
        <w:ind w:firstLine="480"/>
      </w:pPr>
      <w:r w:rsidRPr="00D630D1">
        <w:rPr>
          <w:rFonts w:hint="eastAsia"/>
        </w:rPr>
        <w:t>根据《石油天然气钻井、开发、储运防火防爆安全生产技术规程》（</w:t>
      </w:r>
      <w:r w:rsidRPr="00D630D1">
        <w:t>SY/T 5225-2012</w:t>
      </w:r>
      <w:r w:rsidRPr="00D630D1">
        <w:rPr>
          <w:rFonts w:hint="eastAsia"/>
        </w:rPr>
        <w:t>）中</w:t>
      </w:r>
      <w:r w:rsidRPr="00D630D1">
        <w:rPr>
          <w:rFonts w:hint="eastAsia"/>
        </w:rPr>
        <w:t>3.1.3</w:t>
      </w:r>
      <w:r w:rsidRPr="00D630D1">
        <w:rPr>
          <w:rFonts w:hint="eastAsia"/>
        </w:rPr>
        <w:t>的规定，油罐区距井口应不小于</w:t>
      </w:r>
      <w:r w:rsidRPr="00D630D1">
        <w:rPr>
          <w:rFonts w:hint="eastAsia"/>
        </w:rPr>
        <w:t>30m</w:t>
      </w:r>
      <w:r w:rsidRPr="00D630D1">
        <w:rPr>
          <w:rFonts w:hint="eastAsia"/>
        </w:rPr>
        <w:t>。根据平面布置图可知，</w:t>
      </w:r>
      <w:r w:rsidR="00DB6EC5" w:rsidRPr="00D630D1">
        <w:rPr>
          <w:rFonts w:hint="eastAsia"/>
        </w:rPr>
        <w:t>柴油储罐</w:t>
      </w:r>
      <w:r w:rsidRPr="00D630D1">
        <w:rPr>
          <w:rFonts w:hint="eastAsia"/>
        </w:rPr>
        <w:t>位于</w:t>
      </w:r>
      <w:r w:rsidR="00A67B4D">
        <w:rPr>
          <w:rFonts w:hint="eastAsia"/>
        </w:rPr>
        <w:t>井场西北侧，距离</w:t>
      </w:r>
      <w:r w:rsidR="00A67B4D" w:rsidRPr="00D630D1">
        <w:rPr>
          <w:rFonts w:hint="eastAsia"/>
        </w:rPr>
        <w:t>井口</w:t>
      </w:r>
      <w:r w:rsidR="00A67B4D">
        <w:rPr>
          <w:rFonts w:hint="eastAsia"/>
        </w:rPr>
        <w:t>最近</w:t>
      </w:r>
      <w:r w:rsidR="00A67B4D" w:rsidRPr="00D630D1">
        <w:rPr>
          <w:rFonts w:hint="eastAsia"/>
        </w:rPr>
        <w:t>距离为</w:t>
      </w:r>
      <w:r w:rsidR="00A67B4D">
        <w:rPr>
          <w:rFonts w:hint="eastAsia"/>
        </w:rPr>
        <w:t>5</w:t>
      </w:r>
      <w:r w:rsidR="00A67B4D" w:rsidRPr="00D630D1">
        <w:rPr>
          <w:rFonts w:hint="eastAsia"/>
        </w:rPr>
        <w:t>0m</w:t>
      </w:r>
      <w:r w:rsidRPr="00D630D1">
        <w:rPr>
          <w:rFonts w:hint="eastAsia"/>
        </w:rPr>
        <w:t>，满足防火间距的要求。</w:t>
      </w:r>
    </w:p>
    <w:p w:rsidR="00BF0A0F" w:rsidRPr="00D630D1" w:rsidRDefault="00475289" w:rsidP="0047248F">
      <w:pPr>
        <w:pStyle w:val="afa"/>
        <w:ind w:firstLine="480"/>
      </w:pPr>
      <w:r w:rsidRPr="00D630D1">
        <w:rPr>
          <w:rFonts w:hint="eastAsia"/>
        </w:rPr>
        <w:t>综上所述，本项目</w:t>
      </w:r>
      <w:r w:rsidR="008D058C" w:rsidRPr="00D630D1">
        <w:rPr>
          <w:rFonts w:hint="eastAsia"/>
        </w:rPr>
        <w:t>井场</w:t>
      </w:r>
      <w:r w:rsidRPr="00D630D1">
        <w:rPr>
          <w:rFonts w:hint="eastAsia"/>
        </w:rPr>
        <w:t>总</w:t>
      </w:r>
      <w:r w:rsidR="008D058C" w:rsidRPr="00D630D1">
        <w:rPr>
          <w:rFonts w:hint="eastAsia"/>
        </w:rPr>
        <w:t>平面布置</w:t>
      </w:r>
      <w:r w:rsidRPr="00D630D1">
        <w:rPr>
          <w:rFonts w:hint="eastAsia"/>
        </w:rPr>
        <w:t>图综合</w:t>
      </w:r>
      <w:r w:rsidRPr="00D630D1">
        <w:t>考虑了周边环境及地势分布情况，同时满足</w:t>
      </w:r>
      <w:r w:rsidRPr="00D630D1">
        <w:rPr>
          <w:rFonts w:hint="eastAsia"/>
        </w:rPr>
        <w:t>《钻前工程及井场布置技术要求》（</w:t>
      </w:r>
      <w:r w:rsidRPr="00D630D1">
        <w:rPr>
          <w:rFonts w:hint="eastAsia"/>
        </w:rPr>
        <w:t>SY/T 5466-2013</w:t>
      </w:r>
      <w:r w:rsidRPr="00D630D1">
        <w:rPr>
          <w:rFonts w:hint="eastAsia"/>
        </w:rPr>
        <w:t>）、《石油天然气钻井、开发、储运防火防爆安全生产技术规程》（</w:t>
      </w:r>
      <w:r w:rsidRPr="00D630D1">
        <w:t>SY/T 5225-2012</w:t>
      </w:r>
      <w:r w:rsidRPr="00D630D1">
        <w:rPr>
          <w:rFonts w:hint="eastAsia"/>
        </w:rPr>
        <w:t>）等规定的相关要求布置</w:t>
      </w:r>
      <w:r w:rsidR="008D058C" w:rsidRPr="00D630D1">
        <w:rPr>
          <w:rFonts w:hint="eastAsia"/>
        </w:rPr>
        <w:t>，</w:t>
      </w:r>
      <w:r w:rsidRPr="00D630D1">
        <w:rPr>
          <w:rFonts w:hint="eastAsia"/>
        </w:rPr>
        <w:t>总平面布置合理。</w:t>
      </w:r>
    </w:p>
    <w:p w:rsidR="00117C3D" w:rsidRPr="00D630D1" w:rsidRDefault="008B5B84" w:rsidP="007E3162">
      <w:pPr>
        <w:keepNext/>
        <w:keepLines/>
        <w:spacing w:before="120"/>
        <w:ind w:firstLineChars="0" w:firstLine="0"/>
        <w:outlineLvl w:val="1"/>
        <w:rPr>
          <w:rFonts w:ascii="Times New Roman" w:cs="Times New Roman"/>
          <w:b/>
          <w:bCs/>
          <w:sz w:val="28"/>
          <w:szCs w:val="32"/>
        </w:rPr>
      </w:pPr>
      <w:bookmarkStart w:id="91" w:name="_Toc81515257"/>
      <w:bookmarkEnd w:id="90"/>
      <w:r w:rsidRPr="00D630D1">
        <w:rPr>
          <w:rFonts w:ascii="Times New Roman" w:cs="Times New Roman"/>
          <w:b/>
          <w:bCs/>
          <w:sz w:val="28"/>
          <w:szCs w:val="32"/>
        </w:rPr>
        <w:lastRenderedPageBreak/>
        <w:t xml:space="preserve">1.8 </w:t>
      </w:r>
      <w:r w:rsidRPr="00D630D1">
        <w:rPr>
          <w:rFonts w:ascii="Times New Roman" w:cs="Times New Roman"/>
          <w:b/>
          <w:bCs/>
          <w:sz w:val="28"/>
          <w:szCs w:val="32"/>
        </w:rPr>
        <w:t>项目与相关符合性分析</w:t>
      </w:r>
      <w:bookmarkEnd w:id="91"/>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1.8.1 </w:t>
      </w:r>
      <w:r w:rsidRPr="00D630D1">
        <w:rPr>
          <w:rFonts w:ascii="Times New Roman" w:cs="Times New Roman"/>
          <w:b/>
          <w:szCs w:val="32"/>
        </w:rPr>
        <w:t>产业政策符合性分析</w:t>
      </w:r>
    </w:p>
    <w:p w:rsidR="00486C6A" w:rsidRPr="00D630D1" w:rsidRDefault="00486C6A" w:rsidP="00486C6A">
      <w:pPr>
        <w:ind w:firstLine="480"/>
        <w:rPr>
          <w:rFonts w:ascii="Times New Roman" w:cs="Times New Roman"/>
        </w:rPr>
      </w:pPr>
      <w:r w:rsidRPr="00D630D1">
        <w:rPr>
          <w:rFonts w:ascii="Times New Roman" w:cs="Times New Roman"/>
        </w:rPr>
        <w:t>根据《产业结构调整指导目录》（</w:t>
      </w:r>
      <w:r w:rsidRPr="00D630D1">
        <w:rPr>
          <w:rFonts w:ascii="Times New Roman" w:cs="Times New Roman"/>
        </w:rPr>
        <w:t>2019</w:t>
      </w:r>
      <w:r w:rsidRPr="00D630D1">
        <w:rPr>
          <w:rFonts w:ascii="Times New Roman" w:cs="Times New Roman"/>
        </w:rPr>
        <w:t>年），本项目属于《产业结构调整指导目录》（</w:t>
      </w:r>
      <w:r w:rsidRPr="00D630D1">
        <w:rPr>
          <w:rFonts w:ascii="Times New Roman" w:cs="Times New Roman"/>
        </w:rPr>
        <w:t>2019</w:t>
      </w:r>
      <w:r w:rsidRPr="00D630D1">
        <w:rPr>
          <w:rFonts w:ascii="Times New Roman" w:cs="Times New Roman"/>
        </w:rPr>
        <w:t>年本）鼓励类中第七条</w:t>
      </w:r>
      <w:r w:rsidRPr="00D630D1">
        <w:rPr>
          <w:rFonts w:ascii="Times New Roman" w:cs="Times New Roman"/>
        </w:rPr>
        <w:t>“</w:t>
      </w:r>
      <w:r w:rsidRPr="00D630D1">
        <w:rPr>
          <w:rFonts w:ascii="Times New Roman" w:cs="Times New Roman"/>
        </w:rPr>
        <w:t>石油、天然气</w:t>
      </w:r>
      <w:r w:rsidRPr="00D630D1">
        <w:rPr>
          <w:rFonts w:ascii="Times New Roman" w:cs="Times New Roman"/>
        </w:rPr>
        <w:t>”</w:t>
      </w:r>
      <w:r w:rsidRPr="00D630D1">
        <w:rPr>
          <w:rFonts w:ascii="Times New Roman" w:cs="Times New Roman"/>
        </w:rPr>
        <w:t>中的第三款：</w:t>
      </w:r>
      <w:r w:rsidRPr="00D630D1">
        <w:rPr>
          <w:rFonts w:ascii="Times New Roman" w:cs="Times New Roman"/>
        </w:rPr>
        <w:t>“</w:t>
      </w:r>
      <w:r w:rsidRPr="00D630D1">
        <w:rPr>
          <w:rFonts w:ascii="Times New Roman" w:cs="Times New Roman"/>
        </w:rPr>
        <w:t>原油、天然气、液化天然气、成品油的储运和管道输送设施、网络和液化天然气加注设施建设</w:t>
      </w:r>
      <w:r w:rsidRPr="00D630D1">
        <w:rPr>
          <w:rFonts w:ascii="Times New Roman" w:cs="Times New Roman"/>
        </w:rPr>
        <w:t>”</w:t>
      </w:r>
      <w:r w:rsidRPr="00D630D1">
        <w:rPr>
          <w:rFonts w:ascii="Times New Roman" w:cs="Times New Roman"/>
        </w:rPr>
        <w:t>。</w:t>
      </w:r>
    </w:p>
    <w:p w:rsidR="00117C3D" w:rsidRPr="00D630D1" w:rsidRDefault="00486C6A" w:rsidP="00486C6A">
      <w:pPr>
        <w:ind w:firstLine="480"/>
        <w:rPr>
          <w:rFonts w:ascii="Times New Roman" w:cs="Times New Roman"/>
        </w:rPr>
      </w:pPr>
      <w:r w:rsidRPr="00D630D1">
        <w:rPr>
          <w:rFonts w:ascii="Times New Roman" w:cs="Times New Roman"/>
        </w:rPr>
        <w:t>因此本项目建设符合国家产业政策。</w:t>
      </w:r>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 xml:space="preserve">1.8.2 </w:t>
      </w:r>
      <w:r w:rsidR="00884269" w:rsidRPr="00D630D1">
        <w:rPr>
          <w:rFonts w:ascii="Times New Roman" w:cs="Times New Roman"/>
          <w:b/>
          <w:szCs w:val="32"/>
        </w:rPr>
        <w:t>与《长江经济带生态环境保护规划》的符合性分析</w:t>
      </w:r>
    </w:p>
    <w:p w:rsidR="00884269" w:rsidRPr="00D630D1" w:rsidRDefault="00884269" w:rsidP="00223E81">
      <w:pPr>
        <w:pStyle w:val="afa"/>
        <w:ind w:firstLine="480"/>
      </w:pPr>
      <w:bookmarkStart w:id="92" w:name="_Hlk58750719"/>
      <w:r w:rsidRPr="00D630D1">
        <w:t>根据《长江经济带生态环境保护规划》专栏</w:t>
      </w:r>
      <w:r w:rsidRPr="00D630D1">
        <w:t>11</w:t>
      </w:r>
      <w:r w:rsidRPr="00D630D1">
        <w:t>城乡环境综合整治</w:t>
      </w:r>
      <w:r w:rsidRPr="00D630D1">
        <w:t>-</w:t>
      </w:r>
      <w:r w:rsidRPr="00D630D1">
        <w:t>大气污染治理：开展燃煤电厂超低排放和节能改造。</w:t>
      </w:r>
      <w:r w:rsidRPr="00D630D1">
        <w:t>……</w:t>
      </w:r>
      <w:r w:rsidRPr="00D630D1">
        <w:t>建设完善天然气输送管道、城市燃气管网、天然气储气库、城市调峰站储气罐等基础设施，实施民用部门</w:t>
      </w:r>
      <w:r w:rsidRPr="00D630D1">
        <w:t>“</w:t>
      </w:r>
      <w:r w:rsidRPr="00D630D1">
        <w:t>煤改电</w:t>
      </w:r>
      <w:r w:rsidRPr="00D630D1">
        <w:t>”“</w:t>
      </w:r>
      <w:r w:rsidRPr="00D630D1">
        <w:t>煤改气</w:t>
      </w:r>
      <w:r w:rsidRPr="00D630D1">
        <w:t>”</w:t>
      </w:r>
      <w:r w:rsidRPr="00D630D1">
        <w:t>工程。本工程属于天然气</w:t>
      </w:r>
      <w:r w:rsidR="00586C59" w:rsidRPr="00D630D1">
        <w:rPr>
          <w:rFonts w:hint="eastAsia"/>
        </w:rPr>
        <w:t>开采</w:t>
      </w:r>
      <w:r w:rsidRPr="00D630D1">
        <w:t>及输送建设项目，符合建设完善天然气输送管道的要求。</w:t>
      </w:r>
    </w:p>
    <w:p w:rsidR="007B6829" w:rsidRPr="00D630D1" w:rsidRDefault="00884269" w:rsidP="00223E81">
      <w:pPr>
        <w:pStyle w:val="afa"/>
        <w:ind w:firstLine="480"/>
      </w:pPr>
      <w:r w:rsidRPr="00D630D1">
        <w:t>因此，本工程的建设符合《长江经济带生态环境保护规划》要求。</w:t>
      </w:r>
    </w:p>
    <w:bookmarkEnd w:id="92"/>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1.8.</w:t>
      </w:r>
      <w:r w:rsidR="00506E88" w:rsidRPr="00D630D1">
        <w:rPr>
          <w:rFonts w:ascii="Times New Roman" w:cs="Times New Roman" w:hint="eastAsia"/>
          <w:b/>
          <w:szCs w:val="32"/>
        </w:rPr>
        <w:t>3</w:t>
      </w:r>
      <w:r w:rsidRPr="00D630D1">
        <w:rPr>
          <w:rFonts w:ascii="Times New Roman" w:cs="Times New Roman"/>
          <w:b/>
          <w:szCs w:val="32"/>
        </w:rPr>
        <w:t xml:space="preserve"> </w:t>
      </w:r>
      <w:r w:rsidR="00223E81" w:rsidRPr="00D630D1">
        <w:rPr>
          <w:rFonts w:ascii="Times New Roman" w:cs="Times New Roman"/>
          <w:b/>
          <w:szCs w:val="32"/>
        </w:rPr>
        <w:t>与四川省主体功能区规划的符合性分析</w:t>
      </w:r>
    </w:p>
    <w:p w:rsidR="00223E81" w:rsidRPr="00D630D1" w:rsidRDefault="00223E81" w:rsidP="00223E81">
      <w:pPr>
        <w:pStyle w:val="afa"/>
        <w:ind w:firstLine="482"/>
        <w:rPr>
          <w:b/>
          <w:bCs/>
        </w:rPr>
      </w:pPr>
      <w:r w:rsidRPr="00D630D1">
        <w:rPr>
          <w:b/>
          <w:bCs/>
        </w:rPr>
        <w:t>1</w:t>
      </w:r>
      <w:r w:rsidRPr="00D630D1">
        <w:rPr>
          <w:b/>
          <w:bCs/>
        </w:rPr>
        <w:t>、四川省主体功能区规划概述</w:t>
      </w:r>
    </w:p>
    <w:p w:rsidR="00223E81" w:rsidRPr="00D630D1" w:rsidRDefault="00223E81" w:rsidP="00A126C5">
      <w:pPr>
        <w:pStyle w:val="afa"/>
        <w:ind w:firstLine="480"/>
      </w:pPr>
      <w:r w:rsidRPr="00D630D1">
        <w:t>根据《四川省主体功能区规划》（川府发〔</w:t>
      </w:r>
      <w:r w:rsidRPr="00D630D1">
        <w:t>2013</w:t>
      </w:r>
      <w:r w:rsidRPr="00D630D1">
        <w:t>〕</w:t>
      </w:r>
      <w:r w:rsidRPr="00D630D1">
        <w:t>16</w:t>
      </w:r>
      <w:r w:rsidRPr="00D630D1">
        <w:t>号文）（以下简称《规划》），全省主体功能区分为以下四个大类：</w:t>
      </w:r>
    </w:p>
    <w:p w:rsidR="00223E81" w:rsidRPr="00D630D1" w:rsidRDefault="00223E81" w:rsidP="00223E81">
      <w:pPr>
        <w:pStyle w:val="afa"/>
        <w:ind w:firstLine="480"/>
      </w:pPr>
      <w:r w:rsidRPr="00D630D1">
        <w:t>（</w:t>
      </w:r>
      <w:r w:rsidRPr="00D630D1">
        <w:t>1</w:t>
      </w:r>
      <w:r w:rsidRPr="00D630D1">
        <w:t>）重点开发区域</w:t>
      </w:r>
    </w:p>
    <w:p w:rsidR="00223E81" w:rsidRPr="00D630D1" w:rsidRDefault="00223E81" w:rsidP="00223E81">
      <w:pPr>
        <w:pStyle w:val="afa"/>
        <w:ind w:firstLine="480"/>
      </w:pPr>
      <w:r w:rsidRPr="00D630D1">
        <w:t>主要包括成都平原、川南、川东北和攀西地区</w:t>
      </w:r>
      <w:r w:rsidRPr="00D630D1">
        <w:t>19</w:t>
      </w:r>
      <w:r w:rsidRPr="00D630D1">
        <w:t>市（州）中的</w:t>
      </w:r>
      <w:r w:rsidRPr="00D630D1">
        <w:t>89</w:t>
      </w:r>
      <w:r w:rsidRPr="00D630D1">
        <w:t>个县（市、区），以及与之相连的</w:t>
      </w:r>
      <w:r w:rsidRPr="00D630D1">
        <w:t>50</w:t>
      </w:r>
      <w:r w:rsidRPr="00D630D1">
        <w:t>个点状开发城镇，该区域面积</w:t>
      </w:r>
      <w:r w:rsidRPr="00D630D1">
        <w:t>10.3</w:t>
      </w:r>
      <w:r w:rsidRPr="00D630D1">
        <w:t>万平方公里，占全省幅员面积</w:t>
      </w:r>
      <w:r w:rsidRPr="00D630D1">
        <w:t>21.2%</w:t>
      </w:r>
      <w:r w:rsidRPr="00D630D1">
        <w:t>；分为国家层面重点开发区域和省级层面重点开发区域。</w:t>
      </w:r>
    </w:p>
    <w:p w:rsidR="00223E81" w:rsidRPr="00D630D1" w:rsidRDefault="00223E81" w:rsidP="00223E81">
      <w:pPr>
        <w:pStyle w:val="afa"/>
        <w:ind w:firstLine="480"/>
      </w:pPr>
      <w:r w:rsidRPr="00D630D1">
        <w:t>该功能区是全省经济增长的重要支撑区，实施加快推进新型工业化新型城镇化的主要承载区，是全省经济和人口密集区。</w:t>
      </w:r>
    </w:p>
    <w:p w:rsidR="00223E81" w:rsidRPr="00D630D1" w:rsidRDefault="00223E81" w:rsidP="00223E81">
      <w:pPr>
        <w:pStyle w:val="afa"/>
        <w:ind w:firstLine="480"/>
      </w:pPr>
      <w:r w:rsidRPr="00D630D1">
        <w:t>（</w:t>
      </w:r>
      <w:r w:rsidRPr="00D630D1">
        <w:t>2</w:t>
      </w:r>
      <w:r w:rsidRPr="00D630D1">
        <w:t>）限制开发区域（农产品主产区）</w:t>
      </w:r>
    </w:p>
    <w:p w:rsidR="00223E81" w:rsidRPr="00D630D1" w:rsidRDefault="00223E81" w:rsidP="00223E81">
      <w:pPr>
        <w:pStyle w:val="afa"/>
        <w:ind w:firstLine="480"/>
      </w:pPr>
      <w:r w:rsidRPr="00D630D1">
        <w:t>限制开发的农产品主产区是指具备较好的农业生产条件，以提供农产品为主体功能，以提供生态产品、服务产品和工业品为其他功能，需要在国土空间开发中限制进行大规模高强度工业化城镇化开发，以保持并提高农产品生产能力的区域。</w:t>
      </w:r>
    </w:p>
    <w:p w:rsidR="00223E81" w:rsidRPr="00D630D1" w:rsidRDefault="00223E81" w:rsidP="00223E81">
      <w:pPr>
        <w:pStyle w:val="afa"/>
        <w:ind w:firstLine="480"/>
      </w:pPr>
      <w:r w:rsidRPr="00D630D1">
        <w:lastRenderedPageBreak/>
        <w:t>全省农产品主产区包括盆地中部平原浅丘区、川南低中山区和盆地东部丘陵低山区、盆地西缘山区和安宁河流域</w:t>
      </w:r>
      <w:r w:rsidRPr="00D630D1">
        <w:t>5</w:t>
      </w:r>
      <w:r w:rsidRPr="00D630D1">
        <w:t>大农产品主产区，共</w:t>
      </w:r>
      <w:r w:rsidRPr="00D630D1">
        <w:t>35</w:t>
      </w:r>
      <w:r w:rsidRPr="00D630D1">
        <w:t>个县（市），面积</w:t>
      </w:r>
      <w:r w:rsidRPr="00D630D1">
        <w:t>6.7</w:t>
      </w:r>
      <w:r w:rsidRPr="00D630D1">
        <w:t>万平方公里，扣除其中重点开发的县城镇及重点镇规划面积</w:t>
      </w:r>
      <w:r w:rsidRPr="00D630D1">
        <w:t>1750</w:t>
      </w:r>
      <w:r w:rsidRPr="00D630D1">
        <w:t>平方公里，占全省幅员面积</w:t>
      </w:r>
      <w:r w:rsidRPr="00D630D1">
        <w:t>13.4%</w:t>
      </w:r>
      <w:r w:rsidRPr="00D630D1">
        <w:t>。</w:t>
      </w:r>
    </w:p>
    <w:p w:rsidR="00223E81" w:rsidRPr="00D630D1" w:rsidRDefault="00223E81" w:rsidP="00223E81">
      <w:pPr>
        <w:pStyle w:val="afa"/>
        <w:ind w:firstLine="480"/>
      </w:pPr>
      <w:r w:rsidRPr="00D630D1">
        <w:t>该功能区是国家优质商品猪战略保障基地，现代农业示范区，现代林业产业基地，优势特色农产品加工业发展的重点区域，农民安居乐业的美好家园。区域应着力保护耕地，加强农业基础设施建设，稳定粮食生产，发展现代农业，增强农业综合生产能力，保障全省主要农产品有效供给，增加农民收入，加快社会主义新农村建设。</w:t>
      </w:r>
    </w:p>
    <w:p w:rsidR="00223E81" w:rsidRPr="00D630D1" w:rsidRDefault="00223E81" w:rsidP="00223E81">
      <w:pPr>
        <w:pStyle w:val="afa"/>
        <w:ind w:firstLine="480"/>
      </w:pPr>
      <w:r w:rsidRPr="00D630D1">
        <w:t>（</w:t>
      </w:r>
      <w:r w:rsidRPr="00D630D1">
        <w:t>3</w:t>
      </w:r>
      <w:r w:rsidRPr="00D630D1">
        <w:t>）限制开发区域（重点生态功能区）</w:t>
      </w:r>
    </w:p>
    <w:p w:rsidR="00223E81" w:rsidRPr="00D630D1" w:rsidRDefault="00223E81" w:rsidP="00223E81">
      <w:pPr>
        <w:pStyle w:val="afa"/>
        <w:ind w:firstLine="480"/>
      </w:pPr>
      <w:r w:rsidRPr="00D630D1">
        <w:t>限制开发的重点生态功能区是指生态系统十分重要，关系较大范围区域的生态安全，目前生态系统有所退化，需要在国土空间开发中限制进行大规模高强度工业化城镇化开发，以保持并提高生态产品供给能力的区域。</w:t>
      </w:r>
    </w:p>
    <w:p w:rsidR="00223E81" w:rsidRPr="00D630D1" w:rsidRDefault="00223E81" w:rsidP="00223E81">
      <w:pPr>
        <w:pStyle w:val="afa"/>
        <w:ind w:firstLine="480"/>
      </w:pPr>
      <w:r w:rsidRPr="00D630D1">
        <w:t>重点生态功能区共</w:t>
      </w:r>
      <w:r w:rsidRPr="00D630D1">
        <w:t>57</w:t>
      </w:r>
      <w:r w:rsidRPr="00D630D1">
        <w:t>个县（市），总面积</w:t>
      </w:r>
      <w:r w:rsidRPr="00D630D1">
        <w:t>31.8</w:t>
      </w:r>
      <w:r w:rsidRPr="00D630D1">
        <w:t>万平方公里，扣除其中省级重点生态功能区中重点开发的县城镇及重点镇规划面积，占全省幅员面积</w:t>
      </w:r>
      <w:r w:rsidRPr="00D630D1">
        <w:t>65.4%</w:t>
      </w:r>
      <w:r w:rsidRPr="00D630D1">
        <w:t>；分为国家层面的重点生态功能区和省级层面的重点生态功能区。</w:t>
      </w:r>
    </w:p>
    <w:p w:rsidR="00223E81" w:rsidRPr="00D630D1" w:rsidRDefault="00223E81" w:rsidP="00223E81">
      <w:pPr>
        <w:pStyle w:val="afa"/>
        <w:ind w:firstLine="480"/>
      </w:pPr>
      <w:r w:rsidRPr="00D630D1">
        <w:t>国家青藏高原生态屏障和长江上游生态屏障的重要组成部分，国家重要的水源涵养、水土保持与生物多样性保护区域，全省提供生态产品的主体区域与生态财富富集区，保障国家生态安全的重要区域，生态文明建设、人与自然和谐相处的示范区。</w:t>
      </w:r>
    </w:p>
    <w:p w:rsidR="00223E81" w:rsidRPr="00D630D1" w:rsidRDefault="00223E81" w:rsidP="00223E81">
      <w:pPr>
        <w:pStyle w:val="afa"/>
        <w:ind w:firstLine="480"/>
      </w:pPr>
      <w:r w:rsidRPr="00D630D1">
        <w:t>（</w:t>
      </w:r>
      <w:r w:rsidRPr="00D630D1">
        <w:t>4</w:t>
      </w:r>
      <w:r w:rsidRPr="00D630D1">
        <w:t>）禁止开发区域</w:t>
      </w:r>
    </w:p>
    <w:p w:rsidR="00223E81" w:rsidRPr="00D630D1" w:rsidRDefault="00223E81" w:rsidP="00223E81">
      <w:pPr>
        <w:pStyle w:val="afa"/>
        <w:ind w:firstLine="480"/>
      </w:pPr>
      <w:r w:rsidRPr="00D630D1">
        <w:t>禁止开发区域是指依法设立的各级各类自然文化资源保护区域，以及其他禁止进行工业化城镇化开发、需要特殊保护的重点生态功能区。主要包括国家级自然保护区、世界文化自然遗产、国家级风景名胜区、国家森林公园、国家重要湿地、国家湿地公园和国家地质公园；省级及以下各级各类自然文化资源保护区域、重要饮用水水源地以及其他省级人民政府根据需要确定的禁止开发区域。</w:t>
      </w:r>
    </w:p>
    <w:p w:rsidR="00223E81" w:rsidRPr="00D630D1" w:rsidRDefault="00223E81" w:rsidP="00223E81">
      <w:pPr>
        <w:pStyle w:val="afa"/>
        <w:ind w:firstLine="480"/>
      </w:pPr>
      <w:r w:rsidRPr="00D630D1">
        <w:t>该区域是四川省自然文化资源的重要区域，森林、湿地生态、生物多样性和珍稀动植物基因资源保护地，重要水土保持区域与重要饮用水水源保护地。</w:t>
      </w:r>
    </w:p>
    <w:p w:rsidR="00223E81" w:rsidRPr="00D630D1" w:rsidRDefault="00223E81" w:rsidP="00223E81">
      <w:pPr>
        <w:pStyle w:val="afa"/>
        <w:ind w:firstLine="480"/>
      </w:pPr>
      <w:r w:rsidRPr="00D630D1">
        <w:t>禁止开发区域要严格控制人为因素对自然生态的干扰，严禁不符合主体功能</w:t>
      </w:r>
      <w:r w:rsidRPr="00D630D1">
        <w:lastRenderedPageBreak/>
        <w:t>区定位的开发活动，引导人口逐步有序转移，实现污染物</w:t>
      </w:r>
      <w:r w:rsidRPr="00D630D1">
        <w:t>“</w:t>
      </w:r>
      <w:r w:rsidRPr="00D630D1">
        <w:t>零排放</w:t>
      </w:r>
      <w:r w:rsidRPr="00D630D1">
        <w:t>”</w:t>
      </w:r>
      <w:r w:rsidRPr="00D630D1">
        <w:t>，提高环境质量，提高可持续发展能力。自然保护区、文化自然遗产、风景名胜区、森林公园、湿地公园、地质公园，要逐步达到各类区域规定执行标准。</w:t>
      </w:r>
    </w:p>
    <w:p w:rsidR="00223E81" w:rsidRPr="00D630D1" w:rsidRDefault="00223E81" w:rsidP="00223E81">
      <w:pPr>
        <w:pStyle w:val="afa"/>
        <w:ind w:firstLine="482"/>
        <w:rPr>
          <w:b/>
          <w:bCs/>
        </w:rPr>
      </w:pPr>
      <w:r w:rsidRPr="00D630D1">
        <w:rPr>
          <w:b/>
          <w:bCs/>
        </w:rPr>
        <w:t>2</w:t>
      </w:r>
      <w:r w:rsidRPr="00D630D1">
        <w:rPr>
          <w:b/>
          <w:bCs/>
        </w:rPr>
        <w:t>、与四川省主体功能区规划的符合性分析</w:t>
      </w:r>
    </w:p>
    <w:p w:rsidR="00223E81" w:rsidRPr="00D630D1" w:rsidRDefault="00223E81" w:rsidP="00223E81">
      <w:pPr>
        <w:pStyle w:val="afa"/>
        <w:ind w:firstLine="480"/>
      </w:pPr>
      <w:r w:rsidRPr="00D630D1">
        <w:t>根据《四川省人民政府关于印发四川省主体功能区规划的通知》（川府发〔</w:t>
      </w:r>
      <w:r w:rsidRPr="00D630D1">
        <w:t>2013</w:t>
      </w:r>
      <w:r w:rsidRPr="00D630D1">
        <w:t>〕</w:t>
      </w:r>
      <w:r w:rsidRPr="00D630D1">
        <w:t>16</w:t>
      </w:r>
      <w:r w:rsidRPr="00D630D1">
        <w:t>号），本项目所在地属国家重点开发区域，不属于重点生态功能区，该地区无国家级自然保护区、世界文化遗产、国家风景名胜区、国家森林公园和国家地质公园。项目不在禁止开发区，不在重点保护区内，符合《四川省主体功能区规划》要求。</w:t>
      </w:r>
    </w:p>
    <w:p w:rsidR="001D5C63" w:rsidRPr="00D630D1" w:rsidRDefault="001D5C63" w:rsidP="001D5C63">
      <w:pPr>
        <w:keepNext/>
        <w:keepLines/>
        <w:ind w:firstLineChars="0" w:firstLine="0"/>
        <w:outlineLvl w:val="2"/>
        <w:rPr>
          <w:rFonts w:ascii="Times New Roman" w:cs="Times New Roman"/>
          <w:b/>
          <w:szCs w:val="32"/>
        </w:rPr>
      </w:pPr>
      <w:r w:rsidRPr="00D630D1">
        <w:rPr>
          <w:rFonts w:ascii="Times New Roman" w:cs="Times New Roman"/>
          <w:b/>
          <w:szCs w:val="32"/>
        </w:rPr>
        <w:t>1.8.</w:t>
      </w:r>
      <w:r w:rsidR="00506E88" w:rsidRPr="00D630D1">
        <w:rPr>
          <w:rFonts w:ascii="Times New Roman" w:cs="Times New Roman" w:hint="eastAsia"/>
          <w:b/>
          <w:szCs w:val="32"/>
        </w:rPr>
        <w:t>4</w:t>
      </w:r>
      <w:r w:rsidRPr="00D630D1">
        <w:rPr>
          <w:rFonts w:ascii="Times New Roman" w:cs="Times New Roman"/>
          <w:b/>
          <w:szCs w:val="32"/>
        </w:rPr>
        <w:t xml:space="preserve"> </w:t>
      </w:r>
      <w:r w:rsidRPr="00D630D1">
        <w:rPr>
          <w:rFonts w:ascii="Times New Roman" w:cs="Times New Roman"/>
          <w:b/>
          <w:szCs w:val="32"/>
        </w:rPr>
        <w:t>与大气污染防治等相关政策符合性分析</w:t>
      </w:r>
    </w:p>
    <w:p w:rsidR="001D5C63" w:rsidRPr="00D630D1" w:rsidRDefault="00633FE9" w:rsidP="001D5C63">
      <w:pPr>
        <w:pStyle w:val="afa"/>
        <w:ind w:firstLine="480"/>
      </w:pPr>
      <w:r w:rsidRPr="00D630D1">
        <w:t>本项目</w:t>
      </w:r>
      <w:r w:rsidR="001D5C63" w:rsidRPr="00D630D1">
        <w:t>与《关于印发四川省打赢蓝天保卫战等九个实施方案的通知》（川府发〔</w:t>
      </w:r>
      <w:r w:rsidR="001D5C63" w:rsidRPr="00D630D1">
        <w:t>2019</w:t>
      </w:r>
      <w:r w:rsidR="001D5C63" w:rsidRPr="00D630D1">
        <w:t>〕</w:t>
      </w:r>
      <w:r w:rsidR="001D5C63" w:rsidRPr="00D630D1">
        <w:t>4</w:t>
      </w:r>
      <w:r w:rsidR="001D5C63" w:rsidRPr="00D630D1">
        <w:t>号）、《打赢蓝天保卫战三年行动计划》（国发〔</w:t>
      </w:r>
      <w:r w:rsidR="001D5C63" w:rsidRPr="00D630D1">
        <w:t>2018</w:t>
      </w:r>
      <w:r w:rsidR="001D5C63" w:rsidRPr="00D630D1">
        <w:t>〕</w:t>
      </w:r>
      <w:r w:rsidR="001D5C63" w:rsidRPr="00D630D1">
        <w:t>22</w:t>
      </w:r>
      <w:r w:rsidR="001D5C63" w:rsidRPr="00D630D1">
        <w:t>号）和《四川省环境污染防治</w:t>
      </w:r>
      <w:r w:rsidR="001D5C63" w:rsidRPr="00D630D1">
        <w:t>“</w:t>
      </w:r>
      <w:r w:rsidR="001D5C63" w:rsidRPr="00D630D1">
        <w:t>三大战役</w:t>
      </w:r>
      <w:r w:rsidR="001D5C63" w:rsidRPr="00D630D1">
        <w:t>”</w:t>
      </w:r>
      <w:r w:rsidR="001D5C63" w:rsidRPr="00D630D1">
        <w:t>实施方案》的符合性分析如下：</w:t>
      </w:r>
    </w:p>
    <w:p w:rsidR="001D5C63" w:rsidRPr="00D630D1" w:rsidRDefault="00A126C5" w:rsidP="001D5C63">
      <w:pPr>
        <w:pStyle w:val="10"/>
        <w:rPr>
          <w:rFonts w:cs="Times New Roman"/>
        </w:rPr>
      </w:pPr>
      <w:r w:rsidRPr="00D630D1">
        <w:rPr>
          <w:rFonts w:cs="Times New Roman"/>
        </w:rPr>
        <w:br w:type="page"/>
      </w:r>
      <w:r w:rsidR="001D5C63" w:rsidRPr="00D630D1">
        <w:rPr>
          <w:rFonts w:cs="Times New Roman"/>
        </w:rPr>
        <w:lastRenderedPageBreak/>
        <w:t>表</w:t>
      </w:r>
      <w:r w:rsidR="001D5C63" w:rsidRPr="00D630D1">
        <w:rPr>
          <w:rFonts w:cs="Times New Roman"/>
        </w:rPr>
        <w:t>1.8-</w:t>
      </w:r>
      <w:r w:rsidR="009161F1" w:rsidRPr="00D630D1">
        <w:rPr>
          <w:rFonts w:cs="Times New Roman" w:hint="eastAsia"/>
        </w:rPr>
        <w:t>2</w:t>
      </w:r>
      <w:r w:rsidR="001D5C63" w:rsidRPr="00D630D1">
        <w:rPr>
          <w:rFonts w:cs="Times New Roman"/>
        </w:rPr>
        <w:t xml:space="preserve">  </w:t>
      </w:r>
      <w:r w:rsidR="001D5C63" w:rsidRPr="00D630D1">
        <w:rPr>
          <w:rFonts w:cs="Times New Roman"/>
        </w:rPr>
        <w:t>与大气污染防治等相关政策符合性</w:t>
      </w:r>
    </w:p>
    <w:tbl>
      <w:tblPr>
        <w:tblW w:w="8732" w:type="dxa"/>
        <w:jc w:val="center"/>
        <w:tblBorders>
          <w:top w:val="single" w:sz="12" w:space="0" w:color="auto"/>
          <w:bottom w:val="single" w:sz="12" w:space="0" w:color="auto"/>
          <w:insideH w:val="single" w:sz="4" w:space="0" w:color="auto"/>
          <w:insideV w:val="single" w:sz="4" w:space="0" w:color="auto"/>
        </w:tblBorders>
        <w:tblLook w:val="0000"/>
      </w:tblPr>
      <w:tblGrid>
        <w:gridCol w:w="1315"/>
        <w:gridCol w:w="4546"/>
        <w:gridCol w:w="2054"/>
        <w:gridCol w:w="817"/>
      </w:tblGrid>
      <w:tr w:rsidR="0055688D" w:rsidRPr="00D630D1" w:rsidTr="00784348">
        <w:trPr>
          <w:trHeight w:val="274"/>
          <w:tblHeader/>
          <w:jc w:val="center"/>
        </w:trPr>
        <w:tc>
          <w:tcPr>
            <w:tcW w:w="1315" w:type="dxa"/>
            <w:vAlign w:val="center"/>
          </w:tcPr>
          <w:p w:rsidR="001D5C63" w:rsidRPr="00D630D1" w:rsidRDefault="001D5C63" w:rsidP="001D5C63">
            <w:pPr>
              <w:pStyle w:val="10"/>
              <w:spacing w:line="240" w:lineRule="auto"/>
              <w:rPr>
                <w:rFonts w:cs="Times New Roman"/>
              </w:rPr>
            </w:pPr>
            <w:r w:rsidRPr="00D630D1">
              <w:rPr>
                <w:rFonts w:cs="Times New Roman"/>
              </w:rPr>
              <w:t>大气污染防治规划文件</w:t>
            </w:r>
          </w:p>
        </w:tc>
        <w:tc>
          <w:tcPr>
            <w:tcW w:w="4546" w:type="dxa"/>
            <w:vAlign w:val="center"/>
          </w:tcPr>
          <w:p w:rsidR="001D5C63" w:rsidRPr="00D630D1" w:rsidRDefault="001D5C63" w:rsidP="001D5C63">
            <w:pPr>
              <w:pStyle w:val="10"/>
              <w:spacing w:line="240" w:lineRule="auto"/>
              <w:rPr>
                <w:rFonts w:cs="Times New Roman"/>
              </w:rPr>
            </w:pPr>
            <w:r w:rsidRPr="00D630D1">
              <w:rPr>
                <w:rFonts w:cs="Times New Roman"/>
              </w:rPr>
              <w:t>规划要求</w:t>
            </w:r>
          </w:p>
        </w:tc>
        <w:tc>
          <w:tcPr>
            <w:tcW w:w="2054" w:type="dxa"/>
            <w:vAlign w:val="center"/>
          </w:tcPr>
          <w:p w:rsidR="001D5C63" w:rsidRPr="00D630D1" w:rsidRDefault="00633FE9" w:rsidP="001D5C63">
            <w:pPr>
              <w:pStyle w:val="10"/>
              <w:spacing w:line="240" w:lineRule="auto"/>
              <w:rPr>
                <w:rFonts w:cs="Times New Roman"/>
              </w:rPr>
            </w:pPr>
            <w:r w:rsidRPr="00D630D1">
              <w:rPr>
                <w:rFonts w:cs="Times New Roman"/>
              </w:rPr>
              <w:t>本项目</w:t>
            </w:r>
            <w:r w:rsidR="001D5C63" w:rsidRPr="00D630D1">
              <w:rPr>
                <w:rFonts w:cs="Times New Roman"/>
              </w:rPr>
              <w:t>情况</w:t>
            </w:r>
          </w:p>
        </w:tc>
        <w:tc>
          <w:tcPr>
            <w:tcW w:w="817" w:type="dxa"/>
            <w:vAlign w:val="center"/>
          </w:tcPr>
          <w:p w:rsidR="001D5C63" w:rsidRPr="00D630D1" w:rsidRDefault="001D5C63" w:rsidP="001D5C63">
            <w:pPr>
              <w:pStyle w:val="10"/>
              <w:spacing w:line="240" w:lineRule="auto"/>
              <w:rPr>
                <w:rFonts w:cs="Times New Roman"/>
              </w:rPr>
            </w:pPr>
            <w:r w:rsidRPr="00D630D1">
              <w:rPr>
                <w:rFonts w:cs="Times New Roman"/>
              </w:rPr>
              <w:t>符合性</w:t>
            </w:r>
          </w:p>
        </w:tc>
      </w:tr>
      <w:tr w:rsidR="0055688D" w:rsidRPr="00D630D1" w:rsidTr="00784348">
        <w:trPr>
          <w:trHeight w:val="3286"/>
          <w:jc w:val="center"/>
        </w:trPr>
        <w:tc>
          <w:tcPr>
            <w:tcW w:w="1315"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《关于印发四川省打赢蓝天保卫战等九个实施方案的通知》（川府发</w:t>
            </w:r>
            <w:r w:rsidR="00784348" w:rsidRPr="00D630D1">
              <w:rPr>
                <w:rFonts w:cs="Times New Roman"/>
                <w:b w:val="0"/>
                <w:bCs/>
              </w:rPr>
              <w:t>〔</w:t>
            </w:r>
            <w:r w:rsidR="00784348" w:rsidRPr="00D630D1">
              <w:rPr>
                <w:rFonts w:cs="Times New Roman"/>
                <w:b w:val="0"/>
                <w:bCs/>
              </w:rPr>
              <w:t>2019</w:t>
            </w:r>
            <w:r w:rsidR="00784348" w:rsidRPr="00D630D1">
              <w:rPr>
                <w:rFonts w:cs="Times New Roman"/>
                <w:b w:val="0"/>
                <w:bCs/>
              </w:rPr>
              <w:t>〕</w:t>
            </w:r>
            <w:r w:rsidRPr="00D630D1">
              <w:rPr>
                <w:rFonts w:cs="Times New Roman"/>
                <w:b w:val="0"/>
                <w:bCs/>
              </w:rPr>
              <w:t>4</w:t>
            </w:r>
            <w:r w:rsidRPr="00D630D1">
              <w:rPr>
                <w:rFonts w:cs="Times New Roman"/>
                <w:b w:val="0"/>
                <w:bCs/>
              </w:rPr>
              <w:t>号）</w:t>
            </w:r>
          </w:p>
        </w:tc>
        <w:tc>
          <w:tcPr>
            <w:tcW w:w="4546"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《四川省打赢蓝天保卫战实施方案》</w:t>
            </w:r>
          </w:p>
          <w:p w:rsidR="001D5C63" w:rsidRPr="00D630D1" w:rsidRDefault="001D5C63" w:rsidP="001D5C63">
            <w:pPr>
              <w:pStyle w:val="10"/>
              <w:spacing w:line="240" w:lineRule="auto"/>
              <w:rPr>
                <w:rFonts w:cs="Times New Roman"/>
                <w:b w:val="0"/>
                <w:bCs/>
              </w:rPr>
            </w:pPr>
            <w:r w:rsidRPr="00D630D1">
              <w:rPr>
                <w:rFonts w:cs="Times New Roman"/>
                <w:b w:val="0"/>
                <w:bCs/>
              </w:rPr>
              <w:t>三、重点任务</w:t>
            </w:r>
          </w:p>
          <w:p w:rsidR="001D5C63" w:rsidRPr="00D630D1" w:rsidRDefault="001D5C63" w:rsidP="001D5C63">
            <w:pPr>
              <w:pStyle w:val="10"/>
              <w:spacing w:line="240" w:lineRule="auto"/>
              <w:rPr>
                <w:rFonts w:cs="Times New Roman"/>
                <w:b w:val="0"/>
                <w:bCs/>
              </w:rPr>
            </w:pPr>
            <w:r w:rsidRPr="00D630D1">
              <w:rPr>
                <w:rFonts w:cs="Times New Roman"/>
                <w:b w:val="0"/>
                <w:bCs/>
              </w:rPr>
              <w:t>（一）调整产业结构，深化工业污染治理。</w:t>
            </w:r>
          </w:p>
          <w:p w:rsidR="001D5C63" w:rsidRPr="00D630D1" w:rsidRDefault="001D5C63" w:rsidP="001D5C63">
            <w:pPr>
              <w:pStyle w:val="10"/>
              <w:spacing w:line="240" w:lineRule="auto"/>
              <w:rPr>
                <w:rFonts w:cs="Times New Roman"/>
                <w:b w:val="0"/>
                <w:bCs/>
              </w:rPr>
            </w:pPr>
            <w:r w:rsidRPr="00D630D1">
              <w:rPr>
                <w:rFonts w:cs="Times New Roman"/>
                <w:b w:val="0"/>
                <w:bCs/>
              </w:rPr>
              <w:t>强化</w:t>
            </w:r>
            <w:r w:rsidRPr="00D630D1">
              <w:rPr>
                <w:rFonts w:cs="Times New Roman"/>
                <w:b w:val="0"/>
                <w:bCs/>
              </w:rPr>
              <w:t>“</w:t>
            </w:r>
            <w:r w:rsidRPr="00D630D1">
              <w:rPr>
                <w:rFonts w:cs="Times New Roman"/>
                <w:b w:val="0"/>
                <w:bCs/>
              </w:rPr>
              <w:t>三线一单</w:t>
            </w:r>
            <w:r w:rsidRPr="00D630D1">
              <w:rPr>
                <w:rFonts w:cs="Times New Roman"/>
                <w:b w:val="0"/>
                <w:bCs/>
              </w:rPr>
              <w:t>”</w:t>
            </w:r>
            <w:r w:rsidRPr="00D630D1">
              <w:rPr>
                <w:rFonts w:cs="Times New Roman"/>
                <w:b w:val="0"/>
                <w:bCs/>
              </w:rPr>
              <w:t>（生态保护红线、环境质量底线、资源利用上生态环境准入清单）约束，明确禁止和限制发展的行业、生产工艺和产业目录，优化产业布局和资源配置。积极推行区境影响评价，新、改、扩建钢铁、石化、化工、焦化、建材、的环境影响评价应满足区域、规划环境影响评价要求。（二）优化能源结构，构建清洁能源体系。加快发展清洁能源。科学有序推进水电、天然气（页岩气）、风电、太阳能、生物质能等清洁能源开发利用。（四）加强扬尘管控，提高城市环境管理水平。</w:t>
            </w:r>
          </w:p>
          <w:p w:rsidR="001D5C63" w:rsidRPr="00D630D1" w:rsidRDefault="001D5C63" w:rsidP="001D5C63">
            <w:pPr>
              <w:pStyle w:val="10"/>
              <w:spacing w:line="240" w:lineRule="auto"/>
              <w:rPr>
                <w:rFonts w:cs="Times New Roman"/>
                <w:b w:val="0"/>
                <w:bCs/>
              </w:rPr>
            </w:pPr>
            <w:r w:rsidRPr="00D630D1">
              <w:rPr>
                <w:rFonts w:cs="Times New Roman"/>
                <w:b w:val="0"/>
                <w:bCs/>
              </w:rPr>
              <w:t>严格施工扬尘监管。大力推进装配式建筑，推广节能降耗的建筑新技术和新工艺，提高绿色施工水平。</w:t>
            </w:r>
          </w:p>
        </w:tc>
        <w:tc>
          <w:tcPr>
            <w:tcW w:w="2054"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本项目位于</w:t>
            </w:r>
            <w:r w:rsidR="00EA0850" w:rsidRPr="00D630D1">
              <w:rPr>
                <w:rFonts w:cs="Times New Roman"/>
                <w:b w:val="0"/>
                <w:bCs/>
              </w:rPr>
              <w:t>宣汉县</w:t>
            </w:r>
            <w:r w:rsidR="00867450">
              <w:rPr>
                <w:rFonts w:cs="Times New Roman" w:hint="eastAsia"/>
                <w:b w:val="0"/>
                <w:bCs/>
              </w:rPr>
              <w:t>老君乡和普光镇境内</w:t>
            </w:r>
            <w:r w:rsidRPr="00D630D1">
              <w:rPr>
                <w:rFonts w:cs="Times New Roman"/>
                <w:b w:val="0"/>
                <w:bCs/>
              </w:rPr>
              <w:t>，项目属于</w:t>
            </w:r>
            <w:r w:rsidR="00A126C5" w:rsidRPr="00D630D1">
              <w:rPr>
                <w:rFonts w:cs="Times New Roman"/>
                <w:b w:val="0"/>
                <w:bCs/>
              </w:rPr>
              <w:t>天然气</w:t>
            </w:r>
            <w:r w:rsidR="00586C59" w:rsidRPr="00D630D1">
              <w:rPr>
                <w:rFonts w:cs="Times New Roman" w:hint="eastAsia"/>
                <w:b w:val="0"/>
                <w:bCs/>
              </w:rPr>
              <w:t>开采</w:t>
            </w:r>
            <w:r w:rsidR="00B11B9F" w:rsidRPr="00D630D1">
              <w:rPr>
                <w:rFonts w:cs="Times New Roman"/>
                <w:b w:val="0"/>
                <w:bCs/>
              </w:rPr>
              <w:t>和</w:t>
            </w:r>
            <w:r w:rsidR="00A126C5" w:rsidRPr="00D630D1">
              <w:rPr>
                <w:rFonts w:cs="Times New Roman"/>
                <w:b w:val="0"/>
                <w:bCs/>
              </w:rPr>
              <w:t>内部集输工程</w:t>
            </w:r>
            <w:r w:rsidRPr="00D630D1">
              <w:rPr>
                <w:rFonts w:cs="Times New Roman"/>
                <w:b w:val="0"/>
                <w:bCs/>
              </w:rPr>
              <w:t>，天然气属清洁能源，能减少对大气环境的影响。</w:t>
            </w:r>
          </w:p>
          <w:p w:rsidR="001D5C63" w:rsidRPr="00D630D1" w:rsidRDefault="001D5C63" w:rsidP="001D5C63">
            <w:pPr>
              <w:pStyle w:val="10"/>
              <w:spacing w:line="240" w:lineRule="auto"/>
              <w:rPr>
                <w:rFonts w:cs="Times New Roman"/>
                <w:b w:val="0"/>
                <w:bCs/>
              </w:rPr>
            </w:pPr>
            <w:r w:rsidRPr="00D630D1">
              <w:rPr>
                <w:rFonts w:cs="Times New Roman"/>
                <w:b w:val="0"/>
                <w:bCs/>
              </w:rPr>
              <w:t>项目严格施工扬尘监管，采用洒水降尘等措施进行施工期扬尘防治，可有效避免施工期扬尘对大气环境的影响。</w:t>
            </w:r>
          </w:p>
        </w:tc>
        <w:tc>
          <w:tcPr>
            <w:tcW w:w="817"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符合</w:t>
            </w:r>
          </w:p>
        </w:tc>
      </w:tr>
      <w:tr w:rsidR="0055688D" w:rsidRPr="00D630D1" w:rsidTr="00784348">
        <w:trPr>
          <w:trHeight w:val="819"/>
          <w:jc w:val="center"/>
        </w:trPr>
        <w:tc>
          <w:tcPr>
            <w:tcW w:w="1315" w:type="dxa"/>
            <w:vMerge w:val="restart"/>
            <w:vAlign w:val="center"/>
          </w:tcPr>
          <w:p w:rsidR="001D5C63" w:rsidRPr="00D630D1" w:rsidRDefault="001D5C63" w:rsidP="001D5C63">
            <w:pPr>
              <w:pStyle w:val="10"/>
              <w:spacing w:line="240" w:lineRule="auto"/>
              <w:rPr>
                <w:rFonts w:cs="Times New Roman"/>
                <w:b w:val="0"/>
                <w:bCs/>
              </w:rPr>
            </w:pPr>
            <w:r w:rsidRPr="00D630D1">
              <w:rPr>
                <w:rFonts w:cs="Times New Roman"/>
                <w:b w:val="0"/>
                <w:bCs/>
              </w:rPr>
              <w:t>《打赢蓝天保卫战三年行动计划》（国发〔</w:t>
            </w:r>
            <w:r w:rsidRPr="00D630D1">
              <w:rPr>
                <w:rFonts w:cs="Times New Roman"/>
                <w:b w:val="0"/>
                <w:bCs/>
              </w:rPr>
              <w:t>2018</w:t>
            </w:r>
            <w:r w:rsidRPr="00D630D1">
              <w:rPr>
                <w:rFonts w:cs="Times New Roman"/>
                <w:b w:val="0"/>
                <w:bCs/>
              </w:rPr>
              <w:t>〕</w:t>
            </w:r>
            <w:r w:rsidRPr="00D630D1">
              <w:rPr>
                <w:rFonts w:cs="Times New Roman"/>
                <w:b w:val="0"/>
                <w:bCs/>
              </w:rPr>
              <w:t>22</w:t>
            </w:r>
            <w:r w:rsidRPr="00D630D1">
              <w:rPr>
                <w:rFonts w:cs="Times New Roman"/>
                <w:b w:val="0"/>
                <w:bCs/>
              </w:rPr>
              <w:t>号）</w:t>
            </w:r>
          </w:p>
        </w:tc>
        <w:tc>
          <w:tcPr>
            <w:tcW w:w="4546"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优化产业布局。</w:t>
            </w:r>
          </w:p>
          <w:p w:rsidR="001D5C63" w:rsidRPr="00D630D1" w:rsidRDefault="001D5C63" w:rsidP="001D5C63">
            <w:pPr>
              <w:pStyle w:val="10"/>
              <w:spacing w:line="240" w:lineRule="auto"/>
              <w:rPr>
                <w:rFonts w:cs="Times New Roman"/>
                <w:b w:val="0"/>
                <w:bCs/>
              </w:rPr>
            </w:pPr>
            <w:r w:rsidRPr="00D630D1">
              <w:rPr>
                <w:rFonts w:cs="Times New Roman"/>
                <w:b w:val="0"/>
                <w:bCs/>
              </w:rPr>
              <w:t>修订完善高耗能、高污染和资源型行业准入条件，环境空气质量未达标城市应制订更严格的产业准入门槛。积极推行区域、规划环境影响评价，新、改、扩建钢铁、石化、化工、焦化、建材、有色等项目的环境影响评价，应满足区域、规划环评要求。</w:t>
            </w:r>
          </w:p>
        </w:tc>
        <w:tc>
          <w:tcPr>
            <w:tcW w:w="2054"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本项目所在区域环境空气质量达标。</w:t>
            </w:r>
          </w:p>
        </w:tc>
        <w:tc>
          <w:tcPr>
            <w:tcW w:w="817"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符合</w:t>
            </w:r>
          </w:p>
        </w:tc>
      </w:tr>
      <w:tr w:rsidR="0055688D" w:rsidRPr="00D630D1" w:rsidTr="00A126C5">
        <w:trPr>
          <w:trHeight w:val="68"/>
          <w:jc w:val="center"/>
        </w:trPr>
        <w:tc>
          <w:tcPr>
            <w:tcW w:w="1315" w:type="dxa"/>
            <w:vMerge/>
            <w:vAlign w:val="center"/>
          </w:tcPr>
          <w:p w:rsidR="001D5C63" w:rsidRPr="00D630D1" w:rsidRDefault="001D5C63" w:rsidP="001D5C63">
            <w:pPr>
              <w:pStyle w:val="10"/>
              <w:spacing w:line="240" w:lineRule="auto"/>
              <w:rPr>
                <w:rFonts w:cs="Times New Roman"/>
                <w:b w:val="0"/>
                <w:bCs/>
              </w:rPr>
            </w:pPr>
          </w:p>
        </w:tc>
        <w:tc>
          <w:tcPr>
            <w:tcW w:w="4546"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严控</w:t>
            </w:r>
            <w:r w:rsidRPr="00D630D1">
              <w:rPr>
                <w:rFonts w:cs="Times New Roman"/>
                <w:b w:val="0"/>
                <w:bCs/>
              </w:rPr>
              <w:t>“</w:t>
            </w:r>
            <w:r w:rsidRPr="00D630D1">
              <w:rPr>
                <w:rFonts w:cs="Times New Roman"/>
                <w:b w:val="0"/>
                <w:bCs/>
              </w:rPr>
              <w:t>两高</w:t>
            </w:r>
            <w:r w:rsidRPr="00D630D1">
              <w:rPr>
                <w:rFonts w:cs="Times New Roman"/>
                <w:b w:val="0"/>
                <w:bCs/>
              </w:rPr>
              <w:t>”</w:t>
            </w:r>
            <w:r w:rsidRPr="00D630D1">
              <w:rPr>
                <w:rFonts w:cs="Times New Roman"/>
                <w:b w:val="0"/>
                <w:bCs/>
              </w:rPr>
              <w:t>行业产能。</w:t>
            </w:r>
          </w:p>
        </w:tc>
        <w:tc>
          <w:tcPr>
            <w:tcW w:w="2054"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本项目不属于</w:t>
            </w:r>
            <w:r w:rsidRPr="00D630D1">
              <w:rPr>
                <w:rFonts w:cs="Times New Roman"/>
                <w:b w:val="0"/>
                <w:bCs/>
              </w:rPr>
              <w:t>“</w:t>
            </w:r>
            <w:r w:rsidRPr="00D630D1">
              <w:rPr>
                <w:rFonts w:cs="Times New Roman"/>
                <w:b w:val="0"/>
                <w:bCs/>
              </w:rPr>
              <w:t>两高</w:t>
            </w:r>
            <w:r w:rsidRPr="00D630D1">
              <w:rPr>
                <w:rFonts w:cs="Times New Roman"/>
                <w:b w:val="0"/>
                <w:bCs/>
              </w:rPr>
              <w:t>”</w:t>
            </w:r>
            <w:r w:rsidRPr="00D630D1">
              <w:rPr>
                <w:rFonts w:cs="Times New Roman"/>
                <w:b w:val="0"/>
                <w:bCs/>
              </w:rPr>
              <w:t>行业产能。</w:t>
            </w:r>
          </w:p>
        </w:tc>
        <w:tc>
          <w:tcPr>
            <w:tcW w:w="817"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符合</w:t>
            </w:r>
          </w:p>
        </w:tc>
      </w:tr>
      <w:tr w:rsidR="0055688D" w:rsidRPr="00D630D1" w:rsidTr="006632F7">
        <w:trPr>
          <w:trHeight w:val="68"/>
          <w:jc w:val="center"/>
        </w:trPr>
        <w:tc>
          <w:tcPr>
            <w:tcW w:w="1315" w:type="dxa"/>
            <w:vMerge/>
            <w:vAlign w:val="center"/>
          </w:tcPr>
          <w:p w:rsidR="001D5C63" w:rsidRPr="00D630D1" w:rsidRDefault="001D5C63" w:rsidP="001D5C63">
            <w:pPr>
              <w:pStyle w:val="10"/>
              <w:spacing w:line="240" w:lineRule="auto"/>
              <w:rPr>
                <w:rFonts w:cs="Times New Roman"/>
                <w:b w:val="0"/>
                <w:bCs/>
              </w:rPr>
            </w:pPr>
          </w:p>
        </w:tc>
        <w:tc>
          <w:tcPr>
            <w:tcW w:w="4546"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强化</w:t>
            </w:r>
            <w:r w:rsidRPr="00D630D1">
              <w:rPr>
                <w:rFonts w:cs="Times New Roman"/>
                <w:b w:val="0"/>
                <w:bCs/>
              </w:rPr>
              <w:t>“</w:t>
            </w:r>
            <w:r w:rsidRPr="00D630D1">
              <w:rPr>
                <w:rFonts w:cs="Times New Roman"/>
                <w:b w:val="0"/>
                <w:bCs/>
              </w:rPr>
              <w:t>散乱污</w:t>
            </w:r>
            <w:r w:rsidRPr="00D630D1">
              <w:rPr>
                <w:rFonts w:cs="Times New Roman"/>
                <w:b w:val="0"/>
                <w:bCs/>
              </w:rPr>
              <w:t>”</w:t>
            </w:r>
            <w:r w:rsidRPr="00D630D1">
              <w:rPr>
                <w:rFonts w:cs="Times New Roman"/>
                <w:b w:val="0"/>
                <w:bCs/>
              </w:rPr>
              <w:t>企业综合整治。</w:t>
            </w:r>
          </w:p>
          <w:p w:rsidR="001D5C63" w:rsidRPr="00D630D1" w:rsidRDefault="001D5C63" w:rsidP="001D5C63">
            <w:pPr>
              <w:pStyle w:val="10"/>
              <w:spacing w:line="240" w:lineRule="auto"/>
              <w:rPr>
                <w:rFonts w:cs="Times New Roman"/>
                <w:b w:val="0"/>
                <w:bCs/>
              </w:rPr>
            </w:pPr>
            <w:r w:rsidRPr="00D630D1">
              <w:rPr>
                <w:rFonts w:cs="Times New Roman"/>
                <w:b w:val="0"/>
                <w:bCs/>
              </w:rPr>
              <w:t>全面开展</w:t>
            </w:r>
            <w:r w:rsidRPr="00D630D1">
              <w:rPr>
                <w:rFonts w:cs="Times New Roman"/>
                <w:b w:val="0"/>
                <w:bCs/>
              </w:rPr>
              <w:t>“</w:t>
            </w:r>
            <w:r w:rsidRPr="00D630D1">
              <w:rPr>
                <w:rFonts w:cs="Times New Roman"/>
                <w:b w:val="0"/>
                <w:bCs/>
              </w:rPr>
              <w:t>散乱污</w:t>
            </w:r>
            <w:r w:rsidRPr="00D630D1">
              <w:rPr>
                <w:rFonts w:cs="Times New Roman"/>
                <w:b w:val="0"/>
                <w:bCs/>
              </w:rPr>
              <w:t>”</w:t>
            </w:r>
            <w:r w:rsidRPr="00D630D1">
              <w:rPr>
                <w:rFonts w:cs="Times New Roman"/>
                <w:b w:val="0"/>
                <w:bCs/>
              </w:rPr>
              <w:t>企业及集群综合整治行动。根据产业政策、产业布局规划，以及土地、环保、质量、安全、能耗等要求，制定</w:t>
            </w:r>
            <w:r w:rsidRPr="00D630D1">
              <w:rPr>
                <w:rFonts w:cs="Times New Roman"/>
                <w:b w:val="0"/>
                <w:bCs/>
              </w:rPr>
              <w:t>“</w:t>
            </w:r>
            <w:r w:rsidRPr="00D630D1">
              <w:rPr>
                <w:rFonts w:cs="Times New Roman"/>
                <w:b w:val="0"/>
                <w:bCs/>
              </w:rPr>
              <w:t>散乱污</w:t>
            </w:r>
            <w:r w:rsidRPr="00D630D1">
              <w:rPr>
                <w:rFonts w:cs="Times New Roman"/>
                <w:b w:val="0"/>
                <w:bCs/>
              </w:rPr>
              <w:t>”</w:t>
            </w:r>
            <w:r w:rsidRPr="00D630D1">
              <w:rPr>
                <w:rFonts w:cs="Times New Roman"/>
                <w:b w:val="0"/>
                <w:bCs/>
              </w:rPr>
              <w:t>企业及集群整治标准。</w:t>
            </w:r>
          </w:p>
        </w:tc>
        <w:tc>
          <w:tcPr>
            <w:tcW w:w="2054"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项目生产工艺以及现场布局均严格按行业规范设置。本项目不属于</w:t>
            </w:r>
            <w:r w:rsidRPr="00D630D1">
              <w:rPr>
                <w:rFonts w:cs="Times New Roman"/>
                <w:b w:val="0"/>
                <w:bCs/>
              </w:rPr>
              <w:t>“</w:t>
            </w:r>
            <w:r w:rsidRPr="00D630D1">
              <w:rPr>
                <w:rFonts w:cs="Times New Roman"/>
                <w:b w:val="0"/>
                <w:bCs/>
              </w:rPr>
              <w:t>散乱差</w:t>
            </w:r>
            <w:r w:rsidRPr="00D630D1">
              <w:rPr>
                <w:rFonts w:cs="Times New Roman"/>
                <w:b w:val="0"/>
                <w:bCs/>
              </w:rPr>
              <w:t>”</w:t>
            </w:r>
            <w:r w:rsidRPr="00D630D1">
              <w:rPr>
                <w:rFonts w:cs="Times New Roman"/>
                <w:b w:val="0"/>
                <w:bCs/>
              </w:rPr>
              <w:t>企业。</w:t>
            </w:r>
          </w:p>
        </w:tc>
        <w:tc>
          <w:tcPr>
            <w:tcW w:w="817"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符合</w:t>
            </w:r>
          </w:p>
        </w:tc>
      </w:tr>
      <w:tr w:rsidR="0055688D" w:rsidRPr="00D630D1" w:rsidTr="00784348">
        <w:trPr>
          <w:trHeight w:val="57"/>
          <w:jc w:val="center"/>
        </w:trPr>
        <w:tc>
          <w:tcPr>
            <w:tcW w:w="1315" w:type="dxa"/>
            <w:vMerge/>
            <w:vAlign w:val="center"/>
          </w:tcPr>
          <w:p w:rsidR="001D5C63" w:rsidRPr="00D630D1" w:rsidRDefault="001D5C63" w:rsidP="001D5C63">
            <w:pPr>
              <w:pStyle w:val="10"/>
              <w:spacing w:line="240" w:lineRule="auto"/>
              <w:rPr>
                <w:rFonts w:cs="Times New Roman"/>
                <w:b w:val="0"/>
                <w:bCs/>
              </w:rPr>
            </w:pPr>
          </w:p>
        </w:tc>
        <w:tc>
          <w:tcPr>
            <w:tcW w:w="4546"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深化工业污染治理。</w:t>
            </w:r>
          </w:p>
          <w:p w:rsidR="001D5C63" w:rsidRPr="00D630D1" w:rsidRDefault="001D5C63" w:rsidP="001D5C63">
            <w:pPr>
              <w:pStyle w:val="10"/>
              <w:spacing w:line="240" w:lineRule="auto"/>
              <w:rPr>
                <w:rFonts w:cs="Times New Roman"/>
                <w:b w:val="0"/>
                <w:bCs/>
              </w:rPr>
            </w:pPr>
            <w:r w:rsidRPr="00D630D1">
              <w:rPr>
                <w:rFonts w:cs="Times New Roman"/>
                <w:b w:val="0"/>
                <w:bCs/>
              </w:rPr>
              <w:t>持续推进工业污染源全面达标排放。</w:t>
            </w:r>
          </w:p>
        </w:tc>
        <w:tc>
          <w:tcPr>
            <w:tcW w:w="2054"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项目各废气均可实现达标排放。</w:t>
            </w:r>
          </w:p>
        </w:tc>
        <w:tc>
          <w:tcPr>
            <w:tcW w:w="817"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符合</w:t>
            </w:r>
          </w:p>
        </w:tc>
      </w:tr>
      <w:tr w:rsidR="0055688D" w:rsidRPr="00D630D1" w:rsidTr="00A126C5">
        <w:trPr>
          <w:trHeight w:val="68"/>
          <w:jc w:val="center"/>
        </w:trPr>
        <w:tc>
          <w:tcPr>
            <w:tcW w:w="1315"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《四川省环境污染防治</w:t>
            </w:r>
            <w:r w:rsidRPr="00D630D1">
              <w:rPr>
                <w:rFonts w:cs="Times New Roman"/>
                <w:b w:val="0"/>
                <w:bCs/>
              </w:rPr>
              <w:t>“</w:t>
            </w:r>
            <w:r w:rsidRPr="00D630D1">
              <w:rPr>
                <w:rFonts w:cs="Times New Roman"/>
                <w:b w:val="0"/>
                <w:bCs/>
              </w:rPr>
              <w:t>三大战役</w:t>
            </w:r>
            <w:r w:rsidRPr="00D630D1">
              <w:rPr>
                <w:rFonts w:cs="Times New Roman"/>
                <w:b w:val="0"/>
                <w:bCs/>
              </w:rPr>
              <w:t>”</w:t>
            </w:r>
            <w:r w:rsidRPr="00D630D1">
              <w:rPr>
                <w:rFonts w:cs="Times New Roman"/>
                <w:b w:val="0"/>
                <w:bCs/>
              </w:rPr>
              <w:t>实施方案》</w:t>
            </w:r>
          </w:p>
        </w:tc>
        <w:tc>
          <w:tcPr>
            <w:tcW w:w="4546"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实施结构调整减排行动，加快能源结构调整。大幅降低煤炭在一次能源消费中的比重，限制高硫分、高灰分煤炭的开采使用，扩大高污染燃料禁燃区范围，在县级以上城市建成区全面实施煤改气、煤改电，逐步实现工业园区集中供热，到</w:t>
            </w:r>
            <w:r w:rsidRPr="00D630D1">
              <w:rPr>
                <w:rFonts w:cs="Times New Roman"/>
                <w:b w:val="0"/>
                <w:bCs/>
              </w:rPr>
              <w:t>2020</w:t>
            </w:r>
            <w:r w:rsidRPr="00D630D1">
              <w:rPr>
                <w:rFonts w:cs="Times New Roman"/>
                <w:b w:val="0"/>
                <w:bCs/>
              </w:rPr>
              <w:t>年全省煤炭消费总量削减到</w:t>
            </w:r>
            <w:r w:rsidRPr="00D630D1">
              <w:rPr>
                <w:rFonts w:cs="Times New Roman"/>
                <w:b w:val="0"/>
                <w:bCs/>
              </w:rPr>
              <w:t>7700</w:t>
            </w:r>
            <w:r w:rsidRPr="00D630D1">
              <w:rPr>
                <w:rFonts w:cs="Times New Roman"/>
                <w:b w:val="0"/>
                <w:bCs/>
              </w:rPr>
              <w:t>万吨以内，比</w:t>
            </w:r>
            <w:r w:rsidRPr="00D630D1">
              <w:rPr>
                <w:rFonts w:cs="Times New Roman"/>
                <w:b w:val="0"/>
                <w:bCs/>
              </w:rPr>
              <w:t>2015</w:t>
            </w:r>
            <w:r w:rsidRPr="00D630D1">
              <w:rPr>
                <w:rFonts w:cs="Times New Roman"/>
                <w:b w:val="0"/>
                <w:bCs/>
              </w:rPr>
              <w:t>年下降</w:t>
            </w:r>
            <w:r w:rsidRPr="00D630D1">
              <w:rPr>
                <w:rFonts w:cs="Times New Roman"/>
                <w:b w:val="0"/>
                <w:bCs/>
              </w:rPr>
              <w:t>14%</w:t>
            </w:r>
            <w:r w:rsidRPr="00D630D1">
              <w:rPr>
                <w:rFonts w:cs="Times New Roman"/>
                <w:b w:val="0"/>
                <w:bCs/>
              </w:rPr>
              <w:t>。</w:t>
            </w:r>
          </w:p>
        </w:tc>
        <w:tc>
          <w:tcPr>
            <w:tcW w:w="2054" w:type="dxa"/>
            <w:vAlign w:val="center"/>
          </w:tcPr>
          <w:p w:rsidR="001D5C63" w:rsidRPr="00D630D1" w:rsidRDefault="00633FE9" w:rsidP="001D5C63">
            <w:pPr>
              <w:pStyle w:val="10"/>
              <w:spacing w:line="240" w:lineRule="auto"/>
              <w:rPr>
                <w:rFonts w:cs="Times New Roman"/>
                <w:b w:val="0"/>
                <w:bCs/>
              </w:rPr>
            </w:pPr>
            <w:r w:rsidRPr="00D630D1">
              <w:rPr>
                <w:rFonts w:cs="Times New Roman"/>
                <w:b w:val="0"/>
                <w:bCs/>
              </w:rPr>
              <w:t>本项目</w:t>
            </w:r>
            <w:r w:rsidR="001D5C63" w:rsidRPr="00D630D1">
              <w:rPr>
                <w:rFonts w:cs="Times New Roman"/>
                <w:b w:val="0"/>
                <w:bCs/>
              </w:rPr>
              <w:t>的实施，有利于天然气的使用，有利于降低周边地区的燃煤污染。</w:t>
            </w:r>
          </w:p>
        </w:tc>
        <w:tc>
          <w:tcPr>
            <w:tcW w:w="817" w:type="dxa"/>
            <w:vAlign w:val="center"/>
          </w:tcPr>
          <w:p w:rsidR="001D5C63" w:rsidRPr="00D630D1" w:rsidRDefault="001D5C63" w:rsidP="001D5C63">
            <w:pPr>
              <w:pStyle w:val="10"/>
              <w:spacing w:line="240" w:lineRule="auto"/>
              <w:rPr>
                <w:rFonts w:cs="Times New Roman"/>
                <w:b w:val="0"/>
                <w:bCs/>
              </w:rPr>
            </w:pPr>
            <w:r w:rsidRPr="00D630D1">
              <w:rPr>
                <w:rFonts w:cs="Times New Roman"/>
                <w:b w:val="0"/>
                <w:bCs/>
              </w:rPr>
              <w:t>符合</w:t>
            </w:r>
          </w:p>
        </w:tc>
      </w:tr>
    </w:tbl>
    <w:p w:rsidR="00784348" w:rsidRPr="00D630D1" w:rsidRDefault="00784348" w:rsidP="00784348">
      <w:pPr>
        <w:keepNext/>
        <w:keepLines/>
        <w:ind w:firstLineChars="0" w:firstLine="0"/>
        <w:outlineLvl w:val="2"/>
        <w:rPr>
          <w:rFonts w:ascii="Times New Roman" w:cs="Times New Roman"/>
          <w:b/>
          <w:szCs w:val="32"/>
        </w:rPr>
      </w:pPr>
      <w:r w:rsidRPr="00D630D1">
        <w:rPr>
          <w:rFonts w:ascii="Times New Roman" w:cs="Times New Roman"/>
          <w:b/>
          <w:szCs w:val="32"/>
        </w:rPr>
        <w:lastRenderedPageBreak/>
        <w:t>1.8.</w:t>
      </w:r>
      <w:r w:rsidR="00506E88" w:rsidRPr="00D630D1">
        <w:rPr>
          <w:rFonts w:ascii="Times New Roman" w:cs="Times New Roman" w:hint="eastAsia"/>
          <w:b/>
          <w:szCs w:val="32"/>
        </w:rPr>
        <w:t>5</w:t>
      </w:r>
      <w:r w:rsidRPr="00D630D1">
        <w:rPr>
          <w:rFonts w:ascii="Times New Roman" w:cs="Times New Roman"/>
          <w:b/>
          <w:szCs w:val="32"/>
        </w:rPr>
        <w:t xml:space="preserve"> </w:t>
      </w:r>
      <w:r w:rsidRPr="00D630D1">
        <w:rPr>
          <w:rFonts w:ascii="Times New Roman" w:cs="Times New Roman"/>
          <w:b/>
          <w:szCs w:val="32"/>
        </w:rPr>
        <w:t>与水污染防治行动计划符合性</w:t>
      </w:r>
    </w:p>
    <w:p w:rsidR="00784348" w:rsidRPr="00D630D1" w:rsidRDefault="00784348" w:rsidP="00784348">
      <w:pPr>
        <w:pStyle w:val="afa"/>
        <w:ind w:firstLine="480"/>
      </w:pPr>
      <w:r w:rsidRPr="00D630D1">
        <w:t>本项目与《国务院关于印发水污染防治行动计划的通知》（国发〔</w:t>
      </w:r>
      <w:r w:rsidRPr="00D630D1">
        <w:t>2015</w:t>
      </w:r>
      <w:r w:rsidRPr="00D630D1">
        <w:t>〕</w:t>
      </w:r>
      <w:r w:rsidRPr="00D630D1">
        <w:t>17</w:t>
      </w:r>
      <w:r w:rsidRPr="00D630D1">
        <w:t>号）、《四川省人民政府关于印发水污染防治行动计划四川省工作方案的通知》（川府发〔</w:t>
      </w:r>
      <w:r w:rsidRPr="00D630D1">
        <w:t>2015</w:t>
      </w:r>
      <w:r w:rsidRPr="00D630D1">
        <w:t>〕</w:t>
      </w:r>
      <w:r w:rsidRPr="00D630D1">
        <w:t>59</w:t>
      </w:r>
      <w:r w:rsidRPr="00D630D1">
        <w:t>号）的符合性分析如下：</w:t>
      </w:r>
    </w:p>
    <w:p w:rsidR="00784348" w:rsidRPr="00D630D1" w:rsidRDefault="00784348" w:rsidP="00784348">
      <w:pPr>
        <w:pStyle w:val="10"/>
        <w:rPr>
          <w:rFonts w:cs="Times New Roman"/>
        </w:rPr>
      </w:pPr>
      <w:r w:rsidRPr="00D630D1">
        <w:rPr>
          <w:rFonts w:cs="Times New Roman"/>
        </w:rPr>
        <w:t>表</w:t>
      </w:r>
      <w:r w:rsidRPr="00D630D1">
        <w:rPr>
          <w:rFonts w:cs="Times New Roman"/>
        </w:rPr>
        <w:t>1.8-</w:t>
      </w:r>
      <w:r w:rsidR="009161F1" w:rsidRPr="00D630D1">
        <w:rPr>
          <w:rFonts w:cs="Times New Roman" w:hint="eastAsia"/>
        </w:rPr>
        <w:t>3</w:t>
      </w:r>
      <w:r w:rsidRPr="00D630D1">
        <w:rPr>
          <w:rFonts w:cs="Times New Roman"/>
        </w:rPr>
        <w:t xml:space="preserve">  </w:t>
      </w:r>
      <w:r w:rsidRPr="00D630D1">
        <w:rPr>
          <w:rFonts w:cs="Times New Roman"/>
        </w:rPr>
        <w:t>与水污染防治的符合性分析</w:t>
      </w:r>
    </w:p>
    <w:tbl>
      <w:tblPr>
        <w:tblW w:w="5262" w:type="pct"/>
        <w:jc w:val="center"/>
        <w:tblBorders>
          <w:top w:val="single" w:sz="12" w:space="0" w:color="auto"/>
          <w:bottom w:val="single" w:sz="12" w:space="0" w:color="auto"/>
          <w:insideH w:val="single" w:sz="2" w:space="0" w:color="auto"/>
          <w:insideV w:val="single" w:sz="2" w:space="0" w:color="auto"/>
        </w:tblBorders>
        <w:tblCellMar>
          <w:left w:w="28" w:type="dxa"/>
          <w:right w:w="28" w:type="dxa"/>
        </w:tblCellMar>
        <w:tblLook w:val="0000"/>
      </w:tblPr>
      <w:tblGrid>
        <w:gridCol w:w="2756"/>
        <w:gridCol w:w="4249"/>
        <w:gridCol w:w="1119"/>
        <w:gridCol w:w="676"/>
      </w:tblGrid>
      <w:tr w:rsidR="0055688D" w:rsidRPr="00D630D1" w:rsidTr="00BA3B51">
        <w:trPr>
          <w:trHeight w:val="63"/>
          <w:tblHeader/>
          <w:jc w:val="center"/>
        </w:trPr>
        <w:tc>
          <w:tcPr>
            <w:tcW w:w="1566" w:type="pct"/>
            <w:vAlign w:val="center"/>
          </w:tcPr>
          <w:p w:rsidR="00784348" w:rsidRPr="00D630D1" w:rsidRDefault="00784348" w:rsidP="00784348">
            <w:pPr>
              <w:pStyle w:val="aff4"/>
              <w:rPr>
                <w:rFonts w:ascii="Times New Roman" w:hAnsi="Times New Roman"/>
                <w:b/>
                <w:szCs w:val="21"/>
              </w:rPr>
            </w:pPr>
            <w:r w:rsidRPr="00D630D1">
              <w:rPr>
                <w:rFonts w:ascii="Times New Roman" w:hAnsi="Times New Roman"/>
                <w:b/>
                <w:szCs w:val="21"/>
              </w:rPr>
              <w:t>水污染防治文件</w:t>
            </w:r>
          </w:p>
        </w:tc>
        <w:tc>
          <w:tcPr>
            <w:tcW w:w="2414" w:type="pct"/>
            <w:vAlign w:val="center"/>
          </w:tcPr>
          <w:p w:rsidR="00784348" w:rsidRPr="00D630D1" w:rsidRDefault="00784348" w:rsidP="00784348">
            <w:pPr>
              <w:pStyle w:val="aff4"/>
              <w:rPr>
                <w:rFonts w:ascii="Times New Roman" w:hAnsi="Times New Roman"/>
                <w:b/>
                <w:szCs w:val="21"/>
              </w:rPr>
            </w:pPr>
            <w:r w:rsidRPr="00D630D1">
              <w:rPr>
                <w:rFonts w:ascii="Times New Roman" w:hAnsi="Times New Roman"/>
                <w:b/>
                <w:szCs w:val="21"/>
              </w:rPr>
              <w:t>规划要求</w:t>
            </w:r>
          </w:p>
        </w:tc>
        <w:tc>
          <w:tcPr>
            <w:tcW w:w="636" w:type="pct"/>
            <w:vAlign w:val="center"/>
          </w:tcPr>
          <w:p w:rsidR="00784348" w:rsidRPr="00D630D1" w:rsidRDefault="00784348" w:rsidP="00784348">
            <w:pPr>
              <w:pStyle w:val="aff4"/>
              <w:rPr>
                <w:rFonts w:ascii="Times New Roman" w:hAnsi="Times New Roman"/>
                <w:b/>
                <w:szCs w:val="21"/>
              </w:rPr>
            </w:pPr>
            <w:r w:rsidRPr="00D630D1">
              <w:rPr>
                <w:rFonts w:ascii="Times New Roman" w:hAnsi="Times New Roman"/>
                <w:b/>
                <w:szCs w:val="21"/>
              </w:rPr>
              <w:t>本项目情况</w:t>
            </w:r>
          </w:p>
        </w:tc>
        <w:tc>
          <w:tcPr>
            <w:tcW w:w="384" w:type="pct"/>
            <w:vAlign w:val="center"/>
          </w:tcPr>
          <w:p w:rsidR="00784348" w:rsidRPr="00D630D1" w:rsidRDefault="00784348" w:rsidP="00784348">
            <w:pPr>
              <w:pStyle w:val="aff4"/>
              <w:rPr>
                <w:rFonts w:ascii="Times New Roman" w:hAnsi="Times New Roman"/>
                <w:b/>
                <w:szCs w:val="21"/>
              </w:rPr>
            </w:pPr>
            <w:r w:rsidRPr="00D630D1">
              <w:rPr>
                <w:rFonts w:ascii="Times New Roman" w:hAnsi="Times New Roman"/>
                <w:b/>
                <w:szCs w:val="21"/>
              </w:rPr>
              <w:t>符合性</w:t>
            </w:r>
          </w:p>
        </w:tc>
      </w:tr>
      <w:tr w:rsidR="0055688D" w:rsidRPr="00D630D1" w:rsidTr="00BA3B51">
        <w:trPr>
          <w:trHeight w:val="63"/>
          <w:jc w:val="center"/>
        </w:trPr>
        <w:tc>
          <w:tcPr>
            <w:tcW w:w="1566" w:type="pct"/>
            <w:vAlign w:val="center"/>
          </w:tcPr>
          <w:p w:rsidR="00784348" w:rsidRPr="00D630D1" w:rsidRDefault="00784348" w:rsidP="00784348">
            <w:pPr>
              <w:pStyle w:val="aff4"/>
              <w:rPr>
                <w:rFonts w:ascii="Times New Roman" w:hAnsi="Times New Roman"/>
                <w:szCs w:val="21"/>
              </w:rPr>
            </w:pPr>
            <w:r w:rsidRPr="00D630D1">
              <w:rPr>
                <w:rFonts w:ascii="Times New Roman" w:hAnsi="Times New Roman"/>
                <w:szCs w:val="21"/>
              </w:rPr>
              <w:t>国务院关于印发水污染防治行动计划的通知</w:t>
            </w:r>
            <w:r w:rsidRPr="00D630D1">
              <w:rPr>
                <w:rFonts w:ascii="Times New Roman" w:hAnsi="Times New Roman"/>
                <w:szCs w:val="21"/>
              </w:rPr>
              <w:t>“</w:t>
            </w:r>
            <w:r w:rsidRPr="00D630D1">
              <w:rPr>
                <w:rFonts w:ascii="Times New Roman" w:hAnsi="Times New Roman"/>
                <w:szCs w:val="21"/>
              </w:rPr>
              <w:t>国发〔</w:t>
            </w:r>
            <w:r w:rsidRPr="00D630D1">
              <w:rPr>
                <w:rFonts w:ascii="Times New Roman" w:hAnsi="Times New Roman"/>
                <w:szCs w:val="21"/>
              </w:rPr>
              <w:t>2015</w:t>
            </w:r>
            <w:r w:rsidRPr="00D630D1">
              <w:rPr>
                <w:rFonts w:ascii="Times New Roman" w:hAnsi="Times New Roman"/>
                <w:szCs w:val="21"/>
              </w:rPr>
              <w:t>〕</w:t>
            </w:r>
            <w:r w:rsidRPr="00D630D1">
              <w:rPr>
                <w:rFonts w:ascii="Times New Roman" w:hAnsi="Times New Roman"/>
                <w:szCs w:val="21"/>
              </w:rPr>
              <w:t>17</w:t>
            </w:r>
            <w:r w:rsidRPr="00D630D1">
              <w:rPr>
                <w:rFonts w:ascii="Times New Roman" w:hAnsi="Times New Roman"/>
                <w:szCs w:val="21"/>
              </w:rPr>
              <w:t>号</w:t>
            </w:r>
            <w:r w:rsidRPr="00D630D1">
              <w:rPr>
                <w:rFonts w:ascii="Times New Roman" w:hAnsi="Times New Roman"/>
                <w:szCs w:val="21"/>
              </w:rPr>
              <w:t>”</w:t>
            </w:r>
          </w:p>
        </w:tc>
        <w:tc>
          <w:tcPr>
            <w:tcW w:w="2414" w:type="pct"/>
            <w:vAlign w:val="center"/>
          </w:tcPr>
          <w:p w:rsidR="00784348" w:rsidRPr="00D630D1" w:rsidRDefault="00784348" w:rsidP="00784348">
            <w:pPr>
              <w:pStyle w:val="aff4"/>
              <w:rPr>
                <w:rFonts w:ascii="Times New Roman" w:hAnsi="Times New Roman"/>
                <w:szCs w:val="21"/>
              </w:rPr>
            </w:pPr>
            <w:r w:rsidRPr="00D630D1">
              <w:rPr>
                <w:rFonts w:ascii="Times New Roman" w:hAnsi="Times New Roman"/>
                <w:szCs w:val="21"/>
              </w:rPr>
              <w:t>"</w:t>
            </w:r>
            <w:r w:rsidRPr="00D630D1">
              <w:rPr>
                <w:rFonts w:ascii="Times New Roman" w:hAnsi="Times New Roman"/>
                <w:szCs w:val="21"/>
              </w:rPr>
              <w:t>（一）狠抓工业污染防治。</w:t>
            </w:r>
            <w:r w:rsidRPr="00D630D1">
              <w:rPr>
                <w:rFonts w:ascii="Times New Roman" w:hAnsi="Times New Roman"/>
                <w:szCs w:val="21"/>
              </w:rPr>
              <w:t>……</w:t>
            </w:r>
            <w:r w:rsidRPr="00D630D1">
              <w:rPr>
                <w:rFonts w:ascii="Times New Roman" w:hAnsi="Times New Roman"/>
                <w:szCs w:val="21"/>
              </w:rPr>
              <w:t>集聚区内工业废水必须经预处理达到集中处理要求，方可进入污水集中处理设施</w:t>
            </w:r>
            <w:r w:rsidRPr="00D630D1">
              <w:rPr>
                <w:rFonts w:ascii="Times New Roman" w:hAnsi="Times New Roman"/>
                <w:szCs w:val="21"/>
              </w:rPr>
              <w:t>……"</w:t>
            </w:r>
          </w:p>
        </w:tc>
        <w:tc>
          <w:tcPr>
            <w:tcW w:w="636" w:type="pct"/>
            <w:vAlign w:val="center"/>
          </w:tcPr>
          <w:p w:rsidR="00784348" w:rsidRPr="00D630D1" w:rsidRDefault="00784348" w:rsidP="00784348">
            <w:pPr>
              <w:pStyle w:val="aff4"/>
              <w:rPr>
                <w:rFonts w:ascii="Times New Roman" w:hAnsi="Times New Roman"/>
                <w:szCs w:val="21"/>
              </w:rPr>
            </w:pPr>
            <w:r w:rsidRPr="00D630D1">
              <w:rPr>
                <w:rFonts w:ascii="Times New Roman" w:hAnsi="Times New Roman"/>
                <w:szCs w:val="21"/>
              </w:rPr>
              <w:t>项目无废水外排。</w:t>
            </w:r>
          </w:p>
        </w:tc>
        <w:tc>
          <w:tcPr>
            <w:tcW w:w="384" w:type="pct"/>
            <w:vAlign w:val="center"/>
          </w:tcPr>
          <w:p w:rsidR="00784348" w:rsidRPr="00D630D1" w:rsidRDefault="00784348" w:rsidP="00784348">
            <w:pPr>
              <w:pStyle w:val="aff4"/>
              <w:rPr>
                <w:rFonts w:ascii="Times New Roman" w:hAnsi="Times New Roman"/>
                <w:szCs w:val="21"/>
              </w:rPr>
            </w:pPr>
            <w:r w:rsidRPr="00D630D1">
              <w:rPr>
                <w:rFonts w:ascii="Times New Roman" w:hAnsi="Times New Roman"/>
                <w:szCs w:val="21"/>
              </w:rPr>
              <w:t>符合</w:t>
            </w:r>
          </w:p>
        </w:tc>
      </w:tr>
      <w:tr w:rsidR="0055688D" w:rsidRPr="00D630D1" w:rsidTr="00BA3B51">
        <w:trPr>
          <w:trHeight w:val="63"/>
          <w:jc w:val="center"/>
        </w:trPr>
        <w:tc>
          <w:tcPr>
            <w:tcW w:w="1566" w:type="pct"/>
            <w:vAlign w:val="center"/>
          </w:tcPr>
          <w:p w:rsidR="00784348" w:rsidRPr="00D630D1" w:rsidRDefault="00784348" w:rsidP="00784348">
            <w:pPr>
              <w:pStyle w:val="aff4"/>
              <w:rPr>
                <w:rFonts w:ascii="Times New Roman" w:hAnsi="Times New Roman"/>
                <w:szCs w:val="21"/>
              </w:rPr>
            </w:pPr>
            <w:r w:rsidRPr="00D630D1">
              <w:rPr>
                <w:rFonts w:ascii="Times New Roman" w:hAnsi="Times New Roman"/>
                <w:szCs w:val="21"/>
              </w:rPr>
              <w:t>《四川省人民政府关于印发水污染防治行动计划四川省工作方案的通知》（川府发〔</w:t>
            </w:r>
            <w:r w:rsidRPr="00D630D1">
              <w:rPr>
                <w:rFonts w:ascii="Times New Roman" w:hAnsi="Times New Roman"/>
                <w:szCs w:val="21"/>
              </w:rPr>
              <w:t>2015</w:t>
            </w:r>
            <w:r w:rsidRPr="00D630D1">
              <w:rPr>
                <w:rFonts w:ascii="Times New Roman" w:hAnsi="Times New Roman"/>
                <w:szCs w:val="21"/>
              </w:rPr>
              <w:t>〕</w:t>
            </w:r>
            <w:r w:rsidRPr="00D630D1">
              <w:rPr>
                <w:rFonts w:ascii="Times New Roman" w:hAnsi="Times New Roman"/>
                <w:szCs w:val="21"/>
              </w:rPr>
              <w:t>59</w:t>
            </w:r>
            <w:r w:rsidRPr="00D630D1">
              <w:rPr>
                <w:rFonts w:ascii="Times New Roman" w:hAnsi="Times New Roman"/>
                <w:szCs w:val="21"/>
              </w:rPr>
              <w:t>号）</w:t>
            </w:r>
          </w:p>
        </w:tc>
        <w:tc>
          <w:tcPr>
            <w:tcW w:w="2414" w:type="pct"/>
            <w:vAlign w:val="center"/>
          </w:tcPr>
          <w:p w:rsidR="00784348" w:rsidRPr="00D630D1" w:rsidRDefault="00784348" w:rsidP="00784348">
            <w:pPr>
              <w:pStyle w:val="aff4"/>
              <w:rPr>
                <w:rFonts w:ascii="Times New Roman" w:hAnsi="Times New Roman"/>
                <w:szCs w:val="21"/>
              </w:rPr>
            </w:pPr>
            <w:r w:rsidRPr="00D630D1">
              <w:rPr>
                <w:rFonts w:ascii="Times New Roman" w:hAnsi="Times New Roman"/>
                <w:szCs w:val="21"/>
              </w:rPr>
              <w:t>（一）全面控制污染物排放（</w:t>
            </w:r>
            <w:r w:rsidRPr="00D630D1">
              <w:rPr>
                <w:rFonts w:ascii="Times New Roman" w:hAnsi="Times New Roman"/>
                <w:szCs w:val="21"/>
              </w:rPr>
              <w:t>1</w:t>
            </w:r>
            <w:r w:rsidRPr="00D630D1">
              <w:rPr>
                <w:rFonts w:ascii="Times New Roman" w:hAnsi="Times New Roman"/>
                <w:szCs w:val="21"/>
              </w:rPr>
              <w:t>）狠抓工业污染防治；</w:t>
            </w:r>
            <w:r w:rsidRPr="00D630D1">
              <w:rPr>
                <w:rFonts w:ascii="宋体" w:hAnsi="宋体" w:cs="宋体" w:hint="eastAsia"/>
                <w:szCs w:val="21"/>
              </w:rPr>
              <w:t>①</w:t>
            </w:r>
            <w:r w:rsidRPr="00D630D1">
              <w:rPr>
                <w:rFonts w:ascii="Times New Roman" w:hAnsi="Times New Roman"/>
                <w:szCs w:val="21"/>
              </w:rPr>
              <w:t>取缔</w:t>
            </w:r>
            <w:r w:rsidRPr="00D630D1">
              <w:rPr>
                <w:rFonts w:ascii="Times New Roman" w:hAnsi="Times New Roman"/>
                <w:szCs w:val="21"/>
              </w:rPr>
              <w:t>“10+1”</w:t>
            </w:r>
            <w:r w:rsidRPr="00D630D1">
              <w:rPr>
                <w:rFonts w:ascii="Times New Roman" w:hAnsi="Times New Roman"/>
                <w:szCs w:val="21"/>
              </w:rPr>
              <w:t>小企业；</w:t>
            </w:r>
            <w:r w:rsidRPr="00D630D1">
              <w:rPr>
                <w:rFonts w:ascii="宋体" w:hAnsi="宋体" w:cs="宋体" w:hint="eastAsia"/>
                <w:szCs w:val="21"/>
              </w:rPr>
              <w:t>②</w:t>
            </w:r>
            <w:r w:rsidRPr="00D630D1">
              <w:rPr>
                <w:rFonts w:ascii="Times New Roman" w:hAnsi="Times New Roman"/>
                <w:szCs w:val="21"/>
              </w:rPr>
              <w:t>专项整治</w:t>
            </w:r>
            <w:r w:rsidRPr="00D630D1">
              <w:rPr>
                <w:rFonts w:ascii="Times New Roman" w:hAnsi="Times New Roman"/>
                <w:szCs w:val="21"/>
              </w:rPr>
              <w:t>“10+1”</w:t>
            </w:r>
            <w:r w:rsidRPr="00D630D1">
              <w:rPr>
                <w:rFonts w:ascii="Times New Roman" w:hAnsi="Times New Roman"/>
                <w:szCs w:val="21"/>
              </w:rPr>
              <w:t>重点行业；</w:t>
            </w:r>
            <w:r w:rsidRPr="00D630D1">
              <w:rPr>
                <w:rFonts w:ascii="宋体" w:hAnsi="宋体" w:cs="宋体" w:hint="eastAsia"/>
                <w:szCs w:val="21"/>
              </w:rPr>
              <w:t>③</w:t>
            </w:r>
            <w:r w:rsidRPr="00D630D1">
              <w:rPr>
                <w:rFonts w:ascii="Times New Roman" w:hAnsi="Times New Roman"/>
                <w:szCs w:val="21"/>
              </w:rPr>
              <w:t>集中治理工业集聚区水污染。</w:t>
            </w:r>
          </w:p>
        </w:tc>
        <w:tc>
          <w:tcPr>
            <w:tcW w:w="636" w:type="pct"/>
            <w:vAlign w:val="center"/>
          </w:tcPr>
          <w:p w:rsidR="00784348" w:rsidRPr="00D630D1" w:rsidRDefault="00784348" w:rsidP="00784348">
            <w:pPr>
              <w:pStyle w:val="aff4"/>
              <w:rPr>
                <w:rFonts w:ascii="Times New Roman" w:hAnsi="Times New Roman"/>
                <w:szCs w:val="21"/>
              </w:rPr>
            </w:pPr>
            <w:r w:rsidRPr="00D630D1">
              <w:rPr>
                <w:rFonts w:ascii="Times New Roman" w:hAnsi="Times New Roman"/>
                <w:szCs w:val="21"/>
              </w:rPr>
              <w:t>企业不属于</w:t>
            </w:r>
            <w:r w:rsidRPr="00D630D1">
              <w:rPr>
                <w:rFonts w:ascii="Times New Roman" w:hAnsi="Times New Roman"/>
                <w:szCs w:val="21"/>
              </w:rPr>
              <w:t>“10+1”</w:t>
            </w:r>
            <w:r w:rsidRPr="00D630D1">
              <w:rPr>
                <w:rFonts w:ascii="Times New Roman" w:hAnsi="Times New Roman"/>
                <w:szCs w:val="21"/>
              </w:rPr>
              <w:t>小企业，项目无废水外排。</w:t>
            </w:r>
          </w:p>
        </w:tc>
        <w:tc>
          <w:tcPr>
            <w:tcW w:w="384" w:type="pct"/>
            <w:vAlign w:val="center"/>
          </w:tcPr>
          <w:p w:rsidR="00784348" w:rsidRPr="00D630D1" w:rsidRDefault="00784348" w:rsidP="00784348">
            <w:pPr>
              <w:pStyle w:val="aff4"/>
              <w:rPr>
                <w:rFonts w:ascii="Times New Roman" w:hAnsi="Times New Roman"/>
                <w:szCs w:val="21"/>
              </w:rPr>
            </w:pPr>
            <w:r w:rsidRPr="00D630D1">
              <w:rPr>
                <w:rFonts w:ascii="Times New Roman" w:hAnsi="Times New Roman"/>
                <w:szCs w:val="21"/>
              </w:rPr>
              <w:t>符合</w:t>
            </w:r>
          </w:p>
        </w:tc>
      </w:tr>
    </w:tbl>
    <w:p w:rsidR="00784348" w:rsidRPr="00D630D1" w:rsidRDefault="00784348" w:rsidP="00784348">
      <w:pPr>
        <w:keepNext/>
        <w:keepLines/>
        <w:ind w:firstLineChars="0" w:firstLine="0"/>
        <w:outlineLvl w:val="2"/>
        <w:rPr>
          <w:rFonts w:ascii="Times New Roman" w:cs="Times New Roman"/>
          <w:b/>
          <w:szCs w:val="32"/>
        </w:rPr>
      </w:pPr>
      <w:r w:rsidRPr="00D630D1">
        <w:rPr>
          <w:rFonts w:ascii="Times New Roman" w:cs="Times New Roman"/>
          <w:b/>
          <w:szCs w:val="32"/>
        </w:rPr>
        <w:t>1.8.</w:t>
      </w:r>
      <w:r w:rsidR="00506E88" w:rsidRPr="00D630D1">
        <w:rPr>
          <w:rFonts w:ascii="Times New Roman" w:cs="Times New Roman" w:hint="eastAsia"/>
          <w:b/>
          <w:szCs w:val="32"/>
        </w:rPr>
        <w:t>6</w:t>
      </w:r>
      <w:r w:rsidRPr="00D630D1">
        <w:rPr>
          <w:rFonts w:ascii="Times New Roman" w:cs="Times New Roman"/>
          <w:b/>
          <w:szCs w:val="32"/>
        </w:rPr>
        <w:t xml:space="preserve"> </w:t>
      </w:r>
      <w:r w:rsidRPr="00D630D1">
        <w:rPr>
          <w:rFonts w:ascii="Times New Roman" w:cs="Times New Roman"/>
          <w:b/>
          <w:szCs w:val="32"/>
        </w:rPr>
        <w:t>与土壤污染防治行动计划符合性</w:t>
      </w:r>
    </w:p>
    <w:p w:rsidR="00784348" w:rsidRPr="00D630D1" w:rsidRDefault="00784348" w:rsidP="00784348">
      <w:pPr>
        <w:pStyle w:val="afa"/>
        <w:ind w:firstLine="480"/>
      </w:pPr>
      <w:r w:rsidRPr="00D630D1">
        <w:t>项目与土壤污染防治行动计划</w:t>
      </w:r>
      <w:r w:rsidRPr="00D630D1">
        <w:t>“</w:t>
      </w:r>
      <w:r w:rsidRPr="00D630D1">
        <w:t>国发〔</w:t>
      </w:r>
      <w:r w:rsidRPr="00D630D1">
        <w:t>2016</w:t>
      </w:r>
      <w:r w:rsidRPr="00D630D1">
        <w:t>〕</w:t>
      </w:r>
      <w:r w:rsidRPr="00D630D1">
        <w:t>31</w:t>
      </w:r>
      <w:r w:rsidRPr="00D630D1">
        <w:t>号</w:t>
      </w:r>
      <w:r w:rsidRPr="00D630D1">
        <w:t>”</w:t>
      </w:r>
      <w:r w:rsidRPr="00D630D1">
        <w:t>及《土壤污染防治行动计划四川省工作方案》符合性如下：</w:t>
      </w:r>
    </w:p>
    <w:p w:rsidR="00784348" w:rsidRPr="00D630D1" w:rsidRDefault="00784348" w:rsidP="00784348">
      <w:pPr>
        <w:pStyle w:val="10"/>
        <w:rPr>
          <w:rFonts w:cs="Times New Roman"/>
        </w:rPr>
      </w:pPr>
      <w:r w:rsidRPr="00D630D1">
        <w:rPr>
          <w:rFonts w:cs="Times New Roman"/>
        </w:rPr>
        <w:t>表</w:t>
      </w:r>
      <w:r w:rsidRPr="00D630D1">
        <w:rPr>
          <w:rFonts w:cs="Times New Roman"/>
        </w:rPr>
        <w:t>1.8-</w:t>
      </w:r>
      <w:r w:rsidR="009161F1" w:rsidRPr="00D630D1">
        <w:rPr>
          <w:rFonts w:cs="Times New Roman" w:hint="eastAsia"/>
        </w:rPr>
        <w:t>4</w:t>
      </w:r>
      <w:r w:rsidRPr="00D630D1">
        <w:rPr>
          <w:rFonts w:cs="Times New Roman"/>
        </w:rPr>
        <w:t xml:space="preserve">  </w:t>
      </w:r>
      <w:r w:rsidRPr="00D630D1">
        <w:rPr>
          <w:rFonts w:cs="Times New Roman"/>
        </w:rPr>
        <w:t>与土壤污染防治行动计划符合性</w:t>
      </w:r>
    </w:p>
    <w:tbl>
      <w:tblPr>
        <w:tblW w:w="5263"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000"/>
      </w:tblPr>
      <w:tblGrid>
        <w:gridCol w:w="1137"/>
        <w:gridCol w:w="5855"/>
        <w:gridCol w:w="1104"/>
        <w:gridCol w:w="706"/>
      </w:tblGrid>
      <w:tr w:rsidR="0055688D" w:rsidRPr="00D630D1" w:rsidTr="00E72C74">
        <w:trPr>
          <w:trHeight w:val="343"/>
          <w:tblHeader/>
          <w:jc w:val="center"/>
        </w:trPr>
        <w:tc>
          <w:tcPr>
            <w:tcW w:w="646" w:type="pct"/>
            <w:vAlign w:val="center"/>
          </w:tcPr>
          <w:p w:rsidR="00784348" w:rsidRPr="00D630D1" w:rsidRDefault="00784348" w:rsidP="0078434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土壤污染防治行动计划</w:t>
            </w:r>
          </w:p>
        </w:tc>
        <w:tc>
          <w:tcPr>
            <w:tcW w:w="3326" w:type="pct"/>
            <w:vAlign w:val="center"/>
          </w:tcPr>
          <w:p w:rsidR="00784348" w:rsidRPr="00D630D1" w:rsidRDefault="00784348" w:rsidP="0078434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相关要求</w:t>
            </w:r>
          </w:p>
        </w:tc>
        <w:tc>
          <w:tcPr>
            <w:tcW w:w="627" w:type="pct"/>
            <w:vAlign w:val="center"/>
          </w:tcPr>
          <w:p w:rsidR="00784348" w:rsidRPr="00D630D1" w:rsidRDefault="00784348" w:rsidP="0078434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本项目情况</w:t>
            </w:r>
          </w:p>
        </w:tc>
        <w:tc>
          <w:tcPr>
            <w:tcW w:w="401" w:type="pct"/>
            <w:vAlign w:val="center"/>
          </w:tcPr>
          <w:p w:rsidR="00784348" w:rsidRPr="00D630D1" w:rsidRDefault="00784348" w:rsidP="0078434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符合性</w:t>
            </w:r>
          </w:p>
        </w:tc>
      </w:tr>
      <w:tr w:rsidR="0055688D" w:rsidRPr="00D630D1" w:rsidTr="00E72C74">
        <w:trPr>
          <w:trHeight w:val="848"/>
          <w:jc w:val="center"/>
        </w:trPr>
        <w:tc>
          <w:tcPr>
            <w:tcW w:w="646" w:type="pct"/>
            <w:vMerge w:val="restar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《土壤污染防治行动计划》（国发〔</w:t>
            </w:r>
            <w:r w:rsidRPr="00D630D1">
              <w:rPr>
                <w:rFonts w:ascii="Times New Roman" w:cs="Times New Roman"/>
                <w:sz w:val="21"/>
                <w:szCs w:val="21"/>
              </w:rPr>
              <w:t>2016</w:t>
            </w:r>
            <w:r w:rsidRPr="00D630D1">
              <w:rPr>
                <w:rFonts w:ascii="Times New Roman" w:cs="Times New Roman"/>
                <w:sz w:val="21"/>
                <w:szCs w:val="21"/>
              </w:rPr>
              <w:t>〕</w:t>
            </w:r>
            <w:r w:rsidRPr="00D630D1">
              <w:rPr>
                <w:rFonts w:ascii="Times New Roman" w:cs="Times New Roman"/>
                <w:sz w:val="21"/>
                <w:szCs w:val="21"/>
              </w:rPr>
              <w:t>31</w:t>
            </w:r>
            <w:r w:rsidRPr="00D630D1">
              <w:rPr>
                <w:rFonts w:ascii="Times New Roman" w:cs="Times New Roman"/>
                <w:sz w:val="21"/>
                <w:szCs w:val="21"/>
              </w:rPr>
              <w:t>号）</w:t>
            </w:r>
          </w:p>
        </w:tc>
        <w:tc>
          <w:tcPr>
            <w:tcW w:w="3326"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自</w:t>
            </w:r>
            <w:r w:rsidRPr="00D630D1">
              <w:rPr>
                <w:rFonts w:ascii="Times New Roman" w:cs="Times New Roman"/>
                <w:sz w:val="21"/>
                <w:szCs w:val="21"/>
              </w:rPr>
              <w:t>2017</w:t>
            </w:r>
            <w:r w:rsidRPr="00D630D1">
              <w:rPr>
                <w:rFonts w:ascii="Times New Roman" w:cs="Times New Roman"/>
                <w:sz w:val="21"/>
                <w:szCs w:val="21"/>
              </w:rPr>
              <w:t>年起，对拟收回土地使用权的有色金属冶炼、石油加工、化工、焦化、电镀、制革等行业企业用地，以及用途拟变更为居住和商业、学校、医疗、养老机构等公共设施的上述企业用地，由土地使用权人负责开展土壤环境状况调查评估</w:t>
            </w:r>
          </w:p>
        </w:tc>
        <w:tc>
          <w:tcPr>
            <w:tcW w:w="627"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不属于回收土地使用权的项目</w:t>
            </w:r>
          </w:p>
        </w:tc>
        <w:tc>
          <w:tcPr>
            <w:tcW w:w="401"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符合</w:t>
            </w:r>
          </w:p>
        </w:tc>
      </w:tr>
      <w:tr w:rsidR="0055688D" w:rsidRPr="00D630D1" w:rsidTr="00E72C74">
        <w:trPr>
          <w:trHeight w:val="519"/>
          <w:jc w:val="center"/>
        </w:trPr>
        <w:tc>
          <w:tcPr>
            <w:tcW w:w="646" w:type="pct"/>
            <w:vMerge/>
            <w:vAlign w:val="center"/>
          </w:tcPr>
          <w:p w:rsidR="00784348" w:rsidRPr="00D630D1" w:rsidRDefault="00784348" w:rsidP="00784348">
            <w:pPr>
              <w:spacing w:line="240" w:lineRule="auto"/>
              <w:ind w:firstLineChars="0" w:firstLine="0"/>
              <w:jc w:val="center"/>
              <w:rPr>
                <w:rFonts w:ascii="Times New Roman" w:cs="Times New Roman"/>
                <w:sz w:val="21"/>
                <w:szCs w:val="21"/>
              </w:rPr>
            </w:pPr>
          </w:p>
        </w:tc>
        <w:tc>
          <w:tcPr>
            <w:tcW w:w="3326"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627"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不涉及重点污染物的排放</w:t>
            </w:r>
          </w:p>
        </w:tc>
        <w:tc>
          <w:tcPr>
            <w:tcW w:w="401"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符合</w:t>
            </w:r>
          </w:p>
        </w:tc>
      </w:tr>
      <w:tr w:rsidR="0055688D" w:rsidRPr="00D630D1" w:rsidTr="00E72C74">
        <w:trPr>
          <w:trHeight w:val="788"/>
          <w:jc w:val="center"/>
        </w:trPr>
        <w:tc>
          <w:tcPr>
            <w:tcW w:w="646" w:type="pct"/>
            <w:vMerge/>
            <w:vAlign w:val="center"/>
          </w:tcPr>
          <w:p w:rsidR="00784348" w:rsidRPr="00D630D1" w:rsidRDefault="00784348" w:rsidP="00784348">
            <w:pPr>
              <w:spacing w:line="240" w:lineRule="auto"/>
              <w:ind w:firstLineChars="0" w:firstLine="0"/>
              <w:jc w:val="center"/>
              <w:rPr>
                <w:rFonts w:ascii="Times New Roman" w:cs="Times New Roman"/>
                <w:sz w:val="21"/>
                <w:szCs w:val="21"/>
              </w:rPr>
            </w:pPr>
          </w:p>
        </w:tc>
        <w:tc>
          <w:tcPr>
            <w:tcW w:w="3326"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严格执行相关行业企业布局选址要求，禁止在居民区、学校、医疗和养老机构等周边新建有色金属冶炼、焦化等行业企业</w:t>
            </w:r>
          </w:p>
        </w:tc>
        <w:tc>
          <w:tcPr>
            <w:tcW w:w="627"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不涉及</w:t>
            </w:r>
          </w:p>
        </w:tc>
        <w:tc>
          <w:tcPr>
            <w:tcW w:w="401"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符合</w:t>
            </w:r>
          </w:p>
        </w:tc>
      </w:tr>
      <w:tr w:rsidR="0055688D" w:rsidRPr="00D630D1" w:rsidTr="00E72C74">
        <w:trPr>
          <w:trHeight w:val="848"/>
          <w:jc w:val="center"/>
        </w:trPr>
        <w:tc>
          <w:tcPr>
            <w:tcW w:w="646" w:type="pct"/>
            <w:vMerge/>
            <w:vAlign w:val="center"/>
          </w:tcPr>
          <w:p w:rsidR="00784348" w:rsidRPr="00D630D1" w:rsidRDefault="00784348" w:rsidP="00784348">
            <w:pPr>
              <w:spacing w:line="240" w:lineRule="auto"/>
              <w:ind w:firstLineChars="0" w:firstLine="0"/>
              <w:jc w:val="center"/>
              <w:rPr>
                <w:rFonts w:ascii="Times New Roman" w:cs="Times New Roman"/>
                <w:sz w:val="21"/>
                <w:szCs w:val="21"/>
              </w:rPr>
            </w:pPr>
          </w:p>
        </w:tc>
        <w:tc>
          <w:tcPr>
            <w:tcW w:w="3326"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加强电器电子、汽车等工业产品中有害物质控制。有色金属冶炼、石油加工、化工、焦化、电镀、制革等行业企业拆除生产设施设备、构筑物和污染治理设施，要事先制定残留污染物清理和安全处置方案，并报所在地县级环境保护、工业和信息化部门备案；要严格按照有关规定实施安全处理处置，防范拆除活动污染土壤。</w:t>
            </w:r>
          </w:p>
        </w:tc>
        <w:tc>
          <w:tcPr>
            <w:tcW w:w="627" w:type="pct"/>
            <w:vAlign w:val="center"/>
          </w:tcPr>
          <w:p w:rsidR="00784348" w:rsidRPr="00D630D1" w:rsidRDefault="00784348" w:rsidP="00784348">
            <w:pPr>
              <w:pStyle w:val="aff4"/>
              <w:rPr>
                <w:rFonts w:ascii="Times New Roman" w:hAnsi="Times New Roman"/>
                <w:szCs w:val="21"/>
              </w:rPr>
            </w:pPr>
            <w:r w:rsidRPr="00D630D1">
              <w:rPr>
                <w:rFonts w:ascii="Times New Roman" w:hAnsi="Times New Roman"/>
                <w:szCs w:val="21"/>
              </w:rPr>
              <w:t>不属于电器电子、汽车等行业</w:t>
            </w:r>
          </w:p>
        </w:tc>
        <w:tc>
          <w:tcPr>
            <w:tcW w:w="401"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符合</w:t>
            </w:r>
          </w:p>
        </w:tc>
      </w:tr>
      <w:tr w:rsidR="0055688D" w:rsidRPr="00D630D1" w:rsidTr="00E72C74">
        <w:trPr>
          <w:trHeight w:val="63"/>
          <w:jc w:val="center"/>
        </w:trPr>
        <w:tc>
          <w:tcPr>
            <w:tcW w:w="646" w:type="pct"/>
            <w:vMerge/>
            <w:vAlign w:val="center"/>
          </w:tcPr>
          <w:p w:rsidR="00784348" w:rsidRPr="00D630D1" w:rsidRDefault="00784348" w:rsidP="00784348">
            <w:pPr>
              <w:spacing w:line="240" w:lineRule="auto"/>
              <w:ind w:firstLineChars="0" w:firstLine="0"/>
              <w:jc w:val="center"/>
              <w:rPr>
                <w:rFonts w:ascii="Times New Roman" w:cs="Times New Roman"/>
                <w:sz w:val="21"/>
                <w:szCs w:val="21"/>
              </w:rPr>
            </w:pPr>
          </w:p>
        </w:tc>
        <w:tc>
          <w:tcPr>
            <w:tcW w:w="3326"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继续淘汰涉重金属重点行业落后产能，完善重金属相关行业准入条件，禁止新建落后产能或产能严重过剩行业的建设项目</w:t>
            </w:r>
          </w:p>
        </w:tc>
        <w:tc>
          <w:tcPr>
            <w:tcW w:w="627"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不属于涉重企业</w:t>
            </w:r>
          </w:p>
        </w:tc>
        <w:tc>
          <w:tcPr>
            <w:tcW w:w="401" w:type="pct"/>
            <w:vAlign w:val="center"/>
          </w:tcPr>
          <w:p w:rsidR="00784348" w:rsidRPr="00D630D1" w:rsidRDefault="00784348" w:rsidP="0078434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符合</w:t>
            </w:r>
          </w:p>
        </w:tc>
      </w:tr>
    </w:tbl>
    <w:p w:rsidR="00784348" w:rsidRPr="00D630D1" w:rsidRDefault="00784348" w:rsidP="00784348">
      <w:pPr>
        <w:pStyle w:val="afa"/>
        <w:ind w:firstLine="480"/>
      </w:pPr>
      <w:r w:rsidRPr="00D630D1">
        <w:lastRenderedPageBreak/>
        <w:t>经上表分析，项目建设与《国务院关于印发土壤污染防治行动计划的通知》（国发〔</w:t>
      </w:r>
      <w:r w:rsidRPr="00D630D1">
        <w:t>2016</w:t>
      </w:r>
      <w:r w:rsidRPr="00D630D1">
        <w:t>〕</w:t>
      </w:r>
      <w:r w:rsidRPr="00D630D1">
        <w:t>31</w:t>
      </w:r>
      <w:r w:rsidRPr="00D630D1">
        <w:t>号）相符。</w:t>
      </w:r>
    </w:p>
    <w:p w:rsidR="00784348" w:rsidRPr="00D630D1" w:rsidRDefault="00784348" w:rsidP="00784348">
      <w:pPr>
        <w:keepNext/>
        <w:keepLines/>
        <w:ind w:firstLineChars="0" w:firstLine="0"/>
        <w:outlineLvl w:val="2"/>
        <w:rPr>
          <w:rFonts w:ascii="Times New Roman" w:cs="Times New Roman"/>
          <w:b/>
          <w:szCs w:val="32"/>
        </w:rPr>
      </w:pPr>
      <w:r w:rsidRPr="00D630D1">
        <w:rPr>
          <w:rFonts w:ascii="Times New Roman" w:cs="Times New Roman"/>
          <w:b/>
          <w:szCs w:val="32"/>
        </w:rPr>
        <w:t>1.8.</w:t>
      </w:r>
      <w:r w:rsidR="00506E88" w:rsidRPr="00D630D1">
        <w:rPr>
          <w:rFonts w:ascii="Times New Roman" w:cs="Times New Roman" w:hint="eastAsia"/>
          <w:b/>
          <w:szCs w:val="32"/>
        </w:rPr>
        <w:t>7</w:t>
      </w:r>
      <w:r w:rsidRPr="00D630D1">
        <w:rPr>
          <w:rFonts w:ascii="Times New Roman" w:cs="Times New Roman"/>
          <w:b/>
          <w:szCs w:val="32"/>
        </w:rPr>
        <w:t xml:space="preserve"> </w:t>
      </w:r>
      <w:r w:rsidRPr="00D630D1">
        <w:rPr>
          <w:rFonts w:ascii="Times New Roman" w:cs="Times New Roman"/>
          <w:b/>
          <w:szCs w:val="32"/>
        </w:rPr>
        <w:t>与《关于进一步加强石油天然气行业环境影响评价管理的通知》（环办环评函〔</w:t>
      </w:r>
      <w:r w:rsidRPr="00D630D1">
        <w:rPr>
          <w:rFonts w:ascii="Times New Roman" w:cs="Times New Roman"/>
          <w:b/>
          <w:szCs w:val="32"/>
        </w:rPr>
        <w:t>2019</w:t>
      </w:r>
      <w:r w:rsidRPr="00D630D1">
        <w:rPr>
          <w:rFonts w:ascii="Times New Roman" w:cs="Times New Roman"/>
          <w:b/>
          <w:szCs w:val="32"/>
        </w:rPr>
        <w:t>〕</w:t>
      </w:r>
      <w:r w:rsidRPr="00D630D1">
        <w:rPr>
          <w:rFonts w:ascii="Times New Roman" w:cs="Times New Roman"/>
          <w:b/>
          <w:szCs w:val="32"/>
        </w:rPr>
        <w:t>910</w:t>
      </w:r>
      <w:r w:rsidRPr="00D630D1">
        <w:rPr>
          <w:rFonts w:ascii="Times New Roman" w:cs="Times New Roman"/>
          <w:b/>
          <w:szCs w:val="32"/>
        </w:rPr>
        <w:t>号）符合性分析</w:t>
      </w:r>
    </w:p>
    <w:p w:rsidR="00BA3B51" w:rsidRPr="00D630D1" w:rsidRDefault="00BA3B51" w:rsidP="00BA3B51">
      <w:pPr>
        <w:pStyle w:val="afa"/>
        <w:ind w:firstLine="480"/>
      </w:pPr>
      <w:r w:rsidRPr="00D630D1">
        <w:t>（</w:t>
      </w:r>
      <w:r w:rsidRPr="00D630D1">
        <w:t>1</w:t>
      </w:r>
      <w:r w:rsidRPr="00D630D1">
        <w:t>）环评形式符合性</w:t>
      </w:r>
    </w:p>
    <w:p w:rsidR="00BA3B51" w:rsidRPr="00D630D1" w:rsidRDefault="00F8192F" w:rsidP="00F8192F">
      <w:pPr>
        <w:pStyle w:val="afa"/>
        <w:ind w:firstLine="480"/>
      </w:pPr>
      <w:r w:rsidRPr="00D630D1">
        <w:t>根据国家生态环境部制定的《建设项目环境影响评价分类管理名录》（</w:t>
      </w:r>
      <w:r w:rsidRPr="00D630D1">
        <w:t>2021</w:t>
      </w:r>
      <w:r w:rsidRPr="00D630D1">
        <w:t>年版）中的相关要求，本项目属于</w:t>
      </w:r>
      <w:r w:rsidRPr="00D630D1">
        <w:t>“</w:t>
      </w:r>
      <w:r w:rsidRPr="00D630D1">
        <w:t>五、石油和天然气开采业</w:t>
      </w:r>
      <w:r w:rsidRPr="00D630D1">
        <w:t>07-8</w:t>
      </w:r>
      <w:r w:rsidRPr="00D630D1">
        <w:t>、陆地天然气开采</w:t>
      </w:r>
      <w:r w:rsidR="00FA4C86" w:rsidRPr="00D630D1">
        <w:rPr>
          <w:rFonts w:hint="eastAsia"/>
        </w:rPr>
        <w:t>0721</w:t>
      </w:r>
      <w:r w:rsidR="00435B22" w:rsidRPr="00D630D1">
        <w:rPr>
          <w:rFonts w:hint="eastAsia"/>
        </w:rPr>
        <w:t>-</w:t>
      </w:r>
      <w:r w:rsidRPr="00D630D1">
        <w:rPr>
          <w:b/>
        </w:rPr>
        <w:t>涉及环境敏感区的（含内部集输管线建设）</w:t>
      </w:r>
      <w:r w:rsidRPr="00D630D1">
        <w:rPr>
          <w:b/>
        </w:rPr>
        <w:t>”</w:t>
      </w:r>
      <w:r w:rsidRPr="00D630D1">
        <w:t>。本项目</w:t>
      </w:r>
      <w:r w:rsidRPr="00D630D1">
        <w:rPr>
          <w:rFonts w:hint="eastAsia"/>
        </w:rPr>
        <w:t>为</w:t>
      </w:r>
      <w:r w:rsidRPr="00D630D1">
        <w:t>天然气</w:t>
      </w:r>
      <w:r w:rsidR="00586C59" w:rsidRPr="00D630D1">
        <w:rPr>
          <w:rFonts w:hint="eastAsia"/>
        </w:rPr>
        <w:t>开采</w:t>
      </w:r>
      <w:r w:rsidRPr="00D630D1">
        <w:t>和内部集输工程</w:t>
      </w:r>
      <w:r w:rsidRPr="00D630D1">
        <w:rPr>
          <w:rFonts w:hint="eastAsia"/>
        </w:rPr>
        <w:t>，</w:t>
      </w:r>
      <w:r w:rsidRPr="00D630D1">
        <w:t>涉及</w:t>
      </w:r>
      <w:r w:rsidRPr="00D630D1">
        <w:rPr>
          <w:rFonts w:hint="eastAsia"/>
        </w:rPr>
        <w:t>嘉陵江及沱江中下游国家级水土流失重点治理区</w:t>
      </w:r>
      <w:r w:rsidRPr="00D630D1">
        <w:t>，故应当编制环境影响报告书</w:t>
      </w:r>
      <w:r w:rsidR="00887CC0" w:rsidRPr="00D630D1">
        <w:rPr>
          <w:rFonts w:hint="eastAsia"/>
        </w:rPr>
        <w:t>，</w:t>
      </w:r>
      <w:r w:rsidR="00A1072C" w:rsidRPr="00D630D1">
        <w:rPr>
          <w:rFonts w:hint="eastAsia"/>
        </w:rPr>
        <w:t>故其环评形式</w:t>
      </w:r>
      <w:r w:rsidR="00C75CA2" w:rsidRPr="00D630D1">
        <w:rPr>
          <w:rFonts w:hint="eastAsia"/>
        </w:rPr>
        <w:t>符合</w:t>
      </w:r>
      <w:r w:rsidR="00C75CA2" w:rsidRPr="00D630D1">
        <w:t>《关于进一步加强石油天然气行业环境影响评价管理的通知》（环办环评函〔</w:t>
      </w:r>
      <w:r w:rsidR="00C75CA2" w:rsidRPr="00D630D1">
        <w:t>2019</w:t>
      </w:r>
      <w:r w:rsidR="00C75CA2" w:rsidRPr="00D630D1">
        <w:t>〕</w:t>
      </w:r>
      <w:r w:rsidR="00C75CA2" w:rsidRPr="00D630D1">
        <w:t>910</w:t>
      </w:r>
      <w:r w:rsidR="00C75CA2" w:rsidRPr="00D630D1">
        <w:t>号）</w:t>
      </w:r>
      <w:r w:rsidR="00C3162A" w:rsidRPr="00D630D1">
        <w:rPr>
          <w:rFonts w:hint="eastAsia"/>
        </w:rPr>
        <w:t>文件要求</w:t>
      </w:r>
      <w:r w:rsidR="00C75CA2" w:rsidRPr="00D630D1">
        <w:t>。</w:t>
      </w:r>
    </w:p>
    <w:p w:rsidR="00BA3B51" w:rsidRPr="00D630D1" w:rsidRDefault="00BA3B51" w:rsidP="00BA3B51">
      <w:pPr>
        <w:pStyle w:val="afa"/>
        <w:ind w:firstLine="480"/>
      </w:pPr>
      <w:r w:rsidRPr="00D630D1">
        <w:rPr>
          <w:rFonts w:ascii="宋体" w:hAnsi="宋体" w:cs="宋体" w:hint="eastAsia"/>
        </w:rPr>
        <w:t>②</w:t>
      </w:r>
      <w:r w:rsidRPr="00D630D1">
        <w:t>完善生态保护措施</w:t>
      </w:r>
    </w:p>
    <w:p w:rsidR="00BA3B51" w:rsidRPr="00D630D1" w:rsidRDefault="00BA3B51" w:rsidP="00BA3B51">
      <w:pPr>
        <w:pStyle w:val="afa"/>
        <w:ind w:firstLine="480"/>
      </w:pPr>
      <w:r w:rsidRPr="00D630D1">
        <w:t>根据《关于进一步加强石油天然气行业环境影响评价管理的通知》（环办环评函〔</w:t>
      </w:r>
      <w:r w:rsidRPr="00D630D1">
        <w:t>2019</w:t>
      </w:r>
      <w:r w:rsidRPr="00D630D1">
        <w:t>〕</w:t>
      </w:r>
      <w:r w:rsidRPr="00D630D1">
        <w:t>910</w:t>
      </w:r>
      <w:r w:rsidRPr="00D630D1">
        <w:t>号）相关要求完善生态环境保护措施，具体如下：</w:t>
      </w:r>
    </w:p>
    <w:p w:rsidR="00BA3B51" w:rsidRPr="00D630D1" w:rsidRDefault="00CC46BB" w:rsidP="00BA3B51">
      <w:pPr>
        <w:pStyle w:val="afa"/>
        <w:ind w:firstLine="480"/>
      </w:pPr>
      <w:r w:rsidRPr="00D630D1">
        <w:t>水套炉</w:t>
      </w:r>
      <w:r w:rsidR="00BA3B51" w:rsidRPr="00D630D1">
        <w:t>排放大气污染物的设备，应当优先使用清洁燃料，废气排放应当满足国家和地方大气污染物排放标准要求。</w:t>
      </w:r>
    </w:p>
    <w:p w:rsidR="00BA3B51" w:rsidRPr="00D630D1" w:rsidRDefault="00BA3B51" w:rsidP="00BA3B51">
      <w:pPr>
        <w:pStyle w:val="afa"/>
        <w:ind w:firstLine="480"/>
      </w:pPr>
      <w:r w:rsidRPr="00D630D1">
        <w:t>本项目</w:t>
      </w:r>
      <w:r w:rsidR="00CC46BB" w:rsidRPr="00D630D1">
        <w:t>水套炉</w:t>
      </w:r>
      <w:r w:rsidRPr="00D630D1">
        <w:t>采用</w:t>
      </w:r>
      <w:r w:rsidR="00867450">
        <w:rPr>
          <w:rFonts w:hint="eastAsia"/>
        </w:rPr>
        <w:t>净化厂</w:t>
      </w:r>
      <w:r w:rsidRPr="00D630D1">
        <w:t>反输天然气作为燃料，不含硫化氢，符合管控要求。</w:t>
      </w:r>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1.8.</w:t>
      </w:r>
      <w:r w:rsidR="00506E88" w:rsidRPr="00D630D1">
        <w:rPr>
          <w:rFonts w:ascii="Times New Roman" w:cs="Times New Roman" w:hint="eastAsia"/>
          <w:b/>
          <w:szCs w:val="32"/>
        </w:rPr>
        <w:t>8</w:t>
      </w:r>
      <w:r w:rsidRPr="00D630D1">
        <w:rPr>
          <w:rFonts w:ascii="Times New Roman" w:cs="Times New Roman"/>
          <w:b/>
          <w:szCs w:val="32"/>
        </w:rPr>
        <w:t xml:space="preserve"> </w:t>
      </w:r>
      <w:r w:rsidR="00383319" w:rsidRPr="00D630D1">
        <w:rPr>
          <w:rFonts w:ascii="Times New Roman" w:cs="Times New Roman" w:hint="eastAsia"/>
          <w:b/>
          <w:szCs w:val="32"/>
        </w:rPr>
        <w:t>《四川省“十四五”能源发展规划》（川府发〔</w:t>
      </w:r>
      <w:r w:rsidR="00383319" w:rsidRPr="00D630D1">
        <w:rPr>
          <w:rFonts w:ascii="Times New Roman" w:cs="Times New Roman" w:hint="eastAsia"/>
          <w:b/>
          <w:szCs w:val="32"/>
        </w:rPr>
        <w:t>2022</w:t>
      </w:r>
      <w:r w:rsidR="00383319" w:rsidRPr="00D630D1">
        <w:rPr>
          <w:rFonts w:ascii="Times New Roman" w:cs="Times New Roman" w:hint="eastAsia"/>
          <w:b/>
          <w:szCs w:val="32"/>
        </w:rPr>
        <w:t>〕</w:t>
      </w:r>
      <w:r w:rsidR="00383319" w:rsidRPr="00D630D1">
        <w:rPr>
          <w:rFonts w:ascii="Times New Roman" w:cs="Times New Roman" w:hint="eastAsia"/>
          <w:b/>
          <w:szCs w:val="32"/>
        </w:rPr>
        <w:t>8</w:t>
      </w:r>
      <w:r w:rsidR="00383319" w:rsidRPr="00D630D1">
        <w:rPr>
          <w:rFonts w:ascii="Times New Roman" w:cs="Times New Roman" w:hint="eastAsia"/>
          <w:b/>
          <w:szCs w:val="32"/>
        </w:rPr>
        <w:t>号）</w:t>
      </w:r>
      <w:r w:rsidRPr="00D630D1">
        <w:rPr>
          <w:rFonts w:ascii="Times New Roman" w:cs="Times New Roman"/>
          <w:b/>
          <w:szCs w:val="32"/>
        </w:rPr>
        <w:t>符合性分析</w:t>
      </w:r>
    </w:p>
    <w:p w:rsidR="009F2783" w:rsidRPr="00D630D1" w:rsidRDefault="009F2783" w:rsidP="009F2783">
      <w:pPr>
        <w:ind w:firstLine="480"/>
        <w:rPr>
          <w:rFonts w:asciiTheme="minorEastAsia" w:eastAsiaTheme="minorEastAsia" w:hAnsiTheme="minorEastAsia" w:cs="Times New Roman"/>
        </w:rPr>
      </w:pPr>
      <w:r w:rsidRPr="00D630D1">
        <w:rPr>
          <w:rFonts w:asciiTheme="minorEastAsia" w:eastAsiaTheme="minorEastAsia" w:hAnsiTheme="minorEastAsia" w:cs="Times New Roman"/>
        </w:rPr>
        <w:t>根据</w:t>
      </w:r>
      <w:r w:rsidR="00383319" w:rsidRPr="00D630D1">
        <w:rPr>
          <w:rFonts w:asciiTheme="minorEastAsia" w:eastAsiaTheme="minorEastAsia" w:hAnsiTheme="minorEastAsia" w:cs="Times New Roman"/>
        </w:rPr>
        <w:t>《四川省“十四五”能源发展规划</w:t>
      </w:r>
      <w:r w:rsidR="00383319" w:rsidRPr="00E37B0F">
        <w:rPr>
          <w:rFonts w:ascii="Times New Roman" w:eastAsiaTheme="minorEastAsia" w:hAnsiTheme="minorEastAsia" w:cs="Times New Roman"/>
        </w:rPr>
        <w:t>》（川府发〔</w:t>
      </w:r>
      <w:r w:rsidR="00383319" w:rsidRPr="00E37B0F">
        <w:rPr>
          <w:rFonts w:ascii="Times New Roman" w:eastAsiaTheme="minorEastAsia" w:cs="Times New Roman"/>
        </w:rPr>
        <w:t>2022</w:t>
      </w:r>
      <w:r w:rsidR="00383319" w:rsidRPr="00E37B0F">
        <w:rPr>
          <w:rFonts w:ascii="Times New Roman" w:eastAsiaTheme="minorEastAsia" w:hAnsiTheme="minorEastAsia" w:cs="Times New Roman"/>
        </w:rPr>
        <w:t>〕</w:t>
      </w:r>
      <w:r w:rsidR="00383319" w:rsidRPr="00E37B0F">
        <w:rPr>
          <w:rFonts w:ascii="Times New Roman" w:eastAsiaTheme="minorEastAsia" w:cs="Times New Roman"/>
        </w:rPr>
        <w:t>8</w:t>
      </w:r>
      <w:r w:rsidR="00383319" w:rsidRPr="00E37B0F">
        <w:rPr>
          <w:rFonts w:ascii="Times New Roman" w:eastAsiaTheme="minorEastAsia" w:hAnsiTheme="minorEastAsia" w:cs="Times New Roman"/>
        </w:rPr>
        <w:t>号）</w:t>
      </w:r>
      <w:r w:rsidRPr="00D630D1">
        <w:rPr>
          <w:rFonts w:asciiTheme="minorEastAsia" w:eastAsiaTheme="minorEastAsia" w:hAnsiTheme="minorEastAsia" w:cs="Times New Roman"/>
        </w:rPr>
        <w:t>中“</w:t>
      </w:r>
      <w:r w:rsidR="00383319" w:rsidRPr="00D630D1">
        <w:rPr>
          <w:rFonts w:asciiTheme="minorEastAsia" w:eastAsiaTheme="minorEastAsia" w:hAnsiTheme="minorEastAsia" w:cs="Times New Roman"/>
        </w:rPr>
        <w:t>第五章 加快天然气勘探开发利用</w:t>
      </w:r>
      <w:r w:rsidRPr="00D630D1">
        <w:rPr>
          <w:rFonts w:asciiTheme="minorEastAsia" w:eastAsiaTheme="minorEastAsia" w:hAnsiTheme="minorEastAsia" w:cs="Times New Roman"/>
        </w:rPr>
        <w:t>”</w:t>
      </w:r>
      <w:r w:rsidR="004A6D3D" w:rsidRPr="00D630D1">
        <w:rPr>
          <w:rFonts w:asciiTheme="minorEastAsia" w:eastAsiaTheme="minorEastAsia" w:hAnsiTheme="minorEastAsia" w:cs="Times New Roman"/>
        </w:rPr>
        <w:t>中</w:t>
      </w:r>
      <w:r w:rsidRPr="00D630D1">
        <w:rPr>
          <w:rFonts w:asciiTheme="minorEastAsia" w:eastAsiaTheme="minorEastAsia" w:hAnsiTheme="minorEastAsia" w:cs="Times New Roman"/>
        </w:rPr>
        <w:t>“</w:t>
      </w:r>
      <w:r w:rsidR="00383319" w:rsidRPr="00D630D1">
        <w:rPr>
          <w:rFonts w:asciiTheme="minorEastAsia" w:eastAsiaTheme="minorEastAsia" w:hAnsiTheme="minorEastAsia" w:cs="Times New Roman"/>
        </w:rPr>
        <w:t>第一节 建设千亿立方米级产能基地</w:t>
      </w:r>
      <w:r w:rsidR="004A6D3D" w:rsidRPr="00D630D1">
        <w:rPr>
          <w:rFonts w:asciiTheme="minorEastAsia" w:eastAsiaTheme="minorEastAsia" w:hAnsiTheme="minorEastAsia" w:cs="Times New Roman"/>
        </w:rPr>
        <w:t xml:space="preserve"> </w:t>
      </w:r>
      <w:r w:rsidR="00383319" w:rsidRPr="00D630D1">
        <w:rPr>
          <w:rFonts w:asciiTheme="minorEastAsia" w:eastAsiaTheme="minorEastAsia" w:hAnsiTheme="minorEastAsia" w:cs="Times New Roman"/>
        </w:rPr>
        <w:t>大力推进天然气(页岩气</w:t>
      </w:r>
      <w:r w:rsidR="004A6D3D" w:rsidRPr="00D630D1">
        <w:rPr>
          <w:rFonts w:asciiTheme="minorEastAsia" w:eastAsiaTheme="minorEastAsia" w:hAnsiTheme="minorEastAsia" w:cs="Times New Roman"/>
        </w:rPr>
        <w:t>)</w:t>
      </w:r>
      <w:r w:rsidR="00383319" w:rsidRPr="00D630D1">
        <w:rPr>
          <w:rFonts w:asciiTheme="minorEastAsia" w:eastAsiaTheme="minorEastAsia" w:hAnsiTheme="minorEastAsia" w:cs="Times New Roman"/>
        </w:rPr>
        <w:t>勘探开发,实施国家天然气(页岩气)千亿立方米级产能基地建设行动方案,建成全国最大的现代化 天然气(页岩气) 生产基地。 加大德阳—安岳古裂陷周缘、川中下古生界—震旦系、下二叠统、川西雷口坡组、川南五峰组—龙马溪组层系勘探力度。 加快川中下古生界—震旦系气藏、川西和川中致密气藏、川东北高含硫气田、川西致密气田以及长宁、威远、泸州 等区块产能建设,稳定主产区产量,开发接续区块。 到</w:t>
      </w:r>
      <w:r w:rsidR="004A6D3D" w:rsidRPr="00D630D1">
        <w:rPr>
          <w:rFonts w:ascii="Times New Roman" w:eastAsiaTheme="minorEastAsia" w:cs="Times New Roman"/>
        </w:rPr>
        <w:t>2025</w:t>
      </w:r>
      <w:r w:rsidR="00383319" w:rsidRPr="00D630D1">
        <w:rPr>
          <w:rFonts w:ascii="Times New Roman" w:eastAsiaTheme="minorEastAsia" w:hAnsiTheme="minorEastAsia" w:cs="Times New Roman"/>
        </w:rPr>
        <w:t>年</w:t>
      </w:r>
      <w:r w:rsidR="00383319" w:rsidRPr="00D630D1">
        <w:rPr>
          <w:rFonts w:asciiTheme="minorEastAsia" w:eastAsiaTheme="minorEastAsia" w:hAnsiTheme="minorEastAsia" w:cs="Times New Roman"/>
        </w:rPr>
        <w:t>,</w:t>
      </w:r>
      <w:r w:rsidR="00383319" w:rsidRPr="00D630D1">
        <w:rPr>
          <w:rFonts w:ascii="Times New Roman" w:eastAsiaTheme="minorEastAsia" w:hAnsiTheme="minorEastAsia" w:cs="Times New Roman"/>
        </w:rPr>
        <w:t>天然气</w:t>
      </w:r>
      <w:r w:rsidR="00383319" w:rsidRPr="00D630D1">
        <w:rPr>
          <w:rFonts w:asciiTheme="minorEastAsia" w:eastAsiaTheme="minorEastAsia" w:hAnsiTheme="minorEastAsia" w:cs="Times New Roman"/>
        </w:rPr>
        <w:t>(页岩气)</w:t>
      </w:r>
      <w:r w:rsidR="00383319" w:rsidRPr="00D630D1">
        <w:rPr>
          <w:rFonts w:ascii="Times New Roman" w:eastAsiaTheme="minorEastAsia" w:hAnsiTheme="minorEastAsia" w:cs="Times New Roman"/>
        </w:rPr>
        <w:t>年产量达到</w:t>
      </w:r>
      <w:r w:rsidR="004A6D3D" w:rsidRPr="00D630D1">
        <w:rPr>
          <w:rFonts w:ascii="Times New Roman" w:eastAsiaTheme="minorEastAsia" w:cs="Times New Roman"/>
        </w:rPr>
        <w:t>630</w:t>
      </w:r>
      <w:r w:rsidR="00383319" w:rsidRPr="00D630D1">
        <w:rPr>
          <w:rFonts w:asciiTheme="minorEastAsia" w:eastAsiaTheme="minorEastAsia" w:hAnsiTheme="minorEastAsia" w:cs="Times New Roman"/>
        </w:rPr>
        <w:t>亿立方米</w:t>
      </w:r>
      <w:r w:rsidRPr="00D630D1">
        <w:rPr>
          <w:rFonts w:asciiTheme="minorEastAsia" w:eastAsiaTheme="minorEastAsia" w:hAnsiTheme="minorEastAsia" w:cs="Times New Roman"/>
        </w:rPr>
        <w:t>”。</w:t>
      </w:r>
      <w:r w:rsidR="004A6D3D" w:rsidRPr="00D630D1">
        <w:rPr>
          <w:rFonts w:asciiTheme="minorEastAsia" w:eastAsiaTheme="minorEastAsia" w:hAnsiTheme="minorEastAsia" w:cs="Times New Roman"/>
        </w:rPr>
        <w:t>“第二节 大力推进油气基础设施建设 按照适度超前的原则,加快省内油气输送管网建设,围绕主要产气区、消费区和薄弱区,统筹优化管网布局,构建供应稳定、运行高效、安全可靠的输配系统。推进川气东送二线(四川段) 、</w:t>
      </w:r>
      <w:r w:rsidR="004A6D3D" w:rsidRPr="00D630D1">
        <w:rPr>
          <w:rFonts w:asciiTheme="minorEastAsia" w:eastAsiaTheme="minorEastAsia" w:hAnsiTheme="minorEastAsia" w:cs="Times New Roman"/>
        </w:rPr>
        <w:lastRenderedPageBreak/>
        <w:t>威远和泸州区块页岩气集输干线工程、攀枝花—凉山等天然气管道建设,进一步完善达州、雅安、乐山、泸州、巴中等末端区域供气管网,布局南向管道并适时建设。规划新增成品油入川管道。到</w:t>
      </w:r>
      <w:r w:rsidR="004A6D3D" w:rsidRPr="00D630D1">
        <w:rPr>
          <w:rFonts w:ascii="Times New Roman" w:eastAsiaTheme="minorEastAsia" w:cs="Times New Roman"/>
        </w:rPr>
        <w:t xml:space="preserve"> 2025</w:t>
      </w:r>
      <w:r w:rsidR="004A6D3D" w:rsidRPr="00D630D1">
        <w:rPr>
          <w:rFonts w:asciiTheme="minorEastAsia" w:eastAsiaTheme="minorEastAsia" w:hAnsiTheme="minorEastAsia" w:cs="Times New Roman"/>
        </w:rPr>
        <w:t>年</w:t>
      </w:r>
      <w:r w:rsidR="00E37B0F">
        <w:rPr>
          <w:rFonts w:asciiTheme="minorEastAsia" w:eastAsiaTheme="minorEastAsia" w:hAnsiTheme="minorEastAsia" w:cs="Times New Roman" w:hint="eastAsia"/>
        </w:rPr>
        <w:t>，</w:t>
      </w:r>
      <w:r w:rsidR="004A6D3D" w:rsidRPr="00D630D1">
        <w:rPr>
          <w:rFonts w:asciiTheme="minorEastAsia" w:eastAsiaTheme="minorEastAsia" w:hAnsiTheme="minorEastAsia" w:cs="Times New Roman"/>
        </w:rPr>
        <w:t>形成输气能力</w:t>
      </w:r>
      <w:r w:rsidR="004A6D3D" w:rsidRPr="00D630D1">
        <w:rPr>
          <w:rFonts w:ascii="Times New Roman" w:eastAsiaTheme="minorEastAsia" w:cs="Times New Roman"/>
        </w:rPr>
        <w:t xml:space="preserve"> 700</w:t>
      </w:r>
      <w:r w:rsidR="004A6D3D" w:rsidRPr="00D630D1">
        <w:rPr>
          <w:rFonts w:asciiTheme="minorEastAsia" w:eastAsiaTheme="minorEastAsia" w:hAnsiTheme="minorEastAsia" w:cs="Times New Roman"/>
        </w:rPr>
        <w:t>亿立方米/年。”</w:t>
      </w:r>
    </w:p>
    <w:p w:rsidR="00117C3D" w:rsidRPr="00D630D1" w:rsidRDefault="009F2783" w:rsidP="009F2783">
      <w:pPr>
        <w:ind w:firstLine="480"/>
        <w:rPr>
          <w:rFonts w:ascii="Times New Roman" w:cs="Times New Roman"/>
        </w:rPr>
      </w:pPr>
      <w:r w:rsidRPr="00D630D1">
        <w:rPr>
          <w:rFonts w:ascii="Times New Roman" w:cs="Times New Roman"/>
        </w:rPr>
        <w:t>本项目为普光气田</w:t>
      </w:r>
      <w:r w:rsidR="00E37B0F">
        <w:rPr>
          <w:rFonts w:ascii="Times New Roman" w:cs="Times New Roman" w:hint="eastAsia"/>
        </w:rPr>
        <w:t>普光陆相气藏</w:t>
      </w:r>
      <w:r w:rsidRPr="00D630D1">
        <w:rPr>
          <w:rFonts w:ascii="Times New Roman" w:cs="Times New Roman"/>
        </w:rPr>
        <w:t>天然气</w:t>
      </w:r>
      <w:r w:rsidR="00586C59" w:rsidRPr="00D630D1">
        <w:rPr>
          <w:rFonts w:ascii="Times New Roman" w:cs="Times New Roman" w:hint="eastAsia"/>
        </w:rPr>
        <w:t>开采</w:t>
      </w:r>
      <w:r w:rsidR="00B11B9F" w:rsidRPr="00D630D1">
        <w:rPr>
          <w:rFonts w:ascii="Times New Roman" w:cs="Times New Roman"/>
        </w:rPr>
        <w:t>和</w:t>
      </w:r>
      <w:r w:rsidRPr="00D630D1">
        <w:rPr>
          <w:rFonts w:ascii="Times New Roman" w:cs="Times New Roman"/>
        </w:rPr>
        <w:t>内部集输工程，属于天然气支线网络建设的配套工程，符合</w:t>
      </w:r>
      <w:r w:rsidR="004A6D3D" w:rsidRPr="00D630D1">
        <w:rPr>
          <w:rFonts w:ascii="Times New Roman" w:cs="Times New Roman" w:hint="eastAsia"/>
        </w:rPr>
        <w:t>《四川省“十四五”能源发展规划》</w:t>
      </w:r>
      <w:r w:rsidRPr="00D630D1">
        <w:rPr>
          <w:rFonts w:ascii="Times New Roman" w:cs="Times New Roman"/>
        </w:rPr>
        <w:t>要求。</w:t>
      </w:r>
    </w:p>
    <w:p w:rsidR="00F7691B" w:rsidRPr="00D630D1" w:rsidRDefault="00F7691B" w:rsidP="00F7691B">
      <w:pPr>
        <w:keepNext/>
        <w:keepLines/>
        <w:ind w:firstLineChars="0" w:firstLine="0"/>
        <w:outlineLvl w:val="2"/>
        <w:rPr>
          <w:rFonts w:ascii="Times New Roman" w:cs="Times New Roman"/>
          <w:b/>
          <w:szCs w:val="32"/>
        </w:rPr>
      </w:pPr>
      <w:r w:rsidRPr="00D630D1">
        <w:rPr>
          <w:rFonts w:ascii="Times New Roman" w:cs="Times New Roman"/>
          <w:b/>
          <w:szCs w:val="32"/>
        </w:rPr>
        <w:t>1.8.</w:t>
      </w:r>
      <w:r w:rsidR="00506E88" w:rsidRPr="00D630D1">
        <w:rPr>
          <w:rFonts w:ascii="Times New Roman" w:cs="Times New Roman" w:hint="eastAsia"/>
          <w:b/>
          <w:szCs w:val="32"/>
        </w:rPr>
        <w:t>9</w:t>
      </w:r>
      <w:r w:rsidRPr="00D630D1">
        <w:rPr>
          <w:rFonts w:ascii="Times New Roman" w:cs="Times New Roman"/>
          <w:b/>
          <w:szCs w:val="32"/>
        </w:rPr>
        <w:t xml:space="preserve"> </w:t>
      </w:r>
      <w:r w:rsidRPr="00D630D1">
        <w:rPr>
          <w:rFonts w:ascii="Times New Roman" w:cs="Times New Roman"/>
          <w:b/>
          <w:szCs w:val="32"/>
        </w:rPr>
        <w:t>本项目与水源地合理性分析</w:t>
      </w:r>
    </w:p>
    <w:p w:rsidR="00F7691B" w:rsidRPr="00D630D1" w:rsidRDefault="00F7691B" w:rsidP="009F1580">
      <w:pPr>
        <w:pStyle w:val="afa"/>
        <w:ind w:firstLine="480"/>
      </w:pPr>
      <w:r w:rsidRPr="00D630D1">
        <w:t>根据达州市人民政府《</w:t>
      </w:r>
      <w:r w:rsidR="009F1580" w:rsidRPr="00D630D1">
        <w:t>关于划定万源市、宣汉县和大竹县乡镇及以下集中式饮用水水源地保护区的批复</w:t>
      </w:r>
      <w:r w:rsidRPr="00D630D1">
        <w:t>》</w:t>
      </w:r>
      <w:r w:rsidR="00860FBA" w:rsidRPr="00D630D1">
        <w:t>（达市府发</w:t>
      </w:r>
      <w:r w:rsidR="00860FBA" w:rsidRPr="00D630D1">
        <w:rPr>
          <w:kern w:val="2"/>
        </w:rPr>
        <w:t>〔</w:t>
      </w:r>
      <w:r w:rsidR="00860FBA" w:rsidRPr="00D630D1">
        <w:rPr>
          <w:kern w:val="2"/>
        </w:rPr>
        <w:t>20</w:t>
      </w:r>
      <w:r w:rsidR="009F1580" w:rsidRPr="00D630D1">
        <w:rPr>
          <w:kern w:val="2"/>
        </w:rPr>
        <w:t>20</w:t>
      </w:r>
      <w:r w:rsidR="00860FBA" w:rsidRPr="00D630D1">
        <w:rPr>
          <w:kern w:val="2"/>
        </w:rPr>
        <w:t>〕</w:t>
      </w:r>
      <w:r w:rsidR="009F1580" w:rsidRPr="00D630D1">
        <w:t>124</w:t>
      </w:r>
      <w:r w:rsidR="00860FBA" w:rsidRPr="00D630D1">
        <w:t>号）结合现场调查，项目</w:t>
      </w:r>
      <w:r w:rsidR="00C75CA2" w:rsidRPr="00D630D1">
        <w:rPr>
          <w:rFonts w:hint="eastAsia"/>
        </w:rPr>
        <w:t>沿线</w:t>
      </w:r>
      <w:r w:rsidR="00860FBA" w:rsidRPr="00D630D1">
        <w:t>不涉及沿线乡镇水源地保护区。</w:t>
      </w:r>
    </w:p>
    <w:p w:rsidR="00117C3D" w:rsidRPr="00D630D1" w:rsidRDefault="008B5B84">
      <w:pPr>
        <w:keepNext/>
        <w:keepLines/>
        <w:ind w:firstLineChars="0" w:firstLine="0"/>
        <w:outlineLvl w:val="2"/>
        <w:rPr>
          <w:rFonts w:ascii="Times New Roman" w:cs="Times New Roman"/>
          <w:b/>
          <w:szCs w:val="32"/>
        </w:rPr>
      </w:pPr>
      <w:r w:rsidRPr="00D630D1">
        <w:rPr>
          <w:rFonts w:ascii="Times New Roman" w:cs="Times New Roman"/>
          <w:b/>
          <w:szCs w:val="32"/>
        </w:rPr>
        <w:t>1.8.</w:t>
      </w:r>
      <w:r w:rsidR="009F2783" w:rsidRPr="00D630D1">
        <w:rPr>
          <w:rFonts w:ascii="Times New Roman" w:cs="Times New Roman"/>
          <w:b/>
          <w:szCs w:val="32"/>
        </w:rPr>
        <w:t>1</w:t>
      </w:r>
      <w:r w:rsidR="00506E88" w:rsidRPr="00D630D1">
        <w:rPr>
          <w:rFonts w:ascii="Times New Roman" w:cs="Times New Roman" w:hint="eastAsia"/>
          <w:b/>
          <w:szCs w:val="32"/>
        </w:rPr>
        <w:t>0</w:t>
      </w:r>
      <w:r w:rsidRPr="00D630D1">
        <w:rPr>
          <w:rFonts w:ascii="Times New Roman" w:cs="Times New Roman"/>
          <w:b/>
          <w:szCs w:val="32"/>
        </w:rPr>
        <w:t xml:space="preserve"> </w:t>
      </w:r>
      <w:r w:rsidRPr="00D630D1">
        <w:rPr>
          <w:rFonts w:ascii="Times New Roman" w:cs="Times New Roman"/>
          <w:b/>
          <w:szCs w:val="32"/>
        </w:rPr>
        <w:t>本项目与</w:t>
      </w:r>
      <w:r w:rsidRPr="00D630D1">
        <w:rPr>
          <w:rFonts w:ascii="Times New Roman" w:cs="Times New Roman"/>
          <w:b/>
          <w:szCs w:val="32"/>
        </w:rPr>
        <w:t>“</w:t>
      </w:r>
      <w:r w:rsidRPr="00D630D1">
        <w:rPr>
          <w:rFonts w:ascii="Times New Roman" w:cs="Times New Roman"/>
          <w:b/>
          <w:szCs w:val="32"/>
        </w:rPr>
        <w:t>三线一单</w:t>
      </w:r>
      <w:r w:rsidRPr="00D630D1">
        <w:rPr>
          <w:rFonts w:ascii="Times New Roman" w:cs="Times New Roman"/>
          <w:b/>
          <w:szCs w:val="32"/>
        </w:rPr>
        <w:t>”</w:t>
      </w:r>
      <w:r w:rsidRPr="00D630D1">
        <w:rPr>
          <w:rFonts w:ascii="Times New Roman" w:cs="Times New Roman"/>
          <w:b/>
          <w:szCs w:val="32"/>
        </w:rPr>
        <w:t>符合性分析</w:t>
      </w:r>
    </w:p>
    <w:p w:rsidR="00F568C1" w:rsidRPr="00D630D1" w:rsidRDefault="00F568C1" w:rsidP="00F568C1">
      <w:pPr>
        <w:pStyle w:val="afa"/>
        <w:ind w:firstLine="480"/>
      </w:pPr>
      <w:r w:rsidRPr="00D630D1">
        <w:t>根据环保部发布的《关于以改善环境质量为核心加强环境影响评价管理的通知》要求：切实加强环境影响评价管理，落实</w:t>
      </w:r>
      <w:r w:rsidRPr="00D630D1">
        <w:t>“</w:t>
      </w:r>
      <w:r w:rsidRPr="00D630D1">
        <w:t>生态保护红线、环境质量底线、资源利用上线和环境准入负面清单</w:t>
      </w:r>
      <w:r w:rsidRPr="00D630D1">
        <w:t>”</w:t>
      </w:r>
      <w:r w:rsidRPr="00D630D1">
        <w:t>约束，更好地发挥环评制度从源头防范环境污染和生态破坏的作用，加快推进改善环境质量。</w:t>
      </w:r>
    </w:p>
    <w:p w:rsidR="00117C3D" w:rsidRPr="00D630D1" w:rsidRDefault="00F568C1">
      <w:pPr>
        <w:ind w:firstLine="482"/>
        <w:rPr>
          <w:rFonts w:ascii="Times New Roman" w:cs="Times New Roman"/>
          <w:b/>
          <w:bCs/>
        </w:rPr>
      </w:pPr>
      <w:r w:rsidRPr="00D630D1">
        <w:rPr>
          <w:rFonts w:ascii="Times New Roman" w:cs="Times New Roman"/>
          <w:b/>
          <w:bCs/>
        </w:rPr>
        <w:t>1</w:t>
      </w:r>
      <w:r w:rsidR="008B5B84" w:rsidRPr="00D630D1">
        <w:rPr>
          <w:rFonts w:ascii="Times New Roman" w:cs="Times New Roman"/>
          <w:b/>
          <w:bCs/>
        </w:rPr>
        <w:t>、生态保护红线</w:t>
      </w:r>
    </w:p>
    <w:p w:rsidR="00117C3D" w:rsidRPr="00D630D1" w:rsidRDefault="008B5B84">
      <w:pPr>
        <w:ind w:firstLine="480"/>
        <w:rPr>
          <w:rFonts w:ascii="Times New Roman" w:cs="Times New Roman"/>
        </w:rPr>
      </w:pPr>
      <w:r w:rsidRPr="00D630D1">
        <w:rPr>
          <w:rFonts w:ascii="Times New Roman" w:cs="Times New Roman"/>
        </w:rPr>
        <w:t>2017</w:t>
      </w:r>
      <w:r w:rsidRPr="00D630D1">
        <w:rPr>
          <w:rFonts w:ascii="Times New Roman" w:cs="Times New Roman"/>
        </w:rPr>
        <w:t>年</w:t>
      </w:r>
      <w:r w:rsidRPr="00D630D1">
        <w:rPr>
          <w:rFonts w:ascii="Times New Roman" w:cs="Times New Roman"/>
        </w:rPr>
        <w:t>2</w:t>
      </w:r>
      <w:r w:rsidRPr="00D630D1">
        <w:rPr>
          <w:rFonts w:ascii="Times New Roman" w:cs="Times New Roman"/>
        </w:rPr>
        <w:t>月，中共中央办公厅国务院办公厅印发了《关于划定并严守生态保护红线的若干意见》，意见中关于红线管控要求如下：</w:t>
      </w:r>
    </w:p>
    <w:p w:rsidR="00117C3D" w:rsidRPr="00D630D1" w:rsidRDefault="008B5B84">
      <w:pPr>
        <w:ind w:firstLine="480"/>
        <w:rPr>
          <w:rFonts w:ascii="Times New Roman" w:cs="Times New Roman"/>
        </w:rPr>
      </w:pPr>
      <w:r w:rsidRPr="00D630D1">
        <w:rPr>
          <w:rFonts w:ascii="Times New Roman" w:cs="Times New Roman"/>
        </w:rPr>
        <w:t>实行严格管控。生态保护红线原则上按禁止开发区域的要求进行管理。严禁不符合主体功能定位的各类开发活动，严禁任意改变用途。生态保护红线划定后，只能增加、不能减少，因国家重大基础设施、重大民生保障项目建设等需要调整的，由省级政府组织论证，提出调整方案，经环境保护部、国家发展改革委会同有关部门提出审核意见后，报国务院批准。因国家重大战略资源勘查需要，在不影响主体功能定位的前提下，经依法批准后予以安排勘查项目。</w:t>
      </w:r>
    </w:p>
    <w:p w:rsidR="00117C3D" w:rsidRPr="00D630D1" w:rsidRDefault="00F568C1">
      <w:pPr>
        <w:ind w:firstLine="480"/>
        <w:rPr>
          <w:rFonts w:ascii="Times New Roman" w:cs="Times New Roman"/>
        </w:rPr>
      </w:pPr>
      <w:r w:rsidRPr="00D630D1">
        <w:rPr>
          <w:rFonts w:ascii="Times New Roman" w:cs="Times New Roman"/>
        </w:rPr>
        <w:t>四川省人民政府《关于印发四川省生态保护红线方案的通知》（川府发〔</w:t>
      </w:r>
      <w:r w:rsidRPr="00D630D1">
        <w:rPr>
          <w:rFonts w:ascii="Times New Roman" w:cs="Times New Roman"/>
        </w:rPr>
        <w:t>2018</w:t>
      </w:r>
      <w:r w:rsidRPr="00D630D1">
        <w:rPr>
          <w:rFonts w:ascii="Times New Roman" w:cs="Times New Roman"/>
        </w:rPr>
        <w:t>〕</w:t>
      </w:r>
      <w:r w:rsidRPr="00D630D1">
        <w:rPr>
          <w:rFonts w:ascii="Times New Roman" w:cs="Times New Roman"/>
        </w:rPr>
        <w:t>24</w:t>
      </w:r>
      <w:r w:rsidRPr="00D630D1">
        <w:rPr>
          <w:rFonts w:ascii="Times New Roman" w:cs="Times New Roman"/>
        </w:rPr>
        <w:t>号）中指出：</w:t>
      </w:r>
      <w:r w:rsidRPr="00D630D1">
        <w:rPr>
          <w:rFonts w:ascii="Times New Roman" w:cs="Times New Roman"/>
        </w:rPr>
        <w:t>“</w:t>
      </w:r>
      <w:r w:rsidRPr="00D630D1">
        <w:rPr>
          <w:rFonts w:ascii="Times New Roman" w:cs="Times New Roman"/>
        </w:rPr>
        <w:t>四川省生态保护红线总面积</w:t>
      </w:r>
      <w:r w:rsidRPr="00D630D1">
        <w:rPr>
          <w:rFonts w:ascii="Times New Roman" w:cs="Times New Roman"/>
        </w:rPr>
        <w:t>14.80</w:t>
      </w:r>
      <w:r w:rsidRPr="00D630D1">
        <w:rPr>
          <w:rFonts w:ascii="Times New Roman" w:cs="Times New Roman"/>
        </w:rPr>
        <w:t>万平方公里，占全省幅员面积的</w:t>
      </w:r>
      <w:r w:rsidRPr="00D630D1">
        <w:rPr>
          <w:rFonts w:ascii="Times New Roman" w:cs="Times New Roman"/>
        </w:rPr>
        <w:t>30.45%</w:t>
      </w:r>
      <w:r w:rsidRPr="00D630D1">
        <w:rPr>
          <w:rFonts w:ascii="Times New Roman" w:cs="Times New Roman"/>
        </w:rPr>
        <w:t>，主要分布于川西高山高原、川西南山地和盆周山地，分布格局为</w:t>
      </w:r>
      <w:r w:rsidRPr="00D630D1">
        <w:rPr>
          <w:rFonts w:ascii="Times New Roman" w:cs="Times New Roman"/>
        </w:rPr>
        <w:t>“</w:t>
      </w:r>
      <w:r w:rsidRPr="00D630D1">
        <w:rPr>
          <w:rFonts w:ascii="Times New Roman" w:cs="Times New Roman"/>
        </w:rPr>
        <w:t>四轴九核</w:t>
      </w:r>
      <w:r w:rsidRPr="00D630D1">
        <w:rPr>
          <w:rFonts w:ascii="Times New Roman" w:cs="Times New Roman"/>
        </w:rPr>
        <w:t>”</w:t>
      </w:r>
      <w:r w:rsidRPr="00D630D1">
        <w:rPr>
          <w:rFonts w:ascii="Times New Roman" w:cs="Times New Roman"/>
        </w:rPr>
        <w:t>。</w:t>
      </w:r>
      <w:r w:rsidRPr="00D630D1">
        <w:rPr>
          <w:rFonts w:ascii="Times New Roman" w:cs="Times New Roman"/>
        </w:rPr>
        <w:t>“</w:t>
      </w:r>
      <w:r w:rsidRPr="00D630D1">
        <w:rPr>
          <w:rFonts w:ascii="Times New Roman" w:cs="Times New Roman"/>
        </w:rPr>
        <w:t>四轴</w:t>
      </w:r>
      <w:r w:rsidRPr="00D630D1">
        <w:rPr>
          <w:rFonts w:ascii="Times New Roman" w:cs="Times New Roman"/>
        </w:rPr>
        <w:t>”</w:t>
      </w:r>
      <w:r w:rsidRPr="00D630D1">
        <w:rPr>
          <w:rFonts w:ascii="Times New Roman" w:cs="Times New Roman"/>
        </w:rPr>
        <w:t>指大巴山、金沙江下游干热河谷、川东南山地以及盆中丘陵区，呈带状分布；</w:t>
      </w:r>
      <w:r w:rsidRPr="00D630D1">
        <w:rPr>
          <w:rFonts w:ascii="Times New Roman" w:cs="Times New Roman"/>
        </w:rPr>
        <w:t>“</w:t>
      </w:r>
      <w:r w:rsidRPr="00D630D1">
        <w:rPr>
          <w:rFonts w:ascii="Times New Roman" w:cs="Times New Roman"/>
        </w:rPr>
        <w:t>九核</w:t>
      </w:r>
      <w:r w:rsidRPr="00D630D1">
        <w:rPr>
          <w:rFonts w:ascii="Times New Roman" w:cs="Times New Roman"/>
        </w:rPr>
        <w:t>”</w:t>
      </w:r>
      <w:r w:rsidRPr="00D630D1">
        <w:rPr>
          <w:rFonts w:ascii="Times New Roman" w:cs="Times New Roman"/>
        </w:rPr>
        <w:t>指若尔盖湿地（黄河源）雅砻江源、大渡河源以及大雪山、沙鲁里山、岷山、邛崃山、凉山</w:t>
      </w:r>
      <w:r w:rsidRPr="00D630D1">
        <w:rPr>
          <w:rFonts w:ascii="Times New Roman" w:cs="Times New Roman"/>
        </w:rPr>
        <w:t>—</w:t>
      </w:r>
      <w:r w:rsidRPr="00D630D1">
        <w:rPr>
          <w:rFonts w:ascii="Times New Roman" w:cs="Times New Roman"/>
        </w:rPr>
        <w:t>相岭、锦屏山，以水系、山系为骨架集中成片</w:t>
      </w:r>
      <w:r w:rsidRPr="00D630D1">
        <w:rPr>
          <w:rFonts w:ascii="Times New Roman" w:cs="Times New Roman"/>
        </w:rPr>
        <w:lastRenderedPageBreak/>
        <w:t>分布。</w:t>
      </w:r>
    </w:p>
    <w:p w:rsidR="00F568C1" w:rsidRPr="00D630D1" w:rsidRDefault="00F568C1" w:rsidP="00F568C1">
      <w:pPr>
        <w:ind w:firstLine="480"/>
        <w:rPr>
          <w:rFonts w:ascii="Times New Roman" w:cs="Times New Roman"/>
        </w:rPr>
      </w:pPr>
      <w:r w:rsidRPr="00D630D1">
        <w:rPr>
          <w:rFonts w:ascii="Times New Roman" w:cs="Times New Roman"/>
        </w:rPr>
        <w:t>根据该《通知》，达州市宣汉县、万源市的部分地区涉及</w:t>
      </w:r>
      <w:r w:rsidRPr="00D630D1">
        <w:rPr>
          <w:rFonts w:ascii="Times New Roman" w:cs="Times New Roman"/>
        </w:rPr>
        <w:t>“</w:t>
      </w:r>
      <w:r w:rsidRPr="00D630D1">
        <w:rPr>
          <w:rFonts w:ascii="Times New Roman" w:cs="Times New Roman"/>
        </w:rPr>
        <w:t>大巴山生物多样性维护</w:t>
      </w:r>
      <w:r w:rsidRPr="00D630D1">
        <w:rPr>
          <w:rFonts w:ascii="Times New Roman" w:cs="Times New Roman"/>
        </w:rPr>
        <w:t>—</w:t>
      </w:r>
      <w:r w:rsidRPr="00D630D1">
        <w:rPr>
          <w:rFonts w:ascii="Times New Roman" w:cs="Times New Roman"/>
        </w:rPr>
        <w:t>水源涵养生态保护红线</w:t>
      </w:r>
      <w:r w:rsidRPr="00D630D1">
        <w:rPr>
          <w:rFonts w:ascii="Times New Roman" w:cs="Times New Roman"/>
        </w:rPr>
        <w:t>”</w:t>
      </w:r>
      <w:r w:rsidRPr="00D630D1">
        <w:rPr>
          <w:rFonts w:ascii="Times New Roman" w:cs="Times New Roman"/>
        </w:rPr>
        <w:t>；大竹县的部分地区涉及</w:t>
      </w:r>
      <w:r w:rsidRPr="00D630D1">
        <w:rPr>
          <w:rFonts w:ascii="Times New Roman" w:cs="Times New Roman"/>
        </w:rPr>
        <w:t>“</w:t>
      </w:r>
      <w:r w:rsidRPr="00D630D1">
        <w:rPr>
          <w:rFonts w:ascii="Times New Roman" w:cs="Times New Roman"/>
        </w:rPr>
        <w:t>川东南石漠化敏感生态保护红线</w:t>
      </w:r>
      <w:r w:rsidRPr="00D630D1">
        <w:rPr>
          <w:rFonts w:ascii="Times New Roman" w:cs="Times New Roman"/>
        </w:rPr>
        <w:t>”</w:t>
      </w:r>
      <w:r w:rsidRPr="00D630D1">
        <w:rPr>
          <w:rFonts w:ascii="Times New Roman" w:cs="Times New Roman"/>
        </w:rPr>
        <w:t>；达州市及其区县的城市饮用水源保护区和零散分布于四川盆地的自然保护区、风景名胜区、湿地公园、地质公园等各类生态保护重要区域为</w:t>
      </w:r>
      <w:r w:rsidRPr="00D630D1">
        <w:rPr>
          <w:rFonts w:ascii="Times New Roman" w:cs="Times New Roman"/>
        </w:rPr>
        <w:t>“</w:t>
      </w:r>
      <w:r w:rsidRPr="00D630D1">
        <w:rPr>
          <w:rFonts w:ascii="Times New Roman" w:cs="Times New Roman"/>
        </w:rPr>
        <w:t>盆中城市饮用水源</w:t>
      </w:r>
      <w:r w:rsidRPr="00D630D1">
        <w:rPr>
          <w:rFonts w:ascii="Times New Roman" w:cs="Times New Roman"/>
        </w:rPr>
        <w:t>—</w:t>
      </w:r>
      <w:r w:rsidRPr="00D630D1">
        <w:rPr>
          <w:rFonts w:ascii="Times New Roman" w:cs="Times New Roman"/>
        </w:rPr>
        <w:t>水土保持生态保护红线</w:t>
      </w:r>
      <w:r w:rsidRPr="00D630D1">
        <w:rPr>
          <w:rFonts w:ascii="Times New Roman" w:cs="Times New Roman"/>
        </w:rPr>
        <w:t>”</w:t>
      </w:r>
      <w:r w:rsidRPr="00D630D1">
        <w:rPr>
          <w:rFonts w:ascii="Times New Roman" w:cs="Times New Roman"/>
        </w:rPr>
        <w:t>。</w:t>
      </w:r>
    </w:p>
    <w:p w:rsidR="00F568C1" w:rsidRPr="00D630D1" w:rsidRDefault="00F568C1" w:rsidP="00F568C1">
      <w:pPr>
        <w:ind w:firstLine="480"/>
        <w:rPr>
          <w:rFonts w:ascii="Times New Roman" w:cs="Times New Roman"/>
        </w:rPr>
      </w:pPr>
      <w:r w:rsidRPr="00D630D1">
        <w:rPr>
          <w:rFonts w:ascii="Times New Roman" w:cs="Times New Roman"/>
        </w:rPr>
        <w:t>本项目位于四川省</w:t>
      </w:r>
      <w:r w:rsidR="009F1580" w:rsidRPr="00D630D1">
        <w:rPr>
          <w:rFonts w:ascii="Times New Roman" w:cs="Times New Roman"/>
        </w:rPr>
        <w:t>达州市</w:t>
      </w:r>
      <w:r w:rsidR="00867450" w:rsidRPr="00867450">
        <w:rPr>
          <w:rFonts w:ascii="Times New Roman" w:cs="Times New Roman" w:hint="eastAsia"/>
        </w:rPr>
        <w:t>宣汉县老君乡和普光镇境内</w:t>
      </w:r>
      <w:r w:rsidRPr="00D630D1">
        <w:rPr>
          <w:rFonts w:ascii="Times New Roman" w:cs="Times New Roman"/>
        </w:rPr>
        <w:t>，不在饮用水源保护区、自然保护区、风景名胜区、湿地公园、地质公园等各类生态保护重要区域。结合《四川省生态保护红线分布图》</w:t>
      </w:r>
      <w:r w:rsidR="00A97ED0" w:rsidRPr="00D630D1">
        <w:rPr>
          <w:rFonts w:ascii="Times New Roman" w:cs="Times New Roman"/>
        </w:rPr>
        <w:t>和</w:t>
      </w:r>
      <w:r w:rsidR="00A97ED0" w:rsidRPr="00D630D1">
        <w:rPr>
          <w:rFonts w:ascii="Times New Roman" w:cs="Times New Roman" w:hint="eastAsia"/>
        </w:rPr>
        <w:t>《达州市生态保护红线分布图》</w:t>
      </w:r>
      <w:r w:rsidRPr="00D630D1">
        <w:rPr>
          <w:rFonts w:ascii="Times New Roman" w:cs="Times New Roman"/>
        </w:rPr>
        <w:t>分析，项目选址与《四川省生态保护红线方案》</w:t>
      </w:r>
      <w:r w:rsidR="00A97ED0" w:rsidRPr="00D630D1">
        <w:rPr>
          <w:rFonts w:ascii="Times New Roman" w:cs="Times New Roman"/>
        </w:rPr>
        <w:t>及达州市</w:t>
      </w:r>
      <w:r w:rsidR="00A97ED0" w:rsidRPr="00D630D1">
        <w:rPr>
          <w:rFonts w:ascii="Times New Roman" w:cs="Times New Roman" w:hint="eastAsia"/>
        </w:rPr>
        <w:t>生态保护红线保护要求</w:t>
      </w:r>
      <w:r w:rsidRPr="00D630D1">
        <w:rPr>
          <w:rFonts w:ascii="Times New Roman" w:cs="Times New Roman"/>
        </w:rPr>
        <w:t>是相协调的。</w:t>
      </w:r>
    </w:p>
    <w:p w:rsidR="00F568C1" w:rsidRPr="00D630D1" w:rsidRDefault="009913C3" w:rsidP="000357C8">
      <w:pPr>
        <w:ind w:firstLineChars="0" w:firstLine="0"/>
        <w:jc w:val="center"/>
        <w:rPr>
          <w:rFonts w:ascii="Times New Roman" w:cs="Times New Roman"/>
        </w:rPr>
      </w:pPr>
      <w:r>
        <w:rPr>
          <w:rFonts w:ascii="Times New Roman" w:cs="Times New Roman"/>
          <w:noProof/>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4" o:spid="_x0000_s1030" type="#_x0000_t61" style="position:absolute;left:0;text-align:left;margin-left:263.1pt;margin-top:45.45pt;width:90.95pt;height:2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" adj="22823,52056" filled="f">
            <v:textbox style="mso-next-textbox:#自选图形 4">
              <w:txbxContent>
                <w:p w:rsidR="00A62354" w:rsidRPr="000357C8" w:rsidRDefault="00A62354" w:rsidP="000357C8">
                  <w:pPr>
                    <w:spacing w:line="240" w:lineRule="auto"/>
                    <w:ind w:firstLineChars="0" w:firstLine="0"/>
                    <w:rPr>
                      <w:sz w:val="21"/>
                      <w:szCs w:val="21"/>
                    </w:rPr>
                  </w:pPr>
                  <w:r w:rsidRPr="000357C8">
                    <w:rPr>
                      <w:rFonts w:hint="eastAsia"/>
                      <w:sz w:val="21"/>
                      <w:szCs w:val="21"/>
                    </w:rPr>
                    <w:t>本项目所在位置</w:t>
                  </w:r>
                </w:p>
              </w:txbxContent>
            </v:textbox>
          </v:shape>
        </w:pict>
      </w:r>
      <w:r w:rsidR="001A254A" w:rsidRPr="00D630D1">
        <w:rPr>
          <w:rFonts w:ascii="Times New Roman" w:cs="Times New Roman"/>
          <w:noProof/>
        </w:rPr>
        <w:drawing>
          <wp:inline distT="0" distB="0" distL="0" distR="0">
            <wp:extent cx="5273675" cy="3657600"/>
            <wp:effectExtent l="19050" t="0" r="3175" b="0"/>
            <wp:docPr id="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pic:cNvPicPr>
                      <a:picLocks noChangeAspect="1" noChangeArrowheads="1"/>
                    </pic:cNvPicPr>
                  </pic:nvPicPr>
                  <pic:blipFill>
                    <a:blip r:embed="rId23" cstate="print"/>
                    <a:srcRect/>
                    <a:stretch>
                      <a:fillRect/>
                    </a:stretch>
                  </pic:blipFill>
                  <pic:spPr bwMode="auto">
                    <a:xfrm>
                      <a:off x="0" y="0"/>
                      <a:ext cx="5273675" cy="3657600"/>
                    </a:xfrm>
                    <a:prstGeom prst="rect">
                      <a:avLst/>
                    </a:prstGeom>
                    <a:noFill/>
                    <a:ln w="9525">
                      <a:noFill/>
                      <a:miter lim="800000"/>
                      <a:headEnd/>
                      <a:tailEnd/>
                    </a:ln>
                  </pic:spPr>
                </pic:pic>
              </a:graphicData>
            </a:graphic>
          </wp:inline>
        </w:drawing>
      </w:r>
    </w:p>
    <w:p w:rsidR="000357C8" w:rsidRPr="00D630D1" w:rsidRDefault="000357C8" w:rsidP="000357C8">
      <w:pPr>
        <w:pStyle w:val="10"/>
        <w:rPr>
          <w:rFonts w:cs="Times New Roman"/>
        </w:rPr>
      </w:pPr>
      <w:r w:rsidRPr="00D630D1">
        <w:rPr>
          <w:rFonts w:cs="Times New Roman"/>
        </w:rPr>
        <w:t>图</w:t>
      </w:r>
      <w:r w:rsidRPr="00D630D1">
        <w:rPr>
          <w:rFonts w:cs="Times New Roman"/>
        </w:rPr>
        <w:t>1.8-</w:t>
      </w:r>
      <w:r w:rsidR="006632F7" w:rsidRPr="00D630D1">
        <w:rPr>
          <w:rFonts w:cs="Times New Roman"/>
        </w:rPr>
        <w:t>1</w:t>
      </w:r>
      <w:r w:rsidRPr="00D630D1">
        <w:rPr>
          <w:rFonts w:cs="Times New Roman"/>
        </w:rPr>
        <w:t xml:space="preserve">  </w:t>
      </w:r>
      <w:r w:rsidRPr="00D630D1">
        <w:rPr>
          <w:rFonts w:cs="Times New Roman"/>
        </w:rPr>
        <w:t>四川省生态红线分布图</w:t>
      </w:r>
    </w:p>
    <w:p w:rsidR="00A97ED0" w:rsidRPr="00D630D1" w:rsidRDefault="009913C3" w:rsidP="00871754">
      <w:pPr>
        <w:pStyle w:val="afa"/>
        <w:ind w:firstLineChars="83" w:firstLine="232"/>
        <w:jc w:val="center"/>
      </w:pPr>
      <w:r w:rsidRPr="009913C3">
        <w:rPr>
          <w:rFonts w:eastAsia="仿宋_GB2312"/>
          <w:noProof/>
          <w:spacing w:val="-4"/>
          <w:sz w:val="28"/>
          <w:szCs w:val="28"/>
        </w:rPr>
        <w:lastRenderedPageBreak/>
        <w:pict>
          <v:shape id="_x0000_s1045" type="#_x0000_t61" style="position:absolute;left:0;text-align:left;margin-left:95.9pt;margin-top:84.3pt;width:90.95pt;height:2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" adj="22823,52056" filled="f">
            <v:textbox style="mso-next-textbox:#_x0000_s1045">
              <w:txbxContent>
                <w:p w:rsidR="00A62354" w:rsidRPr="000357C8" w:rsidRDefault="00A62354" w:rsidP="00871754">
                  <w:pPr>
                    <w:spacing w:line="240" w:lineRule="auto"/>
                    <w:ind w:firstLineChars="0" w:firstLine="0"/>
                    <w:rPr>
                      <w:sz w:val="21"/>
                      <w:szCs w:val="21"/>
                    </w:rPr>
                  </w:pPr>
                  <w:r w:rsidRPr="000357C8">
                    <w:rPr>
                      <w:rFonts w:hint="eastAsia"/>
                      <w:sz w:val="21"/>
                      <w:szCs w:val="21"/>
                    </w:rPr>
                    <w:t>本项目所在位置</w:t>
                  </w:r>
                </w:p>
              </w:txbxContent>
            </v:textbox>
          </v:shape>
        </w:pict>
      </w:r>
      <w:r w:rsidRPr="009913C3">
        <w:rPr>
          <w:rFonts w:eastAsia="仿宋_GB2312"/>
          <w:noProof/>
          <w:spacing w:val="-4"/>
          <w:sz w:val="28"/>
          <w:szCs w:val="28"/>
        </w:rPr>
        <w:pict>
          <v:oval id="_x0000_s1077" style="position:absolute;left:0;text-align:left;margin-left:189.65pt;margin-top:142.2pt;width:4.25pt;height:4.25pt;z-index:251662336" fillcolor="red" strokecolor="red"/>
        </w:pict>
      </w:r>
      <w:r w:rsidR="001A254A" w:rsidRPr="00D630D1">
        <w:rPr>
          <w:rFonts w:eastAsia="仿宋_GB2312"/>
          <w:noProof/>
          <w:spacing w:val="-4"/>
          <w:sz w:val="28"/>
          <w:szCs w:val="28"/>
        </w:rPr>
        <w:drawing>
          <wp:inline distT="0" distB="0" distL="0" distR="0">
            <wp:extent cx="5273675" cy="3722370"/>
            <wp:effectExtent l="19050" t="0" r="3175" b="0"/>
            <wp:docPr id="4" name="图片 10326" descr="G:\1\达州成果\现阶段成果\达州5月出图\生态保护红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26" descr="G:\1\达州成果\现阶段成果\达州5月出图\生态保护红线.jpg"/>
                    <pic:cNvPicPr>
                      <a:picLocks noChangeAspect="1" noChangeArrowheads="1"/>
                    </pic:cNvPicPr>
                  </pic:nvPicPr>
                  <pic:blipFill>
                    <a:blip r:embed="rId24" cstate="print"/>
                    <a:srcRect/>
                    <a:stretch>
                      <a:fillRect/>
                    </a:stretch>
                  </pic:blipFill>
                  <pic:spPr bwMode="auto">
                    <a:xfrm>
                      <a:off x="0" y="0"/>
                      <a:ext cx="5273675" cy="3722370"/>
                    </a:xfrm>
                    <a:prstGeom prst="rect">
                      <a:avLst/>
                    </a:prstGeom>
                    <a:noFill/>
                    <a:ln w="9525">
                      <a:noFill/>
                      <a:miter lim="800000"/>
                      <a:headEnd/>
                      <a:tailEnd/>
                    </a:ln>
                  </pic:spPr>
                </pic:pic>
              </a:graphicData>
            </a:graphic>
          </wp:inline>
        </w:drawing>
      </w:r>
    </w:p>
    <w:p w:rsidR="00871754" w:rsidRPr="00D630D1" w:rsidRDefault="00871754" w:rsidP="00871754">
      <w:pPr>
        <w:pStyle w:val="afa"/>
        <w:ind w:firstLineChars="83" w:firstLine="175"/>
        <w:jc w:val="center"/>
        <w:rPr>
          <w:b/>
          <w:sz w:val="21"/>
          <w:szCs w:val="21"/>
        </w:rPr>
      </w:pPr>
      <w:r w:rsidRPr="00D630D1">
        <w:rPr>
          <w:b/>
          <w:sz w:val="21"/>
          <w:szCs w:val="21"/>
        </w:rPr>
        <w:t>图</w:t>
      </w:r>
      <w:r w:rsidRPr="00D630D1">
        <w:rPr>
          <w:b/>
          <w:sz w:val="21"/>
          <w:szCs w:val="21"/>
        </w:rPr>
        <w:t>1.8-</w:t>
      </w:r>
      <w:r w:rsidRPr="00D630D1">
        <w:rPr>
          <w:rFonts w:hint="eastAsia"/>
          <w:b/>
          <w:sz w:val="21"/>
          <w:szCs w:val="21"/>
        </w:rPr>
        <w:t>2</w:t>
      </w:r>
      <w:r w:rsidRPr="00D630D1">
        <w:rPr>
          <w:b/>
          <w:sz w:val="21"/>
          <w:szCs w:val="21"/>
        </w:rPr>
        <w:t xml:space="preserve">  </w:t>
      </w:r>
      <w:r w:rsidRPr="00D630D1">
        <w:rPr>
          <w:rFonts w:hint="eastAsia"/>
          <w:b/>
          <w:sz w:val="21"/>
          <w:szCs w:val="21"/>
        </w:rPr>
        <w:t>达州市</w:t>
      </w:r>
      <w:r w:rsidRPr="00D630D1">
        <w:rPr>
          <w:b/>
          <w:sz w:val="21"/>
          <w:szCs w:val="21"/>
        </w:rPr>
        <w:t>生态红线分布图</w:t>
      </w:r>
    </w:p>
    <w:p w:rsidR="00117C3D" w:rsidRPr="00D630D1" w:rsidRDefault="000357C8" w:rsidP="000357C8">
      <w:pPr>
        <w:pStyle w:val="afa"/>
        <w:ind w:firstLine="482"/>
        <w:rPr>
          <w:b/>
          <w:bCs/>
        </w:rPr>
      </w:pPr>
      <w:r w:rsidRPr="00D630D1">
        <w:rPr>
          <w:b/>
          <w:bCs/>
        </w:rPr>
        <w:t>2</w:t>
      </w:r>
      <w:r w:rsidRPr="00D630D1">
        <w:rPr>
          <w:b/>
          <w:bCs/>
        </w:rPr>
        <w:t>、</w:t>
      </w:r>
      <w:r w:rsidR="008B5B84" w:rsidRPr="00D630D1">
        <w:rPr>
          <w:b/>
          <w:bCs/>
        </w:rPr>
        <w:t>与环境质量底线的符合性分析</w:t>
      </w:r>
    </w:p>
    <w:p w:rsidR="006632F7" w:rsidRPr="00D630D1" w:rsidRDefault="006632F7" w:rsidP="006632F7">
      <w:pPr>
        <w:pStyle w:val="afa"/>
        <w:ind w:firstLine="480"/>
      </w:pPr>
      <w:r w:rsidRPr="00D630D1">
        <w:t>项目所在区域环境空气均满足《环境空气质量标准》（</w:t>
      </w:r>
      <w:r w:rsidRPr="00D630D1">
        <w:t>GB3095-2012</w:t>
      </w:r>
      <w:r w:rsidRPr="00D630D1">
        <w:t>）二级，区域地表水环境质量满足《地表水环境质量标准》（</w:t>
      </w:r>
      <w:r w:rsidRPr="00D630D1">
        <w:t>GB3838-2002</w:t>
      </w:r>
      <w:r w:rsidRPr="00D630D1">
        <w:t>）</w:t>
      </w:r>
      <w:r w:rsidRPr="00D630D1">
        <w:t>Ⅲ</w:t>
      </w:r>
      <w:r w:rsidRPr="00D630D1">
        <w:t>类标准，地下水环境质量满足《地下水质量标准》（</w:t>
      </w:r>
      <w:r w:rsidRPr="00D630D1">
        <w:t>GB/T14848-2017</w:t>
      </w:r>
      <w:r w:rsidRPr="00D630D1">
        <w:t>）中</w:t>
      </w:r>
      <w:r w:rsidRPr="00D630D1">
        <w:t>Ⅲ</w:t>
      </w:r>
      <w:r w:rsidRPr="00D630D1">
        <w:t>类标准，声环境质量满足《声环境质量标准》（</w:t>
      </w:r>
      <w:r w:rsidRPr="00D630D1">
        <w:t>GB3096-2008</w:t>
      </w:r>
      <w:r w:rsidRPr="00D630D1">
        <w:t>）</w:t>
      </w:r>
      <w:r w:rsidRPr="00D630D1">
        <w:t>2</w:t>
      </w:r>
      <w:r w:rsidRPr="00D630D1">
        <w:t>类，环境质量较好。</w:t>
      </w:r>
    </w:p>
    <w:p w:rsidR="006632F7" w:rsidRPr="00D630D1" w:rsidRDefault="006632F7" w:rsidP="006632F7">
      <w:pPr>
        <w:pStyle w:val="afa"/>
        <w:ind w:firstLine="480"/>
      </w:pPr>
      <w:r w:rsidRPr="00D630D1">
        <w:t>经分析，目前区域环境空气、地表水及声环境质量均尚有容量。本项目水套炉加热采用返输净化天然气（不含硫化氢）</w:t>
      </w:r>
      <w:r w:rsidR="002F70C4" w:rsidRPr="00D630D1">
        <w:rPr>
          <w:rFonts w:hint="eastAsia"/>
        </w:rPr>
        <w:t>，</w:t>
      </w:r>
      <w:r w:rsidR="00DC5D18" w:rsidRPr="00D630D1">
        <w:rPr>
          <w:rFonts w:hint="eastAsia"/>
        </w:rPr>
        <w:t>经新</w:t>
      </w:r>
      <w:r w:rsidR="002F70C4" w:rsidRPr="00D630D1">
        <w:t>建的</w:t>
      </w:r>
      <w:r w:rsidR="00D57583">
        <w:rPr>
          <w:rFonts w:hint="eastAsia"/>
        </w:rPr>
        <w:t>普陆</w:t>
      </w:r>
      <w:r w:rsidR="00D57583">
        <w:rPr>
          <w:rFonts w:hint="eastAsia"/>
        </w:rPr>
        <w:t>3</w:t>
      </w:r>
      <w:r w:rsidR="00D57583">
        <w:rPr>
          <w:rFonts w:hint="eastAsia"/>
        </w:rPr>
        <w:t>集气站</w:t>
      </w:r>
      <w:r w:rsidR="002F70C4" w:rsidRPr="00D630D1">
        <w:rPr>
          <w:rFonts w:hint="eastAsia"/>
        </w:rPr>
        <w:t>-</w:t>
      </w:r>
      <w:r w:rsidR="002C00AE">
        <w:rPr>
          <w:rFonts w:hint="eastAsia"/>
        </w:rPr>
        <w:t>普光</w:t>
      </w:r>
      <w:r w:rsidR="002C00AE">
        <w:rPr>
          <w:rFonts w:hint="eastAsia"/>
        </w:rPr>
        <w:t>12</w:t>
      </w:r>
      <w:r w:rsidR="002C00AE">
        <w:rPr>
          <w:rFonts w:hint="eastAsia"/>
        </w:rPr>
        <w:t>采气站</w:t>
      </w:r>
      <w:r w:rsidR="002F70C4" w:rsidRPr="00D630D1">
        <w:t>燃气返输管线</w:t>
      </w:r>
      <w:r w:rsidR="00034734" w:rsidRPr="00D630D1">
        <w:rPr>
          <w:rFonts w:hint="eastAsia"/>
        </w:rPr>
        <w:t>返输使用</w:t>
      </w:r>
      <w:r w:rsidRPr="00D630D1">
        <w:t>，属于清洁能源，仅产生少量的氮氧化物；</w:t>
      </w:r>
      <w:r w:rsidR="007200A5" w:rsidRPr="00D630D1">
        <w:t>本项目运营期产生的气田水</w:t>
      </w:r>
      <w:r w:rsidR="007200A5" w:rsidRPr="002C36C4">
        <w:rPr>
          <w:rFonts w:hint="eastAsia"/>
        </w:rPr>
        <w:t>暂存于污水缓冲罐</w:t>
      </w:r>
      <w:r w:rsidR="007200A5" w:rsidRPr="00D630D1">
        <w:t>，然后通过密闭罐车拉运至大湾</w:t>
      </w:r>
      <w:r w:rsidR="007200A5" w:rsidRPr="00D630D1">
        <w:t>403</w:t>
      </w:r>
      <w:r w:rsidR="007200A5" w:rsidRPr="00D630D1">
        <w:t>污水站处理达到《气田水回注方法》（</w:t>
      </w:r>
      <w:r w:rsidR="007200A5" w:rsidRPr="00D630D1">
        <w:t>SY/T 6596</w:t>
      </w:r>
      <w:r w:rsidR="007200A5" w:rsidRPr="00D630D1">
        <w:rPr>
          <w:rFonts w:hint="eastAsia"/>
        </w:rPr>
        <w:t>-</w:t>
      </w:r>
      <w:r w:rsidR="007200A5" w:rsidRPr="00D630D1">
        <w:t>2016</w:t>
      </w:r>
      <w:r w:rsidR="007200A5" w:rsidRPr="00D630D1">
        <w:t>）中注入水基本要求后管输至毛开</w:t>
      </w:r>
      <w:r w:rsidR="007200A5" w:rsidRPr="00D630D1">
        <w:t>1</w:t>
      </w:r>
      <w:r w:rsidR="007200A5" w:rsidRPr="00D630D1">
        <w:t>井回注站回注处理，不外排</w:t>
      </w:r>
      <w:r w:rsidR="007200A5">
        <w:rPr>
          <w:rFonts w:hint="eastAsia"/>
        </w:rPr>
        <w:t>；值守</w:t>
      </w:r>
      <w:r w:rsidR="007200A5" w:rsidRPr="000819D9">
        <w:t>人员生活</w:t>
      </w:r>
      <w:r w:rsidR="007200A5" w:rsidRPr="000819D9">
        <w:rPr>
          <w:rFonts w:hint="eastAsia"/>
        </w:rPr>
        <w:t>污水</w:t>
      </w:r>
      <w:r w:rsidR="007200A5">
        <w:rPr>
          <w:rFonts w:hint="eastAsia"/>
        </w:rPr>
        <w:t>经</w:t>
      </w:r>
      <w:r w:rsidR="007200A5" w:rsidRPr="000819D9">
        <w:t>生态环保厕所收集后，用作周边农肥，不外排</w:t>
      </w:r>
      <w:r w:rsidR="00A126C5" w:rsidRPr="00D630D1">
        <w:t>。</w:t>
      </w:r>
      <w:r w:rsidRPr="00D630D1">
        <w:t>项目站场设备运行和气流噪声值较小，不会对当地的声环境容量造成较大影响。本项目严格执行设计及环评提出的相关污染防治措施后，排放的污染源不会对区域环境质量底线造成冲击。</w:t>
      </w:r>
    </w:p>
    <w:p w:rsidR="00117C3D" w:rsidRPr="00D630D1" w:rsidRDefault="000357C8" w:rsidP="000357C8">
      <w:pPr>
        <w:pStyle w:val="afa"/>
        <w:ind w:firstLine="482"/>
        <w:rPr>
          <w:b/>
          <w:bCs/>
        </w:rPr>
      </w:pPr>
      <w:r w:rsidRPr="00D630D1">
        <w:rPr>
          <w:b/>
          <w:bCs/>
        </w:rPr>
        <w:t>3</w:t>
      </w:r>
      <w:r w:rsidRPr="00D630D1">
        <w:rPr>
          <w:b/>
          <w:bCs/>
        </w:rPr>
        <w:t>、</w:t>
      </w:r>
      <w:r w:rsidR="008B5B84" w:rsidRPr="00D630D1">
        <w:rPr>
          <w:b/>
          <w:bCs/>
        </w:rPr>
        <w:t>与自然资源利用上线的符合性分析</w:t>
      </w:r>
    </w:p>
    <w:p w:rsidR="006632F7" w:rsidRPr="00D630D1" w:rsidRDefault="006632F7" w:rsidP="006632F7">
      <w:pPr>
        <w:pStyle w:val="afa"/>
        <w:ind w:firstLine="480"/>
      </w:pPr>
      <w:r w:rsidRPr="00D630D1">
        <w:t>本项目运营过程中除消耗电、气外，无其他能源消耗，项目建成运行后通过</w:t>
      </w:r>
      <w:r w:rsidRPr="00D630D1">
        <w:lastRenderedPageBreak/>
        <w:t>内部管理、设备选择、原辅材料的选用和管理、废物回收利用、污染治理等多方面采取合理可行的防治措施，以</w:t>
      </w:r>
      <w:r w:rsidRPr="00D630D1">
        <w:t>“</w:t>
      </w:r>
      <w:r w:rsidRPr="00D630D1">
        <w:t>节能、降耗、减污</w:t>
      </w:r>
      <w:r w:rsidRPr="00D630D1">
        <w:t>”</w:t>
      </w:r>
      <w:r w:rsidRPr="00D630D1">
        <w:t>为目标，有效地控制污染。项目资源利用不会突破区域的资源利用上线。</w:t>
      </w:r>
    </w:p>
    <w:p w:rsidR="00117C3D" w:rsidRPr="00D630D1" w:rsidRDefault="000357C8" w:rsidP="000357C8">
      <w:pPr>
        <w:pStyle w:val="afa"/>
        <w:ind w:firstLine="482"/>
        <w:rPr>
          <w:b/>
          <w:bCs/>
        </w:rPr>
      </w:pPr>
      <w:r w:rsidRPr="00D630D1">
        <w:rPr>
          <w:b/>
          <w:bCs/>
        </w:rPr>
        <w:t>4</w:t>
      </w:r>
      <w:r w:rsidR="008B5B84" w:rsidRPr="00D630D1">
        <w:rPr>
          <w:b/>
          <w:bCs/>
        </w:rPr>
        <w:t>、与</w:t>
      </w:r>
      <w:r w:rsidR="00A56456" w:rsidRPr="00D630D1">
        <w:rPr>
          <w:rFonts w:hint="eastAsia"/>
          <w:b/>
          <w:bCs/>
        </w:rPr>
        <w:t>生态环境准入清单</w:t>
      </w:r>
      <w:r w:rsidR="008B5B84" w:rsidRPr="00D630D1">
        <w:rPr>
          <w:b/>
          <w:bCs/>
        </w:rPr>
        <w:t>的符合性分析</w:t>
      </w:r>
    </w:p>
    <w:p w:rsidR="006632F7" w:rsidRPr="00D630D1" w:rsidRDefault="006632F7" w:rsidP="006632F7">
      <w:pPr>
        <w:pStyle w:val="afa"/>
        <w:ind w:firstLine="480"/>
      </w:pPr>
      <w:r w:rsidRPr="00D630D1">
        <w:t>本工程选址位于达州市宣汉县，根据《四川省人民政府关于落实生态保护红线、环境质量底线、资源利用上线，制定生态环境准入清单，实施生态环境分区管控的通知》（川府发〔</w:t>
      </w:r>
      <w:r w:rsidRPr="00D630D1">
        <w:t>2020</w:t>
      </w:r>
      <w:r w:rsidRPr="00D630D1">
        <w:t>〕</w:t>
      </w:r>
      <w:r w:rsidRPr="00D630D1">
        <w:t>9</w:t>
      </w:r>
      <w:r w:rsidRPr="00D630D1">
        <w:t>号），项目所在地属于川东北经济区，该区域总体生态环境管控要求为：</w:t>
      </w:r>
      <w:r w:rsidRPr="00D630D1">
        <w:rPr>
          <w:rFonts w:ascii="宋体" w:hAnsi="宋体" w:cs="宋体" w:hint="eastAsia"/>
        </w:rPr>
        <w:t>①</w:t>
      </w:r>
      <w:r w:rsidRPr="00D630D1">
        <w:t>控制农村面源污染，提高污水收集处理率，加快乡镇污水处理基础设施建设。</w:t>
      </w:r>
      <w:r w:rsidRPr="00D630D1">
        <w:rPr>
          <w:rFonts w:ascii="宋体" w:hAnsi="宋体" w:cs="宋体" w:hint="eastAsia"/>
        </w:rPr>
        <w:t>②</w:t>
      </w:r>
      <w:r w:rsidRPr="00D630D1">
        <w:t>建设流域水环境风险联防联控体系。</w:t>
      </w:r>
      <w:r w:rsidRPr="00D630D1">
        <w:rPr>
          <w:rFonts w:ascii="宋体" w:hAnsi="宋体" w:cs="宋体" w:hint="eastAsia"/>
        </w:rPr>
        <w:t>③</w:t>
      </w:r>
      <w:r w:rsidRPr="00D630D1">
        <w:t>提高大气污染治理水平。</w:t>
      </w:r>
    </w:p>
    <w:p w:rsidR="006632F7" w:rsidRPr="00D630D1" w:rsidRDefault="006632F7" w:rsidP="006632F7">
      <w:pPr>
        <w:pStyle w:val="afa"/>
        <w:ind w:firstLine="480"/>
      </w:pPr>
      <w:r w:rsidRPr="00D630D1">
        <w:t>本项目为天然气</w:t>
      </w:r>
      <w:r w:rsidR="00586C59" w:rsidRPr="00D630D1">
        <w:rPr>
          <w:rFonts w:hint="eastAsia"/>
        </w:rPr>
        <w:t>开采</w:t>
      </w:r>
      <w:r w:rsidRPr="00D630D1">
        <w:t>及管线建设项目，不属于《四川省人民政府关于落实生态保护红线、环境质量底线、资源利用上线，制定生态环境准入清单，实施生态环境分区管控的通知》（川府发〔</w:t>
      </w:r>
      <w:r w:rsidRPr="00D630D1">
        <w:t>2020</w:t>
      </w:r>
      <w:r w:rsidRPr="00D630D1">
        <w:t>〕</w:t>
      </w:r>
      <w:r w:rsidRPr="00D630D1">
        <w:t>9</w:t>
      </w:r>
      <w:r w:rsidRPr="00D630D1">
        <w:t>号）中所列的建材、家具、电子信息、装备制造、先进材料、食品饮料、生物医药等行业，项目施工期废水不外排，运营期无废水</w:t>
      </w:r>
      <w:r w:rsidR="00034734" w:rsidRPr="00D630D1">
        <w:rPr>
          <w:rFonts w:hint="eastAsia"/>
        </w:rPr>
        <w:t>排放</w:t>
      </w:r>
      <w:r w:rsidRPr="00D630D1">
        <w:t>，营运期</w:t>
      </w:r>
      <w:r w:rsidR="00CC46BB" w:rsidRPr="00D630D1">
        <w:t>水套炉</w:t>
      </w:r>
      <w:r w:rsidRPr="00D630D1">
        <w:t>燃烧废气经排气筒排放，污染物排放量较小。项目所在地生态环境良好，无突出环境问题，因此，项目的建设满足《四川省人民政府关于落实生态保护红线、环境质量底线、资源利用上线，制定生态环境准入清单，实施生态环境分区管控的通知》（川府发〔</w:t>
      </w:r>
      <w:r w:rsidRPr="00D630D1">
        <w:t>2020</w:t>
      </w:r>
      <w:r w:rsidRPr="00D630D1">
        <w:t>〕</w:t>
      </w:r>
      <w:r w:rsidRPr="00D630D1">
        <w:t>9</w:t>
      </w:r>
      <w:r w:rsidRPr="00D630D1">
        <w:t>号）中川东北经济区的生态环境管控要求。</w:t>
      </w:r>
    </w:p>
    <w:p w:rsidR="006632F7" w:rsidRPr="00D630D1" w:rsidRDefault="006632F7" w:rsidP="006632F7">
      <w:pPr>
        <w:pStyle w:val="afa"/>
        <w:ind w:firstLine="480"/>
      </w:pPr>
      <w:r w:rsidRPr="00D630D1">
        <w:t>同时根据《四川省国家重点生态功能区产业准入负面清单（第一批）（试行）》、《四川省重点生态功能区产业准入负面清单</w:t>
      </w:r>
      <w:r w:rsidR="0064170C" w:rsidRPr="00D630D1">
        <w:rPr>
          <w:rFonts w:hint="eastAsia"/>
        </w:rPr>
        <w:t>（</w:t>
      </w:r>
      <w:r w:rsidR="0064170C" w:rsidRPr="00D630D1">
        <w:t>第二批</w:t>
      </w:r>
      <w:r w:rsidR="0064170C" w:rsidRPr="00D630D1">
        <w:rPr>
          <w:rFonts w:hint="eastAsia"/>
        </w:rPr>
        <w:t>）</w:t>
      </w:r>
      <w:r w:rsidRPr="00D630D1">
        <w:t>（试行）》，本工程不涉及《四川省国家重点生态功能区产业准入负面清单（第一批）（试行）》</w:t>
      </w:r>
      <w:r w:rsidRPr="00D630D1">
        <w:t>42</w:t>
      </w:r>
      <w:r w:rsidRPr="00D630D1">
        <w:t>个市县、《四川省重点生态功能区产业准入负面清单</w:t>
      </w:r>
      <w:r w:rsidR="0064170C" w:rsidRPr="00D630D1">
        <w:rPr>
          <w:rFonts w:hint="eastAsia"/>
        </w:rPr>
        <w:t>（</w:t>
      </w:r>
      <w:r w:rsidR="0064170C" w:rsidRPr="00D630D1">
        <w:t>第二批</w:t>
      </w:r>
      <w:r w:rsidR="0064170C" w:rsidRPr="00D630D1">
        <w:rPr>
          <w:rFonts w:hint="eastAsia"/>
        </w:rPr>
        <w:t>）</w:t>
      </w:r>
      <w:r w:rsidRPr="00D630D1">
        <w:t>（试行）》</w:t>
      </w:r>
      <w:r w:rsidRPr="00D630D1">
        <w:t>15</w:t>
      </w:r>
      <w:r w:rsidRPr="00D630D1">
        <w:t>个县。因此，不属于区域环境准入负面清单行业内容。</w:t>
      </w:r>
    </w:p>
    <w:p w:rsidR="00F7691B" w:rsidRPr="00D630D1" w:rsidRDefault="00F7691B" w:rsidP="00F7691B">
      <w:pPr>
        <w:pStyle w:val="afa"/>
        <w:ind w:firstLine="480"/>
      </w:pPr>
      <w:r w:rsidRPr="00D630D1">
        <w:t>根据《四川省长江经济带发展负面清单实施细则（试行）》（川长江办〔</w:t>
      </w:r>
      <w:r w:rsidRPr="00D630D1">
        <w:t>2019</w:t>
      </w:r>
      <w:r w:rsidRPr="00D630D1">
        <w:t>〕</w:t>
      </w:r>
      <w:r w:rsidRPr="00D630D1">
        <w:t>8</w:t>
      </w:r>
      <w:r w:rsidRPr="00D630D1">
        <w:t>号）：禁止在自然保护区核心区、缓冲区的岸线和河段范围内投资建设旅游和生产经营项目。禁止违反风景名胜区规划，在风景名胜区内设立各类开发区。禁止在饮用水源准保护区的岸线和河段范围内新建、扩建对水体污染严重的建设项目。在饮用水源二级保护区的岸线和河段范围内，除应遵守准保护区规定外，禁</w:t>
      </w:r>
      <w:r w:rsidRPr="00D630D1">
        <w:lastRenderedPageBreak/>
        <w:t>止新建、改建、扩建排放污染物的建设项目。在饮用水源一级保护区的岸线和河段范围内，除应遵守准保护区和二级保护区规定外，禁止新建、改建、扩建与供（取）水设施和保护水源无关的项目。禁止在水产种质资源保护区的岸线和河段范围内新建排污口。禁止在生态保护红线范围内投资建设除国家重大战略资源勘查项目、生态保护修复和环境治理项目、重大基础设施项目、军事国防项目以及农牧民基本生产生活等必要的民生项目以外的项目。生态保护红线原则上按禁止开发区域的要求进行管理。严禁不符合主体功能定位的各类开发活动，严禁任意改变用途。禁止新建、扩建法律法规和相关政策明令禁止的落后产能项目</w:t>
      </w:r>
      <w:r w:rsidRPr="00D630D1">
        <w:t>……</w:t>
      </w:r>
    </w:p>
    <w:p w:rsidR="0064170C" w:rsidRPr="00D630D1" w:rsidRDefault="0064170C" w:rsidP="00F7691B">
      <w:pPr>
        <w:pStyle w:val="afa"/>
        <w:ind w:firstLine="480"/>
      </w:pPr>
      <w:r w:rsidRPr="00D630D1">
        <w:rPr>
          <w:rFonts w:hint="eastAsia"/>
        </w:rPr>
        <w:t>根据《达州市人民政府关于落实生态保护红线、环境质量底线、资源利用上线制定生态环境准入清单实施生态分区管控的通知》（达市府发</w:t>
      </w:r>
      <w:r w:rsidRPr="00D630D1">
        <w:rPr>
          <w:rFonts w:hint="eastAsia"/>
        </w:rPr>
        <w:t>[2021]17</w:t>
      </w:r>
      <w:r w:rsidRPr="00D630D1">
        <w:rPr>
          <w:rFonts w:hint="eastAsia"/>
        </w:rPr>
        <w:t>号），本项目不属于优先保护单元和重点管控单元，为一般管控单元，其生态环境管控要求为：执行区域生态环境保护的基本要求，重点加强农业、生活等领域污染治理，本项目施工期采取相应的生态保护措施能够满足区域生态环境保护的基本要求，满足一般管控单元的生态环境管控要求。</w:t>
      </w:r>
    </w:p>
    <w:p w:rsidR="00F7691B" w:rsidRPr="00D630D1" w:rsidRDefault="00F7691B" w:rsidP="00F7691B">
      <w:pPr>
        <w:pStyle w:val="afa"/>
        <w:ind w:firstLine="480"/>
      </w:pPr>
      <w:r w:rsidRPr="00D630D1">
        <w:t>本项目位于达州市</w:t>
      </w:r>
      <w:r w:rsidR="006632F7" w:rsidRPr="00D630D1">
        <w:t>宣汉县</w:t>
      </w:r>
      <w:r w:rsidR="00867450" w:rsidRPr="00867450">
        <w:rPr>
          <w:rFonts w:hint="eastAsia"/>
        </w:rPr>
        <w:t>老君乡和普光镇境内</w:t>
      </w:r>
      <w:r w:rsidRPr="00D630D1">
        <w:t>，查阅相关资料，项目建设区域不属于自然保护区、风景名胜区、饮用水源保护区以及生态保护红线范围等</w:t>
      </w:r>
      <w:r w:rsidR="0064170C" w:rsidRPr="00D630D1">
        <w:rPr>
          <w:rFonts w:hint="eastAsia"/>
        </w:rPr>
        <w:t>，不属于优先保护单元和重点管控单元，为一般管控单元</w:t>
      </w:r>
      <w:r w:rsidRPr="00D630D1">
        <w:t>。项目为天然气输气管线项目，属于鼓励类项目。因此，项目建设满足《四川省长江经济带发展负面清单实施细则（试行）》（川长江办〔</w:t>
      </w:r>
      <w:r w:rsidRPr="00D630D1">
        <w:t>2019</w:t>
      </w:r>
      <w:r w:rsidRPr="00D630D1">
        <w:t>〕</w:t>
      </w:r>
      <w:r w:rsidRPr="00D630D1">
        <w:t>8</w:t>
      </w:r>
      <w:r w:rsidRPr="00D630D1">
        <w:t>号）</w:t>
      </w:r>
      <w:r w:rsidR="0064170C" w:rsidRPr="00D630D1">
        <w:t>和</w:t>
      </w:r>
      <w:r w:rsidR="0064170C" w:rsidRPr="00D630D1">
        <w:rPr>
          <w:rFonts w:hint="eastAsia"/>
        </w:rPr>
        <w:t>《达州市人民政府关于落实生态保护红线、环境质量底线、资源利用上线制定生态环境准入清单实施生态分区管控的通知》（达市府发</w:t>
      </w:r>
      <w:r w:rsidR="0064170C" w:rsidRPr="00D630D1">
        <w:rPr>
          <w:rFonts w:hint="eastAsia"/>
        </w:rPr>
        <w:t>[2021]17</w:t>
      </w:r>
      <w:r w:rsidR="0064170C" w:rsidRPr="00D630D1">
        <w:rPr>
          <w:rFonts w:hint="eastAsia"/>
        </w:rPr>
        <w:t>号）</w:t>
      </w:r>
      <w:r w:rsidRPr="00D630D1">
        <w:t>的相应要求。</w:t>
      </w:r>
    </w:p>
    <w:p w:rsidR="00E37B0F" w:rsidRDefault="00A56456" w:rsidP="00F7691B">
      <w:pPr>
        <w:pStyle w:val="afa"/>
        <w:ind w:firstLine="480"/>
      </w:pPr>
      <w:r w:rsidRPr="00D630D1">
        <w:t>根据</w:t>
      </w:r>
      <w:r w:rsidRPr="00D630D1">
        <w:rPr>
          <w:rFonts w:hint="eastAsia"/>
        </w:rPr>
        <w:t>《长江经济带战略环境评价四川省达州市“三线一单”生态环境分区管控优化完善研究报告》（</w:t>
      </w:r>
      <w:r w:rsidRPr="00D630D1">
        <w:t>达州市生态环境局</w:t>
      </w:r>
      <w:r w:rsidRPr="00D630D1">
        <w:rPr>
          <w:rFonts w:hint="eastAsia"/>
        </w:rPr>
        <w:t>，</w:t>
      </w:r>
      <w:r w:rsidRPr="00D630D1">
        <w:rPr>
          <w:rFonts w:hint="eastAsia"/>
        </w:rPr>
        <w:t>2021</w:t>
      </w:r>
      <w:r w:rsidRPr="00D630D1">
        <w:rPr>
          <w:rFonts w:hint="eastAsia"/>
        </w:rPr>
        <w:t>年</w:t>
      </w:r>
      <w:r w:rsidRPr="00D630D1">
        <w:rPr>
          <w:rFonts w:hint="eastAsia"/>
        </w:rPr>
        <w:t>5</w:t>
      </w:r>
      <w:r w:rsidRPr="00D630D1">
        <w:rPr>
          <w:rFonts w:hint="eastAsia"/>
        </w:rPr>
        <w:t>月）</w:t>
      </w:r>
      <w:r w:rsidR="00FE7B31" w:rsidRPr="00D630D1">
        <w:rPr>
          <w:rFonts w:hint="eastAsia"/>
        </w:rPr>
        <w:t>，本项目所在地属于</w:t>
      </w:r>
      <w:r w:rsidR="00FE7B31" w:rsidRPr="00D630D1">
        <w:rPr>
          <w:bCs/>
        </w:rPr>
        <w:t>宣汉县一般管控单元</w:t>
      </w:r>
      <w:r w:rsidR="00FE7B31" w:rsidRPr="00E37B0F">
        <w:rPr>
          <w:bCs/>
        </w:rPr>
        <w:t>（</w:t>
      </w:r>
      <w:r w:rsidR="00FE7B31" w:rsidRPr="00E37B0F">
        <w:rPr>
          <w:bCs/>
        </w:rPr>
        <w:t>ZH51172230001</w:t>
      </w:r>
      <w:r w:rsidR="00FE7B31" w:rsidRPr="00E37B0F">
        <w:rPr>
          <w:bCs/>
        </w:rPr>
        <w:t>）</w:t>
      </w:r>
      <w:r w:rsidRPr="00D630D1">
        <w:rPr>
          <w:rFonts w:hint="eastAsia"/>
        </w:rPr>
        <w:t>，</w:t>
      </w:r>
      <w:r w:rsidR="00E37B0F" w:rsidRPr="00E37B0F">
        <w:rPr>
          <w:rFonts w:hint="eastAsia"/>
        </w:rPr>
        <w:t>项目与管控单元相对位置</w:t>
      </w:r>
      <w:r w:rsidR="00E37B0F">
        <w:rPr>
          <w:rFonts w:hint="eastAsia"/>
        </w:rPr>
        <w:t>见</w:t>
      </w:r>
      <w:r w:rsidR="00E37B0F" w:rsidRPr="00E37B0F">
        <w:rPr>
          <w:rFonts w:hint="eastAsia"/>
        </w:rPr>
        <w:t>图</w:t>
      </w:r>
      <w:r w:rsidR="00E37B0F">
        <w:rPr>
          <w:rFonts w:hint="eastAsia"/>
        </w:rPr>
        <w:t>1.8-3</w:t>
      </w:r>
      <w:r w:rsidR="00E37B0F">
        <w:rPr>
          <w:rFonts w:hint="eastAsia"/>
        </w:rPr>
        <w:t>。</w:t>
      </w:r>
    </w:p>
    <w:p w:rsidR="00E37B0F" w:rsidRDefault="00E37B0F" w:rsidP="00F7691B">
      <w:pPr>
        <w:pStyle w:val="afa"/>
        <w:ind w:firstLine="480"/>
      </w:pPr>
    </w:p>
    <w:p w:rsidR="00E37B0F" w:rsidRDefault="00E37B0F" w:rsidP="00F7691B">
      <w:pPr>
        <w:pStyle w:val="afa"/>
        <w:ind w:firstLine="480"/>
      </w:pPr>
    </w:p>
    <w:p w:rsidR="00E37B0F" w:rsidRDefault="00E37B0F" w:rsidP="00F7691B">
      <w:pPr>
        <w:pStyle w:val="afa"/>
        <w:ind w:firstLine="480"/>
      </w:pPr>
    </w:p>
    <w:p w:rsidR="00E37B0F" w:rsidRDefault="00E37B0F" w:rsidP="00F7691B">
      <w:pPr>
        <w:pStyle w:val="afa"/>
        <w:ind w:firstLine="480"/>
      </w:pPr>
    </w:p>
    <w:p w:rsidR="00E37B0F" w:rsidRDefault="00E37B0F" w:rsidP="00F7691B">
      <w:pPr>
        <w:pStyle w:val="afa"/>
        <w:ind w:firstLine="480"/>
      </w:pPr>
    </w:p>
    <w:p w:rsidR="00E37B0F" w:rsidRDefault="009913C3" w:rsidP="00E37B0F">
      <w:pPr>
        <w:pStyle w:val="afa"/>
        <w:ind w:firstLineChars="0" w:firstLine="0"/>
        <w:jc w:val="center"/>
      </w:pPr>
      <w:r>
        <w:rPr>
          <w:noProof/>
        </w:rPr>
        <w:lastRenderedPageBreak/>
        <w:pict>
          <v:oval id="_x0000_s1146" style="position:absolute;left:0;text-align:left;margin-left:182.15pt;margin-top:133.35pt;width:4.25pt;height:4.25pt;z-index:251668480" fillcolor="red" strokecolor="red"/>
        </w:pict>
      </w:r>
      <w:r>
        <w:rPr>
          <w:noProof/>
        </w:rPr>
        <w:pict>
          <v:shape id="_x0000_s1145" type="#_x0000_t61" style="position:absolute;left:0;text-align:left;margin-left:86.8pt;margin-top:74.1pt;width:90.95pt;height:2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" adj="22823,52056" filled="f">
            <v:textbox style="mso-next-textbox:#_x0000_s1145">
              <w:txbxContent>
                <w:p w:rsidR="00A62354" w:rsidRPr="000357C8" w:rsidRDefault="00A62354" w:rsidP="00E37B0F">
                  <w:pPr>
                    <w:spacing w:line="240" w:lineRule="auto"/>
                    <w:ind w:firstLineChars="0" w:firstLine="0"/>
                    <w:rPr>
                      <w:sz w:val="21"/>
                      <w:szCs w:val="21"/>
                    </w:rPr>
                  </w:pPr>
                  <w:r w:rsidRPr="000357C8">
                    <w:rPr>
                      <w:rFonts w:hint="eastAsia"/>
                      <w:sz w:val="21"/>
                      <w:szCs w:val="21"/>
                    </w:rPr>
                    <w:t>本项目所在位置</w:t>
                  </w:r>
                </w:p>
              </w:txbxContent>
            </v:textbox>
          </v:shape>
        </w:pict>
      </w:r>
      <w:r w:rsidR="00E37B0F" w:rsidRPr="00E37B0F">
        <w:rPr>
          <w:noProof/>
        </w:rPr>
        <w:drawing>
          <wp:inline distT="0" distB="0" distL="0" distR="0">
            <wp:extent cx="5274310" cy="3441429"/>
            <wp:effectExtent l="19050" t="0" r="2540" b="0"/>
            <wp:docPr id="29" name="图片 23" descr="C:\Users\ADMINI~1.USE\AppData\Local\Temp\1661532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1.USE\AppData\Local\Temp\1661532114(1).jpg"/>
                    <pic:cNvPicPr>
                      <a:picLocks noChangeAspect="1" noChangeArrowheads="1"/>
                    </pic:cNvPicPr>
                  </pic:nvPicPr>
                  <pic:blipFill>
                    <a:blip r:embed="rId25" cstate="print"/>
                    <a:srcRect/>
                    <a:stretch>
                      <a:fillRect/>
                    </a:stretch>
                  </pic:blipFill>
                  <pic:spPr bwMode="auto">
                    <a:xfrm>
                      <a:off x="0" y="0"/>
                      <a:ext cx="5274310" cy="3441429"/>
                    </a:xfrm>
                    <a:prstGeom prst="rect">
                      <a:avLst/>
                    </a:prstGeom>
                    <a:noFill/>
                    <a:ln w="9525">
                      <a:noFill/>
                      <a:miter lim="800000"/>
                      <a:headEnd/>
                      <a:tailEnd/>
                    </a:ln>
                  </pic:spPr>
                </pic:pic>
              </a:graphicData>
            </a:graphic>
          </wp:inline>
        </w:drawing>
      </w:r>
    </w:p>
    <w:p w:rsidR="00E37B0F" w:rsidRPr="00E37B0F" w:rsidRDefault="00E37B0F" w:rsidP="00E37B0F">
      <w:pPr>
        <w:pStyle w:val="afa"/>
        <w:ind w:firstLine="482"/>
        <w:jc w:val="center"/>
        <w:rPr>
          <w:b/>
        </w:rPr>
      </w:pPr>
      <w:r w:rsidRPr="00E37B0F">
        <w:rPr>
          <w:rFonts w:hint="eastAsia"/>
          <w:b/>
        </w:rPr>
        <w:t>图</w:t>
      </w:r>
      <w:r w:rsidRPr="00E37B0F">
        <w:rPr>
          <w:rFonts w:hint="eastAsia"/>
          <w:b/>
        </w:rPr>
        <w:t>1.8-</w:t>
      </w:r>
      <w:r>
        <w:rPr>
          <w:rFonts w:hint="eastAsia"/>
          <w:b/>
        </w:rPr>
        <w:t xml:space="preserve">3  </w:t>
      </w:r>
      <w:r w:rsidRPr="00E37B0F">
        <w:rPr>
          <w:rFonts w:hint="eastAsia"/>
          <w:b/>
        </w:rPr>
        <w:t>项目与达州市环境管控单元位置关系图</w:t>
      </w:r>
    </w:p>
    <w:p w:rsidR="00A56456" w:rsidRPr="00D630D1" w:rsidRDefault="00A56456" w:rsidP="00F7691B">
      <w:pPr>
        <w:pStyle w:val="afa"/>
        <w:ind w:firstLine="480"/>
      </w:pPr>
      <w:r w:rsidRPr="00D630D1">
        <w:rPr>
          <w:rFonts w:hint="eastAsia"/>
        </w:rPr>
        <w:t>本项目与达州市“三线一单”符合性分析见表</w:t>
      </w:r>
      <w:r w:rsidRPr="00D630D1">
        <w:rPr>
          <w:rFonts w:hint="eastAsia"/>
        </w:rPr>
        <w:t>1.8-</w:t>
      </w:r>
      <w:r w:rsidR="00FC49BC" w:rsidRPr="00D630D1">
        <w:rPr>
          <w:rFonts w:hint="eastAsia"/>
        </w:rPr>
        <w:t>5</w:t>
      </w:r>
      <w:r w:rsidRPr="00D630D1">
        <w:rPr>
          <w:rFonts w:hint="eastAsia"/>
        </w:rPr>
        <w:t>。</w:t>
      </w:r>
    </w:p>
    <w:p w:rsidR="00A56456" w:rsidRPr="00D630D1" w:rsidRDefault="00A56456" w:rsidP="00A56456">
      <w:pPr>
        <w:pStyle w:val="10"/>
        <w:rPr>
          <w:rFonts w:cs="Times New Roman"/>
        </w:rPr>
      </w:pPr>
      <w:r w:rsidRPr="00D630D1">
        <w:rPr>
          <w:rFonts w:cs="Times New Roman"/>
        </w:rPr>
        <w:t>表</w:t>
      </w:r>
      <w:r w:rsidRPr="00D630D1">
        <w:rPr>
          <w:rFonts w:cs="Times New Roman"/>
        </w:rPr>
        <w:t>1.8-</w:t>
      </w:r>
      <w:r w:rsidR="009161F1" w:rsidRPr="00D630D1">
        <w:rPr>
          <w:rFonts w:cs="Times New Roman" w:hint="eastAsia"/>
        </w:rPr>
        <w:t>5</w:t>
      </w:r>
      <w:r w:rsidRPr="00D630D1">
        <w:rPr>
          <w:rFonts w:cs="Times New Roman"/>
        </w:rPr>
        <w:t xml:space="preserve">  </w:t>
      </w:r>
      <w:r w:rsidRPr="00D630D1">
        <w:rPr>
          <w:rFonts w:cs="Times New Roman"/>
        </w:rPr>
        <w:t>与</w:t>
      </w:r>
      <w:r w:rsidRPr="00D630D1">
        <w:rPr>
          <w:rFonts w:cs="Times New Roman" w:hint="eastAsia"/>
        </w:rPr>
        <w:t>达州市“三线一单”符合性</w:t>
      </w:r>
    </w:p>
    <w:tbl>
      <w:tblPr>
        <w:tblW w:w="8732" w:type="dxa"/>
        <w:jc w:val="center"/>
        <w:tblBorders>
          <w:top w:val="single" w:sz="12" w:space="0" w:color="auto"/>
          <w:bottom w:val="single" w:sz="12" w:space="0" w:color="auto"/>
          <w:insideH w:val="single" w:sz="4" w:space="0" w:color="auto"/>
          <w:insideV w:val="single" w:sz="4" w:space="0" w:color="auto"/>
        </w:tblBorders>
        <w:tblLook w:val="0000"/>
      </w:tblPr>
      <w:tblGrid>
        <w:gridCol w:w="1966"/>
        <w:gridCol w:w="941"/>
        <w:gridCol w:w="992"/>
        <w:gridCol w:w="2693"/>
        <w:gridCol w:w="1418"/>
        <w:gridCol w:w="722"/>
      </w:tblGrid>
      <w:tr w:rsidR="00594FDC" w:rsidRPr="00D630D1" w:rsidTr="00D4562D">
        <w:trPr>
          <w:trHeight w:val="274"/>
          <w:tblHeader/>
          <w:jc w:val="center"/>
        </w:trPr>
        <w:tc>
          <w:tcPr>
            <w:tcW w:w="6592" w:type="dxa"/>
            <w:gridSpan w:val="4"/>
            <w:vAlign w:val="center"/>
          </w:tcPr>
          <w:p w:rsidR="00594FDC" w:rsidRPr="00D630D1" w:rsidRDefault="00594FDC" w:rsidP="00DF5313">
            <w:pPr>
              <w:pStyle w:val="10"/>
              <w:spacing w:line="240" w:lineRule="auto"/>
              <w:rPr>
                <w:rFonts w:cs="Times New Roman"/>
              </w:rPr>
            </w:pPr>
            <w:r w:rsidRPr="00D630D1">
              <w:rPr>
                <w:rFonts w:cs="Times New Roman" w:hint="eastAsia"/>
              </w:rPr>
              <w:t>“三线一单”具体要求</w:t>
            </w:r>
          </w:p>
        </w:tc>
        <w:tc>
          <w:tcPr>
            <w:tcW w:w="1418" w:type="dxa"/>
            <w:vMerge w:val="restart"/>
            <w:vAlign w:val="center"/>
          </w:tcPr>
          <w:p w:rsidR="00594FDC" w:rsidRPr="00D630D1" w:rsidRDefault="00594FDC" w:rsidP="00DF5313">
            <w:pPr>
              <w:pStyle w:val="10"/>
              <w:spacing w:line="240" w:lineRule="auto"/>
              <w:rPr>
                <w:rFonts w:cs="Times New Roman"/>
              </w:rPr>
            </w:pPr>
            <w:r w:rsidRPr="00D630D1">
              <w:rPr>
                <w:rFonts w:cs="Times New Roman" w:hint="eastAsia"/>
              </w:rPr>
              <w:t>本</w:t>
            </w:r>
            <w:r w:rsidRPr="00D630D1">
              <w:rPr>
                <w:rFonts w:cs="Times New Roman"/>
              </w:rPr>
              <w:t>项目情况</w:t>
            </w:r>
          </w:p>
        </w:tc>
        <w:tc>
          <w:tcPr>
            <w:tcW w:w="722" w:type="dxa"/>
            <w:vMerge w:val="restart"/>
            <w:vAlign w:val="center"/>
          </w:tcPr>
          <w:p w:rsidR="00594FDC" w:rsidRPr="00D630D1" w:rsidRDefault="00594FDC" w:rsidP="00DF5313">
            <w:pPr>
              <w:pStyle w:val="10"/>
              <w:spacing w:line="240" w:lineRule="auto"/>
              <w:rPr>
                <w:rFonts w:cs="Times New Roman"/>
              </w:rPr>
            </w:pPr>
            <w:r w:rsidRPr="00D630D1">
              <w:rPr>
                <w:rFonts w:cs="Times New Roman"/>
              </w:rPr>
              <w:t>符合性</w:t>
            </w:r>
          </w:p>
        </w:tc>
      </w:tr>
      <w:tr w:rsidR="00594FDC" w:rsidRPr="00D630D1" w:rsidTr="00D4562D">
        <w:trPr>
          <w:trHeight w:val="274"/>
          <w:tblHeader/>
          <w:jc w:val="center"/>
        </w:trPr>
        <w:tc>
          <w:tcPr>
            <w:tcW w:w="3899" w:type="dxa"/>
            <w:gridSpan w:val="3"/>
            <w:vAlign w:val="center"/>
          </w:tcPr>
          <w:p w:rsidR="00594FDC" w:rsidRPr="00D630D1" w:rsidRDefault="00594FDC" w:rsidP="00DF5313">
            <w:pPr>
              <w:pStyle w:val="10"/>
              <w:spacing w:line="240" w:lineRule="auto"/>
              <w:rPr>
                <w:rFonts w:cs="Times New Roman"/>
              </w:rPr>
            </w:pPr>
            <w:r w:rsidRPr="00D630D1">
              <w:rPr>
                <w:rFonts w:cs="Times New Roman" w:hint="eastAsia"/>
              </w:rPr>
              <w:t>类别</w:t>
            </w:r>
          </w:p>
        </w:tc>
        <w:tc>
          <w:tcPr>
            <w:tcW w:w="2693" w:type="dxa"/>
            <w:vAlign w:val="center"/>
          </w:tcPr>
          <w:p w:rsidR="00594FDC" w:rsidRPr="00D630D1" w:rsidRDefault="00594FDC" w:rsidP="00DF5313">
            <w:pPr>
              <w:pStyle w:val="10"/>
              <w:spacing w:line="240" w:lineRule="auto"/>
              <w:rPr>
                <w:rFonts w:cs="Times New Roman"/>
              </w:rPr>
            </w:pPr>
            <w:r w:rsidRPr="00D630D1">
              <w:rPr>
                <w:rFonts w:cs="Times New Roman" w:hint="eastAsia"/>
              </w:rPr>
              <w:t>对应管控要求</w:t>
            </w:r>
          </w:p>
        </w:tc>
        <w:tc>
          <w:tcPr>
            <w:tcW w:w="1418" w:type="dxa"/>
            <w:vMerge/>
            <w:vAlign w:val="center"/>
          </w:tcPr>
          <w:p w:rsidR="00594FDC" w:rsidRPr="00D630D1" w:rsidRDefault="00594FDC" w:rsidP="00DF5313">
            <w:pPr>
              <w:pStyle w:val="10"/>
              <w:spacing w:line="240" w:lineRule="auto"/>
              <w:rPr>
                <w:rFonts w:cs="Times New Roman"/>
              </w:rPr>
            </w:pPr>
          </w:p>
        </w:tc>
        <w:tc>
          <w:tcPr>
            <w:tcW w:w="722" w:type="dxa"/>
            <w:vMerge/>
            <w:vAlign w:val="center"/>
          </w:tcPr>
          <w:p w:rsidR="00594FDC" w:rsidRPr="00D630D1" w:rsidRDefault="00594FDC" w:rsidP="00DF5313">
            <w:pPr>
              <w:pStyle w:val="10"/>
              <w:spacing w:line="240" w:lineRule="auto"/>
              <w:rPr>
                <w:rFonts w:cs="Times New Roman"/>
              </w:rPr>
            </w:pPr>
          </w:p>
        </w:tc>
      </w:tr>
      <w:tr w:rsidR="00594FDC" w:rsidRPr="00D630D1" w:rsidTr="00D4562D">
        <w:trPr>
          <w:trHeight w:val="843"/>
          <w:jc w:val="center"/>
        </w:trPr>
        <w:tc>
          <w:tcPr>
            <w:tcW w:w="1966" w:type="dxa"/>
            <w:vMerge w:val="restart"/>
            <w:vAlign w:val="center"/>
          </w:tcPr>
          <w:p w:rsidR="00594FDC" w:rsidRPr="00D630D1" w:rsidRDefault="00594FDC" w:rsidP="00DF5313">
            <w:pPr>
              <w:pStyle w:val="10"/>
              <w:spacing w:line="240" w:lineRule="auto"/>
              <w:rPr>
                <w:rFonts w:cs="Times New Roman"/>
                <w:b w:val="0"/>
                <w:bCs/>
              </w:rPr>
            </w:pPr>
            <w:r w:rsidRPr="00D630D1">
              <w:rPr>
                <w:rFonts w:cs="Times New Roman"/>
                <w:b w:val="0"/>
                <w:bCs/>
              </w:rPr>
              <w:t>宣汉县一般管控单元</w:t>
            </w:r>
            <w:r w:rsidRPr="00D630D1">
              <w:rPr>
                <w:rFonts w:cs="Times New Roman" w:hint="eastAsia"/>
                <w:b w:val="0"/>
                <w:bCs/>
              </w:rPr>
              <w:t>（</w:t>
            </w:r>
            <w:r w:rsidRPr="00D630D1">
              <w:rPr>
                <w:rFonts w:cs="Times New Roman"/>
                <w:b w:val="0"/>
                <w:bCs/>
              </w:rPr>
              <w:t>ZH51172230001</w:t>
            </w:r>
            <w:r w:rsidRPr="00D630D1">
              <w:rPr>
                <w:rFonts w:cs="Times New Roman" w:hint="eastAsia"/>
                <w:b w:val="0"/>
                <w:bCs/>
              </w:rPr>
              <w:t>）</w:t>
            </w:r>
          </w:p>
        </w:tc>
        <w:tc>
          <w:tcPr>
            <w:tcW w:w="941" w:type="dxa"/>
            <w:vMerge w:val="restart"/>
            <w:vAlign w:val="center"/>
          </w:tcPr>
          <w:p w:rsidR="00594FDC" w:rsidRPr="00D630D1" w:rsidRDefault="00594FDC" w:rsidP="00DF5313">
            <w:pPr>
              <w:pStyle w:val="10"/>
              <w:spacing w:line="240" w:lineRule="auto"/>
              <w:rPr>
                <w:rFonts w:cs="Times New Roman"/>
                <w:b w:val="0"/>
                <w:bCs/>
              </w:rPr>
            </w:pPr>
            <w:r w:rsidRPr="00D630D1">
              <w:rPr>
                <w:rFonts w:cs="Times New Roman" w:hint="eastAsia"/>
                <w:b w:val="0"/>
                <w:bCs/>
              </w:rPr>
              <w:t>普适性清单管控要求</w:t>
            </w:r>
          </w:p>
        </w:tc>
        <w:tc>
          <w:tcPr>
            <w:tcW w:w="992" w:type="dxa"/>
            <w:vMerge w:val="restart"/>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空间布局约束</w:t>
            </w:r>
          </w:p>
        </w:tc>
        <w:tc>
          <w:tcPr>
            <w:tcW w:w="2693" w:type="dxa"/>
            <w:vAlign w:val="center"/>
          </w:tcPr>
          <w:p w:rsidR="00594FDC" w:rsidRPr="00D630D1" w:rsidRDefault="00594FDC" w:rsidP="00FF36BE">
            <w:pPr>
              <w:pStyle w:val="10"/>
              <w:spacing w:line="240" w:lineRule="auto"/>
              <w:rPr>
                <w:rFonts w:cs="Times New Roman"/>
                <w:b w:val="0"/>
                <w:bCs/>
              </w:rPr>
            </w:pPr>
            <w:r w:rsidRPr="00D630D1">
              <w:rPr>
                <w:rFonts w:cs="Times New Roman"/>
                <w:b w:val="0"/>
                <w:bCs/>
              </w:rPr>
              <w:t>禁止开发建设活动的要求</w:t>
            </w:r>
            <w:r w:rsidRPr="00D630D1">
              <w:rPr>
                <w:rFonts w:cs="Times New Roman" w:hint="eastAsia"/>
                <w:b w:val="0"/>
                <w:bCs/>
              </w:rPr>
              <w:t>：</w:t>
            </w:r>
          </w:p>
          <w:p w:rsidR="00594FDC" w:rsidRPr="00D630D1" w:rsidRDefault="00594FDC" w:rsidP="00FF36BE">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禁止在长江干支流</w:t>
            </w:r>
            <w:r w:rsidRPr="00D630D1">
              <w:rPr>
                <w:rFonts w:cs="Times New Roman" w:hint="eastAsia"/>
                <w:b w:val="0"/>
                <w:bCs/>
              </w:rPr>
              <w:t>1</w:t>
            </w:r>
            <w:r w:rsidRPr="00D630D1">
              <w:rPr>
                <w:rFonts w:cs="Times New Roman" w:hint="eastAsia"/>
                <w:b w:val="0"/>
                <w:bCs/>
              </w:rPr>
              <w:t>公里范围内新建、扩建化工园区和化工项目。</w:t>
            </w:r>
          </w:p>
          <w:p w:rsidR="00594FDC" w:rsidRPr="00D630D1" w:rsidRDefault="00594FDC" w:rsidP="00FF36BE">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禁止在法律法规规定的禁采区内新建矿山；禁止土法采、选、冶严重污染环境的矿产资源。</w:t>
            </w:r>
          </w:p>
          <w:p w:rsidR="00594FDC" w:rsidRPr="00D630D1" w:rsidRDefault="00594FDC" w:rsidP="00FF36BE">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涉及永久基本农田的区域，除法律规定的重点建设项目选址确实无法避让外，其他任何建设不得占用。</w:t>
            </w:r>
          </w:p>
          <w:p w:rsidR="00594FDC" w:rsidRPr="00D630D1" w:rsidRDefault="00594FDC" w:rsidP="00FF36BE">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禁止在长江流域河湖管理范围内倾倒、填埋、堆放、弃置、处理固体废物。</w:t>
            </w:r>
          </w:p>
        </w:tc>
        <w:tc>
          <w:tcPr>
            <w:tcW w:w="1418" w:type="dxa"/>
            <w:vAlign w:val="center"/>
          </w:tcPr>
          <w:p w:rsidR="00594FDC" w:rsidRPr="00D630D1" w:rsidRDefault="00594FDC" w:rsidP="00D4562D">
            <w:pPr>
              <w:pStyle w:val="10"/>
              <w:spacing w:line="240" w:lineRule="auto"/>
              <w:rPr>
                <w:rFonts w:cs="Times New Roman"/>
                <w:b w:val="0"/>
                <w:bCs/>
              </w:rPr>
            </w:pPr>
            <w:r w:rsidRPr="00D630D1">
              <w:rPr>
                <w:rFonts w:cs="Times New Roman"/>
                <w:b w:val="0"/>
                <w:bCs/>
              </w:rPr>
              <w:t>本项目位于</w:t>
            </w:r>
            <w:r w:rsidR="00867450" w:rsidRPr="00867450">
              <w:rPr>
                <w:rFonts w:cs="Times New Roman" w:hint="eastAsia"/>
                <w:b w:val="0"/>
                <w:bCs/>
              </w:rPr>
              <w:t>宣汉县老君乡和普光镇境内</w:t>
            </w:r>
            <w:r w:rsidRPr="00D630D1">
              <w:rPr>
                <w:rFonts w:cs="Times New Roman"/>
                <w:b w:val="0"/>
                <w:bCs/>
              </w:rPr>
              <w:t>，占地</w:t>
            </w:r>
            <w:r w:rsidRPr="00D630D1">
              <w:rPr>
                <w:rFonts w:cs="Times New Roman" w:hint="eastAsia"/>
                <w:b w:val="0"/>
                <w:bCs/>
              </w:rPr>
              <w:t>不涉及永久基本农田，不属于</w:t>
            </w:r>
            <w:r w:rsidRPr="00D630D1">
              <w:rPr>
                <w:rFonts w:cs="Times New Roman"/>
                <w:b w:val="0"/>
                <w:bCs/>
              </w:rPr>
              <w:t>禁止开发建设活动</w:t>
            </w:r>
            <w:r w:rsidRPr="00D630D1">
              <w:rPr>
                <w:rFonts w:cs="Times New Roman" w:hint="eastAsia"/>
                <w:b w:val="0"/>
                <w:bCs/>
              </w:rPr>
              <w:t>。</w:t>
            </w:r>
          </w:p>
        </w:tc>
        <w:tc>
          <w:tcPr>
            <w:tcW w:w="72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符合</w:t>
            </w:r>
          </w:p>
        </w:tc>
      </w:tr>
      <w:tr w:rsidR="00594FDC" w:rsidRPr="00D630D1" w:rsidTr="00D4562D">
        <w:trPr>
          <w:trHeight w:val="843"/>
          <w:jc w:val="center"/>
        </w:trPr>
        <w:tc>
          <w:tcPr>
            <w:tcW w:w="1966" w:type="dxa"/>
            <w:vMerge/>
            <w:vAlign w:val="center"/>
          </w:tcPr>
          <w:p w:rsidR="00594FDC" w:rsidRPr="00D630D1" w:rsidRDefault="00594FDC" w:rsidP="00DF5313">
            <w:pPr>
              <w:pStyle w:val="10"/>
              <w:spacing w:line="240" w:lineRule="auto"/>
              <w:rPr>
                <w:rFonts w:cs="Times New Roman"/>
                <w:b w:val="0"/>
                <w:bCs/>
              </w:rPr>
            </w:pPr>
          </w:p>
        </w:tc>
        <w:tc>
          <w:tcPr>
            <w:tcW w:w="941" w:type="dxa"/>
            <w:vMerge/>
            <w:vAlign w:val="center"/>
          </w:tcPr>
          <w:p w:rsidR="00594FDC" w:rsidRPr="00D630D1" w:rsidRDefault="00594FDC" w:rsidP="00DF5313">
            <w:pPr>
              <w:pStyle w:val="10"/>
              <w:spacing w:line="240" w:lineRule="auto"/>
              <w:rPr>
                <w:rFonts w:cs="Times New Roman"/>
                <w:b w:val="0"/>
                <w:bCs/>
              </w:rPr>
            </w:pPr>
          </w:p>
        </w:tc>
        <w:tc>
          <w:tcPr>
            <w:tcW w:w="992" w:type="dxa"/>
            <w:vMerge/>
            <w:vAlign w:val="center"/>
          </w:tcPr>
          <w:p w:rsidR="00594FDC" w:rsidRPr="00D630D1" w:rsidRDefault="00594FDC" w:rsidP="00DF5313">
            <w:pPr>
              <w:pStyle w:val="10"/>
              <w:spacing w:line="240" w:lineRule="auto"/>
              <w:rPr>
                <w:rFonts w:cs="Times New Roman"/>
                <w:b w:val="0"/>
                <w:bCs/>
              </w:rPr>
            </w:pPr>
          </w:p>
        </w:tc>
        <w:tc>
          <w:tcPr>
            <w:tcW w:w="2693" w:type="dxa"/>
            <w:vAlign w:val="center"/>
          </w:tcPr>
          <w:p w:rsidR="00594FDC" w:rsidRPr="00D630D1" w:rsidRDefault="00594FDC" w:rsidP="00D4562D">
            <w:pPr>
              <w:pStyle w:val="10"/>
              <w:spacing w:line="240" w:lineRule="auto"/>
              <w:rPr>
                <w:rFonts w:cs="Times New Roman"/>
                <w:b w:val="0"/>
                <w:bCs/>
              </w:rPr>
            </w:pPr>
            <w:r w:rsidRPr="00D630D1">
              <w:rPr>
                <w:rFonts w:cs="Times New Roman"/>
                <w:b w:val="0"/>
                <w:bCs/>
              </w:rPr>
              <w:t>限制开发建设活动的要求</w:t>
            </w:r>
            <w:r w:rsidRPr="00D630D1">
              <w:rPr>
                <w:rFonts w:cs="Times New Roman" w:hint="eastAsia"/>
                <w:b w:val="0"/>
                <w:bCs/>
              </w:rPr>
              <w:t>：</w:t>
            </w:r>
            <w:r w:rsidRPr="00D630D1">
              <w:rPr>
                <w:rFonts w:cs="Times New Roman" w:hint="eastAsia"/>
                <w:b w:val="0"/>
                <w:bCs/>
              </w:rPr>
              <w:t>-</w:t>
            </w:r>
            <w:r w:rsidRPr="00D630D1">
              <w:rPr>
                <w:rFonts w:cs="Times New Roman" w:hint="eastAsia"/>
                <w:b w:val="0"/>
                <w:bCs/>
              </w:rPr>
              <w:t>按照相关要求严控水泥新增产能。</w:t>
            </w:r>
          </w:p>
          <w:p w:rsidR="00594FDC" w:rsidRPr="00D630D1" w:rsidRDefault="00594FDC" w:rsidP="00D4562D">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涉及法定保护地，严格按</w:t>
            </w:r>
            <w:r w:rsidRPr="00D630D1">
              <w:rPr>
                <w:rFonts w:cs="Times New Roman" w:hint="eastAsia"/>
                <w:b w:val="0"/>
                <w:bCs/>
              </w:rPr>
              <w:lastRenderedPageBreak/>
              <w:t>照国家及地方法律法规、管理办法等相关要求进行控制。配套旅游、基础设施等建设项目，在符合规划和相关保护要求的前提下，应实施生态避让、减缓影响及生态恢复措施。</w:t>
            </w:r>
          </w:p>
          <w:p w:rsidR="00594FDC" w:rsidRPr="00D630D1" w:rsidRDefault="00594FDC" w:rsidP="00D4562D">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按照相关要求严控水泥新增产能。</w:t>
            </w:r>
          </w:p>
          <w:p w:rsidR="00594FDC" w:rsidRPr="00D630D1" w:rsidRDefault="00594FDC" w:rsidP="00D4562D">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禁止在长江干流岸线三公里范围内和重要支流岸线一公里范围内新建、改建、扩建尾矿库；但是以提升安全、生态环境保护水平为目的的改建除外。</w:t>
            </w:r>
          </w:p>
          <w:p w:rsidR="00594FDC" w:rsidRPr="00D630D1" w:rsidRDefault="00594FDC" w:rsidP="00D4562D">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单元内若新布局工业园区，应结合区域环境特点、三线成果、园区产业类别，充分论证选址的环境合理性。</w:t>
            </w:r>
          </w:p>
        </w:tc>
        <w:tc>
          <w:tcPr>
            <w:tcW w:w="1418" w:type="dxa"/>
            <w:vAlign w:val="center"/>
          </w:tcPr>
          <w:p w:rsidR="00594FDC" w:rsidRPr="00D630D1" w:rsidRDefault="00594FDC" w:rsidP="00FF36BE">
            <w:pPr>
              <w:pStyle w:val="10"/>
              <w:spacing w:line="240" w:lineRule="auto"/>
              <w:rPr>
                <w:rFonts w:cs="Times New Roman"/>
                <w:b w:val="0"/>
                <w:bCs/>
              </w:rPr>
            </w:pPr>
            <w:r w:rsidRPr="00D630D1">
              <w:rPr>
                <w:rFonts w:cs="Times New Roman"/>
                <w:b w:val="0"/>
                <w:bCs/>
              </w:rPr>
              <w:lastRenderedPageBreak/>
              <w:t>项目属于天然气</w:t>
            </w:r>
            <w:r w:rsidR="00586C59" w:rsidRPr="00D630D1">
              <w:rPr>
                <w:rFonts w:cs="Times New Roman" w:hint="eastAsia"/>
                <w:b w:val="0"/>
                <w:bCs/>
              </w:rPr>
              <w:t>开采</w:t>
            </w:r>
            <w:r w:rsidR="00B11B9F" w:rsidRPr="00D630D1">
              <w:rPr>
                <w:rFonts w:cs="Times New Roman"/>
                <w:b w:val="0"/>
                <w:bCs/>
              </w:rPr>
              <w:t>和</w:t>
            </w:r>
            <w:r w:rsidRPr="00D630D1">
              <w:rPr>
                <w:rFonts w:cs="Times New Roman"/>
                <w:b w:val="0"/>
                <w:bCs/>
              </w:rPr>
              <w:t>内部集输工程</w:t>
            </w:r>
            <w:r w:rsidRPr="00D630D1">
              <w:rPr>
                <w:rFonts w:cs="Times New Roman" w:hint="eastAsia"/>
                <w:b w:val="0"/>
                <w:bCs/>
              </w:rPr>
              <w:t>，不属于</w:t>
            </w:r>
            <w:r w:rsidRPr="00D630D1">
              <w:rPr>
                <w:rFonts w:cs="Times New Roman"/>
                <w:b w:val="0"/>
                <w:bCs/>
              </w:rPr>
              <w:t>限</w:t>
            </w:r>
            <w:r w:rsidRPr="00D630D1">
              <w:rPr>
                <w:rFonts w:cs="Times New Roman"/>
                <w:b w:val="0"/>
                <w:bCs/>
              </w:rPr>
              <w:lastRenderedPageBreak/>
              <w:t>制开发建设活动</w:t>
            </w:r>
            <w:r w:rsidRPr="00D630D1">
              <w:rPr>
                <w:rFonts w:cs="Times New Roman" w:hint="eastAsia"/>
                <w:b w:val="0"/>
                <w:bCs/>
              </w:rPr>
              <w:t>。</w:t>
            </w:r>
          </w:p>
        </w:tc>
        <w:tc>
          <w:tcPr>
            <w:tcW w:w="72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lastRenderedPageBreak/>
              <w:t>符合</w:t>
            </w:r>
          </w:p>
        </w:tc>
      </w:tr>
      <w:tr w:rsidR="00594FDC" w:rsidRPr="00D630D1" w:rsidTr="00D4562D">
        <w:trPr>
          <w:trHeight w:val="843"/>
          <w:jc w:val="center"/>
        </w:trPr>
        <w:tc>
          <w:tcPr>
            <w:tcW w:w="1966" w:type="dxa"/>
            <w:vMerge/>
            <w:vAlign w:val="center"/>
          </w:tcPr>
          <w:p w:rsidR="00594FDC" w:rsidRPr="00D630D1" w:rsidRDefault="00594FDC" w:rsidP="00DF5313">
            <w:pPr>
              <w:pStyle w:val="10"/>
              <w:spacing w:line="240" w:lineRule="auto"/>
              <w:rPr>
                <w:rFonts w:cs="Times New Roman"/>
                <w:b w:val="0"/>
                <w:bCs/>
              </w:rPr>
            </w:pPr>
          </w:p>
        </w:tc>
        <w:tc>
          <w:tcPr>
            <w:tcW w:w="941" w:type="dxa"/>
            <w:vMerge/>
            <w:vAlign w:val="center"/>
          </w:tcPr>
          <w:p w:rsidR="00594FDC" w:rsidRPr="00D630D1" w:rsidRDefault="00594FDC" w:rsidP="00DF5313">
            <w:pPr>
              <w:pStyle w:val="10"/>
              <w:spacing w:line="240" w:lineRule="auto"/>
              <w:rPr>
                <w:rFonts w:cs="Times New Roman"/>
                <w:b w:val="0"/>
                <w:bCs/>
              </w:rPr>
            </w:pPr>
          </w:p>
        </w:tc>
        <w:tc>
          <w:tcPr>
            <w:tcW w:w="992" w:type="dxa"/>
            <w:vMerge/>
            <w:vAlign w:val="center"/>
          </w:tcPr>
          <w:p w:rsidR="00594FDC" w:rsidRPr="00D630D1" w:rsidRDefault="00594FDC" w:rsidP="00DF5313">
            <w:pPr>
              <w:pStyle w:val="10"/>
              <w:spacing w:line="240" w:lineRule="auto"/>
              <w:rPr>
                <w:rFonts w:cs="Times New Roman"/>
                <w:b w:val="0"/>
                <w:bCs/>
              </w:rPr>
            </w:pPr>
          </w:p>
        </w:tc>
        <w:tc>
          <w:tcPr>
            <w:tcW w:w="2693" w:type="dxa"/>
            <w:vAlign w:val="center"/>
          </w:tcPr>
          <w:p w:rsidR="00594FDC" w:rsidRPr="00D630D1" w:rsidRDefault="00594FDC" w:rsidP="00D4562D">
            <w:pPr>
              <w:pStyle w:val="10"/>
              <w:spacing w:line="240" w:lineRule="auto"/>
              <w:rPr>
                <w:rFonts w:cs="Times New Roman"/>
                <w:b w:val="0"/>
                <w:bCs/>
              </w:rPr>
            </w:pPr>
            <w:r w:rsidRPr="00D630D1">
              <w:rPr>
                <w:rFonts w:cs="Times New Roman"/>
                <w:b w:val="0"/>
                <w:bCs/>
              </w:rPr>
              <w:t>不符合空间布局要求活动的退出要求</w:t>
            </w:r>
            <w:r w:rsidRPr="00D630D1">
              <w:rPr>
                <w:rFonts w:cs="Times New Roman" w:hint="eastAsia"/>
                <w:b w:val="0"/>
                <w:bCs/>
              </w:rPr>
              <w:t>：</w:t>
            </w:r>
            <w:r w:rsidRPr="00D630D1">
              <w:rPr>
                <w:rFonts w:cs="Times New Roman" w:hint="eastAsia"/>
                <w:b w:val="0"/>
                <w:bCs/>
              </w:rPr>
              <w:t>-</w:t>
            </w:r>
            <w:r w:rsidRPr="00D630D1">
              <w:rPr>
                <w:rFonts w:cs="Times New Roman" w:hint="eastAsia"/>
                <w:b w:val="0"/>
                <w:bCs/>
              </w:rPr>
              <w:t>针对现有水泥企业，强化污染治理和污染物减排，依法依规整治或搬迁。</w:t>
            </w:r>
          </w:p>
          <w:p w:rsidR="00594FDC" w:rsidRPr="00D630D1" w:rsidRDefault="00594FDC" w:rsidP="00D4562D">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全面取缔禁养区内规模化畜禽养殖场。</w:t>
            </w:r>
          </w:p>
          <w:p w:rsidR="00594FDC" w:rsidRPr="00D630D1" w:rsidRDefault="00594FDC" w:rsidP="00D4562D">
            <w:pPr>
              <w:pStyle w:val="10"/>
              <w:spacing w:line="240" w:lineRule="auto"/>
              <w:rPr>
                <w:rFonts w:cs="Times New Roman"/>
                <w:b w:val="0"/>
                <w:bCs/>
              </w:rPr>
            </w:pPr>
            <w:r w:rsidRPr="00D630D1">
              <w:rPr>
                <w:rFonts w:cs="Times New Roman" w:hint="eastAsia"/>
                <w:b w:val="0"/>
                <w:bCs/>
              </w:rPr>
              <w:t>-2025</w:t>
            </w:r>
            <w:r w:rsidRPr="00D630D1">
              <w:rPr>
                <w:rFonts w:cs="Times New Roman" w:hint="eastAsia"/>
                <w:b w:val="0"/>
                <w:bCs/>
              </w:rPr>
              <w:t>年基本完成全域内“散乱污”企业整治工作。</w:t>
            </w:r>
          </w:p>
        </w:tc>
        <w:tc>
          <w:tcPr>
            <w:tcW w:w="1418" w:type="dxa"/>
            <w:vAlign w:val="center"/>
          </w:tcPr>
          <w:p w:rsidR="00594FDC" w:rsidRPr="00D630D1" w:rsidRDefault="00594FDC" w:rsidP="00B11B9F">
            <w:pPr>
              <w:pStyle w:val="10"/>
              <w:spacing w:line="240" w:lineRule="auto"/>
              <w:rPr>
                <w:rFonts w:cs="Times New Roman"/>
                <w:b w:val="0"/>
                <w:bCs/>
              </w:rPr>
            </w:pPr>
            <w:r w:rsidRPr="00D630D1">
              <w:rPr>
                <w:rFonts w:cs="Times New Roman"/>
                <w:b w:val="0"/>
                <w:bCs/>
              </w:rPr>
              <w:t>项目属于天然气</w:t>
            </w:r>
            <w:r w:rsidR="00586C59" w:rsidRPr="00D630D1">
              <w:rPr>
                <w:rFonts w:cs="Times New Roman" w:hint="eastAsia"/>
                <w:b w:val="0"/>
                <w:bCs/>
              </w:rPr>
              <w:t>开采</w:t>
            </w:r>
            <w:r w:rsidR="00B11B9F" w:rsidRPr="00D630D1">
              <w:rPr>
                <w:rFonts w:cs="Times New Roman"/>
                <w:b w:val="0"/>
                <w:bCs/>
              </w:rPr>
              <w:t>和</w:t>
            </w:r>
            <w:r w:rsidRPr="00D630D1">
              <w:rPr>
                <w:rFonts w:cs="Times New Roman"/>
                <w:b w:val="0"/>
                <w:bCs/>
              </w:rPr>
              <w:t>内部集输工程</w:t>
            </w:r>
            <w:r w:rsidRPr="00D630D1">
              <w:rPr>
                <w:rFonts w:cs="Times New Roman" w:hint="eastAsia"/>
                <w:b w:val="0"/>
                <w:bCs/>
              </w:rPr>
              <w:t>，不属于“散乱污”企业。</w:t>
            </w:r>
          </w:p>
        </w:tc>
        <w:tc>
          <w:tcPr>
            <w:tcW w:w="72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符合</w:t>
            </w:r>
          </w:p>
        </w:tc>
      </w:tr>
      <w:tr w:rsidR="00594FDC" w:rsidRPr="00D630D1" w:rsidTr="00D4562D">
        <w:trPr>
          <w:trHeight w:val="1693"/>
          <w:jc w:val="center"/>
        </w:trPr>
        <w:tc>
          <w:tcPr>
            <w:tcW w:w="1966" w:type="dxa"/>
            <w:vMerge/>
            <w:vAlign w:val="center"/>
          </w:tcPr>
          <w:p w:rsidR="00594FDC" w:rsidRPr="00D630D1" w:rsidRDefault="00594FDC" w:rsidP="00DF5313">
            <w:pPr>
              <w:pStyle w:val="10"/>
              <w:spacing w:line="240" w:lineRule="auto"/>
              <w:rPr>
                <w:rFonts w:cs="Times New Roman"/>
                <w:b w:val="0"/>
                <w:bCs/>
              </w:rPr>
            </w:pPr>
          </w:p>
        </w:tc>
        <w:tc>
          <w:tcPr>
            <w:tcW w:w="941" w:type="dxa"/>
            <w:vMerge/>
            <w:vAlign w:val="center"/>
          </w:tcPr>
          <w:p w:rsidR="00594FDC" w:rsidRPr="00D630D1" w:rsidRDefault="00594FDC" w:rsidP="00DF5313">
            <w:pPr>
              <w:pStyle w:val="10"/>
              <w:spacing w:line="240" w:lineRule="auto"/>
              <w:rPr>
                <w:rFonts w:cs="Times New Roman"/>
                <w:b w:val="0"/>
                <w:bCs/>
              </w:rPr>
            </w:pPr>
          </w:p>
        </w:tc>
        <w:tc>
          <w:tcPr>
            <w:tcW w:w="992" w:type="dxa"/>
            <w:vMerge w:val="restart"/>
            <w:vAlign w:val="center"/>
          </w:tcPr>
          <w:p w:rsidR="00594FDC" w:rsidRPr="00D630D1" w:rsidRDefault="00594FDC" w:rsidP="00DF5313">
            <w:pPr>
              <w:pStyle w:val="10"/>
              <w:spacing w:line="240" w:lineRule="auto"/>
              <w:rPr>
                <w:rFonts w:cs="Times New Roman"/>
                <w:b w:val="0"/>
                <w:bCs/>
              </w:rPr>
            </w:pPr>
            <w:r w:rsidRPr="00D630D1">
              <w:rPr>
                <w:rFonts w:cs="Times New Roman"/>
                <w:b w:val="0"/>
                <w:bCs/>
              </w:rPr>
              <w:t>污染物排放管控</w:t>
            </w:r>
          </w:p>
        </w:tc>
        <w:tc>
          <w:tcPr>
            <w:tcW w:w="2693" w:type="dxa"/>
            <w:vAlign w:val="center"/>
          </w:tcPr>
          <w:p w:rsidR="00594FDC" w:rsidRPr="00D630D1" w:rsidRDefault="00594FDC" w:rsidP="00D4562D">
            <w:pPr>
              <w:pStyle w:val="10"/>
              <w:spacing w:line="240" w:lineRule="auto"/>
              <w:rPr>
                <w:rFonts w:cs="Times New Roman"/>
                <w:b w:val="0"/>
                <w:bCs/>
              </w:rPr>
            </w:pPr>
            <w:r w:rsidRPr="00D630D1">
              <w:rPr>
                <w:rFonts w:cs="Times New Roman"/>
                <w:b w:val="0"/>
                <w:bCs/>
              </w:rPr>
              <w:t>现有源提标升级改造</w:t>
            </w:r>
            <w:r w:rsidRPr="00D630D1">
              <w:rPr>
                <w:rFonts w:cs="Times New Roman" w:hint="eastAsia"/>
                <w:b w:val="0"/>
                <w:bCs/>
              </w:rPr>
              <w:t>：</w:t>
            </w:r>
          </w:p>
          <w:p w:rsidR="00594FDC" w:rsidRPr="00D630D1" w:rsidRDefault="00594FDC" w:rsidP="00D4562D">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加快现有乡镇污水处理设施升级改造，按要求达《城镇污水处理厂污染物排放标准》一级</w:t>
            </w:r>
            <w:r w:rsidRPr="00D630D1">
              <w:rPr>
                <w:rFonts w:cs="Times New Roman" w:hint="eastAsia"/>
                <w:b w:val="0"/>
                <w:bCs/>
              </w:rPr>
              <w:t>A</w:t>
            </w:r>
            <w:r w:rsidRPr="00D630D1">
              <w:rPr>
                <w:rFonts w:cs="Times New Roman" w:hint="eastAsia"/>
                <w:b w:val="0"/>
                <w:bCs/>
              </w:rPr>
              <w:t>标后排放。</w:t>
            </w:r>
          </w:p>
          <w:p w:rsidR="00594FDC" w:rsidRPr="00D630D1" w:rsidRDefault="00594FDC" w:rsidP="00D4562D">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在矿产资源开发活动集中区域，废水执行重金属污染物排放特别限值。</w:t>
            </w:r>
          </w:p>
          <w:p w:rsidR="00594FDC" w:rsidRPr="00D630D1" w:rsidRDefault="00594FDC" w:rsidP="00D4562D">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火电、水泥等行业按相关要求推进大气污染物超低排放和深度治理。</w:t>
            </w:r>
          </w:p>
          <w:p w:rsidR="00594FDC" w:rsidRPr="00D630D1" w:rsidRDefault="00594FDC" w:rsidP="00D4562D">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砖瓦行业实施脱硫、除尘升级改造，污染物排放达到</w:t>
            </w:r>
            <w:r w:rsidRPr="00D630D1">
              <w:rPr>
                <w:rFonts w:cs="Times New Roman" w:hint="eastAsia"/>
                <w:b w:val="0"/>
                <w:bCs/>
              </w:rPr>
              <w:lastRenderedPageBreak/>
              <w:t>《砖瓦工业大气污染物排放标准》相关要求。</w:t>
            </w:r>
          </w:p>
        </w:tc>
        <w:tc>
          <w:tcPr>
            <w:tcW w:w="1418"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lastRenderedPageBreak/>
              <w:t>项目属于天然气</w:t>
            </w:r>
            <w:r w:rsidR="00586C59" w:rsidRPr="00D630D1">
              <w:rPr>
                <w:rFonts w:cs="Times New Roman" w:hint="eastAsia"/>
                <w:b w:val="0"/>
                <w:bCs/>
              </w:rPr>
              <w:t>开采</w:t>
            </w:r>
            <w:r w:rsidR="00B11B9F" w:rsidRPr="00D630D1">
              <w:rPr>
                <w:rFonts w:cs="Times New Roman"/>
                <w:b w:val="0"/>
                <w:bCs/>
              </w:rPr>
              <w:t>和</w:t>
            </w:r>
            <w:r w:rsidRPr="00D630D1">
              <w:rPr>
                <w:rFonts w:cs="Times New Roman"/>
                <w:b w:val="0"/>
                <w:bCs/>
              </w:rPr>
              <w:t>内部集输工程</w:t>
            </w:r>
            <w:r w:rsidRPr="00D630D1">
              <w:rPr>
                <w:rFonts w:cs="Times New Roman" w:hint="eastAsia"/>
                <w:b w:val="0"/>
                <w:bCs/>
              </w:rPr>
              <w:t>，不属于火电、水泥、砖瓦等行业。</w:t>
            </w:r>
          </w:p>
        </w:tc>
        <w:tc>
          <w:tcPr>
            <w:tcW w:w="72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符合</w:t>
            </w:r>
          </w:p>
        </w:tc>
      </w:tr>
      <w:tr w:rsidR="00594FDC" w:rsidRPr="00D630D1" w:rsidTr="00D4562D">
        <w:trPr>
          <w:trHeight w:val="1693"/>
          <w:jc w:val="center"/>
        </w:trPr>
        <w:tc>
          <w:tcPr>
            <w:tcW w:w="1966" w:type="dxa"/>
            <w:vMerge/>
            <w:vAlign w:val="center"/>
          </w:tcPr>
          <w:p w:rsidR="00594FDC" w:rsidRPr="00D630D1" w:rsidRDefault="00594FDC" w:rsidP="00DF5313">
            <w:pPr>
              <w:pStyle w:val="10"/>
              <w:spacing w:line="240" w:lineRule="auto"/>
              <w:rPr>
                <w:rFonts w:cs="Times New Roman"/>
                <w:b w:val="0"/>
                <w:bCs/>
              </w:rPr>
            </w:pPr>
          </w:p>
        </w:tc>
        <w:tc>
          <w:tcPr>
            <w:tcW w:w="941" w:type="dxa"/>
            <w:vMerge/>
            <w:vAlign w:val="center"/>
          </w:tcPr>
          <w:p w:rsidR="00594FDC" w:rsidRPr="00D630D1" w:rsidRDefault="00594FDC" w:rsidP="00DF5313">
            <w:pPr>
              <w:pStyle w:val="10"/>
              <w:spacing w:line="240" w:lineRule="auto"/>
              <w:rPr>
                <w:rFonts w:cs="Times New Roman"/>
                <w:b w:val="0"/>
                <w:bCs/>
              </w:rPr>
            </w:pPr>
          </w:p>
        </w:tc>
        <w:tc>
          <w:tcPr>
            <w:tcW w:w="992" w:type="dxa"/>
            <w:vMerge/>
            <w:vAlign w:val="center"/>
          </w:tcPr>
          <w:p w:rsidR="00594FDC" w:rsidRPr="00D630D1" w:rsidRDefault="00594FDC" w:rsidP="00DF5313">
            <w:pPr>
              <w:pStyle w:val="10"/>
              <w:spacing w:line="240" w:lineRule="auto"/>
              <w:rPr>
                <w:rFonts w:cs="Times New Roman"/>
                <w:b w:val="0"/>
                <w:bCs/>
              </w:rPr>
            </w:pPr>
          </w:p>
        </w:tc>
        <w:tc>
          <w:tcPr>
            <w:tcW w:w="2693" w:type="dxa"/>
            <w:vAlign w:val="center"/>
          </w:tcPr>
          <w:p w:rsidR="00594FDC" w:rsidRPr="00D630D1" w:rsidRDefault="00594FDC" w:rsidP="00D4562D">
            <w:pPr>
              <w:pStyle w:val="10"/>
              <w:spacing w:line="240" w:lineRule="auto"/>
              <w:rPr>
                <w:rFonts w:cs="Times New Roman"/>
                <w:b w:val="0"/>
                <w:bCs/>
              </w:rPr>
            </w:pPr>
            <w:r w:rsidRPr="00D630D1">
              <w:rPr>
                <w:rFonts w:cs="Times New Roman"/>
                <w:b w:val="0"/>
                <w:bCs/>
              </w:rPr>
              <w:t>新增源等量或倍量替代</w:t>
            </w:r>
            <w:r w:rsidRPr="00D630D1">
              <w:rPr>
                <w:rFonts w:cs="Times New Roman" w:hint="eastAsia"/>
                <w:b w:val="0"/>
                <w:bCs/>
              </w:rPr>
              <w:t>：</w:t>
            </w:r>
          </w:p>
          <w:p w:rsidR="00594FDC" w:rsidRPr="00D630D1" w:rsidRDefault="00594FDC" w:rsidP="00D4562D">
            <w:pPr>
              <w:spacing w:line="240" w:lineRule="auto"/>
              <w:ind w:firstLine="420"/>
              <w:rPr>
                <w:sz w:val="21"/>
                <w:szCs w:val="21"/>
              </w:rPr>
            </w:pPr>
            <w:r w:rsidRPr="00D630D1">
              <w:rPr>
                <w:sz w:val="21"/>
                <w:szCs w:val="21"/>
              </w:rPr>
              <w:t>-上一年度水环境质量未完成目标的，新建排放水污染的建设项目按照总量管控要求进行倍量削减替代。</w:t>
            </w:r>
          </w:p>
          <w:p w:rsidR="00594FDC" w:rsidRPr="00D630D1" w:rsidRDefault="00594FDC" w:rsidP="00D4562D">
            <w:pPr>
              <w:spacing w:line="240" w:lineRule="auto"/>
              <w:ind w:firstLine="420"/>
              <w:rPr>
                <w:sz w:val="21"/>
                <w:szCs w:val="21"/>
              </w:rPr>
            </w:pPr>
            <w:r w:rsidRPr="00D630D1">
              <w:rPr>
                <w:sz w:val="21"/>
                <w:szCs w:val="21"/>
              </w:rPr>
              <w:t>-上一年度空气质量年平均浓度不达标的城市，建设项目新增相关污染物按照总量管控要求进行倍量削减替代。</w:t>
            </w:r>
          </w:p>
          <w:p w:rsidR="00594FDC" w:rsidRPr="00D630D1" w:rsidRDefault="00594FDC" w:rsidP="00D4562D">
            <w:pPr>
              <w:spacing w:line="240" w:lineRule="auto"/>
              <w:ind w:firstLine="420"/>
            </w:pPr>
            <w:r w:rsidRPr="00D630D1">
              <w:rPr>
                <w:sz w:val="21"/>
                <w:szCs w:val="21"/>
              </w:rPr>
              <w:t>-大气环境重点管控区内，新增大气污染物排放的建设项目实施总量削减替代。</w:t>
            </w:r>
          </w:p>
        </w:tc>
        <w:tc>
          <w:tcPr>
            <w:tcW w:w="1418" w:type="dxa"/>
            <w:vAlign w:val="center"/>
          </w:tcPr>
          <w:p w:rsidR="00594FDC" w:rsidRPr="00D630D1" w:rsidRDefault="00594FDC" w:rsidP="00594FDC">
            <w:pPr>
              <w:pStyle w:val="10"/>
              <w:spacing w:line="240" w:lineRule="auto"/>
              <w:rPr>
                <w:rFonts w:cs="Times New Roman"/>
                <w:b w:val="0"/>
                <w:bCs/>
              </w:rPr>
            </w:pPr>
            <w:r w:rsidRPr="00D630D1">
              <w:rPr>
                <w:rFonts w:cs="Times New Roman"/>
                <w:b w:val="0"/>
                <w:bCs/>
              </w:rPr>
              <w:t>项目属于</w:t>
            </w:r>
            <w:r w:rsidRPr="00D630D1">
              <w:rPr>
                <w:rFonts w:cs="Times New Roman" w:hint="eastAsia"/>
                <w:b w:val="0"/>
                <w:bCs/>
              </w:rPr>
              <w:t>大气环境一般管控区内。</w:t>
            </w:r>
          </w:p>
        </w:tc>
        <w:tc>
          <w:tcPr>
            <w:tcW w:w="72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符合</w:t>
            </w:r>
          </w:p>
        </w:tc>
      </w:tr>
      <w:tr w:rsidR="00594FDC" w:rsidRPr="00D630D1" w:rsidTr="00D4562D">
        <w:trPr>
          <w:trHeight w:val="855"/>
          <w:jc w:val="center"/>
        </w:trPr>
        <w:tc>
          <w:tcPr>
            <w:tcW w:w="1966" w:type="dxa"/>
            <w:vMerge/>
            <w:vAlign w:val="center"/>
          </w:tcPr>
          <w:p w:rsidR="00594FDC" w:rsidRPr="00D630D1" w:rsidRDefault="00594FDC" w:rsidP="00DF5313">
            <w:pPr>
              <w:pStyle w:val="10"/>
              <w:spacing w:line="240" w:lineRule="auto"/>
              <w:rPr>
                <w:rFonts w:cs="Times New Roman"/>
                <w:b w:val="0"/>
                <w:bCs/>
              </w:rPr>
            </w:pPr>
          </w:p>
        </w:tc>
        <w:tc>
          <w:tcPr>
            <w:tcW w:w="941" w:type="dxa"/>
            <w:vMerge/>
            <w:vAlign w:val="center"/>
          </w:tcPr>
          <w:p w:rsidR="00594FDC" w:rsidRPr="00D630D1" w:rsidRDefault="00594FDC" w:rsidP="00DF5313">
            <w:pPr>
              <w:pStyle w:val="10"/>
              <w:spacing w:line="240" w:lineRule="auto"/>
              <w:rPr>
                <w:rFonts w:cs="Times New Roman"/>
                <w:b w:val="0"/>
                <w:bCs/>
              </w:rPr>
            </w:pPr>
          </w:p>
        </w:tc>
        <w:tc>
          <w:tcPr>
            <w:tcW w:w="99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环境风险</w:t>
            </w:r>
            <w:r w:rsidRPr="00D630D1">
              <w:rPr>
                <w:rFonts w:cs="Times New Roman" w:hint="eastAsia"/>
                <w:b w:val="0"/>
                <w:bCs/>
              </w:rPr>
              <w:t>防控</w:t>
            </w:r>
          </w:p>
        </w:tc>
        <w:tc>
          <w:tcPr>
            <w:tcW w:w="2693" w:type="dxa"/>
            <w:vAlign w:val="center"/>
          </w:tcPr>
          <w:p w:rsidR="00594FDC" w:rsidRPr="00D630D1" w:rsidRDefault="00594FDC" w:rsidP="00D4562D">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工业企业退出用地，须经评估、修复满足相应用地功能后，方可改变用途。</w:t>
            </w:r>
          </w:p>
          <w:p w:rsidR="00594FDC" w:rsidRPr="00D630D1" w:rsidRDefault="00594FDC" w:rsidP="00D4562D">
            <w:pPr>
              <w:pStyle w:val="10"/>
              <w:spacing w:line="240" w:lineRule="auto"/>
              <w:rPr>
                <w:rFonts w:cs="Times New Roman"/>
                <w:b w:val="0"/>
                <w:bCs/>
              </w:rPr>
            </w:pPr>
            <w:r w:rsidRPr="00D630D1">
              <w:rPr>
                <w:rFonts w:cs="Times New Roman" w:hint="eastAsia"/>
                <w:b w:val="0"/>
                <w:bCs/>
              </w:rPr>
              <w:t>-</w:t>
            </w:r>
            <w:r w:rsidRPr="00D630D1">
              <w:rPr>
                <w:rFonts w:cs="Times New Roman" w:hint="eastAsia"/>
                <w:b w:val="0"/>
                <w:bCs/>
              </w:rPr>
              <w:t>加强“散乱污”企业环境风险防控。</w:t>
            </w:r>
          </w:p>
          <w:p w:rsidR="00594FDC" w:rsidRPr="00D630D1" w:rsidRDefault="00594FDC" w:rsidP="00D4562D">
            <w:pPr>
              <w:pStyle w:val="10"/>
              <w:spacing w:line="240" w:lineRule="auto"/>
              <w:rPr>
                <w:rFonts w:cs="Times New Roman"/>
                <w:b w:val="0"/>
                <w:bCs/>
                <w:szCs w:val="21"/>
              </w:rPr>
            </w:pPr>
            <w:r w:rsidRPr="00D630D1">
              <w:rPr>
                <w:rFonts w:cs="Times New Roman" w:hint="eastAsia"/>
                <w:b w:val="0"/>
                <w:bCs/>
              </w:rPr>
              <w:t>-</w:t>
            </w:r>
            <w:r w:rsidRPr="00D630D1">
              <w:rPr>
                <w:rFonts w:cs="Times New Roman" w:hint="eastAsia"/>
                <w:b w:val="0"/>
                <w:bCs/>
              </w:rPr>
              <w:t>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w:t>
            </w:r>
            <w:r w:rsidRPr="00D630D1">
              <w:rPr>
                <w:rFonts w:cs="Times New Roman" w:hint="eastAsia"/>
                <w:b w:val="0"/>
                <w:bCs/>
                <w:szCs w:val="21"/>
              </w:rPr>
              <w:t>环境状况调查评估。</w:t>
            </w:r>
          </w:p>
          <w:p w:rsidR="00594FDC" w:rsidRPr="00D630D1" w:rsidRDefault="00594FDC" w:rsidP="00D4562D">
            <w:pPr>
              <w:spacing w:line="240" w:lineRule="auto"/>
              <w:ind w:firstLine="420"/>
              <w:rPr>
                <w:sz w:val="21"/>
                <w:szCs w:val="21"/>
              </w:rPr>
            </w:pPr>
            <w:r w:rsidRPr="00D630D1">
              <w:rPr>
                <w:rFonts w:hint="eastAsia"/>
                <w:sz w:val="21"/>
                <w:szCs w:val="21"/>
              </w:rPr>
              <w:t>-严禁将城镇生活垃圾、污泥、工业废物直接用作肥料，禁止处理不达标的</w:t>
            </w:r>
            <w:r w:rsidRPr="00D630D1">
              <w:rPr>
                <w:rFonts w:hint="eastAsia"/>
                <w:sz w:val="21"/>
                <w:szCs w:val="21"/>
              </w:rPr>
              <w:lastRenderedPageBreak/>
              <w:t>污泥进入耕地；禁止在农用地排放、倾倒、使用污泥、清淤底泥、尾矿（渣）等可能对土壤造成污染的固体废物。</w:t>
            </w:r>
          </w:p>
          <w:p w:rsidR="00594FDC" w:rsidRPr="00D630D1" w:rsidRDefault="00594FDC" w:rsidP="00D4562D">
            <w:pPr>
              <w:spacing w:line="240" w:lineRule="auto"/>
              <w:ind w:firstLine="420"/>
              <w:rPr>
                <w:sz w:val="21"/>
                <w:szCs w:val="21"/>
              </w:rPr>
            </w:pPr>
            <w:r w:rsidRPr="00D630D1">
              <w:rPr>
                <w:rFonts w:hint="eastAsia"/>
                <w:sz w:val="21"/>
                <w:szCs w:val="21"/>
              </w:rPr>
              <w:t>-定期对单元内尾矿库进行风险巡查，建立监测系统和环境风险应急预案；完善各尾矿库渗滤液收集、处理、回用系统，杜绝事故排放；尾矿库闭矿后因地制宜进行植被恢复和综合利用。</w:t>
            </w:r>
          </w:p>
          <w:p w:rsidR="00594FDC" w:rsidRPr="00D630D1" w:rsidRDefault="00594FDC" w:rsidP="00D4562D">
            <w:pPr>
              <w:spacing w:line="240" w:lineRule="auto"/>
              <w:ind w:firstLine="420"/>
              <w:rPr>
                <w:sz w:val="21"/>
                <w:szCs w:val="21"/>
              </w:rPr>
            </w:pPr>
            <w:r w:rsidRPr="00D630D1">
              <w:rPr>
                <w:rFonts w:hint="eastAsia"/>
                <w:sz w:val="21"/>
                <w:szCs w:val="21"/>
              </w:rPr>
              <w:t>-规范排土场、渣场等整治。</w:t>
            </w:r>
          </w:p>
          <w:p w:rsidR="00594FDC" w:rsidRPr="00D630D1" w:rsidRDefault="00594FDC" w:rsidP="00D4562D">
            <w:pPr>
              <w:spacing w:line="240" w:lineRule="auto"/>
              <w:ind w:firstLine="420"/>
              <w:rPr>
                <w:rFonts w:ascii="Times New Roman" w:cs="Times New Roman"/>
                <w:sz w:val="21"/>
                <w:szCs w:val="21"/>
              </w:rPr>
            </w:pPr>
            <w:r w:rsidRPr="00D630D1">
              <w:rPr>
                <w:rFonts w:hint="eastAsia"/>
                <w:sz w:val="21"/>
                <w:szCs w:val="21"/>
              </w:rPr>
              <w:t>-禁止处理不达标的污泥</w:t>
            </w:r>
            <w:r w:rsidRPr="00D630D1">
              <w:rPr>
                <w:rFonts w:ascii="Times New Roman" w:cs="Times New Roman"/>
                <w:sz w:val="21"/>
                <w:szCs w:val="21"/>
              </w:rPr>
              <w:t>进入耕地。</w:t>
            </w:r>
          </w:p>
          <w:p w:rsidR="00594FDC" w:rsidRPr="00D630D1" w:rsidRDefault="00594FDC" w:rsidP="00D4562D">
            <w:pPr>
              <w:spacing w:line="240" w:lineRule="auto"/>
              <w:ind w:firstLine="420"/>
              <w:rPr>
                <w:rFonts w:ascii="Times New Roman" w:cs="Times New Roman"/>
                <w:sz w:val="21"/>
                <w:szCs w:val="21"/>
              </w:rPr>
            </w:pPr>
            <w:r w:rsidRPr="00D630D1">
              <w:rPr>
                <w:rFonts w:ascii="Times New Roman" w:cs="Times New Roman"/>
                <w:sz w:val="21"/>
                <w:szCs w:val="21"/>
              </w:rPr>
              <w:t>-</w:t>
            </w:r>
            <w:r w:rsidRPr="00D630D1">
              <w:rPr>
                <w:rFonts w:ascii="Times New Roman" w:cs="Times New Roman"/>
                <w:sz w:val="21"/>
                <w:szCs w:val="21"/>
              </w:rPr>
              <w:t>严格控制林地、草地、园地的农药使用量，禁止使用高毒、高残留农药。</w:t>
            </w:r>
          </w:p>
          <w:p w:rsidR="00594FDC" w:rsidRPr="00D630D1" w:rsidRDefault="00594FDC" w:rsidP="00D4562D">
            <w:pPr>
              <w:spacing w:line="240" w:lineRule="auto"/>
              <w:ind w:firstLine="420"/>
            </w:pPr>
            <w:r w:rsidRPr="00D630D1">
              <w:rPr>
                <w:rFonts w:ascii="Times New Roman" w:cs="Times New Roman"/>
                <w:sz w:val="21"/>
                <w:szCs w:val="21"/>
              </w:rPr>
              <w:t>-</w:t>
            </w:r>
            <w:r w:rsidRPr="00D630D1">
              <w:rPr>
                <w:rFonts w:ascii="Times New Roman" w:cs="Times New Roman"/>
                <w:sz w:val="21"/>
                <w:szCs w:val="21"/>
              </w:rPr>
              <w:t>到</w:t>
            </w:r>
            <w:r w:rsidRPr="00D630D1">
              <w:rPr>
                <w:rFonts w:ascii="Times New Roman" w:cs="Times New Roman"/>
                <w:sz w:val="21"/>
                <w:szCs w:val="21"/>
              </w:rPr>
              <w:t>2030</w:t>
            </w:r>
            <w:r w:rsidRPr="00D630D1">
              <w:rPr>
                <w:rFonts w:ascii="Times New Roman" w:cs="Times New Roman"/>
                <w:sz w:val="21"/>
                <w:szCs w:val="21"/>
              </w:rPr>
              <w:t>年，全市受污染耕地安全利用率达到</w:t>
            </w:r>
            <w:r w:rsidRPr="00D630D1">
              <w:rPr>
                <w:rFonts w:ascii="Times New Roman" w:cs="Times New Roman"/>
                <w:sz w:val="21"/>
                <w:szCs w:val="21"/>
              </w:rPr>
              <w:t>95%</w:t>
            </w:r>
            <w:r w:rsidRPr="00D630D1">
              <w:rPr>
                <w:rFonts w:ascii="Times New Roman" w:cs="Times New Roman"/>
                <w:sz w:val="21"/>
                <w:szCs w:val="21"/>
              </w:rPr>
              <w:t>以上，污染地块安全利用率达到</w:t>
            </w:r>
            <w:r w:rsidRPr="00D630D1">
              <w:rPr>
                <w:rFonts w:ascii="Times New Roman" w:cs="Times New Roman"/>
                <w:sz w:val="21"/>
                <w:szCs w:val="21"/>
              </w:rPr>
              <w:t>95%</w:t>
            </w:r>
            <w:r w:rsidRPr="00D630D1">
              <w:rPr>
                <w:rFonts w:ascii="Times New Roman" w:cs="Times New Roman"/>
                <w:sz w:val="21"/>
                <w:szCs w:val="21"/>
              </w:rPr>
              <w:t>以上。</w:t>
            </w:r>
          </w:p>
        </w:tc>
        <w:tc>
          <w:tcPr>
            <w:tcW w:w="1418"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lastRenderedPageBreak/>
              <w:t>项目属于天然气</w:t>
            </w:r>
            <w:r w:rsidR="00586C59" w:rsidRPr="00D630D1">
              <w:rPr>
                <w:rFonts w:cs="Times New Roman" w:hint="eastAsia"/>
                <w:b w:val="0"/>
                <w:bCs/>
              </w:rPr>
              <w:t>开采</w:t>
            </w:r>
            <w:r w:rsidR="00B11B9F" w:rsidRPr="00D630D1">
              <w:rPr>
                <w:rFonts w:cs="Times New Roman"/>
                <w:b w:val="0"/>
                <w:bCs/>
              </w:rPr>
              <w:t>和</w:t>
            </w:r>
            <w:r w:rsidRPr="00D630D1">
              <w:rPr>
                <w:rFonts w:cs="Times New Roman"/>
                <w:b w:val="0"/>
                <w:bCs/>
              </w:rPr>
              <w:t>内部集输工程</w:t>
            </w:r>
            <w:r w:rsidRPr="00D630D1">
              <w:rPr>
                <w:rFonts w:cs="Times New Roman" w:hint="eastAsia"/>
                <w:b w:val="0"/>
                <w:bCs/>
              </w:rPr>
              <w:t>，不属于“散乱污”企业。</w:t>
            </w:r>
          </w:p>
        </w:tc>
        <w:tc>
          <w:tcPr>
            <w:tcW w:w="72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符合</w:t>
            </w:r>
          </w:p>
        </w:tc>
      </w:tr>
      <w:tr w:rsidR="00594FDC" w:rsidRPr="00D630D1" w:rsidTr="00D4562D">
        <w:trPr>
          <w:trHeight w:val="3286"/>
          <w:jc w:val="center"/>
        </w:trPr>
        <w:tc>
          <w:tcPr>
            <w:tcW w:w="1966" w:type="dxa"/>
            <w:vMerge/>
            <w:vAlign w:val="center"/>
          </w:tcPr>
          <w:p w:rsidR="00594FDC" w:rsidRPr="00D630D1" w:rsidRDefault="00594FDC" w:rsidP="00DF5313">
            <w:pPr>
              <w:pStyle w:val="10"/>
              <w:spacing w:line="240" w:lineRule="auto"/>
              <w:rPr>
                <w:rFonts w:cs="Times New Roman"/>
                <w:b w:val="0"/>
                <w:bCs/>
              </w:rPr>
            </w:pPr>
          </w:p>
        </w:tc>
        <w:tc>
          <w:tcPr>
            <w:tcW w:w="941" w:type="dxa"/>
            <w:vMerge/>
            <w:vAlign w:val="center"/>
          </w:tcPr>
          <w:p w:rsidR="00594FDC" w:rsidRPr="00D630D1" w:rsidRDefault="00594FDC" w:rsidP="00DF5313">
            <w:pPr>
              <w:pStyle w:val="10"/>
              <w:spacing w:line="240" w:lineRule="auto"/>
              <w:rPr>
                <w:rFonts w:cs="Times New Roman"/>
                <w:b w:val="0"/>
                <w:bCs/>
              </w:rPr>
            </w:pPr>
          </w:p>
        </w:tc>
        <w:tc>
          <w:tcPr>
            <w:tcW w:w="99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资源开发利用效率</w:t>
            </w:r>
          </w:p>
        </w:tc>
        <w:tc>
          <w:tcPr>
            <w:tcW w:w="2693" w:type="dxa"/>
            <w:vAlign w:val="center"/>
          </w:tcPr>
          <w:p w:rsidR="00594FDC" w:rsidRPr="00D630D1" w:rsidRDefault="00594FDC" w:rsidP="00D4562D">
            <w:pPr>
              <w:pStyle w:val="10"/>
              <w:spacing w:line="240" w:lineRule="auto"/>
              <w:rPr>
                <w:rFonts w:cs="Times New Roman"/>
                <w:b w:val="0"/>
                <w:bCs/>
                <w:szCs w:val="21"/>
              </w:rPr>
            </w:pPr>
            <w:r w:rsidRPr="00D630D1">
              <w:rPr>
                <w:rFonts w:cs="Times New Roman"/>
                <w:bCs/>
              </w:rPr>
              <w:t>-</w:t>
            </w:r>
            <w:r w:rsidRPr="00D630D1">
              <w:rPr>
                <w:rFonts w:cs="Times New Roman"/>
                <w:b w:val="0"/>
                <w:bCs/>
                <w:szCs w:val="21"/>
              </w:rPr>
              <w:t>到</w:t>
            </w:r>
            <w:r w:rsidRPr="00D630D1">
              <w:rPr>
                <w:rFonts w:cs="Times New Roman"/>
                <w:b w:val="0"/>
                <w:bCs/>
                <w:szCs w:val="21"/>
              </w:rPr>
              <w:t>2025</w:t>
            </w:r>
            <w:r w:rsidRPr="00D630D1">
              <w:rPr>
                <w:rFonts w:cs="Times New Roman"/>
                <w:b w:val="0"/>
                <w:bCs/>
                <w:szCs w:val="21"/>
              </w:rPr>
              <w:t>年完成流域内大型灌区续建配套和节水改造任务，农田灌溉水有效利用系数提高到</w:t>
            </w:r>
            <w:r w:rsidRPr="00D630D1">
              <w:rPr>
                <w:rFonts w:cs="Times New Roman"/>
                <w:b w:val="0"/>
                <w:bCs/>
                <w:szCs w:val="21"/>
              </w:rPr>
              <w:t>0.508</w:t>
            </w:r>
            <w:r w:rsidRPr="00D630D1">
              <w:rPr>
                <w:rFonts w:cs="Times New Roman"/>
                <w:b w:val="0"/>
                <w:bCs/>
                <w:szCs w:val="21"/>
              </w:rPr>
              <w:t>以上。</w:t>
            </w:r>
          </w:p>
          <w:p w:rsidR="00594FDC" w:rsidRPr="00D630D1" w:rsidRDefault="00594FDC" w:rsidP="00D4562D">
            <w:pPr>
              <w:pStyle w:val="10"/>
              <w:spacing w:line="240" w:lineRule="auto"/>
              <w:rPr>
                <w:rFonts w:cs="Times New Roman"/>
                <w:b w:val="0"/>
                <w:bCs/>
                <w:szCs w:val="21"/>
              </w:rPr>
            </w:pPr>
            <w:r w:rsidRPr="00D630D1">
              <w:rPr>
                <w:rFonts w:cs="Times New Roman"/>
                <w:b w:val="0"/>
                <w:bCs/>
                <w:szCs w:val="21"/>
              </w:rPr>
              <w:t>-</w:t>
            </w:r>
            <w:r w:rsidRPr="00D630D1">
              <w:rPr>
                <w:rFonts w:cs="Times New Roman"/>
                <w:b w:val="0"/>
                <w:bCs/>
                <w:szCs w:val="21"/>
              </w:rPr>
              <w:t>达州市</w:t>
            </w:r>
            <w:r w:rsidRPr="00D630D1">
              <w:rPr>
                <w:rFonts w:cs="Times New Roman"/>
                <w:b w:val="0"/>
                <w:bCs/>
                <w:szCs w:val="21"/>
              </w:rPr>
              <w:t>2025</w:t>
            </w:r>
            <w:r w:rsidRPr="00D630D1">
              <w:rPr>
                <w:rFonts w:cs="Times New Roman"/>
                <w:b w:val="0"/>
                <w:bCs/>
                <w:szCs w:val="21"/>
              </w:rPr>
              <w:t>年用水控制总量</w:t>
            </w:r>
            <w:r w:rsidRPr="00D630D1">
              <w:rPr>
                <w:rFonts w:cs="Times New Roman"/>
                <w:b w:val="0"/>
                <w:bCs/>
                <w:szCs w:val="21"/>
              </w:rPr>
              <w:t>14.6</w:t>
            </w:r>
            <w:r w:rsidRPr="00D630D1">
              <w:rPr>
                <w:rFonts w:cs="Times New Roman"/>
                <w:b w:val="0"/>
                <w:bCs/>
                <w:szCs w:val="21"/>
              </w:rPr>
              <w:t>亿</w:t>
            </w:r>
            <w:r w:rsidRPr="00D630D1">
              <w:rPr>
                <w:rFonts w:cs="Times New Roman"/>
                <w:b w:val="0"/>
                <w:bCs/>
                <w:szCs w:val="21"/>
              </w:rPr>
              <w:t>m</w:t>
            </w:r>
            <w:r w:rsidRPr="00D630D1">
              <w:rPr>
                <w:rFonts w:cs="Times New Roman"/>
                <w:b w:val="0"/>
                <w:bCs/>
                <w:szCs w:val="21"/>
                <w:vertAlign w:val="superscript"/>
              </w:rPr>
              <w:t>3</w:t>
            </w:r>
            <w:r w:rsidRPr="00D630D1">
              <w:rPr>
                <w:rFonts w:cs="Times New Roman"/>
                <w:b w:val="0"/>
                <w:bCs/>
                <w:szCs w:val="21"/>
              </w:rPr>
              <w:t>（其中地下水开采控制量</w:t>
            </w:r>
            <w:r w:rsidRPr="00D630D1">
              <w:rPr>
                <w:rFonts w:cs="Times New Roman"/>
                <w:b w:val="0"/>
                <w:bCs/>
                <w:szCs w:val="21"/>
              </w:rPr>
              <w:t>1.09m³</w:t>
            </w:r>
            <w:r w:rsidRPr="00D630D1">
              <w:rPr>
                <w:rFonts w:cs="Times New Roman"/>
                <w:b w:val="0"/>
                <w:bCs/>
                <w:szCs w:val="21"/>
              </w:rPr>
              <w:t>），</w:t>
            </w:r>
            <w:r w:rsidRPr="00D630D1">
              <w:rPr>
                <w:rFonts w:cs="Times New Roman"/>
                <w:b w:val="0"/>
                <w:bCs/>
                <w:szCs w:val="21"/>
              </w:rPr>
              <w:t>2035</w:t>
            </w:r>
            <w:r w:rsidRPr="00D630D1">
              <w:rPr>
                <w:rFonts w:cs="Times New Roman"/>
                <w:b w:val="0"/>
                <w:bCs/>
                <w:szCs w:val="21"/>
              </w:rPr>
              <w:t>年用水控制总量为</w:t>
            </w:r>
            <w:r w:rsidRPr="00D630D1">
              <w:rPr>
                <w:rFonts w:cs="Times New Roman"/>
                <w:b w:val="0"/>
                <w:bCs/>
                <w:szCs w:val="21"/>
              </w:rPr>
              <w:t>15.0</w:t>
            </w:r>
            <w:r w:rsidRPr="00D630D1">
              <w:rPr>
                <w:rFonts w:cs="Times New Roman"/>
                <w:b w:val="0"/>
                <w:bCs/>
                <w:szCs w:val="21"/>
              </w:rPr>
              <w:t>亿</w:t>
            </w:r>
            <w:r w:rsidRPr="00D630D1">
              <w:rPr>
                <w:rFonts w:cs="Times New Roman"/>
                <w:b w:val="0"/>
                <w:bCs/>
                <w:szCs w:val="21"/>
              </w:rPr>
              <w:t>m</w:t>
            </w:r>
            <w:r w:rsidRPr="00D630D1">
              <w:rPr>
                <w:rFonts w:cs="Times New Roman"/>
                <w:b w:val="0"/>
                <w:bCs/>
                <w:szCs w:val="21"/>
                <w:vertAlign w:val="superscript"/>
              </w:rPr>
              <w:t>3</w:t>
            </w:r>
            <w:r w:rsidRPr="00D630D1">
              <w:rPr>
                <w:rFonts w:cs="Times New Roman"/>
                <w:b w:val="0"/>
                <w:bCs/>
                <w:szCs w:val="21"/>
              </w:rPr>
              <w:t>（其中地下水开采控制量</w:t>
            </w:r>
            <w:r w:rsidRPr="00D630D1">
              <w:rPr>
                <w:rFonts w:cs="Times New Roman"/>
                <w:b w:val="0"/>
                <w:bCs/>
                <w:szCs w:val="21"/>
              </w:rPr>
              <w:t>1.09m³</w:t>
            </w:r>
            <w:r w:rsidRPr="00D630D1">
              <w:rPr>
                <w:rFonts w:cs="Times New Roman"/>
                <w:b w:val="0"/>
                <w:bCs/>
                <w:szCs w:val="21"/>
              </w:rPr>
              <w:t>）。</w:t>
            </w:r>
          </w:p>
          <w:p w:rsidR="00594FDC" w:rsidRPr="00D630D1" w:rsidRDefault="00594FDC" w:rsidP="00D4562D">
            <w:pPr>
              <w:spacing w:line="240" w:lineRule="auto"/>
              <w:ind w:firstLine="420"/>
              <w:rPr>
                <w:rFonts w:ascii="Times New Roman" w:cs="Times New Roman"/>
                <w:sz w:val="21"/>
                <w:szCs w:val="21"/>
              </w:rPr>
            </w:pPr>
            <w:r w:rsidRPr="00D630D1">
              <w:rPr>
                <w:rFonts w:ascii="Times New Roman" w:cs="Times New Roman"/>
                <w:sz w:val="21"/>
                <w:szCs w:val="21"/>
              </w:rPr>
              <w:t>-</w:t>
            </w:r>
            <w:r w:rsidRPr="00D630D1">
              <w:rPr>
                <w:rFonts w:ascii="Times New Roman" w:cs="Times New Roman"/>
                <w:sz w:val="21"/>
                <w:szCs w:val="21"/>
              </w:rPr>
              <w:t>推进清洁能源的推广使用，全面推进散煤清洁化整治；禁止新建每小时</w:t>
            </w:r>
            <w:r w:rsidRPr="00D630D1">
              <w:rPr>
                <w:rFonts w:ascii="Times New Roman" w:cs="Times New Roman"/>
                <w:sz w:val="21"/>
                <w:szCs w:val="21"/>
              </w:rPr>
              <w:t>10</w:t>
            </w:r>
            <w:r w:rsidRPr="00D630D1">
              <w:rPr>
                <w:rFonts w:ascii="Times New Roman" w:cs="Times New Roman"/>
                <w:sz w:val="21"/>
                <w:szCs w:val="21"/>
              </w:rPr>
              <w:t>蒸吨以下的燃煤锅炉及其他燃煤设施。</w:t>
            </w:r>
          </w:p>
          <w:p w:rsidR="00594FDC" w:rsidRPr="00D630D1" w:rsidRDefault="00594FDC" w:rsidP="00D4562D">
            <w:pPr>
              <w:spacing w:line="240" w:lineRule="auto"/>
              <w:ind w:firstLine="420"/>
            </w:pPr>
            <w:r w:rsidRPr="00D630D1">
              <w:rPr>
                <w:rFonts w:ascii="Times New Roman" w:cs="Times New Roman"/>
                <w:sz w:val="21"/>
                <w:szCs w:val="21"/>
              </w:rPr>
              <w:t>-</w:t>
            </w:r>
            <w:r w:rsidRPr="00D630D1">
              <w:rPr>
                <w:rFonts w:ascii="Times New Roman" w:cs="Times New Roman"/>
                <w:sz w:val="21"/>
                <w:szCs w:val="21"/>
              </w:rPr>
              <w:t>禁止焚烧秸秆和垃圾，到</w:t>
            </w:r>
            <w:r w:rsidRPr="00D630D1">
              <w:rPr>
                <w:rFonts w:ascii="Times New Roman" w:cs="Times New Roman"/>
                <w:sz w:val="21"/>
                <w:szCs w:val="21"/>
              </w:rPr>
              <w:t>2025</w:t>
            </w:r>
            <w:r w:rsidRPr="00D630D1">
              <w:rPr>
                <w:rFonts w:ascii="Times New Roman" w:cs="Times New Roman"/>
                <w:sz w:val="21"/>
                <w:szCs w:val="21"/>
              </w:rPr>
              <w:t>年底，秸秆综合利用率达到</w:t>
            </w:r>
            <w:r w:rsidRPr="00D630D1">
              <w:rPr>
                <w:rFonts w:ascii="Times New Roman" w:cs="Times New Roman"/>
                <w:sz w:val="21"/>
                <w:szCs w:val="21"/>
              </w:rPr>
              <w:t>90%</w:t>
            </w:r>
            <w:r w:rsidRPr="00D630D1">
              <w:rPr>
                <w:rFonts w:ascii="Times New Roman" w:cs="Times New Roman"/>
                <w:sz w:val="21"/>
                <w:szCs w:val="21"/>
              </w:rPr>
              <w:t>以上。</w:t>
            </w:r>
          </w:p>
        </w:tc>
        <w:tc>
          <w:tcPr>
            <w:tcW w:w="1418" w:type="dxa"/>
            <w:vAlign w:val="center"/>
          </w:tcPr>
          <w:p w:rsidR="00594FDC" w:rsidRPr="00D630D1" w:rsidRDefault="00594FDC" w:rsidP="00594FDC">
            <w:pPr>
              <w:pStyle w:val="10"/>
              <w:spacing w:line="240" w:lineRule="auto"/>
              <w:rPr>
                <w:rFonts w:cs="Times New Roman"/>
                <w:b w:val="0"/>
                <w:bCs/>
              </w:rPr>
            </w:pPr>
            <w:r w:rsidRPr="00D630D1">
              <w:rPr>
                <w:rFonts w:cs="Times New Roman"/>
                <w:b w:val="0"/>
                <w:bCs/>
              </w:rPr>
              <w:t>项目</w:t>
            </w:r>
            <w:r w:rsidRPr="00D630D1">
              <w:rPr>
                <w:rFonts w:cs="Times New Roman" w:hint="eastAsia"/>
                <w:b w:val="0"/>
                <w:bCs/>
              </w:rPr>
              <w:t>使用天然气，为清洁能源。</w:t>
            </w:r>
          </w:p>
        </w:tc>
        <w:tc>
          <w:tcPr>
            <w:tcW w:w="72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符合</w:t>
            </w:r>
          </w:p>
        </w:tc>
      </w:tr>
      <w:tr w:rsidR="00594FDC" w:rsidRPr="00D630D1" w:rsidTr="00594FDC">
        <w:trPr>
          <w:trHeight w:val="1460"/>
          <w:jc w:val="center"/>
        </w:trPr>
        <w:tc>
          <w:tcPr>
            <w:tcW w:w="1966" w:type="dxa"/>
            <w:vMerge/>
            <w:vAlign w:val="center"/>
          </w:tcPr>
          <w:p w:rsidR="00594FDC" w:rsidRPr="00D630D1" w:rsidRDefault="00594FDC" w:rsidP="00DF5313">
            <w:pPr>
              <w:pStyle w:val="10"/>
              <w:spacing w:line="240" w:lineRule="auto"/>
              <w:rPr>
                <w:rFonts w:cs="Times New Roman"/>
                <w:b w:val="0"/>
                <w:bCs/>
              </w:rPr>
            </w:pPr>
          </w:p>
        </w:tc>
        <w:tc>
          <w:tcPr>
            <w:tcW w:w="941" w:type="dxa"/>
            <w:vMerge w:val="restart"/>
            <w:vAlign w:val="center"/>
          </w:tcPr>
          <w:p w:rsidR="00594FDC" w:rsidRPr="00D630D1" w:rsidRDefault="00594FDC" w:rsidP="00DF5313">
            <w:pPr>
              <w:pStyle w:val="10"/>
              <w:spacing w:line="240" w:lineRule="auto"/>
              <w:rPr>
                <w:rFonts w:cs="Times New Roman"/>
                <w:b w:val="0"/>
                <w:bCs/>
              </w:rPr>
            </w:pPr>
            <w:r w:rsidRPr="00D630D1">
              <w:rPr>
                <w:rFonts w:cs="Times New Roman" w:hint="eastAsia"/>
                <w:b w:val="0"/>
                <w:bCs/>
              </w:rPr>
              <w:t>单元级清单管控要求</w:t>
            </w:r>
          </w:p>
        </w:tc>
        <w:tc>
          <w:tcPr>
            <w:tcW w:w="99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空间布局约束</w:t>
            </w:r>
          </w:p>
        </w:tc>
        <w:tc>
          <w:tcPr>
            <w:tcW w:w="2693" w:type="dxa"/>
            <w:vAlign w:val="center"/>
          </w:tcPr>
          <w:p w:rsidR="00594FDC" w:rsidRPr="00D630D1" w:rsidRDefault="00594FDC" w:rsidP="00594FDC">
            <w:pPr>
              <w:pStyle w:val="10"/>
              <w:spacing w:line="240" w:lineRule="auto"/>
              <w:rPr>
                <w:rFonts w:cs="Times New Roman"/>
                <w:b w:val="0"/>
                <w:bCs/>
              </w:rPr>
            </w:pPr>
            <w:r w:rsidRPr="00D630D1">
              <w:rPr>
                <w:rFonts w:cs="Times New Roman"/>
                <w:b w:val="0"/>
                <w:bCs/>
              </w:rPr>
              <w:t>限制开发建设活动的要求：</w:t>
            </w:r>
          </w:p>
          <w:p w:rsidR="00594FDC" w:rsidRPr="00D630D1" w:rsidRDefault="00594FDC" w:rsidP="00594FDC">
            <w:pPr>
              <w:pStyle w:val="10"/>
              <w:spacing w:line="240" w:lineRule="auto"/>
              <w:rPr>
                <w:rFonts w:cs="Times New Roman"/>
                <w:b w:val="0"/>
                <w:bCs/>
              </w:rPr>
            </w:pPr>
            <w:r w:rsidRPr="00D630D1">
              <w:rPr>
                <w:rFonts w:cs="Times New Roman"/>
                <w:b w:val="0"/>
                <w:bCs/>
              </w:rPr>
              <w:t>-</w:t>
            </w:r>
            <w:r w:rsidRPr="00D630D1">
              <w:rPr>
                <w:rFonts w:cs="Times New Roman"/>
                <w:b w:val="0"/>
                <w:bCs/>
              </w:rPr>
              <w:t>对四川省主体功能区划中的农产品主产区，应限制进行大规模高强度工业化城镇化开发，严格控制有色金属冶炼、石油加工、化工、焦化、电镀、制革等产能，原则上不增加产能。</w:t>
            </w:r>
          </w:p>
          <w:p w:rsidR="00594FDC" w:rsidRPr="00D630D1" w:rsidRDefault="00594FDC" w:rsidP="00594FDC">
            <w:pPr>
              <w:pStyle w:val="10"/>
              <w:spacing w:line="240" w:lineRule="auto"/>
              <w:rPr>
                <w:rFonts w:cs="Times New Roman"/>
                <w:b w:val="0"/>
                <w:bCs/>
              </w:rPr>
            </w:pPr>
            <w:r w:rsidRPr="00D630D1">
              <w:rPr>
                <w:rFonts w:cs="Times New Roman" w:hint="eastAsia"/>
                <w:b w:val="0"/>
                <w:bCs/>
              </w:rPr>
              <w:t>位于城镇空间外的工业园区外工业企业：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rsidR="00594FDC" w:rsidRPr="00D630D1" w:rsidRDefault="00594FDC" w:rsidP="00594FDC">
            <w:pPr>
              <w:pStyle w:val="10"/>
              <w:spacing w:line="240" w:lineRule="auto"/>
              <w:rPr>
                <w:rFonts w:cs="Times New Roman"/>
                <w:bCs/>
              </w:rPr>
            </w:pPr>
            <w:r w:rsidRPr="00D630D1">
              <w:rPr>
                <w:rFonts w:cs="Times New Roman"/>
                <w:b w:val="0"/>
                <w:bCs/>
              </w:rPr>
              <w:t>-</w:t>
            </w:r>
            <w:r w:rsidRPr="00D630D1">
              <w:rPr>
                <w:rFonts w:cs="Times New Roman"/>
                <w:b w:val="0"/>
                <w:bCs/>
              </w:rPr>
              <w:t>其他</w:t>
            </w:r>
            <w:r w:rsidRPr="00D630D1">
              <w:rPr>
                <w:rFonts w:cs="Times New Roman" w:hint="eastAsia"/>
                <w:b w:val="0"/>
                <w:bCs/>
              </w:rPr>
              <w:t>-</w:t>
            </w:r>
            <w:r w:rsidRPr="00D630D1">
              <w:rPr>
                <w:rFonts w:cs="Times New Roman" w:hint="eastAsia"/>
                <w:b w:val="0"/>
                <w:bCs/>
              </w:rPr>
              <w:t>其他参照达州市一般管控单元总体准入要求。</w:t>
            </w:r>
          </w:p>
        </w:tc>
        <w:tc>
          <w:tcPr>
            <w:tcW w:w="1418"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项目属于天然气</w:t>
            </w:r>
            <w:r w:rsidR="00586C59" w:rsidRPr="00D630D1">
              <w:rPr>
                <w:rFonts w:cs="Times New Roman" w:hint="eastAsia"/>
                <w:b w:val="0"/>
                <w:bCs/>
              </w:rPr>
              <w:t>开采</w:t>
            </w:r>
            <w:r w:rsidR="00B11B9F" w:rsidRPr="00D630D1">
              <w:rPr>
                <w:rFonts w:cs="Times New Roman"/>
                <w:b w:val="0"/>
                <w:bCs/>
              </w:rPr>
              <w:t>和</w:t>
            </w:r>
            <w:r w:rsidRPr="00D630D1">
              <w:rPr>
                <w:rFonts w:cs="Times New Roman"/>
                <w:b w:val="0"/>
                <w:bCs/>
              </w:rPr>
              <w:t>内部集输工程</w:t>
            </w:r>
            <w:r w:rsidRPr="00D630D1">
              <w:rPr>
                <w:rFonts w:cs="Times New Roman" w:hint="eastAsia"/>
                <w:b w:val="0"/>
                <w:bCs/>
              </w:rPr>
              <w:t>，不属于</w:t>
            </w:r>
            <w:r w:rsidRPr="00D630D1">
              <w:rPr>
                <w:rFonts w:cs="Times New Roman"/>
                <w:b w:val="0"/>
                <w:bCs/>
              </w:rPr>
              <w:t>限制开发建设活动</w:t>
            </w:r>
            <w:r w:rsidRPr="00D630D1">
              <w:rPr>
                <w:rFonts w:cs="Times New Roman" w:hint="eastAsia"/>
                <w:b w:val="0"/>
                <w:bCs/>
              </w:rPr>
              <w:t>。</w:t>
            </w:r>
          </w:p>
        </w:tc>
        <w:tc>
          <w:tcPr>
            <w:tcW w:w="72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符合</w:t>
            </w:r>
          </w:p>
        </w:tc>
      </w:tr>
      <w:tr w:rsidR="00594FDC" w:rsidRPr="00D630D1" w:rsidTr="00594FDC">
        <w:trPr>
          <w:trHeight w:val="1864"/>
          <w:jc w:val="center"/>
        </w:trPr>
        <w:tc>
          <w:tcPr>
            <w:tcW w:w="1966" w:type="dxa"/>
            <w:vMerge/>
            <w:vAlign w:val="center"/>
          </w:tcPr>
          <w:p w:rsidR="00594FDC" w:rsidRPr="00D630D1" w:rsidRDefault="00594FDC" w:rsidP="00DF5313">
            <w:pPr>
              <w:pStyle w:val="10"/>
              <w:spacing w:line="240" w:lineRule="auto"/>
              <w:rPr>
                <w:rFonts w:cs="Times New Roman"/>
                <w:b w:val="0"/>
                <w:bCs/>
              </w:rPr>
            </w:pPr>
          </w:p>
        </w:tc>
        <w:tc>
          <w:tcPr>
            <w:tcW w:w="941" w:type="dxa"/>
            <w:vMerge/>
            <w:vAlign w:val="center"/>
          </w:tcPr>
          <w:p w:rsidR="00594FDC" w:rsidRPr="00D630D1" w:rsidRDefault="00594FDC" w:rsidP="00DF5313">
            <w:pPr>
              <w:pStyle w:val="10"/>
              <w:spacing w:line="240" w:lineRule="auto"/>
              <w:rPr>
                <w:rFonts w:cs="Times New Roman"/>
                <w:b w:val="0"/>
                <w:bCs/>
              </w:rPr>
            </w:pPr>
          </w:p>
        </w:tc>
        <w:tc>
          <w:tcPr>
            <w:tcW w:w="99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污染物排放管控</w:t>
            </w:r>
          </w:p>
        </w:tc>
        <w:tc>
          <w:tcPr>
            <w:tcW w:w="2693" w:type="dxa"/>
            <w:vAlign w:val="center"/>
          </w:tcPr>
          <w:p w:rsidR="00594FDC" w:rsidRPr="00D630D1" w:rsidRDefault="00594FDC" w:rsidP="00594FDC">
            <w:pPr>
              <w:pStyle w:val="10"/>
              <w:spacing w:line="240" w:lineRule="auto"/>
              <w:rPr>
                <w:rFonts w:cs="Times New Roman"/>
                <w:b w:val="0"/>
                <w:bCs/>
              </w:rPr>
            </w:pPr>
            <w:r w:rsidRPr="00D630D1">
              <w:rPr>
                <w:rFonts w:cs="Times New Roman"/>
                <w:b w:val="0"/>
                <w:bCs/>
              </w:rPr>
              <w:t>污染物排放绩效水平准入要求：</w:t>
            </w:r>
          </w:p>
          <w:p w:rsidR="00594FDC" w:rsidRPr="00D630D1" w:rsidRDefault="00594FDC" w:rsidP="00594FDC">
            <w:pPr>
              <w:pStyle w:val="10"/>
              <w:spacing w:line="240" w:lineRule="auto"/>
              <w:rPr>
                <w:rFonts w:cs="Times New Roman"/>
                <w:b w:val="0"/>
                <w:bCs/>
              </w:rPr>
            </w:pPr>
            <w:r w:rsidRPr="00D630D1">
              <w:rPr>
                <w:rFonts w:cs="Times New Roman"/>
                <w:b w:val="0"/>
                <w:bCs/>
              </w:rPr>
              <w:t>-</w:t>
            </w:r>
            <w:r w:rsidRPr="00D630D1">
              <w:rPr>
                <w:rFonts w:cs="Times New Roman"/>
                <w:b w:val="0"/>
                <w:bCs/>
              </w:rPr>
              <w:t>大气环境布局敏感和弱扩散重点管控区内，现有大气污染重点企业，限期进行深度治理或关停并转。</w:t>
            </w:r>
          </w:p>
          <w:p w:rsidR="00594FDC" w:rsidRPr="00D630D1" w:rsidRDefault="00594FDC" w:rsidP="00594FDC">
            <w:pPr>
              <w:pStyle w:val="10"/>
              <w:spacing w:line="240" w:lineRule="auto"/>
              <w:rPr>
                <w:rFonts w:cs="Times New Roman"/>
                <w:bCs/>
              </w:rPr>
            </w:pPr>
            <w:r w:rsidRPr="00D630D1">
              <w:rPr>
                <w:rFonts w:cs="Times New Roman" w:hint="eastAsia"/>
                <w:b w:val="0"/>
                <w:bCs/>
              </w:rPr>
              <w:t>-</w:t>
            </w:r>
            <w:r w:rsidRPr="00D630D1">
              <w:rPr>
                <w:rFonts w:cs="Times New Roman" w:hint="eastAsia"/>
                <w:b w:val="0"/>
                <w:bCs/>
              </w:rPr>
              <w:t>其他参照达州市一般管控单元总体准入要求</w:t>
            </w:r>
            <w:r w:rsidRPr="00D630D1">
              <w:rPr>
                <w:rFonts w:cs="Times New Roman"/>
                <w:b w:val="0"/>
                <w:bCs/>
              </w:rPr>
              <w:t>。</w:t>
            </w:r>
          </w:p>
        </w:tc>
        <w:tc>
          <w:tcPr>
            <w:tcW w:w="1418" w:type="dxa"/>
            <w:vAlign w:val="center"/>
          </w:tcPr>
          <w:p w:rsidR="00594FDC" w:rsidRPr="00D630D1" w:rsidRDefault="00594FDC" w:rsidP="00594FDC">
            <w:pPr>
              <w:pStyle w:val="10"/>
              <w:spacing w:line="240" w:lineRule="auto"/>
              <w:rPr>
                <w:rFonts w:cs="Times New Roman"/>
                <w:b w:val="0"/>
                <w:bCs/>
              </w:rPr>
            </w:pPr>
            <w:r w:rsidRPr="00D630D1">
              <w:rPr>
                <w:rFonts w:cs="Times New Roman"/>
                <w:b w:val="0"/>
                <w:bCs/>
              </w:rPr>
              <w:t>项目属于天然气</w:t>
            </w:r>
            <w:r w:rsidR="00586C59" w:rsidRPr="00D630D1">
              <w:rPr>
                <w:rFonts w:cs="Times New Roman" w:hint="eastAsia"/>
                <w:b w:val="0"/>
                <w:bCs/>
              </w:rPr>
              <w:t>开采</w:t>
            </w:r>
            <w:r w:rsidR="00B11B9F" w:rsidRPr="00D630D1">
              <w:rPr>
                <w:rFonts w:cs="Times New Roman"/>
                <w:b w:val="0"/>
                <w:bCs/>
              </w:rPr>
              <w:t>和</w:t>
            </w:r>
            <w:r w:rsidRPr="00D630D1">
              <w:rPr>
                <w:rFonts w:cs="Times New Roman"/>
                <w:b w:val="0"/>
                <w:bCs/>
              </w:rPr>
              <w:t>内部集输工程</w:t>
            </w:r>
            <w:r w:rsidRPr="00D630D1">
              <w:rPr>
                <w:rFonts w:cs="Times New Roman" w:hint="eastAsia"/>
                <w:b w:val="0"/>
                <w:bCs/>
              </w:rPr>
              <w:t>，不属于</w:t>
            </w:r>
            <w:r w:rsidRPr="00D630D1">
              <w:rPr>
                <w:rFonts w:cs="Times New Roman"/>
                <w:b w:val="0"/>
                <w:bCs/>
              </w:rPr>
              <w:t>大气环境布局敏感和弱扩散重点管控区内</w:t>
            </w:r>
            <w:r w:rsidRPr="00D630D1">
              <w:rPr>
                <w:rFonts w:cs="Times New Roman" w:hint="eastAsia"/>
                <w:b w:val="0"/>
                <w:bCs/>
              </w:rPr>
              <w:t>，</w:t>
            </w:r>
            <w:r w:rsidRPr="00D630D1">
              <w:rPr>
                <w:rFonts w:cs="Times New Roman"/>
                <w:b w:val="0"/>
                <w:bCs/>
              </w:rPr>
              <w:t>废气污染物能够达标排放</w:t>
            </w:r>
            <w:r w:rsidRPr="00D630D1">
              <w:rPr>
                <w:rFonts w:cs="Times New Roman" w:hint="eastAsia"/>
                <w:b w:val="0"/>
                <w:bCs/>
              </w:rPr>
              <w:t>。</w:t>
            </w:r>
          </w:p>
        </w:tc>
        <w:tc>
          <w:tcPr>
            <w:tcW w:w="72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符合</w:t>
            </w:r>
          </w:p>
        </w:tc>
      </w:tr>
      <w:tr w:rsidR="00594FDC" w:rsidRPr="00D630D1" w:rsidTr="00594FDC">
        <w:trPr>
          <w:trHeight w:val="576"/>
          <w:jc w:val="center"/>
        </w:trPr>
        <w:tc>
          <w:tcPr>
            <w:tcW w:w="1966" w:type="dxa"/>
            <w:vMerge/>
            <w:vAlign w:val="center"/>
          </w:tcPr>
          <w:p w:rsidR="00594FDC" w:rsidRPr="00D630D1" w:rsidRDefault="00594FDC" w:rsidP="00DF5313">
            <w:pPr>
              <w:pStyle w:val="10"/>
              <w:spacing w:line="240" w:lineRule="auto"/>
              <w:rPr>
                <w:rFonts w:cs="Times New Roman"/>
                <w:b w:val="0"/>
                <w:bCs/>
              </w:rPr>
            </w:pPr>
          </w:p>
        </w:tc>
        <w:tc>
          <w:tcPr>
            <w:tcW w:w="941" w:type="dxa"/>
            <w:vMerge/>
            <w:vAlign w:val="center"/>
          </w:tcPr>
          <w:p w:rsidR="00594FDC" w:rsidRPr="00D630D1" w:rsidRDefault="00594FDC" w:rsidP="00DF5313">
            <w:pPr>
              <w:pStyle w:val="10"/>
              <w:spacing w:line="240" w:lineRule="auto"/>
              <w:rPr>
                <w:rFonts w:cs="Times New Roman"/>
                <w:b w:val="0"/>
                <w:bCs/>
              </w:rPr>
            </w:pPr>
          </w:p>
        </w:tc>
        <w:tc>
          <w:tcPr>
            <w:tcW w:w="99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环境风险</w:t>
            </w:r>
            <w:r w:rsidRPr="00D630D1">
              <w:rPr>
                <w:rFonts w:cs="Times New Roman" w:hint="eastAsia"/>
                <w:b w:val="0"/>
                <w:bCs/>
              </w:rPr>
              <w:t>防控</w:t>
            </w:r>
          </w:p>
        </w:tc>
        <w:tc>
          <w:tcPr>
            <w:tcW w:w="2693" w:type="dxa"/>
            <w:vAlign w:val="center"/>
          </w:tcPr>
          <w:p w:rsidR="00594FDC" w:rsidRPr="00D630D1" w:rsidRDefault="00594FDC" w:rsidP="00D4562D">
            <w:pPr>
              <w:pStyle w:val="10"/>
              <w:spacing w:line="240" w:lineRule="auto"/>
              <w:rPr>
                <w:rFonts w:cs="Times New Roman"/>
                <w:bCs/>
              </w:rPr>
            </w:pPr>
            <w:r w:rsidRPr="00D630D1">
              <w:rPr>
                <w:rFonts w:cs="Times New Roman" w:hint="eastAsia"/>
                <w:bCs/>
              </w:rPr>
              <w:t>-</w:t>
            </w:r>
            <w:r w:rsidRPr="00D630D1">
              <w:rPr>
                <w:rFonts w:cs="Times New Roman" w:hint="eastAsia"/>
                <w:b w:val="0"/>
                <w:bCs/>
              </w:rPr>
              <w:t>其他参照达州市一般管控单元总体准入要求。</w:t>
            </w:r>
          </w:p>
        </w:tc>
        <w:tc>
          <w:tcPr>
            <w:tcW w:w="1418"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项目属于天然气</w:t>
            </w:r>
            <w:r w:rsidR="00586C59" w:rsidRPr="00D630D1">
              <w:rPr>
                <w:rFonts w:cs="Times New Roman" w:hint="eastAsia"/>
                <w:b w:val="0"/>
                <w:bCs/>
              </w:rPr>
              <w:t>开采</w:t>
            </w:r>
            <w:r w:rsidR="00B11B9F" w:rsidRPr="00D630D1">
              <w:rPr>
                <w:rFonts w:cs="Times New Roman"/>
                <w:b w:val="0"/>
                <w:bCs/>
              </w:rPr>
              <w:t>和</w:t>
            </w:r>
            <w:r w:rsidRPr="00D630D1">
              <w:rPr>
                <w:rFonts w:cs="Times New Roman"/>
                <w:b w:val="0"/>
                <w:bCs/>
              </w:rPr>
              <w:t>内部集输工</w:t>
            </w:r>
            <w:r w:rsidRPr="00D630D1">
              <w:rPr>
                <w:rFonts w:cs="Times New Roman"/>
                <w:b w:val="0"/>
                <w:bCs/>
              </w:rPr>
              <w:lastRenderedPageBreak/>
              <w:t>程</w:t>
            </w:r>
            <w:r w:rsidRPr="00D630D1">
              <w:rPr>
                <w:rFonts w:cs="Times New Roman" w:hint="eastAsia"/>
                <w:b w:val="0"/>
                <w:bCs/>
              </w:rPr>
              <w:t>，不属于“散乱污”企业。</w:t>
            </w:r>
          </w:p>
        </w:tc>
        <w:tc>
          <w:tcPr>
            <w:tcW w:w="72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lastRenderedPageBreak/>
              <w:t>符合</w:t>
            </w:r>
          </w:p>
        </w:tc>
      </w:tr>
      <w:tr w:rsidR="00594FDC" w:rsidRPr="00D630D1" w:rsidTr="00594FDC">
        <w:trPr>
          <w:trHeight w:val="940"/>
          <w:jc w:val="center"/>
        </w:trPr>
        <w:tc>
          <w:tcPr>
            <w:tcW w:w="1966" w:type="dxa"/>
            <w:vMerge/>
            <w:vAlign w:val="center"/>
          </w:tcPr>
          <w:p w:rsidR="00594FDC" w:rsidRPr="00D630D1" w:rsidRDefault="00594FDC" w:rsidP="00DF5313">
            <w:pPr>
              <w:pStyle w:val="10"/>
              <w:spacing w:line="240" w:lineRule="auto"/>
              <w:rPr>
                <w:rFonts w:cs="Times New Roman"/>
                <w:b w:val="0"/>
                <w:bCs/>
              </w:rPr>
            </w:pPr>
          </w:p>
        </w:tc>
        <w:tc>
          <w:tcPr>
            <w:tcW w:w="941" w:type="dxa"/>
            <w:vMerge/>
            <w:vAlign w:val="center"/>
          </w:tcPr>
          <w:p w:rsidR="00594FDC" w:rsidRPr="00D630D1" w:rsidRDefault="00594FDC" w:rsidP="00DF5313">
            <w:pPr>
              <w:pStyle w:val="10"/>
              <w:spacing w:line="240" w:lineRule="auto"/>
              <w:rPr>
                <w:rFonts w:cs="Times New Roman"/>
                <w:b w:val="0"/>
                <w:bCs/>
              </w:rPr>
            </w:pPr>
          </w:p>
        </w:tc>
        <w:tc>
          <w:tcPr>
            <w:tcW w:w="99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资源开发利用效率</w:t>
            </w:r>
          </w:p>
        </w:tc>
        <w:tc>
          <w:tcPr>
            <w:tcW w:w="2693" w:type="dxa"/>
            <w:vAlign w:val="center"/>
          </w:tcPr>
          <w:p w:rsidR="00594FDC" w:rsidRPr="00D630D1" w:rsidRDefault="00594FDC" w:rsidP="00D4562D">
            <w:pPr>
              <w:pStyle w:val="10"/>
              <w:spacing w:line="240" w:lineRule="auto"/>
              <w:rPr>
                <w:rFonts w:cs="Times New Roman"/>
                <w:bCs/>
              </w:rPr>
            </w:pPr>
            <w:r w:rsidRPr="00D630D1">
              <w:rPr>
                <w:rFonts w:cs="Times New Roman" w:hint="eastAsia"/>
                <w:bCs/>
              </w:rPr>
              <w:t>-</w:t>
            </w:r>
            <w:r w:rsidRPr="00D630D1">
              <w:rPr>
                <w:rFonts w:cs="Times New Roman" w:hint="eastAsia"/>
                <w:b w:val="0"/>
                <w:bCs/>
              </w:rPr>
              <w:t>其他参照达州市一般管控单元总体准入要求。</w:t>
            </w:r>
          </w:p>
        </w:tc>
        <w:tc>
          <w:tcPr>
            <w:tcW w:w="1418"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项目</w:t>
            </w:r>
            <w:r w:rsidRPr="00D630D1">
              <w:rPr>
                <w:rFonts w:cs="Times New Roman" w:hint="eastAsia"/>
                <w:b w:val="0"/>
                <w:bCs/>
              </w:rPr>
              <w:t>使用天然气，为清洁能源。</w:t>
            </w:r>
          </w:p>
        </w:tc>
        <w:tc>
          <w:tcPr>
            <w:tcW w:w="722" w:type="dxa"/>
            <w:vAlign w:val="center"/>
          </w:tcPr>
          <w:p w:rsidR="00594FDC" w:rsidRPr="00D630D1" w:rsidRDefault="00594FDC" w:rsidP="00DF5313">
            <w:pPr>
              <w:pStyle w:val="10"/>
              <w:spacing w:line="240" w:lineRule="auto"/>
              <w:rPr>
                <w:rFonts w:cs="Times New Roman"/>
                <w:b w:val="0"/>
                <w:bCs/>
              </w:rPr>
            </w:pPr>
            <w:r w:rsidRPr="00D630D1">
              <w:rPr>
                <w:rFonts w:cs="Times New Roman"/>
                <w:b w:val="0"/>
                <w:bCs/>
              </w:rPr>
              <w:t>符合</w:t>
            </w:r>
          </w:p>
        </w:tc>
      </w:tr>
    </w:tbl>
    <w:p w:rsidR="00F7691B" w:rsidRPr="00D630D1" w:rsidRDefault="00F7691B" w:rsidP="00F7691B">
      <w:pPr>
        <w:pStyle w:val="afa"/>
        <w:ind w:firstLine="482"/>
        <w:rPr>
          <w:b/>
          <w:bCs/>
        </w:rPr>
      </w:pPr>
      <w:r w:rsidRPr="00D630D1">
        <w:rPr>
          <w:b/>
          <w:bCs/>
        </w:rPr>
        <w:t>综上，本项目的建设满足区域</w:t>
      </w:r>
      <w:r w:rsidRPr="00D630D1">
        <w:rPr>
          <w:b/>
          <w:bCs/>
        </w:rPr>
        <w:t>“</w:t>
      </w:r>
      <w:r w:rsidRPr="00D630D1">
        <w:rPr>
          <w:b/>
          <w:bCs/>
        </w:rPr>
        <w:t>三线一单</w:t>
      </w:r>
      <w:r w:rsidRPr="00D630D1">
        <w:rPr>
          <w:b/>
          <w:bCs/>
        </w:rPr>
        <w:t>”</w:t>
      </w:r>
      <w:r w:rsidRPr="00D630D1">
        <w:rPr>
          <w:b/>
          <w:bCs/>
        </w:rPr>
        <w:t>的环境管理机制要求。</w:t>
      </w:r>
    </w:p>
    <w:p w:rsidR="00117C3D" w:rsidRPr="00D630D1" w:rsidRDefault="008B5B84" w:rsidP="000357C8">
      <w:pPr>
        <w:keepNext/>
        <w:keepLines/>
        <w:spacing w:before="120"/>
        <w:ind w:firstLineChars="0" w:firstLine="0"/>
        <w:outlineLvl w:val="1"/>
        <w:rPr>
          <w:rFonts w:ascii="Times New Roman" w:cs="Times New Roman"/>
          <w:b/>
          <w:bCs/>
          <w:sz w:val="28"/>
          <w:szCs w:val="32"/>
        </w:rPr>
      </w:pPr>
      <w:bookmarkStart w:id="93" w:name="_Toc12288389"/>
      <w:bookmarkStart w:id="94" w:name="_Toc19815938"/>
      <w:bookmarkStart w:id="95" w:name="_Toc81515258"/>
      <w:r w:rsidRPr="00D630D1">
        <w:rPr>
          <w:rFonts w:ascii="Times New Roman" w:cs="Times New Roman"/>
          <w:b/>
          <w:bCs/>
          <w:sz w:val="28"/>
          <w:szCs w:val="32"/>
        </w:rPr>
        <w:t xml:space="preserve">1.9 </w:t>
      </w:r>
      <w:r w:rsidRPr="00D630D1">
        <w:rPr>
          <w:rFonts w:ascii="Times New Roman" w:cs="Times New Roman"/>
          <w:b/>
          <w:bCs/>
          <w:sz w:val="28"/>
          <w:szCs w:val="32"/>
        </w:rPr>
        <w:t>污染控制与环境保护目标</w:t>
      </w:r>
      <w:bookmarkEnd w:id="93"/>
      <w:bookmarkEnd w:id="94"/>
      <w:bookmarkEnd w:id="95"/>
    </w:p>
    <w:p w:rsidR="00117C3D" w:rsidRPr="00D630D1" w:rsidRDefault="008B5B84">
      <w:pPr>
        <w:keepNext/>
        <w:keepLines/>
        <w:ind w:firstLineChars="0" w:firstLine="0"/>
        <w:outlineLvl w:val="2"/>
        <w:rPr>
          <w:rFonts w:ascii="Times New Roman" w:cs="Times New Roman"/>
          <w:b/>
          <w:szCs w:val="32"/>
        </w:rPr>
      </w:pPr>
      <w:bookmarkStart w:id="96" w:name="_Toc19815939"/>
      <w:r w:rsidRPr="00D630D1">
        <w:rPr>
          <w:rFonts w:ascii="Times New Roman" w:cs="Times New Roman"/>
          <w:b/>
          <w:szCs w:val="32"/>
        </w:rPr>
        <w:t xml:space="preserve">1.9.1 </w:t>
      </w:r>
      <w:r w:rsidRPr="00D630D1">
        <w:rPr>
          <w:rFonts w:ascii="Times New Roman" w:cs="Times New Roman"/>
          <w:b/>
          <w:szCs w:val="32"/>
        </w:rPr>
        <w:t>污染控制目标</w:t>
      </w:r>
      <w:bookmarkEnd w:id="96"/>
    </w:p>
    <w:p w:rsidR="00486C6A" w:rsidRPr="00D630D1" w:rsidRDefault="00486C6A" w:rsidP="00486C6A">
      <w:pPr>
        <w:pStyle w:val="afa"/>
        <w:ind w:firstLine="480"/>
      </w:pPr>
      <w:r w:rsidRPr="00D630D1">
        <w:t>1</w:t>
      </w:r>
      <w:r w:rsidRPr="00D630D1">
        <w:t>、控制场站各种污染物排放量，做到达标排放。</w:t>
      </w:r>
    </w:p>
    <w:p w:rsidR="00486C6A" w:rsidRPr="00D630D1" w:rsidRDefault="00486C6A" w:rsidP="00486C6A">
      <w:pPr>
        <w:pStyle w:val="afa"/>
        <w:ind w:firstLine="480"/>
      </w:pPr>
      <w:r w:rsidRPr="00D630D1">
        <w:t>2</w:t>
      </w:r>
      <w:r w:rsidRPr="00D630D1">
        <w:t>、控制和减轻管沟开挖及施工临时便道建设对地表植被、土壤的破坏及造成的水土流失，特别注意控制对丘陵、山区的生态环境敏感区的影响。</w:t>
      </w:r>
    </w:p>
    <w:p w:rsidR="00486C6A" w:rsidRPr="00D630D1" w:rsidRDefault="00486C6A" w:rsidP="00486C6A">
      <w:pPr>
        <w:pStyle w:val="afa"/>
        <w:ind w:firstLine="480"/>
      </w:pPr>
      <w:r w:rsidRPr="00D630D1">
        <w:t>3</w:t>
      </w:r>
      <w:r w:rsidRPr="00D630D1">
        <w:t>、防止由于施工活动地表水体及地下水环境。</w:t>
      </w:r>
    </w:p>
    <w:p w:rsidR="00486C6A" w:rsidRPr="00D630D1" w:rsidRDefault="00486C6A" w:rsidP="00486C6A">
      <w:pPr>
        <w:pStyle w:val="afa"/>
        <w:ind w:firstLine="480"/>
      </w:pPr>
      <w:r w:rsidRPr="00D630D1">
        <w:t>4</w:t>
      </w:r>
      <w:r w:rsidRPr="00D630D1">
        <w:t>、控制和减轻管沟开挖建设对管道沿线林地及农业生态系统的影响，尽量减少对林木的砍伐，并落实植被及农田恢复的措施工作。</w:t>
      </w:r>
    </w:p>
    <w:p w:rsidR="00117C3D" w:rsidRPr="00D630D1" w:rsidRDefault="00486C6A" w:rsidP="00486C6A">
      <w:pPr>
        <w:pStyle w:val="afa"/>
        <w:ind w:firstLine="480"/>
      </w:pPr>
      <w:r w:rsidRPr="00D630D1">
        <w:t>5</w:t>
      </w:r>
      <w:r w:rsidRPr="00D630D1">
        <w:t>、控制和减轻施工活动对管道沿线及站场周围居民的影响。</w:t>
      </w:r>
    </w:p>
    <w:p w:rsidR="00117C3D" w:rsidRPr="00D630D1" w:rsidRDefault="008B5B84">
      <w:pPr>
        <w:keepNext/>
        <w:keepLines/>
        <w:ind w:firstLineChars="0" w:firstLine="0"/>
        <w:outlineLvl w:val="2"/>
        <w:rPr>
          <w:rFonts w:ascii="Times New Roman" w:cs="Times New Roman"/>
          <w:b/>
          <w:szCs w:val="32"/>
        </w:rPr>
      </w:pPr>
      <w:bookmarkStart w:id="97" w:name="_Toc19815940"/>
      <w:r w:rsidRPr="00D630D1">
        <w:rPr>
          <w:rFonts w:ascii="Times New Roman" w:cs="Times New Roman"/>
          <w:b/>
          <w:szCs w:val="32"/>
        </w:rPr>
        <w:t xml:space="preserve">1.9.2 </w:t>
      </w:r>
      <w:r w:rsidRPr="00D630D1">
        <w:rPr>
          <w:rFonts w:ascii="Times New Roman" w:cs="Times New Roman"/>
          <w:b/>
          <w:szCs w:val="32"/>
        </w:rPr>
        <w:t>环境保护目标</w:t>
      </w:r>
      <w:bookmarkEnd w:id="97"/>
    </w:p>
    <w:p w:rsidR="008C76F1" w:rsidRPr="00D630D1" w:rsidRDefault="008C76F1" w:rsidP="008C76F1">
      <w:pPr>
        <w:pStyle w:val="afa"/>
        <w:ind w:firstLine="482"/>
        <w:rPr>
          <w:b/>
          <w:bCs/>
        </w:rPr>
      </w:pPr>
      <w:r w:rsidRPr="00D630D1">
        <w:rPr>
          <w:b/>
          <w:bCs/>
        </w:rPr>
        <w:t>1</w:t>
      </w:r>
      <w:r w:rsidRPr="00D630D1">
        <w:rPr>
          <w:b/>
          <w:bCs/>
        </w:rPr>
        <w:t>、大气环境敏感目标</w:t>
      </w:r>
    </w:p>
    <w:p w:rsidR="008C76F1" w:rsidRPr="00D630D1" w:rsidRDefault="00EF2299" w:rsidP="008C76F1">
      <w:pPr>
        <w:pStyle w:val="afa"/>
        <w:ind w:firstLine="480"/>
      </w:pPr>
      <w:r w:rsidRPr="00D630D1">
        <w:t>本项目大气环境敏感目标</w:t>
      </w:r>
      <w:r w:rsidRPr="00D630D1">
        <w:rPr>
          <w:rFonts w:hint="eastAsia"/>
        </w:rPr>
        <w:t>为以</w:t>
      </w:r>
      <w:r w:rsidR="002C00AE">
        <w:t>普光</w:t>
      </w:r>
      <w:r w:rsidR="002C00AE">
        <w:t>12</w:t>
      </w:r>
      <w:r w:rsidR="002C00AE">
        <w:t>采气站</w:t>
      </w:r>
      <w:r w:rsidR="008C76F1" w:rsidRPr="00D630D1">
        <w:t>为中心，边长</w:t>
      </w:r>
      <w:r w:rsidR="008C76F1" w:rsidRPr="00D630D1">
        <w:t>5km</w:t>
      </w:r>
      <w:r w:rsidR="008C76F1" w:rsidRPr="00D630D1">
        <w:t>矩形区域、管线</w:t>
      </w:r>
      <w:r w:rsidR="008C76F1" w:rsidRPr="00D630D1">
        <w:t>200m</w:t>
      </w:r>
      <w:r w:rsidR="008C76F1" w:rsidRPr="00D630D1">
        <w:t>评价范围内的人口集中区、社会关注区等。</w:t>
      </w:r>
    </w:p>
    <w:p w:rsidR="002F00DB" w:rsidRPr="00D630D1" w:rsidRDefault="002F00DB" w:rsidP="002F00DB">
      <w:pPr>
        <w:pStyle w:val="afa"/>
        <w:ind w:firstLine="482"/>
        <w:rPr>
          <w:b/>
          <w:bCs/>
        </w:rPr>
      </w:pPr>
      <w:r w:rsidRPr="00D630D1">
        <w:rPr>
          <w:b/>
          <w:bCs/>
        </w:rPr>
        <w:t>2</w:t>
      </w:r>
      <w:r w:rsidRPr="00D630D1">
        <w:rPr>
          <w:b/>
          <w:bCs/>
        </w:rPr>
        <w:t>、地表水环境敏感目标</w:t>
      </w:r>
    </w:p>
    <w:p w:rsidR="008C76F1" w:rsidRPr="00D630D1" w:rsidRDefault="002C00AE" w:rsidP="002F00DB">
      <w:pPr>
        <w:pStyle w:val="afa"/>
        <w:ind w:firstLine="480"/>
        <w:rPr>
          <w:szCs w:val="24"/>
        </w:rPr>
      </w:pPr>
      <w:r>
        <w:t>普光</w:t>
      </w:r>
      <w:r>
        <w:t>12</w:t>
      </w:r>
      <w:r>
        <w:t>采气站</w:t>
      </w:r>
      <w:r w:rsidR="00403672">
        <w:rPr>
          <w:rFonts w:hint="eastAsia"/>
        </w:rPr>
        <w:t>、</w:t>
      </w:r>
      <w:r>
        <w:t>普光</w:t>
      </w:r>
      <w:r>
        <w:t>12</w:t>
      </w:r>
      <w:r>
        <w:t>采气站</w:t>
      </w:r>
      <w:r w:rsidR="007E7AC5" w:rsidRPr="00D630D1">
        <w:t>~</w:t>
      </w:r>
      <w:r w:rsidR="00D57583">
        <w:t>普陆</w:t>
      </w:r>
      <w:r w:rsidR="00D57583">
        <w:t>3</w:t>
      </w:r>
      <w:r w:rsidR="00D57583">
        <w:t>集气站</w:t>
      </w:r>
      <w:r w:rsidR="00EF2299" w:rsidRPr="00D630D1">
        <w:rPr>
          <w:rFonts w:hint="eastAsia"/>
        </w:rPr>
        <w:t>集气管道</w:t>
      </w:r>
      <w:r w:rsidR="00403672">
        <w:rPr>
          <w:rFonts w:hint="eastAsia"/>
        </w:rPr>
        <w:t>及</w:t>
      </w:r>
      <w:r w:rsidR="00403672">
        <w:t>普陆</w:t>
      </w:r>
      <w:r w:rsidR="00403672">
        <w:t>3</w:t>
      </w:r>
      <w:r w:rsidR="00403672">
        <w:t>集气站</w:t>
      </w:r>
      <w:r w:rsidR="00403672" w:rsidRPr="00D630D1">
        <w:t>~</w:t>
      </w:r>
      <w:r w:rsidR="00403672">
        <w:rPr>
          <w:rFonts w:hint="eastAsia"/>
        </w:rPr>
        <w:t>P105</w:t>
      </w:r>
      <w:r w:rsidR="00403672">
        <w:t>集气站</w:t>
      </w:r>
      <w:r w:rsidR="00403672" w:rsidRPr="00D630D1">
        <w:rPr>
          <w:rFonts w:hint="eastAsia"/>
        </w:rPr>
        <w:t>集气管道</w:t>
      </w:r>
      <w:r w:rsidR="00D628B2" w:rsidRPr="00D630D1">
        <w:rPr>
          <w:rFonts w:hint="eastAsia"/>
        </w:rPr>
        <w:t>均</w:t>
      </w:r>
      <w:r w:rsidR="00EF2299" w:rsidRPr="00D630D1">
        <w:rPr>
          <w:szCs w:val="24"/>
        </w:rPr>
        <w:t>未穿越地表水水源保护区，评价范围内不涉及地表水水源保护区</w:t>
      </w:r>
      <w:r w:rsidR="002F00DB" w:rsidRPr="00D630D1">
        <w:rPr>
          <w:szCs w:val="24"/>
        </w:rPr>
        <w:t>。</w:t>
      </w:r>
    </w:p>
    <w:p w:rsidR="008C76F1" w:rsidRPr="00D630D1" w:rsidRDefault="002C00AE" w:rsidP="002F00DB">
      <w:pPr>
        <w:pStyle w:val="afa"/>
        <w:ind w:firstLine="480"/>
        <w:rPr>
          <w:szCs w:val="24"/>
        </w:rPr>
      </w:pPr>
      <w:r>
        <w:rPr>
          <w:szCs w:val="24"/>
        </w:rPr>
        <w:t>普光</w:t>
      </w:r>
      <w:r>
        <w:rPr>
          <w:szCs w:val="24"/>
        </w:rPr>
        <w:t>12</w:t>
      </w:r>
      <w:r>
        <w:rPr>
          <w:szCs w:val="24"/>
        </w:rPr>
        <w:t>采气站</w:t>
      </w:r>
      <w:r w:rsidR="002F00DB" w:rsidRPr="00D630D1">
        <w:rPr>
          <w:szCs w:val="24"/>
        </w:rPr>
        <w:t>为</w:t>
      </w:r>
      <w:r w:rsidR="007200A5">
        <w:rPr>
          <w:rFonts w:hint="eastAsia"/>
          <w:szCs w:val="24"/>
        </w:rPr>
        <w:t>有人</w:t>
      </w:r>
      <w:r w:rsidR="002F00DB" w:rsidRPr="00D630D1">
        <w:rPr>
          <w:szCs w:val="24"/>
        </w:rPr>
        <w:t>值守井站</w:t>
      </w:r>
      <w:r w:rsidR="00A126C5" w:rsidRPr="00D630D1">
        <w:rPr>
          <w:szCs w:val="24"/>
        </w:rPr>
        <w:t>。</w:t>
      </w:r>
      <w:r w:rsidR="007200A5" w:rsidRPr="00D630D1">
        <w:t>本项目运营期产生的气田水</w:t>
      </w:r>
      <w:r w:rsidR="007200A5" w:rsidRPr="002C36C4">
        <w:rPr>
          <w:rFonts w:hint="eastAsia"/>
        </w:rPr>
        <w:t>暂存于污水缓冲罐</w:t>
      </w:r>
      <w:r w:rsidR="007200A5" w:rsidRPr="00D630D1">
        <w:t>，然后通过密闭罐车拉运至大湾</w:t>
      </w:r>
      <w:r w:rsidR="007200A5" w:rsidRPr="00D630D1">
        <w:t>403</w:t>
      </w:r>
      <w:r w:rsidR="007200A5" w:rsidRPr="00D630D1">
        <w:t>污水站处理达到《气田水回注方法》（</w:t>
      </w:r>
      <w:r w:rsidR="007200A5" w:rsidRPr="00D630D1">
        <w:t>SY/T 6596</w:t>
      </w:r>
      <w:r w:rsidR="007200A5" w:rsidRPr="00D630D1">
        <w:rPr>
          <w:rFonts w:hint="eastAsia"/>
        </w:rPr>
        <w:t>-</w:t>
      </w:r>
      <w:r w:rsidR="007200A5" w:rsidRPr="00D630D1">
        <w:t>2016</w:t>
      </w:r>
      <w:r w:rsidR="007200A5" w:rsidRPr="00D630D1">
        <w:t>）中注入水基本要求后管输至毛开</w:t>
      </w:r>
      <w:r w:rsidR="007200A5" w:rsidRPr="00D630D1">
        <w:t>1</w:t>
      </w:r>
      <w:r w:rsidR="007200A5" w:rsidRPr="00D630D1">
        <w:t>井回注站回注处理，不外排</w:t>
      </w:r>
      <w:r w:rsidR="007200A5">
        <w:rPr>
          <w:rFonts w:hint="eastAsia"/>
        </w:rPr>
        <w:t>；值守</w:t>
      </w:r>
      <w:r w:rsidR="007200A5" w:rsidRPr="000819D9">
        <w:t>人员生活</w:t>
      </w:r>
      <w:r w:rsidR="007200A5" w:rsidRPr="000819D9">
        <w:rPr>
          <w:rFonts w:hint="eastAsia"/>
        </w:rPr>
        <w:t>污水</w:t>
      </w:r>
      <w:r w:rsidR="007200A5">
        <w:rPr>
          <w:rFonts w:hint="eastAsia"/>
        </w:rPr>
        <w:t>经</w:t>
      </w:r>
      <w:r w:rsidR="007200A5" w:rsidRPr="000819D9">
        <w:t>生态环保厕所收集后，用作周边农肥，不外排</w:t>
      </w:r>
      <w:r w:rsidR="002F00DB" w:rsidRPr="00D630D1">
        <w:rPr>
          <w:szCs w:val="24"/>
        </w:rPr>
        <w:t>。项目最近地表水体为</w:t>
      </w:r>
      <w:r>
        <w:rPr>
          <w:szCs w:val="24"/>
        </w:rPr>
        <w:t>普光</w:t>
      </w:r>
      <w:r>
        <w:rPr>
          <w:szCs w:val="24"/>
        </w:rPr>
        <w:t>12</w:t>
      </w:r>
      <w:r>
        <w:rPr>
          <w:szCs w:val="24"/>
        </w:rPr>
        <w:t>采气站</w:t>
      </w:r>
      <w:r w:rsidR="00403672">
        <w:rPr>
          <w:rFonts w:hint="eastAsia"/>
          <w:szCs w:val="24"/>
        </w:rPr>
        <w:t>西南</w:t>
      </w:r>
      <w:r w:rsidR="008B17C2" w:rsidRPr="00D630D1">
        <w:rPr>
          <w:szCs w:val="24"/>
        </w:rPr>
        <w:t>侧</w:t>
      </w:r>
      <w:r w:rsidR="00403672">
        <w:rPr>
          <w:rFonts w:hint="eastAsia"/>
          <w:szCs w:val="24"/>
        </w:rPr>
        <w:t>9</w:t>
      </w:r>
      <w:r w:rsidR="00A95C4C" w:rsidRPr="00D630D1">
        <w:rPr>
          <w:rFonts w:hint="eastAsia"/>
          <w:szCs w:val="24"/>
        </w:rPr>
        <w:t>00m</w:t>
      </w:r>
      <w:r w:rsidR="00A95C4C" w:rsidRPr="00D630D1">
        <w:rPr>
          <w:rFonts w:hint="eastAsia"/>
          <w:szCs w:val="24"/>
        </w:rPr>
        <w:t>处</w:t>
      </w:r>
      <w:r w:rsidR="008B17C2" w:rsidRPr="00D630D1">
        <w:rPr>
          <w:szCs w:val="24"/>
        </w:rPr>
        <w:t>的</w:t>
      </w:r>
      <w:r w:rsidR="00403672">
        <w:rPr>
          <w:rFonts w:hint="eastAsia"/>
          <w:szCs w:val="24"/>
        </w:rPr>
        <w:t>千河沟</w:t>
      </w:r>
      <w:r w:rsidR="008B17C2" w:rsidRPr="00D630D1">
        <w:rPr>
          <w:szCs w:val="24"/>
        </w:rPr>
        <w:t>和</w:t>
      </w:r>
      <w:r w:rsidR="00403672">
        <w:rPr>
          <w:rFonts w:hint="eastAsia"/>
          <w:szCs w:val="24"/>
        </w:rPr>
        <w:t>西南</w:t>
      </w:r>
      <w:r w:rsidR="00403672" w:rsidRPr="00D630D1">
        <w:rPr>
          <w:szCs w:val="24"/>
        </w:rPr>
        <w:t>侧</w:t>
      </w:r>
      <w:r w:rsidR="00EF2299" w:rsidRPr="00D630D1">
        <w:rPr>
          <w:rFonts w:hint="eastAsia"/>
          <w:szCs w:val="24"/>
        </w:rPr>
        <w:t>3</w:t>
      </w:r>
      <w:r w:rsidR="00403672">
        <w:rPr>
          <w:rFonts w:hint="eastAsia"/>
          <w:szCs w:val="24"/>
        </w:rPr>
        <w:t>1</w:t>
      </w:r>
      <w:r w:rsidR="00EF2299" w:rsidRPr="00D630D1">
        <w:rPr>
          <w:rFonts w:hint="eastAsia"/>
          <w:szCs w:val="24"/>
        </w:rPr>
        <w:t>00m</w:t>
      </w:r>
      <w:r w:rsidR="00EF2299" w:rsidRPr="00D630D1">
        <w:rPr>
          <w:rFonts w:hint="eastAsia"/>
          <w:szCs w:val="24"/>
        </w:rPr>
        <w:t>处的</w:t>
      </w:r>
      <w:r w:rsidR="00EF2299" w:rsidRPr="00D630D1">
        <w:rPr>
          <w:szCs w:val="24"/>
        </w:rPr>
        <w:t>后河</w:t>
      </w:r>
      <w:r w:rsidR="002F00DB" w:rsidRPr="00D630D1">
        <w:rPr>
          <w:szCs w:val="24"/>
        </w:rPr>
        <w:t>，</w:t>
      </w:r>
      <w:r w:rsidR="002F00DB" w:rsidRPr="00D630D1">
        <w:rPr>
          <w:szCs w:val="24"/>
        </w:rPr>
        <w:lastRenderedPageBreak/>
        <w:t>为本项目地表水敏感目标。</w:t>
      </w:r>
    </w:p>
    <w:p w:rsidR="002F00DB" w:rsidRPr="00D630D1" w:rsidRDefault="002F00DB" w:rsidP="002F00DB">
      <w:pPr>
        <w:pStyle w:val="afa"/>
        <w:ind w:firstLine="482"/>
        <w:rPr>
          <w:b/>
          <w:bCs/>
          <w:szCs w:val="24"/>
        </w:rPr>
      </w:pPr>
      <w:r w:rsidRPr="00D630D1">
        <w:rPr>
          <w:b/>
          <w:bCs/>
          <w:szCs w:val="24"/>
        </w:rPr>
        <w:t>3</w:t>
      </w:r>
      <w:r w:rsidRPr="00D630D1">
        <w:rPr>
          <w:b/>
          <w:bCs/>
          <w:szCs w:val="24"/>
        </w:rPr>
        <w:t>、地下水环境敏感目标</w:t>
      </w:r>
    </w:p>
    <w:p w:rsidR="008C76F1" w:rsidRPr="00D630D1" w:rsidRDefault="002F00DB" w:rsidP="000D4243">
      <w:pPr>
        <w:pStyle w:val="afa"/>
        <w:ind w:firstLine="480"/>
        <w:rPr>
          <w:szCs w:val="24"/>
        </w:rPr>
      </w:pPr>
      <w:r w:rsidRPr="00D630D1">
        <w:rPr>
          <w:szCs w:val="24"/>
        </w:rPr>
        <w:t>本次评价对评价范围内村庄用水进行了详细调查：管线两侧</w:t>
      </w:r>
      <w:r w:rsidRPr="00D630D1">
        <w:rPr>
          <w:szCs w:val="24"/>
        </w:rPr>
        <w:t>200m</w:t>
      </w:r>
      <w:r w:rsidRPr="00D630D1">
        <w:rPr>
          <w:szCs w:val="24"/>
        </w:rPr>
        <w:t>范围内不涉及划定的地下水水源保护区、准保护区，</w:t>
      </w:r>
      <w:r w:rsidR="00EF2299" w:rsidRPr="00D630D1">
        <w:rPr>
          <w:szCs w:val="24"/>
        </w:rPr>
        <w:t xml:space="preserve"> </w:t>
      </w:r>
      <w:r w:rsidR="002C00AE">
        <w:rPr>
          <w:szCs w:val="24"/>
        </w:rPr>
        <w:t>普光</w:t>
      </w:r>
      <w:r w:rsidR="002C00AE">
        <w:rPr>
          <w:szCs w:val="24"/>
        </w:rPr>
        <w:t>12</w:t>
      </w:r>
      <w:r w:rsidR="002C00AE">
        <w:rPr>
          <w:szCs w:val="24"/>
        </w:rPr>
        <w:t>采气站</w:t>
      </w:r>
      <w:r w:rsidR="00F8192F" w:rsidRPr="00D630D1">
        <w:rPr>
          <w:rFonts w:hint="eastAsia"/>
          <w:szCs w:val="24"/>
        </w:rPr>
        <w:t>地下水评价范围内</w:t>
      </w:r>
      <w:r w:rsidRPr="00D630D1">
        <w:rPr>
          <w:szCs w:val="24"/>
        </w:rPr>
        <w:t>有部分农户水井作为分散式饮用水源</w:t>
      </w:r>
      <w:r w:rsidR="001A48A3" w:rsidRPr="00D630D1">
        <w:rPr>
          <w:rFonts w:hint="eastAsia"/>
          <w:szCs w:val="24"/>
        </w:rPr>
        <w:t>（共计</w:t>
      </w:r>
      <w:r w:rsidR="001A48A3" w:rsidRPr="00D630D1">
        <w:rPr>
          <w:rFonts w:hint="eastAsia"/>
          <w:szCs w:val="24"/>
        </w:rPr>
        <w:t>1</w:t>
      </w:r>
      <w:r w:rsidR="00EF2299" w:rsidRPr="00D630D1">
        <w:rPr>
          <w:rFonts w:hint="eastAsia"/>
          <w:szCs w:val="24"/>
        </w:rPr>
        <w:t>2</w:t>
      </w:r>
      <w:r w:rsidR="001A48A3" w:rsidRPr="00D630D1">
        <w:rPr>
          <w:rFonts w:hint="eastAsia"/>
          <w:szCs w:val="24"/>
        </w:rPr>
        <w:t>口水井）</w:t>
      </w:r>
      <w:r w:rsidRPr="00D630D1">
        <w:rPr>
          <w:szCs w:val="24"/>
        </w:rPr>
        <w:t>。</w:t>
      </w:r>
    </w:p>
    <w:p w:rsidR="000D4243" w:rsidRPr="00D630D1" w:rsidRDefault="000D4243" w:rsidP="000D4243">
      <w:pPr>
        <w:pStyle w:val="afa"/>
        <w:ind w:firstLine="482"/>
        <w:rPr>
          <w:b/>
          <w:bCs/>
          <w:szCs w:val="24"/>
        </w:rPr>
      </w:pPr>
      <w:r w:rsidRPr="00D630D1">
        <w:rPr>
          <w:b/>
          <w:bCs/>
          <w:szCs w:val="24"/>
        </w:rPr>
        <w:t>4</w:t>
      </w:r>
      <w:r w:rsidRPr="00D630D1">
        <w:rPr>
          <w:b/>
          <w:bCs/>
          <w:szCs w:val="24"/>
        </w:rPr>
        <w:t>、声环境敏感目标</w:t>
      </w:r>
    </w:p>
    <w:p w:rsidR="000D4243" w:rsidRPr="00D630D1" w:rsidRDefault="00D533B4" w:rsidP="000D4243">
      <w:pPr>
        <w:pStyle w:val="afa"/>
        <w:ind w:firstLine="480"/>
        <w:rPr>
          <w:szCs w:val="24"/>
        </w:rPr>
      </w:pPr>
      <w:r w:rsidRPr="00D630D1">
        <w:rPr>
          <w:szCs w:val="24"/>
        </w:rPr>
        <w:t>经现场踏勘</w:t>
      </w:r>
      <w:r w:rsidRPr="00D630D1">
        <w:rPr>
          <w:rFonts w:hint="eastAsia"/>
          <w:szCs w:val="24"/>
        </w:rPr>
        <w:t>，本项目</w:t>
      </w:r>
      <w:r w:rsidR="00DD3EA1">
        <w:rPr>
          <w:szCs w:val="24"/>
        </w:rPr>
        <w:t>普光</w:t>
      </w:r>
      <w:r w:rsidR="00DD3EA1">
        <w:rPr>
          <w:szCs w:val="24"/>
        </w:rPr>
        <w:t>12</w:t>
      </w:r>
      <w:r w:rsidR="00DD3EA1">
        <w:rPr>
          <w:szCs w:val="24"/>
        </w:rPr>
        <w:t>采气站</w:t>
      </w:r>
      <w:r w:rsidR="00403672" w:rsidRPr="00733954">
        <w:rPr>
          <w:szCs w:val="24"/>
        </w:rPr>
        <w:t>厂界外</w:t>
      </w:r>
      <w:r w:rsidR="00403672" w:rsidRPr="00733954">
        <w:rPr>
          <w:szCs w:val="24"/>
        </w:rPr>
        <w:t>200m</w:t>
      </w:r>
      <w:r w:rsidR="00403672" w:rsidRPr="00733954">
        <w:rPr>
          <w:szCs w:val="24"/>
        </w:rPr>
        <w:t>范围内的分散居民及集气管道两侧</w:t>
      </w:r>
      <w:r w:rsidR="00403672" w:rsidRPr="00733954">
        <w:rPr>
          <w:szCs w:val="24"/>
        </w:rPr>
        <w:t>200m</w:t>
      </w:r>
      <w:r w:rsidR="00403672" w:rsidRPr="00733954">
        <w:rPr>
          <w:szCs w:val="24"/>
        </w:rPr>
        <w:t>范围内散住居民</w:t>
      </w:r>
      <w:r w:rsidR="000D4243" w:rsidRPr="00D630D1">
        <w:rPr>
          <w:szCs w:val="24"/>
        </w:rPr>
        <w:t>。</w:t>
      </w:r>
    </w:p>
    <w:p w:rsidR="000D4243" w:rsidRPr="00D630D1" w:rsidRDefault="000D4243" w:rsidP="000D4243">
      <w:pPr>
        <w:pStyle w:val="afa"/>
        <w:ind w:firstLine="482"/>
        <w:rPr>
          <w:b/>
          <w:bCs/>
          <w:szCs w:val="24"/>
        </w:rPr>
      </w:pPr>
      <w:r w:rsidRPr="00D630D1">
        <w:rPr>
          <w:b/>
          <w:bCs/>
          <w:szCs w:val="24"/>
        </w:rPr>
        <w:t>5</w:t>
      </w:r>
      <w:r w:rsidRPr="00D630D1">
        <w:rPr>
          <w:b/>
          <w:bCs/>
          <w:szCs w:val="24"/>
        </w:rPr>
        <w:t>、土壤环境敏感目标</w:t>
      </w:r>
    </w:p>
    <w:p w:rsidR="000D4243" w:rsidRPr="00D630D1" w:rsidRDefault="000D4243" w:rsidP="000D4243">
      <w:pPr>
        <w:pStyle w:val="afa"/>
        <w:ind w:firstLine="480"/>
        <w:rPr>
          <w:szCs w:val="24"/>
        </w:rPr>
      </w:pPr>
      <w:r w:rsidRPr="00D630D1">
        <w:rPr>
          <w:szCs w:val="24"/>
        </w:rPr>
        <w:t>项目土壤环境保护目标为项目占地范围内以及占地范围外</w:t>
      </w:r>
      <w:r w:rsidRPr="00D630D1">
        <w:rPr>
          <w:szCs w:val="24"/>
        </w:rPr>
        <w:t>0.2km</w:t>
      </w:r>
      <w:r w:rsidRPr="00D630D1">
        <w:rPr>
          <w:szCs w:val="24"/>
        </w:rPr>
        <w:t>内的耕地。</w:t>
      </w:r>
    </w:p>
    <w:p w:rsidR="000D4243" w:rsidRPr="00D630D1" w:rsidRDefault="000D4243" w:rsidP="000D4243">
      <w:pPr>
        <w:pStyle w:val="afa"/>
        <w:ind w:firstLine="482"/>
        <w:rPr>
          <w:b/>
          <w:bCs/>
          <w:szCs w:val="24"/>
        </w:rPr>
      </w:pPr>
      <w:r w:rsidRPr="00D630D1">
        <w:rPr>
          <w:b/>
          <w:bCs/>
          <w:szCs w:val="24"/>
        </w:rPr>
        <w:t>6</w:t>
      </w:r>
      <w:r w:rsidRPr="00D630D1">
        <w:rPr>
          <w:b/>
          <w:bCs/>
          <w:szCs w:val="24"/>
        </w:rPr>
        <w:t>、生态环境敏感目标</w:t>
      </w:r>
    </w:p>
    <w:p w:rsidR="000D4243" w:rsidRPr="00D630D1" w:rsidRDefault="000D4243" w:rsidP="000D4243">
      <w:pPr>
        <w:pStyle w:val="afa"/>
        <w:ind w:firstLine="480"/>
        <w:rPr>
          <w:szCs w:val="24"/>
        </w:rPr>
      </w:pPr>
      <w:r w:rsidRPr="00D630D1">
        <w:rPr>
          <w:szCs w:val="24"/>
        </w:rPr>
        <w:t>项目总体不在城镇总体规划城镇建设用地范围内，属于农村区域。井场周边无珍稀动植物、自然风景区。区域植被覆盖率高，土壤水土保持性能较好，水土流失量小。</w:t>
      </w:r>
    </w:p>
    <w:p w:rsidR="000D4243" w:rsidRPr="00D630D1" w:rsidRDefault="000D4243" w:rsidP="000D4243">
      <w:pPr>
        <w:pStyle w:val="afa"/>
        <w:ind w:firstLine="480"/>
        <w:rPr>
          <w:szCs w:val="24"/>
        </w:rPr>
      </w:pPr>
      <w:r w:rsidRPr="00D630D1">
        <w:rPr>
          <w:szCs w:val="24"/>
        </w:rPr>
        <w:t>经现场调查，井场周边</w:t>
      </w:r>
      <w:r w:rsidR="00D533B4" w:rsidRPr="00D630D1">
        <w:rPr>
          <w:rFonts w:hint="eastAsia"/>
          <w:szCs w:val="24"/>
        </w:rPr>
        <w:t>20</w:t>
      </w:r>
      <w:r w:rsidRPr="00D630D1">
        <w:rPr>
          <w:szCs w:val="24"/>
        </w:rPr>
        <w:t>00m</w:t>
      </w:r>
      <w:r w:rsidRPr="00D630D1">
        <w:rPr>
          <w:szCs w:val="24"/>
        </w:rPr>
        <w:t>范围内未发现国家及省级重点保护野生动植物，也未发现有适合重点保护野生动物栖息地、繁殖地、觅食地分布，也不涉及各级自然保护区、森林公园和风景名胜区等生态敏感区</w:t>
      </w:r>
      <w:r w:rsidR="00D533B4" w:rsidRPr="00D630D1">
        <w:rPr>
          <w:rFonts w:hint="eastAsia"/>
          <w:szCs w:val="24"/>
        </w:rPr>
        <w:t>，</w:t>
      </w:r>
      <w:r w:rsidR="00D533B4" w:rsidRPr="00D630D1">
        <w:rPr>
          <w:szCs w:val="24"/>
        </w:rPr>
        <w:t>主要生态保护目标为评价范围内的</w:t>
      </w:r>
      <w:r w:rsidR="00403672">
        <w:rPr>
          <w:rFonts w:hint="eastAsia"/>
          <w:szCs w:val="24"/>
        </w:rPr>
        <w:t>二级公益</w:t>
      </w:r>
      <w:r w:rsidR="00D533B4" w:rsidRPr="00D630D1">
        <w:rPr>
          <w:szCs w:val="24"/>
        </w:rPr>
        <w:t>林</w:t>
      </w:r>
      <w:r w:rsidRPr="00D630D1">
        <w:rPr>
          <w:szCs w:val="24"/>
        </w:rPr>
        <w:t>。</w:t>
      </w:r>
    </w:p>
    <w:p w:rsidR="000D4243" w:rsidRPr="00D630D1" w:rsidRDefault="000D4243" w:rsidP="000D4243">
      <w:pPr>
        <w:pStyle w:val="afa"/>
        <w:ind w:firstLine="482"/>
        <w:rPr>
          <w:b/>
          <w:bCs/>
          <w:szCs w:val="24"/>
        </w:rPr>
      </w:pPr>
      <w:r w:rsidRPr="00D630D1">
        <w:rPr>
          <w:b/>
          <w:bCs/>
          <w:szCs w:val="24"/>
        </w:rPr>
        <w:t>7</w:t>
      </w:r>
      <w:r w:rsidRPr="00D630D1">
        <w:rPr>
          <w:b/>
          <w:bCs/>
          <w:szCs w:val="24"/>
        </w:rPr>
        <w:t>、环境风险敏感目标</w:t>
      </w:r>
    </w:p>
    <w:p w:rsidR="000D4243" w:rsidRPr="00D630D1" w:rsidRDefault="000D4243" w:rsidP="001B764A">
      <w:pPr>
        <w:pStyle w:val="afa"/>
        <w:ind w:firstLine="480"/>
      </w:pPr>
      <w:r w:rsidRPr="00D630D1">
        <w:t>本项目大气环境风险保护目标为</w:t>
      </w:r>
      <w:r w:rsidR="001B764A" w:rsidRPr="00D630D1">
        <w:t>站场周边</w:t>
      </w:r>
      <w:r w:rsidR="001B764A" w:rsidRPr="00D630D1">
        <w:t>5</w:t>
      </w:r>
      <w:r w:rsidR="00043E39" w:rsidRPr="00D630D1">
        <w:rPr>
          <w:rFonts w:hint="eastAsia"/>
        </w:rPr>
        <w:t>k</w:t>
      </w:r>
      <w:r w:rsidR="001B764A" w:rsidRPr="00D630D1">
        <w:t>m</w:t>
      </w:r>
      <w:r w:rsidR="001B764A" w:rsidRPr="00D630D1">
        <w:t>范围内的人口集中区、学校医院等社会关注区</w:t>
      </w:r>
      <w:r w:rsidR="00403672">
        <w:rPr>
          <w:rFonts w:hint="eastAsia"/>
        </w:rPr>
        <w:t>以及</w:t>
      </w:r>
      <w:r w:rsidR="00C20917" w:rsidRPr="00D630D1">
        <w:rPr>
          <w:rFonts w:hint="eastAsia"/>
        </w:rPr>
        <w:t>本项目</w:t>
      </w:r>
      <w:r w:rsidR="00C20917" w:rsidRPr="00D630D1">
        <w:t>管线两侧</w:t>
      </w:r>
      <w:r w:rsidR="00043E39" w:rsidRPr="00D630D1">
        <w:rPr>
          <w:rFonts w:hint="eastAsia"/>
        </w:rPr>
        <w:t>2</w:t>
      </w:r>
      <w:r w:rsidR="00C20917" w:rsidRPr="00D630D1">
        <w:t>00m</w:t>
      </w:r>
      <w:r w:rsidR="00C20917" w:rsidRPr="00D630D1">
        <w:t>范围内</w:t>
      </w:r>
      <w:r w:rsidR="00403672" w:rsidRPr="00D630D1">
        <w:t>的人口集中区、学校医院等社会关注区</w:t>
      </w:r>
      <w:r w:rsidRPr="00D630D1">
        <w:t>。</w:t>
      </w:r>
    </w:p>
    <w:p w:rsidR="00EB2894" w:rsidRPr="00D630D1" w:rsidRDefault="00EB2894" w:rsidP="00EB2894">
      <w:pPr>
        <w:pStyle w:val="10"/>
        <w:rPr>
          <w:rFonts w:cs="Times New Roman"/>
        </w:rPr>
        <w:sectPr w:rsidR="00EB2894" w:rsidRPr="00D630D1" w:rsidSect="00BA4F10">
          <w:headerReference w:type="default" r:id="rId26"/>
          <w:footerReference w:type="default" r:id="rId27"/>
          <w:pgSz w:w="11906" w:h="16838"/>
          <w:pgMar w:top="1440" w:right="1800" w:bottom="1440" w:left="1800" w:header="851" w:footer="992" w:gutter="0"/>
          <w:cols w:space="425"/>
          <w:docGrid w:type="lines" w:linePitch="312"/>
        </w:sectPr>
      </w:pPr>
    </w:p>
    <w:p w:rsidR="00403672" w:rsidRPr="00733954" w:rsidRDefault="00403672" w:rsidP="00403672">
      <w:pPr>
        <w:pStyle w:val="10"/>
        <w:rPr>
          <w:rFonts w:cs="Times New Roman"/>
        </w:rPr>
      </w:pPr>
      <w:r w:rsidRPr="00733954">
        <w:rPr>
          <w:rFonts w:cs="Times New Roman"/>
        </w:rPr>
        <w:lastRenderedPageBreak/>
        <w:t>表</w:t>
      </w:r>
      <w:r w:rsidRPr="00733954">
        <w:rPr>
          <w:rFonts w:cs="Times New Roman"/>
        </w:rPr>
        <w:t xml:space="preserve">1.9-1  </w:t>
      </w:r>
      <w:r w:rsidRPr="00733954">
        <w:rPr>
          <w:rFonts w:cs="Times New Roman"/>
        </w:rPr>
        <w:t>管线两侧环境保护目标一览表（大气、噪声、风险）</w:t>
      </w:r>
    </w:p>
    <w:tbl>
      <w:tblPr>
        <w:tblW w:w="5129" w:type="pct"/>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571"/>
        <w:gridCol w:w="837"/>
        <w:gridCol w:w="825"/>
        <w:gridCol w:w="993"/>
        <w:gridCol w:w="849"/>
        <w:gridCol w:w="816"/>
        <w:gridCol w:w="746"/>
        <w:gridCol w:w="691"/>
        <w:gridCol w:w="1280"/>
        <w:gridCol w:w="3679"/>
        <w:gridCol w:w="3991"/>
      </w:tblGrid>
      <w:tr w:rsidR="00403672" w:rsidRPr="00733954" w:rsidTr="0099352E">
        <w:trPr>
          <w:trHeight w:val="145"/>
          <w:jc w:val="center"/>
        </w:trPr>
        <w:tc>
          <w:tcPr>
            <w:tcW w:w="187" w:type="pct"/>
            <w:vMerge w:val="restart"/>
            <w:tcBorders>
              <w:top w:val="single" w:sz="12" w:space="0" w:color="000000"/>
              <w:left w:val="nil"/>
              <w:right w:val="single" w:sz="4" w:space="0" w:color="000000"/>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序号</w:t>
            </w:r>
          </w:p>
        </w:tc>
        <w:tc>
          <w:tcPr>
            <w:tcW w:w="274" w:type="pct"/>
            <w:vMerge w:val="restart"/>
            <w:tcBorders>
              <w:top w:val="single" w:sz="12" w:space="0" w:color="000000"/>
              <w:left w:val="single" w:sz="4" w:space="0" w:color="000000"/>
              <w:right w:val="single" w:sz="4" w:space="0" w:color="000000"/>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保护目标</w:t>
            </w:r>
          </w:p>
        </w:tc>
        <w:tc>
          <w:tcPr>
            <w:tcW w:w="595" w:type="pct"/>
            <w:gridSpan w:val="2"/>
            <w:tcBorders>
              <w:top w:val="single" w:sz="12" w:space="0" w:color="000000"/>
              <w:left w:val="single" w:sz="4" w:space="0" w:color="000000"/>
              <w:bottom w:val="single" w:sz="2" w:space="0" w:color="auto"/>
              <w:right w:val="single" w:sz="4" w:space="0" w:color="000000"/>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距离最近点坐标</w:t>
            </w:r>
          </w:p>
        </w:tc>
        <w:tc>
          <w:tcPr>
            <w:tcW w:w="278" w:type="pct"/>
            <w:vMerge w:val="restart"/>
            <w:tcBorders>
              <w:top w:val="single" w:sz="12" w:space="0" w:color="000000"/>
              <w:left w:val="single" w:sz="4" w:space="0" w:color="000000"/>
              <w:right w:val="single" w:sz="2" w:space="0" w:color="auto"/>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保护对象</w:t>
            </w:r>
          </w:p>
        </w:tc>
        <w:tc>
          <w:tcPr>
            <w:tcW w:w="267" w:type="pct"/>
            <w:vMerge w:val="restart"/>
            <w:tcBorders>
              <w:top w:val="single" w:sz="12" w:space="0" w:color="000000"/>
              <w:left w:val="single" w:sz="2" w:space="0" w:color="auto"/>
              <w:right w:val="single" w:sz="2" w:space="0" w:color="auto"/>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保护内容</w:t>
            </w:r>
          </w:p>
        </w:tc>
        <w:tc>
          <w:tcPr>
            <w:tcW w:w="244" w:type="pct"/>
            <w:vMerge w:val="restart"/>
            <w:tcBorders>
              <w:top w:val="single" w:sz="12" w:space="0" w:color="000000"/>
              <w:left w:val="single" w:sz="2" w:space="0" w:color="auto"/>
              <w:right w:val="single" w:sz="4" w:space="0" w:color="000000"/>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环境功能区</w:t>
            </w:r>
          </w:p>
        </w:tc>
        <w:tc>
          <w:tcPr>
            <w:tcW w:w="645" w:type="pct"/>
            <w:gridSpan w:val="2"/>
            <w:tcBorders>
              <w:top w:val="single" w:sz="12" w:space="0" w:color="000000"/>
              <w:left w:val="single" w:sz="4" w:space="0" w:color="000000"/>
              <w:bottom w:val="single" w:sz="2" w:space="0" w:color="auto"/>
              <w:right w:val="single" w:sz="4" w:space="0" w:color="000000"/>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相对管线</w:t>
            </w:r>
          </w:p>
        </w:tc>
        <w:tc>
          <w:tcPr>
            <w:tcW w:w="1204" w:type="pct"/>
            <w:vMerge w:val="restart"/>
            <w:tcBorders>
              <w:top w:val="single" w:sz="12" w:space="0" w:color="000000"/>
              <w:left w:val="single" w:sz="2" w:space="0" w:color="auto"/>
              <w:right w:val="nil"/>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卫星地图</w:t>
            </w:r>
          </w:p>
        </w:tc>
        <w:tc>
          <w:tcPr>
            <w:tcW w:w="1306" w:type="pct"/>
            <w:vMerge w:val="restart"/>
            <w:tcBorders>
              <w:top w:val="single" w:sz="12" w:space="0" w:color="000000"/>
              <w:left w:val="single" w:sz="2" w:space="0" w:color="auto"/>
              <w:right w:val="nil"/>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现场照片</w:t>
            </w:r>
          </w:p>
        </w:tc>
      </w:tr>
      <w:tr w:rsidR="00403672" w:rsidRPr="00733954" w:rsidTr="0099352E">
        <w:trPr>
          <w:trHeight w:val="108"/>
          <w:jc w:val="center"/>
        </w:trPr>
        <w:tc>
          <w:tcPr>
            <w:tcW w:w="187" w:type="pct"/>
            <w:vMerge/>
            <w:tcBorders>
              <w:left w:val="nil"/>
              <w:bottom w:val="single" w:sz="4" w:space="0" w:color="000000"/>
              <w:right w:val="single" w:sz="4" w:space="0" w:color="000000"/>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p>
        </w:tc>
        <w:tc>
          <w:tcPr>
            <w:tcW w:w="274" w:type="pct"/>
            <w:vMerge/>
            <w:tcBorders>
              <w:left w:val="single" w:sz="4" w:space="0" w:color="000000"/>
              <w:bottom w:val="single" w:sz="4" w:space="0" w:color="000000"/>
              <w:right w:val="single" w:sz="4" w:space="0" w:color="000000"/>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p>
        </w:tc>
        <w:tc>
          <w:tcPr>
            <w:tcW w:w="270" w:type="pct"/>
            <w:tcBorders>
              <w:top w:val="single" w:sz="2" w:space="0" w:color="auto"/>
              <w:left w:val="single" w:sz="4" w:space="0" w:color="000000"/>
              <w:bottom w:val="single" w:sz="4" w:space="0" w:color="000000"/>
              <w:right w:val="single" w:sz="2" w:space="0" w:color="auto"/>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X</w:t>
            </w:r>
          </w:p>
        </w:tc>
        <w:tc>
          <w:tcPr>
            <w:tcW w:w="325" w:type="pct"/>
            <w:tcBorders>
              <w:top w:val="single" w:sz="2" w:space="0" w:color="auto"/>
              <w:left w:val="single" w:sz="2" w:space="0" w:color="auto"/>
              <w:bottom w:val="single" w:sz="4" w:space="0" w:color="000000"/>
              <w:right w:val="single" w:sz="4" w:space="0" w:color="000000"/>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Y</w:t>
            </w:r>
          </w:p>
        </w:tc>
        <w:tc>
          <w:tcPr>
            <w:tcW w:w="278" w:type="pct"/>
            <w:vMerge/>
            <w:tcBorders>
              <w:left w:val="single" w:sz="4" w:space="0" w:color="000000"/>
              <w:bottom w:val="single" w:sz="4" w:space="0" w:color="000000"/>
              <w:right w:val="single" w:sz="2" w:space="0" w:color="auto"/>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p>
        </w:tc>
        <w:tc>
          <w:tcPr>
            <w:tcW w:w="267" w:type="pct"/>
            <w:vMerge/>
            <w:tcBorders>
              <w:left w:val="single" w:sz="2" w:space="0" w:color="auto"/>
              <w:bottom w:val="single" w:sz="4" w:space="0" w:color="000000"/>
              <w:right w:val="single" w:sz="2" w:space="0" w:color="auto"/>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p>
        </w:tc>
        <w:tc>
          <w:tcPr>
            <w:tcW w:w="244" w:type="pct"/>
            <w:vMerge/>
            <w:tcBorders>
              <w:left w:val="single" w:sz="2" w:space="0" w:color="auto"/>
              <w:bottom w:val="single" w:sz="4" w:space="0" w:color="000000"/>
              <w:right w:val="single" w:sz="4" w:space="0" w:color="000000"/>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p>
        </w:tc>
        <w:tc>
          <w:tcPr>
            <w:tcW w:w="226" w:type="pct"/>
            <w:tcBorders>
              <w:top w:val="single" w:sz="2" w:space="0" w:color="auto"/>
              <w:left w:val="single" w:sz="4" w:space="0" w:color="000000"/>
              <w:bottom w:val="single" w:sz="4" w:space="0" w:color="000000"/>
              <w:right w:val="single" w:sz="2" w:space="0" w:color="auto"/>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方位</w:t>
            </w:r>
          </w:p>
        </w:tc>
        <w:tc>
          <w:tcPr>
            <w:tcW w:w="419" w:type="pct"/>
            <w:tcBorders>
              <w:top w:val="single" w:sz="2" w:space="0" w:color="auto"/>
              <w:left w:val="single" w:sz="2" w:space="0" w:color="auto"/>
              <w:bottom w:val="single" w:sz="4" w:space="0" w:color="000000"/>
              <w:right w:val="single" w:sz="4" w:space="0" w:color="000000"/>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r w:rsidRPr="00733954">
              <w:rPr>
                <w:rFonts w:ascii="Times New Roman" w:cs="Times New Roman"/>
                <w:b/>
                <w:sz w:val="21"/>
                <w:szCs w:val="21"/>
              </w:rPr>
              <w:t>距离（</w:t>
            </w:r>
            <w:r w:rsidRPr="00733954">
              <w:rPr>
                <w:rFonts w:ascii="Times New Roman" w:cs="Times New Roman"/>
                <w:b/>
                <w:sz w:val="21"/>
                <w:szCs w:val="21"/>
              </w:rPr>
              <w:t>m</w:t>
            </w:r>
            <w:r w:rsidRPr="00733954">
              <w:rPr>
                <w:rFonts w:ascii="Times New Roman" w:cs="Times New Roman"/>
                <w:b/>
                <w:sz w:val="21"/>
                <w:szCs w:val="21"/>
              </w:rPr>
              <w:t>）</w:t>
            </w:r>
          </w:p>
        </w:tc>
        <w:tc>
          <w:tcPr>
            <w:tcW w:w="1204" w:type="pct"/>
            <w:vMerge/>
            <w:tcBorders>
              <w:left w:val="single" w:sz="2" w:space="0" w:color="auto"/>
              <w:bottom w:val="single" w:sz="4" w:space="0" w:color="000000"/>
              <w:right w:val="nil"/>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p>
        </w:tc>
        <w:tc>
          <w:tcPr>
            <w:tcW w:w="1306" w:type="pct"/>
            <w:vMerge/>
            <w:tcBorders>
              <w:left w:val="single" w:sz="2" w:space="0" w:color="auto"/>
              <w:bottom w:val="single" w:sz="4" w:space="0" w:color="000000"/>
              <w:right w:val="nil"/>
            </w:tcBorders>
            <w:vAlign w:val="center"/>
          </w:tcPr>
          <w:p w:rsidR="00403672" w:rsidRPr="00733954" w:rsidRDefault="00403672" w:rsidP="0099352E">
            <w:pPr>
              <w:spacing w:line="240" w:lineRule="auto"/>
              <w:ind w:firstLineChars="0" w:firstLine="0"/>
              <w:jc w:val="center"/>
              <w:rPr>
                <w:rFonts w:ascii="Times New Roman" w:cs="Times New Roman"/>
                <w:b/>
                <w:sz w:val="21"/>
                <w:szCs w:val="21"/>
              </w:rPr>
            </w:pPr>
          </w:p>
        </w:tc>
      </w:tr>
      <w:tr w:rsidR="00403672" w:rsidRPr="00733954" w:rsidTr="0099352E">
        <w:trPr>
          <w:trHeight w:val="1419"/>
          <w:jc w:val="center"/>
        </w:trPr>
        <w:tc>
          <w:tcPr>
            <w:tcW w:w="187" w:type="pct"/>
            <w:tcBorders>
              <w:top w:val="single" w:sz="4" w:space="0" w:color="000000"/>
              <w:left w:val="nil"/>
              <w:bottom w:val="single" w:sz="4" w:space="0" w:color="000000"/>
              <w:right w:val="single" w:sz="4" w:space="0" w:color="000000"/>
            </w:tcBorders>
            <w:vAlign w:val="center"/>
          </w:tcPr>
          <w:p w:rsidR="00403672" w:rsidRPr="00733954" w:rsidRDefault="00403672" w:rsidP="0099352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1</w:t>
            </w:r>
          </w:p>
        </w:tc>
        <w:tc>
          <w:tcPr>
            <w:tcW w:w="274" w:type="pct"/>
            <w:tcBorders>
              <w:top w:val="single" w:sz="4" w:space="0" w:color="000000"/>
              <w:left w:val="single" w:sz="4" w:space="0" w:color="000000"/>
              <w:bottom w:val="single" w:sz="4" w:space="0" w:color="000000"/>
              <w:right w:val="single" w:sz="4" w:space="0" w:color="000000"/>
            </w:tcBorders>
            <w:vAlign w:val="center"/>
          </w:tcPr>
          <w:p w:rsidR="00403672" w:rsidRPr="00733954" w:rsidRDefault="004767EB" w:rsidP="0099352E">
            <w:pPr>
              <w:spacing w:line="240" w:lineRule="auto"/>
              <w:ind w:firstLineChars="0" w:firstLine="0"/>
              <w:jc w:val="center"/>
              <w:rPr>
                <w:rFonts w:ascii="Times New Roman" w:cs="Times New Roman"/>
                <w:sz w:val="21"/>
                <w:szCs w:val="21"/>
              </w:rPr>
            </w:pPr>
            <w:r>
              <w:rPr>
                <w:rFonts w:ascii="Times New Roman" w:cs="Times New Roman" w:hint="eastAsia"/>
                <w:sz w:val="21"/>
                <w:szCs w:val="21"/>
              </w:rPr>
              <w:t>胡子寺</w:t>
            </w:r>
            <w:r w:rsidR="00403672" w:rsidRPr="00733954">
              <w:rPr>
                <w:rFonts w:ascii="Times New Roman" w:cs="Times New Roman"/>
                <w:sz w:val="21"/>
                <w:szCs w:val="21"/>
              </w:rPr>
              <w:t>农户</w:t>
            </w:r>
            <w:r w:rsidR="00403672" w:rsidRPr="00733954">
              <w:rPr>
                <w:rFonts w:ascii="Times New Roman" w:cs="Times New Roman" w:hint="eastAsia"/>
                <w:sz w:val="21"/>
                <w:szCs w:val="21"/>
              </w:rPr>
              <w:t>1#</w:t>
            </w:r>
          </w:p>
        </w:tc>
        <w:tc>
          <w:tcPr>
            <w:tcW w:w="270" w:type="pct"/>
            <w:tcBorders>
              <w:top w:val="single" w:sz="4" w:space="0" w:color="000000"/>
              <w:left w:val="single" w:sz="4" w:space="0" w:color="000000"/>
              <w:bottom w:val="single" w:sz="4" w:space="0" w:color="000000"/>
              <w:right w:val="single" w:sz="2" w:space="0" w:color="auto"/>
            </w:tcBorders>
            <w:vAlign w:val="center"/>
          </w:tcPr>
          <w:p w:rsidR="00403672" w:rsidRPr="00733954" w:rsidRDefault="004767EB" w:rsidP="0099352E">
            <w:pPr>
              <w:spacing w:line="240" w:lineRule="auto"/>
              <w:ind w:firstLineChars="0" w:firstLine="0"/>
              <w:jc w:val="center"/>
              <w:rPr>
                <w:rFonts w:ascii="Times New Roman" w:cs="Times New Roman"/>
                <w:sz w:val="21"/>
                <w:szCs w:val="21"/>
              </w:rPr>
            </w:pPr>
            <w:r>
              <w:rPr>
                <w:rFonts w:ascii="Times New Roman" w:cs="Times New Roman"/>
                <w:sz w:val="21"/>
                <w:szCs w:val="21"/>
              </w:rPr>
              <w:t>107.48364</w:t>
            </w:r>
            <w:r>
              <w:rPr>
                <w:rFonts w:ascii="Times New Roman" w:cs="Times New Roman" w:hint="eastAsia"/>
                <w:sz w:val="21"/>
                <w:szCs w:val="21"/>
              </w:rPr>
              <w:t>3</w:t>
            </w:r>
          </w:p>
        </w:tc>
        <w:tc>
          <w:tcPr>
            <w:tcW w:w="325" w:type="pct"/>
            <w:tcBorders>
              <w:top w:val="single" w:sz="4" w:space="0" w:color="000000"/>
              <w:left w:val="single" w:sz="2" w:space="0" w:color="auto"/>
              <w:bottom w:val="single" w:sz="4" w:space="0" w:color="000000"/>
              <w:right w:val="single" w:sz="4" w:space="0" w:color="000000"/>
            </w:tcBorders>
            <w:vAlign w:val="center"/>
          </w:tcPr>
          <w:p w:rsidR="00403672" w:rsidRPr="00733954" w:rsidRDefault="004767EB" w:rsidP="004767EB">
            <w:pPr>
              <w:spacing w:line="240" w:lineRule="auto"/>
              <w:ind w:firstLineChars="0" w:firstLine="0"/>
              <w:jc w:val="center"/>
              <w:rPr>
                <w:rFonts w:ascii="Times New Roman" w:cs="Times New Roman"/>
                <w:sz w:val="21"/>
                <w:szCs w:val="21"/>
              </w:rPr>
            </w:pPr>
            <w:r w:rsidRPr="004767EB">
              <w:rPr>
                <w:rFonts w:ascii="Times New Roman" w:cs="Times New Roman"/>
                <w:sz w:val="21"/>
                <w:szCs w:val="21"/>
              </w:rPr>
              <w:t>31.32200</w:t>
            </w:r>
            <w:r>
              <w:rPr>
                <w:rFonts w:ascii="Times New Roman" w:cs="Times New Roman" w:hint="eastAsia"/>
                <w:sz w:val="21"/>
                <w:szCs w:val="21"/>
              </w:rPr>
              <w:t>1</w:t>
            </w:r>
          </w:p>
        </w:tc>
        <w:tc>
          <w:tcPr>
            <w:tcW w:w="278" w:type="pct"/>
            <w:tcBorders>
              <w:top w:val="single" w:sz="4" w:space="0" w:color="000000"/>
              <w:left w:val="single" w:sz="4" w:space="0" w:color="000000"/>
              <w:bottom w:val="single" w:sz="4" w:space="0" w:color="000000"/>
              <w:right w:val="single" w:sz="2" w:space="0" w:color="auto"/>
            </w:tcBorders>
            <w:vAlign w:val="center"/>
          </w:tcPr>
          <w:p w:rsidR="00403672" w:rsidRPr="00733954" w:rsidRDefault="00403672" w:rsidP="0099352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农户</w:t>
            </w:r>
          </w:p>
        </w:tc>
        <w:tc>
          <w:tcPr>
            <w:tcW w:w="267" w:type="pct"/>
            <w:tcBorders>
              <w:top w:val="single" w:sz="4" w:space="0" w:color="000000"/>
              <w:left w:val="single" w:sz="2" w:space="0" w:color="auto"/>
              <w:bottom w:val="single" w:sz="4" w:space="0" w:color="000000"/>
              <w:right w:val="single" w:sz="2" w:space="0" w:color="auto"/>
            </w:tcBorders>
            <w:vAlign w:val="center"/>
          </w:tcPr>
          <w:p w:rsidR="00403672" w:rsidRPr="00733954" w:rsidRDefault="00403672" w:rsidP="00796F6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sidR="004767EB">
              <w:rPr>
                <w:rFonts w:ascii="Times New Roman" w:cs="Times New Roman" w:hint="eastAsia"/>
                <w:sz w:val="21"/>
                <w:szCs w:val="21"/>
              </w:rPr>
              <w:t>1</w:t>
            </w:r>
            <w:r w:rsidRPr="00733954">
              <w:rPr>
                <w:rFonts w:ascii="Times New Roman" w:cs="Times New Roman" w:hint="eastAsia"/>
                <w:sz w:val="21"/>
                <w:szCs w:val="21"/>
              </w:rPr>
              <w:t>0</w:t>
            </w:r>
            <w:r w:rsidRPr="00733954">
              <w:rPr>
                <w:rFonts w:ascii="Times New Roman" w:cs="Times New Roman"/>
                <w:sz w:val="21"/>
                <w:szCs w:val="21"/>
              </w:rPr>
              <w:t>户</w:t>
            </w:r>
            <w:r w:rsidR="004767EB">
              <w:rPr>
                <w:rFonts w:ascii="Times New Roman" w:cs="Times New Roman" w:hint="eastAsia"/>
                <w:sz w:val="21"/>
                <w:szCs w:val="21"/>
              </w:rPr>
              <w:t>4</w:t>
            </w:r>
            <w:r w:rsidR="00796F6E">
              <w:rPr>
                <w:rFonts w:ascii="Times New Roman" w:cs="Times New Roman" w:hint="eastAsia"/>
                <w:sz w:val="21"/>
                <w:szCs w:val="21"/>
              </w:rPr>
              <w:t>5</w:t>
            </w:r>
            <w:r w:rsidRPr="00733954">
              <w:rPr>
                <w:rFonts w:ascii="Times New Roman" w:cs="Times New Roman"/>
                <w:sz w:val="21"/>
                <w:szCs w:val="21"/>
              </w:rPr>
              <w:t>人</w:t>
            </w:r>
          </w:p>
        </w:tc>
        <w:tc>
          <w:tcPr>
            <w:tcW w:w="244" w:type="pct"/>
            <w:tcBorders>
              <w:top w:val="single" w:sz="4" w:space="0" w:color="000000"/>
              <w:left w:val="single" w:sz="2" w:space="0" w:color="auto"/>
              <w:bottom w:val="single" w:sz="4" w:space="0" w:color="000000"/>
              <w:right w:val="single" w:sz="4" w:space="0" w:color="000000"/>
            </w:tcBorders>
            <w:vAlign w:val="center"/>
          </w:tcPr>
          <w:p w:rsidR="00403672" w:rsidRPr="00733954" w:rsidRDefault="00403672" w:rsidP="0099352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二类</w:t>
            </w:r>
          </w:p>
        </w:tc>
        <w:tc>
          <w:tcPr>
            <w:tcW w:w="226" w:type="pct"/>
            <w:tcBorders>
              <w:top w:val="single" w:sz="4" w:space="0" w:color="000000"/>
              <w:left w:val="single" w:sz="4" w:space="0" w:color="000000"/>
              <w:bottom w:val="single" w:sz="4" w:space="0" w:color="000000"/>
              <w:right w:val="single" w:sz="2" w:space="0" w:color="auto"/>
            </w:tcBorders>
            <w:vAlign w:val="center"/>
          </w:tcPr>
          <w:p w:rsidR="00403672" w:rsidRPr="00733954" w:rsidRDefault="00403672" w:rsidP="0099352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左侧</w:t>
            </w:r>
          </w:p>
        </w:tc>
        <w:tc>
          <w:tcPr>
            <w:tcW w:w="419" w:type="pct"/>
            <w:tcBorders>
              <w:top w:val="single" w:sz="4" w:space="0" w:color="000000"/>
              <w:left w:val="single" w:sz="2" w:space="0" w:color="auto"/>
              <w:bottom w:val="single" w:sz="4" w:space="0" w:color="000000"/>
              <w:right w:val="single" w:sz="4" w:space="0" w:color="000000"/>
            </w:tcBorders>
            <w:vAlign w:val="center"/>
          </w:tcPr>
          <w:p w:rsidR="00403672" w:rsidRPr="00733954" w:rsidRDefault="0099352E" w:rsidP="004767EB">
            <w:pPr>
              <w:spacing w:line="240" w:lineRule="auto"/>
              <w:ind w:firstLineChars="0" w:firstLine="0"/>
              <w:jc w:val="center"/>
              <w:rPr>
                <w:rFonts w:ascii="Times New Roman" w:cs="Times New Roman"/>
                <w:sz w:val="21"/>
                <w:szCs w:val="21"/>
              </w:rPr>
            </w:pPr>
            <w:r>
              <w:rPr>
                <w:rFonts w:ascii="Times New Roman" w:cs="Times New Roman" w:hint="eastAsia"/>
                <w:sz w:val="21"/>
                <w:szCs w:val="21"/>
              </w:rPr>
              <w:t>40</w:t>
            </w:r>
            <w:r w:rsidR="00403672" w:rsidRPr="00733954">
              <w:rPr>
                <w:rFonts w:ascii="Times New Roman" w:cs="Times New Roman"/>
                <w:sz w:val="21"/>
                <w:szCs w:val="21"/>
              </w:rPr>
              <w:t>~</w:t>
            </w:r>
            <w:r w:rsidR="004767EB">
              <w:rPr>
                <w:rFonts w:ascii="Times New Roman" w:cs="Times New Roman" w:hint="eastAsia"/>
                <w:sz w:val="21"/>
                <w:szCs w:val="21"/>
              </w:rPr>
              <w:t>3</w:t>
            </w:r>
            <w:r w:rsidR="00403672" w:rsidRPr="00733954">
              <w:rPr>
                <w:rFonts w:ascii="Times New Roman" w:cs="Times New Roman" w:hint="eastAsia"/>
                <w:sz w:val="21"/>
                <w:szCs w:val="21"/>
              </w:rPr>
              <w:t>0</w:t>
            </w:r>
            <w:r w:rsidR="00403672" w:rsidRPr="00733954">
              <w:rPr>
                <w:rFonts w:ascii="Times New Roman" w:cs="Times New Roman"/>
                <w:sz w:val="21"/>
                <w:szCs w:val="21"/>
              </w:rPr>
              <w:t>0</w:t>
            </w:r>
          </w:p>
        </w:tc>
        <w:tc>
          <w:tcPr>
            <w:tcW w:w="1204" w:type="pct"/>
            <w:tcBorders>
              <w:top w:val="single" w:sz="4" w:space="0" w:color="000000"/>
              <w:left w:val="single" w:sz="2" w:space="0" w:color="auto"/>
              <w:bottom w:val="single" w:sz="4" w:space="0" w:color="000000"/>
              <w:right w:val="nil"/>
            </w:tcBorders>
            <w:vAlign w:val="center"/>
          </w:tcPr>
          <w:p w:rsidR="00403672" w:rsidRPr="00733954" w:rsidRDefault="004767EB" w:rsidP="0099352E">
            <w:pPr>
              <w:spacing w:line="240" w:lineRule="auto"/>
              <w:ind w:firstLineChars="0" w:firstLine="0"/>
              <w:jc w:val="center"/>
              <w:rPr>
                <w:rFonts w:ascii="Times New Roman" w:cs="Times New Roman"/>
                <w:sz w:val="21"/>
                <w:szCs w:val="21"/>
              </w:rPr>
            </w:pPr>
            <w:r>
              <w:rPr>
                <w:rFonts w:ascii="Times New Roman" w:cs="Times New Roman"/>
                <w:noProof/>
                <w:sz w:val="21"/>
                <w:szCs w:val="21"/>
              </w:rPr>
              <w:drawing>
                <wp:inline distT="0" distB="0" distL="0" distR="0">
                  <wp:extent cx="2201545" cy="1287145"/>
                  <wp:effectExtent l="19050" t="0" r="825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srcRect/>
                          <a:stretch>
                            <a:fillRect/>
                          </a:stretch>
                        </pic:blipFill>
                        <pic:spPr bwMode="auto">
                          <a:xfrm>
                            <a:off x="0" y="0"/>
                            <a:ext cx="2201545" cy="1287145"/>
                          </a:xfrm>
                          <a:prstGeom prst="rect">
                            <a:avLst/>
                          </a:prstGeom>
                          <a:noFill/>
                          <a:ln w="9525">
                            <a:noFill/>
                            <a:miter lim="800000"/>
                            <a:headEnd/>
                            <a:tailEnd/>
                          </a:ln>
                        </pic:spPr>
                      </pic:pic>
                    </a:graphicData>
                  </a:graphic>
                </wp:inline>
              </w:drawing>
            </w:r>
          </w:p>
        </w:tc>
        <w:tc>
          <w:tcPr>
            <w:tcW w:w="1306" w:type="pct"/>
            <w:tcBorders>
              <w:top w:val="single" w:sz="4" w:space="0" w:color="000000"/>
              <w:left w:val="single" w:sz="2" w:space="0" w:color="auto"/>
              <w:bottom w:val="single" w:sz="4" w:space="0" w:color="000000"/>
              <w:right w:val="nil"/>
            </w:tcBorders>
            <w:vAlign w:val="center"/>
          </w:tcPr>
          <w:p w:rsidR="00403672" w:rsidRPr="00733954" w:rsidRDefault="0099352E" w:rsidP="0099352E">
            <w:pPr>
              <w:spacing w:line="240" w:lineRule="auto"/>
              <w:ind w:firstLineChars="0" w:firstLine="0"/>
              <w:jc w:val="center"/>
              <w:rPr>
                <w:rFonts w:ascii="Times New Roman" w:cs="Times New Roman"/>
                <w:sz w:val="21"/>
                <w:szCs w:val="21"/>
              </w:rPr>
            </w:pPr>
            <w:r>
              <w:rPr>
                <w:rFonts w:ascii="Times New Roman" w:cs="Times New Roman"/>
                <w:noProof/>
                <w:sz w:val="21"/>
                <w:szCs w:val="21"/>
              </w:rPr>
              <w:drawing>
                <wp:inline distT="0" distB="0" distL="0" distR="0">
                  <wp:extent cx="2249283" cy="1291590"/>
                  <wp:effectExtent l="19050" t="0" r="0" b="0"/>
                  <wp:docPr id="55" name="图片 55" descr="C:\Users\ADMINI~1.USE\AppData\Local\Temp\WeChat Files\3f32766854fc869d145db34122dcb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I~1.USE\AppData\Local\Temp\WeChat Files\3f32766854fc869d145db34122dcb3f.jpg"/>
                          <pic:cNvPicPr>
                            <a:picLocks noChangeAspect="1" noChangeArrowheads="1"/>
                          </pic:cNvPicPr>
                        </pic:nvPicPr>
                        <pic:blipFill>
                          <a:blip r:embed="rId29" cstate="print"/>
                          <a:srcRect/>
                          <a:stretch>
                            <a:fillRect/>
                          </a:stretch>
                        </pic:blipFill>
                        <pic:spPr bwMode="auto">
                          <a:xfrm>
                            <a:off x="0" y="0"/>
                            <a:ext cx="2284323" cy="1311711"/>
                          </a:xfrm>
                          <a:prstGeom prst="rect">
                            <a:avLst/>
                          </a:prstGeom>
                          <a:noFill/>
                          <a:ln w="9525">
                            <a:noFill/>
                            <a:miter lim="800000"/>
                            <a:headEnd/>
                            <a:tailEnd/>
                          </a:ln>
                        </pic:spPr>
                      </pic:pic>
                    </a:graphicData>
                  </a:graphic>
                </wp:inline>
              </w:drawing>
            </w:r>
          </w:p>
        </w:tc>
      </w:tr>
      <w:tr w:rsidR="0099352E" w:rsidRPr="00733954" w:rsidTr="0099352E">
        <w:trPr>
          <w:trHeight w:val="1419"/>
          <w:jc w:val="center"/>
        </w:trPr>
        <w:tc>
          <w:tcPr>
            <w:tcW w:w="187" w:type="pct"/>
            <w:tcBorders>
              <w:top w:val="single" w:sz="4" w:space="0" w:color="000000"/>
              <w:left w:val="nil"/>
              <w:bottom w:val="single" w:sz="4" w:space="0" w:color="000000"/>
              <w:right w:val="single" w:sz="4" w:space="0" w:color="000000"/>
            </w:tcBorders>
            <w:vAlign w:val="center"/>
          </w:tcPr>
          <w:p w:rsidR="0099352E" w:rsidRPr="00733954" w:rsidRDefault="0099352E" w:rsidP="0099352E">
            <w:pPr>
              <w:spacing w:line="240" w:lineRule="auto"/>
              <w:ind w:firstLineChars="0" w:firstLine="0"/>
              <w:jc w:val="center"/>
              <w:rPr>
                <w:rFonts w:ascii="Times New Roman" w:cs="Times New Roman"/>
                <w:sz w:val="21"/>
                <w:szCs w:val="21"/>
              </w:rPr>
            </w:pPr>
            <w:r>
              <w:rPr>
                <w:rFonts w:ascii="Times New Roman" w:cs="Times New Roman" w:hint="eastAsia"/>
                <w:sz w:val="21"/>
                <w:szCs w:val="21"/>
              </w:rPr>
              <w:t>2</w:t>
            </w:r>
          </w:p>
        </w:tc>
        <w:tc>
          <w:tcPr>
            <w:tcW w:w="274" w:type="pct"/>
            <w:tcBorders>
              <w:top w:val="single" w:sz="4" w:space="0" w:color="000000"/>
              <w:left w:val="single" w:sz="4" w:space="0" w:color="000000"/>
              <w:bottom w:val="single" w:sz="4" w:space="0" w:color="000000"/>
              <w:right w:val="single" w:sz="4" w:space="0" w:color="000000"/>
            </w:tcBorders>
            <w:vAlign w:val="center"/>
          </w:tcPr>
          <w:p w:rsidR="0099352E" w:rsidRDefault="0099352E" w:rsidP="0099352E">
            <w:pPr>
              <w:spacing w:line="240" w:lineRule="auto"/>
              <w:ind w:firstLineChars="0" w:firstLine="0"/>
              <w:jc w:val="center"/>
              <w:rPr>
                <w:rFonts w:ascii="Times New Roman" w:cs="Times New Roman"/>
                <w:sz w:val="21"/>
                <w:szCs w:val="21"/>
              </w:rPr>
            </w:pPr>
            <w:r w:rsidRPr="00733954">
              <w:rPr>
                <w:rFonts w:ascii="Times New Roman" w:cs="Times New Roman" w:hint="eastAsia"/>
                <w:sz w:val="21"/>
                <w:szCs w:val="21"/>
              </w:rPr>
              <w:t>塔</w:t>
            </w:r>
            <w:r w:rsidRPr="00733954">
              <w:rPr>
                <w:rFonts w:ascii="Times New Roman" w:cs="Times New Roman"/>
                <w:sz w:val="21"/>
                <w:szCs w:val="21"/>
              </w:rPr>
              <w:t>垭村农户</w:t>
            </w:r>
            <w:r>
              <w:rPr>
                <w:rFonts w:ascii="Times New Roman" w:cs="Times New Roman" w:hint="eastAsia"/>
                <w:sz w:val="21"/>
                <w:szCs w:val="21"/>
              </w:rPr>
              <w:t>2</w:t>
            </w:r>
            <w:r w:rsidRPr="00733954">
              <w:rPr>
                <w:rFonts w:ascii="Times New Roman" w:cs="Times New Roman" w:hint="eastAsia"/>
                <w:sz w:val="21"/>
                <w:szCs w:val="21"/>
              </w:rPr>
              <w:t>#</w:t>
            </w:r>
          </w:p>
        </w:tc>
        <w:tc>
          <w:tcPr>
            <w:tcW w:w="270" w:type="pct"/>
            <w:tcBorders>
              <w:top w:val="single" w:sz="4" w:space="0" w:color="000000"/>
              <w:left w:val="single" w:sz="4" w:space="0" w:color="000000"/>
              <w:bottom w:val="single" w:sz="4" w:space="0" w:color="000000"/>
              <w:right w:val="single" w:sz="2" w:space="0" w:color="auto"/>
            </w:tcBorders>
            <w:vAlign w:val="center"/>
          </w:tcPr>
          <w:p w:rsidR="0099352E" w:rsidRDefault="0099352E" w:rsidP="0099352E">
            <w:pPr>
              <w:spacing w:line="240" w:lineRule="auto"/>
              <w:ind w:firstLineChars="0" w:firstLine="0"/>
              <w:jc w:val="center"/>
              <w:rPr>
                <w:rFonts w:ascii="Times New Roman" w:cs="Times New Roman"/>
                <w:sz w:val="21"/>
                <w:szCs w:val="21"/>
              </w:rPr>
            </w:pPr>
            <w:r w:rsidRPr="0099352E">
              <w:rPr>
                <w:rFonts w:ascii="Times New Roman" w:cs="Times New Roman"/>
                <w:sz w:val="21"/>
                <w:szCs w:val="21"/>
              </w:rPr>
              <w:t>107.484894</w:t>
            </w:r>
          </w:p>
        </w:tc>
        <w:tc>
          <w:tcPr>
            <w:tcW w:w="325" w:type="pct"/>
            <w:tcBorders>
              <w:top w:val="single" w:sz="4" w:space="0" w:color="000000"/>
              <w:left w:val="single" w:sz="2" w:space="0" w:color="auto"/>
              <w:bottom w:val="single" w:sz="4" w:space="0" w:color="000000"/>
              <w:right w:val="single" w:sz="4" w:space="0" w:color="000000"/>
            </w:tcBorders>
            <w:vAlign w:val="center"/>
          </w:tcPr>
          <w:p w:rsidR="0099352E" w:rsidRPr="004767EB" w:rsidRDefault="0099352E" w:rsidP="004767EB">
            <w:pPr>
              <w:spacing w:line="240" w:lineRule="auto"/>
              <w:ind w:firstLineChars="0" w:firstLine="0"/>
              <w:jc w:val="center"/>
              <w:rPr>
                <w:rFonts w:ascii="Times New Roman" w:cs="Times New Roman"/>
                <w:sz w:val="21"/>
                <w:szCs w:val="21"/>
              </w:rPr>
            </w:pPr>
            <w:r w:rsidRPr="0099352E">
              <w:rPr>
                <w:rFonts w:ascii="Times New Roman" w:cs="Times New Roman"/>
                <w:sz w:val="21"/>
                <w:szCs w:val="21"/>
              </w:rPr>
              <w:t>31.322495</w:t>
            </w:r>
          </w:p>
        </w:tc>
        <w:tc>
          <w:tcPr>
            <w:tcW w:w="278" w:type="pct"/>
            <w:tcBorders>
              <w:top w:val="single" w:sz="4" w:space="0" w:color="000000"/>
              <w:left w:val="single" w:sz="4" w:space="0" w:color="000000"/>
              <w:bottom w:val="single" w:sz="4" w:space="0" w:color="000000"/>
              <w:right w:val="single" w:sz="2" w:space="0" w:color="auto"/>
            </w:tcBorders>
            <w:vAlign w:val="center"/>
          </w:tcPr>
          <w:p w:rsidR="0099352E" w:rsidRPr="00733954" w:rsidRDefault="0099352E" w:rsidP="0099352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农户</w:t>
            </w:r>
          </w:p>
        </w:tc>
        <w:tc>
          <w:tcPr>
            <w:tcW w:w="267" w:type="pct"/>
            <w:tcBorders>
              <w:top w:val="single" w:sz="4" w:space="0" w:color="000000"/>
              <w:left w:val="single" w:sz="2" w:space="0" w:color="auto"/>
              <w:bottom w:val="single" w:sz="4" w:space="0" w:color="000000"/>
              <w:right w:val="single" w:sz="2" w:space="0" w:color="auto"/>
            </w:tcBorders>
            <w:vAlign w:val="center"/>
          </w:tcPr>
          <w:p w:rsidR="0099352E" w:rsidRPr="00733954" w:rsidRDefault="0099352E" w:rsidP="00796F6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Pr>
                <w:rFonts w:ascii="Times New Roman" w:cs="Times New Roman" w:hint="eastAsia"/>
                <w:sz w:val="21"/>
                <w:szCs w:val="21"/>
              </w:rPr>
              <w:t>31</w:t>
            </w:r>
            <w:r w:rsidRPr="00733954">
              <w:rPr>
                <w:rFonts w:ascii="Times New Roman" w:cs="Times New Roman"/>
                <w:sz w:val="21"/>
                <w:szCs w:val="21"/>
              </w:rPr>
              <w:t>户</w:t>
            </w:r>
            <w:r>
              <w:rPr>
                <w:rFonts w:ascii="Times New Roman" w:cs="Times New Roman" w:hint="eastAsia"/>
                <w:sz w:val="21"/>
                <w:szCs w:val="21"/>
              </w:rPr>
              <w:t>1</w:t>
            </w:r>
            <w:r w:rsidR="00796F6E">
              <w:rPr>
                <w:rFonts w:ascii="Times New Roman" w:cs="Times New Roman" w:hint="eastAsia"/>
                <w:sz w:val="21"/>
                <w:szCs w:val="21"/>
              </w:rPr>
              <w:t>30</w:t>
            </w:r>
            <w:r w:rsidRPr="00733954">
              <w:rPr>
                <w:rFonts w:ascii="Times New Roman" w:cs="Times New Roman"/>
                <w:sz w:val="21"/>
                <w:szCs w:val="21"/>
              </w:rPr>
              <w:t>人</w:t>
            </w:r>
          </w:p>
        </w:tc>
        <w:tc>
          <w:tcPr>
            <w:tcW w:w="244" w:type="pct"/>
            <w:tcBorders>
              <w:top w:val="single" w:sz="4" w:space="0" w:color="000000"/>
              <w:left w:val="single" w:sz="2" w:space="0" w:color="auto"/>
              <w:bottom w:val="single" w:sz="4" w:space="0" w:color="000000"/>
              <w:right w:val="single" w:sz="4" w:space="0" w:color="000000"/>
            </w:tcBorders>
            <w:vAlign w:val="center"/>
          </w:tcPr>
          <w:p w:rsidR="0099352E" w:rsidRPr="00733954" w:rsidRDefault="0099352E" w:rsidP="0099352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二类</w:t>
            </w:r>
          </w:p>
        </w:tc>
        <w:tc>
          <w:tcPr>
            <w:tcW w:w="226" w:type="pct"/>
            <w:tcBorders>
              <w:top w:val="single" w:sz="4" w:space="0" w:color="000000"/>
              <w:left w:val="single" w:sz="4" w:space="0" w:color="000000"/>
              <w:bottom w:val="single" w:sz="4" w:space="0" w:color="000000"/>
              <w:right w:val="single" w:sz="2" w:space="0" w:color="auto"/>
            </w:tcBorders>
            <w:vAlign w:val="center"/>
          </w:tcPr>
          <w:p w:rsidR="0099352E" w:rsidRPr="00733954" w:rsidRDefault="0099352E" w:rsidP="0099352E">
            <w:pPr>
              <w:spacing w:line="240" w:lineRule="auto"/>
              <w:ind w:firstLineChars="0" w:firstLine="0"/>
              <w:jc w:val="center"/>
              <w:rPr>
                <w:rFonts w:ascii="Times New Roman" w:cs="Times New Roman"/>
                <w:sz w:val="21"/>
                <w:szCs w:val="21"/>
              </w:rPr>
            </w:pPr>
            <w:r>
              <w:rPr>
                <w:rFonts w:ascii="Times New Roman" w:cs="Times New Roman" w:hint="eastAsia"/>
                <w:sz w:val="21"/>
                <w:szCs w:val="21"/>
              </w:rPr>
              <w:t>右</w:t>
            </w:r>
            <w:r w:rsidRPr="00733954">
              <w:rPr>
                <w:rFonts w:ascii="Times New Roman" w:cs="Times New Roman"/>
                <w:sz w:val="21"/>
                <w:szCs w:val="21"/>
              </w:rPr>
              <w:t>侧</w:t>
            </w:r>
          </w:p>
        </w:tc>
        <w:tc>
          <w:tcPr>
            <w:tcW w:w="419" w:type="pct"/>
            <w:tcBorders>
              <w:top w:val="single" w:sz="4" w:space="0" w:color="000000"/>
              <w:left w:val="single" w:sz="2" w:space="0" w:color="auto"/>
              <w:bottom w:val="single" w:sz="4" w:space="0" w:color="000000"/>
              <w:right w:val="single" w:sz="4" w:space="0" w:color="000000"/>
            </w:tcBorders>
            <w:vAlign w:val="center"/>
          </w:tcPr>
          <w:p w:rsidR="0099352E" w:rsidRPr="00733954" w:rsidRDefault="0099352E" w:rsidP="0099352E">
            <w:pPr>
              <w:spacing w:line="240" w:lineRule="auto"/>
              <w:ind w:firstLineChars="0" w:firstLine="0"/>
              <w:jc w:val="center"/>
              <w:rPr>
                <w:rFonts w:ascii="Times New Roman" w:cs="Times New Roman"/>
                <w:sz w:val="21"/>
                <w:szCs w:val="21"/>
              </w:rPr>
            </w:pPr>
            <w:r>
              <w:rPr>
                <w:rFonts w:ascii="Times New Roman" w:cs="Times New Roman" w:hint="eastAsia"/>
                <w:sz w:val="21"/>
                <w:szCs w:val="21"/>
              </w:rPr>
              <w:t>20</w:t>
            </w:r>
            <w:r w:rsidRPr="00733954">
              <w:rPr>
                <w:rFonts w:ascii="Times New Roman" w:cs="Times New Roman"/>
                <w:sz w:val="21"/>
                <w:szCs w:val="21"/>
              </w:rPr>
              <w:t>~</w:t>
            </w:r>
            <w:r>
              <w:rPr>
                <w:rFonts w:ascii="Times New Roman" w:cs="Times New Roman" w:hint="eastAsia"/>
                <w:sz w:val="21"/>
                <w:szCs w:val="21"/>
              </w:rPr>
              <w:t>3</w:t>
            </w:r>
            <w:r w:rsidRPr="00733954">
              <w:rPr>
                <w:rFonts w:ascii="Times New Roman" w:cs="Times New Roman" w:hint="eastAsia"/>
                <w:sz w:val="21"/>
                <w:szCs w:val="21"/>
              </w:rPr>
              <w:t>0</w:t>
            </w:r>
            <w:r w:rsidRPr="00733954">
              <w:rPr>
                <w:rFonts w:ascii="Times New Roman" w:cs="Times New Roman"/>
                <w:sz w:val="21"/>
                <w:szCs w:val="21"/>
              </w:rPr>
              <w:t>0</w:t>
            </w:r>
          </w:p>
        </w:tc>
        <w:tc>
          <w:tcPr>
            <w:tcW w:w="1204" w:type="pct"/>
            <w:tcBorders>
              <w:top w:val="single" w:sz="4" w:space="0" w:color="000000"/>
              <w:left w:val="single" w:sz="2" w:space="0" w:color="auto"/>
              <w:bottom w:val="single" w:sz="4" w:space="0" w:color="000000"/>
              <w:right w:val="nil"/>
            </w:tcBorders>
            <w:vAlign w:val="center"/>
          </w:tcPr>
          <w:p w:rsidR="0099352E" w:rsidRDefault="0099352E" w:rsidP="0099352E">
            <w:pPr>
              <w:spacing w:line="240" w:lineRule="auto"/>
              <w:ind w:firstLineChars="0" w:firstLine="0"/>
              <w:jc w:val="center"/>
              <w:rPr>
                <w:rFonts w:ascii="Times New Roman" w:cs="Times New Roman"/>
                <w:noProof/>
                <w:sz w:val="21"/>
                <w:szCs w:val="21"/>
              </w:rPr>
            </w:pPr>
            <w:r>
              <w:rPr>
                <w:rFonts w:ascii="Times New Roman" w:cs="Times New Roman"/>
                <w:noProof/>
                <w:sz w:val="21"/>
                <w:szCs w:val="21"/>
              </w:rPr>
              <w:drawing>
                <wp:inline distT="0" distB="0" distL="0" distR="0">
                  <wp:extent cx="2194560" cy="1325880"/>
                  <wp:effectExtent l="1905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 cstate="print"/>
                          <a:srcRect/>
                          <a:stretch>
                            <a:fillRect/>
                          </a:stretch>
                        </pic:blipFill>
                        <pic:spPr bwMode="auto">
                          <a:xfrm>
                            <a:off x="0" y="0"/>
                            <a:ext cx="2194560" cy="1325880"/>
                          </a:xfrm>
                          <a:prstGeom prst="rect">
                            <a:avLst/>
                          </a:prstGeom>
                          <a:noFill/>
                          <a:ln w="9525">
                            <a:noFill/>
                            <a:miter lim="800000"/>
                            <a:headEnd/>
                            <a:tailEnd/>
                          </a:ln>
                        </pic:spPr>
                      </pic:pic>
                    </a:graphicData>
                  </a:graphic>
                </wp:inline>
              </w:drawing>
            </w:r>
          </w:p>
        </w:tc>
        <w:tc>
          <w:tcPr>
            <w:tcW w:w="1306" w:type="pct"/>
            <w:tcBorders>
              <w:top w:val="single" w:sz="4" w:space="0" w:color="000000"/>
              <w:left w:val="single" w:sz="2" w:space="0" w:color="auto"/>
              <w:bottom w:val="single" w:sz="4" w:space="0" w:color="000000"/>
              <w:right w:val="nil"/>
            </w:tcBorders>
            <w:vAlign w:val="center"/>
          </w:tcPr>
          <w:p w:rsidR="0099352E" w:rsidRDefault="0099352E" w:rsidP="0099352E">
            <w:pPr>
              <w:spacing w:line="240" w:lineRule="auto"/>
              <w:ind w:firstLineChars="0" w:firstLine="0"/>
              <w:jc w:val="center"/>
              <w:rPr>
                <w:rFonts w:ascii="Times New Roman" w:cs="Times New Roman"/>
                <w:noProof/>
                <w:sz w:val="21"/>
                <w:szCs w:val="21"/>
              </w:rPr>
            </w:pPr>
            <w:r>
              <w:rPr>
                <w:rFonts w:ascii="Times New Roman" w:cs="Times New Roman"/>
                <w:noProof/>
                <w:sz w:val="21"/>
                <w:szCs w:val="21"/>
              </w:rPr>
              <w:drawing>
                <wp:inline distT="0" distB="0" distL="0" distR="0">
                  <wp:extent cx="2175510" cy="1303020"/>
                  <wp:effectExtent l="19050" t="0" r="0" b="0"/>
                  <wp:docPr id="66" name="图片 66" descr="C:\Users\ADMINI~1.USE\AppData\Local\Temp\WeChat Files\8fbb7ec5d05086baab390659281e2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I~1.USE\AppData\Local\Temp\WeChat Files\8fbb7ec5d05086baab390659281e23d.jpg"/>
                          <pic:cNvPicPr>
                            <a:picLocks noChangeAspect="1" noChangeArrowheads="1"/>
                          </pic:cNvPicPr>
                        </pic:nvPicPr>
                        <pic:blipFill>
                          <a:blip r:embed="rId31" cstate="print"/>
                          <a:srcRect/>
                          <a:stretch>
                            <a:fillRect/>
                          </a:stretch>
                        </pic:blipFill>
                        <pic:spPr bwMode="auto">
                          <a:xfrm>
                            <a:off x="0" y="0"/>
                            <a:ext cx="2174343" cy="1302321"/>
                          </a:xfrm>
                          <a:prstGeom prst="rect">
                            <a:avLst/>
                          </a:prstGeom>
                          <a:noFill/>
                          <a:ln w="9525">
                            <a:noFill/>
                            <a:miter lim="800000"/>
                            <a:headEnd/>
                            <a:tailEnd/>
                          </a:ln>
                        </pic:spPr>
                      </pic:pic>
                    </a:graphicData>
                  </a:graphic>
                </wp:inline>
              </w:drawing>
            </w:r>
          </w:p>
        </w:tc>
      </w:tr>
      <w:tr w:rsidR="0099352E" w:rsidRPr="00733954" w:rsidTr="0099352E">
        <w:trPr>
          <w:trHeight w:val="1419"/>
          <w:jc w:val="center"/>
        </w:trPr>
        <w:tc>
          <w:tcPr>
            <w:tcW w:w="187" w:type="pct"/>
            <w:tcBorders>
              <w:top w:val="single" w:sz="4" w:space="0" w:color="000000"/>
              <w:left w:val="nil"/>
              <w:bottom w:val="single" w:sz="4" w:space="0" w:color="000000"/>
              <w:right w:val="single" w:sz="4" w:space="0" w:color="000000"/>
            </w:tcBorders>
            <w:vAlign w:val="center"/>
          </w:tcPr>
          <w:p w:rsidR="0099352E" w:rsidRDefault="0099352E" w:rsidP="0099352E">
            <w:pPr>
              <w:spacing w:line="240" w:lineRule="auto"/>
              <w:ind w:firstLineChars="0" w:firstLine="0"/>
              <w:jc w:val="center"/>
              <w:rPr>
                <w:rFonts w:ascii="Times New Roman" w:cs="Times New Roman"/>
                <w:sz w:val="21"/>
                <w:szCs w:val="21"/>
              </w:rPr>
            </w:pPr>
            <w:r>
              <w:rPr>
                <w:rFonts w:ascii="Times New Roman" w:cs="Times New Roman" w:hint="eastAsia"/>
                <w:sz w:val="21"/>
                <w:szCs w:val="21"/>
              </w:rPr>
              <w:t>3</w:t>
            </w:r>
          </w:p>
        </w:tc>
        <w:tc>
          <w:tcPr>
            <w:tcW w:w="274" w:type="pct"/>
            <w:tcBorders>
              <w:top w:val="single" w:sz="4" w:space="0" w:color="000000"/>
              <w:left w:val="single" w:sz="4" w:space="0" w:color="000000"/>
              <w:bottom w:val="single" w:sz="4" w:space="0" w:color="000000"/>
              <w:right w:val="single" w:sz="4" w:space="0" w:color="000000"/>
            </w:tcBorders>
            <w:vAlign w:val="center"/>
          </w:tcPr>
          <w:p w:rsidR="0099352E" w:rsidRPr="00733954" w:rsidRDefault="0099352E" w:rsidP="0099352E">
            <w:pPr>
              <w:spacing w:line="240" w:lineRule="auto"/>
              <w:ind w:firstLineChars="0" w:firstLine="0"/>
              <w:jc w:val="center"/>
              <w:rPr>
                <w:rFonts w:ascii="Times New Roman" w:cs="Times New Roman"/>
                <w:sz w:val="21"/>
                <w:szCs w:val="21"/>
              </w:rPr>
            </w:pPr>
            <w:r>
              <w:rPr>
                <w:rFonts w:ascii="Times New Roman" w:cs="Times New Roman" w:hint="eastAsia"/>
                <w:sz w:val="21"/>
                <w:szCs w:val="21"/>
              </w:rPr>
              <w:t>窑湾农户</w:t>
            </w:r>
            <w:r>
              <w:rPr>
                <w:rFonts w:ascii="Times New Roman" w:cs="Times New Roman" w:hint="eastAsia"/>
                <w:sz w:val="21"/>
                <w:szCs w:val="21"/>
              </w:rPr>
              <w:t>3#</w:t>
            </w:r>
          </w:p>
        </w:tc>
        <w:tc>
          <w:tcPr>
            <w:tcW w:w="270" w:type="pct"/>
            <w:tcBorders>
              <w:top w:val="single" w:sz="4" w:space="0" w:color="000000"/>
              <w:left w:val="single" w:sz="4" w:space="0" w:color="000000"/>
              <w:bottom w:val="single" w:sz="4" w:space="0" w:color="000000"/>
              <w:right w:val="single" w:sz="2" w:space="0" w:color="auto"/>
            </w:tcBorders>
            <w:vAlign w:val="center"/>
          </w:tcPr>
          <w:p w:rsidR="0099352E" w:rsidRPr="0099352E" w:rsidRDefault="0099352E" w:rsidP="0099352E">
            <w:pPr>
              <w:spacing w:line="240" w:lineRule="auto"/>
              <w:ind w:firstLineChars="0" w:firstLine="0"/>
              <w:jc w:val="center"/>
              <w:rPr>
                <w:rFonts w:ascii="Times New Roman" w:cs="Times New Roman"/>
                <w:sz w:val="21"/>
                <w:szCs w:val="21"/>
              </w:rPr>
            </w:pPr>
            <w:r w:rsidRPr="0099352E">
              <w:rPr>
                <w:rFonts w:ascii="Times New Roman" w:cs="Times New Roman"/>
                <w:sz w:val="21"/>
                <w:szCs w:val="21"/>
              </w:rPr>
              <w:t>107.48381</w:t>
            </w:r>
            <w:r>
              <w:rPr>
                <w:rFonts w:ascii="Times New Roman" w:cs="Times New Roman" w:hint="eastAsia"/>
                <w:sz w:val="21"/>
                <w:szCs w:val="21"/>
              </w:rPr>
              <w:t>7</w:t>
            </w:r>
          </w:p>
        </w:tc>
        <w:tc>
          <w:tcPr>
            <w:tcW w:w="325" w:type="pct"/>
            <w:tcBorders>
              <w:top w:val="single" w:sz="4" w:space="0" w:color="000000"/>
              <w:left w:val="single" w:sz="2" w:space="0" w:color="auto"/>
              <w:bottom w:val="single" w:sz="4" w:space="0" w:color="000000"/>
              <w:right w:val="single" w:sz="4" w:space="0" w:color="000000"/>
            </w:tcBorders>
            <w:vAlign w:val="center"/>
          </w:tcPr>
          <w:p w:rsidR="0099352E" w:rsidRPr="0099352E" w:rsidRDefault="0099352E" w:rsidP="004767EB">
            <w:pPr>
              <w:spacing w:line="240" w:lineRule="auto"/>
              <w:ind w:firstLineChars="0" w:firstLine="0"/>
              <w:jc w:val="center"/>
              <w:rPr>
                <w:rFonts w:ascii="Times New Roman" w:cs="Times New Roman"/>
                <w:sz w:val="21"/>
                <w:szCs w:val="21"/>
              </w:rPr>
            </w:pPr>
            <w:r w:rsidRPr="0099352E">
              <w:rPr>
                <w:rFonts w:ascii="Times New Roman" w:cs="Times New Roman"/>
                <w:sz w:val="21"/>
                <w:szCs w:val="21"/>
              </w:rPr>
              <w:t>31.323229</w:t>
            </w:r>
          </w:p>
        </w:tc>
        <w:tc>
          <w:tcPr>
            <w:tcW w:w="278" w:type="pct"/>
            <w:tcBorders>
              <w:top w:val="single" w:sz="4" w:space="0" w:color="000000"/>
              <w:left w:val="single" w:sz="4" w:space="0" w:color="000000"/>
              <w:bottom w:val="single" w:sz="4" w:space="0" w:color="000000"/>
              <w:right w:val="single" w:sz="2" w:space="0" w:color="auto"/>
            </w:tcBorders>
            <w:vAlign w:val="center"/>
          </w:tcPr>
          <w:p w:rsidR="0099352E" w:rsidRPr="00733954" w:rsidRDefault="0099352E" w:rsidP="0099352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农户</w:t>
            </w:r>
          </w:p>
        </w:tc>
        <w:tc>
          <w:tcPr>
            <w:tcW w:w="267" w:type="pct"/>
            <w:tcBorders>
              <w:top w:val="single" w:sz="4" w:space="0" w:color="000000"/>
              <w:left w:val="single" w:sz="2" w:space="0" w:color="auto"/>
              <w:bottom w:val="single" w:sz="4" w:space="0" w:color="000000"/>
              <w:right w:val="single" w:sz="2" w:space="0" w:color="auto"/>
            </w:tcBorders>
            <w:vAlign w:val="center"/>
          </w:tcPr>
          <w:p w:rsidR="0099352E" w:rsidRPr="00733954" w:rsidRDefault="0099352E" w:rsidP="00796F6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Pr>
                <w:rFonts w:ascii="Times New Roman" w:cs="Times New Roman" w:hint="eastAsia"/>
                <w:sz w:val="21"/>
                <w:szCs w:val="21"/>
              </w:rPr>
              <w:t>9</w:t>
            </w:r>
            <w:r w:rsidRPr="00733954">
              <w:rPr>
                <w:rFonts w:ascii="Times New Roman" w:cs="Times New Roman"/>
                <w:sz w:val="21"/>
                <w:szCs w:val="21"/>
              </w:rPr>
              <w:t>户</w:t>
            </w:r>
            <w:r>
              <w:rPr>
                <w:rFonts w:ascii="Times New Roman" w:cs="Times New Roman" w:hint="eastAsia"/>
                <w:sz w:val="21"/>
                <w:szCs w:val="21"/>
              </w:rPr>
              <w:t>3</w:t>
            </w:r>
            <w:r w:rsidR="00796F6E">
              <w:rPr>
                <w:rFonts w:ascii="Times New Roman" w:cs="Times New Roman" w:hint="eastAsia"/>
                <w:sz w:val="21"/>
                <w:szCs w:val="21"/>
              </w:rPr>
              <w:t>5</w:t>
            </w:r>
            <w:r w:rsidRPr="00733954">
              <w:rPr>
                <w:rFonts w:ascii="Times New Roman" w:cs="Times New Roman"/>
                <w:sz w:val="21"/>
                <w:szCs w:val="21"/>
              </w:rPr>
              <w:t>人</w:t>
            </w:r>
          </w:p>
        </w:tc>
        <w:tc>
          <w:tcPr>
            <w:tcW w:w="244" w:type="pct"/>
            <w:tcBorders>
              <w:top w:val="single" w:sz="4" w:space="0" w:color="000000"/>
              <w:left w:val="single" w:sz="2" w:space="0" w:color="auto"/>
              <w:bottom w:val="single" w:sz="4" w:space="0" w:color="000000"/>
              <w:right w:val="single" w:sz="4" w:space="0" w:color="000000"/>
            </w:tcBorders>
            <w:vAlign w:val="center"/>
          </w:tcPr>
          <w:p w:rsidR="0099352E" w:rsidRPr="00733954" w:rsidRDefault="0099352E" w:rsidP="0099352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二类</w:t>
            </w:r>
          </w:p>
        </w:tc>
        <w:tc>
          <w:tcPr>
            <w:tcW w:w="226" w:type="pct"/>
            <w:tcBorders>
              <w:top w:val="single" w:sz="4" w:space="0" w:color="000000"/>
              <w:left w:val="single" w:sz="4" w:space="0" w:color="000000"/>
              <w:bottom w:val="single" w:sz="4" w:space="0" w:color="000000"/>
              <w:right w:val="single" w:sz="2" w:space="0" w:color="auto"/>
            </w:tcBorders>
            <w:vAlign w:val="center"/>
          </w:tcPr>
          <w:p w:rsidR="0099352E" w:rsidRPr="00733954" w:rsidRDefault="00796F6E" w:rsidP="0099352E">
            <w:pPr>
              <w:spacing w:line="240" w:lineRule="auto"/>
              <w:ind w:firstLineChars="0" w:firstLine="0"/>
              <w:jc w:val="center"/>
              <w:rPr>
                <w:rFonts w:ascii="Times New Roman" w:cs="Times New Roman"/>
                <w:sz w:val="21"/>
                <w:szCs w:val="21"/>
              </w:rPr>
            </w:pPr>
            <w:r>
              <w:rPr>
                <w:rFonts w:ascii="Times New Roman" w:cs="Times New Roman" w:hint="eastAsia"/>
                <w:sz w:val="21"/>
                <w:szCs w:val="21"/>
              </w:rPr>
              <w:t>左</w:t>
            </w:r>
            <w:r w:rsidR="0099352E" w:rsidRPr="00733954">
              <w:rPr>
                <w:rFonts w:ascii="Times New Roman" w:cs="Times New Roman"/>
                <w:sz w:val="21"/>
                <w:szCs w:val="21"/>
              </w:rPr>
              <w:t>侧</w:t>
            </w:r>
          </w:p>
        </w:tc>
        <w:tc>
          <w:tcPr>
            <w:tcW w:w="419" w:type="pct"/>
            <w:tcBorders>
              <w:top w:val="single" w:sz="4" w:space="0" w:color="000000"/>
              <w:left w:val="single" w:sz="2" w:space="0" w:color="auto"/>
              <w:bottom w:val="single" w:sz="4" w:space="0" w:color="000000"/>
              <w:right w:val="single" w:sz="4" w:space="0" w:color="000000"/>
            </w:tcBorders>
            <w:vAlign w:val="center"/>
          </w:tcPr>
          <w:p w:rsidR="0099352E" w:rsidRPr="00733954" w:rsidRDefault="0099352E" w:rsidP="0099352E">
            <w:pPr>
              <w:spacing w:line="240" w:lineRule="auto"/>
              <w:ind w:firstLineChars="0" w:firstLine="0"/>
              <w:jc w:val="center"/>
              <w:rPr>
                <w:rFonts w:ascii="Times New Roman" w:cs="Times New Roman"/>
                <w:sz w:val="21"/>
                <w:szCs w:val="21"/>
              </w:rPr>
            </w:pPr>
            <w:r>
              <w:rPr>
                <w:rFonts w:ascii="Times New Roman" w:cs="Times New Roman" w:hint="eastAsia"/>
                <w:sz w:val="21"/>
                <w:szCs w:val="21"/>
              </w:rPr>
              <w:t>70</w:t>
            </w:r>
            <w:r w:rsidRPr="00733954">
              <w:rPr>
                <w:rFonts w:ascii="Times New Roman" w:cs="Times New Roman"/>
                <w:sz w:val="21"/>
                <w:szCs w:val="21"/>
              </w:rPr>
              <w:t>~</w:t>
            </w:r>
            <w:r>
              <w:rPr>
                <w:rFonts w:ascii="Times New Roman" w:cs="Times New Roman" w:hint="eastAsia"/>
                <w:sz w:val="21"/>
                <w:szCs w:val="21"/>
              </w:rPr>
              <w:t>290</w:t>
            </w:r>
          </w:p>
        </w:tc>
        <w:tc>
          <w:tcPr>
            <w:tcW w:w="1204" w:type="pct"/>
            <w:tcBorders>
              <w:top w:val="single" w:sz="4" w:space="0" w:color="000000"/>
              <w:left w:val="single" w:sz="2" w:space="0" w:color="auto"/>
              <w:bottom w:val="single" w:sz="4" w:space="0" w:color="000000"/>
              <w:right w:val="nil"/>
            </w:tcBorders>
            <w:vAlign w:val="center"/>
          </w:tcPr>
          <w:p w:rsidR="0099352E" w:rsidRDefault="0099352E" w:rsidP="0099352E">
            <w:pPr>
              <w:spacing w:line="240" w:lineRule="auto"/>
              <w:ind w:firstLineChars="0" w:firstLine="0"/>
              <w:jc w:val="center"/>
              <w:rPr>
                <w:rFonts w:ascii="Times New Roman" w:cs="Times New Roman"/>
                <w:noProof/>
                <w:sz w:val="21"/>
                <w:szCs w:val="21"/>
              </w:rPr>
            </w:pPr>
            <w:r>
              <w:rPr>
                <w:rFonts w:ascii="Times New Roman" w:cs="Times New Roman"/>
                <w:noProof/>
                <w:sz w:val="21"/>
                <w:szCs w:val="21"/>
              </w:rPr>
              <w:drawing>
                <wp:inline distT="0" distB="0" distL="0" distR="0">
                  <wp:extent cx="2198370" cy="1602740"/>
                  <wp:effectExtent l="19050" t="0" r="0" b="0"/>
                  <wp:docPr id="3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 cstate="print"/>
                          <a:srcRect/>
                          <a:stretch>
                            <a:fillRect/>
                          </a:stretch>
                        </pic:blipFill>
                        <pic:spPr bwMode="auto">
                          <a:xfrm>
                            <a:off x="0" y="0"/>
                            <a:ext cx="2198370" cy="1602740"/>
                          </a:xfrm>
                          <a:prstGeom prst="rect">
                            <a:avLst/>
                          </a:prstGeom>
                          <a:noFill/>
                          <a:ln w="9525">
                            <a:noFill/>
                            <a:miter lim="800000"/>
                            <a:headEnd/>
                            <a:tailEnd/>
                          </a:ln>
                        </pic:spPr>
                      </pic:pic>
                    </a:graphicData>
                  </a:graphic>
                </wp:inline>
              </w:drawing>
            </w:r>
          </w:p>
        </w:tc>
        <w:tc>
          <w:tcPr>
            <w:tcW w:w="1306" w:type="pct"/>
            <w:tcBorders>
              <w:top w:val="single" w:sz="4" w:space="0" w:color="000000"/>
              <w:left w:val="single" w:sz="2" w:space="0" w:color="auto"/>
              <w:bottom w:val="single" w:sz="4" w:space="0" w:color="000000"/>
              <w:right w:val="nil"/>
            </w:tcBorders>
            <w:vAlign w:val="center"/>
          </w:tcPr>
          <w:p w:rsidR="0099352E" w:rsidRDefault="0099352E" w:rsidP="0099352E">
            <w:pPr>
              <w:spacing w:line="240" w:lineRule="auto"/>
              <w:ind w:firstLineChars="0" w:firstLine="0"/>
              <w:jc w:val="center"/>
              <w:rPr>
                <w:rFonts w:ascii="Times New Roman" w:cs="Times New Roman"/>
                <w:noProof/>
                <w:kern w:val="2"/>
                <w:sz w:val="21"/>
                <w:szCs w:val="21"/>
              </w:rPr>
            </w:pPr>
            <w:r>
              <w:rPr>
                <w:rFonts w:ascii="Times New Roman" w:cs="Times New Roman"/>
                <w:noProof/>
                <w:kern w:val="2"/>
                <w:sz w:val="21"/>
                <w:szCs w:val="21"/>
              </w:rPr>
              <w:drawing>
                <wp:inline distT="0" distB="0" distL="0" distR="0">
                  <wp:extent cx="2250440" cy="1572243"/>
                  <wp:effectExtent l="19050" t="0" r="0" b="0"/>
                  <wp:docPr id="40" name="图片 65" descr="C:\Users\ADMINI~1.USE\AppData\Local\Temp\WeChat Files\077c870d57bda9fd55574caf7ffd5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I~1.USE\AppData\Local\Temp\WeChat Files\077c870d57bda9fd55574caf7ffd59e.jpg"/>
                          <pic:cNvPicPr>
                            <a:picLocks noChangeAspect="1" noChangeArrowheads="1"/>
                          </pic:cNvPicPr>
                        </pic:nvPicPr>
                        <pic:blipFill>
                          <a:blip r:embed="rId33" cstate="print"/>
                          <a:srcRect/>
                          <a:stretch>
                            <a:fillRect/>
                          </a:stretch>
                        </pic:blipFill>
                        <pic:spPr bwMode="auto">
                          <a:xfrm>
                            <a:off x="0" y="0"/>
                            <a:ext cx="2267123" cy="1583899"/>
                          </a:xfrm>
                          <a:prstGeom prst="rect">
                            <a:avLst/>
                          </a:prstGeom>
                          <a:noFill/>
                          <a:ln w="9525">
                            <a:noFill/>
                            <a:miter lim="800000"/>
                            <a:headEnd/>
                            <a:tailEnd/>
                          </a:ln>
                        </pic:spPr>
                      </pic:pic>
                    </a:graphicData>
                  </a:graphic>
                </wp:inline>
              </w:drawing>
            </w:r>
          </w:p>
        </w:tc>
      </w:tr>
      <w:tr w:rsidR="0099352E" w:rsidRPr="00733954" w:rsidTr="00796F6E">
        <w:trPr>
          <w:trHeight w:val="1419"/>
          <w:jc w:val="center"/>
        </w:trPr>
        <w:tc>
          <w:tcPr>
            <w:tcW w:w="187" w:type="pct"/>
            <w:tcBorders>
              <w:top w:val="single" w:sz="4" w:space="0" w:color="000000"/>
              <w:left w:val="nil"/>
              <w:bottom w:val="single" w:sz="4" w:space="0" w:color="000000"/>
              <w:right w:val="single" w:sz="4" w:space="0" w:color="000000"/>
            </w:tcBorders>
            <w:vAlign w:val="center"/>
          </w:tcPr>
          <w:p w:rsidR="0099352E" w:rsidRDefault="0099352E" w:rsidP="0099352E">
            <w:pPr>
              <w:spacing w:line="240" w:lineRule="auto"/>
              <w:ind w:firstLineChars="0" w:firstLine="0"/>
              <w:jc w:val="center"/>
              <w:rPr>
                <w:rFonts w:ascii="Times New Roman" w:cs="Times New Roman"/>
                <w:sz w:val="21"/>
                <w:szCs w:val="21"/>
              </w:rPr>
            </w:pPr>
            <w:r>
              <w:rPr>
                <w:rFonts w:ascii="Times New Roman" w:cs="Times New Roman" w:hint="eastAsia"/>
                <w:sz w:val="21"/>
                <w:szCs w:val="21"/>
              </w:rPr>
              <w:lastRenderedPageBreak/>
              <w:t>4</w:t>
            </w:r>
          </w:p>
        </w:tc>
        <w:tc>
          <w:tcPr>
            <w:tcW w:w="274" w:type="pct"/>
            <w:tcBorders>
              <w:top w:val="single" w:sz="4" w:space="0" w:color="000000"/>
              <w:left w:val="single" w:sz="4" w:space="0" w:color="000000"/>
              <w:bottom w:val="single" w:sz="4" w:space="0" w:color="000000"/>
              <w:right w:val="single" w:sz="4" w:space="0" w:color="000000"/>
            </w:tcBorders>
            <w:vAlign w:val="center"/>
          </w:tcPr>
          <w:p w:rsidR="0099352E" w:rsidRPr="00733954" w:rsidRDefault="00796F6E" w:rsidP="00796F6E">
            <w:pPr>
              <w:spacing w:line="240" w:lineRule="auto"/>
              <w:ind w:firstLineChars="0" w:firstLine="0"/>
              <w:jc w:val="center"/>
              <w:rPr>
                <w:rFonts w:ascii="Times New Roman" w:cs="Times New Roman"/>
                <w:sz w:val="21"/>
                <w:szCs w:val="21"/>
              </w:rPr>
            </w:pPr>
            <w:r w:rsidRPr="00796F6E">
              <w:rPr>
                <w:rFonts w:ascii="Times New Roman" w:cs="Times New Roman" w:hint="eastAsia"/>
                <w:sz w:val="21"/>
                <w:szCs w:val="21"/>
              </w:rPr>
              <w:t>红庙子农户</w:t>
            </w:r>
            <w:r>
              <w:rPr>
                <w:rFonts w:ascii="Times New Roman" w:cs="Times New Roman" w:hint="eastAsia"/>
                <w:sz w:val="21"/>
                <w:szCs w:val="21"/>
              </w:rPr>
              <w:t>4</w:t>
            </w:r>
            <w:r w:rsidR="0099352E">
              <w:rPr>
                <w:rFonts w:ascii="Times New Roman" w:cs="Times New Roman" w:hint="eastAsia"/>
                <w:sz w:val="21"/>
                <w:szCs w:val="21"/>
              </w:rPr>
              <w:t>#</w:t>
            </w:r>
          </w:p>
        </w:tc>
        <w:tc>
          <w:tcPr>
            <w:tcW w:w="270" w:type="pct"/>
            <w:tcBorders>
              <w:top w:val="single" w:sz="4" w:space="0" w:color="000000"/>
              <w:left w:val="single" w:sz="4" w:space="0" w:color="000000"/>
              <w:bottom w:val="single" w:sz="4" w:space="0" w:color="000000"/>
              <w:right w:val="single" w:sz="2" w:space="0" w:color="auto"/>
            </w:tcBorders>
            <w:vAlign w:val="center"/>
          </w:tcPr>
          <w:p w:rsidR="0099352E" w:rsidRPr="0099352E" w:rsidRDefault="00796F6E" w:rsidP="0099352E">
            <w:pPr>
              <w:spacing w:line="240" w:lineRule="auto"/>
              <w:ind w:firstLineChars="0" w:firstLine="0"/>
              <w:jc w:val="center"/>
              <w:rPr>
                <w:rFonts w:ascii="Times New Roman" w:cs="Times New Roman"/>
                <w:sz w:val="21"/>
                <w:szCs w:val="21"/>
              </w:rPr>
            </w:pPr>
            <w:r w:rsidRPr="00796F6E">
              <w:rPr>
                <w:rFonts w:ascii="Times New Roman" w:cs="Times New Roman"/>
                <w:sz w:val="21"/>
                <w:szCs w:val="21"/>
              </w:rPr>
              <w:t>107.490622</w:t>
            </w:r>
          </w:p>
        </w:tc>
        <w:tc>
          <w:tcPr>
            <w:tcW w:w="325" w:type="pct"/>
            <w:tcBorders>
              <w:top w:val="single" w:sz="4" w:space="0" w:color="000000"/>
              <w:left w:val="single" w:sz="2" w:space="0" w:color="auto"/>
              <w:bottom w:val="single" w:sz="4" w:space="0" w:color="000000"/>
              <w:right w:val="single" w:sz="4" w:space="0" w:color="000000"/>
            </w:tcBorders>
            <w:vAlign w:val="center"/>
          </w:tcPr>
          <w:p w:rsidR="0099352E" w:rsidRPr="0099352E" w:rsidRDefault="00796F6E" w:rsidP="0099352E">
            <w:pPr>
              <w:spacing w:line="240" w:lineRule="auto"/>
              <w:ind w:firstLineChars="0" w:firstLine="0"/>
              <w:jc w:val="center"/>
              <w:rPr>
                <w:rFonts w:ascii="Times New Roman" w:cs="Times New Roman"/>
                <w:sz w:val="21"/>
                <w:szCs w:val="21"/>
              </w:rPr>
            </w:pPr>
            <w:r w:rsidRPr="00796F6E">
              <w:rPr>
                <w:rFonts w:ascii="Times New Roman" w:cs="Times New Roman"/>
                <w:sz w:val="21"/>
                <w:szCs w:val="21"/>
              </w:rPr>
              <w:t>31.324127</w:t>
            </w:r>
          </w:p>
        </w:tc>
        <w:tc>
          <w:tcPr>
            <w:tcW w:w="278" w:type="pct"/>
            <w:tcBorders>
              <w:top w:val="single" w:sz="4" w:space="0" w:color="000000"/>
              <w:left w:val="single" w:sz="4" w:space="0" w:color="000000"/>
              <w:bottom w:val="single" w:sz="4" w:space="0" w:color="000000"/>
              <w:right w:val="single" w:sz="2" w:space="0" w:color="auto"/>
            </w:tcBorders>
            <w:vAlign w:val="center"/>
          </w:tcPr>
          <w:p w:rsidR="0099352E" w:rsidRPr="00733954" w:rsidRDefault="0099352E" w:rsidP="0099352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农户</w:t>
            </w:r>
          </w:p>
        </w:tc>
        <w:tc>
          <w:tcPr>
            <w:tcW w:w="267" w:type="pct"/>
            <w:tcBorders>
              <w:top w:val="single" w:sz="4" w:space="0" w:color="000000"/>
              <w:left w:val="single" w:sz="2" w:space="0" w:color="auto"/>
              <w:bottom w:val="single" w:sz="4" w:space="0" w:color="000000"/>
              <w:right w:val="single" w:sz="2" w:space="0" w:color="auto"/>
            </w:tcBorders>
            <w:vAlign w:val="center"/>
          </w:tcPr>
          <w:p w:rsidR="0099352E" w:rsidRPr="00733954" w:rsidRDefault="0099352E" w:rsidP="00796F6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sidR="00796F6E">
              <w:rPr>
                <w:rFonts w:ascii="Times New Roman" w:cs="Times New Roman" w:hint="eastAsia"/>
                <w:sz w:val="21"/>
                <w:szCs w:val="21"/>
              </w:rPr>
              <w:t>12</w:t>
            </w:r>
            <w:r w:rsidRPr="00733954">
              <w:rPr>
                <w:rFonts w:ascii="Times New Roman" w:cs="Times New Roman"/>
                <w:sz w:val="21"/>
                <w:szCs w:val="21"/>
              </w:rPr>
              <w:t>户</w:t>
            </w:r>
            <w:r w:rsidR="00796F6E">
              <w:rPr>
                <w:rFonts w:ascii="Times New Roman" w:cs="Times New Roman" w:hint="eastAsia"/>
                <w:sz w:val="21"/>
                <w:szCs w:val="21"/>
              </w:rPr>
              <w:t>50</w:t>
            </w:r>
            <w:r w:rsidRPr="00733954">
              <w:rPr>
                <w:rFonts w:ascii="Times New Roman" w:cs="Times New Roman"/>
                <w:sz w:val="21"/>
                <w:szCs w:val="21"/>
              </w:rPr>
              <w:t>人</w:t>
            </w:r>
          </w:p>
        </w:tc>
        <w:tc>
          <w:tcPr>
            <w:tcW w:w="244" w:type="pct"/>
            <w:tcBorders>
              <w:top w:val="single" w:sz="4" w:space="0" w:color="000000"/>
              <w:left w:val="single" w:sz="2" w:space="0" w:color="auto"/>
              <w:bottom w:val="single" w:sz="4" w:space="0" w:color="000000"/>
              <w:right w:val="single" w:sz="4" w:space="0" w:color="000000"/>
            </w:tcBorders>
            <w:vAlign w:val="center"/>
          </w:tcPr>
          <w:p w:rsidR="0099352E" w:rsidRPr="00733954" w:rsidRDefault="0099352E" w:rsidP="0099352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二类</w:t>
            </w:r>
          </w:p>
        </w:tc>
        <w:tc>
          <w:tcPr>
            <w:tcW w:w="226" w:type="pct"/>
            <w:tcBorders>
              <w:top w:val="single" w:sz="4" w:space="0" w:color="000000"/>
              <w:left w:val="single" w:sz="4" w:space="0" w:color="000000"/>
              <w:bottom w:val="single" w:sz="4" w:space="0" w:color="000000"/>
              <w:right w:val="single" w:sz="2" w:space="0" w:color="auto"/>
            </w:tcBorders>
            <w:vAlign w:val="center"/>
          </w:tcPr>
          <w:p w:rsidR="0099352E" w:rsidRPr="00733954" w:rsidRDefault="0099352E" w:rsidP="0099352E">
            <w:pPr>
              <w:spacing w:line="240" w:lineRule="auto"/>
              <w:ind w:firstLineChars="0" w:firstLine="0"/>
              <w:jc w:val="center"/>
              <w:rPr>
                <w:rFonts w:ascii="Times New Roman" w:cs="Times New Roman"/>
                <w:sz w:val="21"/>
                <w:szCs w:val="21"/>
              </w:rPr>
            </w:pPr>
            <w:r>
              <w:rPr>
                <w:rFonts w:ascii="Times New Roman" w:cs="Times New Roman" w:hint="eastAsia"/>
                <w:sz w:val="21"/>
                <w:szCs w:val="21"/>
              </w:rPr>
              <w:t>右</w:t>
            </w:r>
            <w:r w:rsidRPr="00733954">
              <w:rPr>
                <w:rFonts w:ascii="Times New Roman" w:cs="Times New Roman"/>
                <w:sz w:val="21"/>
                <w:szCs w:val="21"/>
              </w:rPr>
              <w:t>侧</w:t>
            </w:r>
          </w:p>
        </w:tc>
        <w:tc>
          <w:tcPr>
            <w:tcW w:w="419" w:type="pct"/>
            <w:tcBorders>
              <w:top w:val="single" w:sz="4" w:space="0" w:color="000000"/>
              <w:left w:val="single" w:sz="2" w:space="0" w:color="auto"/>
              <w:bottom w:val="single" w:sz="4" w:space="0" w:color="000000"/>
              <w:right w:val="single" w:sz="4" w:space="0" w:color="000000"/>
            </w:tcBorders>
            <w:vAlign w:val="center"/>
          </w:tcPr>
          <w:p w:rsidR="0099352E" w:rsidRPr="00733954" w:rsidRDefault="0099352E" w:rsidP="00796F6E">
            <w:pPr>
              <w:spacing w:line="240" w:lineRule="auto"/>
              <w:ind w:firstLineChars="0" w:firstLine="0"/>
              <w:jc w:val="center"/>
              <w:rPr>
                <w:rFonts w:ascii="Times New Roman" w:cs="Times New Roman"/>
                <w:sz w:val="21"/>
                <w:szCs w:val="21"/>
              </w:rPr>
            </w:pPr>
            <w:r>
              <w:rPr>
                <w:rFonts w:ascii="Times New Roman" w:cs="Times New Roman" w:hint="eastAsia"/>
                <w:sz w:val="21"/>
                <w:szCs w:val="21"/>
              </w:rPr>
              <w:t>70</w:t>
            </w:r>
            <w:r w:rsidRPr="00733954">
              <w:rPr>
                <w:rFonts w:ascii="Times New Roman" w:cs="Times New Roman"/>
                <w:sz w:val="21"/>
                <w:szCs w:val="21"/>
              </w:rPr>
              <w:t>~</w:t>
            </w:r>
            <w:r>
              <w:rPr>
                <w:rFonts w:ascii="Times New Roman" w:cs="Times New Roman" w:hint="eastAsia"/>
                <w:sz w:val="21"/>
                <w:szCs w:val="21"/>
              </w:rPr>
              <w:t>2</w:t>
            </w:r>
            <w:r w:rsidR="00796F6E">
              <w:rPr>
                <w:rFonts w:ascii="Times New Roman" w:cs="Times New Roman" w:hint="eastAsia"/>
                <w:sz w:val="21"/>
                <w:szCs w:val="21"/>
              </w:rPr>
              <w:t>8</w:t>
            </w:r>
            <w:r>
              <w:rPr>
                <w:rFonts w:ascii="Times New Roman" w:cs="Times New Roman" w:hint="eastAsia"/>
                <w:sz w:val="21"/>
                <w:szCs w:val="21"/>
              </w:rPr>
              <w:t>0</w:t>
            </w:r>
          </w:p>
        </w:tc>
        <w:tc>
          <w:tcPr>
            <w:tcW w:w="1204" w:type="pct"/>
            <w:tcBorders>
              <w:top w:val="single" w:sz="4" w:space="0" w:color="000000"/>
              <w:left w:val="single" w:sz="2" w:space="0" w:color="auto"/>
              <w:bottom w:val="single" w:sz="4" w:space="0" w:color="000000"/>
              <w:right w:val="nil"/>
            </w:tcBorders>
            <w:vAlign w:val="center"/>
          </w:tcPr>
          <w:p w:rsidR="0099352E" w:rsidRDefault="00796F6E" w:rsidP="0099352E">
            <w:pPr>
              <w:spacing w:line="240" w:lineRule="auto"/>
              <w:ind w:firstLineChars="0" w:firstLine="0"/>
              <w:jc w:val="center"/>
              <w:rPr>
                <w:rFonts w:ascii="Times New Roman" w:cs="Times New Roman"/>
                <w:noProof/>
                <w:sz w:val="21"/>
                <w:szCs w:val="21"/>
              </w:rPr>
            </w:pPr>
            <w:r>
              <w:rPr>
                <w:rFonts w:ascii="Times New Roman" w:cs="Times New Roman"/>
                <w:noProof/>
                <w:sz w:val="21"/>
                <w:szCs w:val="21"/>
              </w:rPr>
              <w:drawing>
                <wp:inline distT="0" distB="0" distL="0" distR="0">
                  <wp:extent cx="2194560" cy="1531620"/>
                  <wp:effectExtent l="1905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 cstate="print"/>
                          <a:srcRect/>
                          <a:stretch>
                            <a:fillRect/>
                          </a:stretch>
                        </pic:blipFill>
                        <pic:spPr bwMode="auto">
                          <a:xfrm>
                            <a:off x="0" y="0"/>
                            <a:ext cx="2194560" cy="1531620"/>
                          </a:xfrm>
                          <a:prstGeom prst="rect">
                            <a:avLst/>
                          </a:prstGeom>
                          <a:noFill/>
                          <a:ln w="9525">
                            <a:noFill/>
                            <a:miter lim="800000"/>
                            <a:headEnd/>
                            <a:tailEnd/>
                          </a:ln>
                        </pic:spPr>
                      </pic:pic>
                    </a:graphicData>
                  </a:graphic>
                </wp:inline>
              </w:drawing>
            </w:r>
          </w:p>
        </w:tc>
        <w:tc>
          <w:tcPr>
            <w:tcW w:w="1306" w:type="pct"/>
            <w:tcBorders>
              <w:top w:val="single" w:sz="4" w:space="0" w:color="000000"/>
              <w:left w:val="single" w:sz="2" w:space="0" w:color="auto"/>
              <w:bottom w:val="single" w:sz="4" w:space="0" w:color="000000"/>
              <w:right w:val="nil"/>
            </w:tcBorders>
            <w:vAlign w:val="center"/>
          </w:tcPr>
          <w:p w:rsidR="0099352E" w:rsidRDefault="00796F6E" w:rsidP="0099352E">
            <w:pPr>
              <w:spacing w:line="240" w:lineRule="auto"/>
              <w:ind w:firstLineChars="0" w:firstLine="0"/>
              <w:jc w:val="center"/>
              <w:rPr>
                <w:rFonts w:ascii="Times New Roman" w:cs="Times New Roman"/>
                <w:noProof/>
                <w:kern w:val="2"/>
                <w:sz w:val="21"/>
                <w:szCs w:val="21"/>
              </w:rPr>
            </w:pPr>
            <w:r>
              <w:rPr>
                <w:rFonts w:ascii="Times New Roman" w:cs="Times New Roman"/>
                <w:noProof/>
                <w:kern w:val="2"/>
                <w:sz w:val="21"/>
                <w:szCs w:val="21"/>
              </w:rPr>
              <w:drawing>
                <wp:inline distT="0" distB="0" distL="0" distR="0">
                  <wp:extent cx="2266950" cy="1508760"/>
                  <wp:effectExtent l="19050" t="0" r="0" b="0"/>
                  <wp:docPr id="70" name="图片 70" descr="C:\Users\ADMINI~1.USE\AppData\Local\Temp\WeChat Files\fed7f7e2ec1e1232f7518144801f7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DMINI~1.USE\AppData\Local\Temp\WeChat Files\fed7f7e2ec1e1232f7518144801f70d.jpg"/>
                          <pic:cNvPicPr>
                            <a:picLocks noChangeAspect="1" noChangeArrowheads="1"/>
                          </pic:cNvPicPr>
                        </pic:nvPicPr>
                        <pic:blipFill>
                          <a:blip r:embed="rId35" cstate="print"/>
                          <a:srcRect/>
                          <a:stretch>
                            <a:fillRect/>
                          </a:stretch>
                        </pic:blipFill>
                        <pic:spPr bwMode="auto">
                          <a:xfrm>
                            <a:off x="0" y="0"/>
                            <a:ext cx="2277218" cy="1515594"/>
                          </a:xfrm>
                          <a:prstGeom prst="rect">
                            <a:avLst/>
                          </a:prstGeom>
                          <a:noFill/>
                          <a:ln w="9525">
                            <a:noFill/>
                            <a:miter lim="800000"/>
                            <a:headEnd/>
                            <a:tailEnd/>
                          </a:ln>
                        </pic:spPr>
                      </pic:pic>
                    </a:graphicData>
                  </a:graphic>
                </wp:inline>
              </w:drawing>
            </w:r>
          </w:p>
        </w:tc>
      </w:tr>
      <w:tr w:rsidR="00796F6E" w:rsidRPr="00733954" w:rsidTr="0099352E">
        <w:trPr>
          <w:trHeight w:val="1419"/>
          <w:jc w:val="center"/>
        </w:trPr>
        <w:tc>
          <w:tcPr>
            <w:tcW w:w="187" w:type="pct"/>
            <w:tcBorders>
              <w:top w:val="single" w:sz="4" w:space="0" w:color="000000"/>
              <w:left w:val="nil"/>
              <w:bottom w:val="single" w:sz="2" w:space="0" w:color="auto"/>
              <w:right w:val="single" w:sz="4" w:space="0" w:color="000000"/>
            </w:tcBorders>
            <w:vAlign w:val="center"/>
          </w:tcPr>
          <w:p w:rsidR="00796F6E" w:rsidRDefault="00796F6E" w:rsidP="0099352E">
            <w:pPr>
              <w:spacing w:line="240" w:lineRule="auto"/>
              <w:ind w:firstLineChars="0" w:firstLine="0"/>
              <w:jc w:val="center"/>
              <w:rPr>
                <w:rFonts w:ascii="Times New Roman" w:cs="Times New Roman"/>
                <w:sz w:val="21"/>
                <w:szCs w:val="21"/>
              </w:rPr>
            </w:pPr>
            <w:r>
              <w:rPr>
                <w:rFonts w:ascii="Times New Roman" w:cs="Times New Roman" w:hint="eastAsia"/>
                <w:sz w:val="21"/>
                <w:szCs w:val="21"/>
              </w:rPr>
              <w:t>5</w:t>
            </w:r>
          </w:p>
        </w:tc>
        <w:tc>
          <w:tcPr>
            <w:tcW w:w="274" w:type="pct"/>
            <w:tcBorders>
              <w:top w:val="single" w:sz="4" w:space="0" w:color="000000"/>
              <w:left w:val="single" w:sz="4" w:space="0" w:color="000000"/>
              <w:bottom w:val="single" w:sz="4" w:space="0" w:color="000000"/>
              <w:right w:val="single" w:sz="4" w:space="0" w:color="000000"/>
            </w:tcBorders>
            <w:vAlign w:val="center"/>
          </w:tcPr>
          <w:p w:rsidR="00796F6E" w:rsidRPr="00796F6E" w:rsidRDefault="00796F6E" w:rsidP="00796F6E">
            <w:pPr>
              <w:spacing w:line="240" w:lineRule="auto"/>
              <w:ind w:firstLineChars="0" w:firstLine="0"/>
              <w:jc w:val="center"/>
              <w:rPr>
                <w:rFonts w:ascii="Times New Roman" w:cs="Times New Roman"/>
                <w:sz w:val="21"/>
                <w:szCs w:val="21"/>
              </w:rPr>
            </w:pPr>
            <w:r>
              <w:rPr>
                <w:rFonts w:ascii="Times New Roman" w:cs="Times New Roman" w:hint="eastAsia"/>
                <w:sz w:val="21"/>
                <w:szCs w:val="21"/>
              </w:rPr>
              <w:t>冉家岩</w:t>
            </w:r>
            <w:r w:rsidRPr="00796F6E">
              <w:rPr>
                <w:rFonts w:ascii="Times New Roman" w:cs="Times New Roman" w:hint="eastAsia"/>
                <w:sz w:val="21"/>
                <w:szCs w:val="21"/>
              </w:rPr>
              <w:t>农户</w:t>
            </w:r>
            <w:r>
              <w:rPr>
                <w:rFonts w:ascii="Times New Roman" w:cs="Times New Roman" w:hint="eastAsia"/>
                <w:sz w:val="21"/>
                <w:szCs w:val="21"/>
              </w:rPr>
              <w:t>5#</w:t>
            </w:r>
          </w:p>
        </w:tc>
        <w:tc>
          <w:tcPr>
            <w:tcW w:w="270" w:type="pct"/>
            <w:tcBorders>
              <w:top w:val="single" w:sz="4" w:space="0" w:color="000000"/>
              <w:left w:val="single" w:sz="4" w:space="0" w:color="000000"/>
              <w:bottom w:val="single" w:sz="4" w:space="0" w:color="000000"/>
              <w:right w:val="single" w:sz="2" w:space="0" w:color="auto"/>
            </w:tcBorders>
            <w:vAlign w:val="center"/>
          </w:tcPr>
          <w:p w:rsidR="00796F6E" w:rsidRPr="00796F6E" w:rsidRDefault="00796F6E" w:rsidP="0099352E">
            <w:pPr>
              <w:spacing w:line="240" w:lineRule="auto"/>
              <w:ind w:firstLineChars="0" w:firstLine="0"/>
              <w:jc w:val="center"/>
              <w:rPr>
                <w:rFonts w:ascii="Times New Roman" w:cs="Times New Roman"/>
                <w:sz w:val="21"/>
                <w:szCs w:val="21"/>
              </w:rPr>
            </w:pPr>
            <w:r w:rsidRPr="00796F6E">
              <w:rPr>
                <w:rFonts w:ascii="Times New Roman" w:cs="Times New Roman"/>
                <w:sz w:val="21"/>
                <w:szCs w:val="21"/>
              </w:rPr>
              <w:t>107.485969</w:t>
            </w:r>
          </w:p>
        </w:tc>
        <w:tc>
          <w:tcPr>
            <w:tcW w:w="325" w:type="pct"/>
            <w:tcBorders>
              <w:top w:val="single" w:sz="4" w:space="0" w:color="000000"/>
              <w:left w:val="single" w:sz="2" w:space="0" w:color="auto"/>
              <w:bottom w:val="single" w:sz="4" w:space="0" w:color="000000"/>
              <w:right w:val="single" w:sz="4" w:space="0" w:color="000000"/>
            </w:tcBorders>
            <w:vAlign w:val="center"/>
          </w:tcPr>
          <w:p w:rsidR="00796F6E" w:rsidRPr="00796F6E" w:rsidRDefault="00796F6E" w:rsidP="0099352E">
            <w:pPr>
              <w:spacing w:line="240" w:lineRule="auto"/>
              <w:ind w:firstLineChars="0" w:firstLine="0"/>
              <w:jc w:val="center"/>
              <w:rPr>
                <w:rFonts w:ascii="Times New Roman" w:cs="Times New Roman"/>
                <w:sz w:val="21"/>
                <w:szCs w:val="21"/>
              </w:rPr>
            </w:pPr>
            <w:r w:rsidRPr="00796F6E">
              <w:rPr>
                <w:rFonts w:ascii="Times New Roman" w:cs="Times New Roman"/>
                <w:sz w:val="21"/>
                <w:szCs w:val="21"/>
              </w:rPr>
              <w:t>31.32528</w:t>
            </w:r>
            <w:r>
              <w:rPr>
                <w:rFonts w:ascii="Times New Roman" w:cs="Times New Roman" w:hint="eastAsia"/>
                <w:sz w:val="21"/>
                <w:szCs w:val="21"/>
              </w:rPr>
              <w:t>6</w:t>
            </w:r>
          </w:p>
        </w:tc>
        <w:tc>
          <w:tcPr>
            <w:tcW w:w="278" w:type="pct"/>
            <w:tcBorders>
              <w:top w:val="single" w:sz="4" w:space="0" w:color="000000"/>
              <w:left w:val="single" w:sz="4" w:space="0" w:color="000000"/>
              <w:bottom w:val="single" w:sz="4" w:space="0" w:color="000000"/>
              <w:right w:val="single" w:sz="2" w:space="0" w:color="auto"/>
            </w:tcBorders>
            <w:vAlign w:val="center"/>
          </w:tcPr>
          <w:p w:rsidR="00796F6E" w:rsidRPr="00733954" w:rsidRDefault="00796F6E" w:rsidP="0071021F">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农户</w:t>
            </w:r>
          </w:p>
        </w:tc>
        <w:tc>
          <w:tcPr>
            <w:tcW w:w="267" w:type="pct"/>
            <w:tcBorders>
              <w:top w:val="single" w:sz="4" w:space="0" w:color="000000"/>
              <w:left w:val="single" w:sz="2" w:space="0" w:color="auto"/>
              <w:bottom w:val="single" w:sz="4" w:space="0" w:color="000000"/>
              <w:right w:val="single" w:sz="2" w:space="0" w:color="auto"/>
            </w:tcBorders>
            <w:vAlign w:val="center"/>
          </w:tcPr>
          <w:p w:rsidR="00796F6E" w:rsidRPr="00733954" w:rsidRDefault="00796F6E" w:rsidP="00796F6E">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Pr>
                <w:rFonts w:ascii="Times New Roman" w:cs="Times New Roman" w:hint="eastAsia"/>
                <w:sz w:val="21"/>
                <w:szCs w:val="21"/>
              </w:rPr>
              <w:t>45</w:t>
            </w:r>
            <w:r w:rsidRPr="00733954">
              <w:rPr>
                <w:rFonts w:ascii="Times New Roman" w:cs="Times New Roman"/>
                <w:sz w:val="21"/>
                <w:szCs w:val="21"/>
              </w:rPr>
              <w:t>户</w:t>
            </w:r>
            <w:r>
              <w:rPr>
                <w:rFonts w:ascii="Times New Roman" w:cs="Times New Roman" w:hint="eastAsia"/>
                <w:sz w:val="21"/>
                <w:szCs w:val="21"/>
              </w:rPr>
              <w:t>170</w:t>
            </w:r>
            <w:r w:rsidRPr="00733954">
              <w:rPr>
                <w:rFonts w:ascii="Times New Roman" w:cs="Times New Roman"/>
                <w:sz w:val="21"/>
                <w:szCs w:val="21"/>
              </w:rPr>
              <w:t>人</w:t>
            </w:r>
          </w:p>
        </w:tc>
        <w:tc>
          <w:tcPr>
            <w:tcW w:w="244" w:type="pct"/>
            <w:tcBorders>
              <w:top w:val="single" w:sz="4" w:space="0" w:color="000000"/>
              <w:left w:val="single" w:sz="2" w:space="0" w:color="auto"/>
              <w:bottom w:val="single" w:sz="4" w:space="0" w:color="000000"/>
              <w:right w:val="single" w:sz="4" w:space="0" w:color="000000"/>
            </w:tcBorders>
            <w:vAlign w:val="center"/>
          </w:tcPr>
          <w:p w:rsidR="00796F6E" w:rsidRPr="00733954" w:rsidRDefault="00796F6E" w:rsidP="0071021F">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二类</w:t>
            </w:r>
          </w:p>
        </w:tc>
        <w:tc>
          <w:tcPr>
            <w:tcW w:w="226" w:type="pct"/>
            <w:tcBorders>
              <w:top w:val="single" w:sz="4" w:space="0" w:color="000000"/>
              <w:left w:val="single" w:sz="4" w:space="0" w:color="000000"/>
              <w:bottom w:val="single" w:sz="4" w:space="0" w:color="000000"/>
              <w:right w:val="single" w:sz="2" w:space="0" w:color="auto"/>
            </w:tcBorders>
            <w:vAlign w:val="center"/>
          </w:tcPr>
          <w:p w:rsidR="00796F6E" w:rsidRPr="00733954" w:rsidRDefault="00796F6E" w:rsidP="0071021F">
            <w:pPr>
              <w:spacing w:line="240" w:lineRule="auto"/>
              <w:ind w:firstLineChars="0" w:firstLine="0"/>
              <w:jc w:val="center"/>
              <w:rPr>
                <w:rFonts w:ascii="Times New Roman" w:cs="Times New Roman"/>
                <w:sz w:val="21"/>
                <w:szCs w:val="21"/>
              </w:rPr>
            </w:pPr>
            <w:r>
              <w:rPr>
                <w:rFonts w:ascii="Times New Roman" w:cs="Times New Roman" w:hint="eastAsia"/>
                <w:sz w:val="21"/>
                <w:szCs w:val="21"/>
              </w:rPr>
              <w:t>左</w:t>
            </w:r>
            <w:r w:rsidRPr="00733954">
              <w:rPr>
                <w:rFonts w:ascii="Times New Roman" w:cs="Times New Roman"/>
                <w:sz w:val="21"/>
                <w:szCs w:val="21"/>
              </w:rPr>
              <w:t>侧</w:t>
            </w:r>
          </w:p>
        </w:tc>
        <w:tc>
          <w:tcPr>
            <w:tcW w:w="419" w:type="pct"/>
            <w:tcBorders>
              <w:top w:val="single" w:sz="4" w:space="0" w:color="000000"/>
              <w:left w:val="single" w:sz="2" w:space="0" w:color="auto"/>
              <w:bottom w:val="single" w:sz="4" w:space="0" w:color="000000"/>
              <w:right w:val="single" w:sz="4" w:space="0" w:color="000000"/>
            </w:tcBorders>
            <w:vAlign w:val="center"/>
          </w:tcPr>
          <w:p w:rsidR="00796F6E" w:rsidRPr="00733954" w:rsidRDefault="00796F6E" w:rsidP="0071021F">
            <w:pPr>
              <w:spacing w:line="240" w:lineRule="auto"/>
              <w:ind w:firstLineChars="0" w:firstLine="0"/>
              <w:jc w:val="center"/>
              <w:rPr>
                <w:rFonts w:ascii="Times New Roman" w:cs="Times New Roman"/>
                <w:sz w:val="21"/>
                <w:szCs w:val="21"/>
              </w:rPr>
            </w:pPr>
            <w:r>
              <w:rPr>
                <w:rFonts w:ascii="Times New Roman" w:cs="Times New Roman" w:hint="eastAsia"/>
                <w:sz w:val="21"/>
                <w:szCs w:val="21"/>
              </w:rPr>
              <w:t>70</w:t>
            </w:r>
            <w:r w:rsidRPr="00733954">
              <w:rPr>
                <w:rFonts w:ascii="Times New Roman" w:cs="Times New Roman"/>
                <w:sz w:val="21"/>
                <w:szCs w:val="21"/>
              </w:rPr>
              <w:t>~</w:t>
            </w:r>
            <w:r>
              <w:rPr>
                <w:rFonts w:ascii="Times New Roman" w:cs="Times New Roman" w:hint="eastAsia"/>
                <w:sz w:val="21"/>
                <w:szCs w:val="21"/>
              </w:rPr>
              <w:t>280</w:t>
            </w:r>
          </w:p>
        </w:tc>
        <w:tc>
          <w:tcPr>
            <w:tcW w:w="1204" w:type="pct"/>
            <w:tcBorders>
              <w:top w:val="single" w:sz="4" w:space="0" w:color="000000"/>
              <w:left w:val="single" w:sz="2" w:space="0" w:color="auto"/>
              <w:bottom w:val="single" w:sz="2" w:space="0" w:color="auto"/>
              <w:right w:val="nil"/>
            </w:tcBorders>
            <w:vAlign w:val="center"/>
          </w:tcPr>
          <w:p w:rsidR="00796F6E" w:rsidRDefault="00796F6E" w:rsidP="0099352E">
            <w:pPr>
              <w:spacing w:line="240" w:lineRule="auto"/>
              <w:ind w:firstLineChars="0" w:firstLine="0"/>
              <w:jc w:val="center"/>
              <w:rPr>
                <w:rFonts w:ascii="Times New Roman" w:cs="Times New Roman"/>
                <w:noProof/>
                <w:sz w:val="21"/>
                <w:szCs w:val="21"/>
              </w:rPr>
            </w:pPr>
            <w:r>
              <w:rPr>
                <w:rFonts w:ascii="Times New Roman" w:cs="Times New Roman"/>
                <w:noProof/>
                <w:sz w:val="21"/>
                <w:szCs w:val="21"/>
              </w:rPr>
              <w:drawing>
                <wp:inline distT="0" distB="0" distL="0" distR="0">
                  <wp:extent cx="2194560" cy="1817370"/>
                  <wp:effectExtent l="1905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6" cstate="print"/>
                          <a:srcRect/>
                          <a:stretch>
                            <a:fillRect/>
                          </a:stretch>
                        </pic:blipFill>
                        <pic:spPr bwMode="auto">
                          <a:xfrm>
                            <a:off x="0" y="0"/>
                            <a:ext cx="2194560" cy="1817370"/>
                          </a:xfrm>
                          <a:prstGeom prst="rect">
                            <a:avLst/>
                          </a:prstGeom>
                          <a:noFill/>
                          <a:ln w="9525">
                            <a:noFill/>
                            <a:miter lim="800000"/>
                            <a:headEnd/>
                            <a:tailEnd/>
                          </a:ln>
                        </pic:spPr>
                      </pic:pic>
                    </a:graphicData>
                  </a:graphic>
                </wp:inline>
              </w:drawing>
            </w:r>
          </w:p>
        </w:tc>
        <w:tc>
          <w:tcPr>
            <w:tcW w:w="1306" w:type="pct"/>
            <w:tcBorders>
              <w:top w:val="single" w:sz="4" w:space="0" w:color="000000"/>
              <w:left w:val="single" w:sz="2" w:space="0" w:color="auto"/>
              <w:bottom w:val="single" w:sz="2" w:space="0" w:color="auto"/>
              <w:right w:val="nil"/>
            </w:tcBorders>
            <w:vAlign w:val="center"/>
          </w:tcPr>
          <w:p w:rsidR="00796F6E" w:rsidRDefault="00796F6E" w:rsidP="0099352E">
            <w:pPr>
              <w:spacing w:line="240" w:lineRule="auto"/>
              <w:ind w:firstLineChars="0" w:firstLine="0"/>
              <w:jc w:val="center"/>
              <w:rPr>
                <w:rFonts w:ascii="Times New Roman" w:cs="Times New Roman"/>
                <w:noProof/>
                <w:kern w:val="2"/>
                <w:sz w:val="21"/>
                <w:szCs w:val="21"/>
              </w:rPr>
            </w:pPr>
            <w:r>
              <w:rPr>
                <w:rFonts w:ascii="Times New Roman" w:cs="Times New Roman"/>
                <w:noProof/>
                <w:kern w:val="2"/>
                <w:sz w:val="21"/>
                <w:szCs w:val="21"/>
              </w:rPr>
              <w:drawing>
                <wp:inline distT="0" distB="0" distL="0" distR="0">
                  <wp:extent cx="2229926" cy="1671658"/>
                  <wp:effectExtent l="19050" t="0" r="0" b="0"/>
                  <wp:docPr id="74" name="图片 74" descr="C:\Users\ADMINI~1.USE\AppData\Local\Temp\WeChat Files\a6ff0d22a9eaa2e9f1f45665f110d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DMINI~1.USE\AppData\Local\Temp\WeChat Files\a6ff0d22a9eaa2e9f1f45665f110dc9.jpg"/>
                          <pic:cNvPicPr>
                            <a:picLocks noChangeAspect="1" noChangeArrowheads="1"/>
                          </pic:cNvPicPr>
                        </pic:nvPicPr>
                        <pic:blipFill>
                          <a:blip r:embed="rId37" cstate="print"/>
                          <a:srcRect/>
                          <a:stretch>
                            <a:fillRect/>
                          </a:stretch>
                        </pic:blipFill>
                        <pic:spPr bwMode="auto">
                          <a:xfrm>
                            <a:off x="0" y="0"/>
                            <a:ext cx="2232608" cy="1673668"/>
                          </a:xfrm>
                          <a:prstGeom prst="rect">
                            <a:avLst/>
                          </a:prstGeom>
                          <a:noFill/>
                          <a:ln w="9525">
                            <a:noFill/>
                            <a:miter lim="800000"/>
                            <a:headEnd/>
                            <a:tailEnd/>
                          </a:ln>
                        </pic:spPr>
                      </pic:pic>
                    </a:graphicData>
                  </a:graphic>
                </wp:inline>
              </w:drawing>
            </w:r>
          </w:p>
        </w:tc>
      </w:tr>
    </w:tbl>
    <w:p w:rsidR="00497EC8" w:rsidRDefault="00497EC8" w:rsidP="00200E4A">
      <w:pPr>
        <w:pStyle w:val="10"/>
        <w:ind w:firstLine="480"/>
        <w:rPr>
          <w:rFonts w:cs="Times New Roman"/>
        </w:rPr>
      </w:pPr>
    </w:p>
    <w:p w:rsidR="00497EC8" w:rsidRDefault="00497EC8" w:rsidP="00200E4A">
      <w:pPr>
        <w:pStyle w:val="10"/>
        <w:ind w:firstLine="480"/>
        <w:rPr>
          <w:rFonts w:cs="Times New Roman"/>
        </w:rPr>
      </w:pPr>
    </w:p>
    <w:p w:rsidR="00497EC8" w:rsidRDefault="00497EC8" w:rsidP="00200E4A">
      <w:pPr>
        <w:pStyle w:val="10"/>
        <w:ind w:firstLine="480"/>
        <w:rPr>
          <w:rFonts w:cs="Times New Roman"/>
        </w:rPr>
      </w:pPr>
    </w:p>
    <w:p w:rsidR="00497EC8" w:rsidRDefault="00497EC8" w:rsidP="00200E4A">
      <w:pPr>
        <w:pStyle w:val="10"/>
        <w:ind w:firstLine="480"/>
        <w:rPr>
          <w:rFonts w:cs="Times New Roman"/>
        </w:rPr>
      </w:pPr>
    </w:p>
    <w:p w:rsidR="00497EC8" w:rsidRDefault="00497EC8" w:rsidP="00200E4A">
      <w:pPr>
        <w:pStyle w:val="10"/>
        <w:ind w:firstLine="480"/>
        <w:rPr>
          <w:rFonts w:cs="Times New Roman"/>
        </w:rPr>
      </w:pPr>
    </w:p>
    <w:p w:rsidR="00497EC8" w:rsidRDefault="00497EC8" w:rsidP="00200E4A">
      <w:pPr>
        <w:pStyle w:val="10"/>
        <w:ind w:firstLine="480"/>
        <w:rPr>
          <w:rFonts w:cs="Times New Roman"/>
        </w:rPr>
      </w:pPr>
    </w:p>
    <w:p w:rsidR="00497EC8" w:rsidRDefault="00497EC8" w:rsidP="00200E4A">
      <w:pPr>
        <w:pStyle w:val="10"/>
        <w:ind w:firstLine="480"/>
        <w:rPr>
          <w:rFonts w:cs="Times New Roman"/>
        </w:rPr>
      </w:pPr>
    </w:p>
    <w:p w:rsidR="00200E4A" w:rsidRDefault="00200E4A" w:rsidP="00200E4A">
      <w:pPr>
        <w:pStyle w:val="10"/>
        <w:ind w:firstLine="480"/>
        <w:rPr>
          <w:rFonts w:cs="Times New Roman"/>
        </w:rPr>
      </w:pPr>
      <w:r w:rsidRPr="00D630D1">
        <w:rPr>
          <w:rFonts w:cs="Times New Roman"/>
        </w:rPr>
        <w:lastRenderedPageBreak/>
        <w:t>表</w:t>
      </w:r>
      <w:r w:rsidRPr="00D630D1">
        <w:rPr>
          <w:rFonts w:cs="Times New Roman"/>
          <w:bCs/>
        </w:rPr>
        <w:t>1.9-</w:t>
      </w:r>
      <w:r w:rsidR="00796F6E">
        <w:rPr>
          <w:rFonts w:cs="Times New Roman" w:hint="eastAsia"/>
          <w:bCs/>
        </w:rPr>
        <w:t>2</w:t>
      </w:r>
      <w:r w:rsidRPr="00D630D1">
        <w:rPr>
          <w:rFonts w:cs="Times New Roman"/>
          <w:bCs/>
        </w:rPr>
        <w:t xml:space="preserve">  </w:t>
      </w:r>
      <w:r w:rsidR="002C00AE">
        <w:rPr>
          <w:rFonts w:cs="Times New Roman"/>
        </w:rPr>
        <w:t>普光</w:t>
      </w:r>
      <w:r w:rsidR="002C00AE">
        <w:rPr>
          <w:rFonts w:cs="Times New Roman"/>
        </w:rPr>
        <w:t>12</w:t>
      </w:r>
      <w:r w:rsidR="002C00AE">
        <w:rPr>
          <w:rFonts w:cs="Times New Roman"/>
        </w:rPr>
        <w:t>采气站</w:t>
      </w:r>
      <w:r w:rsidRPr="00D630D1">
        <w:rPr>
          <w:rFonts w:cs="Times New Roman"/>
        </w:rPr>
        <w:t>站场主要环境敏感目标一览表</w:t>
      </w:r>
    </w:p>
    <w:tbl>
      <w:tblPr>
        <w:tblW w:w="5097" w:type="pct"/>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573"/>
        <w:gridCol w:w="1439"/>
        <w:gridCol w:w="2593"/>
        <w:gridCol w:w="1294"/>
        <w:gridCol w:w="1154"/>
        <w:gridCol w:w="1151"/>
        <w:gridCol w:w="1719"/>
        <w:gridCol w:w="3167"/>
        <w:gridCol w:w="717"/>
        <w:gridCol w:w="1376"/>
      </w:tblGrid>
      <w:tr w:rsidR="0055688D" w:rsidRPr="00D630D1" w:rsidTr="00AA2CA8">
        <w:trPr>
          <w:trHeight w:val="34"/>
          <w:jc w:val="center"/>
        </w:trPr>
        <w:tc>
          <w:tcPr>
            <w:tcW w:w="189" w:type="pct"/>
            <w:vMerge w:val="restart"/>
            <w:tcBorders>
              <w:top w:val="single" w:sz="12" w:space="0" w:color="000000"/>
              <w:left w:val="nil"/>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序号</w:t>
            </w:r>
          </w:p>
        </w:tc>
        <w:tc>
          <w:tcPr>
            <w:tcW w:w="474" w:type="pct"/>
            <w:vMerge w:val="restart"/>
            <w:tcBorders>
              <w:top w:val="single" w:sz="1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环境要素</w:t>
            </w:r>
          </w:p>
        </w:tc>
        <w:tc>
          <w:tcPr>
            <w:tcW w:w="854" w:type="pct"/>
            <w:vMerge w:val="restart"/>
            <w:tcBorders>
              <w:top w:val="single" w:sz="1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保护目标</w:t>
            </w:r>
          </w:p>
        </w:tc>
        <w:tc>
          <w:tcPr>
            <w:tcW w:w="806" w:type="pct"/>
            <w:gridSpan w:val="2"/>
            <w:tcBorders>
              <w:top w:val="single" w:sz="1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距离最近点坐标</w:t>
            </w:r>
          </w:p>
        </w:tc>
        <w:tc>
          <w:tcPr>
            <w:tcW w:w="379" w:type="pct"/>
            <w:vMerge w:val="restart"/>
            <w:tcBorders>
              <w:top w:val="single" w:sz="1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保护对象</w:t>
            </w:r>
          </w:p>
        </w:tc>
        <w:tc>
          <w:tcPr>
            <w:tcW w:w="566" w:type="pct"/>
            <w:vMerge w:val="restart"/>
            <w:tcBorders>
              <w:top w:val="single" w:sz="1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保护内容</w:t>
            </w:r>
          </w:p>
        </w:tc>
        <w:tc>
          <w:tcPr>
            <w:tcW w:w="1043" w:type="pct"/>
            <w:vMerge w:val="restart"/>
            <w:tcBorders>
              <w:top w:val="single" w:sz="1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环境功能区</w:t>
            </w:r>
          </w:p>
        </w:tc>
        <w:tc>
          <w:tcPr>
            <w:tcW w:w="689" w:type="pct"/>
            <w:gridSpan w:val="2"/>
            <w:tcBorders>
              <w:top w:val="single" w:sz="12" w:space="0" w:color="000000"/>
              <w:left w:val="single" w:sz="2" w:space="0" w:color="000000"/>
              <w:bottom w:val="single" w:sz="2" w:space="0" w:color="000000"/>
              <w:right w:val="nil"/>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相对</w:t>
            </w:r>
            <w:r w:rsidR="00405131" w:rsidRPr="00D630D1">
              <w:rPr>
                <w:rFonts w:ascii="Times New Roman" w:cs="Times New Roman" w:hint="eastAsia"/>
                <w:b/>
                <w:sz w:val="21"/>
                <w:szCs w:val="21"/>
              </w:rPr>
              <w:t>站场</w:t>
            </w:r>
          </w:p>
        </w:tc>
      </w:tr>
      <w:tr w:rsidR="0055688D" w:rsidRPr="00D630D1" w:rsidTr="00AA2CA8">
        <w:trPr>
          <w:trHeight w:val="25"/>
          <w:jc w:val="center"/>
        </w:trPr>
        <w:tc>
          <w:tcPr>
            <w:tcW w:w="189" w:type="pct"/>
            <w:vMerge/>
            <w:tcBorders>
              <w:top w:val="single" w:sz="2" w:space="0" w:color="000000"/>
              <w:left w:val="nil"/>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p>
        </w:tc>
        <w:tc>
          <w:tcPr>
            <w:tcW w:w="474" w:type="pct"/>
            <w:vMerge/>
            <w:tcBorders>
              <w:top w:val="single" w:sz="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p>
        </w:tc>
        <w:tc>
          <w:tcPr>
            <w:tcW w:w="854" w:type="pct"/>
            <w:vMerge/>
            <w:tcBorders>
              <w:top w:val="single" w:sz="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p>
        </w:tc>
        <w:tc>
          <w:tcPr>
            <w:tcW w:w="426" w:type="pct"/>
            <w:tcBorders>
              <w:top w:val="single" w:sz="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X</w:t>
            </w:r>
          </w:p>
        </w:tc>
        <w:tc>
          <w:tcPr>
            <w:tcW w:w="380" w:type="pct"/>
            <w:tcBorders>
              <w:top w:val="single" w:sz="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Y</w:t>
            </w:r>
          </w:p>
        </w:tc>
        <w:tc>
          <w:tcPr>
            <w:tcW w:w="379" w:type="pct"/>
            <w:vMerge/>
            <w:tcBorders>
              <w:top w:val="single" w:sz="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p>
        </w:tc>
        <w:tc>
          <w:tcPr>
            <w:tcW w:w="566" w:type="pct"/>
            <w:vMerge/>
            <w:tcBorders>
              <w:top w:val="single" w:sz="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p>
        </w:tc>
        <w:tc>
          <w:tcPr>
            <w:tcW w:w="1043" w:type="pct"/>
            <w:vMerge/>
            <w:tcBorders>
              <w:top w:val="single" w:sz="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方位</w:t>
            </w:r>
          </w:p>
        </w:tc>
        <w:tc>
          <w:tcPr>
            <w:tcW w:w="453" w:type="pct"/>
            <w:tcBorders>
              <w:top w:val="single" w:sz="2" w:space="0" w:color="000000"/>
              <w:left w:val="single" w:sz="2" w:space="0" w:color="000000"/>
              <w:bottom w:val="single" w:sz="2" w:space="0" w:color="000000"/>
              <w:right w:val="nil"/>
            </w:tcBorders>
            <w:vAlign w:val="center"/>
          </w:tcPr>
          <w:p w:rsidR="00200E4A" w:rsidRPr="00D630D1" w:rsidRDefault="00200E4A" w:rsidP="00AA2CA8">
            <w:pPr>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距离（</w:t>
            </w:r>
            <w:r w:rsidRPr="00D630D1">
              <w:rPr>
                <w:rFonts w:ascii="Times New Roman" w:cs="Times New Roman"/>
                <w:b/>
                <w:sz w:val="21"/>
                <w:szCs w:val="21"/>
              </w:rPr>
              <w:t>m</w:t>
            </w:r>
            <w:r w:rsidRPr="00D630D1">
              <w:rPr>
                <w:rFonts w:ascii="Times New Roman" w:cs="Times New Roman"/>
                <w:b/>
                <w:sz w:val="21"/>
                <w:szCs w:val="21"/>
              </w:rPr>
              <w:t>）</w:t>
            </w:r>
          </w:p>
        </w:tc>
      </w:tr>
      <w:tr w:rsidR="0071021F"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71021F" w:rsidRPr="00D630D1" w:rsidRDefault="0071021F" w:rsidP="00455EB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1</w:t>
            </w:r>
          </w:p>
        </w:tc>
        <w:tc>
          <w:tcPr>
            <w:tcW w:w="474" w:type="pct"/>
            <w:vMerge w:val="restart"/>
            <w:tcBorders>
              <w:top w:val="single" w:sz="2" w:space="0" w:color="000000"/>
              <w:left w:val="single" w:sz="2" w:space="0" w:color="000000"/>
              <w:right w:val="single" w:sz="2" w:space="0" w:color="000000"/>
            </w:tcBorders>
            <w:vAlign w:val="center"/>
          </w:tcPr>
          <w:p w:rsidR="0071021F" w:rsidRPr="00D630D1" w:rsidRDefault="0071021F" w:rsidP="00C9221A">
            <w:pPr>
              <w:spacing w:line="240" w:lineRule="auto"/>
              <w:ind w:firstLineChars="0" w:firstLine="0"/>
              <w:jc w:val="center"/>
              <w:rPr>
                <w:rFonts w:ascii="Times New Roman" w:cs="Times New Roman"/>
                <w:b/>
                <w:sz w:val="21"/>
                <w:szCs w:val="21"/>
              </w:rPr>
            </w:pPr>
            <w:r w:rsidRPr="00D630D1">
              <w:rPr>
                <w:rFonts w:ascii="Times New Roman" w:cs="Times New Roman"/>
                <w:sz w:val="21"/>
                <w:szCs w:val="21"/>
              </w:rPr>
              <w:t>环境空气</w:t>
            </w:r>
            <w:r w:rsidRPr="00D630D1">
              <w:rPr>
                <w:rFonts w:ascii="Times New Roman" w:cs="Times New Roman" w:hint="eastAsia"/>
                <w:sz w:val="21"/>
                <w:szCs w:val="21"/>
              </w:rPr>
              <w:t>、</w:t>
            </w:r>
            <w:r w:rsidRPr="00D630D1">
              <w:rPr>
                <w:rFonts w:ascii="Times New Roman" w:cs="Times New Roman"/>
                <w:sz w:val="21"/>
                <w:szCs w:val="21"/>
              </w:rPr>
              <w:t>环境风险</w:t>
            </w:r>
          </w:p>
        </w:tc>
        <w:tc>
          <w:tcPr>
            <w:tcW w:w="854" w:type="pct"/>
            <w:tcBorders>
              <w:top w:val="single" w:sz="2" w:space="0" w:color="000000"/>
              <w:left w:val="single" w:sz="2" w:space="0" w:color="000000"/>
              <w:bottom w:val="single" w:sz="2" w:space="0" w:color="000000"/>
              <w:right w:val="single" w:sz="2" w:space="0" w:color="000000"/>
            </w:tcBorders>
            <w:vAlign w:val="center"/>
          </w:tcPr>
          <w:p w:rsidR="0071021F" w:rsidRPr="00733954" w:rsidRDefault="0071021F" w:rsidP="0071021F">
            <w:pPr>
              <w:spacing w:line="240" w:lineRule="auto"/>
              <w:ind w:firstLineChars="0" w:firstLine="0"/>
              <w:jc w:val="center"/>
              <w:rPr>
                <w:rFonts w:ascii="Times New Roman" w:cs="Times New Roman"/>
                <w:sz w:val="21"/>
                <w:szCs w:val="21"/>
              </w:rPr>
            </w:pPr>
            <w:r>
              <w:rPr>
                <w:rFonts w:ascii="Times New Roman" w:cs="Times New Roman" w:hint="eastAsia"/>
                <w:sz w:val="21"/>
                <w:szCs w:val="21"/>
              </w:rPr>
              <w:t>胡子寺</w:t>
            </w:r>
            <w:r w:rsidRPr="00733954">
              <w:rPr>
                <w:rFonts w:ascii="Times New Roman" w:cs="Times New Roman"/>
                <w:sz w:val="21"/>
                <w:szCs w:val="21"/>
              </w:rPr>
              <w:t>农户</w:t>
            </w:r>
            <w:r w:rsidRPr="00733954">
              <w:rPr>
                <w:rFonts w:ascii="Times New Roman" w:cs="Times New Roman" w:hint="eastAsia"/>
                <w:sz w:val="21"/>
                <w:szCs w:val="21"/>
              </w:rPr>
              <w:t>1#</w:t>
            </w:r>
          </w:p>
        </w:tc>
        <w:tc>
          <w:tcPr>
            <w:tcW w:w="426" w:type="pct"/>
            <w:tcBorders>
              <w:top w:val="single" w:sz="2" w:space="0" w:color="000000"/>
              <w:left w:val="single" w:sz="2" w:space="0" w:color="000000"/>
              <w:bottom w:val="single" w:sz="2" w:space="0" w:color="000000"/>
              <w:right w:val="single" w:sz="2" w:space="0" w:color="000000"/>
            </w:tcBorders>
            <w:vAlign w:val="center"/>
          </w:tcPr>
          <w:p w:rsidR="0071021F" w:rsidRPr="00733954" w:rsidRDefault="0071021F" w:rsidP="0071021F">
            <w:pPr>
              <w:spacing w:line="240" w:lineRule="auto"/>
              <w:ind w:firstLineChars="0" w:firstLine="0"/>
              <w:jc w:val="center"/>
              <w:rPr>
                <w:rFonts w:ascii="Times New Roman" w:cs="Times New Roman"/>
                <w:sz w:val="21"/>
                <w:szCs w:val="21"/>
              </w:rPr>
            </w:pPr>
            <w:r>
              <w:rPr>
                <w:rFonts w:ascii="Times New Roman" w:cs="Times New Roman"/>
                <w:sz w:val="21"/>
                <w:szCs w:val="21"/>
              </w:rPr>
              <w:t>107.48364</w:t>
            </w:r>
            <w:r>
              <w:rPr>
                <w:rFonts w:ascii="Times New Roman" w:cs="Times New Roman" w:hint="eastAsia"/>
                <w:sz w:val="21"/>
                <w:szCs w:val="21"/>
              </w:rPr>
              <w:t>3</w:t>
            </w:r>
          </w:p>
        </w:tc>
        <w:tc>
          <w:tcPr>
            <w:tcW w:w="380" w:type="pct"/>
            <w:tcBorders>
              <w:top w:val="single" w:sz="2" w:space="0" w:color="000000"/>
              <w:left w:val="single" w:sz="2" w:space="0" w:color="000000"/>
              <w:bottom w:val="single" w:sz="2" w:space="0" w:color="000000"/>
              <w:right w:val="single" w:sz="2" w:space="0" w:color="000000"/>
            </w:tcBorders>
            <w:vAlign w:val="center"/>
          </w:tcPr>
          <w:p w:rsidR="0071021F" w:rsidRPr="00733954" w:rsidRDefault="0071021F" w:rsidP="0071021F">
            <w:pPr>
              <w:spacing w:line="240" w:lineRule="auto"/>
              <w:ind w:firstLineChars="0" w:firstLine="0"/>
              <w:jc w:val="center"/>
              <w:rPr>
                <w:rFonts w:ascii="Times New Roman" w:cs="Times New Roman"/>
                <w:sz w:val="21"/>
                <w:szCs w:val="21"/>
              </w:rPr>
            </w:pPr>
            <w:r w:rsidRPr="004767EB">
              <w:rPr>
                <w:rFonts w:ascii="Times New Roman" w:cs="Times New Roman"/>
                <w:sz w:val="21"/>
                <w:szCs w:val="21"/>
              </w:rPr>
              <w:t>31.32200</w:t>
            </w:r>
            <w:r>
              <w:rPr>
                <w:rFonts w:ascii="Times New Roman" w:cs="Times New Roman" w:hint="eastAsia"/>
                <w:sz w:val="21"/>
                <w:szCs w:val="21"/>
              </w:rPr>
              <w:t>1</w:t>
            </w:r>
          </w:p>
        </w:tc>
        <w:tc>
          <w:tcPr>
            <w:tcW w:w="379"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455EB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71021F" w:rsidRPr="00733954" w:rsidRDefault="0071021F" w:rsidP="0071021F">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Pr>
                <w:rFonts w:ascii="Times New Roman" w:cs="Times New Roman" w:hint="eastAsia"/>
                <w:sz w:val="21"/>
                <w:szCs w:val="21"/>
              </w:rPr>
              <w:t>1</w:t>
            </w:r>
            <w:r w:rsidRPr="00733954">
              <w:rPr>
                <w:rFonts w:ascii="Times New Roman" w:cs="Times New Roman" w:hint="eastAsia"/>
                <w:sz w:val="21"/>
                <w:szCs w:val="21"/>
              </w:rPr>
              <w:t>0</w:t>
            </w:r>
            <w:r w:rsidRPr="00733954">
              <w:rPr>
                <w:rFonts w:ascii="Times New Roman" w:cs="Times New Roman"/>
                <w:sz w:val="21"/>
                <w:szCs w:val="21"/>
              </w:rPr>
              <w:t>户</w:t>
            </w:r>
            <w:r>
              <w:rPr>
                <w:rFonts w:ascii="Times New Roman" w:cs="Times New Roman" w:hint="eastAsia"/>
                <w:sz w:val="21"/>
                <w:szCs w:val="21"/>
              </w:rPr>
              <w:t>45</w:t>
            </w:r>
            <w:r w:rsidRPr="00733954">
              <w:rPr>
                <w:rFonts w:ascii="Times New Roman" w:cs="Times New Roman"/>
                <w:sz w:val="21"/>
                <w:szCs w:val="21"/>
              </w:rPr>
              <w:t>人</w:t>
            </w:r>
          </w:p>
        </w:tc>
        <w:tc>
          <w:tcPr>
            <w:tcW w:w="1043" w:type="pct"/>
            <w:vMerge w:val="restart"/>
            <w:tcBorders>
              <w:top w:val="single" w:sz="2" w:space="0" w:color="000000"/>
              <w:left w:val="single" w:sz="2" w:space="0" w:color="000000"/>
              <w:right w:val="single" w:sz="2" w:space="0" w:color="000000"/>
            </w:tcBorders>
            <w:vAlign w:val="center"/>
          </w:tcPr>
          <w:p w:rsidR="0071021F" w:rsidRPr="00D630D1" w:rsidRDefault="0071021F" w:rsidP="0042573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《环境空气质量标准》（</w:t>
            </w:r>
            <w:r w:rsidRPr="00D630D1">
              <w:rPr>
                <w:rFonts w:ascii="Times New Roman" w:cs="Times New Roman"/>
                <w:sz w:val="21"/>
                <w:szCs w:val="21"/>
              </w:rPr>
              <w:t>GB3095-2012</w:t>
            </w:r>
            <w:r w:rsidRPr="00D630D1">
              <w:rPr>
                <w:rFonts w:ascii="Times New Roman" w:cs="Times New Roman"/>
                <w:sz w:val="21"/>
                <w:szCs w:val="21"/>
              </w:rPr>
              <w:t>）二级标准</w:t>
            </w:r>
          </w:p>
        </w:tc>
        <w:tc>
          <w:tcPr>
            <w:tcW w:w="23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AA2CA8">
            <w:pPr>
              <w:spacing w:line="240" w:lineRule="auto"/>
              <w:ind w:firstLineChars="0" w:firstLine="0"/>
              <w:jc w:val="center"/>
              <w:rPr>
                <w:rFonts w:ascii="Times New Roman" w:cs="Times New Roman"/>
                <w:sz w:val="21"/>
                <w:szCs w:val="21"/>
              </w:rPr>
            </w:pPr>
            <w:r>
              <w:rPr>
                <w:rFonts w:ascii="Times New Roman" w:cs="Times New Roman" w:hint="eastAsia"/>
                <w:sz w:val="21"/>
                <w:szCs w:val="21"/>
              </w:rPr>
              <w:t>NW</w:t>
            </w:r>
          </w:p>
        </w:tc>
        <w:tc>
          <w:tcPr>
            <w:tcW w:w="453" w:type="pct"/>
            <w:tcBorders>
              <w:top w:val="single" w:sz="2" w:space="0" w:color="000000"/>
              <w:left w:val="single" w:sz="2" w:space="0" w:color="000000"/>
              <w:bottom w:val="single" w:sz="2" w:space="0" w:color="000000"/>
              <w:right w:val="nil"/>
            </w:tcBorders>
            <w:vAlign w:val="center"/>
          </w:tcPr>
          <w:p w:rsidR="0071021F" w:rsidRPr="00D630D1" w:rsidRDefault="0071021F" w:rsidP="00AA2CA8">
            <w:pPr>
              <w:spacing w:line="240" w:lineRule="auto"/>
              <w:ind w:firstLineChars="0" w:firstLine="0"/>
              <w:jc w:val="center"/>
              <w:rPr>
                <w:rFonts w:ascii="Times New Roman" w:cs="Times New Roman"/>
                <w:sz w:val="21"/>
                <w:szCs w:val="21"/>
              </w:rPr>
            </w:pPr>
            <w:r>
              <w:rPr>
                <w:rFonts w:ascii="Times New Roman" w:cs="Times New Roman" w:hint="eastAsia"/>
                <w:sz w:val="21"/>
                <w:szCs w:val="21"/>
              </w:rPr>
              <w:t>590</w:t>
            </w:r>
          </w:p>
        </w:tc>
      </w:tr>
      <w:tr w:rsidR="0071021F"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2</w:t>
            </w:r>
          </w:p>
        </w:tc>
        <w:tc>
          <w:tcPr>
            <w:tcW w:w="474" w:type="pct"/>
            <w:vMerge/>
            <w:tcBorders>
              <w:top w:val="single" w:sz="2" w:space="0" w:color="000000"/>
              <w:left w:val="single" w:sz="2" w:space="0" w:color="000000"/>
              <w:right w:val="single" w:sz="2" w:space="0" w:color="000000"/>
            </w:tcBorders>
            <w:vAlign w:val="center"/>
          </w:tcPr>
          <w:p w:rsidR="0071021F" w:rsidRPr="00D630D1" w:rsidRDefault="0071021F"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71021F" w:rsidRDefault="0071021F" w:rsidP="0071021F">
            <w:pPr>
              <w:spacing w:line="240" w:lineRule="auto"/>
              <w:ind w:firstLineChars="0" w:firstLine="0"/>
              <w:jc w:val="center"/>
              <w:rPr>
                <w:rFonts w:ascii="Times New Roman" w:cs="Times New Roman"/>
                <w:sz w:val="21"/>
                <w:szCs w:val="21"/>
              </w:rPr>
            </w:pPr>
            <w:r w:rsidRPr="00733954">
              <w:rPr>
                <w:rFonts w:ascii="Times New Roman" w:cs="Times New Roman" w:hint="eastAsia"/>
                <w:sz w:val="21"/>
                <w:szCs w:val="21"/>
              </w:rPr>
              <w:t>塔</w:t>
            </w:r>
            <w:r w:rsidRPr="00733954">
              <w:rPr>
                <w:rFonts w:ascii="Times New Roman" w:cs="Times New Roman"/>
                <w:sz w:val="21"/>
                <w:szCs w:val="21"/>
              </w:rPr>
              <w:t>垭村农户</w:t>
            </w:r>
            <w:r>
              <w:rPr>
                <w:rFonts w:ascii="Times New Roman" w:cs="Times New Roman" w:hint="eastAsia"/>
                <w:sz w:val="21"/>
                <w:szCs w:val="21"/>
              </w:rPr>
              <w:t>2</w:t>
            </w:r>
            <w:r w:rsidRPr="00733954">
              <w:rPr>
                <w:rFonts w:ascii="Times New Roman" w:cs="Times New Roman" w:hint="eastAsia"/>
                <w:sz w:val="21"/>
                <w:szCs w:val="21"/>
              </w:rPr>
              <w:t>#</w:t>
            </w:r>
          </w:p>
        </w:tc>
        <w:tc>
          <w:tcPr>
            <w:tcW w:w="426" w:type="pct"/>
            <w:tcBorders>
              <w:top w:val="single" w:sz="2" w:space="0" w:color="000000"/>
              <w:left w:val="single" w:sz="2" w:space="0" w:color="000000"/>
              <w:bottom w:val="single" w:sz="2" w:space="0" w:color="000000"/>
              <w:right w:val="single" w:sz="2" w:space="0" w:color="000000"/>
            </w:tcBorders>
            <w:vAlign w:val="center"/>
          </w:tcPr>
          <w:p w:rsidR="0071021F" w:rsidRDefault="0071021F" w:rsidP="0071021F">
            <w:pPr>
              <w:spacing w:line="240" w:lineRule="auto"/>
              <w:ind w:firstLineChars="0" w:firstLine="0"/>
              <w:jc w:val="center"/>
              <w:rPr>
                <w:rFonts w:ascii="Times New Roman" w:cs="Times New Roman"/>
                <w:sz w:val="21"/>
                <w:szCs w:val="21"/>
              </w:rPr>
            </w:pPr>
            <w:r w:rsidRPr="0099352E">
              <w:rPr>
                <w:rFonts w:ascii="Times New Roman" w:cs="Times New Roman"/>
                <w:sz w:val="21"/>
                <w:szCs w:val="21"/>
              </w:rPr>
              <w:t>107.484894</w:t>
            </w:r>
          </w:p>
        </w:tc>
        <w:tc>
          <w:tcPr>
            <w:tcW w:w="380" w:type="pct"/>
            <w:tcBorders>
              <w:top w:val="single" w:sz="2" w:space="0" w:color="000000"/>
              <w:left w:val="single" w:sz="2" w:space="0" w:color="000000"/>
              <w:bottom w:val="single" w:sz="2" w:space="0" w:color="000000"/>
              <w:right w:val="single" w:sz="2" w:space="0" w:color="000000"/>
            </w:tcBorders>
            <w:vAlign w:val="center"/>
          </w:tcPr>
          <w:p w:rsidR="0071021F" w:rsidRPr="004767EB" w:rsidRDefault="0071021F" w:rsidP="0071021F">
            <w:pPr>
              <w:spacing w:line="240" w:lineRule="auto"/>
              <w:ind w:firstLineChars="0" w:firstLine="0"/>
              <w:jc w:val="center"/>
              <w:rPr>
                <w:rFonts w:ascii="Times New Roman" w:cs="Times New Roman"/>
                <w:sz w:val="21"/>
                <w:szCs w:val="21"/>
              </w:rPr>
            </w:pPr>
            <w:r w:rsidRPr="0099352E">
              <w:rPr>
                <w:rFonts w:ascii="Times New Roman" w:cs="Times New Roman"/>
                <w:sz w:val="21"/>
                <w:szCs w:val="21"/>
              </w:rPr>
              <w:t>31.322495</w:t>
            </w:r>
          </w:p>
        </w:tc>
        <w:tc>
          <w:tcPr>
            <w:tcW w:w="379"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71021F" w:rsidRPr="00733954" w:rsidRDefault="0071021F" w:rsidP="0071021F">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Pr>
                <w:rFonts w:ascii="Times New Roman" w:cs="Times New Roman" w:hint="eastAsia"/>
                <w:sz w:val="21"/>
                <w:szCs w:val="21"/>
              </w:rPr>
              <w:t>31</w:t>
            </w:r>
            <w:r w:rsidRPr="00733954">
              <w:rPr>
                <w:rFonts w:ascii="Times New Roman" w:cs="Times New Roman"/>
                <w:sz w:val="21"/>
                <w:szCs w:val="21"/>
              </w:rPr>
              <w:t>户</w:t>
            </w:r>
            <w:r>
              <w:rPr>
                <w:rFonts w:ascii="Times New Roman" w:cs="Times New Roman" w:hint="eastAsia"/>
                <w:sz w:val="21"/>
                <w:szCs w:val="21"/>
              </w:rPr>
              <w:t>130</w:t>
            </w:r>
            <w:r w:rsidRPr="00733954">
              <w:rPr>
                <w:rFonts w:ascii="Times New Roman" w:cs="Times New Roman"/>
                <w:sz w:val="21"/>
                <w:szCs w:val="21"/>
              </w:rPr>
              <w:t>人</w:t>
            </w:r>
          </w:p>
        </w:tc>
        <w:tc>
          <w:tcPr>
            <w:tcW w:w="1043" w:type="pct"/>
            <w:vMerge/>
            <w:tcBorders>
              <w:top w:val="single" w:sz="2" w:space="0" w:color="000000"/>
              <w:left w:val="single" w:sz="2" w:space="0" w:color="000000"/>
              <w:right w:val="single" w:sz="2" w:space="0" w:color="000000"/>
            </w:tcBorders>
            <w:vAlign w:val="center"/>
          </w:tcPr>
          <w:p w:rsidR="0071021F" w:rsidRPr="00D630D1" w:rsidRDefault="0071021F"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N</w:t>
            </w:r>
          </w:p>
        </w:tc>
        <w:tc>
          <w:tcPr>
            <w:tcW w:w="453" w:type="pct"/>
            <w:tcBorders>
              <w:top w:val="single" w:sz="2" w:space="0" w:color="000000"/>
              <w:left w:val="single" w:sz="2" w:space="0" w:color="000000"/>
              <w:bottom w:val="single" w:sz="2" w:space="0" w:color="000000"/>
              <w:right w:val="nil"/>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58</w:t>
            </w:r>
            <w:r w:rsidRPr="00D630D1">
              <w:rPr>
                <w:rFonts w:ascii="Times New Roman" w:cs="Times New Roman" w:hint="eastAsia"/>
                <w:sz w:val="21"/>
                <w:szCs w:val="21"/>
              </w:rPr>
              <w:t>0</w:t>
            </w:r>
          </w:p>
        </w:tc>
      </w:tr>
      <w:tr w:rsidR="0071021F"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3</w:t>
            </w:r>
          </w:p>
        </w:tc>
        <w:tc>
          <w:tcPr>
            <w:tcW w:w="474" w:type="pct"/>
            <w:vMerge/>
            <w:tcBorders>
              <w:top w:val="single" w:sz="2" w:space="0" w:color="000000"/>
              <w:left w:val="single" w:sz="2" w:space="0" w:color="000000"/>
              <w:right w:val="single" w:sz="2" w:space="0" w:color="000000"/>
            </w:tcBorders>
            <w:vAlign w:val="center"/>
          </w:tcPr>
          <w:p w:rsidR="0071021F" w:rsidRPr="00D630D1" w:rsidRDefault="0071021F"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71021F" w:rsidRPr="00733954" w:rsidRDefault="0071021F" w:rsidP="0071021F">
            <w:pPr>
              <w:spacing w:line="240" w:lineRule="auto"/>
              <w:ind w:firstLineChars="0" w:firstLine="0"/>
              <w:jc w:val="center"/>
              <w:rPr>
                <w:rFonts w:ascii="Times New Roman" w:cs="Times New Roman"/>
                <w:sz w:val="21"/>
                <w:szCs w:val="21"/>
              </w:rPr>
            </w:pPr>
            <w:r>
              <w:rPr>
                <w:rFonts w:ascii="Times New Roman" w:cs="Times New Roman" w:hint="eastAsia"/>
                <w:sz w:val="21"/>
                <w:szCs w:val="21"/>
              </w:rPr>
              <w:t>窑湾农户</w:t>
            </w:r>
            <w:r>
              <w:rPr>
                <w:rFonts w:ascii="Times New Roman" w:cs="Times New Roman" w:hint="eastAsia"/>
                <w:sz w:val="21"/>
                <w:szCs w:val="21"/>
              </w:rPr>
              <w:t>3#</w:t>
            </w:r>
          </w:p>
        </w:tc>
        <w:tc>
          <w:tcPr>
            <w:tcW w:w="426" w:type="pct"/>
            <w:tcBorders>
              <w:top w:val="single" w:sz="2" w:space="0" w:color="000000"/>
              <w:left w:val="single" w:sz="2" w:space="0" w:color="000000"/>
              <w:bottom w:val="single" w:sz="2" w:space="0" w:color="000000"/>
              <w:right w:val="single" w:sz="2" w:space="0" w:color="000000"/>
            </w:tcBorders>
            <w:vAlign w:val="center"/>
          </w:tcPr>
          <w:p w:rsidR="0071021F" w:rsidRPr="0099352E" w:rsidRDefault="0071021F" w:rsidP="0071021F">
            <w:pPr>
              <w:spacing w:line="240" w:lineRule="auto"/>
              <w:ind w:firstLineChars="0" w:firstLine="0"/>
              <w:jc w:val="center"/>
              <w:rPr>
                <w:rFonts w:ascii="Times New Roman" w:cs="Times New Roman"/>
                <w:sz w:val="21"/>
                <w:szCs w:val="21"/>
              </w:rPr>
            </w:pPr>
            <w:r w:rsidRPr="0099352E">
              <w:rPr>
                <w:rFonts w:ascii="Times New Roman" w:cs="Times New Roman"/>
                <w:sz w:val="21"/>
                <w:szCs w:val="21"/>
              </w:rPr>
              <w:t>107.48381</w:t>
            </w:r>
            <w:r>
              <w:rPr>
                <w:rFonts w:ascii="Times New Roman" w:cs="Times New Roman" w:hint="eastAsia"/>
                <w:sz w:val="21"/>
                <w:szCs w:val="21"/>
              </w:rPr>
              <w:t>7</w:t>
            </w:r>
          </w:p>
        </w:tc>
        <w:tc>
          <w:tcPr>
            <w:tcW w:w="380" w:type="pct"/>
            <w:tcBorders>
              <w:top w:val="single" w:sz="2" w:space="0" w:color="000000"/>
              <w:left w:val="single" w:sz="2" w:space="0" w:color="000000"/>
              <w:bottom w:val="single" w:sz="2" w:space="0" w:color="000000"/>
              <w:right w:val="single" w:sz="2" w:space="0" w:color="000000"/>
            </w:tcBorders>
            <w:vAlign w:val="center"/>
          </w:tcPr>
          <w:p w:rsidR="0071021F" w:rsidRPr="0099352E" w:rsidRDefault="0071021F" w:rsidP="0071021F">
            <w:pPr>
              <w:spacing w:line="240" w:lineRule="auto"/>
              <w:ind w:firstLineChars="0" w:firstLine="0"/>
              <w:jc w:val="center"/>
              <w:rPr>
                <w:rFonts w:ascii="Times New Roman" w:cs="Times New Roman"/>
                <w:sz w:val="21"/>
                <w:szCs w:val="21"/>
              </w:rPr>
            </w:pPr>
            <w:r w:rsidRPr="0099352E">
              <w:rPr>
                <w:rFonts w:ascii="Times New Roman" w:cs="Times New Roman"/>
                <w:sz w:val="21"/>
                <w:szCs w:val="21"/>
              </w:rPr>
              <w:t>31.323229</w:t>
            </w:r>
          </w:p>
        </w:tc>
        <w:tc>
          <w:tcPr>
            <w:tcW w:w="379"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71021F" w:rsidRPr="00733954" w:rsidRDefault="0071021F" w:rsidP="0071021F">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Pr>
                <w:rFonts w:ascii="Times New Roman" w:cs="Times New Roman" w:hint="eastAsia"/>
                <w:sz w:val="21"/>
                <w:szCs w:val="21"/>
              </w:rPr>
              <w:t>9</w:t>
            </w:r>
            <w:r w:rsidRPr="00733954">
              <w:rPr>
                <w:rFonts w:ascii="Times New Roman" w:cs="Times New Roman"/>
                <w:sz w:val="21"/>
                <w:szCs w:val="21"/>
              </w:rPr>
              <w:t>户</w:t>
            </w:r>
            <w:r>
              <w:rPr>
                <w:rFonts w:ascii="Times New Roman" w:cs="Times New Roman" w:hint="eastAsia"/>
                <w:sz w:val="21"/>
                <w:szCs w:val="21"/>
              </w:rPr>
              <w:t>35</w:t>
            </w:r>
            <w:r w:rsidRPr="00733954">
              <w:rPr>
                <w:rFonts w:ascii="Times New Roman" w:cs="Times New Roman"/>
                <w:sz w:val="21"/>
                <w:szCs w:val="21"/>
              </w:rPr>
              <w:t>人</w:t>
            </w:r>
          </w:p>
        </w:tc>
        <w:tc>
          <w:tcPr>
            <w:tcW w:w="1043" w:type="pct"/>
            <w:vMerge/>
            <w:tcBorders>
              <w:top w:val="single" w:sz="2" w:space="0" w:color="000000"/>
              <w:left w:val="single" w:sz="2" w:space="0" w:color="000000"/>
              <w:right w:val="single" w:sz="2" w:space="0" w:color="000000"/>
            </w:tcBorders>
            <w:vAlign w:val="center"/>
          </w:tcPr>
          <w:p w:rsidR="0071021F" w:rsidRPr="00D630D1" w:rsidRDefault="0071021F"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NW</w:t>
            </w:r>
          </w:p>
        </w:tc>
        <w:tc>
          <w:tcPr>
            <w:tcW w:w="453" w:type="pct"/>
            <w:tcBorders>
              <w:top w:val="single" w:sz="2" w:space="0" w:color="000000"/>
              <w:left w:val="single" w:sz="2" w:space="0" w:color="000000"/>
              <w:bottom w:val="single" w:sz="2" w:space="0" w:color="000000"/>
              <w:right w:val="nil"/>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91</w:t>
            </w:r>
            <w:r w:rsidRPr="00D630D1">
              <w:rPr>
                <w:rFonts w:ascii="Times New Roman" w:cs="Times New Roman" w:hint="eastAsia"/>
                <w:sz w:val="21"/>
                <w:szCs w:val="21"/>
              </w:rPr>
              <w:t>0</w:t>
            </w:r>
          </w:p>
        </w:tc>
      </w:tr>
      <w:tr w:rsidR="0071021F"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4</w:t>
            </w:r>
          </w:p>
        </w:tc>
        <w:tc>
          <w:tcPr>
            <w:tcW w:w="474" w:type="pct"/>
            <w:vMerge/>
            <w:tcBorders>
              <w:top w:val="single" w:sz="2" w:space="0" w:color="000000"/>
              <w:left w:val="single" w:sz="2" w:space="0" w:color="000000"/>
              <w:right w:val="single" w:sz="2" w:space="0" w:color="000000"/>
            </w:tcBorders>
            <w:vAlign w:val="center"/>
          </w:tcPr>
          <w:p w:rsidR="0071021F" w:rsidRPr="00D630D1" w:rsidRDefault="0071021F"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71021F" w:rsidRPr="00733954" w:rsidRDefault="0071021F" w:rsidP="0071021F">
            <w:pPr>
              <w:spacing w:line="240" w:lineRule="auto"/>
              <w:ind w:firstLineChars="0" w:firstLine="0"/>
              <w:jc w:val="center"/>
              <w:rPr>
                <w:rFonts w:ascii="Times New Roman" w:cs="Times New Roman"/>
                <w:sz w:val="21"/>
                <w:szCs w:val="21"/>
              </w:rPr>
            </w:pPr>
            <w:r w:rsidRPr="00796F6E">
              <w:rPr>
                <w:rFonts w:ascii="Times New Roman" w:cs="Times New Roman" w:hint="eastAsia"/>
                <w:sz w:val="21"/>
                <w:szCs w:val="21"/>
              </w:rPr>
              <w:t>红庙子农户</w:t>
            </w:r>
            <w:r>
              <w:rPr>
                <w:rFonts w:ascii="Times New Roman" w:cs="Times New Roman" w:hint="eastAsia"/>
                <w:sz w:val="21"/>
                <w:szCs w:val="21"/>
              </w:rPr>
              <w:t>4#</w:t>
            </w:r>
          </w:p>
        </w:tc>
        <w:tc>
          <w:tcPr>
            <w:tcW w:w="426" w:type="pct"/>
            <w:tcBorders>
              <w:top w:val="single" w:sz="2" w:space="0" w:color="000000"/>
              <w:left w:val="single" w:sz="2" w:space="0" w:color="000000"/>
              <w:bottom w:val="single" w:sz="2" w:space="0" w:color="000000"/>
              <w:right w:val="single" w:sz="2" w:space="0" w:color="000000"/>
            </w:tcBorders>
            <w:vAlign w:val="center"/>
          </w:tcPr>
          <w:p w:rsidR="0071021F" w:rsidRPr="0099352E" w:rsidRDefault="0071021F" w:rsidP="0071021F">
            <w:pPr>
              <w:spacing w:line="240" w:lineRule="auto"/>
              <w:ind w:firstLineChars="0" w:firstLine="0"/>
              <w:jc w:val="center"/>
              <w:rPr>
                <w:rFonts w:ascii="Times New Roman" w:cs="Times New Roman"/>
                <w:sz w:val="21"/>
                <w:szCs w:val="21"/>
              </w:rPr>
            </w:pPr>
            <w:r w:rsidRPr="00796F6E">
              <w:rPr>
                <w:rFonts w:ascii="Times New Roman" w:cs="Times New Roman"/>
                <w:sz w:val="21"/>
                <w:szCs w:val="21"/>
              </w:rPr>
              <w:t>107.490622</w:t>
            </w:r>
          </w:p>
        </w:tc>
        <w:tc>
          <w:tcPr>
            <w:tcW w:w="380" w:type="pct"/>
            <w:tcBorders>
              <w:top w:val="single" w:sz="2" w:space="0" w:color="000000"/>
              <w:left w:val="single" w:sz="2" w:space="0" w:color="000000"/>
              <w:bottom w:val="single" w:sz="2" w:space="0" w:color="000000"/>
              <w:right w:val="single" w:sz="2" w:space="0" w:color="000000"/>
            </w:tcBorders>
            <w:vAlign w:val="center"/>
          </w:tcPr>
          <w:p w:rsidR="0071021F" w:rsidRPr="0099352E" w:rsidRDefault="0071021F" w:rsidP="0071021F">
            <w:pPr>
              <w:spacing w:line="240" w:lineRule="auto"/>
              <w:ind w:firstLineChars="0" w:firstLine="0"/>
              <w:jc w:val="center"/>
              <w:rPr>
                <w:rFonts w:ascii="Times New Roman" w:cs="Times New Roman"/>
                <w:sz w:val="21"/>
                <w:szCs w:val="21"/>
              </w:rPr>
            </w:pPr>
            <w:r w:rsidRPr="00796F6E">
              <w:rPr>
                <w:rFonts w:ascii="Times New Roman" w:cs="Times New Roman"/>
                <w:sz w:val="21"/>
                <w:szCs w:val="21"/>
              </w:rPr>
              <w:t>31.324127</w:t>
            </w:r>
          </w:p>
        </w:tc>
        <w:tc>
          <w:tcPr>
            <w:tcW w:w="379"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71021F" w:rsidRPr="00733954" w:rsidRDefault="0071021F" w:rsidP="0071021F">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Pr>
                <w:rFonts w:ascii="Times New Roman" w:cs="Times New Roman" w:hint="eastAsia"/>
                <w:sz w:val="21"/>
                <w:szCs w:val="21"/>
              </w:rPr>
              <w:t>12</w:t>
            </w:r>
            <w:r w:rsidRPr="00733954">
              <w:rPr>
                <w:rFonts w:ascii="Times New Roman" w:cs="Times New Roman"/>
                <w:sz w:val="21"/>
                <w:szCs w:val="21"/>
              </w:rPr>
              <w:t>户</w:t>
            </w:r>
            <w:r>
              <w:rPr>
                <w:rFonts w:ascii="Times New Roman" w:cs="Times New Roman" w:hint="eastAsia"/>
                <w:sz w:val="21"/>
                <w:szCs w:val="21"/>
              </w:rPr>
              <w:t>50</w:t>
            </w:r>
            <w:r w:rsidRPr="00733954">
              <w:rPr>
                <w:rFonts w:ascii="Times New Roman" w:cs="Times New Roman"/>
                <w:sz w:val="21"/>
                <w:szCs w:val="21"/>
              </w:rPr>
              <w:t>人</w:t>
            </w:r>
          </w:p>
        </w:tc>
        <w:tc>
          <w:tcPr>
            <w:tcW w:w="1043" w:type="pct"/>
            <w:vMerge/>
            <w:tcBorders>
              <w:top w:val="single" w:sz="2" w:space="0" w:color="000000"/>
              <w:left w:val="single" w:sz="2" w:space="0" w:color="000000"/>
              <w:right w:val="single" w:sz="2" w:space="0" w:color="000000"/>
            </w:tcBorders>
            <w:vAlign w:val="center"/>
          </w:tcPr>
          <w:p w:rsidR="0071021F" w:rsidRPr="00D630D1" w:rsidRDefault="0071021F"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N</w:t>
            </w:r>
            <w:r w:rsidRPr="00D630D1">
              <w:rPr>
                <w:rFonts w:ascii="Times New Roman" w:cs="Times New Roman" w:hint="eastAsia"/>
                <w:sz w:val="21"/>
                <w:szCs w:val="21"/>
              </w:rPr>
              <w:t>E</w:t>
            </w:r>
          </w:p>
        </w:tc>
        <w:tc>
          <w:tcPr>
            <w:tcW w:w="453" w:type="pct"/>
            <w:tcBorders>
              <w:top w:val="single" w:sz="2" w:space="0" w:color="000000"/>
              <w:left w:val="single" w:sz="2" w:space="0" w:color="000000"/>
              <w:bottom w:val="single" w:sz="2" w:space="0" w:color="000000"/>
              <w:right w:val="nil"/>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115</w:t>
            </w:r>
            <w:r w:rsidRPr="00D630D1">
              <w:rPr>
                <w:rFonts w:ascii="Times New Roman" w:cs="Times New Roman"/>
                <w:sz w:val="21"/>
                <w:szCs w:val="21"/>
              </w:rPr>
              <w:t>0</w:t>
            </w:r>
          </w:p>
        </w:tc>
      </w:tr>
      <w:tr w:rsidR="0071021F"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5</w:t>
            </w:r>
          </w:p>
        </w:tc>
        <w:tc>
          <w:tcPr>
            <w:tcW w:w="474" w:type="pct"/>
            <w:vMerge/>
            <w:tcBorders>
              <w:top w:val="single" w:sz="2" w:space="0" w:color="000000"/>
              <w:left w:val="single" w:sz="2" w:space="0" w:color="000000"/>
              <w:right w:val="single" w:sz="2" w:space="0" w:color="000000"/>
            </w:tcBorders>
            <w:vAlign w:val="center"/>
          </w:tcPr>
          <w:p w:rsidR="0071021F" w:rsidRPr="00D630D1" w:rsidRDefault="0071021F"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71021F" w:rsidRPr="00796F6E" w:rsidRDefault="0071021F" w:rsidP="0071021F">
            <w:pPr>
              <w:spacing w:line="240" w:lineRule="auto"/>
              <w:ind w:firstLineChars="0" w:firstLine="0"/>
              <w:jc w:val="center"/>
              <w:rPr>
                <w:rFonts w:ascii="Times New Roman" w:cs="Times New Roman"/>
                <w:sz w:val="21"/>
                <w:szCs w:val="21"/>
              </w:rPr>
            </w:pPr>
            <w:r>
              <w:rPr>
                <w:rFonts w:ascii="Times New Roman" w:cs="Times New Roman" w:hint="eastAsia"/>
                <w:sz w:val="21"/>
                <w:szCs w:val="21"/>
              </w:rPr>
              <w:t>冉家岩</w:t>
            </w:r>
            <w:r w:rsidRPr="00796F6E">
              <w:rPr>
                <w:rFonts w:ascii="Times New Roman" w:cs="Times New Roman" w:hint="eastAsia"/>
                <w:sz w:val="21"/>
                <w:szCs w:val="21"/>
              </w:rPr>
              <w:t>农户</w:t>
            </w:r>
            <w:r>
              <w:rPr>
                <w:rFonts w:ascii="Times New Roman" w:cs="Times New Roman" w:hint="eastAsia"/>
                <w:sz w:val="21"/>
                <w:szCs w:val="21"/>
              </w:rPr>
              <w:t>5#</w:t>
            </w:r>
          </w:p>
        </w:tc>
        <w:tc>
          <w:tcPr>
            <w:tcW w:w="426" w:type="pct"/>
            <w:tcBorders>
              <w:top w:val="single" w:sz="2" w:space="0" w:color="000000"/>
              <w:left w:val="single" w:sz="2" w:space="0" w:color="000000"/>
              <w:bottom w:val="single" w:sz="2" w:space="0" w:color="000000"/>
              <w:right w:val="single" w:sz="2" w:space="0" w:color="000000"/>
            </w:tcBorders>
            <w:vAlign w:val="center"/>
          </w:tcPr>
          <w:p w:rsidR="0071021F" w:rsidRPr="00796F6E" w:rsidRDefault="0071021F" w:rsidP="0071021F">
            <w:pPr>
              <w:spacing w:line="240" w:lineRule="auto"/>
              <w:ind w:firstLineChars="0" w:firstLine="0"/>
              <w:jc w:val="center"/>
              <w:rPr>
                <w:rFonts w:ascii="Times New Roman" w:cs="Times New Roman"/>
                <w:sz w:val="21"/>
                <w:szCs w:val="21"/>
              </w:rPr>
            </w:pPr>
            <w:r w:rsidRPr="00796F6E">
              <w:rPr>
                <w:rFonts w:ascii="Times New Roman" w:cs="Times New Roman"/>
                <w:sz w:val="21"/>
                <w:szCs w:val="21"/>
              </w:rPr>
              <w:t>107.485969</w:t>
            </w:r>
          </w:p>
        </w:tc>
        <w:tc>
          <w:tcPr>
            <w:tcW w:w="380" w:type="pct"/>
            <w:tcBorders>
              <w:top w:val="single" w:sz="2" w:space="0" w:color="000000"/>
              <w:left w:val="single" w:sz="2" w:space="0" w:color="000000"/>
              <w:bottom w:val="single" w:sz="2" w:space="0" w:color="000000"/>
              <w:right w:val="single" w:sz="2" w:space="0" w:color="000000"/>
            </w:tcBorders>
            <w:vAlign w:val="center"/>
          </w:tcPr>
          <w:p w:rsidR="0071021F" w:rsidRPr="00796F6E" w:rsidRDefault="0071021F" w:rsidP="0071021F">
            <w:pPr>
              <w:spacing w:line="240" w:lineRule="auto"/>
              <w:ind w:firstLineChars="0" w:firstLine="0"/>
              <w:jc w:val="center"/>
              <w:rPr>
                <w:rFonts w:ascii="Times New Roman" w:cs="Times New Roman"/>
                <w:sz w:val="21"/>
                <w:szCs w:val="21"/>
              </w:rPr>
            </w:pPr>
            <w:r w:rsidRPr="00796F6E">
              <w:rPr>
                <w:rFonts w:ascii="Times New Roman" w:cs="Times New Roman"/>
                <w:sz w:val="21"/>
                <w:szCs w:val="21"/>
              </w:rPr>
              <w:t>31.32528</w:t>
            </w:r>
            <w:r>
              <w:rPr>
                <w:rFonts w:ascii="Times New Roman" w:cs="Times New Roman" w:hint="eastAsia"/>
                <w:sz w:val="21"/>
                <w:szCs w:val="21"/>
              </w:rPr>
              <w:t>6</w:t>
            </w:r>
          </w:p>
        </w:tc>
        <w:tc>
          <w:tcPr>
            <w:tcW w:w="379"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71021F" w:rsidRPr="00733954" w:rsidRDefault="0071021F" w:rsidP="0071021F">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Pr>
                <w:rFonts w:ascii="Times New Roman" w:cs="Times New Roman" w:hint="eastAsia"/>
                <w:sz w:val="21"/>
                <w:szCs w:val="21"/>
              </w:rPr>
              <w:t>45</w:t>
            </w:r>
            <w:r w:rsidRPr="00733954">
              <w:rPr>
                <w:rFonts w:ascii="Times New Roman" w:cs="Times New Roman"/>
                <w:sz w:val="21"/>
                <w:szCs w:val="21"/>
              </w:rPr>
              <w:t>户</w:t>
            </w:r>
            <w:r>
              <w:rPr>
                <w:rFonts w:ascii="Times New Roman" w:cs="Times New Roman" w:hint="eastAsia"/>
                <w:sz w:val="21"/>
                <w:szCs w:val="21"/>
              </w:rPr>
              <w:t>170</w:t>
            </w:r>
            <w:r w:rsidRPr="00733954">
              <w:rPr>
                <w:rFonts w:ascii="Times New Roman" w:cs="Times New Roman"/>
                <w:sz w:val="21"/>
                <w:szCs w:val="21"/>
              </w:rPr>
              <w:t>人</w:t>
            </w:r>
          </w:p>
        </w:tc>
        <w:tc>
          <w:tcPr>
            <w:tcW w:w="1043" w:type="pct"/>
            <w:vMerge/>
            <w:tcBorders>
              <w:top w:val="single" w:sz="2" w:space="0" w:color="000000"/>
              <w:left w:val="single" w:sz="2" w:space="0" w:color="000000"/>
              <w:right w:val="single" w:sz="2" w:space="0" w:color="000000"/>
            </w:tcBorders>
            <w:vAlign w:val="center"/>
          </w:tcPr>
          <w:p w:rsidR="0071021F" w:rsidRPr="00D630D1" w:rsidRDefault="0071021F"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N</w:t>
            </w:r>
            <w:r w:rsidRPr="00D630D1">
              <w:rPr>
                <w:rFonts w:ascii="Times New Roman" w:cs="Times New Roman" w:hint="eastAsia"/>
                <w:sz w:val="21"/>
                <w:szCs w:val="21"/>
              </w:rPr>
              <w:t>E</w:t>
            </w:r>
          </w:p>
        </w:tc>
        <w:tc>
          <w:tcPr>
            <w:tcW w:w="453" w:type="pct"/>
            <w:tcBorders>
              <w:top w:val="single" w:sz="2" w:space="0" w:color="000000"/>
              <w:left w:val="single" w:sz="2" w:space="0" w:color="000000"/>
              <w:bottom w:val="single" w:sz="2" w:space="0" w:color="000000"/>
              <w:right w:val="nil"/>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146</w:t>
            </w:r>
            <w:r w:rsidRPr="00D630D1">
              <w:rPr>
                <w:rFonts w:ascii="Times New Roman" w:cs="Times New Roman" w:hint="eastAsia"/>
                <w:sz w:val="21"/>
                <w:szCs w:val="21"/>
              </w:rPr>
              <w:t>0</w:t>
            </w:r>
          </w:p>
        </w:tc>
      </w:tr>
      <w:tr w:rsidR="0071021F"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6</w:t>
            </w:r>
          </w:p>
        </w:tc>
        <w:tc>
          <w:tcPr>
            <w:tcW w:w="474" w:type="pct"/>
            <w:vMerge/>
            <w:tcBorders>
              <w:top w:val="single" w:sz="2" w:space="0" w:color="000000"/>
              <w:left w:val="single" w:sz="2" w:space="0" w:color="000000"/>
              <w:right w:val="single" w:sz="2" w:space="0" w:color="000000"/>
            </w:tcBorders>
            <w:vAlign w:val="center"/>
          </w:tcPr>
          <w:p w:rsidR="0071021F" w:rsidRPr="00D630D1" w:rsidRDefault="0071021F"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246ABB">
            <w:pPr>
              <w:spacing w:line="240" w:lineRule="auto"/>
              <w:ind w:firstLineChars="0" w:firstLine="0"/>
              <w:jc w:val="center"/>
              <w:rPr>
                <w:rFonts w:ascii="Times New Roman" w:cs="Times New Roman"/>
                <w:sz w:val="21"/>
                <w:szCs w:val="21"/>
              </w:rPr>
            </w:pPr>
            <w:r>
              <w:rPr>
                <w:rFonts w:ascii="Times New Roman" w:cs="Times New Roman" w:hint="eastAsia"/>
                <w:sz w:val="21"/>
                <w:szCs w:val="21"/>
              </w:rPr>
              <w:t>四合头</w:t>
            </w:r>
            <w:r w:rsidRPr="00D630D1">
              <w:rPr>
                <w:rFonts w:ascii="Times New Roman" w:cs="Times New Roman"/>
                <w:sz w:val="21"/>
                <w:szCs w:val="21"/>
              </w:rPr>
              <w:t>农户</w:t>
            </w:r>
            <w:r w:rsidRPr="00D630D1">
              <w:rPr>
                <w:rFonts w:ascii="Times New Roman" w:cs="Times New Roman" w:hint="eastAsia"/>
                <w:sz w:val="21"/>
                <w:szCs w:val="21"/>
              </w:rPr>
              <w:t>6#</w:t>
            </w:r>
          </w:p>
        </w:tc>
        <w:tc>
          <w:tcPr>
            <w:tcW w:w="42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71021F">
              <w:rPr>
                <w:rFonts w:ascii="Times New Roman" w:cs="Times New Roman"/>
                <w:sz w:val="21"/>
                <w:szCs w:val="21"/>
              </w:rPr>
              <w:t>107.484834</w:t>
            </w:r>
          </w:p>
        </w:tc>
        <w:tc>
          <w:tcPr>
            <w:tcW w:w="380"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71021F">
            <w:pPr>
              <w:spacing w:line="240" w:lineRule="auto"/>
              <w:ind w:firstLineChars="0" w:firstLine="0"/>
              <w:jc w:val="center"/>
              <w:rPr>
                <w:rFonts w:ascii="Times New Roman" w:cs="Times New Roman"/>
                <w:sz w:val="21"/>
                <w:szCs w:val="21"/>
              </w:rPr>
            </w:pPr>
            <w:r w:rsidRPr="0071021F">
              <w:rPr>
                <w:rFonts w:ascii="Times New Roman" w:cs="Times New Roman"/>
                <w:sz w:val="21"/>
                <w:szCs w:val="21"/>
              </w:rPr>
              <w:t>31.31540</w:t>
            </w:r>
            <w:r>
              <w:rPr>
                <w:rFonts w:ascii="Times New Roman" w:cs="Times New Roman" w:hint="eastAsia"/>
                <w:sz w:val="21"/>
                <w:szCs w:val="21"/>
              </w:rPr>
              <w:t>9</w:t>
            </w:r>
          </w:p>
        </w:tc>
        <w:tc>
          <w:tcPr>
            <w:tcW w:w="379"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71021F">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约</w:t>
            </w:r>
            <w:r>
              <w:rPr>
                <w:rFonts w:ascii="Times New Roman" w:cs="Times New Roman" w:hint="eastAsia"/>
                <w:sz w:val="21"/>
                <w:szCs w:val="21"/>
              </w:rPr>
              <w:t>4</w:t>
            </w:r>
            <w:r w:rsidRPr="00D630D1">
              <w:rPr>
                <w:rFonts w:ascii="Times New Roman" w:cs="Times New Roman"/>
                <w:sz w:val="21"/>
                <w:szCs w:val="21"/>
              </w:rPr>
              <w:t>户</w:t>
            </w:r>
            <w:r>
              <w:rPr>
                <w:rFonts w:ascii="Times New Roman" w:cs="Times New Roman" w:hint="eastAsia"/>
                <w:sz w:val="21"/>
                <w:szCs w:val="21"/>
              </w:rPr>
              <w:t>1</w:t>
            </w:r>
            <w:r w:rsidRPr="00D630D1">
              <w:rPr>
                <w:rFonts w:ascii="Times New Roman" w:cs="Times New Roman" w:hint="eastAsia"/>
                <w:sz w:val="21"/>
                <w:szCs w:val="21"/>
              </w:rPr>
              <w:t>5</w:t>
            </w:r>
            <w:r w:rsidRPr="00D630D1">
              <w:rPr>
                <w:rFonts w:ascii="Times New Roman" w:cs="Times New Roman"/>
                <w:sz w:val="21"/>
                <w:szCs w:val="21"/>
              </w:rPr>
              <w:t>人</w:t>
            </w:r>
          </w:p>
        </w:tc>
        <w:tc>
          <w:tcPr>
            <w:tcW w:w="1043" w:type="pct"/>
            <w:vMerge/>
            <w:tcBorders>
              <w:top w:val="single" w:sz="2" w:space="0" w:color="000000"/>
              <w:left w:val="single" w:sz="2" w:space="0" w:color="000000"/>
              <w:right w:val="single" w:sz="2" w:space="0" w:color="000000"/>
            </w:tcBorders>
            <w:vAlign w:val="center"/>
          </w:tcPr>
          <w:p w:rsidR="0071021F" w:rsidRPr="00D630D1" w:rsidRDefault="0071021F"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S</w:t>
            </w:r>
          </w:p>
        </w:tc>
        <w:tc>
          <w:tcPr>
            <w:tcW w:w="453" w:type="pct"/>
            <w:tcBorders>
              <w:top w:val="single" w:sz="2" w:space="0" w:color="000000"/>
              <w:left w:val="single" w:sz="2" w:space="0" w:color="000000"/>
              <w:bottom w:val="single" w:sz="2" w:space="0" w:color="000000"/>
              <w:right w:val="nil"/>
            </w:tcBorders>
            <w:vAlign w:val="center"/>
          </w:tcPr>
          <w:p w:rsidR="0071021F" w:rsidRPr="00D630D1" w:rsidRDefault="0071021F" w:rsidP="0071021F">
            <w:pPr>
              <w:spacing w:line="240" w:lineRule="auto"/>
              <w:ind w:firstLineChars="0" w:firstLine="0"/>
              <w:jc w:val="center"/>
              <w:rPr>
                <w:rFonts w:ascii="Times New Roman" w:cs="Times New Roman"/>
                <w:sz w:val="21"/>
                <w:szCs w:val="21"/>
              </w:rPr>
            </w:pPr>
            <w:r>
              <w:rPr>
                <w:rFonts w:ascii="Times New Roman" w:cs="Times New Roman" w:hint="eastAsia"/>
                <w:sz w:val="21"/>
                <w:szCs w:val="21"/>
              </w:rPr>
              <w:t>22</w:t>
            </w:r>
            <w:r w:rsidRPr="00D630D1">
              <w:rPr>
                <w:rFonts w:ascii="Times New Roman" w:cs="Times New Roman" w:hint="eastAsia"/>
                <w:sz w:val="21"/>
                <w:szCs w:val="21"/>
              </w:rPr>
              <w:t>0</w:t>
            </w:r>
          </w:p>
        </w:tc>
      </w:tr>
      <w:tr w:rsidR="0071021F"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7</w:t>
            </w:r>
          </w:p>
        </w:tc>
        <w:tc>
          <w:tcPr>
            <w:tcW w:w="474" w:type="pct"/>
            <w:vMerge/>
            <w:tcBorders>
              <w:top w:val="single" w:sz="2" w:space="0" w:color="000000"/>
              <w:left w:val="single" w:sz="2" w:space="0" w:color="000000"/>
              <w:right w:val="single" w:sz="2" w:space="0" w:color="000000"/>
            </w:tcBorders>
            <w:vAlign w:val="center"/>
          </w:tcPr>
          <w:p w:rsidR="0071021F" w:rsidRPr="00D630D1" w:rsidRDefault="0071021F"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265C62">
            <w:pPr>
              <w:spacing w:line="240" w:lineRule="auto"/>
              <w:ind w:firstLineChars="0" w:firstLine="0"/>
              <w:jc w:val="center"/>
              <w:rPr>
                <w:rFonts w:ascii="Times New Roman" w:cs="Times New Roman"/>
                <w:sz w:val="21"/>
                <w:szCs w:val="21"/>
              </w:rPr>
            </w:pPr>
            <w:r>
              <w:rPr>
                <w:rFonts w:ascii="Times New Roman" w:cs="Times New Roman" w:hint="eastAsia"/>
                <w:sz w:val="21"/>
                <w:szCs w:val="21"/>
              </w:rPr>
              <w:t>胡家坪</w:t>
            </w:r>
            <w:r w:rsidRPr="00D630D1">
              <w:rPr>
                <w:rFonts w:ascii="Times New Roman" w:cs="Times New Roman"/>
                <w:sz w:val="21"/>
                <w:szCs w:val="21"/>
              </w:rPr>
              <w:t>农户</w:t>
            </w:r>
            <w:r w:rsidRPr="00D630D1">
              <w:rPr>
                <w:rFonts w:ascii="Times New Roman" w:cs="Times New Roman" w:hint="eastAsia"/>
                <w:sz w:val="21"/>
                <w:szCs w:val="21"/>
              </w:rPr>
              <w:t>7#</w:t>
            </w:r>
          </w:p>
        </w:tc>
        <w:tc>
          <w:tcPr>
            <w:tcW w:w="42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71021F">
              <w:rPr>
                <w:rFonts w:ascii="Times New Roman" w:cs="Times New Roman"/>
                <w:sz w:val="21"/>
                <w:szCs w:val="21"/>
              </w:rPr>
              <w:t>107.485857</w:t>
            </w:r>
          </w:p>
        </w:tc>
        <w:tc>
          <w:tcPr>
            <w:tcW w:w="380"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246ABB">
            <w:pPr>
              <w:spacing w:line="240" w:lineRule="auto"/>
              <w:ind w:firstLineChars="0" w:firstLine="0"/>
              <w:jc w:val="center"/>
              <w:rPr>
                <w:rFonts w:ascii="Times New Roman" w:cs="Times New Roman"/>
                <w:sz w:val="21"/>
                <w:szCs w:val="21"/>
              </w:rPr>
            </w:pPr>
            <w:r w:rsidRPr="0071021F">
              <w:rPr>
                <w:rFonts w:ascii="Times New Roman" w:cs="Times New Roman"/>
                <w:sz w:val="21"/>
                <w:szCs w:val="21"/>
              </w:rPr>
              <w:t>31.314754</w:t>
            </w:r>
          </w:p>
        </w:tc>
        <w:tc>
          <w:tcPr>
            <w:tcW w:w="379"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71021F">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约</w:t>
            </w:r>
            <w:r>
              <w:rPr>
                <w:rFonts w:ascii="Times New Roman" w:cs="Times New Roman" w:hint="eastAsia"/>
                <w:sz w:val="21"/>
                <w:szCs w:val="21"/>
              </w:rPr>
              <w:t>18</w:t>
            </w:r>
            <w:r w:rsidRPr="00D630D1">
              <w:rPr>
                <w:rFonts w:ascii="Times New Roman" w:cs="Times New Roman"/>
                <w:sz w:val="21"/>
                <w:szCs w:val="21"/>
              </w:rPr>
              <w:t>户</w:t>
            </w:r>
            <w:r>
              <w:rPr>
                <w:rFonts w:ascii="Times New Roman" w:cs="Times New Roman" w:hint="eastAsia"/>
                <w:sz w:val="21"/>
                <w:szCs w:val="21"/>
              </w:rPr>
              <w:t>70</w:t>
            </w:r>
            <w:r w:rsidRPr="00D630D1">
              <w:rPr>
                <w:rFonts w:ascii="Times New Roman" w:cs="Times New Roman"/>
                <w:sz w:val="21"/>
                <w:szCs w:val="21"/>
              </w:rPr>
              <w:t>人</w:t>
            </w:r>
          </w:p>
        </w:tc>
        <w:tc>
          <w:tcPr>
            <w:tcW w:w="1043" w:type="pct"/>
            <w:vMerge/>
            <w:tcBorders>
              <w:top w:val="single" w:sz="2" w:space="0" w:color="000000"/>
              <w:left w:val="single" w:sz="2" w:space="0" w:color="000000"/>
              <w:right w:val="single" w:sz="2" w:space="0" w:color="000000"/>
            </w:tcBorders>
            <w:vAlign w:val="center"/>
          </w:tcPr>
          <w:p w:rsidR="0071021F" w:rsidRPr="00D630D1" w:rsidRDefault="0071021F"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S</w:t>
            </w:r>
          </w:p>
        </w:tc>
        <w:tc>
          <w:tcPr>
            <w:tcW w:w="453" w:type="pct"/>
            <w:tcBorders>
              <w:top w:val="single" w:sz="2" w:space="0" w:color="000000"/>
              <w:left w:val="single" w:sz="2" w:space="0" w:color="000000"/>
              <w:bottom w:val="single" w:sz="2" w:space="0" w:color="000000"/>
              <w:right w:val="nil"/>
            </w:tcBorders>
            <w:vAlign w:val="center"/>
          </w:tcPr>
          <w:p w:rsidR="0071021F" w:rsidRPr="00D630D1" w:rsidRDefault="0071021F" w:rsidP="00246ABB">
            <w:pPr>
              <w:spacing w:line="240" w:lineRule="auto"/>
              <w:ind w:firstLineChars="0" w:firstLine="0"/>
              <w:jc w:val="center"/>
              <w:rPr>
                <w:rFonts w:ascii="Times New Roman" w:cs="Times New Roman"/>
                <w:sz w:val="21"/>
                <w:szCs w:val="21"/>
              </w:rPr>
            </w:pPr>
            <w:r>
              <w:rPr>
                <w:rFonts w:ascii="Times New Roman" w:cs="Times New Roman" w:hint="eastAsia"/>
                <w:sz w:val="21"/>
                <w:szCs w:val="21"/>
              </w:rPr>
              <w:t>450</w:t>
            </w:r>
          </w:p>
        </w:tc>
      </w:tr>
      <w:tr w:rsidR="0071021F"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8</w:t>
            </w:r>
          </w:p>
        </w:tc>
        <w:tc>
          <w:tcPr>
            <w:tcW w:w="474" w:type="pct"/>
            <w:vMerge/>
            <w:tcBorders>
              <w:top w:val="single" w:sz="2" w:space="0" w:color="000000"/>
              <w:left w:val="single" w:sz="2" w:space="0" w:color="000000"/>
              <w:right w:val="single" w:sz="2" w:space="0" w:color="000000"/>
            </w:tcBorders>
            <w:vAlign w:val="center"/>
          </w:tcPr>
          <w:p w:rsidR="0071021F" w:rsidRPr="00D630D1" w:rsidRDefault="0071021F"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B874C7" w:rsidP="00265C62">
            <w:pPr>
              <w:spacing w:line="240" w:lineRule="auto"/>
              <w:ind w:firstLineChars="0" w:firstLine="0"/>
              <w:jc w:val="center"/>
              <w:rPr>
                <w:rFonts w:ascii="Times New Roman" w:cs="Times New Roman"/>
                <w:sz w:val="21"/>
                <w:szCs w:val="21"/>
              </w:rPr>
            </w:pPr>
            <w:r>
              <w:rPr>
                <w:rFonts w:ascii="Times New Roman" w:cs="Times New Roman" w:hint="eastAsia"/>
                <w:sz w:val="21"/>
                <w:szCs w:val="21"/>
              </w:rPr>
              <w:t>铁尖村</w:t>
            </w:r>
            <w:r w:rsidR="0071021F" w:rsidRPr="00D630D1">
              <w:rPr>
                <w:rFonts w:ascii="Times New Roman" w:cs="Times New Roman" w:hint="eastAsia"/>
                <w:sz w:val="21"/>
                <w:szCs w:val="21"/>
              </w:rPr>
              <w:t>8#</w:t>
            </w:r>
          </w:p>
        </w:tc>
        <w:tc>
          <w:tcPr>
            <w:tcW w:w="42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B874C7" w:rsidP="00B874C7">
            <w:pPr>
              <w:spacing w:line="240" w:lineRule="auto"/>
              <w:ind w:firstLineChars="0" w:firstLine="0"/>
              <w:jc w:val="center"/>
              <w:rPr>
                <w:rFonts w:ascii="Times New Roman" w:cs="Times New Roman"/>
                <w:sz w:val="21"/>
                <w:szCs w:val="21"/>
              </w:rPr>
            </w:pPr>
            <w:r w:rsidRPr="00B874C7">
              <w:rPr>
                <w:rFonts w:ascii="Times New Roman" w:cs="Times New Roman"/>
                <w:sz w:val="21"/>
                <w:szCs w:val="21"/>
              </w:rPr>
              <w:t>107.49117</w:t>
            </w:r>
            <w:r>
              <w:rPr>
                <w:rFonts w:ascii="Times New Roman" w:cs="Times New Roman" w:hint="eastAsia"/>
                <w:sz w:val="21"/>
                <w:szCs w:val="21"/>
              </w:rPr>
              <w:t>9</w:t>
            </w:r>
          </w:p>
        </w:tc>
        <w:tc>
          <w:tcPr>
            <w:tcW w:w="380"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B874C7" w:rsidP="00246ABB">
            <w:pPr>
              <w:spacing w:line="240" w:lineRule="auto"/>
              <w:ind w:firstLineChars="0" w:firstLine="0"/>
              <w:jc w:val="center"/>
              <w:rPr>
                <w:rFonts w:ascii="Times New Roman" w:cs="Times New Roman"/>
                <w:sz w:val="21"/>
                <w:szCs w:val="21"/>
              </w:rPr>
            </w:pPr>
            <w:r w:rsidRPr="00B874C7">
              <w:rPr>
                <w:rFonts w:ascii="Times New Roman" w:cs="Times New Roman"/>
                <w:sz w:val="21"/>
                <w:szCs w:val="21"/>
              </w:rPr>
              <w:t>31.31238</w:t>
            </w:r>
            <w:r>
              <w:rPr>
                <w:rFonts w:ascii="Times New Roman" w:cs="Times New Roman" w:hint="eastAsia"/>
                <w:sz w:val="21"/>
                <w:szCs w:val="21"/>
              </w:rPr>
              <w:t>3</w:t>
            </w:r>
          </w:p>
        </w:tc>
        <w:tc>
          <w:tcPr>
            <w:tcW w:w="379"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71021F"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B874C7" w:rsidP="00246ABB">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约</w:t>
            </w:r>
            <w:r w:rsidRPr="00D630D1">
              <w:rPr>
                <w:rFonts w:ascii="Times New Roman" w:cs="Times New Roman" w:hint="eastAsia"/>
                <w:sz w:val="21"/>
                <w:szCs w:val="21"/>
              </w:rPr>
              <w:t>50</w:t>
            </w:r>
            <w:r w:rsidRPr="00D630D1">
              <w:rPr>
                <w:rFonts w:ascii="Times New Roman" w:cs="Times New Roman"/>
                <w:sz w:val="21"/>
                <w:szCs w:val="21"/>
              </w:rPr>
              <w:t>户</w:t>
            </w:r>
            <w:r w:rsidRPr="00D630D1">
              <w:rPr>
                <w:rFonts w:ascii="Times New Roman" w:cs="Times New Roman" w:hint="eastAsia"/>
                <w:sz w:val="21"/>
                <w:szCs w:val="21"/>
              </w:rPr>
              <w:t>160</w:t>
            </w:r>
            <w:r w:rsidRPr="00D630D1">
              <w:rPr>
                <w:rFonts w:ascii="Times New Roman" w:cs="Times New Roman"/>
                <w:sz w:val="21"/>
                <w:szCs w:val="21"/>
              </w:rPr>
              <w:t>人</w:t>
            </w:r>
          </w:p>
        </w:tc>
        <w:tc>
          <w:tcPr>
            <w:tcW w:w="1043" w:type="pct"/>
            <w:vMerge/>
            <w:tcBorders>
              <w:top w:val="single" w:sz="2" w:space="0" w:color="000000"/>
              <w:left w:val="single" w:sz="2" w:space="0" w:color="000000"/>
              <w:right w:val="single" w:sz="2" w:space="0" w:color="000000"/>
            </w:tcBorders>
            <w:vAlign w:val="center"/>
          </w:tcPr>
          <w:p w:rsidR="0071021F" w:rsidRPr="00D630D1" w:rsidRDefault="0071021F"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71021F" w:rsidRPr="00D630D1" w:rsidRDefault="00B874C7"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SE</w:t>
            </w:r>
          </w:p>
        </w:tc>
        <w:tc>
          <w:tcPr>
            <w:tcW w:w="453" w:type="pct"/>
            <w:tcBorders>
              <w:top w:val="single" w:sz="2" w:space="0" w:color="000000"/>
              <w:left w:val="single" w:sz="2" w:space="0" w:color="000000"/>
              <w:bottom w:val="single" w:sz="2" w:space="0" w:color="000000"/>
              <w:right w:val="nil"/>
            </w:tcBorders>
            <w:vAlign w:val="center"/>
          </w:tcPr>
          <w:p w:rsidR="0071021F" w:rsidRPr="00D630D1" w:rsidRDefault="00B874C7" w:rsidP="00265C62">
            <w:pPr>
              <w:spacing w:line="240" w:lineRule="auto"/>
              <w:ind w:firstLineChars="0" w:firstLine="0"/>
              <w:jc w:val="center"/>
              <w:rPr>
                <w:rFonts w:ascii="Times New Roman" w:cs="Times New Roman"/>
                <w:sz w:val="21"/>
                <w:szCs w:val="21"/>
              </w:rPr>
            </w:pPr>
            <w:r>
              <w:rPr>
                <w:rFonts w:ascii="Times New Roman" w:cs="Times New Roman" w:hint="eastAsia"/>
                <w:sz w:val="21"/>
                <w:szCs w:val="21"/>
              </w:rPr>
              <w:t>136</w:t>
            </w:r>
            <w:r w:rsidR="0071021F" w:rsidRPr="00D630D1">
              <w:rPr>
                <w:rFonts w:ascii="Times New Roman" w:cs="Times New Roman" w:hint="eastAsia"/>
                <w:sz w:val="21"/>
                <w:szCs w:val="21"/>
              </w:rPr>
              <w:t>0</w:t>
            </w:r>
          </w:p>
        </w:tc>
      </w:tr>
      <w:tr w:rsidR="00B874C7"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9</w:t>
            </w:r>
          </w:p>
        </w:tc>
        <w:tc>
          <w:tcPr>
            <w:tcW w:w="474" w:type="pct"/>
            <w:vMerge/>
            <w:tcBorders>
              <w:top w:val="single" w:sz="2" w:space="0" w:color="000000"/>
              <w:left w:val="single" w:sz="2" w:space="0" w:color="000000"/>
              <w:right w:val="single" w:sz="2" w:space="0" w:color="000000"/>
            </w:tcBorders>
            <w:vAlign w:val="center"/>
          </w:tcPr>
          <w:p w:rsidR="00B874C7" w:rsidRPr="00D630D1" w:rsidRDefault="00B874C7"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265C62">
            <w:pPr>
              <w:spacing w:line="240" w:lineRule="auto"/>
              <w:ind w:firstLineChars="0" w:firstLine="0"/>
              <w:jc w:val="center"/>
              <w:rPr>
                <w:rFonts w:ascii="Times New Roman" w:cs="Times New Roman"/>
                <w:sz w:val="21"/>
                <w:szCs w:val="21"/>
              </w:rPr>
            </w:pPr>
            <w:r>
              <w:rPr>
                <w:rFonts w:ascii="Times New Roman" w:cs="Times New Roman" w:hint="eastAsia"/>
                <w:sz w:val="21"/>
                <w:szCs w:val="21"/>
              </w:rPr>
              <w:t>老君乡</w:t>
            </w:r>
            <w:r w:rsidRPr="00D630D1">
              <w:rPr>
                <w:rFonts w:ascii="Times New Roman" w:cs="Times New Roman"/>
                <w:sz w:val="21"/>
                <w:szCs w:val="21"/>
              </w:rPr>
              <w:t>场镇</w:t>
            </w:r>
            <w:r w:rsidRPr="00D630D1">
              <w:rPr>
                <w:rFonts w:ascii="Times New Roman" w:cs="Times New Roman" w:hint="eastAsia"/>
                <w:sz w:val="21"/>
                <w:szCs w:val="21"/>
              </w:rPr>
              <w:t>9#</w:t>
            </w:r>
          </w:p>
        </w:tc>
        <w:tc>
          <w:tcPr>
            <w:tcW w:w="426"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sidRPr="00B874C7">
              <w:rPr>
                <w:rFonts w:ascii="Times New Roman" w:cs="Times New Roman"/>
                <w:sz w:val="21"/>
                <w:szCs w:val="21"/>
              </w:rPr>
              <w:t>107.503519</w:t>
            </w:r>
          </w:p>
        </w:tc>
        <w:tc>
          <w:tcPr>
            <w:tcW w:w="380"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246ABB">
            <w:pPr>
              <w:spacing w:line="240" w:lineRule="auto"/>
              <w:ind w:firstLineChars="0" w:firstLine="0"/>
              <w:jc w:val="center"/>
              <w:rPr>
                <w:rFonts w:ascii="Times New Roman" w:cs="Times New Roman"/>
                <w:sz w:val="21"/>
                <w:szCs w:val="21"/>
              </w:rPr>
            </w:pPr>
            <w:r w:rsidRPr="00B874C7">
              <w:rPr>
                <w:rFonts w:ascii="Times New Roman" w:cs="Times New Roman"/>
                <w:sz w:val="21"/>
                <w:szCs w:val="21"/>
              </w:rPr>
              <w:t>31.305437</w:t>
            </w:r>
          </w:p>
        </w:tc>
        <w:tc>
          <w:tcPr>
            <w:tcW w:w="379"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居住区</w:t>
            </w:r>
          </w:p>
        </w:tc>
        <w:tc>
          <w:tcPr>
            <w:tcW w:w="566"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B874C7">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约</w:t>
            </w:r>
            <w:r>
              <w:rPr>
                <w:rFonts w:ascii="Times New Roman" w:cs="Times New Roman" w:hint="eastAsia"/>
                <w:sz w:val="21"/>
                <w:szCs w:val="21"/>
              </w:rPr>
              <w:t>8000</w:t>
            </w:r>
            <w:r>
              <w:rPr>
                <w:rFonts w:ascii="Times New Roman" w:cs="Times New Roman" w:hint="eastAsia"/>
                <w:sz w:val="21"/>
                <w:szCs w:val="21"/>
              </w:rPr>
              <w:t>人</w:t>
            </w:r>
          </w:p>
        </w:tc>
        <w:tc>
          <w:tcPr>
            <w:tcW w:w="1043" w:type="pct"/>
            <w:vMerge/>
            <w:tcBorders>
              <w:top w:val="single" w:sz="2" w:space="0" w:color="000000"/>
              <w:left w:val="single" w:sz="2" w:space="0" w:color="000000"/>
              <w:right w:val="single" w:sz="2" w:space="0" w:color="000000"/>
            </w:tcBorders>
            <w:vAlign w:val="center"/>
          </w:tcPr>
          <w:p w:rsidR="00B874C7" w:rsidRPr="00D630D1" w:rsidRDefault="00B874C7"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075350">
            <w:pPr>
              <w:spacing w:line="240" w:lineRule="auto"/>
              <w:ind w:firstLineChars="0" w:firstLine="0"/>
              <w:jc w:val="center"/>
              <w:rPr>
                <w:rFonts w:ascii="Times New Roman" w:cs="Times New Roman"/>
                <w:sz w:val="21"/>
                <w:szCs w:val="21"/>
              </w:rPr>
            </w:pPr>
            <w:r>
              <w:rPr>
                <w:rFonts w:ascii="Times New Roman" w:cs="Times New Roman" w:hint="eastAsia"/>
                <w:sz w:val="21"/>
                <w:szCs w:val="21"/>
              </w:rPr>
              <w:t>SE</w:t>
            </w:r>
          </w:p>
        </w:tc>
        <w:tc>
          <w:tcPr>
            <w:tcW w:w="453" w:type="pct"/>
            <w:tcBorders>
              <w:top w:val="single" w:sz="2" w:space="0" w:color="000000"/>
              <w:left w:val="single" w:sz="2" w:space="0" w:color="000000"/>
              <w:bottom w:val="single" w:sz="2" w:space="0" w:color="000000"/>
              <w:right w:val="nil"/>
            </w:tcBorders>
            <w:vAlign w:val="center"/>
          </w:tcPr>
          <w:p w:rsidR="00B874C7" w:rsidRPr="00D630D1" w:rsidRDefault="00B874C7" w:rsidP="00075350">
            <w:pPr>
              <w:spacing w:line="240" w:lineRule="auto"/>
              <w:ind w:firstLineChars="0" w:firstLine="0"/>
              <w:jc w:val="center"/>
              <w:rPr>
                <w:rFonts w:ascii="Times New Roman" w:cs="Times New Roman"/>
                <w:sz w:val="21"/>
                <w:szCs w:val="21"/>
              </w:rPr>
            </w:pPr>
            <w:r>
              <w:rPr>
                <w:rFonts w:ascii="Times New Roman" w:cs="Times New Roman" w:hint="eastAsia"/>
                <w:sz w:val="21"/>
                <w:szCs w:val="21"/>
              </w:rPr>
              <w:t>340</w:t>
            </w:r>
            <w:r w:rsidRPr="00D630D1">
              <w:rPr>
                <w:rFonts w:ascii="Times New Roman" w:cs="Times New Roman" w:hint="eastAsia"/>
                <w:sz w:val="21"/>
                <w:szCs w:val="21"/>
              </w:rPr>
              <w:t>0</w:t>
            </w:r>
          </w:p>
        </w:tc>
      </w:tr>
      <w:tr w:rsidR="00B874C7"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10</w:t>
            </w:r>
          </w:p>
        </w:tc>
        <w:tc>
          <w:tcPr>
            <w:tcW w:w="474" w:type="pct"/>
            <w:vMerge/>
            <w:tcBorders>
              <w:top w:val="single" w:sz="2" w:space="0" w:color="000000"/>
              <w:left w:val="single" w:sz="2" w:space="0" w:color="000000"/>
              <w:right w:val="single" w:sz="2" w:space="0" w:color="000000"/>
            </w:tcBorders>
            <w:vAlign w:val="center"/>
          </w:tcPr>
          <w:p w:rsidR="00B874C7" w:rsidRPr="00D630D1" w:rsidRDefault="00B874C7"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265C62">
            <w:pPr>
              <w:spacing w:line="240" w:lineRule="auto"/>
              <w:ind w:firstLineChars="0" w:firstLine="0"/>
              <w:jc w:val="center"/>
              <w:rPr>
                <w:rFonts w:ascii="Times New Roman" w:cs="Times New Roman"/>
                <w:sz w:val="21"/>
                <w:szCs w:val="21"/>
              </w:rPr>
            </w:pPr>
            <w:r>
              <w:rPr>
                <w:rFonts w:ascii="Times New Roman" w:cs="Times New Roman" w:hint="eastAsia"/>
                <w:sz w:val="21"/>
                <w:szCs w:val="21"/>
              </w:rPr>
              <w:t>石门村</w:t>
            </w:r>
            <w:r w:rsidRPr="00D630D1">
              <w:rPr>
                <w:rFonts w:ascii="Times New Roman" w:cs="Times New Roman"/>
                <w:sz w:val="21"/>
                <w:szCs w:val="21"/>
              </w:rPr>
              <w:t>农户</w:t>
            </w:r>
            <w:r w:rsidRPr="00D630D1">
              <w:rPr>
                <w:rFonts w:ascii="Times New Roman" w:cs="Times New Roman" w:hint="eastAsia"/>
                <w:sz w:val="21"/>
                <w:szCs w:val="21"/>
              </w:rPr>
              <w:t>10#</w:t>
            </w:r>
          </w:p>
        </w:tc>
        <w:tc>
          <w:tcPr>
            <w:tcW w:w="426"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sidRPr="00B874C7">
              <w:rPr>
                <w:rFonts w:ascii="Times New Roman" w:cs="Times New Roman"/>
                <w:sz w:val="21"/>
                <w:szCs w:val="21"/>
              </w:rPr>
              <w:t>107.483623</w:t>
            </w:r>
          </w:p>
        </w:tc>
        <w:tc>
          <w:tcPr>
            <w:tcW w:w="380"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246ABB">
            <w:pPr>
              <w:spacing w:line="240" w:lineRule="auto"/>
              <w:ind w:firstLineChars="0" w:firstLine="0"/>
              <w:jc w:val="center"/>
              <w:rPr>
                <w:rFonts w:ascii="Times New Roman" w:cs="Times New Roman"/>
                <w:sz w:val="21"/>
                <w:szCs w:val="21"/>
              </w:rPr>
            </w:pPr>
            <w:r w:rsidRPr="00B874C7">
              <w:rPr>
                <w:rFonts w:ascii="Times New Roman" w:cs="Times New Roman"/>
                <w:sz w:val="21"/>
                <w:szCs w:val="21"/>
              </w:rPr>
              <w:t>31.29433</w:t>
            </w:r>
            <w:r>
              <w:rPr>
                <w:rFonts w:ascii="Times New Roman" w:cs="Times New Roman" w:hint="eastAsia"/>
                <w:sz w:val="21"/>
                <w:szCs w:val="21"/>
              </w:rPr>
              <w:t>1</w:t>
            </w:r>
          </w:p>
        </w:tc>
        <w:tc>
          <w:tcPr>
            <w:tcW w:w="379"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246ABB">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约</w:t>
            </w:r>
            <w:r w:rsidRPr="00D630D1">
              <w:rPr>
                <w:rFonts w:ascii="Times New Roman" w:cs="Times New Roman" w:hint="eastAsia"/>
                <w:sz w:val="21"/>
                <w:szCs w:val="21"/>
              </w:rPr>
              <w:t>50</w:t>
            </w:r>
            <w:r w:rsidRPr="00D630D1">
              <w:rPr>
                <w:rFonts w:ascii="Times New Roman" w:cs="Times New Roman"/>
                <w:sz w:val="21"/>
                <w:szCs w:val="21"/>
              </w:rPr>
              <w:t>户</w:t>
            </w:r>
            <w:r w:rsidRPr="00D630D1">
              <w:rPr>
                <w:rFonts w:ascii="Times New Roman" w:cs="Times New Roman" w:hint="eastAsia"/>
                <w:sz w:val="21"/>
                <w:szCs w:val="21"/>
              </w:rPr>
              <w:t>170</w:t>
            </w:r>
            <w:r w:rsidRPr="00D630D1">
              <w:rPr>
                <w:rFonts w:ascii="Times New Roman" w:cs="Times New Roman"/>
                <w:sz w:val="21"/>
                <w:szCs w:val="21"/>
              </w:rPr>
              <w:t>人</w:t>
            </w:r>
          </w:p>
        </w:tc>
        <w:tc>
          <w:tcPr>
            <w:tcW w:w="1043" w:type="pct"/>
            <w:vMerge/>
            <w:tcBorders>
              <w:top w:val="single" w:sz="2" w:space="0" w:color="000000"/>
              <w:left w:val="single" w:sz="2" w:space="0" w:color="000000"/>
              <w:right w:val="single" w:sz="2" w:space="0" w:color="000000"/>
            </w:tcBorders>
            <w:vAlign w:val="center"/>
          </w:tcPr>
          <w:p w:rsidR="00B874C7" w:rsidRPr="00D630D1" w:rsidRDefault="00B874C7"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S</w:t>
            </w:r>
          </w:p>
        </w:tc>
        <w:tc>
          <w:tcPr>
            <w:tcW w:w="453" w:type="pct"/>
            <w:tcBorders>
              <w:top w:val="single" w:sz="2" w:space="0" w:color="000000"/>
              <w:left w:val="single" w:sz="2" w:space="0" w:color="000000"/>
              <w:bottom w:val="single" w:sz="2" w:space="0" w:color="000000"/>
              <w:right w:val="nil"/>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4330</w:t>
            </w:r>
          </w:p>
        </w:tc>
      </w:tr>
      <w:tr w:rsidR="00B874C7"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11</w:t>
            </w:r>
          </w:p>
        </w:tc>
        <w:tc>
          <w:tcPr>
            <w:tcW w:w="474" w:type="pct"/>
            <w:vMerge/>
            <w:tcBorders>
              <w:top w:val="single" w:sz="2" w:space="0" w:color="000000"/>
              <w:left w:val="single" w:sz="2" w:space="0" w:color="000000"/>
              <w:right w:val="single" w:sz="2" w:space="0" w:color="000000"/>
            </w:tcBorders>
            <w:vAlign w:val="center"/>
          </w:tcPr>
          <w:p w:rsidR="00B874C7" w:rsidRPr="00D630D1" w:rsidRDefault="00B874C7"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B874C7" w:rsidRPr="00733954" w:rsidRDefault="00B874C7" w:rsidP="00A140DC">
            <w:pPr>
              <w:spacing w:line="240" w:lineRule="auto"/>
              <w:ind w:firstLineChars="0" w:firstLine="0"/>
              <w:jc w:val="center"/>
              <w:rPr>
                <w:rFonts w:ascii="Times New Roman" w:cs="Times New Roman"/>
                <w:sz w:val="21"/>
                <w:szCs w:val="21"/>
              </w:rPr>
            </w:pPr>
            <w:r w:rsidRPr="00733954">
              <w:rPr>
                <w:rFonts w:ascii="Times New Roman" w:cs="Times New Roman" w:hint="eastAsia"/>
                <w:sz w:val="21"/>
                <w:szCs w:val="21"/>
              </w:rPr>
              <w:t>普光镇</w:t>
            </w:r>
            <w:r>
              <w:rPr>
                <w:rFonts w:ascii="Times New Roman" w:cs="Times New Roman" w:hint="eastAsia"/>
                <w:sz w:val="21"/>
                <w:szCs w:val="21"/>
              </w:rPr>
              <w:t>岳家</w:t>
            </w:r>
            <w:r w:rsidRPr="00733954">
              <w:rPr>
                <w:rFonts w:ascii="Times New Roman" w:cs="Times New Roman" w:hint="eastAsia"/>
                <w:sz w:val="21"/>
                <w:szCs w:val="21"/>
              </w:rPr>
              <w:t>小学</w:t>
            </w:r>
            <w:r w:rsidR="00A140DC">
              <w:rPr>
                <w:rFonts w:ascii="Times New Roman" w:cs="Times New Roman" w:hint="eastAsia"/>
                <w:sz w:val="21"/>
                <w:szCs w:val="21"/>
              </w:rPr>
              <w:t>11</w:t>
            </w:r>
            <w:r w:rsidRPr="00733954">
              <w:rPr>
                <w:rFonts w:ascii="Times New Roman" w:cs="Times New Roman" w:hint="eastAsia"/>
                <w:sz w:val="21"/>
                <w:szCs w:val="21"/>
              </w:rPr>
              <w:t>#</w:t>
            </w:r>
          </w:p>
        </w:tc>
        <w:tc>
          <w:tcPr>
            <w:tcW w:w="426" w:type="pct"/>
            <w:tcBorders>
              <w:top w:val="single" w:sz="2" w:space="0" w:color="000000"/>
              <w:left w:val="single" w:sz="2" w:space="0" w:color="000000"/>
              <w:bottom w:val="single" w:sz="2" w:space="0" w:color="000000"/>
              <w:right w:val="single" w:sz="2" w:space="0" w:color="000000"/>
            </w:tcBorders>
            <w:vAlign w:val="center"/>
          </w:tcPr>
          <w:p w:rsidR="00B874C7" w:rsidRPr="00733954" w:rsidRDefault="00B874C7" w:rsidP="00075350">
            <w:pPr>
              <w:spacing w:line="240" w:lineRule="auto"/>
              <w:ind w:firstLineChars="0" w:firstLine="0"/>
              <w:jc w:val="center"/>
              <w:rPr>
                <w:rFonts w:ascii="Times New Roman" w:cs="Times New Roman"/>
                <w:sz w:val="21"/>
                <w:szCs w:val="21"/>
              </w:rPr>
            </w:pPr>
            <w:r w:rsidRPr="00B874C7">
              <w:rPr>
                <w:rFonts w:ascii="Times New Roman" w:cs="Times New Roman"/>
                <w:sz w:val="21"/>
                <w:szCs w:val="21"/>
              </w:rPr>
              <w:t>107.472470</w:t>
            </w:r>
          </w:p>
        </w:tc>
        <w:tc>
          <w:tcPr>
            <w:tcW w:w="380" w:type="pct"/>
            <w:tcBorders>
              <w:top w:val="single" w:sz="2" w:space="0" w:color="000000"/>
              <w:left w:val="single" w:sz="2" w:space="0" w:color="000000"/>
              <w:bottom w:val="single" w:sz="2" w:space="0" w:color="000000"/>
              <w:right w:val="single" w:sz="2" w:space="0" w:color="000000"/>
            </w:tcBorders>
            <w:vAlign w:val="center"/>
          </w:tcPr>
          <w:p w:rsidR="00B874C7" w:rsidRPr="00733954" w:rsidRDefault="00B874C7" w:rsidP="00075350">
            <w:pPr>
              <w:spacing w:line="240" w:lineRule="auto"/>
              <w:ind w:firstLineChars="0" w:firstLine="0"/>
              <w:jc w:val="center"/>
              <w:rPr>
                <w:rFonts w:ascii="Times New Roman" w:cs="Times New Roman"/>
                <w:sz w:val="21"/>
                <w:szCs w:val="21"/>
              </w:rPr>
            </w:pPr>
            <w:r w:rsidRPr="00B874C7">
              <w:rPr>
                <w:rFonts w:ascii="Times New Roman" w:cs="Times New Roman"/>
                <w:sz w:val="21"/>
                <w:szCs w:val="21"/>
              </w:rPr>
              <w:t>31.322483</w:t>
            </w:r>
          </w:p>
        </w:tc>
        <w:tc>
          <w:tcPr>
            <w:tcW w:w="379" w:type="pct"/>
            <w:tcBorders>
              <w:top w:val="single" w:sz="2" w:space="0" w:color="000000"/>
              <w:left w:val="single" w:sz="2" w:space="0" w:color="000000"/>
              <w:bottom w:val="single" w:sz="2" w:space="0" w:color="000000"/>
              <w:right w:val="single" w:sz="2" w:space="0" w:color="000000"/>
            </w:tcBorders>
            <w:vAlign w:val="center"/>
          </w:tcPr>
          <w:p w:rsidR="00B874C7" w:rsidRPr="00733954" w:rsidRDefault="00B874C7" w:rsidP="00075350">
            <w:pPr>
              <w:spacing w:line="240" w:lineRule="auto"/>
              <w:ind w:firstLineChars="0" w:firstLine="0"/>
              <w:jc w:val="center"/>
              <w:rPr>
                <w:rFonts w:ascii="Times New Roman" w:cs="Times New Roman"/>
                <w:sz w:val="21"/>
                <w:szCs w:val="21"/>
              </w:rPr>
            </w:pPr>
            <w:r w:rsidRPr="00733954">
              <w:rPr>
                <w:rFonts w:ascii="Times New Roman" w:cs="Times New Roman" w:hint="eastAsia"/>
                <w:sz w:val="21"/>
                <w:szCs w:val="21"/>
              </w:rPr>
              <w:t>学校</w:t>
            </w:r>
          </w:p>
        </w:tc>
        <w:tc>
          <w:tcPr>
            <w:tcW w:w="566" w:type="pct"/>
            <w:tcBorders>
              <w:top w:val="single" w:sz="2" w:space="0" w:color="000000"/>
              <w:left w:val="single" w:sz="2" w:space="0" w:color="000000"/>
              <w:bottom w:val="single" w:sz="2" w:space="0" w:color="000000"/>
              <w:right w:val="single" w:sz="2" w:space="0" w:color="000000"/>
            </w:tcBorders>
            <w:vAlign w:val="center"/>
          </w:tcPr>
          <w:p w:rsidR="00B874C7" w:rsidRPr="00733954" w:rsidRDefault="00B874C7"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sidRPr="00733954">
              <w:rPr>
                <w:rFonts w:ascii="Times New Roman" w:cs="Times New Roman" w:hint="eastAsia"/>
                <w:sz w:val="21"/>
                <w:szCs w:val="21"/>
              </w:rPr>
              <w:t>150</w:t>
            </w:r>
            <w:r w:rsidRPr="00733954">
              <w:rPr>
                <w:rFonts w:ascii="Times New Roman" w:cs="Times New Roman"/>
                <w:sz w:val="21"/>
                <w:szCs w:val="21"/>
              </w:rPr>
              <w:t>人</w:t>
            </w:r>
          </w:p>
        </w:tc>
        <w:tc>
          <w:tcPr>
            <w:tcW w:w="1043" w:type="pct"/>
            <w:vMerge/>
            <w:tcBorders>
              <w:top w:val="single" w:sz="2" w:space="0" w:color="000000"/>
              <w:left w:val="single" w:sz="2" w:space="0" w:color="000000"/>
              <w:right w:val="single" w:sz="2" w:space="0" w:color="000000"/>
            </w:tcBorders>
            <w:vAlign w:val="center"/>
          </w:tcPr>
          <w:p w:rsidR="00B874C7" w:rsidRPr="00D630D1" w:rsidRDefault="00B874C7"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NW</w:t>
            </w:r>
          </w:p>
        </w:tc>
        <w:tc>
          <w:tcPr>
            <w:tcW w:w="453" w:type="pct"/>
            <w:tcBorders>
              <w:top w:val="single" w:sz="2" w:space="0" w:color="000000"/>
              <w:left w:val="single" w:sz="2" w:space="0" w:color="000000"/>
              <w:bottom w:val="single" w:sz="2" w:space="0" w:color="000000"/>
              <w:right w:val="nil"/>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235</w:t>
            </w:r>
            <w:r w:rsidRPr="00D630D1">
              <w:rPr>
                <w:rFonts w:ascii="Times New Roman" w:cs="Times New Roman" w:hint="eastAsia"/>
                <w:sz w:val="21"/>
                <w:szCs w:val="21"/>
              </w:rPr>
              <w:t>0</w:t>
            </w:r>
          </w:p>
        </w:tc>
      </w:tr>
      <w:tr w:rsidR="00B874C7"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12</w:t>
            </w:r>
          </w:p>
        </w:tc>
        <w:tc>
          <w:tcPr>
            <w:tcW w:w="474" w:type="pct"/>
            <w:vMerge/>
            <w:tcBorders>
              <w:top w:val="single" w:sz="2" w:space="0" w:color="000000"/>
              <w:left w:val="single" w:sz="2" w:space="0" w:color="000000"/>
              <w:right w:val="single" w:sz="2" w:space="0" w:color="000000"/>
            </w:tcBorders>
            <w:vAlign w:val="center"/>
          </w:tcPr>
          <w:p w:rsidR="00B874C7" w:rsidRPr="00D630D1" w:rsidRDefault="00B874C7"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265C62">
            <w:pPr>
              <w:spacing w:line="240" w:lineRule="auto"/>
              <w:ind w:firstLineChars="0" w:firstLine="0"/>
              <w:jc w:val="center"/>
              <w:rPr>
                <w:rFonts w:ascii="Times New Roman" w:cs="Times New Roman"/>
                <w:sz w:val="21"/>
                <w:szCs w:val="21"/>
              </w:rPr>
            </w:pPr>
            <w:bookmarkStart w:id="98" w:name="OLE_LINK28"/>
            <w:r>
              <w:rPr>
                <w:rFonts w:ascii="Times New Roman" w:cs="Times New Roman" w:hint="eastAsia"/>
                <w:sz w:val="21"/>
                <w:szCs w:val="21"/>
              </w:rPr>
              <w:t>北斗村</w:t>
            </w:r>
            <w:r w:rsidRPr="00D630D1">
              <w:rPr>
                <w:rFonts w:ascii="Times New Roman" w:cs="Times New Roman"/>
                <w:sz w:val="21"/>
                <w:szCs w:val="21"/>
              </w:rPr>
              <w:t>农户</w:t>
            </w:r>
            <w:bookmarkEnd w:id="98"/>
            <w:r w:rsidRPr="00D630D1">
              <w:rPr>
                <w:rFonts w:ascii="Times New Roman" w:cs="Times New Roman" w:hint="eastAsia"/>
                <w:sz w:val="21"/>
                <w:szCs w:val="21"/>
              </w:rPr>
              <w:t>12#</w:t>
            </w:r>
          </w:p>
        </w:tc>
        <w:tc>
          <w:tcPr>
            <w:tcW w:w="426"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265C62">
            <w:pPr>
              <w:spacing w:line="240" w:lineRule="auto"/>
              <w:ind w:firstLineChars="0" w:firstLine="0"/>
              <w:jc w:val="center"/>
              <w:rPr>
                <w:rFonts w:ascii="Times New Roman" w:cs="Times New Roman"/>
                <w:sz w:val="21"/>
                <w:szCs w:val="21"/>
              </w:rPr>
            </w:pPr>
            <w:r w:rsidRPr="00B874C7">
              <w:rPr>
                <w:rFonts w:ascii="Times New Roman" w:cs="Times New Roman"/>
                <w:sz w:val="21"/>
                <w:szCs w:val="21"/>
              </w:rPr>
              <w:t>107.471126</w:t>
            </w:r>
          </w:p>
        </w:tc>
        <w:tc>
          <w:tcPr>
            <w:tcW w:w="380"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246ABB">
            <w:pPr>
              <w:spacing w:line="240" w:lineRule="auto"/>
              <w:ind w:firstLineChars="0" w:firstLine="0"/>
              <w:jc w:val="center"/>
              <w:rPr>
                <w:rFonts w:ascii="Times New Roman" w:cs="Times New Roman"/>
                <w:sz w:val="21"/>
                <w:szCs w:val="21"/>
              </w:rPr>
            </w:pPr>
            <w:r w:rsidRPr="00B874C7">
              <w:rPr>
                <w:rFonts w:ascii="Times New Roman" w:cs="Times New Roman"/>
                <w:sz w:val="21"/>
                <w:szCs w:val="21"/>
              </w:rPr>
              <w:t>31.320629</w:t>
            </w:r>
          </w:p>
        </w:tc>
        <w:tc>
          <w:tcPr>
            <w:tcW w:w="379"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A140D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约</w:t>
            </w:r>
            <w:r w:rsidR="00A140DC">
              <w:rPr>
                <w:rFonts w:ascii="Times New Roman" w:cs="Times New Roman" w:hint="eastAsia"/>
                <w:sz w:val="21"/>
                <w:szCs w:val="21"/>
              </w:rPr>
              <w:t>8</w:t>
            </w:r>
            <w:r>
              <w:rPr>
                <w:rFonts w:ascii="Times New Roman" w:cs="Times New Roman" w:hint="eastAsia"/>
                <w:sz w:val="21"/>
                <w:szCs w:val="21"/>
              </w:rPr>
              <w:t>0</w:t>
            </w:r>
            <w:r w:rsidRPr="00D630D1">
              <w:rPr>
                <w:rFonts w:ascii="Times New Roman" w:cs="Times New Roman"/>
                <w:sz w:val="21"/>
                <w:szCs w:val="21"/>
              </w:rPr>
              <w:t>户</w:t>
            </w:r>
            <w:r w:rsidR="00A140DC">
              <w:rPr>
                <w:rFonts w:ascii="Times New Roman" w:cs="Times New Roman" w:hint="eastAsia"/>
                <w:sz w:val="21"/>
                <w:szCs w:val="21"/>
              </w:rPr>
              <w:t>235</w:t>
            </w:r>
            <w:r w:rsidRPr="00D630D1">
              <w:rPr>
                <w:rFonts w:ascii="Times New Roman" w:cs="Times New Roman"/>
                <w:sz w:val="21"/>
                <w:szCs w:val="21"/>
              </w:rPr>
              <w:t>人</w:t>
            </w:r>
          </w:p>
        </w:tc>
        <w:tc>
          <w:tcPr>
            <w:tcW w:w="1043" w:type="pct"/>
            <w:vMerge/>
            <w:tcBorders>
              <w:top w:val="single" w:sz="2" w:space="0" w:color="000000"/>
              <w:left w:val="single" w:sz="2" w:space="0" w:color="000000"/>
              <w:right w:val="single" w:sz="2" w:space="0" w:color="000000"/>
            </w:tcBorders>
            <w:vAlign w:val="center"/>
          </w:tcPr>
          <w:p w:rsidR="00B874C7" w:rsidRPr="00D630D1" w:rsidRDefault="00B874C7"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B874C7" w:rsidRPr="00D630D1" w:rsidRDefault="00B874C7"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NW</w:t>
            </w:r>
          </w:p>
        </w:tc>
        <w:tc>
          <w:tcPr>
            <w:tcW w:w="453" w:type="pct"/>
            <w:tcBorders>
              <w:top w:val="single" w:sz="2" w:space="0" w:color="000000"/>
              <w:left w:val="single" w:sz="2" w:space="0" w:color="000000"/>
              <w:bottom w:val="single" w:sz="2" w:space="0" w:color="000000"/>
              <w:right w:val="nil"/>
            </w:tcBorders>
            <w:vAlign w:val="center"/>
          </w:tcPr>
          <w:p w:rsidR="00B874C7" w:rsidRPr="00D630D1" w:rsidRDefault="00A140DC"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260</w:t>
            </w:r>
            <w:r w:rsidR="00B874C7" w:rsidRPr="00D630D1">
              <w:rPr>
                <w:rFonts w:ascii="Times New Roman" w:cs="Times New Roman" w:hint="eastAsia"/>
                <w:sz w:val="21"/>
                <w:szCs w:val="21"/>
              </w:rPr>
              <w:t>0</w:t>
            </w:r>
          </w:p>
        </w:tc>
      </w:tr>
      <w:tr w:rsidR="00A140DC"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A140DC" w:rsidRPr="00D630D1" w:rsidRDefault="00A140DC"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13</w:t>
            </w:r>
          </w:p>
        </w:tc>
        <w:tc>
          <w:tcPr>
            <w:tcW w:w="474" w:type="pct"/>
            <w:vMerge/>
            <w:tcBorders>
              <w:top w:val="single" w:sz="2" w:space="0" w:color="000000"/>
              <w:left w:val="single" w:sz="2" w:space="0" w:color="000000"/>
              <w:right w:val="single" w:sz="2" w:space="0" w:color="000000"/>
            </w:tcBorders>
            <w:vAlign w:val="center"/>
          </w:tcPr>
          <w:p w:rsidR="00A140DC" w:rsidRPr="00D630D1" w:rsidRDefault="00A140DC"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9B1506">
            <w:pPr>
              <w:spacing w:line="240" w:lineRule="auto"/>
              <w:ind w:firstLineChars="0" w:firstLine="0"/>
              <w:jc w:val="center"/>
              <w:rPr>
                <w:rFonts w:ascii="Times New Roman" w:cs="Times New Roman"/>
                <w:sz w:val="21"/>
                <w:szCs w:val="21"/>
              </w:rPr>
            </w:pPr>
            <w:r>
              <w:rPr>
                <w:rFonts w:ascii="Times New Roman" w:cs="Times New Roman" w:hint="eastAsia"/>
                <w:sz w:val="21"/>
                <w:szCs w:val="21"/>
              </w:rPr>
              <w:t>普光</w:t>
            </w:r>
            <w:r w:rsidRPr="00D630D1">
              <w:rPr>
                <w:rFonts w:ascii="Times New Roman" w:cs="Times New Roman"/>
                <w:sz w:val="21"/>
                <w:szCs w:val="21"/>
              </w:rPr>
              <w:t>镇场镇</w:t>
            </w:r>
            <w:r w:rsidRPr="00D630D1">
              <w:rPr>
                <w:rFonts w:ascii="Times New Roman" w:cs="Times New Roman" w:hint="eastAsia"/>
                <w:sz w:val="21"/>
                <w:szCs w:val="21"/>
              </w:rPr>
              <w:t>13#</w:t>
            </w:r>
          </w:p>
        </w:tc>
        <w:tc>
          <w:tcPr>
            <w:tcW w:w="426"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sidRPr="00A140DC">
              <w:rPr>
                <w:rFonts w:ascii="Times New Roman" w:cs="Times New Roman"/>
                <w:sz w:val="21"/>
                <w:szCs w:val="21"/>
              </w:rPr>
              <w:t>107.455787</w:t>
            </w:r>
          </w:p>
        </w:tc>
        <w:tc>
          <w:tcPr>
            <w:tcW w:w="380"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sidRPr="00A140DC">
              <w:rPr>
                <w:rFonts w:ascii="Times New Roman" w:cs="Times New Roman"/>
                <w:sz w:val="21"/>
                <w:szCs w:val="21"/>
              </w:rPr>
              <w:t>31.32030</w:t>
            </w:r>
            <w:r>
              <w:rPr>
                <w:rFonts w:ascii="Times New Roman" w:cs="Times New Roman" w:hint="eastAsia"/>
                <w:sz w:val="21"/>
                <w:szCs w:val="21"/>
              </w:rPr>
              <w:t>5</w:t>
            </w:r>
          </w:p>
        </w:tc>
        <w:tc>
          <w:tcPr>
            <w:tcW w:w="379"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C460E1">
            <w:pPr>
              <w:spacing w:line="240" w:lineRule="auto"/>
              <w:ind w:firstLineChars="0" w:firstLine="0"/>
              <w:jc w:val="center"/>
              <w:rPr>
                <w:rFonts w:ascii="Times New Roman" w:cs="Times New Roman"/>
                <w:sz w:val="21"/>
                <w:szCs w:val="21"/>
              </w:rPr>
            </w:pPr>
            <w:r>
              <w:rPr>
                <w:rFonts w:ascii="Times New Roman" w:cs="Times New Roman" w:hint="eastAsia"/>
                <w:sz w:val="21"/>
                <w:szCs w:val="21"/>
              </w:rPr>
              <w:t>居住区</w:t>
            </w:r>
          </w:p>
        </w:tc>
        <w:tc>
          <w:tcPr>
            <w:tcW w:w="566"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246ABB">
            <w:pPr>
              <w:spacing w:line="240" w:lineRule="auto"/>
              <w:ind w:firstLineChars="0" w:firstLine="0"/>
              <w:jc w:val="center"/>
              <w:rPr>
                <w:rFonts w:ascii="Times New Roman" w:cs="Times New Roman"/>
                <w:sz w:val="21"/>
                <w:szCs w:val="21"/>
              </w:rPr>
            </w:pPr>
            <w:r>
              <w:rPr>
                <w:rFonts w:ascii="Times New Roman" w:cs="Times New Roman" w:hint="eastAsia"/>
                <w:sz w:val="21"/>
                <w:szCs w:val="21"/>
              </w:rPr>
              <w:t>约</w:t>
            </w:r>
            <w:r>
              <w:rPr>
                <w:rFonts w:ascii="Times New Roman" w:cs="Times New Roman" w:hint="eastAsia"/>
                <w:sz w:val="21"/>
                <w:szCs w:val="21"/>
              </w:rPr>
              <w:t>2</w:t>
            </w:r>
            <w:r>
              <w:rPr>
                <w:rFonts w:ascii="Times New Roman" w:cs="Times New Roman" w:hint="eastAsia"/>
                <w:sz w:val="21"/>
                <w:szCs w:val="21"/>
              </w:rPr>
              <w:t>万人</w:t>
            </w:r>
          </w:p>
        </w:tc>
        <w:tc>
          <w:tcPr>
            <w:tcW w:w="1043" w:type="pct"/>
            <w:vMerge/>
            <w:tcBorders>
              <w:top w:val="single" w:sz="2" w:space="0" w:color="000000"/>
              <w:left w:val="single" w:sz="2" w:space="0" w:color="000000"/>
              <w:right w:val="single" w:sz="2" w:space="0" w:color="000000"/>
            </w:tcBorders>
            <w:vAlign w:val="center"/>
          </w:tcPr>
          <w:p w:rsidR="00A140DC" w:rsidRPr="00D630D1" w:rsidRDefault="00A140DC"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W</w:t>
            </w:r>
          </w:p>
        </w:tc>
        <w:tc>
          <w:tcPr>
            <w:tcW w:w="453" w:type="pct"/>
            <w:tcBorders>
              <w:top w:val="single" w:sz="2" w:space="0" w:color="000000"/>
              <w:left w:val="single" w:sz="2" w:space="0" w:color="000000"/>
              <w:bottom w:val="single" w:sz="2" w:space="0" w:color="000000"/>
              <w:right w:val="nil"/>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Pr>
                <w:rFonts w:ascii="Times New Roman" w:cs="Times New Roman" w:hint="eastAsia"/>
                <w:sz w:val="21"/>
                <w:szCs w:val="21"/>
              </w:rPr>
              <w:t>454</w:t>
            </w:r>
            <w:r w:rsidRPr="00D630D1">
              <w:rPr>
                <w:rFonts w:ascii="Times New Roman" w:cs="Times New Roman" w:hint="eastAsia"/>
                <w:sz w:val="21"/>
                <w:szCs w:val="21"/>
              </w:rPr>
              <w:t>0</w:t>
            </w:r>
          </w:p>
        </w:tc>
      </w:tr>
      <w:tr w:rsidR="00A140DC" w:rsidRPr="00D630D1" w:rsidTr="00C20917">
        <w:trPr>
          <w:trHeight w:val="381"/>
          <w:jc w:val="center"/>
        </w:trPr>
        <w:tc>
          <w:tcPr>
            <w:tcW w:w="189" w:type="pct"/>
            <w:tcBorders>
              <w:top w:val="single" w:sz="2" w:space="0" w:color="000000"/>
              <w:left w:val="nil"/>
              <w:bottom w:val="single" w:sz="2" w:space="0" w:color="000000"/>
              <w:right w:val="single" w:sz="2" w:space="0" w:color="000000"/>
            </w:tcBorders>
            <w:vAlign w:val="center"/>
          </w:tcPr>
          <w:p w:rsidR="00A140DC" w:rsidRPr="00D630D1" w:rsidRDefault="00A140DC"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14</w:t>
            </w:r>
          </w:p>
        </w:tc>
        <w:tc>
          <w:tcPr>
            <w:tcW w:w="474" w:type="pct"/>
            <w:vMerge/>
            <w:tcBorders>
              <w:top w:val="single" w:sz="2" w:space="0" w:color="000000"/>
              <w:left w:val="single" w:sz="2" w:space="0" w:color="000000"/>
              <w:right w:val="single" w:sz="2" w:space="0" w:color="000000"/>
            </w:tcBorders>
            <w:vAlign w:val="center"/>
          </w:tcPr>
          <w:p w:rsidR="00A140DC" w:rsidRPr="00D630D1" w:rsidRDefault="00A140DC" w:rsidP="00C20917">
            <w:pPr>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Pr>
                <w:rFonts w:ascii="Times New Roman" w:cs="Times New Roman" w:hint="eastAsia"/>
                <w:sz w:val="21"/>
                <w:szCs w:val="21"/>
              </w:rPr>
              <w:t>新滩村</w:t>
            </w:r>
            <w:r w:rsidRPr="00D630D1">
              <w:rPr>
                <w:rFonts w:ascii="Times New Roman" w:cs="Times New Roman"/>
                <w:sz w:val="21"/>
                <w:szCs w:val="21"/>
              </w:rPr>
              <w:t>农户</w:t>
            </w:r>
            <w:r>
              <w:rPr>
                <w:rFonts w:ascii="Times New Roman" w:cs="Times New Roman" w:hint="eastAsia"/>
                <w:sz w:val="21"/>
                <w:szCs w:val="21"/>
              </w:rPr>
              <w:t>14</w:t>
            </w:r>
            <w:r w:rsidRPr="00D630D1">
              <w:rPr>
                <w:rFonts w:ascii="Times New Roman" w:cs="Times New Roman" w:hint="eastAsia"/>
                <w:sz w:val="21"/>
                <w:szCs w:val="21"/>
              </w:rPr>
              <w:t>#</w:t>
            </w:r>
          </w:p>
        </w:tc>
        <w:tc>
          <w:tcPr>
            <w:tcW w:w="426"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sidRPr="00A140DC">
              <w:rPr>
                <w:rFonts w:ascii="Times New Roman" w:cs="Times New Roman"/>
                <w:sz w:val="21"/>
                <w:szCs w:val="21"/>
              </w:rPr>
              <w:t>107.46178</w:t>
            </w:r>
            <w:r>
              <w:rPr>
                <w:rFonts w:ascii="Times New Roman" w:cs="Times New Roman" w:hint="eastAsia"/>
                <w:sz w:val="21"/>
                <w:szCs w:val="21"/>
              </w:rPr>
              <w:t>1</w:t>
            </w:r>
          </w:p>
        </w:tc>
        <w:tc>
          <w:tcPr>
            <w:tcW w:w="380"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sidRPr="00A140DC">
              <w:rPr>
                <w:rFonts w:ascii="Times New Roman" w:cs="Times New Roman"/>
                <w:sz w:val="21"/>
                <w:szCs w:val="21"/>
              </w:rPr>
              <w:t>31.301992</w:t>
            </w:r>
          </w:p>
        </w:tc>
        <w:tc>
          <w:tcPr>
            <w:tcW w:w="379"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约</w:t>
            </w:r>
            <w:r w:rsidRPr="00D630D1">
              <w:rPr>
                <w:rFonts w:ascii="Times New Roman" w:cs="Times New Roman" w:hint="eastAsia"/>
                <w:sz w:val="21"/>
                <w:szCs w:val="21"/>
              </w:rPr>
              <w:t>50</w:t>
            </w:r>
            <w:r w:rsidRPr="00D630D1">
              <w:rPr>
                <w:rFonts w:ascii="Times New Roman" w:cs="Times New Roman"/>
                <w:sz w:val="21"/>
                <w:szCs w:val="21"/>
              </w:rPr>
              <w:t>户</w:t>
            </w:r>
            <w:r w:rsidRPr="00D630D1">
              <w:rPr>
                <w:rFonts w:ascii="Times New Roman" w:cs="Times New Roman" w:hint="eastAsia"/>
                <w:sz w:val="21"/>
                <w:szCs w:val="21"/>
              </w:rPr>
              <w:t>160</w:t>
            </w:r>
            <w:r w:rsidRPr="00D630D1">
              <w:rPr>
                <w:rFonts w:ascii="Times New Roman" w:cs="Times New Roman"/>
                <w:sz w:val="21"/>
                <w:szCs w:val="21"/>
              </w:rPr>
              <w:t>人</w:t>
            </w:r>
          </w:p>
        </w:tc>
        <w:tc>
          <w:tcPr>
            <w:tcW w:w="1043" w:type="pct"/>
            <w:vMerge/>
            <w:tcBorders>
              <w:top w:val="single" w:sz="2" w:space="0" w:color="000000"/>
              <w:left w:val="single" w:sz="2" w:space="0" w:color="000000"/>
              <w:right w:val="single" w:sz="2" w:space="0" w:color="000000"/>
            </w:tcBorders>
            <w:vAlign w:val="center"/>
          </w:tcPr>
          <w:p w:rsidR="00A140DC" w:rsidRPr="00D630D1" w:rsidRDefault="00A140DC" w:rsidP="0042573A">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Pr>
                <w:rFonts w:ascii="Times New Roman" w:cs="Times New Roman" w:hint="eastAsia"/>
                <w:sz w:val="21"/>
                <w:szCs w:val="21"/>
              </w:rPr>
              <w:t>S</w:t>
            </w:r>
            <w:r w:rsidRPr="00D630D1">
              <w:rPr>
                <w:rFonts w:ascii="Times New Roman" w:cs="Times New Roman" w:hint="eastAsia"/>
                <w:sz w:val="21"/>
                <w:szCs w:val="21"/>
              </w:rPr>
              <w:t>W</w:t>
            </w:r>
          </w:p>
        </w:tc>
        <w:tc>
          <w:tcPr>
            <w:tcW w:w="453" w:type="pct"/>
            <w:tcBorders>
              <w:top w:val="single" w:sz="2" w:space="0" w:color="000000"/>
              <w:left w:val="single" w:sz="2" w:space="0" w:color="000000"/>
              <w:bottom w:val="single" w:sz="2" w:space="0" w:color="000000"/>
              <w:right w:val="nil"/>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Pr>
                <w:rFonts w:ascii="Times New Roman" w:cs="Times New Roman" w:hint="eastAsia"/>
                <w:sz w:val="21"/>
                <w:szCs w:val="21"/>
              </w:rPr>
              <w:t>5070</w:t>
            </w:r>
          </w:p>
        </w:tc>
      </w:tr>
      <w:tr w:rsidR="00A140DC" w:rsidRPr="00D630D1" w:rsidTr="00C460E1">
        <w:trPr>
          <w:trHeight w:val="25"/>
          <w:jc w:val="center"/>
        </w:trPr>
        <w:tc>
          <w:tcPr>
            <w:tcW w:w="189" w:type="pct"/>
            <w:tcBorders>
              <w:top w:val="single" w:sz="2" w:space="0" w:color="000000"/>
              <w:left w:val="nil"/>
              <w:bottom w:val="single" w:sz="2" w:space="0" w:color="000000"/>
              <w:right w:val="single" w:sz="2" w:space="0" w:color="000000"/>
            </w:tcBorders>
            <w:vAlign w:val="center"/>
          </w:tcPr>
          <w:p w:rsidR="00A140DC" w:rsidRPr="00D630D1" w:rsidRDefault="00A140DC"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15</w:t>
            </w:r>
          </w:p>
        </w:tc>
        <w:tc>
          <w:tcPr>
            <w:tcW w:w="474" w:type="pct"/>
            <w:vMerge/>
            <w:tcBorders>
              <w:left w:val="single" w:sz="2" w:space="0" w:color="000000"/>
              <w:right w:val="single" w:sz="2" w:space="0" w:color="000000"/>
            </w:tcBorders>
            <w:vAlign w:val="center"/>
          </w:tcPr>
          <w:p w:rsidR="00A140DC" w:rsidRPr="00D630D1" w:rsidRDefault="00A140DC"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A140DC">
            <w:pPr>
              <w:spacing w:line="240" w:lineRule="auto"/>
              <w:ind w:firstLineChars="0" w:firstLine="0"/>
              <w:jc w:val="center"/>
              <w:rPr>
                <w:rFonts w:ascii="Times New Roman" w:cs="Times New Roman"/>
                <w:sz w:val="21"/>
                <w:szCs w:val="21"/>
              </w:rPr>
            </w:pPr>
            <w:r w:rsidRPr="00733954">
              <w:rPr>
                <w:rFonts w:ascii="Times New Roman" w:cs="Times New Roman" w:hint="eastAsia"/>
                <w:sz w:val="21"/>
                <w:szCs w:val="21"/>
              </w:rPr>
              <w:t>普光镇慈云小学</w:t>
            </w:r>
            <w:r>
              <w:rPr>
                <w:rFonts w:ascii="Times New Roman" w:cs="Times New Roman" w:hint="eastAsia"/>
                <w:sz w:val="21"/>
                <w:szCs w:val="21"/>
              </w:rPr>
              <w:t>15</w:t>
            </w:r>
            <w:r w:rsidRPr="00733954">
              <w:rPr>
                <w:rFonts w:ascii="Times New Roman" w:cs="Times New Roman" w:hint="eastAsia"/>
                <w:sz w:val="21"/>
                <w:szCs w:val="21"/>
              </w:rPr>
              <w:t>#</w:t>
            </w:r>
          </w:p>
        </w:tc>
        <w:tc>
          <w:tcPr>
            <w:tcW w:w="426"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A140DC">
              <w:rPr>
                <w:rFonts w:ascii="Times New Roman" w:cs="Times New Roman"/>
                <w:sz w:val="21"/>
                <w:szCs w:val="21"/>
              </w:rPr>
              <w:t>107.48223</w:t>
            </w:r>
            <w:r>
              <w:rPr>
                <w:rFonts w:ascii="Times New Roman" w:cs="Times New Roman" w:hint="eastAsia"/>
                <w:sz w:val="21"/>
                <w:szCs w:val="21"/>
              </w:rPr>
              <w:t>3</w:t>
            </w:r>
          </w:p>
        </w:tc>
        <w:tc>
          <w:tcPr>
            <w:tcW w:w="380"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A140DC">
              <w:rPr>
                <w:rFonts w:ascii="Times New Roman" w:cs="Times New Roman"/>
                <w:sz w:val="21"/>
                <w:szCs w:val="21"/>
              </w:rPr>
              <w:t>31.325627</w:t>
            </w:r>
          </w:p>
        </w:tc>
        <w:tc>
          <w:tcPr>
            <w:tcW w:w="379"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hint="eastAsia"/>
                <w:sz w:val="21"/>
                <w:szCs w:val="21"/>
              </w:rPr>
              <w:t>学校</w:t>
            </w:r>
          </w:p>
        </w:tc>
        <w:tc>
          <w:tcPr>
            <w:tcW w:w="566"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sidRPr="00733954">
              <w:rPr>
                <w:rFonts w:ascii="Times New Roman" w:cs="Times New Roman" w:hint="eastAsia"/>
                <w:sz w:val="21"/>
                <w:szCs w:val="21"/>
              </w:rPr>
              <w:t>150</w:t>
            </w:r>
            <w:r w:rsidRPr="00733954">
              <w:rPr>
                <w:rFonts w:ascii="Times New Roman" w:cs="Times New Roman"/>
                <w:sz w:val="21"/>
                <w:szCs w:val="21"/>
              </w:rPr>
              <w:t>人</w:t>
            </w:r>
          </w:p>
        </w:tc>
        <w:tc>
          <w:tcPr>
            <w:tcW w:w="1043" w:type="pct"/>
            <w:vMerge/>
            <w:tcBorders>
              <w:left w:val="single" w:sz="2" w:space="0" w:color="000000"/>
              <w:right w:val="single" w:sz="2" w:space="0" w:color="000000"/>
            </w:tcBorders>
            <w:vAlign w:val="center"/>
          </w:tcPr>
          <w:p w:rsidR="00A140DC" w:rsidRPr="00D630D1" w:rsidRDefault="00A140DC" w:rsidP="00455EB1">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NW</w:t>
            </w:r>
          </w:p>
        </w:tc>
        <w:tc>
          <w:tcPr>
            <w:tcW w:w="453" w:type="pct"/>
            <w:tcBorders>
              <w:top w:val="single" w:sz="2" w:space="0" w:color="000000"/>
              <w:left w:val="single" w:sz="2" w:space="0" w:color="000000"/>
              <w:bottom w:val="single" w:sz="2" w:space="0" w:color="000000"/>
              <w:right w:val="nil"/>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Pr>
                <w:rFonts w:ascii="Times New Roman" w:cs="Times New Roman" w:hint="eastAsia"/>
                <w:sz w:val="21"/>
                <w:szCs w:val="21"/>
              </w:rPr>
              <w:t>174</w:t>
            </w:r>
            <w:r w:rsidRPr="00D630D1">
              <w:rPr>
                <w:rFonts w:ascii="Times New Roman" w:cs="Times New Roman" w:hint="eastAsia"/>
                <w:sz w:val="21"/>
                <w:szCs w:val="21"/>
              </w:rPr>
              <w:t>0</w:t>
            </w:r>
          </w:p>
        </w:tc>
      </w:tr>
      <w:tr w:rsidR="00A140DC" w:rsidRPr="00D630D1" w:rsidTr="00B06FB5">
        <w:trPr>
          <w:trHeight w:val="25"/>
          <w:jc w:val="center"/>
        </w:trPr>
        <w:tc>
          <w:tcPr>
            <w:tcW w:w="189" w:type="pct"/>
            <w:tcBorders>
              <w:top w:val="single" w:sz="2" w:space="0" w:color="000000"/>
              <w:left w:val="nil"/>
              <w:bottom w:val="single" w:sz="2" w:space="0" w:color="000000"/>
              <w:right w:val="single" w:sz="2" w:space="0" w:color="000000"/>
            </w:tcBorders>
            <w:vAlign w:val="center"/>
          </w:tcPr>
          <w:p w:rsidR="00A140DC" w:rsidRPr="00D630D1" w:rsidRDefault="00A140DC"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16</w:t>
            </w:r>
          </w:p>
        </w:tc>
        <w:tc>
          <w:tcPr>
            <w:tcW w:w="474" w:type="pct"/>
            <w:vMerge/>
            <w:tcBorders>
              <w:left w:val="single" w:sz="2" w:space="0" w:color="000000"/>
              <w:right w:val="single" w:sz="2" w:space="0" w:color="000000"/>
            </w:tcBorders>
            <w:vAlign w:val="center"/>
          </w:tcPr>
          <w:p w:rsidR="00A140DC" w:rsidRPr="00D630D1" w:rsidRDefault="00A140DC"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A140DC">
            <w:pPr>
              <w:widowControl/>
              <w:topLinePunct w:val="0"/>
              <w:adjustRightInd/>
              <w:spacing w:line="240" w:lineRule="auto"/>
              <w:ind w:firstLineChars="0" w:firstLine="0"/>
              <w:jc w:val="center"/>
              <w:rPr>
                <w:rFonts w:ascii="Times New Roman" w:cs="Times New Roman"/>
                <w:kern w:val="2"/>
                <w:sz w:val="21"/>
                <w:szCs w:val="21"/>
              </w:rPr>
            </w:pPr>
            <w:r w:rsidRPr="00733954">
              <w:rPr>
                <w:rFonts w:ascii="Times New Roman" w:cs="Times New Roman" w:hint="eastAsia"/>
                <w:sz w:val="21"/>
                <w:szCs w:val="21"/>
              </w:rPr>
              <w:t>沙坝</w:t>
            </w:r>
            <w:r w:rsidRPr="00733954">
              <w:rPr>
                <w:rFonts w:ascii="Times New Roman" w:cs="Times New Roman"/>
                <w:sz w:val="21"/>
                <w:szCs w:val="21"/>
              </w:rPr>
              <w:t>村农户</w:t>
            </w:r>
            <w:r>
              <w:rPr>
                <w:rFonts w:ascii="Times New Roman" w:cs="Times New Roman" w:hint="eastAsia"/>
                <w:sz w:val="21"/>
                <w:szCs w:val="21"/>
              </w:rPr>
              <w:t>16</w:t>
            </w:r>
            <w:r w:rsidRPr="00733954">
              <w:rPr>
                <w:rFonts w:ascii="Times New Roman" w:cs="Times New Roman" w:hint="eastAsia"/>
                <w:sz w:val="21"/>
                <w:szCs w:val="21"/>
              </w:rPr>
              <w:t>#</w:t>
            </w:r>
          </w:p>
        </w:tc>
        <w:tc>
          <w:tcPr>
            <w:tcW w:w="426"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107.</w:t>
            </w:r>
            <w:r w:rsidRPr="00733954">
              <w:rPr>
                <w:rFonts w:ascii="Times New Roman" w:cs="Times New Roman" w:hint="eastAsia"/>
                <w:sz w:val="21"/>
                <w:szCs w:val="21"/>
              </w:rPr>
              <w:t>494344</w:t>
            </w:r>
          </w:p>
        </w:tc>
        <w:tc>
          <w:tcPr>
            <w:tcW w:w="380"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31.</w:t>
            </w:r>
            <w:r w:rsidRPr="00733954">
              <w:rPr>
                <w:rFonts w:ascii="Times New Roman" w:cs="Times New Roman" w:hint="eastAsia"/>
                <w:sz w:val="21"/>
                <w:szCs w:val="21"/>
              </w:rPr>
              <w:t>333362</w:t>
            </w:r>
          </w:p>
        </w:tc>
        <w:tc>
          <w:tcPr>
            <w:tcW w:w="379"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sidRPr="00733954">
              <w:rPr>
                <w:rFonts w:ascii="Times New Roman" w:cs="Times New Roman" w:hint="eastAsia"/>
                <w:sz w:val="21"/>
                <w:szCs w:val="21"/>
              </w:rPr>
              <w:t>25</w:t>
            </w:r>
            <w:r w:rsidRPr="00733954">
              <w:rPr>
                <w:rFonts w:ascii="Times New Roman" w:cs="Times New Roman"/>
                <w:sz w:val="21"/>
                <w:szCs w:val="21"/>
              </w:rPr>
              <w:t>户</w:t>
            </w:r>
            <w:r w:rsidRPr="00733954">
              <w:rPr>
                <w:rFonts w:ascii="Times New Roman" w:cs="Times New Roman" w:hint="eastAsia"/>
                <w:sz w:val="21"/>
                <w:szCs w:val="21"/>
              </w:rPr>
              <w:t>80</w:t>
            </w:r>
            <w:r w:rsidRPr="00733954">
              <w:rPr>
                <w:rFonts w:ascii="Times New Roman" w:cs="Times New Roman"/>
                <w:sz w:val="21"/>
                <w:szCs w:val="21"/>
              </w:rPr>
              <w:t>人</w:t>
            </w:r>
          </w:p>
        </w:tc>
        <w:tc>
          <w:tcPr>
            <w:tcW w:w="1043" w:type="pct"/>
            <w:vMerge/>
            <w:tcBorders>
              <w:left w:val="single" w:sz="2" w:space="0" w:color="000000"/>
              <w:right w:val="single" w:sz="2" w:space="0" w:color="000000"/>
            </w:tcBorders>
            <w:vAlign w:val="center"/>
          </w:tcPr>
          <w:p w:rsidR="00A140DC" w:rsidRPr="00D630D1" w:rsidRDefault="00A140DC" w:rsidP="00AA2CA8">
            <w:pPr>
              <w:spacing w:line="240" w:lineRule="auto"/>
              <w:ind w:firstLineChars="0" w:firstLine="0"/>
              <w:jc w:val="center"/>
              <w:rPr>
                <w:rFonts w:ascii="Times New Roman" w:cs="Times New Roman"/>
                <w:b/>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NE</w:t>
            </w:r>
          </w:p>
        </w:tc>
        <w:tc>
          <w:tcPr>
            <w:tcW w:w="453" w:type="pct"/>
            <w:tcBorders>
              <w:top w:val="single" w:sz="2" w:space="0" w:color="000000"/>
              <w:left w:val="single" w:sz="2" w:space="0" w:color="000000"/>
              <w:bottom w:val="single" w:sz="2" w:space="0" w:color="000000"/>
              <w:right w:val="nil"/>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Pr>
                <w:rFonts w:ascii="Times New Roman" w:cs="Times New Roman" w:hint="eastAsia"/>
                <w:sz w:val="21"/>
                <w:szCs w:val="21"/>
              </w:rPr>
              <w:t>305</w:t>
            </w:r>
            <w:r w:rsidRPr="00D630D1">
              <w:rPr>
                <w:rFonts w:ascii="Times New Roman" w:cs="Times New Roman" w:hint="eastAsia"/>
                <w:sz w:val="21"/>
                <w:szCs w:val="21"/>
              </w:rPr>
              <w:t>0</w:t>
            </w:r>
          </w:p>
        </w:tc>
      </w:tr>
      <w:tr w:rsidR="00A140DC" w:rsidRPr="00D630D1" w:rsidTr="00B06FB5">
        <w:trPr>
          <w:trHeight w:val="25"/>
          <w:jc w:val="center"/>
        </w:trPr>
        <w:tc>
          <w:tcPr>
            <w:tcW w:w="189" w:type="pct"/>
            <w:tcBorders>
              <w:top w:val="single" w:sz="2" w:space="0" w:color="000000"/>
              <w:left w:val="nil"/>
              <w:bottom w:val="single" w:sz="2" w:space="0" w:color="000000"/>
              <w:right w:val="single" w:sz="2" w:space="0" w:color="000000"/>
            </w:tcBorders>
            <w:vAlign w:val="center"/>
          </w:tcPr>
          <w:p w:rsidR="00A140DC" w:rsidRPr="00D630D1" w:rsidRDefault="00A140DC"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17</w:t>
            </w:r>
          </w:p>
        </w:tc>
        <w:tc>
          <w:tcPr>
            <w:tcW w:w="474" w:type="pct"/>
            <w:vMerge/>
            <w:tcBorders>
              <w:left w:val="single" w:sz="2" w:space="0" w:color="000000"/>
              <w:right w:val="single" w:sz="2" w:space="0" w:color="000000"/>
            </w:tcBorders>
            <w:vAlign w:val="center"/>
          </w:tcPr>
          <w:p w:rsidR="00A140DC" w:rsidRPr="00D630D1" w:rsidRDefault="00A140DC"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A140DC">
            <w:pPr>
              <w:spacing w:line="240" w:lineRule="auto"/>
              <w:ind w:firstLineChars="0" w:firstLine="0"/>
              <w:jc w:val="center"/>
              <w:rPr>
                <w:rFonts w:ascii="Times New Roman" w:cs="Times New Roman"/>
                <w:sz w:val="21"/>
                <w:szCs w:val="21"/>
              </w:rPr>
            </w:pPr>
            <w:r w:rsidRPr="00733954">
              <w:rPr>
                <w:rFonts w:ascii="Times New Roman" w:cs="Times New Roman" w:hint="eastAsia"/>
                <w:sz w:val="21"/>
                <w:szCs w:val="21"/>
              </w:rPr>
              <w:t>新房</w:t>
            </w:r>
            <w:r w:rsidRPr="00733954">
              <w:rPr>
                <w:rFonts w:ascii="Times New Roman" w:cs="Times New Roman"/>
                <w:sz w:val="21"/>
                <w:szCs w:val="21"/>
              </w:rPr>
              <w:t>子住户</w:t>
            </w:r>
            <w:r w:rsidRPr="00733954">
              <w:rPr>
                <w:rFonts w:ascii="Times New Roman" w:cs="Times New Roman" w:hint="eastAsia"/>
                <w:sz w:val="21"/>
                <w:szCs w:val="21"/>
              </w:rPr>
              <w:t>1</w:t>
            </w:r>
            <w:r>
              <w:rPr>
                <w:rFonts w:ascii="Times New Roman" w:cs="Times New Roman" w:hint="eastAsia"/>
                <w:sz w:val="21"/>
                <w:szCs w:val="21"/>
              </w:rPr>
              <w:t>7</w:t>
            </w:r>
            <w:r w:rsidRPr="00733954">
              <w:rPr>
                <w:rFonts w:ascii="Times New Roman" w:cs="Times New Roman" w:hint="eastAsia"/>
                <w:sz w:val="21"/>
                <w:szCs w:val="21"/>
              </w:rPr>
              <w:t>#</w:t>
            </w:r>
          </w:p>
        </w:tc>
        <w:tc>
          <w:tcPr>
            <w:tcW w:w="426"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107.</w:t>
            </w:r>
            <w:r w:rsidRPr="00733954">
              <w:rPr>
                <w:rFonts w:ascii="Times New Roman" w:cs="Times New Roman" w:hint="eastAsia"/>
                <w:sz w:val="21"/>
                <w:szCs w:val="21"/>
              </w:rPr>
              <w:t>494058</w:t>
            </w:r>
          </w:p>
        </w:tc>
        <w:tc>
          <w:tcPr>
            <w:tcW w:w="380"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31.</w:t>
            </w:r>
            <w:r w:rsidRPr="00733954">
              <w:rPr>
                <w:rFonts w:ascii="Times New Roman" w:cs="Times New Roman" w:hint="eastAsia"/>
                <w:sz w:val="21"/>
                <w:szCs w:val="21"/>
              </w:rPr>
              <w:t>341772</w:t>
            </w:r>
          </w:p>
        </w:tc>
        <w:tc>
          <w:tcPr>
            <w:tcW w:w="379"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sidRPr="00733954">
              <w:rPr>
                <w:rFonts w:ascii="Times New Roman" w:cs="Times New Roman" w:hint="eastAsia"/>
                <w:sz w:val="21"/>
                <w:szCs w:val="21"/>
              </w:rPr>
              <w:t>30</w:t>
            </w:r>
            <w:r w:rsidRPr="00733954">
              <w:rPr>
                <w:rFonts w:ascii="Times New Roman" w:cs="Times New Roman"/>
                <w:sz w:val="21"/>
                <w:szCs w:val="21"/>
              </w:rPr>
              <w:t>户</w:t>
            </w:r>
            <w:r w:rsidRPr="00733954">
              <w:rPr>
                <w:rFonts w:ascii="Times New Roman" w:cs="Times New Roman" w:hint="eastAsia"/>
                <w:sz w:val="21"/>
                <w:szCs w:val="21"/>
              </w:rPr>
              <w:t>105</w:t>
            </w:r>
            <w:r w:rsidRPr="00733954">
              <w:rPr>
                <w:rFonts w:ascii="Times New Roman" w:cs="Times New Roman"/>
                <w:sz w:val="21"/>
                <w:szCs w:val="21"/>
              </w:rPr>
              <w:t>人</w:t>
            </w:r>
          </w:p>
        </w:tc>
        <w:tc>
          <w:tcPr>
            <w:tcW w:w="1043" w:type="pct"/>
            <w:vMerge/>
            <w:tcBorders>
              <w:left w:val="single" w:sz="2" w:space="0" w:color="000000"/>
              <w:right w:val="single" w:sz="2" w:space="0" w:color="000000"/>
            </w:tcBorders>
            <w:vAlign w:val="center"/>
          </w:tcPr>
          <w:p w:rsidR="00A140DC" w:rsidRPr="00D630D1" w:rsidRDefault="00A140DC" w:rsidP="00AA2CA8">
            <w:pPr>
              <w:spacing w:line="240" w:lineRule="auto"/>
              <w:ind w:firstLineChars="0" w:firstLine="0"/>
              <w:jc w:val="center"/>
              <w:rPr>
                <w:rFonts w:ascii="Times New Roman" w:cs="Times New Roman"/>
                <w:b/>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NE</w:t>
            </w:r>
          </w:p>
        </w:tc>
        <w:tc>
          <w:tcPr>
            <w:tcW w:w="453" w:type="pct"/>
            <w:tcBorders>
              <w:top w:val="single" w:sz="2" w:space="0" w:color="000000"/>
              <w:left w:val="single" w:sz="2" w:space="0" w:color="000000"/>
              <w:bottom w:val="single" w:sz="2" w:space="0" w:color="000000"/>
              <w:right w:val="nil"/>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Pr>
                <w:rFonts w:ascii="Times New Roman" w:cs="Times New Roman" w:hint="eastAsia"/>
                <w:sz w:val="21"/>
                <w:szCs w:val="21"/>
              </w:rPr>
              <w:t>425</w:t>
            </w:r>
            <w:r w:rsidRPr="00D630D1">
              <w:rPr>
                <w:rFonts w:ascii="Times New Roman" w:cs="Times New Roman" w:hint="eastAsia"/>
                <w:sz w:val="21"/>
                <w:szCs w:val="21"/>
              </w:rPr>
              <w:t>0</w:t>
            </w:r>
          </w:p>
        </w:tc>
      </w:tr>
      <w:tr w:rsidR="00A140DC" w:rsidRPr="00D630D1" w:rsidTr="00B06FB5">
        <w:trPr>
          <w:trHeight w:val="25"/>
          <w:jc w:val="center"/>
        </w:trPr>
        <w:tc>
          <w:tcPr>
            <w:tcW w:w="189" w:type="pct"/>
            <w:tcBorders>
              <w:top w:val="single" w:sz="2" w:space="0" w:color="000000"/>
              <w:left w:val="nil"/>
              <w:bottom w:val="single" w:sz="2" w:space="0" w:color="000000"/>
              <w:right w:val="single" w:sz="2" w:space="0" w:color="000000"/>
            </w:tcBorders>
            <w:vAlign w:val="center"/>
          </w:tcPr>
          <w:p w:rsidR="00A140DC" w:rsidRPr="00D630D1" w:rsidRDefault="00A140DC"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1</w:t>
            </w:r>
            <w:r w:rsidRPr="00D630D1">
              <w:rPr>
                <w:rFonts w:ascii="Times New Roman" w:cs="Times New Roman" w:hint="eastAsia"/>
                <w:sz w:val="21"/>
                <w:szCs w:val="21"/>
              </w:rPr>
              <w:t>8</w:t>
            </w:r>
          </w:p>
        </w:tc>
        <w:tc>
          <w:tcPr>
            <w:tcW w:w="474" w:type="pct"/>
            <w:vMerge/>
            <w:tcBorders>
              <w:left w:val="single" w:sz="2" w:space="0" w:color="000000"/>
              <w:right w:val="single" w:sz="2" w:space="0" w:color="000000"/>
            </w:tcBorders>
            <w:vAlign w:val="center"/>
          </w:tcPr>
          <w:p w:rsidR="00A140DC" w:rsidRPr="00D630D1" w:rsidRDefault="00A140DC"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A140DC">
            <w:pPr>
              <w:spacing w:line="240" w:lineRule="auto"/>
              <w:ind w:firstLineChars="0" w:firstLine="0"/>
              <w:jc w:val="center"/>
              <w:rPr>
                <w:rFonts w:ascii="Times New Roman" w:cs="Times New Roman"/>
                <w:sz w:val="21"/>
                <w:szCs w:val="21"/>
              </w:rPr>
            </w:pPr>
            <w:r w:rsidRPr="00733954">
              <w:rPr>
                <w:rFonts w:ascii="Times New Roman" w:cs="Times New Roman" w:hint="eastAsia"/>
                <w:sz w:val="21"/>
                <w:szCs w:val="21"/>
              </w:rPr>
              <w:t>吴家坪</w:t>
            </w:r>
            <w:r w:rsidRPr="00733954">
              <w:rPr>
                <w:rFonts w:ascii="Times New Roman" w:cs="Times New Roman"/>
                <w:sz w:val="21"/>
                <w:szCs w:val="21"/>
              </w:rPr>
              <w:t>农户</w:t>
            </w:r>
            <w:r w:rsidRPr="00733954">
              <w:rPr>
                <w:rFonts w:ascii="Times New Roman" w:cs="Times New Roman" w:hint="eastAsia"/>
                <w:sz w:val="21"/>
                <w:szCs w:val="21"/>
              </w:rPr>
              <w:t>1</w:t>
            </w:r>
            <w:r>
              <w:rPr>
                <w:rFonts w:ascii="Times New Roman" w:cs="Times New Roman" w:hint="eastAsia"/>
                <w:sz w:val="21"/>
                <w:szCs w:val="21"/>
              </w:rPr>
              <w:t>8</w:t>
            </w:r>
            <w:r w:rsidRPr="00733954">
              <w:rPr>
                <w:rFonts w:ascii="Times New Roman" w:cs="Times New Roman" w:hint="eastAsia"/>
                <w:sz w:val="21"/>
                <w:szCs w:val="21"/>
              </w:rPr>
              <w:t>#</w:t>
            </w:r>
          </w:p>
        </w:tc>
        <w:tc>
          <w:tcPr>
            <w:tcW w:w="426"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107.</w:t>
            </w:r>
            <w:r w:rsidRPr="00733954">
              <w:rPr>
                <w:rFonts w:ascii="Times New Roman" w:cs="Times New Roman" w:hint="eastAsia"/>
                <w:sz w:val="21"/>
                <w:szCs w:val="21"/>
              </w:rPr>
              <w:t>495963</w:t>
            </w:r>
          </w:p>
        </w:tc>
        <w:tc>
          <w:tcPr>
            <w:tcW w:w="380"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31.</w:t>
            </w:r>
            <w:r w:rsidRPr="00733954">
              <w:rPr>
                <w:rFonts w:ascii="Times New Roman" w:cs="Times New Roman" w:hint="eastAsia"/>
                <w:sz w:val="21"/>
                <w:szCs w:val="21"/>
              </w:rPr>
              <w:t>325769</w:t>
            </w:r>
          </w:p>
        </w:tc>
        <w:tc>
          <w:tcPr>
            <w:tcW w:w="379"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A140DC" w:rsidRPr="00733954" w:rsidRDefault="00A140DC"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sidRPr="00733954">
              <w:rPr>
                <w:rFonts w:ascii="Times New Roman" w:cs="Times New Roman" w:hint="eastAsia"/>
                <w:sz w:val="21"/>
                <w:szCs w:val="21"/>
              </w:rPr>
              <w:t>2</w:t>
            </w:r>
            <w:r w:rsidRPr="00733954">
              <w:rPr>
                <w:rFonts w:ascii="Times New Roman" w:cs="Times New Roman"/>
                <w:sz w:val="21"/>
                <w:szCs w:val="21"/>
              </w:rPr>
              <w:t>0</w:t>
            </w:r>
            <w:r w:rsidRPr="00733954">
              <w:rPr>
                <w:rFonts w:ascii="Times New Roman" w:cs="Times New Roman"/>
                <w:sz w:val="21"/>
                <w:szCs w:val="21"/>
              </w:rPr>
              <w:t>户</w:t>
            </w:r>
            <w:r w:rsidRPr="00733954">
              <w:rPr>
                <w:rFonts w:ascii="Times New Roman" w:cs="Times New Roman" w:hint="eastAsia"/>
                <w:sz w:val="21"/>
                <w:szCs w:val="21"/>
              </w:rPr>
              <w:t>60</w:t>
            </w:r>
            <w:r w:rsidRPr="00733954">
              <w:rPr>
                <w:rFonts w:ascii="Times New Roman" w:cs="Times New Roman"/>
                <w:sz w:val="21"/>
                <w:szCs w:val="21"/>
              </w:rPr>
              <w:t>人</w:t>
            </w:r>
          </w:p>
        </w:tc>
        <w:tc>
          <w:tcPr>
            <w:tcW w:w="1043" w:type="pct"/>
            <w:vMerge/>
            <w:tcBorders>
              <w:left w:val="single" w:sz="2" w:space="0" w:color="000000"/>
              <w:right w:val="single" w:sz="2" w:space="0" w:color="000000"/>
            </w:tcBorders>
            <w:vAlign w:val="center"/>
          </w:tcPr>
          <w:p w:rsidR="00A140DC" w:rsidRPr="00D630D1" w:rsidRDefault="00A140DC" w:rsidP="00AA2CA8">
            <w:pPr>
              <w:spacing w:line="240" w:lineRule="auto"/>
              <w:ind w:firstLineChars="0" w:firstLine="0"/>
              <w:jc w:val="center"/>
              <w:rPr>
                <w:rFonts w:ascii="Times New Roman" w:cs="Times New Roman"/>
                <w:b/>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NE</w:t>
            </w:r>
          </w:p>
        </w:tc>
        <w:tc>
          <w:tcPr>
            <w:tcW w:w="453" w:type="pct"/>
            <w:tcBorders>
              <w:top w:val="single" w:sz="2" w:space="0" w:color="000000"/>
              <w:left w:val="single" w:sz="2" w:space="0" w:color="000000"/>
              <w:bottom w:val="single" w:sz="2" w:space="0" w:color="000000"/>
              <w:right w:val="nil"/>
            </w:tcBorders>
            <w:vAlign w:val="center"/>
          </w:tcPr>
          <w:p w:rsidR="00A140DC" w:rsidRPr="00D630D1" w:rsidRDefault="00A140DC" w:rsidP="00075350">
            <w:pPr>
              <w:spacing w:line="240" w:lineRule="auto"/>
              <w:ind w:firstLineChars="0" w:firstLine="0"/>
              <w:jc w:val="center"/>
              <w:rPr>
                <w:rFonts w:ascii="Times New Roman" w:cs="Times New Roman"/>
                <w:sz w:val="21"/>
                <w:szCs w:val="21"/>
              </w:rPr>
            </w:pPr>
            <w:r>
              <w:rPr>
                <w:rFonts w:ascii="Times New Roman" w:cs="Times New Roman" w:hint="eastAsia"/>
                <w:sz w:val="21"/>
                <w:szCs w:val="21"/>
              </w:rPr>
              <w:t>250</w:t>
            </w:r>
            <w:r w:rsidRPr="00D630D1">
              <w:rPr>
                <w:rFonts w:ascii="Times New Roman" w:cs="Times New Roman" w:hint="eastAsia"/>
                <w:sz w:val="21"/>
                <w:szCs w:val="21"/>
              </w:rPr>
              <w:t>0</w:t>
            </w:r>
          </w:p>
        </w:tc>
      </w:tr>
      <w:tr w:rsidR="006A42B3" w:rsidRPr="00D630D1" w:rsidTr="00B06FB5">
        <w:trPr>
          <w:trHeight w:val="25"/>
          <w:jc w:val="center"/>
        </w:trPr>
        <w:tc>
          <w:tcPr>
            <w:tcW w:w="189" w:type="pct"/>
            <w:tcBorders>
              <w:top w:val="single" w:sz="2" w:space="0" w:color="000000"/>
              <w:left w:val="nil"/>
              <w:bottom w:val="single" w:sz="2" w:space="0" w:color="000000"/>
              <w:right w:val="single" w:sz="2" w:space="0" w:color="000000"/>
            </w:tcBorders>
            <w:vAlign w:val="center"/>
          </w:tcPr>
          <w:p w:rsidR="006A42B3" w:rsidRPr="00D630D1" w:rsidRDefault="006A42B3" w:rsidP="000846A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19</w:t>
            </w:r>
          </w:p>
        </w:tc>
        <w:tc>
          <w:tcPr>
            <w:tcW w:w="474"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6A42B3" w:rsidRPr="00733954" w:rsidRDefault="006A42B3" w:rsidP="00075350">
            <w:pPr>
              <w:spacing w:line="240" w:lineRule="auto"/>
              <w:ind w:firstLineChars="0" w:firstLine="0"/>
              <w:jc w:val="center"/>
              <w:rPr>
                <w:rFonts w:ascii="Times New Roman" w:cs="Times New Roman"/>
                <w:sz w:val="21"/>
                <w:szCs w:val="21"/>
              </w:rPr>
            </w:pPr>
            <w:r>
              <w:rPr>
                <w:rFonts w:ascii="Times New Roman" w:cs="Times New Roman" w:hint="eastAsia"/>
                <w:sz w:val="21"/>
                <w:szCs w:val="21"/>
              </w:rPr>
              <w:t>龙凤村</w:t>
            </w:r>
            <w:r w:rsidRPr="00733954">
              <w:rPr>
                <w:rFonts w:ascii="Times New Roman" w:cs="Times New Roman"/>
                <w:sz w:val="21"/>
                <w:szCs w:val="21"/>
              </w:rPr>
              <w:t>农户</w:t>
            </w:r>
            <w:r w:rsidRPr="00733954">
              <w:rPr>
                <w:rFonts w:ascii="Times New Roman" w:cs="Times New Roman" w:hint="eastAsia"/>
                <w:sz w:val="21"/>
                <w:szCs w:val="21"/>
              </w:rPr>
              <w:t>1</w:t>
            </w:r>
            <w:r>
              <w:rPr>
                <w:rFonts w:ascii="Times New Roman" w:cs="Times New Roman" w:hint="eastAsia"/>
                <w:sz w:val="21"/>
                <w:szCs w:val="21"/>
              </w:rPr>
              <w:t>8</w:t>
            </w:r>
            <w:r w:rsidRPr="00733954">
              <w:rPr>
                <w:rFonts w:ascii="Times New Roman" w:cs="Times New Roman" w:hint="eastAsia"/>
                <w:sz w:val="21"/>
                <w:szCs w:val="21"/>
              </w:rPr>
              <w:t>#</w:t>
            </w:r>
          </w:p>
        </w:tc>
        <w:tc>
          <w:tcPr>
            <w:tcW w:w="426" w:type="pct"/>
            <w:tcBorders>
              <w:top w:val="single" w:sz="2" w:space="0" w:color="000000"/>
              <w:left w:val="single" w:sz="2" w:space="0" w:color="000000"/>
              <w:bottom w:val="single" w:sz="2" w:space="0" w:color="000000"/>
              <w:right w:val="single" w:sz="2" w:space="0" w:color="000000"/>
            </w:tcBorders>
            <w:vAlign w:val="center"/>
          </w:tcPr>
          <w:p w:rsidR="006A42B3" w:rsidRPr="00733954" w:rsidRDefault="006A42B3" w:rsidP="00075350">
            <w:pPr>
              <w:spacing w:line="240" w:lineRule="auto"/>
              <w:ind w:firstLineChars="0" w:firstLine="0"/>
              <w:jc w:val="center"/>
              <w:rPr>
                <w:rFonts w:ascii="Times New Roman" w:cs="Times New Roman"/>
                <w:sz w:val="21"/>
                <w:szCs w:val="21"/>
              </w:rPr>
            </w:pPr>
            <w:r w:rsidRPr="00A140DC">
              <w:rPr>
                <w:rFonts w:ascii="Times New Roman" w:cs="Times New Roman"/>
                <w:sz w:val="21"/>
                <w:szCs w:val="21"/>
              </w:rPr>
              <w:t>107.503001</w:t>
            </w:r>
          </w:p>
        </w:tc>
        <w:tc>
          <w:tcPr>
            <w:tcW w:w="380" w:type="pct"/>
            <w:tcBorders>
              <w:top w:val="single" w:sz="2" w:space="0" w:color="000000"/>
              <w:left w:val="single" w:sz="2" w:space="0" w:color="000000"/>
              <w:bottom w:val="single" w:sz="2" w:space="0" w:color="000000"/>
              <w:right w:val="single" w:sz="2" w:space="0" w:color="000000"/>
            </w:tcBorders>
            <w:vAlign w:val="center"/>
          </w:tcPr>
          <w:p w:rsidR="006A42B3" w:rsidRPr="00733954" w:rsidRDefault="006A42B3" w:rsidP="00075350">
            <w:pPr>
              <w:spacing w:line="240" w:lineRule="auto"/>
              <w:ind w:firstLineChars="0" w:firstLine="0"/>
              <w:jc w:val="center"/>
              <w:rPr>
                <w:rFonts w:ascii="Times New Roman" w:cs="Times New Roman"/>
                <w:sz w:val="21"/>
                <w:szCs w:val="21"/>
              </w:rPr>
            </w:pPr>
            <w:r w:rsidRPr="00A140DC">
              <w:rPr>
                <w:rFonts w:ascii="Times New Roman" w:cs="Times New Roman"/>
                <w:sz w:val="21"/>
                <w:szCs w:val="21"/>
              </w:rPr>
              <w:t>31.322151</w:t>
            </w:r>
          </w:p>
        </w:tc>
        <w:tc>
          <w:tcPr>
            <w:tcW w:w="379" w:type="pct"/>
            <w:tcBorders>
              <w:top w:val="single" w:sz="2" w:space="0" w:color="000000"/>
              <w:left w:val="single" w:sz="2" w:space="0" w:color="000000"/>
              <w:bottom w:val="single" w:sz="2" w:space="0" w:color="000000"/>
              <w:right w:val="single" w:sz="2" w:space="0" w:color="000000"/>
            </w:tcBorders>
            <w:vAlign w:val="center"/>
          </w:tcPr>
          <w:p w:rsidR="006A42B3" w:rsidRPr="00733954" w:rsidRDefault="006A42B3" w:rsidP="00075350">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农户</w:t>
            </w:r>
          </w:p>
        </w:tc>
        <w:tc>
          <w:tcPr>
            <w:tcW w:w="566" w:type="pct"/>
            <w:tcBorders>
              <w:top w:val="single" w:sz="2" w:space="0" w:color="000000"/>
              <w:left w:val="single" w:sz="2" w:space="0" w:color="000000"/>
              <w:bottom w:val="single" w:sz="2" w:space="0" w:color="000000"/>
              <w:right w:val="single" w:sz="2" w:space="0" w:color="000000"/>
            </w:tcBorders>
            <w:vAlign w:val="center"/>
          </w:tcPr>
          <w:p w:rsidR="006A42B3" w:rsidRPr="00733954" w:rsidRDefault="006A42B3" w:rsidP="006A42B3">
            <w:pPr>
              <w:spacing w:line="240" w:lineRule="auto"/>
              <w:ind w:firstLineChars="0" w:firstLine="0"/>
              <w:jc w:val="center"/>
              <w:rPr>
                <w:rFonts w:ascii="Times New Roman" w:cs="Times New Roman"/>
                <w:sz w:val="21"/>
                <w:szCs w:val="21"/>
              </w:rPr>
            </w:pPr>
            <w:r w:rsidRPr="00733954">
              <w:rPr>
                <w:rFonts w:ascii="Times New Roman" w:cs="Times New Roman"/>
                <w:sz w:val="21"/>
                <w:szCs w:val="21"/>
              </w:rPr>
              <w:t>约</w:t>
            </w:r>
            <w:r>
              <w:rPr>
                <w:rFonts w:ascii="Times New Roman" w:cs="Times New Roman" w:hint="eastAsia"/>
                <w:sz w:val="21"/>
                <w:szCs w:val="21"/>
              </w:rPr>
              <w:t>8</w:t>
            </w:r>
            <w:r w:rsidRPr="00733954">
              <w:rPr>
                <w:rFonts w:ascii="Times New Roman" w:cs="Times New Roman"/>
                <w:sz w:val="21"/>
                <w:szCs w:val="21"/>
              </w:rPr>
              <w:t>0</w:t>
            </w:r>
            <w:r w:rsidRPr="00733954">
              <w:rPr>
                <w:rFonts w:ascii="Times New Roman" w:cs="Times New Roman"/>
                <w:sz w:val="21"/>
                <w:szCs w:val="21"/>
              </w:rPr>
              <w:t>户</w:t>
            </w:r>
            <w:r>
              <w:rPr>
                <w:rFonts w:ascii="Times New Roman" w:cs="Times New Roman" w:hint="eastAsia"/>
                <w:sz w:val="21"/>
                <w:szCs w:val="21"/>
              </w:rPr>
              <w:t>265</w:t>
            </w:r>
            <w:r w:rsidRPr="00733954">
              <w:rPr>
                <w:rFonts w:ascii="Times New Roman" w:cs="Times New Roman"/>
                <w:sz w:val="21"/>
                <w:szCs w:val="21"/>
              </w:rPr>
              <w:t>人</w:t>
            </w:r>
          </w:p>
        </w:tc>
        <w:tc>
          <w:tcPr>
            <w:tcW w:w="1043"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b/>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07535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NE</w:t>
            </w:r>
          </w:p>
        </w:tc>
        <w:tc>
          <w:tcPr>
            <w:tcW w:w="453" w:type="pct"/>
            <w:tcBorders>
              <w:top w:val="single" w:sz="2" w:space="0" w:color="000000"/>
              <w:left w:val="single" w:sz="2" w:space="0" w:color="000000"/>
              <w:bottom w:val="single" w:sz="2" w:space="0" w:color="000000"/>
              <w:right w:val="nil"/>
            </w:tcBorders>
            <w:vAlign w:val="center"/>
          </w:tcPr>
          <w:p w:rsidR="006A42B3" w:rsidRPr="00D630D1" w:rsidRDefault="006A42B3" w:rsidP="006A42B3">
            <w:pPr>
              <w:spacing w:line="240" w:lineRule="auto"/>
              <w:ind w:firstLineChars="0" w:firstLine="0"/>
              <w:jc w:val="center"/>
              <w:rPr>
                <w:rFonts w:ascii="Times New Roman" w:cs="Times New Roman"/>
                <w:sz w:val="21"/>
                <w:szCs w:val="21"/>
              </w:rPr>
            </w:pPr>
            <w:r>
              <w:rPr>
                <w:rFonts w:ascii="Times New Roman" w:cs="Times New Roman" w:hint="eastAsia"/>
                <w:sz w:val="21"/>
                <w:szCs w:val="21"/>
              </w:rPr>
              <w:t>267</w:t>
            </w:r>
            <w:r w:rsidRPr="00D630D1">
              <w:rPr>
                <w:rFonts w:ascii="Times New Roman" w:cs="Times New Roman" w:hint="eastAsia"/>
                <w:sz w:val="21"/>
                <w:szCs w:val="21"/>
              </w:rPr>
              <w:t>0</w:t>
            </w:r>
          </w:p>
        </w:tc>
      </w:tr>
      <w:tr w:rsidR="006A42B3" w:rsidRPr="00D630D1" w:rsidTr="000846A1">
        <w:trPr>
          <w:trHeight w:val="342"/>
          <w:jc w:val="center"/>
        </w:trPr>
        <w:tc>
          <w:tcPr>
            <w:tcW w:w="189" w:type="pct"/>
            <w:tcBorders>
              <w:top w:val="single" w:sz="2" w:space="0" w:color="000000"/>
              <w:left w:val="nil"/>
              <w:bottom w:val="single" w:sz="2" w:space="0" w:color="000000"/>
              <w:right w:val="single" w:sz="2" w:space="0" w:color="000000"/>
            </w:tcBorders>
            <w:vAlign w:val="center"/>
          </w:tcPr>
          <w:p w:rsidR="006A42B3" w:rsidRPr="00D630D1" w:rsidRDefault="006A42B3"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20</w:t>
            </w:r>
          </w:p>
        </w:tc>
        <w:tc>
          <w:tcPr>
            <w:tcW w:w="474" w:type="pct"/>
            <w:vMerge w:val="restart"/>
            <w:tcBorders>
              <w:left w:val="single" w:sz="2" w:space="0" w:color="000000"/>
              <w:right w:val="single" w:sz="2" w:space="0" w:color="000000"/>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地表水</w:t>
            </w:r>
            <w:r w:rsidRPr="00D630D1">
              <w:rPr>
                <w:rFonts w:ascii="Times New Roman" w:cs="Times New Roman" w:hint="eastAsia"/>
                <w:sz w:val="21"/>
                <w:szCs w:val="21"/>
              </w:rPr>
              <w:t>、</w:t>
            </w:r>
            <w:r w:rsidRPr="00D630D1">
              <w:rPr>
                <w:rFonts w:ascii="Times New Roman" w:cs="Times New Roman"/>
                <w:sz w:val="21"/>
                <w:szCs w:val="21"/>
              </w:rPr>
              <w:t>环境风险</w:t>
            </w:r>
          </w:p>
        </w:tc>
        <w:tc>
          <w:tcPr>
            <w:tcW w:w="854"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r>
              <w:rPr>
                <w:rFonts w:ascii="Times New Roman" w:cs="Times New Roman" w:hint="eastAsia"/>
                <w:sz w:val="21"/>
                <w:szCs w:val="21"/>
              </w:rPr>
              <w:t>千河沟</w:t>
            </w:r>
          </w:p>
        </w:tc>
        <w:tc>
          <w:tcPr>
            <w:tcW w:w="42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07535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380"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07535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379"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地表水</w:t>
            </w:r>
          </w:p>
        </w:tc>
        <w:tc>
          <w:tcPr>
            <w:tcW w:w="56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地表水水质</w:t>
            </w:r>
          </w:p>
        </w:tc>
        <w:tc>
          <w:tcPr>
            <w:tcW w:w="1043" w:type="pct"/>
            <w:tcBorders>
              <w:left w:val="single" w:sz="2" w:space="0" w:color="000000"/>
              <w:bottom w:val="single" w:sz="2" w:space="0" w:color="000000"/>
              <w:right w:val="single" w:sz="2" w:space="0" w:color="000000"/>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《地表水环境质量标准》（</w:t>
            </w:r>
            <w:r w:rsidRPr="00D630D1">
              <w:rPr>
                <w:rFonts w:ascii="Times New Roman" w:cs="Times New Roman"/>
                <w:sz w:val="21"/>
                <w:szCs w:val="21"/>
              </w:rPr>
              <w:t>GB3838-2002</w:t>
            </w:r>
            <w:r w:rsidRPr="00D630D1">
              <w:rPr>
                <w:rFonts w:ascii="Times New Roman" w:cs="Times New Roman"/>
                <w:sz w:val="21"/>
                <w:szCs w:val="21"/>
              </w:rPr>
              <w:t>）</w:t>
            </w:r>
            <w:r w:rsidRPr="00D630D1">
              <w:rPr>
                <w:rFonts w:hAnsi="宋体" w:hint="eastAsia"/>
                <w:sz w:val="21"/>
                <w:szCs w:val="21"/>
              </w:rPr>
              <w:t>Ⅲ</w:t>
            </w:r>
            <w:r w:rsidRPr="00D630D1">
              <w:rPr>
                <w:rFonts w:ascii="Times New Roman" w:cs="Times New Roman"/>
                <w:sz w:val="21"/>
                <w:szCs w:val="21"/>
              </w:rPr>
              <w:t>类</w:t>
            </w:r>
          </w:p>
        </w:tc>
        <w:tc>
          <w:tcPr>
            <w:tcW w:w="23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r>
              <w:rPr>
                <w:rFonts w:ascii="Times New Roman" w:cs="Times New Roman" w:hint="eastAsia"/>
                <w:sz w:val="21"/>
                <w:szCs w:val="21"/>
              </w:rPr>
              <w:t>S</w:t>
            </w:r>
            <w:r w:rsidRPr="00D630D1">
              <w:rPr>
                <w:rFonts w:ascii="Times New Roman" w:cs="Times New Roman" w:hint="eastAsia"/>
                <w:sz w:val="21"/>
                <w:szCs w:val="21"/>
              </w:rPr>
              <w:t>W</w:t>
            </w:r>
          </w:p>
        </w:tc>
        <w:tc>
          <w:tcPr>
            <w:tcW w:w="453" w:type="pct"/>
            <w:tcBorders>
              <w:top w:val="single" w:sz="2" w:space="0" w:color="000000"/>
              <w:left w:val="single" w:sz="2" w:space="0" w:color="000000"/>
              <w:bottom w:val="single" w:sz="2" w:space="0" w:color="000000"/>
              <w:right w:val="nil"/>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r>
              <w:rPr>
                <w:rFonts w:ascii="Times New Roman" w:cs="Times New Roman" w:hint="eastAsia"/>
                <w:sz w:val="21"/>
                <w:szCs w:val="21"/>
              </w:rPr>
              <w:t>9</w:t>
            </w:r>
            <w:r w:rsidRPr="00D630D1">
              <w:rPr>
                <w:rFonts w:ascii="Times New Roman" w:cs="Times New Roman" w:hint="eastAsia"/>
                <w:sz w:val="21"/>
                <w:szCs w:val="21"/>
              </w:rPr>
              <w:t>00</w:t>
            </w:r>
          </w:p>
        </w:tc>
      </w:tr>
      <w:tr w:rsidR="006A42B3" w:rsidRPr="00D630D1" w:rsidTr="00AA2CA8">
        <w:trPr>
          <w:trHeight w:val="342"/>
          <w:jc w:val="center"/>
        </w:trPr>
        <w:tc>
          <w:tcPr>
            <w:tcW w:w="189" w:type="pct"/>
            <w:tcBorders>
              <w:top w:val="single" w:sz="2" w:space="0" w:color="000000"/>
              <w:left w:val="nil"/>
              <w:bottom w:val="single" w:sz="2" w:space="0" w:color="000000"/>
              <w:right w:val="single" w:sz="2" w:space="0" w:color="000000"/>
            </w:tcBorders>
            <w:vAlign w:val="center"/>
          </w:tcPr>
          <w:p w:rsidR="006A42B3" w:rsidRPr="00D630D1" w:rsidRDefault="006A42B3"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lastRenderedPageBreak/>
              <w:t>21</w:t>
            </w:r>
          </w:p>
        </w:tc>
        <w:tc>
          <w:tcPr>
            <w:tcW w:w="474" w:type="pct"/>
            <w:vMerge/>
            <w:tcBorders>
              <w:left w:val="single" w:sz="2" w:space="0" w:color="000000"/>
              <w:bottom w:val="single" w:sz="2" w:space="0" w:color="000000"/>
              <w:right w:val="single" w:sz="2" w:space="0" w:color="000000"/>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后河</w:t>
            </w:r>
          </w:p>
        </w:tc>
        <w:tc>
          <w:tcPr>
            <w:tcW w:w="42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380"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379"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0846A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地表水</w:t>
            </w:r>
          </w:p>
        </w:tc>
        <w:tc>
          <w:tcPr>
            <w:tcW w:w="56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0846A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地表水水质</w:t>
            </w:r>
          </w:p>
        </w:tc>
        <w:tc>
          <w:tcPr>
            <w:tcW w:w="1043" w:type="pct"/>
            <w:tcBorders>
              <w:left w:val="single" w:sz="2" w:space="0" w:color="000000"/>
              <w:bottom w:val="single" w:sz="2" w:space="0" w:color="000000"/>
              <w:right w:val="single" w:sz="2" w:space="0" w:color="000000"/>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《地表水环境质量标准》（</w:t>
            </w:r>
            <w:r w:rsidRPr="00D630D1">
              <w:rPr>
                <w:rFonts w:ascii="Times New Roman" w:cs="Times New Roman"/>
                <w:sz w:val="21"/>
                <w:szCs w:val="21"/>
              </w:rPr>
              <w:t>GB3838-2002</w:t>
            </w:r>
            <w:r w:rsidRPr="00D630D1">
              <w:rPr>
                <w:rFonts w:ascii="Times New Roman" w:cs="Times New Roman"/>
                <w:sz w:val="21"/>
                <w:szCs w:val="21"/>
              </w:rPr>
              <w:t>）</w:t>
            </w:r>
            <w:r w:rsidRPr="00D630D1">
              <w:rPr>
                <w:rFonts w:hAnsi="宋体" w:hint="eastAsia"/>
                <w:sz w:val="21"/>
                <w:szCs w:val="21"/>
              </w:rPr>
              <w:t>Ⅲ</w:t>
            </w:r>
            <w:r w:rsidRPr="00D630D1">
              <w:rPr>
                <w:rFonts w:ascii="Times New Roman" w:cs="Times New Roman"/>
                <w:sz w:val="21"/>
                <w:szCs w:val="21"/>
              </w:rPr>
              <w:t>类</w:t>
            </w:r>
          </w:p>
        </w:tc>
        <w:tc>
          <w:tcPr>
            <w:tcW w:w="23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00E4A">
            <w:pPr>
              <w:spacing w:line="240" w:lineRule="auto"/>
              <w:ind w:firstLineChars="0" w:firstLine="0"/>
              <w:jc w:val="center"/>
              <w:rPr>
                <w:rFonts w:ascii="Times New Roman" w:cs="Times New Roman"/>
                <w:sz w:val="21"/>
                <w:szCs w:val="21"/>
              </w:rPr>
            </w:pPr>
            <w:r>
              <w:rPr>
                <w:rFonts w:ascii="Times New Roman" w:cs="Times New Roman" w:hint="eastAsia"/>
                <w:sz w:val="21"/>
                <w:szCs w:val="21"/>
              </w:rPr>
              <w:t>S</w:t>
            </w:r>
            <w:r w:rsidRPr="00D630D1">
              <w:rPr>
                <w:rFonts w:ascii="Times New Roman" w:cs="Times New Roman" w:hint="eastAsia"/>
                <w:sz w:val="21"/>
                <w:szCs w:val="21"/>
              </w:rPr>
              <w:t>W</w:t>
            </w:r>
          </w:p>
        </w:tc>
        <w:tc>
          <w:tcPr>
            <w:tcW w:w="453" w:type="pct"/>
            <w:tcBorders>
              <w:top w:val="single" w:sz="2" w:space="0" w:color="000000"/>
              <w:left w:val="single" w:sz="2" w:space="0" w:color="000000"/>
              <w:bottom w:val="single" w:sz="2" w:space="0" w:color="000000"/>
              <w:right w:val="nil"/>
            </w:tcBorders>
            <w:vAlign w:val="center"/>
          </w:tcPr>
          <w:p w:rsidR="006A42B3" w:rsidRPr="00D630D1" w:rsidRDefault="006A42B3" w:rsidP="006A42B3">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3</w:t>
            </w:r>
            <w:r>
              <w:rPr>
                <w:rFonts w:ascii="Times New Roman" w:cs="Times New Roman" w:hint="eastAsia"/>
                <w:sz w:val="21"/>
                <w:szCs w:val="21"/>
              </w:rPr>
              <w:t>1</w:t>
            </w:r>
            <w:r w:rsidRPr="00D630D1">
              <w:rPr>
                <w:rFonts w:ascii="Times New Roman" w:cs="Times New Roman" w:hint="eastAsia"/>
                <w:sz w:val="21"/>
                <w:szCs w:val="21"/>
              </w:rPr>
              <w:t>00</w:t>
            </w:r>
          </w:p>
        </w:tc>
      </w:tr>
      <w:tr w:rsidR="006A42B3" w:rsidRPr="00D630D1" w:rsidTr="00645A40">
        <w:trPr>
          <w:trHeight w:val="342"/>
          <w:jc w:val="center"/>
        </w:trPr>
        <w:tc>
          <w:tcPr>
            <w:tcW w:w="189" w:type="pct"/>
            <w:tcBorders>
              <w:top w:val="single" w:sz="2" w:space="0" w:color="000000"/>
              <w:left w:val="nil"/>
              <w:bottom w:val="single" w:sz="2" w:space="0" w:color="000000"/>
              <w:right w:val="single" w:sz="2" w:space="0" w:color="000000"/>
            </w:tcBorders>
            <w:vAlign w:val="center"/>
          </w:tcPr>
          <w:p w:rsidR="006A42B3" w:rsidRPr="00D630D1" w:rsidRDefault="006A42B3"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22</w:t>
            </w:r>
          </w:p>
        </w:tc>
        <w:tc>
          <w:tcPr>
            <w:tcW w:w="474" w:type="pct"/>
            <w:vMerge w:val="restart"/>
            <w:tcBorders>
              <w:top w:val="single" w:sz="2" w:space="0" w:color="000000"/>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地下水环境</w:t>
            </w:r>
            <w:r w:rsidRPr="00D630D1">
              <w:rPr>
                <w:rFonts w:ascii="Times New Roman" w:cs="Times New Roman" w:hint="eastAsia"/>
                <w:sz w:val="21"/>
                <w:szCs w:val="21"/>
              </w:rPr>
              <w:t>、</w:t>
            </w:r>
            <w:r w:rsidRPr="00D630D1">
              <w:rPr>
                <w:rFonts w:ascii="Times New Roman" w:cs="Times New Roman"/>
                <w:sz w:val="21"/>
                <w:szCs w:val="21"/>
              </w:rPr>
              <w:t>环境风险</w:t>
            </w:r>
          </w:p>
        </w:tc>
        <w:tc>
          <w:tcPr>
            <w:tcW w:w="854"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hint="eastAsia"/>
                <w:bCs/>
                <w:sz w:val="21"/>
                <w:szCs w:val="21"/>
              </w:rPr>
              <w:t>水井</w:t>
            </w:r>
            <w:r w:rsidRPr="00D630D1">
              <w:rPr>
                <w:rFonts w:ascii="Times New Roman" w:cs="Times New Roman" w:hint="eastAsia"/>
                <w:sz w:val="21"/>
                <w:szCs w:val="21"/>
              </w:rPr>
              <w:t>JC1</w:t>
            </w:r>
          </w:p>
        </w:tc>
        <w:tc>
          <w:tcPr>
            <w:tcW w:w="42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2C63AC" w:rsidP="002C63AC">
            <w:pPr>
              <w:spacing w:line="240" w:lineRule="auto"/>
              <w:ind w:firstLineChars="0" w:firstLine="0"/>
              <w:jc w:val="center"/>
              <w:rPr>
                <w:rFonts w:ascii="Times New Roman" w:cs="Times New Roman"/>
                <w:sz w:val="21"/>
                <w:szCs w:val="21"/>
              </w:rPr>
            </w:pPr>
            <w:r w:rsidRPr="002C63AC">
              <w:rPr>
                <w:rFonts w:ascii="Times New Roman" w:cs="Times New Roman" w:hint="eastAsia"/>
                <w:sz w:val="21"/>
                <w:szCs w:val="21"/>
              </w:rPr>
              <w:t>107.</w:t>
            </w:r>
            <w:r>
              <w:rPr>
                <w:rFonts w:ascii="Times New Roman" w:cs="Times New Roman" w:hint="eastAsia"/>
                <w:sz w:val="21"/>
                <w:szCs w:val="21"/>
              </w:rPr>
              <w:t>821823</w:t>
            </w:r>
          </w:p>
        </w:tc>
        <w:tc>
          <w:tcPr>
            <w:tcW w:w="380"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2C63AC" w:rsidP="002C63AC">
            <w:pPr>
              <w:spacing w:line="240" w:lineRule="auto"/>
              <w:ind w:firstLineChars="0" w:firstLine="0"/>
              <w:jc w:val="center"/>
              <w:rPr>
                <w:rFonts w:ascii="Times New Roman" w:cs="Times New Roman"/>
                <w:sz w:val="21"/>
                <w:szCs w:val="21"/>
              </w:rPr>
            </w:pPr>
            <w:r w:rsidRPr="002C63AC">
              <w:rPr>
                <w:rFonts w:ascii="Times New Roman" w:cs="Times New Roman" w:hint="eastAsia"/>
                <w:sz w:val="21"/>
                <w:szCs w:val="21"/>
              </w:rPr>
              <w:t>31.</w:t>
            </w:r>
            <w:r>
              <w:rPr>
                <w:rFonts w:ascii="Times New Roman" w:cs="Times New Roman" w:hint="eastAsia"/>
                <w:sz w:val="21"/>
                <w:szCs w:val="21"/>
              </w:rPr>
              <w:t>527882</w:t>
            </w:r>
          </w:p>
        </w:tc>
        <w:tc>
          <w:tcPr>
            <w:tcW w:w="379"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w:t>
            </w:r>
          </w:p>
        </w:tc>
        <w:tc>
          <w:tcPr>
            <w:tcW w:w="56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地下水水质</w:t>
            </w:r>
            <w:r w:rsidRPr="00D630D1">
              <w:rPr>
                <w:rFonts w:ascii="Times New Roman" w:cs="Times New Roman" w:hint="eastAsia"/>
                <w:sz w:val="21"/>
                <w:szCs w:val="21"/>
              </w:rPr>
              <w:t>，</w:t>
            </w:r>
            <w:r w:rsidRPr="00D630D1">
              <w:rPr>
                <w:rFonts w:ascii="Times New Roman" w:cs="Times New Roman"/>
                <w:sz w:val="21"/>
                <w:szCs w:val="21"/>
              </w:rPr>
              <w:t>高程</w:t>
            </w:r>
            <w:r w:rsidR="002C63AC">
              <w:rPr>
                <w:rFonts w:ascii="Times New Roman" w:cs="Times New Roman" w:hint="eastAsia"/>
                <w:sz w:val="21"/>
                <w:szCs w:val="21"/>
              </w:rPr>
              <w:t>818</w:t>
            </w:r>
            <w:r w:rsidRPr="00D630D1">
              <w:rPr>
                <w:rFonts w:ascii="Times New Roman" w:cs="Times New Roman" w:hint="eastAsia"/>
                <w:sz w:val="21"/>
                <w:szCs w:val="21"/>
              </w:rPr>
              <w:t>m</w:t>
            </w:r>
          </w:p>
        </w:tc>
        <w:tc>
          <w:tcPr>
            <w:tcW w:w="1043" w:type="pct"/>
            <w:vMerge w:val="restart"/>
            <w:tcBorders>
              <w:top w:val="single" w:sz="2" w:space="0" w:color="000000"/>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《地下水质量标准》（</w:t>
            </w:r>
            <w:r w:rsidRPr="00D630D1">
              <w:rPr>
                <w:rFonts w:ascii="Times New Roman" w:cs="Times New Roman"/>
                <w:sz w:val="21"/>
                <w:szCs w:val="21"/>
              </w:rPr>
              <w:t>GB/T14848</w:t>
            </w:r>
            <w:r w:rsidRPr="00D630D1">
              <w:rPr>
                <w:rFonts w:ascii="Times New Roman" w:cs="Times New Roman"/>
                <w:sz w:val="21"/>
                <w:szCs w:val="21"/>
              </w:rPr>
              <w:t>－</w:t>
            </w:r>
            <w:r w:rsidRPr="00D630D1">
              <w:rPr>
                <w:rFonts w:ascii="Times New Roman" w:cs="Times New Roman"/>
                <w:sz w:val="21"/>
                <w:szCs w:val="21"/>
              </w:rPr>
              <w:t>2017</w:t>
            </w:r>
            <w:r w:rsidRPr="00D630D1">
              <w:rPr>
                <w:rFonts w:ascii="Times New Roman" w:cs="Times New Roman"/>
                <w:sz w:val="21"/>
                <w:szCs w:val="21"/>
              </w:rPr>
              <w:t>）</w:t>
            </w:r>
            <w:r w:rsidRPr="00D630D1">
              <w:rPr>
                <w:rFonts w:hAnsi="宋体" w:hint="eastAsia"/>
                <w:sz w:val="21"/>
                <w:szCs w:val="21"/>
              </w:rPr>
              <w:t>Ⅲ</w:t>
            </w:r>
            <w:r w:rsidRPr="00D630D1">
              <w:rPr>
                <w:rFonts w:ascii="Times New Roman" w:cs="Times New Roman"/>
                <w:sz w:val="21"/>
                <w:szCs w:val="21"/>
              </w:rPr>
              <w:t>类标准</w:t>
            </w:r>
          </w:p>
        </w:tc>
        <w:tc>
          <w:tcPr>
            <w:tcW w:w="23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Pr>
                <w:rFonts w:ascii="Times New Roman" w:cs="Times New Roman" w:hint="eastAsia"/>
                <w:sz w:val="21"/>
                <w:szCs w:val="21"/>
              </w:rPr>
              <w:t>S</w:t>
            </w:r>
          </w:p>
        </w:tc>
        <w:tc>
          <w:tcPr>
            <w:tcW w:w="453" w:type="pct"/>
            <w:tcBorders>
              <w:top w:val="single" w:sz="2" w:space="0" w:color="000000"/>
              <w:left w:val="single" w:sz="2" w:space="0" w:color="000000"/>
              <w:bottom w:val="single" w:sz="2" w:space="0" w:color="000000"/>
              <w:right w:val="nil"/>
            </w:tcBorders>
            <w:vAlign w:val="center"/>
          </w:tcPr>
          <w:p w:rsidR="006A42B3" w:rsidRPr="00D630D1" w:rsidRDefault="006A42B3" w:rsidP="006A42B3">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2</w:t>
            </w:r>
            <w:r>
              <w:rPr>
                <w:rFonts w:ascii="Times New Roman" w:cs="Times New Roman" w:hint="eastAsia"/>
                <w:sz w:val="21"/>
                <w:szCs w:val="21"/>
              </w:rPr>
              <w:t>60</w:t>
            </w:r>
          </w:p>
        </w:tc>
      </w:tr>
      <w:tr w:rsidR="006A42B3" w:rsidRPr="00D630D1" w:rsidTr="00645A40">
        <w:trPr>
          <w:trHeight w:val="342"/>
          <w:jc w:val="center"/>
        </w:trPr>
        <w:tc>
          <w:tcPr>
            <w:tcW w:w="189" w:type="pct"/>
            <w:tcBorders>
              <w:top w:val="single" w:sz="2" w:space="0" w:color="000000"/>
              <w:left w:val="nil"/>
              <w:bottom w:val="single" w:sz="2" w:space="0" w:color="000000"/>
              <w:right w:val="single" w:sz="2" w:space="0" w:color="000000"/>
            </w:tcBorders>
            <w:vAlign w:val="center"/>
          </w:tcPr>
          <w:p w:rsidR="006A42B3" w:rsidRPr="00D630D1" w:rsidRDefault="006A42B3"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23</w:t>
            </w:r>
          </w:p>
        </w:tc>
        <w:tc>
          <w:tcPr>
            <w:tcW w:w="474"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hint="eastAsia"/>
                <w:bCs/>
                <w:sz w:val="21"/>
                <w:szCs w:val="21"/>
              </w:rPr>
              <w:t>水井</w:t>
            </w:r>
            <w:r w:rsidRPr="00D630D1">
              <w:rPr>
                <w:rFonts w:ascii="Times New Roman" w:cs="Times New Roman" w:hint="eastAsia"/>
                <w:sz w:val="21"/>
                <w:szCs w:val="21"/>
              </w:rPr>
              <w:t>JC2</w:t>
            </w:r>
          </w:p>
        </w:tc>
        <w:tc>
          <w:tcPr>
            <w:tcW w:w="42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2C63AC" w:rsidP="002C63AC">
            <w:pPr>
              <w:spacing w:line="240" w:lineRule="auto"/>
              <w:ind w:firstLineChars="0" w:firstLine="0"/>
              <w:jc w:val="center"/>
              <w:rPr>
                <w:rFonts w:ascii="Times New Roman" w:cs="Times New Roman"/>
                <w:sz w:val="21"/>
                <w:szCs w:val="21"/>
              </w:rPr>
            </w:pPr>
            <w:r w:rsidRPr="002C63AC">
              <w:rPr>
                <w:rFonts w:ascii="Times New Roman" w:cs="Times New Roman" w:hint="eastAsia"/>
                <w:sz w:val="21"/>
                <w:szCs w:val="21"/>
              </w:rPr>
              <w:t>107.81</w:t>
            </w:r>
            <w:r>
              <w:rPr>
                <w:rFonts w:ascii="Times New Roman" w:cs="Times New Roman" w:hint="eastAsia"/>
                <w:sz w:val="21"/>
                <w:szCs w:val="21"/>
              </w:rPr>
              <w:t>1845</w:t>
            </w:r>
          </w:p>
        </w:tc>
        <w:tc>
          <w:tcPr>
            <w:tcW w:w="380"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2C63AC" w:rsidP="002C63AC">
            <w:pPr>
              <w:spacing w:line="240" w:lineRule="auto"/>
              <w:ind w:firstLineChars="0" w:firstLine="0"/>
              <w:jc w:val="center"/>
              <w:rPr>
                <w:rFonts w:ascii="Times New Roman" w:cs="Times New Roman"/>
                <w:sz w:val="21"/>
                <w:szCs w:val="21"/>
              </w:rPr>
            </w:pPr>
            <w:r w:rsidRPr="002C63AC">
              <w:rPr>
                <w:rFonts w:ascii="Times New Roman" w:cs="Times New Roman" w:hint="eastAsia"/>
                <w:sz w:val="21"/>
                <w:szCs w:val="21"/>
              </w:rPr>
              <w:t>31.53</w:t>
            </w:r>
            <w:r>
              <w:rPr>
                <w:rFonts w:ascii="Times New Roman" w:cs="Times New Roman" w:hint="eastAsia"/>
                <w:sz w:val="21"/>
                <w:szCs w:val="21"/>
              </w:rPr>
              <w:t>8031</w:t>
            </w:r>
          </w:p>
        </w:tc>
        <w:tc>
          <w:tcPr>
            <w:tcW w:w="379"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w:t>
            </w:r>
          </w:p>
        </w:tc>
        <w:tc>
          <w:tcPr>
            <w:tcW w:w="56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地下水水质</w:t>
            </w:r>
            <w:r w:rsidRPr="00D630D1">
              <w:rPr>
                <w:rFonts w:ascii="Times New Roman" w:cs="Times New Roman" w:hint="eastAsia"/>
                <w:sz w:val="21"/>
                <w:szCs w:val="21"/>
              </w:rPr>
              <w:t>，</w:t>
            </w:r>
            <w:r w:rsidRPr="00D630D1">
              <w:rPr>
                <w:rFonts w:ascii="Times New Roman" w:cs="Times New Roman"/>
                <w:sz w:val="21"/>
                <w:szCs w:val="21"/>
              </w:rPr>
              <w:t>高程</w:t>
            </w:r>
            <w:r w:rsidR="002C63AC">
              <w:rPr>
                <w:rFonts w:ascii="Times New Roman" w:cs="Times New Roman" w:hint="eastAsia"/>
                <w:sz w:val="21"/>
                <w:szCs w:val="21"/>
              </w:rPr>
              <w:t>820</w:t>
            </w:r>
            <w:r w:rsidRPr="00D630D1">
              <w:rPr>
                <w:rFonts w:ascii="Times New Roman" w:cs="Times New Roman" w:hint="eastAsia"/>
                <w:sz w:val="21"/>
                <w:szCs w:val="21"/>
              </w:rPr>
              <w:t>m</w:t>
            </w:r>
          </w:p>
        </w:tc>
        <w:tc>
          <w:tcPr>
            <w:tcW w:w="1043"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w:t>
            </w:r>
            <w:r w:rsidR="002C63AC">
              <w:rPr>
                <w:rFonts w:ascii="Times New Roman" w:cs="Times New Roman" w:hint="eastAsia"/>
                <w:sz w:val="21"/>
                <w:szCs w:val="21"/>
              </w:rPr>
              <w:t>W</w:t>
            </w:r>
          </w:p>
        </w:tc>
        <w:tc>
          <w:tcPr>
            <w:tcW w:w="453" w:type="pct"/>
            <w:tcBorders>
              <w:top w:val="single" w:sz="2" w:space="0" w:color="000000"/>
              <w:left w:val="single" w:sz="2" w:space="0" w:color="000000"/>
              <w:bottom w:val="single" w:sz="2" w:space="0" w:color="000000"/>
              <w:right w:val="nil"/>
            </w:tcBorders>
            <w:vAlign w:val="center"/>
          </w:tcPr>
          <w:p w:rsidR="006A42B3" w:rsidRPr="00D630D1" w:rsidRDefault="002C63AC" w:rsidP="00645A40">
            <w:pPr>
              <w:spacing w:line="240" w:lineRule="auto"/>
              <w:ind w:firstLineChars="0" w:firstLine="0"/>
              <w:jc w:val="center"/>
              <w:rPr>
                <w:rFonts w:ascii="Times New Roman" w:cs="Times New Roman"/>
                <w:sz w:val="21"/>
                <w:szCs w:val="21"/>
              </w:rPr>
            </w:pPr>
            <w:r>
              <w:rPr>
                <w:rFonts w:ascii="Times New Roman" w:cs="Times New Roman" w:hint="eastAsia"/>
                <w:sz w:val="21"/>
                <w:szCs w:val="21"/>
              </w:rPr>
              <w:t>66</w:t>
            </w:r>
            <w:r w:rsidR="006A42B3" w:rsidRPr="00D630D1">
              <w:rPr>
                <w:rFonts w:ascii="Times New Roman" w:cs="Times New Roman" w:hint="eastAsia"/>
                <w:sz w:val="21"/>
                <w:szCs w:val="21"/>
              </w:rPr>
              <w:t>0</w:t>
            </w:r>
          </w:p>
        </w:tc>
      </w:tr>
      <w:tr w:rsidR="006A42B3" w:rsidRPr="00D630D1" w:rsidTr="00645A40">
        <w:trPr>
          <w:trHeight w:val="342"/>
          <w:jc w:val="center"/>
        </w:trPr>
        <w:tc>
          <w:tcPr>
            <w:tcW w:w="189" w:type="pct"/>
            <w:tcBorders>
              <w:top w:val="single" w:sz="2" w:space="0" w:color="000000"/>
              <w:left w:val="nil"/>
              <w:bottom w:val="single" w:sz="2" w:space="0" w:color="000000"/>
              <w:right w:val="single" w:sz="2" w:space="0" w:color="000000"/>
            </w:tcBorders>
            <w:vAlign w:val="center"/>
          </w:tcPr>
          <w:p w:rsidR="006A42B3" w:rsidRPr="00D630D1" w:rsidRDefault="006A42B3"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24</w:t>
            </w:r>
          </w:p>
        </w:tc>
        <w:tc>
          <w:tcPr>
            <w:tcW w:w="474"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hint="eastAsia"/>
                <w:bCs/>
                <w:sz w:val="21"/>
                <w:szCs w:val="21"/>
              </w:rPr>
              <w:t>水井</w:t>
            </w:r>
            <w:r w:rsidRPr="00D630D1">
              <w:rPr>
                <w:rFonts w:ascii="Times New Roman" w:cs="Times New Roman" w:hint="eastAsia"/>
                <w:sz w:val="21"/>
                <w:szCs w:val="21"/>
              </w:rPr>
              <w:t>JC3</w:t>
            </w:r>
          </w:p>
        </w:tc>
        <w:tc>
          <w:tcPr>
            <w:tcW w:w="42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107.</w:t>
            </w:r>
            <w:r w:rsidR="002C63AC">
              <w:rPr>
                <w:rFonts w:ascii="Times New Roman" w:cs="Times New Roman" w:hint="eastAsia"/>
                <w:sz w:val="21"/>
                <w:szCs w:val="21"/>
              </w:rPr>
              <w:t>829839</w:t>
            </w:r>
          </w:p>
        </w:tc>
        <w:tc>
          <w:tcPr>
            <w:tcW w:w="380"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31.</w:t>
            </w:r>
            <w:r w:rsidR="002C63AC">
              <w:rPr>
                <w:rFonts w:ascii="Times New Roman" w:cs="Times New Roman" w:hint="eastAsia"/>
                <w:sz w:val="21"/>
                <w:szCs w:val="21"/>
              </w:rPr>
              <w:t>536162</w:t>
            </w:r>
          </w:p>
        </w:tc>
        <w:tc>
          <w:tcPr>
            <w:tcW w:w="379"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w:t>
            </w:r>
          </w:p>
        </w:tc>
        <w:tc>
          <w:tcPr>
            <w:tcW w:w="56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地下水水质</w:t>
            </w:r>
            <w:r w:rsidRPr="00D630D1">
              <w:rPr>
                <w:rFonts w:ascii="Times New Roman" w:cs="Times New Roman" w:hint="eastAsia"/>
                <w:sz w:val="21"/>
                <w:szCs w:val="21"/>
              </w:rPr>
              <w:t>，</w:t>
            </w:r>
            <w:r w:rsidRPr="00D630D1">
              <w:rPr>
                <w:rFonts w:ascii="Times New Roman" w:cs="Times New Roman"/>
                <w:sz w:val="21"/>
                <w:szCs w:val="21"/>
              </w:rPr>
              <w:t>高程</w:t>
            </w:r>
            <w:r w:rsidR="002C63AC">
              <w:rPr>
                <w:rFonts w:ascii="Times New Roman" w:cs="Times New Roman" w:hint="eastAsia"/>
                <w:sz w:val="21"/>
                <w:szCs w:val="21"/>
              </w:rPr>
              <w:t>80</w:t>
            </w:r>
            <w:r w:rsidRPr="00D630D1">
              <w:rPr>
                <w:rFonts w:ascii="Times New Roman" w:cs="Times New Roman" w:hint="eastAsia"/>
                <w:sz w:val="21"/>
                <w:szCs w:val="21"/>
              </w:rPr>
              <w:t>4m</w:t>
            </w:r>
          </w:p>
        </w:tc>
        <w:tc>
          <w:tcPr>
            <w:tcW w:w="1043"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NE</w:t>
            </w:r>
          </w:p>
        </w:tc>
        <w:tc>
          <w:tcPr>
            <w:tcW w:w="453" w:type="pct"/>
            <w:tcBorders>
              <w:top w:val="single" w:sz="2" w:space="0" w:color="000000"/>
              <w:left w:val="single" w:sz="2" w:space="0" w:color="000000"/>
              <w:bottom w:val="single" w:sz="2" w:space="0" w:color="000000"/>
              <w:right w:val="nil"/>
            </w:tcBorders>
            <w:vAlign w:val="center"/>
          </w:tcPr>
          <w:p w:rsidR="006A42B3" w:rsidRPr="00D630D1" w:rsidRDefault="002C63AC" w:rsidP="00645A40">
            <w:pPr>
              <w:spacing w:line="240" w:lineRule="auto"/>
              <w:ind w:firstLineChars="0" w:firstLine="0"/>
              <w:jc w:val="center"/>
              <w:rPr>
                <w:rFonts w:ascii="Times New Roman" w:cs="Times New Roman"/>
                <w:sz w:val="21"/>
                <w:szCs w:val="21"/>
              </w:rPr>
            </w:pPr>
            <w:r>
              <w:rPr>
                <w:rFonts w:ascii="Times New Roman" w:cs="Times New Roman" w:hint="eastAsia"/>
                <w:sz w:val="21"/>
                <w:szCs w:val="21"/>
              </w:rPr>
              <w:t>75</w:t>
            </w:r>
            <w:r w:rsidR="006A42B3" w:rsidRPr="00D630D1">
              <w:rPr>
                <w:rFonts w:ascii="Times New Roman" w:cs="Times New Roman" w:hint="eastAsia"/>
                <w:sz w:val="21"/>
                <w:szCs w:val="21"/>
              </w:rPr>
              <w:t>0</w:t>
            </w:r>
          </w:p>
        </w:tc>
      </w:tr>
      <w:tr w:rsidR="006A42B3" w:rsidRPr="00D630D1" w:rsidTr="00645A40">
        <w:trPr>
          <w:trHeight w:val="342"/>
          <w:jc w:val="center"/>
        </w:trPr>
        <w:tc>
          <w:tcPr>
            <w:tcW w:w="189" w:type="pct"/>
            <w:tcBorders>
              <w:top w:val="single" w:sz="2" w:space="0" w:color="000000"/>
              <w:left w:val="nil"/>
              <w:bottom w:val="single" w:sz="2" w:space="0" w:color="000000"/>
              <w:right w:val="single" w:sz="2" w:space="0" w:color="000000"/>
            </w:tcBorders>
            <w:vAlign w:val="center"/>
          </w:tcPr>
          <w:p w:rsidR="006A42B3" w:rsidRPr="00D630D1" w:rsidRDefault="006A42B3"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25</w:t>
            </w:r>
          </w:p>
        </w:tc>
        <w:tc>
          <w:tcPr>
            <w:tcW w:w="474"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hint="eastAsia"/>
                <w:bCs/>
                <w:sz w:val="21"/>
                <w:szCs w:val="21"/>
              </w:rPr>
              <w:t>水井</w:t>
            </w:r>
            <w:r w:rsidRPr="00D630D1">
              <w:rPr>
                <w:rFonts w:ascii="Times New Roman" w:cs="Times New Roman" w:hint="eastAsia"/>
                <w:sz w:val="21"/>
                <w:szCs w:val="21"/>
              </w:rPr>
              <w:t>JC4</w:t>
            </w:r>
          </w:p>
        </w:tc>
        <w:tc>
          <w:tcPr>
            <w:tcW w:w="42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107.</w:t>
            </w:r>
            <w:r w:rsidR="002C63AC">
              <w:rPr>
                <w:rFonts w:ascii="Times New Roman" w:cs="Times New Roman" w:hint="eastAsia"/>
                <w:sz w:val="21"/>
                <w:szCs w:val="21"/>
              </w:rPr>
              <w:t>822340</w:t>
            </w:r>
          </w:p>
        </w:tc>
        <w:tc>
          <w:tcPr>
            <w:tcW w:w="380"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31.</w:t>
            </w:r>
            <w:r w:rsidR="002C63AC">
              <w:rPr>
                <w:rFonts w:ascii="Times New Roman" w:cs="Times New Roman" w:hint="eastAsia"/>
                <w:sz w:val="21"/>
                <w:szCs w:val="21"/>
              </w:rPr>
              <w:t>537152</w:t>
            </w:r>
          </w:p>
        </w:tc>
        <w:tc>
          <w:tcPr>
            <w:tcW w:w="379"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w:t>
            </w:r>
          </w:p>
        </w:tc>
        <w:tc>
          <w:tcPr>
            <w:tcW w:w="56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地下水水质</w:t>
            </w:r>
            <w:r w:rsidRPr="00D630D1">
              <w:rPr>
                <w:rFonts w:ascii="Times New Roman" w:cs="Times New Roman" w:hint="eastAsia"/>
                <w:sz w:val="21"/>
                <w:szCs w:val="21"/>
              </w:rPr>
              <w:t>，</w:t>
            </w:r>
            <w:r w:rsidRPr="00D630D1">
              <w:rPr>
                <w:rFonts w:ascii="Times New Roman" w:cs="Times New Roman"/>
                <w:sz w:val="21"/>
                <w:szCs w:val="21"/>
              </w:rPr>
              <w:t>高程</w:t>
            </w:r>
            <w:r w:rsidR="002C63AC">
              <w:rPr>
                <w:rFonts w:ascii="Times New Roman" w:cs="Times New Roman" w:hint="eastAsia"/>
                <w:sz w:val="21"/>
                <w:szCs w:val="21"/>
              </w:rPr>
              <w:t>790</w:t>
            </w:r>
            <w:r w:rsidRPr="00D630D1">
              <w:rPr>
                <w:rFonts w:ascii="Times New Roman" w:cs="Times New Roman" w:hint="eastAsia"/>
                <w:sz w:val="21"/>
                <w:szCs w:val="21"/>
              </w:rPr>
              <w:t>m</w:t>
            </w:r>
          </w:p>
        </w:tc>
        <w:tc>
          <w:tcPr>
            <w:tcW w:w="1043"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w:t>
            </w:r>
          </w:p>
        </w:tc>
        <w:tc>
          <w:tcPr>
            <w:tcW w:w="453" w:type="pct"/>
            <w:tcBorders>
              <w:top w:val="single" w:sz="2" w:space="0" w:color="000000"/>
              <w:left w:val="single" w:sz="2" w:space="0" w:color="000000"/>
              <w:bottom w:val="single" w:sz="2" w:space="0" w:color="000000"/>
              <w:right w:val="nil"/>
            </w:tcBorders>
            <w:vAlign w:val="center"/>
          </w:tcPr>
          <w:p w:rsidR="006A42B3" w:rsidRPr="00D630D1" w:rsidRDefault="002C63AC" w:rsidP="008B17C2">
            <w:pPr>
              <w:spacing w:line="240" w:lineRule="auto"/>
              <w:ind w:firstLineChars="0" w:firstLine="0"/>
              <w:jc w:val="center"/>
              <w:rPr>
                <w:rFonts w:ascii="Times New Roman" w:cs="Times New Roman"/>
                <w:sz w:val="21"/>
                <w:szCs w:val="21"/>
              </w:rPr>
            </w:pPr>
            <w:r>
              <w:rPr>
                <w:rFonts w:ascii="Times New Roman" w:cs="Times New Roman" w:hint="eastAsia"/>
                <w:sz w:val="21"/>
                <w:szCs w:val="21"/>
              </w:rPr>
              <w:t>44</w:t>
            </w:r>
            <w:r w:rsidR="006A42B3" w:rsidRPr="00D630D1">
              <w:rPr>
                <w:rFonts w:ascii="Times New Roman" w:cs="Times New Roman" w:hint="eastAsia"/>
                <w:sz w:val="21"/>
                <w:szCs w:val="21"/>
              </w:rPr>
              <w:t>0</w:t>
            </w:r>
          </w:p>
        </w:tc>
      </w:tr>
      <w:tr w:rsidR="006A42B3" w:rsidRPr="00D630D1" w:rsidTr="00645A40">
        <w:trPr>
          <w:trHeight w:val="342"/>
          <w:jc w:val="center"/>
        </w:trPr>
        <w:tc>
          <w:tcPr>
            <w:tcW w:w="189" w:type="pct"/>
            <w:tcBorders>
              <w:top w:val="single" w:sz="2" w:space="0" w:color="000000"/>
              <w:left w:val="nil"/>
              <w:bottom w:val="single" w:sz="2" w:space="0" w:color="000000"/>
              <w:right w:val="single" w:sz="2" w:space="0" w:color="000000"/>
            </w:tcBorders>
            <w:vAlign w:val="center"/>
          </w:tcPr>
          <w:p w:rsidR="006A42B3" w:rsidRPr="00D630D1" w:rsidRDefault="006A42B3"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26</w:t>
            </w:r>
          </w:p>
        </w:tc>
        <w:tc>
          <w:tcPr>
            <w:tcW w:w="474"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hint="eastAsia"/>
                <w:bCs/>
                <w:sz w:val="21"/>
                <w:szCs w:val="21"/>
              </w:rPr>
              <w:t>水井</w:t>
            </w:r>
            <w:r w:rsidRPr="00D630D1">
              <w:rPr>
                <w:rFonts w:ascii="Times New Roman" w:cs="Times New Roman" w:hint="eastAsia"/>
                <w:sz w:val="21"/>
                <w:szCs w:val="21"/>
              </w:rPr>
              <w:t>JC5</w:t>
            </w:r>
          </w:p>
        </w:tc>
        <w:tc>
          <w:tcPr>
            <w:tcW w:w="42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107.</w:t>
            </w:r>
            <w:r w:rsidR="002C63AC">
              <w:rPr>
                <w:rFonts w:ascii="Times New Roman" w:cs="Times New Roman" w:hint="eastAsia"/>
                <w:sz w:val="21"/>
                <w:szCs w:val="21"/>
              </w:rPr>
              <w:t>803882</w:t>
            </w:r>
          </w:p>
        </w:tc>
        <w:tc>
          <w:tcPr>
            <w:tcW w:w="380"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31.</w:t>
            </w:r>
            <w:r w:rsidR="002C63AC">
              <w:rPr>
                <w:rFonts w:ascii="Times New Roman" w:cs="Times New Roman" w:hint="eastAsia"/>
                <w:sz w:val="21"/>
                <w:szCs w:val="21"/>
              </w:rPr>
              <w:t>534996</w:t>
            </w:r>
          </w:p>
        </w:tc>
        <w:tc>
          <w:tcPr>
            <w:tcW w:w="379"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w:t>
            </w:r>
          </w:p>
        </w:tc>
        <w:tc>
          <w:tcPr>
            <w:tcW w:w="56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地下水水质</w:t>
            </w:r>
            <w:r w:rsidRPr="00D630D1">
              <w:rPr>
                <w:rFonts w:ascii="Times New Roman" w:cs="Times New Roman" w:hint="eastAsia"/>
                <w:sz w:val="21"/>
                <w:szCs w:val="21"/>
              </w:rPr>
              <w:t>，</w:t>
            </w:r>
            <w:r w:rsidRPr="00D630D1">
              <w:rPr>
                <w:rFonts w:ascii="Times New Roman" w:cs="Times New Roman"/>
                <w:sz w:val="21"/>
                <w:szCs w:val="21"/>
              </w:rPr>
              <w:t>高程</w:t>
            </w:r>
            <w:r w:rsidR="002C63AC">
              <w:rPr>
                <w:rFonts w:ascii="Times New Roman" w:cs="Times New Roman" w:hint="eastAsia"/>
                <w:sz w:val="21"/>
                <w:szCs w:val="21"/>
              </w:rPr>
              <w:t>776</w:t>
            </w:r>
            <w:r w:rsidRPr="00D630D1">
              <w:rPr>
                <w:rFonts w:ascii="Times New Roman" w:cs="Times New Roman" w:hint="eastAsia"/>
                <w:sz w:val="21"/>
                <w:szCs w:val="21"/>
              </w:rPr>
              <w:t>m</w:t>
            </w:r>
          </w:p>
        </w:tc>
        <w:tc>
          <w:tcPr>
            <w:tcW w:w="1043"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2C63AC" w:rsidP="00645A4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W</w:t>
            </w:r>
          </w:p>
        </w:tc>
        <w:tc>
          <w:tcPr>
            <w:tcW w:w="453" w:type="pct"/>
            <w:tcBorders>
              <w:top w:val="single" w:sz="2" w:space="0" w:color="000000"/>
              <w:left w:val="single" w:sz="2" w:space="0" w:color="000000"/>
              <w:bottom w:val="single" w:sz="2" w:space="0" w:color="000000"/>
              <w:right w:val="nil"/>
            </w:tcBorders>
            <w:vAlign w:val="center"/>
          </w:tcPr>
          <w:p w:rsidR="006A42B3" w:rsidRPr="00D630D1" w:rsidRDefault="002C63AC" w:rsidP="00645A40">
            <w:pPr>
              <w:spacing w:line="240" w:lineRule="auto"/>
              <w:ind w:firstLineChars="0" w:firstLine="0"/>
              <w:jc w:val="center"/>
              <w:rPr>
                <w:rFonts w:ascii="Times New Roman" w:cs="Times New Roman"/>
                <w:sz w:val="21"/>
                <w:szCs w:val="21"/>
              </w:rPr>
            </w:pPr>
            <w:r>
              <w:rPr>
                <w:rFonts w:ascii="Times New Roman" w:cs="Times New Roman" w:hint="eastAsia"/>
                <w:sz w:val="21"/>
                <w:szCs w:val="21"/>
              </w:rPr>
              <w:t>96</w:t>
            </w:r>
            <w:r w:rsidR="006A42B3" w:rsidRPr="00D630D1">
              <w:rPr>
                <w:rFonts w:ascii="Times New Roman" w:cs="Times New Roman" w:hint="eastAsia"/>
                <w:sz w:val="21"/>
                <w:szCs w:val="21"/>
              </w:rPr>
              <w:t>0</w:t>
            </w:r>
          </w:p>
        </w:tc>
      </w:tr>
      <w:tr w:rsidR="006A42B3" w:rsidRPr="00D630D1" w:rsidTr="00645A40">
        <w:trPr>
          <w:trHeight w:val="342"/>
          <w:jc w:val="center"/>
        </w:trPr>
        <w:tc>
          <w:tcPr>
            <w:tcW w:w="189" w:type="pct"/>
            <w:tcBorders>
              <w:top w:val="single" w:sz="2" w:space="0" w:color="000000"/>
              <w:left w:val="nil"/>
              <w:bottom w:val="single" w:sz="2" w:space="0" w:color="000000"/>
              <w:right w:val="single" w:sz="2" w:space="0" w:color="000000"/>
            </w:tcBorders>
            <w:vAlign w:val="center"/>
          </w:tcPr>
          <w:p w:rsidR="006A42B3" w:rsidRPr="00D630D1" w:rsidRDefault="006A42B3"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27</w:t>
            </w:r>
          </w:p>
        </w:tc>
        <w:tc>
          <w:tcPr>
            <w:tcW w:w="474"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hint="eastAsia"/>
                <w:bCs/>
                <w:sz w:val="21"/>
                <w:szCs w:val="21"/>
              </w:rPr>
              <w:t>水井</w:t>
            </w:r>
            <w:r w:rsidRPr="00D630D1">
              <w:rPr>
                <w:rFonts w:ascii="Times New Roman" w:cs="Times New Roman" w:hint="eastAsia"/>
                <w:sz w:val="21"/>
                <w:szCs w:val="21"/>
              </w:rPr>
              <w:t>JC6</w:t>
            </w:r>
          </w:p>
        </w:tc>
        <w:tc>
          <w:tcPr>
            <w:tcW w:w="42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107.</w:t>
            </w:r>
            <w:r w:rsidR="002C63AC">
              <w:rPr>
                <w:rFonts w:ascii="Times New Roman" w:cs="Times New Roman" w:hint="eastAsia"/>
                <w:sz w:val="21"/>
                <w:szCs w:val="21"/>
              </w:rPr>
              <w:t>823622</w:t>
            </w:r>
          </w:p>
        </w:tc>
        <w:tc>
          <w:tcPr>
            <w:tcW w:w="380"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31.</w:t>
            </w:r>
            <w:r w:rsidR="002C63AC">
              <w:rPr>
                <w:rFonts w:ascii="Times New Roman" w:cs="Times New Roman" w:hint="eastAsia"/>
                <w:sz w:val="21"/>
                <w:szCs w:val="21"/>
              </w:rPr>
              <w:t>524766</w:t>
            </w:r>
          </w:p>
        </w:tc>
        <w:tc>
          <w:tcPr>
            <w:tcW w:w="379"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w:t>
            </w:r>
          </w:p>
        </w:tc>
        <w:tc>
          <w:tcPr>
            <w:tcW w:w="56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地下水水质</w:t>
            </w:r>
            <w:r w:rsidRPr="00D630D1">
              <w:rPr>
                <w:rFonts w:ascii="Times New Roman" w:cs="Times New Roman" w:hint="eastAsia"/>
                <w:sz w:val="21"/>
                <w:szCs w:val="21"/>
              </w:rPr>
              <w:t>，</w:t>
            </w:r>
            <w:r w:rsidRPr="00D630D1">
              <w:rPr>
                <w:rFonts w:ascii="Times New Roman" w:cs="Times New Roman"/>
                <w:sz w:val="21"/>
                <w:szCs w:val="21"/>
              </w:rPr>
              <w:t>高程</w:t>
            </w:r>
            <w:r w:rsidRPr="00D630D1">
              <w:rPr>
                <w:rFonts w:ascii="Times New Roman" w:cs="Times New Roman" w:hint="eastAsia"/>
                <w:sz w:val="21"/>
                <w:szCs w:val="21"/>
              </w:rPr>
              <w:t>7</w:t>
            </w:r>
            <w:r w:rsidR="002C63AC">
              <w:rPr>
                <w:rFonts w:ascii="Times New Roman" w:cs="Times New Roman" w:hint="eastAsia"/>
                <w:sz w:val="21"/>
                <w:szCs w:val="21"/>
              </w:rPr>
              <w:t>74</w:t>
            </w:r>
            <w:r w:rsidRPr="00D630D1">
              <w:rPr>
                <w:rFonts w:ascii="Times New Roman" w:cs="Times New Roman" w:hint="eastAsia"/>
                <w:sz w:val="21"/>
                <w:szCs w:val="21"/>
              </w:rPr>
              <w:t>m</w:t>
            </w:r>
          </w:p>
        </w:tc>
        <w:tc>
          <w:tcPr>
            <w:tcW w:w="1043"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2C63AC" w:rsidP="00645A40">
            <w:pPr>
              <w:spacing w:line="240" w:lineRule="auto"/>
              <w:ind w:firstLineChars="0" w:firstLine="0"/>
              <w:jc w:val="center"/>
              <w:rPr>
                <w:rFonts w:ascii="Times New Roman" w:cs="Times New Roman"/>
                <w:sz w:val="21"/>
                <w:szCs w:val="21"/>
              </w:rPr>
            </w:pPr>
            <w:r>
              <w:rPr>
                <w:rFonts w:ascii="Times New Roman" w:cs="Times New Roman" w:hint="eastAsia"/>
                <w:sz w:val="21"/>
                <w:szCs w:val="21"/>
              </w:rPr>
              <w:t>SE</w:t>
            </w:r>
          </w:p>
        </w:tc>
        <w:tc>
          <w:tcPr>
            <w:tcW w:w="453" w:type="pct"/>
            <w:tcBorders>
              <w:top w:val="single" w:sz="2" w:space="0" w:color="000000"/>
              <w:left w:val="single" w:sz="2" w:space="0" w:color="000000"/>
              <w:bottom w:val="single" w:sz="2" w:space="0" w:color="000000"/>
              <w:right w:val="nil"/>
            </w:tcBorders>
            <w:vAlign w:val="center"/>
          </w:tcPr>
          <w:p w:rsidR="006A42B3" w:rsidRPr="00D630D1" w:rsidRDefault="002C63AC" w:rsidP="009B1506">
            <w:pPr>
              <w:spacing w:line="240" w:lineRule="auto"/>
              <w:ind w:firstLineChars="0" w:firstLine="0"/>
              <w:jc w:val="center"/>
              <w:rPr>
                <w:rFonts w:ascii="Times New Roman" w:cs="Times New Roman"/>
                <w:sz w:val="21"/>
                <w:szCs w:val="21"/>
              </w:rPr>
            </w:pPr>
            <w:r>
              <w:rPr>
                <w:rFonts w:ascii="Times New Roman" w:cs="Times New Roman" w:hint="eastAsia"/>
                <w:sz w:val="21"/>
                <w:szCs w:val="21"/>
              </w:rPr>
              <w:t>87</w:t>
            </w:r>
            <w:r w:rsidR="006A42B3" w:rsidRPr="00D630D1">
              <w:rPr>
                <w:rFonts w:ascii="Times New Roman" w:cs="Times New Roman" w:hint="eastAsia"/>
                <w:sz w:val="21"/>
                <w:szCs w:val="21"/>
              </w:rPr>
              <w:t>0</w:t>
            </w:r>
          </w:p>
        </w:tc>
      </w:tr>
      <w:tr w:rsidR="006A42B3" w:rsidRPr="00D630D1" w:rsidTr="00645A40">
        <w:trPr>
          <w:trHeight w:val="342"/>
          <w:jc w:val="center"/>
        </w:trPr>
        <w:tc>
          <w:tcPr>
            <w:tcW w:w="189" w:type="pct"/>
            <w:tcBorders>
              <w:top w:val="single" w:sz="2" w:space="0" w:color="000000"/>
              <w:left w:val="nil"/>
              <w:bottom w:val="single" w:sz="2" w:space="0" w:color="000000"/>
              <w:right w:val="single" w:sz="2" w:space="0" w:color="000000"/>
            </w:tcBorders>
            <w:vAlign w:val="center"/>
          </w:tcPr>
          <w:p w:rsidR="006A42B3" w:rsidRPr="00D630D1" w:rsidRDefault="006A42B3"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28</w:t>
            </w:r>
          </w:p>
        </w:tc>
        <w:tc>
          <w:tcPr>
            <w:tcW w:w="474"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hint="eastAsia"/>
                <w:bCs/>
                <w:sz w:val="21"/>
                <w:szCs w:val="21"/>
              </w:rPr>
              <w:t>水井</w:t>
            </w:r>
            <w:r w:rsidRPr="00D630D1">
              <w:rPr>
                <w:rFonts w:ascii="Times New Roman" w:cs="Times New Roman" w:hint="eastAsia"/>
                <w:sz w:val="21"/>
                <w:szCs w:val="21"/>
              </w:rPr>
              <w:t>JC7</w:t>
            </w:r>
          </w:p>
        </w:tc>
        <w:tc>
          <w:tcPr>
            <w:tcW w:w="42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107.</w:t>
            </w:r>
            <w:r w:rsidR="002C63AC">
              <w:rPr>
                <w:rFonts w:ascii="Times New Roman" w:cs="Times New Roman" w:hint="eastAsia"/>
                <w:sz w:val="21"/>
                <w:szCs w:val="21"/>
              </w:rPr>
              <w:t>821240</w:t>
            </w:r>
          </w:p>
        </w:tc>
        <w:tc>
          <w:tcPr>
            <w:tcW w:w="380"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31.</w:t>
            </w:r>
            <w:r w:rsidR="002C63AC">
              <w:rPr>
                <w:rFonts w:ascii="Times New Roman" w:cs="Times New Roman" w:hint="eastAsia"/>
                <w:sz w:val="21"/>
                <w:szCs w:val="21"/>
              </w:rPr>
              <w:t>525772</w:t>
            </w:r>
          </w:p>
        </w:tc>
        <w:tc>
          <w:tcPr>
            <w:tcW w:w="379"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645A4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w:t>
            </w:r>
          </w:p>
        </w:tc>
        <w:tc>
          <w:tcPr>
            <w:tcW w:w="56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6A42B3"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地下水水质</w:t>
            </w:r>
            <w:r w:rsidRPr="00D630D1">
              <w:rPr>
                <w:rFonts w:ascii="Times New Roman" w:cs="Times New Roman" w:hint="eastAsia"/>
                <w:sz w:val="21"/>
                <w:szCs w:val="21"/>
              </w:rPr>
              <w:t>，</w:t>
            </w:r>
            <w:r w:rsidRPr="00D630D1">
              <w:rPr>
                <w:rFonts w:ascii="Times New Roman" w:cs="Times New Roman"/>
                <w:sz w:val="21"/>
                <w:szCs w:val="21"/>
              </w:rPr>
              <w:t>高程</w:t>
            </w:r>
            <w:r w:rsidR="002C63AC">
              <w:rPr>
                <w:rFonts w:ascii="Times New Roman" w:cs="Times New Roman" w:hint="eastAsia"/>
                <w:sz w:val="21"/>
                <w:szCs w:val="21"/>
              </w:rPr>
              <w:t>786</w:t>
            </w:r>
            <w:r w:rsidRPr="00D630D1">
              <w:rPr>
                <w:rFonts w:ascii="Times New Roman" w:cs="Times New Roman" w:hint="eastAsia"/>
                <w:sz w:val="21"/>
                <w:szCs w:val="21"/>
              </w:rPr>
              <w:t>m</w:t>
            </w:r>
          </w:p>
        </w:tc>
        <w:tc>
          <w:tcPr>
            <w:tcW w:w="1043" w:type="pct"/>
            <w:vMerge/>
            <w:tcBorders>
              <w:left w:val="single" w:sz="2" w:space="0" w:color="000000"/>
              <w:right w:val="single" w:sz="2" w:space="0" w:color="000000"/>
            </w:tcBorders>
            <w:vAlign w:val="center"/>
          </w:tcPr>
          <w:p w:rsidR="006A42B3" w:rsidRPr="00D630D1" w:rsidRDefault="006A42B3" w:rsidP="00AA2CA8">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6A42B3" w:rsidRPr="00D630D1" w:rsidRDefault="002C63AC" w:rsidP="00645A40">
            <w:pPr>
              <w:spacing w:line="240" w:lineRule="auto"/>
              <w:ind w:firstLineChars="0" w:firstLine="0"/>
              <w:jc w:val="center"/>
              <w:rPr>
                <w:rFonts w:ascii="Times New Roman" w:cs="Times New Roman"/>
                <w:sz w:val="21"/>
                <w:szCs w:val="21"/>
              </w:rPr>
            </w:pPr>
            <w:r>
              <w:rPr>
                <w:rFonts w:ascii="Times New Roman" w:cs="Times New Roman" w:hint="eastAsia"/>
                <w:sz w:val="21"/>
                <w:szCs w:val="21"/>
              </w:rPr>
              <w:t>SE</w:t>
            </w:r>
          </w:p>
        </w:tc>
        <w:tc>
          <w:tcPr>
            <w:tcW w:w="453" w:type="pct"/>
            <w:tcBorders>
              <w:top w:val="single" w:sz="2" w:space="0" w:color="000000"/>
              <w:left w:val="single" w:sz="2" w:space="0" w:color="000000"/>
              <w:bottom w:val="single" w:sz="2" w:space="0" w:color="000000"/>
              <w:right w:val="nil"/>
            </w:tcBorders>
            <w:vAlign w:val="center"/>
          </w:tcPr>
          <w:p w:rsidR="006A42B3" w:rsidRPr="00D630D1" w:rsidRDefault="002C63AC" w:rsidP="009B1506">
            <w:pPr>
              <w:spacing w:line="240" w:lineRule="auto"/>
              <w:ind w:firstLineChars="0" w:firstLine="0"/>
              <w:jc w:val="center"/>
              <w:rPr>
                <w:rFonts w:ascii="Times New Roman" w:cs="Times New Roman"/>
                <w:sz w:val="21"/>
                <w:szCs w:val="21"/>
              </w:rPr>
            </w:pPr>
            <w:r>
              <w:rPr>
                <w:rFonts w:ascii="Times New Roman" w:cs="Times New Roman" w:hint="eastAsia"/>
                <w:sz w:val="21"/>
                <w:szCs w:val="21"/>
              </w:rPr>
              <w:t>65</w:t>
            </w:r>
            <w:r w:rsidR="006A42B3" w:rsidRPr="00D630D1">
              <w:rPr>
                <w:rFonts w:ascii="Times New Roman" w:cs="Times New Roman" w:hint="eastAsia"/>
                <w:sz w:val="21"/>
                <w:szCs w:val="21"/>
              </w:rPr>
              <w:t>0</w:t>
            </w:r>
          </w:p>
        </w:tc>
      </w:tr>
      <w:tr w:rsidR="00F91CAA" w:rsidRPr="00D630D1" w:rsidTr="00645A40">
        <w:trPr>
          <w:trHeight w:val="342"/>
          <w:jc w:val="center"/>
        </w:trPr>
        <w:tc>
          <w:tcPr>
            <w:tcW w:w="189" w:type="pct"/>
            <w:tcBorders>
              <w:top w:val="single" w:sz="2" w:space="0" w:color="000000"/>
              <w:left w:val="nil"/>
              <w:bottom w:val="single" w:sz="2" w:space="0" w:color="000000"/>
              <w:right w:val="single" w:sz="2" w:space="0" w:color="000000"/>
            </w:tcBorders>
            <w:vAlign w:val="center"/>
          </w:tcPr>
          <w:p w:rsidR="00F91CAA" w:rsidRPr="00D630D1" w:rsidRDefault="00F91CAA"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29</w:t>
            </w:r>
          </w:p>
        </w:tc>
        <w:tc>
          <w:tcPr>
            <w:tcW w:w="474" w:type="pct"/>
            <w:vMerge/>
            <w:tcBorders>
              <w:left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sidRPr="00D630D1">
              <w:rPr>
                <w:rFonts w:ascii="Times New Roman" w:cs="Times New Roman" w:hint="eastAsia"/>
                <w:bCs/>
                <w:sz w:val="21"/>
                <w:szCs w:val="21"/>
              </w:rPr>
              <w:t>水井</w:t>
            </w:r>
            <w:r w:rsidRPr="00D630D1">
              <w:rPr>
                <w:rFonts w:ascii="Times New Roman" w:cs="Times New Roman" w:hint="eastAsia"/>
                <w:sz w:val="21"/>
                <w:szCs w:val="21"/>
              </w:rPr>
              <w:t>JC8</w:t>
            </w:r>
          </w:p>
        </w:tc>
        <w:tc>
          <w:tcPr>
            <w:tcW w:w="42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F91CA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107.</w:t>
            </w:r>
            <w:r>
              <w:rPr>
                <w:rFonts w:ascii="Times New Roman" w:cs="Times New Roman" w:hint="eastAsia"/>
                <w:sz w:val="21"/>
                <w:szCs w:val="21"/>
              </w:rPr>
              <w:t>821798</w:t>
            </w:r>
          </w:p>
        </w:tc>
        <w:tc>
          <w:tcPr>
            <w:tcW w:w="380"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F91CA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31.</w:t>
            </w:r>
            <w:r>
              <w:rPr>
                <w:rFonts w:ascii="Times New Roman" w:cs="Times New Roman" w:hint="eastAsia"/>
                <w:sz w:val="21"/>
                <w:szCs w:val="21"/>
              </w:rPr>
              <w:t>538639</w:t>
            </w:r>
          </w:p>
        </w:tc>
        <w:tc>
          <w:tcPr>
            <w:tcW w:w="379"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w:t>
            </w:r>
          </w:p>
        </w:tc>
        <w:tc>
          <w:tcPr>
            <w:tcW w:w="56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2C63AC">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地下水水质</w:t>
            </w:r>
            <w:r w:rsidRPr="00D630D1">
              <w:rPr>
                <w:rFonts w:ascii="Times New Roman" w:cs="Times New Roman" w:hint="eastAsia"/>
                <w:sz w:val="21"/>
                <w:szCs w:val="21"/>
              </w:rPr>
              <w:t>，</w:t>
            </w:r>
            <w:r w:rsidRPr="00D630D1">
              <w:rPr>
                <w:rFonts w:ascii="Times New Roman" w:cs="Times New Roman"/>
                <w:sz w:val="21"/>
                <w:szCs w:val="21"/>
              </w:rPr>
              <w:t>高程</w:t>
            </w:r>
            <w:r>
              <w:rPr>
                <w:rFonts w:ascii="Times New Roman" w:cs="Times New Roman" w:hint="eastAsia"/>
                <w:sz w:val="21"/>
                <w:szCs w:val="21"/>
              </w:rPr>
              <w:t>789</w:t>
            </w:r>
            <w:r w:rsidRPr="00D630D1">
              <w:rPr>
                <w:rFonts w:ascii="Times New Roman" w:cs="Times New Roman" w:hint="eastAsia"/>
                <w:sz w:val="21"/>
                <w:szCs w:val="21"/>
              </w:rPr>
              <w:t>m</w:t>
            </w:r>
          </w:p>
        </w:tc>
        <w:tc>
          <w:tcPr>
            <w:tcW w:w="1043" w:type="pct"/>
            <w:vMerge/>
            <w:tcBorders>
              <w:left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07535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NE</w:t>
            </w:r>
          </w:p>
        </w:tc>
        <w:tc>
          <w:tcPr>
            <w:tcW w:w="453" w:type="pct"/>
            <w:tcBorders>
              <w:top w:val="single" w:sz="2" w:space="0" w:color="000000"/>
              <w:left w:val="single" w:sz="2" w:space="0" w:color="000000"/>
              <w:bottom w:val="single" w:sz="2" w:space="0" w:color="000000"/>
              <w:right w:val="nil"/>
            </w:tcBorders>
            <w:vAlign w:val="center"/>
          </w:tcPr>
          <w:p w:rsidR="00F91CAA" w:rsidRPr="00D630D1" w:rsidRDefault="00F91CAA" w:rsidP="00075350">
            <w:pPr>
              <w:spacing w:line="240" w:lineRule="auto"/>
              <w:ind w:firstLineChars="0" w:firstLine="0"/>
              <w:jc w:val="center"/>
              <w:rPr>
                <w:rFonts w:ascii="Times New Roman" w:cs="Times New Roman"/>
                <w:sz w:val="21"/>
                <w:szCs w:val="21"/>
              </w:rPr>
            </w:pPr>
            <w:r>
              <w:rPr>
                <w:rFonts w:ascii="Times New Roman" w:cs="Times New Roman" w:hint="eastAsia"/>
                <w:sz w:val="21"/>
                <w:szCs w:val="21"/>
              </w:rPr>
              <w:t>54</w:t>
            </w:r>
            <w:r w:rsidRPr="00D630D1">
              <w:rPr>
                <w:rFonts w:ascii="Times New Roman" w:cs="Times New Roman" w:hint="eastAsia"/>
                <w:sz w:val="21"/>
                <w:szCs w:val="21"/>
              </w:rPr>
              <w:t>0</w:t>
            </w:r>
          </w:p>
        </w:tc>
      </w:tr>
      <w:tr w:rsidR="00F91CAA" w:rsidRPr="00D630D1" w:rsidTr="00645A40">
        <w:trPr>
          <w:trHeight w:val="342"/>
          <w:jc w:val="center"/>
        </w:trPr>
        <w:tc>
          <w:tcPr>
            <w:tcW w:w="189" w:type="pct"/>
            <w:tcBorders>
              <w:top w:val="single" w:sz="2" w:space="0" w:color="000000"/>
              <w:left w:val="nil"/>
              <w:bottom w:val="single" w:sz="2" w:space="0" w:color="000000"/>
              <w:right w:val="single" w:sz="2" w:space="0" w:color="000000"/>
            </w:tcBorders>
            <w:vAlign w:val="center"/>
          </w:tcPr>
          <w:p w:rsidR="00F91CAA" w:rsidRPr="00D630D1" w:rsidRDefault="00F91CAA"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30</w:t>
            </w:r>
          </w:p>
        </w:tc>
        <w:tc>
          <w:tcPr>
            <w:tcW w:w="474" w:type="pct"/>
            <w:vMerge/>
            <w:tcBorders>
              <w:left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sidRPr="00D630D1">
              <w:rPr>
                <w:rFonts w:ascii="Times New Roman" w:cs="Times New Roman" w:hint="eastAsia"/>
                <w:bCs/>
                <w:sz w:val="21"/>
                <w:szCs w:val="21"/>
              </w:rPr>
              <w:t>水井</w:t>
            </w:r>
            <w:r w:rsidRPr="00D630D1">
              <w:rPr>
                <w:rFonts w:ascii="Times New Roman" w:cs="Times New Roman" w:hint="eastAsia"/>
                <w:sz w:val="21"/>
                <w:szCs w:val="21"/>
              </w:rPr>
              <w:t>JC9</w:t>
            </w:r>
          </w:p>
        </w:tc>
        <w:tc>
          <w:tcPr>
            <w:tcW w:w="42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F91CA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107.</w:t>
            </w:r>
            <w:r>
              <w:rPr>
                <w:rFonts w:ascii="Times New Roman" w:cs="Times New Roman" w:hint="eastAsia"/>
                <w:sz w:val="21"/>
                <w:szCs w:val="21"/>
              </w:rPr>
              <w:t>811048</w:t>
            </w:r>
          </w:p>
        </w:tc>
        <w:tc>
          <w:tcPr>
            <w:tcW w:w="380"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F91CA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31.</w:t>
            </w:r>
            <w:r>
              <w:rPr>
                <w:rFonts w:ascii="Times New Roman" w:cs="Times New Roman" w:hint="eastAsia"/>
                <w:sz w:val="21"/>
                <w:szCs w:val="21"/>
              </w:rPr>
              <w:t>537944</w:t>
            </w:r>
          </w:p>
        </w:tc>
        <w:tc>
          <w:tcPr>
            <w:tcW w:w="379"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w:t>
            </w:r>
          </w:p>
        </w:tc>
        <w:tc>
          <w:tcPr>
            <w:tcW w:w="56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F91CA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地下水水质</w:t>
            </w:r>
            <w:r w:rsidRPr="00D630D1">
              <w:rPr>
                <w:rFonts w:ascii="Times New Roman" w:cs="Times New Roman" w:hint="eastAsia"/>
                <w:sz w:val="21"/>
                <w:szCs w:val="21"/>
              </w:rPr>
              <w:t>，</w:t>
            </w:r>
            <w:r w:rsidRPr="00D630D1">
              <w:rPr>
                <w:rFonts w:ascii="Times New Roman" w:cs="Times New Roman"/>
                <w:sz w:val="21"/>
                <w:szCs w:val="21"/>
              </w:rPr>
              <w:t>高程</w:t>
            </w:r>
            <w:r>
              <w:rPr>
                <w:rFonts w:ascii="Times New Roman" w:cs="Times New Roman" w:hint="eastAsia"/>
                <w:sz w:val="21"/>
                <w:szCs w:val="21"/>
              </w:rPr>
              <w:t>849</w:t>
            </w:r>
            <w:r w:rsidRPr="00D630D1">
              <w:rPr>
                <w:rFonts w:ascii="Times New Roman" w:cs="Times New Roman" w:hint="eastAsia"/>
                <w:sz w:val="21"/>
                <w:szCs w:val="21"/>
              </w:rPr>
              <w:t>m</w:t>
            </w:r>
          </w:p>
        </w:tc>
        <w:tc>
          <w:tcPr>
            <w:tcW w:w="1043" w:type="pct"/>
            <w:vMerge/>
            <w:tcBorders>
              <w:left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NW</w:t>
            </w:r>
          </w:p>
        </w:tc>
        <w:tc>
          <w:tcPr>
            <w:tcW w:w="453" w:type="pct"/>
            <w:tcBorders>
              <w:top w:val="single" w:sz="2" w:space="0" w:color="000000"/>
              <w:left w:val="single" w:sz="2" w:space="0" w:color="000000"/>
              <w:bottom w:val="single" w:sz="2" w:space="0" w:color="000000"/>
              <w:right w:val="nil"/>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Pr>
                <w:rFonts w:ascii="Times New Roman" w:cs="Times New Roman" w:hint="eastAsia"/>
                <w:sz w:val="21"/>
                <w:szCs w:val="21"/>
              </w:rPr>
              <w:t>79</w:t>
            </w:r>
            <w:r w:rsidRPr="00D630D1">
              <w:rPr>
                <w:rFonts w:ascii="Times New Roman" w:cs="Times New Roman" w:hint="eastAsia"/>
                <w:sz w:val="21"/>
                <w:szCs w:val="21"/>
              </w:rPr>
              <w:t>0</w:t>
            </w:r>
          </w:p>
        </w:tc>
      </w:tr>
      <w:tr w:rsidR="00F91CAA" w:rsidRPr="00D630D1" w:rsidTr="00645A40">
        <w:trPr>
          <w:trHeight w:val="342"/>
          <w:jc w:val="center"/>
        </w:trPr>
        <w:tc>
          <w:tcPr>
            <w:tcW w:w="189" w:type="pct"/>
            <w:tcBorders>
              <w:top w:val="single" w:sz="2" w:space="0" w:color="000000"/>
              <w:left w:val="nil"/>
              <w:bottom w:val="single" w:sz="2" w:space="0" w:color="000000"/>
              <w:right w:val="single" w:sz="2" w:space="0" w:color="000000"/>
            </w:tcBorders>
            <w:vAlign w:val="center"/>
          </w:tcPr>
          <w:p w:rsidR="00F91CAA" w:rsidRPr="00D630D1" w:rsidRDefault="00F91CAA"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31</w:t>
            </w:r>
          </w:p>
        </w:tc>
        <w:tc>
          <w:tcPr>
            <w:tcW w:w="474" w:type="pct"/>
            <w:vMerge/>
            <w:tcBorders>
              <w:left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EE1653">
            <w:pPr>
              <w:spacing w:line="240" w:lineRule="auto"/>
              <w:ind w:firstLineChars="0" w:firstLine="0"/>
              <w:jc w:val="center"/>
              <w:rPr>
                <w:rFonts w:ascii="Times New Roman" w:cs="Times New Roman"/>
                <w:bCs/>
                <w:sz w:val="21"/>
                <w:szCs w:val="21"/>
              </w:rPr>
            </w:pPr>
            <w:r w:rsidRPr="00D630D1">
              <w:rPr>
                <w:rFonts w:ascii="Times New Roman" w:cs="Times New Roman" w:hint="eastAsia"/>
                <w:bCs/>
                <w:sz w:val="21"/>
                <w:szCs w:val="21"/>
              </w:rPr>
              <w:t>水井</w:t>
            </w:r>
            <w:r w:rsidRPr="00D630D1">
              <w:rPr>
                <w:rFonts w:ascii="Times New Roman" w:cs="Times New Roman" w:hint="eastAsia"/>
                <w:sz w:val="21"/>
                <w:szCs w:val="21"/>
              </w:rPr>
              <w:t>JC10</w:t>
            </w:r>
          </w:p>
        </w:tc>
        <w:tc>
          <w:tcPr>
            <w:tcW w:w="42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F91CA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107.</w:t>
            </w:r>
            <w:r>
              <w:rPr>
                <w:rFonts w:ascii="Times New Roman" w:cs="Times New Roman" w:hint="eastAsia"/>
                <w:sz w:val="21"/>
                <w:szCs w:val="21"/>
              </w:rPr>
              <w:t>818644</w:t>
            </w:r>
          </w:p>
        </w:tc>
        <w:tc>
          <w:tcPr>
            <w:tcW w:w="380"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F91CA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31.</w:t>
            </w:r>
            <w:r>
              <w:rPr>
                <w:rFonts w:ascii="Times New Roman" w:cs="Times New Roman" w:hint="eastAsia"/>
                <w:sz w:val="21"/>
                <w:szCs w:val="21"/>
              </w:rPr>
              <w:t>538877</w:t>
            </w:r>
          </w:p>
        </w:tc>
        <w:tc>
          <w:tcPr>
            <w:tcW w:w="379"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w:t>
            </w:r>
          </w:p>
        </w:tc>
        <w:tc>
          <w:tcPr>
            <w:tcW w:w="56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F91CA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地下水水质</w:t>
            </w:r>
            <w:r w:rsidRPr="00D630D1">
              <w:rPr>
                <w:rFonts w:ascii="Times New Roman" w:cs="Times New Roman" w:hint="eastAsia"/>
                <w:sz w:val="21"/>
                <w:szCs w:val="21"/>
              </w:rPr>
              <w:t>，</w:t>
            </w:r>
            <w:r w:rsidRPr="00D630D1">
              <w:rPr>
                <w:rFonts w:ascii="Times New Roman" w:cs="Times New Roman"/>
                <w:sz w:val="21"/>
                <w:szCs w:val="21"/>
              </w:rPr>
              <w:t>高程</w:t>
            </w:r>
            <w:r>
              <w:rPr>
                <w:rFonts w:ascii="Times New Roman" w:cs="Times New Roman" w:hint="eastAsia"/>
                <w:sz w:val="21"/>
                <w:szCs w:val="21"/>
              </w:rPr>
              <w:t>801</w:t>
            </w:r>
            <w:r w:rsidRPr="00D630D1">
              <w:rPr>
                <w:rFonts w:ascii="Times New Roman" w:cs="Times New Roman" w:hint="eastAsia"/>
                <w:sz w:val="21"/>
                <w:szCs w:val="21"/>
              </w:rPr>
              <w:t>m</w:t>
            </w:r>
          </w:p>
        </w:tc>
        <w:tc>
          <w:tcPr>
            <w:tcW w:w="1043" w:type="pct"/>
            <w:vMerge/>
            <w:tcBorders>
              <w:left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w:t>
            </w:r>
          </w:p>
        </w:tc>
        <w:tc>
          <w:tcPr>
            <w:tcW w:w="453" w:type="pct"/>
            <w:tcBorders>
              <w:top w:val="single" w:sz="2" w:space="0" w:color="000000"/>
              <w:left w:val="single" w:sz="2" w:space="0" w:color="000000"/>
              <w:bottom w:val="single" w:sz="2" w:space="0" w:color="000000"/>
              <w:right w:val="nil"/>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Pr>
                <w:rFonts w:ascii="Times New Roman" w:cs="Times New Roman" w:hint="eastAsia"/>
                <w:sz w:val="21"/>
                <w:szCs w:val="21"/>
              </w:rPr>
              <w:t>54</w:t>
            </w:r>
            <w:r w:rsidRPr="00D630D1">
              <w:rPr>
                <w:rFonts w:ascii="Times New Roman" w:cs="Times New Roman" w:hint="eastAsia"/>
                <w:sz w:val="21"/>
                <w:szCs w:val="21"/>
              </w:rPr>
              <w:t>0</w:t>
            </w:r>
          </w:p>
        </w:tc>
      </w:tr>
      <w:tr w:rsidR="00F91CAA" w:rsidRPr="00D630D1" w:rsidTr="00645A40">
        <w:trPr>
          <w:trHeight w:val="342"/>
          <w:jc w:val="center"/>
        </w:trPr>
        <w:tc>
          <w:tcPr>
            <w:tcW w:w="189" w:type="pct"/>
            <w:tcBorders>
              <w:top w:val="single" w:sz="2" w:space="0" w:color="000000"/>
              <w:left w:val="nil"/>
              <w:bottom w:val="single" w:sz="2" w:space="0" w:color="000000"/>
              <w:right w:val="single" w:sz="2" w:space="0" w:color="000000"/>
            </w:tcBorders>
            <w:vAlign w:val="center"/>
          </w:tcPr>
          <w:p w:rsidR="00F91CAA" w:rsidRPr="00D630D1" w:rsidRDefault="00F91CAA"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32</w:t>
            </w:r>
          </w:p>
        </w:tc>
        <w:tc>
          <w:tcPr>
            <w:tcW w:w="474" w:type="pct"/>
            <w:vMerge/>
            <w:tcBorders>
              <w:left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EE1653">
            <w:pPr>
              <w:spacing w:line="240" w:lineRule="auto"/>
              <w:ind w:firstLineChars="0" w:firstLine="0"/>
              <w:jc w:val="center"/>
              <w:rPr>
                <w:rFonts w:ascii="Times New Roman" w:cs="Times New Roman"/>
                <w:bCs/>
                <w:sz w:val="21"/>
                <w:szCs w:val="21"/>
              </w:rPr>
            </w:pPr>
            <w:r w:rsidRPr="00D630D1">
              <w:rPr>
                <w:rFonts w:ascii="Times New Roman" w:cs="Times New Roman" w:hint="eastAsia"/>
                <w:bCs/>
                <w:sz w:val="21"/>
                <w:szCs w:val="21"/>
              </w:rPr>
              <w:t>水井</w:t>
            </w:r>
            <w:r w:rsidRPr="00D630D1">
              <w:rPr>
                <w:rFonts w:ascii="Times New Roman" w:cs="Times New Roman" w:hint="eastAsia"/>
                <w:sz w:val="21"/>
                <w:szCs w:val="21"/>
              </w:rPr>
              <w:t>JC11</w:t>
            </w:r>
          </w:p>
        </w:tc>
        <w:tc>
          <w:tcPr>
            <w:tcW w:w="42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sidRPr="00F91CAA">
              <w:rPr>
                <w:rFonts w:ascii="Times New Roman" w:cs="Times New Roman"/>
                <w:sz w:val="21"/>
                <w:szCs w:val="21"/>
              </w:rPr>
              <w:t>107.4905</w:t>
            </w:r>
            <w:r>
              <w:rPr>
                <w:rFonts w:ascii="Times New Roman" w:cs="Times New Roman" w:hint="eastAsia"/>
                <w:sz w:val="21"/>
                <w:szCs w:val="21"/>
              </w:rPr>
              <w:t>55</w:t>
            </w:r>
          </w:p>
        </w:tc>
        <w:tc>
          <w:tcPr>
            <w:tcW w:w="380"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sidRPr="00F91CAA">
              <w:rPr>
                <w:rFonts w:ascii="Times New Roman" w:cs="Times New Roman"/>
                <w:sz w:val="21"/>
                <w:szCs w:val="21"/>
              </w:rPr>
              <w:t>31.324094</w:t>
            </w:r>
          </w:p>
        </w:tc>
        <w:tc>
          <w:tcPr>
            <w:tcW w:w="379"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0846A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w:t>
            </w:r>
          </w:p>
        </w:tc>
        <w:tc>
          <w:tcPr>
            <w:tcW w:w="56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F91CA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地下水水质</w:t>
            </w:r>
            <w:r w:rsidRPr="00D630D1">
              <w:rPr>
                <w:rFonts w:ascii="Times New Roman" w:cs="Times New Roman" w:hint="eastAsia"/>
                <w:sz w:val="21"/>
                <w:szCs w:val="21"/>
              </w:rPr>
              <w:t>，</w:t>
            </w:r>
            <w:r w:rsidRPr="00D630D1">
              <w:rPr>
                <w:rFonts w:ascii="Times New Roman" w:cs="Times New Roman"/>
                <w:sz w:val="21"/>
                <w:szCs w:val="21"/>
              </w:rPr>
              <w:t>高程</w:t>
            </w:r>
            <w:r>
              <w:rPr>
                <w:rFonts w:ascii="Times New Roman" w:cs="Times New Roman" w:hint="eastAsia"/>
                <w:sz w:val="21"/>
                <w:szCs w:val="21"/>
              </w:rPr>
              <w:t>765</w:t>
            </w:r>
            <w:r w:rsidRPr="00D630D1">
              <w:rPr>
                <w:rFonts w:ascii="Times New Roman" w:cs="Times New Roman" w:hint="eastAsia"/>
                <w:sz w:val="21"/>
                <w:szCs w:val="21"/>
              </w:rPr>
              <w:t>m</w:t>
            </w:r>
          </w:p>
        </w:tc>
        <w:tc>
          <w:tcPr>
            <w:tcW w:w="1043" w:type="pct"/>
            <w:vMerge/>
            <w:tcBorders>
              <w:left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NE</w:t>
            </w:r>
          </w:p>
        </w:tc>
        <w:tc>
          <w:tcPr>
            <w:tcW w:w="453" w:type="pct"/>
            <w:tcBorders>
              <w:top w:val="single" w:sz="2" w:space="0" w:color="000000"/>
              <w:left w:val="single" w:sz="2" w:space="0" w:color="000000"/>
              <w:bottom w:val="single" w:sz="2" w:space="0" w:color="000000"/>
              <w:right w:val="nil"/>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Pr>
                <w:rFonts w:ascii="Times New Roman" w:cs="Times New Roman" w:hint="eastAsia"/>
                <w:sz w:val="21"/>
                <w:szCs w:val="21"/>
              </w:rPr>
              <w:t>12</w:t>
            </w:r>
            <w:r w:rsidRPr="00D630D1">
              <w:rPr>
                <w:rFonts w:ascii="Times New Roman" w:cs="Times New Roman" w:hint="eastAsia"/>
                <w:sz w:val="21"/>
                <w:szCs w:val="21"/>
              </w:rPr>
              <w:t>00</w:t>
            </w:r>
          </w:p>
        </w:tc>
      </w:tr>
      <w:tr w:rsidR="00F91CAA" w:rsidRPr="00D630D1" w:rsidTr="00645A40">
        <w:trPr>
          <w:trHeight w:val="342"/>
          <w:jc w:val="center"/>
        </w:trPr>
        <w:tc>
          <w:tcPr>
            <w:tcW w:w="189" w:type="pct"/>
            <w:tcBorders>
              <w:top w:val="single" w:sz="2" w:space="0" w:color="000000"/>
              <w:left w:val="nil"/>
              <w:bottom w:val="single" w:sz="2" w:space="0" w:color="000000"/>
              <w:right w:val="single" w:sz="2" w:space="0" w:color="000000"/>
            </w:tcBorders>
            <w:vAlign w:val="center"/>
          </w:tcPr>
          <w:p w:rsidR="00F91CAA" w:rsidRPr="00D630D1" w:rsidRDefault="00F91CAA"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33</w:t>
            </w:r>
          </w:p>
        </w:tc>
        <w:tc>
          <w:tcPr>
            <w:tcW w:w="474" w:type="pct"/>
            <w:vMerge/>
            <w:tcBorders>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p>
        </w:tc>
        <w:tc>
          <w:tcPr>
            <w:tcW w:w="854"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EE1653">
            <w:pPr>
              <w:spacing w:line="240" w:lineRule="auto"/>
              <w:ind w:firstLineChars="0" w:firstLine="0"/>
              <w:jc w:val="center"/>
              <w:rPr>
                <w:rFonts w:ascii="Times New Roman" w:cs="Times New Roman"/>
                <w:sz w:val="21"/>
                <w:szCs w:val="21"/>
              </w:rPr>
            </w:pPr>
            <w:r w:rsidRPr="00D630D1">
              <w:rPr>
                <w:rFonts w:ascii="Times New Roman" w:cs="Times New Roman" w:hint="eastAsia"/>
                <w:bCs/>
                <w:sz w:val="21"/>
                <w:szCs w:val="21"/>
              </w:rPr>
              <w:t>水井</w:t>
            </w:r>
            <w:r w:rsidRPr="00D630D1">
              <w:rPr>
                <w:rFonts w:ascii="Times New Roman" w:cs="Times New Roman" w:hint="eastAsia"/>
                <w:sz w:val="21"/>
                <w:szCs w:val="21"/>
              </w:rPr>
              <w:t>JC12</w:t>
            </w:r>
          </w:p>
        </w:tc>
        <w:tc>
          <w:tcPr>
            <w:tcW w:w="42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sidRPr="00F91CAA">
              <w:rPr>
                <w:rFonts w:ascii="Times New Roman" w:cs="Times New Roman"/>
                <w:sz w:val="21"/>
                <w:szCs w:val="21"/>
              </w:rPr>
              <w:t>107.493057</w:t>
            </w:r>
          </w:p>
        </w:tc>
        <w:tc>
          <w:tcPr>
            <w:tcW w:w="380"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645A40">
            <w:pPr>
              <w:spacing w:line="240" w:lineRule="auto"/>
              <w:ind w:firstLineChars="0" w:firstLine="0"/>
              <w:jc w:val="center"/>
              <w:rPr>
                <w:rFonts w:ascii="Times New Roman" w:cs="Times New Roman"/>
                <w:sz w:val="21"/>
                <w:szCs w:val="21"/>
              </w:rPr>
            </w:pPr>
            <w:r w:rsidRPr="00F91CAA">
              <w:rPr>
                <w:rFonts w:ascii="Times New Roman" w:cs="Times New Roman"/>
                <w:sz w:val="21"/>
                <w:szCs w:val="21"/>
              </w:rPr>
              <w:t>31.323175</w:t>
            </w:r>
          </w:p>
        </w:tc>
        <w:tc>
          <w:tcPr>
            <w:tcW w:w="379"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0846A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w:t>
            </w:r>
          </w:p>
        </w:tc>
        <w:tc>
          <w:tcPr>
            <w:tcW w:w="56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F91CAA">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地下水水质</w:t>
            </w:r>
            <w:r w:rsidRPr="00D630D1">
              <w:rPr>
                <w:rFonts w:ascii="Times New Roman" w:cs="Times New Roman" w:hint="eastAsia"/>
                <w:sz w:val="21"/>
                <w:szCs w:val="21"/>
              </w:rPr>
              <w:t>，</w:t>
            </w:r>
            <w:r w:rsidRPr="00D630D1">
              <w:rPr>
                <w:rFonts w:ascii="Times New Roman" w:cs="Times New Roman"/>
                <w:sz w:val="21"/>
                <w:szCs w:val="21"/>
              </w:rPr>
              <w:t>高程</w:t>
            </w:r>
            <w:r>
              <w:rPr>
                <w:rFonts w:ascii="Times New Roman" w:cs="Times New Roman" w:hint="eastAsia"/>
                <w:sz w:val="21"/>
                <w:szCs w:val="21"/>
              </w:rPr>
              <w:t>742</w:t>
            </w:r>
            <w:r w:rsidRPr="00D630D1">
              <w:rPr>
                <w:rFonts w:ascii="Times New Roman" w:cs="Times New Roman" w:hint="eastAsia"/>
                <w:sz w:val="21"/>
                <w:szCs w:val="21"/>
              </w:rPr>
              <w:t>m</w:t>
            </w:r>
          </w:p>
        </w:tc>
        <w:tc>
          <w:tcPr>
            <w:tcW w:w="1043" w:type="pct"/>
            <w:vMerge/>
            <w:tcBorders>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p>
        </w:tc>
        <w:tc>
          <w:tcPr>
            <w:tcW w:w="23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0846A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NE</w:t>
            </w:r>
          </w:p>
        </w:tc>
        <w:tc>
          <w:tcPr>
            <w:tcW w:w="453" w:type="pct"/>
            <w:tcBorders>
              <w:top w:val="single" w:sz="2" w:space="0" w:color="000000"/>
              <w:left w:val="single" w:sz="2" w:space="0" w:color="000000"/>
              <w:bottom w:val="single" w:sz="2" w:space="0" w:color="000000"/>
              <w:right w:val="nil"/>
            </w:tcBorders>
            <w:vAlign w:val="center"/>
          </w:tcPr>
          <w:p w:rsidR="00F91CAA" w:rsidRPr="00D630D1" w:rsidRDefault="00F91CAA" w:rsidP="00F91CAA">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1</w:t>
            </w:r>
            <w:r>
              <w:rPr>
                <w:rFonts w:ascii="Times New Roman" w:cs="Times New Roman" w:hint="eastAsia"/>
                <w:sz w:val="21"/>
                <w:szCs w:val="21"/>
              </w:rPr>
              <w:t>36</w:t>
            </w:r>
            <w:r w:rsidRPr="00D630D1">
              <w:rPr>
                <w:rFonts w:ascii="Times New Roman" w:cs="Times New Roman" w:hint="eastAsia"/>
                <w:sz w:val="21"/>
                <w:szCs w:val="21"/>
              </w:rPr>
              <w:t>0</w:t>
            </w:r>
          </w:p>
        </w:tc>
      </w:tr>
      <w:tr w:rsidR="00F91CAA" w:rsidRPr="00D630D1" w:rsidTr="00AA2CA8">
        <w:trPr>
          <w:trHeight w:val="342"/>
          <w:jc w:val="center"/>
        </w:trPr>
        <w:tc>
          <w:tcPr>
            <w:tcW w:w="189" w:type="pct"/>
            <w:tcBorders>
              <w:top w:val="single" w:sz="2" w:space="0" w:color="000000"/>
              <w:left w:val="nil"/>
              <w:bottom w:val="single" w:sz="2" w:space="0" w:color="000000"/>
              <w:right w:val="single" w:sz="2" w:space="0" w:color="000000"/>
            </w:tcBorders>
            <w:vAlign w:val="center"/>
          </w:tcPr>
          <w:p w:rsidR="00F91CAA" w:rsidRPr="00D630D1" w:rsidRDefault="00F91CAA" w:rsidP="00C460E1">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34</w:t>
            </w:r>
          </w:p>
        </w:tc>
        <w:tc>
          <w:tcPr>
            <w:tcW w:w="474"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土壤环境</w:t>
            </w:r>
          </w:p>
        </w:tc>
        <w:tc>
          <w:tcPr>
            <w:tcW w:w="854"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周边耕地</w:t>
            </w:r>
          </w:p>
        </w:tc>
        <w:tc>
          <w:tcPr>
            <w:tcW w:w="42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380"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379"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耕地</w:t>
            </w:r>
          </w:p>
        </w:tc>
        <w:tc>
          <w:tcPr>
            <w:tcW w:w="56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1043"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《土壤环境质量</w:t>
            </w:r>
            <w:r w:rsidRPr="00D630D1">
              <w:rPr>
                <w:rFonts w:ascii="Times New Roman" w:cs="Times New Roman"/>
                <w:sz w:val="21"/>
                <w:szCs w:val="21"/>
              </w:rPr>
              <w:t xml:space="preserve"> </w:t>
            </w:r>
            <w:r w:rsidRPr="00D630D1">
              <w:rPr>
                <w:rFonts w:ascii="Times New Roman" w:cs="Times New Roman"/>
                <w:sz w:val="21"/>
                <w:szCs w:val="21"/>
              </w:rPr>
              <w:t>农用地土壤污染</w:t>
            </w:r>
            <w:r w:rsidRPr="00D630D1">
              <w:rPr>
                <w:rFonts w:ascii="Times New Roman" w:cs="Times New Roman"/>
                <w:sz w:val="21"/>
                <w:szCs w:val="21"/>
              </w:rPr>
              <w:lastRenderedPageBreak/>
              <w:t>风险管控标准（试行）》（</w:t>
            </w:r>
            <w:r w:rsidRPr="00D630D1">
              <w:rPr>
                <w:rFonts w:ascii="Times New Roman" w:cs="Times New Roman"/>
                <w:sz w:val="21"/>
                <w:szCs w:val="21"/>
              </w:rPr>
              <w:t>GB15618-2018</w:t>
            </w:r>
            <w:r w:rsidRPr="00D630D1">
              <w:rPr>
                <w:rFonts w:ascii="Times New Roman" w:cs="Times New Roman"/>
                <w:sz w:val="21"/>
                <w:szCs w:val="21"/>
              </w:rPr>
              <w:t>）</w:t>
            </w:r>
          </w:p>
        </w:tc>
        <w:tc>
          <w:tcPr>
            <w:tcW w:w="23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lastRenderedPageBreak/>
              <w:t>—</w:t>
            </w:r>
          </w:p>
        </w:tc>
        <w:tc>
          <w:tcPr>
            <w:tcW w:w="453" w:type="pct"/>
            <w:tcBorders>
              <w:top w:val="single" w:sz="2" w:space="0" w:color="000000"/>
              <w:left w:val="single" w:sz="2" w:space="0" w:color="000000"/>
              <w:bottom w:val="single" w:sz="2" w:space="0" w:color="000000"/>
              <w:right w:val="nil"/>
            </w:tcBorders>
            <w:vAlign w:val="center"/>
          </w:tcPr>
          <w:p w:rsidR="00F91CAA" w:rsidRPr="00D630D1" w:rsidRDefault="00952E48" w:rsidP="00AA2CA8">
            <w:pPr>
              <w:spacing w:line="240" w:lineRule="auto"/>
              <w:ind w:firstLineChars="0" w:firstLine="0"/>
              <w:jc w:val="center"/>
              <w:rPr>
                <w:rFonts w:ascii="Times New Roman" w:cs="Times New Roman"/>
                <w:sz w:val="21"/>
                <w:szCs w:val="21"/>
              </w:rPr>
            </w:pPr>
            <w:r>
              <w:rPr>
                <w:rFonts w:ascii="Times New Roman" w:cs="Times New Roman" w:hint="eastAsia"/>
                <w:sz w:val="21"/>
                <w:szCs w:val="21"/>
              </w:rPr>
              <w:t>200</w:t>
            </w:r>
          </w:p>
        </w:tc>
      </w:tr>
      <w:tr w:rsidR="00F91CAA" w:rsidRPr="00D630D1" w:rsidTr="00AA2CA8">
        <w:trPr>
          <w:trHeight w:val="342"/>
          <w:jc w:val="center"/>
        </w:trPr>
        <w:tc>
          <w:tcPr>
            <w:tcW w:w="189" w:type="pct"/>
            <w:tcBorders>
              <w:top w:val="single" w:sz="2" w:space="0" w:color="000000"/>
              <w:left w:val="nil"/>
              <w:bottom w:val="single" w:sz="2" w:space="0" w:color="000000"/>
              <w:right w:val="single" w:sz="2" w:space="0" w:color="000000"/>
            </w:tcBorders>
            <w:vAlign w:val="center"/>
          </w:tcPr>
          <w:p w:rsidR="00F91CAA" w:rsidRPr="00D630D1" w:rsidRDefault="00F91CAA" w:rsidP="00734744">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lastRenderedPageBreak/>
              <w:t>35</w:t>
            </w:r>
          </w:p>
        </w:tc>
        <w:tc>
          <w:tcPr>
            <w:tcW w:w="474"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生态环境</w:t>
            </w:r>
          </w:p>
        </w:tc>
        <w:tc>
          <w:tcPr>
            <w:tcW w:w="854"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周边</w:t>
            </w:r>
            <w:r>
              <w:rPr>
                <w:rFonts w:ascii="Times New Roman" w:cs="Times New Roman" w:hint="eastAsia"/>
                <w:sz w:val="21"/>
                <w:szCs w:val="21"/>
              </w:rPr>
              <w:t>二级公益</w:t>
            </w:r>
            <w:r w:rsidRPr="00D630D1">
              <w:rPr>
                <w:rFonts w:ascii="Times New Roman" w:cs="Times New Roman"/>
                <w:sz w:val="21"/>
                <w:szCs w:val="21"/>
              </w:rPr>
              <w:t>林</w:t>
            </w:r>
          </w:p>
        </w:tc>
        <w:tc>
          <w:tcPr>
            <w:tcW w:w="42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380"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C460E1">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379"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Pr>
                <w:rFonts w:ascii="Times New Roman" w:cs="Times New Roman" w:hint="eastAsia"/>
                <w:sz w:val="21"/>
                <w:szCs w:val="21"/>
              </w:rPr>
              <w:t>二级公益</w:t>
            </w:r>
            <w:r w:rsidRPr="00D630D1">
              <w:rPr>
                <w:rFonts w:ascii="Times New Roman" w:cs="Times New Roman"/>
                <w:sz w:val="21"/>
                <w:szCs w:val="21"/>
              </w:rPr>
              <w:t>林</w:t>
            </w:r>
          </w:p>
        </w:tc>
        <w:tc>
          <w:tcPr>
            <w:tcW w:w="56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1043"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236" w:type="pct"/>
            <w:tcBorders>
              <w:top w:val="single" w:sz="2" w:space="0" w:color="000000"/>
              <w:left w:val="single" w:sz="2" w:space="0" w:color="000000"/>
              <w:bottom w:val="single" w:sz="2" w:space="0" w:color="000000"/>
              <w:right w:val="single" w:sz="2" w:space="0" w:color="000000"/>
            </w:tcBorders>
            <w:vAlign w:val="center"/>
          </w:tcPr>
          <w:p w:rsidR="00F91CAA" w:rsidRPr="00D630D1" w:rsidRDefault="00952E48" w:rsidP="00AA2CA8">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w:t>
            </w:r>
          </w:p>
        </w:tc>
        <w:tc>
          <w:tcPr>
            <w:tcW w:w="453" w:type="pct"/>
            <w:tcBorders>
              <w:top w:val="single" w:sz="2" w:space="0" w:color="000000"/>
              <w:left w:val="single" w:sz="2" w:space="0" w:color="000000"/>
              <w:bottom w:val="single" w:sz="2" w:space="0" w:color="000000"/>
              <w:right w:val="nil"/>
            </w:tcBorders>
            <w:vAlign w:val="center"/>
          </w:tcPr>
          <w:p w:rsidR="00F91CAA" w:rsidRPr="00D630D1" w:rsidRDefault="00F91CAA" w:rsidP="00AA2CA8">
            <w:pPr>
              <w:spacing w:line="240" w:lineRule="auto"/>
              <w:ind w:firstLineChars="0" w:firstLine="0"/>
              <w:jc w:val="center"/>
              <w:rPr>
                <w:rFonts w:ascii="Times New Roman" w:cs="Times New Roman"/>
                <w:sz w:val="21"/>
                <w:szCs w:val="21"/>
              </w:rPr>
            </w:pPr>
            <w:r>
              <w:rPr>
                <w:rFonts w:ascii="Times New Roman" w:cs="Times New Roman" w:hint="eastAsia"/>
                <w:sz w:val="21"/>
                <w:szCs w:val="21"/>
              </w:rPr>
              <w:t>2000</w:t>
            </w:r>
          </w:p>
        </w:tc>
      </w:tr>
    </w:tbl>
    <w:p w:rsidR="00200E4A" w:rsidRPr="00D630D1" w:rsidRDefault="00200E4A" w:rsidP="00EB2894">
      <w:pPr>
        <w:ind w:firstLine="480"/>
        <w:rPr>
          <w:rFonts w:ascii="Times New Roman" w:cs="Times New Roman"/>
        </w:rPr>
      </w:pPr>
    </w:p>
    <w:p w:rsidR="00EB2894" w:rsidRPr="00D630D1" w:rsidRDefault="00EB2894" w:rsidP="00EB2894">
      <w:pPr>
        <w:ind w:firstLine="480"/>
        <w:rPr>
          <w:rFonts w:ascii="Times New Roman" w:cs="Times New Roman"/>
        </w:rPr>
        <w:sectPr w:rsidR="00EB2894" w:rsidRPr="00D630D1" w:rsidSect="00BA4F10">
          <w:pgSz w:w="16838" w:h="11906" w:orient="landscape"/>
          <w:pgMar w:top="1440" w:right="1080" w:bottom="1440" w:left="1080" w:header="851" w:footer="992" w:gutter="0"/>
          <w:cols w:space="425"/>
          <w:docGrid w:type="lines" w:linePitch="326"/>
        </w:sectPr>
      </w:pPr>
    </w:p>
    <w:p w:rsidR="00117C3D" w:rsidRPr="00D630D1" w:rsidRDefault="008B5B84" w:rsidP="00B54F83">
      <w:pPr>
        <w:keepNext/>
        <w:keepLines/>
        <w:spacing w:before="120"/>
        <w:ind w:firstLineChars="0" w:firstLine="0"/>
        <w:outlineLvl w:val="1"/>
        <w:rPr>
          <w:rFonts w:ascii="Times New Roman" w:cs="Times New Roman"/>
          <w:b/>
          <w:bCs/>
          <w:sz w:val="28"/>
          <w:szCs w:val="32"/>
        </w:rPr>
      </w:pPr>
      <w:bookmarkStart w:id="99" w:name="bookmark7"/>
      <w:bookmarkStart w:id="100" w:name="_Toc81515259"/>
      <w:bookmarkEnd w:id="99"/>
      <w:r w:rsidRPr="00D630D1">
        <w:rPr>
          <w:rFonts w:ascii="Times New Roman" w:cs="Times New Roman"/>
          <w:b/>
          <w:bCs/>
          <w:sz w:val="28"/>
          <w:szCs w:val="32"/>
        </w:rPr>
        <w:lastRenderedPageBreak/>
        <w:t xml:space="preserve">1.10 </w:t>
      </w:r>
      <w:r w:rsidRPr="00D630D1">
        <w:rPr>
          <w:rFonts w:ascii="Times New Roman" w:cs="Times New Roman"/>
          <w:b/>
          <w:bCs/>
          <w:sz w:val="28"/>
          <w:szCs w:val="32"/>
        </w:rPr>
        <w:t>评价方法和工作程序</w:t>
      </w:r>
      <w:bookmarkEnd w:id="81"/>
      <w:bookmarkEnd w:id="82"/>
      <w:bookmarkEnd w:id="100"/>
    </w:p>
    <w:p w:rsidR="00117C3D" w:rsidRPr="00D630D1" w:rsidRDefault="008B5B84">
      <w:pPr>
        <w:keepNext/>
        <w:keepLines/>
        <w:ind w:firstLineChars="0" w:firstLine="0"/>
        <w:outlineLvl w:val="2"/>
        <w:rPr>
          <w:rFonts w:ascii="Times New Roman" w:cs="Times New Roman"/>
          <w:b/>
          <w:szCs w:val="32"/>
        </w:rPr>
      </w:pPr>
      <w:bookmarkStart w:id="101" w:name="_Toc19815945"/>
      <w:r w:rsidRPr="00D630D1">
        <w:rPr>
          <w:rFonts w:ascii="Times New Roman" w:cs="Times New Roman"/>
          <w:b/>
          <w:szCs w:val="32"/>
        </w:rPr>
        <w:t xml:space="preserve">1.10.1 </w:t>
      </w:r>
      <w:r w:rsidRPr="00D630D1">
        <w:rPr>
          <w:rFonts w:ascii="Times New Roman" w:cs="Times New Roman"/>
          <w:b/>
          <w:szCs w:val="32"/>
        </w:rPr>
        <w:t>评价方法</w:t>
      </w:r>
      <w:bookmarkEnd w:id="101"/>
    </w:p>
    <w:p w:rsidR="00117C3D" w:rsidRPr="00D630D1" w:rsidRDefault="008B5B84">
      <w:pPr>
        <w:ind w:firstLine="480"/>
        <w:rPr>
          <w:rFonts w:ascii="Times New Roman" w:cs="Times New Roman"/>
        </w:rPr>
      </w:pPr>
      <w:r w:rsidRPr="00D630D1">
        <w:rPr>
          <w:rFonts w:ascii="Times New Roman" w:cs="Times New Roman"/>
        </w:rPr>
        <w:t>由于本项目主要为线路工程，本次评价按</w:t>
      </w:r>
      <w:r w:rsidRPr="00D630D1">
        <w:rPr>
          <w:rFonts w:ascii="Times New Roman" w:cs="Times New Roman"/>
        </w:rPr>
        <w:t>“</w:t>
      </w:r>
      <w:r w:rsidRPr="00D630D1">
        <w:rPr>
          <w:rFonts w:ascii="Times New Roman" w:cs="Times New Roman"/>
        </w:rPr>
        <w:t>以点为主，点线结合，反馈全线</w:t>
      </w:r>
      <w:r w:rsidRPr="00D630D1">
        <w:rPr>
          <w:rFonts w:ascii="Times New Roman" w:cs="Times New Roman"/>
        </w:rPr>
        <w:t>”</w:t>
      </w:r>
      <w:r w:rsidRPr="00D630D1">
        <w:rPr>
          <w:rFonts w:ascii="Times New Roman" w:cs="Times New Roman"/>
        </w:rPr>
        <w:t>的方法开展工作。结合本项目环境特征和各评价要素的评价工作等级，有针对、有侧重的对环境要素进行监测与评价，通过类比调查，选择适当的模式和参数，定量或定性的分析项目施工期间和投产后对周围环境的影响，以及事故状况下的影响，针对评价结论反映出的主要问题，结合国内外现有方法提出预防、恢复和缓解措施。结合工程沿线各城镇发展规划、环境功能区划、环境保护规划、生态保护规划和土地利用规划等，论述管线路由走向的可行性。最后综合分析各章节评价结论，给出该项目建设的环境可行性结论。</w:t>
      </w:r>
    </w:p>
    <w:p w:rsidR="00117C3D" w:rsidRPr="00D630D1" w:rsidRDefault="008B5B84">
      <w:pPr>
        <w:ind w:firstLine="480"/>
        <w:rPr>
          <w:rFonts w:ascii="Times New Roman" w:cs="Times New Roman"/>
        </w:rPr>
      </w:pPr>
      <w:r w:rsidRPr="00D630D1">
        <w:rPr>
          <w:rFonts w:ascii="Times New Roman" w:cs="Times New Roman"/>
        </w:rPr>
        <w:t>1</w:t>
      </w:r>
      <w:r w:rsidRPr="00D630D1">
        <w:rPr>
          <w:rFonts w:ascii="Times New Roman" w:cs="Times New Roman"/>
        </w:rPr>
        <w:t>、生态环境：采用现场调查、</w:t>
      </w:r>
      <w:r w:rsidRPr="00D630D1">
        <w:rPr>
          <w:rFonts w:ascii="Times New Roman" w:cs="Times New Roman"/>
        </w:rPr>
        <w:t>GPS</w:t>
      </w:r>
      <w:r w:rsidRPr="00D630D1">
        <w:rPr>
          <w:rFonts w:ascii="Times New Roman" w:cs="Times New Roman"/>
        </w:rPr>
        <w:t>定位及资料收集相结合的方法；</w:t>
      </w:r>
    </w:p>
    <w:p w:rsidR="00117C3D" w:rsidRPr="00D630D1" w:rsidRDefault="008B5B84">
      <w:pPr>
        <w:ind w:firstLine="480"/>
        <w:rPr>
          <w:rFonts w:ascii="Times New Roman" w:cs="Times New Roman"/>
        </w:rPr>
      </w:pPr>
      <w:r w:rsidRPr="00D630D1">
        <w:rPr>
          <w:rFonts w:ascii="Times New Roman" w:cs="Times New Roman"/>
        </w:rPr>
        <w:t>2</w:t>
      </w:r>
      <w:r w:rsidRPr="00D630D1">
        <w:rPr>
          <w:rFonts w:ascii="Times New Roman" w:cs="Times New Roman"/>
        </w:rPr>
        <w:t>、地表水环境：采用现场调查及现状监测、资料收集相结合的方法；</w:t>
      </w:r>
    </w:p>
    <w:p w:rsidR="00117C3D" w:rsidRPr="00D630D1" w:rsidRDefault="008B5B84">
      <w:pPr>
        <w:ind w:firstLine="480"/>
        <w:rPr>
          <w:rFonts w:ascii="Times New Roman" w:cs="Times New Roman"/>
        </w:rPr>
      </w:pPr>
      <w:r w:rsidRPr="00D630D1">
        <w:rPr>
          <w:rFonts w:ascii="Times New Roman" w:cs="Times New Roman"/>
        </w:rPr>
        <w:t>3</w:t>
      </w:r>
      <w:r w:rsidRPr="00D630D1">
        <w:rPr>
          <w:rFonts w:ascii="Times New Roman" w:cs="Times New Roman"/>
        </w:rPr>
        <w:t>、声环境：主要采用现场调查及现状监测、资料收集相结合的方法</w:t>
      </w:r>
      <w:r w:rsidR="00486C6A" w:rsidRPr="00D630D1">
        <w:rPr>
          <w:rFonts w:ascii="Times New Roman" w:cs="Times New Roman"/>
        </w:rPr>
        <w:t>；</w:t>
      </w:r>
    </w:p>
    <w:p w:rsidR="00117C3D" w:rsidRPr="00D630D1" w:rsidRDefault="008B5B84">
      <w:pPr>
        <w:ind w:firstLine="480"/>
        <w:rPr>
          <w:rFonts w:ascii="Times New Roman" w:cs="Times New Roman"/>
        </w:rPr>
      </w:pPr>
      <w:r w:rsidRPr="00D630D1">
        <w:rPr>
          <w:rFonts w:ascii="Times New Roman" w:cs="Times New Roman"/>
        </w:rPr>
        <w:t>4</w:t>
      </w:r>
      <w:r w:rsidRPr="00D630D1">
        <w:rPr>
          <w:rFonts w:ascii="Times New Roman" w:cs="Times New Roman"/>
        </w:rPr>
        <w:t>、大气环境：主要采用现场调查及现状监测、资料收集相结合的方法</w:t>
      </w:r>
      <w:r w:rsidR="00486C6A" w:rsidRPr="00D630D1">
        <w:rPr>
          <w:rFonts w:ascii="Times New Roman" w:cs="Times New Roman"/>
        </w:rPr>
        <w:t>；</w:t>
      </w:r>
    </w:p>
    <w:p w:rsidR="00486C6A" w:rsidRPr="00D630D1" w:rsidRDefault="00486C6A">
      <w:pPr>
        <w:ind w:firstLine="480"/>
        <w:rPr>
          <w:rFonts w:ascii="Times New Roman" w:cs="Times New Roman"/>
        </w:rPr>
      </w:pPr>
      <w:r w:rsidRPr="00D630D1">
        <w:rPr>
          <w:rFonts w:ascii="Times New Roman" w:cs="Times New Roman"/>
        </w:rPr>
        <w:t>5</w:t>
      </w:r>
      <w:r w:rsidRPr="00D630D1">
        <w:rPr>
          <w:rFonts w:ascii="Times New Roman" w:cs="Times New Roman"/>
        </w:rPr>
        <w:t>、土壤环境：采用现场调查及现状监测、资料收集相结合的方法；</w:t>
      </w:r>
    </w:p>
    <w:p w:rsidR="00486C6A" w:rsidRPr="00D630D1" w:rsidRDefault="00486C6A">
      <w:pPr>
        <w:ind w:firstLine="480"/>
        <w:rPr>
          <w:rFonts w:ascii="Times New Roman" w:cs="Times New Roman"/>
        </w:rPr>
      </w:pPr>
      <w:r w:rsidRPr="00D630D1">
        <w:rPr>
          <w:rFonts w:ascii="Times New Roman" w:cs="Times New Roman"/>
        </w:rPr>
        <w:t>6</w:t>
      </w:r>
      <w:r w:rsidRPr="00D630D1">
        <w:rPr>
          <w:rFonts w:ascii="Times New Roman" w:cs="Times New Roman"/>
        </w:rPr>
        <w:t>、地下水环境：采用现场调查和资料收集相结合的方法；</w:t>
      </w:r>
    </w:p>
    <w:p w:rsidR="00117C3D" w:rsidRPr="00D630D1" w:rsidRDefault="00486C6A">
      <w:pPr>
        <w:ind w:firstLine="480"/>
        <w:rPr>
          <w:rFonts w:ascii="Times New Roman" w:cs="Times New Roman"/>
        </w:rPr>
      </w:pPr>
      <w:r w:rsidRPr="00D630D1">
        <w:rPr>
          <w:rFonts w:ascii="Times New Roman" w:cs="Times New Roman"/>
        </w:rPr>
        <w:t>7</w:t>
      </w:r>
      <w:r w:rsidR="008B5B84" w:rsidRPr="00D630D1">
        <w:rPr>
          <w:rFonts w:ascii="Times New Roman" w:cs="Times New Roman"/>
        </w:rPr>
        <w:t>、环境风险：采用资料收集、同类项目类比调查和模式计算、概率风险分析相结合的方法。</w:t>
      </w:r>
    </w:p>
    <w:p w:rsidR="00117C3D" w:rsidRPr="00D630D1" w:rsidRDefault="008B5B84">
      <w:pPr>
        <w:keepNext/>
        <w:keepLines/>
        <w:ind w:firstLineChars="0" w:firstLine="0"/>
        <w:outlineLvl w:val="2"/>
        <w:rPr>
          <w:rFonts w:ascii="Times New Roman" w:cs="Times New Roman"/>
          <w:b/>
          <w:szCs w:val="32"/>
        </w:rPr>
      </w:pPr>
      <w:bookmarkStart w:id="102" w:name="_Toc19815946"/>
      <w:r w:rsidRPr="00D630D1">
        <w:rPr>
          <w:rFonts w:ascii="Times New Roman" w:cs="Times New Roman"/>
          <w:b/>
          <w:szCs w:val="32"/>
        </w:rPr>
        <w:t xml:space="preserve">1.10.2 </w:t>
      </w:r>
      <w:r w:rsidRPr="00D630D1">
        <w:rPr>
          <w:rFonts w:ascii="Times New Roman" w:cs="Times New Roman"/>
          <w:b/>
          <w:szCs w:val="32"/>
        </w:rPr>
        <w:t>工作程序</w:t>
      </w:r>
      <w:bookmarkEnd w:id="102"/>
    </w:p>
    <w:p w:rsidR="00117C3D" w:rsidRPr="00D630D1" w:rsidRDefault="008B5B84">
      <w:pPr>
        <w:ind w:firstLine="480"/>
        <w:rPr>
          <w:rFonts w:ascii="Times New Roman" w:cs="Times New Roman"/>
        </w:rPr>
      </w:pPr>
      <w:r w:rsidRPr="00D630D1">
        <w:rPr>
          <w:rFonts w:ascii="Times New Roman" w:cs="Times New Roman"/>
        </w:rPr>
        <w:t>本次评价工作程序主要分为三个阶段：</w:t>
      </w:r>
    </w:p>
    <w:p w:rsidR="00117C3D" w:rsidRPr="00D630D1" w:rsidRDefault="008B5B84">
      <w:pPr>
        <w:ind w:firstLine="480"/>
        <w:rPr>
          <w:rFonts w:ascii="Times New Roman" w:cs="Times New Roman"/>
        </w:rPr>
      </w:pPr>
      <w:r w:rsidRPr="00D630D1">
        <w:rPr>
          <w:rFonts w:ascii="Times New Roman" w:cs="Times New Roman"/>
        </w:rPr>
        <w:t>1</w:t>
      </w:r>
      <w:r w:rsidRPr="00D630D1">
        <w:rPr>
          <w:rFonts w:ascii="Times New Roman" w:cs="Times New Roman"/>
        </w:rPr>
        <w:t>、前期准备阶段、调研和制定工作方案阶段；</w:t>
      </w:r>
    </w:p>
    <w:p w:rsidR="00117C3D" w:rsidRPr="00D630D1" w:rsidRDefault="008B5B84">
      <w:pPr>
        <w:ind w:firstLine="480"/>
        <w:rPr>
          <w:rFonts w:ascii="Times New Roman" w:cs="Times New Roman"/>
        </w:rPr>
      </w:pPr>
      <w:r w:rsidRPr="00D630D1">
        <w:rPr>
          <w:rFonts w:ascii="Times New Roman" w:cs="Times New Roman"/>
        </w:rPr>
        <w:t>2</w:t>
      </w:r>
      <w:r w:rsidRPr="00D630D1">
        <w:rPr>
          <w:rFonts w:ascii="Times New Roman" w:cs="Times New Roman"/>
        </w:rPr>
        <w:t>、分析论证和预测评价阶段；</w:t>
      </w:r>
    </w:p>
    <w:p w:rsidR="00117C3D" w:rsidRPr="00D630D1" w:rsidRDefault="008B5B84">
      <w:pPr>
        <w:ind w:firstLine="480"/>
        <w:rPr>
          <w:rFonts w:ascii="Times New Roman" w:cs="Times New Roman"/>
        </w:rPr>
      </w:pPr>
      <w:r w:rsidRPr="00D630D1">
        <w:rPr>
          <w:rFonts w:ascii="Times New Roman" w:cs="Times New Roman"/>
        </w:rPr>
        <w:t>3</w:t>
      </w:r>
      <w:r w:rsidRPr="00D630D1">
        <w:rPr>
          <w:rFonts w:ascii="Times New Roman" w:cs="Times New Roman"/>
        </w:rPr>
        <w:t>、环境影响评价文件编制阶段。</w:t>
      </w:r>
    </w:p>
    <w:p w:rsidR="00117C3D" w:rsidRPr="00D630D1" w:rsidRDefault="00455EB1">
      <w:pPr>
        <w:ind w:firstLine="480"/>
        <w:jc w:val="left"/>
        <w:rPr>
          <w:rFonts w:ascii="Times New Roman" w:cs="Times New Roman"/>
        </w:rPr>
      </w:pPr>
      <w:r w:rsidRPr="00D630D1">
        <w:rPr>
          <w:rFonts w:ascii="Times New Roman" w:cs="Times New Roman"/>
        </w:rPr>
        <w:t>重庆后科环保有限责任公司</w:t>
      </w:r>
      <w:r w:rsidR="008B5B84" w:rsidRPr="00D630D1">
        <w:rPr>
          <w:rFonts w:ascii="Times New Roman" w:cs="Times New Roman"/>
        </w:rPr>
        <w:t>编制的《</w:t>
      </w:r>
      <w:r w:rsidR="00D630D1" w:rsidRPr="00D630D1">
        <w:rPr>
          <w:rFonts w:ascii="Times New Roman" w:cs="Times New Roman"/>
        </w:rPr>
        <w:t>普光气田普陆页</w:t>
      </w:r>
      <w:r w:rsidR="00D630D1" w:rsidRPr="00D630D1">
        <w:rPr>
          <w:rFonts w:ascii="Times New Roman" w:cs="Times New Roman"/>
        </w:rPr>
        <w:t>1</w:t>
      </w:r>
      <w:r w:rsidR="00D630D1" w:rsidRPr="00D630D1">
        <w:rPr>
          <w:rFonts w:ascii="Times New Roman" w:cs="Times New Roman"/>
        </w:rPr>
        <w:t>试验井组项目</w:t>
      </w:r>
      <w:r w:rsidR="008B5B84" w:rsidRPr="00D630D1">
        <w:rPr>
          <w:rFonts w:ascii="Times New Roman" w:cs="Times New Roman"/>
        </w:rPr>
        <w:t>环境影响报告书》呈报达州市</w:t>
      </w:r>
      <w:r w:rsidR="00043E39" w:rsidRPr="00D630D1">
        <w:rPr>
          <w:rFonts w:ascii="Times New Roman" w:cs="Times New Roman" w:hint="eastAsia"/>
        </w:rPr>
        <w:t>宣汉</w:t>
      </w:r>
      <w:r w:rsidR="008B5B84" w:rsidRPr="00D630D1">
        <w:rPr>
          <w:rFonts w:ascii="Times New Roman" w:cs="Times New Roman"/>
        </w:rPr>
        <w:t>生态环境局审查批复后，可作为工程建设环保设计的技术依据之一。具体评价程序见下图。</w:t>
      </w:r>
      <w:r w:rsidR="001A254A" w:rsidRPr="00D630D1">
        <w:rPr>
          <w:rFonts w:ascii="Times New Roman" w:cs="Times New Roman"/>
          <w:noProof/>
        </w:rPr>
        <w:lastRenderedPageBreak/>
        <w:drawing>
          <wp:inline distT="0" distB="0" distL="0" distR="0">
            <wp:extent cx="5273675" cy="5754370"/>
            <wp:effectExtent l="19050" t="0" r="3175" b="0"/>
            <wp:docPr id="5"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6"/>
                    <pic:cNvPicPr>
                      <a:picLocks noChangeAspect="1" noChangeArrowheads="1"/>
                    </pic:cNvPicPr>
                  </pic:nvPicPr>
                  <pic:blipFill>
                    <a:blip r:embed="rId38" cstate="print"/>
                    <a:srcRect/>
                    <a:stretch>
                      <a:fillRect/>
                    </a:stretch>
                  </pic:blipFill>
                  <pic:spPr bwMode="auto">
                    <a:xfrm>
                      <a:off x="0" y="0"/>
                      <a:ext cx="5273675" cy="5754370"/>
                    </a:xfrm>
                    <a:prstGeom prst="rect">
                      <a:avLst/>
                    </a:prstGeom>
                    <a:noFill/>
                    <a:ln w="9525">
                      <a:noFill/>
                      <a:miter lim="800000"/>
                      <a:headEnd/>
                      <a:tailEnd/>
                    </a:ln>
                  </pic:spPr>
                </pic:pic>
              </a:graphicData>
            </a:graphic>
          </wp:inline>
        </w:drawing>
      </w:r>
    </w:p>
    <w:p w:rsidR="00117C3D" w:rsidRPr="00D630D1" w:rsidRDefault="008B5B84">
      <w:pPr>
        <w:pStyle w:val="af5"/>
        <w:rPr>
          <w:rFonts w:eastAsia="宋体"/>
        </w:rPr>
      </w:pPr>
      <w:r w:rsidRPr="00D630D1">
        <w:rPr>
          <w:rFonts w:eastAsia="宋体"/>
        </w:rPr>
        <w:t>图</w:t>
      </w:r>
      <w:r w:rsidRPr="00D630D1">
        <w:rPr>
          <w:rFonts w:eastAsia="宋体"/>
        </w:rPr>
        <w:t xml:space="preserve">1.10-1 </w:t>
      </w:r>
      <w:r w:rsidR="0099742E" w:rsidRPr="00D630D1">
        <w:rPr>
          <w:rFonts w:eastAsia="宋体"/>
        </w:rPr>
        <w:t xml:space="preserve"> </w:t>
      </w:r>
      <w:r w:rsidRPr="00D630D1">
        <w:rPr>
          <w:rFonts w:eastAsia="宋体"/>
        </w:rPr>
        <w:t>本项目环境影响评价工作程序图</w:t>
      </w:r>
    </w:p>
    <w:p w:rsidR="00117C3D" w:rsidRPr="00D630D1" w:rsidRDefault="00117C3D">
      <w:pPr>
        <w:ind w:firstLine="480"/>
        <w:rPr>
          <w:rFonts w:ascii="Times New Roman" w:cs="Times New Roman"/>
        </w:rPr>
        <w:sectPr w:rsidR="00117C3D" w:rsidRPr="00D630D1" w:rsidSect="00BA4F10">
          <w:pgSz w:w="11906" w:h="16838"/>
          <w:pgMar w:top="1440" w:right="1800" w:bottom="1440" w:left="1800" w:header="851" w:footer="992" w:gutter="0"/>
          <w:cols w:space="425"/>
          <w:docGrid w:type="lines" w:linePitch="312"/>
        </w:sectPr>
      </w:pPr>
    </w:p>
    <w:p w:rsidR="0099742E" w:rsidRPr="00D630D1" w:rsidRDefault="0099742E" w:rsidP="000A6257">
      <w:pPr>
        <w:keepNext/>
        <w:keepLines/>
        <w:ind w:firstLineChars="0" w:firstLine="0"/>
        <w:jc w:val="left"/>
        <w:outlineLvl w:val="0"/>
        <w:rPr>
          <w:rFonts w:ascii="Times New Roman" w:cs="Times New Roman"/>
          <w:b/>
          <w:kern w:val="44"/>
          <w:sz w:val="32"/>
          <w:szCs w:val="44"/>
        </w:rPr>
      </w:pPr>
      <w:bookmarkStart w:id="103" w:name="_Toc81515260"/>
      <w:r w:rsidRPr="00D630D1">
        <w:rPr>
          <w:rFonts w:ascii="Times New Roman" w:cs="Times New Roman"/>
          <w:b/>
          <w:kern w:val="44"/>
          <w:sz w:val="32"/>
          <w:szCs w:val="44"/>
        </w:rPr>
        <w:lastRenderedPageBreak/>
        <w:t xml:space="preserve">2 </w:t>
      </w:r>
      <w:r w:rsidR="00DC5D18" w:rsidRPr="00D630D1">
        <w:rPr>
          <w:rFonts w:ascii="Times New Roman" w:cs="Times New Roman" w:hint="eastAsia"/>
          <w:b/>
          <w:kern w:val="44"/>
          <w:sz w:val="32"/>
          <w:szCs w:val="44"/>
        </w:rPr>
        <w:t>现有</w:t>
      </w:r>
      <w:r w:rsidR="00DC5D18" w:rsidRPr="00D630D1">
        <w:rPr>
          <w:rFonts w:ascii="Times New Roman" w:cs="Times New Roman"/>
          <w:b/>
          <w:kern w:val="44"/>
          <w:sz w:val="32"/>
          <w:szCs w:val="44"/>
        </w:rPr>
        <w:t>工程依托可行性</w:t>
      </w:r>
      <w:r w:rsidR="000A6257" w:rsidRPr="00D630D1">
        <w:rPr>
          <w:rFonts w:ascii="Times New Roman" w:cs="Times New Roman"/>
          <w:b/>
          <w:kern w:val="44"/>
          <w:sz w:val="32"/>
          <w:szCs w:val="44"/>
        </w:rPr>
        <w:t>分析</w:t>
      </w:r>
      <w:bookmarkEnd w:id="103"/>
    </w:p>
    <w:p w:rsidR="006D63C0" w:rsidRPr="00D630D1" w:rsidRDefault="006D63C0" w:rsidP="006D63C0">
      <w:pPr>
        <w:pStyle w:val="2"/>
        <w:spacing w:before="120"/>
        <w:rPr>
          <w:rFonts w:cs="Times New Roman"/>
        </w:rPr>
      </w:pPr>
      <w:r w:rsidRPr="00D630D1">
        <w:rPr>
          <w:rFonts w:cs="Times New Roman" w:hint="eastAsia"/>
        </w:rPr>
        <w:t>2</w:t>
      </w:r>
      <w:r w:rsidRPr="00D630D1">
        <w:rPr>
          <w:rFonts w:cs="Times New Roman"/>
        </w:rPr>
        <w:t xml:space="preserve">.1 </w:t>
      </w:r>
      <w:r w:rsidR="00F5220B">
        <w:rPr>
          <w:rFonts w:cs="Times New Roman" w:hint="eastAsia"/>
        </w:rPr>
        <w:t>普光</w:t>
      </w:r>
      <w:r w:rsidR="00F5220B">
        <w:rPr>
          <w:rFonts w:cs="Times New Roman" w:hint="eastAsia"/>
        </w:rPr>
        <w:t>12</w:t>
      </w:r>
      <w:r w:rsidR="00F5220B">
        <w:rPr>
          <w:rFonts w:cs="Times New Roman" w:hint="eastAsia"/>
        </w:rPr>
        <w:t>井建设情况</w:t>
      </w:r>
    </w:p>
    <w:p w:rsidR="00F5220B" w:rsidRPr="00D630D1" w:rsidRDefault="004E7855" w:rsidP="004E7855">
      <w:pPr>
        <w:pStyle w:val="00"/>
        <w:ind w:firstLine="482"/>
        <w:rPr>
          <w:b/>
          <w:bCs/>
          <w:sz w:val="24"/>
          <w:szCs w:val="22"/>
        </w:rPr>
      </w:pPr>
      <w:r w:rsidRPr="004E7855">
        <w:rPr>
          <w:rFonts w:hint="eastAsia"/>
          <w:b/>
          <w:bCs/>
          <w:sz w:val="24"/>
          <w:szCs w:val="22"/>
        </w:rPr>
        <w:t>2</w:t>
      </w:r>
      <w:r w:rsidRPr="004E7855">
        <w:rPr>
          <w:b/>
          <w:bCs/>
          <w:sz w:val="24"/>
          <w:szCs w:val="22"/>
        </w:rPr>
        <w:t>.1</w:t>
      </w:r>
      <w:r>
        <w:rPr>
          <w:rFonts w:hint="eastAsia"/>
          <w:b/>
          <w:bCs/>
          <w:sz w:val="24"/>
          <w:szCs w:val="22"/>
        </w:rPr>
        <w:t>.1</w:t>
      </w:r>
      <w:r w:rsidR="00F5220B" w:rsidRPr="00F5220B">
        <w:rPr>
          <w:rFonts w:hint="eastAsia"/>
          <w:b/>
          <w:bCs/>
          <w:sz w:val="24"/>
          <w:szCs w:val="22"/>
        </w:rPr>
        <w:t>普光</w:t>
      </w:r>
      <w:r w:rsidR="00F5220B" w:rsidRPr="00F5220B">
        <w:rPr>
          <w:rFonts w:hint="eastAsia"/>
          <w:b/>
          <w:bCs/>
          <w:sz w:val="24"/>
          <w:szCs w:val="22"/>
        </w:rPr>
        <w:t>12</w:t>
      </w:r>
      <w:r w:rsidR="00F5220B" w:rsidRPr="00F5220B">
        <w:rPr>
          <w:rFonts w:hint="eastAsia"/>
          <w:b/>
          <w:bCs/>
          <w:sz w:val="24"/>
          <w:szCs w:val="22"/>
        </w:rPr>
        <w:t>井</w:t>
      </w:r>
      <w:r w:rsidR="00F5220B">
        <w:rPr>
          <w:rFonts w:hint="eastAsia"/>
          <w:b/>
          <w:bCs/>
          <w:sz w:val="24"/>
          <w:szCs w:val="22"/>
        </w:rPr>
        <w:t>现有环保手续情况</w:t>
      </w:r>
    </w:p>
    <w:p w:rsidR="00F5220B" w:rsidRDefault="00F5220B" w:rsidP="00F5220B">
      <w:pPr>
        <w:pStyle w:val="00"/>
        <w:ind w:firstLine="480"/>
        <w:rPr>
          <w:sz w:val="24"/>
          <w:szCs w:val="22"/>
        </w:rPr>
      </w:pPr>
      <w:r w:rsidRPr="00F5220B">
        <w:rPr>
          <w:rFonts w:hint="eastAsia"/>
          <w:sz w:val="24"/>
          <w:szCs w:val="22"/>
        </w:rPr>
        <w:t>2007</w:t>
      </w:r>
      <w:r w:rsidRPr="00F5220B">
        <w:rPr>
          <w:rFonts w:hint="eastAsia"/>
          <w:sz w:val="24"/>
          <w:szCs w:val="22"/>
        </w:rPr>
        <w:t>年中国石油化工股份有限公司中原油田分公司委托北京师范大学环境科学研究所编制完成了《中国石化普光气田开发及川气东送管道工程环境影响报告书》，</w:t>
      </w:r>
      <w:r w:rsidRPr="00F5220B">
        <w:rPr>
          <w:rFonts w:hint="eastAsia"/>
          <w:sz w:val="24"/>
          <w:szCs w:val="22"/>
        </w:rPr>
        <w:t>2007</w:t>
      </w:r>
      <w:r w:rsidRPr="00F5220B">
        <w:rPr>
          <w:rFonts w:hint="eastAsia"/>
          <w:sz w:val="24"/>
          <w:szCs w:val="22"/>
        </w:rPr>
        <w:t>年</w:t>
      </w:r>
      <w:r w:rsidRPr="00F5220B">
        <w:rPr>
          <w:rFonts w:hint="eastAsia"/>
          <w:sz w:val="24"/>
          <w:szCs w:val="22"/>
        </w:rPr>
        <w:t>12</w:t>
      </w:r>
      <w:r w:rsidRPr="00F5220B">
        <w:rPr>
          <w:rFonts w:hint="eastAsia"/>
          <w:sz w:val="24"/>
          <w:szCs w:val="22"/>
        </w:rPr>
        <w:t>月</w:t>
      </w:r>
      <w:r w:rsidRPr="00F5220B">
        <w:rPr>
          <w:rFonts w:hint="eastAsia"/>
          <w:sz w:val="24"/>
          <w:szCs w:val="22"/>
        </w:rPr>
        <w:t>14</w:t>
      </w:r>
      <w:r w:rsidRPr="00F5220B">
        <w:rPr>
          <w:rFonts w:hint="eastAsia"/>
          <w:sz w:val="24"/>
          <w:szCs w:val="22"/>
        </w:rPr>
        <w:t>日取得原国家环境保护总局《关于中国石化普光气田开发及川气东送管道工程环境影响报告书的批复》（环审〔</w:t>
      </w:r>
      <w:r w:rsidRPr="00F5220B">
        <w:rPr>
          <w:rFonts w:hint="eastAsia"/>
          <w:sz w:val="24"/>
          <w:szCs w:val="22"/>
        </w:rPr>
        <w:t>2007</w:t>
      </w:r>
      <w:r w:rsidRPr="00F5220B">
        <w:rPr>
          <w:rFonts w:hint="eastAsia"/>
          <w:sz w:val="24"/>
          <w:szCs w:val="22"/>
        </w:rPr>
        <w:t>〕</w:t>
      </w:r>
      <w:r w:rsidRPr="00F5220B">
        <w:rPr>
          <w:rFonts w:hint="eastAsia"/>
          <w:sz w:val="24"/>
          <w:szCs w:val="22"/>
        </w:rPr>
        <w:t>76</w:t>
      </w:r>
      <w:r w:rsidRPr="00F5220B">
        <w:rPr>
          <w:rFonts w:hint="eastAsia"/>
          <w:sz w:val="24"/>
          <w:szCs w:val="22"/>
        </w:rPr>
        <w:t>号），于</w:t>
      </w:r>
      <w:r w:rsidRPr="00F5220B">
        <w:rPr>
          <w:rFonts w:hint="eastAsia"/>
          <w:sz w:val="24"/>
          <w:szCs w:val="22"/>
        </w:rPr>
        <w:t>2013</w:t>
      </w:r>
      <w:r w:rsidRPr="00F5220B">
        <w:rPr>
          <w:rFonts w:hint="eastAsia"/>
          <w:sz w:val="24"/>
          <w:szCs w:val="22"/>
        </w:rPr>
        <w:t>年</w:t>
      </w:r>
      <w:r w:rsidRPr="00F5220B">
        <w:rPr>
          <w:rFonts w:hint="eastAsia"/>
          <w:sz w:val="24"/>
          <w:szCs w:val="22"/>
        </w:rPr>
        <w:t>5</w:t>
      </w:r>
      <w:r w:rsidRPr="00F5220B">
        <w:rPr>
          <w:rFonts w:hint="eastAsia"/>
          <w:sz w:val="24"/>
          <w:szCs w:val="22"/>
        </w:rPr>
        <w:t>月</w:t>
      </w:r>
      <w:r w:rsidRPr="00F5220B">
        <w:rPr>
          <w:rFonts w:hint="eastAsia"/>
          <w:sz w:val="24"/>
          <w:szCs w:val="22"/>
        </w:rPr>
        <w:t>3</w:t>
      </w:r>
      <w:r w:rsidRPr="00F5220B">
        <w:rPr>
          <w:rFonts w:hint="eastAsia"/>
          <w:sz w:val="24"/>
          <w:szCs w:val="22"/>
        </w:rPr>
        <w:t>日取得中华人民共和国环境保护部《关于中国石化普光气田开发及川气东送管道工程竣工环境保护验收意见的函》（环验〔</w:t>
      </w:r>
      <w:r w:rsidRPr="00F5220B">
        <w:rPr>
          <w:rFonts w:hint="eastAsia"/>
          <w:sz w:val="24"/>
          <w:szCs w:val="22"/>
        </w:rPr>
        <w:t>2013</w:t>
      </w:r>
      <w:r w:rsidRPr="00F5220B">
        <w:rPr>
          <w:rFonts w:hint="eastAsia"/>
          <w:sz w:val="24"/>
          <w:szCs w:val="22"/>
        </w:rPr>
        <w:t>〕</w:t>
      </w:r>
      <w:r w:rsidRPr="00F5220B">
        <w:rPr>
          <w:rFonts w:hint="eastAsia"/>
          <w:sz w:val="24"/>
          <w:szCs w:val="22"/>
        </w:rPr>
        <w:t>92</w:t>
      </w:r>
      <w:r w:rsidRPr="00F5220B">
        <w:rPr>
          <w:rFonts w:hint="eastAsia"/>
          <w:sz w:val="24"/>
          <w:szCs w:val="22"/>
        </w:rPr>
        <w:t>号），同时</w:t>
      </w:r>
      <w:r w:rsidRPr="00F5220B">
        <w:rPr>
          <w:rFonts w:hint="eastAsia"/>
          <w:sz w:val="24"/>
          <w:szCs w:val="22"/>
        </w:rPr>
        <w:t>2018</w:t>
      </w:r>
      <w:r w:rsidRPr="00F5220B">
        <w:rPr>
          <w:rFonts w:hint="eastAsia"/>
          <w:sz w:val="24"/>
          <w:szCs w:val="22"/>
        </w:rPr>
        <w:t>年</w:t>
      </w:r>
      <w:r w:rsidRPr="00F5220B">
        <w:rPr>
          <w:rFonts w:hint="eastAsia"/>
          <w:sz w:val="24"/>
          <w:szCs w:val="22"/>
        </w:rPr>
        <w:t>6</w:t>
      </w:r>
      <w:r w:rsidRPr="00F5220B">
        <w:rPr>
          <w:rFonts w:hint="eastAsia"/>
          <w:sz w:val="24"/>
          <w:szCs w:val="22"/>
        </w:rPr>
        <w:t>月</w:t>
      </w:r>
      <w:r w:rsidRPr="00F5220B">
        <w:rPr>
          <w:rFonts w:hint="eastAsia"/>
          <w:sz w:val="24"/>
          <w:szCs w:val="22"/>
        </w:rPr>
        <w:t>10</w:t>
      </w:r>
      <w:r w:rsidRPr="00F5220B">
        <w:rPr>
          <w:rFonts w:hint="eastAsia"/>
          <w:sz w:val="24"/>
          <w:szCs w:val="22"/>
        </w:rPr>
        <w:t>日中原油田普光分公司、中国石化达州天然气净化有限公司《关于备案</w:t>
      </w:r>
      <w:r w:rsidRPr="00F5220B">
        <w:rPr>
          <w:rFonts w:hint="eastAsia"/>
          <w:sz w:val="24"/>
          <w:szCs w:val="22"/>
        </w:rPr>
        <w:t>&lt;</w:t>
      </w:r>
      <w:r w:rsidRPr="00F5220B">
        <w:rPr>
          <w:rFonts w:hint="eastAsia"/>
          <w:sz w:val="24"/>
          <w:szCs w:val="22"/>
        </w:rPr>
        <w:t>普光气田开发工程环境影响后评价报告书</w:t>
      </w:r>
      <w:r w:rsidRPr="00F5220B">
        <w:rPr>
          <w:rFonts w:hint="eastAsia"/>
          <w:sz w:val="24"/>
          <w:szCs w:val="22"/>
        </w:rPr>
        <w:t>&gt;</w:t>
      </w:r>
      <w:r w:rsidRPr="00F5220B">
        <w:rPr>
          <w:rFonts w:hint="eastAsia"/>
          <w:sz w:val="24"/>
          <w:szCs w:val="22"/>
        </w:rPr>
        <w:t>及</w:t>
      </w:r>
      <w:r w:rsidRPr="00F5220B">
        <w:rPr>
          <w:rFonts w:hint="eastAsia"/>
          <w:sz w:val="24"/>
          <w:szCs w:val="22"/>
        </w:rPr>
        <w:t>&lt;</w:t>
      </w:r>
      <w:r w:rsidRPr="00F5220B">
        <w:rPr>
          <w:rFonts w:hint="eastAsia"/>
          <w:sz w:val="24"/>
          <w:szCs w:val="22"/>
        </w:rPr>
        <w:t>普光天然气净化厂工程环境影响后评价报告</w:t>
      </w:r>
      <w:r w:rsidRPr="00F5220B">
        <w:rPr>
          <w:rFonts w:hint="eastAsia"/>
          <w:sz w:val="24"/>
          <w:szCs w:val="22"/>
        </w:rPr>
        <w:t>&gt;</w:t>
      </w:r>
      <w:r w:rsidRPr="00F5220B">
        <w:rPr>
          <w:rFonts w:hint="eastAsia"/>
          <w:sz w:val="24"/>
          <w:szCs w:val="22"/>
        </w:rPr>
        <w:t>的报告》（普光合资〔</w:t>
      </w:r>
      <w:r w:rsidRPr="00F5220B">
        <w:rPr>
          <w:rFonts w:hint="eastAsia"/>
          <w:sz w:val="24"/>
          <w:szCs w:val="22"/>
        </w:rPr>
        <w:t>2018</w:t>
      </w:r>
      <w:r w:rsidRPr="00F5220B">
        <w:rPr>
          <w:rFonts w:hint="eastAsia"/>
          <w:sz w:val="24"/>
          <w:szCs w:val="22"/>
        </w:rPr>
        <w:t>〕</w:t>
      </w:r>
      <w:r w:rsidRPr="00F5220B">
        <w:rPr>
          <w:rFonts w:hint="eastAsia"/>
          <w:sz w:val="24"/>
          <w:szCs w:val="22"/>
        </w:rPr>
        <w:t>1</w:t>
      </w:r>
      <w:r w:rsidRPr="00F5220B">
        <w:rPr>
          <w:rFonts w:hint="eastAsia"/>
          <w:sz w:val="24"/>
          <w:szCs w:val="22"/>
        </w:rPr>
        <w:t>号）。</w:t>
      </w:r>
    </w:p>
    <w:p w:rsidR="00F5220B" w:rsidRDefault="00F5220B" w:rsidP="00F5220B">
      <w:pPr>
        <w:pStyle w:val="00"/>
        <w:ind w:firstLine="480"/>
        <w:rPr>
          <w:sz w:val="24"/>
          <w:szCs w:val="22"/>
        </w:rPr>
      </w:pPr>
      <w:r>
        <w:rPr>
          <w:rFonts w:hint="eastAsia"/>
          <w:sz w:val="24"/>
          <w:szCs w:val="22"/>
        </w:rPr>
        <w:t>根据</w:t>
      </w:r>
      <w:r w:rsidRPr="00F5220B">
        <w:rPr>
          <w:rFonts w:hint="eastAsia"/>
          <w:sz w:val="24"/>
          <w:szCs w:val="22"/>
        </w:rPr>
        <w:t>《中国石化普光气田开发及川气东送管道工程环境影响报告书》，本项目所涉及的老井场普光</w:t>
      </w:r>
      <w:r w:rsidRPr="00F5220B">
        <w:rPr>
          <w:rFonts w:hint="eastAsia"/>
          <w:sz w:val="24"/>
          <w:szCs w:val="22"/>
        </w:rPr>
        <w:t>12</w:t>
      </w:r>
      <w:r w:rsidRPr="00F5220B">
        <w:rPr>
          <w:rFonts w:hint="eastAsia"/>
          <w:sz w:val="24"/>
          <w:szCs w:val="22"/>
        </w:rPr>
        <w:t>井属于</w:t>
      </w:r>
      <w:r>
        <w:rPr>
          <w:rFonts w:hint="eastAsia"/>
          <w:sz w:val="24"/>
          <w:szCs w:val="22"/>
        </w:rPr>
        <w:t>其</w:t>
      </w:r>
      <w:r w:rsidRPr="00F5220B">
        <w:rPr>
          <w:rFonts w:hint="eastAsia"/>
          <w:sz w:val="24"/>
          <w:szCs w:val="22"/>
        </w:rPr>
        <w:t>评价内容</w:t>
      </w:r>
      <w:r>
        <w:rPr>
          <w:rFonts w:hint="eastAsia"/>
          <w:sz w:val="24"/>
          <w:szCs w:val="22"/>
        </w:rPr>
        <w:t>。</w:t>
      </w:r>
    </w:p>
    <w:p w:rsidR="00F5220B" w:rsidRPr="00D630D1" w:rsidRDefault="004E7855" w:rsidP="00F5220B">
      <w:pPr>
        <w:pStyle w:val="00"/>
        <w:ind w:firstLine="482"/>
        <w:rPr>
          <w:b/>
          <w:bCs/>
          <w:sz w:val="24"/>
          <w:szCs w:val="22"/>
        </w:rPr>
      </w:pPr>
      <w:r w:rsidRPr="004E7855">
        <w:rPr>
          <w:rFonts w:hint="eastAsia"/>
          <w:b/>
          <w:bCs/>
          <w:sz w:val="24"/>
          <w:szCs w:val="22"/>
        </w:rPr>
        <w:t>2</w:t>
      </w:r>
      <w:r w:rsidRPr="004E7855">
        <w:rPr>
          <w:b/>
          <w:bCs/>
          <w:sz w:val="24"/>
          <w:szCs w:val="22"/>
        </w:rPr>
        <w:t>.1</w:t>
      </w:r>
      <w:r>
        <w:rPr>
          <w:rFonts w:hint="eastAsia"/>
          <w:b/>
          <w:bCs/>
          <w:sz w:val="24"/>
          <w:szCs w:val="22"/>
        </w:rPr>
        <w:t>.2</w:t>
      </w:r>
      <w:r w:rsidR="00F5220B" w:rsidRPr="00F5220B">
        <w:rPr>
          <w:rFonts w:hint="eastAsia"/>
          <w:b/>
          <w:bCs/>
          <w:sz w:val="24"/>
          <w:szCs w:val="22"/>
        </w:rPr>
        <w:t>普光</w:t>
      </w:r>
      <w:r w:rsidR="00F5220B" w:rsidRPr="00F5220B">
        <w:rPr>
          <w:rFonts w:hint="eastAsia"/>
          <w:b/>
          <w:bCs/>
          <w:sz w:val="24"/>
          <w:szCs w:val="22"/>
        </w:rPr>
        <w:t>12</w:t>
      </w:r>
      <w:r w:rsidR="00F5220B" w:rsidRPr="00F5220B">
        <w:rPr>
          <w:rFonts w:hint="eastAsia"/>
          <w:b/>
          <w:bCs/>
          <w:sz w:val="24"/>
          <w:szCs w:val="22"/>
        </w:rPr>
        <w:t>井</w:t>
      </w:r>
      <w:r w:rsidR="00F5220B">
        <w:rPr>
          <w:rFonts w:hint="eastAsia"/>
          <w:b/>
          <w:bCs/>
          <w:sz w:val="24"/>
          <w:szCs w:val="22"/>
        </w:rPr>
        <w:t>现状</w:t>
      </w:r>
    </w:p>
    <w:p w:rsidR="00F5220B" w:rsidRDefault="00F5220B" w:rsidP="00F5220B">
      <w:pPr>
        <w:pStyle w:val="00"/>
        <w:ind w:firstLine="480"/>
        <w:rPr>
          <w:bCs/>
          <w:sz w:val="24"/>
          <w:szCs w:val="24"/>
        </w:rPr>
      </w:pPr>
      <w:r w:rsidRPr="00F5220B">
        <w:rPr>
          <w:rFonts w:hint="eastAsia"/>
          <w:sz w:val="24"/>
          <w:szCs w:val="22"/>
        </w:rPr>
        <w:t>本项目依托普光</w:t>
      </w:r>
      <w:r w:rsidRPr="00F5220B">
        <w:rPr>
          <w:rFonts w:hint="eastAsia"/>
          <w:sz w:val="24"/>
          <w:szCs w:val="22"/>
        </w:rPr>
        <w:t>12</w:t>
      </w:r>
      <w:r w:rsidRPr="00F5220B">
        <w:rPr>
          <w:rFonts w:hint="eastAsia"/>
          <w:sz w:val="24"/>
          <w:szCs w:val="22"/>
        </w:rPr>
        <w:t>井钻井工程进行建设，普光</w:t>
      </w:r>
      <w:r w:rsidRPr="00F5220B">
        <w:rPr>
          <w:rFonts w:hint="eastAsia"/>
          <w:sz w:val="24"/>
          <w:szCs w:val="22"/>
        </w:rPr>
        <w:t>12</w:t>
      </w:r>
      <w:r w:rsidRPr="00F5220B">
        <w:rPr>
          <w:rFonts w:hint="eastAsia"/>
          <w:sz w:val="24"/>
          <w:szCs w:val="22"/>
        </w:rPr>
        <w:t>井原井设计井深：</w:t>
      </w:r>
      <w:r w:rsidRPr="00F5220B">
        <w:rPr>
          <w:rFonts w:hint="eastAsia"/>
          <w:sz w:val="24"/>
          <w:szCs w:val="22"/>
        </w:rPr>
        <w:t>6243m</w:t>
      </w:r>
      <w:r w:rsidRPr="00F5220B">
        <w:rPr>
          <w:rFonts w:hint="eastAsia"/>
          <w:sz w:val="24"/>
          <w:szCs w:val="22"/>
        </w:rPr>
        <w:t>，井别：预探井，主要目的层：雷口坡组。测试结果显示为水层（微含气），于</w:t>
      </w:r>
      <w:r>
        <w:rPr>
          <w:rFonts w:hint="eastAsia"/>
          <w:bCs/>
          <w:sz w:val="24"/>
          <w:szCs w:val="24"/>
        </w:rPr>
        <w:t>2</w:t>
      </w:r>
      <w:r w:rsidRPr="00F5220B">
        <w:rPr>
          <w:rFonts w:hint="eastAsia"/>
          <w:bCs/>
          <w:sz w:val="24"/>
          <w:szCs w:val="24"/>
        </w:rPr>
        <w:t>008</w:t>
      </w:r>
      <w:r w:rsidRPr="00F5220B">
        <w:rPr>
          <w:rFonts w:hint="eastAsia"/>
          <w:bCs/>
          <w:sz w:val="24"/>
          <w:szCs w:val="24"/>
        </w:rPr>
        <w:t>年</w:t>
      </w:r>
      <w:r w:rsidRPr="00F5220B">
        <w:rPr>
          <w:rFonts w:hint="eastAsia"/>
          <w:bCs/>
          <w:sz w:val="24"/>
          <w:szCs w:val="24"/>
        </w:rPr>
        <w:t xml:space="preserve"> 3</w:t>
      </w:r>
      <w:r w:rsidRPr="00F5220B">
        <w:rPr>
          <w:rFonts w:hint="eastAsia"/>
          <w:bCs/>
          <w:sz w:val="24"/>
          <w:szCs w:val="24"/>
        </w:rPr>
        <w:t>月</w:t>
      </w:r>
      <w:r w:rsidRPr="00F5220B">
        <w:rPr>
          <w:rFonts w:hint="eastAsia"/>
          <w:bCs/>
          <w:sz w:val="24"/>
          <w:szCs w:val="24"/>
        </w:rPr>
        <w:t>16</w:t>
      </w:r>
      <w:r w:rsidRPr="00F5220B">
        <w:rPr>
          <w:rFonts w:hint="eastAsia"/>
          <w:bCs/>
          <w:sz w:val="24"/>
          <w:szCs w:val="24"/>
        </w:rPr>
        <w:t>日中石化集团公司领导及专家现场讨论决定完钻完井。完井日期：</w:t>
      </w:r>
      <w:r w:rsidRPr="00F5220B">
        <w:rPr>
          <w:rFonts w:hint="eastAsia"/>
          <w:bCs/>
          <w:sz w:val="24"/>
          <w:szCs w:val="24"/>
        </w:rPr>
        <w:t xml:space="preserve">2008 </w:t>
      </w:r>
      <w:r w:rsidRPr="00F5220B">
        <w:rPr>
          <w:rFonts w:hint="eastAsia"/>
          <w:bCs/>
          <w:sz w:val="24"/>
          <w:szCs w:val="24"/>
        </w:rPr>
        <w:t>年</w:t>
      </w:r>
      <w:r w:rsidRPr="00F5220B">
        <w:rPr>
          <w:rFonts w:hint="eastAsia"/>
          <w:bCs/>
          <w:sz w:val="24"/>
          <w:szCs w:val="24"/>
        </w:rPr>
        <w:t>3</w:t>
      </w:r>
      <w:r w:rsidRPr="00F5220B">
        <w:rPr>
          <w:rFonts w:hint="eastAsia"/>
          <w:bCs/>
          <w:sz w:val="24"/>
          <w:szCs w:val="24"/>
        </w:rPr>
        <w:t>月</w:t>
      </w:r>
      <w:r w:rsidRPr="00F5220B">
        <w:rPr>
          <w:rFonts w:hint="eastAsia"/>
          <w:bCs/>
          <w:sz w:val="24"/>
          <w:szCs w:val="24"/>
        </w:rPr>
        <w:t>16</w:t>
      </w:r>
      <w:r w:rsidRPr="00F5220B">
        <w:rPr>
          <w:rFonts w:hint="eastAsia"/>
          <w:bCs/>
          <w:sz w:val="24"/>
          <w:szCs w:val="24"/>
        </w:rPr>
        <w:t>日，完钻井深</w:t>
      </w:r>
      <w:r w:rsidRPr="00F5220B">
        <w:rPr>
          <w:rFonts w:hint="eastAsia"/>
          <w:bCs/>
          <w:sz w:val="24"/>
          <w:szCs w:val="24"/>
        </w:rPr>
        <w:t>6243m</w:t>
      </w:r>
      <w:r w:rsidRPr="00F5220B">
        <w:rPr>
          <w:rFonts w:hint="eastAsia"/>
          <w:bCs/>
          <w:sz w:val="24"/>
          <w:szCs w:val="24"/>
        </w:rPr>
        <w:t>，完钻层位：雷口坡组。</w:t>
      </w:r>
    </w:p>
    <w:p w:rsidR="00F5220B" w:rsidRDefault="00F5220B" w:rsidP="00F5220B">
      <w:pPr>
        <w:pStyle w:val="00"/>
        <w:ind w:firstLineChars="0" w:firstLine="0"/>
        <w:jc w:val="center"/>
        <w:rPr>
          <w:bCs/>
          <w:sz w:val="24"/>
          <w:szCs w:val="24"/>
        </w:rPr>
      </w:pPr>
      <w:r>
        <w:rPr>
          <w:noProof/>
          <w:sz w:val="24"/>
        </w:rPr>
        <w:drawing>
          <wp:inline distT="0" distB="0" distL="0" distR="0">
            <wp:extent cx="3627120" cy="2590800"/>
            <wp:effectExtent l="19050" t="0" r="0" b="0"/>
            <wp:docPr id="2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39" cstate="print"/>
                    <a:srcRect/>
                    <a:stretch>
                      <a:fillRect/>
                    </a:stretch>
                  </pic:blipFill>
                  <pic:spPr bwMode="auto">
                    <a:xfrm>
                      <a:off x="0" y="0"/>
                      <a:ext cx="3627120" cy="2590800"/>
                    </a:xfrm>
                    <a:prstGeom prst="rect">
                      <a:avLst/>
                    </a:prstGeom>
                    <a:noFill/>
                    <a:ln w="9525">
                      <a:noFill/>
                      <a:miter lim="800000"/>
                      <a:headEnd/>
                      <a:tailEnd/>
                    </a:ln>
                  </pic:spPr>
                </pic:pic>
              </a:graphicData>
            </a:graphic>
          </wp:inline>
        </w:drawing>
      </w:r>
    </w:p>
    <w:p w:rsidR="00F5220B" w:rsidRPr="00F5220B" w:rsidRDefault="00F5220B" w:rsidP="00F5220B">
      <w:pPr>
        <w:pStyle w:val="00"/>
        <w:ind w:firstLineChars="0" w:firstLine="0"/>
        <w:jc w:val="center"/>
        <w:rPr>
          <w:b/>
          <w:bCs/>
          <w:sz w:val="24"/>
          <w:szCs w:val="24"/>
        </w:rPr>
      </w:pPr>
      <w:r w:rsidRPr="00F5220B">
        <w:rPr>
          <w:rFonts w:hint="eastAsia"/>
          <w:b/>
          <w:bCs/>
          <w:sz w:val="24"/>
          <w:szCs w:val="24"/>
        </w:rPr>
        <w:t>图</w:t>
      </w:r>
      <w:r w:rsidRPr="00F5220B">
        <w:rPr>
          <w:rFonts w:hint="eastAsia"/>
          <w:b/>
          <w:bCs/>
          <w:sz w:val="24"/>
          <w:szCs w:val="24"/>
        </w:rPr>
        <w:t xml:space="preserve">2.1-1 </w:t>
      </w:r>
      <w:r w:rsidRPr="00F5220B">
        <w:rPr>
          <w:rFonts w:hint="eastAsia"/>
          <w:b/>
          <w:bCs/>
          <w:sz w:val="24"/>
          <w:szCs w:val="24"/>
        </w:rPr>
        <w:t>普光</w:t>
      </w:r>
      <w:r w:rsidRPr="00F5220B">
        <w:rPr>
          <w:rFonts w:hint="eastAsia"/>
          <w:b/>
          <w:bCs/>
          <w:sz w:val="24"/>
          <w:szCs w:val="24"/>
        </w:rPr>
        <w:t xml:space="preserve"> 12 </w:t>
      </w:r>
      <w:r w:rsidRPr="00F5220B">
        <w:rPr>
          <w:rFonts w:hint="eastAsia"/>
          <w:b/>
          <w:bCs/>
          <w:sz w:val="24"/>
          <w:szCs w:val="24"/>
        </w:rPr>
        <w:t>井场现场照片</w:t>
      </w:r>
    </w:p>
    <w:p w:rsidR="00F5220B" w:rsidRDefault="004E7855" w:rsidP="00F5220B">
      <w:pPr>
        <w:pStyle w:val="00"/>
        <w:ind w:leftChars="200" w:left="600" w:hangingChars="50" w:hanging="120"/>
        <w:rPr>
          <w:sz w:val="24"/>
          <w:szCs w:val="22"/>
        </w:rPr>
      </w:pPr>
      <w:r w:rsidRPr="004E7855">
        <w:rPr>
          <w:rFonts w:hint="eastAsia"/>
          <w:b/>
          <w:bCs/>
          <w:sz w:val="24"/>
          <w:szCs w:val="22"/>
        </w:rPr>
        <w:lastRenderedPageBreak/>
        <w:t>2</w:t>
      </w:r>
      <w:r w:rsidRPr="004E7855">
        <w:rPr>
          <w:b/>
          <w:bCs/>
          <w:sz w:val="24"/>
          <w:szCs w:val="22"/>
        </w:rPr>
        <w:t>.1</w:t>
      </w:r>
      <w:r>
        <w:rPr>
          <w:rFonts w:hint="eastAsia"/>
          <w:b/>
          <w:bCs/>
          <w:sz w:val="24"/>
          <w:szCs w:val="22"/>
        </w:rPr>
        <w:t>.3</w:t>
      </w:r>
      <w:r w:rsidR="00F5220B" w:rsidRPr="00F5220B">
        <w:rPr>
          <w:rFonts w:hint="eastAsia"/>
          <w:b/>
          <w:bCs/>
          <w:sz w:val="24"/>
          <w:szCs w:val="22"/>
        </w:rPr>
        <w:t>现有工程污染防治措施及排放情况</w:t>
      </w:r>
    </w:p>
    <w:p w:rsidR="00F5220B" w:rsidRPr="00F5220B" w:rsidRDefault="00F5220B" w:rsidP="00F5220B">
      <w:pPr>
        <w:pStyle w:val="00"/>
        <w:ind w:firstLine="480"/>
        <w:rPr>
          <w:bCs/>
          <w:sz w:val="24"/>
          <w:szCs w:val="24"/>
        </w:rPr>
      </w:pPr>
      <w:r w:rsidRPr="00F5220B">
        <w:rPr>
          <w:rFonts w:hint="eastAsia"/>
          <w:bCs/>
          <w:sz w:val="24"/>
          <w:szCs w:val="24"/>
        </w:rPr>
        <w:t>普光</w:t>
      </w:r>
      <w:r w:rsidRPr="00F5220B">
        <w:rPr>
          <w:rFonts w:hint="eastAsia"/>
          <w:bCs/>
          <w:sz w:val="24"/>
          <w:szCs w:val="24"/>
        </w:rPr>
        <w:t xml:space="preserve"> 12 </w:t>
      </w:r>
      <w:r w:rsidRPr="00F5220B">
        <w:rPr>
          <w:rFonts w:hint="eastAsia"/>
          <w:bCs/>
          <w:sz w:val="24"/>
          <w:szCs w:val="24"/>
        </w:rPr>
        <w:t>井现处于封井状态，通过现场踏勘及资料收集既有工程原有污染防</w:t>
      </w:r>
    </w:p>
    <w:p w:rsidR="00F5220B" w:rsidRPr="00F5220B" w:rsidRDefault="00F5220B" w:rsidP="00F5220B">
      <w:pPr>
        <w:pStyle w:val="00"/>
        <w:ind w:firstLineChars="0" w:firstLine="0"/>
        <w:rPr>
          <w:bCs/>
          <w:sz w:val="24"/>
          <w:szCs w:val="24"/>
        </w:rPr>
      </w:pPr>
      <w:r w:rsidRPr="00F5220B">
        <w:rPr>
          <w:rFonts w:hint="eastAsia"/>
          <w:bCs/>
          <w:sz w:val="24"/>
          <w:szCs w:val="24"/>
        </w:rPr>
        <w:t>治措施及排放情况如下：</w:t>
      </w:r>
    </w:p>
    <w:p w:rsidR="00F5220B" w:rsidRPr="00F5220B" w:rsidRDefault="00F5220B" w:rsidP="00F5220B">
      <w:pPr>
        <w:pStyle w:val="00"/>
        <w:ind w:firstLine="480"/>
        <w:rPr>
          <w:bCs/>
          <w:sz w:val="24"/>
          <w:szCs w:val="24"/>
        </w:rPr>
      </w:pPr>
      <w:r w:rsidRPr="00F5220B">
        <w:rPr>
          <w:rFonts w:hint="eastAsia"/>
          <w:bCs/>
          <w:sz w:val="24"/>
          <w:szCs w:val="24"/>
        </w:rPr>
        <w:t>1</w:t>
      </w:r>
      <w:r w:rsidRPr="00F5220B">
        <w:rPr>
          <w:rFonts w:hint="eastAsia"/>
          <w:bCs/>
          <w:sz w:val="24"/>
          <w:szCs w:val="24"/>
        </w:rPr>
        <w:t>、废气</w:t>
      </w:r>
    </w:p>
    <w:p w:rsidR="00F5220B" w:rsidRPr="00F5220B" w:rsidRDefault="00F5220B" w:rsidP="00F5220B">
      <w:pPr>
        <w:pStyle w:val="00"/>
        <w:ind w:firstLine="480"/>
        <w:rPr>
          <w:bCs/>
          <w:sz w:val="24"/>
          <w:szCs w:val="24"/>
        </w:rPr>
      </w:pPr>
      <w:r w:rsidRPr="00F5220B">
        <w:rPr>
          <w:rFonts w:hint="eastAsia"/>
          <w:bCs/>
          <w:sz w:val="24"/>
          <w:szCs w:val="24"/>
        </w:rPr>
        <w:t>普光</w:t>
      </w:r>
      <w:r w:rsidRPr="00F5220B">
        <w:rPr>
          <w:rFonts w:hint="eastAsia"/>
          <w:bCs/>
          <w:sz w:val="24"/>
          <w:szCs w:val="24"/>
        </w:rPr>
        <w:t>12</w:t>
      </w:r>
      <w:r w:rsidRPr="00F5220B">
        <w:rPr>
          <w:rFonts w:hint="eastAsia"/>
          <w:bCs/>
          <w:sz w:val="24"/>
          <w:szCs w:val="24"/>
        </w:rPr>
        <w:t>井钻井工程环境空气污染物主要来自施工扬尘、施工机械尾气、柴油</w:t>
      </w:r>
      <w:r w:rsidRPr="00F5220B">
        <w:rPr>
          <w:rFonts w:hint="eastAsia"/>
          <w:bCs/>
          <w:sz w:val="24"/>
          <w:szCs w:val="24"/>
        </w:rPr>
        <w:t xml:space="preserve"> </w:t>
      </w:r>
      <w:r w:rsidRPr="00F5220B">
        <w:rPr>
          <w:rFonts w:hint="eastAsia"/>
          <w:bCs/>
          <w:sz w:val="24"/>
          <w:szCs w:val="24"/>
        </w:rPr>
        <w:t>发电机组废气、测试放喷废气和事故放喷废气。施工扬尘采取了洒水防尘措施，影响较小；施工机械尾气为燃油发电机、车辆排放尾气，由于累计施工工时不长，</w:t>
      </w:r>
      <w:r w:rsidRPr="00F5220B">
        <w:rPr>
          <w:rFonts w:hint="eastAsia"/>
          <w:bCs/>
          <w:sz w:val="24"/>
          <w:szCs w:val="24"/>
        </w:rPr>
        <w:t xml:space="preserve"> </w:t>
      </w:r>
      <w:r w:rsidRPr="00F5220B">
        <w:rPr>
          <w:rFonts w:hint="eastAsia"/>
          <w:bCs/>
          <w:sz w:val="24"/>
          <w:szCs w:val="24"/>
        </w:rPr>
        <w:t>废气扩散条件良好，对大气环境影响较小；柴油发电机废气主要污染物为</w:t>
      </w:r>
      <w:r w:rsidRPr="00F5220B">
        <w:rPr>
          <w:rFonts w:hint="eastAsia"/>
          <w:bCs/>
          <w:sz w:val="24"/>
          <w:szCs w:val="24"/>
        </w:rPr>
        <w:t xml:space="preserve"> NOx</w:t>
      </w:r>
      <w:r w:rsidRPr="00F5220B">
        <w:rPr>
          <w:rFonts w:hint="eastAsia"/>
          <w:bCs/>
          <w:sz w:val="24"/>
          <w:szCs w:val="24"/>
        </w:rPr>
        <w:t>、</w:t>
      </w:r>
      <w:r w:rsidRPr="00F5220B">
        <w:rPr>
          <w:rFonts w:hint="eastAsia"/>
          <w:bCs/>
          <w:sz w:val="24"/>
          <w:szCs w:val="24"/>
        </w:rPr>
        <w:t xml:space="preserve"> CO</w:t>
      </w:r>
      <w:r w:rsidRPr="00F5220B">
        <w:rPr>
          <w:rFonts w:hint="eastAsia"/>
          <w:bCs/>
          <w:sz w:val="24"/>
          <w:szCs w:val="24"/>
        </w:rPr>
        <w:t>、</w:t>
      </w:r>
      <w:r w:rsidRPr="00F5220B">
        <w:rPr>
          <w:rFonts w:hint="eastAsia"/>
          <w:bCs/>
          <w:sz w:val="24"/>
          <w:szCs w:val="24"/>
        </w:rPr>
        <w:t>CO</w:t>
      </w:r>
      <w:r w:rsidRPr="00F5220B">
        <w:rPr>
          <w:rFonts w:hint="eastAsia"/>
          <w:bCs/>
          <w:sz w:val="24"/>
          <w:szCs w:val="24"/>
          <w:vertAlign w:val="subscript"/>
        </w:rPr>
        <w:t>2</w:t>
      </w:r>
      <w:r w:rsidRPr="00F5220B">
        <w:rPr>
          <w:rFonts w:hint="eastAsia"/>
          <w:bCs/>
          <w:sz w:val="24"/>
          <w:szCs w:val="24"/>
        </w:rPr>
        <w:t>、和少量烟尘等，经自带的烟气处理系统处理后进入大气中，对大气环境影响较小；测试放喷和事故放喷的天然气经点火燃烧，其主要污染物为</w:t>
      </w:r>
      <w:r w:rsidRPr="00F5220B">
        <w:rPr>
          <w:rFonts w:hint="eastAsia"/>
          <w:bCs/>
          <w:sz w:val="24"/>
          <w:szCs w:val="24"/>
        </w:rPr>
        <w:t xml:space="preserve"> NOx</w:t>
      </w:r>
      <w:r w:rsidRPr="00F5220B">
        <w:rPr>
          <w:rFonts w:hint="eastAsia"/>
          <w:bCs/>
          <w:sz w:val="24"/>
          <w:szCs w:val="24"/>
        </w:rPr>
        <w:t>、</w:t>
      </w:r>
      <w:r w:rsidRPr="00F5220B">
        <w:rPr>
          <w:rFonts w:hint="eastAsia"/>
          <w:bCs/>
          <w:sz w:val="24"/>
          <w:szCs w:val="24"/>
        </w:rPr>
        <w:t xml:space="preserve"> SO</w:t>
      </w:r>
      <w:r w:rsidRPr="00F5220B">
        <w:rPr>
          <w:rFonts w:hint="eastAsia"/>
          <w:bCs/>
          <w:sz w:val="24"/>
          <w:szCs w:val="24"/>
          <w:vertAlign w:val="subscript"/>
        </w:rPr>
        <w:t>2</w:t>
      </w:r>
      <w:r w:rsidRPr="00F5220B">
        <w:rPr>
          <w:rFonts w:hint="eastAsia"/>
          <w:bCs/>
          <w:sz w:val="24"/>
          <w:szCs w:val="24"/>
        </w:rPr>
        <w:t>、</w:t>
      </w:r>
      <w:r w:rsidRPr="00F5220B">
        <w:rPr>
          <w:rFonts w:hint="eastAsia"/>
          <w:bCs/>
          <w:sz w:val="24"/>
          <w:szCs w:val="24"/>
        </w:rPr>
        <w:t>CO</w:t>
      </w:r>
      <w:r w:rsidRPr="00F5220B">
        <w:rPr>
          <w:rFonts w:hint="eastAsia"/>
          <w:bCs/>
          <w:sz w:val="24"/>
          <w:szCs w:val="24"/>
          <w:vertAlign w:val="subscript"/>
        </w:rPr>
        <w:t>2</w:t>
      </w:r>
      <w:r w:rsidRPr="00F5220B">
        <w:rPr>
          <w:rFonts w:hint="eastAsia"/>
          <w:bCs/>
          <w:sz w:val="24"/>
          <w:szCs w:val="24"/>
        </w:rPr>
        <w:t>，由于测试放喷和事故放喷时间较短，对大气环境影响较小。</w:t>
      </w:r>
    </w:p>
    <w:p w:rsidR="00F5220B" w:rsidRDefault="00F5220B" w:rsidP="00F5220B">
      <w:pPr>
        <w:pStyle w:val="00"/>
        <w:ind w:firstLine="480"/>
        <w:rPr>
          <w:bCs/>
          <w:sz w:val="24"/>
          <w:szCs w:val="24"/>
        </w:rPr>
      </w:pPr>
      <w:r w:rsidRPr="00F5220B">
        <w:rPr>
          <w:rFonts w:hint="eastAsia"/>
          <w:bCs/>
          <w:sz w:val="24"/>
          <w:szCs w:val="24"/>
        </w:rPr>
        <w:t>根据现场调查，钻井设备撤离工作已经完成，钻井期间的大气污染物已随钻井工程的结</w:t>
      </w:r>
      <w:r w:rsidRPr="00F5220B">
        <w:rPr>
          <w:rFonts w:hint="eastAsia"/>
          <w:bCs/>
          <w:sz w:val="24"/>
          <w:szCs w:val="24"/>
        </w:rPr>
        <w:t xml:space="preserve"> </w:t>
      </w:r>
      <w:r w:rsidRPr="00F5220B">
        <w:rPr>
          <w:rFonts w:hint="eastAsia"/>
          <w:bCs/>
          <w:sz w:val="24"/>
          <w:szCs w:val="24"/>
        </w:rPr>
        <w:t>束而消除，对环境空气影响较小。施工期间地方生态环境主管部门及建设单位未</w:t>
      </w:r>
      <w:r w:rsidRPr="00F5220B">
        <w:rPr>
          <w:rFonts w:hint="eastAsia"/>
          <w:bCs/>
          <w:sz w:val="24"/>
          <w:szCs w:val="24"/>
        </w:rPr>
        <w:t xml:space="preserve"> </w:t>
      </w:r>
      <w:r w:rsidRPr="00F5220B">
        <w:rPr>
          <w:rFonts w:hint="eastAsia"/>
          <w:bCs/>
          <w:sz w:val="24"/>
          <w:szCs w:val="24"/>
        </w:rPr>
        <w:t>接到周边农户的投诉，未对周边大气环境造成影响。</w:t>
      </w:r>
    </w:p>
    <w:p w:rsidR="00F5220B" w:rsidRPr="00F5220B" w:rsidRDefault="00F5220B" w:rsidP="00F5220B">
      <w:pPr>
        <w:pStyle w:val="00"/>
        <w:ind w:firstLine="480"/>
        <w:rPr>
          <w:bCs/>
          <w:sz w:val="24"/>
          <w:szCs w:val="24"/>
        </w:rPr>
      </w:pPr>
      <w:r w:rsidRPr="00F5220B">
        <w:rPr>
          <w:rFonts w:hint="eastAsia"/>
          <w:bCs/>
          <w:sz w:val="24"/>
          <w:szCs w:val="24"/>
        </w:rPr>
        <w:t>2</w:t>
      </w:r>
      <w:r w:rsidRPr="00F5220B">
        <w:rPr>
          <w:rFonts w:hint="eastAsia"/>
          <w:bCs/>
          <w:sz w:val="24"/>
          <w:szCs w:val="24"/>
        </w:rPr>
        <w:t>、废水</w:t>
      </w:r>
    </w:p>
    <w:p w:rsidR="00F5220B" w:rsidRPr="00F5220B" w:rsidRDefault="00F5220B" w:rsidP="00F5220B">
      <w:pPr>
        <w:pStyle w:val="00"/>
        <w:ind w:firstLine="480"/>
        <w:rPr>
          <w:bCs/>
          <w:sz w:val="24"/>
          <w:szCs w:val="24"/>
        </w:rPr>
      </w:pPr>
      <w:r w:rsidRPr="00F5220B">
        <w:rPr>
          <w:rFonts w:hint="eastAsia"/>
          <w:bCs/>
          <w:sz w:val="24"/>
          <w:szCs w:val="24"/>
        </w:rPr>
        <w:t>①钻井</w:t>
      </w:r>
      <w:r>
        <w:rPr>
          <w:rFonts w:hint="eastAsia"/>
          <w:bCs/>
          <w:sz w:val="24"/>
          <w:szCs w:val="24"/>
        </w:rPr>
        <w:t>废</w:t>
      </w:r>
      <w:r w:rsidRPr="00F5220B">
        <w:rPr>
          <w:rFonts w:hint="eastAsia"/>
          <w:bCs/>
          <w:sz w:val="24"/>
          <w:szCs w:val="24"/>
        </w:rPr>
        <w:t>水</w:t>
      </w:r>
    </w:p>
    <w:p w:rsidR="00F5220B" w:rsidRPr="00F5220B" w:rsidRDefault="00F5220B" w:rsidP="00F5220B">
      <w:pPr>
        <w:pStyle w:val="00"/>
        <w:ind w:firstLine="480"/>
        <w:rPr>
          <w:bCs/>
          <w:sz w:val="24"/>
          <w:szCs w:val="24"/>
        </w:rPr>
      </w:pPr>
      <w:r w:rsidRPr="00F5220B">
        <w:rPr>
          <w:rFonts w:hint="eastAsia"/>
          <w:bCs/>
          <w:sz w:val="24"/>
          <w:szCs w:val="24"/>
        </w:rPr>
        <w:t>普光</w:t>
      </w:r>
      <w:r w:rsidRPr="00F5220B">
        <w:rPr>
          <w:rFonts w:hint="eastAsia"/>
          <w:bCs/>
          <w:sz w:val="24"/>
          <w:szCs w:val="24"/>
        </w:rPr>
        <w:t>12</w:t>
      </w:r>
      <w:r w:rsidRPr="00F5220B">
        <w:rPr>
          <w:rFonts w:hint="eastAsia"/>
          <w:bCs/>
          <w:sz w:val="24"/>
          <w:szCs w:val="24"/>
        </w:rPr>
        <w:t>井钻井工程废水主要包括钻井废水、雨水、生活污水。</w:t>
      </w:r>
    </w:p>
    <w:p w:rsidR="00F5220B" w:rsidRPr="00F5220B" w:rsidRDefault="00F5220B" w:rsidP="00F5220B">
      <w:pPr>
        <w:pStyle w:val="00"/>
        <w:ind w:firstLine="480"/>
        <w:rPr>
          <w:bCs/>
          <w:sz w:val="24"/>
          <w:szCs w:val="24"/>
        </w:rPr>
      </w:pPr>
      <w:r w:rsidRPr="00F5220B">
        <w:rPr>
          <w:rFonts w:hint="eastAsia"/>
          <w:bCs/>
          <w:sz w:val="24"/>
          <w:szCs w:val="24"/>
        </w:rPr>
        <w:t>钻井废水主要污染物为钻井液体系成分，是钻井液体系的高倍稀释废水，</w:t>
      </w:r>
      <w:r w:rsidRPr="00F5220B">
        <w:rPr>
          <w:rFonts w:hint="eastAsia"/>
          <w:bCs/>
          <w:sz w:val="24"/>
          <w:szCs w:val="24"/>
        </w:rPr>
        <w:t>OD</w:t>
      </w:r>
      <w:r w:rsidRPr="00F5220B">
        <w:rPr>
          <w:rFonts w:hint="eastAsia"/>
          <w:bCs/>
          <w:sz w:val="24"/>
          <w:szCs w:val="24"/>
        </w:rPr>
        <w:t>、</w:t>
      </w:r>
      <w:r w:rsidRPr="00F5220B">
        <w:rPr>
          <w:rFonts w:hint="eastAsia"/>
          <w:bCs/>
          <w:sz w:val="24"/>
          <w:szCs w:val="24"/>
        </w:rPr>
        <w:t xml:space="preserve">SS </w:t>
      </w:r>
      <w:r w:rsidRPr="00F5220B">
        <w:rPr>
          <w:rFonts w:hint="eastAsia"/>
          <w:bCs/>
          <w:sz w:val="24"/>
          <w:szCs w:val="24"/>
        </w:rPr>
        <w:t>浓度较高；大部分水随泥浆进入泥浆净化系统，小部分水随钻屑进入岩屑池，经固液分离后，回收上清液用于泥浆配置，剩余废</w:t>
      </w:r>
      <w:r w:rsidRPr="00F5220B">
        <w:rPr>
          <w:rFonts w:hint="eastAsia"/>
          <w:bCs/>
          <w:sz w:val="24"/>
          <w:szCs w:val="24"/>
        </w:rPr>
        <w:t xml:space="preserve"> </w:t>
      </w:r>
      <w:r w:rsidRPr="00F5220B">
        <w:rPr>
          <w:rFonts w:hint="eastAsia"/>
          <w:bCs/>
          <w:sz w:val="24"/>
          <w:szCs w:val="24"/>
        </w:rPr>
        <w:t>水处理达到毛开</w:t>
      </w:r>
      <w:r w:rsidRPr="00F5220B">
        <w:rPr>
          <w:rFonts w:hint="eastAsia"/>
          <w:bCs/>
          <w:sz w:val="24"/>
          <w:szCs w:val="24"/>
        </w:rPr>
        <w:t>1</w:t>
      </w:r>
      <w:r w:rsidRPr="00F5220B">
        <w:rPr>
          <w:rFonts w:hint="eastAsia"/>
          <w:bCs/>
          <w:sz w:val="24"/>
          <w:szCs w:val="24"/>
        </w:rPr>
        <w:t>井回注标准后回注，不外排，对周边地表水体影响很小。</w:t>
      </w:r>
    </w:p>
    <w:p w:rsidR="00F5220B" w:rsidRPr="00F5220B" w:rsidRDefault="00F5220B" w:rsidP="00F5220B">
      <w:pPr>
        <w:pStyle w:val="00"/>
        <w:ind w:firstLine="480"/>
        <w:rPr>
          <w:bCs/>
          <w:sz w:val="24"/>
          <w:szCs w:val="24"/>
        </w:rPr>
      </w:pPr>
      <w:r w:rsidRPr="00F5220B">
        <w:rPr>
          <w:rFonts w:hint="eastAsia"/>
          <w:bCs/>
          <w:sz w:val="24"/>
          <w:szCs w:val="24"/>
        </w:rPr>
        <w:t>井场内四周设排水边沟，井场雨水随四周排水边沟汇至排放口，排放口设监池，初期雨水收集进入污水池处理，后期雨水水质清洁后可直接外排。</w:t>
      </w:r>
    </w:p>
    <w:p w:rsidR="00F5220B" w:rsidRPr="00F5220B" w:rsidRDefault="00F5220B" w:rsidP="00F5220B">
      <w:pPr>
        <w:pStyle w:val="00"/>
        <w:ind w:firstLineChars="0" w:firstLine="0"/>
        <w:rPr>
          <w:bCs/>
          <w:sz w:val="24"/>
          <w:szCs w:val="24"/>
        </w:rPr>
      </w:pPr>
      <w:r w:rsidRPr="00F5220B">
        <w:rPr>
          <w:rFonts w:hint="eastAsia"/>
          <w:bCs/>
          <w:sz w:val="24"/>
          <w:szCs w:val="24"/>
        </w:rPr>
        <w:t>污水池</w:t>
      </w:r>
      <w:r w:rsidRPr="00F5220B">
        <w:rPr>
          <w:rFonts w:hint="eastAsia"/>
          <w:bCs/>
          <w:sz w:val="24"/>
          <w:szCs w:val="24"/>
        </w:rPr>
        <w:t xml:space="preserve"> </w:t>
      </w:r>
      <w:r w:rsidRPr="00F5220B">
        <w:rPr>
          <w:rFonts w:hint="eastAsia"/>
          <w:bCs/>
          <w:sz w:val="24"/>
          <w:szCs w:val="24"/>
        </w:rPr>
        <w:t>收集雨水同钻井废水一同处理达到毛开</w:t>
      </w:r>
      <w:r w:rsidRPr="00F5220B">
        <w:rPr>
          <w:rFonts w:hint="eastAsia"/>
          <w:bCs/>
          <w:sz w:val="24"/>
          <w:szCs w:val="24"/>
        </w:rPr>
        <w:t xml:space="preserve"> 1 </w:t>
      </w:r>
      <w:r w:rsidRPr="00F5220B">
        <w:rPr>
          <w:rFonts w:hint="eastAsia"/>
          <w:bCs/>
          <w:sz w:val="24"/>
          <w:szCs w:val="24"/>
        </w:rPr>
        <w:t>井回注标准后回注，不外排。</w:t>
      </w:r>
    </w:p>
    <w:p w:rsidR="00F5220B" w:rsidRPr="00F5220B" w:rsidRDefault="00F5220B" w:rsidP="00F5220B">
      <w:pPr>
        <w:pStyle w:val="00"/>
        <w:ind w:firstLine="480"/>
        <w:rPr>
          <w:bCs/>
          <w:sz w:val="24"/>
          <w:szCs w:val="24"/>
        </w:rPr>
      </w:pPr>
      <w:r w:rsidRPr="00F5220B">
        <w:rPr>
          <w:rFonts w:hint="eastAsia"/>
          <w:bCs/>
          <w:sz w:val="24"/>
          <w:szCs w:val="24"/>
        </w:rPr>
        <w:t>普光</w:t>
      </w:r>
      <w:r w:rsidRPr="00F5220B">
        <w:rPr>
          <w:rFonts w:hint="eastAsia"/>
          <w:bCs/>
          <w:sz w:val="24"/>
          <w:szCs w:val="24"/>
        </w:rPr>
        <w:t>12</w:t>
      </w:r>
      <w:r w:rsidRPr="00F5220B">
        <w:rPr>
          <w:rFonts w:hint="eastAsia"/>
          <w:bCs/>
          <w:sz w:val="24"/>
          <w:szCs w:val="24"/>
        </w:rPr>
        <w:t>井钻井施工期间井队施工人员生活污水经旱厕收集后用作农肥，对地表水的影响较小。</w:t>
      </w:r>
    </w:p>
    <w:p w:rsidR="00F5220B" w:rsidRPr="00F5220B" w:rsidRDefault="00F5220B" w:rsidP="00F5220B">
      <w:pPr>
        <w:pStyle w:val="00"/>
        <w:ind w:firstLine="480"/>
        <w:rPr>
          <w:bCs/>
          <w:sz w:val="24"/>
          <w:szCs w:val="24"/>
        </w:rPr>
      </w:pPr>
      <w:r w:rsidRPr="00F5220B">
        <w:rPr>
          <w:rFonts w:hint="eastAsia"/>
          <w:bCs/>
          <w:sz w:val="24"/>
          <w:szCs w:val="24"/>
        </w:rPr>
        <w:t>根据调查调查，现场无相关环境问题，普光</w:t>
      </w:r>
      <w:r w:rsidRPr="00F5220B">
        <w:rPr>
          <w:rFonts w:hint="eastAsia"/>
          <w:bCs/>
          <w:sz w:val="24"/>
          <w:szCs w:val="24"/>
        </w:rPr>
        <w:t>12</w:t>
      </w:r>
      <w:r w:rsidRPr="00F5220B">
        <w:rPr>
          <w:rFonts w:hint="eastAsia"/>
          <w:bCs/>
          <w:sz w:val="24"/>
          <w:szCs w:val="24"/>
        </w:rPr>
        <w:t>井钻井废水均已得到妥善处理。</w:t>
      </w:r>
    </w:p>
    <w:p w:rsidR="00F5220B" w:rsidRPr="00F5220B" w:rsidRDefault="00F5220B" w:rsidP="00F5220B">
      <w:pPr>
        <w:pStyle w:val="00"/>
        <w:ind w:firstLine="480"/>
        <w:rPr>
          <w:bCs/>
          <w:sz w:val="24"/>
          <w:szCs w:val="24"/>
        </w:rPr>
      </w:pPr>
      <w:r w:rsidRPr="00F5220B">
        <w:rPr>
          <w:rFonts w:hint="eastAsia"/>
          <w:bCs/>
          <w:sz w:val="24"/>
          <w:szCs w:val="24"/>
        </w:rPr>
        <w:t>②完井废水</w:t>
      </w:r>
    </w:p>
    <w:p w:rsidR="00F5220B" w:rsidRPr="00F5220B" w:rsidRDefault="00F5220B" w:rsidP="00F5220B">
      <w:pPr>
        <w:pStyle w:val="00"/>
        <w:ind w:firstLine="480"/>
        <w:rPr>
          <w:bCs/>
          <w:sz w:val="24"/>
          <w:szCs w:val="24"/>
        </w:rPr>
      </w:pPr>
      <w:r w:rsidRPr="00F5220B">
        <w:rPr>
          <w:rFonts w:hint="eastAsia"/>
          <w:bCs/>
          <w:sz w:val="24"/>
          <w:szCs w:val="24"/>
        </w:rPr>
        <w:lastRenderedPageBreak/>
        <w:t>普光</w:t>
      </w:r>
      <w:r w:rsidRPr="00F5220B">
        <w:rPr>
          <w:rFonts w:hint="eastAsia"/>
          <w:bCs/>
          <w:sz w:val="24"/>
          <w:szCs w:val="24"/>
        </w:rPr>
        <w:t>12</w:t>
      </w:r>
      <w:r w:rsidRPr="00F5220B">
        <w:rPr>
          <w:rFonts w:hint="eastAsia"/>
          <w:bCs/>
          <w:sz w:val="24"/>
          <w:szCs w:val="24"/>
        </w:rPr>
        <w:t>井钻井工程废水主要包括作业废水及生活污水。</w:t>
      </w:r>
    </w:p>
    <w:p w:rsidR="00F5220B" w:rsidRPr="00F5220B" w:rsidRDefault="00F5220B" w:rsidP="00F5220B">
      <w:pPr>
        <w:pStyle w:val="00"/>
        <w:ind w:firstLine="480"/>
        <w:rPr>
          <w:bCs/>
          <w:sz w:val="24"/>
          <w:szCs w:val="24"/>
        </w:rPr>
      </w:pPr>
      <w:r w:rsidRPr="00F5220B">
        <w:rPr>
          <w:rFonts w:hint="eastAsia"/>
          <w:bCs/>
          <w:sz w:val="24"/>
          <w:szCs w:val="24"/>
        </w:rPr>
        <w:t>作业废水临时储存于放喷池（放喷池预先储备部分碱性水用于中和返排液中的酸液），施工完成后拉运至大湾</w:t>
      </w:r>
      <w:r w:rsidRPr="00F5220B">
        <w:rPr>
          <w:rFonts w:hint="eastAsia"/>
          <w:bCs/>
          <w:sz w:val="24"/>
          <w:szCs w:val="24"/>
        </w:rPr>
        <w:t xml:space="preserve"> 403 </w:t>
      </w:r>
      <w:r w:rsidRPr="00F5220B">
        <w:rPr>
          <w:rFonts w:hint="eastAsia"/>
          <w:bCs/>
          <w:sz w:val="24"/>
          <w:szCs w:val="24"/>
        </w:rPr>
        <w:t>污水站处理达到毛开</w:t>
      </w:r>
      <w:r w:rsidRPr="00F5220B">
        <w:rPr>
          <w:rFonts w:hint="eastAsia"/>
          <w:bCs/>
          <w:sz w:val="24"/>
          <w:szCs w:val="24"/>
        </w:rPr>
        <w:t xml:space="preserve"> 1 </w:t>
      </w:r>
      <w:r w:rsidRPr="00F5220B">
        <w:rPr>
          <w:rFonts w:hint="eastAsia"/>
          <w:bCs/>
          <w:sz w:val="24"/>
          <w:szCs w:val="24"/>
        </w:rPr>
        <w:t>井回注标准后回注，</w:t>
      </w:r>
      <w:r w:rsidRPr="00F5220B">
        <w:rPr>
          <w:rFonts w:hint="eastAsia"/>
          <w:bCs/>
          <w:sz w:val="24"/>
          <w:szCs w:val="24"/>
        </w:rPr>
        <w:t xml:space="preserve"> </w:t>
      </w:r>
      <w:r w:rsidRPr="00F5220B">
        <w:rPr>
          <w:rFonts w:hint="eastAsia"/>
          <w:bCs/>
          <w:sz w:val="24"/>
          <w:szCs w:val="24"/>
        </w:rPr>
        <w:t>不外排，对周边地表水体基本无影响。</w:t>
      </w:r>
    </w:p>
    <w:p w:rsidR="00F5220B" w:rsidRPr="00F5220B" w:rsidRDefault="00F5220B" w:rsidP="00F5220B">
      <w:pPr>
        <w:pStyle w:val="00"/>
        <w:ind w:firstLine="480"/>
        <w:rPr>
          <w:bCs/>
          <w:sz w:val="24"/>
          <w:szCs w:val="24"/>
        </w:rPr>
      </w:pPr>
      <w:r w:rsidRPr="00F5220B">
        <w:rPr>
          <w:rFonts w:hint="eastAsia"/>
          <w:bCs/>
          <w:sz w:val="24"/>
          <w:szCs w:val="24"/>
        </w:rPr>
        <w:t>施工期间井队施工人员生活污水经旱厕收集后用作农肥，对地表水的影较小。</w:t>
      </w:r>
    </w:p>
    <w:p w:rsidR="00F5220B" w:rsidRPr="00F5220B" w:rsidRDefault="00F5220B" w:rsidP="004E7855">
      <w:pPr>
        <w:pStyle w:val="00"/>
        <w:ind w:firstLine="480"/>
        <w:rPr>
          <w:bCs/>
          <w:sz w:val="24"/>
          <w:szCs w:val="24"/>
        </w:rPr>
      </w:pPr>
      <w:r w:rsidRPr="00F5220B">
        <w:rPr>
          <w:rFonts w:hint="eastAsia"/>
          <w:bCs/>
          <w:sz w:val="24"/>
          <w:szCs w:val="24"/>
        </w:rPr>
        <w:t>3</w:t>
      </w:r>
      <w:r w:rsidRPr="00F5220B">
        <w:rPr>
          <w:rFonts w:hint="eastAsia"/>
          <w:bCs/>
          <w:sz w:val="24"/>
          <w:szCs w:val="24"/>
        </w:rPr>
        <w:t>、噪声</w:t>
      </w:r>
    </w:p>
    <w:p w:rsidR="00F5220B" w:rsidRPr="00F5220B" w:rsidRDefault="00F5220B" w:rsidP="004E7855">
      <w:pPr>
        <w:pStyle w:val="00"/>
        <w:ind w:firstLine="480"/>
        <w:rPr>
          <w:bCs/>
          <w:sz w:val="24"/>
          <w:szCs w:val="24"/>
        </w:rPr>
      </w:pPr>
      <w:r w:rsidRPr="00F5220B">
        <w:rPr>
          <w:rFonts w:hint="eastAsia"/>
          <w:bCs/>
          <w:sz w:val="24"/>
          <w:szCs w:val="24"/>
        </w:rPr>
        <w:t>项目产生的噪声主要是钻井噪声、压裂噪声和放喷噪声，随着钻井工程的结束，噪声消失。</w:t>
      </w:r>
    </w:p>
    <w:p w:rsidR="00F5220B" w:rsidRPr="00F5220B" w:rsidRDefault="00F5220B" w:rsidP="004E7855">
      <w:pPr>
        <w:pStyle w:val="00"/>
        <w:ind w:firstLine="480"/>
        <w:rPr>
          <w:bCs/>
          <w:sz w:val="24"/>
          <w:szCs w:val="24"/>
        </w:rPr>
      </w:pPr>
      <w:r w:rsidRPr="00F5220B">
        <w:rPr>
          <w:rFonts w:hint="eastAsia"/>
          <w:bCs/>
          <w:sz w:val="24"/>
          <w:szCs w:val="24"/>
        </w:rPr>
        <w:t>4</w:t>
      </w:r>
      <w:r w:rsidRPr="00F5220B">
        <w:rPr>
          <w:rFonts w:hint="eastAsia"/>
          <w:bCs/>
          <w:sz w:val="24"/>
          <w:szCs w:val="24"/>
        </w:rPr>
        <w:t>、固废</w:t>
      </w:r>
    </w:p>
    <w:p w:rsidR="00F5220B" w:rsidRPr="00F5220B" w:rsidRDefault="00F5220B" w:rsidP="004E7855">
      <w:pPr>
        <w:pStyle w:val="00"/>
        <w:ind w:firstLine="480"/>
        <w:rPr>
          <w:bCs/>
          <w:sz w:val="24"/>
          <w:szCs w:val="24"/>
        </w:rPr>
      </w:pPr>
      <w:r w:rsidRPr="00F5220B">
        <w:rPr>
          <w:rFonts w:hint="eastAsia"/>
          <w:bCs/>
          <w:sz w:val="24"/>
          <w:szCs w:val="24"/>
        </w:rPr>
        <w:t>1</w:t>
      </w:r>
      <w:r w:rsidRPr="00F5220B">
        <w:rPr>
          <w:rFonts w:hint="eastAsia"/>
          <w:bCs/>
          <w:sz w:val="24"/>
          <w:szCs w:val="24"/>
        </w:rPr>
        <w:t>）施工期</w:t>
      </w:r>
    </w:p>
    <w:p w:rsidR="00F5220B" w:rsidRPr="00F5220B" w:rsidRDefault="00F5220B" w:rsidP="004E7855">
      <w:pPr>
        <w:pStyle w:val="00"/>
        <w:ind w:firstLine="480"/>
        <w:rPr>
          <w:bCs/>
          <w:sz w:val="24"/>
          <w:szCs w:val="24"/>
        </w:rPr>
      </w:pPr>
      <w:r w:rsidRPr="00F5220B">
        <w:rPr>
          <w:rFonts w:hint="eastAsia"/>
          <w:bCs/>
          <w:sz w:val="24"/>
          <w:szCs w:val="24"/>
        </w:rPr>
        <w:t>钻完井过程产生的固废主要包括钻井岩屑、废泥浆、废油、生活垃圾等。</w:t>
      </w:r>
    </w:p>
    <w:p w:rsidR="00F5220B" w:rsidRPr="00F5220B" w:rsidRDefault="00F5220B" w:rsidP="004E7855">
      <w:pPr>
        <w:pStyle w:val="00"/>
        <w:ind w:firstLine="480"/>
        <w:rPr>
          <w:bCs/>
          <w:sz w:val="24"/>
          <w:szCs w:val="24"/>
        </w:rPr>
      </w:pPr>
      <w:r w:rsidRPr="00F5220B">
        <w:rPr>
          <w:rFonts w:hint="eastAsia"/>
          <w:bCs/>
          <w:sz w:val="24"/>
          <w:szCs w:val="24"/>
        </w:rPr>
        <w:t>①</w:t>
      </w:r>
      <w:r w:rsidRPr="00F5220B">
        <w:rPr>
          <w:rFonts w:hint="eastAsia"/>
          <w:bCs/>
          <w:sz w:val="24"/>
          <w:szCs w:val="24"/>
        </w:rPr>
        <w:t xml:space="preserve"> </w:t>
      </w:r>
      <w:r w:rsidRPr="00F5220B">
        <w:rPr>
          <w:rFonts w:hint="eastAsia"/>
          <w:bCs/>
          <w:sz w:val="24"/>
          <w:szCs w:val="24"/>
        </w:rPr>
        <w:t>钻井岩屑和废泥浆</w:t>
      </w:r>
    </w:p>
    <w:p w:rsidR="00F5220B" w:rsidRPr="00F5220B" w:rsidRDefault="00F5220B" w:rsidP="004E7855">
      <w:pPr>
        <w:pStyle w:val="00"/>
        <w:ind w:firstLine="480"/>
        <w:rPr>
          <w:bCs/>
          <w:sz w:val="24"/>
          <w:szCs w:val="24"/>
        </w:rPr>
      </w:pPr>
      <w:r w:rsidRPr="00F5220B">
        <w:rPr>
          <w:rFonts w:hint="eastAsia"/>
          <w:bCs/>
          <w:sz w:val="24"/>
          <w:szCs w:val="24"/>
        </w:rPr>
        <w:t>钻井过程产生的岩屑于临时堆放于岩屑池，在钻井结束后均已拉运之至达州地区环保手续齐全、环保设施稳定运行固废烧结厂进行烧结后综合利用，现场无遗留。空气钻结束后用于井场低洼区域回填，不外运处置。废弃泥浆与常规钻产生的废岩屑均转运至达州地区环保手续</w:t>
      </w:r>
      <w:r w:rsidRPr="00F5220B">
        <w:rPr>
          <w:rFonts w:hint="eastAsia"/>
          <w:bCs/>
          <w:sz w:val="24"/>
          <w:szCs w:val="24"/>
        </w:rPr>
        <w:t xml:space="preserve"> </w:t>
      </w:r>
      <w:r w:rsidRPr="00F5220B">
        <w:rPr>
          <w:rFonts w:hint="eastAsia"/>
          <w:bCs/>
          <w:sz w:val="24"/>
          <w:szCs w:val="24"/>
        </w:rPr>
        <w:t>齐全、环保设施稳定运行固废烧结厂进行烧结后综合利用，现场无遗留。</w:t>
      </w:r>
    </w:p>
    <w:p w:rsidR="00F5220B" w:rsidRPr="00F5220B" w:rsidRDefault="00F5220B" w:rsidP="004E7855">
      <w:pPr>
        <w:pStyle w:val="00"/>
        <w:ind w:firstLine="480"/>
        <w:rPr>
          <w:bCs/>
          <w:sz w:val="24"/>
          <w:szCs w:val="24"/>
        </w:rPr>
      </w:pPr>
      <w:r w:rsidRPr="00F5220B">
        <w:rPr>
          <w:rFonts w:hint="eastAsia"/>
          <w:bCs/>
          <w:sz w:val="24"/>
          <w:szCs w:val="24"/>
        </w:rPr>
        <w:t>②废油</w:t>
      </w:r>
    </w:p>
    <w:p w:rsidR="00F5220B" w:rsidRPr="00F5220B" w:rsidRDefault="00F5220B" w:rsidP="004E7855">
      <w:pPr>
        <w:pStyle w:val="00"/>
        <w:ind w:firstLine="480"/>
        <w:rPr>
          <w:bCs/>
          <w:sz w:val="24"/>
          <w:szCs w:val="24"/>
        </w:rPr>
      </w:pPr>
      <w:r w:rsidRPr="00F5220B">
        <w:rPr>
          <w:rFonts w:hint="eastAsia"/>
          <w:bCs/>
          <w:sz w:val="24"/>
          <w:szCs w:val="24"/>
        </w:rPr>
        <w:t>钻井过程中废油的主要来源是：机械（泥浆泵、转盘、链条等）润滑废油；清洗、保养产生的废油。本项目严格执行《危险废物收集</w:t>
      </w:r>
      <w:r w:rsidRPr="00F5220B">
        <w:rPr>
          <w:rFonts w:hint="eastAsia"/>
          <w:bCs/>
          <w:sz w:val="24"/>
          <w:szCs w:val="24"/>
        </w:rPr>
        <w:t xml:space="preserve"> </w:t>
      </w:r>
      <w:r w:rsidRPr="00F5220B">
        <w:rPr>
          <w:rFonts w:hint="eastAsia"/>
          <w:bCs/>
          <w:sz w:val="24"/>
          <w:szCs w:val="24"/>
        </w:rPr>
        <w:t>贮存</w:t>
      </w:r>
      <w:r w:rsidRPr="00F5220B">
        <w:rPr>
          <w:rFonts w:hint="eastAsia"/>
          <w:bCs/>
          <w:sz w:val="24"/>
          <w:szCs w:val="24"/>
        </w:rPr>
        <w:t xml:space="preserve"> </w:t>
      </w:r>
      <w:r w:rsidRPr="00F5220B">
        <w:rPr>
          <w:rFonts w:hint="eastAsia"/>
          <w:bCs/>
          <w:sz w:val="24"/>
          <w:szCs w:val="24"/>
        </w:rPr>
        <w:t>运输技术规范》（</w:t>
      </w:r>
      <w:r w:rsidRPr="00F5220B">
        <w:rPr>
          <w:rFonts w:hint="eastAsia"/>
          <w:bCs/>
          <w:sz w:val="24"/>
          <w:szCs w:val="24"/>
        </w:rPr>
        <w:t>HJ2025-2012</w:t>
      </w:r>
      <w:r w:rsidRPr="00F5220B">
        <w:rPr>
          <w:rFonts w:hint="eastAsia"/>
          <w:bCs/>
          <w:sz w:val="24"/>
          <w:szCs w:val="24"/>
        </w:rPr>
        <w:t>）的相关规定，对产生的废油集中收集、贮存、运输和处置，不外排。废油由有资质单位处理。</w:t>
      </w:r>
    </w:p>
    <w:p w:rsidR="00F5220B" w:rsidRPr="00F5220B" w:rsidRDefault="00F5220B" w:rsidP="004E7855">
      <w:pPr>
        <w:pStyle w:val="00"/>
        <w:ind w:firstLine="480"/>
        <w:rPr>
          <w:bCs/>
          <w:sz w:val="24"/>
          <w:szCs w:val="24"/>
        </w:rPr>
      </w:pPr>
      <w:r w:rsidRPr="00F5220B">
        <w:rPr>
          <w:rFonts w:hint="eastAsia"/>
          <w:bCs/>
          <w:sz w:val="24"/>
          <w:szCs w:val="24"/>
        </w:rPr>
        <w:t>③生活垃圾</w:t>
      </w:r>
    </w:p>
    <w:p w:rsidR="00F5220B" w:rsidRDefault="00F5220B" w:rsidP="004E7855">
      <w:pPr>
        <w:pStyle w:val="00"/>
        <w:ind w:firstLine="480"/>
        <w:rPr>
          <w:sz w:val="24"/>
          <w:szCs w:val="22"/>
        </w:rPr>
      </w:pPr>
      <w:r w:rsidRPr="00F5220B">
        <w:rPr>
          <w:rFonts w:hint="eastAsia"/>
          <w:bCs/>
          <w:sz w:val="24"/>
          <w:szCs w:val="24"/>
        </w:rPr>
        <w:t>钻完井期间产生的生活垃圾井场设垃圾桶进行收集，定期交由当地环卫部门</w:t>
      </w:r>
      <w:r w:rsidRPr="00F5220B">
        <w:rPr>
          <w:rFonts w:hint="eastAsia"/>
          <w:bCs/>
          <w:sz w:val="24"/>
          <w:szCs w:val="24"/>
        </w:rPr>
        <w:t xml:space="preserve"> </w:t>
      </w:r>
      <w:r w:rsidRPr="00F5220B">
        <w:rPr>
          <w:rFonts w:hint="eastAsia"/>
          <w:bCs/>
          <w:sz w:val="24"/>
          <w:szCs w:val="24"/>
        </w:rPr>
        <w:t>统一处理，不外排。</w:t>
      </w:r>
      <w:r w:rsidRPr="00F5220B">
        <w:rPr>
          <w:bCs/>
          <w:sz w:val="24"/>
          <w:szCs w:val="24"/>
        </w:rPr>
        <w:cr/>
      </w:r>
      <w:r w:rsidR="004E7855">
        <w:rPr>
          <w:rFonts w:hint="eastAsia"/>
          <w:bCs/>
          <w:sz w:val="24"/>
          <w:szCs w:val="24"/>
        </w:rPr>
        <w:t xml:space="preserve">    </w:t>
      </w:r>
      <w:r w:rsidR="004E7855" w:rsidRPr="004E7855">
        <w:rPr>
          <w:rFonts w:hint="eastAsia"/>
          <w:b/>
          <w:bCs/>
          <w:sz w:val="24"/>
          <w:szCs w:val="22"/>
        </w:rPr>
        <w:t>2</w:t>
      </w:r>
      <w:r w:rsidR="004E7855" w:rsidRPr="004E7855">
        <w:rPr>
          <w:b/>
          <w:bCs/>
          <w:sz w:val="24"/>
          <w:szCs w:val="22"/>
        </w:rPr>
        <w:t>.1</w:t>
      </w:r>
      <w:r w:rsidR="004E7855">
        <w:rPr>
          <w:rFonts w:hint="eastAsia"/>
          <w:b/>
          <w:bCs/>
          <w:sz w:val="24"/>
          <w:szCs w:val="22"/>
        </w:rPr>
        <w:t>.4</w:t>
      </w:r>
      <w:r w:rsidRPr="00F5220B">
        <w:rPr>
          <w:rFonts w:hint="eastAsia"/>
          <w:b/>
          <w:bCs/>
          <w:sz w:val="24"/>
          <w:szCs w:val="22"/>
        </w:rPr>
        <w:t>现有工程存在的主要环境问题及整改措施</w:t>
      </w:r>
    </w:p>
    <w:p w:rsidR="00F5220B" w:rsidRPr="00F5220B" w:rsidRDefault="00F5220B" w:rsidP="004E7855">
      <w:pPr>
        <w:pStyle w:val="00"/>
        <w:ind w:firstLine="480"/>
        <w:rPr>
          <w:bCs/>
          <w:sz w:val="24"/>
          <w:szCs w:val="24"/>
        </w:rPr>
      </w:pPr>
      <w:r w:rsidRPr="00F5220B">
        <w:rPr>
          <w:rFonts w:hint="eastAsia"/>
          <w:bCs/>
          <w:sz w:val="24"/>
          <w:szCs w:val="24"/>
        </w:rPr>
        <w:t>根据现场调查，普光</w:t>
      </w:r>
      <w:r w:rsidRPr="00F5220B">
        <w:rPr>
          <w:rFonts w:hint="eastAsia"/>
          <w:bCs/>
          <w:sz w:val="24"/>
          <w:szCs w:val="24"/>
        </w:rPr>
        <w:t>12</w:t>
      </w:r>
      <w:r w:rsidRPr="00F5220B">
        <w:rPr>
          <w:rFonts w:hint="eastAsia"/>
          <w:bCs/>
          <w:sz w:val="24"/>
          <w:szCs w:val="24"/>
        </w:rPr>
        <w:t>井钻井施工期产生的各类污染物均已得到妥善的处置，现场无遗留，除保留的井场、进场道路、放喷池、废水池外，其余临时占地均已复垦。</w:t>
      </w:r>
    </w:p>
    <w:p w:rsidR="00F5220B" w:rsidRPr="00F5220B" w:rsidRDefault="00F5220B" w:rsidP="004E7855">
      <w:pPr>
        <w:pStyle w:val="00"/>
        <w:ind w:firstLine="480"/>
        <w:rPr>
          <w:bCs/>
          <w:sz w:val="24"/>
          <w:szCs w:val="24"/>
        </w:rPr>
      </w:pPr>
      <w:r w:rsidRPr="00F5220B">
        <w:rPr>
          <w:rFonts w:hint="eastAsia"/>
          <w:bCs/>
          <w:sz w:val="24"/>
          <w:szCs w:val="24"/>
        </w:rPr>
        <w:lastRenderedPageBreak/>
        <w:t>经走访调查及咨询达州市生态环境局</w:t>
      </w:r>
      <w:r w:rsidR="004E7855">
        <w:rPr>
          <w:rFonts w:hint="eastAsia"/>
          <w:bCs/>
          <w:sz w:val="24"/>
          <w:szCs w:val="24"/>
        </w:rPr>
        <w:t>及达州市宣汉生态环境局</w:t>
      </w:r>
      <w:r w:rsidRPr="00F5220B">
        <w:rPr>
          <w:rFonts w:hint="eastAsia"/>
          <w:bCs/>
          <w:sz w:val="24"/>
          <w:szCs w:val="24"/>
        </w:rPr>
        <w:t>，普光</w:t>
      </w:r>
      <w:r w:rsidR="004E7855">
        <w:rPr>
          <w:rFonts w:hint="eastAsia"/>
          <w:bCs/>
          <w:sz w:val="24"/>
          <w:szCs w:val="24"/>
        </w:rPr>
        <w:t>12</w:t>
      </w:r>
      <w:r w:rsidRPr="00F5220B">
        <w:rPr>
          <w:rFonts w:hint="eastAsia"/>
          <w:bCs/>
          <w:sz w:val="24"/>
          <w:szCs w:val="24"/>
        </w:rPr>
        <w:t>井未发生污染事故及投诉事件。</w:t>
      </w:r>
    </w:p>
    <w:p w:rsidR="006D63C0" w:rsidRPr="00D630D1" w:rsidRDefault="006D63C0" w:rsidP="006D63C0">
      <w:pPr>
        <w:pStyle w:val="2"/>
        <w:spacing w:before="120"/>
        <w:rPr>
          <w:rFonts w:cs="Times New Roman"/>
        </w:rPr>
      </w:pPr>
      <w:r w:rsidRPr="00D630D1">
        <w:rPr>
          <w:rFonts w:cs="Times New Roman" w:hint="eastAsia"/>
        </w:rPr>
        <w:t>2</w:t>
      </w:r>
      <w:r w:rsidRPr="00D630D1">
        <w:rPr>
          <w:rFonts w:cs="Times New Roman"/>
        </w:rPr>
        <w:t>.</w:t>
      </w:r>
      <w:r w:rsidRPr="00D630D1">
        <w:rPr>
          <w:rFonts w:cs="Times New Roman" w:hint="eastAsia"/>
        </w:rPr>
        <w:t>2</w:t>
      </w:r>
      <w:r w:rsidRPr="00D630D1">
        <w:rPr>
          <w:rFonts w:cs="Times New Roman"/>
        </w:rPr>
        <w:t xml:space="preserve"> </w:t>
      </w:r>
      <w:r w:rsidR="00265A8C" w:rsidRPr="00D630D1">
        <w:rPr>
          <w:rFonts w:cs="Times New Roman"/>
        </w:rPr>
        <w:t>现有</w:t>
      </w:r>
      <w:r w:rsidRPr="00D630D1">
        <w:rPr>
          <w:rFonts w:cs="Times New Roman" w:hint="eastAsia"/>
        </w:rPr>
        <w:t>环保工程依托可行性</w:t>
      </w:r>
    </w:p>
    <w:p w:rsidR="006F71CC" w:rsidRPr="00D630D1" w:rsidRDefault="006F71CC" w:rsidP="006F71CC">
      <w:pPr>
        <w:pStyle w:val="00"/>
        <w:ind w:firstLine="482"/>
        <w:rPr>
          <w:b/>
          <w:bCs/>
          <w:sz w:val="24"/>
          <w:szCs w:val="22"/>
        </w:rPr>
      </w:pPr>
      <w:r w:rsidRPr="00D630D1">
        <w:rPr>
          <w:b/>
          <w:bCs/>
          <w:sz w:val="24"/>
          <w:szCs w:val="22"/>
        </w:rPr>
        <w:t>（</w:t>
      </w:r>
      <w:r w:rsidRPr="00D630D1">
        <w:rPr>
          <w:b/>
          <w:bCs/>
          <w:sz w:val="24"/>
          <w:szCs w:val="22"/>
        </w:rPr>
        <w:t>1</w:t>
      </w:r>
      <w:r w:rsidRPr="00D630D1">
        <w:rPr>
          <w:b/>
          <w:bCs/>
          <w:sz w:val="24"/>
          <w:szCs w:val="22"/>
        </w:rPr>
        <w:t>）依托工程简介</w:t>
      </w:r>
    </w:p>
    <w:p w:rsidR="004E7855" w:rsidRPr="004E7855" w:rsidRDefault="004E7855" w:rsidP="004E7855">
      <w:pPr>
        <w:pStyle w:val="00"/>
        <w:ind w:firstLine="480"/>
        <w:rPr>
          <w:bCs/>
          <w:sz w:val="24"/>
          <w:szCs w:val="22"/>
        </w:rPr>
      </w:pPr>
      <w:bookmarkStart w:id="104" w:name="OLE_LINK75"/>
      <w:bookmarkStart w:id="105" w:name="OLE_LINK87"/>
      <w:r w:rsidRPr="004E7855">
        <w:rPr>
          <w:rFonts w:hint="eastAsia"/>
          <w:bCs/>
          <w:sz w:val="24"/>
          <w:szCs w:val="22"/>
        </w:rPr>
        <w:t>本项目扩建普光</w:t>
      </w:r>
      <w:r w:rsidRPr="004E7855">
        <w:rPr>
          <w:rFonts w:hint="eastAsia"/>
          <w:bCs/>
          <w:sz w:val="24"/>
          <w:szCs w:val="22"/>
        </w:rPr>
        <w:t xml:space="preserve"> 12</w:t>
      </w:r>
      <w:r w:rsidRPr="004E7855">
        <w:rPr>
          <w:rFonts w:hint="eastAsia"/>
          <w:bCs/>
          <w:sz w:val="24"/>
          <w:szCs w:val="22"/>
        </w:rPr>
        <w:t>井井场，并依托普光</w:t>
      </w:r>
      <w:r w:rsidRPr="004E7855">
        <w:rPr>
          <w:rFonts w:hint="eastAsia"/>
          <w:bCs/>
          <w:sz w:val="24"/>
          <w:szCs w:val="22"/>
        </w:rPr>
        <w:t>12</w:t>
      </w:r>
      <w:r w:rsidRPr="004E7855">
        <w:rPr>
          <w:rFonts w:hint="eastAsia"/>
          <w:bCs/>
          <w:sz w:val="24"/>
          <w:szCs w:val="22"/>
        </w:rPr>
        <w:t>井场已有废水池、放喷池等开展钻井工程</w:t>
      </w:r>
      <w:r>
        <w:rPr>
          <w:rFonts w:hint="eastAsia"/>
          <w:bCs/>
          <w:sz w:val="24"/>
          <w:szCs w:val="22"/>
        </w:rPr>
        <w:t>，同时废水处理依托</w:t>
      </w:r>
      <w:r w:rsidRPr="004E7855">
        <w:rPr>
          <w:bCs/>
          <w:sz w:val="24"/>
          <w:szCs w:val="22"/>
        </w:rPr>
        <w:t>大湾</w:t>
      </w:r>
      <w:r w:rsidRPr="004E7855">
        <w:rPr>
          <w:bCs/>
          <w:sz w:val="24"/>
          <w:szCs w:val="22"/>
        </w:rPr>
        <w:t>403</w:t>
      </w:r>
      <w:r w:rsidRPr="004E7855">
        <w:rPr>
          <w:bCs/>
          <w:sz w:val="24"/>
          <w:szCs w:val="22"/>
        </w:rPr>
        <w:t>污水站及毛开</w:t>
      </w:r>
      <w:r w:rsidRPr="004E7855">
        <w:rPr>
          <w:bCs/>
          <w:sz w:val="24"/>
          <w:szCs w:val="22"/>
        </w:rPr>
        <w:t>1</w:t>
      </w:r>
      <w:r w:rsidRPr="004E7855">
        <w:rPr>
          <w:bCs/>
          <w:sz w:val="24"/>
          <w:szCs w:val="22"/>
        </w:rPr>
        <w:t>井污水回注站</w:t>
      </w:r>
      <w:r w:rsidRPr="004E7855">
        <w:rPr>
          <w:rFonts w:hint="eastAsia"/>
          <w:bCs/>
          <w:sz w:val="24"/>
          <w:szCs w:val="22"/>
        </w:rPr>
        <w:t>。</w:t>
      </w:r>
    </w:p>
    <w:p w:rsidR="004E7855" w:rsidRPr="004E7855" w:rsidRDefault="004E7855" w:rsidP="004E7855">
      <w:pPr>
        <w:pStyle w:val="00"/>
        <w:ind w:firstLine="480"/>
        <w:rPr>
          <w:bCs/>
          <w:sz w:val="24"/>
          <w:szCs w:val="22"/>
        </w:rPr>
      </w:pPr>
      <w:r w:rsidRPr="004E7855">
        <w:rPr>
          <w:rFonts w:hint="eastAsia"/>
          <w:bCs/>
          <w:sz w:val="24"/>
          <w:szCs w:val="22"/>
        </w:rPr>
        <w:t>①废水池</w:t>
      </w:r>
    </w:p>
    <w:p w:rsidR="004E7855" w:rsidRPr="004E7855" w:rsidRDefault="004E7855" w:rsidP="004E7855">
      <w:pPr>
        <w:pStyle w:val="00"/>
        <w:ind w:firstLine="480"/>
        <w:rPr>
          <w:bCs/>
          <w:sz w:val="24"/>
          <w:szCs w:val="22"/>
        </w:rPr>
      </w:pPr>
      <w:r w:rsidRPr="004E7855">
        <w:rPr>
          <w:rFonts w:hint="eastAsia"/>
          <w:bCs/>
          <w:sz w:val="24"/>
          <w:szCs w:val="22"/>
        </w:rPr>
        <w:t>普光</w:t>
      </w:r>
      <w:r w:rsidRPr="004E7855">
        <w:rPr>
          <w:rFonts w:hint="eastAsia"/>
          <w:bCs/>
          <w:sz w:val="24"/>
          <w:szCs w:val="22"/>
        </w:rPr>
        <w:t>12</w:t>
      </w:r>
      <w:r w:rsidRPr="004E7855">
        <w:rPr>
          <w:rFonts w:hint="eastAsia"/>
          <w:bCs/>
          <w:sz w:val="24"/>
          <w:szCs w:val="22"/>
        </w:rPr>
        <w:t>井西侧井场外已建有</w:t>
      </w:r>
      <w:r w:rsidRPr="004E7855">
        <w:rPr>
          <w:rFonts w:hint="eastAsia"/>
          <w:bCs/>
          <w:sz w:val="24"/>
          <w:szCs w:val="22"/>
        </w:rPr>
        <w:t>1</w:t>
      </w:r>
      <w:r w:rsidRPr="004E7855">
        <w:rPr>
          <w:rFonts w:hint="eastAsia"/>
          <w:bCs/>
          <w:sz w:val="24"/>
          <w:szCs w:val="22"/>
        </w:rPr>
        <w:t>座废水池，容积约</w:t>
      </w:r>
      <w:r w:rsidRPr="004E7855">
        <w:rPr>
          <w:rFonts w:hint="eastAsia"/>
          <w:bCs/>
          <w:sz w:val="24"/>
          <w:szCs w:val="22"/>
        </w:rPr>
        <w:t xml:space="preserve"> 1500m</w:t>
      </w:r>
      <w:r w:rsidRPr="004E7855">
        <w:rPr>
          <w:rFonts w:hint="eastAsia"/>
          <w:bCs/>
          <w:sz w:val="24"/>
          <w:szCs w:val="22"/>
          <w:vertAlign w:val="superscript"/>
        </w:rPr>
        <w:t>3</w:t>
      </w:r>
      <w:r w:rsidRPr="004E7855">
        <w:rPr>
          <w:rFonts w:hint="eastAsia"/>
          <w:bCs/>
          <w:sz w:val="24"/>
          <w:szCs w:val="22"/>
        </w:rPr>
        <w:t>（分为两格），钢筋混凝土结构，已做防渗处理，防渗系数≤</w:t>
      </w:r>
      <w:r w:rsidRPr="004E7855">
        <w:rPr>
          <w:rFonts w:hint="eastAsia"/>
          <w:bCs/>
          <w:sz w:val="24"/>
          <w:szCs w:val="22"/>
        </w:rPr>
        <w:t>10</w:t>
      </w:r>
      <w:r w:rsidRPr="004E7855">
        <w:rPr>
          <w:rFonts w:hint="eastAsia"/>
          <w:bCs/>
          <w:sz w:val="24"/>
          <w:szCs w:val="22"/>
          <w:vertAlign w:val="superscript"/>
        </w:rPr>
        <w:t>-7</w:t>
      </w:r>
      <w:r w:rsidRPr="004E7855">
        <w:rPr>
          <w:rFonts w:hint="eastAsia"/>
          <w:bCs/>
          <w:sz w:val="24"/>
          <w:szCs w:val="22"/>
        </w:rPr>
        <w:t>cm/s</w:t>
      </w:r>
      <w:r w:rsidRPr="004E7855">
        <w:rPr>
          <w:rFonts w:hint="eastAsia"/>
          <w:bCs/>
          <w:sz w:val="24"/>
          <w:szCs w:val="22"/>
        </w:rPr>
        <w:t>。现场调查时，池体完好，未发现渗漏情况，废水池上下游包气带监测数据表明土壤未受到污染。本项目将该两格废水池作为清水池与废水池使用，单个约</w:t>
      </w:r>
      <w:r w:rsidRPr="004E7855">
        <w:rPr>
          <w:rFonts w:hint="eastAsia"/>
          <w:bCs/>
          <w:sz w:val="24"/>
          <w:szCs w:val="22"/>
        </w:rPr>
        <w:t xml:space="preserve"> 750m</w:t>
      </w:r>
      <w:r w:rsidRPr="004E7855">
        <w:rPr>
          <w:rFonts w:hint="eastAsia"/>
          <w:bCs/>
          <w:sz w:val="24"/>
          <w:szCs w:val="22"/>
          <w:vertAlign w:val="superscript"/>
        </w:rPr>
        <w:t>3</w:t>
      </w:r>
      <w:r w:rsidRPr="004E7855">
        <w:rPr>
          <w:rFonts w:hint="eastAsia"/>
          <w:bCs/>
          <w:sz w:val="24"/>
          <w:szCs w:val="22"/>
        </w:rPr>
        <w:t>。</w:t>
      </w:r>
    </w:p>
    <w:p w:rsidR="004E7855" w:rsidRPr="004E7855" w:rsidRDefault="004E7855" w:rsidP="004E7855">
      <w:pPr>
        <w:pStyle w:val="00"/>
        <w:ind w:firstLine="480"/>
        <w:rPr>
          <w:bCs/>
          <w:sz w:val="24"/>
          <w:szCs w:val="22"/>
        </w:rPr>
      </w:pPr>
      <w:r w:rsidRPr="004E7855">
        <w:rPr>
          <w:rFonts w:hint="eastAsia"/>
          <w:bCs/>
          <w:sz w:val="24"/>
          <w:szCs w:val="22"/>
        </w:rPr>
        <w:t>②放喷池</w:t>
      </w:r>
    </w:p>
    <w:p w:rsidR="004E7855" w:rsidRPr="004E7855" w:rsidRDefault="004E7855" w:rsidP="004E7855">
      <w:pPr>
        <w:pStyle w:val="00"/>
        <w:ind w:firstLine="480"/>
        <w:rPr>
          <w:bCs/>
          <w:sz w:val="24"/>
          <w:szCs w:val="22"/>
        </w:rPr>
      </w:pPr>
      <w:r w:rsidRPr="004E7855">
        <w:rPr>
          <w:rFonts w:hint="eastAsia"/>
          <w:bCs/>
          <w:sz w:val="24"/>
          <w:szCs w:val="22"/>
        </w:rPr>
        <w:t>普光</w:t>
      </w:r>
      <w:r w:rsidRPr="004E7855">
        <w:rPr>
          <w:rFonts w:hint="eastAsia"/>
          <w:bCs/>
          <w:sz w:val="24"/>
          <w:szCs w:val="22"/>
        </w:rPr>
        <w:t>12</w:t>
      </w:r>
      <w:r w:rsidRPr="004E7855">
        <w:rPr>
          <w:rFonts w:hint="eastAsia"/>
          <w:bCs/>
          <w:sz w:val="24"/>
          <w:szCs w:val="22"/>
        </w:rPr>
        <w:t>井建设有</w:t>
      </w:r>
      <w:r w:rsidRPr="004E7855">
        <w:rPr>
          <w:rFonts w:hint="eastAsia"/>
          <w:bCs/>
          <w:sz w:val="24"/>
          <w:szCs w:val="22"/>
        </w:rPr>
        <w:t>1</w:t>
      </w:r>
      <w:r w:rsidRPr="004E7855">
        <w:rPr>
          <w:rFonts w:hint="eastAsia"/>
          <w:bCs/>
          <w:sz w:val="24"/>
          <w:szCs w:val="22"/>
        </w:rPr>
        <w:t>座放喷池，放喷池位于井场外西南侧，距离井口约</w:t>
      </w:r>
      <w:r w:rsidRPr="004E7855">
        <w:rPr>
          <w:rFonts w:hint="eastAsia"/>
          <w:bCs/>
          <w:sz w:val="24"/>
          <w:szCs w:val="22"/>
        </w:rPr>
        <w:t>180m</w:t>
      </w:r>
      <w:r w:rsidRPr="004E7855">
        <w:rPr>
          <w:rFonts w:hint="eastAsia"/>
          <w:bCs/>
          <w:sz w:val="24"/>
          <w:szCs w:val="22"/>
        </w:rPr>
        <w:t>，放喷池容积均为</w:t>
      </w:r>
      <w:r w:rsidRPr="004E7855">
        <w:rPr>
          <w:rFonts w:hint="eastAsia"/>
          <w:bCs/>
          <w:sz w:val="24"/>
          <w:szCs w:val="22"/>
        </w:rPr>
        <w:t xml:space="preserve"> 300m</w:t>
      </w:r>
      <w:r w:rsidRPr="004E7855">
        <w:rPr>
          <w:rFonts w:hint="eastAsia"/>
          <w:bCs/>
          <w:sz w:val="24"/>
          <w:szCs w:val="22"/>
          <w:vertAlign w:val="superscript"/>
        </w:rPr>
        <w:t>3</w:t>
      </w:r>
      <w:r w:rsidRPr="004E7855">
        <w:rPr>
          <w:rFonts w:hint="eastAsia"/>
          <w:bCs/>
          <w:sz w:val="24"/>
          <w:szCs w:val="22"/>
        </w:rPr>
        <w:t>，现场调查时，池体完好，未发现渗漏情况。本项目依托其作为主放喷池。</w:t>
      </w:r>
    </w:p>
    <w:p w:rsidR="006F71CC" w:rsidRPr="00D630D1" w:rsidRDefault="004E7855" w:rsidP="006F71CC">
      <w:pPr>
        <w:pStyle w:val="00"/>
        <w:ind w:firstLine="480"/>
        <w:rPr>
          <w:sz w:val="24"/>
          <w:szCs w:val="22"/>
        </w:rPr>
      </w:pPr>
      <w:r>
        <w:rPr>
          <w:rFonts w:ascii="宋体" w:hAnsi="宋体" w:hint="eastAsia"/>
          <w:sz w:val="24"/>
          <w:szCs w:val="22"/>
        </w:rPr>
        <w:t>③</w:t>
      </w:r>
      <w:r w:rsidR="00E35006" w:rsidRPr="00D630D1">
        <w:rPr>
          <w:rFonts w:hint="eastAsia"/>
          <w:sz w:val="24"/>
          <w:szCs w:val="22"/>
        </w:rPr>
        <w:t>本项目</w:t>
      </w:r>
      <w:r w:rsidR="00006097" w:rsidRPr="00D630D1">
        <w:rPr>
          <w:rFonts w:hint="eastAsia"/>
          <w:sz w:val="24"/>
          <w:szCs w:val="22"/>
        </w:rPr>
        <w:t>施工期</w:t>
      </w:r>
      <w:r w:rsidR="00E35006" w:rsidRPr="00D630D1">
        <w:rPr>
          <w:rFonts w:hint="eastAsia"/>
          <w:sz w:val="24"/>
          <w:szCs w:val="22"/>
        </w:rPr>
        <w:t>钻井工程废水</w:t>
      </w:r>
      <w:bookmarkEnd w:id="104"/>
      <w:bookmarkEnd w:id="105"/>
      <w:r w:rsidR="006F71CC" w:rsidRPr="00D630D1">
        <w:rPr>
          <w:sz w:val="24"/>
          <w:szCs w:val="22"/>
        </w:rPr>
        <w:t>依托大湾</w:t>
      </w:r>
      <w:r w:rsidR="006F71CC" w:rsidRPr="00D630D1">
        <w:rPr>
          <w:sz w:val="24"/>
          <w:szCs w:val="22"/>
        </w:rPr>
        <w:t>403</w:t>
      </w:r>
      <w:r w:rsidR="006F71CC" w:rsidRPr="00D630D1">
        <w:rPr>
          <w:sz w:val="24"/>
          <w:szCs w:val="22"/>
        </w:rPr>
        <w:t>污水站和毛开</w:t>
      </w:r>
      <w:r w:rsidR="006F71CC" w:rsidRPr="00D630D1">
        <w:rPr>
          <w:sz w:val="24"/>
          <w:szCs w:val="22"/>
        </w:rPr>
        <w:t>1</w:t>
      </w:r>
      <w:r w:rsidR="006F71CC" w:rsidRPr="00D630D1">
        <w:rPr>
          <w:sz w:val="24"/>
          <w:szCs w:val="22"/>
        </w:rPr>
        <w:t>井回注站处理和回注</w:t>
      </w:r>
      <w:r w:rsidR="00006097" w:rsidRPr="00D630D1">
        <w:rPr>
          <w:rFonts w:hint="eastAsia"/>
          <w:sz w:val="24"/>
          <w:szCs w:val="22"/>
        </w:rPr>
        <w:t>；</w:t>
      </w:r>
      <w:r w:rsidR="007200A5" w:rsidRPr="007200A5">
        <w:rPr>
          <w:sz w:val="24"/>
          <w:szCs w:val="22"/>
        </w:rPr>
        <w:t>本项目运营期产生的气田水</w:t>
      </w:r>
      <w:r w:rsidR="007200A5" w:rsidRPr="007200A5">
        <w:rPr>
          <w:rFonts w:hint="eastAsia"/>
          <w:sz w:val="24"/>
          <w:szCs w:val="22"/>
        </w:rPr>
        <w:t>暂存于污水缓冲罐</w:t>
      </w:r>
      <w:r w:rsidR="007200A5" w:rsidRPr="007200A5">
        <w:rPr>
          <w:sz w:val="24"/>
          <w:szCs w:val="22"/>
        </w:rPr>
        <w:t>，然后通过密闭罐车拉运至大湾</w:t>
      </w:r>
      <w:r w:rsidR="007200A5" w:rsidRPr="007200A5">
        <w:rPr>
          <w:sz w:val="24"/>
          <w:szCs w:val="22"/>
        </w:rPr>
        <w:t>403</w:t>
      </w:r>
      <w:r w:rsidR="007200A5" w:rsidRPr="007200A5">
        <w:rPr>
          <w:sz w:val="24"/>
          <w:szCs w:val="22"/>
        </w:rPr>
        <w:t>污水站处理达到《气田水回注方法》（</w:t>
      </w:r>
      <w:r w:rsidR="007200A5" w:rsidRPr="007200A5">
        <w:rPr>
          <w:sz w:val="24"/>
          <w:szCs w:val="22"/>
        </w:rPr>
        <w:t>SY/T 6596</w:t>
      </w:r>
      <w:r w:rsidR="007200A5" w:rsidRPr="007200A5">
        <w:rPr>
          <w:rFonts w:hint="eastAsia"/>
          <w:sz w:val="24"/>
          <w:szCs w:val="22"/>
        </w:rPr>
        <w:t>-</w:t>
      </w:r>
      <w:r w:rsidR="007200A5" w:rsidRPr="007200A5">
        <w:rPr>
          <w:sz w:val="24"/>
          <w:szCs w:val="22"/>
        </w:rPr>
        <w:t>2016</w:t>
      </w:r>
      <w:r w:rsidR="007200A5" w:rsidRPr="007200A5">
        <w:rPr>
          <w:sz w:val="24"/>
          <w:szCs w:val="22"/>
        </w:rPr>
        <w:t>）中注入水基本要求后管输至毛开</w:t>
      </w:r>
      <w:r w:rsidR="007200A5" w:rsidRPr="007200A5">
        <w:rPr>
          <w:sz w:val="24"/>
          <w:szCs w:val="22"/>
        </w:rPr>
        <w:t>1</w:t>
      </w:r>
      <w:r w:rsidR="007200A5" w:rsidRPr="007200A5">
        <w:rPr>
          <w:sz w:val="24"/>
          <w:szCs w:val="22"/>
        </w:rPr>
        <w:t>井回注站回注处理，不外排</w:t>
      </w:r>
      <w:r w:rsidR="006F71CC" w:rsidRPr="00D630D1">
        <w:rPr>
          <w:sz w:val="24"/>
          <w:szCs w:val="22"/>
        </w:rPr>
        <w:t>。</w:t>
      </w:r>
    </w:p>
    <w:p w:rsidR="006F71CC" w:rsidRPr="00D630D1" w:rsidRDefault="006F71CC" w:rsidP="006F71CC">
      <w:pPr>
        <w:pStyle w:val="00"/>
        <w:ind w:firstLine="482"/>
        <w:rPr>
          <w:b/>
          <w:bCs/>
          <w:sz w:val="24"/>
          <w:szCs w:val="22"/>
        </w:rPr>
      </w:pPr>
      <w:r w:rsidRPr="00D630D1">
        <w:rPr>
          <w:b/>
          <w:bCs/>
          <w:sz w:val="24"/>
          <w:szCs w:val="22"/>
        </w:rPr>
        <w:t>（</w:t>
      </w:r>
      <w:r w:rsidRPr="00D630D1">
        <w:rPr>
          <w:b/>
          <w:bCs/>
          <w:sz w:val="24"/>
          <w:szCs w:val="22"/>
        </w:rPr>
        <w:t>2</w:t>
      </w:r>
      <w:r w:rsidRPr="00D630D1">
        <w:rPr>
          <w:b/>
          <w:bCs/>
          <w:sz w:val="24"/>
          <w:szCs w:val="22"/>
        </w:rPr>
        <w:t>）依托工程</w:t>
      </w:r>
      <w:r w:rsidRPr="00D630D1">
        <w:rPr>
          <w:b/>
          <w:bCs/>
          <w:sz w:val="24"/>
          <w:szCs w:val="22"/>
        </w:rPr>
        <w:t>“</w:t>
      </w:r>
      <w:r w:rsidRPr="00D630D1">
        <w:rPr>
          <w:b/>
          <w:bCs/>
          <w:sz w:val="24"/>
          <w:szCs w:val="22"/>
        </w:rPr>
        <w:t>三同时</w:t>
      </w:r>
      <w:r w:rsidRPr="00D630D1">
        <w:rPr>
          <w:b/>
          <w:bCs/>
          <w:sz w:val="24"/>
          <w:szCs w:val="22"/>
        </w:rPr>
        <w:t>”</w:t>
      </w:r>
      <w:r w:rsidRPr="00D630D1">
        <w:rPr>
          <w:b/>
          <w:bCs/>
          <w:sz w:val="24"/>
          <w:szCs w:val="22"/>
        </w:rPr>
        <w:t>情况</w:t>
      </w:r>
    </w:p>
    <w:p w:rsidR="006F71CC" w:rsidRPr="00D630D1" w:rsidRDefault="006F71CC" w:rsidP="006F71CC">
      <w:pPr>
        <w:pStyle w:val="00"/>
        <w:ind w:firstLine="480"/>
        <w:rPr>
          <w:sz w:val="24"/>
          <w:szCs w:val="22"/>
        </w:rPr>
      </w:pPr>
      <w:r w:rsidRPr="00D630D1">
        <w:rPr>
          <w:sz w:val="24"/>
          <w:szCs w:val="22"/>
        </w:rPr>
        <w:t>依托工程</w:t>
      </w:r>
      <w:r w:rsidRPr="00D630D1">
        <w:rPr>
          <w:sz w:val="24"/>
          <w:szCs w:val="22"/>
        </w:rPr>
        <w:t>“</w:t>
      </w:r>
      <w:r w:rsidRPr="00D630D1">
        <w:rPr>
          <w:sz w:val="24"/>
          <w:szCs w:val="22"/>
        </w:rPr>
        <w:t>三同时</w:t>
      </w:r>
      <w:r w:rsidRPr="00D630D1">
        <w:rPr>
          <w:sz w:val="24"/>
          <w:szCs w:val="22"/>
        </w:rPr>
        <w:t>”</w:t>
      </w:r>
      <w:r w:rsidRPr="00D630D1">
        <w:rPr>
          <w:sz w:val="24"/>
          <w:szCs w:val="22"/>
        </w:rPr>
        <w:t>情况详见</w:t>
      </w:r>
      <w:fldSimple w:instr=" REF _Ref496034542 \h  \* MERGEFORMAT ">
        <w:r w:rsidR="00DD022B" w:rsidRPr="00D630D1">
          <w:rPr>
            <w:sz w:val="24"/>
            <w:szCs w:val="22"/>
          </w:rPr>
          <w:t>表</w:t>
        </w:r>
      </w:fldSimple>
      <w:r w:rsidRPr="00D630D1">
        <w:rPr>
          <w:sz w:val="24"/>
          <w:szCs w:val="22"/>
        </w:rPr>
        <w:t>。</w:t>
      </w:r>
    </w:p>
    <w:p w:rsidR="006F71CC" w:rsidRPr="00D630D1" w:rsidRDefault="006F71CC" w:rsidP="00B04B14">
      <w:pPr>
        <w:pStyle w:val="10"/>
        <w:rPr>
          <w:rFonts w:cs="Times New Roman"/>
        </w:rPr>
      </w:pPr>
      <w:bookmarkStart w:id="106" w:name="_Ref496034542"/>
      <w:r w:rsidRPr="00D630D1">
        <w:rPr>
          <w:rFonts w:cs="Times New Roman"/>
        </w:rPr>
        <w:t>表</w:t>
      </w:r>
      <w:bookmarkEnd w:id="106"/>
      <w:r w:rsidR="00831A9D" w:rsidRPr="00D630D1">
        <w:rPr>
          <w:rFonts w:cs="Times New Roman"/>
        </w:rPr>
        <w:t>2</w:t>
      </w:r>
      <w:r w:rsidR="00B04B14" w:rsidRPr="00D630D1">
        <w:rPr>
          <w:rFonts w:cs="Times New Roman"/>
        </w:rPr>
        <w:t>.3-2</w:t>
      </w:r>
      <w:r w:rsidRPr="00D630D1">
        <w:rPr>
          <w:rFonts w:cs="Times New Roman"/>
        </w:rPr>
        <w:t xml:space="preserve">  </w:t>
      </w:r>
      <w:r w:rsidRPr="00D630D1">
        <w:rPr>
          <w:rFonts w:cs="Times New Roman"/>
        </w:rPr>
        <w:t>依托工程</w:t>
      </w:r>
      <w:r w:rsidRPr="00D630D1">
        <w:rPr>
          <w:rFonts w:cs="Times New Roman"/>
        </w:rPr>
        <w:t>“</w:t>
      </w:r>
      <w:r w:rsidRPr="00D630D1">
        <w:rPr>
          <w:rFonts w:cs="Times New Roman"/>
        </w:rPr>
        <w:t>三同时</w:t>
      </w:r>
      <w:r w:rsidRPr="00D630D1">
        <w:rPr>
          <w:rFonts w:cs="Times New Roman"/>
        </w:rPr>
        <w:t>”</w:t>
      </w:r>
      <w:r w:rsidRPr="00D630D1">
        <w:rPr>
          <w:rFonts w:cs="Times New Roman"/>
        </w:rPr>
        <w:t>情况一览表</w:t>
      </w:r>
    </w:p>
    <w:tbl>
      <w:tblPr>
        <w:tblW w:w="8764" w:type="dxa"/>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000"/>
      </w:tblPr>
      <w:tblGrid>
        <w:gridCol w:w="341"/>
        <w:gridCol w:w="1212"/>
        <w:gridCol w:w="3020"/>
        <w:gridCol w:w="1962"/>
        <w:gridCol w:w="2229"/>
      </w:tblGrid>
      <w:tr w:rsidR="006F71CC" w:rsidRPr="00D630D1" w:rsidTr="00831A9D">
        <w:trPr>
          <w:trHeight w:val="344"/>
          <w:tblHeader/>
          <w:jc w:val="center"/>
        </w:trPr>
        <w:tc>
          <w:tcPr>
            <w:tcW w:w="341" w:type="dxa"/>
            <w:vAlign w:val="center"/>
          </w:tcPr>
          <w:p w:rsidR="006F71CC" w:rsidRPr="00D630D1" w:rsidRDefault="006F71CC" w:rsidP="00B04B14">
            <w:pPr>
              <w:pStyle w:val="SSEC0"/>
              <w:rPr>
                <w:rFonts w:ascii="Times New Roman" w:hAnsi="Times New Roman"/>
                <w:b/>
                <w:bCs/>
              </w:rPr>
            </w:pPr>
            <w:r w:rsidRPr="00D630D1">
              <w:rPr>
                <w:rFonts w:ascii="Times New Roman" w:hAnsi="Times New Roman"/>
                <w:b/>
                <w:bCs/>
              </w:rPr>
              <w:t>序号</w:t>
            </w:r>
          </w:p>
        </w:tc>
        <w:tc>
          <w:tcPr>
            <w:tcW w:w="1212" w:type="dxa"/>
            <w:vAlign w:val="center"/>
          </w:tcPr>
          <w:p w:rsidR="006F71CC" w:rsidRPr="00D630D1" w:rsidRDefault="006F71CC" w:rsidP="00B04B14">
            <w:pPr>
              <w:pStyle w:val="SSEC0"/>
              <w:rPr>
                <w:rFonts w:ascii="Times New Roman" w:hAnsi="Times New Roman"/>
                <w:b/>
                <w:bCs/>
              </w:rPr>
            </w:pPr>
            <w:r w:rsidRPr="00D630D1">
              <w:rPr>
                <w:rFonts w:ascii="Times New Roman" w:hAnsi="Times New Roman"/>
                <w:b/>
                <w:bCs/>
              </w:rPr>
              <w:t>项目名称</w:t>
            </w:r>
          </w:p>
        </w:tc>
        <w:tc>
          <w:tcPr>
            <w:tcW w:w="3020" w:type="dxa"/>
            <w:vAlign w:val="center"/>
          </w:tcPr>
          <w:p w:rsidR="006F71CC" w:rsidRPr="00D630D1" w:rsidRDefault="006F71CC" w:rsidP="00B04B14">
            <w:pPr>
              <w:pStyle w:val="SSEC0"/>
              <w:rPr>
                <w:rFonts w:ascii="Times New Roman" w:hAnsi="Times New Roman"/>
                <w:b/>
                <w:bCs/>
              </w:rPr>
            </w:pPr>
            <w:r w:rsidRPr="00D630D1">
              <w:rPr>
                <w:rFonts w:ascii="Times New Roman" w:hAnsi="Times New Roman"/>
                <w:b/>
                <w:bCs/>
              </w:rPr>
              <w:t>工程内容</w:t>
            </w:r>
          </w:p>
        </w:tc>
        <w:tc>
          <w:tcPr>
            <w:tcW w:w="1962" w:type="dxa"/>
            <w:vAlign w:val="center"/>
          </w:tcPr>
          <w:p w:rsidR="006F71CC" w:rsidRPr="00D630D1" w:rsidRDefault="006F71CC" w:rsidP="00B04B14">
            <w:pPr>
              <w:pStyle w:val="SSEC0"/>
              <w:rPr>
                <w:rFonts w:ascii="Times New Roman" w:hAnsi="Times New Roman"/>
                <w:b/>
                <w:bCs/>
              </w:rPr>
            </w:pPr>
            <w:r w:rsidRPr="00D630D1">
              <w:rPr>
                <w:rFonts w:ascii="Times New Roman" w:hAnsi="Times New Roman"/>
                <w:b/>
                <w:bCs/>
              </w:rPr>
              <w:t>环评批复时间、文号及批复部门</w:t>
            </w:r>
          </w:p>
        </w:tc>
        <w:tc>
          <w:tcPr>
            <w:tcW w:w="2229" w:type="dxa"/>
            <w:vAlign w:val="center"/>
          </w:tcPr>
          <w:p w:rsidR="006F71CC" w:rsidRPr="00D630D1" w:rsidRDefault="006F71CC" w:rsidP="00B04B14">
            <w:pPr>
              <w:pStyle w:val="SSEC0"/>
              <w:rPr>
                <w:rFonts w:ascii="Times New Roman" w:hAnsi="Times New Roman"/>
                <w:b/>
                <w:bCs/>
              </w:rPr>
            </w:pPr>
            <w:r w:rsidRPr="00D630D1">
              <w:rPr>
                <w:rFonts w:ascii="Times New Roman" w:hAnsi="Times New Roman"/>
                <w:b/>
                <w:bCs/>
              </w:rPr>
              <w:t>竣工环保验收时间、文号及验收部门</w:t>
            </w:r>
          </w:p>
        </w:tc>
      </w:tr>
      <w:tr w:rsidR="006F71CC" w:rsidRPr="00D630D1" w:rsidTr="00831A9D">
        <w:trPr>
          <w:trHeight w:val="875"/>
          <w:jc w:val="center"/>
        </w:trPr>
        <w:tc>
          <w:tcPr>
            <w:tcW w:w="341" w:type="dxa"/>
            <w:vAlign w:val="center"/>
          </w:tcPr>
          <w:p w:rsidR="006F71CC" w:rsidRPr="00D630D1" w:rsidRDefault="004E7855" w:rsidP="00B04B14">
            <w:pPr>
              <w:pStyle w:val="SSEC0"/>
              <w:rPr>
                <w:rFonts w:ascii="Times New Roman" w:hAnsi="Times New Roman"/>
              </w:rPr>
            </w:pPr>
            <w:r>
              <w:rPr>
                <w:rFonts w:ascii="Times New Roman" w:hAnsi="Times New Roman" w:hint="eastAsia"/>
              </w:rPr>
              <w:t>1</w:t>
            </w:r>
          </w:p>
        </w:tc>
        <w:tc>
          <w:tcPr>
            <w:tcW w:w="1212" w:type="dxa"/>
            <w:vAlign w:val="center"/>
          </w:tcPr>
          <w:p w:rsidR="006F71CC" w:rsidRPr="00D630D1" w:rsidRDefault="006F71CC" w:rsidP="00B04B14">
            <w:pPr>
              <w:pStyle w:val="SSEC0"/>
              <w:rPr>
                <w:rFonts w:ascii="Times New Roman" w:hAnsi="Times New Roman"/>
              </w:rPr>
            </w:pPr>
            <w:r w:rsidRPr="00D630D1">
              <w:rPr>
                <w:rFonts w:ascii="Times New Roman" w:hAnsi="Times New Roman"/>
              </w:rPr>
              <w:t>大湾</w:t>
            </w:r>
            <w:r w:rsidRPr="00D630D1">
              <w:rPr>
                <w:rFonts w:ascii="Times New Roman" w:hAnsi="Times New Roman"/>
              </w:rPr>
              <w:t>403</w:t>
            </w:r>
            <w:r w:rsidRPr="00D630D1">
              <w:rPr>
                <w:rFonts w:ascii="Times New Roman" w:hAnsi="Times New Roman"/>
              </w:rPr>
              <w:t>污水站及回注站工程</w:t>
            </w:r>
          </w:p>
        </w:tc>
        <w:tc>
          <w:tcPr>
            <w:tcW w:w="3020" w:type="dxa"/>
            <w:vAlign w:val="center"/>
          </w:tcPr>
          <w:p w:rsidR="006F71CC" w:rsidRPr="00D630D1" w:rsidRDefault="006F71CC" w:rsidP="00B04B14">
            <w:pPr>
              <w:pStyle w:val="SSEC0"/>
              <w:rPr>
                <w:rFonts w:ascii="Times New Roman" w:hAnsi="Times New Roman"/>
              </w:rPr>
            </w:pPr>
            <w:r w:rsidRPr="00D630D1">
              <w:rPr>
                <w:rFonts w:ascii="Times New Roman" w:hAnsi="Times New Roman"/>
              </w:rPr>
              <w:t>大湾</w:t>
            </w:r>
            <w:r w:rsidRPr="00D630D1">
              <w:rPr>
                <w:rFonts w:ascii="Times New Roman" w:hAnsi="Times New Roman"/>
              </w:rPr>
              <w:t>403</w:t>
            </w:r>
            <w:r w:rsidRPr="00D630D1">
              <w:rPr>
                <w:rFonts w:ascii="Times New Roman" w:hAnsi="Times New Roman"/>
              </w:rPr>
              <w:t>污水站；</w:t>
            </w:r>
          </w:p>
          <w:p w:rsidR="006F71CC" w:rsidRPr="00D630D1" w:rsidRDefault="006F71CC" w:rsidP="00B04B14">
            <w:pPr>
              <w:pStyle w:val="SSEC0"/>
              <w:rPr>
                <w:rFonts w:ascii="Times New Roman" w:hAnsi="Times New Roman"/>
              </w:rPr>
            </w:pPr>
            <w:r w:rsidRPr="00D630D1">
              <w:rPr>
                <w:rFonts w:ascii="Times New Roman" w:hAnsi="Times New Roman"/>
              </w:rPr>
              <w:t>毛开</w:t>
            </w:r>
            <w:r w:rsidRPr="00D630D1">
              <w:rPr>
                <w:rFonts w:ascii="Times New Roman" w:hAnsi="Times New Roman"/>
              </w:rPr>
              <w:t>1</w:t>
            </w:r>
            <w:r w:rsidRPr="00D630D1">
              <w:rPr>
                <w:rFonts w:ascii="Times New Roman" w:hAnsi="Times New Roman"/>
              </w:rPr>
              <w:t>井回注站；</w:t>
            </w:r>
          </w:p>
          <w:p w:rsidR="006F71CC" w:rsidRPr="00D630D1" w:rsidRDefault="006F71CC" w:rsidP="00B04B14">
            <w:pPr>
              <w:pStyle w:val="SSEC0"/>
              <w:rPr>
                <w:rFonts w:ascii="Times New Roman" w:hAnsi="Times New Roman"/>
              </w:rPr>
            </w:pPr>
            <w:r w:rsidRPr="00D630D1">
              <w:rPr>
                <w:rFonts w:ascii="Times New Roman" w:hAnsi="Times New Roman"/>
              </w:rPr>
              <w:t>大湾</w:t>
            </w:r>
            <w:r w:rsidRPr="00D630D1">
              <w:rPr>
                <w:rFonts w:ascii="Times New Roman" w:hAnsi="Times New Roman"/>
              </w:rPr>
              <w:t>403</w:t>
            </w:r>
            <w:r w:rsidRPr="00D630D1">
              <w:rPr>
                <w:rFonts w:ascii="Times New Roman" w:hAnsi="Times New Roman"/>
              </w:rPr>
              <w:t>污水站至毛开</w:t>
            </w:r>
            <w:r w:rsidRPr="00D630D1">
              <w:rPr>
                <w:rFonts w:ascii="Times New Roman" w:hAnsi="Times New Roman"/>
              </w:rPr>
              <w:t>1</w:t>
            </w:r>
            <w:r w:rsidRPr="00D630D1">
              <w:rPr>
                <w:rFonts w:ascii="Times New Roman" w:hAnsi="Times New Roman"/>
              </w:rPr>
              <w:t>井回注站污水回注外输管线。</w:t>
            </w:r>
          </w:p>
        </w:tc>
        <w:tc>
          <w:tcPr>
            <w:tcW w:w="1962" w:type="dxa"/>
            <w:vAlign w:val="center"/>
          </w:tcPr>
          <w:p w:rsidR="006F71CC" w:rsidRPr="00D630D1" w:rsidRDefault="006F71CC" w:rsidP="00B04B14">
            <w:pPr>
              <w:pStyle w:val="SSEC0"/>
              <w:rPr>
                <w:rFonts w:ascii="Times New Roman" w:hAnsi="Times New Roman"/>
              </w:rPr>
            </w:pPr>
            <w:r w:rsidRPr="00D630D1">
              <w:rPr>
                <w:rFonts w:ascii="Times New Roman" w:hAnsi="Times New Roman"/>
              </w:rPr>
              <w:t>2011</w:t>
            </w:r>
            <w:r w:rsidRPr="00D630D1">
              <w:rPr>
                <w:rFonts w:ascii="Times New Roman" w:hAnsi="Times New Roman"/>
              </w:rPr>
              <w:t>年</w:t>
            </w:r>
            <w:r w:rsidRPr="00D630D1">
              <w:rPr>
                <w:rFonts w:ascii="Times New Roman" w:hAnsi="Times New Roman"/>
              </w:rPr>
              <w:t>8</w:t>
            </w:r>
            <w:r w:rsidRPr="00D630D1">
              <w:rPr>
                <w:rFonts w:ascii="Times New Roman" w:hAnsi="Times New Roman"/>
              </w:rPr>
              <w:t>月</w:t>
            </w:r>
            <w:r w:rsidRPr="00D630D1">
              <w:rPr>
                <w:rFonts w:ascii="Times New Roman" w:hAnsi="Times New Roman"/>
              </w:rPr>
              <w:t>9</w:t>
            </w:r>
            <w:r w:rsidRPr="00D630D1">
              <w:rPr>
                <w:rFonts w:ascii="Times New Roman" w:hAnsi="Times New Roman"/>
              </w:rPr>
              <w:t>日，川环审批〔</w:t>
            </w:r>
            <w:r w:rsidRPr="00D630D1">
              <w:rPr>
                <w:rFonts w:ascii="Times New Roman" w:hAnsi="Times New Roman"/>
              </w:rPr>
              <w:t>2011</w:t>
            </w:r>
            <w:r w:rsidRPr="00D630D1">
              <w:rPr>
                <w:rFonts w:ascii="Times New Roman" w:hAnsi="Times New Roman"/>
              </w:rPr>
              <w:t>〕</w:t>
            </w:r>
            <w:r w:rsidRPr="00D630D1">
              <w:rPr>
                <w:rFonts w:ascii="Times New Roman" w:hAnsi="Times New Roman"/>
              </w:rPr>
              <w:t>325</w:t>
            </w:r>
            <w:r w:rsidRPr="00D630D1">
              <w:rPr>
                <w:rFonts w:ascii="Times New Roman" w:hAnsi="Times New Roman"/>
              </w:rPr>
              <w:t>号，四川省环境保护厅</w:t>
            </w:r>
          </w:p>
        </w:tc>
        <w:tc>
          <w:tcPr>
            <w:tcW w:w="2229" w:type="dxa"/>
            <w:vAlign w:val="center"/>
          </w:tcPr>
          <w:p w:rsidR="006F71CC" w:rsidRPr="00D630D1" w:rsidRDefault="006F71CC" w:rsidP="00B04B14">
            <w:pPr>
              <w:pStyle w:val="SSEC0"/>
              <w:rPr>
                <w:rFonts w:ascii="Times New Roman" w:hAnsi="Times New Roman"/>
              </w:rPr>
            </w:pPr>
            <w:r w:rsidRPr="00D630D1">
              <w:rPr>
                <w:rFonts w:ascii="Times New Roman" w:hAnsi="Times New Roman"/>
              </w:rPr>
              <w:t>2013</w:t>
            </w:r>
            <w:r w:rsidRPr="00D630D1">
              <w:rPr>
                <w:rFonts w:ascii="Times New Roman" w:hAnsi="Times New Roman"/>
              </w:rPr>
              <w:t>年</w:t>
            </w:r>
            <w:r w:rsidRPr="00D630D1">
              <w:rPr>
                <w:rFonts w:ascii="Times New Roman" w:hAnsi="Times New Roman"/>
              </w:rPr>
              <w:t>9</w:t>
            </w:r>
            <w:r w:rsidRPr="00D630D1">
              <w:rPr>
                <w:rFonts w:ascii="Times New Roman" w:hAnsi="Times New Roman"/>
              </w:rPr>
              <w:t>月</w:t>
            </w:r>
            <w:r w:rsidRPr="00D630D1">
              <w:rPr>
                <w:rFonts w:ascii="Times New Roman" w:hAnsi="Times New Roman"/>
              </w:rPr>
              <w:t>6</w:t>
            </w:r>
            <w:r w:rsidRPr="00D630D1">
              <w:rPr>
                <w:rFonts w:ascii="Times New Roman" w:hAnsi="Times New Roman"/>
              </w:rPr>
              <w:t>日，川环验〔</w:t>
            </w:r>
            <w:r w:rsidRPr="00D630D1">
              <w:rPr>
                <w:rFonts w:ascii="Times New Roman" w:hAnsi="Times New Roman"/>
              </w:rPr>
              <w:t>2013</w:t>
            </w:r>
            <w:r w:rsidRPr="00D630D1">
              <w:rPr>
                <w:rFonts w:ascii="Times New Roman" w:hAnsi="Times New Roman"/>
              </w:rPr>
              <w:t>〕</w:t>
            </w:r>
            <w:r w:rsidRPr="00D630D1">
              <w:rPr>
                <w:rFonts w:ascii="Times New Roman" w:hAnsi="Times New Roman"/>
              </w:rPr>
              <w:t>194</w:t>
            </w:r>
            <w:r w:rsidRPr="00D630D1">
              <w:rPr>
                <w:rFonts w:ascii="Times New Roman" w:hAnsi="Times New Roman"/>
              </w:rPr>
              <w:t>号，四川省环境保护厅</w:t>
            </w:r>
          </w:p>
        </w:tc>
      </w:tr>
    </w:tbl>
    <w:p w:rsidR="006F71CC" w:rsidRPr="00D630D1" w:rsidRDefault="006F71CC" w:rsidP="00B04B14">
      <w:pPr>
        <w:pStyle w:val="afa"/>
        <w:ind w:firstLine="482"/>
        <w:rPr>
          <w:b/>
          <w:bCs/>
        </w:rPr>
      </w:pPr>
      <w:r w:rsidRPr="00D630D1">
        <w:rPr>
          <w:b/>
          <w:bCs/>
        </w:rPr>
        <w:t>（</w:t>
      </w:r>
      <w:r w:rsidRPr="00D630D1">
        <w:rPr>
          <w:b/>
          <w:bCs/>
        </w:rPr>
        <w:t>3</w:t>
      </w:r>
      <w:r w:rsidRPr="00D630D1">
        <w:rPr>
          <w:b/>
          <w:bCs/>
        </w:rPr>
        <w:t>）大湾</w:t>
      </w:r>
      <w:r w:rsidRPr="00D630D1">
        <w:rPr>
          <w:b/>
          <w:bCs/>
        </w:rPr>
        <w:t>403</w:t>
      </w:r>
      <w:r w:rsidRPr="00D630D1">
        <w:rPr>
          <w:b/>
          <w:bCs/>
        </w:rPr>
        <w:t>污水站</w:t>
      </w:r>
    </w:p>
    <w:p w:rsidR="006F71CC" w:rsidRPr="00D630D1" w:rsidRDefault="00E35006" w:rsidP="00B04B14">
      <w:pPr>
        <w:pStyle w:val="afa"/>
        <w:ind w:firstLine="480"/>
      </w:pPr>
      <w:r w:rsidRPr="00D630D1">
        <w:rPr>
          <w:rFonts w:hint="eastAsia"/>
          <w:szCs w:val="22"/>
        </w:rPr>
        <w:t>本项目钻井工程废水</w:t>
      </w:r>
      <w:r w:rsidR="006F71CC" w:rsidRPr="00D630D1">
        <w:t>的处理依托大湾</w:t>
      </w:r>
      <w:r w:rsidR="006F71CC" w:rsidRPr="00D630D1">
        <w:t>403</w:t>
      </w:r>
      <w:r w:rsidR="006F71CC" w:rsidRPr="00D630D1">
        <w:t>污水站，</w:t>
      </w:r>
      <w:r w:rsidRPr="00D630D1">
        <w:rPr>
          <w:rFonts w:hint="eastAsia"/>
          <w:szCs w:val="22"/>
        </w:rPr>
        <w:t>本项目钻井工程废水</w:t>
      </w:r>
      <w:r w:rsidR="006F71CC" w:rsidRPr="00D630D1">
        <w:t>回注依托毛开</w:t>
      </w:r>
      <w:r w:rsidR="006F71CC" w:rsidRPr="00D630D1">
        <w:t>1</w:t>
      </w:r>
      <w:r w:rsidR="006F71CC" w:rsidRPr="00D630D1">
        <w:t>井回注站。大湾</w:t>
      </w:r>
      <w:r w:rsidR="006F71CC" w:rsidRPr="00D630D1">
        <w:t>403</w:t>
      </w:r>
      <w:r w:rsidR="006F71CC" w:rsidRPr="00D630D1">
        <w:t>污水站及毛开</w:t>
      </w:r>
      <w:r w:rsidR="006F71CC" w:rsidRPr="00D630D1">
        <w:t>1</w:t>
      </w:r>
      <w:r w:rsidR="006F71CC" w:rsidRPr="00D630D1">
        <w:t>井回注站已于</w:t>
      </w:r>
      <w:r w:rsidR="006F71CC" w:rsidRPr="00D630D1">
        <w:t>2011</w:t>
      </w:r>
      <w:r w:rsidR="006F71CC" w:rsidRPr="00D630D1">
        <w:t>年</w:t>
      </w:r>
      <w:r w:rsidR="006F71CC" w:rsidRPr="00D630D1">
        <w:t>8</w:t>
      </w:r>
      <w:r w:rsidR="006F71CC" w:rsidRPr="00D630D1">
        <w:t>月取得了四川省环境保护厅《关于大湾</w:t>
      </w:r>
      <w:r w:rsidR="006F71CC" w:rsidRPr="00D630D1">
        <w:t>403</w:t>
      </w:r>
      <w:r w:rsidR="006F71CC" w:rsidRPr="00D630D1">
        <w:t>污水站及回注站工程建设项目环境影响报告</w:t>
      </w:r>
      <w:r w:rsidR="006F71CC" w:rsidRPr="00D630D1">
        <w:lastRenderedPageBreak/>
        <w:t>表的批复》（川环审批〔</w:t>
      </w:r>
      <w:r w:rsidR="006F71CC" w:rsidRPr="00D630D1">
        <w:t>2011</w:t>
      </w:r>
      <w:r w:rsidR="006F71CC" w:rsidRPr="00D630D1">
        <w:t>〕</w:t>
      </w:r>
      <w:r w:rsidR="006F71CC" w:rsidRPr="00D630D1">
        <w:t>325</w:t>
      </w:r>
      <w:r w:rsidR="006F71CC" w:rsidRPr="00D630D1">
        <w:t>号），并于</w:t>
      </w:r>
      <w:r w:rsidR="006F71CC" w:rsidRPr="00D630D1">
        <w:t>2013</w:t>
      </w:r>
      <w:r w:rsidR="006F71CC" w:rsidRPr="00D630D1">
        <w:t>年通过了四川省环境保护厅的验收，批复文号为川环验〔</w:t>
      </w:r>
      <w:r w:rsidR="006F71CC" w:rsidRPr="00D630D1">
        <w:t>2013</w:t>
      </w:r>
      <w:r w:rsidR="006F71CC" w:rsidRPr="00D630D1">
        <w:t>〕</w:t>
      </w:r>
      <w:r w:rsidR="006F71CC" w:rsidRPr="00D630D1">
        <w:t>194</w:t>
      </w:r>
      <w:r w:rsidR="006F71CC" w:rsidRPr="00D630D1">
        <w:t>号文。</w:t>
      </w:r>
    </w:p>
    <w:p w:rsidR="006F71CC" w:rsidRPr="00D630D1" w:rsidRDefault="006F71CC" w:rsidP="00B04B14">
      <w:pPr>
        <w:pStyle w:val="afa"/>
        <w:ind w:firstLine="480"/>
      </w:pPr>
      <w:r w:rsidRPr="00D630D1">
        <w:t>大湾</w:t>
      </w:r>
      <w:r w:rsidRPr="00D630D1">
        <w:t>403</w:t>
      </w:r>
      <w:r w:rsidRPr="00D630D1">
        <w:t>污水站位于炉旺村东北，处理能力</w:t>
      </w:r>
      <w:r w:rsidRPr="00D630D1">
        <w:t>120m</w:t>
      </w:r>
      <w:r w:rsidRPr="00D630D1">
        <w:rPr>
          <w:vertAlign w:val="superscript"/>
        </w:rPr>
        <w:t>3</w:t>
      </w:r>
      <w:r w:rsidRPr="00D630D1">
        <w:t>/d</w:t>
      </w:r>
      <w:r w:rsidR="006B3974" w:rsidRPr="00D630D1">
        <w:rPr>
          <w:rFonts w:hint="eastAsia"/>
        </w:rPr>
        <w:t>，</w:t>
      </w:r>
      <w:r w:rsidR="006B3974" w:rsidRPr="00D630D1">
        <w:t>目前</w:t>
      </w:r>
      <w:r w:rsidR="006B3974" w:rsidRPr="00D630D1">
        <w:rPr>
          <w:rFonts w:hint="eastAsia"/>
        </w:rPr>
        <w:t>实际处理量</w:t>
      </w:r>
      <w:r w:rsidR="006B3974" w:rsidRPr="00D630D1">
        <w:t>为</w:t>
      </w:r>
      <w:r w:rsidR="006B3974" w:rsidRPr="00D630D1">
        <w:t>70</w:t>
      </w:r>
      <w:r w:rsidR="006B3974" w:rsidRPr="00D630D1">
        <w:rPr>
          <w:rFonts w:hint="eastAsia"/>
        </w:rPr>
        <w:t>~</w:t>
      </w:r>
      <w:r w:rsidR="006B3974" w:rsidRPr="00D630D1">
        <w:t>90m</w:t>
      </w:r>
      <w:r w:rsidR="006B3974" w:rsidRPr="00D630D1">
        <w:rPr>
          <w:vertAlign w:val="superscript"/>
        </w:rPr>
        <w:t>3</w:t>
      </w:r>
      <w:r w:rsidR="006B3974" w:rsidRPr="00D630D1">
        <w:t>/d</w:t>
      </w:r>
      <w:r w:rsidR="006B3974" w:rsidRPr="00D630D1">
        <w:t>，</w:t>
      </w:r>
      <w:r w:rsidR="006B3974" w:rsidRPr="00D630D1">
        <w:rPr>
          <w:rFonts w:hint="eastAsia"/>
        </w:rPr>
        <w:t>富余</w:t>
      </w:r>
      <w:r w:rsidR="006B3974" w:rsidRPr="00D630D1">
        <w:t>30</w:t>
      </w:r>
      <w:r w:rsidR="006B3974" w:rsidRPr="00D630D1">
        <w:t>～</w:t>
      </w:r>
      <w:r w:rsidR="006B3974" w:rsidRPr="00D630D1">
        <w:t>50m</w:t>
      </w:r>
      <w:r w:rsidR="006B3974" w:rsidRPr="00D630D1">
        <w:rPr>
          <w:vertAlign w:val="superscript"/>
        </w:rPr>
        <w:t>3</w:t>
      </w:r>
      <w:r w:rsidR="006B3974" w:rsidRPr="00D630D1">
        <w:t>/d</w:t>
      </w:r>
      <w:r w:rsidRPr="00D630D1">
        <w:t>。污水处理系统除硫工艺采用二氧化氯氧化工艺，主流程为：来水</w:t>
      </w:r>
      <w:r w:rsidRPr="00D630D1">
        <w:t>→</w:t>
      </w:r>
      <w:r w:rsidRPr="00D630D1">
        <w:t>压力两相污水接收及氧化罐</w:t>
      </w:r>
      <w:r w:rsidRPr="00D630D1">
        <w:t>→</w:t>
      </w:r>
      <w:r w:rsidRPr="00D630D1">
        <w:t>污水池</w:t>
      </w:r>
      <w:r w:rsidRPr="00D630D1">
        <w:t>→</w:t>
      </w:r>
      <w:r w:rsidRPr="00D630D1">
        <w:t>污水提升泵</w:t>
      </w:r>
      <w:r w:rsidRPr="00D630D1">
        <w:t>→</w:t>
      </w:r>
      <w:r w:rsidRPr="00D630D1">
        <w:t>双滤料过滤器</w:t>
      </w:r>
      <w:r w:rsidRPr="00D630D1">
        <w:t>→</w:t>
      </w:r>
      <w:r w:rsidRPr="00D630D1">
        <w:t>精细过滤器</w:t>
      </w:r>
      <w:r w:rsidRPr="00D630D1">
        <w:t>→</w:t>
      </w:r>
      <w:r w:rsidRPr="00D630D1">
        <w:t>缓冲罐</w:t>
      </w:r>
      <w:r w:rsidRPr="00D630D1">
        <w:t>→</w:t>
      </w:r>
      <w:r w:rsidRPr="00D630D1">
        <w:t>外输泵</w:t>
      </w:r>
      <w:r w:rsidRPr="00D630D1">
        <w:t>→</w:t>
      </w:r>
      <w:r w:rsidRPr="00D630D1">
        <w:t>外输管线。</w:t>
      </w:r>
    </w:p>
    <w:p w:rsidR="006F71CC" w:rsidRPr="00D630D1" w:rsidRDefault="006F71CC" w:rsidP="00B04B14">
      <w:pPr>
        <w:pStyle w:val="afa"/>
        <w:ind w:firstLine="482"/>
        <w:rPr>
          <w:b/>
          <w:bCs/>
        </w:rPr>
      </w:pPr>
      <w:r w:rsidRPr="00D630D1">
        <w:rPr>
          <w:b/>
          <w:bCs/>
        </w:rPr>
        <w:t>（</w:t>
      </w:r>
      <w:r w:rsidRPr="00D630D1">
        <w:rPr>
          <w:b/>
          <w:bCs/>
        </w:rPr>
        <w:t>4</w:t>
      </w:r>
      <w:r w:rsidRPr="00D630D1">
        <w:rPr>
          <w:b/>
          <w:bCs/>
        </w:rPr>
        <w:t>）毛开</w:t>
      </w:r>
      <w:r w:rsidRPr="00D630D1">
        <w:rPr>
          <w:b/>
          <w:bCs/>
        </w:rPr>
        <w:t>1</w:t>
      </w:r>
      <w:r w:rsidRPr="00D630D1">
        <w:rPr>
          <w:b/>
          <w:bCs/>
        </w:rPr>
        <w:t>井污水回注站</w:t>
      </w:r>
    </w:p>
    <w:p w:rsidR="006F71CC" w:rsidRPr="00D630D1" w:rsidRDefault="006F71CC" w:rsidP="00B04B14">
      <w:pPr>
        <w:pStyle w:val="afa"/>
        <w:ind w:firstLine="480"/>
      </w:pPr>
      <w:bookmarkStart w:id="107" w:name="OLE_LINK47"/>
      <w:bookmarkStart w:id="108" w:name="OLE_LINK48"/>
      <w:r w:rsidRPr="00D630D1">
        <w:t>毛开</w:t>
      </w:r>
      <w:r w:rsidRPr="00D630D1">
        <w:t>1</w:t>
      </w:r>
      <w:r w:rsidRPr="00D630D1">
        <w:t>井回注站位于达州市宣汉县毛坝镇雁口村</w:t>
      </w:r>
      <w:r w:rsidRPr="00D630D1">
        <w:t>6</w:t>
      </w:r>
      <w:r w:rsidRPr="00D630D1">
        <w:t>组旁，该井站回注层位为嘉陵江组（井段</w:t>
      </w:r>
      <w:r w:rsidRPr="00D630D1">
        <w:t>3680m</w:t>
      </w:r>
      <w:r w:rsidRPr="00D630D1">
        <w:t>～</w:t>
      </w:r>
      <w:r w:rsidRPr="00D630D1">
        <w:t>3790m</w:t>
      </w:r>
      <w:r w:rsidRPr="00D630D1">
        <w:t>）、雷口坡组（井段</w:t>
      </w:r>
      <w:r w:rsidRPr="00D630D1">
        <w:t>2235m</w:t>
      </w:r>
      <w:r w:rsidRPr="00D630D1">
        <w:t>～</w:t>
      </w:r>
      <w:r w:rsidRPr="00D630D1">
        <w:t>2350m</w:t>
      </w:r>
      <w:r w:rsidRPr="00D630D1">
        <w:t>），回注水量储集空间为</w:t>
      </w:r>
      <w:r w:rsidRPr="00D630D1">
        <w:t>226.77×10</w:t>
      </w:r>
      <w:r w:rsidRPr="00D630D1">
        <w:rPr>
          <w:vertAlign w:val="superscript"/>
        </w:rPr>
        <w:t>4</w:t>
      </w:r>
      <w:r w:rsidRPr="00D630D1">
        <w:t>m</w:t>
      </w:r>
      <w:r w:rsidRPr="00D630D1">
        <w:rPr>
          <w:vertAlign w:val="superscript"/>
        </w:rPr>
        <w:t>3</w:t>
      </w:r>
      <w:r w:rsidRPr="00D630D1">
        <w:t>，井口高压管线设计压力为</w:t>
      </w:r>
      <w:r w:rsidRPr="00D630D1">
        <w:t>37MPa</w:t>
      </w:r>
      <w:r w:rsidRPr="00D630D1">
        <w:t>，目前回注压力为</w:t>
      </w:r>
      <w:r w:rsidRPr="00D630D1">
        <w:t>28MPa</w:t>
      </w:r>
      <w:r w:rsidRPr="00D630D1">
        <w:t>，污水回注设计规模为</w:t>
      </w:r>
      <w:r w:rsidRPr="00D630D1">
        <w:t>120m</w:t>
      </w:r>
      <w:r w:rsidRPr="00D630D1">
        <w:rPr>
          <w:vertAlign w:val="superscript"/>
        </w:rPr>
        <w:t>3</w:t>
      </w:r>
      <w:r w:rsidRPr="00D630D1">
        <w:t>/d</w:t>
      </w:r>
      <w:r w:rsidRPr="00D630D1">
        <w:t>，目前回注量为</w:t>
      </w:r>
      <w:r w:rsidR="00E35006" w:rsidRPr="00D630D1">
        <w:t>70</w:t>
      </w:r>
      <w:r w:rsidR="00E35006" w:rsidRPr="00D630D1">
        <w:rPr>
          <w:rFonts w:hint="eastAsia"/>
        </w:rPr>
        <w:t>~</w:t>
      </w:r>
      <w:r w:rsidRPr="00D630D1">
        <w:t>90m</w:t>
      </w:r>
      <w:r w:rsidRPr="00D630D1">
        <w:rPr>
          <w:vertAlign w:val="superscript"/>
        </w:rPr>
        <w:t>3</w:t>
      </w:r>
      <w:r w:rsidRPr="00D630D1">
        <w:t>/d</w:t>
      </w:r>
      <w:r w:rsidRPr="00D630D1">
        <w:t>，已回注总量为</w:t>
      </w:r>
      <w:r w:rsidR="000F012A">
        <w:rPr>
          <w:rFonts w:hint="eastAsia"/>
        </w:rPr>
        <w:t>2</w:t>
      </w:r>
      <w:r w:rsidRPr="00D630D1">
        <w:t>0×10</w:t>
      </w:r>
      <w:r w:rsidRPr="00D630D1">
        <w:rPr>
          <w:vertAlign w:val="superscript"/>
        </w:rPr>
        <w:t>4</w:t>
      </w:r>
      <w:r w:rsidRPr="00D630D1">
        <w:t>m</w:t>
      </w:r>
      <w:r w:rsidRPr="00D630D1">
        <w:rPr>
          <w:vertAlign w:val="superscript"/>
        </w:rPr>
        <w:t>3</w:t>
      </w:r>
      <w:r w:rsidRPr="00D630D1">
        <w:t>，</w:t>
      </w:r>
      <w:bookmarkEnd w:id="107"/>
      <w:bookmarkEnd w:id="108"/>
      <w:r w:rsidRPr="00D630D1">
        <w:t>剩余</w:t>
      </w:r>
      <w:r w:rsidRPr="00D630D1">
        <w:t>2</w:t>
      </w:r>
      <w:r w:rsidR="000F012A">
        <w:rPr>
          <w:rFonts w:hint="eastAsia"/>
        </w:rPr>
        <w:t>0</w:t>
      </w:r>
      <w:r w:rsidRPr="00D630D1">
        <w:t>6.77×10</w:t>
      </w:r>
      <w:r w:rsidRPr="00D630D1">
        <w:rPr>
          <w:vertAlign w:val="superscript"/>
        </w:rPr>
        <w:t>4</w:t>
      </w:r>
      <w:r w:rsidRPr="00D630D1">
        <w:t>m</w:t>
      </w:r>
      <w:r w:rsidRPr="00D630D1">
        <w:rPr>
          <w:vertAlign w:val="superscript"/>
        </w:rPr>
        <w:t>3</w:t>
      </w:r>
      <w:r w:rsidRPr="00D630D1">
        <w:t>。</w:t>
      </w:r>
    </w:p>
    <w:p w:rsidR="006F71CC" w:rsidRPr="00D630D1" w:rsidRDefault="006F71CC" w:rsidP="00B04B14">
      <w:pPr>
        <w:pStyle w:val="afa"/>
        <w:ind w:firstLine="480"/>
      </w:pPr>
      <w:r w:rsidRPr="00D630D1">
        <w:t>本项目</w:t>
      </w:r>
      <w:r w:rsidR="00443182" w:rsidRPr="00D630D1">
        <w:t>污水站及回注站</w:t>
      </w:r>
      <w:r w:rsidRPr="00D630D1">
        <w:t>依托工程可行性见</w:t>
      </w:r>
      <w:r w:rsidR="006D63C0" w:rsidRPr="00D630D1">
        <w:t>表</w:t>
      </w:r>
      <w:r w:rsidR="006D63C0" w:rsidRPr="00D630D1">
        <w:t>2.3-3</w:t>
      </w:r>
      <w:r w:rsidRPr="00D630D1">
        <w:t>。</w:t>
      </w:r>
    </w:p>
    <w:p w:rsidR="006F71CC" w:rsidRPr="00D630D1" w:rsidRDefault="006F71CC" w:rsidP="00B04B14">
      <w:pPr>
        <w:pStyle w:val="10"/>
        <w:rPr>
          <w:rFonts w:cs="Times New Roman"/>
        </w:rPr>
      </w:pPr>
      <w:r w:rsidRPr="00D630D1">
        <w:rPr>
          <w:rFonts w:cs="Times New Roman"/>
        </w:rPr>
        <w:t>表</w:t>
      </w:r>
      <w:r w:rsidR="00831A9D" w:rsidRPr="00D630D1">
        <w:rPr>
          <w:rFonts w:cs="Times New Roman"/>
        </w:rPr>
        <w:t>2</w:t>
      </w:r>
      <w:r w:rsidR="00B04B14" w:rsidRPr="00D630D1">
        <w:rPr>
          <w:rFonts w:cs="Times New Roman"/>
        </w:rPr>
        <w:t>.3-3</w:t>
      </w:r>
      <w:r w:rsidRPr="00D630D1">
        <w:rPr>
          <w:rFonts w:cs="Times New Roman"/>
        </w:rPr>
        <w:t xml:space="preserve">  </w:t>
      </w:r>
      <w:r w:rsidRPr="00D630D1">
        <w:rPr>
          <w:rFonts w:cs="Times New Roman"/>
        </w:rPr>
        <w:t>本项目污水站及回注站依托可行性</w:t>
      </w:r>
    </w:p>
    <w:tbl>
      <w:tblPr>
        <w:tblW w:w="8642"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872"/>
        <w:gridCol w:w="1108"/>
        <w:gridCol w:w="2410"/>
        <w:gridCol w:w="1021"/>
        <w:gridCol w:w="992"/>
        <w:gridCol w:w="1389"/>
        <w:gridCol w:w="850"/>
      </w:tblGrid>
      <w:tr w:rsidR="006F71CC" w:rsidRPr="00D630D1" w:rsidTr="004E7855">
        <w:trPr>
          <w:trHeight w:val="461"/>
          <w:tblHeader/>
          <w:jc w:val="center"/>
        </w:trPr>
        <w:tc>
          <w:tcPr>
            <w:tcW w:w="872" w:type="dxa"/>
            <w:vAlign w:val="center"/>
          </w:tcPr>
          <w:p w:rsidR="006F71CC" w:rsidRPr="00D630D1" w:rsidRDefault="006F71CC" w:rsidP="00B04B14">
            <w:pPr>
              <w:pStyle w:val="SSEC201503230"/>
              <w:rPr>
                <w:rFonts w:ascii="Times New Roman" w:hAnsi="Times New Roman"/>
                <w:b/>
                <w:bCs/>
              </w:rPr>
            </w:pPr>
            <w:r w:rsidRPr="00D630D1">
              <w:rPr>
                <w:rFonts w:ascii="Times New Roman" w:hAnsi="Times New Roman"/>
                <w:b/>
                <w:bCs/>
              </w:rPr>
              <w:t>依托工程名称</w:t>
            </w:r>
          </w:p>
        </w:tc>
        <w:tc>
          <w:tcPr>
            <w:tcW w:w="1108" w:type="dxa"/>
            <w:vAlign w:val="center"/>
          </w:tcPr>
          <w:p w:rsidR="006F71CC" w:rsidRPr="00D630D1" w:rsidRDefault="006F71CC" w:rsidP="00B04B14">
            <w:pPr>
              <w:pStyle w:val="SSEC201503230"/>
              <w:rPr>
                <w:rFonts w:ascii="Times New Roman" w:hAnsi="Times New Roman"/>
                <w:b/>
                <w:bCs/>
              </w:rPr>
            </w:pPr>
            <w:r w:rsidRPr="00D630D1">
              <w:rPr>
                <w:rFonts w:ascii="Times New Roman" w:hAnsi="Times New Roman"/>
                <w:b/>
                <w:bCs/>
              </w:rPr>
              <w:t>设计</w:t>
            </w:r>
          </w:p>
          <w:p w:rsidR="006F71CC" w:rsidRPr="00D630D1" w:rsidRDefault="006F71CC" w:rsidP="00B04B14">
            <w:pPr>
              <w:pStyle w:val="SSEC201503230"/>
              <w:rPr>
                <w:rFonts w:ascii="Times New Roman" w:hAnsi="Times New Roman"/>
                <w:b/>
                <w:bCs/>
              </w:rPr>
            </w:pPr>
            <w:r w:rsidRPr="00D630D1">
              <w:rPr>
                <w:rFonts w:ascii="Times New Roman" w:hAnsi="Times New Roman"/>
                <w:b/>
                <w:bCs/>
              </w:rPr>
              <w:t>规模（</w:t>
            </w:r>
            <w:r w:rsidRPr="00D630D1">
              <w:rPr>
                <w:rFonts w:ascii="Times New Roman" w:hAnsi="Times New Roman"/>
                <w:b/>
                <w:bCs/>
              </w:rPr>
              <w:t>m</w:t>
            </w:r>
            <w:r w:rsidRPr="00D630D1">
              <w:rPr>
                <w:rFonts w:ascii="Times New Roman" w:hAnsi="Times New Roman"/>
                <w:b/>
                <w:bCs/>
                <w:vertAlign w:val="superscript"/>
              </w:rPr>
              <w:t>3</w:t>
            </w:r>
            <w:r w:rsidRPr="00D630D1">
              <w:rPr>
                <w:rFonts w:ascii="Times New Roman" w:hAnsi="Times New Roman"/>
                <w:b/>
                <w:bCs/>
              </w:rPr>
              <w:t>/d</w:t>
            </w:r>
            <w:r w:rsidRPr="00D630D1">
              <w:rPr>
                <w:rFonts w:ascii="Times New Roman" w:hAnsi="Times New Roman"/>
                <w:b/>
                <w:bCs/>
              </w:rPr>
              <w:t>）</w:t>
            </w:r>
          </w:p>
        </w:tc>
        <w:tc>
          <w:tcPr>
            <w:tcW w:w="2410" w:type="dxa"/>
            <w:vAlign w:val="center"/>
          </w:tcPr>
          <w:p w:rsidR="006F71CC" w:rsidRPr="00D630D1" w:rsidRDefault="006F71CC" w:rsidP="00B04B14">
            <w:pPr>
              <w:pStyle w:val="SSEC201503230"/>
              <w:rPr>
                <w:rFonts w:ascii="Times New Roman" w:hAnsi="Times New Roman"/>
                <w:b/>
                <w:bCs/>
              </w:rPr>
            </w:pPr>
            <w:r w:rsidRPr="00D630D1">
              <w:rPr>
                <w:rFonts w:ascii="Times New Roman" w:hAnsi="Times New Roman"/>
                <w:b/>
                <w:bCs/>
              </w:rPr>
              <w:t>现处理规模</w:t>
            </w:r>
          </w:p>
          <w:p w:rsidR="006F71CC" w:rsidRPr="00D630D1" w:rsidRDefault="006F71CC" w:rsidP="00B04B14">
            <w:pPr>
              <w:pStyle w:val="SSEC201503230"/>
              <w:rPr>
                <w:rFonts w:ascii="Times New Roman" w:hAnsi="Times New Roman"/>
                <w:b/>
                <w:bCs/>
              </w:rPr>
            </w:pPr>
            <w:r w:rsidRPr="00D630D1">
              <w:rPr>
                <w:rFonts w:ascii="Times New Roman" w:hAnsi="Times New Roman"/>
                <w:b/>
                <w:bCs/>
              </w:rPr>
              <w:t>（</w:t>
            </w:r>
            <w:r w:rsidRPr="00D630D1">
              <w:rPr>
                <w:rFonts w:ascii="Times New Roman" w:hAnsi="Times New Roman"/>
                <w:b/>
                <w:bCs/>
              </w:rPr>
              <w:t>m</w:t>
            </w:r>
            <w:r w:rsidRPr="00D630D1">
              <w:rPr>
                <w:rFonts w:ascii="Times New Roman" w:hAnsi="Times New Roman"/>
                <w:b/>
                <w:bCs/>
                <w:vertAlign w:val="superscript"/>
              </w:rPr>
              <w:t>3</w:t>
            </w:r>
            <w:r w:rsidRPr="00D630D1">
              <w:rPr>
                <w:rFonts w:ascii="Times New Roman" w:hAnsi="Times New Roman"/>
                <w:b/>
                <w:bCs/>
              </w:rPr>
              <w:t>/d</w:t>
            </w:r>
            <w:r w:rsidRPr="00D630D1">
              <w:rPr>
                <w:rFonts w:ascii="Times New Roman" w:hAnsi="Times New Roman"/>
                <w:b/>
                <w:bCs/>
              </w:rPr>
              <w:t>）</w:t>
            </w:r>
          </w:p>
        </w:tc>
        <w:tc>
          <w:tcPr>
            <w:tcW w:w="1021" w:type="dxa"/>
            <w:vAlign w:val="center"/>
          </w:tcPr>
          <w:p w:rsidR="006F71CC" w:rsidRPr="00D630D1" w:rsidRDefault="006F71CC" w:rsidP="00B04B14">
            <w:pPr>
              <w:pStyle w:val="SSEC201503230"/>
              <w:rPr>
                <w:rFonts w:ascii="Times New Roman" w:hAnsi="Times New Roman"/>
                <w:b/>
                <w:bCs/>
              </w:rPr>
            </w:pPr>
            <w:r w:rsidRPr="00D630D1">
              <w:rPr>
                <w:rFonts w:ascii="Times New Roman" w:hAnsi="Times New Roman"/>
                <w:b/>
                <w:bCs/>
              </w:rPr>
              <w:t>在建项目处理量（</w:t>
            </w:r>
            <w:r w:rsidRPr="00D630D1">
              <w:rPr>
                <w:rFonts w:ascii="Times New Roman" w:hAnsi="Times New Roman"/>
                <w:b/>
                <w:bCs/>
              </w:rPr>
              <w:t>m</w:t>
            </w:r>
            <w:r w:rsidRPr="00D630D1">
              <w:rPr>
                <w:rFonts w:ascii="Times New Roman" w:hAnsi="Times New Roman"/>
                <w:b/>
                <w:bCs/>
                <w:vertAlign w:val="superscript"/>
              </w:rPr>
              <w:t>3</w:t>
            </w:r>
            <w:r w:rsidRPr="00D630D1">
              <w:rPr>
                <w:rFonts w:ascii="Times New Roman" w:hAnsi="Times New Roman"/>
                <w:b/>
                <w:bCs/>
              </w:rPr>
              <w:t>/d</w:t>
            </w:r>
            <w:r w:rsidRPr="00D630D1">
              <w:rPr>
                <w:rFonts w:ascii="Times New Roman" w:hAnsi="Times New Roman"/>
                <w:b/>
                <w:bCs/>
              </w:rPr>
              <w:t>）</w:t>
            </w:r>
          </w:p>
        </w:tc>
        <w:tc>
          <w:tcPr>
            <w:tcW w:w="992" w:type="dxa"/>
            <w:vAlign w:val="center"/>
          </w:tcPr>
          <w:p w:rsidR="006F71CC" w:rsidRPr="00D630D1" w:rsidRDefault="006F71CC" w:rsidP="00B04B14">
            <w:pPr>
              <w:pStyle w:val="SSEC201503230"/>
              <w:rPr>
                <w:rFonts w:ascii="Times New Roman" w:hAnsi="Times New Roman"/>
                <w:b/>
                <w:bCs/>
              </w:rPr>
            </w:pPr>
            <w:r w:rsidRPr="00D630D1">
              <w:rPr>
                <w:rFonts w:ascii="Times New Roman" w:hAnsi="Times New Roman"/>
                <w:b/>
                <w:bCs/>
              </w:rPr>
              <w:t>富余</w:t>
            </w:r>
          </w:p>
          <w:p w:rsidR="006F71CC" w:rsidRPr="00D630D1" w:rsidRDefault="006F71CC" w:rsidP="00B04B14">
            <w:pPr>
              <w:pStyle w:val="SSEC201503230"/>
              <w:rPr>
                <w:rFonts w:ascii="Times New Roman" w:hAnsi="Times New Roman"/>
                <w:b/>
                <w:bCs/>
              </w:rPr>
            </w:pPr>
            <w:r w:rsidRPr="00D630D1">
              <w:rPr>
                <w:rFonts w:ascii="Times New Roman" w:hAnsi="Times New Roman"/>
                <w:b/>
                <w:bCs/>
              </w:rPr>
              <w:t>能力（</w:t>
            </w:r>
            <w:r w:rsidRPr="00D630D1">
              <w:rPr>
                <w:rFonts w:ascii="Times New Roman" w:hAnsi="Times New Roman"/>
                <w:b/>
                <w:bCs/>
              </w:rPr>
              <w:t>m</w:t>
            </w:r>
            <w:r w:rsidRPr="00D630D1">
              <w:rPr>
                <w:rFonts w:ascii="Times New Roman" w:hAnsi="Times New Roman"/>
                <w:b/>
                <w:bCs/>
                <w:vertAlign w:val="superscript"/>
              </w:rPr>
              <w:t>3</w:t>
            </w:r>
            <w:r w:rsidRPr="00D630D1">
              <w:rPr>
                <w:rFonts w:ascii="Times New Roman" w:hAnsi="Times New Roman"/>
                <w:b/>
                <w:bCs/>
              </w:rPr>
              <w:t>/d</w:t>
            </w:r>
            <w:r w:rsidRPr="00D630D1">
              <w:rPr>
                <w:rFonts w:ascii="Times New Roman" w:hAnsi="Times New Roman"/>
                <w:b/>
                <w:bCs/>
              </w:rPr>
              <w:t>）</w:t>
            </w:r>
          </w:p>
        </w:tc>
        <w:tc>
          <w:tcPr>
            <w:tcW w:w="1389" w:type="dxa"/>
            <w:vAlign w:val="center"/>
          </w:tcPr>
          <w:p w:rsidR="006F71CC" w:rsidRPr="00D630D1" w:rsidRDefault="006F71CC" w:rsidP="00B04B14">
            <w:pPr>
              <w:pStyle w:val="SSEC201503230"/>
              <w:rPr>
                <w:rFonts w:ascii="Times New Roman" w:hAnsi="Times New Roman"/>
                <w:b/>
                <w:bCs/>
              </w:rPr>
            </w:pPr>
            <w:r w:rsidRPr="00D630D1">
              <w:rPr>
                <w:rFonts w:ascii="Times New Roman" w:hAnsi="Times New Roman"/>
                <w:b/>
                <w:bCs/>
              </w:rPr>
              <w:t>本项目处理量（</w:t>
            </w:r>
            <w:r w:rsidRPr="00D630D1">
              <w:rPr>
                <w:rFonts w:ascii="Times New Roman" w:hAnsi="Times New Roman"/>
                <w:b/>
                <w:bCs/>
              </w:rPr>
              <w:t>m</w:t>
            </w:r>
            <w:r w:rsidRPr="00D630D1">
              <w:rPr>
                <w:rFonts w:ascii="Times New Roman" w:hAnsi="Times New Roman"/>
                <w:b/>
                <w:bCs/>
                <w:vertAlign w:val="superscript"/>
              </w:rPr>
              <w:t>3</w:t>
            </w:r>
            <w:r w:rsidRPr="00D630D1">
              <w:rPr>
                <w:rFonts w:ascii="Times New Roman" w:hAnsi="Times New Roman"/>
                <w:b/>
                <w:bCs/>
              </w:rPr>
              <w:t>）</w:t>
            </w:r>
          </w:p>
        </w:tc>
        <w:tc>
          <w:tcPr>
            <w:tcW w:w="850" w:type="dxa"/>
            <w:vAlign w:val="center"/>
          </w:tcPr>
          <w:p w:rsidR="006F71CC" w:rsidRPr="00D630D1" w:rsidRDefault="006F71CC" w:rsidP="00B04B14">
            <w:pPr>
              <w:pStyle w:val="SSEC201503230"/>
              <w:rPr>
                <w:rFonts w:ascii="Times New Roman" w:hAnsi="Times New Roman"/>
                <w:b/>
                <w:bCs/>
              </w:rPr>
            </w:pPr>
            <w:r w:rsidRPr="00D630D1">
              <w:rPr>
                <w:rFonts w:ascii="Times New Roman" w:hAnsi="Times New Roman"/>
                <w:b/>
                <w:bCs/>
              </w:rPr>
              <w:t>是否可行</w:t>
            </w:r>
          </w:p>
        </w:tc>
      </w:tr>
      <w:tr w:rsidR="006F71CC" w:rsidRPr="00D630D1" w:rsidTr="004E7855">
        <w:trPr>
          <w:trHeight w:val="235"/>
          <w:jc w:val="center"/>
        </w:trPr>
        <w:tc>
          <w:tcPr>
            <w:tcW w:w="872" w:type="dxa"/>
            <w:vMerge w:val="restart"/>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大湾</w:t>
            </w:r>
            <w:r w:rsidRPr="00D630D1">
              <w:rPr>
                <w:rFonts w:ascii="Times New Roman" w:hAnsi="Times New Roman"/>
              </w:rPr>
              <w:t>403</w:t>
            </w:r>
            <w:r w:rsidRPr="00D630D1">
              <w:rPr>
                <w:rFonts w:ascii="Times New Roman" w:hAnsi="Times New Roman"/>
              </w:rPr>
              <w:t>污水站</w:t>
            </w:r>
          </w:p>
        </w:tc>
        <w:tc>
          <w:tcPr>
            <w:tcW w:w="1108" w:type="dxa"/>
            <w:vMerge w:val="restart"/>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120</w:t>
            </w: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M503</w:t>
            </w:r>
            <w:r w:rsidRPr="00D630D1">
              <w:rPr>
                <w:rFonts w:ascii="Times New Roman" w:hAnsi="Times New Roman"/>
              </w:rPr>
              <w:t>集气站：</w:t>
            </w:r>
            <w:r w:rsidRPr="00D630D1">
              <w:rPr>
                <w:rFonts w:ascii="Times New Roman" w:hAnsi="Times New Roman"/>
              </w:rPr>
              <w:t>15</w:t>
            </w:r>
            <w:r w:rsidRPr="00D630D1">
              <w:rPr>
                <w:rFonts w:ascii="Times New Roman" w:hAnsi="Times New Roman"/>
              </w:rPr>
              <w:t>～</w:t>
            </w:r>
            <w:r w:rsidRPr="00D630D1">
              <w:rPr>
                <w:rFonts w:ascii="Times New Roman" w:hAnsi="Times New Roman"/>
              </w:rPr>
              <w:t>20</w:t>
            </w:r>
          </w:p>
        </w:tc>
        <w:tc>
          <w:tcPr>
            <w:tcW w:w="1021" w:type="dxa"/>
            <w:vMerge w:val="restart"/>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0</w:t>
            </w:r>
          </w:p>
        </w:tc>
        <w:tc>
          <w:tcPr>
            <w:tcW w:w="992" w:type="dxa"/>
            <w:vMerge w:val="restart"/>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30</w:t>
            </w:r>
            <w:r w:rsidRPr="00D630D1">
              <w:rPr>
                <w:rFonts w:ascii="Times New Roman" w:hAnsi="Times New Roman"/>
              </w:rPr>
              <w:t>～</w:t>
            </w:r>
            <w:r w:rsidRPr="00D630D1">
              <w:rPr>
                <w:rFonts w:ascii="Times New Roman" w:hAnsi="Times New Roman"/>
              </w:rPr>
              <w:t>50</w:t>
            </w:r>
          </w:p>
        </w:tc>
        <w:tc>
          <w:tcPr>
            <w:tcW w:w="1389" w:type="dxa"/>
            <w:vMerge w:val="restart"/>
            <w:vAlign w:val="center"/>
          </w:tcPr>
          <w:p w:rsidR="006F71CC" w:rsidRPr="000F012A" w:rsidRDefault="00A624BD" w:rsidP="000F012A">
            <w:pPr>
              <w:pStyle w:val="SSEC201503230"/>
              <w:rPr>
                <w:rFonts w:ascii="Times New Roman" w:hAnsi="Times New Roman"/>
                <w:color w:val="000000" w:themeColor="text1"/>
              </w:rPr>
            </w:pPr>
            <w:r w:rsidRPr="000F012A">
              <w:rPr>
                <w:rFonts w:ascii="Times New Roman" w:hAnsi="Times New Roman" w:hint="eastAsia"/>
                <w:color w:val="000000" w:themeColor="text1"/>
              </w:rPr>
              <w:t>施工期：</w:t>
            </w:r>
            <w:r w:rsidR="000F012A" w:rsidRPr="000F012A">
              <w:rPr>
                <w:rFonts w:ascii="Times New Roman" w:hAnsi="Times New Roman" w:hint="eastAsia"/>
                <w:color w:val="000000" w:themeColor="text1"/>
              </w:rPr>
              <w:t>1680</w:t>
            </w:r>
            <w:r w:rsidR="00B04B14" w:rsidRPr="000F012A">
              <w:rPr>
                <w:rFonts w:ascii="Times New Roman" w:hAnsi="Times New Roman"/>
                <w:color w:val="000000" w:themeColor="text1"/>
              </w:rPr>
              <w:t>m</w:t>
            </w:r>
            <w:r w:rsidR="00B04B14" w:rsidRPr="000F012A">
              <w:rPr>
                <w:rFonts w:ascii="Times New Roman" w:hAnsi="Times New Roman"/>
                <w:color w:val="000000" w:themeColor="text1"/>
                <w:vertAlign w:val="superscript"/>
              </w:rPr>
              <w:t>3</w:t>
            </w:r>
            <w:r w:rsidRPr="000F012A">
              <w:rPr>
                <w:rFonts w:ascii="Times New Roman" w:hAnsi="Times New Roman" w:hint="eastAsia"/>
                <w:color w:val="000000" w:themeColor="text1"/>
              </w:rPr>
              <w:t>，</w:t>
            </w:r>
            <w:r w:rsidRPr="000F012A">
              <w:rPr>
                <w:rFonts w:ascii="Times New Roman"/>
                <w:color w:val="000000" w:themeColor="text1"/>
              </w:rPr>
              <w:t>按处理量</w:t>
            </w:r>
            <w:r w:rsidRPr="000F012A">
              <w:rPr>
                <w:rFonts w:ascii="Times New Roman" w:hAnsi="Times New Roman"/>
                <w:color w:val="000000" w:themeColor="text1"/>
              </w:rPr>
              <w:t>10m</w:t>
            </w:r>
            <w:r w:rsidRPr="000F012A">
              <w:rPr>
                <w:rFonts w:ascii="Times New Roman" w:hAnsi="Times New Roman"/>
                <w:color w:val="000000" w:themeColor="text1"/>
                <w:vertAlign w:val="superscript"/>
              </w:rPr>
              <w:t>3</w:t>
            </w:r>
            <w:r w:rsidRPr="000F012A">
              <w:rPr>
                <w:rFonts w:ascii="Times New Roman" w:hAnsi="Times New Roman"/>
                <w:color w:val="000000" w:themeColor="text1"/>
              </w:rPr>
              <w:t>/d</w:t>
            </w:r>
            <w:r w:rsidRPr="000F012A">
              <w:rPr>
                <w:rFonts w:ascii="Times New Roman"/>
                <w:color w:val="000000" w:themeColor="text1"/>
              </w:rPr>
              <w:t>，可</w:t>
            </w:r>
            <w:r w:rsidR="000F012A" w:rsidRPr="000F012A">
              <w:rPr>
                <w:rFonts w:ascii="Times New Roman" w:hAnsi="Times New Roman" w:hint="eastAsia"/>
                <w:color w:val="000000" w:themeColor="text1"/>
              </w:rPr>
              <w:t>168</w:t>
            </w:r>
            <w:r w:rsidRPr="000F012A">
              <w:rPr>
                <w:rFonts w:ascii="Times New Roman" w:hAnsi="Times New Roman"/>
                <w:color w:val="000000" w:themeColor="text1"/>
              </w:rPr>
              <w:t>d</w:t>
            </w:r>
            <w:r w:rsidRPr="000F012A">
              <w:rPr>
                <w:rFonts w:ascii="Times New Roman"/>
                <w:color w:val="000000" w:themeColor="text1"/>
              </w:rPr>
              <w:t>处理完成。</w:t>
            </w:r>
            <w:r w:rsidR="00006097" w:rsidRPr="000F012A">
              <w:rPr>
                <w:rFonts w:ascii="Times New Roman"/>
                <w:color w:val="000000" w:themeColor="text1"/>
              </w:rPr>
              <w:t>项目运营期气田水产生量为</w:t>
            </w:r>
            <w:r w:rsidR="00006097" w:rsidRPr="000F012A">
              <w:rPr>
                <w:rFonts w:ascii="Times New Roman" w:hint="eastAsia"/>
                <w:color w:val="000000" w:themeColor="text1"/>
              </w:rPr>
              <w:t>3</w:t>
            </w:r>
            <w:r w:rsidR="00006097" w:rsidRPr="000F012A">
              <w:rPr>
                <w:rFonts w:ascii="Times New Roman"/>
                <w:color w:val="000000" w:themeColor="text1"/>
              </w:rPr>
              <w:t>m</w:t>
            </w:r>
            <w:r w:rsidR="00006097" w:rsidRPr="000F012A">
              <w:rPr>
                <w:rFonts w:ascii="Times New Roman"/>
                <w:color w:val="000000" w:themeColor="text1"/>
                <w:vertAlign w:val="superscript"/>
              </w:rPr>
              <w:t>3</w:t>
            </w:r>
            <w:r w:rsidR="00006097" w:rsidRPr="000F012A">
              <w:rPr>
                <w:rFonts w:ascii="Times New Roman"/>
                <w:color w:val="000000" w:themeColor="text1"/>
              </w:rPr>
              <w:t>/d</w:t>
            </w:r>
            <w:r w:rsidR="00006097" w:rsidRPr="000F012A">
              <w:rPr>
                <w:rFonts w:ascii="Times New Roman" w:hint="eastAsia"/>
                <w:color w:val="000000" w:themeColor="text1"/>
              </w:rPr>
              <w:t>，</w:t>
            </w:r>
            <w:r w:rsidR="00006097" w:rsidRPr="000F012A">
              <w:rPr>
                <w:rFonts w:ascii="Times New Roman"/>
                <w:color w:val="000000" w:themeColor="text1"/>
              </w:rPr>
              <w:t>可</w:t>
            </w:r>
            <w:r w:rsidR="00006097" w:rsidRPr="000F012A">
              <w:rPr>
                <w:rFonts w:ascii="Times New Roman" w:hint="eastAsia"/>
                <w:color w:val="000000" w:themeColor="text1"/>
              </w:rPr>
              <w:t>1</w:t>
            </w:r>
            <w:r w:rsidR="00006097" w:rsidRPr="000F012A">
              <w:rPr>
                <w:rFonts w:ascii="Times New Roman" w:hAnsi="Times New Roman"/>
                <w:color w:val="000000" w:themeColor="text1"/>
              </w:rPr>
              <w:t>d</w:t>
            </w:r>
            <w:r w:rsidR="00006097" w:rsidRPr="000F012A">
              <w:rPr>
                <w:rFonts w:ascii="Times New Roman"/>
                <w:color w:val="000000" w:themeColor="text1"/>
              </w:rPr>
              <w:t>处理完成。</w:t>
            </w:r>
          </w:p>
        </w:tc>
        <w:tc>
          <w:tcPr>
            <w:tcW w:w="850" w:type="dxa"/>
            <w:vMerge w:val="restart"/>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可行</w:t>
            </w:r>
          </w:p>
        </w:tc>
      </w:tr>
      <w:tr w:rsidR="006F71CC" w:rsidRPr="00D630D1" w:rsidTr="004E7855">
        <w:trPr>
          <w:trHeight w:val="235"/>
          <w:jc w:val="center"/>
        </w:trPr>
        <w:tc>
          <w:tcPr>
            <w:tcW w:w="872" w:type="dxa"/>
            <w:vMerge/>
            <w:vAlign w:val="center"/>
          </w:tcPr>
          <w:p w:rsidR="006F71CC" w:rsidRPr="00D630D1" w:rsidRDefault="006F71CC" w:rsidP="00B04B14">
            <w:pPr>
              <w:pStyle w:val="SSEC201503230"/>
              <w:rPr>
                <w:rFonts w:ascii="Times New Roman" w:hAnsi="Times New Roman"/>
              </w:rPr>
            </w:pPr>
          </w:p>
        </w:tc>
        <w:tc>
          <w:tcPr>
            <w:tcW w:w="1108" w:type="dxa"/>
            <w:vMerge/>
            <w:vAlign w:val="center"/>
          </w:tcPr>
          <w:p w:rsidR="006F71CC" w:rsidRPr="00D630D1" w:rsidRDefault="006F71CC" w:rsidP="00B04B14">
            <w:pPr>
              <w:pStyle w:val="SSEC201503230"/>
              <w:rPr>
                <w:rFonts w:ascii="Times New Roman" w:hAnsi="Times New Roman"/>
              </w:rPr>
            </w:pP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M502</w:t>
            </w:r>
            <w:r w:rsidRPr="00D630D1">
              <w:rPr>
                <w:rFonts w:ascii="Times New Roman" w:hAnsi="Times New Roman"/>
              </w:rPr>
              <w:t>集气站：</w:t>
            </w:r>
            <w:r w:rsidRPr="00D630D1">
              <w:rPr>
                <w:rFonts w:ascii="Times New Roman" w:hAnsi="Times New Roman"/>
              </w:rPr>
              <w:t>5</w:t>
            </w:r>
          </w:p>
        </w:tc>
        <w:tc>
          <w:tcPr>
            <w:tcW w:w="1021" w:type="dxa"/>
            <w:vMerge/>
            <w:vAlign w:val="center"/>
          </w:tcPr>
          <w:p w:rsidR="006F71CC" w:rsidRPr="00D630D1" w:rsidRDefault="006F71CC" w:rsidP="00B04B14">
            <w:pPr>
              <w:pStyle w:val="SSEC201503230"/>
              <w:rPr>
                <w:rFonts w:ascii="Times New Roman" w:hAnsi="Times New Roman"/>
              </w:rPr>
            </w:pPr>
          </w:p>
        </w:tc>
        <w:tc>
          <w:tcPr>
            <w:tcW w:w="992" w:type="dxa"/>
            <w:vMerge/>
            <w:vAlign w:val="center"/>
          </w:tcPr>
          <w:p w:rsidR="006F71CC" w:rsidRPr="00D630D1" w:rsidRDefault="006F71CC" w:rsidP="00B04B14">
            <w:pPr>
              <w:pStyle w:val="SSEC201503230"/>
              <w:rPr>
                <w:rFonts w:ascii="Times New Roman" w:hAnsi="Times New Roman"/>
              </w:rPr>
            </w:pPr>
          </w:p>
        </w:tc>
        <w:tc>
          <w:tcPr>
            <w:tcW w:w="1389" w:type="dxa"/>
            <w:vMerge/>
            <w:vAlign w:val="center"/>
          </w:tcPr>
          <w:p w:rsidR="006F71CC" w:rsidRPr="000F012A" w:rsidRDefault="006F71CC" w:rsidP="00B04B14">
            <w:pPr>
              <w:pStyle w:val="SSEC201503230"/>
              <w:rPr>
                <w:rFonts w:ascii="Times New Roman" w:hAnsi="Times New Roman"/>
                <w:color w:val="000000" w:themeColor="text1"/>
              </w:rPr>
            </w:pPr>
          </w:p>
        </w:tc>
        <w:tc>
          <w:tcPr>
            <w:tcW w:w="850" w:type="dxa"/>
            <w:vMerge/>
            <w:vAlign w:val="center"/>
          </w:tcPr>
          <w:p w:rsidR="006F71CC" w:rsidRPr="00D630D1" w:rsidRDefault="006F71CC" w:rsidP="00B04B14">
            <w:pPr>
              <w:pStyle w:val="SSEC201503230"/>
              <w:rPr>
                <w:rFonts w:ascii="Times New Roman" w:hAnsi="Times New Roman"/>
              </w:rPr>
            </w:pPr>
          </w:p>
        </w:tc>
      </w:tr>
      <w:tr w:rsidR="006F71CC" w:rsidRPr="00D630D1" w:rsidTr="004E7855">
        <w:trPr>
          <w:trHeight w:val="246"/>
          <w:jc w:val="center"/>
        </w:trPr>
        <w:tc>
          <w:tcPr>
            <w:tcW w:w="872" w:type="dxa"/>
            <w:vMerge/>
            <w:vAlign w:val="center"/>
          </w:tcPr>
          <w:p w:rsidR="006F71CC" w:rsidRPr="00D630D1" w:rsidRDefault="006F71CC" w:rsidP="00B04B14">
            <w:pPr>
              <w:pStyle w:val="SSEC201503230"/>
              <w:rPr>
                <w:rFonts w:ascii="Times New Roman" w:hAnsi="Times New Roman"/>
              </w:rPr>
            </w:pPr>
          </w:p>
        </w:tc>
        <w:tc>
          <w:tcPr>
            <w:tcW w:w="1108" w:type="dxa"/>
            <w:vMerge/>
            <w:vAlign w:val="center"/>
          </w:tcPr>
          <w:p w:rsidR="006F71CC" w:rsidRPr="00D630D1" w:rsidRDefault="006F71CC" w:rsidP="00B04B14">
            <w:pPr>
              <w:pStyle w:val="SSEC201503230"/>
              <w:rPr>
                <w:rFonts w:ascii="Times New Roman" w:hAnsi="Times New Roman"/>
              </w:rPr>
            </w:pP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M501</w:t>
            </w:r>
            <w:r w:rsidRPr="00D630D1">
              <w:rPr>
                <w:rFonts w:ascii="Times New Roman" w:hAnsi="Times New Roman"/>
              </w:rPr>
              <w:t>集气站：</w:t>
            </w:r>
            <w:r w:rsidRPr="00D630D1">
              <w:rPr>
                <w:rFonts w:ascii="Times New Roman" w:hAnsi="Times New Roman"/>
              </w:rPr>
              <w:t>5</w:t>
            </w:r>
            <w:r w:rsidRPr="00D630D1">
              <w:rPr>
                <w:rFonts w:ascii="Times New Roman" w:hAnsi="Times New Roman"/>
              </w:rPr>
              <w:t>～</w:t>
            </w:r>
            <w:r w:rsidRPr="00D630D1">
              <w:rPr>
                <w:rFonts w:ascii="Times New Roman" w:hAnsi="Times New Roman"/>
              </w:rPr>
              <w:t>10</w:t>
            </w:r>
          </w:p>
        </w:tc>
        <w:tc>
          <w:tcPr>
            <w:tcW w:w="1021" w:type="dxa"/>
            <w:vMerge/>
            <w:vAlign w:val="center"/>
          </w:tcPr>
          <w:p w:rsidR="006F71CC" w:rsidRPr="00D630D1" w:rsidRDefault="006F71CC" w:rsidP="00B04B14">
            <w:pPr>
              <w:pStyle w:val="SSEC201503230"/>
              <w:rPr>
                <w:rFonts w:ascii="Times New Roman" w:hAnsi="Times New Roman"/>
              </w:rPr>
            </w:pPr>
          </w:p>
        </w:tc>
        <w:tc>
          <w:tcPr>
            <w:tcW w:w="992" w:type="dxa"/>
            <w:vMerge/>
            <w:vAlign w:val="center"/>
          </w:tcPr>
          <w:p w:rsidR="006F71CC" w:rsidRPr="00D630D1" w:rsidRDefault="006F71CC" w:rsidP="00B04B14">
            <w:pPr>
              <w:pStyle w:val="SSEC201503230"/>
              <w:rPr>
                <w:rFonts w:ascii="Times New Roman" w:hAnsi="Times New Roman"/>
              </w:rPr>
            </w:pPr>
          </w:p>
        </w:tc>
        <w:tc>
          <w:tcPr>
            <w:tcW w:w="1389" w:type="dxa"/>
            <w:vMerge/>
            <w:vAlign w:val="center"/>
          </w:tcPr>
          <w:p w:rsidR="006F71CC" w:rsidRPr="000F012A" w:rsidRDefault="006F71CC" w:rsidP="00B04B14">
            <w:pPr>
              <w:pStyle w:val="SSEC201503230"/>
              <w:rPr>
                <w:rFonts w:ascii="Times New Roman" w:hAnsi="Times New Roman"/>
                <w:color w:val="000000" w:themeColor="text1"/>
              </w:rPr>
            </w:pPr>
          </w:p>
        </w:tc>
        <w:tc>
          <w:tcPr>
            <w:tcW w:w="850" w:type="dxa"/>
            <w:vMerge/>
            <w:vAlign w:val="center"/>
          </w:tcPr>
          <w:p w:rsidR="006F71CC" w:rsidRPr="00D630D1" w:rsidRDefault="006F71CC" w:rsidP="00B04B14">
            <w:pPr>
              <w:pStyle w:val="SSEC201503230"/>
              <w:rPr>
                <w:rFonts w:ascii="Times New Roman" w:hAnsi="Times New Roman"/>
              </w:rPr>
            </w:pPr>
          </w:p>
        </w:tc>
      </w:tr>
      <w:tr w:rsidR="006F71CC" w:rsidRPr="00D630D1" w:rsidTr="004E7855">
        <w:trPr>
          <w:trHeight w:val="235"/>
          <w:jc w:val="center"/>
        </w:trPr>
        <w:tc>
          <w:tcPr>
            <w:tcW w:w="872" w:type="dxa"/>
            <w:vMerge/>
            <w:vAlign w:val="center"/>
          </w:tcPr>
          <w:p w:rsidR="006F71CC" w:rsidRPr="00D630D1" w:rsidRDefault="006F71CC" w:rsidP="00B04B14">
            <w:pPr>
              <w:pStyle w:val="SSEC201503230"/>
              <w:rPr>
                <w:rFonts w:ascii="Times New Roman" w:hAnsi="Times New Roman"/>
              </w:rPr>
            </w:pPr>
          </w:p>
        </w:tc>
        <w:tc>
          <w:tcPr>
            <w:tcW w:w="1108" w:type="dxa"/>
            <w:vMerge/>
            <w:vAlign w:val="center"/>
          </w:tcPr>
          <w:p w:rsidR="006F71CC" w:rsidRPr="00D630D1" w:rsidRDefault="006F71CC" w:rsidP="00B04B14">
            <w:pPr>
              <w:pStyle w:val="SSEC201503230"/>
              <w:rPr>
                <w:rFonts w:ascii="Times New Roman" w:hAnsi="Times New Roman"/>
              </w:rPr>
            </w:pP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D405</w:t>
            </w:r>
            <w:r w:rsidRPr="00D630D1">
              <w:rPr>
                <w:rFonts w:ascii="Times New Roman" w:hAnsi="Times New Roman"/>
              </w:rPr>
              <w:t>集气站：</w:t>
            </w:r>
            <w:r w:rsidRPr="00D630D1">
              <w:rPr>
                <w:rFonts w:ascii="Times New Roman" w:hAnsi="Times New Roman"/>
              </w:rPr>
              <w:t>20</w:t>
            </w:r>
            <w:r w:rsidRPr="00D630D1">
              <w:rPr>
                <w:rFonts w:ascii="Times New Roman" w:hAnsi="Times New Roman"/>
              </w:rPr>
              <w:t>～</w:t>
            </w:r>
            <w:r w:rsidRPr="00D630D1">
              <w:rPr>
                <w:rFonts w:ascii="Times New Roman" w:hAnsi="Times New Roman"/>
              </w:rPr>
              <w:t>25</w:t>
            </w:r>
          </w:p>
        </w:tc>
        <w:tc>
          <w:tcPr>
            <w:tcW w:w="1021" w:type="dxa"/>
            <w:vMerge/>
            <w:vAlign w:val="center"/>
          </w:tcPr>
          <w:p w:rsidR="006F71CC" w:rsidRPr="00D630D1" w:rsidRDefault="006F71CC" w:rsidP="00B04B14">
            <w:pPr>
              <w:pStyle w:val="SSEC201503230"/>
              <w:rPr>
                <w:rFonts w:ascii="Times New Roman" w:hAnsi="Times New Roman"/>
              </w:rPr>
            </w:pPr>
          </w:p>
        </w:tc>
        <w:tc>
          <w:tcPr>
            <w:tcW w:w="992" w:type="dxa"/>
            <w:vMerge/>
            <w:vAlign w:val="center"/>
          </w:tcPr>
          <w:p w:rsidR="006F71CC" w:rsidRPr="00D630D1" w:rsidRDefault="006F71CC" w:rsidP="00B04B14">
            <w:pPr>
              <w:pStyle w:val="SSEC201503230"/>
              <w:rPr>
                <w:rFonts w:ascii="Times New Roman" w:hAnsi="Times New Roman"/>
              </w:rPr>
            </w:pPr>
          </w:p>
        </w:tc>
        <w:tc>
          <w:tcPr>
            <w:tcW w:w="1389" w:type="dxa"/>
            <w:vMerge/>
            <w:vAlign w:val="center"/>
          </w:tcPr>
          <w:p w:rsidR="006F71CC" w:rsidRPr="000F012A" w:rsidRDefault="006F71CC" w:rsidP="00B04B14">
            <w:pPr>
              <w:pStyle w:val="SSEC201503230"/>
              <w:rPr>
                <w:rFonts w:ascii="Times New Roman" w:hAnsi="Times New Roman"/>
                <w:color w:val="000000" w:themeColor="text1"/>
              </w:rPr>
            </w:pPr>
          </w:p>
        </w:tc>
        <w:tc>
          <w:tcPr>
            <w:tcW w:w="850" w:type="dxa"/>
            <w:vMerge/>
            <w:vAlign w:val="center"/>
          </w:tcPr>
          <w:p w:rsidR="006F71CC" w:rsidRPr="00D630D1" w:rsidRDefault="006F71CC" w:rsidP="00B04B14">
            <w:pPr>
              <w:pStyle w:val="SSEC201503230"/>
              <w:rPr>
                <w:rFonts w:ascii="Times New Roman" w:hAnsi="Times New Roman"/>
              </w:rPr>
            </w:pPr>
          </w:p>
        </w:tc>
      </w:tr>
      <w:tr w:rsidR="006F71CC" w:rsidRPr="00D630D1" w:rsidTr="004E7855">
        <w:trPr>
          <w:trHeight w:val="246"/>
          <w:jc w:val="center"/>
        </w:trPr>
        <w:tc>
          <w:tcPr>
            <w:tcW w:w="872" w:type="dxa"/>
            <w:vMerge/>
            <w:vAlign w:val="center"/>
          </w:tcPr>
          <w:p w:rsidR="006F71CC" w:rsidRPr="00D630D1" w:rsidRDefault="006F71CC" w:rsidP="00B04B14">
            <w:pPr>
              <w:pStyle w:val="SSEC201503230"/>
              <w:rPr>
                <w:rFonts w:ascii="Times New Roman" w:hAnsi="Times New Roman"/>
              </w:rPr>
            </w:pPr>
          </w:p>
        </w:tc>
        <w:tc>
          <w:tcPr>
            <w:tcW w:w="1108" w:type="dxa"/>
            <w:vMerge/>
            <w:vAlign w:val="center"/>
          </w:tcPr>
          <w:p w:rsidR="006F71CC" w:rsidRPr="00D630D1" w:rsidRDefault="006F71CC" w:rsidP="00B04B14">
            <w:pPr>
              <w:pStyle w:val="SSEC201503230"/>
              <w:rPr>
                <w:rFonts w:ascii="Times New Roman" w:hAnsi="Times New Roman"/>
              </w:rPr>
            </w:pP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D404</w:t>
            </w:r>
            <w:r w:rsidRPr="00D630D1">
              <w:rPr>
                <w:rFonts w:ascii="Times New Roman" w:hAnsi="Times New Roman"/>
              </w:rPr>
              <w:t>集气站：</w:t>
            </w:r>
            <w:r w:rsidRPr="00D630D1">
              <w:rPr>
                <w:rFonts w:ascii="Times New Roman" w:hAnsi="Times New Roman"/>
              </w:rPr>
              <w:t>20</w:t>
            </w:r>
          </w:p>
        </w:tc>
        <w:tc>
          <w:tcPr>
            <w:tcW w:w="1021" w:type="dxa"/>
            <w:vMerge/>
            <w:vAlign w:val="center"/>
          </w:tcPr>
          <w:p w:rsidR="006F71CC" w:rsidRPr="00D630D1" w:rsidRDefault="006F71CC" w:rsidP="00B04B14">
            <w:pPr>
              <w:pStyle w:val="SSEC201503230"/>
              <w:rPr>
                <w:rFonts w:ascii="Times New Roman" w:hAnsi="Times New Roman"/>
              </w:rPr>
            </w:pPr>
          </w:p>
        </w:tc>
        <w:tc>
          <w:tcPr>
            <w:tcW w:w="992" w:type="dxa"/>
            <w:vMerge/>
            <w:vAlign w:val="center"/>
          </w:tcPr>
          <w:p w:rsidR="006F71CC" w:rsidRPr="00D630D1" w:rsidRDefault="006F71CC" w:rsidP="00B04B14">
            <w:pPr>
              <w:pStyle w:val="SSEC201503230"/>
              <w:rPr>
                <w:rFonts w:ascii="Times New Roman" w:hAnsi="Times New Roman"/>
              </w:rPr>
            </w:pPr>
          </w:p>
        </w:tc>
        <w:tc>
          <w:tcPr>
            <w:tcW w:w="1389" w:type="dxa"/>
            <w:vMerge/>
            <w:vAlign w:val="center"/>
          </w:tcPr>
          <w:p w:rsidR="006F71CC" w:rsidRPr="000F012A" w:rsidRDefault="006F71CC" w:rsidP="00B04B14">
            <w:pPr>
              <w:pStyle w:val="SSEC201503230"/>
              <w:rPr>
                <w:rFonts w:ascii="Times New Roman" w:hAnsi="Times New Roman"/>
                <w:color w:val="000000" w:themeColor="text1"/>
              </w:rPr>
            </w:pPr>
          </w:p>
        </w:tc>
        <w:tc>
          <w:tcPr>
            <w:tcW w:w="850" w:type="dxa"/>
            <w:vMerge/>
            <w:vAlign w:val="center"/>
          </w:tcPr>
          <w:p w:rsidR="006F71CC" w:rsidRPr="00D630D1" w:rsidRDefault="006F71CC" w:rsidP="00B04B14">
            <w:pPr>
              <w:pStyle w:val="SSEC201503230"/>
              <w:rPr>
                <w:rFonts w:ascii="Times New Roman" w:hAnsi="Times New Roman"/>
              </w:rPr>
            </w:pPr>
          </w:p>
        </w:tc>
      </w:tr>
      <w:tr w:rsidR="006F71CC" w:rsidRPr="00D630D1" w:rsidTr="004E7855">
        <w:trPr>
          <w:trHeight w:val="235"/>
          <w:jc w:val="center"/>
        </w:trPr>
        <w:tc>
          <w:tcPr>
            <w:tcW w:w="872" w:type="dxa"/>
            <w:vMerge/>
            <w:vAlign w:val="center"/>
          </w:tcPr>
          <w:p w:rsidR="006F71CC" w:rsidRPr="00D630D1" w:rsidRDefault="006F71CC" w:rsidP="00B04B14">
            <w:pPr>
              <w:pStyle w:val="SSEC201503230"/>
              <w:rPr>
                <w:rFonts w:ascii="Times New Roman" w:hAnsi="Times New Roman"/>
              </w:rPr>
            </w:pPr>
          </w:p>
        </w:tc>
        <w:tc>
          <w:tcPr>
            <w:tcW w:w="1108" w:type="dxa"/>
            <w:vMerge/>
            <w:vAlign w:val="center"/>
          </w:tcPr>
          <w:p w:rsidR="006F71CC" w:rsidRPr="00D630D1" w:rsidRDefault="006F71CC" w:rsidP="00B04B14">
            <w:pPr>
              <w:pStyle w:val="SSEC201503230"/>
              <w:rPr>
                <w:rFonts w:ascii="Times New Roman" w:hAnsi="Times New Roman"/>
              </w:rPr>
            </w:pP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D403</w:t>
            </w:r>
            <w:r w:rsidRPr="00D630D1">
              <w:rPr>
                <w:rFonts w:ascii="Times New Roman" w:hAnsi="Times New Roman"/>
              </w:rPr>
              <w:t>集气站：</w:t>
            </w:r>
            <w:r w:rsidRPr="00D630D1">
              <w:rPr>
                <w:rFonts w:ascii="Times New Roman" w:hAnsi="Times New Roman"/>
              </w:rPr>
              <w:t>5</w:t>
            </w:r>
            <w:r w:rsidRPr="00D630D1">
              <w:rPr>
                <w:rFonts w:ascii="Times New Roman" w:hAnsi="Times New Roman"/>
              </w:rPr>
              <w:t>～</w:t>
            </w:r>
            <w:r w:rsidRPr="00D630D1">
              <w:rPr>
                <w:rFonts w:ascii="Times New Roman" w:hAnsi="Times New Roman"/>
              </w:rPr>
              <w:t>10</w:t>
            </w:r>
          </w:p>
        </w:tc>
        <w:tc>
          <w:tcPr>
            <w:tcW w:w="1021" w:type="dxa"/>
            <w:vMerge/>
            <w:vAlign w:val="center"/>
          </w:tcPr>
          <w:p w:rsidR="006F71CC" w:rsidRPr="00D630D1" w:rsidRDefault="006F71CC" w:rsidP="00B04B14">
            <w:pPr>
              <w:pStyle w:val="SSEC201503230"/>
              <w:rPr>
                <w:rFonts w:ascii="Times New Roman" w:hAnsi="Times New Roman"/>
              </w:rPr>
            </w:pPr>
          </w:p>
        </w:tc>
        <w:tc>
          <w:tcPr>
            <w:tcW w:w="992" w:type="dxa"/>
            <w:vMerge/>
            <w:vAlign w:val="center"/>
          </w:tcPr>
          <w:p w:rsidR="006F71CC" w:rsidRPr="00D630D1" w:rsidRDefault="006F71CC" w:rsidP="00B04B14">
            <w:pPr>
              <w:pStyle w:val="SSEC201503230"/>
              <w:rPr>
                <w:rFonts w:ascii="Times New Roman" w:hAnsi="Times New Roman"/>
              </w:rPr>
            </w:pPr>
          </w:p>
        </w:tc>
        <w:tc>
          <w:tcPr>
            <w:tcW w:w="1389" w:type="dxa"/>
            <w:vMerge/>
            <w:vAlign w:val="center"/>
          </w:tcPr>
          <w:p w:rsidR="006F71CC" w:rsidRPr="000F012A" w:rsidRDefault="006F71CC" w:rsidP="00B04B14">
            <w:pPr>
              <w:pStyle w:val="SSEC201503230"/>
              <w:rPr>
                <w:rFonts w:ascii="Times New Roman" w:hAnsi="Times New Roman"/>
                <w:color w:val="000000" w:themeColor="text1"/>
              </w:rPr>
            </w:pPr>
          </w:p>
        </w:tc>
        <w:tc>
          <w:tcPr>
            <w:tcW w:w="850" w:type="dxa"/>
            <w:vMerge/>
            <w:vAlign w:val="center"/>
          </w:tcPr>
          <w:p w:rsidR="006F71CC" w:rsidRPr="00D630D1" w:rsidRDefault="006F71CC" w:rsidP="00B04B14">
            <w:pPr>
              <w:pStyle w:val="SSEC201503230"/>
              <w:rPr>
                <w:rFonts w:ascii="Times New Roman" w:hAnsi="Times New Roman"/>
              </w:rPr>
            </w:pPr>
          </w:p>
        </w:tc>
      </w:tr>
      <w:tr w:rsidR="006F71CC" w:rsidRPr="00D630D1" w:rsidTr="004E7855">
        <w:trPr>
          <w:trHeight w:val="235"/>
          <w:jc w:val="center"/>
        </w:trPr>
        <w:tc>
          <w:tcPr>
            <w:tcW w:w="872" w:type="dxa"/>
            <w:vMerge/>
            <w:vAlign w:val="center"/>
          </w:tcPr>
          <w:p w:rsidR="006F71CC" w:rsidRPr="00D630D1" w:rsidRDefault="006F71CC" w:rsidP="00B04B14">
            <w:pPr>
              <w:pStyle w:val="SSEC201503230"/>
              <w:rPr>
                <w:rFonts w:ascii="Times New Roman" w:hAnsi="Times New Roman"/>
              </w:rPr>
            </w:pPr>
          </w:p>
        </w:tc>
        <w:tc>
          <w:tcPr>
            <w:tcW w:w="1108" w:type="dxa"/>
            <w:vMerge/>
            <w:vAlign w:val="center"/>
          </w:tcPr>
          <w:p w:rsidR="006F71CC" w:rsidRPr="00D630D1" w:rsidRDefault="006F71CC" w:rsidP="00B04B14">
            <w:pPr>
              <w:pStyle w:val="SSEC201503230"/>
              <w:rPr>
                <w:rFonts w:ascii="Times New Roman" w:hAnsi="Times New Roman"/>
              </w:rPr>
            </w:pP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合计：</w:t>
            </w:r>
            <w:r w:rsidRPr="00D630D1">
              <w:rPr>
                <w:rFonts w:ascii="Times New Roman" w:hAnsi="Times New Roman"/>
              </w:rPr>
              <w:t>70</w:t>
            </w:r>
            <w:r w:rsidRPr="00D630D1">
              <w:rPr>
                <w:rFonts w:ascii="Times New Roman" w:hAnsi="Times New Roman"/>
              </w:rPr>
              <w:t>～</w:t>
            </w:r>
            <w:r w:rsidRPr="00D630D1">
              <w:rPr>
                <w:rFonts w:ascii="Times New Roman" w:hAnsi="Times New Roman"/>
              </w:rPr>
              <w:t>90</w:t>
            </w:r>
          </w:p>
        </w:tc>
        <w:tc>
          <w:tcPr>
            <w:tcW w:w="1021" w:type="dxa"/>
            <w:vMerge/>
            <w:vAlign w:val="center"/>
          </w:tcPr>
          <w:p w:rsidR="006F71CC" w:rsidRPr="00D630D1" w:rsidRDefault="006F71CC" w:rsidP="00B04B14">
            <w:pPr>
              <w:pStyle w:val="SSEC201503230"/>
              <w:rPr>
                <w:rFonts w:ascii="Times New Roman" w:hAnsi="Times New Roman"/>
              </w:rPr>
            </w:pPr>
          </w:p>
        </w:tc>
        <w:tc>
          <w:tcPr>
            <w:tcW w:w="992" w:type="dxa"/>
            <w:vMerge/>
            <w:vAlign w:val="center"/>
          </w:tcPr>
          <w:p w:rsidR="006F71CC" w:rsidRPr="00D630D1" w:rsidRDefault="006F71CC" w:rsidP="00B04B14">
            <w:pPr>
              <w:pStyle w:val="SSEC201503230"/>
              <w:rPr>
                <w:rFonts w:ascii="Times New Roman" w:hAnsi="Times New Roman"/>
              </w:rPr>
            </w:pPr>
          </w:p>
        </w:tc>
        <w:tc>
          <w:tcPr>
            <w:tcW w:w="1389" w:type="dxa"/>
            <w:vMerge/>
            <w:vAlign w:val="center"/>
          </w:tcPr>
          <w:p w:rsidR="006F71CC" w:rsidRPr="000F012A" w:rsidRDefault="006F71CC" w:rsidP="00B04B14">
            <w:pPr>
              <w:pStyle w:val="SSEC201503230"/>
              <w:rPr>
                <w:rFonts w:ascii="Times New Roman" w:hAnsi="Times New Roman"/>
                <w:color w:val="000000" w:themeColor="text1"/>
              </w:rPr>
            </w:pPr>
          </w:p>
        </w:tc>
        <w:tc>
          <w:tcPr>
            <w:tcW w:w="850" w:type="dxa"/>
            <w:vMerge/>
            <w:vAlign w:val="center"/>
          </w:tcPr>
          <w:p w:rsidR="006F71CC" w:rsidRPr="00D630D1" w:rsidRDefault="006F71CC" w:rsidP="00B04B14">
            <w:pPr>
              <w:pStyle w:val="SSEC201503230"/>
              <w:rPr>
                <w:rFonts w:ascii="Times New Roman" w:hAnsi="Times New Roman"/>
              </w:rPr>
            </w:pPr>
          </w:p>
        </w:tc>
      </w:tr>
      <w:tr w:rsidR="006F71CC" w:rsidRPr="00D630D1" w:rsidTr="004E7855">
        <w:trPr>
          <w:trHeight w:val="225"/>
          <w:jc w:val="center"/>
        </w:trPr>
        <w:tc>
          <w:tcPr>
            <w:tcW w:w="872" w:type="dxa"/>
            <w:vMerge w:val="restart"/>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毛开</w:t>
            </w:r>
            <w:r w:rsidRPr="00D630D1">
              <w:rPr>
                <w:rFonts w:ascii="Times New Roman" w:hAnsi="Times New Roman"/>
              </w:rPr>
              <w:t>1</w:t>
            </w:r>
            <w:r w:rsidRPr="00D630D1">
              <w:rPr>
                <w:rFonts w:ascii="Times New Roman" w:hAnsi="Times New Roman"/>
              </w:rPr>
              <w:t>井回注站</w:t>
            </w:r>
          </w:p>
        </w:tc>
        <w:tc>
          <w:tcPr>
            <w:tcW w:w="1108" w:type="dxa"/>
            <w:vMerge w:val="restart"/>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120</w:t>
            </w: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M503</w:t>
            </w:r>
            <w:r w:rsidRPr="00D630D1">
              <w:rPr>
                <w:rFonts w:ascii="Times New Roman" w:hAnsi="Times New Roman"/>
              </w:rPr>
              <w:t>集气站：</w:t>
            </w:r>
            <w:r w:rsidRPr="00D630D1">
              <w:rPr>
                <w:rFonts w:ascii="Times New Roman" w:hAnsi="Times New Roman"/>
              </w:rPr>
              <w:t>15</w:t>
            </w:r>
            <w:r w:rsidRPr="00D630D1">
              <w:rPr>
                <w:rFonts w:ascii="Times New Roman" w:hAnsi="Times New Roman"/>
              </w:rPr>
              <w:t>～</w:t>
            </w:r>
            <w:r w:rsidRPr="00D630D1">
              <w:rPr>
                <w:rFonts w:ascii="Times New Roman" w:hAnsi="Times New Roman"/>
              </w:rPr>
              <w:t>20</w:t>
            </w:r>
          </w:p>
        </w:tc>
        <w:tc>
          <w:tcPr>
            <w:tcW w:w="1021" w:type="dxa"/>
            <w:vMerge w:val="restart"/>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0</w:t>
            </w:r>
          </w:p>
        </w:tc>
        <w:tc>
          <w:tcPr>
            <w:tcW w:w="992" w:type="dxa"/>
            <w:vMerge w:val="restart"/>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30</w:t>
            </w:r>
            <w:r w:rsidRPr="00D630D1">
              <w:rPr>
                <w:rFonts w:ascii="Times New Roman" w:hAnsi="Times New Roman"/>
              </w:rPr>
              <w:t>～</w:t>
            </w:r>
            <w:r w:rsidRPr="00D630D1">
              <w:rPr>
                <w:rFonts w:ascii="Times New Roman" w:hAnsi="Times New Roman"/>
              </w:rPr>
              <w:t>50</w:t>
            </w:r>
          </w:p>
        </w:tc>
        <w:tc>
          <w:tcPr>
            <w:tcW w:w="1389" w:type="dxa"/>
            <w:vMerge w:val="restart"/>
            <w:vAlign w:val="center"/>
          </w:tcPr>
          <w:p w:rsidR="00A624BD" w:rsidRPr="000F012A" w:rsidRDefault="00A624BD" w:rsidP="00A624BD">
            <w:pPr>
              <w:pStyle w:val="SSEC201503230"/>
              <w:rPr>
                <w:rFonts w:ascii="Times New Roman"/>
                <w:color w:val="000000" w:themeColor="text1"/>
              </w:rPr>
            </w:pPr>
            <w:bookmarkStart w:id="109" w:name="_Hlk109861576"/>
            <w:r w:rsidRPr="000F012A">
              <w:rPr>
                <w:rFonts w:ascii="Times New Roman"/>
                <w:color w:val="000000" w:themeColor="text1"/>
              </w:rPr>
              <w:t>施工期：</w:t>
            </w:r>
            <w:r w:rsidR="000F012A" w:rsidRPr="000F012A">
              <w:rPr>
                <w:rFonts w:ascii="Times New Roman" w:hAnsi="Times New Roman" w:hint="eastAsia"/>
                <w:color w:val="000000" w:themeColor="text1"/>
              </w:rPr>
              <w:t>3731.7</w:t>
            </w:r>
            <w:r w:rsidRPr="000F012A">
              <w:rPr>
                <w:rFonts w:ascii="Times New Roman"/>
                <w:color w:val="000000" w:themeColor="text1"/>
              </w:rPr>
              <w:t>m</w:t>
            </w:r>
            <w:r w:rsidRPr="000F012A">
              <w:rPr>
                <w:rFonts w:ascii="Times New Roman"/>
                <w:color w:val="000000" w:themeColor="text1"/>
                <w:vertAlign w:val="superscript"/>
              </w:rPr>
              <w:t>3</w:t>
            </w:r>
          </w:p>
          <w:p w:rsidR="006F71CC" w:rsidRPr="000F012A" w:rsidRDefault="00A624BD" w:rsidP="000F012A">
            <w:pPr>
              <w:pStyle w:val="SSEC201503230"/>
              <w:rPr>
                <w:rFonts w:ascii="Times New Roman" w:hAnsi="Times New Roman"/>
                <w:color w:val="000000" w:themeColor="text1"/>
              </w:rPr>
            </w:pPr>
            <w:r w:rsidRPr="000F012A">
              <w:rPr>
                <w:rFonts w:ascii="Times New Roman" w:hAnsi="Times New Roman"/>
                <w:color w:val="000000" w:themeColor="text1"/>
              </w:rPr>
              <w:t>按回注量</w:t>
            </w:r>
            <w:r w:rsidRPr="000F012A">
              <w:rPr>
                <w:rFonts w:ascii="Times New Roman" w:hAnsi="Times New Roman"/>
                <w:color w:val="000000" w:themeColor="text1"/>
              </w:rPr>
              <w:t>10m</w:t>
            </w:r>
            <w:r w:rsidRPr="000F012A">
              <w:rPr>
                <w:rFonts w:ascii="Times New Roman" w:hAnsi="Times New Roman"/>
                <w:color w:val="000000" w:themeColor="text1"/>
                <w:vertAlign w:val="superscript"/>
              </w:rPr>
              <w:t>3</w:t>
            </w:r>
            <w:r w:rsidRPr="000F012A">
              <w:rPr>
                <w:rFonts w:ascii="Times New Roman" w:hAnsi="Times New Roman"/>
                <w:color w:val="000000" w:themeColor="text1"/>
              </w:rPr>
              <w:t>/d</w:t>
            </w:r>
            <w:r w:rsidRPr="000F012A">
              <w:rPr>
                <w:rFonts w:ascii="Times New Roman" w:hAnsi="Times New Roman"/>
                <w:color w:val="000000" w:themeColor="text1"/>
              </w:rPr>
              <w:t>，可</w:t>
            </w:r>
            <w:r w:rsidR="000F012A" w:rsidRPr="000F012A">
              <w:rPr>
                <w:rFonts w:ascii="Times New Roman" w:hAnsi="Times New Roman" w:hint="eastAsia"/>
                <w:color w:val="000000" w:themeColor="text1"/>
              </w:rPr>
              <w:t>374</w:t>
            </w:r>
            <w:r w:rsidRPr="000F012A">
              <w:rPr>
                <w:rFonts w:ascii="Times New Roman" w:hAnsi="Times New Roman"/>
                <w:color w:val="000000" w:themeColor="text1"/>
              </w:rPr>
              <w:t>d</w:t>
            </w:r>
            <w:r w:rsidRPr="000F012A">
              <w:rPr>
                <w:rFonts w:ascii="Times New Roman" w:hAnsi="Times New Roman"/>
                <w:color w:val="000000" w:themeColor="text1"/>
              </w:rPr>
              <w:t>回注完成。</w:t>
            </w:r>
            <w:bookmarkEnd w:id="109"/>
            <w:r w:rsidR="00006097" w:rsidRPr="000F012A">
              <w:rPr>
                <w:rFonts w:ascii="Times New Roman"/>
                <w:color w:val="000000" w:themeColor="text1"/>
              </w:rPr>
              <w:t>项目运营期气田水产生量为</w:t>
            </w:r>
            <w:r w:rsidR="00006097" w:rsidRPr="000F012A">
              <w:rPr>
                <w:rFonts w:ascii="Times New Roman" w:hint="eastAsia"/>
                <w:color w:val="000000" w:themeColor="text1"/>
              </w:rPr>
              <w:t>3</w:t>
            </w:r>
            <w:r w:rsidR="00006097" w:rsidRPr="000F012A">
              <w:rPr>
                <w:rFonts w:ascii="Times New Roman"/>
                <w:color w:val="000000" w:themeColor="text1"/>
              </w:rPr>
              <w:t>m</w:t>
            </w:r>
            <w:r w:rsidR="00006097" w:rsidRPr="000F012A">
              <w:rPr>
                <w:rFonts w:ascii="Times New Roman"/>
                <w:color w:val="000000" w:themeColor="text1"/>
                <w:vertAlign w:val="superscript"/>
              </w:rPr>
              <w:t>3</w:t>
            </w:r>
            <w:r w:rsidR="00006097" w:rsidRPr="000F012A">
              <w:rPr>
                <w:rFonts w:ascii="Times New Roman"/>
                <w:color w:val="000000" w:themeColor="text1"/>
              </w:rPr>
              <w:t>/d</w:t>
            </w:r>
            <w:r w:rsidR="00006097" w:rsidRPr="000F012A">
              <w:rPr>
                <w:rFonts w:ascii="Times New Roman" w:hint="eastAsia"/>
                <w:color w:val="000000" w:themeColor="text1"/>
              </w:rPr>
              <w:t>，</w:t>
            </w:r>
            <w:r w:rsidR="00006097" w:rsidRPr="000F012A">
              <w:rPr>
                <w:rFonts w:ascii="Times New Roman"/>
                <w:color w:val="000000" w:themeColor="text1"/>
              </w:rPr>
              <w:t>可</w:t>
            </w:r>
            <w:r w:rsidR="00006097" w:rsidRPr="000F012A">
              <w:rPr>
                <w:rFonts w:ascii="Times New Roman" w:hint="eastAsia"/>
                <w:color w:val="000000" w:themeColor="text1"/>
              </w:rPr>
              <w:t>1</w:t>
            </w:r>
            <w:r w:rsidR="00006097" w:rsidRPr="000F012A">
              <w:rPr>
                <w:rFonts w:ascii="Times New Roman" w:hAnsi="Times New Roman"/>
                <w:color w:val="000000" w:themeColor="text1"/>
              </w:rPr>
              <w:t>d</w:t>
            </w:r>
            <w:r w:rsidR="00006097" w:rsidRPr="000F012A">
              <w:rPr>
                <w:rFonts w:ascii="Times New Roman"/>
                <w:color w:val="000000" w:themeColor="text1"/>
              </w:rPr>
              <w:t>处理完成。</w:t>
            </w:r>
          </w:p>
        </w:tc>
        <w:tc>
          <w:tcPr>
            <w:tcW w:w="850" w:type="dxa"/>
            <w:vMerge w:val="restart"/>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可行</w:t>
            </w:r>
          </w:p>
        </w:tc>
      </w:tr>
      <w:tr w:rsidR="006F71CC" w:rsidRPr="00D630D1" w:rsidTr="004E7855">
        <w:trPr>
          <w:trHeight w:val="246"/>
          <w:jc w:val="center"/>
        </w:trPr>
        <w:tc>
          <w:tcPr>
            <w:tcW w:w="872" w:type="dxa"/>
            <w:vMerge/>
            <w:vAlign w:val="center"/>
          </w:tcPr>
          <w:p w:rsidR="006F71CC" w:rsidRPr="00D630D1" w:rsidRDefault="006F71CC" w:rsidP="00B04B14">
            <w:pPr>
              <w:pStyle w:val="SSEC201503230"/>
              <w:rPr>
                <w:rFonts w:ascii="Times New Roman" w:hAnsi="Times New Roman"/>
              </w:rPr>
            </w:pPr>
          </w:p>
        </w:tc>
        <w:tc>
          <w:tcPr>
            <w:tcW w:w="1108" w:type="dxa"/>
            <w:vMerge/>
            <w:vAlign w:val="center"/>
          </w:tcPr>
          <w:p w:rsidR="006F71CC" w:rsidRPr="00D630D1" w:rsidRDefault="006F71CC" w:rsidP="00B04B14">
            <w:pPr>
              <w:pStyle w:val="SSEC201503230"/>
              <w:rPr>
                <w:rFonts w:ascii="Times New Roman" w:hAnsi="Times New Roman"/>
              </w:rPr>
            </w:pP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M502</w:t>
            </w:r>
            <w:r w:rsidRPr="00D630D1">
              <w:rPr>
                <w:rFonts w:ascii="Times New Roman" w:hAnsi="Times New Roman"/>
              </w:rPr>
              <w:t>集气站：</w:t>
            </w:r>
            <w:r w:rsidRPr="00D630D1">
              <w:rPr>
                <w:rFonts w:ascii="Times New Roman" w:hAnsi="Times New Roman"/>
              </w:rPr>
              <w:t>5</w:t>
            </w:r>
          </w:p>
        </w:tc>
        <w:tc>
          <w:tcPr>
            <w:tcW w:w="1021" w:type="dxa"/>
            <w:vMerge/>
            <w:vAlign w:val="center"/>
          </w:tcPr>
          <w:p w:rsidR="006F71CC" w:rsidRPr="00D630D1" w:rsidRDefault="006F71CC" w:rsidP="00B04B14">
            <w:pPr>
              <w:pStyle w:val="SSEC201503230"/>
              <w:rPr>
                <w:rFonts w:ascii="Times New Roman" w:hAnsi="Times New Roman"/>
              </w:rPr>
            </w:pPr>
          </w:p>
        </w:tc>
        <w:tc>
          <w:tcPr>
            <w:tcW w:w="992" w:type="dxa"/>
            <w:vMerge/>
            <w:vAlign w:val="center"/>
          </w:tcPr>
          <w:p w:rsidR="006F71CC" w:rsidRPr="00D630D1" w:rsidRDefault="006F71CC" w:rsidP="00B04B14">
            <w:pPr>
              <w:pStyle w:val="SSEC201503230"/>
              <w:rPr>
                <w:rFonts w:ascii="Times New Roman" w:hAnsi="Times New Roman"/>
              </w:rPr>
            </w:pPr>
          </w:p>
        </w:tc>
        <w:tc>
          <w:tcPr>
            <w:tcW w:w="1389" w:type="dxa"/>
            <w:vMerge/>
            <w:vAlign w:val="center"/>
          </w:tcPr>
          <w:p w:rsidR="006F71CC" w:rsidRPr="00D630D1" w:rsidRDefault="006F71CC" w:rsidP="00B04B14">
            <w:pPr>
              <w:pStyle w:val="SSEC201503230"/>
              <w:rPr>
                <w:rFonts w:ascii="Times New Roman" w:hAnsi="Times New Roman"/>
              </w:rPr>
            </w:pPr>
          </w:p>
        </w:tc>
        <w:tc>
          <w:tcPr>
            <w:tcW w:w="850" w:type="dxa"/>
            <w:vMerge/>
            <w:vAlign w:val="center"/>
          </w:tcPr>
          <w:p w:rsidR="006F71CC" w:rsidRPr="00D630D1" w:rsidRDefault="006F71CC" w:rsidP="00B04B14">
            <w:pPr>
              <w:pStyle w:val="SSEC201503230"/>
              <w:rPr>
                <w:rFonts w:ascii="Times New Roman" w:hAnsi="Times New Roman"/>
              </w:rPr>
            </w:pPr>
          </w:p>
        </w:tc>
      </w:tr>
      <w:tr w:rsidR="006F71CC" w:rsidRPr="00D630D1" w:rsidTr="004E7855">
        <w:trPr>
          <w:trHeight w:val="235"/>
          <w:jc w:val="center"/>
        </w:trPr>
        <w:tc>
          <w:tcPr>
            <w:tcW w:w="872" w:type="dxa"/>
            <w:vMerge/>
            <w:vAlign w:val="center"/>
          </w:tcPr>
          <w:p w:rsidR="006F71CC" w:rsidRPr="00D630D1" w:rsidRDefault="006F71CC" w:rsidP="00B04B14">
            <w:pPr>
              <w:pStyle w:val="SSEC201503230"/>
              <w:rPr>
                <w:rFonts w:ascii="Times New Roman" w:hAnsi="Times New Roman"/>
              </w:rPr>
            </w:pPr>
          </w:p>
        </w:tc>
        <w:tc>
          <w:tcPr>
            <w:tcW w:w="1108" w:type="dxa"/>
            <w:vMerge/>
            <w:vAlign w:val="center"/>
          </w:tcPr>
          <w:p w:rsidR="006F71CC" w:rsidRPr="00D630D1" w:rsidRDefault="006F71CC" w:rsidP="00B04B14">
            <w:pPr>
              <w:pStyle w:val="SSEC201503230"/>
              <w:rPr>
                <w:rFonts w:ascii="Times New Roman" w:hAnsi="Times New Roman"/>
              </w:rPr>
            </w:pP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M501</w:t>
            </w:r>
            <w:r w:rsidRPr="00D630D1">
              <w:rPr>
                <w:rFonts w:ascii="Times New Roman" w:hAnsi="Times New Roman"/>
              </w:rPr>
              <w:t>集气站：</w:t>
            </w:r>
            <w:r w:rsidRPr="00D630D1">
              <w:rPr>
                <w:rFonts w:ascii="Times New Roman" w:hAnsi="Times New Roman"/>
              </w:rPr>
              <w:t>5</w:t>
            </w:r>
            <w:r w:rsidRPr="00D630D1">
              <w:rPr>
                <w:rFonts w:ascii="Times New Roman" w:hAnsi="Times New Roman"/>
              </w:rPr>
              <w:t>～</w:t>
            </w:r>
            <w:r w:rsidRPr="00D630D1">
              <w:rPr>
                <w:rFonts w:ascii="Times New Roman" w:hAnsi="Times New Roman"/>
              </w:rPr>
              <w:t>10</w:t>
            </w:r>
          </w:p>
        </w:tc>
        <w:tc>
          <w:tcPr>
            <w:tcW w:w="1021" w:type="dxa"/>
            <w:vMerge/>
            <w:vAlign w:val="center"/>
          </w:tcPr>
          <w:p w:rsidR="006F71CC" w:rsidRPr="00D630D1" w:rsidRDefault="006F71CC" w:rsidP="00B04B14">
            <w:pPr>
              <w:pStyle w:val="SSEC201503230"/>
              <w:rPr>
                <w:rFonts w:ascii="Times New Roman" w:hAnsi="Times New Roman"/>
              </w:rPr>
            </w:pPr>
          </w:p>
        </w:tc>
        <w:tc>
          <w:tcPr>
            <w:tcW w:w="992" w:type="dxa"/>
            <w:vMerge/>
            <w:vAlign w:val="center"/>
          </w:tcPr>
          <w:p w:rsidR="006F71CC" w:rsidRPr="00D630D1" w:rsidRDefault="006F71CC" w:rsidP="00B04B14">
            <w:pPr>
              <w:pStyle w:val="SSEC201503230"/>
              <w:rPr>
                <w:rFonts w:ascii="Times New Roman" w:hAnsi="Times New Roman"/>
              </w:rPr>
            </w:pPr>
          </w:p>
        </w:tc>
        <w:tc>
          <w:tcPr>
            <w:tcW w:w="1389" w:type="dxa"/>
            <w:vMerge/>
            <w:vAlign w:val="center"/>
          </w:tcPr>
          <w:p w:rsidR="006F71CC" w:rsidRPr="00D630D1" w:rsidRDefault="006F71CC" w:rsidP="00B04B14">
            <w:pPr>
              <w:pStyle w:val="SSEC201503230"/>
              <w:rPr>
                <w:rFonts w:ascii="Times New Roman" w:hAnsi="Times New Roman"/>
              </w:rPr>
            </w:pPr>
          </w:p>
        </w:tc>
        <w:tc>
          <w:tcPr>
            <w:tcW w:w="850" w:type="dxa"/>
            <w:vMerge/>
            <w:vAlign w:val="center"/>
          </w:tcPr>
          <w:p w:rsidR="006F71CC" w:rsidRPr="00D630D1" w:rsidRDefault="006F71CC" w:rsidP="00B04B14">
            <w:pPr>
              <w:pStyle w:val="SSEC201503230"/>
              <w:rPr>
                <w:rFonts w:ascii="Times New Roman" w:hAnsi="Times New Roman"/>
              </w:rPr>
            </w:pPr>
          </w:p>
        </w:tc>
      </w:tr>
      <w:tr w:rsidR="006F71CC" w:rsidRPr="00D630D1" w:rsidTr="004E7855">
        <w:trPr>
          <w:trHeight w:val="246"/>
          <w:jc w:val="center"/>
        </w:trPr>
        <w:tc>
          <w:tcPr>
            <w:tcW w:w="872" w:type="dxa"/>
            <w:vMerge/>
            <w:vAlign w:val="center"/>
          </w:tcPr>
          <w:p w:rsidR="006F71CC" w:rsidRPr="00D630D1" w:rsidRDefault="006F71CC" w:rsidP="00B04B14">
            <w:pPr>
              <w:pStyle w:val="SSEC201503230"/>
              <w:rPr>
                <w:rFonts w:ascii="Times New Roman" w:hAnsi="Times New Roman"/>
              </w:rPr>
            </w:pPr>
          </w:p>
        </w:tc>
        <w:tc>
          <w:tcPr>
            <w:tcW w:w="1108" w:type="dxa"/>
            <w:vMerge/>
            <w:vAlign w:val="center"/>
          </w:tcPr>
          <w:p w:rsidR="006F71CC" w:rsidRPr="00D630D1" w:rsidRDefault="006F71CC" w:rsidP="00B04B14">
            <w:pPr>
              <w:pStyle w:val="SSEC201503230"/>
              <w:rPr>
                <w:rFonts w:ascii="Times New Roman" w:hAnsi="Times New Roman"/>
              </w:rPr>
            </w:pP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D405</w:t>
            </w:r>
            <w:r w:rsidRPr="00D630D1">
              <w:rPr>
                <w:rFonts w:ascii="Times New Roman" w:hAnsi="Times New Roman"/>
              </w:rPr>
              <w:t>集气站：</w:t>
            </w:r>
            <w:r w:rsidRPr="00D630D1">
              <w:rPr>
                <w:rFonts w:ascii="Times New Roman" w:hAnsi="Times New Roman"/>
              </w:rPr>
              <w:t>20</w:t>
            </w:r>
            <w:r w:rsidRPr="00D630D1">
              <w:rPr>
                <w:rFonts w:ascii="Times New Roman" w:hAnsi="Times New Roman"/>
              </w:rPr>
              <w:t>～</w:t>
            </w:r>
            <w:r w:rsidRPr="00D630D1">
              <w:rPr>
                <w:rFonts w:ascii="Times New Roman" w:hAnsi="Times New Roman"/>
              </w:rPr>
              <w:t>25</w:t>
            </w:r>
          </w:p>
        </w:tc>
        <w:tc>
          <w:tcPr>
            <w:tcW w:w="1021" w:type="dxa"/>
            <w:vMerge/>
            <w:vAlign w:val="center"/>
          </w:tcPr>
          <w:p w:rsidR="006F71CC" w:rsidRPr="00D630D1" w:rsidRDefault="006F71CC" w:rsidP="00B04B14">
            <w:pPr>
              <w:pStyle w:val="SSEC201503230"/>
              <w:rPr>
                <w:rFonts w:ascii="Times New Roman" w:hAnsi="Times New Roman"/>
              </w:rPr>
            </w:pPr>
          </w:p>
        </w:tc>
        <w:tc>
          <w:tcPr>
            <w:tcW w:w="992" w:type="dxa"/>
            <w:vMerge/>
            <w:vAlign w:val="center"/>
          </w:tcPr>
          <w:p w:rsidR="006F71CC" w:rsidRPr="00D630D1" w:rsidRDefault="006F71CC" w:rsidP="00B04B14">
            <w:pPr>
              <w:pStyle w:val="SSEC201503230"/>
              <w:rPr>
                <w:rFonts w:ascii="Times New Roman" w:hAnsi="Times New Roman"/>
              </w:rPr>
            </w:pPr>
          </w:p>
        </w:tc>
        <w:tc>
          <w:tcPr>
            <w:tcW w:w="1389" w:type="dxa"/>
            <w:vMerge/>
            <w:vAlign w:val="center"/>
          </w:tcPr>
          <w:p w:rsidR="006F71CC" w:rsidRPr="00D630D1" w:rsidRDefault="006F71CC" w:rsidP="00B04B14">
            <w:pPr>
              <w:pStyle w:val="SSEC201503230"/>
              <w:rPr>
                <w:rFonts w:ascii="Times New Roman" w:hAnsi="Times New Roman"/>
              </w:rPr>
            </w:pPr>
          </w:p>
        </w:tc>
        <w:tc>
          <w:tcPr>
            <w:tcW w:w="850" w:type="dxa"/>
            <w:vMerge/>
            <w:vAlign w:val="center"/>
          </w:tcPr>
          <w:p w:rsidR="006F71CC" w:rsidRPr="00D630D1" w:rsidRDefault="006F71CC" w:rsidP="00B04B14">
            <w:pPr>
              <w:pStyle w:val="SSEC201503230"/>
              <w:rPr>
                <w:rFonts w:ascii="Times New Roman" w:hAnsi="Times New Roman"/>
              </w:rPr>
            </w:pPr>
          </w:p>
        </w:tc>
      </w:tr>
      <w:tr w:rsidR="006F71CC" w:rsidRPr="00D630D1" w:rsidTr="004E7855">
        <w:trPr>
          <w:trHeight w:val="235"/>
          <w:jc w:val="center"/>
        </w:trPr>
        <w:tc>
          <w:tcPr>
            <w:tcW w:w="872" w:type="dxa"/>
            <w:vMerge/>
            <w:vAlign w:val="center"/>
          </w:tcPr>
          <w:p w:rsidR="006F71CC" w:rsidRPr="00D630D1" w:rsidRDefault="006F71CC" w:rsidP="00B04B14">
            <w:pPr>
              <w:pStyle w:val="SSEC201503230"/>
              <w:rPr>
                <w:rFonts w:ascii="Times New Roman" w:hAnsi="Times New Roman"/>
              </w:rPr>
            </w:pPr>
          </w:p>
        </w:tc>
        <w:tc>
          <w:tcPr>
            <w:tcW w:w="1108" w:type="dxa"/>
            <w:vMerge/>
            <w:vAlign w:val="center"/>
          </w:tcPr>
          <w:p w:rsidR="006F71CC" w:rsidRPr="00D630D1" w:rsidRDefault="006F71CC" w:rsidP="00B04B14">
            <w:pPr>
              <w:pStyle w:val="SSEC201503230"/>
              <w:rPr>
                <w:rFonts w:ascii="Times New Roman" w:hAnsi="Times New Roman"/>
              </w:rPr>
            </w:pP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D404</w:t>
            </w:r>
            <w:r w:rsidRPr="00D630D1">
              <w:rPr>
                <w:rFonts w:ascii="Times New Roman" w:hAnsi="Times New Roman"/>
              </w:rPr>
              <w:t>集气站：</w:t>
            </w:r>
            <w:r w:rsidRPr="00D630D1">
              <w:rPr>
                <w:rFonts w:ascii="Times New Roman" w:hAnsi="Times New Roman"/>
              </w:rPr>
              <w:t>20</w:t>
            </w:r>
          </w:p>
        </w:tc>
        <w:tc>
          <w:tcPr>
            <w:tcW w:w="1021" w:type="dxa"/>
            <w:vMerge/>
            <w:vAlign w:val="center"/>
          </w:tcPr>
          <w:p w:rsidR="006F71CC" w:rsidRPr="00D630D1" w:rsidRDefault="006F71CC" w:rsidP="00B04B14">
            <w:pPr>
              <w:pStyle w:val="SSEC201503230"/>
              <w:rPr>
                <w:rFonts w:ascii="Times New Roman" w:hAnsi="Times New Roman"/>
              </w:rPr>
            </w:pPr>
          </w:p>
        </w:tc>
        <w:tc>
          <w:tcPr>
            <w:tcW w:w="992" w:type="dxa"/>
            <w:vMerge/>
            <w:vAlign w:val="center"/>
          </w:tcPr>
          <w:p w:rsidR="006F71CC" w:rsidRPr="00D630D1" w:rsidRDefault="006F71CC" w:rsidP="00B04B14">
            <w:pPr>
              <w:pStyle w:val="SSEC201503230"/>
              <w:rPr>
                <w:rFonts w:ascii="Times New Roman" w:hAnsi="Times New Roman"/>
              </w:rPr>
            </w:pPr>
          </w:p>
        </w:tc>
        <w:tc>
          <w:tcPr>
            <w:tcW w:w="1389" w:type="dxa"/>
            <w:vMerge/>
            <w:vAlign w:val="center"/>
          </w:tcPr>
          <w:p w:rsidR="006F71CC" w:rsidRPr="00D630D1" w:rsidRDefault="006F71CC" w:rsidP="00B04B14">
            <w:pPr>
              <w:pStyle w:val="SSEC201503230"/>
              <w:rPr>
                <w:rFonts w:ascii="Times New Roman" w:hAnsi="Times New Roman"/>
              </w:rPr>
            </w:pPr>
          </w:p>
        </w:tc>
        <w:tc>
          <w:tcPr>
            <w:tcW w:w="850" w:type="dxa"/>
            <w:vMerge/>
            <w:vAlign w:val="center"/>
          </w:tcPr>
          <w:p w:rsidR="006F71CC" w:rsidRPr="00D630D1" w:rsidRDefault="006F71CC" w:rsidP="00B04B14">
            <w:pPr>
              <w:pStyle w:val="SSEC201503230"/>
              <w:rPr>
                <w:rFonts w:ascii="Times New Roman" w:hAnsi="Times New Roman"/>
              </w:rPr>
            </w:pPr>
          </w:p>
        </w:tc>
      </w:tr>
      <w:tr w:rsidR="006F71CC" w:rsidRPr="00D630D1" w:rsidTr="004E7855">
        <w:trPr>
          <w:trHeight w:val="246"/>
          <w:jc w:val="center"/>
        </w:trPr>
        <w:tc>
          <w:tcPr>
            <w:tcW w:w="872" w:type="dxa"/>
            <w:vMerge/>
            <w:vAlign w:val="center"/>
          </w:tcPr>
          <w:p w:rsidR="006F71CC" w:rsidRPr="00D630D1" w:rsidRDefault="006F71CC" w:rsidP="00B04B14">
            <w:pPr>
              <w:pStyle w:val="SSEC201503230"/>
              <w:rPr>
                <w:rFonts w:ascii="Times New Roman" w:hAnsi="Times New Roman"/>
              </w:rPr>
            </w:pPr>
          </w:p>
        </w:tc>
        <w:tc>
          <w:tcPr>
            <w:tcW w:w="1108" w:type="dxa"/>
            <w:vMerge/>
            <w:vAlign w:val="center"/>
          </w:tcPr>
          <w:p w:rsidR="006F71CC" w:rsidRPr="00D630D1" w:rsidRDefault="006F71CC" w:rsidP="00B04B14">
            <w:pPr>
              <w:pStyle w:val="SSEC201503230"/>
              <w:rPr>
                <w:rFonts w:ascii="Times New Roman" w:hAnsi="Times New Roman"/>
              </w:rPr>
            </w:pP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D403</w:t>
            </w:r>
            <w:r w:rsidRPr="00D630D1">
              <w:rPr>
                <w:rFonts w:ascii="Times New Roman" w:hAnsi="Times New Roman"/>
              </w:rPr>
              <w:t>集气站：</w:t>
            </w:r>
            <w:r w:rsidRPr="00D630D1">
              <w:rPr>
                <w:rFonts w:ascii="Times New Roman" w:hAnsi="Times New Roman"/>
              </w:rPr>
              <w:t>5</w:t>
            </w:r>
            <w:r w:rsidRPr="00D630D1">
              <w:rPr>
                <w:rFonts w:ascii="Times New Roman" w:hAnsi="Times New Roman"/>
              </w:rPr>
              <w:t>～</w:t>
            </w:r>
            <w:r w:rsidRPr="00D630D1">
              <w:rPr>
                <w:rFonts w:ascii="Times New Roman" w:hAnsi="Times New Roman"/>
              </w:rPr>
              <w:t>10</w:t>
            </w:r>
          </w:p>
        </w:tc>
        <w:tc>
          <w:tcPr>
            <w:tcW w:w="1021" w:type="dxa"/>
            <w:vMerge/>
            <w:vAlign w:val="center"/>
          </w:tcPr>
          <w:p w:rsidR="006F71CC" w:rsidRPr="00D630D1" w:rsidRDefault="006F71CC" w:rsidP="00B04B14">
            <w:pPr>
              <w:pStyle w:val="SSEC201503230"/>
              <w:rPr>
                <w:rFonts w:ascii="Times New Roman" w:hAnsi="Times New Roman"/>
              </w:rPr>
            </w:pPr>
          </w:p>
        </w:tc>
        <w:tc>
          <w:tcPr>
            <w:tcW w:w="992" w:type="dxa"/>
            <w:vMerge/>
            <w:vAlign w:val="center"/>
          </w:tcPr>
          <w:p w:rsidR="006F71CC" w:rsidRPr="00D630D1" w:rsidRDefault="006F71CC" w:rsidP="00B04B14">
            <w:pPr>
              <w:pStyle w:val="SSEC201503230"/>
              <w:rPr>
                <w:rFonts w:ascii="Times New Roman" w:hAnsi="Times New Roman"/>
              </w:rPr>
            </w:pPr>
          </w:p>
        </w:tc>
        <w:tc>
          <w:tcPr>
            <w:tcW w:w="1389" w:type="dxa"/>
            <w:vMerge/>
            <w:vAlign w:val="center"/>
          </w:tcPr>
          <w:p w:rsidR="006F71CC" w:rsidRPr="00D630D1" w:rsidRDefault="006F71CC" w:rsidP="00B04B14">
            <w:pPr>
              <w:pStyle w:val="SSEC201503230"/>
              <w:rPr>
                <w:rFonts w:ascii="Times New Roman" w:hAnsi="Times New Roman"/>
              </w:rPr>
            </w:pPr>
          </w:p>
        </w:tc>
        <w:tc>
          <w:tcPr>
            <w:tcW w:w="850" w:type="dxa"/>
            <w:vMerge/>
            <w:vAlign w:val="center"/>
          </w:tcPr>
          <w:p w:rsidR="006F71CC" w:rsidRPr="00D630D1" w:rsidRDefault="006F71CC" w:rsidP="00B04B14">
            <w:pPr>
              <w:pStyle w:val="SSEC201503230"/>
              <w:rPr>
                <w:rFonts w:ascii="Times New Roman" w:hAnsi="Times New Roman"/>
              </w:rPr>
            </w:pPr>
          </w:p>
        </w:tc>
      </w:tr>
      <w:tr w:rsidR="006F71CC" w:rsidRPr="00D630D1" w:rsidTr="004E7855">
        <w:trPr>
          <w:trHeight w:val="235"/>
          <w:jc w:val="center"/>
        </w:trPr>
        <w:tc>
          <w:tcPr>
            <w:tcW w:w="872" w:type="dxa"/>
            <w:vMerge/>
            <w:vAlign w:val="center"/>
          </w:tcPr>
          <w:p w:rsidR="006F71CC" w:rsidRPr="00D630D1" w:rsidRDefault="006F71CC" w:rsidP="00B04B14">
            <w:pPr>
              <w:pStyle w:val="SSEC201503230"/>
              <w:rPr>
                <w:rFonts w:ascii="Times New Roman" w:hAnsi="Times New Roman"/>
              </w:rPr>
            </w:pPr>
          </w:p>
        </w:tc>
        <w:tc>
          <w:tcPr>
            <w:tcW w:w="1108" w:type="dxa"/>
            <w:vMerge/>
            <w:vAlign w:val="center"/>
          </w:tcPr>
          <w:p w:rsidR="006F71CC" w:rsidRPr="00D630D1" w:rsidRDefault="006F71CC" w:rsidP="00B04B14">
            <w:pPr>
              <w:pStyle w:val="SSEC201503230"/>
              <w:rPr>
                <w:rFonts w:ascii="Times New Roman" w:hAnsi="Times New Roman"/>
              </w:rPr>
            </w:pPr>
          </w:p>
        </w:tc>
        <w:tc>
          <w:tcPr>
            <w:tcW w:w="2410" w:type="dxa"/>
            <w:vAlign w:val="center"/>
          </w:tcPr>
          <w:p w:rsidR="006F71CC" w:rsidRPr="00D630D1" w:rsidRDefault="006F71CC" w:rsidP="00B04B14">
            <w:pPr>
              <w:pStyle w:val="SSEC201503230"/>
              <w:rPr>
                <w:rFonts w:ascii="Times New Roman" w:hAnsi="Times New Roman"/>
              </w:rPr>
            </w:pPr>
            <w:r w:rsidRPr="00D630D1">
              <w:rPr>
                <w:rFonts w:ascii="Times New Roman" w:hAnsi="Times New Roman"/>
              </w:rPr>
              <w:t>合计：</w:t>
            </w:r>
            <w:bookmarkStart w:id="110" w:name="OLE_LINK88"/>
            <w:bookmarkStart w:id="111" w:name="OLE_LINK97"/>
            <w:r w:rsidRPr="00D630D1">
              <w:rPr>
                <w:rFonts w:ascii="Times New Roman" w:hAnsi="Times New Roman"/>
              </w:rPr>
              <w:t>70</w:t>
            </w:r>
            <w:bookmarkEnd w:id="110"/>
            <w:bookmarkEnd w:id="111"/>
            <w:r w:rsidRPr="00D630D1">
              <w:rPr>
                <w:rFonts w:ascii="Times New Roman" w:hAnsi="Times New Roman"/>
              </w:rPr>
              <w:t>～</w:t>
            </w:r>
            <w:r w:rsidRPr="00D630D1">
              <w:rPr>
                <w:rFonts w:ascii="Times New Roman" w:hAnsi="Times New Roman"/>
              </w:rPr>
              <w:t>90</w:t>
            </w:r>
          </w:p>
        </w:tc>
        <w:tc>
          <w:tcPr>
            <w:tcW w:w="1021" w:type="dxa"/>
            <w:vMerge/>
            <w:vAlign w:val="center"/>
          </w:tcPr>
          <w:p w:rsidR="006F71CC" w:rsidRPr="00D630D1" w:rsidRDefault="006F71CC" w:rsidP="00B04B14">
            <w:pPr>
              <w:pStyle w:val="SSEC201503230"/>
              <w:rPr>
                <w:rFonts w:ascii="Times New Roman" w:hAnsi="Times New Roman"/>
              </w:rPr>
            </w:pPr>
          </w:p>
        </w:tc>
        <w:tc>
          <w:tcPr>
            <w:tcW w:w="992" w:type="dxa"/>
            <w:vMerge/>
            <w:vAlign w:val="center"/>
          </w:tcPr>
          <w:p w:rsidR="006F71CC" w:rsidRPr="00D630D1" w:rsidRDefault="006F71CC" w:rsidP="00B04B14">
            <w:pPr>
              <w:pStyle w:val="SSEC201503230"/>
              <w:rPr>
                <w:rFonts w:ascii="Times New Roman" w:hAnsi="Times New Roman"/>
              </w:rPr>
            </w:pPr>
          </w:p>
        </w:tc>
        <w:tc>
          <w:tcPr>
            <w:tcW w:w="1389" w:type="dxa"/>
            <w:vMerge/>
            <w:vAlign w:val="center"/>
          </w:tcPr>
          <w:p w:rsidR="006F71CC" w:rsidRPr="00D630D1" w:rsidRDefault="006F71CC" w:rsidP="00B04B14">
            <w:pPr>
              <w:pStyle w:val="SSEC201503230"/>
              <w:rPr>
                <w:rFonts w:ascii="Times New Roman" w:hAnsi="Times New Roman"/>
              </w:rPr>
            </w:pPr>
          </w:p>
        </w:tc>
        <w:tc>
          <w:tcPr>
            <w:tcW w:w="850" w:type="dxa"/>
            <w:vMerge/>
            <w:vAlign w:val="center"/>
          </w:tcPr>
          <w:p w:rsidR="006F71CC" w:rsidRPr="00D630D1" w:rsidRDefault="006F71CC" w:rsidP="00B04B14">
            <w:pPr>
              <w:pStyle w:val="SSEC201503230"/>
              <w:rPr>
                <w:rFonts w:ascii="Times New Roman" w:hAnsi="Times New Roman"/>
              </w:rPr>
            </w:pPr>
          </w:p>
        </w:tc>
      </w:tr>
    </w:tbl>
    <w:p w:rsidR="006F71CC" w:rsidRPr="00D630D1" w:rsidRDefault="006F71CC" w:rsidP="006F71CC">
      <w:pPr>
        <w:pStyle w:val="1L"/>
      </w:pPr>
    </w:p>
    <w:p w:rsidR="000A6257" w:rsidRPr="00D630D1" w:rsidRDefault="000A6257" w:rsidP="000A6257">
      <w:pPr>
        <w:pStyle w:val="10"/>
        <w:rPr>
          <w:rFonts w:cs="Times New Roman"/>
        </w:rPr>
        <w:sectPr w:rsidR="000A6257" w:rsidRPr="00D630D1" w:rsidSect="00BA4F10">
          <w:headerReference w:type="even" r:id="rId40"/>
          <w:headerReference w:type="default" r:id="rId41"/>
          <w:footerReference w:type="even" r:id="rId42"/>
          <w:headerReference w:type="first" r:id="rId43"/>
          <w:footerReference w:type="first" r:id="rId44"/>
          <w:pgSz w:w="11910" w:h="16840"/>
          <w:pgMar w:top="1440" w:right="1800" w:bottom="1440" w:left="1800" w:header="885" w:footer="1097" w:gutter="0"/>
          <w:pgNumType w:chapStyle="2"/>
          <w:cols w:space="720"/>
          <w:docGrid w:linePitch="326"/>
        </w:sectPr>
      </w:pPr>
    </w:p>
    <w:p w:rsidR="0099742E" w:rsidRPr="00D630D1" w:rsidRDefault="000D4303" w:rsidP="000D4303">
      <w:pPr>
        <w:pStyle w:val="1"/>
        <w:spacing w:before="0" w:beforeAutospacing="0" w:after="0" w:afterAutospacing="0"/>
        <w:rPr>
          <w:rFonts w:eastAsia="宋体"/>
        </w:rPr>
      </w:pPr>
      <w:bookmarkStart w:id="112" w:name="_Toc19815947"/>
      <w:bookmarkStart w:id="113" w:name="_Toc12288392"/>
      <w:bookmarkStart w:id="114" w:name="_Toc81515264"/>
      <w:r w:rsidRPr="00D630D1">
        <w:rPr>
          <w:rFonts w:eastAsia="宋体"/>
        </w:rPr>
        <w:lastRenderedPageBreak/>
        <w:t>3</w:t>
      </w:r>
      <w:r w:rsidR="0099742E" w:rsidRPr="00D630D1">
        <w:rPr>
          <w:rFonts w:eastAsia="宋体"/>
        </w:rPr>
        <w:t xml:space="preserve"> </w:t>
      </w:r>
      <w:r w:rsidR="0099742E" w:rsidRPr="00D630D1">
        <w:rPr>
          <w:rFonts w:eastAsia="宋体"/>
        </w:rPr>
        <w:t>项目</w:t>
      </w:r>
      <w:bookmarkEnd w:id="112"/>
      <w:bookmarkEnd w:id="113"/>
      <w:r w:rsidR="0099742E" w:rsidRPr="00D630D1">
        <w:rPr>
          <w:rFonts w:eastAsia="宋体"/>
        </w:rPr>
        <w:t>概况</w:t>
      </w:r>
      <w:bookmarkEnd w:id="114"/>
    </w:p>
    <w:p w:rsidR="0099742E" w:rsidRPr="00D630D1" w:rsidRDefault="000D4303" w:rsidP="000D4303">
      <w:pPr>
        <w:pStyle w:val="2"/>
        <w:spacing w:before="120"/>
        <w:rPr>
          <w:rFonts w:cs="Times New Roman"/>
        </w:rPr>
      </w:pPr>
      <w:bookmarkStart w:id="115" w:name="_Toc19815948"/>
      <w:bookmarkStart w:id="116" w:name="_Toc12288393"/>
      <w:bookmarkStart w:id="117" w:name="_Toc81515265"/>
      <w:r w:rsidRPr="00D630D1">
        <w:rPr>
          <w:rFonts w:cs="Times New Roman"/>
        </w:rPr>
        <w:t>3</w:t>
      </w:r>
      <w:r w:rsidR="0099742E" w:rsidRPr="00D630D1">
        <w:rPr>
          <w:rFonts w:cs="Times New Roman"/>
        </w:rPr>
        <w:t xml:space="preserve">.1 </w:t>
      </w:r>
      <w:bookmarkEnd w:id="115"/>
      <w:bookmarkEnd w:id="116"/>
      <w:r w:rsidR="0099742E" w:rsidRPr="00D630D1">
        <w:rPr>
          <w:rFonts w:cs="Times New Roman"/>
        </w:rPr>
        <w:t>基本情况</w:t>
      </w:r>
      <w:bookmarkEnd w:id="117"/>
    </w:p>
    <w:p w:rsidR="00117C3D" w:rsidRPr="00D630D1" w:rsidRDefault="008B5B84" w:rsidP="00E72C74">
      <w:pPr>
        <w:pStyle w:val="afa"/>
        <w:ind w:firstLine="480"/>
      </w:pPr>
      <w:bookmarkStart w:id="118" w:name="_Hlk81419011"/>
      <w:r w:rsidRPr="00D630D1">
        <w:t>项目名称：</w:t>
      </w:r>
      <w:r w:rsidR="00D630D1" w:rsidRPr="00D630D1">
        <w:t>普光气田普陆页</w:t>
      </w:r>
      <w:r w:rsidR="00D630D1" w:rsidRPr="00D630D1">
        <w:t>1</w:t>
      </w:r>
      <w:r w:rsidR="00D630D1" w:rsidRPr="00D630D1">
        <w:t>试验井组项目</w:t>
      </w:r>
    </w:p>
    <w:bookmarkEnd w:id="118"/>
    <w:p w:rsidR="00117C3D" w:rsidRPr="00D630D1" w:rsidRDefault="008B5B84" w:rsidP="00E72C74">
      <w:pPr>
        <w:pStyle w:val="afa"/>
        <w:ind w:firstLine="480"/>
      </w:pPr>
      <w:r w:rsidRPr="00D630D1">
        <w:t>建设单位：</w:t>
      </w:r>
      <w:r w:rsidR="00E72C74" w:rsidRPr="00D630D1">
        <w:t>中国石油化工股份有限公司中原油田普光分公司</w:t>
      </w:r>
    </w:p>
    <w:p w:rsidR="00117C3D" w:rsidRPr="00D630D1" w:rsidRDefault="008B5B84" w:rsidP="00E72C74">
      <w:pPr>
        <w:pStyle w:val="afa"/>
        <w:ind w:firstLine="480"/>
      </w:pPr>
      <w:bookmarkStart w:id="119" w:name="_Hlk81419008"/>
      <w:r w:rsidRPr="00D630D1">
        <w:t>建设地点：</w:t>
      </w:r>
      <w:r w:rsidR="00867450">
        <w:rPr>
          <w:rFonts w:hint="eastAsia"/>
        </w:rPr>
        <w:t>四川省达州市</w:t>
      </w:r>
      <w:r w:rsidR="00867450" w:rsidRPr="00867450">
        <w:rPr>
          <w:rFonts w:hint="eastAsia"/>
        </w:rPr>
        <w:t>宣汉县老君乡和普光镇境内</w:t>
      </w:r>
    </w:p>
    <w:p w:rsidR="00F82130" w:rsidRPr="00D630D1" w:rsidRDefault="00F82130" w:rsidP="00E72C74">
      <w:pPr>
        <w:pStyle w:val="afa"/>
        <w:ind w:firstLine="480"/>
      </w:pPr>
      <w:r w:rsidRPr="00D630D1">
        <w:t>项目性质：新建</w:t>
      </w:r>
    </w:p>
    <w:bookmarkEnd w:id="119"/>
    <w:p w:rsidR="000D4303" w:rsidRPr="00D630D1" w:rsidRDefault="008B5B84" w:rsidP="00E72C74">
      <w:pPr>
        <w:pStyle w:val="afa"/>
        <w:ind w:firstLine="480"/>
      </w:pPr>
      <w:r w:rsidRPr="00D630D1">
        <w:t>建设规模：</w:t>
      </w:r>
    </w:p>
    <w:p w:rsidR="00075350" w:rsidRPr="00075350" w:rsidRDefault="00075350" w:rsidP="00075350">
      <w:pPr>
        <w:pStyle w:val="afa"/>
        <w:ind w:firstLine="480"/>
      </w:pPr>
      <w:r w:rsidRPr="00075350">
        <w:rPr>
          <w:rFonts w:hint="eastAsia"/>
        </w:rPr>
        <w:t>根据开发部署试采方案，本次在普光陆相气藏新建普光</w:t>
      </w:r>
      <w:r w:rsidRPr="00075350">
        <w:rPr>
          <w:rFonts w:hint="eastAsia"/>
        </w:rPr>
        <w:t>12</w:t>
      </w:r>
      <w:r w:rsidRPr="00075350">
        <w:rPr>
          <w:rFonts w:hint="eastAsia"/>
        </w:rPr>
        <w:t>采气平台</w:t>
      </w:r>
      <w:r w:rsidRPr="00075350">
        <w:rPr>
          <w:rFonts w:hint="eastAsia"/>
        </w:rPr>
        <w:t>1</w:t>
      </w:r>
      <w:r w:rsidRPr="00075350">
        <w:rPr>
          <w:rFonts w:hint="eastAsia"/>
        </w:rPr>
        <w:t>座，部署页岩气井</w:t>
      </w:r>
      <w:r w:rsidRPr="00075350">
        <w:rPr>
          <w:rFonts w:hint="eastAsia"/>
        </w:rPr>
        <w:t>6</w:t>
      </w:r>
      <w:r w:rsidRPr="00075350">
        <w:rPr>
          <w:rFonts w:hint="eastAsia"/>
        </w:rPr>
        <w:t>口（普陆页</w:t>
      </w:r>
      <w:r w:rsidRPr="00075350">
        <w:rPr>
          <w:rFonts w:hint="eastAsia"/>
        </w:rPr>
        <w:t>1-1~6</w:t>
      </w:r>
      <w:r w:rsidRPr="00075350">
        <w:rPr>
          <w:rFonts w:hint="eastAsia"/>
        </w:rPr>
        <w:t>）</w:t>
      </w:r>
      <w:r w:rsidR="001F1370">
        <w:rPr>
          <w:rFonts w:hint="eastAsia"/>
        </w:rPr>
        <w:t>和</w:t>
      </w:r>
      <w:r w:rsidR="001F1370" w:rsidRPr="001F1370">
        <w:rPr>
          <w:rFonts w:hint="eastAsia"/>
        </w:rPr>
        <w:t>普陆</w:t>
      </w:r>
      <w:r w:rsidR="001F1370" w:rsidRPr="001F1370">
        <w:rPr>
          <w:rFonts w:hint="eastAsia"/>
        </w:rPr>
        <w:t>3-1</w:t>
      </w:r>
      <w:r w:rsidR="001F1370" w:rsidRPr="001F1370">
        <w:rPr>
          <w:rFonts w:hint="eastAsia"/>
        </w:rPr>
        <w:t>井、普陆</w:t>
      </w:r>
      <w:r w:rsidR="001F1370" w:rsidRPr="001F1370">
        <w:rPr>
          <w:rFonts w:hint="eastAsia"/>
        </w:rPr>
        <w:t>3-2</w:t>
      </w:r>
      <w:r w:rsidR="001F1370" w:rsidRPr="001F1370">
        <w:rPr>
          <w:rFonts w:hint="eastAsia"/>
        </w:rPr>
        <w:t>井</w:t>
      </w:r>
      <w:r w:rsidR="001F1370">
        <w:rPr>
          <w:rFonts w:hint="eastAsia"/>
        </w:rPr>
        <w:t>，其中</w:t>
      </w:r>
      <w:r w:rsidR="001F1370" w:rsidRPr="001F1370">
        <w:rPr>
          <w:rFonts w:hint="eastAsia"/>
        </w:rPr>
        <w:t>普陆</w:t>
      </w:r>
      <w:r w:rsidR="001F1370" w:rsidRPr="001F1370">
        <w:rPr>
          <w:rFonts w:hint="eastAsia"/>
        </w:rPr>
        <w:t>3-1</w:t>
      </w:r>
      <w:r w:rsidR="001F1370" w:rsidRPr="001F1370">
        <w:rPr>
          <w:rFonts w:hint="eastAsia"/>
        </w:rPr>
        <w:t>井、普陆</w:t>
      </w:r>
      <w:r w:rsidR="001F1370" w:rsidRPr="001F1370">
        <w:rPr>
          <w:rFonts w:hint="eastAsia"/>
        </w:rPr>
        <w:t>3-2</w:t>
      </w:r>
      <w:r w:rsidR="001F1370" w:rsidRPr="001F1370">
        <w:rPr>
          <w:rFonts w:hint="eastAsia"/>
        </w:rPr>
        <w:t>井</w:t>
      </w:r>
      <w:r w:rsidR="001F1370">
        <w:rPr>
          <w:rFonts w:hint="eastAsia"/>
        </w:rPr>
        <w:t>建设内容不在本次评价范围内</w:t>
      </w:r>
      <w:r w:rsidRPr="00075350">
        <w:rPr>
          <w:rFonts w:hint="eastAsia"/>
        </w:rPr>
        <w:t>。预计</w:t>
      </w:r>
      <w:r w:rsidRPr="00075350">
        <w:rPr>
          <w:rFonts w:hint="eastAsia"/>
        </w:rPr>
        <w:t>6</w:t>
      </w:r>
      <w:r w:rsidRPr="00075350">
        <w:rPr>
          <w:rFonts w:hint="eastAsia"/>
        </w:rPr>
        <w:t>口陆相气井试采</w:t>
      </w:r>
      <w:r w:rsidRPr="00075350">
        <w:t>2</w:t>
      </w:r>
      <w:r w:rsidRPr="00075350">
        <w:rPr>
          <w:rFonts w:hint="eastAsia"/>
        </w:rPr>
        <w:t>年，设计规模</w:t>
      </w:r>
      <w:r w:rsidRPr="00075350">
        <w:t>60</w:t>
      </w:r>
      <w:r w:rsidRPr="00075350">
        <w:rPr>
          <w:rFonts w:hint="eastAsia"/>
        </w:rPr>
        <w:t>万立方米</w:t>
      </w:r>
      <w:r w:rsidRPr="00075350">
        <w:t>/</w:t>
      </w:r>
      <w:r w:rsidRPr="00075350">
        <w:rPr>
          <w:rFonts w:hint="eastAsia"/>
        </w:rPr>
        <w:t>天。</w:t>
      </w:r>
      <w:r w:rsidRPr="00075350">
        <w:t>具体建设内容为：</w:t>
      </w:r>
    </w:p>
    <w:p w:rsidR="00075350" w:rsidRPr="00075350" w:rsidRDefault="00075350" w:rsidP="00075350">
      <w:pPr>
        <w:pStyle w:val="afa"/>
        <w:ind w:firstLine="480"/>
      </w:pPr>
      <w:r w:rsidRPr="00075350">
        <w:t>（</w:t>
      </w:r>
      <w:r w:rsidRPr="00075350">
        <w:t>1</w:t>
      </w:r>
      <w:r w:rsidRPr="00075350">
        <w:t>）</w:t>
      </w:r>
      <w:r w:rsidRPr="00075350">
        <w:rPr>
          <w:rFonts w:hint="eastAsia"/>
        </w:rPr>
        <w:t>气藏地质与气藏工程</w:t>
      </w:r>
    </w:p>
    <w:p w:rsidR="00075350" w:rsidRPr="00075350" w:rsidRDefault="00075350" w:rsidP="00075350">
      <w:pPr>
        <w:pStyle w:val="afa"/>
        <w:ind w:firstLine="480"/>
      </w:pPr>
      <w:r w:rsidRPr="00075350">
        <w:rPr>
          <w:rFonts w:hint="eastAsia"/>
        </w:rPr>
        <w:t>在充分开展普陆页</w:t>
      </w:r>
      <w:r w:rsidRPr="00075350">
        <w:t xml:space="preserve">1 </w:t>
      </w:r>
      <w:r w:rsidRPr="00075350">
        <w:rPr>
          <w:rFonts w:hint="eastAsia"/>
        </w:rPr>
        <w:t>井试采跟踪分析的基础上，综合考虑地质工程一体化、地面地下一体化，优选普光东向斜普光</w:t>
      </w:r>
      <w:r w:rsidRPr="00075350">
        <w:t>12</w:t>
      </w:r>
      <w:r w:rsidRPr="00075350">
        <w:rPr>
          <w:rFonts w:hint="eastAsia"/>
        </w:rPr>
        <w:t>井区，采用“井工厂”开发模式，部署先导试验井组，目的为论证凝析气藏开发技术政策合理性（水平段长度、井距、穿行靶窗等），论证优快钻井可靠性，压裂改造及采气工艺适应性，探索“井工厂”模式提速降本增效，为整体效益开发奠定基础。</w:t>
      </w:r>
    </w:p>
    <w:p w:rsidR="00075350" w:rsidRPr="00075350" w:rsidRDefault="00075350" w:rsidP="00075350">
      <w:pPr>
        <w:pStyle w:val="afa"/>
        <w:ind w:firstLine="480"/>
      </w:pPr>
      <w:r w:rsidRPr="00075350">
        <w:rPr>
          <w:rFonts w:hint="eastAsia"/>
        </w:rPr>
        <w:t>试验井组部署井位</w:t>
      </w:r>
      <w:r w:rsidRPr="00075350">
        <w:t>6</w:t>
      </w:r>
      <w:r w:rsidRPr="00075350">
        <w:rPr>
          <w:rFonts w:hint="eastAsia"/>
        </w:rPr>
        <w:t>口，南北方向各</w:t>
      </w:r>
      <w:r w:rsidRPr="00075350">
        <w:t>3</w:t>
      </w:r>
      <w:r w:rsidRPr="00075350">
        <w:rPr>
          <w:rFonts w:hint="eastAsia"/>
        </w:rPr>
        <w:t>口，井距</w:t>
      </w:r>
      <w:r w:rsidRPr="00075350">
        <w:t>300</w:t>
      </w:r>
      <w:r w:rsidRPr="00075350">
        <w:rPr>
          <w:rFonts w:hint="eastAsia"/>
        </w:rPr>
        <w:t>米。其中北边</w:t>
      </w:r>
      <w:r w:rsidRPr="00075350">
        <w:t>3</w:t>
      </w:r>
      <w:r w:rsidRPr="00075350">
        <w:rPr>
          <w:rFonts w:hint="eastAsia"/>
        </w:rPr>
        <w:t>口普陆页</w:t>
      </w:r>
      <w:r w:rsidRPr="00075350">
        <w:t>1-1</w:t>
      </w:r>
      <w:r w:rsidRPr="00075350">
        <w:rPr>
          <w:rFonts w:hint="eastAsia"/>
        </w:rPr>
        <w:t>、普陆页</w:t>
      </w:r>
      <w:r w:rsidRPr="00075350">
        <w:t>1-2</w:t>
      </w:r>
      <w:r w:rsidRPr="00075350">
        <w:rPr>
          <w:rFonts w:hint="eastAsia"/>
        </w:rPr>
        <w:t>、普陆页</w:t>
      </w:r>
      <w:r w:rsidRPr="00075350">
        <w:t>1-3</w:t>
      </w:r>
      <w:r w:rsidRPr="00075350">
        <w:rPr>
          <w:rFonts w:hint="eastAsia"/>
        </w:rPr>
        <w:t>井，水平段长度均为</w:t>
      </w:r>
      <w:r w:rsidRPr="00075350">
        <w:t>2000</w:t>
      </w:r>
      <w:r w:rsidRPr="00075350">
        <w:rPr>
          <w:rFonts w:hint="eastAsia"/>
        </w:rPr>
        <w:t>米，以论证穿行层位为主；南边</w:t>
      </w:r>
      <w:r w:rsidRPr="00075350">
        <w:t>3</w:t>
      </w:r>
      <w:r w:rsidRPr="00075350">
        <w:rPr>
          <w:rFonts w:hint="eastAsia"/>
        </w:rPr>
        <w:t>口普陆页</w:t>
      </w:r>
      <w:r w:rsidRPr="00075350">
        <w:t>1-4</w:t>
      </w:r>
      <w:r w:rsidRPr="00075350">
        <w:rPr>
          <w:rFonts w:hint="eastAsia"/>
        </w:rPr>
        <w:t>、普陆页</w:t>
      </w:r>
      <w:r w:rsidRPr="00075350">
        <w:t>1-5</w:t>
      </w:r>
      <w:r w:rsidRPr="00075350">
        <w:rPr>
          <w:rFonts w:hint="eastAsia"/>
        </w:rPr>
        <w:t>、普陆页</w:t>
      </w:r>
      <w:r w:rsidRPr="00075350">
        <w:t>1-6</w:t>
      </w:r>
      <w:r w:rsidRPr="00075350">
        <w:rPr>
          <w:rFonts w:hint="eastAsia"/>
        </w:rPr>
        <w:t>井，水平段长度分别为</w:t>
      </w:r>
      <w:r w:rsidRPr="00075350">
        <w:t>2700</w:t>
      </w:r>
      <w:r w:rsidRPr="00075350">
        <w:rPr>
          <w:rFonts w:hint="eastAsia"/>
        </w:rPr>
        <w:t>米、</w:t>
      </w:r>
      <w:r w:rsidRPr="00075350">
        <w:t>3000</w:t>
      </w:r>
      <w:r w:rsidRPr="00075350">
        <w:rPr>
          <w:rFonts w:hint="eastAsia"/>
        </w:rPr>
        <w:t>米和</w:t>
      </w:r>
      <w:r w:rsidRPr="00075350">
        <w:t>3000</w:t>
      </w:r>
      <w:r w:rsidRPr="00075350">
        <w:rPr>
          <w:rFonts w:hint="eastAsia"/>
        </w:rPr>
        <w:t>米，以论证长水平段产能效果为主。试验井组方案预计动用天然气地质储量</w:t>
      </w:r>
      <w:r w:rsidRPr="00075350">
        <w:t>12.14</w:t>
      </w:r>
      <w:r w:rsidRPr="00075350">
        <w:rPr>
          <w:rFonts w:hint="eastAsia"/>
        </w:rPr>
        <w:t>亿立方米，凝析油地质储量</w:t>
      </w:r>
      <w:r w:rsidRPr="00075350">
        <w:t>4.84</w:t>
      </w:r>
      <w:r w:rsidRPr="00075350">
        <w:rPr>
          <w:rFonts w:hint="eastAsia"/>
        </w:rPr>
        <w:t>万吨。预测单井</w:t>
      </w:r>
      <w:r w:rsidRPr="00075350">
        <w:t>EUR1.01</w:t>
      </w:r>
      <w:r w:rsidRPr="00075350">
        <w:rPr>
          <w:rFonts w:hint="eastAsia"/>
        </w:rPr>
        <w:t>～</w:t>
      </w:r>
      <w:r w:rsidRPr="00075350">
        <w:t>1.39</w:t>
      </w:r>
      <w:r w:rsidRPr="00075350">
        <w:rPr>
          <w:rFonts w:hint="eastAsia"/>
        </w:rPr>
        <w:t>亿立方米，凝析油</w:t>
      </w:r>
      <w:r w:rsidRPr="00075350">
        <w:t>0.61</w:t>
      </w:r>
      <w:r w:rsidRPr="00075350">
        <w:rPr>
          <w:rFonts w:hint="eastAsia"/>
        </w:rPr>
        <w:t>～</w:t>
      </w:r>
      <w:r w:rsidRPr="00075350">
        <w:t>0.85</w:t>
      </w:r>
      <w:r w:rsidRPr="00075350">
        <w:rPr>
          <w:rFonts w:hint="eastAsia"/>
        </w:rPr>
        <w:t>万吨。</w:t>
      </w:r>
    </w:p>
    <w:p w:rsidR="00075350" w:rsidRPr="00075350" w:rsidRDefault="00075350" w:rsidP="00075350">
      <w:pPr>
        <w:pStyle w:val="afa"/>
        <w:ind w:firstLine="480"/>
      </w:pPr>
      <w:r w:rsidRPr="00075350">
        <w:t>（</w:t>
      </w:r>
      <w:r w:rsidRPr="00075350">
        <w:t>2</w:t>
      </w:r>
      <w:r w:rsidRPr="00075350">
        <w:t>）</w:t>
      </w:r>
      <w:r w:rsidRPr="00075350">
        <w:rPr>
          <w:rFonts w:hint="eastAsia"/>
        </w:rPr>
        <w:t>钻前工程</w:t>
      </w:r>
    </w:p>
    <w:p w:rsidR="00075350" w:rsidRPr="00075350" w:rsidRDefault="00075350" w:rsidP="00075350">
      <w:pPr>
        <w:pStyle w:val="afa"/>
        <w:ind w:firstLine="480"/>
      </w:pPr>
      <w:r w:rsidRPr="00075350">
        <w:rPr>
          <w:rFonts w:hint="eastAsia"/>
        </w:rPr>
        <w:t>利用原普光</w:t>
      </w:r>
      <w:r w:rsidRPr="00075350">
        <w:t>12</w:t>
      </w:r>
      <w:r w:rsidRPr="00075350">
        <w:rPr>
          <w:rFonts w:hint="eastAsia"/>
        </w:rPr>
        <w:t>井场，新建方井</w:t>
      </w:r>
      <w:r w:rsidRPr="00075350">
        <w:t>6</w:t>
      </w:r>
      <w:r w:rsidRPr="00075350">
        <w:rPr>
          <w:rFonts w:hint="eastAsia"/>
        </w:rPr>
        <w:t>口，加长型井架基础、泥浆泵基础、发电机房基础、循环罐基础等各</w:t>
      </w:r>
      <w:r w:rsidRPr="00075350">
        <w:t>1</w:t>
      </w:r>
      <w:r w:rsidRPr="00075350">
        <w:rPr>
          <w:rFonts w:hint="eastAsia"/>
        </w:rPr>
        <w:t>套，利旧修复原污水池和放喷池各</w:t>
      </w:r>
      <w:r w:rsidRPr="00075350">
        <w:t>1</w:t>
      </w:r>
      <w:r w:rsidRPr="00075350">
        <w:rPr>
          <w:rFonts w:hint="eastAsia"/>
        </w:rPr>
        <w:t>座，新建排水边沟及内排污沟，井场原破损地面修复。</w:t>
      </w:r>
    </w:p>
    <w:p w:rsidR="00075350" w:rsidRPr="00075350" w:rsidRDefault="00075350" w:rsidP="00075350">
      <w:pPr>
        <w:pStyle w:val="afa"/>
        <w:ind w:firstLine="480"/>
        <w:rPr>
          <w:bCs/>
        </w:rPr>
      </w:pPr>
      <w:r w:rsidRPr="00075350">
        <w:rPr>
          <w:rFonts w:hint="eastAsia"/>
        </w:rPr>
        <w:t>（</w:t>
      </w:r>
      <w:r w:rsidRPr="00075350">
        <w:rPr>
          <w:rFonts w:hint="eastAsia"/>
        </w:rPr>
        <w:t>3</w:t>
      </w:r>
      <w:r w:rsidRPr="00075350">
        <w:rPr>
          <w:rFonts w:hint="eastAsia"/>
        </w:rPr>
        <w:t>）</w:t>
      </w:r>
      <w:r w:rsidRPr="00075350">
        <w:rPr>
          <w:rFonts w:hint="eastAsia"/>
          <w:bCs/>
        </w:rPr>
        <w:t>钻井工程</w:t>
      </w:r>
    </w:p>
    <w:p w:rsidR="00075350" w:rsidRPr="00075350" w:rsidRDefault="00075350" w:rsidP="00075350">
      <w:pPr>
        <w:pStyle w:val="afa"/>
        <w:ind w:firstLine="480"/>
      </w:pPr>
      <w:r w:rsidRPr="00075350">
        <w:rPr>
          <w:rFonts w:hint="eastAsia"/>
        </w:rPr>
        <w:t>新钻井</w:t>
      </w:r>
      <w:r w:rsidRPr="00075350">
        <w:t xml:space="preserve">6 </w:t>
      </w:r>
      <w:r w:rsidRPr="00075350">
        <w:rPr>
          <w:rFonts w:hint="eastAsia"/>
        </w:rPr>
        <w:t>口（均为水平井），目的层为千佛崖组，选择</w:t>
      </w:r>
      <w:r w:rsidRPr="00075350">
        <w:t>70</w:t>
      </w:r>
      <w:r w:rsidRPr="00075350">
        <w:rPr>
          <w:rFonts w:hint="eastAsia"/>
        </w:rPr>
        <w:t>型电动滑轨钻机，</w:t>
      </w:r>
      <w:r w:rsidRPr="00075350">
        <w:rPr>
          <w:rFonts w:hint="eastAsia"/>
        </w:rPr>
        <w:lastRenderedPageBreak/>
        <w:t>采用“井工厂”模式，设计“导管</w:t>
      </w:r>
      <w:r w:rsidRPr="00075350">
        <w:t>+</w:t>
      </w:r>
      <w:r w:rsidRPr="00075350">
        <w:rPr>
          <w:rFonts w:hint="eastAsia"/>
        </w:rPr>
        <w:t>二开”井身结构，套管完井。总进尺</w:t>
      </w:r>
      <w:r w:rsidRPr="00075350">
        <w:t>37474</w:t>
      </w:r>
      <w:r w:rsidRPr="00075350">
        <w:rPr>
          <w:rFonts w:hint="eastAsia"/>
        </w:rPr>
        <w:t>米，其中普陆页</w:t>
      </w:r>
      <w:r w:rsidRPr="00075350">
        <w:t>1-1</w:t>
      </w:r>
      <w:r w:rsidRPr="00075350">
        <w:rPr>
          <w:rFonts w:hint="eastAsia"/>
        </w:rPr>
        <w:t>井设计井深</w:t>
      </w:r>
      <w:r w:rsidRPr="00075350">
        <w:t>5986.86</w:t>
      </w:r>
      <w:r w:rsidRPr="00075350">
        <w:rPr>
          <w:rFonts w:hint="eastAsia"/>
        </w:rPr>
        <w:t>米，普陆页</w:t>
      </w:r>
      <w:r w:rsidRPr="00075350">
        <w:t>1-2</w:t>
      </w:r>
      <w:r w:rsidRPr="00075350">
        <w:rPr>
          <w:rFonts w:hint="eastAsia"/>
        </w:rPr>
        <w:t>井设计井深</w:t>
      </w:r>
      <w:r w:rsidRPr="00075350">
        <w:t>5683.92</w:t>
      </w:r>
      <w:r w:rsidRPr="00075350">
        <w:rPr>
          <w:rFonts w:hint="eastAsia"/>
        </w:rPr>
        <w:t>米，普陆页</w:t>
      </w:r>
      <w:r w:rsidRPr="00075350">
        <w:t>1-3</w:t>
      </w:r>
      <w:r w:rsidRPr="00075350">
        <w:rPr>
          <w:rFonts w:hint="eastAsia"/>
        </w:rPr>
        <w:t>井设计井深</w:t>
      </w:r>
      <w:r w:rsidRPr="00075350">
        <w:t>5740.45</w:t>
      </w:r>
      <w:r w:rsidRPr="00075350">
        <w:rPr>
          <w:rFonts w:hint="eastAsia"/>
        </w:rPr>
        <w:t>米，普陆页</w:t>
      </w:r>
      <w:r w:rsidRPr="00075350">
        <w:t>1-4</w:t>
      </w:r>
      <w:r w:rsidRPr="00075350">
        <w:rPr>
          <w:rFonts w:hint="eastAsia"/>
        </w:rPr>
        <w:t>井设计井深</w:t>
      </w:r>
      <w:r w:rsidRPr="00075350">
        <w:t>6488.49</w:t>
      </w:r>
      <w:r w:rsidRPr="00075350">
        <w:rPr>
          <w:rFonts w:hint="eastAsia"/>
        </w:rPr>
        <w:t>米，普陆页</w:t>
      </w:r>
      <w:r w:rsidRPr="00075350">
        <w:t>1-5</w:t>
      </w:r>
      <w:r w:rsidRPr="00075350">
        <w:rPr>
          <w:rFonts w:hint="eastAsia"/>
        </w:rPr>
        <w:t>井设计井深</w:t>
      </w:r>
      <w:r w:rsidRPr="00075350">
        <w:t>6699.35</w:t>
      </w:r>
      <w:r w:rsidRPr="00075350">
        <w:rPr>
          <w:rFonts w:hint="eastAsia"/>
        </w:rPr>
        <w:t>米，普陆页</w:t>
      </w:r>
      <w:r w:rsidRPr="00075350">
        <w:t>1-6</w:t>
      </w:r>
      <w:r w:rsidRPr="00075350">
        <w:rPr>
          <w:rFonts w:hint="eastAsia"/>
        </w:rPr>
        <w:t>井设计井深</w:t>
      </w:r>
      <w:r w:rsidRPr="00075350">
        <w:t>6874.93</w:t>
      </w:r>
      <w:r w:rsidRPr="00075350">
        <w:rPr>
          <w:rFonts w:hint="eastAsia"/>
        </w:rPr>
        <w:t>米。</w:t>
      </w:r>
      <w:r w:rsidRPr="00075350">
        <w:cr/>
      </w:r>
      <w:r w:rsidRPr="00075350">
        <w:rPr>
          <w:rFonts w:hint="eastAsia"/>
        </w:rPr>
        <w:t xml:space="preserve">    </w:t>
      </w:r>
      <w:r w:rsidRPr="00075350">
        <w:rPr>
          <w:rFonts w:hint="eastAsia"/>
        </w:rPr>
        <w:t>（</w:t>
      </w:r>
      <w:r w:rsidRPr="00075350">
        <w:rPr>
          <w:rFonts w:hint="eastAsia"/>
        </w:rPr>
        <w:t>4</w:t>
      </w:r>
      <w:r w:rsidRPr="00075350">
        <w:rPr>
          <w:rFonts w:hint="eastAsia"/>
        </w:rPr>
        <w:t>）采气工程</w:t>
      </w:r>
    </w:p>
    <w:p w:rsidR="00075350" w:rsidRPr="00075350" w:rsidRDefault="00075350" w:rsidP="00075350">
      <w:pPr>
        <w:pStyle w:val="afa"/>
        <w:ind w:firstLine="480"/>
      </w:pPr>
      <w:r w:rsidRPr="00075350">
        <w:t>6</w:t>
      </w:r>
      <w:r w:rsidRPr="00075350">
        <w:rPr>
          <w:rFonts w:hint="eastAsia"/>
        </w:rPr>
        <w:t>口页岩气井均采用“密切割</w:t>
      </w:r>
      <w:r w:rsidRPr="00075350">
        <w:t>+</w:t>
      </w:r>
      <w:r w:rsidRPr="00075350">
        <w:rPr>
          <w:rFonts w:hint="eastAsia"/>
        </w:rPr>
        <w:t>投球</w:t>
      </w:r>
      <w:r w:rsidRPr="00075350">
        <w:t>+</w:t>
      </w:r>
      <w:r w:rsidRPr="00075350">
        <w:rPr>
          <w:rFonts w:hint="eastAsia"/>
        </w:rPr>
        <w:t>缝内暂堵</w:t>
      </w:r>
      <w:r w:rsidRPr="00075350">
        <w:t>+</w:t>
      </w:r>
      <w:r w:rsidRPr="00075350">
        <w:rPr>
          <w:rFonts w:hint="eastAsia"/>
        </w:rPr>
        <w:t>多尺度裂缝强加砂</w:t>
      </w:r>
      <w:r w:rsidRPr="00075350">
        <w:t>+</w:t>
      </w:r>
      <w:r w:rsidRPr="00075350">
        <w:rPr>
          <w:rFonts w:hint="eastAsia"/>
        </w:rPr>
        <w:t>穿层扩体”体积压裂工艺技术，每</w:t>
      </w:r>
      <w:r w:rsidRPr="00075350">
        <w:t>3</w:t>
      </w:r>
      <w:r w:rsidRPr="00075350">
        <w:rPr>
          <w:rFonts w:hint="eastAsia"/>
        </w:rPr>
        <w:t>口井交叉拉链式压裂；套管安装双趾端滑套建立首段压裂通道，其他段采用泵送可溶桥塞</w:t>
      </w:r>
      <w:r w:rsidRPr="00075350">
        <w:t>+</w:t>
      </w:r>
      <w:r w:rsidRPr="00075350">
        <w:rPr>
          <w:rFonts w:hint="eastAsia"/>
        </w:rPr>
        <w:t>电缆簇射孔方式分段压裂，其中普陆页</w:t>
      </w:r>
      <w:r w:rsidRPr="00075350">
        <w:t>1-1</w:t>
      </w:r>
      <w:r w:rsidRPr="00075350">
        <w:rPr>
          <w:rFonts w:hint="eastAsia"/>
        </w:rPr>
        <w:t>分</w:t>
      </w:r>
      <w:r w:rsidRPr="00075350">
        <w:t>25</w:t>
      </w:r>
      <w:r w:rsidRPr="00075350">
        <w:rPr>
          <w:rFonts w:hint="eastAsia"/>
        </w:rPr>
        <w:t>段、总液量</w:t>
      </w:r>
      <w:r w:rsidRPr="00075350">
        <w:t>52500</w:t>
      </w:r>
      <w:r w:rsidRPr="00075350">
        <w:rPr>
          <w:rFonts w:hint="eastAsia"/>
        </w:rPr>
        <w:t>立方米，普陆页</w:t>
      </w:r>
      <w:r w:rsidRPr="00075350">
        <w:t>1-2</w:t>
      </w:r>
      <w:r w:rsidRPr="00075350">
        <w:rPr>
          <w:rFonts w:hint="eastAsia"/>
        </w:rPr>
        <w:t>分</w:t>
      </w:r>
      <w:r w:rsidRPr="00075350">
        <w:t>25</w:t>
      </w:r>
      <w:r w:rsidRPr="00075350">
        <w:rPr>
          <w:rFonts w:hint="eastAsia"/>
        </w:rPr>
        <w:t>段、总液量</w:t>
      </w:r>
      <w:r w:rsidRPr="00075350">
        <w:t>45000</w:t>
      </w:r>
      <w:r w:rsidRPr="00075350">
        <w:rPr>
          <w:rFonts w:hint="eastAsia"/>
        </w:rPr>
        <w:t>立方米，普陆页</w:t>
      </w:r>
      <w:r w:rsidRPr="00075350">
        <w:t>1-3</w:t>
      </w:r>
      <w:r w:rsidRPr="00075350">
        <w:rPr>
          <w:rFonts w:hint="eastAsia"/>
        </w:rPr>
        <w:t>分</w:t>
      </w:r>
      <w:r w:rsidRPr="00075350">
        <w:t>25</w:t>
      </w:r>
      <w:r w:rsidRPr="00075350">
        <w:rPr>
          <w:rFonts w:hint="eastAsia"/>
        </w:rPr>
        <w:t>段、总液量</w:t>
      </w:r>
      <w:r w:rsidRPr="00075350">
        <w:t>52500</w:t>
      </w:r>
      <w:r w:rsidRPr="00075350">
        <w:rPr>
          <w:rFonts w:hint="eastAsia"/>
        </w:rPr>
        <w:t>立方米，普陆页</w:t>
      </w:r>
      <w:r w:rsidRPr="00075350">
        <w:t>1-4</w:t>
      </w:r>
      <w:r w:rsidRPr="00075350">
        <w:rPr>
          <w:rFonts w:hint="eastAsia"/>
        </w:rPr>
        <w:t>分</w:t>
      </w:r>
      <w:r w:rsidRPr="00075350">
        <w:t>34</w:t>
      </w:r>
      <w:r w:rsidRPr="00075350">
        <w:rPr>
          <w:rFonts w:hint="eastAsia"/>
        </w:rPr>
        <w:t>段、总液量</w:t>
      </w:r>
      <w:r w:rsidRPr="00075350">
        <w:t>54400</w:t>
      </w:r>
      <w:r w:rsidRPr="00075350">
        <w:rPr>
          <w:rFonts w:hint="eastAsia"/>
        </w:rPr>
        <w:t>立方米，普陆页</w:t>
      </w:r>
      <w:r w:rsidRPr="00075350">
        <w:t>1-5</w:t>
      </w:r>
      <w:r w:rsidRPr="00075350">
        <w:rPr>
          <w:rFonts w:hint="eastAsia"/>
        </w:rPr>
        <w:t>分</w:t>
      </w:r>
      <w:r w:rsidRPr="00075350">
        <w:t>38</w:t>
      </w:r>
      <w:r w:rsidRPr="00075350">
        <w:rPr>
          <w:rFonts w:hint="eastAsia"/>
        </w:rPr>
        <w:t>段、总液量</w:t>
      </w:r>
      <w:r w:rsidRPr="00075350">
        <w:t>60800</w:t>
      </w:r>
      <w:r w:rsidRPr="00075350">
        <w:rPr>
          <w:rFonts w:hint="eastAsia"/>
        </w:rPr>
        <w:t>立方米，普陆页</w:t>
      </w:r>
      <w:r w:rsidRPr="00075350">
        <w:t>1-6</w:t>
      </w:r>
      <w:r w:rsidRPr="00075350">
        <w:rPr>
          <w:rFonts w:hint="eastAsia"/>
        </w:rPr>
        <w:t>分</w:t>
      </w:r>
      <w:r w:rsidRPr="00075350">
        <w:t>38</w:t>
      </w:r>
      <w:r w:rsidRPr="00075350">
        <w:rPr>
          <w:rFonts w:hint="eastAsia"/>
        </w:rPr>
        <w:t>段、总液量</w:t>
      </w:r>
      <w:r w:rsidRPr="00075350">
        <w:t>68400</w:t>
      </w:r>
      <w:r w:rsidRPr="00075350">
        <w:rPr>
          <w:rFonts w:hint="eastAsia"/>
        </w:rPr>
        <w:t>立方米；带压下</w:t>
      </w:r>
      <w:r w:rsidRPr="00075350">
        <w:t>73</w:t>
      </w:r>
      <w:r w:rsidRPr="00075350">
        <w:rPr>
          <w:rFonts w:hint="eastAsia"/>
        </w:rPr>
        <w:t>毫米完井管柱；采气井口为</w:t>
      </w:r>
      <w:r w:rsidRPr="00075350">
        <w:t>70</w:t>
      </w:r>
      <w:r w:rsidRPr="00075350">
        <w:rPr>
          <w:rFonts w:hint="eastAsia"/>
        </w:rPr>
        <w:t>兆帕</w:t>
      </w:r>
      <w:r w:rsidRPr="00075350">
        <w:t>DD</w:t>
      </w:r>
      <w:r w:rsidRPr="00075350">
        <w:rPr>
          <w:rFonts w:hint="eastAsia"/>
        </w:rPr>
        <w:t>级采气树、压裂井口为</w:t>
      </w:r>
      <w:r w:rsidRPr="00075350">
        <w:t>140</w:t>
      </w:r>
      <w:r w:rsidRPr="00075350">
        <w:rPr>
          <w:rFonts w:hint="eastAsia"/>
        </w:rPr>
        <w:t>兆帕</w:t>
      </w:r>
      <w:r w:rsidRPr="00075350">
        <w:t>DD</w:t>
      </w:r>
      <w:r w:rsidRPr="00075350">
        <w:rPr>
          <w:rFonts w:hint="eastAsia"/>
        </w:rPr>
        <w:t>级；放喷流程为</w:t>
      </w:r>
      <w:r w:rsidRPr="00075350">
        <w:t>105-70</w:t>
      </w:r>
      <w:r w:rsidRPr="00075350">
        <w:rPr>
          <w:rFonts w:hint="eastAsia"/>
        </w:rPr>
        <w:t>兆帕</w:t>
      </w:r>
      <w:r w:rsidRPr="00075350">
        <w:t>DD</w:t>
      </w:r>
      <w:r w:rsidRPr="00075350">
        <w:rPr>
          <w:rFonts w:hint="eastAsia"/>
        </w:rPr>
        <w:t>级二级节流。</w:t>
      </w:r>
    </w:p>
    <w:p w:rsidR="00075350" w:rsidRPr="00075350" w:rsidRDefault="00075350" w:rsidP="00075350">
      <w:pPr>
        <w:pStyle w:val="afa"/>
        <w:ind w:firstLine="480"/>
      </w:pPr>
      <w:r w:rsidRPr="00075350">
        <w:rPr>
          <w:rFonts w:hint="eastAsia"/>
        </w:rPr>
        <w:t>（</w:t>
      </w:r>
      <w:r w:rsidRPr="00075350">
        <w:rPr>
          <w:rFonts w:hint="eastAsia"/>
        </w:rPr>
        <w:t>5</w:t>
      </w:r>
      <w:r w:rsidRPr="00075350">
        <w:rPr>
          <w:rFonts w:hint="eastAsia"/>
        </w:rPr>
        <w:t>）地面集输工程</w:t>
      </w:r>
    </w:p>
    <w:p w:rsidR="00075350" w:rsidRPr="00075350" w:rsidRDefault="00075350" w:rsidP="00075350">
      <w:pPr>
        <w:pStyle w:val="afa"/>
        <w:ind w:firstLine="480"/>
      </w:pPr>
      <w:r w:rsidRPr="00075350">
        <w:rPr>
          <w:rFonts w:hint="eastAsia"/>
        </w:rPr>
        <w:t>新建普光</w:t>
      </w:r>
      <w:r w:rsidRPr="00075350">
        <w:t>12</w:t>
      </w:r>
      <w:r w:rsidRPr="00075350">
        <w:rPr>
          <w:rFonts w:hint="eastAsia"/>
        </w:rPr>
        <w:t>采气平台</w:t>
      </w:r>
      <w:r w:rsidRPr="00075350">
        <w:t xml:space="preserve">1 </w:t>
      </w:r>
      <w:r w:rsidRPr="00075350">
        <w:rPr>
          <w:rFonts w:hint="eastAsia"/>
        </w:rPr>
        <w:t>座，设计规模</w:t>
      </w:r>
      <w:r w:rsidRPr="00075350">
        <w:t>60</w:t>
      </w:r>
      <w:r w:rsidRPr="00075350">
        <w:rPr>
          <w:rFonts w:hint="eastAsia"/>
        </w:rPr>
        <w:t>万立方米</w:t>
      </w:r>
      <w:r w:rsidRPr="00075350">
        <w:t>/</w:t>
      </w:r>
      <w:r w:rsidRPr="00075350">
        <w:rPr>
          <w:rFonts w:hint="eastAsia"/>
        </w:rPr>
        <w:t>天，采用“加热节流、带液计量、重力分离、低压闪蒸、预留增压接口、近期油水拉运、远期油水管输”集输工艺。平台内配套集输工艺、仪控、通信、消防、给排水等。</w:t>
      </w:r>
      <w:r w:rsidR="001B32FD">
        <w:rPr>
          <w:rFonts w:hint="eastAsia"/>
        </w:rPr>
        <w:t>新建普光</w:t>
      </w:r>
      <w:r w:rsidR="001B32FD">
        <w:rPr>
          <w:rFonts w:hint="eastAsia"/>
        </w:rPr>
        <w:t>12</w:t>
      </w:r>
      <w:r w:rsidR="001B32FD">
        <w:rPr>
          <w:rFonts w:hint="eastAsia"/>
        </w:rPr>
        <w:t>采气站</w:t>
      </w:r>
      <w:r w:rsidR="001B32FD">
        <w:rPr>
          <w:rFonts w:hint="eastAsia"/>
        </w:rPr>
        <w:t>~</w:t>
      </w:r>
      <w:r w:rsidR="001B32FD">
        <w:rPr>
          <w:rFonts w:hint="eastAsia"/>
        </w:rPr>
        <w:t>普陆</w:t>
      </w:r>
      <w:r w:rsidR="001B32FD">
        <w:rPr>
          <w:rFonts w:hint="eastAsia"/>
        </w:rPr>
        <w:t>3</w:t>
      </w:r>
      <w:r w:rsidR="001B32FD">
        <w:rPr>
          <w:rFonts w:hint="eastAsia"/>
        </w:rPr>
        <w:t>集气站集输管线</w:t>
      </w:r>
      <w:r w:rsidR="001B32FD">
        <w:rPr>
          <w:rFonts w:hint="eastAsia"/>
        </w:rPr>
        <w:t>1</w:t>
      </w:r>
      <w:r w:rsidR="001B32FD">
        <w:rPr>
          <w:rFonts w:hint="eastAsia"/>
        </w:rPr>
        <w:t>条，</w:t>
      </w:r>
      <w:r w:rsidR="001B32FD" w:rsidRPr="001B32FD">
        <w:rPr>
          <w:rFonts w:hint="eastAsia"/>
        </w:rPr>
        <w:t>设计压力</w:t>
      </w:r>
      <w:r w:rsidR="001B32FD" w:rsidRPr="001B32FD">
        <w:rPr>
          <w:rFonts w:hint="eastAsia"/>
        </w:rPr>
        <w:t>11MPa</w:t>
      </w:r>
      <w:r w:rsidR="001B32FD">
        <w:rPr>
          <w:rFonts w:hint="eastAsia"/>
        </w:rPr>
        <w:t>，</w:t>
      </w:r>
      <w:r w:rsidR="001B32FD" w:rsidRPr="001B32FD">
        <w:t>材质为</w:t>
      </w:r>
      <w:r w:rsidR="001B32FD" w:rsidRPr="001B32FD">
        <w:rPr>
          <w:rFonts w:hint="eastAsia"/>
        </w:rPr>
        <w:t>L</w:t>
      </w:r>
      <w:r w:rsidR="001B32FD" w:rsidRPr="001B32FD">
        <w:t>245</w:t>
      </w:r>
      <w:r w:rsidR="001B32FD" w:rsidRPr="001B32FD">
        <w:rPr>
          <w:rFonts w:hint="eastAsia"/>
        </w:rPr>
        <w:t>N</w:t>
      </w:r>
      <w:r w:rsidR="001B32FD" w:rsidRPr="001B32FD">
        <w:rPr>
          <w:rFonts w:hint="eastAsia"/>
        </w:rPr>
        <w:t>无缝钢管</w:t>
      </w:r>
      <w:r w:rsidR="001B32FD" w:rsidRPr="001B32FD">
        <w:rPr>
          <w:rFonts w:hint="eastAsia"/>
        </w:rPr>
        <w:t>PSL2</w:t>
      </w:r>
      <w:r w:rsidR="001B32FD">
        <w:rPr>
          <w:rFonts w:hint="eastAsia"/>
        </w:rPr>
        <w:t>，管径</w:t>
      </w:r>
      <w:r w:rsidR="001B32FD">
        <w:rPr>
          <w:rFonts w:hint="eastAsia"/>
        </w:rPr>
        <w:t>DN200</w:t>
      </w:r>
      <w:r w:rsidR="001B32FD">
        <w:rPr>
          <w:rFonts w:hint="eastAsia"/>
        </w:rPr>
        <w:t>，长度约</w:t>
      </w:r>
      <w:r w:rsidR="001B32FD">
        <w:rPr>
          <w:rFonts w:hint="eastAsia"/>
        </w:rPr>
        <w:t>3km</w:t>
      </w:r>
      <w:r w:rsidR="001B32FD">
        <w:rPr>
          <w:rFonts w:hint="eastAsia"/>
        </w:rPr>
        <w:t>；新建普陆</w:t>
      </w:r>
      <w:r w:rsidR="001B32FD">
        <w:rPr>
          <w:rFonts w:hint="eastAsia"/>
        </w:rPr>
        <w:t>3</w:t>
      </w:r>
      <w:r w:rsidR="001B32FD">
        <w:rPr>
          <w:rFonts w:hint="eastAsia"/>
        </w:rPr>
        <w:t>集气站</w:t>
      </w:r>
      <w:r w:rsidR="001B32FD">
        <w:rPr>
          <w:rFonts w:hint="eastAsia"/>
        </w:rPr>
        <w:t>~P105</w:t>
      </w:r>
      <w:r w:rsidR="001B32FD">
        <w:rPr>
          <w:rFonts w:hint="eastAsia"/>
        </w:rPr>
        <w:t>集气站集输管线</w:t>
      </w:r>
      <w:r w:rsidR="001B32FD">
        <w:rPr>
          <w:rFonts w:hint="eastAsia"/>
        </w:rPr>
        <w:t>1</w:t>
      </w:r>
      <w:r w:rsidR="001B32FD">
        <w:rPr>
          <w:rFonts w:hint="eastAsia"/>
        </w:rPr>
        <w:t>条，</w:t>
      </w:r>
      <w:r w:rsidR="001B32FD" w:rsidRPr="001B32FD">
        <w:rPr>
          <w:rFonts w:hint="eastAsia"/>
        </w:rPr>
        <w:t>设计压力</w:t>
      </w:r>
      <w:r w:rsidR="001B32FD" w:rsidRPr="001B32FD">
        <w:rPr>
          <w:rFonts w:hint="eastAsia"/>
        </w:rPr>
        <w:t>11MPa</w:t>
      </w:r>
      <w:r w:rsidR="001B32FD">
        <w:rPr>
          <w:rFonts w:hint="eastAsia"/>
        </w:rPr>
        <w:t>，</w:t>
      </w:r>
      <w:r w:rsidR="001B32FD" w:rsidRPr="001B32FD">
        <w:t>材质为</w:t>
      </w:r>
      <w:r w:rsidR="001B32FD" w:rsidRPr="001B32FD">
        <w:rPr>
          <w:rFonts w:hint="eastAsia"/>
        </w:rPr>
        <w:t>L</w:t>
      </w:r>
      <w:r w:rsidR="001B32FD" w:rsidRPr="001B32FD">
        <w:t>245</w:t>
      </w:r>
      <w:r w:rsidR="001B32FD">
        <w:rPr>
          <w:rFonts w:hint="eastAsia"/>
        </w:rPr>
        <w:t>N</w:t>
      </w:r>
      <w:r w:rsidR="001B32FD" w:rsidRPr="001B32FD">
        <w:rPr>
          <w:rFonts w:hint="eastAsia"/>
        </w:rPr>
        <w:t>无缝钢管</w:t>
      </w:r>
      <w:r w:rsidR="001B32FD" w:rsidRPr="001B32FD">
        <w:rPr>
          <w:rFonts w:hint="eastAsia"/>
        </w:rPr>
        <w:t>PSL2</w:t>
      </w:r>
      <w:r w:rsidR="001B32FD">
        <w:rPr>
          <w:rFonts w:hint="eastAsia"/>
        </w:rPr>
        <w:t>，管径</w:t>
      </w:r>
      <w:r w:rsidR="001B32FD">
        <w:rPr>
          <w:rFonts w:hint="eastAsia"/>
        </w:rPr>
        <w:t>DN150</w:t>
      </w:r>
      <w:r w:rsidR="001B32FD">
        <w:rPr>
          <w:rFonts w:hint="eastAsia"/>
        </w:rPr>
        <w:t>，长度约</w:t>
      </w:r>
      <w:r w:rsidR="001B32FD">
        <w:rPr>
          <w:rFonts w:hint="eastAsia"/>
        </w:rPr>
        <w:t>0.98km</w:t>
      </w:r>
      <w:r>
        <w:rPr>
          <w:rFonts w:hint="eastAsia"/>
        </w:rPr>
        <w:t>。</w:t>
      </w:r>
    </w:p>
    <w:p w:rsidR="00117C3D" w:rsidRPr="00D630D1" w:rsidRDefault="00895B09" w:rsidP="00075350">
      <w:pPr>
        <w:pStyle w:val="afa"/>
        <w:ind w:firstLine="480"/>
      </w:pPr>
      <w:r w:rsidRPr="00895B09">
        <w:rPr>
          <w:rFonts w:hint="eastAsia"/>
        </w:rPr>
        <w:t>本</w:t>
      </w:r>
      <w:r w:rsidRPr="00895B09">
        <w:t>项目总投资</w:t>
      </w:r>
      <w:r w:rsidRPr="00895B09">
        <w:t>38141.6</w:t>
      </w:r>
      <w:r w:rsidRPr="00895B09">
        <w:t>万元，其中环保投资</w:t>
      </w:r>
      <w:r w:rsidRPr="00895B09">
        <w:rPr>
          <w:rFonts w:hint="eastAsia"/>
        </w:rPr>
        <w:t>187</w:t>
      </w:r>
      <w:r w:rsidRPr="00895B09">
        <w:t>0</w:t>
      </w:r>
      <w:r w:rsidRPr="00895B09">
        <w:t>万元，占项目总投资的</w:t>
      </w:r>
      <w:r w:rsidRPr="00895B09">
        <w:rPr>
          <w:rFonts w:hint="eastAsia"/>
        </w:rPr>
        <w:t>4.9</w:t>
      </w:r>
      <w:r w:rsidRPr="00895B09">
        <w:t>%</w:t>
      </w:r>
      <w:r w:rsidR="00BE31F0" w:rsidRPr="00D630D1">
        <w:t>。</w:t>
      </w:r>
    </w:p>
    <w:p w:rsidR="00117C3D" w:rsidRPr="00D630D1" w:rsidRDefault="000D4303" w:rsidP="000D4303">
      <w:pPr>
        <w:pStyle w:val="2"/>
        <w:spacing w:before="120"/>
        <w:rPr>
          <w:rFonts w:cs="Times New Roman"/>
        </w:rPr>
      </w:pPr>
      <w:bookmarkStart w:id="120" w:name="bookmark12"/>
      <w:bookmarkStart w:id="121" w:name="bookmark11"/>
      <w:bookmarkStart w:id="122" w:name="_Toc12288395"/>
      <w:bookmarkStart w:id="123" w:name="_Toc19815950"/>
      <w:bookmarkStart w:id="124" w:name="_Toc81515266"/>
      <w:bookmarkEnd w:id="120"/>
      <w:bookmarkEnd w:id="121"/>
      <w:r w:rsidRPr="00D630D1">
        <w:rPr>
          <w:rFonts w:cs="Times New Roman"/>
        </w:rPr>
        <w:t>3</w:t>
      </w:r>
      <w:r w:rsidR="008B5B84" w:rsidRPr="00D630D1">
        <w:rPr>
          <w:rFonts w:cs="Times New Roman"/>
        </w:rPr>
        <w:t xml:space="preserve">.2 </w:t>
      </w:r>
      <w:r w:rsidR="008B5B84" w:rsidRPr="00D630D1">
        <w:rPr>
          <w:rFonts w:cs="Times New Roman"/>
        </w:rPr>
        <w:t>工程规模及项目组成</w:t>
      </w:r>
      <w:bookmarkEnd w:id="122"/>
      <w:bookmarkEnd w:id="123"/>
      <w:bookmarkEnd w:id="124"/>
    </w:p>
    <w:p w:rsidR="00117C3D" w:rsidRPr="00D630D1" w:rsidRDefault="000D4303">
      <w:pPr>
        <w:pStyle w:val="3"/>
        <w:rPr>
          <w:rFonts w:eastAsia="宋体"/>
        </w:rPr>
      </w:pPr>
      <w:bookmarkStart w:id="125" w:name="_Toc19815951"/>
      <w:bookmarkStart w:id="126" w:name="_Toc12288396"/>
      <w:r w:rsidRPr="00D630D1">
        <w:rPr>
          <w:rFonts w:eastAsia="宋体"/>
        </w:rPr>
        <w:t>3</w:t>
      </w:r>
      <w:r w:rsidR="008B5B84" w:rsidRPr="00D630D1">
        <w:rPr>
          <w:rFonts w:eastAsia="宋体"/>
        </w:rPr>
        <w:t xml:space="preserve">.2.1 </w:t>
      </w:r>
      <w:r w:rsidR="008B5B84" w:rsidRPr="00D630D1">
        <w:rPr>
          <w:rFonts w:eastAsia="宋体"/>
        </w:rPr>
        <w:t>工程规模</w:t>
      </w:r>
      <w:bookmarkEnd w:id="125"/>
      <w:bookmarkEnd w:id="126"/>
    </w:p>
    <w:p w:rsidR="00075350" w:rsidRPr="00D630D1" w:rsidRDefault="00075350" w:rsidP="00075350">
      <w:pPr>
        <w:pStyle w:val="afa"/>
        <w:ind w:firstLine="480"/>
      </w:pPr>
      <w:bookmarkStart w:id="127" w:name="_Hlk26520136"/>
      <w:r w:rsidRPr="000819D9">
        <w:rPr>
          <w:rFonts w:hint="eastAsia"/>
        </w:rPr>
        <w:t>根据开发部署试采方案，</w:t>
      </w:r>
      <w:r>
        <w:rPr>
          <w:rFonts w:hint="eastAsia"/>
        </w:rPr>
        <w:t>本次在普光陆相气藏新建普光</w:t>
      </w:r>
      <w:r>
        <w:rPr>
          <w:rFonts w:hint="eastAsia"/>
        </w:rPr>
        <w:t>12</w:t>
      </w:r>
      <w:r>
        <w:rPr>
          <w:rFonts w:hint="eastAsia"/>
        </w:rPr>
        <w:t>采气平台</w:t>
      </w:r>
      <w:r>
        <w:rPr>
          <w:rFonts w:hint="eastAsia"/>
        </w:rPr>
        <w:t>1</w:t>
      </w:r>
      <w:r>
        <w:rPr>
          <w:rFonts w:hint="eastAsia"/>
        </w:rPr>
        <w:t>座，部署页岩气井</w:t>
      </w:r>
      <w:r>
        <w:rPr>
          <w:rFonts w:hint="eastAsia"/>
        </w:rPr>
        <w:t>6</w:t>
      </w:r>
      <w:r>
        <w:rPr>
          <w:rFonts w:hint="eastAsia"/>
        </w:rPr>
        <w:t>口（普陆页</w:t>
      </w:r>
      <w:r>
        <w:rPr>
          <w:rFonts w:hint="eastAsia"/>
        </w:rPr>
        <w:t>1-1~6</w:t>
      </w:r>
      <w:r>
        <w:rPr>
          <w:rFonts w:hint="eastAsia"/>
        </w:rPr>
        <w:t>）</w:t>
      </w:r>
      <w:r w:rsidR="001F1370">
        <w:rPr>
          <w:rFonts w:hint="eastAsia"/>
        </w:rPr>
        <w:t>和</w:t>
      </w:r>
      <w:r w:rsidR="001F1370" w:rsidRPr="001F1370">
        <w:rPr>
          <w:rFonts w:hint="eastAsia"/>
        </w:rPr>
        <w:t>普陆</w:t>
      </w:r>
      <w:r w:rsidR="001F1370" w:rsidRPr="001F1370">
        <w:rPr>
          <w:rFonts w:hint="eastAsia"/>
        </w:rPr>
        <w:t>3-1</w:t>
      </w:r>
      <w:r w:rsidR="001F1370" w:rsidRPr="001F1370">
        <w:rPr>
          <w:rFonts w:hint="eastAsia"/>
        </w:rPr>
        <w:t>井、普陆</w:t>
      </w:r>
      <w:r w:rsidR="001F1370" w:rsidRPr="001F1370">
        <w:rPr>
          <w:rFonts w:hint="eastAsia"/>
        </w:rPr>
        <w:t>3-2</w:t>
      </w:r>
      <w:r w:rsidR="001F1370" w:rsidRPr="001F1370">
        <w:rPr>
          <w:rFonts w:hint="eastAsia"/>
        </w:rPr>
        <w:t>井</w:t>
      </w:r>
      <w:r w:rsidR="001F1370">
        <w:rPr>
          <w:rFonts w:hint="eastAsia"/>
        </w:rPr>
        <w:t>，其中</w:t>
      </w:r>
      <w:r w:rsidR="001F1370" w:rsidRPr="001F1370">
        <w:rPr>
          <w:rFonts w:hint="eastAsia"/>
        </w:rPr>
        <w:t>普陆</w:t>
      </w:r>
      <w:r w:rsidR="001F1370" w:rsidRPr="001F1370">
        <w:rPr>
          <w:rFonts w:hint="eastAsia"/>
        </w:rPr>
        <w:t>3-1</w:t>
      </w:r>
      <w:r w:rsidR="001F1370" w:rsidRPr="001F1370">
        <w:rPr>
          <w:rFonts w:hint="eastAsia"/>
        </w:rPr>
        <w:t>井、普陆</w:t>
      </w:r>
      <w:r w:rsidR="001F1370" w:rsidRPr="001F1370">
        <w:rPr>
          <w:rFonts w:hint="eastAsia"/>
        </w:rPr>
        <w:t>3-2</w:t>
      </w:r>
      <w:r w:rsidR="001F1370" w:rsidRPr="001F1370">
        <w:rPr>
          <w:rFonts w:hint="eastAsia"/>
        </w:rPr>
        <w:t>井</w:t>
      </w:r>
      <w:r w:rsidR="001F1370">
        <w:rPr>
          <w:rFonts w:hint="eastAsia"/>
        </w:rPr>
        <w:t>建设内容不在本次评价范围内</w:t>
      </w:r>
      <w:r w:rsidRPr="000819D9">
        <w:rPr>
          <w:rFonts w:hint="eastAsia"/>
        </w:rPr>
        <w:t>。预计</w:t>
      </w:r>
      <w:r>
        <w:rPr>
          <w:rFonts w:hint="eastAsia"/>
        </w:rPr>
        <w:t>6</w:t>
      </w:r>
      <w:r w:rsidRPr="000819D9">
        <w:rPr>
          <w:rFonts w:hint="eastAsia"/>
        </w:rPr>
        <w:t>口陆相气井试采</w:t>
      </w:r>
      <w:r w:rsidRPr="000819D9">
        <w:t>2</w:t>
      </w:r>
      <w:r w:rsidRPr="000819D9">
        <w:rPr>
          <w:rFonts w:hint="eastAsia"/>
        </w:rPr>
        <w:t>年，</w:t>
      </w:r>
      <w:r w:rsidRPr="002F5050">
        <w:rPr>
          <w:rFonts w:hint="eastAsia"/>
        </w:rPr>
        <w:t>设计规模</w:t>
      </w:r>
      <w:r w:rsidRPr="002F5050">
        <w:t>60</w:t>
      </w:r>
      <w:r w:rsidRPr="002F5050">
        <w:rPr>
          <w:rFonts w:hint="eastAsia"/>
        </w:rPr>
        <w:t>万立方米</w:t>
      </w:r>
      <w:r w:rsidRPr="002F5050">
        <w:t>/</w:t>
      </w:r>
      <w:r w:rsidRPr="002F5050">
        <w:rPr>
          <w:rFonts w:hint="eastAsia"/>
        </w:rPr>
        <w:t>天</w:t>
      </w:r>
      <w:r w:rsidRPr="000819D9">
        <w:rPr>
          <w:rFonts w:hint="eastAsia"/>
        </w:rPr>
        <w:t>。</w:t>
      </w:r>
      <w:r w:rsidRPr="00D630D1">
        <w:t>具体建设内容为：</w:t>
      </w:r>
    </w:p>
    <w:p w:rsidR="00075350" w:rsidRPr="00D630D1" w:rsidRDefault="00075350" w:rsidP="00075350">
      <w:pPr>
        <w:pStyle w:val="afa"/>
        <w:ind w:firstLine="480"/>
      </w:pPr>
      <w:r w:rsidRPr="00D630D1">
        <w:t>（</w:t>
      </w:r>
      <w:r w:rsidRPr="00D630D1">
        <w:t>1</w:t>
      </w:r>
      <w:r w:rsidRPr="00D630D1">
        <w:t>）</w:t>
      </w:r>
      <w:r w:rsidRPr="00D630D1">
        <w:rPr>
          <w:rFonts w:hint="eastAsia"/>
        </w:rPr>
        <w:t>气藏地质与气藏工程</w:t>
      </w:r>
    </w:p>
    <w:p w:rsidR="00075350" w:rsidRDefault="00075350" w:rsidP="00075350">
      <w:pPr>
        <w:pStyle w:val="afa"/>
        <w:ind w:firstLine="480"/>
      </w:pPr>
      <w:r w:rsidRPr="00C2778A">
        <w:rPr>
          <w:rFonts w:hint="eastAsia"/>
        </w:rPr>
        <w:t>在充分开展普陆页</w:t>
      </w:r>
      <w:r w:rsidRPr="00C2778A">
        <w:t xml:space="preserve">1 </w:t>
      </w:r>
      <w:r w:rsidRPr="00C2778A">
        <w:rPr>
          <w:rFonts w:hint="eastAsia"/>
        </w:rPr>
        <w:t>井试采跟踪分析的基础上，综合考虑地质工程一体化、</w:t>
      </w:r>
      <w:r w:rsidRPr="00C2778A">
        <w:rPr>
          <w:rFonts w:hint="eastAsia"/>
        </w:rPr>
        <w:lastRenderedPageBreak/>
        <w:t>地面地下一体化，优选普光东向斜普光</w:t>
      </w:r>
      <w:r w:rsidRPr="00C2778A">
        <w:t>12</w:t>
      </w:r>
      <w:r w:rsidRPr="00C2778A">
        <w:rPr>
          <w:rFonts w:hint="eastAsia"/>
        </w:rPr>
        <w:t>井区，采用“井工厂”开发模式，部署先导试验井组，目的为论证凝析气藏开发技术政策合理性（水平段长度、井距、穿行靶窗等），论证优快钻井可靠性，压裂改造及采气工艺适应性，探索“井工厂”模式提速降本增效，为整体效益开发奠定基础</w:t>
      </w:r>
      <w:r w:rsidRPr="00D630D1">
        <w:rPr>
          <w:rFonts w:hint="eastAsia"/>
        </w:rPr>
        <w:t>。</w:t>
      </w:r>
    </w:p>
    <w:p w:rsidR="00075350" w:rsidRPr="00C2778A" w:rsidRDefault="00075350" w:rsidP="00075350">
      <w:pPr>
        <w:pStyle w:val="afa"/>
        <w:ind w:firstLine="480"/>
      </w:pPr>
      <w:r w:rsidRPr="00C2778A">
        <w:rPr>
          <w:rFonts w:hint="eastAsia"/>
        </w:rPr>
        <w:t>试验井组部署井位</w:t>
      </w:r>
      <w:r w:rsidRPr="00C2778A">
        <w:t>6</w:t>
      </w:r>
      <w:r w:rsidRPr="00C2778A">
        <w:rPr>
          <w:rFonts w:hint="eastAsia"/>
        </w:rPr>
        <w:t>口，南北方向各</w:t>
      </w:r>
      <w:r w:rsidRPr="00C2778A">
        <w:t>3</w:t>
      </w:r>
      <w:r w:rsidRPr="00C2778A">
        <w:rPr>
          <w:rFonts w:hint="eastAsia"/>
        </w:rPr>
        <w:t>口，井距</w:t>
      </w:r>
      <w:r w:rsidRPr="00C2778A">
        <w:t>300</w:t>
      </w:r>
      <w:r w:rsidRPr="00C2778A">
        <w:rPr>
          <w:rFonts w:hint="eastAsia"/>
        </w:rPr>
        <w:t>米。其中北边</w:t>
      </w:r>
      <w:r w:rsidRPr="00C2778A">
        <w:t>3</w:t>
      </w:r>
      <w:r w:rsidRPr="00C2778A">
        <w:rPr>
          <w:rFonts w:hint="eastAsia"/>
        </w:rPr>
        <w:t>口普陆页</w:t>
      </w:r>
      <w:r w:rsidRPr="00C2778A">
        <w:t>1-1</w:t>
      </w:r>
      <w:r w:rsidRPr="00C2778A">
        <w:rPr>
          <w:rFonts w:hint="eastAsia"/>
        </w:rPr>
        <w:t>、普陆页</w:t>
      </w:r>
      <w:r w:rsidRPr="00C2778A">
        <w:t>1-2</w:t>
      </w:r>
      <w:r w:rsidRPr="00C2778A">
        <w:rPr>
          <w:rFonts w:hint="eastAsia"/>
        </w:rPr>
        <w:t>、普陆页</w:t>
      </w:r>
      <w:r w:rsidRPr="00C2778A">
        <w:t>1-3</w:t>
      </w:r>
      <w:r w:rsidRPr="00C2778A">
        <w:rPr>
          <w:rFonts w:hint="eastAsia"/>
        </w:rPr>
        <w:t>井，水平段长度均为</w:t>
      </w:r>
      <w:r w:rsidRPr="00C2778A">
        <w:t>2000</w:t>
      </w:r>
      <w:r w:rsidRPr="00C2778A">
        <w:rPr>
          <w:rFonts w:hint="eastAsia"/>
        </w:rPr>
        <w:t>米，以论证穿行层位为主；南边</w:t>
      </w:r>
      <w:r w:rsidRPr="00C2778A">
        <w:t>3</w:t>
      </w:r>
      <w:r w:rsidRPr="00C2778A">
        <w:rPr>
          <w:rFonts w:hint="eastAsia"/>
        </w:rPr>
        <w:t>口普陆页</w:t>
      </w:r>
      <w:r w:rsidRPr="00C2778A">
        <w:t>1-4</w:t>
      </w:r>
      <w:r w:rsidRPr="00C2778A">
        <w:rPr>
          <w:rFonts w:hint="eastAsia"/>
        </w:rPr>
        <w:t>、普陆页</w:t>
      </w:r>
      <w:r w:rsidRPr="00C2778A">
        <w:t>1-5</w:t>
      </w:r>
      <w:r w:rsidRPr="00C2778A">
        <w:rPr>
          <w:rFonts w:hint="eastAsia"/>
        </w:rPr>
        <w:t>、普陆页</w:t>
      </w:r>
      <w:r w:rsidRPr="00C2778A">
        <w:t>1-6</w:t>
      </w:r>
      <w:r w:rsidRPr="00C2778A">
        <w:rPr>
          <w:rFonts w:hint="eastAsia"/>
        </w:rPr>
        <w:t>井，水平段长度分别为</w:t>
      </w:r>
      <w:r w:rsidRPr="00C2778A">
        <w:t>2700</w:t>
      </w:r>
      <w:r w:rsidRPr="00C2778A">
        <w:rPr>
          <w:rFonts w:hint="eastAsia"/>
        </w:rPr>
        <w:t>米、</w:t>
      </w:r>
      <w:r w:rsidRPr="00C2778A">
        <w:t>3000</w:t>
      </w:r>
      <w:r w:rsidRPr="00C2778A">
        <w:rPr>
          <w:rFonts w:hint="eastAsia"/>
        </w:rPr>
        <w:t>米和</w:t>
      </w:r>
      <w:r w:rsidRPr="00C2778A">
        <w:t>3000</w:t>
      </w:r>
      <w:r w:rsidRPr="00C2778A">
        <w:rPr>
          <w:rFonts w:hint="eastAsia"/>
        </w:rPr>
        <w:t>米，以论证长水平段产能效果为主。试验井组方案预计动用天然气地质储量</w:t>
      </w:r>
      <w:r w:rsidRPr="00C2778A">
        <w:t>12.14</w:t>
      </w:r>
      <w:r w:rsidRPr="00C2778A">
        <w:rPr>
          <w:rFonts w:hint="eastAsia"/>
        </w:rPr>
        <w:t>亿立方米，凝析油地质储量</w:t>
      </w:r>
      <w:r w:rsidRPr="00C2778A">
        <w:t>4.84</w:t>
      </w:r>
      <w:r w:rsidRPr="00C2778A">
        <w:rPr>
          <w:rFonts w:hint="eastAsia"/>
        </w:rPr>
        <w:t>万吨。预测单井</w:t>
      </w:r>
      <w:r w:rsidRPr="00C2778A">
        <w:t>EUR1.01</w:t>
      </w:r>
      <w:r w:rsidRPr="00C2778A">
        <w:rPr>
          <w:rFonts w:hint="eastAsia"/>
        </w:rPr>
        <w:t>～</w:t>
      </w:r>
      <w:r w:rsidRPr="00C2778A">
        <w:t>1.39</w:t>
      </w:r>
      <w:r w:rsidRPr="00C2778A">
        <w:rPr>
          <w:rFonts w:hint="eastAsia"/>
        </w:rPr>
        <w:t>亿立方米，凝析油</w:t>
      </w:r>
      <w:r w:rsidRPr="00C2778A">
        <w:t>0.61</w:t>
      </w:r>
      <w:r w:rsidRPr="00C2778A">
        <w:rPr>
          <w:rFonts w:hint="eastAsia"/>
        </w:rPr>
        <w:t>～</w:t>
      </w:r>
      <w:r w:rsidRPr="00C2778A">
        <w:t>0.85</w:t>
      </w:r>
      <w:r w:rsidRPr="00C2778A">
        <w:rPr>
          <w:rFonts w:hint="eastAsia"/>
        </w:rPr>
        <w:t>万吨。</w:t>
      </w:r>
    </w:p>
    <w:p w:rsidR="00075350" w:rsidRPr="00D630D1" w:rsidRDefault="00075350" w:rsidP="00075350">
      <w:pPr>
        <w:pStyle w:val="afa"/>
        <w:ind w:firstLine="480"/>
      </w:pPr>
      <w:r w:rsidRPr="00D630D1">
        <w:t>（</w:t>
      </w:r>
      <w:r w:rsidRPr="00D630D1">
        <w:t>2</w:t>
      </w:r>
      <w:r w:rsidRPr="00D630D1">
        <w:t>）</w:t>
      </w:r>
      <w:r w:rsidRPr="00D630D1">
        <w:rPr>
          <w:rFonts w:hint="eastAsia"/>
        </w:rPr>
        <w:t>钻前工程</w:t>
      </w:r>
    </w:p>
    <w:p w:rsidR="00075350" w:rsidRPr="00D630D1" w:rsidRDefault="00075350" w:rsidP="00075350">
      <w:pPr>
        <w:pStyle w:val="afa"/>
        <w:ind w:firstLine="480"/>
      </w:pPr>
      <w:r w:rsidRPr="00C2778A">
        <w:rPr>
          <w:rFonts w:hint="eastAsia"/>
        </w:rPr>
        <w:t>利用原普光</w:t>
      </w:r>
      <w:r w:rsidRPr="00C2778A">
        <w:t>12</w:t>
      </w:r>
      <w:r w:rsidRPr="00C2778A">
        <w:rPr>
          <w:rFonts w:hint="eastAsia"/>
        </w:rPr>
        <w:t>井场，新建方井</w:t>
      </w:r>
      <w:r w:rsidRPr="00C2778A">
        <w:t>6</w:t>
      </w:r>
      <w:r w:rsidRPr="00C2778A">
        <w:rPr>
          <w:rFonts w:hint="eastAsia"/>
        </w:rPr>
        <w:t>口，加长型井架基础、泥浆泵基础、发电机房基础、循环罐基础等各</w:t>
      </w:r>
      <w:r w:rsidRPr="00C2778A">
        <w:t>1</w:t>
      </w:r>
      <w:r w:rsidRPr="00C2778A">
        <w:rPr>
          <w:rFonts w:hint="eastAsia"/>
        </w:rPr>
        <w:t>套，利旧修复原污水池和放喷池各</w:t>
      </w:r>
      <w:r w:rsidRPr="00C2778A">
        <w:t>1</w:t>
      </w:r>
      <w:r w:rsidRPr="00C2778A">
        <w:rPr>
          <w:rFonts w:hint="eastAsia"/>
        </w:rPr>
        <w:t>座，新建排水边沟及内排污沟，井场原破损地面</w:t>
      </w:r>
      <w:r>
        <w:rPr>
          <w:rFonts w:hint="eastAsia"/>
        </w:rPr>
        <w:t>修复</w:t>
      </w:r>
      <w:r w:rsidRPr="00D630D1">
        <w:rPr>
          <w:rFonts w:hint="eastAsia"/>
        </w:rPr>
        <w:t>。</w:t>
      </w:r>
    </w:p>
    <w:p w:rsidR="00075350" w:rsidRPr="00D630D1" w:rsidRDefault="00075350" w:rsidP="00075350">
      <w:pPr>
        <w:pStyle w:val="afa"/>
        <w:ind w:firstLine="480"/>
        <w:rPr>
          <w:bCs/>
        </w:rPr>
      </w:pPr>
      <w:r w:rsidRPr="00D630D1">
        <w:rPr>
          <w:rFonts w:hint="eastAsia"/>
        </w:rPr>
        <w:t>（</w:t>
      </w:r>
      <w:r w:rsidRPr="00D630D1">
        <w:rPr>
          <w:rFonts w:hint="eastAsia"/>
        </w:rPr>
        <w:t>3</w:t>
      </w:r>
      <w:r w:rsidRPr="00D630D1">
        <w:rPr>
          <w:rFonts w:hint="eastAsia"/>
        </w:rPr>
        <w:t>）</w:t>
      </w:r>
      <w:r w:rsidRPr="00D630D1">
        <w:rPr>
          <w:rFonts w:hint="eastAsia"/>
          <w:bCs/>
        </w:rPr>
        <w:t>钻井工程</w:t>
      </w:r>
    </w:p>
    <w:p w:rsidR="00075350" w:rsidRPr="00D630D1" w:rsidRDefault="00075350" w:rsidP="00075350">
      <w:pPr>
        <w:pStyle w:val="afa"/>
        <w:ind w:firstLine="480"/>
      </w:pPr>
      <w:r w:rsidRPr="00104CE9">
        <w:rPr>
          <w:rFonts w:hint="eastAsia"/>
        </w:rPr>
        <w:t>新钻井</w:t>
      </w:r>
      <w:r w:rsidRPr="00104CE9">
        <w:t xml:space="preserve">6 </w:t>
      </w:r>
      <w:r w:rsidRPr="00104CE9">
        <w:rPr>
          <w:rFonts w:hint="eastAsia"/>
        </w:rPr>
        <w:t>口（均为水平井），目的层为千佛崖组，选择</w:t>
      </w:r>
      <w:r w:rsidRPr="00104CE9">
        <w:t>70</w:t>
      </w:r>
      <w:r w:rsidRPr="00104CE9">
        <w:rPr>
          <w:rFonts w:hint="eastAsia"/>
        </w:rPr>
        <w:t>型电动滑轨钻机，采用“井工厂”模式，设计“导管</w:t>
      </w:r>
      <w:r w:rsidRPr="00104CE9">
        <w:t>+</w:t>
      </w:r>
      <w:r w:rsidRPr="00104CE9">
        <w:rPr>
          <w:rFonts w:hint="eastAsia"/>
        </w:rPr>
        <w:t>二开”井身结构，套管完井。总进尺</w:t>
      </w:r>
      <w:r w:rsidRPr="00104CE9">
        <w:t>37474</w:t>
      </w:r>
      <w:r w:rsidRPr="00104CE9">
        <w:rPr>
          <w:rFonts w:hint="eastAsia"/>
        </w:rPr>
        <w:t>米，其中普陆页</w:t>
      </w:r>
      <w:r>
        <w:t>1-1</w:t>
      </w:r>
      <w:r w:rsidRPr="00104CE9">
        <w:rPr>
          <w:rFonts w:hint="eastAsia"/>
        </w:rPr>
        <w:t>井设计井深</w:t>
      </w:r>
      <w:r w:rsidRPr="00104CE9">
        <w:t>5986.86</w:t>
      </w:r>
      <w:r w:rsidRPr="00104CE9">
        <w:rPr>
          <w:rFonts w:hint="eastAsia"/>
        </w:rPr>
        <w:t>米，普陆页</w:t>
      </w:r>
      <w:r w:rsidRPr="00104CE9">
        <w:t>1-2</w:t>
      </w:r>
      <w:r w:rsidRPr="00104CE9">
        <w:rPr>
          <w:rFonts w:hint="eastAsia"/>
        </w:rPr>
        <w:t>井设计井深</w:t>
      </w:r>
      <w:r w:rsidRPr="00104CE9">
        <w:t>5683.92</w:t>
      </w:r>
      <w:r w:rsidRPr="00104CE9">
        <w:rPr>
          <w:rFonts w:hint="eastAsia"/>
        </w:rPr>
        <w:t>米，普陆页</w:t>
      </w:r>
      <w:r w:rsidRPr="00104CE9">
        <w:t>1-3</w:t>
      </w:r>
      <w:r w:rsidRPr="00104CE9">
        <w:rPr>
          <w:rFonts w:hint="eastAsia"/>
        </w:rPr>
        <w:t>井设计井深</w:t>
      </w:r>
      <w:r>
        <w:t>5740.45</w:t>
      </w:r>
      <w:r w:rsidRPr="00104CE9">
        <w:rPr>
          <w:rFonts w:hint="eastAsia"/>
        </w:rPr>
        <w:t>米，普陆页</w:t>
      </w:r>
      <w:r w:rsidRPr="00104CE9">
        <w:t>1-4</w:t>
      </w:r>
      <w:r w:rsidRPr="00104CE9">
        <w:rPr>
          <w:rFonts w:hint="eastAsia"/>
        </w:rPr>
        <w:t>井设计井深</w:t>
      </w:r>
      <w:r w:rsidRPr="00104CE9">
        <w:t>6488.49</w:t>
      </w:r>
      <w:r w:rsidRPr="00104CE9">
        <w:rPr>
          <w:rFonts w:hint="eastAsia"/>
        </w:rPr>
        <w:t>米，普陆页</w:t>
      </w:r>
      <w:r w:rsidRPr="00104CE9">
        <w:t>1-5</w:t>
      </w:r>
      <w:r w:rsidRPr="00104CE9">
        <w:rPr>
          <w:rFonts w:hint="eastAsia"/>
        </w:rPr>
        <w:t>井设计井深</w:t>
      </w:r>
      <w:r w:rsidRPr="00104CE9">
        <w:t>6699.35</w:t>
      </w:r>
      <w:r w:rsidRPr="00104CE9">
        <w:rPr>
          <w:rFonts w:hint="eastAsia"/>
        </w:rPr>
        <w:t>米，普陆页</w:t>
      </w:r>
      <w:r w:rsidRPr="00104CE9">
        <w:t>1-6</w:t>
      </w:r>
      <w:r w:rsidRPr="00104CE9">
        <w:rPr>
          <w:rFonts w:hint="eastAsia"/>
        </w:rPr>
        <w:t>井设计井深</w:t>
      </w:r>
      <w:r w:rsidRPr="00104CE9">
        <w:t>6874.93</w:t>
      </w:r>
      <w:r w:rsidRPr="00104CE9">
        <w:rPr>
          <w:rFonts w:hint="eastAsia"/>
        </w:rPr>
        <w:t>米</w:t>
      </w:r>
      <w:r w:rsidRPr="00D630D1">
        <w:rPr>
          <w:rFonts w:hint="eastAsia"/>
        </w:rPr>
        <w:t>。</w:t>
      </w:r>
      <w:r w:rsidRPr="00D630D1">
        <w:cr/>
      </w:r>
      <w:r w:rsidRPr="00D630D1">
        <w:rPr>
          <w:rFonts w:hint="eastAsia"/>
        </w:rPr>
        <w:t xml:space="preserve">    </w:t>
      </w:r>
      <w:r w:rsidRPr="00D630D1">
        <w:rPr>
          <w:rFonts w:hint="eastAsia"/>
        </w:rPr>
        <w:t>（</w:t>
      </w:r>
      <w:r w:rsidRPr="00D630D1">
        <w:rPr>
          <w:rFonts w:hint="eastAsia"/>
        </w:rPr>
        <w:t>4</w:t>
      </w:r>
      <w:r w:rsidRPr="00D630D1">
        <w:rPr>
          <w:rFonts w:hint="eastAsia"/>
        </w:rPr>
        <w:t>）采气工程</w:t>
      </w:r>
    </w:p>
    <w:p w:rsidR="00075350" w:rsidRPr="00D630D1" w:rsidRDefault="00075350" w:rsidP="00075350">
      <w:pPr>
        <w:pStyle w:val="afa"/>
        <w:ind w:firstLine="480"/>
      </w:pPr>
      <w:r w:rsidRPr="00104CE9">
        <w:t>6</w:t>
      </w:r>
      <w:r w:rsidRPr="00104CE9">
        <w:rPr>
          <w:rFonts w:hint="eastAsia"/>
        </w:rPr>
        <w:t>口页岩气井均采用“密切割</w:t>
      </w:r>
      <w:r w:rsidRPr="00104CE9">
        <w:t>+</w:t>
      </w:r>
      <w:r w:rsidRPr="00104CE9">
        <w:rPr>
          <w:rFonts w:hint="eastAsia"/>
        </w:rPr>
        <w:t>投球</w:t>
      </w:r>
      <w:r w:rsidRPr="00104CE9">
        <w:t>+</w:t>
      </w:r>
      <w:r w:rsidRPr="00104CE9">
        <w:rPr>
          <w:rFonts w:hint="eastAsia"/>
        </w:rPr>
        <w:t>缝内暂堵</w:t>
      </w:r>
      <w:r w:rsidRPr="00104CE9">
        <w:t>+</w:t>
      </w:r>
      <w:r w:rsidRPr="00104CE9">
        <w:rPr>
          <w:rFonts w:hint="eastAsia"/>
        </w:rPr>
        <w:t>多尺度裂缝强加砂</w:t>
      </w:r>
      <w:r w:rsidRPr="00104CE9">
        <w:t>+</w:t>
      </w:r>
      <w:r w:rsidRPr="00104CE9">
        <w:rPr>
          <w:rFonts w:hint="eastAsia"/>
        </w:rPr>
        <w:t>穿层扩体”体积压裂工艺技术，每</w:t>
      </w:r>
      <w:r w:rsidRPr="00104CE9">
        <w:t>3</w:t>
      </w:r>
      <w:r w:rsidRPr="00104CE9">
        <w:rPr>
          <w:rFonts w:hint="eastAsia"/>
        </w:rPr>
        <w:t>口井交叉拉链式压裂；套管安装双趾端滑套建立首段压裂通道，其他段采用泵送可溶桥塞</w:t>
      </w:r>
      <w:r w:rsidRPr="00104CE9">
        <w:t>+</w:t>
      </w:r>
      <w:r w:rsidRPr="00104CE9">
        <w:rPr>
          <w:rFonts w:hint="eastAsia"/>
        </w:rPr>
        <w:t>电缆簇射孔方式分段压裂，其中普陆页</w:t>
      </w:r>
      <w:r w:rsidRPr="00104CE9">
        <w:t>1-1</w:t>
      </w:r>
      <w:r w:rsidRPr="00104CE9">
        <w:rPr>
          <w:rFonts w:hint="eastAsia"/>
        </w:rPr>
        <w:t>分</w:t>
      </w:r>
      <w:r w:rsidRPr="00104CE9">
        <w:t>25</w:t>
      </w:r>
      <w:r w:rsidRPr="00104CE9">
        <w:rPr>
          <w:rFonts w:hint="eastAsia"/>
        </w:rPr>
        <w:t>段、总液量</w:t>
      </w:r>
      <w:r w:rsidRPr="00104CE9">
        <w:t>52500</w:t>
      </w:r>
      <w:r w:rsidRPr="00104CE9">
        <w:rPr>
          <w:rFonts w:hint="eastAsia"/>
        </w:rPr>
        <w:t>立方米，普陆页</w:t>
      </w:r>
      <w:r w:rsidRPr="00104CE9">
        <w:t>1-2</w:t>
      </w:r>
      <w:r w:rsidRPr="00104CE9">
        <w:rPr>
          <w:rFonts w:hint="eastAsia"/>
        </w:rPr>
        <w:t>分</w:t>
      </w:r>
      <w:r w:rsidRPr="00104CE9">
        <w:t>25</w:t>
      </w:r>
      <w:r w:rsidRPr="00104CE9">
        <w:rPr>
          <w:rFonts w:hint="eastAsia"/>
        </w:rPr>
        <w:t>段、总液量</w:t>
      </w:r>
      <w:r w:rsidRPr="00104CE9">
        <w:t>45000</w:t>
      </w:r>
      <w:r w:rsidRPr="00104CE9">
        <w:rPr>
          <w:rFonts w:hint="eastAsia"/>
        </w:rPr>
        <w:t>立方米，普陆页</w:t>
      </w:r>
      <w:r w:rsidRPr="00104CE9">
        <w:t>1-3</w:t>
      </w:r>
      <w:r w:rsidRPr="00104CE9">
        <w:rPr>
          <w:rFonts w:hint="eastAsia"/>
        </w:rPr>
        <w:t>分</w:t>
      </w:r>
      <w:r w:rsidRPr="00104CE9">
        <w:t>25</w:t>
      </w:r>
      <w:r w:rsidRPr="00104CE9">
        <w:rPr>
          <w:rFonts w:hint="eastAsia"/>
        </w:rPr>
        <w:t>段、总液量</w:t>
      </w:r>
      <w:r w:rsidRPr="00104CE9">
        <w:t>52500</w:t>
      </w:r>
      <w:r w:rsidRPr="00104CE9">
        <w:rPr>
          <w:rFonts w:hint="eastAsia"/>
        </w:rPr>
        <w:t>立方米，普陆页</w:t>
      </w:r>
      <w:r w:rsidRPr="00104CE9">
        <w:t>1-4</w:t>
      </w:r>
      <w:r w:rsidRPr="00104CE9">
        <w:rPr>
          <w:rFonts w:hint="eastAsia"/>
        </w:rPr>
        <w:t>分</w:t>
      </w:r>
      <w:r w:rsidRPr="00104CE9">
        <w:t>34</w:t>
      </w:r>
      <w:r w:rsidRPr="00104CE9">
        <w:rPr>
          <w:rFonts w:hint="eastAsia"/>
        </w:rPr>
        <w:t>段、总液量</w:t>
      </w:r>
      <w:r w:rsidRPr="00104CE9">
        <w:t>54400</w:t>
      </w:r>
      <w:r w:rsidRPr="00104CE9">
        <w:rPr>
          <w:rFonts w:hint="eastAsia"/>
        </w:rPr>
        <w:t>立方米，普陆页</w:t>
      </w:r>
      <w:r w:rsidRPr="00104CE9">
        <w:t>1-5</w:t>
      </w:r>
      <w:r w:rsidRPr="00104CE9">
        <w:rPr>
          <w:rFonts w:hint="eastAsia"/>
        </w:rPr>
        <w:t>分</w:t>
      </w:r>
      <w:r w:rsidRPr="00104CE9">
        <w:t>38</w:t>
      </w:r>
      <w:r w:rsidRPr="00104CE9">
        <w:rPr>
          <w:rFonts w:hint="eastAsia"/>
        </w:rPr>
        <w:t>段、总液量</w:t>
      </w:r>
      <w:r w:rsidRPr="00104CE9">
        <w:t>60800</w:t>
      </w:r>
      <w:r w:rsidRPr="00104CE9">
        <w:rPr>
          <w:rFonts w:hint="eastAsia"/>
        </w:rPr>
        <w:t>立方米，普陆页</w:t>
      </w:r>
      <w:r w:rsidRPr="00104CE9">
        <w:t>1-6</w:t>
      </w:r>
      <w:r w:rsidRPr="00104CE9">
        <w:rPr>
          <w:rFonts w:hint="eastAsia"/>
        </w:rPr>
        <w:t>分</w:t>
      </w:r>
      <w:r w:rsidRPr="00104CE9">
        <w:t>38</w:t>
      </w:r>
      <w:r w:rsidRPr="00104CE9">
        <w:rPr>
          <w:rFonts w:hint="eastAsia"/>
        </w:rPr>
        <w:t>段、总液量</w:t>
      </w:r>
      <w:r w:rsidRPr="00104CE9">
        <w:t>68400</w:t>
      </w:r>
      <w:r w:rsidRPr="00104CE9">
        <w:rPr>
          <w:rFonts w:hint="eastAsia"/>
        </w:rPr>
        <w:t>立方米；带压下</w:t>
      </w:r>
      <w:r w:rsidRPr="00104CE9">
        <w:t>73</w:t>
      </w:r>
      <w:r w:rsidRPr="00104CE9">
        <w:rPr>
          <w:rFonts w:hint="eastAsia"/>
        </w:rPr>
        <w:t>毫米完井管柱；采气井口为</w:t>
      </w:r>
      <w:r w:rsidRPr="00104CE9">
        <w:t>70</w:t>
      </w:r>
      <w:r w:rsidRPr="00104CE9">
        <w:rPr>
          <w:rFonts w:hint="eastAsia"/>
        </w:rPr>
        <w:t>兆帕</w:t>
      </w:r>
      <w:r w:rsidRPr="00104CE9">
        <w:t>DD</w:t>
      </w:r>
      <w:r w:rsidRPr="00104CE9">
        <w:rPr>
          <w:rFonts w:hint="eastAsia"/>
        </w:rPr>
        <w:t>级采气树、压裂井口为</w:t>
      </w:r>
      <w:r w:rsidRPr="00104CE9">
        <w:t>140</w:t>
      </w:r>
      <w:r w:rsidRPr="00104CE9">
        <w:rPr>
          <w:rFonts w:hint="eastAsia"/>
        </w:rPr>
        <w:t>兆帕</w:t>
      </w:r>
      <w:r w:rsidRPr="00104CE9">
        <w:t>DD</w:t>
      </w:r>
      <w:r w:rsidRPr="00104CE9">
        <w:rPr>
          <w:rFonts w:hint="eastAsia"/>
        </w:rPr>
        <w:t>级；放喷流程为</w:t>
      </w:r>
      <w:r w:rsidRPr="00104CE9">
        <w:t>105-70</w:t>
      </w:r>
      <w:r w:rsidRPr="00104CE9">
        <w:rPr>
          <w:rFonts w:hint="eastAsia"/>
        </w:rPr>
        <w:t>兆帕</w:t>
      </w:r>
      <w:r w:rsidRPr="00104CE9">
        <w:t>DD</w:t>
      </w:r>
      <w:r w:rsidRPr="00104CE9">
        <w:rPr>
          <w:rFonts w:hint="eastAsia"/>
        </w:rPr>
        <w:t>级二级节流</w:t>
      </w:r>
      <w:r w:rsidRPr="00D630D1">
        <w:rPr>
          <w:rFonts w:hint="eastAsia"/>
        </w:rPr>
        <w:t>。</w:t>
      </w:r>
    </w:p>
    <w:p w:rsidR="00075350" w:rsidRPr="00D630D1" w:rsidRDefault="00075350" w:rsidP="00075350">
      <w:pPr>
        <w:pStyle w:val="afa"/>
        <w:ind w:firstLine="480"/>
      </w:pPr>
      <w:r w:rsidRPr="00D630D1">
        <w:rPr>
          <w:rFonts w:hint="eastAsia"/>
        </w:rPr>
        <w:t>（</w:t>
      </w:r>
      <w:r w:rsidRPr="00D630D1">
        <w:rPr>
          <w:rFonts w:hint="eastAsia"/>
        </w:rPr>
        <w:t>5</w:t>
      </w:r>
      <w:r w:rsidRPr="00D630D1">
        <w:rPr>
          <w:rFonts w:hint="eastAsia"/>
        </w:rPr>
        <w:t>）地面集输工程</w:t>
      </w:r>
    </w:p>
    <w:p w:rsidR="00075350" w:rsidRPr="00104CE9" w:rsidRDefault="00075350" w:rsidP="00075350">
      <w:pPr>
        <w:pStyle w:val="afa"/>
        <w:ind w:firstLine="480"/>
      </w:pPr>
      <w:r w:rsidRPr="00104CE9">
        <w:rPr>
          <w:rFonts w:hint="eastAsia"/>
        </w:rPr>
        <w:lastRenderedPageBreak/>
        <w:t>新建普光</w:t>
      </w:r>
      <w:r w:rsidRPr="00104CE9">
        <w:t>12</w:t>
      </w:r>
      <w:r w:rsidRPr="00104CE9">
        <w:rPr>
          <w:rFonts w:hint="eastAsia"/>
        </w:rPr>
        <w:t>采气平台</w:t>
      </w:r>
      <w:r w:rsidRPr="00104CE9">
        <w:t xml:space="preserve">1 </w:t>
      </w:r>
      <w:r w:rsidRPr="00104CE9">
        <w:rPr>
          <w:rFonts w:hint="eastAsia"/>
        </w:rPr>
        <w:t>座，设计规模</w:t>
      </w:r>
      <w:r w:rsidRPr="00104CE9">
        <w:t>60</w:t>
      </w:r>
      <w:r w:rsidRPr="00104CE9">
        <w:rPr>
          <w:rFonts w:hint="eastAsia"/>
        </w:rPr>
        <w:t>万立方米</w:t>
      </w:r>
      <w:r w:rsidRPr="00104CE9">
        <w:t>/</w:t>
      </w:r>
      <w:r w:rsidRPr="00104CE9">
        <w:rPr>
          <w:rFonts w:hint="eastAsia"/>
        </w:rPr>
        <w:t>天，采用“加热节流、带液计量、重力分离、低压闪蒸、预留增压接口、近期油水拉运、远期油水管输”集输工艺。平台内配套集输工艺、仪控、通信、消防、给排水等。</w:t>
      </w:r>
      <w:r>
        <w:rPr>
          <w:rFonts w:hint="eastAsia"/>
        </w:rPr>
        <w:t>新建普光</w:t>
      </w:r>
      <w:r>
        <w:rPr>
          <w:rFonts w:hint="eastAsia"/>
        </w:rPr>
        <w:t>12</w:t>
      </w:r>
      <w:r>
        <w:rPr>
          <w:rFonts w:hint="eastAsia"/>
        </w:rPr>
        <w:t>采气站</w:t>
      </w:r>
      <w:r>
        <w:rPr>
          <w:rFonts w:hint="eastAsia"/>
        </w:rPr>
        <w:t>~</w:t>
      </w:r>
      <w:r>
        <w:rPr>
          <w:rFonts w:hint="eastAsia"/>
        </w:rPr>
        <w:t>普陆</w:t>
      </w:r>
      <w:r>
        <w:rPr>
          <w:rFonts w:hint="eastAsia"/>
        </w:rPr>
        <w:t>3</w:t>
      </w:r>
      <w:r>
        <w:rPr>
          <w:rFonts w:hint="eastAsia"/>
        </w:rPr>
        <w:t>集气站集输管线</w:t>
      </w:r>
      <w:r>
        <w:rPr>
          <w:rFonts w:hint="eastAsia"/>
        </w:rPr>
        <w:t>1</w:t>
      </w:r>
      <w:r>
        <w:rPr>
          <w:rFonts w:hint="eastAsia"/>
        </w:rPr>
        <w:t>条</w:t>
      </w:r>
      <w:r w:rsidR="001B32FD">
        <w:rPr>
          <w:rFonts w:hint="eastAsia"/>
        </w:rPr>
        <w:t>，</w:t>
      </w:r>
      <w:r w:rsidR="001B32FD" w:rsidRPr="001B32FD">
        <w:rPr>
          <w:rFonts w:hint="eastAsia"/>
        </w:rPr>
        <w:t>设计压力</w:t>
      </w:r>
      <w:r w:rsidR="001B32FD" w:rsidRPr="001B32FD">
        <w:rPr>
          <w:rFonts w:hint="eastAsia"/>
        </w:rPr>
        <w:t>11MPa</w:t>
      </w:r>
      <w:r w:rsidR="001B32FD">
        <w:rPr>
          <w:rFonts w:hint="eastAsia"/>
        </w:rPr>
        <w:t>，</w:t>
      </w:r>
      <w:r w:rsidR="001B32FD" w:rsidRPr="001B32FD">
        <w:t>材质为</w:t>
      </w:r>
      <w:r w:rsidR="001B32FD" w:rsidRPr="001B32FD">
        <w:rPr>
          <w:rFonts w:hint="eastAsia"/>
        </w:rPr>
        <w:t>L</w:t>
      </w:r>
      <w:r w:rsidR="001B32FD" w:rsidRPr="001B32FD">
        <w:t>245</w:t>
      </w:r>
      <w:r w:rsidR="001B32FD" w:rsidRPr="001B32FD">
        <w:rPr>
          <w:rFonts w:hint="eastAsia"/>
        </w:rPr>
        <w:t>N</w:t>
      </w:r>
      <w:r w:rsidR="001B32FD" w:rsidRPr="001B32FD">
        <w:rPr>
          <w:rFonts w:hint="eastAsia"/>
        </w:rPr>
        <w:t>无缝钢管</w:t>
      </w:r>
      <w:r w:rsidR="001B32FD" w:rsidRPr="001B32FD">
        <w:rPr>
          <w:rFonts w:hint="eastAsia"/>
        </w:rPr>
        <w:t>PSL2</w:t>
      </w:r>
      <w:r>
        <w:rPr>
          <w:rFonts w:hint="eastAsia"/>
        </w:rPr>
        <w:t>，管径</w:t>
      </w:r>
      <w:r>
        <w:rPr>
          <w:rFonts w:hint="eastAsia"/>
        </w:rPr>
        <w:t>DN200</w:t>
      </w:r>
      <w:r>
        <w:rPr>
          <w:rFonts w:hint="eastAsia"/>
        </w:rPr>
        <w:t>，长度约</w:t>
      </w:r>
      <w:r>
        <w:rPr>
          <w:rFonts w:hint="eastAsia"/>
        </w:rPr>
        <w:t>3km</w:t>
      </w:r>
      <w:r>
        <w:rPr>
          <w:rFonts w:hint="eastAsia"/>
        </w:rPr>
        <w:t>；新建普陆</w:t>
      </w:r>
      <w:r>
        <w:rPr>
          <w:rFonts w:hint="eastAsia"/>
        </w:rPr>
        <w:t>3</w:t>
      </w:r>
      <w:r>
        <w:rPr>
          <w:rFonts w:hint="eastAsia"/>
        </w:rPr>
        <w:t>集气站</w:t>
      </w:r>
      <w:r>
        <w:rPr>
          <w:rFonts w:hint="eastAsia"/>
        </w:rPr>
        <w:t>~P105</w:t>
      </w:r>
      <w:r>
        <w:rPr>
          <w:rFonts w:hint="eastAsia"/>
        </w:rPr>
        <w:t>集气站集输管线</w:t>
      </w:r>
      <w:r>
        <w:rPr>
          <w:rFonts w:hint="eastAsia"/>
        </w:rPr>
        <w:t>1</w:t>
      </w:r>
      <w:r>
        <w:rPr>
          <w:rFonts w:hint="eastAsia"/>
        </w:rPr>
        <w:t>条，</w:t>
      </w:r>
      <w:r w:rsidR="001B32FD" w:rsidRPr="001B32FD">
        <w:rPr>
          <w:rFonts w:hint="eastAsia"/>
        </w:rPr>
        <w:t>设计压力</w:t>
      </w:r>
      <w:r w:rsidR="001B32FD" w:rsidRPr="001B32FD">
        <w:rPr>
          <w:rFonts w:hint="eastAsia"/>
        </w:rPr>
        <w:t>11MPa</w:t>
      </w:r>
      <w:r w:rsidR="001B32FD">
        <w:rPr>
          <w:rFonts w:hint="eastAsia"/>
        </w:rPr>
        <w:t>，</w:t>
      </w:r>
      <w:r w:rsidR="001B32FD" w:rsidRPr="001B32FD">
        <w:t>材质为</w:t>
      </w:r>
      <w:r w:rsidR="001B32FD" w:rsidRPr="001B32FD">
        <w:rPr>
          <w:rFonts w:hint="eastAsia"/>
        </w:rPr>
        <w:t>L</w:t>
      </w:r>
      <w:r w:rsidR="001B32FD" w:rsidRPr="001B32FD">
        <w:t>245</w:t>
      </w:r>
      <w:r w:rsidR="001B32FD">
        <w:rPr>
          <w:rFonts w:hint="eastAsia"/>
        </w:rPr>
        <w:t>N</w:t>
      </w:r>
      <w:r w:rsidR="001B32FD" w:rsidRPr="001B32FD">
        <w:rPr>
          <w:rFonts w:hint="eastAsia"/>
        </w:rPr>
        <w:t>无缝钢管</w:t>
      </w:r>
      <w:r w:rsidR="001B32FD" w:rsidRPr="001B32FD">
        <w:rPr>
          <w:rFonts w:hint="eastAsia"/>
        </w:rPr>
        <w:t>PSL2</w:t>
      </w:r>
      <w:r w:rsidR="001B32FD">
        <w:rPr>
          <w:rFonts w:hint="eastAsia"/>
        </w:rPr>
        <w:t>，</w:t>
      </w:r>
      <w:r>
        <w:rPr>
          <w:rFonts w:hint="eastAsia"/>
        </w:rPr>
        <w:t>管径</w:t>
      </w:r>
      <w:r>
        <w:rPr>
          <w:rFonts w:hint="eastAsia"/>
        </w:rPr>
        <w:t>DN150</w:t>
      </w:r>
      <w:r>
        <w:rPr>
          <w:rFonts w:hint="eastAsia"/>
        </w:rPr>
        <w:t>，长度约</w:t>
      </w:r>
      <w:r>
        <w:rPr>
          <w:rFonts w:hint="eastAsia"/>
        </w:rPr>
        <w:t>0.98km</w:t>
      </w:r>
      <w:r>
        <w:rPr>
          <w:rFonts w:hint="eastAsia"/>
        </w:rPr>
        <w:t>。</w:t>
      </w:r>
    </w:p>
    <w:p w:rsidR="00117C3D" w:rsidRPr="00D630D1" w:rsidRDefault="00BE31F0">
      <w:pPr>
        <w:pStyle w:val="3"/>
        <w:rPr>
          <w:rFonts w:eastAsia="宋体"/>
        </w:rPr>
      </w:pPr>
      <w:bookmarkStart w:id="128" w:name="_Toc12288397"/>
      <w:bookmarkStart w:id="129" w:name="_Toc19815952"/>
      <w:bookmarkEnd w:id="127"/>
      <w:r w:rsidRPr="00D630D1">
        <w:rPr>
          <w:rFonts w:eastAsia="宋体"/>
        </w:rPr>
        <w:t>3</w:t>
      </w:r>
      <w:r w:rsidR="008B5B84" w:rsidRPr="00D630D1">
        <w:rPr>
          <w:rFonts w:eastAsia="宋体"/>
        </w:rPr>
        <w:t xml:space="preserve">.2.2 </w:t>
      </w:r>
      <w:r w:rsidR="008B5B84" w:rsidRPr="00D630D1">
        <w:rPr>
          <w:rFonts w:eastAsia="宋体"/>
        </w:rPr>
        <w:t>项目组成</w:t>
      </w:r>
      <w:bookmarkEnd w:id="128"/>
      <w:bookmarkEnd w:id="129"/>
    </w:p>
    <w:p w:rsidR="00117C3D" w:rsidRPr="00D630D1" w:rsidRDefault="008B5B84" w:rsidP="00591F34">
      <w:pPr>
        <w:pStyle w:val="afa"/>
        <w:ind w:firstLine="480"/>
      </w:pPr>
      <w:r w:rsidRPr="00D630D1">
        <w:t>本项目为</w:t>
      </w:r>
      <w:r w:rsidR="00591F34" w:rsidRPr="00D630D1">
        <w:t>天然气</w:t>
      </w:r>
      <w:r w:rsidR="00586C59" w:rsidRPr="00D630D1">
        <w:rPr>
          <w:rFonts w:hint="eastAsia"/>
        </w:rPr>
        <w:t>开采</w:t>
      </w:r>
      <w:r w:rsidR="00B11B9F" w:rsidRPr="00D630D1">
        <w:t>和</w:t>
      </w:r>
      <w:r w:rsidR="00591F34" w:rsidRPr="00D630D1">
        <w:t>内部集输工程</w:t>
      </w:r>
      <w:r w:rsidRPr="00D630D1">
        <w:t>，工程建设内容主要分为</w:t>
      </w:r>
      <w:bookmarkStart w:id="130" w:name="OLE_LINK111"/>
      <w:bookmarkStart w:id="131" w:name="OLE_LINK112"/>
      <w:r w:rsidR="00095B51" w:rsidRPr="00D630D1">
        <w:rPr>
          <w:rFonts w:hint="eastAsia"/>
        </w:rPr>
        <w:t>气藏地质与气藏工程、钻前工程、钻前工程</w:t>
      </w:r>
      <w:r w:rsidR="00591F34" w:rsidRPr="00D630D1">
        <w:t>、</w:t>
      </w:r>
      <w:r w:rsidR="00095B51" w:rsidRPr="00D630D1">
        <w:rPr>
          <w:rFonts w:hint="eastAsia"/>
        </w:rPr>
        <w:t>采气工程和地面集输工程</w:t>
      </w:r>
      <w:bookmarkEnd w:id="130"/>
      <w:bookmarkEnd w:id="131"/>
      <w:r w:rsidRPr="00D630D1">
        <w:t>。本项目的项目组成详见表</w:t>
      </w:r>
      <w:r w:rsidR="00BE31F0" w:rsidRPr="00D630D1">
        <w:t>3</w:t>
      </w:r>
      <w:r w:rsidRPr="00D630D1">
        <w:t>.2-</w:t>
      </w:r>
      <w:r w:rsidR="00BE31F0" w:rsidRPr="00D630D1">
        <w:t>1</w:t>
      </w:r>
      <w:r w:rsidRPr="00D630D1">
        <w:t>。</w:t>
      </w:r>
    </w:p>
    <w:p w:rsidR="00117C3D" w:rsidRDefault="008B5B84" w:rsidP="00BE31F0">
      <w:pPr>
        <w:pStyle w:val="10"/>
        <w:rPr>
          <w:rFonts w:cs="Times New Roman"/>
        </w:rPr>
      </w:pPr>
      <w:r w:rsidRPr="00D630D1">
        <w:rPr>
          <w:rFonts w:cs="Times New Roman"/>
        </w:rPr>
        <w:t>表</w:t>
      </w:r>
      <w:r w:rsidR="00BE31F0" w:rsidRPr="00D630D1">
        <w:rPr>
          <w:rFonts w:cs="Times New Roman"/>
        </w:rPr>
        <w:t>3</w:t>
      </w:r>
      <w:r w:rsidRPr="00D630D1">
        <w:rPr>
          <w:rFonts w:cs="Times New Roman"/>
        </w:rPr>
        <w:t>.2-</w:t>
      </w:r>
      <w:r w:rsidR="00BE31F0" w:rsidRPr="00D630D1">
        <w:rPr>
          <w:rFonts w:cs="Times New Roman"/>
        </w:rPr>
        <w:t xml:space="preserve">1  </w:t>
      </w:r>
      <w:r w:rsidRPr="00D630D1">
        <w:rPr>
          <w:rFonts w:cs="Times New Roman"/>
        </w:rPr>
        <w:t>项目组成及主要环境问题</w:t>
      </w:r>
    </w:p>
    <w:tbl>
      <w:tblPr>
        <w:tblW w:w="5401" w:type="pct"/>
        <w:jc w:val="center"/>
        <w:tblBorders>
          <w:top w:val="single" w:sz="12" w:space="0" w:color="000000"/>
          <w:bottom w:val="single" w:sz="12" w:space="0" w:color="000000"/>
          <w:insideH w:val="single" w:sz="2" w:space="0" w:color="000000"/>
          <w:insideV w:val="single" w:sz="2" w:space="0" w:color="000000"/>
        </w:tblBorders>
        <w:tblCellMar>
          <w:left w:w="0" w:type="dxa"/>
          <w:right w:w="0" w:type="dxa"/>
        </w:tblCellMar>
        <w:tblLook w:val="04A0"/>
      </w:tblPr>
      <w:tblGrid>
        <w:gridCol w:w="487"/>
        <w:gridCol w:w="869"/>
        <w:gridCol w:w="630"/>
        <w:gridCol w:w="7"/>
        <w:gridCol w:w="5028"/>
        <w:gridCol w:w="1111"/>
        <w:gridCol w:w="844"/>
      </w:tblGrid>
      <w:tr w:rsidR="00312435" w:rsidRPr="00D630D1" w:rsidTr="00B95D98">
        <w:trPr>
          <w:trHeight w:val="303"/>
          <w:jc w:val="center"/>
        </w:trPr>
        <w:tc>
          <w:tcPr>
            <w:tcW w:w="271" w:type="pct"/>
            <w:vMerge w:val="restart"/>
            <w:vAlign w:val="center"/>
          </w:tcPr>
          <w:p w:rsidR="00117C3D" w:rsidRPr="00D630D1" w:rsidRDefault="008B5B84">
            <w:pPr>
              <w:pStyle w:val="af2"/>
              <w:rPr>
                <w:b/>
                <w:bCs/>
              </w:rPr>
            </w:pPr>
            <w:r w:rsidRPr="00D630D1">
              <w:rPr>
                <w:b/>
                <w:bCs/>
              </w:rPr>
              <w:t>名称</w:t>
            </w:r>
          </w:p>
        </w:tc>
        <w:tc>
          <w:tcPr>
            <w:tcW w:w="3640" w:type="pct"/>
            <w:gridSpan w:val="4"/>
            <w:vMerge w:val="restart"/>
            <w:vAlign w:val="center"/>
          </w:tcPr>
          <w:p w:rsidR="00117C3D" w:rsidRPr="00D630D1" w:rsidRDefault="008B5B84">
            <w:pPr>
              <w:pStyle w:val="af2"/>
              <w:rPr>
                <w:b/>
                <w:bCs/>
              </w:rPr>
            </w:pPr>
            <w:r w:rsidRPr="00D630D1">
              <w:rPr>
                <w:b/>
                <w:bCs/>
              </w:rPr>
              <w:t>建设内容及规模项目</w:t>
            </w:r>
          </w:p>
        </w:tc>
        <w:tc>
          <w:tcPr>
            <w:tcW w:w="1089" w:type="pct"/>
            <w:gridSpan w:val="2"/>
            <w:vAlign w:val="center"/>
          </w:tcPr>
          <w:p w:rsidR="00117C3D" w:rsidRPr="00D630D1" w:rsidRDefault="008B5B84">
            <w:pPr>
              <w:pStyle w:val="af2"/>
              <w:rPr>
                <w:b/>
                <w:bCs/>
              </w:rPr>
            </w:pPr>
            <w:r w:rsidRPr="00D630D1">
              <w:rPr>
                <w:b/>
                <w:bCs/>
              </w:rPr>
              <w:t>可能产生的环境影响</w:t>
            </w:r>
          </w:p>
        </w:tc>
      </w:tr>
      <w:tr w:rsidR="00312435" w:rsidRPr="00D630D1" w:rsidTr="00DC5D18">
        <w:trPr>
          <w:trHeight w:val="280"/>
          <w:jc w:val="center"/>
        </w:trPr>
        <w:tc>
          <w:tcPr>
            <w:tcW w:w="271" w:type="pct"/>
            <w:vMerge/>
            <w:vAlign w:val="center"/>
          </w:tcPr>
          <w:p w:rsidR="00117C3D" w:rsidRPr="00D630D1" w:rsidRDefault="00117C3D">
            <w:pPr>
              <w:pStyle w:val="af2"/>
              <w:rPr>
                <w:b/>
                <w:bCs/>
              </w:rPr>
            </w:pPr>
          </w:p>
        </w:tc>
        <w:tc>
          <w:tcPr>
            <w:tcW w:w="3640" w:type="pct"/>
            <w:gridSpan w:val="4"/>
            <w:vMerge/>
            <w:vAlign w:val="center"/>
          </w:tcPr>
          <w:p w:rsidR="00117C3D" w:rsidRPr="00D630D1" w:rsidRDefault="00117C3D">
            <w:pPr>
              <w:pStyle w:val="af2"/>
              <w:rPr>
                <w:b/>
                <w:bCs/>
              </w:rPr>
            </w:pPr>
          </w:p>
        </w:tc>
        <w:tc>
          <w:tcPr>
            <w:tcW w:w="619" w:type="pct"/>
            <w:vAlign w:val="center"/>
          </w:tcPr>
          <w:p w:rsidR="00117C3D" w:rsidRPr="00D630D1" w:rsidRDefault="008B5B84">
            <w:pPr>
              <w:pStyle w:val="af2"/>
              <w:rPr>
                <w:b/>
                <w:bCs/>
              </w:rPr>
            </w:pPr>
            <w:r w:rsidRPr="00D630D1">
              <w:rPr>
                <w:b/>
                <w:bCs/>
              </w:rPr>
              <w:t>施工期</w:t>
            </w:r>
          </w:p>
        </w:tc>
        <w:tc>
          <w:tcPr>
            <w:tcW w:w="470" w:type="pct"/>
            <w:vAlign w:val="center"/>
          </w:tcPr>
          <w:p w:rsidR="00117C3D" w:rsidRPr="00D630D1" w:rsidRDefault="008B5B84">
            <w:pPr>
              <w:pStyle w:val="af2"/>
              <w:rPr>
                <w:b/>
                <w:bCs/>
              </w:rPr>
            </w:pPr>
            <w:r w:rsidRPr="00D630D1">
              <w:rPr>
                <w:b/>
                <w:bCs/>
              </w:rPr>
              <w:t>运营期</w:t>
            </w:r>
          </w:p>
        </w:tc>
      </w:tr>
      <w:tr w:rsidR="00152DD1" w:rsidRPr="00D630D1" w:rsidTr="00DC5D18">
        <w:trPr>
          <w:trHeight w:val="1162"/>
          <w:jc w:val="center"/>
        </w:trPr>
        <w:tc>
          <w:tcPr>
            <w:tcW w:w="271" w:type="pct"/>
            <w:vMerge w:val="restart"/>
            <w:vAlign w:val="center"/>
          </w:tcPr>
          <w:p w:rsidR="00152DD1" w:rsidRPr="00D630D1" w:rsidRDefault="00152DD1" w:rsidP="006F0E40">
            <w:pPr>
              <w:pStyle w:val="af2"/>
            </w:pPr>
            <w:r w:rsidRPr="00D630D1">
              <w:t>主体工程</w:t>
            </w:r>
          </w:p>
        </w:tc>
        <w:tc>
          <w:tcPr>
            <w:tcW w:w="484" w:type="pct"/>
            <w:vAlign w:val="center"/>
          </w:tcPr>
          <w:p w:rsidR="00152DD1" w:rsidRPr="00D630D1" w:rsidRDefault="00095B51" w:rsidP="0061759A">
            <w:pPr>
              <w:pStyle w:val="af2"/>
              <w:rPr>
                <w:szCs w:val="21"/>
              </w:rPr>
            </w:pPr>
            <w:r w:rsidRPr="00D630D1">
              <w:rPr>
                <w:rFonts w:hint="eastAsia"/>
                <w:szCs w:val="21"/>
              </w:rPr>
              <w:t>气藏地质与气藏工程</w:t>
            </w:r>
          </w:p>
        </w:tc>
        <w:tc>
          <w:tcPr>
            <w:tcW w:w="3156" w:type="pct"/>
            <w:gridSpan w:val="3"/>
            <w:vAlign w:val="center"/>
          </w:tcPr>
          <w:p w:rsidR="00075350" w:rsidRPr="00075350" w:rsidRDefault="00075350" w:rsidP="00075350">
            <w:pPr>
              <w:pStyle w:val="af2"/>
              <w:rPr>
                <w:szCs w:val="21"/>
              </w:rPr>
            </w:pPr>
            <w:r w:rsidRPr="00075350">
              <w:rPr>
                <w:rFonts w:hint="eastAsia"/>
                <w:szCs w:val="21"/>
              </w:rPr>
              <w:t>在充分开展普陆页</w:t>
            </w:r>
            <w:r w:rsidRPr="00075350">
              <w:rPr>
                <w:szCs w:val="21"/>
              </w:rPr>
              <w:t xml:space="preserve">1 </w:t>
            </w:r>
            <w:r w:rsidRPr="00075350">
              <w:rPr>
                <w:rFonts w:hint="eastAsia"/>
                <w:szCs w:val="21"/>
              </w:rPr>
              <w:t>井试采跟踪分析的基础上，综合考虑地质工程一体化、地面地下一体化，优选普光东向斜普光</w:t>
            </w:r>
            <w:r w:rsidRPr="00075350">
              <w:rPr>
                <w:szCs w:val="21"/>
              </w:rPr>
              <w:t>12</w:t>
            </w:r>
            <w:r w:rsidRPr="00075350">
              <w:rPr>
                <w:rFonts w:hint="eastAsia"/>
                <w:szCs w:val="21"/>
              </w:rPr>
              <w:t>井区，采用“井工厂”开发模式，部署先导试验井组，目的为论证凝析气藏开发技术政策合理性（水平段长度、井距、穿行靶窗等），论证优快钻井可靠性，压裂改造及采气工艺适应性，探索“井工厂”模式提速降本增效，为整体效益开发奠定基础。</w:t>
            </w:r>
          </w:p>
          <w:p w:rsidR="00152DD1" w:rsidRPr="00D630D1" w:rsidRDefault="00075350" w:rsidP="00075350">
            <w:pPr>
              <w:pStyle w:val="af2"/>
              <w:rPr>
                <w:szCs w:val="21"/>
              </w:rPr>
            </w:pPr>
            <w:r w:rsidRPr="00075350">
              <w:rPr>
                <w:rFonts w:hint="eastAsia"/>
                <w:szCs w:val="21"/>
              </w:rPr>
              <w:t>试验井组部署井位</w:t>
            </w:r>
            <w:r w:rsidRPr="00075350">
              <w:rPr>
                <w:szCs w:val="21"/>
              </w:rPr>
              <w:t>6</w:t>
            </w:r>
            <w:r w:rsidRPr="00075350">
              <w:rPr>
                <w:rFonts w:hint="eastAsia"/>
                <w:szCs w:val="21"/>
              </w:rPr>
              <w:t>口，南北方向各</w:t>
            </w:r>
            <w:r w:rsidRPr="00075350">
              <w:rPr>
                <w:szCs w:val="21"/>
              </w:rPr>
              <w:t>3</w:t>
            </w:r>
            <w:r w:rsidRPr="00075350">
              <w:rPr>
                <w:rFonts w:hint="eastAsia"/>
                <w:szCs w:val="21"/>
              </w:rPr>
              <w:t>口，井距</w:t>
            </w:r>
            <w:r w:rsidRPr="00075350">
              <w:rPr>
                <w:szCs w:val="21"/>
              </w:rPr>
              <w:t>300</w:t>
            </w:r>
            <w:r w:rsidRPr="00075350">
              <w:rPr>
                <w:rFonts w:hint="eastAsia"/>
                <w:szCs w:val="21"/>
              </w:rPr>
              <w:t>米。其中北边</w:t>
            </w:r>
            <w:r w:rsidRPr="00075350">
              <w:rPr>
                <w:szCs w:val="21"/>
              </w:rPr>
              <w:t>3</w:t>
            </w:r>
            <w:r w:rsidRPr="00075350">
              <w:rPr>
                <w:rFonts w:hint="eastAsia"/>
                <w:szCs w:val="21"/>
              </w:rPr>
              <w:t>口普陆页</w:t>
            </w:r>
            <w:r w:rsidRPr="00075350">
              <w:rPr>
                <w:szCs w:val="21"/>
              </w:rPr>
              <w:t>1-1</w:t>
            </w:r>
            <w:r w:rsidRPr="00075350">
              <w:rPr>
                <w:rFonts w:hint="eastAsia"/>
                <w:szCs w:val="21"/>
              </w:rPr>
              <w:t>、普陆页</w:t>
            </w:r>
            <w:r w:rsidRPr="00075350">
              <w:rPr>
                <w:szCs w:val="21"/>
              </w:rPr>
              <w:t>1-2</w:t>
            </w:r>
            <w:r w:rsidRPr="00075350">
              <w:rPr>
                <w:rFonts w:hint="eastAsia"/>
                <w:szCs w:val="21"/>
              </w:rPr>
              <w:t>、普陆页</w:t>
            </w:r>
            <w:r w:rsidRPr="00075350">
              <w:rPr>
                <w:szCs w:val="21"/>
              </w:rPr>
              <w:t>1-3</w:t>
            </w:r>
            <w:r w:rsidRPr="00075350">
              <w:rPr>
                <w:rFonts w:hint="eastAsia"/>
                <w:szCs w:val="21"/>
              </w:rPr>
              <w:t>井，水平段长度均为</w:t>
            </w:r>
            <w:r w:rsidRPr="00075350">
              <w:rPr>
                <w:szCs w:val="21"/>
              </w:rPr>
              <w:t>2000</w:t>
            </w:r>
            <w:r w:rsidRPr="00075350">
              <w:rPr>
                <w:rFonts w:hint="eastAsia"/>
                <w:szCs w:val="21"/>
              </w:rPr>
              <w:t>米，以论证穿行层位为主；南边</w:t>
            </w:r>
            <w:r w:rsidRPr="00075350">
              <w:rPr>
                <w:szCs w:val="21"/>
              </w:rPr>
              <w:t>3</w:t>
            </w:r>
            <w:r w:rsidRPr="00075350">
              <w:rPr>
                <w:rFonts w:hint="eastAsia"/>
                <w:szCs w:val="21"/>
              </w:rPr>
              <w:t>口普陆页</w:t>
            </w:r>
            <w:r w:rsidRPr="00075350">
              <w:rPr>
                <w:szCs w:val="21"/>
              </w:rPr>
              <w:t>1-4</w:t>
            </w:r>
            <w:r w:rsidRPr="00075350">
              <w:rPr>
                <w:rFonts w:hint="eastAsia"/>
                <w:szCs w:val="21"/>
              </w:rPr>
              <w:t>、普陆页</w:t>
            </w:r>
            <w:r w:rsidRPr="00075350">
              <w:rPr>
                <w:szCs w:val="21"/>
              </w:rPr>
              <w:t>1-5</w:t>
            </w:r>
            <w:r w:rsidRPr="00075350">
              <w:rPr>
                <w:rFonts w:hint="eastAsia"/>
                <w:szCs w:val="21"/>
              </w:rPr>
              <w:t>、普陆页</w:t>
            </w:r>
            <w:r w:rsidRPr="00075350">
              <w:rPr>
                <w:szCs w:val="21"/>
              </w:rPr>
              <w:t>1-6</w:t>
            </w:r>
            <w:r w:rsidRPr="00075350">
              <w:rPr>
                <w:rFonts w:hint="eastAsia"/>
                <w:szCs w:val="21"/>
              </w:rPr>
              <w:t>井，水平段长度分别为</w:t>
            </w:r>
            <w:r w:rsidRPr="00075350">
              <w:rPr>
                <w:szCs w:val="21"/>
              </w:rPr>
              <w:t>2700</w:t>
            </w:r>
            <w:r w:rsidRPr="00075350">
              <w:rPr>
                <w:rFonts w:hint="eastAsia"/>
                <w:szCs w:val="21"/>
              </w:rPr>
              <w:t>米、</w:t>
            </w:r>
            <w:r w:rsidRPr="00075350">
              <w:rPr>
                <w:szCs w:val="21"/>
              </w:rPr>
              <w:t>3000</w:t>
            </w:r>
            <w:r w:rsidRPr="00075350">
              <w:rPr>
                <w:rFonts w:hint="eastAsia"/>
                <w:szCs w:val="21"/>
              </w:rPr>
              <w:t>米和</w:t>
            </w:r>
            <w:r w:rsidRPr="00075350">
              <w:rPr>
                <w:szCs w:val="21"/>
              </w:rPr>
              <w:t>3000</w:t>
            </w:r>
            <w:r w:rsidRPr="00075350">
              <w:rPr>
                <w:rFonts w:hint="eastAsia"/>
                <w:szCs w:val="21"/>
              </w:rPr>
              <w:t>米，以论证长水平段产能效果为主。试验井组方案预计动用天然气地质储量</w:t>
            </w:r>
            <w:r w:rsidRPr="00075350">
              <w:rPr>
                <w:szCs w:val="21"/>
              </w:rPr>
              <w:t>12.14</w:t>
            </w:r>
            <w:r w:rsidRPr="00075350">
              <w:rPr>
                <w:rFonts w:hint="eastAsia"/>
                <w:szCs w:val="21"/>
              </w:rPr>
              <w:t>亿立方米，凝析油地质储量</w:t>
            </w:r>
            <w:r w:rsidRPr="00075350">
              <w:rPr>
                <w:szCs w:val="21"/>
              </w:rPr>
              <w:t>4.84</w:t>
            </w:r>
            <w:r w:rsidRPr="00075350">
              <w:rPr>
                <w:rFonts w:hint="eastAsia"/>
                <w:szCs w:val="21"/>
              </w:rPr>
              <w:t>万吨。预测单井</w:t>
            </w:r>
            <w:r w:rsidRPr="00075350">
              <w:rPr>
                <w:szCs w:val="21"/>
              </w:rPr>
              <w:t>EUR1.01</w:t>
            </w:r>
            <w:r w:rsidRPr="00075350">
              <w:rPr>
                <w:rFonts w:hint="eastAsia"/>
                <w:szCs w:val="21"/>
              </w:rPr>
              <w:t>～</w:t>
            </w:r>
            <w:r w:rsidRPr="00075350">
              <w:rPr>
                <w:szCs w:val="21"/>
              </w:rPr>
              <w:t>1.39</w:t>
            </w:r>
            <w:r w:rsidRPr="00075350">
              <w:rPr>
                <w:rFonts w:hint="eastAsia"/>
                <w:szCs w:val="21"/>
              </w:rPr>
              <w:t>亿立方米，凝析油</w:t>
            </w:r>
            <w:r w:rsidRPr="00075350">
              <w:rPr>
                <w:szCs w:val="21"/>
              </w:rPr>
              <w:t>0.61</w:t>
            </w:r>
            <w:r w:rsidRPr="00075350">
              <w:rPr>
                <w:rFonts w:hint="eastAsia"/>
                <w:szCs w:val="21"/>
              </w:rPr>
              <w:t>～</w:t>
            </w:r>
            <w:r w:rsidRPr="00075350">
              <w:rPr>
                <w:szCs w:val="21"/>
              </w:rPr>
              <w:t>0.85</w:t>
            </w:r>
            <w:r>
              <w:rPr>
                <w:rFonts w:hint="eastAsia"/>
                <w:szCs w:val="21"/>
              </w:rPr>
              <w:t>万吨</w:t>
            </w:r>
            <w:r w:rsidR="00095B51" w:rsidRPr="00D630D1">
              <w:rPr>
                <w:rFonts w:hint="eastAsia"/>
                <w:szCs w:val="21"/>
              </w:rPr>
              <w:t>。</w:t>
            </w:r>
          </w:p>
        </w:tc>
        <w:tc>
          <w:tcPr>
            <w:tcW w:w="619" w:type="pct"/>
            <w:vMerge w:val="restart"/>
            <w:vAlign w:val="center"/>
          </w:tcPr>
          <w:p w:rsidR="00152DD1" w:rsidRPr="00D630D1" w:rsidRDefault="00152DD1" w:rsidP="006F0E40">
            <w:pPr>
              <w:pStyle w:val="af2"/>
            </w:pPr>
            <w:r w:rsidRPr="00D630D1">
              <w:t>占用土地</w:t>
            </w:r>
          </w:p>
          <w:p w:rsidR="00152DD1" w:rsidRPr="00D630D1" w:rsidRDefault="00152DD1" w:rsidP="006F0E40">
            <w:pPr>
              <w:pStyle w:val="af2"/>
            </w:pPr>
            <w:r w:rsidRPr="00D630D1">
              <w:t>施工扬尘</w:t>
            </w:r>
          </w:p>
          <w:p w:rsidR="00152DD1" w:rsidRPr="00D630D1" w:rsidRDefault="00152DD1" w:rsidP="006F0E40">
            <w:pPr>
              <w:pStyle w:val="af2"/>
            </w:pPr>
            <w:r w:rsidRPr="00D630D1">
              <w:t>施工废水</w:t>
            </w:r>
          </w:p>
          <w:p w:rsidR="00152DD1" w:rsidRPr="00D630D1" w:rsidRDefault="00152DD1" w:rsidP="006F0E40">
            <w:pPr>
              <w:pStyle w:val="af2"/>
            </w:pPr>
            <w:r w:rsidRPr="00D630D1">
              <w:t>生活污水</w:t>
            </w:r>
          </w:p>
          <w:p w:rsidR="00152DD1" w:rsidRPr="00D630D1" w:rsidRDefault="00152DD1" w:rsidP="006F0E40">
            <w:pPr>
              <w:pStyle w:val="af2"/>
            </w:pPr>
            <w:r w:rsidRPr="00D630D1">
              <w:t>施工噪声</w:t>
            </w:r>
          </w:p>
          <w:p w:rsidR="00152DD1" w:rsidRPr="00D630D1" w:rsidRDefault="00152DD1" w:rsidP="006F0E40">
            <w:pPr>
              <w:pStyle w:val="af2"/>
            </w:pPr>
            <w:r w:rsidRPr="00D630D1">
              <w:t>生活垃圾</w:t>
            </w:r>
          </w:p>
          <w:p w:rsidR="00152DD1" w:rsidRPr="00D630D1" w:rsidRDefault="00152DD1" w:rsidP="006F0E40">
            <w:pPr>
              <w:pStyle w:val="af2"/>
            </w:pPr>
            <w:r w:rsidRPr="00D630D1">
              <w:t>水土流失</w:t>
            </w:r>
          </w:p>
          <w:p w:rsidR="00152DD1" w:rsidRPr="00D630D1" w:rsidRDefault="00152DD1" w:rsidP="006F0E40">
            <w:pPr>
              <w:pStyle w:val="af2"/>
            </w:pPr>
            <w:r w:rsidRPr="00D630D1">
              <w:t>弃渣</w:t>
            </w:r>
          </w:p>
          <w:p w:rsidR="00152DD1" w:rsidRPr="00D630D1" w:rsidRDefault="00152DD1" w:rsidP="006F0E40">
            <w:pPr>
              <w:pStyle w:val="af2"/>
            </w:pPr>
            <w:r w:rsidRPr="00D630D1">
              <w:t>损坏植被</w:t>
            </w:r>
          </w:p>
        </w:tc>
        <w:tc>
          <w:tcPr>
            <w:tcW w:w="470" w:type="pct"/>
            <w:vMerge w:val="restart"/>
            <w:vAlign w:val="center"/>
          </w:tcPr>
          <w:p w:rsidR="006C6B57" w:rsidRPr="00D630D1" w:rsidRDefault="00152DD1" w:rsidP="00EA24B2">
            <w:pPr>
              <w:pStyle w:val="af2"/>
            </w:pPr>
            <w:r w:rsidRPr="00D630D1">
              <w:t>噪声</w:t>
            </w:r>
          </w:p>
          <w:p w:rsidR="00152DD1" w:rsidRPr="00D630D1" w:rsidRDefault="006C6B57" w:rsidP="00EA24B2">
            <w:pPr>
              <w:pStyle w:val="af2"/>
            </w:pPr>
            <w:r w:rsidRPr="00D630D1">
              <w:t>废水</w:t>
            </w:r>
          </w:p>
          <w:p w:rsidR="00152DD1" w:rsidRPr="00D630D1" w:rsidRDefault="00152DD1" w:rsidP="00EA24B2">
            <w:pPr>
              <w:pStyle w:val="af2"/>
            </w:pPr>
            <w:r w:rsidRPr="00D630D1">
              <w:t>环境风险</w:t>
            </w:r>
          </w:p>
          <w:p w:rsidR="00152DD1" w:rsidRPr="00D630D1" w:rsidRDefault="00152DD1" w:rsidP="00EA24B2">
            <w:pPr>
              <w:pStyle w:val="af2"/>
            </w:pPr>
            <w:r w:rsidRPr="00D630D1">
              <w:t>废气</w:t>
            </w:r>
          </w:p>
        </w:tc>
      </w:tr>
      <w:tr w:rsidR="00095B51" w:rsidRPr="00D630D1" w:rsidTr="00194517">
        <w:trPr>
          <w:trHeight w:val="560"/>
          <w:jc w:val="center"/>
        </w:trPr>
        <w:tc>
          <w:tcPr>
            <w:tcW w:w="271" w:type="pct"/>
            <w:vMerge/>
            <w:vAlign w:val="center"/>
          </w:tcPr>
          <w:p w:rsidR="00095B51" w:rsidRPr="00D630D1" w:rsidRDefault="00095B51" w:rsidP="006F0E40">
            <w:pPr>
              <w:pStyle w:val="af2"/>
            </w:pPr>
          </w:p>
        </w:tc>
        <w:tc>
          <w:tcPr>
            <w:tcW w:w="484" w:type="pct"/>
            <w:vAlign w:val="center"/>
          </w:tcPr>
          <w:p w:rsidR="00095B51" w:rsidRPr="00D630D1" w:rsidRDefault="00095B51" w:rsidP="0061759A">
            <w:pPr>
              <w:pStyle w:val="af2"/>
              <w:rPr>
                <w:szCs w:val="21"/>
              </w:rPr>
            </w:pPr>
            <w:r w:rsidRPr="00D630D1">
              <w:rPr>
                <w:rFonts w:hint="eastAsia"/>
                <w:szCs w:val="21"/>
              </w:rPr>
              <w:t>钻前工程</w:t>
            </w:r>
          </w:p>
        </w:tc>
        <w:tc>
          <w:tcPr>
            <w:tcW w:w="3156" w:type="pct"/>
            <w:gridSpan w:val="3"/>
            <w:vAlign w:val="center"/>
          </w:tcPr>
          <w:p w:rsidR="00095B51" w:rsidRPr="00D630D1" w:rsidRDefault="00075350" w:rsidP="00194517">
            <w:pPr>
              <w:pStyle w:val="af2"/>
              <w:rPr>
                <w:szCs w:val="21"/>
              </w:rPr>
            </w:pPr>
            <w:r w:rsidRPr="00075350">
              <w:rPr>
                <w:rFonts w:hint="eastAsia"/>
              </w:rPr>
              <w:t>利用原普光</w:t>
            </w:r>
            <w:r w:rsidRPr="00075350">
              <w:t>12</w:t>
            </w:r>
            <w:r w:rsidRPr="00075350">
              <w:rPr>
                <w:rFonts w:hint="eastAsia"/>
              </w:rPr>
              <w:t>井场，新建方井</w:t>
            </w:r>
            <w:r w:rsidRPr="00075350">
              <w:t>6</w:t>
            </w:r>
            <w:r w:rsidRPr="00075350">
              <w:rPr>
                <w:rFonts w:hint="eastAsia"/>
              </w:rPr>
              <w:t>口，加长型井架基础、泥浆泵基础、发电机房基础、循环罐基础等各</w:t>
            </w:r>
            <w:r w:rsidRPr="00075350">
              <w:t>1</w:t>
            </w:r>
            <w:r w:rsidRPr="00075350">
              <w:rPr>
                <w:rFonts w:hint="eastAsia"/>
              </w:rPr>
              <w:t>套，利旧修复原污水池和放喷池各</w:t>
            </w:r>
            <w:r w:rsidRPr="00075350">
              <w:t>1</w:t>
            </w:r>
            <w:r w:rsidRPr="00075350">
              <w:rPr>
                <w:rFonts w:hint="eastAsia"/>
              </w:rPr>
              <w:t>座，新建排水边沟及内排污沟，井场原破损地面修复</w:t>
            </w:r>
            <w:r w:rsidR="00095B51" w:rsidRPr="00D630D1">
              <w:rPr>
                <w:rFonts w:hint="eastAsia"/>
                <w:szCs w:val="21"/>
              </w:rPr>
              <w:t>。</w:t>
            </w:r>
          </w:p>
        </w:tc>
        <w:tc>
          <w:tcPr>
            <w:tcW w:w="619" w:type="pct"/>
            <w:vMerge/>
            <w:vAlign w:val="center"/>
          </w:tcPr>
          <w:p w:rsidR="00095B51" w:rsidRPr="00D630D1" w:rsidRDefault="00095B51" w:rsidP="006F0E40">
            <w:pPr>
              <w:pStyle w:val="af2"/>
            </w:pPr>
          </w:p>
        </w:tc>
        <w:tc>
          <w:tcPr>
            <w:tcW w:w="470" w:type="pct"/>
            <w:vMerge/>
            <w:vAlign w:val="center"/>
          </w:tcPr>
          <w:p w:rsidR="00095B51" w:rsidRPr="00D630D1" w:rsidRDefault="00095B51" w:rsidP="00EA24B2">
            <w:pPr>
              <w:pStyle w:val="af2"/>
            </w:pPr>
          </w:p>
        </w:tc>
      </w:tr>
      <w:tr w:rsidR="00095B51" w:rsidRPr="00D630D1" w:rsidTr="00DC5D18">
        <w:trPr>
          <w:trHeight w:val="1162"/>
          <w:jc w:val="center"/>
        </w:trPr>
        <w:tc>
          <w:tcPr>
            <w:tcW w:w="271" w:type="pct"/>
            <w:vMerge/>
            <w:vAlign w:val="center"/>
          </w:tcPr>
          <w:p w:rsidR="00095B51" w:rsidRPr="00D630D1" w:rsidRDefault="00095B51" w:rsidP="006F0E40">
            <w:pPr>
              <w:pStyle w:val="af2"/>
            </w:pPr>
          </w:p>
        </w:tc>
        <w:tc>
          <w:tcPr>
            <w:tcW w:w="484" w:type="pct"/>
            <w:vAlign w:val="center"/>
          </w:tcPr>
          <w:p w:rsidR="00095B51" w:rsidRPr="00D630D1" w:rsidRDefault="00095B51" w:rsidP="00231D5B">
            <w:pPr>
              <w:pStyle w:val="af2"/>
              <w:rPr>
                <w:szCs w:val="21"/>
              </w:rPr>
            </w:pPr>
            <w:r w:rsidRPr="00D630D1">
              <w:rPr>
                <w:rFonts w:hint="eastAsia"/>
                <w:bCs/>
              </w:rPr>
              <w:t>钻井工程</w:t>
            </w:r>
          </w:p>
        </w:tc>
        <w:tc>
          <w:tcPr>
            <w:tcW w:w="3156" w:type="pct"/>
            <w:gridSpan w:val="3"/>
            <w:vAlign w:val="center"/>
          </w:tcPr>
          <w:p w:rsidR="00095B51" w:rsidRPr="00D630D1" w:rsidRDefault="00075350" w:rsidP="00194517">
            <w:pPr>
              <w:pStyle w:val="af2"/>
              <w:rPr>
                <w:szCs w:val="21"/>
              </w:rPr>
            </w:pPr>
            <w:r w:rsidRPr="00075350">
              <w:rPr>
                <w:rFonts w:hint="eastAsia"/>
                <w:szCs w:val="21"/>
              </w:rPr>
              <w:t>新钻井</w:t>
            </w:r>
            <w:r w:rsidRPr="00075350">
              <w:rPr>
                <w:szCs w:val="21"/>
              </w:rPr>
              <w:t xml:space="preserve">6 </w:t>
            </w:r>
            <w:r w:rsidRPr="00075350">
              <w:rPr>
                <w:rFonts w:hint="eastAsia"/>
                <w:szCs w:val="21"/>
              </w:rPr>
              <w:t>口（均为水平井），目的层为千佛崖组，选择</w:t>
            </w:r>
            <w:r w:rsidRPr="00075350">
              <w:rPr>
                <w:szCs w:val="21"/>
              </w:rPr>
              <w:t>70</w:t>
            </w:r>
            <w:r w:rsidRPr="00075350">
              <w:rPr>
                <w:rFonts w:hint="eastAsia"/>
                <w:szCs w:val="21"/>
              </w:rPr>
              <w:t>型电动滑轨钻机，采用“井工厂”模式，设计“导管</w:t>
            </w:r>
            <w:r w:rsidRPr="00075350">
              <w:rPr>
                <w:szCs w:val="21"/>
              </w:rPr>
              <w:t>+</w:t>
            </w:r>
            <w:r w:rsidRPr="00075350">
              <w:rPr>
                <w:rFonts w:hint="eastAsia"/>
                <w:szCs w:val="21"/>
              </w:rPr>
              <w:t>二开”井身结构，套管完井。总进尺</w:t>
            </w:r>
            <w:r w:rsidRPr="00075350">
              <w:rPr>
                <w:szCs w:val="21"/>
              </w:rPr>
              <w:t>37474</w:t>
            </w:r>
            <w:r w:rsidRPr="00075350">
              <w:rPr>
                <w:rFonts w:hint="eastAsia"/>
                <w:szCs w:val="21"/>
              </w:rPr>
              <w:t>米，其中普陆页</w:t>
            </w:r>
            <w:r w:rsidRPr="00075350">
              <w:rPr>
                <w:szCs w:val="21"/>
              </w:rPr>
              <w:t>1-1</w:t>
            </w:r>
            <w:r w:rsidRPr="00075350">
              <w:rPr>
                <w:rFonts w:hint="eastAsia"/>
                <w:szCs w:val="21"/>
              </w:rPr>
              <w:t>井设计井深</w:t>
            </w:r>
            <w:r w:rsidRPr="00075350">
              <w:rPr>
                <w:szCs w:val="21"/>
              </w:rPr>
              <w:t>5986.86</w:t>
            </w:r>
            <w:r w:rsidRPr="00075350">
              <w:rPr>
                <w:rFonts w:hint="eastAsia"/>
                <w:szCs w:val="21"/>
              </w:rPr>
              <w:t>米，普陆页</w:t>
            </w:r>
            <w:r w:rsidRPr="00075350">
              <w:rPr>
                <w:szCs w:val="21"/>
              </w:rPr>
              <w:t>1-2</w:t>
            </w:r>
            <w:r w:rsidRPr="00075350">
              <w:rPr>
                <w:rFonts w:hint="eastAsia"/>
                <w:szCs w:val="21"/>
              </w:rPr>
              <w:t>井设计井深</w:t>
            </w:r>
            <w:r w:rsidRPr="00075350">
              <w:rPr>
                <w:szCs w:val="21"/>
              </w:rPr>
              <w:t>5683.92</w:t>
            </w:r>
            <w:r w:rsidRPr="00075350">
              <w:rPr>
                <w:rFonts w:hint="eastAsia"/>
                <w:szCs w:val="21"/>
              </w:rPr>
              <w:t>米，普陆页</w:t>
            </w:r>
            <w:r w:rsidRPr="00075350">
              <w:rPr>
                <w:szCs w:val="21"/>
              </w:rPr>
              <w:t>1-3</w:t>
            </w:r>
            <w:r w:rsidRPr="00075350">
              <w:rPr>
                <w:rFonts w:hint="eastAsia"/>
                <w:szCs w:val="21"/>
              </w:rPr>
              <w:t>井设计井深</w:t>
            </w:r>
            <w:r w:rsidRPr="00075350">
              <w:rPr>
                <w:szCs w:val="21"/>
              </w:rPr>
              <w:t>5740.45</w:t>
            </w:r>
            <w:r w:rsidRPr="00075350">
              <w:rPr>
                <w:rFonts w:hint="eastAsia"/>
                <w:szCs w:val="21"/>
              </w:rPr>
              <w:t>米，普陆页</w:t>
            </w:r>
            <w:r w:rsidRPr="00075350">
              <w:rPr>
                <w:szCs w:val="21"/>
              </w:rPr>
              <w:t>1-4</w:t>
            </w:r>
            <w:r w:rsidRPr="00075350">
              <w:rPr>
                <w:rFonts w:hint="eastAsia"/>
                <w:szCs w:val="21"/>
              </w:rPr>
              <w:t>井设计井深</w:t>
            </w:r>
            <w:r w:rsidRPr="00075350">
              <w:rPr>
                <w:szCs w:val="21"/>
              </w:rPr>
              <w:t>6488.49</w:t>
            </w:r>
            <w:r w:rsidRPr="00075350">
              <w:rPr>
                <w:rFonts w:hint="eastAsia"/>
                <w:szCs w:val="21"/>
              </w:rPr>
              <w:t>米，普陆页</w:t>
            </w:r>
            <w:r w:rsidRPr="00075350">
              <w:rPr>
                <w:szCs w:val="21"/>
              </w:rPr>
              <w:t>1-5</w:t>
            </w:r>
            <w:r w:rsidRPr="00075350">
              <w:rPr>
                <w:rFonts w:hint="eastAsia"/>
                <w:szCs w:val="21"/>
              </w:rPr>
              <w:t>井设计井深</w:t>
            </w:r>
            <w:r w:rsidRPr="00075350">
              <w:rPr>
                <w:szCs w:val="21"/>
              </w:rPr>
              <w:t>6699.35</w:t>
            </w:r>
            <w:r w:rsidRPr="00075350">
              <w:rPr>
                <w:rFonts w:hint="eastAsia"/>
                <w:szCs w:val="21"/>
              </w:rPr>
              <w:t>米，普陆页</w:t>
            </w:r>
            <w:r w:rsidRPr="00075350">
              <w:rPr>
                <w:szCs w:val="21"/>
              </w:rPr>
              <w:t>1-6</w:t>
            </w:r>
            <w:r w:rsidRPr="00075350">
              <w:rPr>
                <w:rFonts w:hint="eastAsia"/>
                <w:szCs w:val="21"/>
              </w:rPr>
              <w:t>井设计井深</w:t>
            </w:r>
            <w:r w:rsidRPr="00075350">
              <w:rPr>
                <w:szCs w:val="21"/>
              </w:rPr>
              <w:t>6874.93</w:t>
            </w:r>
            <w:r w:rsidRPr="00075350">
              <w:rPr>
                <w:rFonts w:hint="eastAsia"/>
                <w:szCs w:val="21"/>
              </w:rPr>
              <w:t>米</w:t>
            </w:r>
            <w:r w:rsidR="00095B51" w:rsidRPr="00D630D1">
              <w:rPr>
                <w:rFonts w:hint="eastAsia"/>
                <w:szCs w:val="21"/>
              </w:rPr>
              <w:t>。</w:t>
            </w:r>
          </w:p>
        </w:tc>
        <w:tc>
          <w:tcPr>
            <w:tcW w:w="619" w:type="pct"/>
            <w:vMerge/>
            <w:vAlign w:val="center"/>
          </w:tcPr>
          <w:p w:rsidR="00095B51" w:rsidRPr="00D630D1" w:rsidRDefault="00095B51" w:rsidP="006F0E40">
            <w:pPr>
              <w:pStyle w:val="af2"/>
            </w:pPr>
          </w:p>
        </w:tc>
        <w:tc>
          <w:tcPr>
            <w:tcW w:w="470" w:type="pct"/>
            <w:vMerge/>
            <w:vAlign w:val="center"/>
          </w:tcPr>
          <w:p w:rsidR="00095B51" w:rsidRPr="00D630D1" w:rsidRDefault="00095B51" w:rsidP="00EA24B2">
            <w:pPr>
              <w:pStyle w:val="af2"/>
            </w:pPr>
          </w:p>
        </w:tc>
      </w:tr>
      <w:tr w:rsidR="00095B51" w:rsidRPr="00D630D1" w:rsidTr="00DC5D18">
        <w:trPr>
          <w:trHeight w:val="1162"/>
          <w:jc w:val="center"/>
        </w:trPr>
        <w:tc>
          <w:tcPr>
            <w:tcW w:w="271" w:type="pct"/>
            <w:vMerge/>
            <w:vAlign w:val="center"/>
          </w:tcPr>
          <w:p w:rsidR="00095B51" w:rsidRPr="00D630D1" w:rsidRDefault="00095B51" w:rsidP="006F0E40">
            <w:pPr>
              <w:pStyle w:val="af2"/>
            </w:pPr>
          </w:p>
        </w:tc>
        <w:tc>
          <w:tcPr>
            <w:tcW w:w="484" w:type="pct"/>
            <w:vAlign w:val="center"/>
          </w:tcPr>
          <w:p w:rsidR="00095B51" w:rsidRPr="00D630D1" w:rsidRDefault="00095B51" w:rsidP="00231D5B">
            <w:pPr>
              <w:pStyle w:val="af2"/>
            </w:pPr>
            <w:r w:rsidRPr="00D630D1">
              <w:rPr>
                <w:rFonts w:hint="eastAsia"/>
              </w:rPr>
              <w:t>采气工程</w:t>
            </w:r>
          </w:p>
        </w:tc>
        <w:tc>
          <w:tcPr>
            <w:tcW w:w="3156" w:type="pct"/>
            <w:gridSpan w:val="3"/>
            <w:vAlign w:val="center"/>
          </w:tcPr>
          <w:p w:rsidR="00095B51" w:rsidRPr="00D630D1" w:rsidRDefault="00075350" w:rsidP="00194517">
            <w:pPr>
              <w:pStyle w:val="af2"/>
              <w:rPr>
                <w:szCs w:val="21"/>
              </w:rPr>
            </w:pPr>
            <w:r w:rsidRPr="00075350">
              <w:t>6</w:t>
            </w:r>
            <w:r w:rsidRPr="00075350">
              <w:rPr>
                <w:rFonts w:hint="eastAsia"/>
              </w:rPr>
              <w:t>口页岩气井均采用“密切割</w:t>
            </w:r>
            <w:r w:rsidRPr="00075350">
              <w:t>+</w:t>
            </w:r>
            <w:r w:rsidRPr="00075350">
              <w:rPr>
                <w:rFonts w:hint="eastAsia"/>
              </w:rPr>
              <w:t>投球</w:t>
            </w:r>
            <w:r w:rsidRPr="00075350">
              <w:t>+</w:t>
            </w:r>
            <w:r w:rsidRPr="00075350">
              <w:rPr>
                <w:rFonts w:hint="eastAsia"/>
              </w:rPr>
              <w:t>缝内暂堵</w:t>
            </w:r>
            <w:r w:rsidRPr="00075350">
              <w:t>+</w:t>
            </w:r>
            <w:r w:rsidRPr="00075350">
              <w:rPr>
                <w:rFonts w:hint="eastAsia"/>
              </w:rPr>
              <w:t>多尺度裂缝强加砂</w:t>
            </w:r>
            <w:r w:rsidRPr="00075350">
              <w:t>+</w:t>
            </w:r>
            <w:r w:rsidRPr="00075350">
              <w:rPr>
                <w:rFonts w:hint="eastAsia"/>
              </w:rPr>
              <w:t>穿层扩体”体积压裂工艺技术，每</w:t>
            </w:r>
            <w:r w:rsidRPr="00075350">
              <w:t>3</w:t>
            </w:r>
            <w:r w:rsidRPr="00075350">
              <w:rPr>
                <w:rFonts w:hint="eastAsia"/>
              </w:rPr>
              <w:t>口井交叉拉链式压裂；套管安装双趾端滑套建立首段压裂通道，其他段采用泵送可溶桥塞</w:t>
            </w:r>
            <w:r w:rsidRPr="00075350">
              <w:t>+</w:t>
            </w:r>
            <w:r w:rsidRPr="00075350">
              <w:rPr>
                <w:rFonts w:hint="eastAsia"/>
              </w:rPr>
              <w:t>电缆簇射孔方式分段压裂，其中普陆页</w:t>
            </w:r>
            <w:r w:rsidRPr="00075350">
              <w:t>1-1</w:t>
            </w:r>
            <w:r w:rsidRPr="00075350">
              <w:rPr>
                <w:rFonts w:hint="eastAsia"/>
              </w:rPr>
              <w:t>分</w:t>
            </w:r>
            <w:r w:rsidRPr="00075350">
              <w:t>25</w:t>
            </w:r>
            <w:r w:rsidRPr="00075350">
              <w:rPr>
                <w:rFonts w:hint="eastAsia"/>
              </w:rPr>
              <w:t>段、总液量</w:t>
            </w:r>
            <w:r w:rsidRPr="00075350">
              <w:t>52500</w:t>
            </w:r>
            <w:r w:rsidRPr="00075350">
              <w:rPr>
                <w:rFonts w:hint="eastAsia"/>
              </w:rPr>
              <w:t>立方米，普陆页</w:t>
            </w:r>
            <w:r w:rsidRPr="00075350">
              <w:t>1-2</w:t>
            </w:r>
            <w:r w:rsidRPr="00075350">
              <w:rPr>
                <w:rFonts w:hint="eastAsia"/>
              </w:rPr>
              <w:t>分</w:t>
            </w:r>
            <w:r w:rsidRPr="00075350">
              <w:t>25</w:t>
            </w:r>
            <w:r w:rsidRPr="00075350">
              <w:rPr>
                <w:rFonts w:hint="eastAsia"/>
              </w:rPr>
              <w:t>段、总液量</w:t>
            </w:r>
            <w:r w:rsidRPr="00075350">
              <w:t>45000</w:t>
            </w:r>
            <w:r w:rsidRPr="00075350">
              <w:rPr>
                <w:rFonts w:hint="eastAsia"/>
              </w:rPr>
              <w:t>立方米，</w:t>
            </w:r>
            <w:r w:rsidRPr="00075350">
              <w:rPr>
                <w:rFonts w:hint="eastAsia"/>
              </w:rPr>
              <w:lastRenderedPageBreak/>
              <w:t>普陆页</w:t>
            </w:r>
            <w:r w:rsidRPr="00075350">
              <w:t>1-3</w:t>
            </w:r>
            <w:r w:rsidRPr="00075350">
              <w:rPr>
                <w:rFonts w:hint="eastAsia"/>
              </w:rPr>
              <w:t>分</w:t>
            </w:r>
            <w:r w:rsidRPr="00075350">
              <w:t>25</w:t>
            </w:r>
            <w:r w:rsidRPr="00075350">
              <w:rPr>
                <w:rFonts w:hint="eastAsia"/>
              </w:rPr>
              <w:t>段、总液量</w:t>
            </w:r>
            <w:r w:rsidRPr="00075350">
              <w:t>52500</w:t>
            </w:r>
            <w:r w:rsidRPr="00075350">
              <w:rPr>
                <w:rFonts w:hint="eastAsia"/>
              </w:rPr>
              <w:t>立方米，普陆页</w:t>
            </w:r>
            <w:r w:rsidRPr="00075350">
              <w:t>1-4</w:t>
            </w:r>
            <w:r w:rsidRPr="00075350">
              <w:rPr>
                <w:rFonts w:hint="eastAsia"/>
              </w:rPr>
              <w:t>分</w:t>
            </w:r>
            <w:r w:rsidRPr="00075350">
              <w:t>34</w:t>
            </w:r>
            <w:r w:rsidRPr="00075350">
              <w:rPr>
                <w:rFonts w:hint="eastAsia"/>
              </w:rPr>
              <w:t>段、总液量</w:t>
            </w:r>
            <w:r w:rsidRPr="00075350">
              <w:t>54400</w:t>
            </w:r>
            <w:r w:rsidRPr="00075350">
              <w:rPr>
                <w:rFonts w:hint="eastAsia"/>
              </w:rPr>
              <w:t>立方米，普陆页</w:t>
            </w:r>
            <w:r w:rsidRPr="00075350">
              <w:t>1-5</w:t>
            </w:r>
            <w:r w:rsidRPr="00075350">
              <w:rPr>
                <w:rFonts w:hint="eastAsia"/>
              </w:rPr>
              <w:t>分</w:t>
            </w:r>
            <w:r w:rsidRPr="00075350">
              <w:t>38</w:t>
            </w:r>
            <w:r w:rsidRPr="00075350">
              <w:rPr>
                <w:rFonts w:hint="eastAsia"/>
              </w:rPr>
              <w:t>段、总液量</w:t>
            </w:r>
            <w:r w:rsidRPr="00075350">
              <w:t>60800</w:t>
            </w:r>
            <w:r w:rsidRPr="00075350">
              <w:rPr>
                <w:rFonts w:hint="eastAsia"/>
              </w:rPr>
              <w:t>立方米，普陆页</w:t>
            </w:r>
            <w:r w:rsidRPr="00075350">
              <w:t>1-6</w:t>
            </w:r>
            <w:r w:rsidRPr="00075350">
              <w:rPr>
                <w:rFonts w:hint="eastAsia"/>
              </w:rPr>
              <w:t>分</w:t>
            </w:r>
            <w:r w:rsidRPr="00075350">
              <w:t>38</w:t>
            </w:r>
            <w:r w:rsidRPr="00075350">
              <w:rPr>
                <w:rFonts w:hint="eastAsia"/>
              </w:rPr>
              <w:t>段、总液量</w:t>
            </w:r>
            <w:r w:rsidRPr="00075350">
              <w:t>68400</w:t>
            </w:r>
            <w:r w:rsidRPr="00075350">
              <w:rPr>
                <w:rFonts w:hint="eastAsia"/>
              </w:rPr>
              <w:t>立方米；带压下</w:t>
            </w:r>
            <w:r w:rsidRPr="00075350">
              <w:t>73</w:t>
            </w:r>
            <w:r w:rsidRPr="00075350">
              <w:rPr>
                <w:rFonts w:hint="eastAsia"/>
              </w:rPr>
              <w:t>毫米完井管柱；采气井口为</w:t>
            </w:r>
            <w:r w:rsidRPr="00075350">
              <w:t>70</w:t>
            </w:r>
            <w:r w:rsidRPr="00075350">
              <w:rPr>
                <w:rFonts w:hint="eastAsia"/>
              </w:rPr>
              <w:t>兆帕</w:t>
            </w:r>
            <w:r w:rsidRPr="00075350">
              <w:t>DD</w:t>
            </w:r>
            <w:r w:rsidRPr="00075350">
              <w:rPr>
                <w:rFonts w:hint="eastAsia"/>
              </w:rPr>
              <w:t>级采气树、压裂井口为</w:t>
            </w:r>
            <w:r w:rsidRPr="00075350">
              <w:t>140</w:t>
            </w:r>
            <w:r w:rsidRPr="00075350">
              <w:rPr>
                <w:rFonts w:hint="eastAsia"/>
              </w:rPr>
              <w:t>兆帕</w:t>
            </w:r>
            <w:r w:rsidRPr="00075350">
              <w:t>DD</w:t>
            </w:r>
            <w:r w:rsidRPr="00075350">
              <w:rPr>
                <w:rFonts w:hint="eastAsia"/>
              </w:rPr>
              <w:t>级；放喷流程为</w:t>
            </w:r>
            <w:r w:rsidRPr="00075350">
              <w:t>105-70</w:t>
            </w:r>
            <w:r w:rsidRPr="00075350">
              <w:rPr>
                <w:rFonts w:hint="eastAsia"/>
              </w:rPr>
              <w:t>兆帕</w:t>
            </w:r>
            <w:r w:rsidRPr="00075350">
              <w:t>DD</w:t>
            </w:r>
            <w:r w:rsidRPr="00075350">
              <w:rPr>
                <w:rFonts w:hint="eastAsia"/>
              </w:rPr>
              <w:t>级二级节流</w:t>
            </w:r>
            <w:r w:rsidR="00095B51" w:rsidRPr="00D630D1">
              <w:rPr>
                <w:bCs/>
                <w:szCs w:val="21"/>
              </w:rPr>
              <w:t>。</w:t>
            </w:r>
          </w:p>
        </w:tc>
        <w:tc>
          <w:tcPr>
            <w:tcW w:w="619" w:type="pct"/>
            <w:vMerge/>
            <w:vAlign w:val="center"/>
          </w:tcPr>
          <w:p w:rsidR="00095B51" w:rsidRPr="00D630D1" w:rsidRDefault="00095B51" w:rsidP="006F0E40">
            <w:pPr>
              <w:pStyle w:val="af2"/>
            </w:pPr>
          </w:p>
        </w:tc>
        <w:tc>
          <w:tcPr>
            <w:tcW w:w="470" w:type="pct"/>
            <w:vMerge/>
            <w:vAlign w:val="center"/>
          </w:tcPr>
          <w:p w:rsidR="00095B51" w:rsidRPr="00D630D1" w:rsidRDefault="00095B51" w:rsidP="00EA24B2">
            <w:pPr>
              <w:pStyle w:val="af2"/>
            </w:pPr>
          </w:p>
        </w:tc>
      </w:tr>
      <w:tr w:rsidR="00095B51" w:rsidRPr="00D630D1" w:rsidTr="002F2873">
        <w:trPr>
          <w:trHeight w:val="421"/>
          <w:jc w:val="center"/>
        </w:trPr>
        <w:tc>
          <w:tcPr>
            <w:tcW w:w="271" w:type="pct"/>
            <w:vMerge/>
            <w:vAlign w:val="center"/>
          </w:tcPr>
          <w:p w:rsidR="00095B51" w:rsidRPr="00D630D1" w:rsidRDefault="00095B51" w:rsidP="006F0E40">
            <w:pPr>
              <w:pStyle w:val="af2"/>
            </w:pPr>
          </w:p>
        </w:tc>
        <w:tc>
          <w:tcPr>
            <w:tcW w:w="484" w:type="pct"/>
            <w:vAlign w:val="center"/>
          </w:tcPr>
          <w:p w:rsidR="00095B51" w:rsidRPr="00D630D1" w:rsidRDefault="00095B51" w:rsidP="00C01C7F">
            <w:pPr>
              <w:pStyle w:val="af2"/>
            </w:pPr>
            <w:r w:rsidRPr="00D630D1">
              <w:rPr>
                <w:rFonts w:hint="eastAsia"/>
              </w:rPr>
              <w:t>地面集输工程</w:t>
            </w:r>
          </w:p>
        </w:tc>
        <w:tc>
          <w:tcPr>
            <w:tcW w:w="3156" w:type="pct"/>
            <w:gridSpan w:val="3"/>
            <w:vAlign w:val="center"/>
          </w:tcPr>
          <w:p w:rsidR="00095B51" w:rsidRPr="00D630D1" w:rsidRDefault="00075350" w:rsidP="00D968BC">
            <w:pPr>
              <w:pStyle w:val="af2"/>
            </w:pPr>
            <w:r w:rsidRPr="00075350">
              <w:rPr>
                <w:rFonts w:hint="eastAsia"/>
              </w:rPr>
              <w:t>新建普光</w:t>
            </w:r>
            <w:r w:rsidRPr="00075350">
              <w:t>12</w:t>
            </w:r>
            <w:r w:rsidRPr="00075350">
              <w:rPr>
                <w:rFonts w:hint="eastAsia"/>
              </w:rPr>
              <w:t>采气平台</w:t>
            </w:r>
            <w:r w:rsidRPr="00075350">
              <w:t xml:space="preserve">1 </w:t>
            </w:r>
            <w:r w:rsidRPr="00075350">
              <w:rPr>
                <w:rFonts w:hint="eastAsia"/>
              </w:rPr>
              <w:t>座，设计规模</w:t>
            </w:r>
            <w:r w:rsidRPr="00075350">
              <w:t>60</w:t>
            </w:r>
            <w:r w:rsidRPr="00075350">
              <w:rPr>
                <w:rFonts w:hint="eastAsia"/>
              </w:rPr>
              <w:t>万立方米</w:t>
            </w:r>
            <w:r w:rsidRPr="00075350">
              <w:t>/</w:t>
            </w:r>
            <w:r w:rsidRPr="00075350">
              <w:rPr>
                <w:rFonts w:hint="eastAsia"/>
              </w:rPr>
              <w:t>天，采用“加热节流、带液计量、重力分离、低压闪蒸、预留增压接口、近期油水拉运、远期油水管输”集输工艺。平台内配套集输工艺、仪控、通信、消防、给排水等。</w:t>
            </w:r>
            <w:r w:rsidR="001B32FD" w:rsidRPr="001B32FD">
              <w:rPr>
                <w:rFonts w:hint="eastAsia"/>
              </w:rPr>
              <w:t>新建普光</w:t>
            </w:r>
            <w:r w:rsidR="001B32FD" w:rsidRPr="001B32FD">
              <w:rPr>
                <w:rFonts w:hint="eastAsia"/>
              </w:rPr>
              <w:t>12</w:t>
            </w:r>
            <w:r w:rsidR="001B32FD" w:rsidRPr="001B32FD">
              <w:rPr>
                <w:rFonts w:hint="eastAsia"/>
              </w:rPr>
              <w:t>采气站</w:t>
            </w:r>
            <w:r w:rsidR="001B32FD" w:rsidRPr="001B32FD">
              <w:rPr>
                <w:rFonts w:hint="eastAsia"/>
              </w:rPr>
              <w:t>~</w:t>
            </w:r>
            <w:r w:rsidR="001B32FD" w:rsidRPr="001B32FD">
              <w:rPr>
                <w:rFonts w:hint="eastAsia"/>
              </w:rPr>
              <w:t>普陆</w:t>
            </w:r>
            <w:r w:rsidR="001B32FD" w:rsidRPr="001B32FD">
              <w:rPr>
                <w:rFonts w:hint="eastAsia"/>
              </w:rPr>
              <w:t>3</w:t>
            </w:r>
            <w:r w:rsidR="001B32FD" w:rsidRPr="001B32FD">
              <w:rPr>
                <w:rFonts w:hint="eastAsia"/>
              </w:rPr>
              <w:t>集气站集输管线</w:t>
            </w:r>
            <w:r w:rsidR="001B32FD" w:rsidRPr="001B32FD">
              <w:rPr>
                <w:rFonts w:hint="eastAsia"/>
              </w:rPr>
              <w:t>1</w:t>
            </w:r>
            <w:r w:rsidR="001B32FD" w:rsidRPr="001B32FD">
              <w:rPr>
                <w:rFonts w:hint="eastAsia"/>
              </w:rPr>
              <w:t>条，设计压力</w:t>
            </w:r>
            <w:r w:rsidR="001B32FD" w:rsidRPr="001B32FD">
              <w:rPr>
                <w:rFonts w:hint="eastAsia"/>
              </w:rPr>
              <w:t>11MPa</w:t>
            </w:r>
            <w:r w:rsidR="001B32FD" w:rsidRPr="001B32FD">
              <w:rPr>
                <w:rFonts w:hint="eastAsia"/>
              </w:rPr>
              <w:t>，</w:t>
            </w:r>
            <w:r w:rsidR="001B32FD" w:rsidRPr="001B32FD">
              <w:t>材质为</w:t>
            </w:r>
            <w:r w:rsidR="001B32FD" w:rsidRPr="001B32FD">
              <w:rPr>
                <w:rFonts w:hint="eastAsia"/>
              </w:rPr>
              <w:t>L</w:t>
            </w:r>
            <w:r w:rsidR="001B32FD" w:rsidRPr="001B32FD">
              <w:t>245</w:t>
            </w:r>
            <w:r w:rsidR="001B32FD" w:rsidRPr="001B32FD">
              <w:rPr>
                <w:rFonts w:hint="eastAsia"/>
              </w:rPr>
              <w:t>N</w:t>
            </w:r>
            <w:r w:rsidR="001B32FD" w:rsidRPr="001B32FD">
              <w:rPr>
                <w:rFonts w:hint="eastAsia"/>
              </w:rPr>
              <w:t>无缝钢管</w:t>
            </w:r>
            <w:r w:rsidR="001B32FD" w:rsidRPr="001B32FD">
              <w:rPr>
                <w:rFonts w:hint="eastAsia"/>
              </w:rPr>
              <w:t>PSL2</w:t>
            </w:r>
            <w:r w:rsidR="001B32FD" w:rsidRPr="001B32FD">
              <w:rPr>
                <w:rFonts w:hint="eastAsia"/>
              </w:rPr>
              <w:t>，管径</w:t>
            </w:r>
            <w:r w:rsidR="001B32FD" w:rsidRPr="001B32FD">
              <w:rPr>
                <w:rFonts w:hint="eastAsia"/>
              </w:rPr>
              <w:t>DN200</w:t>
            </w:r>
            <w:r w:rsidR="001B32FD" w:rsidRPr="001B32FD">
              <w:rPr>
                <w:rFonts w:hint="eastAsia"/>
              </w:rPr>
              <w:t>，长度约</w:t>
            </w:r>
            <w:r w:rsidR="001B32FD" w:rsidRPr="001B32FD">
              <w:rPr>
                <w:rFonts w:hint="eastAsia"/>
              </w:rPr>
              <w:t>3km</w:t>
            </w:r>
            <w:r w:rsidR="001B32FD" w:rsidRPr="001B32FD">
              <w:rPr>
                <w:rFonts w:hint="eastAsia"/>
              </w:rPr>
              <w:t>；新建普陆</w:t>
            </w:r>
            <w:r w:rsidR="001B32FD" w:rsidRPr="001B32FD">
              <w:rPr>
                <w:rFonts w:hint="eastAsia"/>
              </w:rPr>
              <w:t>3</w:t>
            </w:r>
            <w:r w:rsidR="001B32FD" w:rsidRPr="001B32FD">
              <w:rPr>
                <w:rFonts w:hint="eastAsia"/>
              </w:rPr>
              <w:t>集气站</w:t>
            </w:r>
            <w:r w:rsidR="001B32FD" w:rsidRPr="001B32FD">
              <w:rPr>
                <w:rFonts w:hint="eastAsia"/>
              </w:rPr>
              <w:t>~P105</w:t>
            </w:r>
            <w:r w:rsidR="001B32FD" w:rsidRPr="001B32FD">
              <w:rPr>
                <w:rFonts w:hint="eastAsia"/>
              </w:rPr>
              <w:t>集气站集输管线</w:t>
            </w:r>
            <w:r w:rsidR="001B32FD" w:rsidRPr="001B32FD">
              <w:rPr>
                <w:rFonts w:hint="eastAsia"/>
              </w:rPr>
              <w:t>1</w:t>
            </w:r>
            <w:r w:rsidR="001B32FD" w:rsidRPr="001B32FD">
              <w:rPr>
                <w:rFonts w:hint="eastAsia"/>
              </w:rPr>
              <w:t>条，设计压力</w:t>
            </w:r>
            <w:r w:rsidR="001B32FD" w:rsidRPr="001B32FD">
              <w:rPr>
                <w:rFonts w:hint="eastAsia"/>
              </w:rPr>
              <w:t>11MPa</w:t>
            </w:r>
            <w:r w:rsidR="001B32FD" w:rsidRPr="001B32FD">
              <w:rPr>
                <w:rFonts w:hint="eastAsia"/>
              </w:rPr>
              <w:t>，</w:t>
            </w:r>
            <w:r w:rsidR="001B32FD" w:rsidRPr="001B32FD">
              <w:t>材质为</w:t>
            </w:r>
            <w:r w:rsidR="001B32FD" w:rsidRPr="001B32FD">
              <w:rPr>
                <w:rFonts w:hint="eastAsia"/>
              </w:rPr>
              <w:t>L</w:t>
            </w:r>
            <w:r w:rsidR="001B32FD" w:rsidRPr="001B32FD">
              <w:t>245</w:t>
            </w:r>
            <w:r w:rsidR="001B32FD" w:rsidRPr="001B32FD">
              <w:rPr>
                <w:rFonts w:hint="eastAsia"/>
              </w:rPr>
              <w:t>N</w:t>
            </w:r>
            <w:r w:rsidR="001B32FD" w:rsidRPr="001B32FD">
              <w:rPr>
                <w:rFonts w:hint="eastAsia"/>
              </w:rPr>
              <w:t>无缝钢管</w:t>
            </w:r>
            <w:r w:rsidR="001B32FD" w:rsidRPr="001B32FD">
              <w:rPr>
                <w:rFonts w:hint="eastAsia"/>
              </w:rPr>
              <w:t>PSL2</w:t>
            </w:r>
            <w:r w:rsidR="001B32FD" w:rsidRPr="001B32FD">
              <w:rPr>
                <w:rFonts w:hint="eastAsia"/>
              </w:rPr>
              <w:t>，管径</w:t>
            </w:r>
            <w:r w:rsidR="001B32FD" w:rsidRPr="001B32FD">
              <w:rPr>
                <w:rFonts w:hint="eastAsia"/>
              </w:rPr>
              <w:t>DN150</w:t>
            </w:r>
            <w:r w:rsidR="001B32FD" w:rsidRPr="001B32FD">
              <w:rPr>
                <w:rFonts w:hint="eastAsia"/>
              </w:rPr>
              <w:t>，长度约</w:t>
            </w:r>
            <w:r w:rsidR="001B32FD" w:rsidRPr="001B32FD">
              <w:rPr>
                <w:rFonts w:hint="eastAsia"/>
              </w:rPr>
              <w:t>0.98km</w:t>
            </w:r>
            <w:r w:rsidR="00095B51" w:rsidRPr="00D630D1">
              <w:t>。</w:t>
            </w:r>
          </w:p>
        </w:tc>
        <w:tc>
          <w:tcPr>
            <w:tcW w:w="619" w:type="pct"/>
            <w:vMerge/>
            <w:vAlign w:val="center"/>
          </w:tcPr>
          <w:p w:rsidR="00095B51" w:rsidRPr="00D630D1" w:rsidRDefault="00095B51" w:rsidP="006F0E40">
            <w:pPr>
              <w:pStyle w:val="af2"/>
            </w:pPr>
          </w:p>
        </w:tc>
        <w:tc>
          <w:tcPr>
            <w:tcW w:w="470" w:type="pct"/>
            <w:vMerge/>
            <w:vAlign w:val="center"/>
          </w:tcPr>
          <w:p w:rsidR="00095B51" w:rsidRPr="00D630D1" w:rsidRDefault="00095B51">
            <w:pPr>
              <w:pStyle w:val="af2"/>
            </w:pPr>
          </w:p>
        </w:tc>
      </w:tr>
      <w:tr w:rsidR="00095B51" w:rsidRPr="00D630D1" w:rsidTr="00DC5D18">
        <w:trPr>
          <w:trHeight w:val="18"/>
          <w:jc w:val="center"/>
        </w:trPr>
        <w:tc>
          <w:tcPr>
            <w:tcW w:w="271" w:type="pct"/>
            <w:vMerge w:val="restart"/>
            <w:vAlign w:val="center"/>
          </w:tcPr>
          <w:p w:rsidR="00095B51" w:rsidRPr="00D630D1" w:rsidRDefault="00095B51" w:rsidP="006F0E40">
            <w:pPr>
              <w:pStyle w:val="af2"/>
            </w:pPr>
            <w:r w:rsidRPr="00D630D1">
              <w:t>辅助工程</w:t>
            </w:r>
          </w:p>
        </w:tc>
        <w:tc>
          <w:tcPr>
            <w:tcW w:w="484" w:type="pct"/>
            <w:vAlign w:val="center"/>
          </w:tcPr>
          <w:p w:rsidR="00095B51" w:rsidRPr="00D630D1" w:rsidRDefault="00095B51">
            <w:pPr>
              <w:pStyle w:val="af2"/>
            </w:pPr>
            <w:r w:rsidRPr="00D630D1">
              <w:t>管道防腐</w:t>
            </w:r>
          </w:p>
        </w:tc>
        <w:tc>
          <w:tcPr>
            <w:tcW w:w="3156" w:type="pct"/>
            <w:gridSpan w:val="3"/>
            <w:vAlign w:val="center"/>
          </w:tcPr>
          <w:p w:rsidR="00095B51" w:rsidRPr="00D630D1" w:rsidRDefault="00095B51" w:rsidP="00075350">
            <w:pPr>
              <w:pStyle w:val="af2"/>
            </w:pPr>
            <w:r w:rsidRPr="00D630D1">
              <w:t>埋地酸气管线防腐保温采用</w:t>
            </w:r>
            <w:r w:rsidRPr="00D630D1">
              <w:t>“</w:t>
            </w:r>
            <w:r w:rsidRPr="00D630D1">
              <w:t>管中管</w:t>
            </w:r>
            <w:r w:rsidRPr="00D630D1">
              <w:t>”</w:t>
            </w:r>
            <w:r w:rsidRPr="00D630D1">
              <w:t>成型工艺，保温层采用硬质聚氨脂泡沫聚乙烯防腐保温层（保温层厚</w:t>
            </w:r>
            <w:r w:rsidRPr="00D630D1">
              <w:t>40mm</w:t>
            </w:r>
            <w:r w:rsidRPr="00D630D1">
              <w:t>），防腐层采用环氧粉末；防护层采用聚乙烯层，酸气管道补口采用现场发泡，补口防腐采用无溶剂液体环氧涂料</w:t>
            </w:r>
            <w:r w:rsidRPr="00D630D1">
              <w:t>+</w:t>
            </w:r>
            <w:r w:rsidRPr="00D630D1">
              <w:t>粘弹体胶带</w:t>
            </w:r>
            <w:r w:rsidRPr="00D630D1">
              <w:t>+</w:t>
            </w:r>
            <w:r w:rsidRPr="00D630D1">
              <w:t>聚乙烯袖套管</w:t>
            </w:r>
            <w:r w:rsidRPr="00D630D1">
              <w:t>+</w:t>
            </w:r>
            <w:r w:rsidRPr="00D630D1">
              <w:t>粘弹体胶带</w:t>
            </w:r>
            <w:r w:rsidRPr="00D630D1">
              <w:t>+</w:t>
            </w:r>
            <w:r w:rsidR="00075350">
              <w:t>辐射交联聚乙烯热收缩带</w:t>
            </w:r>
            <w:r w:rsidRPr="00D630D1">
              <w:t>。</w:t>
            </w:r>
          </w:p>
        </w:tc>
        <w:tc>
          <w:tcPr>
            <w:tcW w:w="619" w:type="pct"/>
            <w:vMerge w:val="restart"/>
            <w:vAlign w:val="center"/>
          </w:tcPr>
          <w:p w:rsidR="00095B51" w:rsidRPr="00D630D1" w:rsidRDefault="00095B51">
            <w:pPr>
              <w:pStyle w:val="af2"/>
            </w:pPr>
            <w:r w:rsidRPr="00D630D1">
              <w:t>噪声</w:t>
            </w:r>
          </w:p>
          <w:p w:rsidR="00095B51" w:rsidRPr="00D630D1" w:rsidRDefault="00095B51" w:rsidP="00A775D0">
            <w:pPr>
              <w:pStyle w:val="af2"/>
            </w:pPr>
            <w:r w:rsidRPr="00D630D1">
              <w:t>水土流失</w:t>
            </w:r>
          </w:p>
          <w:p w:rsidR="00095B51" w:rsidRPr="00D630D1" w:rsidRDefault="00095B51" w:rsidP="00A775D0">
            <w:pPr>
              <w:pStyle w:val="af2"/>
            </w:pPr>
            <w:r w:rsidRPr="00D630D1">
              <w:t>植物破坏</w:t>
            </w:r>
          </w:p>
        </w:tc>
        <w:tc>
          <w:tcPr>
            <w:tcW w:w="470" w:type="pct"/>
            <w:tcBorders>
              <w:bottom w:val="single" w:sz="2" w:space="0" w:color="000000"/>
            </w:tcBorders>
            <w:vAlign w:val="center"/>
          </w:tcPr>
          <w:p w:rsidR="00095B51" w:rsidRPr="00D630D1" w:rsidRDefault="00095B51">
            <w:pPr>
              <w:pStyle w:val="af2"/>
            </w:pPr>
            <w:r w:rsidRPr="00D630D1">
              <w:t>/</w:t>
            </w:r>
          </w:p>
        </w:tc>
      </w:tr>
      <w:tr w:rsidR="00095B51" w:rsidRPr="00D630D1" w:rsidTr="00DC5D18">
        <w:trPr>
          <w:trHeight w:val="18"/>
          <w:jc w:val="center"/>
        </w:trPr>
        <w:tc>
          <w:tcPr>
            <w:tcW w:w="271" w:type="pct"/>
            <w:vMerge/>
            <w:vAlign w:val="center"/>
          </w:tcPr>
          <w:p w:rsidR="00095B51" w:rsidRPr="00D630D1" w:rsidRDefault="00095B51" w:rsidP="006F0E40">
            <w:pPr>
              <w:pStyle w:val="af2"/>
            </w:pPr>
          </w:p>
        </w:tc>
        <w:tc>
          <w:tcPr>
            <w:tcW w:w="484" w:type="pct"/>
            <w:vAlign w:val="center"/>
          </w:tcPr>
          <w:p w:rsidR="00095B51" w:rsidRPr="00D630D1" w:rsidRDefault="00095B51">
            <w:pPr>
              <w:pStyle w:val="af2"/>
            </w:pPr>
            <w:r w:rsidRPr="00D630D1">
              <w:t>管道阴极保护</w:t>
            </w:r>
          </w:p>
        </w:tc>
        <w:tc>
          <w:tcPr>
            <w:tcW w:w="3156" w:type="pct"/>
            <w:gridSpan w:val="3"/>
            <w:vAlign w:val="center"/>
          </w:tcPr>
          <w:p w:rsidR="00095B51" w:rsidRPr="00D630D1" w:rsidRDefault="00DD3EA1" w:rsidP="00194517">
            <w:pPr>
              <w:pStyle w:val="af2"/>
            </w:pPr>
            <w:r>
              <w:rPr>
                <w:rFonts w:hint="eastAsia"/>
              </w:rPr>
              <w:t>普光</w:t>
            </w:r>
            <w:r>
              <w:rPr>
                <w:rFonts w:hint="eastAsia"/>
              </w:rPr>
              <w:t>12</w:t>
            </w:r>
            <w:r>
              <w:rPr>
                <w:rFonts w:hint="eastAsia"/>
              </w:rPr>
              <w:t>采气站</w:t>
            </w:r>
            <w:r w:rsidR="00095B51" w:rsidRPr="00D630D1">
              <w:t>新建阴极保护站</w:t>
            </w:r>
            <w:r w:rsidR="00095B51" w:rsidRPr="00D630D1">
              <w:t>1</w:t>
            </w:r>
            <w:r w:rsidR="00095B51" w:rsidRPr="00D630D1">
              <w:t>座。实施强制电流阴极保护。</w:t>
            </w:r>
          </w:p>
        </w:tc>
        <w:tc>
          <w:tcPr>
            <w:tcW w:w="619" w:type="pct"/>
            <w:vMerge/>
            <w:vAlign w:val="center"/>
          </w:tcPr>
          <w:p w:rsidR="00095B51" w:rsidRPr="00D630D1" w:rsidRDefault="00095B51">
            <w:pPr>
              <w:pStyle w:val="af2"/>
            </w:pPr>
          </w:p>
        </w:tc>
        <w:tc>
          <w:tcPr>
            <w:tcW w:w="470" w:type="pct"/>
            <w:tcBorders>
              <w:top w:val="single" w:sz="2" w:space="0" w:color="000000"/>
              <w:bottom w:val="single" w:sz="2" w:space="0" w:color="000000"/>
            </w:tcBorders>
            <w:vAlign w:val="center"/>
          </w:tcPr>
          <w:p w:rsidR="00095B51" w:rsidRPr="00D630D1" w:rsidRDefault="00095B51" w:rsidP="005827E5">
            <w:pPr>
              <w:pStyle w:val="af2"/>
            </w:pPr>
            <w:r w:rsidRPr="00D630D1">
              <w:t>/</w:t>
            </w:r>
          </w:p>
        </w:tc>
      </w:tr>
      <w:tr w:rsidR="00095B51" w:rsidRPr="00D630D1" w:rsidTr="00DC5D18">
        <w:trPr>
          <w:trHeight w:val="18"/>
          <w:jc w:val="center"/>
        </w:trPr>
        <w:tc>
          <w:tcPr>
            <w:tcW w:w="271" w:type="pct"/>
            <w:vMerge/>
            <w:vAlign w:val="center"/>
          </w:tcPr>
          <w:p w:rsidR="00095B51" w:rsidRPr="00D630D1" w:rsidRDefault="00095B51" w:rsidP="006F0E40">
            <w:pPr>
              <w:pStyle w:val="af2"/>
            </w:pPr>
          </w:p>
        </w:tc>
        <w:tc>
          <w:tcPr>
            <w:tcW w:w="484" w:type="pct"/>
            <w:vAlign w:val="center"/>
          </w:tcPr>
          <w:p w:rsidR="00095B51" w:rsidRPr="00D630D1" w:rsidRDefault="00095B51">
            <w:pPr>
              <w:pStyle w:val="af2"/>
            </w:pPr>
            <w:r w:rsidRPr="00D630D1">
              <w:t>探伤检测</w:t>
            </w:r>
          </w:p>
        </w:tc>
        <w:tc>
          <w:tcPr>
            <w:tcW w:w="3156" w:type="pct"/>
            <w:gridSpan w:val="3"/>
            <w:vAlign w:val="center"/>
          </w:tcPr>
          <w:p w:rsidR="00095B51" w:rsidRPr="00D630D1" w:rsidRDefault="00095B51">
            <w:pPr>
              <w:pStyle w:val="af2"/>
            </w:pPr>
            <w:r w:rsidRPr="00D630D1">
              <w:t>管道焊缝进行</w:t>
            </w:r>
            <w:r w:rsidRPr="00D630D1">
              <w:t>100%</w:t>
            </w:r>
            <w:r w:rsidRPr="00D630D1">
              <w:t>超声波探伤检测，检测合格后，再采取</w:t>
            </w:r>
            <w:r w:rsidRPr="00D630D1">
              <w:t>100%</w:t>
            </w:r>
            <w:r w:rsidRPr="00D630D1">
              <w:t>的射线探伤复检。工程探伤检验由专业队伍开展，应按照《工业</w:t>
            </w:r>
            <w:r w:rsidRPr="00D630D1">
              <w:t>X</w:t>
            </w:r>
            <w:r w:rsidRPr="00D630D1">
              <w:t>射线探伤放射防护要求》（</w:t>
            </w:r>
            <w:r w:rsidRPr="00D630D1">
              <w:t>GBZ117-2015</w:t>
            </w:r>
            <w:r w:rsidRPr="00D630D1">
              <w:t>）对管道探伤射线复验进行。不在本次评价范围内。</w:t>
            </w:r>
          </w:p>
        </w:tc>
        <w:tc>
          <w:tcPr>
            <w:tcW w:w="619" w:type="pct"/>
            <w:vMerge/>
            <w:vAlign w:val="center"/>
          </w:tcPr>
          <w:p w:rsidR="00095B51" w:rsidRPr="00D630D1" w:rsidRDefault="00095B51">
            <w:pPr>
              <w:pStyle w:val="af2"/>
            </w:pPr>
          </w:p>
        </w:tc>
        <w:tc>
          <w:tcPr>
            <w:tcW w:w="470" w:type="pct"/>
            <w:tcBorders>
              <w:top w:val="single" w:sz="2" w:space="0" w:color="000000"/>
              <w:bottom w:val="single" w:sz="2" w:space="0" w:color="000000"/>
            </w:tcBorders>
            <w:vAlign w:val="center"/>
          </w:tcPr>
          <w:p w:rsidR="00095B51" w:rsidRPr="00D630D1" w:rsidRDefault="00095B51" w:rsidP="005827E5">
            <w:pPr>
              <w:pStyle w:val="af2"/>
            </w:pPr>
            <w:r w:rsidRPr="00D630D1">
              <w:t>/</w:t>
            </w:r>
          </w:p>
        </w:tc>
      </w:tr>
      <w:tr w:rsidR="00095B51" w:rsidRPr="00D630D1" w:rsidTr="00DC5D18">
        <w:trPr>
          <w:trHeight w:val="18"/>
          <w:jc w:val="center"/>
        </w:trPr>
        <w:tc>
          <w:tcPr>
            <w:tcW w:w="271" w:type="pct"/>
            <w:vMerge/>
            <w:vAlign w:val="center"/>
          </w:tcPr>
          <w:p w:rsidR="00095B51" w:rsidRPr="00D630D1" w:rsidRDefault="00095B51" w:rsidP="006F0E40">
            <w:pPr>
              <w:pStyle w:val="af2"/>
            </w:pPr>
          </w:p>
        </w:tc>
        <w:tc>
          <w:tcPr>
            <w:tcW w:w="484" w:type="pct"/>
            <w:vAlign w:val="center"/>
          </w:tcPr>
          <w:p w:rsidR="00095B51" w:rsidRPr="00D630D1" w:rsidRDefault="00095B51" w:rsidP="005827E5">
            <w:pPr>
              <w:pStyle w:val="af2"/>
            </w:pPr>
            <w:r w:rsidRPr="00D630D1">
              <w:t>通讯工程</w:t>
            </w:r>
          </w:p>
        </w:tc>
        <w:tc>
          <w:tcPr>
            <w:tcW w:w="3156" w:type="pct"/>
            <w:gridSpan w:val="3"/>
            <w:vAlign w:val="center"/>
          </w:tcPr>
          <w:p w:rsidR="00095B51" w:rsidRPr="00D630D1" w:rsidRDefault="00095B51" w:rsidP="005827E5">
            <w:pPr>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含光缆线路、光传输系统、工业以太网、站场广播对讲系统（</w:t>
            </w:r>
            <w:r w:rsidRPr="00D630D1">
              <w:rPr>
                <w:rFonts w:ascii="Times New Roman" w:cs="Times New Roman"/>
                <w:kern w:val="2"/>
                <w:sz w:val="21"/>
              </w:rPr>
              <w:t>PA/GA</w:t>
            </w:r>
            <w:r w:rsidRPr="00D630D1">
              <w:rPr>
                <w:rFonts w:ascii="Times New Roman" w:cs="Times New Roman"/>
                <w:kern w:val="2"/>
                <w:sz w:val="21"/>
              </w:rPr>
              <w:t>）、工业电视监控系统、周界报警系统、办公网及语音系统、气象系统、紧急疏散广播系统扩容、通信基站。</w:t>
            </w:r>
          </w:p>
        </w:tc>
        <w:tc>
          <w:tcPr>
            <w:tcW w:w="619" w:type="pct"/>
            <w:vMerge/>
            <w:vAlign w:val="center"/>
          </w:tcPr>
          <w:p w:rsidR="00095B51" w:rsidRPr="00D630D1" w:rsidRDefault="00095B51">
            <w:pPr>
              <w:pStyle w:val="af2"/>
            </w:pPr>
          </w:p>
        </w:tc>
        <w:tc>
          <w:tcPr>
            <w:tcW w:w="470" w:type="pct"/>
            <w:tcBorders>
              <w:top w:val="single" w:sz="2" w:space="0" w:color="000000"/>
              <w:bottom w:val="single" w:sz="2" w:space="0" w:color="000000"/>
            </w:tcBorders>
            <w:vAlign w:val="center"/>
          </w:tcPr>
          <w:p w:rsidR="00095B51" w:rsidRPr="00D630D1" w:rsidRDefault="00095B51" w:rsidP="005827E5">
            <w:pPr>
              <w:pStyle w:val="af2"/>
            </w:pPr>
            <w:r w:rsidRPr="00D630D1">
              <w:t>/</w:t>
            </w:r>
          </w:p>
        </w:tc>
      </w:tr>
      <w:tr w:rsidR="00095B51" w:rsidRPr="00D630D1" w:rsidTr="00B95D98">
        <w:trPr>
          <w:trHeight w:val="115"/>
          <w:jc w:val="center"/>
        </w:trPr>
        <w:tc>
          <w:tcPr>
            <w:tcW w:w="271" w:type="pct"/>
            <w:vMerge/>
            <w:vAlign w:val="center"/>
          </w:tcPr>
          <w:p w:rsidR="00095B51" w:rsidRPr="00D630D1" w:rsidRDefault="00095B51" w:rsidP="006F0E40">
            <w:pPr>
              <w:pStyle w:val="af2"/>
            </w:pPr>
          </w:p>
        </w:tc>
        <w:tc>
          <w:tcPr>
            <w:tcW w:w="484" w:type="pct"/>
            <w:vAlign w:val="center"/>
          </w:tcPr>
          <w:p w:rsidR="00095B51" w:rsidRPr="00D630D1" w:rsidRDefault="00095B51" w:rsidP="005827E5">
            <w:pPr>
              <w:pStyle w:val="af2"/>
            </w:pPr>
            <w:r w:rsidRPr="00D630D1">
              <w:t>自动控制</w:t>
            </w:r>
          </w:p>
        </w:tc>
        <w:tc>
          <w:tcPr>
            <w:tcW w:w="3156" w:type="pct"/>
            <w:gridSpan w:val="3"/>
            <w:tcBorders>
              <w:bottom w:val="single" w:sz="2" w:space="0" w:color="000000"/>
            </w:tcBorders>
            <w:vAlign w:val="center"/>
          </w:tcPr>
          <w:p w:rsidR="00095B51" w:rsidRPr="00D630D1" w:rsidRDefault="00095B51" w:rsidP="005827E5">
            <w:pPr>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过程控制系统（</w:t>
            </w:r>
            <w:r w:rsidRPr="00D630D1">
              <w:rPr>
                <w:rFonts w:ascii="Times New Roman" w:cs="Times New Roman"/>
                <w:kern w:val="2"/>
                <w:sz w:val="21"/>
              </w:rPr>
              <w:t>PCS</w:t>
            </w:r>
            <w:r w:rsidRPr="00D630D1">
              <w:rPr>
                <w:rFonts w:ascii="Times New Roman" w:cs="Times New Roman"/>
                <w:kern w:val="2"/>
                <w:sz w:val="21"/>
              </w:rPr>
              <w:t>）和安全仪表系统（</w:t>
            </w:r>
            <w:r w:rsidRPr="00D630D1">
              <w:rPr>
                <w:rFonts w:ascii="Times New Roman" w:cs="Times New Roman"/>
                <w:kern w:val="2"/>
                <w:sz w:val="21"/>
              </w:rPr>
              <w:t>SIS</w:t>
            </w:r>
            <w:r w:rsidRPr="00D630D1">
              <w:rPr>
                <w:rFonts w:ascii="Times New Roman" w:cs="Times New Roman"/>
                <w:kern w:val="2"/>
                <w:sz w:val="21"/>
              </w:rPr>
              <w:t>）</w:t>
            </w:r>
          </w:p>
        </w:tc>
        <w:tc>
          <w:tcPr>
            <w:tcW w:w="619" w:type="pct"/>
            <w:vMerge/>
            <w:vAlign w:val="center"/>
          </w:tcPr>
          <w:p w:rsidR="00095B51" w:rsidRPr="00D630D1" w:rsidRDefault="00095B51" w:rsidP="00AA2CA8">
            <w:pPr>
              <w:ind w:firstLine="480"/>
              <w:rPr>
                <w:rFonts w:ascii="Times New Roman" w:cs="Times New Roman"/>
              </w:rPr>
            </w:pPr>
          </w:p>
        </w:tc>
        <w:tc>
          <w:tcPr>
            <w:tcW w:w="470" w:type="pct"/>
            <w:tcBorders>
              <w:top w:val="single" w:sz="2" w:space="0" w:color="000000"/>
              <w:bottom w:val="single" w:sz="2" w:space="0" w:color="000000"/>
            </w:tcBorders>
            <w:vAlign w:val="center"/>
          </w:tcPr>
          <w:p w:rsidR="00095B51" w:rsidRPr="00D630D1" w:rsidRDefault="00095B51" w:rsidP="006C6B57">
            <w:pPr>
              <w:ind w:firstLineChars="150" w:firstLine="360"/>
              <w:rPr>
                <w:rFonts w:ascii="Times New Roman" w:cs="Times New Roman"/>
              </w:rPr>
            </w:pPr>
            <w:r w:rsidRPr="00D630D1">
              <w:rPr>
                <w:rFonts w:ascii="Times New Roman" w:cs="Times New Roman"/>
              </w:rPr>
              <w:t>/</w:t>
            </w:r>
          </w:p>
        </w:tc>
      </w:tr>
      <w:tr w:rsidR="00095B51" w:rsidRPr="00D630D1" w:rsidTr="00DC5D18">
        <w:trPr>
          <w:trHeight w:val="116"/>
          <w:jc w:val="center"/>
        </w:trPr>
        <w:tc>
          <w:tcPr>
            <w:tcW w:w="271" w:type="pct"/>
            <w:vMerge/>
            <w:vAlign w:val="center"/>
          </w:tcPr>
          <w:p w:rsidR="00095B51" w:rsidRPr="00D630D1" w:rsidRDefault="00095B51" w:rsidP="006F0E40">
            <w:pPr>
              <w:pStyle w:val="af2"/>
            </w:pPr>
          </w:p>
        </w:tc>
        <w:tc>
          <w:tcPr>
            <w:tcW w:w="484" w:type="pct"/>
            <w:vAlign w:val="center"/>
          </w:tcPr>
          <w:p w:rsidR="00095B51" w:rsidRPr="00D630D1" w:rsidRDefault="00095B51" w:rsidP="005827E5">
            <w:pPr>
              <w:pStyle w:val="af2"/>
            </w:pPr>
            <w:r w:rsidRPr="00D630D1">
              <w:t>给排水工程</w:t>
            </w:r>
          </w:p>
        </w:tc>
        <w:tc>
          <w:tcPr>
            <w:tcW w:w="3156" w:type="pct"/>
            <w:gridSpan w:val="3"/>
            <w:tcBorders>
              <w:top w:val="single" w:sz="2" w:space="0" w:color="000000"/>
              <w:bottom w:val="single" w:sz="2" w:space="0" w:color="000000"/>
            </w:tcBorders>
            <w:vAlign w:val="center"/>
          </w:tcPr>
          <w:p w:rsidR="00095B51" w:rsidRPr="00D630D1" w:rsidRDefault="00095B51" w:rsidP="00006097">
            <w:pPr>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井场生活、生产用水采用罐车拉水的方式，车拉水卸至站场高架水箱，由水箱供给单井站生产生活用水；</w:t>
            </w:r>
            <w:r w:rsidR="00006097" w:rsidRPr="00D630D1">
              <w:rPr>
                <w:rFonts w:ascii="Times New Roman" w:cs="Times New Roman" w:hint="eastAsia"/>
                <w:kern w:val="2"/>
                <w:sz w:val="21"/>
              </w:rPr>
              <w:t>施工期</w:t>
            </w:r>
            <w:r w:rsidRPr="00D630D1">
              <w:rPr>
                <w:rFonts w:ascii="Times New Roman" w:cs="Times New Roman"/>
                <w:kern w:val="2"/>
                <w:sz w:val="21"/>
              </w:rPr>
              <w:t>生活污水经</w:t>
            </w:r>
            <w:r w:rsidRPr="00D630D1">
              <w:rPr>
                <w:rFonts w:ascii="Times New Roman" w:cs="Times New Roman" w:hint="eastAsia"/>
                <w:kern w:val="2"/>
                <w:sz w:val="21"/>
              </w:rPr>
              <w:t>生态</w:t>
            </w:r>
            <w:r w:rsidRPr="00D630D1">
              <w:rPr>
                <w:rFonts w:ascii="Times New Roman" w:cs="Times New Roman"/>
                <w:kern w:val="2"/>
                <w:sz w:val="21"/>
              </w:rPr>
              <w:t>环保厕所</w:t>
            </w:r>
            <w:r w:rsidRPr="00D630D1">
              <w:rPr>
                <w:rFonts w:ascii="Times New Roman" w:cs="Times New Roman" w:hint="eastAsia"/>
                <w:kern w:val="2"/>
                <w:sz w:val="21"/>
              </w:rPr>
              <w:t>收集</w:t>
            </w:r>
            <w:r w:rsidRPr="00D630D1">
              <w:rPr>
                <w:rFonts w:ascii="Times New Roman" w:cs="Times New Roman"/>
                <w:kern w:val="2"/>
                <w:sz w:val="21"/>
              </w:rPr>
              <w:t>后用作农肥，不外排；雨水依托站内排水沟散排。</w:t>
            </w:r>
          </w:p>
        </w:tc>
        <w:tc>
          <w:tcPr>
            <w:tcW w:w="619" w:type="pct"/>
            <w:vMerge/>
            <w:vAlign w:val="center"/>
          </w:tcPr>
          <w:p w:rsidR="00095B51" w:rsidRPr="00D630D1" w:rsidRDefault="00095B51" w:rsidP="00AA2CA8">
            <w:pPr>
              <w:ind w:firstLine="480"/>
              <w:rPr>
                <w:rFonts w:ascii="Times New Roman" w:cs="Times New Roman"/>
              </w:rPr>
            </w:pPr>
          </w:p>
        </w:tc>
        <w:tc>
          <w:tcPr>
            <w:tcW w:w="470" w:type="pct"/>
            <w:tcBorders>
              <w:top w:val="single" w:sz="2" w:space="0" w:color="000000"/>
              <w:bottom w:val="single" w:sz="2" w:space="0" w:color="000000"/>
            </w:tcBorders>
            <w:vAlign w:val="center"/>
          </w:tcPr>
          <w:p w:rsidR="00095B51" w:rsidRPr="00D630D1" w:rsidRDefault="00095B51">
            <w:pPr>
              <w:pStyle w:val="af2"/>
            </w:pPr>
            <w:r w:rsidRPr="00D630D1">
              <w:t>/</w:t>
            </w:r>
          </w:p>
        </w:tc>
      </w:tr>
      <w:tr w:rsidR="00095B51" w:rsidRPr="00D630D1" w:rsidTr="00DC5D18">
        <w:trPr>
          <w:trHeight w:val="116"/>
          <w:jc w:val="center"/>
        </w:trPr>
        <w:tc>
          <w:tcPr>
            <w:tcW w:w="271" w:type="pct"/>
            <w:vMerge/>
            <w:vAlign w:val="center"/>
          </w:tcPr>
          <w:p w:rsidR="00095B51" w:rsidRPr="00D630D1" w:rsidRDefault="00095B51" w:rsidP="006F0E40">
            <w:pPr>
              <w:pStyle w:val="af2"/>
            </w:pPr>
          </w:p>
        </w:tc>
        <w:tc>
          <w:tcPr>
            <w:tcW w:w="484" w:type="pct"/>
            <w:vAlign w:val="center"/>
          </w:tcPr>
          <w:p w:rsidR="00095B51" w:rsidRPr="00D630D1" w:rsidRDefault="00095B51" w:rsidP="005827E5">
            <w:pPr>
              <w:pStyle w:val="af2"/>
            </w:pPr>
            <w:r w:rsidRPr="00D630D1">
              <w:t>供配电</w:t>
            </w:r>
          </w:p>
        </w:tc>
        <w:tc>
          <w:tcPr>
            <w:tcW w:w="3156" w:type="pct"/>
            <w:gridSpan w:val="3"/>
            <w:tcBorders>
              <w:top w:val="single" w:sz="2" w:space="0" w:color="000000"/>
              <w:bottom w:val="single" w:sz="2" w:space="0" w:color="000000"/>
            </w:tcBorders>
            <w:vAlign w:val="center"/>
          </w:tcPr>
          <w:p w:rsidR="00095B51" w:rsidRPr="00D630D1" w:rsidRDefault="00095B51" w:rsidP="005827E5">
            <w:pPr>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站内设电力小屋</w:t>
            </w:r>
            <w:r w:rsidRPr="00D630D1">
              <w:rPr>
                <w:rFonts w:ascii="Times New Roman" w:cs="Times New Roman"/>
                <w:kern w:val="2"/>
                <w:sz w:val="21"/>
              </w:rPr>
              <w:t>1</w:t>
            </w:r>
            <w:r w:rsidRPr="00D630D1">
              <w:rPr>
                <w:rFonts w:ascii="Times New Roman" w:cs="Times New Roman"/>
                <w:kern w:val="2"/>
                <w:sz w:val="21"/>
              </w:rPr>
              <w:t>座，内设</w:t>
            </w:r>
            <w:r w:rsidRPr="00D630D1">
              <w:rPr>
                <w:rFonts w:ascii="Times New Roman" w:cs="Times New Roman"/>
                <w:kern w:val="2"/>
                <w:sz w:val="21"/>
              </w:rPr>
              <w:t>35kV</w:t>
            </w:r>
            <w:r w:rsidRPr="00D630D1">
              <w:rPr>
                <w:rFonts w:ascii="Times New Roman" w:cs="Times New Roman"/>
                <w:kern w:val="2"/>
                <w:sz w:val="21"/>
              </w:rPr>
              <w:t>高压开关柜、干式变压器柜、低压配电柜和</w:t>
            </w:r>
            <w:r w:rsidRPr="00D630D1">
              <w:rPr>
                <w:rFonts w:ascii="Times New Roman" w:cs="Times New Roman"/>
                <w:kern w:val="2"/>
                <w:sz w:val="21"/>
              </w:rPr>
              <w:t>UPS</w:t>
            </w:r>
            <w:r w:rsidRPr="00D630D1">
              <w:rPr>
                <w:rFonts w:ascii="Times New Roman" w:cs="Times New Roman"/>
                <w:kern w:val="2"/>
                <w:sz w:val="21"/>
              </w:rPr>
              <w:t>装置。</w:t>
            </w:r>
          </w:p>
        </w:tc>
        <w:tc>
          <w:tcPr>
            <w:tcW w:w="619" w:type="pct"/>
            <w:vMerge/>
            <w:vAlign w:val="center"/>
          </w:tcPr>
          <w:p w:rsidR="00095B51" w:rsidRPr="00D630D1" w:rsidRDefault="00095B51" w:rsidP="00AA2CA8">
            <w:pPr>
              <w:ind w:firstLine="480"/>
              <w:rPr>
                <w:rFonts w:ascii="Times New Roman" w:cs="Times New Roman"/>
              </w:rPr>
            </w:pPr>
          </w:p>
        </w:tc>
        <w:tc>
          <w:tcPr>
            <w:tcW w:w="470" w:type="pct"/>
            <w:tcBorders>
              <w:top w:val="single" w:sz="2" w:space="0" w:color="000000"/>
              <w:bottom w:val="single" w:sz="2" w:space="0" w:color="000000"/>
            </w:tcBorders>
            <w:vAlign w:val="center"/>
          </w:tcPr>
          <w:p w:rsidR="00095B51" w:rsidRPr="00D630D1" w:rsidRDefault="00095B51">
            <w:pPr>
              <w:pStyle w:val="af2"/>
            </w:pPr>
            <w:r w:rsidRPr="00D630D1">
              <w:t>/</w:t>
            </w:r>
          </w:p>
        </w:tc>
      </w:tr>
      <w:tr w:rsidR="00095B51" w:rsidRPr="00D630D1" w:rsidTr="00DC5D18">
        <w:trPr>
          <w:trHeight w:val="116"/>
          <w:jc w:val="center"/>
        </w:trPr>
        <w:tc>
          <w:tcPr>
            <w:tcW w:w="271" w:type="pct"/>
            <w:vMerge/>
            <w:vAlign w:val="center"/>
          </w:tcPr>
          <w:p w:rsidR="00095B51" w:rsidRPr="00D630D1" w:rsidRDefault="00095B51" w:rsidP="006F0E40">
            <w:pPr>
              <w:pStyle w:val="af2"/>
            </w:pPr>
          </w:p>
        </w:tc>
        <w:tc>
          <w:tcPr>
            <w:tcW w:w="484" w:type="pct"/>
            <w:vAlign w:val="center"/>
          </w:tcPr>
          <w:p w:rsidR="00095B51" w:rsidRPr="00D630D1" w:rsidRDefault="00095B51" w:rsidP="005827E5">
            <w:pPr>
              <w:pStyle w:val="af2"/>
            </w:pPr>
            <w:r w:rsidRPr="00D630D1">
              <w:rPr>
                <w:szCs w:val="21"/>
              </w:rPr>
              <w:t>管道标识</w:t>
            </w:r>
          </w:p>
        </w:tc>
        <w:tc>
          <w:tcPr>
            <w:tcW w:w="3156" w:type="pct"/>
            <w:gridSpan w:val="3"/>
            <w:tcBorders>
              <w:top w:val="single" w:sz="2" w:space="0" w:color="000000"/>
              <w:bottom w:val="single" w:sz="2" w:space="0" w:color="000000"/>
            </w:tcBorders>
            <w:vAlign w:val="center"/>
          </w:tcPr>
          <w:p w:rsidR="00095B51" w:rsidRPr="00D630D1" w:rsidRDefault="00095B51" w:rsidP="005827E5">
            <w:pPr>
              <w:snapToGrid w:val="0"/>
              <w:spacing w:line="240" w:lineRule="auto"/>
              <w:ind w:firstLineChars="0" w:firstLine="0"/>
              <w:jc w:val="center"/>
              <w:rPr>
                <w:rFonts w:ascii="Times New Roman" w:cs="Times New Roman"/>
                <w:kern w:val="2"/>
                <w:sz w:val="21"/>
                <w:szCs w:val="21"/>
              </w:rPr>
            </w:pPr>
            <w:r w:rsidRPr="00D630D1">
              <w:rPr>
                <w:sz w:val="21"/>
                <w:szCs w:val="21"/>
              </w:rPr>
              <w:t>管道标志桩、警示牌、警示带</w:t>
            </w:r>
          </w:p>
        </w:tc>
        <w:tc>
          <w:tcPr>
            <w:tcW w:w="619" w:type="pct"/>
            <w:vMerge/>
            <w:vAlign w:val="center"/>
          </w:tcPr>
          <w:p w:rsidR="00095B51" w:rsidRPr="00D630D1" w:rsidRDefault="00095B51" w:rsidP="00AA2CA8">
            <w:pPr>
              <w:ind w:firstLine="480"/>
              <w:rPr>
                <w:rFonts w:ascii="Times New Roman" w:cs="Times New Roman"/>
              </w:rPr>
            </w:pPr>
          </w:p>
        </w:tc>
        <w:tc>
          <w:tcPr>
            <w:tcW w:w="470" w:type="pct"/>
            <w:tcBorders>
              <w:top w:val="single" w:sz="2" w:space="0" w:color="000000"/>
              <w:bottom w:val="single" w:sz="2" w:space="0" w:color="000000"/>
            </w:tcBorders>
            <w:vAlign w:val="center"/>
          </w:tcPr>
          <w:p w:rsidR="00095B51" w:rsidRPr="00D630D1" w:rsidRDefault="00095B51">
            <w:pPr>
              <w:pStyle w:val="af2"/>
            </w:pPr>
            <w:r w:rsidRPr="00D630D1">
              <w:t>/</w:t>
            </w:r>
          </w:p>
        </w:tc>
      </w:tr>
      <w:tr w:rsidR="00C869C5" w:rsidRPr="00D630D1" w:rsidTr="00DC5D18">
        <w:trPr>
          <w:trHeight w:val="18"/>
          <w:jc w:val="center"/>
        </w:trPr>
        <w:tc>
          <w:tcPr>
            <w:tcW w:w="271" w:type="pct"/>
            <w:vMerge/>
            <w:vAlign w:val="center"/>
          </w:tcPr>
          <w:p w:rsidR="00C869C5" w:rsidRPr="00D630D1" w:rsidRDefault="00C869C5" w:rsidP="001A7776">
            <w:pPr>
              <w:pStyle w:val="af2"/>
            </w:pPr>
          </w:p>
        </w:tc>
        <w:tc>
          <w:tcPr>
            <w:tcW w:w="484" w:type="pct"/>
            <w:vAlign w:val="center"/>
          </w:tcPr>
          <w:p w:rsidR="00C869C5" w:rsidRPr="00D630D1" w:rsidRDefault="00C869C5" w:rsidP="001A7776">
            <w:pPr>
              <w:pStyle w:val="af2"/>
            </w:pPr>
            <w:r w:rsidRPr="00D630D1">
              <w:rPr>
                <w:rFonts w:hint="eastAsia"/>
              </w:rPr>
              <w:t>进场道路</w:t>
            </w:r>
          </w:p>
        </w:tc>
        <w:tc>
          <w:tcPr>
            <w:tcW w:w="3156" w:type="pct"/>
            <w:gridSpan w:val="3"/>
            <w:tcBorders>
              <w:top w:val="single" w:sz="2" w:space="0" w:color="000000"/>
            </w:tcBorders>
            <w:vAlign w:val="center"/>
          </w:tcPr>
          <w:p w:rsidR="00C869C5" w:rsidRPr="00D630D1" w:rsidRDefault="00C869C5" w:rsidP="00941AC9">
            <w:pPr>
              <w:pStyle w:val="af2"/>
            </w:pPr>
            <w:r w:rsidRPr="00D630D1">
              <w:rPr>
                <w:rFonts w:hint="eastAsia"/>
              </w:rPr>
              <w:t>井场</w:t>
            </w:r>
            <w:r w:rsidR="00075350">
              <w:rPr>
                <w:rFonts w:hint="eastAsia"/>
              </w:rPr>
              <w:t>南</w:t>
            </w:r>
            <w:r w:rsidRPr="00D630D1">
              <w:rPr>
                <w:rFonts w:hint="eastAsia"/>
              </w:rPr>
              <w:t>侧</w:t>
            </w:r>
            <w:r w:rsidR="00941AC9">
              <w:rPr>
                <w:rFonts w:hint="eastAsia"/>
              </w:rPr>
              <w:t>对</w:t>
            </w:r>
            <w:r w:rsidRPr="00D630D1">
              <w:rPr>
                <w:rFonts w:hint="eastAsia"/>
              </w:rPr>
              <w:t>进场道路</w:t>
            </w:r>
            <w:r w:rsidR="00941AC9">
              <w:rPr>
                <w:rFonts w:hint="eastAsia"/>
              </w:rPr>
              <w:t>进行修缮，长度</w:t>
            </w:r>
            <w:r w:rsidR="00E21449">
              <w:rPr>
                <w:rFonts w:hint="eastAsia"/>
              </w:rPr>
              <w:t>50</w:t>
            </w:r>
            <w:r w:rsidRPr="00D630D1">
              <w:rPr>
                <w:rFonts w:hint="eastAsia"/>
              </w:rPr>
              <w:t>m</w:t>
            </w:r>
            <w:r w:rsidRPr="00D630D1">
              <w:rPr>
                <w:rFonts w:hint="eastAsia"/>
              </w:rPr>
              <w:t>，宽</w:t>
            </w:r>
            <w:r w:rsidRPr="00D630D1">
              <w:rPr>
                <w:rFonts w:hint="eastAsia"/>
              </w:rPr>
              <w:t>4m</w:t>
            </w:r>
          </w:p>
        </w:tc>
        <w:tc>
          <w:tcPr>
            <w:tcW w:w="619" w:type="pct"/>
            <w:vMerge/>
            <w:vAlign w:val="center"/>
          </w:tcPr>
          <w:p w:rsidR="00C869C5" w:rsidRPr="00D630D1" w:rsidRDefault="00C869C5" w:rsidP="001A7776">
            <w:pPr>
              <w:pStyle w:val="af2"/>
            </w:pPr>
          </w:p>
        </w:tc>
        <w:tc>
          <w:tcPr>
            <w:tcW w:w="470" w:type="pct"/>
            <w:tcBorders>
              <w:top w:val="single" w:sz="2" w:space="0" w:color="000000"/>
            </w:tcBorders>
            <w:vAlign w:val="center"/>
          </w:tcPr>
          <w:p w:rsidR="00C869C5" w:rsidRPr="00D630D1" w:rsidRDefault="00C869C5" w:rsidP="001A7776">
            <w:pPr>
              <w:pStyle w:val="af2"/>
            </w:pPr>
            <w:r w:rsidRPr="00D630D1">
              <w:t>/</w:t>
            </w:r>
          </w:p>
        </w:tc>
      </w:tr>
      <w:tr w:rsidR="00E21449" w:rsidRPr="00D630D1" w:rsidTr="00DC5D18">
        <w:trPr>
          <w:trHeight w:val="18"/>
          <w:jc w:val="center"/>
        </w:trPr>
        <w:tc>
          <w:tcPr>
            <w:tcW w:w="271" w:type="pct"/>
            <w:vMerge w:val="restart"/>
            <w:vAlign w:val="center"/>
          </w:tcPr>
          <w:p w:rsidR="00E21449" w:rsidRPr="00D630D1" w:rsidRDefault="00E21449" w:rsidP="001A7776">
            <w:pPr>
              <w:pStyle w:val="af2"/>
            </w:pPr>
            <w:r w:rsidRPr="00D630D1">
              <w:rPr>
                <w:rFonts w:hint="eastAsia"/>
              </w:rPr>
              <w:t>仓储工程</w:t>
            </w:r>
          </w:p>
        </w:tc>
        <w:tc>
          <w:tcPr>
            <w:tcW w:w="484" w:type="pct"/>
            <w:vAlign w:val="center"/>
          </w:tcPr>
          <w:p w:rsidR="00E21449" w:rsidRPr="00D630D1" w:rsidRDefault="00E21449" w:rsidP="001A7776">
            <w:pPr>
              <w:pStyle w:val="af2"/>
            </w:pPr>
            <w:r w:rsidRPr="00D630D1">
              <w:rPr>
                <w:bCs/>
              </w:rPr>
              <w:t>柴油储罐</w:t>
            </w:r>
          </w:p>
        </w:tc>
        <w:tc>
          <w:tcPr>
            <w:tcW w:w="3156" w:type="pct"/>
            <w:gridSpan w:val="3"/>
            <w:tcBorders>
              <w:top w:val="single" w:sz="2" w:space="0" w:color="000000"/>
            </w:tcBorders>
            <w:vAlign w:val="center"/>
          </w:tcPr>
          <w:p w:rsidR="00E21449" w:rsidRPr="00D630D1" w:rsidRDefault="00E21449" w:rsidP="00095B51">
            <w:pPr>
              <w:pStyle w:val="af2"/>
            </w:pPr>
            <w:r w:rsidRPr="00D630D1">
              <w:rPr>
                <w:rFonts w:hint="eastAsia"/>
              </w:rPr>
              <w:t>1</w:t>
            </w:r>
            <w:r w:rsidRPr="00D630D1">
              <w:t>个柴油</w:t>
            </w:r>
            <w:r>
              <w:rPr>
                <w:rFonts w:hint="eastAsia"/>
              </w:rPr>
              <w:t>储</w:t>
            </w:r>
            <w:r w:rsidRPr="00D630D1">
              <w:t>罐，每个容积</w:t>
            </w:r>
            <w:r w:rsidRPr="00D630D1">
              <w:t>20m</w:t>
            </w:r>
            <w:r w:rsidRPr="00D630D1">
              <w:rPr>
                <w:vertAlign w:val="superscript"/>
              </w:rPr>
              <w:t>3</w:t>
            </w:r>
          </w:p>
        </w:tc>
        <w:tc>
          <w:tcPr>
            <w:tcW w:w="619" w:type="pct"/>
            <w:vAlign w:val="center"/>
          </w:tcPr>
          <w:p w:rsidR="00E21449" w:rsidRPr="00D630D1" w:rsidRDefault="00E21449" w:rsidP="00F214FA">
            <w:pPr>
              <w:pStyle w:val="af2"/>
            </w:pPr>
            <w:r w:rsidRPr="00D630D1">
              <w:t>噪声</w:t>
            </w:r>
          </w:p>
          <w:p w:rsidR="00E21449" w:rsidRPr="00D630D1" w:rsidRDefault="00E21449" w:rsidP="00F214FA">
            <w:pPr>
              <w:pStyle w:val="af2"/>
            </w:pPr>
            <w:r w:rsidRPr="00D630D1">
              <w:t>水土流失</w:t>
            </w:r>
          </w:p>
          <w:p w:rsidR="00E21449" w:rsidRPr="00D630D1" w:rsidRDefault="00E21449" w:rsidP="00F214FA">
            <w:pPr>
              <w:pStyle w:val="af2"/>
            </w:pPr>
            <w:r w:rsidRPr="00D630D1">
              <w:t>植物破坏</w:t>
            </w:r>
          </w:p>
        </w:tc>
        <w:tc>
          <w:tcPr>
            <w:tcW w:w="470" w:type="pct"/>
            <w:tcBorders>
              <w:top w:val="single" w:sz="2" w:space="0" w:color="000000"/>
            </w:tcBorders>
            <w:vAlign w:val="center"/>
          </w:tcPr>
          <w:p w:rsidR="00E21449" w:rsidRPr="00D630D1" w:rsidRDefault="00E21449" w:rsidP="001A7776">
            <w:pPr>
              <w:pStyle w:val="af2"/>
            </w:pPr>
            <w:r w:rsidRPr="00D630D1">
              <w:rPr>
                <w:rFonts w:hint="eastAsia"/>
              </w:rPr>
              <w:t>废油</w:t>
            </w:r>
          </w:p>
          <w:p w:rsidR="00E21449" w:rsidRPr="00D630D1" w:rsidRDefault="00E21449" w:rsidP="001A7776">
            <w:pPr>
              <w:pStyle w:val="af2"/>
            </w:pPr>
            <w:r w:rsidRPr="00D630D1">
              <w:rPr>
                <w:rFonts w:hint="eastAsia"/>
              </w:rPr>
              <w:t>环境风险</w:t>
            </w:r>
          </w:p>
        </w:tc>
      </w:tr>
      <w:tr w:rsidR="00E21449" w:rsidRPr="00D630D1" w:rsidTr="00DC5D18">
        <w:trPr>
          <w:trHeight w:val="18"/>
          <w:jc w:val="center"/>
        </w:trPr>
        <w:tc>
          <w:tcPr>
            <w:tcW w:w="271" w:type="pct"/>
            <w:vMerge/>
            <w:vAlign w:val="center"/>
          </w:tcPr>
          <w:p w:rsidR="00E21449" w:rsidRPr="00D630D1" w:rsidRDefault="00E21449" w:rsidP="001A7776">
            <w:pPr>
              <w:pStyle w:val="af2"/>
            </w:pPr>
          </w:p>
        </w:tc>
        <w:tc>
          <w:tcPr>
            <w:tcW w:w="484" w:type="pct"/>
            <w:vAlign w:val="center"/>
          </w:tcPr>
          <w:p w:rsidR="00E21449" w:rsidRPr="00D630D1" w:rsidRDefault="00E21449" w:rsidP="001A7776">
            <w:pPr>
              <w:pStyle w:val="af2"/>
              <w:rPr>
                <w:bCs/>
              </w:rPr>
            </w:pPr>
            <w:r>
              <w:rPr>
                <w:rFonts w:hint="eastAsia"/>
                <w:bCs/>
              </w:rPr>
              <w:t>凝析油储罐</w:t>
            </w:r>
          </w:p>
        </w:tc>
        <w:tc>
          <w:tcPr>
            <w:tcW w:w="3156" w:type="pct"/>
            <w:gridSpan w:val="3"/>
            <w:tcBorders>
              <w:top w:val="single" w:sz="2" w:space="0" w:color="000000"/>
            </w:tcBorders>
            <w:vAlign w:val="center"/>
          </w:tcPr>
          <w:p w:rsidR="00E21449" w:rsidRPr="00D630D1" w:rsidRDefault="00E21449" w:rsidP="00E21449">
            <w:pPr>
              <w:pStyle w:val="af2"/>
            </w:pPr>
            <w:r>
              <w:rPr>
                <w:rFonts w:hint="eastAsia"/>
              </w:rPr>
              <w:t>2</w:t>
            </w:r>
            <w:r w:rsidRPr="00D630D1">
              <w:t>个</w:t>
            </w:r>
            <w:r>
              <w:rPr>
                <w:rFonts w:hint="eastAsia"/>
              </w:rPr>
              <w:t>凝析油储</w:t>
            </w:r>
            <w:r w:rsidRPr="00D630D1">
              <w:t>罐，每个容积</w:t>
            </w:r>
            <w:r w:rsidRPr="00D630D1">
              <w:t>20m</w:t>
            </w:r>
            <w:r w:rsidRPr="00D630D1">
              <w:rPr>
                <w:vertAlign w:val="superscript"/>
              </w:rPr>
              <w:t>3</w:t>
            </w:r>
          </w:p>
        </w:tc>
        <w:tc>
          <w:tcPr>
            <w:tcW w:w="619" w:type="pct"/>
            <w:vAlign w:val="center"/>
          </w:tcPr>
          <w:p w:rsidR="00E21449" w:rsidRPr="00D630D1" w:rsidRDefault="00E21449" w:rsidP="003C6AD6">
            <w:pPr>
              <w:pStyle w:val="af2"/>
            </w:pPr>
            <w:r w:rsidRPr="00D630D1">
              <w:t>噪声</w:t>
            </w:r>
          </w:p>
          <w:p w:rsidR="00E21449" w:rsidRPr="00D630D1" w:rsidRDefault="00E21449" w:rsidP="003C6AD6">
            <w:pPr>
              <w:pStyle w:val="af2"/>
            </w:pPr>
            <w:r w:rsidRPr="00D630D1">
              <w:t>水土流失</w:t>
            </w:r>
          </w:p>
          <w:p w:rsidR="00E21449" w:rsidRPr="00D630D1" w:rsidRDefault="00E21449" w:rsidP="003C6AD6">
            <w:pPr>
              <w:pStyle w:val="af2"/>
            </w:pPr>
            <w:r w:rsidRPr="00D630D1">
              <w:t>植物破坏</w:t>
            </w:r>
          </w:p>
        </w:tc>
        <w:tc>
          <w:tcPr>
            <w:tcW w:w="470" w:type="pct"/>
            <w:tcBorders>
              <w:top w:val="single" w:sz="2" w:space="0" w:color="000000"/>
            </w:tcBorders>
            <w:vAlign w:val="center"/>
          </w:tcPr>
          <w:p w:rsidR="00E21449" w:rsidRPr="00D630D1" w:rsidRDefault="00E21449" w:rsidP="003C6AD6">
            <w:pPr>
              <w:pStyle w:val="af2"/>
            </w:pPr>
            <w:r w:rsidRPr="00D630D1">
              <w:rPr>
                <w:rFonts w:hint="eastAsia"/>
              </w:rPr>
              <w:t>环境风险</w:t>
            </w:r>
          </w:p>
        </w:tc>
      </w:tr>
      <w:tr w:rsidR="00E21449" w:rsidRPr="00D630D1" w:rsidTr="00DC5D18">
        <w:trPr>
          <w:trHeight w:val="18"/>
          <w:jc w:val="center"/>
        </w:trPr>
        <w:tc>
          <w:tcPr>
            <w:tcW w:w="271" w:type="pct"/>
            <w:vAlign w:val="center"/>
          </w:tcPr>
          <w:p w:rsidR="00E21449" w:rsidRPr="00D630D1" w:rsidRDefault="00E21449" w:rsidP="001A7776">
            <w:pPr>
              <w:pStyle w:val="af2"/>
            </w:pPr>
            <w:r w:rsidRPr="00D630D1">
              <w:t>办公工程</w:t>
            </w:r>
          </w:p>
        </w:tc>
        <w:tc>
          <w:tcPr>
            <w:tcW w:w="484" w:type="pct"/>
            <w:vAlign w:val="center"/>
          </w:tcPr>
          <w:p w:rsidR="00E21449" w:rsidRPr="00D630D1" w:rsidRDefault="00E21449" w:rsidP="001A7776">
            <w:pPr>
              <w:pStyle w:val="af2"/>
            </w:pPr>
            <w:r w:rsidRPr="00D630D1">
              <w:rPr>
                <w:rFonts w:hint="eastAsia"/>
              </w:rPr>
              <w:t>值班室</w:t>
            </w:r>
          </w:p>
        </w:tc>
        <w:tc>
          <w:tcPr>
            <w:tcW w:w="3156" w:type="pct"/>
            <w:gridSpan w:val="3"/>
            <w:tcBorders>
              <w:top w:val="single" w:sz="2" w:space="0" w:color="000000"/>
            </w:tcBorders>
            <w:vAlign w:val="center"/>
          </w:tcPr>
          <w:p w:rsidR="00E21449" w:rsidRPr="00D630D1" w:rsidRDefault="00E21449" w:rsidP="00E21449">
            <w:pPr>
              <w:pStyle w:val="af2"/>
            </w:pPr>
            <w:r w:rsidRPr="00D630D1">
              <w:rPr>
                <w:rFonts w:hint="eastAsia"/>
              </w:rPr>
              <w:t>位于</w:t>
            </w:r>
            <w:r>
              <w:rPr>
                <w:rFonts w:hint="eastAsia"/>
              </w:rPr>
              <w:t>普光</w:t>
            </w:r>
            <w:r>
              <w:rPr>
                <w:rFonts w:hint="eastAsia"/>
              </w:rPr>
              <w:t>12</w:t>
            </w:r>
            <w:r>
              <w:rPr>
                <w:rFonts w:hint="eastAsia"/>
              </w:rPr>
              <w:t>采气站</w:t>
            </w:r>
            <w:r w:rsidRPr="00D630D1">
              <w:rPr>
                <w:rFonts w:hint="eastAsia"/>
              </w:rPr>
              <w:t>场西南侧内，项目运营期</w:t>
            </w:r>
            <w:r>
              <w:rPr>
                <w:rFonts w:hint="eastAsia"/>
              </w:rPr>
              <w:t>新增</w:t>
            </w:r>
            <w:r w:rsidRPr="00D630D1">
              <w:rPr>
                <w:rFonts w:hint="eastAsia"/>
              </w:rPr>
              <w:t>职守工作人员</w:t>
            </w:r>
            <w:r>
              <w:rPr>
                <w:rFonts w:hint="eastAsia"/>
              </w:rPr>
              <w:t>13</w:t>
            </w:r>
            <w:r w:rsidRPr="00D630D1">
              <w:rPr>
                <w:rFonts w:hint="eastAsia"/>
              </w:rPr>
              <w:t>人。</w:t>
            </w:r>
          </w:p>
        </w:tc>
        <w:tc>
          <w:tcPr>
            <w:tcW w:w="619" w:type="pct"/>
            <w:vAlign w:val="center"/>
          </w:tcPr>
          <w:p w:rsidR="00E21449" w:rsidRPr="00D630D1" w:rsidRDefault="00E21449" w:rsidP="001A7776">
            <w:pPr>
              <w:pStyle w:val="af2"/>
            </w:pPr>
            <w:r w:rsidRPr="00D630D1">
              <w:t>/</w:t>
            </w:r>
          </w:p>
        </w:tc>
        <w:tc>
          <w:tcPr>
            <w:tcW w:w="470" w:type="pct"/>
            <w:tcBorders>
              <w:top w:val="single" w:sz="2" w:space="0" w:color="000000"/>
            </w:tcBorders>
            <w:vAlign w:val="center"/>
          </w:tcPr>
          <w:p w:rsidR="00E21449" w:rsidRPr="00D630D1" w:rsidRDefault="00E21449" w:rsidP="001A7776">
            <w:pPr>
              <w:pStyle w:val="af2"/>
            </w:pPr>
            <w:r w:rsidRPr="00D630D1">
              <w:t>废水</w:t>
            </w:r>
          </w:p>
        </w:tc>
      </w:tr>
      <w:tr w:rsidR="00E21449" w:rsidRPr="00D630D1" w:rsidTr="00DC5D18">
        <w:trPr>
          <w:trHeight w:val="378"/>
          <w:jc w:val="center"/>
        </w:trPr>
        <w:tc>
          <w:tcPr>
            <w:tcW w:w="271" w:type="pct"/>
            <w:vMerge w:val="restart"/>
            <w:vAlign w:val="center"/>
          </w:tcPr>
          <w:p w:rsidR="00E21449" w:rsidRPr="00D630D1" w:rsidRDefault="00E21449" w:rsidP="006F0E40">
            <w:pPr>
              <w:pStyle w:val="af2"/>
            </w:pPr>
            <w:r w:rsidRPr="00D630D1">
              <w:t>临时工程</w:t>
            </w:r>
          </w:p>
        </w:tc>
        <w:tc>
          <w:tcPr>
            <w:tcW w:w="484" w:type="pct"/>
            <w:vAlign w:val="center"/>
          </w:tcPr>
          <w:p w:rsidR="00E21449" w:rsidRPr="00D630D1" w:rsidRDefault="00E21449">
            <w:pPr>
              <w:pStyle w:val="af2"/>
            </w:pPr>
            <w:r w:rsidRPr="00D630D1">
              <w:t>水土保持</w:t>
            </w:r>
          </w:p>
        </w:tc>
        <w:tc>
          <w:tcPr>
            <w:tcW w:w="3156" w:type="pct"/>
            <w:gridSpan w:val="3"/>
            <w:vAlign w:val="center"/>
          </w:tcPr>
          <w:p w:rsidR="00E21449" w:rsidRPr="00D630D1" w:rsidRDefault="00E21449" w:rsidP="00B95D98">
            <w:pPr>
              <w:pStyle w:val="af2"/>
            </w:pPr>
            <w:r w:rsidRPr="00D630D1">
              <w:t>做好护坡、堡坎和排水设施。</w:t>
            </w:r>
          </w:p>
        </w:tc>
        <w:tc>
          <w:tcPr>
            <w:tcW w:w="619" w:type="pct"/>
            <w:vMerge w:val="restart"/>
            <w:vAlign w:val="center"/>
          </w:tcPr>
          <w:p w:rsidR="00E21449" w:rsidRPr="00D630D1" w:rsidRDefault="00E21449" w:rsidP="00EB5327">
            <w:pPr>
              <w:pStyle w:val="af2"/>
            </w:pPr>
            <w:r w:rsidRPr="00D630D1">
              <w:t>水土流失</w:t>
            </w:r>
          </w:p>
          <w:p w:rsidR="00E21449" w:rsidRPr="00D630D1" w:rsidRDefault="00E21449" w:rsidP="00EB5327">
            <w:pPr>
              <w:pStyle w:val="af2"/>
            </w:pPr>
            <w:r w:rsidRPr="00D630D1">
              <w:t>植物破坏</w:t>
            </w:r>
          </w:p>
        </w:tc>
        <w:tc>
          <w:tcPr>
            <w:tcW w:w="470" w:type="pct"/>
            <w:vMerge w:val="restart"/>
            <w:vAlign w:val="center"/>
          </w:tcPr>
          <w:p w:rsidR="00E21449" w:rsidRPr="00D630D1" w:rsidRDefault="00E21449">
            <w:pPr>
              <w:pStyle w:val="af2"/>
            </w:pPr>
            <w:r w:rsidRPr="00D630D1">
              <w:t>/</w:t>
            </w:r>
          </w:p>
        </w:tc>
      </w:tr>
      <w:tr w:rsidR="00E21449" w:rsidRPr="00D630D1" w:rsidTr="00DC5D18">
        <w:trPr>
          <w:trHeight w:val="378"/>
          <w:jc w:val="center"/>
        </w:trPr>
        <w:tc>
          <w:tcPr>
            <w:tcW w:w="271" w:type="pct"/>
            <w:vMerge/>
            <w:vAlign w:val="center"/>
          </w:tcPr>
          <w:p w:rsidR="00E21449" w:rsidRPr="00D630D1" w:rsidRDefault="00E21449">
            <w:pPr>
              <w:pStyle w:val="af2"/>
            </w:pPr>
          </w:p>
        </w:tc>
        <w:tc>
          <w:tcPr>
            <w:tcW w:w="484" w:type="pct"/>
            <w:vAlign w:val="center"/>
          </w:tcPr>
          <w:p w:rsidR="00E21449" w:rsidRPr="00D630D1" w:rsidRDefault="00E21449" w:rsidP="00535F05">
            <w:pPr>
              <w:pStyle w:val="af2"/>
            </w:pPr>
            <w:r w:rsidRPr="00D630D1">
              <w:t>弃渣场</w:t>
            </w:r>
          </w:p>
        </w:tc>
        <w:tc>
          <w:tcPr>
            <w:tcW w:w="3156" w:type="pct"/>
            <w:gridSpan w:val="3"/>
            <w:vAlign w:val="center"/>
          </w:tcPr>
          <w:p w:rsidR="00E21449" w:rsidRPr="00D630D1" w:rsidRDefault="00E21449" w:rsidP="00B95D98">
            <w:pPr>
              <w:pStyle w:val="af2"/>
            </w:pPr>
            <w:r w:rsidRPr="00D630D1">
              <w:t>项目不设弃渣场</w:t>
            </w:r>
          </w:p>
        </w:tc>
        <w:tc>
          <w:tcPr>
            <w:tcW w:w="619" w:type="pct"/>
            <w:vMerge/>
            <w:vAlign w:val="center"/>
          </w:tcPr>
          <w:p w:rsidR="00E21449" w:rsidRPr="00D630D1" w:rsidRDefault="00E21449">
            <w:pPr>
              <w:pStyle w:val="af2"/>
            </w:pPr>
          </w:p>
        </w:tc>
        <w:tc>
          <w:tcPr>
            <w:tcW w:w="470" w:type="pct"/>
            <w:vMerge/>
            <w:vAlign w:val="center"/>
          </w:tcPr>
          <w:p w:rsidR="00E21449" w:rsidRPr="00D630D1" w:rsidRDefault="00E21449">
            <w:pPr>
              <w:pStyle w:val="af2"/>
            </w:pPr>
          </w:p>
        </w:tc>
      </w:tr>
      <w:tr w:rsidR="00E21449" w:rsidRPr="00D630D1" w:rsidTr="00DC5D18">
        <w:trPr>
          <w:trHeight w:val="378"/>
          <w:jc w:val="center"/>
        </w:trPr>
        <w:tc>
          <w:tcPr>
            <w:tcW w:w="271" w:type="pct"/>
            <w:vMerge/>
            <w:vAlign w:val="center"/>
          </w:tcPr>
          <w:p w:rsidR="00E21449" w:rsidRPr="00D630D1" w:rsidRDefault="00E21449">
            <w:pPr>
              <w:pStyle w:val="af2"/>
            </w:pPr>
          </w:p>
        </w:tc>
        <w:tc>
          <w:tcPr>
            <w:tcW w:w="484" w:type="pct"/>
            <w:vAlign w:val="center"/>
          </w:tcPr>
          <w:p w:rsidR="00E21449" w:rsidRPr="00D630D1" w:rsidRDefault="00E21449" w:rsidP="00535F05">
            <w:pPr>
              <w:pStyle w:val="af2"/>
            </w:pPr>
            <w:r w:rsidRPr="00D630D1">
              <w:t>表土堆场</w:t>
            </w:r>
          </w:p>
        </w:tc>
        <w:tc>
          <w:tcPr>
            <w:tcW w:w="3156" w:type="pct"/>
            <w:gridSpan w:val="3"/>
            <w:vAlign w:val="center"/>
          </w:tcPr>
          <w:p w:rsidR="00E21449" w:rsidRPr="00D630D1" w:rsidRDefault="00E21449" w:rsidP="00E21449">
            <w:pPr>
              <w:pStyle w:val="af2"/>
            </w:pPr>
            <w:r w:rsidRPr="00D630D1">
              <w:rPr>
                <w:rFonts w:hint="eastAsia"/>
              </w:rPr>
              <w:t>设置专门的表土堆场对表土进行暂存，表土堆场</w:t>
            </w:r>
            <w:r w:rsidRPr="00D630D1">
              <w:t>位于</w:t>
            </w:r>
            <w:r>
              <w:rPr>
                <w:rFonts w:hint="eastAsia"/>
              </w:rPr>
              <w:t>塔垭村</w:t>
            </w:r>
            <w:r w:rsidRPr="00D630D1">
              <w:rPr>
                <w:rFonts w:hint="eastAsia"/>
              </w:rPr>
              <w:t>，施工结束后表土全部回用于绿化、复耕盖土等。</w:t>
            </w:r>
          </w:p>
        </w:tc>
        <w:tc>
          <w:tcPr>
            <w:tcW w:w="619" w:type="pct"/>
            <w:vMerge/>
            <w:vAlign w:val="center"/>
          </w:tcPr>
          <w:p w:rsidR="00E21449" w:rsidRPr="00D630D1" w:rsidRDefault="00E21449">
            <w:pPr>
              <w:pStyle w:val="af2"/>
            </w:pPr>
          </w:p>
        </w:tc>
        <w:tc>
          <w:tcPr>
            <w:tcW w:w="470" w:type="pct"/>
            <w:vMerge/>
            <w:vAlign w:val="center"/>
          </w:tcPr>
          <w:p w:rsidR="00E21449" w:rsidRPr="00D630D1" w:rsidRDefault="00E21449">
            <w:pPr>
              <w:pStyle w:val="af2"/>
            </w:pPr>
          </w:p>
        </w:tc>
      </w:tr>
      <w:tr w:rsidR="00E21449" w:rsidRPr="00D630D1" w:rsidTr="00DC5D18">
        <w:trPr>
          <w:trHeight w:val="378"/>
          <w:jc w:val="center"/>
        </w:trPr>
        <w:tc>
          <w:tcPr>
            <w:tcW w:w="271" w:type="pct"/>
            <w:vMerge/>
            <w:vAlign w:val="center"/>
          </w:tcPr>
          <w:p w:rsidR="00E21449" w:rsidRPr="00D630D1" w:rsidRDefault="00E21449">
            <w:pPr>
              <w:pStyle w:val="af2"/>
            </w:pPr>
          </w:p>
        </w:tc>
        <w:tc>
          <w:tcPr>
            <w:tcW w:w="484" w:type="pct"/>
            <w:vAlign w:val="center"/>
          </w:tcPr>
          <w:p w:rsidR="00E21449" w:rsidRPr="00D630D1" w:rsidRDefault="00E21449">
            <w:pPr>
              <w:pStyle w:val="af2"/>
            </w:pPr>
            <w:r w:rsidRPr="00D630D1">
              <w:t>原料堆场</w:t>
            </w:r>
          </w:p>
        </w:tc>
        <w:tc>
          <w:tcPr>
            <w:tcW w:w="3156" w:type="pct"/>
            <w:gridSpan w:val="3"/>
            <w:vAlign w:val="center"/>
          </w:tcPr>
          <w:p w:rsidR="00E21449" w:rsidRPr="00D630D1" w:rsidRDefault="00E21449" w:rsidP="00E21449">
            <w:pPr>
              <w:pStyle w:val="af2"/>
            </w:pPr>
            <w:r w:rsidRPr="00D630D1">
              <w:t>设置</w:t>
            </w:r>
            <w:r w:rsidRPr="00D630D1">
              <w:rPr>
                <w:rFonts w:hint="eastAsia"/>
              </w:rPr>
              <w:t>1</w:t>
            </w:r>
            <w:r w:rsidRPr="00D630D1">
              <w:t>个堆管场，位于</w:t>
            </w:r>
            <w:r>
              <w:rPr>
                <w:rFonts w:hint="eastAsia"/>
              </w:rPr>
              <w:t>塔垭村，</w:t>
            </w:r>
            <w:r w:rsidRPr="00D630D1">
              <w:t>占地</w:t>
            </w:r>
            <w:r>
              <w:rPr>
                <w:rFonts w:hint="eastAsia"/>
              </w:rPr>
              <w:t>10</w:t>
            </w:r>
            <w:r w:rsidRPr="00D630D1">
              <w:rPr>
                <w:rFonts w:hint="eastAsia"/>
              </w:rPr>
              <w:t>00</w:t>
            </w:r>
            <w:r w:rsidRPr="00D630D1">
              <w:t>m</w:t>
            </w:r>
            <w:r w:rsidRPr="00D630D1">
              <w:rPr>
                <w:vertAlign w:val="superscript"/>
              </w:rPr>
              <w:t>2</w:t>
            </w:r>
            <w:r w:rsidRPr="00D630D1">
              <w:t>，临时堆放管道。</w:t>
            </w:r>
          </w:p>
        </w:tc>
        <w:tc>
          <w:tcPr>
            <w:tcW w:w="619" w:type="pct"/>
            <w:vMerge/>
            <w:vAlign w:val="center"/>
          </w:tcPr>
          <w:p w:rsidR="00E21449" w:rsidRPr="00D630D1" w:rsidRDefault="00E21449">
            <w:pPr>
              <w:pStyle w:val="af2"/>
            </w:pPr>
          </w:p>
        </w:tc>
        <w:tc>
          <w:tcPr>
            <w:tcW w:w="470" w:type="pct"/>
            <w:vMerge/>
            <w:vAlign w:val="center"/>
          </w:tcPr>
          <w:p w:rsidR="00E21449" w:rsidRPr="00D630D1" w:rsidRDefault="00E21449">
            <w:pPr>
              <w:pStyle w:val="af2"/>
            </w:pPr>
          </w:p>
        </w:tc>
      </w:tr>
      <w:tr w:rsidR="00E21449" w:rsidRPr="00D630D1" w:rsidTr="00DC5D18">
        <w:trPr>
          <w:trHeight w:val="378"/>
          <w:jc w:val="center"/>
        </w:trPr>
        <w:tc>
          <w:tcPr>
            <w:tcW w:w="271" w:type="pct"/>
            <w:vMerge/>
            <w:vAlign w:val="center"/>
          </w:tcPr>
          <w:p w:rsidR="00E21449" w:rsidRPr="00D630D1" w:rsidRDefault="00E21449">
            <w:pPr>
              <w:pStyle w:val="af2"/>
            </w:pPr>
          </w:p>
        </w:tc>
        <w:tc>
          <w:tcPr>
            <w:tcW w:w="484" w:type="pct"/>
            <w:vAlign w:val="center"/>
          </w:tcPr>
          <w:p w:rsidR="00E21449" w:rsidRPr="00D630D1" w:rsidRDefault="00E21449">
            <w:pPr>
              <w:pStyle w:val="af2"/>
            </w:pPr>
            <w:r w:rsidRPr="00D630D1">
              <w:t>道路工程</w:t>
            </w:r>
          </w:p>
        </w:tc>
        <w:tc>
          <w:tcPr>
            <w:tcW w:w="3156" w:type="pct"/>
            <w:gridSpan w:val="3"/>
            <w:vAlign w:val="center"/>
          </w:tcPr>
          <w:p w:rsidR="00E21449" w:rsidRPr="00D630D1" w:rsidRDefault="00E21449" w:rsidP="00E21449">
            <w:pPr>
              <w:pStyle w:val="af2"/>
            </w:pPr>
            <w:r w:rsidRPr="00D630D1">
              <w:t>充分利用现有道路，局部困难路段修建施工便道，通过挖填路基，建必要的护坡挡土墙、边沟等。新建施工便道约</w:t>
            </w:r>
            <w:r>
              <w:rPr>
                <w:rFonts w:hint="eastAsia"/>
              </w:rPr>
              <w:t>10</w:t>
            </w:r>
            <w:r w:rsidRPr="00D630D1">
              <w:rPr>
                <w:rFonts w:hint="eastAsia"/>
              </w:rPr>
              <w:t>0</w:t>
            </w:r>
            <w:r w:rsidRPr="00D630D1">
              <w:t>m</w:t>
            </w:r>
            <w:r w:rsidRPr="00D630D1">
              <w:t>，宽度约为</w:t>
            </w:r>
            <w:r w:rsidRPr="00D630D1">
              <w:rPr>
                <w:rFonts w:hint="eastAsia"/>
              </w:rPr>
              <w:t>4</w:t>
            </w:r>
            <w:r w:rsidRPr="00D630D1">
              <w:t>m</w:t>
            </w:r>
            <w:r w:rsidRPr="00D630D1">
              <w:t>。</w:t>
            </w:r>
          </w:p>
        </w:tc>
        <w:tc>
          <w:tcPr>
            <w:tcW w:w="619" w:type="pct"/>
            <w:vMerge/>
            <w:vAlign w:val="center"/>
          </w:tcPr>
          <w:p w:rsidR="00E21449" w:rsidRPr="00D630D1" w:rsidRDefault="00E21449">
            <w:pPr>
              <w:pStyle w:val="af2"/>
            </w:pPr>
          </w:p>
        </w:tc>
        <w:tc>
          <w:tcPr>
            <w:tcW w:w="470" w:type="pct"/>
            <w:vMerge/>
            <w:vAlign w:val="center"/>
          </w:tcPr>
          <w:p w:rsidR="00E21449" w:rsidRPr="00D630D1" w:rsidRDefault="00E21449">
            <w:pPr>
              <w:pStyle w:val="af2"/>
            </w:pPr>
          </w:p>
        </w:tc>
      </w:tr>
      <w:tr w:rsidR="00E21449" w:rsidRPr="00D630D1" w:rsidTr="00DC5D18">
        <w:trPr>
          <w:trHeight w:val="378"/>
          <w:jc w:val="center"/>
        </w:trPr>
        <w:tc>
          <w:tcPr>
            <w:tcW w:w="271" w:type="pct"/>
            <w:vMerge/>
            <w:vAlign w:val="center"/>
          </w:tcPr>
          <w:p w:rsidR="00E21449" w:rsidRPr="00D630D1" w:rsidRDefault="00E21449">
            <w:pPr>
              <w:pStyle w:val="af2"/>
            </w:pPr>
          </w:p>
        </w:tc>
        <w:tc>
          <w:tcPr>
            <w:tcW w:w="484" w:type="pct"/>
            <w:vAlign w:val="center"/>
          </w:tcPr>
          <w:p w:rsidR="00E21449" w:rsidRPr="00D630D1" w:rsidRDefault="00E21449">
            <w:pPr>
              <w:pStyle w:val="af2"/>
            </w:pPr>
            <w:r w:rsidRPr="00D630D1">
              <w:t>施工营地</w:t>
            </w:r>
          </w:p>
        </w:tc>
        <w:tc>
          <w:tcPr>
            <w:tcW w:w="3156" w:type="pct"/>
            <w:gridSpan w:val="3"/>
            <w:vAlign w:val="center"/>
          </w:tcPr>
          <w:p w:rsidR="00E21449" w:rsidRPr="00D630D1" w:rsidRDefault="00E21449">
            <w:pPr>
              <w:pStyle w:val="af2"/>
            </w:pPr>
            <w:r w:rsidRPr="00D630D1">
              <w:t>不设营地，站场施工员工生活租用附近居民房</w:t>
            </w:r>
            <w:r w:rsidRPr="00D630D1">
              <w:rPr>
                <w:rFonts w:hint="eastAsia"/>
              </w:rPr>
              <w:t>；</w:t>
            </w:r>
            <w:r w:rsidRPr="00D630D1">
              <w:t>钻井工程施工员工生活建设活动板房。</w:t>
            </w:r>
          </w:p>
        </w:tc>
        <w:tc>
          <w:tcPr>
            <w:tcW w:w="619" w:type="pct"/>
            <w:vMerge/>
            <w:vAlign w:val="center"/>
          </w:tcPr>
          <w:p w:rsidR="00E21449" w:rsidRPr="00D630D1" w:rsidRDefault="00E21449">
            <w:pPr>
              <w:pStyle w:val="af2"/>
            </w:pPr>
          </w:p>
        </w:tc>
        <w:tc>
          <w:tcPr>
            <w:tcW w:w="470" w:type="pct"/>
            <w:vMerge/>
            <w:vAlign w:val="center"/>
          </w:tcPr>
          <w:p w:rsidR="00E21449" w:rsidRPr="00D630D1" w:rsidRDefault="00E21449">
            <w:pPr>
              <w:pStyle w:val="af2"/>
            </w:pPr>
          </w:p>
        </w:tc>
      </w:tr>
      <w:tr w:rsidR="00E21449" w:rsidRPr="00D630D1" w:rsidTr="00E21449">
        <w:trPr>
          <w:trHeight w:val="18"/>
          <w:jc w:val="center"/>
        </w:trPr>
        <w:tc>
          <w:tcPr>
            <w:tcW w:w="271" w:type="pct"/>
            <w:vMerge w:val="restart"/>
            <w:vAlign w:val="center"/>
          </w:tcPr>
          <w:p w:rsidR="00E21449" w:rsidRPr="00D630D1" w:rsidRDefault="00E21449" w:rsidP="00001757">
            <w:pPr>
              <w:pStyle w:val="af2"/>
            </w:pPr>
            <w:r w:rsidRPr="00D630D1">
              <w:t>环保工程</w:t>
            </w:r>
          </w:p>
        </w:tc>
        <w:tc>
          <w:tcPr>
            <w:tcW w:w="484" w:type="pct"/>
            <w:vMerge w:val="restart"/>
            <w:vAlign w:val="center"/>
          </w:tcPr>
          <w:p w:rsidR="00E21449" w:rsidRPr="00D630D1" w:rsidRDefault="00E21449" w:rsidP="00001757">
            <w:pPr>
              <w:pStyle w:val="af2"/>
            </w:pPr>
            <w:r>
              <w:rPr>
                <w:rFonts w:hint="eastAsia"/>
              </w:rPr>
              <w:t>施工期</w:t>
            </w:r>
          </w:p>
        </w:tc>
        <w:tc>
          <w:tcPr>
            <w:tcW w:w="351" w:type="pct"/>
            <w:tcBorders>
              <w:right w:val="single" w:sz="4" w:space="0" w:color="auto"/>
            </w:tcBorders>
            <w:vAlign w:val="center"/>
          </w:tcPr>
          <w:p w:rsidR="00E21449" w:rsidRPr="00D630D1" w:rsidRDefault="00E21449" w:rsidP="003C6AD6">
            <w:pPr>
              <w:pStyle w:val="af2"/>
            </w:pPr>
            <w:r w:rsidRPr="00D630D1">
              <w:rPr>
                <w:szCs w:val="21"/>
              </w:rPr>
              <w:t>风险防范措施</w:t>
            </w:r>
          </w:p>
        </w:tc>
        <w:tc>
          <w:tcPr>
            <w:tcW w:w="2805" w:type="pct"/>
            <w:gridSpan w:val="2"/>
            <w:tcBorders>
              <w:left w:val="single" w:sz="4" w:space="0" w:color="auto"/>
            </w:tcBorders>
            <w:vAlign w:val="center"/>
          </w:tcPr>
          <w:p w:rsidR="00E21449" w:rsidRPr="00D630D1" w:rsidRDefault="00E21449" w:rsidP="00E21449">
            <w:pPr>
              <w:pStyle w:val="af2"/>
            </w:pPr>
            <w:r w:rsidRPr="00D630D1">
              <w:rPr>
                <w:rFonts w:hint="eastAsia"/>
                <w:szCs w:val="21"/>
              </w:rPr>
              <w:t>放喷池池底和池壁采取防渗措施；加强天然气管线</w:t>
            </w:r>
            <w:r w:rsidRPr="00D630D1">
              <w:rPr>
                <w:szCs w:val="21"/>
              </w:rPr>
              <w:t>巡线和维护</w:t>
            </w:r>
            <w:r w:rsidRPr="00D630D1">
              <w:rPr>
                <w:rFonts w:hint="eastAsia"/>
                <w:szCs w:val="21"/>
              </w:rPr>
              <w:t>；</w:t>
            </w:r>
            <w:r w:rsidRPr="00D630D1">
              <w:rPr>
                <w:szCs w:val="21"/>
              </w:rPr>
              <w:t>制定</w:t>
            </w:r>
            <w:r>
              <w:rPr>
                <w:rFonts w:hint="eastAsia"/>
                <w:szCs w:val="21"/>
              </w:rPr>
              <w:t>井喷事故合管道</w:t>
            </w:r>
            <w:r w:rsidRPr="00D630D1">
              <w:rPr>
                <w:szCs w:val="21"/>
              </w:rPr>
              <w:t>天然气泄漏应急救援预案并定期演练</w:t>
            </w:r>
            <w:r w:rsidRPr="00D630D1">
              <w:rPr>
                <w:rFonts w:hint="eastAsia"/>
                <w:szCs w:val="21"/>
              </w:rPr>
              <w:t>；事</w:t>
            </w:r>
            <w:r w:rsidRPr="00D630D1">
              <w:rPr>
                <w:szCs w:val="21"/>
              </w:rPr>
              <w:t>故状态下管线及站场内天然气通过新建放</w:t>
            </w:r>
            <w:r w:rsidRPr="00D630D1">
              <w:rPr>
                <w:rFonts w:hint="eastAsia"/>
                <w:szCs w:val="21"/>
              </w:rPr>
              <w:t>空系统燃烧</w:t>
            </w:r>
            <w:r w:rsidRPr="00D630D1">
              <w:rPr>
                <w:szCs w:val="21"/>
              </w:rPr>
              <w:t>排放</w:t>
            </w:r>
            <w:r w:rsidRPr="00D630D1">
              <w:rPr>
                <w:rFonts w:hint="eastAsia"/>
                <w:szCs w:val="21"/>
              </w:rPr>
              <w:t>；柴油储罐、</w:t>
            </w:r>
            <w:r w:rsidR="00CE5A2E">
              <w:rPr>
                <w:rFonts w:hint="eastAsia"/>
                <w:szCs w:val="21"/>
              </w:rPr>
              <w:t>凝析油储罐、</w:t>
            </w:r>
            <w:r w:rsidRPr="00D630D1">
              <w:rPr>
                <w:szCs w:val="21"/>
              </w:rPr>
              <w:t>污水缓冲罐四周设置防渗围堰</w:t>
            </w:r>
            <w:r w:rsidRPr="00D630D1">
              <w:rPr>
                <w:rFonts w:hint="eastAsia"/>
                <w:szCs w:val="21"/>
              </w:rPr>
              <w:t>。</w:t>
            </w:r>
          </w:p>
        </w:tc>
        <w:tc>
          <w:tcPr>
            <w:tcW w:w="619" w:type="pct"/>
            <w:vAlign w:val="center"/>
          </w:tcPr>
          <w:p w:rsidR="00E21449" w:rsidRPr="00D630D1" w:rsidRDefault="00E21449" w:rsidP="00001757">
            <w:pPr>
              <w:pStyle w:val="af2"/>
            </w:pPr>
            <w:r w:rsidRPr="00D630D1">
              <w:t>/</w:t>
            </w:r>
          </w:p>
        </w:tc>
        <w:tc>
          <w:tcPr>
            <w:tcW w:w="470" w:type="pct"/>
            <w:vAlign w:val="center"/>
          </w:tcPr>
          <w:p w:rsidR="00E21449" w:rsidRPr="00D630D1" w:rsidRDefault="00E21449" w:rsidP="00001757">
            <w:pPr>
              <w:pStyle w:val="af2"/>
            </w:pPr>
            <w:r w:rsidRPr="00D630D1">
              <w:t>/</w:t>
            </w:r>
          </w:p>
        </w:tc>
      </w:tr>
      <w:tr w:rsidR="00E21449" w:rsidRPr="00D630D1" w:rsidTr="00E21449">
        <w:trPr>
          <w:trHeight w:val="18"/>
          <w:jc w:val="center"/>
        </w:trPr>
        <w:tc>
          <w:tcPr>
            <w:tcW w:w="271" w:type="pct"/>
            <w:vMerge/>
            <w:vAlign w:val="center"/>
          </w:tcPr>
          <w:p w:rsidR="00E21449" w:rsidRPr="00D630D1" w:rsidRDefault="00E21449" w:rsidP="00A775D0">
            <w:pPr>
              <w:pStyle w:val="af2"/>
            </w:pPr>
          </w:p>
        </w:tc>
        <w:tc>
          <w:tcPr>
            <w:tcW w:w="484" w:type="pct"/>
            <w:vMerge/>
            <w:vAlign w:val="center"/>
          </w:tcPr>
          <w:p w:rsidR="00E21449" w:rsidRPr="00D630D1" w:rsidRDefault="00E21449" w:rsidP="00A775D0">
            <w:pPr>
              <w:pStyle w:val="af2"/>
            </w:pPr>
          </w:p>
        </w:tc>
        <w:tc>
          <w:tcPr>
            <w:tcW w:w="355" w:type="pct"/>
            <w:gridSpan w:val="2"/>
            <w:vMerge w:val="restart"/>
            <w:tcBorders>
              <w:top w:val="single" w:sz="4" w:space="0" w:color="auto"/>
            </w:tcBorders>
            <w:vAlign w:val="center"/>
          </w:tcPr>
          <w:p w:rsidR="00E21449" w:rsidRPr="00D630D1" w:rsidRDefault="00E21449" w:rsidP="00A775D0">
            <w:pPr>
              <w:pStyle w:val="af2"/>
              <w:rPr>
                <w:szCs w:val="21"/>
              </w:rPr>
            </w:pPr>
            <w:r w:rsidRPr="00D630D1">
              <w:rPr>
                <w:szCs w:val="21"/>
              </w:rPr>
              <w:t>废气</w:t>
            </w:r>
          </w:p>
        </w:tc>
        <w:tc>
          <w:tcPr>
            <w:tcW w:w="2801" w:type="pct"/>
            <w:vAlign w:val="center"/>
          </w:tcPr>
          <w:p w:rsidR="00E21449" w:rsidRPr="00D630D1" w:rsidRDefault="00E21449" w:rsidP="003C6AD6">
            <w:pPr>
              <w:pStyle w:val="af2"/>
            </w:pPr>
            <w:r w:rsidRPr="00D630D1">
              <w:rPr>
                <w:szCs w:val="21"/>
              </w:rPr>
              <w:t>采取覆盖防尘布、洒水降尘、道路洒水、车辆清洗，大风天气停止土方开挖作业</w:t>
            </w:r>
            <w:r w:rsidRPr="00D630D1">
              <w:rPr>
                <w:rFonts w:hint="eastAsia"/>
                <w:szCs w:val="21"/>
              </w:rPr>
              <w:t>，</w:t>
            </w:r>
            <w:r w:rsidRPr="00D630D1">
              <w:rPr>
                <w:szCs w:val="21"/>
              </w:rPr>
              <w:t>使用尾气达标机械车辆</w:t>
            </w:r>
            <w:r w:rsidRPr="00D630D1">
              <w:rPr>
                <w:rFonts w:hint="eastAsia"/>
                <w:szCs w:val="21"/>
              </w:rPr>
              <w:t>等措施</w:t>
            </w:r>
            <w:r w:rsidRPr="00D630D1">
              <w:rPr>
                <w:szCs w:val="21"/>
              </w:rPr>
              <w:t>。</w:t>
            </w:r>
          </w:p>
        </w:tc>
        <w:tc>
          <w:tcPr>
            <w:tcW w:w="619" w:type="pct"/>
            <w:vAlign w:val="center"/>
          </w:tcPr>
          <w:p w:rsidR="00E21449" w:rsidRPr="00D630D1" w:rsidRDefault="00E21449" w:rsidP="003C6AD6">
            <w:pPr>
              <w:pStyle w:val="af2"/>
            </w:pPr>
            <w:r w:rsidRPr="00D630D1">
              <w:rPr>
                <w:rFonts w:hint="eastAsia"/>
                <w:szCs w:val="21"/>
              </w:rPr>
              <w:t>扬尘、</w:t>
            </w:r>
            <w:r w:rsidRPr="00D630D1">
              <w:rPr>
                <w:szCs w:val="21"/>
              </w:rPr>
              <w:t>燃烧废气</w:t>
            </w:r>
          </w:p>
        </w:tc>
        <w:tc>
          <w:tcPr>
            <w:tcW w:w="470" w:type="pct"/>
            <w:vAlign w:val="center"/>
          </w:tcPr>
          <w:p w:rsidR="00E21449" w:rsidRPr="00D630D1" w:rsidRDefault="00E21449" w:rsidP="003C6AD6">
            <w:pPr>
              <w:pStyle w:val="af2"/>
            </w:pPr>
            <w:r w:rsidRPr="00D630D1">
              <w:rPr>
                <w:szCs w:val="21"/>
              </w:rPr>
              <w:t>/</w:t>
            </w:r>
          </w:p>
        </w:tc>
      </w:tr>
      <w:tr w:rsidR="00E21449" w:rsidRPr="00D630D1" w:rsidTr="00DC5D18">
        <w:trPr>
          <w:trHeight w:val="18"/>
          <w:jc w:val="center"/>
        </w:trPr>
        <w:tc>
          <w:tcPr>
            <w:tcW w:w="271" w:type="pct"/>
            <w:vMerge/>
            <w:vAlign w:val="center"/>
          </w:tcPr>
          <w:p w:rsidR="00E21449" w:rsidRPr="00D630D1" w:rsidRDefault="00E21449" w:rsidP="00A775D0">
            <w:pPr>
              <w:pStyle w:val="af2"/>
            </w:pPr>
          </w:p>
        </w:tc>
        <w:tc>
          <w:tcPr>
            <w:tcW w:w="484" w:type="pct"/>
            <w:vMerge/>
            <w:vAlign w:val="center"/>
          </w:tcPr>
          <w:p w:rsidR="00E21449" w:rsidRPr="00D630D1" w:rsidRDefault="00E21449" w:rsidP="00A775D0">
            <w:pPr>
              <w:pStyle w:val="af2"/>
            </w:pPr>
          </w:p>
        </w:tc>
        <w:tc>
          <w:tcPr>
            <w:tcW w:w="355" w:type="pct"/>
            <w:gridSpan w:val="2"/>
            <w:vMerge/>
            <w:vAlign w:val="center"/>
          </w:tcPr>
          <w:p w:rsidR="00E21449" w:rsidRPr="00D630D1" w:rsidRDefault="00E21449" w:rsidP="00A775D0">
            <w:pPr>
              <w:pStyle w:val="af2"/>
              <w:rPr>
                <w:szCs w:val="21"/>
              </w:rPr>
            </w:pPr>
          </w:p>
        </w:tc>
        <w:tc>
          <w:tcPr>
            <w:tcW w:w="2801" w:type="pct"/>
            <w:vAlign w:val="center"/>
          </w:tcPr>
          <w:p w:rsidR="00E21449" w:rsidRPr="00D630D1" w:rsidRDefault="00E21449" w:rsidP="00417585">
            <w:pPr>
              <w:pStyle w:val="af2"/>
              <w:rPr>
                <w:szCs w:val="21"/>
              </w:rPr>
            </w:pPr>
            <w:r w:rsidRPr="00D630D1">
              <w:rPr>
                <w:szCs w:val="21"/>
              </w:rPr>
              <w:t>气体钻会产生少量粉尘，喷淋系统，减少粉尘排放</w:t>
            </w:r>
          </w:p>
        </w:tc>
        <w:tc>
          <w:tcPr>
            <w:tcW w:w="619" w:type="pct"/>
            <w:vAlign w:val="center"/>
          </w:tcPr>
          <w:p w:rsidR="00E21449" w:rsidRPr="00D630D1" w:rsidRDefault="00E21449" w:rsidP="00A775D0">
            <w:pPr>
              <w:pStyle w:val="af2"/>
              <w:rPr>
                <w:szCs w:val="21"/>
              </w:rPr>
            </w:pPr>
            <w:r w:rsidRPr="00D630D1">
              <w:rPr>
                <w:rFonts w:hint="eastAsia"/>
                <w:szCs w:val="21"/>
              </w:rPr>
              <w:t>粉尘</w:t>
            </w:r>
          </w:p>
        </w:tc>
        <w:tc>
          <w:tcPr>
            <w:tcW w:w="470" w:type="pct"/>
            <w:vAlign w:val="center"/>
          </w:tcPr>
          <w:p w:rsidR="00E21449" w:rsidRPr="00D630D1" w:rsidRDefault="00E21449" w:rsidP="00A775D0">
            <w:pPr>
              <w:pStyle w:val="af2"/>
              <w:rPr>
                <w:szCs w:val="21"/>
              </w:rPr>
            </w:pPr>
            <w:r w:rsidRPr="00D630D1">
              <w:rPr>
                <w:szCs w:val="21"/>
              </w:rPr>
              <w:t>/</w:t>
            </w:r>
          </w:p>
        </w:tc>
      </w:tr>
      <w:tr w:rsidR="00E21449" w:rsidRPr="00D630D1" w:rsidTr="00DC5D18">
        <w:trPr>
          <w:trHeight w:val="18"/>
          <w:jc w:val="center"/>
        </w:trPr>
        <w:tc>
          <w:tcPr>
            <w:tcW w:w="271" w:type="pct"/>
            <w:vMerge/>
            <w:vAlign w:val="center"/>
          </w:tcPr>
          <w:p w:rsidR="00E21449" w:rsidRPr="00D630D1" w:rsidRDefault="00E21449" w:rsidP="00A775D0">
            <w:pPr>
              <w:pStyle w:val="af2"/>
            </w:pPr>
          </w:p>
        </w:tc>
        <w:tc>
          <w:tcPr>
            <w:tcW w:w="484" w:type="pct"/>
            <w:vMerge/>
            <w:vAlign w:val="center"/>
          </w:tcPr>
          <w:p w:rsidR="00E21449" w:rsidRPr="00D630D1" w:rsidRDefault="00E21449" w:rsidP="00A775D0">
            <w:pPr>
              <w:pStyle w:val="af2"/>
            </w:pPr>
          </w:p>
        </w:tc>
        <w:tc>
          <w:tcPr>
            <w:tcW w:w="355" w:type="pct"/>
            <w:gridSpan w:val="2"/>
            <w:vMerge/>
            <w:vAlign w:val="center"/>
          </w:tcPr>
          <w:p w:rsidR="00E21449" w:rsidRPr="00D630D1" w:rsidRDefault="00E21449" w:rsidP="00A775D0">
            <w:pPr>
              <w:pStyle w:val="af2"/>
              <w:rPr>
                <w:szCs w:val="21"/>
              </w:rPr>
            </w:pPr>
          </w:p>
        </w:tc>
        <w:tc>
          <w:tcPr>
            <w:tcW w:w="2801" w:type="pct"/>
            <w:vAlign w:val="center"/>
          </w:tcPr>
          <w:p w:rsidR="00E21449" w:rsidRPr="00D630D1" w:rsidRDefault="00E21449" w:rsidP="00E21449">
            <w:pPr>
              <w:pStyle w:val="af2"/>
              <w:rPr>
                <w:szCs w:val="21"/>
              </w:rPr>
            </w:pPr>
            <w:r w:rsidRPr="00D630D1">
              <w:rPr>
                <w:szCs w:val="21"/>
              </w:rPr>
              <w:t>测试放喷废气采取地面灼烧，</w:t>
            </w:r>
            <w:r>
              <w:rPr>
                <w:rFonts w:hint="eastAsia"/>
                <w:szCs w:val="21"/>
              </w:rPr>
              <w:t>依托现有</w:t>
            </w:r>
            <w:r>
              <w:rPr>
                <w:rFonts w:hint="eastAsia"/>
                <w:szCs w:val="21"/>
              </w:rPr>
              <w:t>1</w:t>
            </w:r>
            <w:r w:rsidRPr="00D630D1">
              <w:rPr>
                <w:rFonts w:hint="eastAsia"/>
                <w:szCs w:val="21"/>
              </w:rPr>
              <w:t>座</w:t>
            </w:r>
            <w:r w:rsidRPr="00D630D1">
              <w:rPr>
                <w:szCs w:val="21"/>
              </w:rPr>
              <w:t>放喷池</w:t>
            </w:r>
            <w:r w:rsidRPr="00D630D1">
              <w:rPr>
                <w:rFonts w:hint="eastAsia"/>
                <w:szCs w:val="21"/>
              </w:rPr>
              <w:t>（容积均为</w:t>
            </w:r>
            <w:r w:rsidRPr="00D630D1">
              <w:rPr>
                <w:szCs w:val="21"/>
              </w:rPr>
              <w:t>300m</w:t>
            </w:r>
            <w:r w:rsidRPr="00D630D1">
              <w:rPr>
                <w:szCs w:val="21"/>
                <w:vertAlign w:val="superscript"/>
              </w:rPr>
              <w:t>3</w:t>
            </w:r>
            <w:r w:rsidRPr="00D630D1">
              <w:rPr>
                <w:rFonts w:hint="eastAsia"/>
                <w:szCs w:val="21"/>
              </w:rPr>
              <w:t>）</w:t>
            </w:r>
            <w:r w:rsidRPr="00D630D1">
              <w:rPr>
                <w:szCs w:val="21"/>
              </w:rPr>
              <w:t>及迎火墙</w:t>
            </w:r>
          </w:p>
        </w:tc>
        <w:tc>
          <w:tcPr>
            <w:tcW w:w="619" w:type="pct"/>
            <w:vAlign w:val="center"/>
          </w:tcPr>
          <w:p w:rsidR="00E21449" w:rsidRPr="00D630D1" w:rsidRDefault="00E21449" w:rsidP="00A775D0">
            <w:pPr>
              <w:pStyle w:val="af2"/>
              <w:rPr>
                <w:szCs w:val="21"/>
              </w:rPr>
            </w:pPr>
            <w:r w:rsidRPr="00D630D1">
              <w:rPr>
                <w:szCs w:val="21"/>
              </w:rPr>
              <w:t>测试放喷废气</w:t>
            </w:r>
          </w:p>
        </w:tc>
        <w:tc>
          <w:tcPr>
            <w:tcW w:w="470" w:type="pct"/>
            <w:vAlign w:val="center"/>
          </w:tcPr>
          <w:p w:rsidR="00E21449" w:rsidRPr="00D630D1" w:rsidRDefault="00E21449" w:rsidP="00A775D0">
            <w:pPr>
              <w:pStyle w:val="af2"/>
              <w:rPr>
                <w:szCs w:val="21"/>
              </w:rPr>
            </w:pPr>
            <w:r w:rsidRPr="00D630D1">
              <w:rPr>
                <w:szCs w:val="21"/>
              </w:rPr>
              <w:t>/</w:t>
            </w:r>
          </w:p>
        </w:tc>
      </w:tr>
      <w:tr w:rsidR="00E21449" w:rsidRPr="00D630D1" w:rsidTr="00DC5D18">
        <w:trPr>
          <w:trHeight w:val="18"/>
          <w:jc w:val="center"/>
        </w:trPr>
        <w:tc>
          <w:tcPr>
            <w:tcW w:w="271" w:type="pct"/>
            <w:vMerge/>
            <w:vAlign w:val="center"/>
          </w:tcPr>
          <w:p w:rsidR="00E21449" w:rsidRPr="00D630D1" w:rsidRDefault="00E21449" w:rsidP="00A775D0">
            <w:pPr>
              <w:pStyle w:val="af2"/>
            </w:pPr>
          </w:p>
        </w:tc>
        <w:tc>
          <w:tcPr>
            <w:tcW w:w="484" w:type="pct"/>
            <w:vMerge/>
            <w:vAlign w:val="center"/>
          </w:tcPr>
          <w:p w:rsidR="00E21449" w:rsidRPr="00D630D1" w:rsidRDefault="00E21449" w:rsidP="00A775D0">
            <w:pPr>
              <w:pStyle w:val="af2"/>
            </w:pPr>
          </w:p>
        </w:tc>
        <w:tc>
          <w:tcPr>
            <w:tcW w:w="355" w:type="pct"/>
            <w:gridSpan w:val="2"/>
            <w:vAlign w:val="center"/>
          </w:tcPr>
          <w:p w:rsidR="00E21449" w:rsidRPr="00D630D1" w:rsidRDefault="00E21449" w:rsidP="00A775D0">
            <w:pPr>
              <w:pStyle w:val="af2"/>
            </w:pPr>
            <w:r w:rsidRPr="00D630D1">
              <w:rPr>
                <w:szCs w:val="21"/>
              </w:rPr>
              <w:t>废水</w:t>
            </w:r>
          </w:p>
        </w:tc>
        <w:tc>
          <w:tcPr>
            <w:tcW w:w="2801" w:type="pct"/>
            <w:vAlign w:val="center"/>
          </w:tcPr>
          <w:p w:rsidR="00E21449" w:rsidRPr="00D630D1" w:rsidRDefault="00E21449" w:rsidP="000C6323">
            <w:pPr>
              <w:pStyle w:val="af2"/>
            </w:pPr>
            <w:r w:rsidRPr="00D630D1">
              <w:rPr>
                <w:spacing w:val="-8"/>
                <w:szCs w:val="21"/>
              </w:rPr>
              <w:t>施工期管线施工人员生活污水依托租用附近居民房收集处理</w:t>
            </w:r>
            <w:r w:rsidRPr="00D630D1">
              <w:rPr>
                <w:rFonts w:hint="eastAsia"/>
                <w:spacing w:val="-8"/>
                <w:szCs w:val="21"/>
              </w:rPr>
              <w:t>，井</w:t>
            </w:r>
            <w:r w:rsidRPr="00D630D1">
              <w:rPr>
                <w:spacing w:val="-8"/>
                <w:szCs w:val="21"/>
              </w:rPr>
              <w:t>场施工生活污水经</w:t>
            </w:r>
            <w:r w:rsidRPr="00D630D1">
              <w:rPr>
                <w:rFonts w:hint="eastAsia"/>
                <w:spacing w:val="-8"/>
                <w:szCs w:val="21"/>
              </w:rPr>
              <w:t>生态</w:t>
            </w:r>
            <w:r w:rsidRPr="00D630D1">
              <w:rPr>
                <w:spacing w:val="-8"/>
                <w:szCs w:val="21"/>
              </w:rPr>
              <w:t>环保厕所收集后，用作周边农肥，不外排；</w:t>
            </w:r>
            <w:r w:rsidRPr="00D630D1">
              <w:rPr>
                <w:szCs w:val="21"/>
              </w:rPr>
              <w:t>施工生产废水经沿线隔油沉淀池（</w:t>
            </w:r>
            <w:r w:rsidRPr="00D630D1">
              <w:rPr>
                <w:szCs w:val="21"/>
              </w:rPr>
              <w:t>2m</w:t>
            </w:r>
            <w:r w:rsidRPr="00D630D1">
              <w:rPr>
                <w:szCs w:val="21"/>
                <w:vertAlign w:val="superscript"/>
              </w:rPr>
              <w:t>3</w:t>
            </w:r>
            <w:r w:rsidRPr="00D630D1">
              <w:rPr>
                <w:szCs w:val="21"/>
              </w:rPr>
              <w:t>）沉淀后洒水降尘使用</w:t>
            </w:r>
            <w:r w:rsidRPr="00D630D1">
              <w:rPr>
                <w:spacing w:val="-8"/>
                <w:szCs w:val="21"/>
              </w:rPr>
              <w:t>；</w:t>
            </w:r>
            <w:r w:rsidRPr="00D630D1">
              <w:rPr>
                <w:rFonts w:hint="eastAsia"/>
                <w:spacing w:val="-8"/>
                <w:szCs w:val="21"/>
              </w:rPr>
              <w:t>试压废水</w:t>
            </w:r>
            <w:r w:rsidRPr="00D630D1">
              <w:t>经沉</w:t>
            </w:r>
            <w:r w:rsidRPr="00D630D1">
              <w:rPr>
                <w:rFonts w:hint="eastAsia"/>
              </w:rPr>
              <w:t>沙</w:t>
            </w:r>
            <w:r w:rsidRPr="00D630D1">
              <w:t>池沉淀后</w:t>
            </w:r>
            <w:r w:rsidRPr="00D630D1">
              <w:rPr>
                <w:rFonts w:hint="eastAsia"/>
              </w:rPr>
              <w:t>回用，不外排；</w:t>
            </w:r>
            <w:r w:rsidRPr="00D630D1">
              <w:rPr>
                <w:spacing w:val="-8"/>
                <w:szCs w:val="21"/>
              </w:rPr>
              <w:t>钻井废水经</w:t>
            </w:r>
            <w:r w:rsidRPr="00D630D1">
              <w:rPr>
                <w:rFonts w:hint="eastAsia"/>
                <w:spacing w:val="-8"/>
                <w:szCs w:val="21"/>
              </w:rPr>
              <w:t>清洁化操作平台</w:t>
            </w:r>
            <w:r w:rsidRPr="00D630D1">
              <w:rPr>
                <w:spacing w:val="-8"/>
                <w:szCs w:val="21"/>
              </w:rPr>
              <w:t>预处理后装车拉运至毛开</w:t>
            </w:r>
            <w:r w:rsidRPr="00D630D1">
              <w:rPr>
                <w:spacing w:val="-8"/>
                <w:szCs w:val="21"/>
              </w:rPr>
              <w:t>1</w:t>
            </w:r>
            <w:r w:rsidRPr="00D630D1">
              <w:rPr>
                <w:spacing w:val="-8"/>
                <w:szCs w:val="21"/>
              </w:rPr>
              <w:t>井回注站回注</w:t>
            </w:r>
            <w:r w:rsidRPr="00D630D1">
              <w:rPr>
                <w:rFonts w:hint="eastAsia"/>
              </w:rPr>
              <w:t>；</w:t>
            </w:r>
            <w:r w:rsidRPr="00D630D1">
              <w:rPr>
                <w:spacing w:val="-8"/>
                <w:szCs w:val="21"/>
              </w:rPr>
              <w:t>压裂废水和洗井废水</w:t>
            </w:r>
            <w:r w:rsidRPr="00D630D1">
              <w:rPr>
                <w:rFonts w:hint="eastAsia"/>
                <w:spacing w:val="-8"/>
                <w:szCs w:val="21"/>
              </w:rPr>
              <w:t>部分</w:t>
            </w:r>
            <w:r w:rsidRPr="00D630D1">
              <w:rPr>
                <w:spacing w:val="-8"/>
                <w:szCs w:val="21"/>
              </w:rPr>
              <w:t>暂存</w:t>
            </w:r>
            <w:r w:rsidRPr="00D630D1">
              <w:rPr>
                <w:rFonts w:hint="eastAsia"/>
                <w:spacing w:val="-8"/>
                <w:szCs w:val="21"/>
              </w:rPr>
              <w:t>于放喷池，剩余部分暂存于污水缓冲罐</w:t>
            </w:r>
            <w:r w:rsidRPr="00D630D1">
              <w:rPr>
                <w:spacing w:val="-8"/>
                <w:szCs w:val="21"/>
              </w:rPr>
              <w:t>，装车拉运至大湾</w:t>
            </w:r>
            <w:r w:rsidRPr="00D630D1">
              <w:rPr>
                <w:spacing w:val="-8"/>
                <w:szCs w:val="21"/>
              </w:rPr>
              <w:t>403</w:t>
            </w:r>
            <w:r w:rsidRPr="00D630D1">
              <w:rPr>
                <w:spacing w:val="-8"/>
                <w:szCs w:val="21"/>
              </w:rPr>
              <w:t>污水站处理达标后管输至毛开</w:t>
            </w:r>
            <w:r w:rsidRPr="00D630D1">
              <w:rPr>
                <w:spacing w:val="-8"/>
                <w:szCs w:val="21"/>
              </w:rPr>
              <w:t>1</w:t>
            </w:r>
            <w:r w:rsidRPr="00D630D1">
              <w:rPr>
                <w:spacing w:val="-8"/>
                <w:szCs w:val="21"/>
              </w:rPr>
              <w:t>井回注站回注</w:t>
            </w:r>
            <w:r w:rsidRPr="00D630D1">
              <w:t>。</w:t>
            </w:r>
          </w:p>
        </w:tc>
        <w:tc>
          <w:tcPr>
            <w:tcW w:w="619" w:type="pct"/>
            <w:vAlign w:val="center"/>
          </w:tcPr>
          <w:p w:rsidR="00E21449" w:rsidRPr="00D630D1" w:rsidRDefault="00E21449" w:rsidP="00A775D0">
            <w:pPr>
              <w:pStyle w:val="af2"/>
            </w:pPr>
            <w:r w:rsidRPr="00D630D1">
              <w:rPr>
                <w:szCs w:val="21"/>
              </w:rPr>
              <w:t>/</w:t>
            </w:r>
          </w:p>
        </w:tc>
        <w:tc>
          <w:tcPr>
            <w:tcW w:w="470" w:type="pct"/>
            <w:vAlign w:val="center"/>
          </w:tcPr>
          <w:p w:rsidR="00E21449" w:rsidRPr="00D630D1" w:rsidRDefault="00E21449" w:rsidP="00A775D0">
            <w:pPr>
              <w:pStyle w:val="af2"/>
            </w:pPr>
            <w:r w:rsidRPr="00D630D1">
              <w:rPr>
                <w:szCs w:val="21"/>
              </w:rPr>
              <w:t>/</w:t>
            </w:r>
          </w:p>
        </w:tc>
      </w:tr>
      <w:tr w:rsidR="00E21449" w:rsidRPr="00D630D1" w:rsidTr="00DC5D18">
        <w:trPr>
          <w:trHeight w:val="18"/>
          <w:jc w:val="center"/>
        </w:trPr>
        <w:tc>
          <w:tcPr>
            <w:tcW w:w="271" w:type="pct"/>
            <w:vMerge/>
            <w:vAlign w:val="center"/>
          </w:tcPr>
          <w:p w:rsidR="00E21449" w:rsidRPr="00D630D1" w:rsidRDefault="00E21449" w:rsidP="00A775D0">
            <w:pPr>
              <w:pStyle w:val="af2"/>
            </w:pPr>
          </w:p>
        </w:tc>
        <w:tc>
          <w:tcPr>
            <w:tcW w:w="484" w:type="pct"/>
            <w:vMerge/>
            <w:vAlign w:val="center"/>
          </w:tcPr>
          <w:p w:rsidR="00E21449" w:rsidRPr="00D630D1" w:rsidRDefault="00E21449" w:rsidP="00A775D0">
            <w:pPr>
              <w:pStyle w:val="af2"/>
            </w:pPr>
          </w:p>
        </w:tc>
        <w:tc>
          <w:tcPr>
            <w:tcW w:w="355" w:type="pct"/>
            <w:gridSpan w:val="2"/>
            <w:vAlign w:val="center"/>
          </w:tcPr>
          <w:p w:rsidR="00E21449" w:rsidRPr="00D630D1" w:rsidRDefault="00E21449" w:rsidP="00A775D0">
            <w:pPr>
              <w:pStyle w:val="af2"/>
              <w:rPr>
                <w:szCs w:val="21"/>
              </w:rPr>
            </w:pPr>
            <w:r w:rsidRPr="00D630D1">
              <w:rPr>
                <w:szCs w:val="21"/>
              </w:rPr>
              <w:t>噪声</w:t>
            </w:r>
          </w:p>
        </w:tc>
        <w:tc>
          <w:tcPr>
            <w:tcW w:w="2801" w:type="pct"/>
            <w:vAlign w:val="center"/>
          </w:tcPr>
          <w:p w:rsidR="00E21449" w:rsidRPr="00D630D1" w:rsidRDefault="00E21449" w:rsidP="000846A1">
            <w:pPr>
              <w:pStyle w:val="af2"/>
              <w:rPr>
                <w:spacing w:val="-8"/>
                <w:szCs w:val="21"/>
              </w:rPr>
            </w:pPr>
            <w:r w:rsidRPr="00D630D1">
              <w:rPr>
                <w:szCs w:val="21"/>
              </w:rPr>
              <w:t>采取合理安排作业时间，合理布置施工机械等措施</w:t>
            </w:r>
            <w:r w:rsidRPr="00D630D1">
              <w:rPr>
                <w:rFonts w:hint="eastAsia"/>
                <w:szCs w:val="21"/>
              </w:rPr>
              <w:t>，</w:t>
            </w:r>
            <w:r w:rsidRPr="00D630D1">
              <w:t>施工沿线居民集中点设挡声板</w:t>
            </w:r>
            <w:r w:rsidRPr="00D630D1">
              <w:rPr>
                <w:rFonts w:hint="eastAsia"/>
              </w:rPr>
              <w:t>，</w:t>
            </w:r>
            <w:r w:rsidRPr="00D630D1">
              <w:t>钻井施工采用网电</w:t>
            </w:r>
            <w:r w:rsidRPr="00D630D1">
              <w:rPr>
                <w:szCs w:val="21"/>
              </w:rPr>
              <w:t>。</w:t>
            </w:r>
          </w:p>
        </w:tc>
        <w:tc>
          <w:tcPr>
            <w:tcW w:w="619" w:type="pct"/>
            <w:vAlign w:val="center"/>
          </w:tcPr>
          <w:p w:rsidR="00E21449" w:rsidRPr="00D630D1" w:rsidRDefault="00E21449" w:rsidP="00A775D0">
            <w:pPr>
              <w:pStyle w:val="af2"/>
              <w:rPr>
                <w:szCs w:val="21"/>
              </w:rPr>
            </w:pPr>
            <w:r w:rsidRPr="00D630D1">
              <w:rPr>
                <w:szCs w:val="21"/>
              </w:rPr>
              <w:t>/</w:t>
            </w:r>
          </w:p>
        </w:tc>
        <w:tc>
          <w:tcPr>
            <w:tcW w:w="470" w:type="pct"/>
            <w:vAlign w:val="center"/>
          </w:tcPr>
          <w:p w:rsidR="00E21449" w:rsidRPr="00D630D1" w:rsidRDefault="00E21449" w:rsidP="00A775D0">
            <w:pPr>
              <w:pStyle w:val="af2"/>
              <w:rPr>
                <w:szCs w:val="21"/>
              </w:rPr>
            </w:pPr>
            <w:r w:rsidRPr="00D630D1">
              <w:rPr>
                <w:szCs w:val="21"/>
              </w:rPr>
              <w:t>/</w:t>
            </w:r>
          </w:p>
        </w:tc>
      </w:tr>
      <w:tr w:rsidR="00E21449" w:rsidRPr="00D630D1" w:rsidTr="00DC5D18">
        <w:trPr>
          <w:trHeight w:val="18"/>
          <w:jc w:val="center"/>
        </w:trPr>
        <w:tc>
          <w:tcPr>
            <w:tcW w:w="271" w:type="pct"/>
            <w:vMerge/>
            <w:vAlign w:val="center"/>
          </w:tcPr>
          <w:p w:rsidR="00E21449" w:rsidRPr="00D630D1" w:rsidRDefault="00E21449" w:rsidP="00A775D0">
            <w:pPr>
              <w:pStyle w:val="af2"/>
            </w:pPr>
          </w:p>
        </w:tc>
        <w:tc>
          <w:tcPr>
            <w:tcW w:w="484" w:type="pct"/>
            <w:vMerge/>
            <w:vAlign w:val="center"/>
          </w:tcPr>
          <w:p w:rsidR="00E21449" w:rsidRPr="00D630D1" w:rsidRDefault="00E21449" w:rsidP="00A775D0">
            <w:pPr>
              <w:pStyle w:val="af2"/>
            </w:pPr>
          </w:p>
        </w:tc>
        <w:tc>
          <w:tcPr>
            <w:tcW w:w="355" w:type="pct"/>
            <w:gridSpan w:val="2"/>
            <w:vAlign w:val="center"/>
          </w:tcPr>
          <w:p w:rsidR="00E21449" w:rsidRPr="00D630D1" w:rsidRDefault="00E21449" w:rsidP="00A775D0">
            <w:pPr>
              <w:pStyle w:val="af2"/>
              <w:rPr>
                <w:szCs w:val="21"/>
              </w:rPr>
            </w:pPr>
            <w:r w:rsidRPr="00D630D1">
              <w:rPr>
                <w:szCs w:val="21"/>
              </w:rPr>
              <w:t>固体废物</w:t>
            </w:r>
          </w:p>
        </w:tc>
        <w:tc>
          <w:tcPr>
            <w:tcW w:w="2801" w:type="pct"/>
            <w:vAlign w:val="center"/>
          </w:tcPr>
          <w:p w:rsidR="00E21449" w:rsidRPr="00D630D1" w:rsidRDefault="00E21449" w:rsidP="00A62354">
            <w:pPr>
              <w:pStyle w:val="af2"/>
              <w:rPr>
                <w:szCs w:val="21"/>
              </w:rPr>
            </w:pPr>
            <w:r w:rsidRPr="00D630D1">
              <w:rPr>
                <w:szCs w:val="21"/>
              </w:rPr>
              <w:t>管道沿线开挖土石方经回填后，少量土方管道沿线平整消耗，基本实现挖填平衡，管道沿线无弃方产生</w:t>
            </w:r>
            <w:r w:rsidRPr="00D630D1">
              <w:rPr>
                <w:rFonts w:hint="eastAsia"/>
                <w:szCs w:val="21"/>
              </w:rPr>
              <w:t>；</w:t>
            </w:r>
            <w:r w:rsidRPr="00D630D1">
              <w:rPr>
                <w:szCs w:val="21"/>
              </w:rPr>
              <w:t>施工人员生活垃圾交环卫处置。施工期废气焊条、废油漆桶及现场连接处防腐废料严格要求施工单位妥善处置</w:t>
            </w:r>
            <w:r w:rsidRPr="00D630D1">
              <w:rPr>
                <w:rFonts w:hint="eastAsia"/>
                <w:szCs w:val="21"/>
              </w:rPr>
              <w:t>；</w:t>
            </w:r>
            <w:r w:rsidRPr="00D630D1">
              <w:rPr>
                <w:rFonts w:hint="eastAsia"/>
              </w:rPr>
              <w:t>钻井</w:t>
            </w:r>
            <w:r w:rsidRPr="00D630D1">
              <w:t>采用清洁化操作平台，并采取泥浆不落地措施</w:t>
            </w:r>
            <w:r w:rsidRPr="00D630D1">
              <w:rPr>
                <w:rFonts w:hint="eastAsia"/>
              </w:rPr>
              <w:t>，</w:t>
            </w:r>
            <w:r w:rsidRPr="00D630D1">
              <w:t>废</w:t>
            </w:r>
            <w:r w:rsidR="00A62354">
              <w:rPr>
                <w:rFonts w:hint="eastAsia"/>
              </w:rPr>
              <w:t>水基</w:t>
            </w:r>
            <w:r w:rsidRPr="00D630D1">
              <w:t>泥浆与</w:t>
            </w:r>
            <w:r w:rsidR="00A62354">
              <w:rPr>
                <w:rFonts w:hint="eastAsia"/>
              </w:rPr>
              <w:t>水基</w:t>
            </w:r>
            <w:r w:rsidRPr="00D630D1">
              <w:t>废岩屑按照</w:t>
            </w:r>
            <w:r w:rsidRPr="00D630D1">
              <w:rPr>
                <w:rFonts w:hint="eastAsia"/>
              </w:rPr>
              <w:t>相关要求进行资源化利用；</w:t>
            </w:r>
            <w:r w:rsidR="00A62354">
              <w:rPr>
                <w:rFonts w:hint="eastAsia"/>
              </w:rPr>
              <w:t>废油基泥浆、油基岩屑、</w:t>
            </w:r>
            <w:r w:rsidRPr="00D630D1">
              <w:rPr>
                <w:rFonts w:hint="eastAsia"/>
              </w:rPr>
              <w:t>废油暂存于危废暂存间，面积约</w:t>
            </w:r>
            <w:r w:rsidR="00C04B07">
              <w:rPr>
                <w:rFonts w:hint="eastAsia"/>
              </w:rPr>
              <w:t>10</w:t>
            </w:r>
            <w:r w:rsidRPr="00D630D1">
              <w:rPr>
                <w:rFonts w:hint="eastAsia"/>
              </w:rPr>
              <w:t>m</w:t>
            </w:r>
            <w:r w:rsidRPr="00D630D1">
              <w:rPr>
                <w:rFonts w:hint="eastAsia"/>
                <w:vertAlign w:val="superscript"/>
              </w:rPr>
              <w:t>2</w:t>
            </w:r>
            <w:r w:rsidRPr="00D630D1">
              <w:rPr>
                <w:rFonts w:hint="eastAsia"/>
              </w:rPr>
              <w:t>，暂存间地面采取四防措施（防风、防雨、防晒、防渗漏），废油</w:t>
            </w:r>
            <w:r w:rsidRPr="00D630D1">
              <w:t>及时清运</w:t>
            </w:r>
            <w:r w:rsidRPr="00D630D1">
              <w:rPr>
                <w:rFonts w:hint="eastAsia"/>
              </w:rPr>
              <w:t>至企业净化厂</w:t>
            </w:r>
            <w:r w:rsidRPr="00D630D1">
              <w:t>危险废物贮存仓库</w:t>
            </w:r>
            <w:r w:rsidRPr="00D630D1">
              <w:rPr>
                <w:rFonts w:hint="eastAsia"/>
              </w:rPr>
              <w:t>（运距约</w:t>
            </w:r>
            <w:r w:rsidRPr="00D630D1">
              <w:rPr>
                <w:rFonts w:hint="eastAsia"/>
              </w:rPr>
              <w:t>2</w:t>
            </w:r>
            <w:r>
              <w:rPr>
                <w:rFonts w:hint="eastAsia"/>
              </w:rPr>
              <w:t>2</w:t>
            </w:r>
            <w:r w:rsidRPr="00D630D1">
              <w:rPr>
                <w:rFonts w:hint="eastAsia"/>
              </w:rPr>
              <w:t>km</w:t>
            </w:r>
            <w:r w:rsidRPr="00D630D1">
              <w:rPr>
                <w:rFonts w:hint="eastAsia"/>
              </w:rPr>
              <w:t>）</w:t>
            </w:r>
            <w:r w:rsidRPr="00D630D1">
              <w:t>，</w:t>
            </w:r>
            <w:r w:rsidRPr="00D630D1">
              <w:rPr>
                <w:rFonts w:hint="eastAsia"/>
              </w:rPr>
              <w:t>定期</w:t>
            </w:r>
            <w:r w:rsidRPr="00D630D1">
              <w:t>委托有资质单位进行处理</w:t>
            </w:r>
            <w:r w:rsidRPr="00D630D1">
              <w:rPr>
                <w:szCs w:val="21"/>
              </w:rPr>
              <w:t>。</w:t>
            </w:r>
          </w:p>
        </w:tc>
        <w:tc>
          <w:tcPr>
            <w:tcW w:w="619" w:type="pct"/>
            <w:vAlign w:val="center"/>
          </w:tcPr>
          <w:p w:rsidR="00E21449" w:rsidRPr="00D630D1" w:rsidRDefault="00E21449" w:rsidP="00A775D0">
            <w:pPr>
              <w:pStyle w:val="af2"/>
              <w:rPr>
                <w:szCs w:val="21"/>
              </w:rPr>
            </w:pPr>
            <w:r w:rsidRPr="00D630D1">
              <w:rPr>
                <w:szCs w:val="21"/>
              </w:rPr>
              <w:t>/</w:t>
            </w:r>
          </w:p>
        </w:tc>
        <w:tc>
          <w:tcPr>
            <w:tcW w:w="470" w:type="pct"/>
            <w:vAlign w:val="center"/>
          </w:tcPr>
          <w:p w:rsidR="00E21449" w:rsidRPr="00D630D1" w:rsidRDefault="00E21449" w:rsidP="00A775D0">
            <w:pPr>
              <w:pStyle w:val="af2"/>
              <w:rPr>
                <w:szCs w:val="21"/>
              </w:rPr>
            </w:pPr>
            <w:r w:rsidRPr="00D630D1">
              <w:rPr>
                <w:szCs w:val="21"/>
              </w:rPr>
              <w:t>/</w:t>
            </w:r>
          </w:p>
        </w:tc>
      </w:tr>
      <w:tr w:rsidR="00E21449" w:rsidRPr="00D630D1" w:rsidTr="00DC5D18">
        <w:trPr>
          <w:trHeight w:val="18"/>
          <w:jc w:val="center"/>
        </w:trPr>
        <w:tc>
          <w:tcPr>
            <w:tcW w:w="271" w:type="pct"/>
            <w:vMerge/>
            <w:vAlign w:val="center"/>
          </w:tcPr>
          <w:p w:rsidR="00E21449" w:rsidRPr="00D630D1" w:rsidRDefault="00E21449" w:rsidP="00A775D0">
            <w:pPr>
              <w:pStyle w:val="af2"/>
            </w:pPr>
          </w:p>
        </w:tc>
        <w:tc>
          <w:tcPr>
            <w:tcW w:w="484" w:type="pct"/>
            <w:vMerge/>
            <w:vAlign w:val="center"/>
          </w:tcPr>
          <w:p w:rsidR="00E21449" w:rsidRPr="00D630D1" w:rsidRDefault="00E21449" w:rsidP="00A775D0">
            <w:pPr>
              <w:pStyle w:val="af2"/>
            </w:pPr>
          </w:p>
        </w:tc>
        <w:tc>
          <w:tcPr>
            <w:tcW w:w="355" w:type="pct"/>
            <w:gridSpan w:val="2"/>
            <w:vAlign w:val="center"/>
          </w:tcPr>
          <w:p w:rsidR="00E21449" w:rsidRPr="00D630D1" w:rsidRDefault="00E21449" w:rsidP="00A775D0">
            <w:pPr>
              <w:pStyle w:val="aff2"/>
            </w:pPr>
            <w:r w:rsidRPr="00D630D1">
              <w:rPr>
                <w:rFonts w:hint="eastAsia"/>
              </w:rPr>
              <w:t>生态</w:t>
            </w:r>
            <w:r w:rsidRPr="00D630D1">
              <w:t>保护</w:t>
            </w:r>
          </w:p>
        </w:tc>
        <w:tc>
          <w:tcPr>
            <w:tcW w:w="2801" w:type="pct"/>
            <w:vAlign w:val="center"/>
          </w:tcPr>
          <w:p w:rsidR="00E21449" w:rsidRPr="00D630D1" w:rsidRDefault="00E21449" w:rsidP="000846A1">
            <w:pPr>
              <w:pStyle w:val="aff2"/>
            </w:pPr>
            <w:r w:rsidRPr="00D630D1">
              <w:rPr>
                <w:rFonts w:hint="eastAsia"/>
              </w:rPr>
              <w:t>站场施工：井场、进场道路及临时堆土区分区采取相应的</w:t>
            </w:r>
            <w:r w:rsidRPr="00D630D1">
              <w:t>表土剥离、截排水沟、排污沟、井场边沟、植草等措施，覆土、土地整治及临时措施</w:t>
            </w:r>
            <w:r w:rsidRPr="00D630D1">
              <w:rPr>
                <w:rFonts w:hint="eastAsia"/>
              </w:rPr>
              <w:t>。</w:t>
            </w:r>
          </w:p>
          <w:p w:rsidR="00E21449" w:rsidRPr="00D630D1" w:rsidRDefault="00E21449" w:rsidP="00E976D5">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管线施工</w:t>
            </w:r>
            <w:r w:rsidRPr="00D630D1">
              <w:rPr>
                <w:rFonts w:ascii="Times New Roman" w:cs="Times New Roman" w:hint="eastAsia"/>
                <w:kern w:val="2"/>
                <w:sz w:val="21"/>
                <w:szCs w:val="21"/>
              </w:rPr>
              <w:t>：</w:t>
            </w:r>
            <w:r w:rsidRPr="00D630D1">
              <w:rPr>
                <w:rFonts w:ascii="Times New Roman" w:cs="Times New Roman"/>
                <w:kern w:val="2"/>
                <w:sz w:val="21"/>
                <w:szCs w:val="21"/>
              </w:rPr>
              <w:t>（</w:t>
            </w:r>
            <w:r w:rsidRPr="00D630D1">
              <w:rPr>
                <w:rFonts w:ascii="Times New Roman" w:cs="Times New Roman"/>
                <w:kern w:val="2"/>
                <w:sz w:val="21"/>
                <w:szCs w:val="21"/>
              </w:rPr>
              <w:t>1</w:t>
            </w:r>
            <w:r w:rsidRPr="00D630D1">
              <w:rPr>
                <w:rFonts w:ascii="Times New Roman" w:cs="Times New Roman"/>
                <w:kern w:val="2"/>
                <w:sz w:val="21"/>
                <w:szCs w:val="21"/>
              </w:rPr>
              <w:t>）尽量避开雨季施工；分段施工，做到随挖、随运、随铺、随压，尽量不留疏松地面，减少风蚀导致的水土流失。</w:t>
            </w:r>
          </w:p>
          <w:p w:rsidR="00E21449" w:rsidRPr="00D630D1" w:rsidRDefault="00E21449" w:rsidP="00E976D5">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）划定施工作业带范围和路线，不随意扩大。并严格控制机械和车辆的作业范围，尽可能减少对土壤和农作物的破坏以及由此引发的水土流失。</w:t>
            </w:r>
          </w:p>
          <w:p w:rsidR="00E21449" w:rsidRPr="00D630D1" w:rsidRDefault="00E21449" w:rsidP="00E976D5">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3</w:t>
            </w:r>
            <w:r w:rsidRPr="00D630D1">
              <w:rPr>
                <w:rFonts w:ascii="Times New Roman" w:cs="Times New Roman"/>
                <w:kern w:val="2"/>
                <w:sz w:val="21"/>
                <w:szCs w:val="21"/>
              </w:rPr>
              <w:t>）提高工程施工效率，缩短施工工期。</w:t>
            </w:r>
          </w:p>
          <w:p w:rsidR="00E21449" w:rsidRPr="00D630D1" w:rsidRDefault="00E21449" w:rsidP="00E976D5">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4</w:t>
            </w:r>
            <w:r w:rsidRPr="00D630D1">
              <w:rPr>
                <w:rFonts w:ascii="Times New Roman" w:cs="Times New Roman"/>
                <w:kern w:val="2"/>
                <w:sz w:val="21"/>
                <w:szCs w:val="21"/>
              </w:rPr>
              <w:t>）施工时将禁止材料的随意堆放，划定统一的堆料场，防止对植物破坏范围扩大。</w:t>
            </w:r>
          </w:p>
          <w:p w:rsidR="00E21449" w:rsidRPr="00D630D1" w:rsidRDefault="00E21449" w:rsidP="00E976D5">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hint="eastAsia"/>
                <w:kern w:val="2"/>
                <w:sz w:val="21"/>
                <w:szCs w:val="21"/>
              </w:rPr>
              <w:t>5</w:t>
            </w:r>
            <w:r w:rsidRPr="00D630D1">
              <w:rPr>
                <w:rFonts w:ascii="Times New Roman" w:cs="Times New Roman"/>
                <w:kern w:val="2"/>
                <w:sz w:val="21"/>
                <w:szCs w:val="21"/>
              </w:rPr>
              <w:t>）施工破坏的植被地带，施工结束后，及时恢复植被，减少水土流失。对于穿越的林地，管线敷设后，土方回</w:t>
            </w:r>
            <w:r w:rsidRPr="00D630D1">
              <w:rPr>
                <w:rFonts w:ascii="Times New Roman" w:cs="Times New Roman"/>
                <w:kern w:val="2"/>
                <w:sz w:val="21"/>
                <w:szCs w:val="21"/>
              </w:rPr>
              <w:lastRenderedPageBreak/>
              <w:t>填不仅遵循设计规范要求，还将遵循下石上土、下粗上细、肥沃的在上贫瘠的在下的原则。回填后管线两侧</w:t>
            </w:r>
            <w:r w:rsidRPr="00D630D1">
              <w:rPr>
                <w:rFonts w:ascii="Times New Roman" w:cs="Times New Roman"/>
                <w:kern w:val="2"/>
                <w:sz w:val="21"/>
                <w:szCs w:val="21"/>
              </w:rPr>
              <w:t>5m</w:t>
            </w:r>
            <w:r w:rsidRPr="00D630D1">
              <w:rPr>
                <w:rFonts w:ascii="Times New Roman" w:cs="Times New Roman"/>
                <w:kern w:val="2"/>
                <w:sz w:val="21"/>
                <w:szCs w:val="21"/>
              </w:rPr>
              <w:t>范围内栽种根系不发达、生长性强的植被。对于耕地，施工结束后，遵循上述相同的原则，进行复耕。</w:t>
            </w:r>
          </w:p>
          <w:p w:rsidR="00E21449" w:rsidRPr="00D630D1" w:rsidRDefault="00E21449" w:rsidP="00E976D5">
            <w:pPr>
              <w:pStyle w:val="aff2"/>
            </w:pPr>
            <w:r w:rsidRPr="00D630D1">
              <w:rPr>
                <w:szCs w:val="21"/>
              </w:rPr>
              <w:t>（</w:t>
            </w:r>
            <w:r w:rsidRPr="00D630D1">
              <w:rPr>
                <w:rFonts w:hint="eastAsia"/>
                <w:szCs w:val="21"/>
              </w:rPr>
              <w:t>6</w:t>
            </w:r>
            <w:r w:rsidRPr="00D630D1">
              <w:rPr>
                <w:szCs w:val="21"/>
              </w:rPr>
              <w:t>）水土保持和水工保护措施相结合，工程措施和生物措施相互结合，分区进行布局</w:t>
            </w:r>
            <w:r w:rsidRPr="00D630D1">
              <w:t>。</w:t>
            </w:r>
          </w:p>
        </w:tc>
        <w:tc>
          <w:tcPr>
            <w:tcW w:w="619" w:type="pct"/>
            <w:vAlign w:val="center"/>
          </w:tcPr>
          <w:p w:rsidR="00E21449" w:rsidRPr="00D630D1" w:rsidRDefault="00E21449" w:rsidP="00A775D0">
            <w:pPr>
              <w:pStyle w:val="aff2"/>
            </w:pPr>
            <w:r w:rsidRPr="00D630D1">
              <w:lastRenderedPageBreak/>
              <w:t>水土流失</w:t>
            </w:r>
          </w:p>
          <w:p w:rsidR="00E21449" w:rsidRPr="00D630D1" w:rsidRDefault="00E21449" w:rsidP="00A775D0">
            <w:pPr>
              <w:pStyle w:val="aff2"/>
            </w:pPr>
            <w:r w:rsidRPr="00D630D1">
              <w:t>植物破坏</w:t>
            </w:r>
          </w:p>
        </w:tc>
        <w:tc>
          <w:tcPr>
            <w:tcW w:w="470" w:type="pct"/>
            <w:vAlign w:val="center"/>
          </w:tcPr>
          <w:p w:rsidR="00E21449" w:rsidRPr="00D630D1" w:rsidRDefault="00E21449" w:rsidP="00A775D0">
            <w:pPr>
              <w:pStyle w:val="aff2"/>
            </w:pPr>
            <w:r w:rsidRPr="00D630D1">
              <w:t>恢复地貌</w:t>
            </w:r>
          </w:p>
        </w:tc>
      </w:tr>
      <w:tr w:rsidR="00E21449" w:rsidRPr="00D630D1" w:rsidTr="00DC5D18">
        <w:trPr>
          <w:trHeight w:val="18"/>
          <w:jc w:val="center"/>
        </w:trPr>
        <w:tc>
          <w:tcPr>
            <w:tcW w:w="271" w:type="pct"/>
            <w:vMerge/>
            <w:vAlign w:val="center"/>
          </w:tcPr>
          <w:p w:rsidR="00E21449" w:rsidRPr="00D630D1" w:rsidRDefault="00E21449" w:rsidP="00A775D0">
            <w:pPr>
              <w:pStyle w:val="af2"/>
            </w:pPr>
          </w:p>
        </w:tc>
        <w:tc>
          <w:tcPr>
            <w:tcW w:w="484" w:type="pct"/>
            <w:vMerge w:val="restart"/>
            <w:vAlign w:val="center"/>
          </w:tcPr>
          <w:p w:rsidR="00E21449" w:rsidRPr="00D630D1" w:rsidRDefault="00E21449" w:rsidP="00A775D0">
            <w:pPr>
              <w:pStyle w:val="af2"/>
            </w:pPr>
            <w:r w:rsidRPr="00D630D1">
              <w:t>运营期</w:t>
            </w:r>
          </w:p>
        </w:tc>
        <w:tc>
          <w:tcPr>
            <w:tcW w:w="355" w:type="pct"/>
            <w:gridSpan w:val="2"/>
            <w:vMerge w:val="restart"/>
            <w:vAlign w:val="center"/>
          </w:tcPr>
          <w:p w:rsidR="00E21449" w:rsidRPr="00D630D1" w:rsidRDefault="00E21449" w:rsidP="00A775D0">
            <w:pPr>
              <w:pStyle w:val="aff2"/>
            </w:pPr>
            <w:r w:rsidRPr="00D630D1">
              <w:t>废气</w:t>
            </w:r>
          </w:p>
        </w:tc>
        <w:tc>
          <w:tcPr>
            <w:tcW w:w="2801" w:type="pct"/>
            <w:vAlign w:val="center"/>
          </w:tcPr>
          <w:p w:rsidR="00E21449" w:rsidRPr="00D630D1" w:rsidRDefault="00E21449" w:rsidP="000846A1">
            <w:pPr>
              <w:pStyle w:val="aff2"/>
            </w:pPr>
            <w:r w:rsidRPr="00D630D1">
              <w:t>水套炉燃烧废气：燃料气</w:t>
            </w:r>
            <w:r w:rsidRPr="00D630D1">
              <w:rPr>
                <w:rFonts w:hint="eastAsia"/>
              </w:rPr>
              <w:t>为经新建</w:t>
            </w:r>
            <w:r w:rsidRPr="00D630D1">
              <w:t>燃气返输管线返输净化后天然气，废气主要为氮氧化物，利用水套炉自带的</w:t>
            </w:r>
            <w:r w:rsidRPr="00D630D1">
              <w:t>8m</w:t>
            </w:r>
            <w:r w:rsidRPr="00D630D1">
              <w:t>高排气筒外排。</w:t>
            </w:r>
          </w:p>
        </w:tc>
        <w:tc>
          <w:tcPr>
            <w:tcW w:w="619" w:type="pct"/>
            <w:vAlign w:val="center"/>
          </w:tcPr>
          <w:p w:rsidR="00E21449" w:rsidRPr="00D630D1" w:rsidRDefault="00E21449" w:rsidP="00A775D0">
            <w:pPr>
              <w:pStyle w:val="aff2"/>
            </w:pPr>
            <w:r w:rsidRPr="00D630D1">
              <w:t>/</w:t>
            </w:r>
          </w:p>
        </w:tc>
        <w:tc>
          <w:tcPr>
            <w:tcW w:w="470" w:type="pct"/>
            <w:vAlign w:val="center"/>
          </w:tcPr>
          <w:p w:rsidR="00E21449" w:rsidRPr="00D630D1" w:rsidRDefault="00E21449" w:rsidP="00A775D0">
            <w:pPr>
              <w:pStyle w:val="aff2"/>
            </w:pPr>
            <w:r w:rsidRPr="00D630D1">
              <w:t>/</w:t>
            </w:r>
          </w:p>
        </w:tc>
      </w:tr>
      <w:tr w:rsidR="00E21449" w:rsidRPr="00D630D1" w:rsidTr="00DC5D18">
        <w:trPr>
          <w:trHeight w:val="18"/>
          <w:jc w:val="center"/>
        </w:trPr>
        <w:tc>
          <w:tcPr>
            <w:tcW w:w="271" w:type="pct"/>
            <w:vMerge/>
            <w:vAlign w:val="center"/>
          </w:tcPr>
          <w:p w:rsidR="00E21449" w:rsidRPr="00D630D1" w:rsidRDefault="00E21449" w:rsidP="00A775D0">
            <w:pPr>
              <w:pStyle w:val="af2"/>
            </w:pPr>
          </w:p>
        </w:tc>
        <w:tc>
          <w:tcPr>
            <w:tcW w:w="484" w:type="pct"/>
            <w:vMerge/>
            <w:vAlign w:val="center"/>
          </w:tcPr>
          <w:p w:rsidR="00E21449" w:rsidRPr="00D630D1" w:rsidRDefault="00E21449" w:rsidP="00A775D0">
            <w:pPr>
              <w:pStyle w:val="af2"/>
            </w:pPr>
          </w:p>
        </w:tc>
        <w:tc>
          <w:tcPr>
            <w:tcW w:w="355" w:type="pct"/>
            <w:gridSpan w:val="2"/>
            <w:vMerge/>
            <w:vAlign w:val="center"/>
          </w:tcPr>
          <w:p w:rsidR="00E21449" w:rsidRPr="00D630D1" w:rsidRDefault="00E21449" w:rsidP="00A775D0">
            <w:pPr>
              <w:pStyle w:val="aff2"/>
            </w:pPr>
          </w:p>
        </w:tc>
        <w:tc>
          <w:tcPr>
            <w:tcW w:w="2801" w:type="pct"/>
            <w:vAlign w:val="center"/>
          </w:tcPr>
          <w:p w:rsidR="00E21449" w:rsidRPr="00D630D1" w:rsidRDefault="00E21449" w:rsidP="00075350">
            <w:pPr>
              <w:pStyle w:val="aff2"/>
            </w:pPr>
            <w:r w:rsidRPr="00D630D1">
              <w:t>事故</w:t>
            </w:r>
            <w:r w:rsidRPr="00D630D1">
              <w:t>/</w:t>
            </w:r>
            <w:r w:rsidRPr="00D630D1">
              <w:t>检修放空废气：</w:t>
            </w:r>
            <w:r>
              <w:rPr>
                <w:rFonts w:hint="eastAsia"/>
              </w:rPr>
              <w:t>普光</w:t>
            </w:r>
            <w:r>
              <w:rPr>
                <w:rFonts w:hint="eastAsia"/>
              </w:rPr>
              <w:t>12</w:t>
            </w:r>
            <w:r>
              <w:rPr>
                <w:rFonts w:hint="eastAsia"/>
              </w:rPr>
              <w:t>采气站新建</w:t>
            </w:r>
            <w:r w:rsidRPr="00D630D1">
              <w:t>放空火炬区，用于</w:t>
            </w:r>
            <w:r>
              <w:rPr>
                <w:rFonts w:hint="eastAsia"/>
              </w:rPr>
              <w:t>采气</w:t>
            </w:r>
            <w:r w:rsidRPr="00D630D1">
              <w:t>站或管线在事故或检修状态下产生的废气的点火放空，废气经放空火炬（</w:t>
            </w:r>
            <w:r>
              <w:rPr>
                <w:rFonts w:hint="eastAsia"/>
              </w:rPr>
              <w:t>3</w:t>
            </w:r>
            <w:r w:rsidRPr="00D630D1">
              <w:rPr>
                <w:rFonts w:hint="eastAsia"/>
              </w:rPr>
              <w:t>5</w:t>
            </w:r>
            <w:r w:rsidRPr="00D630D1">
              <w:t>m</w:t>
            </w:r>
            <w:r w:rsidRPr="00D630D1">
              <w:t>）排放。</w:t>
            </w:r>
          </w:p>
        </w:tc>
        <w:tc>
          <w:tcPr>
            <w:tcW w:w="619" w:type="pct"/>
            <w:vAlign w:val="center"/>
          </w:tcPr>
          <w:p w:rsidR="00E21449" w:rsidRPr="00D630D1" w:rsidRDefault="00E21449" w:rsidP="00A775D0">
            <w:pPr>
              <w:pStyle w:val="aff2"/>
            </w:pPr>
            <w:r w:rsidRPr="00D630D1">
              <w:t>/</w:t>
            </w:r>
          </w:p>
        </w:tc>
        <w:tc>
          <w:tcPr>
            <w:tcW w:w="470" w:type="pct"/>
            <w:vAlign w:val="center"/>
          </w:tcPr>
          <w:p w:rsidR="00E21449" w:rsidRPr="00D630D1" w:rsidRDefault="00E21449" w:rsidP="00A775D0">
            <w:pPr>
              <w:pStyle w:val="aff2"/>
            </w:pPr>
            <w:r w:rsidRPr="00D630D1">
              <w:t>/</w:t>
            </w:r>
          </w:p>
        </w:tc>
      </w:tr>
      <w:tr w:rsidR="00E21449" w:rsidRPr="00D630D1" w:rsidTr="00DC5D18">
        <w:trPr>
          <w:trHeight w:val="18"/>
          <w:jc w:val="center"/>
        </w:trPr>
        <w:tc>
          <w:tcPr>
            <w:tcW w:w="271" w:type="pct"/>
            <w:vMerge/>
            <w:vAlign w:val="center"/>
          </w:tcPr>
          <w:p w:rsidR="00E21449" w:rsidRPr="00D630D1" w:rsidRDefault="00E21449" w:rsidP="00D47C72">
            <w:pPr>
              <w:pStyle w:val="af2"/>
            </w:pPr>
          </w:p>
        </w:tc>
        <w:tc>
          <w:tcPr>
            <w:tcW w:w="484" w:type="pct"/>
            <w:vMerge/>
            <w:vAlign w:val="center"/>
          </w:tcPr>
          <w:p w:rsidR="00E21449" w:rsidRPr="00D630D1" w:rsidRDefault="00E21449" w:rsidP="00D47C72">
            <w:pPr>
              <w:pStyle w:val="af2"/>
            </w:pPr>
          </w:p>
        </w:tc>
        <w:tc>
          <w:tcPr>
            <w:tcW w:w="355" w:type="pct"/>
            <w:gridSpan w:val="2"/>
            <w:vAlign w:val="center"/>
          </w:tcPr>
          <w:p w:rsidR="00E21449" w:rsidRPr="00D630D1" w:rsidRDefault="00E21449" w:rsidP="00D47C72">
            <w:pPr>
              <w:pStyle w:val="aff2"/>
            </w:pPr>
            <w:r w:rsidRPr="00D630D1">
              <w:t>废水</w:t>
            </w:r>
          </w:p>
        </w:tc>
        <w:tc>
          <w:tcPr>
            <w:tcW w:w="2801" w:type="pct"/>
            <w:vAlign w:val="center"/>
          </w:tcPr>
          <w:p w:rsidR="00E21449" w:rsidRPr="00D630D1" w:rsidRDefault="00E21449" w:rsidP="00AC6DB9">
            <w:pPr>
              <w:pStyle w:val="aff2"/>
            </w:pPr>
            <w:r w:rsidRPr="007200A5">
              <w:t>本项目运营期产生的气田水</w:t>
            </w:r>
            <w:r w:rsidRPr="007200A5">
              <w:rPr>
                <w:rFonts w:hint="eastAsia"/>
              </w:rPr>
              <w:t>暂存于污水缓冲罐</w:t>
            </w:r>
            <w:r w:rsidRPr="007200A5">
              <w:t>，然后通过密闭罐车拉运至大湾</w:t>
            </w:r>
            <w:r w:rsidRPr="007200A5">
              <w:t>403</w:t>
            </w:r>
            <w:r w:rsidRPr="007200A5">
              <w:t>污水站处理达到《气田水回注方法》（</w:t>
            </w:r>
            <w:r w:rsidRPr="007200A5">
              <w:t>SY/T 6596</w:t>
            </w:r>
            <w:r w:rsidRPr="007200A5">
              <w:rPr>
                <w:rFonts w:hint="eastAsia"/>
              </w:rPr>
              <w:t>-</w:t>
            </w:r>
            <w:r w:rsidRPr="007200A5">
              <w:t>2016</w:t>
            </w:r>
            <w:r w:rsidRPr="007200A5">
              <w:t>）中注入水基本要求后管输至毛开</w:t>
            </w:r>
            <w:r w:rsidRPr="007200A5">
              <w:t>1</w:t>
            </w:r>
            <w:r w:rsidRPr="007200A5">
              <w:t>井回注站回注处理，不外排</w:t>
            </w:r>
            <w:r w:rsidRPr="007200A5">
              <w:rPr>
                <w:rFonts w:hint="eastAsia"/>
              </w:rPr>
              <w:t>；值守</w:t>
            </w:r>
            <w:r w:rsidRPr="007200A5">
              <w:t>人员生活</w:t>
            </w:r>
            <w:r w:rsidRPr="007200A5">
              <w:rPr>
                <w:rFonts w:hint="eastAsia"/>
              </w:rPr>
              <w:t>污水经</w:t>
            </w:r>
            <w:r w:rsidRPr="007200A5">
              <w:t>生态环保厕所收集后，用作周边农肥，不外排</w:t>
            </w:r>
            <w:r w:rsidRPr="00D630D1">
              <w:rPr>
                <w:rFonts w:hint="eastAsia"/>
              </w:rPr>
              <w:t>。</w:t>
            </w:r>
          </w:p>
        </w:tc>
        <w:tc>
          <w:tcPr>
            <w:tcW w:w="619" w:type="pct"/>
            <w:vAlign w:val="center"/>
          </w:tcPr>
          <w:p w:rsidR="00E21449" w:rsidRPr="00D630D1" w:rsidRDefault="00E21449" w:rsidP="00D47C72">
            <w:pPr>
              <w:pStyle w:val="aff2"/>
            </w:pPr>
            <w:r w:rsidRPr="00D630D1">
              <w:t>/</w:t>
            </w:r>
          </w:p>
        </w:tc>
        <w:tc>
          <w:tcPr>
            <w:tcW w:w="470" w:type="pct"/>
            <w:vAlign w:val="center"/>
          </w:tcPr>
          <w:p w:rsidR="00E21449" w:rsidRPr="00D630D1" w:rsidRDefault="00E21449" w:rsidP="00D47C72">
            <w:pPr>
              <w:pStyle w:val="aff2"/>
            </w:pPr>
            <w:r w:rsidRPr="00D630D1">
              <w:t>/</w:t>
            </w:r>
          </w:p>
        </w:tc>
      </w:tr>
      <w:tr w:rsidR="00E21449" w:rsidRPr="00D630D1" w:rsidTr="00DC5D18">
        <w:trPr>
          <w:trHeight w:val="18"/>
          <w:jc w:val="center"/>
        </w:trPr>
        <w:tc>
          <w:tcPr>
            <w:tcW w:w="271" w:type="pct"/>
            <w:vMerge/>
            <w:vAlign w:val="center"/>
          </w:tcPr>
          <w:p w:rsidR="00E21449" w:rsidRPr="00D630D1" w:rsidRDefault="00E21449" w:rsidP="00D47C72">
            <w:pPr>
              <w:pStyle w:val="af2"/>
            </w:pPr>
          </w:p>
        </w:tc>
        <w:tc>
          <w:tcPr>
            <w:tcW w:w="484" w:type="pct"/>
            <w:vMerge/>
            <w:vAlign w:val="center"/>
          </w:tcPr>
          <w:p w:rsidR="00E21449" w:rsidRPr="00D630D1" w:rsidRDefault="00E21449" w:rsidP="00D47C72">
            <w:pPr>
              <w:pStyle w:val="af2"/>
            </w:pPr>
          </w:p>
        </w:tc>
        <w:tc>
          <w:tcPr>
            <w:tcW w:w="355" w:type="pct"/>
            <w:gridSpan w:val="2"/>
            <w:vAlign w:val="center"/>
          </w:tcPr>
          <w:p w:rsidR="00E21449" w:rsidRPr="00D630D1" w:rsidRDefault="00E21449" w:rsidP="00D47C72">
            <w:pPr>
              <w:pStyle w:val="aff2"/>
            </w:pPr>
            <w:r w:rsidRPr="00D630D1">
              <w:t>噪声</w:t>
            </w:r>
          </w:p>
        </w:tc>
        <w:tc>
          <w:tcPr>
            <w:tcW w:w="2801" w:type="pct"/>
            <w:vAlign w:val="center"/>
          </w:tcPr>
          <w:p w:rsidR="00E21449" w:rsidRPr="00D630D1" w:rsidRDefault="00E21449" w:rsidP="00251CEC">
            <w:pPr>
              <w:pStyle w:val="aff2"/>
            </w:pPr>
            <w:r w:rsidRPr="00D630D1">
              <w:rPr>
                <w:szCs w:val="21"/>
              </w:rPr>
              <w:t>低噪声设备；管线地埋敷设。</w:t>
            </w:r>
          </w:p>
        </w:tc>
        <w:tc>
          <w:tcPr>
            <w:tcW w:w="619" w:type="pct"/>
            <w:vAlign w:val="center"/>
          </w:tcPr>
          <w:p w:rsidR="00E21449" w:rsidRPr="00D630D1" w:rsidRDefault="00E21449" w:rsidP="00B71B08">
            <w:pPr>
              <w:pStyle w:val="aff2"/>
            </w:pPr>
            <w:r w:rsidRPr="00D630D1">
              <w:t>/</w:t>
            </w:r>
          </w:p>
        </w:tc>
        <w:tc>
          <w:tcPr>
            <w:tcW w:w="470" w:type="pct"/>
            <w:vAlign w:val="center"/>
          </w:tcPr>
          <w:p w:rsidR="00E21449" w:rsidRPr="00D630D1" w:rsidRDefault="00E21449" w:rsidP="00B71B08">
            <w:pPr>
              <w:pStyle w:val="aff2"/>
            </w:pPr>
            <w:r w:rsidRPr="00D630D1">
              <w:t>/</w:t>
            </w:r>
          </w:p>
        </w:tc>
      </w:tr>
      <w:tr w:rsidR="00E21449" w:rsidRPr="00D630D1" w:rsidTr="00DC5D18">
        <w:trPr>
          <w:trHeight w:val="18"/>
          <w:jc w:val="center"/>
        </w:trPr>
        <w:tc>
          <w:tcPr>
            <w:tcW w:w="271" w:type="pct"/>
            <w:vMerge/>
            <w:vAlign w:val="center"/>
          </w:tcPr>
          <w:p w:rsidR="00E21449" w:rsidRPr="00D630D1" w:rsidRDefault="00E21449" w:rsidP="00D47C72">
            <w:pPr>
              <w:pStyle w:val="af2"/>
            </w:pPr>
          </w:p>
        </w:tc>
        <w:tc>
          <w:tcPr>
            <w:tcW w:w="484" w:type="pct"/>
            <w:vMerge/>
            <w:vAlign w:val="center"/>
          </w:tcPr>
          <w:p w:rsidR="00E21449" w:rsidRPr="00D630D1" w:rsidRDefault="00E21449" w:rsidP="00D47C72">
            <w:pPr>
              <w:pStyle w:val="af2"/>
            </w:pPr>
          </w:p>
        </w:tc>
        <w:tc>
          <w:tcPr>
            <w:tcW w:w="355" w:type="pct"/>
            <w:gridSpan w:val="2"/>
            <w:vAlign w:val="center"/>
          </w:tcPr>
          <w:p w:rsidR="00E21449" w:rsidRPr="00D630D1" w:rsidRDefault="00E21449" w:rsidP="00D47C72">
            <w:pPr>
              <w:pStyle w:val="aff2"/>
            </w:pPr>
            <w:r>
              <w:rPr>
                <w:rFonts w:hint="eastAsia"/>
              </w:rPr>
              <w:t>固体废物</w:t>
            </w:r>
          </w:p>
        </w:tc>
        <w:tc>
          <w:tcPr>
            <w:tcW w:w="2801" w:type="pct"/>
            <w:vAlign w:val="center"/>
          </w:tcPr>
          <w:p w:rsidR="00E21449" w:rsidRPr="00D630D1" w:rsidRDefault="00E21449" w:rsidP="00895B09">
            <w:pPr>
              <w:pStyle w:val="aff2"/>
              <w:rPr>
                <w:szCs w:val="21"/>
              </w:rPr>
            </w:pPr>
            <w:r w:rsidRPr="00E21449">
              <w:rPr>
                <w:rFonts w:hint="eastAsia"/>
                <w:szCs w:val="21"/>
              </w:rPr>
              <w:t>运营期</w:t>
            </w:r>
            <w:r w:rsidRPr="00E21449">
              <w:rPr>
                <w:szCs w:val="21"/>
              </w:rPr>
              <w:t>工作人员生活垃圾用垃圾桶收集，委托当地环卫部门清运处置</w:t>
            </w:r>
            <w:r w:rsidRPr="00E21449">
              <w:rPr>
                <w:rFonts w:hint="eastAsia"/>
                <w:szCs w:val="21"/>
              </w:rPr>
              <w:t>；</w:t>
            </w:r>
            <w:r w:rsidRPr="00E21449">
              <w:rPr>
                <w:rFonts w:hint="eastAsia"/>
                <w:bCs/>
                <w:szCs w:val="21"/>
              </w:rPr>
              <w:t>凝析油作为副产品外售</w:t>
            </w:r>
            <w:r w:rsidR="00895B09">
              <w:rPr>
                <w:rFonts w:hint="eastAsia"/>
                <w:bCs/>
                <w:szCs w:val="21"/>
              </w:rPr>
              <w:t>；普光</w:t>
            </w:r>
            <w:r w:rsidR="00895B09">
              <w:rPr>
                <w:rFonts w:hint="eastAsia"/>
                <w:bCs/>
                <w:szCs w:val="21"/>
              </w:rPr>
              <w:t>12</w:t>
            </w:r>
            <w:r w:rsidR="00895B09">
              <w:rPr>
                <w:rFonts w:hint="eastAsia"/>
                <w:bCs/>
                <w:szCs w:val="21"/>
              </w:rPr>
              <w:t>采</w:t>
            </w:r>
            <w:r w:rsidR="00895B09" w:rsidRPr="00895B09">
              <w:rPr>
                <w:bCs/>
                <w:szCs w:val="21"/>
              </w:rPr>
              <w:t>气站设有清管</w:t>
            </w:r>
            <w:r w:rsidR="00895B09">
              <w:rPr>
                <w:bCs/>
                <w:szCs w:val="21"/>
              </w:rPr>
              <w:t>阀收球装置，会有清管废渣产生，清管废渣收集后交由分公司统一处理</w:t>
            </w:r>
            <w:r>
              <w:rPr>
                <w:rFonts w:hint="eastAsia"/>
                <w:bCs/>
                <w:szCs w:val="21"/>
              </w:rPr>
              <w:t>。</w:t>
            </w:r>
          </w:p>
        </w:tc>
        <w:tc>
          <w:tcPr>
            <w:tcW w:w="619" w:type="pct"/>
            <w:vAlign w:val="center"/>
          </w:tcPr>
          <w:p w:rsidR="00E21449" w:rsidRPr="00D630D1" w:rsidRDefault="00E21449" w:rsidP="003C6AD6">
            <w:pPr>
              <w:pStyle w:val="aff2"/>
            </w:pPr>
            <w:r w:rsidRPr="00D630D1">
              <w:t>/</w:t>
            </w:r>
          </w:p>
        </w:tc>
        <w:tc>
          <w:tcPr>
            <w:tcW w:w="470" w:type="pct"/>
            <w:vAlign w:val="center"/>
          </w:tcPr>
          <w:p w:rsidR="00E21449" w:rsidRPr="00D630D1" w:rsidRDefault="00E21449" w:rsidP="003C6AD6">
            <w:pPr>
              <w:pStyle w:val="aff2"/>
            </w:pPr>
            <w:r w:rsidRPr="00D630D1">
              <w:t>/</w:t>
            </w:r>
          </w:p>
        </w:tc>
      </w:tr>
      <w:tr w:rsidR="00E21449" w:rsidRPr="00D630D1" w:rsidTr="00DC5D18">
        <w:trPr>
          <w:trHeight w:val="64"/>
          <w:jc w:val="center"/>
        </w:trPr>
        <w:tc>
          <w:tcPr>
            <w:tcW w:w="271" w:type="pct"/>
            <w:vMerge/>
            <w:vAlign w:val="center"/>
          </w:tcPr>
          <w:p w:rsidR="00E21449" w:rsidRPr="00D630D1" w:rsidRDefault="00E21449" w:rsidP="00D47C72">
            <w:pPr>
              <w:pStyle w:val="af2"/>
            </w:pPr>
          </w:p>
        </w:tc>
        <w:tc>
          <w:tcPr>
            <w:tcW w:w="484" w:type="pct"/>
            <w:vMerge/>
            <w:vAlign w:val="center"/>
          </w:tcPr>
          <w:p w:rsidR="00E21449" w:rsidRPr="00D630D1" w:rsidRDefault="00E21449" w:rsidP="00D47C72">
            <w:pPr>
              <w:pStyle w:val="af2"/>
            </w:pPr>
          </w:p>
        </w:tc>
        <w:tc>
          <w:tcPr>
            <w:tcW w:w="355" w:type="pct"/>
            <w:gridSpan w:val="2"/>
            <w:vAlign w:val="center"/>
          </w:tcPr>
          <w:p w:rsidR="00E21449" w:rsidRPr="00D630D1" w:rsidRDefault="00E21449" w:rsidP="00D47C72">
            <w:pPr>
              <w:pStyle w:val="aff2"/>
            </w:pPr>
            <w:r w:rsidRPr="00D630D1">
              <w:t>地下水</w:t>
            </w:r>
          </w:p>
        </w:tc>
        <w:tc>
          <w:tcPr>
            <w:tcW w:w="2801" w:type="pct"/>
            <w:vAlign w:val="center"/>
          </w:tcPr>
          <w:p w:rsidR="00E21449" w:rsidRPr="00D630D1" w:rsidRDefault="00E21449" w:rsidP="00D47C72">
            <w:pPr>
              <w:pStyle w:val="aff2"/>
            </w:pPr>
            <w:r w:rsidRPr="00D630D1">
              <w:t>管道采用外防腐层和强制电流阴极保护联合方式</w:t>
            </w:r>
            <w:r w:rsidRPr="00D630D1">
              <w:rPr>
                <w:rFonts w:hint="eastAsia"/>
              </w:rPr>
              <w:t>；</w:t>
            </w:r>
            <w:r w:rsidRPr="00D630D1">
              <w:t>污水缓冲罐：四周设置防渗围堰</w:t>
            </w:r>
            <w:r w:rsidRPr="00D630D1">
              <w:rPr>
                <w:rFonts w:hint="eastAsia"/>
              </w:rPr>
              <w:t>。</w:t>
            </w:r>
          </w:p>
        </w:tc>
        <w:tc>
          <w:tcPr>
            <w:tcW w:w="619" w:type="pct"/>
            <w:vAlign w:val="center"/>
          </w:tcPr>
          <w:p w:rsidR="00E21449" w:rsidRPr="00D630D1" w:rsidRDefault="00E21449" w:rsidP="00E64FEE">
            <w:pPr>
              <w:pStyle w:val="aff2"/>
            </w:pPr>
            <w:r w:rsidRPr="00D630D1">
              <w:t>/</w:t>
            </w:r>
          </w:p>
        </w:tc>
        <w:tc>
          <w:tcPr>
            <w:tcW w:w="470" w:type="pct"/>
            <w:vAlign w:val="center"/>
          </w:tcPr>
          <w:p w:rsidR="00E21449" w:rsidRPr="00D630D1" w:rsidRDefault="00E21449" w:rsidP="00E64FEE">
            <w:pPr>
              <w:pStyle w:val="aff2"/>
            </w:pPr>
            <w:r w:rsidRPr="00D630D1">
              <w:t>/</w:t>
            </w:r>
          </w:p>
        </w:tc>
      </w:tr>
      <w:tr w:rsidR="00E21449" w:rsidRPr="00D630D1" w:rsidTr="00DC5D18">
        <w:trPr>
          <w:trHeight w:val="18"/>
          <w:jc w:val="center"/>
        </w:trPr>
        <w:tc>
          <w:tcPr>
            <w:tcW w:w="271" w:type="pct"/>
            <w:vMerge/>
            <w:vAlign w:val="center"/>
          </w:tcPr>
          <w:p w:rsidR="00E21449" w:rsidRPr="00D630D1" w:rsidRDefault="00E21449" w:rsidP="00D47C72">
            <w:pPr>
              <w:pStyle w:val="af2"/>
            </w:pPr>
          </w:p>
        </w:tc>
        <w:tc>
          <w:tcPr>
            <w:tcW w:w="484" w:type="pct"/>
            <w:vMerge/>
            <w:vAlign w:val="center"/>
          </w:tcPr>
          <w:p w:rsidR="00E21449" w:rsidRPr="00D630D1" w:rsidRDefault="00E21449" w:rsidP="00D47C72">
            <w:pPr>
              <w:pStyle w:val="af2"/>
            </w:pPr>
          </w:p>
        </w:tc>
        <w:tc>
          <w:tcPr>
            <w:tcW w:w="355" w:type="pct"/>
            <w:gridSpan w:val="2"/>
            <w:vAlign w:val="center"/>
          </w:tcPr>
          <w:p w:rsidR="00E21449" w:rsidRPr="00D630D1" w:rsidRDefault="00E21449" w:rsidP="00D47C72">
            <w:pPr>
              <w:pStyle w:val="aff2"/>
            </w:pPr>
            <w:r w:rsidRPr="00D630D1">
              <w:t>风险</w:t>
            </w:r>
          </w:p>
        </w:tc>
        <w:tc>
          <w:tcPr>
            <w:tcW w:w="2801" w:type="pct"/>
            <w:vAlign w:val="center"/>
          </w:tcPr>
          <w:p w:rsidR="00E21449" w:rsidRPr="00D630D1" w:rsidRDefault="00E21449" w:rsidP="00D47C72">
            <w:pPr>
              <w:pStyle w:val="aff2"/>
            </w:pPr>
            <w:r w:rsidRPr="00D630D1">
              <w:rPr>
                <w:rFonts w:hint="eastAsia"/>
                <w:szCs w:val="21"/>
              </w:rPr>
              <w:t>放喷池：池底和池壁采取防渗措施。</w:t>
            </w:r>
          </w:p>
          <w:p w:rsidR="00E21449" w:rsidRPr="00D630D1" w:rsidRDefault="00E21449" w:rsidP="00D47C72">
            <w:pPr>
              <w:pStyle w:val="aff2"/>
            </w:pPr>
            <w:r w:rsidRPr="00D630D1">
              <w:t>事故放空：事故状态下管线及站场内天然气通过新建放</w:t>
            </w:r>
            <w:r w:rsidRPr="00D630D1">
              <w:rPr>
                <w:rFonts w:hint="eastAsia"/>
              </w:rPr>
              <w:t>空系统燃烧</w:t>
            </w:r>
            <w:r w:rsidRPr="00D630D1">
              <w:t>排放。</w:t>
            </w:r>
          </w:p>
          <w:p w:rsidR="00E21449" w:rsidRPr="00D630D1" w:rsidRDefault="00E21449" w:rsidP="00D47C72">
            <w:pPr>
              <w:pStyle w:val="aff2"/>
            </w:pPr>
            <w:r w:rsidRPr="00D630D1">
              <w:rPr>
                <w:rFonts w:hint="eastAsia"/>
              </w:rPr>
              <w:t>柴油储罐、</w:t>
            </w:r>
            <w:r w:rsidRPr="00D630D1">
              <w:t>污水缓冲罐：四周设置防渗围堰。</w:t>
            </w:r>
          </w:p>
        </w:tc>
        <w:tc>
          <w:tcPr>
            <w:tcW w:w="619" w:type="pct"/>
            <w:vAlign w:val="center"/>
          </w:tcPr>
          <w:p w:rsidR="00E21449" w:rsidRPr="00D630D1" w:rsidRDefault="00E21449" w:rsidP="00D47C72">
            <w:pPr>
              <w:pStyle w:val="aff2"/>
            </w:pPr>
            <w:r w:rsidRPr="00D630D1">
              <w:t>/</w:t>
            </w:r>
          </w:p>
        </w:tc>
        <w:tc>
          <w:tcPr>
            <w:tcW w:w="470" w:type="pct"/>
            <w:vAlign w:val="center"/>
          </w:tcPr>
          <w:p w:rsidR="00E21449" w:rsidRPr="00D630D1" w:rsidRDefault="00E21449" w:rsidP="00D47C72">
            <w:pPr>
              <w:pStyle w:val="aff2"/>
            </w:pPr>
            <w:r w:rsidRPr="00D630D1">
              <w:t>/</w:t>
            </w:r>
          </w:p>
        </w:tc>
      </w:tr>
      <w:tr w:rsidR="00E21449" w:rsidRPr="00D630D1" w:rsidTr="00DC5D18">
        <w:trPr>
          <w:trHeight w:val="18"/>
          <w:jc w:val="center"/>
        </w:trPr>
        <w:tc>
          <w:tcPr>
            <w:tcW w:w="271" w:type="pct"/>
            <w:vMerge/>
            <w:vAlign w:val="center"/>
          </w:tcPr>
          <w:p w:rsidR="00E21449" w:rsidRPr="00D630D1" w:rsidRDefault="00E21449" w:rsidP="00D47C72">
            <w:pPr>
              <w:pStyle w:val="af2"/>
            </w:pPr>
          </w:p>
        </w:tc>
        <w:tc>
          <w:tcPr>
            <w:tcW w:w="484" w:type="pct"/>
            <w:vMerge/>
            <w:vAlign w:val="center"/>
          </w:tcPr>
          <w:p w:rsidR="00E21449" w:rsidRPr="00D630D1" w:rsidRDefault="00E21449" w:rsidP="00D47C72">
            <w:pPr>
              <w:pStyle w:val="af2"/>
            </w:pPr>
          </w:p>
        </w:tc>
        <w:tc>
          <w:tcPr>
            <w:tcW w:w="355" w:type="pct"/>
            <w:gridSpan w:val="2"/>
            <w:vMerge w:val="restart"/>
            <w:vAlign w:val="center"/>
          </w:tcPr>
          <w:p w:rsidR="00E21449" w:rsidRPr="00D630D1" w:rsidRDefault="00E21449" w:rsidP="00D47C72">
            <w:pPr>
              <w:pStyle w:val="af2"/>
            </w:pPr>
            <w:r w:rsidRPr="00D630D1">
              <w:t>生态</w:t>
            </w:r>
          </w:p>
          <w:p w:rsidR="00E21449" w:rsidRPr="00D630D1" w:rsidRDefault="00E21449" w:rsidP="00D47C72">
            <w:pPr>
              <w:pStyle w:val="aff2"/>
            </w:pPr>
            <w:r w:rsidRPr="00D630D1">
              <w:t>保护</w:t>
            </w:r>
          </w:p>
        </w:tc>
        <w:tc>
          <w:tcPr>
            <w:tcW w:w="2801" w:type="pct"/>
            <w:vAlign w:val="center"/>
          </w:tcPr>
          <w:p w:rsidR="00E21449" w:rsidRPr="00D630D1" w:rsidRDefault="00E21449" w:rsidP="000846A1">
            <w:pPr>
              <w:pStyle w:val="aff2"/>
            </w:pPr>
            <w:r w:rsidRPr="00D630D1">
              <w:t>项目管沟及其施工作业带全线采取水土保持措施，包括工程措施、植物措施、管理措施，做好护坡、堡坎和排水设施。</w:t>
            </w:r>
          </w:p>
        </w:tc>
        <w:tc>
          <w:tcPr>
            <w:tcW w:w="619" w:type="pct"/>
            <w:vAlign w:val="center"/>
          </w:tcPr>
          <w:p w:rsidR="00E21449" w:rsidRPr="00D630D1" w:rsidRDefault="00E21449" w:rsidP="00D47C72">
            <w:pPr>
              <w:pStyle w:val="aff2"/>
            </w:pPr>
            <w:r w:rsidRPr="00D630D1">
              <w:t>/</w:t>
            </w:r>
          </w:p>
        </w:tc>
        <w:tc>
          <w:tcPr>
            <w:tcW w:w="470" w:type="pct"/>
            <w:vAlign w:val="center"/>
          </w:tcPr>
          <w:p w:rsidR="00E21449" w:rsidRPr="00D630D1" w:rsidRDefault="00E21449" w:rsidP="00D47C72">
            <w:pPr>
              <w:pStyle w:val="aff2"/>
            </w:pPr>
            <w:r w:rsidRPr="00D630D1">
              <w:t>/</w:t>
            </w:r>
          </w:p>
        </w:tc>
      </w:tr>
      <w:tr w:rsidR="00E21449" w:rsidRPr="00D630D1" w:rsidTr="00DC5D18">
        <w:trPr>
          <w:trHeight w:val="18"/>
          <w:jc w:val="center"/>
        </w:trPr>
        <w:tc>
          <w:tcPr>
            <w:tcW w:w="271" w:type="pct"/>
            <w:vMerge/>
            <w:vAlign w:val="center"/>
          </w:tcPr>
          <w:p w:rsidR="00E21449" w:rsidRPr="00D630D1" w:rsidRDefault="00E21449" w:rsidP="00D47C72">
            <w:pPr>
              <w:pStyle w:val="af2"/>
            </w:pPr>
          </w:p>
        </w:tc>
        <w:tc>
          <w:tcPr>
            <w:tcW w:w="484" w:type="pct"/>
            <w:vMerge/>
            <w:vAlign w:val="center"/>
          </w:tcPr>
          <w:p w:rsidR="00E21449" w:rsidRPr="00D630D1" w:rsidRDefault="00E21449" w:rsidP="00D47C72">
            <w:pPr>
              <w:pStyle w:val="af2"/>
            </w:pPr>
          </w:p>
        </w:tc>
        <w:tc>
          <w:tcPr>
            <w:tcW w:w="355" w:type="pct"/>
            <w:gridSpan w:val="2"/>
            <w:vMerge/>
            <w:vAlign w:val="center"/>
          </w:tcPr>
          <w:p w:rsidR="00E21449" w:rsidRPr="00D630D1" w:rsidRDefault="00E21449" w:rsidP="00D47C72">
            <w:pPr>
              <w:pStyle w:val="af2"/>
            </w:pPr>
          </w:p>
        </w:tc>
        <w:tc>
          <w:tcPr>
            <w:tcW w:w="2801" w:type="pct"/>
            <w:vAlign w:val="center"/>
          </w:tcPr>
          <w:p w:rsidR="00E21449" w:rsidRPr="00D630D1" w:rsidRDefault="00E21449" w:rsidP="00D47C72">
            <w:pPr>
              <w:pStyle w:val="aff2"/>
            </w:pPr>
            <w:r w:rsidRPr="00D630D1">
              <w:t>站场周边修建排水沟，进行绿化建设；管线通过陡坡地段，设置护坡、堡坎等。</w:t>
            </w:r>
          </w:p>
        </w:tc>
        <w:tc>
          <w:tcPr>
            <w:tcW w:w="619" w:type="pct"/>
            <w:vAlign w:val="center"/>
          </w:tcPr>
          <w:p w:rsidR="00E21449" w:rsidRPr="00D630D1" w:rsidRDefault="00E21449" w:rsidP="00D47C72">
            <w:pPr>
              <w:pStyle w:val="aff2"/>
            </w:pPr>
            <w:r w:rsidRPr="00D630D1">
              <w:t>/</w:t>
            </w:r>
          </w:p>
        </w:tc>
        <w:tc>
          <w:tcPr>
            <w:tcW w:w="470" w:type="pct"/>
            <w:vAlign w:val="center"/>
          </w:tcPr>
          <w:p w:rsidR="00E21449" w:rsidRPr="00D630D1" w:rsidRDefault="00E21449" w:rsidP="00D47C72">
            <w:pPr>
              <w:pStyle w:val="aff2"/>
            </w:pPr>
            <w:r w:rsidRPr="00D630D1">
              <w:t>/</w:t>
            </w:r>
          </w:p>
        </w:tc>
      </w:tr>
    </w:tbl>
    <w:p w:rsidR="00726D7A" w:rsidRPr="00D630D1" w:rsidRDefault="00726D7A" w:rsidP="00726D7A">
      <w:pPr>
        <w:pStyle w:val="2"/>
        <w:spacing w:before="120"/>
        <w:rPr>
          <w:rFonts w:cs="Times New Roman"/>
        </w:rPr>
      </w:pPr>
      <w:bookmarkStart w:id="132" w:name="bookmark13"/>
      <w:bookmarkStart w:id="133" w:name="_Toc81515267"/>
      <w:bookmarkEnd w:id="132"/>
      <w:r w:rsidRPr="00D630D1">
        <w:rPr>
          <w:rFonts w:cs="Times New Roman"/>
        </w:rPr>
        <w:t>3.</w:t>
      </w:r>
      <w:bookmarkStart w:id="134" w:name="_Toc19815955"/>
      <w:bookmarkStart w:id="135" w:name="_Toc12288399"/>
      <w:r w:rsidRPr="00D630D1">
        <w:rPr>
          <w:rFonts w:cs="Times New Roman"/>
        </w:rPr>
        <w:t>3</w:t>
      </w:r>
      <w:bookmarkEnd w:id="134"/>
      <w:r w:rsidRPr="00D630D1">
        <w:rPr>
          <w:rFonts w:cs="Times New Roman"/>
        </w:rPr>
        <w:t xml:space="preserve"> </w:t>
      </w:r>
      <w:r w:rsidRPr="00D630D1">
        <w:rPr>
          <w:rFonts w:cs="Times New Roman"/>
        </w:rPr>
        <w:t>输送介质情况</w:t>
      </w:r>
      <w:bookmarkEnd w:id="133"/>
    </w:p>
    <w:p w:rsidR="00117C3D" w:rsidRPr="00D630D1" w:rsidRDefault="00CE5A2E" w:rsidP="000846A1">
      <w:pPr>
        <w:pStyle w:val="afa"/>
        <w:ind w:firstLine="480"/>
      </w:pPr>
      <w:bookmarkStart w:id="136" w:name="_Hlk81422789"/>
      <w:bookmarkEnd w:id="135"/>
      <w:r>
        <w:rPr>
          <w:rFonts w:hint="eastAsia"/>
        </w:rPr>
        <w:t>天然气</w:t>
      </w:r>
      <w:r>
        <w:t>组分参考普陆</w:t>
      </w:r>
      <w:r>
        <w:rPr>
          <w:rFonts w:hint="eastAsia"/>
        </w:rPr>
        <w:t>3</w:t>
      </w:r>
      <w:r>
        <w:rPr>
          <w:rFonts w:hint="eastAsia"/>
        </w:rPr>
        <w:t>井</w:t>
      </w:r>
      <w:r>
        <w:t>的气组分，</w:t>
      </w:r>
      <w:r>
        <w:rPr>
          <w:rFonts w:hint="eastAsia"/>
        </w:rPr>
        <w:t>在普</w:t>
      </w:r>
      <w:r>
        <w:t>陆</w:t>
      </w:r>
      <w:r>
        <w:rPr>
          <w:rFonts w:hint="eastAsia"/>
        </w:rPr>
        <w:t>3</w:t>
      </w:r>
      <w:r>
        <w:rPr>
          <w:rFonts w:hint="eastAsia"/>
        </w:rPr>
        <w:t>集气站</w:t>
      </w:r>
      <w:r>
        <w:t>分离器的</w:t>
      </w:r>
      <w:r>
        <w:rPr>
          <w:rFonts w:hint="eastAsia"/>
        </w:rPr>
        <w:t>气相</w:t>
      </w:r>
      <w:r>
        <w:t>出口取样化验，</w:t>
      </w:r>
      <w:r>
        <w:rPr>
          <w:rFonts w:hint="eastAsia"/>
        </w:rPr>
        <w:t>天然气</w:t>
      </w:r>
      <w:r>
        <w:t>化验组分见</w:t>
      </w:r>
      <w:r w:rsidR="00CA06E3" w:rsidRPr="00D630D1">
        <w:t>表</w:t>
      </w:r>
      <w:r w:rsidR="00F31FBD" w:rsidRPr="00D630D1">
        <w:rPr>
          <w:rFonts w:hint="eastAsia"/>
        </w:rPr>
        <w:t>3.3-</w:t>
      </w:r>
      <w:r>
        <w:rPr>
          <w:rFonts w:hint="eastAsia"/>
        </w:rPr>
        <w:t>1</w:t>
      </w:r>
      <w:r w:rsidR="008B5B84" w:rsidRPr="00D630D1">
        <w:t>。</w:t>
      </w:r>
    </w:p>
    <w:p w:rsidR="00117C3D" w:rsidRDefault="008B5B84" w:rsidP="001B7678">
      <w:pPr>
        <w:pStyle w:val="10"/>
        <w:rPr>
          <w:rFonts w:cs="Times New Roman"/>
        </w:rPr>
      </w:pPr>
      <w:r w:rsidRPr="00D630D1">
        <w:rPr>
          <w:rFonts w:cs="Times New Roman"/>
        </w:rPr>
        <w:t>表</w:t>
      </w:r>
      <w:r w:rsidR="001B7678" w:rsidRPr="00D630D1">
        <w:rPr>
          <w:rFonts w:cs="Times New Roman"/>
        </w:rPr>
        <w:t>3</w:t>
      </w:r>
      <w:r w:rsidRPr="00D630D1">
        <w:rPr>
          <w:rFonts w:cs="Times New Roman"/>
        </w:rPr>
        <w:t>.3-</w:t>
      </w:r>
      <w:r w:rsidR="001B7678" w:rsidRPr="00D630D1">
        <w:rPr>
          <w:rFonts w:cs="Times New Roman"/>
        </w:rPr>
        <w:t>1</w:t>
      </w:r>
      <w:r w:rsidR="00203FCF" w:rsidRPr="00D630D1">
        <w:rPr>
          <w:rFonts w:cs="Times New Roman"/>
        </w:rPr>
        <w:t>原料天然气</w:t>
      </w:r>
      <w:r w:rsidR="00D54B0A" w:rsidRPr="00D630D1">
        <w:rPr>
          <w:rFonts w:cs="Times New Roman"/>
        </w:rPr>
        <w:t>气体组分表</w:t>
      </w:r>
    </w:p>
    <w:tbl>
      <w:tblPr>
        <w:tblW w:w="8959" w:type="dxa"/>
        <w:jc w:val="center"/>
        <w:tblBorders>
          <w:top w:val="single" w:sz="12" w:space="0" w:color="auto"/>
          <w:bottom w:val="single" w:sz="12" w:space="0" w:color="auto"/>
          <w:insideH w:val="single" w:sz="4" w:space="0" w:color="auto"/>
          <w:insideV w:val="single" w:sz="4" w:space="0" w:color="auto"/>
        </w:tblBorders>
        <w:tblLook w:val="0000"/>
      </w:tblPr>
      <w:tblGrid>
        <w:gridCol w:w="2795"/>
        <w:gridCol w:w="1685"/>
        <w:gridCol w:w="2794"/>
        <w:gridCol w:w="1685"/>
      </w:tblGrid>
      <w:tr w:rsidR="00CE5A2E" w:rsidRPr="00CE5A2E" w:rsidTr="00CE5A2E">
        <w:trPr>
          <w:jc w:val="center"/>
        </w:trPr>
        <w:tc>
          <w:tcPr>
            <w:tcW w:w="279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组分</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摩尔含量</w:t>
            </w:r>
            <w:r w:rsidRPr="00CE5A2E">
              <w:rPr>
                <w:rFonts w:ascii="Times New Roman" w:cs="Times New Roman"/>
                <w:kern w:val="2"/>
                <w:sz w:val="21"/>
                <w:szCs w:val="21"/>
              </w:rPr>
              <w:t>%</w:t>
            </w:r>
          </w:p>
        </w:tc>
        <w:tc>
          <w:tcPr>
            <w:tcW w:w="2794"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组分</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摩尔含量</w:t>
            </w:r>
            <w:r w:rsidRPr="00CE5A2E">
              <w:rPr>
                <w:rFonts w:ascii="Times New Roman" w:cs="Times New Roman"/>
                <w:kern w:val="2"/>
                <w:sz w:val="21"/>
                <w:szCs w:val="21"/>
              </w:rPr>
              <w:t>%</w:t>
            </w:r>
          </w:p>
        </w:tc>
      </w:tr>
      <w:tr w:rsidR="00CE5A2E" w:rsidRPr="00CE5A2E" w:rsidTr="00CE5A2E">
        <w:trPr>
          <w:jc w:val="center"/>
        </w:trPr>
        <w:tc>
          <w:tcPr>
            <w:tcW w:w="279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H</w:t>
            </w:r>
            <w:r w:rsidRPr="00CE5A2E">
              <w:rPr>
                <w:rFonts w:ascii="Times New Roman" w:cs="Times New Roman" w:hint="eastAsia"/>
                <w:kern w:val="2"/>
                <w:sz w:val="21"/>
                <w:szCs w:val="21"/>
                <w:vertAlign w:val="subscript"/>
              </w:rPr>
              <w:t>2</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0.029</w:t>
            </w:r>
          </w:p>
        </w:tc>
        <w:tc>
          <w:tcPr>
            <w:tcW w:w="2794"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kern w:val="2"/>
                <w:sz w:val="21"/>
                <w:szCs w:val="21"/>
              </w:rPr>
              <w:t>iC</w:t>
            </w:r>
            <w:r w:rsidRPr="00CE5A2E">
              <w:rPr>
                <w:rFonts w:ascii="Times New Roman" w:cs="Times New Roman"/>
                <w:kern w:val="2"/>
                <w:sz w:val="21"/>
                <w:szCs w:val="21"/>
                <w:vertAlign w:val="subscript"/>
              </w:rPr>
              <w:t>4</w:t>
            </w:r>
            <w:r w:rsidRPr="00CE5A2E">
              <w:rPr>
                <w:rFonts w:ascii="Times New Roman" w:cs="Times New Roman"/>
                <w:kern w:val="2"/>
                <w:sz w:val="21"/>
                <w:szCs w:val="21"/>
              </w:rPr>
              <w:t>H</w:t>
            </w:r>
            <w:r w:rsidRPr="00CE5A2E">
              <w:rPr>
                <w:rFonts w:ascii="Times New Roman" w:cs="Times New Roman"/>
                <w:kern w:val="2"/>
                <w:sz w:val="21"/>
                <w:szCs w:val="21"/>
                <w:vertAlign w:val="subscript"/>
              </w:rPr>
              <w:t>10</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0.668</w:t>
            </w:r>
          </w:p>
        </w:tc>
      </w:tr>
      <w:tr w:rsidR="00CE5A2E" w:rsidRPr="00CE5A2E" w:rsidTr="00CE5A2E">
        <w:trPr>
          <w:jc w:val="center"/>
        </w:trPr>
        <w:tc>
          <w:tcPr>
            <w:tcW w:w="279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H</w:t>
            </w:r>
            <w:r w:rsidRPr="00CE5A2E">
              <w:rPr>
                <w:rFonts w:ascii="Times New Roman" w:cs="Times New Roman"/>
                <w:kern w:val="2"/>
                <w:sz w:val="21"/>
                <w:szCs w:val="21"/>
              </w:rPr>
              <w:t>e</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0.034</w:t>
            </w:r>
          </w:p>
        </w:tc>
        <w:tc>
          <w:tcPr>
            <w:tcW w:w="2794"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kern w:val="2"/>
                <w:sz w:val="21"/>
                <w:szCs w:val="21"/>
              </w:rPr>
              <w:t>nC</w:t>
            </w:r>
            <w:r w:rsidRPr="00CE5A2E">
              <w:rPr>
                <w:rFonts w:ascii="Times New Roman" w:cs="Times New Roman"/>
                <w:kern w:val="2"/>
                <w:sz w:val="21"/>
                <w:szCs w:val="21"/>
                <w:vertAlign w:val="subscript"/>
              </w:rPr>
              <w:t>4</w:t>
            </w:r>
            <w:r w:rsidRPr="00CE5A2E">
              <w:rPr>
                <w:rFonts w:ascii="Times New Roman" w:cs="Times New Roman"/>
                <w:kern w:val="2"/>
                <w:sz w:val="21"/>
                <w:szCs w:val="21"/>
              </w:rPr>
              <w:t>H</w:t>
            </w:r>
            <w:r w:rsidRPr="00CE5A2E">
              <w:rPr>
                <w:rFonts w:ascii="Times New Roman" w:cs="Times New Roman"/>
                <w:kern w:val="2"/>
                <w:sz w:val="21"/>
                <w:szCs w:val="21"/>
                <w:vertAlign w:val="subscript"/>
              </w:rPr>
              <w:t>10</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1.19</w:t>
            </w:r>
          </w:p>
        </w:tc>
      </w:tr>
      <w:tr w:rsidR="00CE5A2E" w:rsidRPr="00CE5A2E" w:rsidTr="00CE5A2E">
        <w:trPr>
          <w:jc w:val="center"/>
        </w:trPr>
        <w:tc>
          <w:tcPr>
            <w:tcW w:w="279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N</w:t>
            </w:r>
            <w:r w:rsidRPr="00CE5A2E">
              <w:rPr>
                <w:rFonts w:ascii="Times New Roman" w:cs="Times New Roman" w:hint="eastAsia"/>
                <w:kern w:val="2"/>
                <w:sz w:val="21"/>
                <w:szCs w:val="21"/>
                <w:vertAlign w:val="subscript"/>
              </w:rPr>
              <w:t>2</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1.11</w:t>
            </w:r>
          </w:p>
        </w:tc>
        <w:tc>
          <w:tcPr>
            <w:tcW w:w="2794"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kern w:val="2"/>
                <w:sz w:val="21"/>
                <w:szCs w:val="21"/>
              </w:rPr>
              <w:t>iC</w:t>
            </w:r>
            <w:r w:rsidRPr="00CE5A2E">
              <w:rPr>
                <w:rFonts w:ascii="Times New Roman" w:cs="Times New Roman"/>
                <w:kern w:val="2"/>
                <w:sz w:val="21"/>
                <w:szCs w:val="21"/>
                <w:vertAlign w:val="subscript"/>
              </w:rPr>
              <w:t>5</w:t>
            </w:r>
            <w:r w:rsidRPr="00CE5A2E">
              <w:rPr>
                <w:rFonts w:ascii="Times New Roman" w:cs="Times New Roman"/>
                <w:kern w:val="2"/>
                <w:sz w:val="21"/>
                <w:szCs w:val="21"/>
              </w:rPr>
              <w:t>H</w:t>
            </w:r>
            <w:r w:rsidRPr="00CE5A2E">
              <w:rPr>
                <w:rFonts w:ascii="Times New Roman" w:cs="Times New Roman"/>
                <w:kern w:val="2"/>
                <w:sz w:val="21"/>
                <w:szCs w:val="21"/>
                <w:vertAlign w:val="subscript"/>
              </w:rPr>
              <w:t>12</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0.57</w:t>
            </w:r>
          </w:p>
        </w:tc>
      </w:tr>
      <w:tr w:rsidR="00CE5A2E" w:rsidRPr="00CE5A2E" w:rsidTr="00CE5A2E">
        <w:trPr>
          <w:jc w:val="center"/>
        </w:trPr>
        <w:tc>
          <w:tcPr>
            <w:tcW w:w="279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CO</w:t>
            </w:r>
            <w:r w:rsidRPr="00CE5A2E">
              <w:rPr>
                <w:rFonts w:ascii="Times New Roman" w:cs="Times New Roman" w:hint="eastAsia"/>
                <w:kern w:val="2"/>
                <w:sz w:val="21"/>
                <w:szCs w:val="21"/>
                <w:vertAlign w:val="subscript"/>
              </w:rPr>
              <w:t>2</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0.037</w:t>
            </w:r>
          </w:p>
        </w:tc>
        <w:tc>
          <w:tcPr>
            <w:tcW w:w="2794"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kern w:val="2"/>
                <w:sz w:val="21"/>
                <w:szCs w:val="21"/>
              </w:rPr>
              <w:t>iC</w:t>
            </w:r>
            <w:r w:rsidRPr="00CE5A2E">
              <w:rPr>
                <w:rFonts w:ascii="Times New Roman" w:cs="Times New Roman"/>
                <w:kern w:val="2"/>
                <w:sz w:val="21"/>
                <w:szCs w:val="21"/>
                <w:vertAlign w:val="subscript"/>
              </w:rPr>
              <w:t>5</w:t>
            </w:r>
            <w:r w:rsidRPr="00CE5A2E">
              <w:rPr>
                <w:rFonts w:ascii="Times New Roman" w:cs="Times New Roman"/>
                <w:kern w:val="2"/>
                <w:sz w:val="21"/>
                <w:szCs w:val="21"/>
              </w:rPr>
              <w:t>H</w:t>
            </w:r>
            <w:r w:rsidRPr="00CE5A2E">
              <w:rPr>
                <w:rFonts w:ascii="Times New Roman" w:cs="Times New Roman"/>
                <w:kern w:val="2"/>
                <w:sz w:val="21"/>
                <w:szCs w:val="21"/>
                <w:vertAlign w:val="subscript"/>
              </w:rPr>
              <w:t>12</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0.474</w:t>
            </w:r>
          </w:p>
        </w:tc>
      </w:tr>
      <w:tr w:rsidR="00CE5A2E" w:rsidRPr="00CE5A2E" w:rsidTr="00CE5A2E">
        <w:trPr>
          <w:jc w:val="center"/>
        </w:trPr>
        <w:tc>
          <w:tcPr>
            <w:tcW w:w="279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H</w:t>
            </w:r>
            <w:r w:rsidRPr="00CE5A2E">
              <w:rPr>
                <w:rFonts w:ascii="Times New Roman" w:cs="Times New Roman" w:hint="eastAsia"/>
                <w:kern w:val="2"/>
                <w:sz w:val="21"/>
                <w:szCs w:val="21"/>
                <w:vertAlign w:val="subscript"/>
              </w:rPr>
              <w:t>2</w:t>
            </w:r>
            <w:r w:rsidRPr="00CE5A2E">
              <w:rPr>
                <w:rFonts w:ascii="Times New Roman" w:cs="Times New Roman" w:hint="eastAsia"/>
                <w:kern w:val="2"/>
                <w:sz w:val="21"/>
                <w:szCs w:val="21"/>
              </w:rPr>
              <w:t>S</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0.000</w:t>
            </w:r>
          </w:p>
        </w:tc>
        <w:tc>
          <w:tcPr>
            <w:tcW w:w="2794"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C6</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0.293</w:t>
            </w:r>
          </w:p>
        </w:tc>
      </w:tr>
      <w:tr w:rsidR="00CE5A2E" w:rsidRPr="00CE5A2E" w:rsidTr="00CE5A2E">
        <w:trPr>
          <w:jc w:val="center"/>
        </w:trPr>
        <w:tc>
          <w:tcPr>
            <w:tcW w:w="279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CH</w:t>
            </w:r>
            <w:r w:rsidRPr="00CE5A2E">
              <w:rPr>
                <w:rFonts w:ascii="Times New Roman" w:cs="Times New Roman" w:hint="eastAsia"/>
                <w:kern w:val="2"/>
                <w:sz w:val="21"/>
                <w:szCs w:val="21"/>
                <w:vertAlign w:val="subscript"/>
              </w:rPr>
              <w:t>4</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85.427</w:t>
            </w:r>
          </w:p>
        </w:tc>
        <w:tc>
          <w:tcPr>
            <w:tcW w:w="2794"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C7</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0.162</w:t>
            </w:r>
          </w:p>
        </w:tc>
      </w:tr>
      <w:tr w:rsidR="00CE5A2E" w:rsidRPr="00CE5A2E" w:rsidTr="00CE5A2E">
        <w:trPr>
          <w:jc w:val="center"/>
        </w:trPr>
        <w:tc>
          <w:tcPr>
            <w:tcW w:w="279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C</w:t>
            </w:r>
            <w:r w:rsidRPr="00CE5A2E">
              <w:rPr>
                <w:rFonts w:ascii="Times New Roman" w:cs="Times New Roman" w:hint="eastAsia"/>
                <w:kern w:val="2"/>
                <w:sz w:val="21"/>
                <w:szCs w:val="21"/>
                <w:vertAlign w:val="subscript"/>
              </w:rPr>
              <w:t>2</w:t>
            </w:r>
            <w:r w:rsidRPr="00CE5A2E">
              <w:rPr>
                <w:rFonts w:ascii="Times New Roman" w:cs="Times New Roman" w:hint="eastAsia"/>
                <w:kern w:val="2"/>
                <w:sz w:val="21"/>
                <w:szCs w:val="21"/>
              </w:rPr>
              <w:t>H</w:t>
            </w:r>
            <w:r w:rsidRPr="00CE5A2E">
              <w:rPr>
                <w:rFonts w:ascii="Times New Roman" w:cs="Times New Roman" w:hint="eastAsia"/>
                <w:kern w:val="2"/>
                <w:sz w:val="21"/>
                <w:szCs w:val="21"/>
                <w:vertAlign w:val="subscript"/>
              </w:rPr>
              <w:t>6</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7.3</w:t>
            </w:r>
            <w:r w:rsidRPr="00CE5A2E">
              <w:rPr>
                <w:rFonts w:ascii="Times New Roman" w:cs="Times New Roman"/>
                <w:kern w:val="2"/>
                <w:sz w:val="21"/>
                <w:szCs w:val="21"/>
              </w:rPr>
              <w:t>7</w:t>
            </w:r>
          </w:p>
        </w:tc>
        <w:tc>
          <w:tcPr>
            <w:tcW w:w="2794"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C8</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0.036</w:t>
            </w:r>
          </w:p>
        </w:tc>
      </w:tr>
      <w:tr w:rsidR="00CE5A2E" w:rsidRPr="00CE5A2E" w:rsidTr="00CE5A2E">
        <w:trPr>
          <w:jc w:val="center"/>
        </w:trPr>
        <w:tc>
          <w:tcPr>
            <w:tcW w:w="279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C</w:t>
            </w:r>
            <w:r w:rsidRPr="00CE5A2E">
              <w:rPr>
                <w:rFonts w:ascii="Times New Roman" w:cs="Times New Roman" w:hint="eastAsia"/>
                <w:kern w:val="2"/>
                <w:sz w:val="21"/>
                <w:szCs w:val="21"/>
                <w:vertAlign w:val="subscript"/>
              </w:rPr>
              <w:t>3</w:t>
            </w:r>
            <w:r w:rsidRPr="00CE5A2E">
              <w:rPr>
                <w:rFonts w:ascii="Times New Roman" w:cs="Times New Roman" w:hint="eastAsia"/>
                <w:kern w:val="2"/>
                <w:sz w:val="21"/>
                <w:szCs w:val="21"/>
              </w:rPr>
              <w:t>H</w:t>
            </w:r>
            <w:r w:rsidRPr="00CE5A2E">
              <w:rPr>
                <w:rFonts w:ascii="Times New Roman" w:cs="Times New Roman" w:hint="eastAsia"/>
                <w:kern w:val="2"/>
                <w:sz w:val="21"/>
                <w:szCs w:val="21"/>
                <w:vertAlign w:val="subscript"/>
              </w:rPr>
              <w:t>8</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2.60</w:t>
            </w:r>
          </w:p>
        </w:tc>
        <w:tc>
          <w:tcPr>
            <w:tcW w:w="2794"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C9</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0.000</w:t>
            </w:r>
          </w:p>
        </w:tc>
      </w:tr>
      <w:tr w:rsidR="00CE5A2E" w:rsidRPr="00CE5A2E" w:rsidTr="00CE5A2E">
        <w:trPr>
          <w:jc w:val="center"/>
        </w:trPr>
        <w:tc>
          <w:tcPr>
            <w:tcW w:w="279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硫化氢</w:t>
            </w:r>
          </w:p>
        </w:tc>
        <w:tc>
          <w:tcPr>
            <w:tcW w:w="6164" w:type="dxa"/>
            <w:gridSpan w:val="3"/>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w:t>
            </w:r>
          </w:p>
        </w:tc>
      </w:tr>
      <w:tr w:rsidR="00CE5A2E" w:rsidRPr="00CE5A2E" w:rsidTr="00CE5A2E">
        <w:trPr>
          <w:jc w:val="center"/>
        </w:trPr>
        <w:tc>
          <w:tcPr>
            <w:tcW w:w="279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lastRenderedPageBreak/>
              <w:t>相对密度</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w:t>
            </w:r>
            <w:r w:rsidRPr="00CE5A2E">
              <w:rPr>
                <w:rFonts w:ascii="Times New Roman" w:cs="Times New Roman"/>
                <w:kern w:val="2"/>
                <w:sz w:val="21"/>
                <w:szCs w:val="21"/>
              </w:rPr>
              <w:t>6815</w:t>
            </w:r>
          </w:p>
        </w:tc>
        <w:tc>
          <w:tcPr>
            <w:tcW w:w="2794"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真实</w:t>
            </w:r>
            <w:r w:rsidRPr="00CE5A2E">
              <w:rPr>
                <w:rFonts w:ascii="Times New Roman" w:cs="Times New Roman"/>
                <w:kern w:val="2"/>
                <w:sz w:val="21"/>
                <w:szCs w:val="21"/>
              </w:rPr>
              <w:t>密（</w:t>
            </w:r>
            <w:r w:rsidRPr="00CE5A2E">
              <w:rPr>
                <w:rFonts w:ascii="Times New Roman" w:cs="Times New Roman" w:hint="eastAsia"/>
                <w:kern w:val="2"/>
                <w:sz w:val="21"/>
                <w:szCs w:val="21"/>
              </w:rPr>
              <w:t>kg</w:t>
            </w:r>
            <w:r w:rsidRPr="00CE5A2E">
              <w:rPr>
                <w:rFonts w:ascii="Times New Roman" w:cs="Times New Roman"/>
                <w:kern w:val="2"/>
                <w:sz w:val="21"/>
                <w:szCs w:val="21"/>
              </w:rPr>
              <w:t>/m</w:t>
            </w:r>
            <w:r w:rsidRPr="00CE5A2E">
              <w:rPr>
                <w:rFonts w:ascii="Times New Roman" w:cs="Times New Roman"/>
                <w:kern w:val="2"/>
                <w:sz w:val="21"/>
                <w:szCs w:val="21"/>
                <w:vertAlign w:val="superscript"/>
              </w:rPr>
              <w:t>3</w:t>
            </w:r>
            <w:r w:rsidRPr="00CE5A2E">
              <w:rPr>
                <w:rFonts w:ascii="Times New Roman" w:cs="Times New Roman"/>
                <w:kern w:val="2"/>
                <w:sz w:val="21"/>
                <w:szCs w:val="21"/>
              </w:rPr>
              <w:t>）</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0.8</w:t>
            </w:r>
            <w:r w:rsidRPr="00CE5A2E">
              <w:rPr>
                <w:rFonts w:ascii="Times New Roman" w:cs="Times New Roman"/>
                <w:kern w:val="2"/>
                <w:sz w:val="21"/>
                <w:szCs w:val="21"/>
              </w:rPr>
              <w:t>208</w:t>
            </w:r>
          </w:p>
        </w:tc>
      </w:tr>
      <w:tr w:rsidR="00CE5A2E" w:rsidRPr="00CE5A2E" w:rsidTr="00CE5A2E">
        <w:trPr>
          <w:jc w:val="center"/>
        </w:trPr>
        <w:tc>
          <w:tcPr>
            <w:tcW w:w="279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高位</w:t>
            </w:r>
            <w:r w:rsidRPr="00CE5A2E">
              <w:rPr>
                <w:rFonts w:ascii="Times New Roman" w:cs="Times New Roman"/>
                <w:kern w:val="2"/>
                <w:sz w:val="21"/>
                <w:szCs w:val="21"/>
              </w:rPr>
              <w:t>发热（</w:t>
            </w:r>
            <w:r w:rsidRPr="00CE5A2E">
              <w:rPr>
                <w:rFonts w:ascii="Times New Roman" w:cs="Times New Roman" w:hint="eastAsia"/>
                <w:kern w:val="2"/>
                <w:sz w:val="21"/>
                <w:szCs w:val="21"/>
              </w:rPr>
              <w:t>MJ/</w:t>
            </w:r>
            <w:r w:rsidRPr="00CE5A2E">
              <w:rPr>
                <w:rFonts w:ascii="Times New Roman" w:cs="Times New Roman"/>
                <w:kern w:val="2"/>
                <w:sz w:val="21"/>
                <w:szCs w:val="21"/>
              </w:rPr>
              <w:t>m</w:t>
            </w:r>
            <w:r w:rsidRPr="00CE5A2E">
              <w:rPr>
                <w:rFonts w:ascii="Times New Roman" w:cs="Times New Roman"/>
                <w:kern w:val="2"/>
                <w:sz w:val="21"/>
                <w:szCs w:val="21"/>
                <w:vertAlign w:val="superscript"/>
              </w:rPr>
              <w:t>3</w:t>
            </w:r>
            <w:r w:rsidRPr="00CE5A2E">
              <w:rPr>
                <w:rFonts w:ascii="Times New Roman" w:cs="Times New Roman"/>
                <w:kern w:val="2"/>
                <w:sz w:val="21"/>
                <w:szCs w:val="21"/>
              </w:rPr>
              <w:t>）</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43.64</w:t>
            </w:r>
          </w:p>
        </w:tc>
        <w:tc>
          <w:tcPr>
            <w:tcW w:w="2794"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沃泊</w:t>
            </w:r>
            <w:r w:rsidRPr="00CE5A2E">
              <w:rPr>
                <w:rFonts w:ascii="Times New Roman" w:cs="Times New Roman"/>
                <w:kern w:val="2"/>
                <w:sz w:val="21"/>
                <w:szCs w:val="21"/>
              </w:rPr>
              <w:t>指数（</w:t>
            </w:r>
            <w:r w:rsidRPr="00CE5A2E">
              <w:rPr>
                <w:rFonts w:ascii="Times New Roman" w:cs="Times New Roman" w:hint="eastAsia"/>
                <w:kern w:val="2"/>
                <w:sz w:val="21"/>
                <w:szCs w:val="21"/>
              </w:rPr>
              <w:t>MJ/</w:t>
            </w:r>
            <w:r w:rsidRPr="00CE5A2E">
              <w:rPr>
                <w:rFonts w:ascii="Times New Roman" w:cs="Times New Roman"/>
                <w:kern w:val="2"/>
                <w:sz w:val="21"/>
                <w:szCs w:val="21"/>
              </w:rPr>
              <w:t>m</w:t>
            </w:r>
            <w:r w:rsidRPr="00CE5A2E">
              <w:rPr>
                <w:rFonts w:ascii="Times New Roman" w:cs="Times New Roman"/>
                <w:kern w:val="2"/>
                <w:sz w:val="21"/>
                <w:szCs w:val="21"/>
                <w:vertAlign w:val="superscript"/>
              </w:rPr>
              <w:t>3</w:t>
            </w:r>
            <w:r w:rsidRPr="00CE5A2E">
              <w:rPr>
                <w:rFonts w:ascii="Times New Roman" w:cs="Times New Roman"/>
                <w:kern w:val="2"/>
                <w:sz w:val="21"/>
                <w:szCs w:val="21"/>
              </w:rPr>
              <w:t>）</w:t>
            </w:r>
          </w:p>
        </w:tc>
        <w:tc>
          <w:tcPr>
            <w:tcW w:w="1685" w:type="dxa"/>
            <w:shd w:val="clear" w:color="auto" w:fill="auto"/>
          </w:tcPr>
          <w:p w:rsidR="00CE5A2E" w:rsidRPr="00CE5A2E" w:rsidRDefault="00CE5A2E" w:rsidP="00CE5A2E">
            <w:pPr>
              <w:topLinePunct w:val="0"/>
              <w:adjustRightInd/>
              <w:spacing w:line="240" w:lineRule="auto"/>
              <w:ind w:firstLineChars="0" w:firstLine="0"/>
              <w:jc w:val="center"/>
              <w:rPr>
                <w:rFonts w:ascii="Times New Roman" w:cs="Times New Roman"/>
                <w:kern w:val="2"/>
                <w:sz w:val="21"/>
                <w:szCs w:val="21"/>
              </w:rPr>
            </w:pPr>
            <w:r w:rsidRPr="00CE5A2E">
              <w:rPr>
                <w:rFonts w:ascii="Times New Roman" w:cs="Times New Roman" w:hint="eastAsia"/>
                <w:kern w:val="2"/>
                <w:sz w:val="21"/>
                <w:szCs w:val="21"/>
              </w:rPr>
              <w:t>52.86</w:t>
            </w:r>
          </w:p>
        </w:tc>
      </w:tr>
    </w:tbl>
    <w:p w:rsidR="00CE5A2E" w:rsidRPr="00CE5A2E" w:rsidRDefault="00CE5A2E" w:rsidP="00CE5A2E">
      <w:pPr>
        <w:ind w:firstLineChars="0" w:firstLine="0"/>
        <w:rPr>
          <w:rFonts w:ascii="Times New Roman" w:cs="Times New Roman"/>
        </w:rPr>
      </w:pPr>
      <w:r w:rsidRPr="00CE5A2E">
        <w:rPr>
          <w:rFonts w:ascii="Times New Roman" w:cs="Times New Roman"/>
        </w:rPr>
        <w:t>凝析油组分参考普陆</w:t>
      </w:r>
      <w:r w:rsidRPr="00CE5A2E">
        <w:rPr>
          <w:rFonts w:ascii="Times New Roman" w:cs="Times New Roman"/>
        </w:rPr>
        <w:t>3</w:t>
      </w:r>
      <w:r w:rsidRPr="00CE5A2E">
        <w:rPr>
          <w:rFonts w:ascii="Times New Roman" w:cs="Times New Roman"/>
        </w:rPr>
        <w:t>井的凝析油组分，普陆</w:t>
      </w:r>
      <w:r w:rsidRPr="00CE5A2E">
        <w:rPr>
          <w:rFonts w:ascii="Times New Roman" w:cs="Times New Roman"/>
        </w:rPr>
        <w:t>3</w:t>
      </w:r>
      <w:r w:rsidRPr="00CE5A2E">
        <w:rPr>
          <w:rFonts w:ascii="Times New Roman" w:cs="Times New Roman"/>
        </w:rPr>
        <w:t>集气站凝析油组分见表</w:t>
      </w:r>
      <w:r>
        <w:rPr>
          <w:rFonts w:ascii="Times New Roman" w:cs="Times New Roman" w:hint="eastAsia"/>
        </w:rPr>
        <w:t>3</w:t>
      </w:r>
      <w:r w:rsidRPr="00CE5A2E">
        <w:rPr>
          <w:rFonts w:ascii="Times New Roman" w:cs="Times New Roman"/>
        </w:rPr>
        <w:t>.3-</w:t>
      </w:r>
      <w:r>
        <w:rPr>
          <w:rFonts w:ascii="Times New Roman" w:cs="Times New Roman" w:hint="eastAsia"/>
        </w:rPr>
        <w:t>2</w:t>
      </w:r>
      <w:r w:rsidRPr="00CE5A2E">
        <w:rPr>
          <w:rFonts w:ascii="Times New Roman" w:cs="Times New Roman"/>
        </w:rPr>
        <w:t>。</w:t>
      </w:r>
    </w:p>
    <w:p w:rsidR="001B7678" w:rsidRDefault="001B7678" w:rsidP="001B7678">
      <w:pPr>
        <w:pStyle w:val="10"/>
        <w:rPr>
          <w:rFonts w:cs="Times New Roman"/>
        </w:rPr>
      </w:pPr>
      <w:r w:rsidRPr="00D630D1">
        <w:rPr>
          <w:rFonts w:cs="Times New Roman"/>
        </w:rPr>
        <w:t>表</w:t>
      </w:r>
      <w:r w:rsidRPr="00D630D1">
        <w:rPr>
          <w:rFonts w:cs="Times New Roman"/>
        </w:rPr>
        <w:t xml:space="preserve">3.3-2  </w:t>
      </w:r>
      <w:r w:rsidR="00CE5A2E" w:rsidRPr="00CE5A2E">
        <w:rPr>
          <w:rFonts w:cs="Times New Roman" w:hint="eastAsia"/>
        </w:rPr>
        <w:t>凝析油组分表</w:t>
      </w:r>
    </w:p>
    <w:tbl>
      <w:tblPr>
        <w:tblW w:w="8959" w:type="dxa"/>
        <w:jc w:val="center"/>
        <w:tblBorders>
          <w:top w:val="single" w:sz="12" w:space="0" w:color="auto"/>
          <w:bottom w:val="single" w:sz="12" w:space="0" w:color="auto"/>
          <w:insideH w:val="single" w:sz="4" w:space="0" w:color="auto"/>
          <w:insideV w:val="single" w:sz="4" w:space="0" w:color="auto"/>
        </w:tblBorders>
        <w:tblLook w:val="0000"/>
      </w:tblPr>
      <w:tblGrid>
        <w:gridCol w:w="2239"/>
        <w:gridCol w:w="2240"/>
        <w:gridCol w:w="2240"/>
        <w:gridCol w:w="2240"/>
      </w:tblGrid>
      <w:tr w:rsidR="00CE5A2E" w:rsidTr="00CE5A2E">
        <w:trPr>
          <w:jc w:val="center"/>
        </w:trPr>
        <w:tc>
          <w:tcPr>
            <w:tcW w:w="2239" w:type="dxa"/>
            <w:shd w:val="clear" w:color="auto" w:fill="auto"/>
          </w:tcPr>
          <w:p w:rsidR="00CE5A2E" w:rsidRDefault="00CE5A2E" w:rsidP="003C6AD6">
            <w:pPr>
              <w:pStyle w:val="affffffffff0"/>
            </w:pPr>
            <w:r>
              <w:rPr>
                <w:rFonts w:hint="eastAsia"/>
              </w:rPr>
              <w:t>组分</w:t>
            </w:r>
          </w:p>
        </w:tc>
        <w:tc>
          <w:tcPr>
            <w:tcW w:w="2240" w:type="dxa"/>
            <w:shd w:val="clear" w:color="auto" w:fill="auto"/>
          </w:tcPr>
          <w:p w:rsidR="00CE5A2E" w:rsidRDefault="00CE5A2E" w:rsidP="003C6AD6">
            <w:pPr>
              <w:pStyle w:val="affffffffff0"/>
            </w:pPr>
            <w:r>
              <w:rPr>
                <w:rFonts w:hint="eastAsia"/>
              </w:rPr>
              <w:t>质量含量</w:t>
            </w:r>
            <w:r>
              <w:t>%</w:t>
            </w:r>
          </w:p>
        </w:tc>
        <w:tc>
          <w:tcPr>
            <w:tcW w:w="2240" w:type="dxa"/>
            <w:shd w:val="clear" w:color="auto" w:fill="auto"/>
          </w:tcPr>
          <w:p w:rsidR="00CE5A2E" w:rsidRDefault="00CE5A2E" w:rsidP="003C6AD6">
            <w:pPr>
              <w:pStyle w:val="affffffffff0"/>
            </w:pPr>
            <w:r>
              <w:rPr>
                <w:rFonts w:hint="eastAsia"/>
              </w:rPr>
              <w:t>组分</w:t>
            </w:r>
          </w:p>
        </w:tc>
        <w:tc>
          <w:tcPr>
            <w:tcW w:w="2240" w:type="dxa"/>
            <w:shd w:val="clear" w:color="auto" w:fill="auto"/>
          </w:tcPr>
          <w:p w:rsidR="00CE5A2E" w:rsidRDefault="00CE5A2E" w:rsidP="003C6AD6">
            <w:pPr>
              <w:pStyle w:val="affffffffff0"/>
            </w:pPr>
            <w:r>
              <w:rPr>
                <w:rFonts w:hint="eastAsia"/>
              </w:rPr>
              <w:t>质量含量</w:t>
            </w:r>
            <w:r>
              <w:t>%</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C1</w:t>
            </w:r>
          </w:p>
        </w:tc>
        <w:tc>
          <w:tcPr>
            <w:tcW w:w="2240" w:type="dxa"/>
            <w:shd w:val="clear" w:color="auto" w:fill="auto"/>
          </w:tcPr>
          <w:p w:rsidR="00CE5A2E" w:rsidRDefault="00CE5A2E" w:rsidP="003C6AD6">
            <w:pPr>
              <w:pStyle w:val="affffffffff0"/>
            </w:pPr>
            <w:r>
              <w:rPr>
                <w:rFonts w:hint="eastAsia"/>
              </w:rPr>
              <w:t>0.000</w:t>
            </w:r>
          </w:p>
        </w:tc>
        <w:tc>
          <w:tcPr>
            <w:tcW w:w="2240" w:type="dxa"/>
            <w:shd w:val="clear" w:color="auto" w:fill="auto"/>
          </w:tcPr>
          <w:p w:rsidR="00CE5A2E" w:rsidRDefault="00CE5A2E" w:rsidP="003C6AD6">
            <w:pPr>
              <w:pStyle w:val="affffffffff0"/>
            </w:pPr>
            <w:r>
              <w:rPr>
                <w:rFonts w:hint="eastAsia"/>
              </w:rPr>
              <w:t>C19</w:t>
            </w:r>
          </w:p>
        </w:tc>
        <w:tc>
          <w:tcPr>
            <w:tcW w:w="2240" w:type="dxa"/>
            <w:shd w:val="clear" w:color="auto" w:fill="auto"/>
          </w:tcPr>
          <w:p w:rsidR="00CE5A2E" w:rsidRDefault="00CE5A2E" w:rsidP="003C6AD6">
            <w:pPr>
              <w:pStyle w:val="affffffffff0"/>
            </w:pPr>
            <w:r>
              <w:rPr>
                <w:rFonts w:hint="eastAsia"/>
              </w:rPr>
              <w:t>2.762</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C2</w:t>
            </w:r>
          </w:p>
        </w:tc>
        <w:tc>
          <w:tcPr>
            <w:tcW w:w="2240" w:type="dxa"/>
            <w:shd w:val="clear" w:color="auto" w:fill="auto"/>
          </w:tcPr>
          <w:p w:rsidR="00CE5A2E" w:rsidRDefault="00CE5A2E" w:rsidP="003C6AD6">
            <w:pPr>
              <w:pStyle w:val="affffffffff0"/>
            </w:pPr>
            <w:r>
              <w:rPr>
                <w:rFonts w:hint="eastAsia"/>
              </w:rPr>
              <w:t>0.014</w:t>
            </w:r>
          </w:p>
        </w:tc>
        <w:tc>
          <w:tcPr>
            <w:tcW w:w="2240" w:type="dxa"/>
            <w:shd w:val="clear" w:color="auto" w:fill="auto"/>
          </w:tcPr>
          <w:p w:rsidR="00CE5A2E" w:rsidRDefault="00CE5A2E" w:rsidP="003C6AD6">
            <w:pPr>
              <w:pStyle w:val="affffffffff0"/>
            </w:pPr>
            <w:r>
              <w:rPr>
                <w:rFonts w:hint="eastAsia"/>
              </w:rPr>
              <w:t>C20</w:t>
            </w:r>
          </w:p>
        </w:tc>
        <w:tc>
          <w:tcPr>
            <w:tcW w:w="2240" w:type="dxa"/>
            <w:shd w:val="clear" w:color="auto" w:fill="auto"/>
          </w:tcPr>
          <w:p w:rsidR="00CE5A2E" w:rsidRDefault="00CE5A2E" w:rsidP="003C6AD6">
            <w:pPr>
              <w:pStyle w:val="affffffffff0"/>
            </w:pPr>
            <w:r>
              <w:rPr>
                <w:rFonts w:hint="eastAsia"/>
              </w:rPr>
              <w:t>2.</w:t>
            </w:r>
            <w:r>
              <w:t>213</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C3</w:t>
            </w:r>
          </w:p>
        </w:tc>
        <w:tc>
          <w:tcPr>
            <w:tcW w:w="2240" w:type="dxa"/>
            <w:shd w:val="clear" w:color="auto" w:fill="auto"/>
          </w:tcPr>
          <w:p w:rsidR="00CE5A2E" w:rsidRDefault="00CE5A2E" w:rsidP="003C6AD6">
            <w:pPr>
              <w:pStyle w:val="affffffffff0"/>
            </w:pPr>
            <w:r>
              <w:rPr>
                <w:rFonts w:hint="eastAsia"/>
              </w:rPr>
              <w:t>0.141</w:t>
            </w:r>
          </w:p>
        </w:tc>
        <w:tc>
          <w:tcPr>
            <w:tcW w:w="2240" w:type="dxa"/>
            <w:shd w:val="clear" w:color="auto" w:fill="auto"/>
          </w:tcPr>
          <w:p w:rsidR="00CE5A2E" w:rsidRDefault="00CE5A2E" w:rsidP="003C6AD6">
            <w:pPr>
              <w:pStyle w:val="affffffffff0"/>
            </w:pPr>
            <w:r>
              <w:rPr>
                <w:rFonts w:hint="eastAsia"/>
              </w:rPr>
              <w:t>C21</w:t>
            </w:r>
          </w:p>
        </w:tc>
        <w:tc>
          <w:tcPr>
            <w:tcW w:w="2240" w:type="dxa"/>
            <w:shd w:val="clear" w:color="auto" w:fill="auto"/>
          </w:tcPr>
          <w:p w:rsidR="00CE5A2E" w:rsidRDefault="00CE5A2E" w:rsidP="003C6AD6">
            <w:pPr>
              <w:pStyle w:val="affffffffff0"/>
            </w:pPr>
            <w:r>
              <w:rPr>
                <w:rFonts w:hint="eastAsia"/>
              </w:rPr>
              <w:t>1.868</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C4</w:t>
            </w:r>
          </w:p>
        </w:tc>
        <w:tc>
          <w:tcPr>
            <w:tcW w:w="2240" w:type="dxa"/>
            <w:shd w:val="clear" w:color="auto" w:fill="auto"/>
          </w:tcPr>
          <w:p w:rsidR="00CE5A2E" w:rsidRDefault="00CE5A2E" w:rsidP="003C6AD6">
            <w:pPr>
              <w:pStyle w:val="affffffffff0"/>
            </w:pPr>
            <w:r>
              <w:rPr>
                <w:rFonts w:hint="eastAsia"/>
              </w:rPr>
              <w:t>1.134</w:t>
            </w:r>
          </w:p>
        </w:tc>
        <w:tc>
          <w:tcPr>
            <w:tcW w:w="2240" w:type="dxa"/>
            <w:shd w:val="clear" w:color="auto" w:fill="auto"/>
          </w:tcPr>
          <w:p w:rsidR="00CE5A2E" w:rsidRDefault="00CE5A2E" w:rsidP="003C6AD6">
            <w:pPr>
              <w:pStyle w:val="affffffffff0"/>
            </w:pPr>
            <w:r>
              <w:rPr>
                <w:rFonts w:hint="eastAsia"/>
              </w:rPr>
              <w:t>C22</w:t>
            </w:r>
          </w:p>
        </w:tc>
        <w:tc>
          <w:tcPr>
            <w:tcW w:w="2240" w:type="dxa"/>
            <w:shd w:val="clear" w:color="auto" w:fill="auto"/>
          </w:tcPr>
          <w:p w:rsidR="00CE5A2E" w:rsidRDefault="00CE5A2E" w:rsidP="003C6AD6">
            <w:pPr>
              <w:pStyle w:val="affffffffff0"/>
            </w:pPr>
            <w:r>
              <w:rPr>
                <w:rFonts w:hint="eastAsia"/>
              </w:rPr>
              <w:t>1.459</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C5</w:t>
            </w:r>
          </w:p>
        </w:tc>
        <w:tc>
          <w:tcPr>
            <w:tcW w:w="2240" w:type="dxa"/>
            <w:shd w:val="clear" w:color="auto" w:fill="auto"/>
          </w:tcPr>
          <w:p w:rsidR="00CE5A2E" w:rsidRDefault="00CE5A2E" w:rsidP="003C6AD6">
            <w:pPr>
              <w:pStyle w:val="affffffffff0"/>
            </w:pPr>
            <w:r>
              <w:rPr>
                <w:rFonts w:hint="eastAsia"/>
              </w:rPr>
              <w:t>2.166</w:t>
            </w:r>
          </w:p>
        </w:tc>
        <w:tc>
          <w:tcPr>
            <w:tcW w:w="2240" w:type="dxa"/>
            <w:shd w:val="clear" w:color="auto" w:fill="auto"/>
          </w:tcPr>
          <w:p w:rsidR="00CE5A2E" w:rsidRDefault="00CE5A2E" w:rsidP="003C6AD6">
            <w:pPr>
              <w:pStyle w:val="affffffffff0"/>
            </w:pPr>
            <w:r>
              <w:rPr>
                <w:rFonts w:hint="eastAsia"/>
              </w:rPr>
              <w:t>C23</w:t>
            </w:r>
          </w:p>
        </w:tc>
        <w:tc>
          <w:tcPr>
            <w:tcW w:w="2240" w:type="dxa"/>
            <w:shd w:val="clear" w:color="auto" w:fill="auto"/>
          </w:tcPr>
          <w:p w:rsidR="00CE5A2E" w:rsidRDefault="00CE5A2E" w:rsidP="003C6AD6">
            <w:pPr>
              <w:pStyle w:val="affffffffff0"/>
            </w:pPr>
            <w:r>
              <w:rPr>
                <w:rFonts w:hint="eastAsia"/>
              </w:rPr>
              <w:t>1.349</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C6</w:t>
            </w:r>
          </w:p>
        </w:tc>
        <w:tc>
          <w:tcPr>
            <w:tcW w:w="2240" w:type="dxa"/>
            <w:shd w:val="clear" w:color="auto" w:fill="auto"/>
          </w:tcPr>
          <w:p w:rsidR="00CE5A2E" w:rsidRDefault="00CE5A2E" w:rsidP="003C6AD6">
            <w:pPr>
              <w:pStyle w:val="affffffffff0"/>
            </w:pPr>
            <w:r>
              <w:rPr>
                <w:rFonts w:hint="eastAsia"/>
              </w:rPr>
              <w:t>2.961</w:t>
            </w:r>
          </w:p>
        </w:tc>
        <w:tc>
          <w:tcPr>
            <w:tcW w:w="2240" w:type="dxa"/>
            <w:shd w:val="clear" w:color="auto" w:fill="auto"/>
          </w:tcPr>
          <w:p w:rsidR="00CE5A2E" w:rsidRDefault="00CE5A2E" w:rsidP="003C6AD6">
            <w:pPr>
              <w:pStyle w:val="affffffffff0"/>
            </w:pPr>
            <w:r>
              <w:rPr>
                <w:rFonts w:hint="eastAsia"/>
              </w:rPr>
              <w:t>C24</w:t>
            </w:r>
          </w:p>
        </w:tc>
        <w:tc>
          <w:tcPr>
            <w:tcW w:w="2240" w:type="dxa"/>
            <w:shd w:val="clear" w:color="auto" w:fill="auto"/>
          </w:tcPr>
          <w:p w:rsidR="00CE5A2E" w:rsidRDefault="00CE5A2E" w:rsidP="003C6AD6">
            <w:pPr>
              <w:pStyle w:val="affffffffff0"/>
            </w:pPr>
            <w:r>
              <w:rPr>
                <w:rFonts w:hint="eastAsia"/>
              </w:rPr>
              <w:t>1.218</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C7</w:t>
            </w:r>
          </w:p>
        </w:tc>
        <w:tc>
          <w:tcPr>
            <w:tcW w:w="2240" w:type="dxa"/>
            <w:shd w:val="clear" w:color="auto" w:fill="auto"/>
          </w:tcPr>
          <w:p w:rsidR="00CE5A2E" w:rsidRDefault="00CE5A2E" w:rsidP="003C6AD6">
            <w:pPr>
              <w:pStyle w:val="affffffffff0"/>
            </w:pPr>
            <w:r>
              <w:rPr>
                <w:rFonts w:hint="eastAsia"/>
              </w:rPr>
              <w:t>5.455</w:t>
            </w:r>
          </w:p>
        </w:tc>
        <w:tc>
          <w:tcPr>
            <w:tcW w:w="2240" w:type="dxa"/>
            <w:shd w:val="clear" w:color="auto" w:fill="auto"/>
          </w:tcPr>
          <w:p w:rsidR="00CE5A2E" w:rsidRDefault="00CE5A2E" w:rsidP="003C6AD6">
            <w:pPr>
              <w:pStyle w:val="affffffffff0"/>
            </w:pPr>
            <w:r>
              <w:rPr>
                <w:rFonts w:hint="eastAsia"/>
              </w:rPr>
              <w:t>C25</w:t>
            </w:r>
          </w:p>
        </w:tc>
        <w:tc>
          <w:tcPr>
            <w:tcW w:w="2240" w:type="dxa"/>
            <w:shd w:val="clear" w:color="auto" w:fill="auto"/>
          </w:tcPr>
          <w:p w:rsidR="00CE5A2E" w:rsidRDefault="00CE5A2E" w:rsidP="003C6AD6">
            <w:pPr>
              <w:pStyle w:val="affffffffff0"/>
            </w:pPr>
            <w:r>
              <w:rPr>
                <w:rFonts w:hint="eastAsia"/>
              </w:rPr>
              <w:t>0.907</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C8</w:t>
            </w:r>
          </w:p>
        </w:tc>
        <w:tc>
          <w:tcPr>
            <w:tcW w:w="2240" w:type="dxa"/>
            <w:shd w:val="clear" w:color="auto" w:fill="auto"/>
          </w:tcPr>
          <w:p w:rsidR="00CE5A2E" w:rsidRDefault="00CE5A2E" w:rsidP="003C6AD6">
            <w:pPr>
              <w:pStyle w:val="affffffffff0"/>
            </w:pPr>
            <w:r>
              <w:rPr>
                <w:rFonts w:hint="eastAsia"/>
              </w:rPr>
              <w:t>10.839</w:t>
            </w:r>
          </w:p>
        </w:tc>
        <w:tc>
          <w:tcPr>
            <w:tcW w:w="2240" w:type="dxa"/>
            <w:shd w:val="clear" w:color="auto" w:fill="auto"/>
          </w:tcPr>
          <w:p w:rsidR="00CE5A2E" w:rsidRDefault="00CE5A2E" w:rsidP="003C6AD6">
            <w:pPr>
              <w:pStyle w:val="affffffffff0"/>
            </w:pPr>
            <w:r>
              <w:rPr>
                <w:rFonts w:hint="eastAsia"/>
              </w:rPr>
              <w:t>C26</w:t>
            </w:r>
          </w:p>
        </w:tc>
        <w:tc>
          <w:tcPr>
            <w:tcW w:w="2240" w:type="dxa"/>
            <w:shd w:val="clear" w:color="auto" w:fill="auto"/>
          </w:tcPr>
          <w:p w:rsidR="00CE5A2E" w:rsidRDefault="00CE5A2E" w:rsidP="003C6AD6">
            <w:pPr>
              <w:pStyle w:val="affffffffff0"/>
            </w:pPr>
            <w:r>
              <w:rPr>
                <w:rFonts w:hint="eastAsia"/>
              </w:rPr>
              <w:t>0.713</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C9</w:t>
            </w:r>
          </w:p>
        </w:tc>
        <w:tc>
          <w:tcPr>
            <w:tcW w:w="2240" w:type="dxa"/>
            <w:shd w:val="clear" w:color="auto" w:fill="auto"/>
          </w:tcPr>
          <w:p w:rsidR="00CE5A2E" w:rsidRDefault="00CE5A2E" w:rsidP="003C6AD6">
            <w:pPr>
              <w:pStyle w:val="affffffffff0"/>
            </w:pPr>
            <w:r>
              <w:rPr>
                <w:rFonts w:hint="eastAsia"/>
              </w:rPr>
              <w:t>7.847</w:t>
            </w:r>
          </w:p>
        </w:tc>
        <w:tc>
          <w:tcPr>
            <w:tcW w:w="2240" w:type="dxa"/>
            <w:shd w:val="clear" w:color="auto" w:fill="auto"/>
          </w:tcPr>
          <w:p w:rsidR="00CE5A2E" w:rsidRDefault="00CE5A2E" w:rsidP="003C6AD6">
            <w:pPr>
              <w:pStyle w:val="affffffffff0"/>
            </w:pPr>
            <w:r>
              <w:rPr>
                <w:rFonts w:hint="eastAsia"/>
              </w:rPr>
              <w:t>C27</w:t>
            </w:r>
          </w:p>
        </w:tc>
        <w:tc>
          <w:tcPr>
            <w:tcW w:w="2240" w:type="dxa"/>
            <w:shd w:val="clear" w:color="auto" w:fill="auto"/>
          </w:tcPr>
          <w:p w:rsidR="00CE5A2E" w:rsidRDefault="00CE5A2E" w:rsidP="003C6AD6">
            <w:pPr>
              <w:pStyle w:val="affffffffff0"/>
            </w:pPr>
            <w:r>
              <w:rPr>
                <w:rFonts w:hint="eastAsia"/>
              </w:rPr>
              <w:t>0.635</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C10</w:t>
            </w:r>
          </w:p>
        </w:tc>
        <w:tc>
          <w:tcPr>
            <w:tcW w:w="2240" w:type="dxa"/>
            <w:shd w:val="clear" w:color="auto" w:fill="auto"/>
          </w:tcPr>
          <w:p w:rsidR="00CE5A2E" w:rsidRDefault="00CE5A2E" w:rsidP="003C6AD6">
            <w:pPr>
              <w:pStyle w:val="affffffffff0"/>
            </w:pPr>
            <w:r>
              <w:rPr>
                <w:rFonts w:hint="eastAsia"/>
              </w:rPr>
              <w:t>7.139</w:t>
            </w:r>
          </w:p>
        </w:tc>
        <w:tc>
          <w:tcPr>
            <w:tcW w:w="2240" w:type="dxa"/>
            <w:shd w:val="clear" w:color="auto" w:fill="auto"/>
          </w:tcPr>
          <w:p w:rsidR="00CE5A2E" w:rsidRDefault="00CE5A2E" w:rsidP="003C6AD6">
            <w:pPr>
              <w:pStyle w:val="affffffffff0"/>
            </w:pPr>
            <w:r>
              <w:rPr>
                <w:rFonts w:hint="eastAsia"/>
              </w:rPr>
              <w:t>C28</w:t>
            </w:r>
          </w:p>
        </w:tc>
        <w:tc>
          <w:tcPr>
            <w:tcW w:w="2240" w:type="dxa"/>
            <w:shd w:val="clear" w:color="auto" w:fill="auto"/>
          </w:tcPr>
          <w:p w:rsidR="00CE5A2E" w:rsidRDefault="00CE5A2E" w:rsidP="003C6AD6">
            <w:pPr>
              <w:pStyle w:val="affffffffff0"/>
            </w:pPr>
            <w:r>
              <w:rPr>
                <w:rFonts w:hint="eastAsia"/>
              </w:rPr>
              <w:t>0.443</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C11</w:t>
            </w:r>
          </w:p>
        </w:tc>
        <w:tc>
          <w:tcPr>
            <w:tcW w:w="2240" w:type="dxa"/>
            <w:shd w:val="clear" w:color="auto" w:fill="auto"/>
          </w:tcPr>
          <w:p w:rsidR="00CE5A2E" w:rsidRDefault="00CE5A2E" w:rsidP="003C6AD6">
            <w:pPr>
              <w:pStyle w:val="affffffffff0"/>
            </w:pPr>
            <w:r>
              <w:rPr>
                <w:rFonts w:hint="eastAsia"/>
              </w:rPr>
              <w:t>7.65</w:t>
            </w:r>
            <w:r>
              <w:t>4</w:t>
            </w:r>
          </w:p>
        </w:tc>
        <w:tc>
          <w:tcPr>
            <w:tcW w:w="2240" w:type="dxa"/>
            <w:shd w:val="clear" w:color="auto" w:fill="auto"/>
          </w:tcPr>
          <w:p w:rsidR="00CE5A2E" w:rsidRDefault="00CE5A2E" w:rsidP="003C6AD6">
            <w:pPr>
              <w:pStyle w:val="affffffffff0"/>
            </w:pPr>
            <w:r>
              <w:rPr>
                <w:rFonts w:hint="eastAsia"/>
              </w:rPr>
              <w:t>C29</w:t>
            </w:r>
          </w:p>
        </w:tc>
        <w:tc>
          <w:tcPr>
            <w:tcW w:w="2240" w:type="dxa"/>
            <w:shd w:val="clear" w:color="auto" w:fill="auto"/>
          </w:tcPr>
          <w:p w:rsidR="00CE5A2E" w:rsidRDefault="00CE5A2E" w:rsidP="003C6AD6">
            <w:pPr>
              <w:pStyle w:val="affffffffff0"/>
            </w:pPr>
            <w:r>
              <w:rPr>
                <w:rFonts w:hint="eastAsia"/>
              </w:rPr>
              <w:t>0.270</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C12</w:t>
            </w:r>
          </w:p>
        </w:tc>
        <w:tc>
          <w:tcPr>
            <w:tcW w:w="2240" w:type="dxa"/>
            <w:shd w:val="clear" w:color="auto" w:fill="auto"/>
          </w:tcPr>
          <w:p w:rsidR="00CE5A2E" w:rsidRDefault="00CE5A2E" w:rsidP="003C6AD6">
            <w:pPr>
              <w:pStyle w:val="affffffffff0"/>
            </w:pPr>
            <w:r>
              <w:rPr>
                <w:rFonts w:hint="eastAsia"/>
              </w:rPr>
              <w:t>7.722</w:t>
            </w:r>
          </w:p>
        </w:tc>
        <w:tc>
          <w:tcPr>
            <w:tcW w:w="2240" w:type="dxa"/>
            <w:shd w:val="clear" w:color="auto" w:fill="auto"/>
          </w:tcPr>
          <w:p w:rsidR="00CE5A2E" w:rsidRDefault="00CE5A2E" w:rsidP="003C6AD6">
            <w:pPr>
              <w:pStyle w:val="affffffffff0"/>
            </w:pPr>
            <w:r>
              <w:rPr>
                <w:rFonts w:hint="eastAsia"/>
              </w:rPr>
              <w:t>C30+</w:t>
            </w:r>
          </w:p>
        </w:tc>
        <w:tc>
          <w:tcPr>
            <w:tcW w:w="2240" w:type="dxa"/>
            <w:shd w:val="clear" w:color="auto" w:fill="auto"/>
          </w:tcPr>
          <w:p w:rsidR="00CE5A2E" w:rsidRDefault="00CE5A2E" w:rsidP="003C6AD6">
            <w:pPr>
              <w:pStyle w:val="affffffffff0"/>
            </w:pPr>
            <w:r>
              <w:rPr>
                <w:rFonts w:hint="eastAsia"/>
              </w:rPr>
              <w:t>0.356</w:t>
            </w:r>
          </w:p>
        </w:tc>
      </w:tr>
      <w:tr w:rsidR="00CE5A2E" w:rsidTr="00CE5A2E">
        <w:trPr>
          <w:jc w:val="center"/>
        </w:trPr>
        <w:tc>
          <w:tcPr>
            <w:tcW w:w="2239" w:type="dxa"/>
            <w:shd w:val="clear" w:color="auto" w:fill="auto"/>
          </w:tcPr>
          <w:p w:rsidR="00CE5A2E" w:rsidRDefault="00CE5A2E" w:rsidP="003C6AD6">
            <w:pPr>
              <w:pStyle w:val="affffffffff0"/>
            </w:pPr>
            <w:r>
              <w:rPr>
                <w:rFonts w:hint="eastAsia"/>
              </w:rPr>
              <w:t>C13</w:t>
            </w:r>
          </w:p>
        </w:tc>
        <w:tc>
          <w:tcPr>
            <w:tcW w:w="2240" w:type="dxa"/>
            <w:shd w:val="clear" w:color="auto" w:fill="auto"/>
          </w:tcPr>
          <w:p w:rsidR="00CE5A2E" w:rsidRDefault="00CE5A2E" w:rsidP="003C6AD6">
            <w:pPr>
              <w:pStyle w:val="affffffffff0"/>
            </w:pPr>
            <w:r>
              <w:rPr>
                <w:rFonts w:hint="eastAsia"/>
              </w:rPr>
              <w:t>7.375</w:t>
            </w:r>
          </w:p>
        </w:tc>
        <w:tc>
          <w:tcPr>
            <w:tcW w:w="2240" w:type="dxa"/>
            <w:shd w:val="clear" w:color="auto" w:fill="auto"/>
          </w:tcPr>
          <w:p w:rsidR="00CE5A2E" w:rsidRDefault="00CE5A2E" w:rsidP="003C6AD6">
            <w:pPr>
              <w:pStyle w:val="affffffffff0"/>
            </w:pPr>
          </w:p>
        </w:tc>
        <w:tc>
          <w:tcPr>
            <w:tcW w:w="2240" w:type="dxa"/>
            <w:shd w:val="clear" w:color="auto" w:fill="auto"/>
          </w:tcPr>
          <w:p w:rsidR="00CE5A2E" w:rsidRDefault="00CE5A2E" w:rsidP="003C6AD6">
            <w:pPr>
              <w:pStyle w:val="affffffffff0"/>
            </w:pPr>
          </w:p>
        </w:tc>
      </w:tr>
      <w:tr w:rsidR="00CE5A2E" w:rsidTr="00CE5A2E">
        <w:trPr>
          <w:jc w:val="center"/>
        </w:trPr>
        <w:tc>
          <w:tcPr>
            <w:tcW w:w="2239" w:type="dxa"/>
            <w:shd w:val="clear" w:color="auto" w:fill="auto"/>
          </w:tcPr>
          <w:p w:rsidR="00CE5A2E" w:rsidRDefault="00CE5A2E" w:rsidP="003C6AD6">
            <w:pPr>
              <w:pStyle w:val="affffffffff0"/>
            </w:pPr>
            <w:r>
              <w:rPr>
                <w:rFonts w:hint="eastAsia"/>
              </w:rPr>
              <w:t>C14</w:t>
            </w:r>
          </w:p>
        </w:tc>
        <w:tc>
          <w:tcPr>
            <w:tcW w:w="2240" w:type="dxa"/>
            <w:shd w:val="clear" w:color="auto" w:fill="auto"/>
          </w:tcPr>
          <w:p w:rsidR="00CE5A2E" w:rsidRDefault="00CE5A2E" w:rsidP="003C6AD6">
            <w:pPr>
              <w:pStyle w:val="affffffffff0"/>
            </w:pPr>
            <w:r>
              <w:rPr>
                <w:rFonts w:hint="eastAsia"/>
              </w:rPr>
              <w:t>7.136</w:t>
            </w:r>
          </w:p>
        </w:tc>
        <w:tc>
          <w:tcPr>
            <w:tcW w:w="2240" w:type="dxa"/>
            <w:shd w:val="clear" w:color="auto" w:fill="auto"/>
          </w:tcPr>
          <w:p w:rsidR="00CE5A2E" w:rsidRDefault="00CE5A2E" w:rsidP="003C6AD6">
            <w:pPr>
              <w:pStyle w:val="affffffffff0"/>
            </w:pPr>
          </w:p>
        </w:tc>
        <w:tc>
          <w:tcPr>
            <w:tcW w:w="2240" w:type="dxa"/>
            <w:shd w:val="clear" w:color="auto" w:fill="auto"/>
          </w:tcPr>
          <w:p w:rsidR="00CE5A2E" w:rsidRDefault="00CE5A2E" w:rsidP="003C6AD6">
            <w:pPr>
              <w:pStyle w:val="affffffffff0"/>
            </w:pPr>
          </w:p>
        </w:tc>
      </w:tr>
      <w:tr w:rsidR="00CE5A2E" w:rsidTr="00CE5A2E">
        <w:trPr>
          <w:jc w:val="center"/>
        </w:trPr>
        <w:tc>
          <w:tcPr>
            <w:tcW w:w="2239" w:type="dxa"/>
            <w:shd w:val="clear" w:color="auto" w:fill="auto"/>
          </w:tcPr>
          <w:p w:rsidR="00CE5A2E" w:rsidRDefault="00CE5A2E" w:rsidP="003C6AD6">
            <w:pPr>
              <w:pStyle w:val="affffffffff0"/>
            </w:pPr>
            <w:r>
              <w:rPr>
                <w:rFonts w:hint="eastAsia"/>
              </w:rPr>
              <w:t>C15</w:t>
            </w:r>
          </w:p>
        </w:tc>
        <w:tc>
          <w:tcPr>
            <w:tcW w:w="2240" w:type="dxa"/>
            <w:shd w:val="clear" w:color="auto" w:fill="auto"/>
          </w:tcPr>
          <w:p w:rsidR="00CE5A2E" w:rsidRDefault="00CE5A2E" w:rsidP="003C6AD6">
            <w:pPr>
              <w:pStyle w:val="affffffffff0"/>
            </w:pPr>
            <w:r>
              <w:rPr>
                <w:rFonts w:hint="eastAsia"/>
              </w:rPr>
              <w:t>5.894</w:t>
            </w:r>
          </w:p>
        </w:tc>
        <w:tc>
          <w:tcPr>
            <w:tcW w:w="2240" w:type="dxa"/>
            <w:shd w:val="clear" w:color="auto" w:fill="auto"/>
          </w:tcPr>
          <w:p w:rsidR="00CE5A2E" w:rsidRDefault="00CE5A2E" w:rsidP="003C6AD6">
            <w:pPr>
              <w:pStyle w:val="affffffffff0"/>
            </w:pPr>
          </w:p>
        </w:tc>
        <w:tc>
          <w:tcPr>
            <w:tcW w:w="2240" w:type="dxa"/>
            <w:shd w:val="clear" w:color="auto" w:fill="auto"/>
          </w:tcPr>
          <w:p w:rsidR="00CE5A2E" w:rsidRDefault="00CE5A2E" w:rsidP="003C6AD6">
            <w:pPr>
              <w:pStyle w:val="affffffffff0"/>
            </w:pPr>
          </w:p>
        </w:tc>
      </w:tr>
      <w:tr w:rsidR="00CE5A2E" w:rsidTr="00CE5A2E">
        <w:trPr>
          <w:jc w:val="center"/>
        </w:trPr>
        <w:tc>
          <w:tcPr>
            <w:tcW w:w="2239" w:type="dxa"/>
            <w:shd w:val="clear" w:color="auto" w:fill="auto"/>
          </w:tcPr>
          <w:p w:rsidR="00CE5A2E" w:rsidRDefault="00CE5A2E" w:rsidP="003C6AD6">
            <w:pPr>
              <w:pStyle w:val="affffffffff0"/>
            </w:pPr>
            <w:r>
              <w:rPr>
                <w:rFonts w:hint="eastAsia"/>
              </w:rPr>
              <w:t>C16</w:t>
            </w:r>
          </w:p>
        </w:tc>
        <w:tc>
          <w:tcPr>
            <w:tcW w:w="2240" w:type="dxa"/>
            <w:shd w:val="clear" w:color="auto" w:fill="auto"/>
          </w:tcPr>
          <w:p w:rsidR="00CE5A2E" w:rsidRDefault="00CE5A2E" w:rsidP="003C6AD6">
            <w:pPr>
              <w:pStyle w:val="affffffffff0"/>
            </w:pPr>
            <w:r>
              <w:rPr>
                <w:rFonts w:hint="eastAsia"/>
              </w:rPr>
              <w:t>4.706</w:t>
            </w:r>
          </w:p>
        </w:tc>
        <w:tc>
          <w:tcPr>
            <w:tcW w:w="2240" w:type="dxa"/>
            <w:shd w:val="clear" w:color="auto" w:fill="auto"/>
          </w:tcPr>
          <w:p w:rsidR="00CE5A2E" w:rsidRDefault="00CE5A2E" w:rsidP="003C6AD6">
            <w:pPr>
              <w:pStyle w:val="affffffffff0"/>
            </w:pPr>
          </w:p>
        </w:tc>
        <w:tc>
          <w:tcPr>
            <w:tcW w:w="2240" w:type="dxa"/>
            <w:shd w:val="clear" w:color="auto" w:fill="auto"/>
          </w:tcPr>
          <w:p w:rsidR="00CE5A2E" w:rsidRDefault="00CE5A2E" w:rsidP="003C6AD6">
            <w:pPr>
              <w:pStyle w:val="affffffffff0"/>
            </w:pPr>
          </w:p>
        </w:tc>
      </w:tr>
      <w:tr w:rsidR="00CE5A2E" w:rsidTr="00CE5A2E">
        <w:trPr>
          <w:jc w:val="center"/>
        </w:trPr>
        <w:tc>
          <w:tcPr>
            <w:tcW w:w="2239" w:type="dxa"/>
            <w:shd w:val="clear" w:color="auto" w:fill="auto"/>
          </w:tcPr>
          <w:p w:rsidR="00CE5A2E" w:rsidRDefault="00CE5A2E" w:rsidP="003C6AD6">
            <w:pPr>
              <w:pStyle w:val="affffffffff0"/>
            </w:pPr>
            <w:r>
              <w:rPr>
                <w:rFonts w:hint="eastAsia"/>
              </w:rPr>
              <w:t>C17</w:t>
            </w:r>
          </w:p>
        </w:tc>
        <w:tc>
          <w:tcPr>
            <w:tcW w:w="2240" w:type="dxa"/>
            <w:shd w:val="clear" w:color="auto" w:fill="auto"/>
          </w:tcPr>
          <w:p w:rsidR="00CE5A2E" w:rsidRDefault="00CE5A2E" w:rsidP="003C6AD6">
            <w:pPr>
              <w:pStyle w:val="affffffffff0"/>
            </w:pPr>
            <w:r>
              <w:rPr>
                <w:rFonts w:hint="eastAsia"/>
              </w:rPr>
              <w:t>4.386</w:t>
            </w:r>
          </w:p>
        </w:tc>
        <w:tc>
          <w:tcPr>
            <w:tcW w:w="2240" w:type="dxa"/>
            <w:shd w:val="clear" w:color="auto" w:fill="auto"/>
          </w:tcPr>
          <w:p w:rsidR="00CE5A2E" w:rsidRDefault="00CE5A2E" w:rsidP="003C6AD6">
            <w:pPr>
              <w:pStyle w:val="affffffffff0"/>
            </w:pPr>
          </w:p>
        </w:tc>
        <w:tc>
          <w:tcPr>
            <w:tcW w:w="2240" w:type="dxa"/>
            <w:shd w:val="clear" w:color="auto" w:fill="auto"/>
          </w:tcPr>
          <w:p w:rsidR="00CE5A2E" w:rsidRDefault="00CE5A2E" w:rsidP="003C6AD6">
            <w:pPr>
              <w:pStyle w:val="affffffffff0"/>
            </w:pPr>
          </w:p>
        </w:tc>
      </w:tr>
    </w:tbl>
    <w:p w:rsidR="00CE5A2E" w:rsidRPr="00CE5A2E" w:rsidRDefault="00CE5A2E" w:rsidP="00CE5A2E">
      <w:pPr>
        <w:ind w:firstLineChars="83" w:firstLine="199"/>
        <w:rPr>
          <w:rFonts w:ascii="Times New Roman" w:cs="Times New Roman"/>
        </w:rPr>
      </w:pPr>
      <w:r w:rsidRPr="00CE5A2E">
        <w:rPr>
          <w:rFonts w:ascii="Times New Roman" w:cs="Times New Roman"/>
        </w:rPr>
        <w:t>采出水质参考普陆</w:t>
      </w:r>
      <w:r w:rsidRPr="00CE5A2E">
        <w:rPr>
          <w:rFonts w:ascii="Times New Roman" w:cs="Times New Roman"/>
        </w:rPr>
        <w:t>3</w:t>
      </w:r>
      <w:r w:rsidRPr="00CE5A2E">
        <w:rPr>
          <w:rFonts w:ascii="Times New Roman" w:cs="Times New Roman"/>
        </w:rPr>
        <w:t>井的采出水水质，普陆</w:t>
      </w:r>
      <w:r w:rsidRPr="00CE5A2E">
        <w:rPr>
          <w:rFonts w:ascii="Times New Roman" w:cs="Times New Roman"/>
        </w:rPr>
        <w:t>3</w:t>
      </w:r>
      <w:r w:rsidRPr="00CE5A2E">
        <w:rPr>
          <w:rFonts w:ascii="Times New Roman" w:cs="Times New Roman"/>
        </w:rPr>
        <w:t>井产出水水质指标见表</w:t>
      </w:r>
      <w:r>
        <w:rPr>
          <w:rFonts w:ascii="Times New Roman" w:cs="Times New Roman" w:hint="eastAsia"/>
        </w:rPr>
        <w:t>3</w:t>
      </w:r>
      <w:r w:rsidRPr="00CE5A2E">
        <w:rPr>
          <w:rFonts w:ascii="Times New Roman" w:cs="Times New Roman"/>
        </w:rPr>
        <w:t>.</w:t>
      </w:r>
      <w:r>
        <w:rPr>
          <w:rFonts w:ascii="Times New Roman" w:cs="Times New Roman" w:hint="eastAsia"/>
        </w:rPr>
        <w:t>3</w:t>
      </w:r>
      <w:r w:rsidRPr="00CE5A2E">
        <w:rPr>
          <w:rFonts w:ascii="Times New Roman" w:cs="Times New Roman"/>
        </w:rPr>
        <w:t>-</w:t>
      </w:r>
      <w:r>
        <w:rPr>
          <w:rFonts w:ascii="Times New Roman" w:cs="Times New Roman" w:hint="eastAsia"/>
        </w:rPr>
        <w:t>3</w:t>
      </w:r>
      <w:r w:rsidRPr="00CE5A2E">
        <w:rPr>
          <w:rFonts w:ascii="Times New Roman" w:cs="Times New Roman"/>
        </w:rPr>
        <w:t>。</w:t>
      </w:r>
    </w:p>
    <w:p w:rsidR="00CE5A2E" w:rsidRDefault="00CE5A2E" w:rsidP="00CE5A2E">
      <w:pPr>
        <w:pStyle w:val="10"/>
        <w:rPr>
          <w:rFonts w:cs="Times New Roman"/>
        </w:rPr>
      </w:pPr>
      <w:r w:rsidRPr="00D630D1">
        <w:rPr>
          <w:rFonts w:cs="Times New Roman"/>
        </w:rPr>
        <w:t>表</w:t>
      </w:r>
      <w:r w:rsidRPr="00D630D1">
        <w:rPr>
          <w:rFonts w:cs="Times New Roman"/>
        </w:rPr>
        <w:t>3.3-</w:t>
      </w:r>
      <w:r>
        <w:rPr>
          <w:rFonts w:cs="Times New Roman" w:hint="eastAsia"/>
        </w:rPr>
        <w:t>3</w:t>
      </w:r>
      <w:r w:rsidRPr="00D630D1">
        <w:rPr>
          <w:rFonts w:cs="Times New Roman"/>
        </w:rPr>
        <w:t xml:space="preserve">  </w:t>
      </w:r>
      <w:r w:rsidRPr="00CE5A2E">
        <w:rPr>
          <w:rFonts w:cs="Times New Roman" w:hint="eastAsia"/>
        </w:rPr>
        <w:t>产出水水质指标分析统计表</w:t>
      </w:r>
    </w:p>
    <w:tbl>
      <w:tblPr>
        <w:tblW w:w="8959" w:type="dxa"/>
        <w:jc w:val="center"/>
        <w:tblBorders>
          <w:top w:val="single" w:sz="12" w:space="0" w:color="auto"/>
          <w:bottom w:val="single" w:sz="12" w:space="0" w:color="auto"/>
          <w:insideH w:val="single" w:sz="4" w:space="0" w:color="auto"/>
          <w:insideV w:val="single" w:sz="4" w:space="0" w:color="auto"/>
        </w:tblBorders>
        <w:tblLook w:val="0000"/>
      </w:tblPr>
      <w:tblGrid>
        <w:gridCol w:w="559"/>
        <w:gridCol w:w="2198"/>
        <w:gridCol w:w="1568"/>
        <w:gridCol w:w="1724"/>
        <w:gridCol w:w="2910"/>
      </w:tblGrid>
      <w:tr w:rsidR="00CE5A2E" w:rsidTr="00CE5A2E">
        <w:trPr>
          <w:trHeight w:hRule="exact" w:val="284"/>
          <w:jc w:val="center"/>
        </w:trPr>
        <w:tc>
          <w:tcPr>
            <w:tcW w:w="2757" w:type="dxa"/>
            <w:gridSpan w:val="2"/>
            <w:noWrap/>
            <w:vAlign w:val="center"/>
          </w:tcPr>
          <w:p w:rsidR="00CE5A2E" w:rsidRDefault="00CE5A2E" w:rsidP="003C6AD6">
            <w:pPr>
              <w:pStyle w:val="affffffffff0"/>
            </w:pPr>
            <w:r>
              <w:t>物</w:t>
            </w:r>
            <w:r>
              <w:t xml:space="preserve"> </w:t>
            </w:r>
            <w:r>
              <w:t>理</w:t>
            </w:r>
            <w:r>
              <w:t xml:space="preserve"> </w:t>
            </w:r>
            <w:r>
              <w:t>分</w:t>
            </w:r>
            <w:r>
              <w:t xml:space="preserve"> </w:t>
            </w:r>
            <w:r>
              <w:t>析</w:t>
            </w:r>
          </w:p>
        </w:tc>
        <w:tc>
          <w:tcPr>
            <w:tcW w:w="6202" w:type="dxa"/>
            <w:gridSpan w:val="3"/>
            <w:noWrap/>
            <w:vAlign w:val="center"/>
          </w:tcPr>
          <w:p w:rsidR="00CE5A2E" w:rsidRDefault="00CE5A2E" w:rsidP="003C6AD6">
            <w:pPr>
              <w:pStyle w:val="affffffffff0"/>
            </w:pPr>
            <w:r>
              <w:t>密度：</w:t>
            </w:r>
            <w:r>
              <w:t>1.</w:t>
            </w:r>
            <w:r>
              <w:rPr>
                <w:rFonts w:hint="eastAsia"/>
              </w:rPr>
              <w:t>010</w:t>
            </w:r>
            <w:r>
              <w:t>g/cm</w:t>
            </w:r>
            <w:r>
              <w:rPr>
                <w:vertAlign w:val="superscript"/>
              </w:rPr>
              <w:t>3</w:t>
            </w:r>
            <w:r>
              <w:t xml:space="preserve">          </w:t>
            </w:r>
            <w:r>
              <w:t>粘度：</w:t>
            </w:r>
            <w:r>
              <w:t>4 mPa</w:t>
            </w:r>
            <w:r>
              <w:rPr>
                <w:rFonts w:ascii="MS Gothic" w:eastAsia="MS Gothic" w:hAnsi="MS Gothic" w:cs="MS Gothic" w:hint="eastAsia"/>
              </w:rPr>
              <w:t>∙</w:t>
            </w:r>
            <w:r>
              <w:t>s   pH</w:t>
            </w:r>
            <w:r>
              <w:t>值</w:t>
            </w:r>
            <w:r>
              <w:rPr>
                <w:rFonts w:hint="eastAsia"/>
              </w:rPr>
              <w:t>：</w:t>
            </w:r>
            <w:r>
              <w:rPr>
                <w:rFonts w:hint="eastAsia"/>
              </w:rPr>
              <w:t>10.22</w:t>
            </w:r>
          </w:p>
          <w:p w:rsidR="00CE5A2E" w:rsidRDefault="00CE5A2E" w:rsidP="003C6AD6">
            <w:pPr>
              <w:pStyle w:val="affffffffff0"/>
            </w:pPr>
            <w:r>
              <w:rPr>
                <w:rFonts w:hint="eastAsia"/>
              </w:rPr>
              <w:t>含油：</w:t>
            </w:r>
            <w:r>
              <w:rPr>
                <w:rFonts w:hint="eastAsia"/>
              </w:rPr>
              <w:t>16mg</w:t>
            </w:r>
            <w:r>
              <w:t>/L              CODCr=6360mg/L</w:t>
            </w:r>
          </w:p>
        </w:tc>
      </w:tr>
      <w:tr w:rsidR="00CE5A2E" w:rsidTr="00CE5A2E">
        <w:trPr>
          <w:trHeight w:hRule="exact" w:val="284"/>
          <w:jc w:val="center"/>
        </w:trPr>
        <w:tc>
          <w:tcPr>
            <w:tcW w:w="2757" w:type="dxa"/>
            <w:gridSpan w:val="2"/>
            <w:noWrap/>
            <w:vAlign w:val="center"/>
          </w:tcPr>
          <w:p w:rsidR="00CE5A2E" w:rsidRDefault="00CE5A2E" w:rsidP="003C6AD6">
            <w:pPr>
              <w:pStyle w:val="affffffffff0"/>
            </w:pPr>
            <w:r>
              <w:t>化</w:t>
            </w:r>
            <w:r>
              <w:t xml:space="preserve">  </w:t>
            </w:r>
            <w:r>
              <w:t>学</w:t>
            </w:r>
            <w:r>
              <w:t xml:space="preserve"> </w:t>
            </w:r>
            <w:r>
              <w:t>分</w:t>
            </w:r>
            <w:r>
              <w:t xml:space="preserve"> </w:t>
            </w:r>
            <w:r>
              <w:t>析</w:t>
            </w:r>
          </w:p>
        </w:tc>
        <w:tc>
          <w:tcPr>
            <w:tcW w:w="1568" w:type="dxa"/>
            <w:noWrap/>
            <w:vAlign w:val="center"/>
          </w:tcPr>
          <w:p w:rsidR="00CE5A2E" w:rsidRDefault="00CE5A2E" w:rsidP="003C6AD6">
            <w:pPr>
              <w:pStyle w:val="affffffffff0"/>
            </w:pPr>
            <w:r>
              <w:t>mg/L</w:t>
            </w:r>
          </w:p>
        </w:tc>
        <w:tc>
          <w:tcPr>
            <w:tcW w:w="1724" w:type="dxa"/>
            <w:noWrap/>
            <w:vAlign w:val="center"/>
          </w:tcPr>
          <w:p w:rsidR="00CE5A2E" w:rsidRDefault="00CE5A2E" w:rsidP="003C6AD6">
            <w:pPr>
              <w:pStyle w:val="affffffffff0"/>
            </w:pPr>
            <w:r>
              <w:t>mmol/L</w:t>
            </w:r>
          </w:p>
        </w:tc>
        <w:tc>
          <w:tcPr>
            <w:tcW w:w="2910" w:type="dxa"/>
            <w:noWrap/>
            <w:vAlign w:val="center"/>
          </w:tcPr>
          <w:p w:rsidR="00CE5A2E" w:rsidRDefault="00CE5A2E" w:rsidP="003C6AD6">
            <w:pPr>
              <w:pStyle w:val="affffffffff0"/>
            </w:pPr>
            <w:r>
              <w:t>mol%</w:t>
            </w:r>
          </w:p>
        </w:tc>
      </w:tr>
      <w:tr w:rsidR="00CE5A2E" w:rsidTr="00CE5A2E">
        <w:trPr>
          <w:trHeight w:hRule="exact" w:val="284"/>
          <w:jc w:val="center"/>
        </w:trPr>
        <w:tc>
          <w:tcPr>
            <w:tcW w:w="559" w:type="dxa"/>
            <w:vMerge w:val="restart"/>
            <w:shd w:val="clear" w:color="auto" w:fill="auto"/>
            <w:vAlign w:val="center"/>
          </w:tcPr>
          <w:p w:rsidR="00CE5A2E" w:rsidRDefault="00CE5A2E" w:rsidP="003C6AD6">
            <w:pPr>
              <w:pStyle w:val="affffffffff0"/>
            </w:pPr>
            <w:r>
              <w:t>阳</w:t>
            </w:r>
            <w:r>
              <w:br/>
            </w:r>
            <w:r>
              <w:t>离</w:t>
            </w:r>
            <w:r>
              <w:br/>
            </w:r>
            <w:r>
              <w:t>子</w:t>
            </w:r>
          </w:p>
        </w:tc>
        <w:tc>
          <w:tcPr>
            <w:tcW w:w="2198" w:type="dxa"/>
            <w:shd w:val="clear" w:color="000000" w:fill="FFFFFF"/>
            <w:vAlign w:val="center"/>
          </w:tcPr>
          <w:p w:rsidR="00CE5A2E" w:rsidRDefault="00CE5A2E" w:rsidP="003C6AD6">
            <w:pPr>
              <w:pStyle w:val="affffffffff0"/>
            </w:pPr>
            <w:r>
              <w:t>K</w:t>
            </w:r>
            <w:r>
              <w:rPr>
                <w:vertAlign w:val="superscript"/>
              </w:rPr>
              <w:t>+</w:t>
            </w:r>
            <w:r>
              <w:t>+Na</w:t>
            </w:r>
            <w:r>
              <w:rPr>
                <w:vertAlign w:val="superscript"/>
              </w:rPr>
              <w:t>+</w:t>
            </w:r>
          </w:p>
        </w:tc>
        <w:tc>
          <w:tcPr>
            <w:tcW w:w="1568" w:type="dxa"/>
            <w:noWrap/>
            <w:vAlign w:val="center"/>
          </w:tcPr>
          <w:p w:rsidR="00CE5A2E" w:rsidRDefault="00CE5A2E" w:rsidP="003C6AD6">
            <w:pPr>
              <w:pStyle w:val="affffffffff0"/>
            </w:pPr>
            <w:r>
              <w:rPr>
                <w:rFonts w:hint="eastAsia"/>
              </w:rPr>
              <w:t>5437</w:t>
            </w:r>
          </w:p>
        </w:tc>
        <w:tc>
          <w:tcPr>
            <w:tcW w:w="1724" w:type="dxa"/>
            <w:noWrap/>
            <w:vAlign w:val="center"/>
          </w:tcPr>
          <w:p w:rsidR="00CE5A2E" w:rsidRDefault="00CE5A2E" w:rsidP="003C6AD6">
            <w:pPr>
              <w:pStyle w:val="affffffffff0"/>
            </w:pPr>
            <w:r>
              <w:rPr>
                <w:rFonts w:hint="eastAsia"/>
              </w:rPr>
              <w:t>236.48</w:t>
            </w:r>
          </w:p>
        </w:tc>
        <w:tc>
          <w:tcPr>
            <w:tcW w:w="2910" w:type="dxa"/>
            <w:noWrap/>
            <w:vAlign w:val="center"/>
          </w:tcPr>
          <w:p w:rsidR="00CE5A2E" w:rsidRDefault="00CE5A2E" w:rsidP="003C6AD6">
            <w:pPr>
              <w:pStyle w:val="affffffffff0"/>
            </w:pPr>
            <w:r>
              <w:rPr>
                <w:rFonts w:hint="eastAsia"/>
              </w:rPr>
              <w:t>77.07</w:t>
            </w:r>
          </w:p>
        </w:tc>
      </w:tr>
      <w:tr w:rsidR="00CE5A2E" w:rsidTr="00CE5A2E">
        <w:trPr>
          <w:trHeight w:hRule="exact" w:val="284"/>
          <w:jc w:val="center"/>
        </w:trPr>
        <w:tc>
          <w:tcPr>
            <w:tcW w:w="559" w:type="dxa"/>
            <w:vMerge/>
            <w:shd w:val="clear" w:color="auto" w:fill="auto"/>
            <w:vAlign w:val="center"/>
          </w:tcPr>
          <w:p w:rsidR="00CE5A2E" w:rsidRDefault="00CE5A2E" w:rsidP="003C6AD6">
            <w:pPr>
              <w:pStyle w:val="affffffffff0"/>
            </w:pPr>
          </w:p>
        </w:tc>
        <w:tc>
          <w:tcPr>
            <w:tcW w:w="2198" w:type="dxa"/>
            <w:shd w:val="clear" w:color="000000" w:fill="FFFFFF"/>
            <w:vAlign w:val="center"/>
          </w:tcPr>
          <w:p w:rsidR="00CE5A2E" w:rsidRDefault="00CE5A2E" w:rsidP="003C6AD6">
            <w:pPr>
              <w:pStyle w:val="affffffffff0"/>
            </w:pPr>
            <w:r>
              <w:t>Ca</w:t>
            </w:r>
            <w:r>
              <w:rPr>
                <w:vertAlign w:val="superscript"/>
              </w:rPr>
              <w:t>2+</w:t>
            </w:r>
          </w:p>
        </w:tc>
        <w:tc>
          <w:tcPr>
            <w:tcW w:w="1568" w:type="dxa"/>
            <w:noWrap/>
            <w:vAlign w:val="center"/>
          </w:tcPr>
          <w:p w:rsidR="00CE5A2E" w:rsidRDefault="00CE5A2E" w:rsidP="003C6AD6">
            <w:pPr>
              <w:pStyle w:val="affffffffff0"/>
            </w:pPr>
            <w:r>
              <w:rPr>
                <w:rFonts w:hint="eastAsia"/>
              </w:rPr>
              <w:t>1365</w:t>
            </w:r>
          </w:p>
        </w:tc>
        <w:tc>
          <w:tcPr>
            <w:tcW w:w="1724" w:type="dxa"/>
            <w:noWrap/>
            <w:vAlign w:val="center"/>
          </w:tcPr>
          <w:p w:rsidR="00CE5A2E" w:rsidRDefault="00CE5A2E" w:rsidP="003C6AD6">
            <w:pPr>
              <w:pStyle w:val="affffffffff0"/>
            </w:pPr>
            <w:r>
              <w:rPr>
                <w:rFonts w:hint="eastAsia"/>
              </w:rPr>
              <w:t>34.05</w:t>
            </w:r>
          </w:p>
        </w:tc>
        <w:tc>
          <w:tcPr>
            <w:tcW w:w="2910" w:type="dxa"/>
            <w:noWrap/>
            <w:vAlign w:val="center"/>
          </w:tcPr>
          <w:p w:rsidR="00CE5A2E" w:rsidRDefault="00CE5A2E" w:rsidP="003C6AD6">
            <w:pPr>
              <w:pStyle w:val="affffffffff0"/>
            </w:pPr>
            <w:r>
              <w:rPr>
                <w:rFonts w:hint="eastAsia"/>
              </w:rPr>
              <w:t>11.10</w:t>
            </w:r>
          </w:p>
        </w:tc>
      </w:tr>
      <w:tr w:rsidR="00CE5A2E" w:rsidTr="00CE5A2E">
        <w:trPr>
          <w:trHeight w:hRule="exact" w:val="284"/>
          <w:jc w:val="center"/>
        </w:trPr>
        <w:tc>
          <w:tcPr>
            <w:tcW w:w="559" w:type="dxa"/>
            <w:vMerge/>
            <w:shd w:val="clear" w:color="auto" w:fill="auto"/>
            <w:vAlign w:val="center"/>
          </w:tcPr>
          <w:p w:rsidR="00CE5A2E" w:rsidRDefault="00CE5A2E" w:rsidP="003C6AD6">
            <w:pPr>
              <w:pStyle w:val="affffffffff0"/>
            </w:pPr>
          </w:p>
        </w:tc>
        <w:tc>
          <w:tcPr>
            <w:tcW w:w="2198" w:type="dxa"/>
            <w:shd w:val="clear" w:color="000000" w:fill="FFFFFF"/>
            <w:vAlign w:val="center"/>
          </w:tcPr>
          <w:p w:rsidR="00CE5A2E" w:rsidRDefault="00CE5A2E" w:rsidP="003C6AD6">
            <w:pPr>
              <w:pStyle w:val="affffffffff0"/>
            </w:pPr>
            <w:r>
              <w:t>Mg</w:t>
            </w:r>
            <w:r>
              <w:rPr>
                <w:vertAlign w:val="superscript"/>
              </w:rPr>
              <w:t>2+</w:t>
            </w:r>
          </w:p>
        </w:tc>
        <w:tc>
          <w:tcPr>
            <w:tcW w:w="1568" w:type="dxa"/>
            <w:noWrap/>
            <w:vAlign w:val="center"/>
          </w:tcPr>
          <w:p w:rsidR="00CE5A2E" w:rsidRDefault="00CE5A2E" w:rsidP="003C6AD6">
            <w:pPr>
              <w:pStyle w:val="affffffffff0"/>
            </w:pPr>
            <w:r>
              <w:rPr>
                <w:rFonts w:hint="eastAsia"/>
              </w:rPr>
              <w:t>883</w:t>
            </w:r>
          </w:p>
        </w:tc>
        <w:tc>
          <w:tcPr>
            <w:tcW w:w="1724" w:type="dxa"/>
            <w:noWrap/>
            <w:vAlign w:val="center"/>
          </w:tcPr>
          <w:p w:rsidR="00CE5A2E" w:rsidRDefault="00CE5A2E" w:rsidP="003C6AD6">
            <w:pPr>
              <w:pStyle w:val="affffffffff0"/>
            </w:pPr>
            <w:r>
              <w:rPr>
                <w:rFonts w:hint="eastAsia"/>
              </w:rPr>
              <w:t>36.32</w:t>
            </w:r>
          </w:p>
        </w:tc>
        <w:tc>
          <w:tcPr>
            <w:tcW w:w="2910" w:type="dxa"/>
            <w:noWrap/>
            <w:vAlign w:val="center"/>
          </w:tcPr>
          <w:p w:rsidR="00CE5A2E" w:rsidRDefault="00CE5A2E" w:rsidP="003C6AD6">
            <w:pPr>
              <w:pStyle w:val="affffffffff0"/>
            </w:pPr>
            <w:r>
              <w:rPr>
                <w:rFonts w:hint="eastAsia"/>
              </w:rPr>
              <w:t>11.84</w:t>
            </w:r>
          </w:p>
        </w:tc>
      </w:tr>
      <w:tr w:rsidR="00CE5A2E" w:rsidTr="00CE5A2E">
        <w:trPr>
          <w:trHeight w:hRule="exact" w:val="284"/>
          <w:jc w:val="center"/>
        </w:trPr>
        <w:tc>
          <w:tcPr>
            <w:tcW w:w="559" w:type="dxa"/>
            <w:vMerge/>
            <w:shd w:val="clear" w:color="auto" w:fill="auto"/>
            <w:vAlign w:val="center"/>
          </w:tcPr>
          <w:p w:rsidR="00CE5A2E" w:rsidRDefault="00CE5A2E" w:rsidP="003C6AD6">
            <w:pPr>
              <w:pStyle w:val="affffffffff0"/>
            </w:pPr>
          </w:p>
        </w:tc>
        <w:tc>
          <w:tcPr>
            <w:tcW w:w="2198" w:type="dxa"/>
            <w:shd w:val="clear" w:color="000000" w:fill="FFFFFF"/>
            <w:vAlign w:val="center"/>
          </w:tcPr>
          <w:p w:rsidR="00CE5A2E" w:rsidRDefault="00CE5A2E" w:rsidP="003C6AD6">
            <w:pPr>
              <w:pStyle w:val="affffffffff0"/>
            </w:pPr>
            <w:r>
              <w:t>总</w:t>
            </w:r>
            <w:r>
              <w:t xml:space="preserve"> </w:t>
            </w:r>
            <w:r>
              <w:t>计</w:t>
            </w:r>
          </w:p>
        </w:tc>
        <w:tc>
          <w:tcPr>
            <w:tcW w:w="1568" w:type="dxa"/>
            <w:noWrap/>
            <w:vAlign w:val="center"/>
          </w:tcPr>
          <w:p w:rsidR="00CE5A2E" w:rsidRDefault="00CE5A2E" w:rsidP="003C6AD6">
            <w:pPr>
              <w:pStyle w:val="affffffffff0"/>
            </w:pPr>
            <w:r>
              <w:rPr>
                <w:rFonts w:hint="eastAsia"/>
              </w:rPr>
              <w:t>7685</w:t>
            </w:r>
          </w:p>
        </w:tc>
        <w:tc>
          <w:tcPr>
            <w:tcW w:w="1724" w:type="dxa"/>
            <w:noWrap/>
            <w:vAlign w:val="center"/>
          </w:tcPr>
          <w:p w:rsidR="00CE5A2E" w:rsidRDefault="00CE5A2E" w:rsidP="003C6AD6">
            <w:pPr>
              <w:pStyle w:val="affffffffff0"/>
            </w:pPr>
            <w:r>
              <w:rPr>
                <w:rFonts w:hint="eastAsia"/>
              </w:rPr>
              <w:t>306.85</w:t>
            </w:r>
          </w:p>
        </w:tc>
        <w:tc>
          <w:tcPr>
            <w:tcW w:w="2910" w:type="dxa"/>
            <w:noWrap/>
            <w:vAlign w:val="center"/>
          </w:tcPr>
          <w:p w:rsidR="00CE5A2E" w:rsidRDefault="00CE5A2E" w:rsidP="003C6AD6">
            <w:pPr>
              <w:pStyle w:val="affffffffff0"/>
            </w:pPr>
            <w:r>
              <w:t>100</w:t>
            </w:r>
            <w:r>
              <w:rPr>
                <w:rFonts w:hint="eastAsia"/>
              </w:rPr>
              <w:t>.00</w:t>
            </w:r>
          </w:p>
        </w:tc>
      </w:tr>
      <w:tr w:rsidR="00CE5A2E" w:rsidTr="00CE5A2E">
        <w:trPr>
          <w:trHeight w:hRule="exact" w:val="284"/>
          <w:jc w:val="center"/>
        </w:trPr>
        <w:tc>
          <w:tcPr>
            <w:tcW w:w="559" w:type="dxa"/>
            <w:vMerge w:val="restart"/>
            <w:shd w:val="clear" w:color="auto" w:fill="auto"/>
            <w:vAlign w:val="center"/>
          </w:tcPr>
          <w:p w:rsidR="00CE5A2E" w:rsidRDefault="00CE5A2E" w:rsidP="003C6AD6">
            <w:pPr>
              <w:pStyle w:val="affffffffff0"/>
            </w:pPr>
            <w:r>
              <w:t>阴</w:t>
            </w:r>
            <w:r>
              <w:br/>
            </w:r>
            <w:r>
              <w:br/>
            </w:r>
            <w:r>
              <w:t>离</w:t>
            </w:r>
            <w:r>
              <w:br/>
            </w:r>
            <w:r>
              <w:br/>
            </w:r>
            <w:r>
              <w:t>子</w:t>
            </w:r>
          </w:p>
        </w:tc>
        <w:tc>
          <w:tcPr>
            <w:tcW w:w="2198" w:type="dxa"/>
            <w:shd w:val="clear" w:color="000000" w:fill="FFFFFF"/>
            <w:vAlign w:val="center"/>
          </w:tcPr>
          <w:p w:rsidR="00CE5A2E" w:rsidRDefault="00CE5A2E" w:rsidP="003C6AD6">
            <w:pPr>
              <w:pStyle w:val="affffffffff0"/>
            </w:pPr>
            <w:r>
              <w:t>Cl</w:t>
            </w:r>
            <w:r>
              <w:rPr>
                <w:vertAlign w:val="superscript"/>
              </w:rPr>
              <w:t>-</w:t>
            </w:r>
          </w:p>
        </w:tc>
        <w:tc>
          <w:tcPr>
            <w:tcW w:w="1568" w:type="dxa"/>
            <w:noWrap/>
            <w:vAlign w:val="center"/>
          </w:tcPr>
          <w:p w:rsidR="00CE5A2E" w:rsidRDefault="00CE5A2E" w:rsidP="003C6AD6">
            <w:pPr>
              <w:pStyle w:val="affffffffff0"/>
            </w:pPr>
            <w:r>
              <w:t>1</w:t>
            </w:r>
            <w:r>
              <w:rPr>
                <w:rFonts w:hint="eastAsia"/>
              </w:rPr>
              <w:t>1018</w:t>
            </w:r>
          </w:p>
        </w:tc>
        <w:tc>
          <w:tcPr>
            <w:tcW w:w="1724" w:type="dxa"/>
            <w:noWrap/>
            <w:vAlign w:val="center"/>
          </w:tcPr>
          <w:p w:rsidR="00CE5A2E" w:rsidRDefault="00CE5A2E" w:rsidP="003C6AD6">
            <w:pPr>
              <w:pStyle w:val="affffffffff0"/>
            </w:pPr>
            <w:r>
              <w:rPr>
                <w:rFonts w:hint="eastAsia"/>
              </w:rPr>
              <w:t>310.81</w:t>
            </w:r>
          </w:p>
        </w:tc>
        <w:tc>
          <w:tcPr>
            <w:tcW w:w="2910" w:type="dxa"/>
            <w:noWrap/>
            <w:vAlign w:val="center"/>
          </w:tcPr>
          <w:p w:rsidR="00CE5A2E" w:rsidRDefault="00CE5A2E" w:rsidP="003C6AD6">
            <w:pPr>
              <w:pStyle w:val="affffffffff0"/>
            </w:pPr>
            <w:r>
              <w:rPr>
                <w:rFonts w:hint="eastAsia"/>
              </w:rPr>
              <w:t>90.05</w:t>
            </w:r>
          </w:p>
        </w:tc>
      </w:tr>
      <w:tr w:rsidR="00CE5A2E" w:rsidTr="00CE5A2E">
        <w:trPr>
          <w:trHeight w:hRule="exact" w:val="284"/>
          <w:jc w:val="center"/>
        </w:trPr>
        <w:tc>
          <w:tcPr>
            <w:tcW w:w="559" w:type="dxa"/>
            <w:vMerge/>
            <w:shd w:val="clear" w:color="auto" w:fill="auto"/>
            <w:vAlign w:val="center"/>
          </w:tcPr>
          <w:p w:rsidR="00CE5A2E" w:rsidRDefault="00CE5A2E" w:rsidP="003C6AD6">
            <w:pPr>
              <w:pStyle w:val="affffffffff0"/>
            </w:pPr>
          </w:p>
        </w:tc>
        <w:tc>
          <w:tcPr>
            <w:tcW w:w="2198" w:type="dxa"/>
            <w:shd w:val="clear" w:color="000000" w:fill="FFFFFF"/>
            <w:vAlign w:val="center"/>
          </w:tcPr>
          <w:p w:rsidR="00CE5A2E" w:rsidRDefault="00CE5A2E" w:rsidP="003C6AD6">
            <w:pPr>
              <w:pStyle w:val="affffffffff0"/>
            </w:pPr>
            <w:r>
              <w:t>SO</w:t>
            </w:r>
            <w:r w:rsidRPr="00CE5A2E">
              <w:rPr>
                <w:vertAlign w:val="subscript"/>
              </w:rPr>
              <w:t>2</w:t>
            </w:r>
            <w:r w:rsidRPr="00CE5A2E">
              <w:rPr>
                <w:vertAlign w:val="superscript"/>
              </w:rPr>
              <w:t>-4</w:t>
            </w:r>
          </w:p>
        </w:tc>
        <w:tc>
          <w:tcPr>
            <w:tcW w:w="1568" w:type="dxa"/>
            <w:noWrap/>
            <w:vAlign w:val="center"/>
          </w:tcPr>
          <w:p w:rsidR="00CE5A2E" w:rsidRDefault="00CE5A2E" w:rsidP="003C6AD6">
            <w:pPr>
              <w:pStyle w:val="affffffffff0"/>
            </w:pPr>
            <w:r>
              <w:rPr>
                <w:rFonts w:hint="eastAsia"/>
              </w:rPr>
              <w:t>2568</w:t>
            </w:r>
          </w:p>
        </w:tc>
        <w:tc>
          <w:tcPr>
            <w:tcW w:w="1724" w:type="dxa"/>
            <w:noWrap/>
            <w:vAlign w:val="center"/>
          </w:tcPr>
          <w:p w:rsidR="00CE5A2E" w:rsidRDefault="00CE5A2E" w:rsidP="003C6AD6">
            <w:pPr>
              <w:pStyle w:val="affffffffff0"/>
            </w:pPr>
            <w:r>
              <w:rPr>
                <w:rFonts w:hint="eastAsia"/>
              </w:rPr>
              <w:t>26.73</w:t>
            </w:r>
          </w:p>
        </w:tc>
        <w:tc>
          <w:tcPr>
            <w:tcW w:w="2910" w:type="dxa"/>
            <w:noWrap/>
            <w:vAlign w:val="center"/>
          </w:tcPr>
          <w:p w:rsidR="00CE5A2E" w:rsidRDefault="00CE5A2E" w:rsidP="003C6AD6">
            <w:pPr>
              <w:pStyle w:val="affffffffff0"/>
            </w:pPr>
            <w:r>
              <w:rPr>
                <w:rFonts w:hint="eastAsia"/>
              </w:rPr>
              <w:t>7.74</w:t>
            </w:r>
          </w:p>
        </w:tc>
      </w:tr>
      <w:tr w:rsidR="00CE5A2E" w:rsidTr="00CE5A2E">
        <w:trPr>
          <w:trHeight w:hRule="exact" w:val="284"/>
          <w:jc w:val="center"/>
        </w:trPr>
        <w:tc>
          <w:tcPr>
            <w:tcW w:w="559" w:type="dxa"/>
            <w:vMerge/>
            <w:shd w:val="clear" w:color="auto" w:fill="auto"/>
            <w:vAlign w:val="center"/>
          </w:tcPr>
          <w:p w:rsidR="00CE5A2E" w:rsidRDefault="00CE5A2E" w:rsidP="003C6AD6">
            <w:pPr>
              <w:pStyle w:val="affffffffff0"/>
            </w:pPr>
          </w:p>
        </w:tc>
        <w:tc>
          <w:tcPr>
            <w:tcW w:w="2198" w:type="dxa"/>
            <w:shd w:val="clear" w:color="000000" w:fill="FFFFFF"/>
            <w:vAlign w:val="center"/>
          </w:tcPr>
          <w:p w:rsidR="00CE5A2E" w:rsidRDefault="00CE5A2E" w:rsidP="003C6AD6">
            <w:pPr>
              <w:pStyle w:val="affffffffff0"/>
            </w:pPr>
            <w:r>
              <w:t>HCO</w:t>
            </w:r>
            <w:r w:rsidRPr="00CE5A2E">
              <w:rPr>
                <w:vertAlign w:val="superscript"/>
              </w:rPr>
              <w:t>-3</w:t>
            </w:r>
          </w:p>
        </w:tc>
        <w:tc>
          <w:tcPr>
            <w:tcW w:w="1568" w:type="dxa"/>
            <w:noWrap/>
            <w:vAlign w:val="center"/>
          </w:tcPr>
          <w:p w:rsidR="00CE5A2E" w:rsidRDefault="00CE5A2E" w:rsidP="003C6AD6">
            <w:pPr>
              <w:pStyle w:val="affffffffff0"/>
            </w:pPr>
            <w:r>
              <w:rPr>
                <w:rFonts w:hint="eastAsia"/>
              </w:rPr>
              <w:t>139</w:t>
            </w:r>
          </w:p>
        </w:tc>
        <w:tc>
          <w:tcPr>
            <w:tcW w:w="1724" w:type="dxa"/>
            <w:noWrap/>
            <w:vAlign w:val="center"/>
          </w:tcPr>
          <w:p w:rsidR="00CE5A2E" w:rsidRDefault="00CE5A2E" w:rsidP="003C6AD6">
            <w:pPr>
              <w:pStyle w:val="affffffffff0"/>
            </w:pPr>
            <w:r>
              <w:rPr>
                <w:rFonts w:hint="eastAsia"/>
              </w:rPr>
              <w:t>2.27</w:t>
            </w:r>
          </w:p>
        </w:tc>
        <w:tc>
          <w:tcPr>
            <w:tcW w:w="2910" w:type="dxa"/>
            <w:noWrap/>
            <w:vAlign w:val="center"/>
          </w:tcPr>
          <w:p w:rsidR="00CE5A2E" w:rsidRDefault="00CE5A2E" w:rsidP="003C6AD6">
            <w:pPr>
              <w:pStyle w:val="affffffffff0"/>
            </w:pPr>
            <w:r>
              <w:rPr>
                <w:rFonts w:hint="eastAsia"/>
              </w:rPr>
              <w:t>0.66</w:t>
            </w:r>
          </w:p>
        </w:tc>
      </w:tr>
      <w:tr w:rsidR="00CE5A2E" w:rsidTr="00CE5A2E">
        <w:trPr>
          <w:trHeight w:hRule="exact" w:val="284"/>
          <w:jc w:val="center"/>
        </w:trPr>
        <w:tc>
          <w:tcPr>
            <w:tcW w:w="559" w:type="dxa"/>
            <w:vMerge/>
            <w:shd w:val="clear" w:color="auto" w:fill="auto"/>
            <w:vAlign w:val="center"/>
          </w:tcPr>
          <w:p w:rsidR="00CE5A2E" w:rsidRDefault="00CE5A2E" w:rsidP="003C6AD6">
            <w:pPr>
              <w:pStyle w:val="affffffffff0"/>
            </w:pPr>
          </w:p>
        </w:tc>
        <w:tc>
          <w:tcPr>
            <w:tcW w:w="2198" w:type="dxa"/>
            <w:shd w:val="clear" w:color="000000" w:fill="FFFFFF"/>
            <w:vAlign w:val="center"/>
          </w:tcPr>
          <w:p w:rsidR="00CE5A2E" w:rsidRDefault="00CE5A2E" w:rsidP="00CE5A2E">
            <w:pPr>
              <w:pStyle w:val="affffffffff0"/>
            </w:pPr>
            <w:r>
              <w:t>CO</w:t>
            </w:r>
            <w:r w:rsidRPr="00CE5A2E">
              <w:rPr>
                <w:vertAlign w:val="subscript"/>
              </w:rPr>
              <w:t>2</w:t>
            </w:r>
            <w:r w:rsidRPr="00CE5A2E">
              <w:rPr>
                <w:vertAlign w:val="superscript"/>
              </w:rPr>
              <w:t>-3</w:t>
            </w:r>
          </w:p>
        </w:tc>
        <w:tc>
          <w:tcPr>
            <w:tcW w:w="1568" w:type="dxa"/>
            <w:noWrap/>
            <w:vAlign w:val="center"/>
          </w:tcPr>
          <w:p w:rsidR="00CE5A2E" w:rsidRDefault="00CE5A2E" w:rsidP="003C6AD6">
            <w:pPr>
              <w:pStyle w:val="affffffffff0"/>
            </w:pPr>
            <w:r>
              <w:rPr>
                <w:rFonts w:hint="eastAsia"/>
              </w:rPr>
              <w:t>320</w:t>
            </w:r>
          </w:p>
        </w:tc>
        <w:tc>
          <w:tcPr>
            <w:tcW w:w="1724" w:type="dxa"/>
            <w:noWrap/>
            <w:vAlign w:val="center"/>
          </w:tcPr>
          <w:p w:rsidR="00CE5A2E" w:rsidRDefault="00CE5A2E" w:rsidP="003C6AD6">
            <w:pPr>
              <w:pStyle w:val="affffffffff0"/>
            </w:pPr>
            <w:r>
              <w:rPr>
                <w:rFonts w:hint="eastAsia"/>
              </w:rPr>
              <w:t>5.34</w:t>
            </w:r>
          </w:p>
        </w:tc>
        <w:tc>
          <w:tcPr>
            <w:tcW w:w="2910" w:type="dxa"/>
            <w:noWrap/>
            <w:vAlign w:val="center"/>
          </w:tcPr>
          <w:p w:rsidR="00CE5A2E" w:rsidRDefault="00CE5A2E" w:rsidP="003C6AD6">
            <w:pPr>
              <w:pStyle w:val="affffffffff0"/>
            </w:pPr>
            <w:r>
              <w:rPr>
                <w:rFonts w:hint="eastAsia"/>
              </w:rPr>
              <w:t>1.55</w:t>
            </w:r>
          </w:p>
        </w:tc>
      </w:tr>
      <w:tr w:rsidR="00CE5A2E" w:rsidTr="00CE5A2E">
        <w:trPr>
          <w:trHeight w:hRule="exact" w:val="284"/>
          <w:jc w:val="center"/>
        </w:trPr>
        <w:tc>
          <w:tcPr>
            <w:tcW w:w="559" w:type="dxa"/>
            <w:vMerge/>
            <w:shd w:val="clear" w:color="auto" w:fill="auto"/>
            <w:vAlign w:val="center"/>
          </w:tcPr>
          <w:p w:rsidR="00CE5A2E" w:rsidRDefault="00CE5A2E" w:rsidP="003C6AD6">
            <w:pPr>
              <w:pStyle w:val="affffffffff0"/>
            </w:pPr>
          </w:p>
        </w:tc>
        <w:tc>
          <w:tcPr>
            <w:tcW w:w="2198" w:type="dxa"/>
            <w:shd w:val="clear" w:color="000000" w:fill="FFFFFF"/>
            <w:vAlign w:val="center"/>
          </w:tcPr>
          <w:p w:rsidR="00CE5A2E" w:rsidRDefault="00CE5A2E" w:rsidP="003C6AD6">
            <w:pPr>
              <w:pStyle w:val="affffffffff0"/>
            </w:pPr>
            <w:r>
              <w:t>OH</w:t>
            </w:r>
            <w:r>
              <w:rPr>
                <w:vertAlign w:val="superscript"/>
              </w:rPr>
              <w:t>-</w:t>
            </w:r>
          </w:p>
        </w:tc>
        <w:tc>
          <w:tcPr>
            <w:tcW w:w="1568" w:type="dxa"/>
            <w:noWrap/>
            <w:vAlign w:val="center"/>
          </w:tcPr>
          <w:p w:rsidR="00CE5A2E" w:rsidRDefault="00CE5A2E" w:rsidP="003C6AD6">
            <w:pPr>
              <w:pStyle w:val="affffffffff0"/>
            </w:pPr>
            <w:r>
              <w:t>0</w:t>
            </w:r>
          </w:p>
        </w:tc>
        <w:tc>
          <w:tcPr>
            <w:tcW w:w="1724" w:type="dxa"/>
            <w:noWrap/>
            <w:vAlign w:val="center"/>
          </w:tcPr>
          <w:p w:rsidR="00CE5A2E" w:rsidRDefault="00CE5A2E" w:rsidP="003C6AD6">
            <w:pPr>
              <w:pStyle w:val="affffffffff0"/>
            </w:pPr>
            <w:r>
              <w:t>0.00</w:t>
            </w:r>
          </w:p>
        </w:tc>
        <w:tc>
          <w:tcPr>
            <w:tcW w:w="2910" w:type="dxa"/>
            <w:noWrap/>
            <w:vAlign w:val="center"/>
          </w:tcPr>
          <w:p w:rsidR="00CE5A2E" w:rsidRDefault="00CE5A2E" w:rsidP="003C6AD6">
            <w:pPr>
              <w:pStyle w:val="affffffffff0"/>
            </w:pPr>
            <w:r>
              <w:rPr>
                <w:rFonts w:hint="eastAsia"/>
              </w:rPr>
              <w:t>0</w:t>
            </w:r>
            <w:r>
              <w:t>.00</w:t>
            </w:r>
          </w:p>
        </w:tc>
      </w:tr>
      <w:tr w:rsidR="00CE5A2E" w:rsidTr="00CE5A2E">
        <w:trPr>
          <w:trHeight w:hRule="exact" w:val="284"/>
          <w:jc w:val="center"/>
        </w:trPr>
        <w:tc>
          <w:tcPr>
            <w:tcW w:w="559" w:type="dxa"/>
            <w:vMerge/>
            <w:shd w:val="clear" w:color="auto" w:fill="auto"/>
            <w:vAlign w:val="center"/>
          </w:tcPr>
          <w:p w:rsidR="00CE5A2E" w:rsidRDefault="00CE5A2E" w:rsidP="003C6AD6">
            <w:pPr>
              <w:pStyle w:val="affffffffff0"/>
            </w:pPr>
          </w:p>
        </w:tc>
        <w:tc>
          <w:tcPr>
            <w:tcW w:w="2198" w:type="dxa"/>
            <w:shd w:val="clear" w:color="000000" w:fill="FFFFFF"/>
            <w:vAlign w:val="center"/>
          </w:tcPr>
          <w:p w:rsidR="00CE5A2E" w:rsidRDefault="00CE5A2E" w:rsidP="003C6AD6">
            <w:pPr>
              <w:pStyle w:val="affffffffff0"/>
            </w:pPr>
            <w:r>
              <w:t>总</w:t>
            </w:r>
            <w:r>
              <w:t xml:space="preserve"> </w:t>
            </w:r>
            <w:r>
              <w:t>计</w:t>
            </w:r>
          </w:p>
        </w:tc>
        <w:tc>
          <w:tcPr>
            <w:tcW w:w="1568" w:type="dxa"/>
            <w:noWrap/>
            <w:vAlign w:val="center"/>
          </w:tcPr>
          <w:p w:rsidR="00CE5A2E" w:rsidRDefault="00CE5A2E" w:rsidP="003C6AD6">
            <w:pPr>
              <w:pStyle w:val="affffffffff0"/>
            </w:pPr>
            <w:r>
              <w:rPr>
                <w:rFonts w:hint="eastAsia"/>
              </w:rPr>
              <w:t>14045</w:t>
            </w:r>
          </w:p>
        </w:tc>
        <w:tc>
          <w:tcPr>
            <w:tcW w:w="1724" w:type="dxa"/>
            <w:noWrap/>
            <w:vAlign w:val="center"/>
          </w:tcPr>
          <w:p w:rsidR="00CE5A2E" w:rsidRDefault="00CE5A2E" w:rsidP="003C6AD6">
            <w:pPr>
              <w:pStyle w:val="affffffffff0"/>
            </w:pPr>
            <w:r>
              <w:rPr>
                <w:rFonts w:hint="eastAsia"/>
              </w:rPr>
              <w:t>345.15</w:t>
            </w:r>
          </w:p>
        </w:tc>
        <w:tc>
          <w:tcPr>
            <w:tcW w:w="2910" w:type="dxa"/>
            <w:noWrap/>
            <w:vAlign w:val="center"/>
          </w:tcPr>
          <w:p w:rsidR="00CE5A2E" w:rsidRDefault="00CE5A2E" w:rsidP="003C6AD6">
            <w:pPr>
              <w:pStyle w:val="affffffffff0"/>
            </w:pPr>
            <w:r>
              <w:t>100</w:t>
            </w:r>
            <w:r>
              <w:rPr>
                <w:rFonts w:hint="eastAsia"/>
              </w:rPr>
              <w:t>.00</w:t>
            </w:r>
          </w:p>
        </w:tc>
      </w:tr>
      <w:tr w:rsidR="00CE5A2E" w:rsidTr="00CE5A2E">
        <w:trPr>
          <w:trHeight w:hRule="exact" w:val="284"/>
          <w:jc w:val="center"/>
        </w:trPr>
        <w:tc>
          <w:tcPr>
            <w:tcW w:w="2757" w:type="dxa"/>
            <w:gridSpan w:val="2"/>
            <w:vAlign w:val="center"/>
          </w:tcPr>
          <w:p w:rsidR="00CE5A2E" w:rsidRDefault="00CE5A2E" w:rsidP="00CE5A2E">
            <w:pPr>
              <w:pStyle w:val="affffffffff0"/>
            </w:pPr>
            <w:r>
              <w:t>总矿化度</w:t>
            </w:r>
            <w:r>
              <w:t xml:space="preserve">     </w:t>
            </w:r>
            <w:r>
              <w:rPr>
                <w:rFonts w:hint="eastAsia"/>
              </w:rPr>
              <w:t>（</w:t>
            </w:r>
            <w:r>
              <w:t>mg/L</w:t>
            </w:r>
            <w:r>
              <w:rPr>
                <w:rFonts w:hint="eastAsia"/>
              </w:rPr>
              <w:t>）</w:t>
            </w:r>
          </w:p>
        </w:tc>
        <w:tc>
          <w:tcPr>
            <w:tcW w:w="6202" w:type="dxa"/>
            <w:gridSpan w:val="3"/>
            <w:noWrap/>
            <w:vAlign w:val="center"/>
          </w:tcPr>
          <w:p w:rsidR="00CE5A2E" w:rsidRDefault="00CE5A2E" w:rsidP="003C6AD6">
            <w:pPr>
              <w:pStyle w:val="affffffffff0"/>
            </w:pPr>
            <w:r>
              <w:rPr>
                <w:rFonts w:hint="eastAsia"/>
              </w:rPr>
              <w:t>21730</w:t>
            </w:r>
          </w:p>
        </w:tc>
      </w:tr>
      <w:tr w:rsidR="00CE5A2E" w:rsidTr="00CE5A2E">
        <w:trPr>
          <w:trHeight w:hRule="exact" w:val="284"/>
          <w:jc w:val="center"/>
        </w:trPr>
        <w:tc>
          <w:tcPr>
            <w:tcW w:w="2757" w:type="dxa"/>
            <w:gridSpan w:val="2"/>
            <w:noWrap/>
            <w:vAlign w:val="center"/>
          </w:tcPr>
          <w:p w:rsidR="00CE5A2E" w:rsidRDefault="00CE5A2E" w:rsidP="003C6AD6">
            <w:pPr>
              <w:pStyle w:val="affffffffff0"/>
            </w:pPr>
            <w:r>
              <w:rPr>
                <w:rFonts w:hint="eastAsia"/>
              </w:rPr>
              <w:t>硫化物</w:t>
            </w:r>
            <w:r>
              <w:rPr>
                <w:rFonts w:hint="eastAsia"/>
              </w:rPr>
              <w:t xml:space="preserve">      </w:t>
            </w:r>
            <w:r>
              <w:rPr>
                <w:rFonts w:hint="eastAsia"/>
              </w:rPr>
              <w:t>（</w:t>
            </w:r>
            <w:r>
              <w:t>mg/L</w:t>
            </w:r>
            <w:r>
              <w:rPr>
                <w:rFonts w:hint="eastAsia"/>
              </w:rPr>
              <w:t>）</w:t>
            </w:r>
          </w:p>
        </w:tc>
        <w:tc>
          <w:tcPr>
            <w:tcW w:w="6202" w:type="dxa"/>
            <w:gridSpan w:val="3"/>
            <w:noWrap/>
            <w:vAlign w:val="center"/>
          </w:tcPr>
          <w:p w:rsidR="00CE5A2E" w:rsidRDefault="00CE5A2E" w:rsidP="003C6AD6">
            <w:pPr>
              <w:pStyle w:val="affffffffff0"/>
            </w:pPr>
            <w:r>
              <w:rPr>
                <w:rFonts w:hint="eastAsia"/>
              </w:rPr>
              <w:t>0.0</w:t>
            </w:r>
          </w:p>
        </w:tc>
      </w:tr>
      <w:tr w:rsidR="00CE5A2E" w:rsidTr="00CE5A2E">
        <w:trPr>
          <w:trHeight w:hRule="exact" w:val="284"/>
          <w:jc w:val="center"/>
        </w:trPr>
        <w:tc>
          <w:tcPr>
            <w:tcW w:w="2757" w:type="dxa"/>
            <w:gridSpan w:val="2"/>
            <w:noWrap/>
            <w:vAlign w:val="center"/>
          </w:tcPr>
          <w:p w:rsidR="00CE5A2E" w:rsidRDefault="00CE5A2E" w:rsidP="003C6AD6">
            <w:pPr>
              <w:pStyle w:val="affffffffff0"/>
            </w:pPr>
            <w:r>
              <w:t>成</w:t>
            </w:r>
            <w:r>
              <w:t xml:space="preserve"> </w:t>
            </w:r>
            <w:r>
              <w:t>因</w:t>
            </w:r>
            <w:r>
              <w:t xml:space="preserve"> </w:t>
            </w:r>
            <w:r>
              <w:t>系</w:t>
            </w:r>
            <w:r>
              <w:t xml:space="preserve"> </w:t>
            </w:r>
            <w:r>
              <w:t>数</w:t>
            </w:r>
          </w:p>
        </w:tc>
        <w:tc>
          <w:tcPr>
            <w:tcW w:w="6202" w:type="dxa"/>
            <w:gridSpan w:val="3"/>
            <w:noWrap/>
            <w:vAlign w:val="center"/>
          </w:tcPr>
          <w:p w:rsidR="00CE5A2E" w:rsidRDefault="00CE5A2E" w:rsidP="00CE5A2E">
            <w:pPr>
              <w:pStyle w:val="affffffffff0"/>
            </w:pPr>
            <w:r>
              <w:rPr>
                <w:rFonts w:hint="eastAsia"/>
              </w:rPr>
              <w:t>（</w:t>
            </w:r>
            <w:r>
              <w:t>Cl</w:t>
            </w:r>
            <w:r>
              <w:rPr>
                <w:vertAlign w:val="superscript"/>
              </w:rPr>
              <w:t>-</w:t>
            </w:r>
            <w:r>
              <w:t>-Na</w:t>
            </w:r>
            <w:r>
              <w:rPr>
                <w:vertAlign w:val="superscript"/>
              </w:rPr>
              <w:t>+</w:t>
            </w:r>
            <w:r>
              <w:rPr>
                <w:rFonts w:hint="eastAsia"/>
              </w:rPr>
              <w:t>）</w:t>
            </w:r>
            <w:r>
              <w:t>/2Mg</w:t>
            </w:r>
            <w:r>
              <w:rPr>
                <w:vertAlign w:val="superscript"/>
              </w:rPr>
              <w:t>2+</w:t>
            </w:r>
            <w:r>
              <w:t>=</w:t>
            </w:r>
            <w:r>
              <w:rPr>
                <w:rFonts w:hint="eastAsia"/>
              </w:rPr>
              <w:t>1.02</w:t>
            </w:r>
          </w:p>
        </w:tc>
      </w:tr>
      <w:tr w:rsidR="00CE5A2E" w:rsidTr="00CE5A2E">
        <w:trPr>
          <w:trHeight w:hRule="exact" w:val="284"/>
          <w:jc w:val="center"/>
        </w:trPr>
        <w:tc>
          <w:tcPr>
            <w:tcW w:w="2757" w:type="dxa"/>
            <w:gridSpan w:val="2"/>
            <w:shd w:val="clear" w:color="auto" w:fill="auto"/>
            <w:noWrap/>
            <w:vAlign w:val="center"/>
          </w:tcPr>
          <w:p w:rsidR="00CE5A2E" w:rsidRDefault="00CE5A2E" w:rsidP="003C6AD6">
            <w:pPr>
              <w:pStyle w:val="affffffffff0"/>
            </w:pPr>
            <w:r>
              <w:t>水</w:t>
            </w:r>
            <w:r>
              <w:t xml:space="preserve"> </w:t>
            </w:r>
            <w:r>
              <w:t>型</w:t>
            </w:r>
            <w:r>
              <w:t xml:space="preserve"> </w:t>
            </w:r>
            <w:r>
              <w:t>分</w:t>
            </w:r>
            <w:r>
              <w:t xml:space="preserve"> </w:t>
            </w:r>
            <w:r>
              <w:t>类</w:t>
            </w:r>
          </w:p>
        </w:tc>
        <w:tc>
          <w:tcPr>
            <w:tcW w:w="6202" w:type="dxa"/>
            <w:gridSpan w:val="3"/>
            <w:shd w:val="clear" w:color="000000" w:fill="FFFFFF"/>
            <w:noWrap/>
            <w:vAlign w:val="center"/>
          </w:tcPr>
          <w:p w:rsidR="00CE5A2E" w:rsidRDefault="00CE5A2E" w:rsidP="003C6AD6">
            <w:pPr>
              <w:pStyle w:val="affffffffff0"/>
              <w:rPr>
                <w:color w:val="000000"/>
              </w:rPr>
            </w:pPr>
            <w:r>
              <w:rPr>
                <w:color w:val="000000"/>
              </w:rPr>
              <w:t>CaCl</w:t>
            </w:r>
            <w:r>
              <w:rPr>
                <w:color w:val="000000"/>
                <w:vertAlign w:val="subscript"/>
              </w:rPr>
              <w:t>2</w:t>
            </w:r>
          </w:p>
        </w:tc>
      </w:tr>
    </w:tbl>
    <w:p w:rsidR="00CE5A2E" w:rsidRPr="00CE5A2E" w:rsidRDefault="00CE5A2E" w:rsidP="00CE5A2E">
      <w:pPr>
        <w:ind w:firstLineChars="83" w:firstLine="199"/>
        <w:rPr>
          <w:rFonts w:ascii="Times New Roman" w:cs="Times New Roman"/>
        </w:rPr>
      </w:pPr>
      <w:r>
        <w:rPr>
          <w:rFonts w:ascii="Times New Roman" w:cs="Times New Roman" w:hint="eastAsia"/>
        </w:rPr>
        <w:t>采气站</w:t>
      </w:r>
      <w:r w:rsidRPr="00CE5A2E">
        <w:rPr>
          <w:rFonts w:ascii="Times New Roman" w:cs="Times New Roman" w:hint="eastAsia"/>
        </w:rPr>
        <w:t>用燃料气来自净化厂返输净化气。其物性和组分见表</w:t>
      </w:r>
      <w:r>
        <w:rPr>
          <w:rFonts w:ascii="Times New Roman" w:cs="Times New Roman" w:hint="eastAsia"/>
        </w:rPr>
        <w:t>3</w:t>
      </w:r>
      <w:r w:rsidRPr="00CE5A2E">
        <w:rPr>
          <w:rFonts w:ascii="Times New Roman" w:cs="Times New Roman" w:hint="eastAsia"/>
        </w:rPr>
        <w:t>.</w:t>
      </w:r>
      <w:r>
        <w:rPr>
          <w:rFonts w:ascii="Times New Roman" w:cs="Times New Roman" w:hint="eastAsia"/>
        </w:rPr>
        <w:t>3</w:t>
      </w:r>
      <w:r w:rsidRPr="00CE5A2E">
        <w:rPr>
          <w:rFonts w:ascii="Times New Roman" w:cs="Times New Roman" w:hint="eastAsia"/>
        </w:rPr>
        <w:t>-</w:t>
      </w:r>
      <w:r>
        <w:rPr>
          <w:rFonts w:ascii="Times New Roman" w:cs="Times New Roman" w:hint="eastAsia"/>
        </w:rPr>
        <w:t>4</w:t>
      </w:r>
      <w:r w:rsidRPr="00CE5A2E">
        <w:rPr>
          <w:rFonts w:ascii="Times New Roman" w:cs="Times New Roman" w:hint="eastAsia"/>
        </w:rPr>
        <w:t>。</w:t>
      </w:r>
    </w:p>
    <w:p w:rsidR="00CE5A2E" w:rsidRDefault="00CE5A2E" w:rsidP="00CE5A2E">
      <w:pPr>
        <w:ind w:firstLineChars="83" w:firstLine="199"/>
        <w:rPr>
          <w:rFonts w:ascii="Times New Roman" w:cs="Times New Roman"/>
        </w:rPr>
      </w:pPr>
      <w:r w:rsidRPr="00CE5A2E">
        <w:rPr>
          <w:rFonts w:ascii="Times New Roman" w:cs="Times New Roman"/>
        </w:rPr>
        <w:t>密度：</w:t>
      </w:r>
      <w:r w:rsidRPr="00CE5A2E">
        <w:rPr>
          <w:rFonts w:ascii="Times New Roman" w:cs="Times New Roman"/>
        </w:rPr>
        <w:t>0.6990kg/m</w:t>
      </w:r>
      <w:r w:rsidRPr="00CE5A2E">
        <w:rPr>
          <w:rFonts w:ascii="Times New Roman" w:cs="Times New Roman"/>
          <w:vertAlign w:val="superscript"/>
        </w:rPr>
        <w:t>3</w:t>
      </w:r>
      <w:r w:rsidRPr="00CE5A2E">
        <w:rPr>
          <w:rFonts w:ascii="Times New Roman" w:cs="Times New Roman"/>
        </w:rPr>
        <w:t xml:space="preserve">          </w:t>
      </w:r>
    </w:p>
    <w:p w:rsidR="00CE5A2E" w:rsidRPr="00CE5A2E" w:rsidRDefault="00CE5A2E" w:rsidP="00CE5A2E">
      <w:pPr>
        <w:ind w:firstLineChars="83" w:firstLine="199"/>
        <w:rPr>
          <w:rFonts w:ascii="Times New Roman" w:cs="Times New Roman"/>
        </w:rPr>
      </w:pPr>
      <w:r w:rsidRPr="00CE5A2E">
        <w:rPr>
          <w:rFonts w:ascii="Times New Roman" w:cs="Times New Roman"/>
        </w:rPr>
        <w:t>分子量：</w:t>
      </w:r>
      <w:r w:rsidRPr="00CE5A2E">
        <w:rPr>
          <w:rFonts w:ascii="Times New Roman" w:cs="Times New Roman"/>
        </w:rPr>
        <w:t>16.81</w:t>
      </w:r>
    </w:p>
    <w:p w:rsidR="00CE5A2E" w:rsidRDefault="00CE5A2E" w:rsidP="00CE5A2E">
      <w:pPr>
        <w:ind w:firstLineChars="83" w:firstLine="199"/>
        <w:rPr>
          <w:rFonts w:ascii="Times New Roman" w:cs="Times New Roman"/>
        </w:rPr>
      </w:pPr>
      <w:r w:rsidRPr="00CE5A2E">
        <w:rPr>
          <w:rFonts w:ascii="Times New Roman" w:cs="Times New Roman"/>
        </w:rPr>
        <w:t>燃料气温度：常温</w:t>
      </w:r>
      <w:r w:rsidRPr="00CE5A2E">
        <w:rPr>
          <w:rFonts w:ascii="Times New Roman" w:cs="Times New Roman"/>
        </w:rPr>
        <w:t xml:space="preserve">           </w:t>
      </w:r>
    </w:p>
    <w:p w:rsidR="00CE5A2E" w:rsidRPr="00CE5A2E" w:rsidRDefault="00CE5A2E" w:rsidP="00CE5A2E">
      <w:pPr>
        <w:ind w:firstLineChars="83" w:firstLine="199"/>
        <w:rPr>
          <w:rFonts w:ascii="Times New Roman" w:cs="Times New Roman"/>
        </w:rPr>
      </w:pPr>
      <w:r w:rsidRPr="00CE5A2E">
        <w:rPr>
          <w:rFonts w:ascii="Times New Roman" w:cs="Times New Roman"/>
        </w:rPr>
        <w:t>H</w:t>
      </w:r>
      <w:r w:rsidRPr="00CE5A2E">
        <w:rPr>
          <w:rFonts w:ascii="Times New Roman" w:cs="Times New Roman"/>
          <w:vertAlign w:val="subscript"/>
        </w:rPr>
        <w:t>2</w:t>
      </w:r>
      <w:r w:rsidRPr="00CE5A2E">
        <w:rPr>
          <w:rFonts w:ascii="Times New Roman" w:cs="Times New Roman"/>
        </w:rPr>
        <w:t>S</w:t>
      </w:r>
      <w:r w:rsidRPr="00CE5A2E">
        <w:rPr>
          <w:rFonts w:ascii="Times New Roman" w:cs="Times New Roman"/>
        </w:rPr>
        <w:t>含量：</w:t>
      </w:r>
      <w:r w:rsidRPr="00CE5A2E">
        <w:rPr>
          <w:rFonts w:ascii="Times New Roman" w:cs="Times New Roman"/>
        </w:rPr>
        <w:t>≤6mg/m</w:t>
      </w:r>
      <w:r w:rsidRPr="00CE5A2E">
        <w:rPr>
          <w:rFonts w:ascii="Times New Roman" w:cs="Times New Roman"/>
          <w:vertAlign w:val="superscript"/>
        </w:rPr>
        <w:t>3</w:t>
      </w:r>
      <w:r w:rsidRPr="00CE5A2E">
        <w:rPr>
          <w:rFonts w:ascii="Times New Roman" w:cs="Times New Roman"/>
        </w:rPr>
        <w:t>（相当于</w:t>
      </w:r>
      <w:r w:rsidRPr="00CE5A2E">
        <w:rPr>
          <w:rFonts w:ascii="Times New Roman" w:cs="Times New Roman"/>
        </w:rPr>
        <w:t>4ppm</w:t>
      </w:r>
      <w:r w:rsidRPr="00CE5A2E">
        <w:rPr>
          <w:rFonts w:ascii="Times New Roman" w:cs="Times New Roman"/>
        </w:rPr>
        <w:t>）；</w:t>
      </w:r>
    </w:p>
    <w:p w:rsidR="00CE5A2E" w:rsidRDefault="00CE5A2E" w:rsidP="00CE5A2E">
      <w:pPr>
        <w:ind w:firstLineChars="83" w:firstLine="199"/>
        <w:rPr>
          <w:rFonts w:ascii="Times New Roman" w:cs="Times New Roman"/>
        </w:rPr>
      </w:pPr>
      <w:r w:rsidRPr="00CE5A2E">
        <w:rPr>
          <w:rFonts w:ascii="Times New Roman" w:cs="Times New Roman"/>
        </w:rPr>
        <w:lastRenderedPageBreak/>
        <w:t>总</w:t>
      </w:r>
      <w:r w:rsidRPr="00CE5A2E">
        <w:rPr>
          <w:rFonts w:ascii="Times New Roman" w:cs="Times New Roman"/>
        </w:rPr>
        <w:t>S</w:t>
      </w:r>
      <w:r w:rsidRPr="00CE5A2E">
        <w:rPr>
          <w:rFonts w:ascii="Times New Roman" w:cs="Times New Roman"/>
        </w:rPr>
        <w:t>含量：</w:t>
      </w:r>
      <w:r w:rsidRPr="00CE5A2E">
        <w:rPr>
          <w:rFonts w:ascii="Times New Roman" w:cs="Times New Roman"/>
        </w:rPr>
        <w:t>≤200mg/m</w:t>
      </w:r>
      <w:r w:rsidRPr="00CE5A2E">
        <w:rPr>
          <w:rFonts w:ascii="Times New Roman" w:cs="Times New Roman"/>
          <w:vertAlign w:val="superscript"/>
        </w:rPr>
        <w:t>3</w:t>
      </w:r>
      <w:r w:rsidRPr="00CE5A2E">
        <w:rPr>
          <w:rFonts w:ascii="Times New Roman" w:cs="Times New Roman"/>
        </w:rPr>
        <w:t xml:space="preserve">      </w:t>
      </w:r>
    </w:p>
    <w:p w:rsidR="00CE5A2E" w:rsidRPr="00CE5A2E" w:rsidRDefault="00CE5A2E" w:rsidP="00CE5A2E">
      <w:pPr>
        <w:ind w:firstLineChars="83" w:firstLine="199"/>
        <w:rPr>
          <w:rFonts w:ascii="Times New Roman" w:cs="Times New Roman"/>
        </w:rPr>
      </w:pPr>
      <w:r w:rsidRPr="00CE5A2E">
        <w:rPr>
          <w:rFonts w:ascii="Times New Roman" w:cs="Times New Roman"/>
        </w:rPr>
        <w:t>水露点：</w:t>
      </w:r>
      <w:r w:rsidRPr="00CE5A2E">
        <w:rPr>
          <w:rFonts w:ascii="Times New Roman" w:cs="Times New Roman"/>
        </w:rPr>
        <w:t>≤-15</w:t>
      </w:r>
      <w:r w:rsidRPr="00CE5A2E">
        <w:rPr>
          <w:rFonts w:ascii="Times New Roman" w:cs="Times New Roman" w:hint="eastAsia"/>
        </w:rPr>
        <w:t>℃</w:t>
      </w:r>
    </w:p>
    <w:p w:rsidR="00CE5A2E" w:rsidRPr="00CE5A2E" w:rsidRDefault="00CE5A2E" w:rsidP="00CE5A2E">
      <w:pPr>
        <w:ind w:firstLineChars="83" w:firstLine="199"/>
        <w:rPr>
          <w:rFonts w:ascii="Times New Roman" w:cs="Times New Roman"/>
        </w:rPr>
      </w:pPr>
      <w:r w:rsidRPr="00CE5A2E">
        <w:rPr>
          <w:rFonts w:ascii="Times New Roman" w:cs="Times New Roman"/>
        </w:rPr>
        <w:t>烃露点：</w:t>
      </w:r>
      <w:r w:rsidRPr="00CE5A2E">
        <w:rPr>
          <w:rFonts w:ascii="Times New Roman" w:cs="Times New Roman"/>
        </w:rPr>
        <w:t>≤-15</w:t>
      </w:r>
      <w:r w:rsidRPr="00CE5A2E">
        <w:rPr>
          <w:rFonts w:ascii="Times New Roman" w:cs="Times New Roman" w:hint="eastAsia"/>
        </w:rPr>
        <w:t>℃</w:t>
      </w:r>
    </w:p>
    <w:p w:rsidR="00CE5A2E" w:rsidRDefault="00CE5A2E" w:rsidP="00CE5A2E">
      <w:pPr>
        <w:pStyle w:val="10"/>
        <w:rPr>
          <w:rFonts w:cs="Times New Roman"/>
        </w:rPr>
      </w:pPr>
      <w:r w:rsidRPr="00D630D1">
        <w:rPr>
          <w:rFonts w:cs="Times New Roman"/>
        </w:rPr>
        <w:t>表</w:t>
      </w:r>
      <w:r w:rsidRPr="00D630D1">
        <w:rPr>
          <w:rFonts w:cs="Times New Roman"/>
        </w:rPr>
        <w:t>3.3-</w:t>
      </w:r>
      <w:r>
        <w:rPr>
          <w:rFonts w:cs="Times New Roman" w:hint="eastAsia"/>
        </w:rPr>
        <w:t>4</w:t>
      </w:r>
      <w:r w:rsidRPr="00D630D1">
        <w:rPr>
          <w:rFonts w:cs="Times New Roman"/>
        </w:rPr>
        <w:t xml:space="preserve">  </w:t>
      </w:r>
      <w:r>
        <w:rPr>
          <w:snapToGrid w:val="0"/>
        </w:rPr>
        <w:t>燃料气组分表</w:t>
      </w:r>
    </w:p>
    <w:tbl>
      <w:tblPr>
        <w:tblW w:w="8959"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2925"/>
        <w:gridCol w:w="2925"/>
        <w:gridCol w:w="3109"/>
      </w:tblGrid>
      <w:tr w:rsidR="00CE5A2E" w:rsidTr="00CE5A2E">
        <w:trPr>
          <w:trHeight w:hRule="exact" w:val="284"/>
          <w:tblHeader/>
          <w:jc w:val="center"/>
        </w:trPr>
        <w:tc>
          <w:tcPr>
            <w:tcW w:w="2420" w:type="dxa"/>
            <w:vAlign w:val="center"/>
          </w:tcPr>
          <w:p w:rsidR="00CE5A2E" w:rsidRDefault="00CE5A2E" w:rsidP="003C6AD6">
            <w:pPr>
              <w:pStyle w:val="affffffffff0"/>
            </w:pPr>
            <w:r>
              <w:t>组分</w:t>
            </w:r>
          </w:p>
        </w:tc>
        <w:tc>
          <w:tcPr>
            <w:tcW w:w="2420" w:type="dxa"/>
            <w:vAlign w:val="center"/>
          </w:tcPr>
          <w:p w:rsidR="00CE5A2E" w:rsidRDefault="00CE5A2E" w:rsidP="003C6AD6">
            <w:pPr>
              <w:pStyle w:val="affffffffff0"/>
            </w:pPr>
            <w:r>
              <w:t>分子量</w:t>
            </w:r>
          </w:p>
        </w:tc>
        <w:tc>
          <w:tcPr>
            <w:tcW w:w="2572" w:type="dxa"/>
            <w:vAlign w:val="center"/>
          </w:tcPr>
          <w:p w:rsidR="00CE5A2E" w:rsidRDefault="00CE5A2E" w:rsidP="003C6AD6">
            <w:pPr>
              <w:pStyle w:val="affffffffff0"/>
            </w:pPr>
            <w:r>
              <w:t>摩尔分率</w:t>
            </w:r>
          </w:p>
          <w:p w:rsidR="00CE5A2E" w:rsidRDefault="00CE5A2E" w:rsidP="003C6AD6">
            <w:pPr>
              <w:pStyle w:val="affffffffff0"/>
            </w:pPr>
            <w:r>
              <w:t>（</w:t>
            </w:r>
            <w:r>
              <w:t>mol%</w:t>
            </w:r>
            <w:r>
              <w:t>）</w:t>
            </w:r>
          </w:p>
        </w:tc>
      </w:tr>
      <w:tr w:rsidR="00CE5A2E" w:rsidTr="00CE5A2E">
        <w:trPr>
          <w:trHeight w:hRule="exact" w:val="284"/>
          <w:jc w:val="center"/>
        </w:trPr>
        <w:tc>
          <w:tcPr>
            <w:tcW w:w="2420" w:type="dxa"/>
            <w:vAlign w:val="center"/>
          </w:tcPr>
          <w:p w:rsidR="00CE5A2E" w:rsidRDefault="00CE5A2E" w:rsidP="003C6AD6">
            <w:pPr>
              <w:pStyle w:val="affffffffff0"/>
            </w:pPr>
            <w:r>
              <w:t>H</w:t>
            </w:r>
            <w:r>
              <w:rPr>
                <w:vertAlign w:val="subscript"/>
              </w:rPr>
              <w:t>2</w:t>
            </w:r>
          </w:p>
        </w:tc>
        <w:tc>
          <w:tcPr>
            <w:tcW w:w="2420" w:type="dxa"/>
            <w:vAlign w:val="center"/>
          </w:tcPr>
          <w:p w:rsidR="00CE5A2E" w:rsidRDefault="00CE5A2E" w:rsidP="003C6AD6">
            <w:pPr>
              <w:pStyle w:val="affffffffff0"/>
            </w:pPr>
            <w:r>
              <w:t>2.016</w:t>
            </w:r>
          </w:p>
        </w:tc>
        <w:tc>
          <w:tcPr>
            <w:tcW w:w="2572" w:type="dxa"/>
            <w:vAlign w:val="center"/>
          </w:tcPr>
          <w:p w:rsidR="00CE5A2E" w:rsidRDefault="00CE5A2E" w:rsidP="003C6AD6">
            <w:pPr>
              <w:pStyle w:val="affffffffff0"/>
            </w:pPr>
            <w:r>
              <w:t>0.025467</w:t>
            </w:r>
          </w:p>
        </w:tc>
      </w:tr>
      <w:tr w:rsidR="00CE5A2E" w:rsidTr="00CE5A2E">
        <w:trPr>
          <w:trHeight w:hRule="exact" w:val="284"/>
          <w:jc w:val="center"/>
        </w:trPr>
        <w:tc>
          <w:tcPr>
            <w:tcW w:w="2420" w:type="dxa"/>
            <w:vAlign w:val="center"/>
          </w:tcPr>
          <w:p w:rsidR="00CE5A2E" w:rsidRDefault="00CE5A2E" w:rsidP="003C6AD6">
            <w:pPr>
              <w:pStyle w:val="affffffffff0"/>
            </w:pPr>
            <w:r>
              <w:t>N</w:t>
            </w:r>
            <w:r>
              <w:rPr>
                <w:vertAlign w:val="subscript"/>
              </w:rPr>
              <w:t>2</w:t>
            </w:r>
          </w:p>
        </w:tc>
        <w:tc>
          <w:tcPr>
            <w:tcW w:w="2420" w:type="dxa"/>
            <w:vAlign w:val="center"/>
          </w:tcPr>
          <w:p w:rsidR="00CE5A2E" w:rsidRDefault="00CE5A2E" w:rsidP="003C6AD6">
            <w:pPr>
              <w:pStyle w:val="affffffffff0"/>
            </w:pPr>
            <w:r>
              <w:t>28.014</w:t>
            </w:r>
          </w:p>
        </w:tc>
        <w:tc>
          <w:tcPr>
            <w:tcW w:w="2572" w:type="dxa"/>
            <w:vAlign w:val="center"/>
          </w:tcPr>
          <w:p w:rsidR="00CE5A2E" w:rsidRDefault="00CE5A2E" w:rsidP="003C6AD6">
            <w:pPr>
              <w:pStyle w:val="affffffffff0"/>
            </w:pPr>
            <w:r>
              <w:t>0.705685</w:t>
            </w:r>
          </w:p>
        </w:tc>
      </w:tr>
      <w:tr w:rsidR="00CE5A2E" w:rsidTr="00CE5A2E">
        <w:trPr>
          <w:trHeight w:hRule="exact" w:val="284"/>
          <w:jc w:val="center"/>
        </w:trPr>
        <w:tc>
          <w:tcPr>
            <w:tcW w:w="2420" w:type="dxa"/>
            <w:vAlign w:val="center"/>
          </w:tcPr>
          <w:p w:rsidR="00CE5A2E" w:rsidRDefault="00CE5A2E" w:rsidP="003C6AD6">
            <w:pPr>
              <w:pStyle w:val="affffffffff0"/>
            </w:pPr>
            <w:r>
              <w:t>CO</w:t>
            </w:r>
            <w:r>
              <w:rPr>
                <w:vertAlign w:val="subscript"/>
              </w:rPr>
              <w:t>2</w:t>
            </w:r>
          </w:p>
        </w:tc>
        <w:tc>
          <w:tcPr>
            <w:tcW w:w="2420" w:type="dxa"/>
            <w:vAlign w:val="center"/>
          </w:tcPr>
          <w:p w:rsidR="00CE5A2E" w:rsidRDefault="00CE5A2E" w:rsidP="003C6AD6">
            <w:pPr>
              <w:pStyle w:val="affffffffff0"/>
            </w:pPr>
            <w:r>
              <w:t>44.011</w:t>
            </w:r>
          </w:p>
        </w:tc>
        <w:tc>
          <w:tcPr>
            <w:tcW w:w="2572" w:type="dxa"/>
            <w:vAlign w:val="center"/>
          </w:tcPr>
          <w:p w:rsidR="00CE5A2E" w:rsidRDefault="00CE5A2E" w:rsidP="003C6AD6">
            <w:pPr>
              <w:pStyle w:val="affffffffff0"/>
            </w:pPr>
            <w:r>
              <w:t>2.02909</w:t>
            </w:r>
          </w:p>
        </w:tc>
      </w:tr>
      <w:tr w:rsidR="00CE5A2E" w:rsidTr="00CE5A2E">
        <w:trPr>
          <w:trHeight w:hRule="exact" w:val="284"/>
          <w:jc w:val="center"/>
        </w:trPr>
        <w:tc>
          <w:tcPr>
            <w:tcW w:w="2420" w:type="dxa"/>
            <w:vAlign w:val="center"/>
          </w:tcPr>
          <w:p w:rsidR="00CE5A2E" w:rsidRDefault="00CE5A2E" w:rsidP="003C6AD6">
            <w:pPr>
              <w:pStyle w:val="affffffffff0"/>
            </w:pPr>
            <w:r>
              <w:t>H</w:t>
            </w:r>
            <w:r>
              <w:rPr>
                <w:vertAlign w:val="subscript"/>
              </w:rPr>
              <w:t>2</w:t>
            </w:r>
            <w:r>
              <w:t>S</w:t>
            </w:r>
          </w:p>
        </w:tc>
        <w:tc>
          <w:tcPr>
            <w:tcW w:w="2420" w:type="dxa"/>
            <w:vAlign w:val="center"/>
          </w:tcPr>
          <w:p w:rsidR="00CE5A2E" w:rsidRDefault="00CE5A2E" w:rsidP="003C6AD6">
            <w:pPr>
              <w:pStyle w:val="affffffffff0"/>
            </w:pPr>
            <w:r>
              <w:t>34.08</w:t>
            </w:r>
          </w:p>
        </w:tc>
        <w:tc>
          <w:tcPr>
            <w:tcW w:w="2572" w:type="dxa"/>
            <w:vAlign w:val="center"/>
          </w:tcPr>
          <w:p w:rsidR="00CE5A2E" w:rsidRDefault="00CE5A2E" w:rsidP="003C6AD6">
            <w:pPr>
              <w:pStyle w:val="affffffffff0"/>
            </w:pPr>
            <w:r>
              <w:t>6mg/Nm</w:t>
            </w:r>
            <w:r>
              <w:rPr>
                <w:vertAlign w:val="superscript"/>
              </w:rPr>
              <w:t>3</w:t>
            </w:r>
          </w:p>
        </w:tc>
      </w:tr>
      <w:tr w:rsidR="00CE5A2E" w:rsidTr="00CE5A2E">
        <w:trPr>
          <w:trHeight w:hRule="exact" w:val="284"/>
          <w:jc w:val="center"/>
        </w:trPr>
        <w:tc>
          <w:tcPr>
            <w:tcW w:w="2420" w:type="dxa"/>
            <w:vAlign w:val="center"/>
          </w:tcPr>
          <w:p w:rsidR="00CE5A2E" w:rsidRDefault="00CE5A2E" w:rsidP="003C6AD6">
            <w:pPr>
              <w:pStyle w:val="affffffffff0"/>
            </w:pPr>
            <w:r>
              <w:t>COS</w:t>
            </w:r>
          </w:p>
        </w:tc>
        <w:tc>
          <w:tcPr>
            <w:tcW w:w="2420" w:type="dxa"/>
            <w:vAlign w:val="center"/>
          </w:tcPr>
          <w:p w:rsidR="00CE5A2E" w:rsidRDefault="00CE5A2E" w:rsidP="003C6AD6">
            <w:pPr>
              <w:pStyle w:val="affffffffff0"/>
            </w:pPr>
            <w:r>
              <w:t>60.075</w:t>
            </w:r>
          </w:p>
        </w:tc>
        <w:tc>
          <w:tcPr>
            <w:tcW w:w="2572" w:type="dxa"/>
            <w:vAlign w:val="center"/>
          </w:tcPr>
          <w:p w:rsidR="00CE5A2E" w:rsidRDefault="00CE5A2E" w:rsidP="003C6AD6">
            <w:pPr>
              <w:pStyle w:val="affffffffff0"/>
            </w:pPr>
            <w:r>
              <w:t>0.002559</w:t>
            </w:r>
          </w:p>
        </w:tc>
      </w:tr>
      <w:tr w:rsidR="00CE5A2E" w:rsidTr="00CE5A2E">
        <w:trPr>
          <w:trHeight w:hRule="exact" w:val="284"/>
          <w:jc w:val="center"/>
        </w:trPr>
        <w:tc>
          <w:tcPr>
            <w:tcW w:w="2420" w:type="dxa"/>
            <w:vAlign w:val="center"/>
          </w:tcPr>
          <w:p w:rsidR="00CE5A2E" w:rsidRDefault="00CE5A2E" w:rsidP="003C6AD6">
            <w:pPr>
              <w:pStyle w:val="affffffffff0"/>
            </w:pPr>
            <w:r>
              <w:t>H</w:t>
            </w:r>
            <w:r>
              <w:rPr>
                <w:vertAlign w:val="subscript"/>
              </w:rPr>
              <w:t>2</w:t>
            </w:r>
            <w:r>
              <w:t>O</w:t>
            </w:r>
          </w:p>
        </w:tc>
        <w:tc>
          <w:tcPr>
            <w:tcW w:w="2420" w:type="dxa"/>
            <w:vAlign w:val="center"/>
          </w:tcPr>
          <w:p w:rsidR="00CE5A2E" w:rsidRDefault="00CE5A2E" w:rsidP="003C6AD6">
            <w:pPr>
              <w:pStyle w:val="affffffffff0"/>
            </w:pPr>
            <w:r>
              <w:t>18.016</w:t>
            </w:r>
          </w:p>
        </w:tc>
        <w:tc>
          <w:tcPr>
            <w:tcW w:w="2572" w:type="dxa"/>
            <w:vAlign w:val="center"/>
          </w:tcPr>
          <w:p w:rsidR="00CE5A2E" w:rsidRDefault="00CE5A2E" w:rsidP="003C6AD6">
            <w:pPr>
              <w:pStyle w:val="affffffffff0"/>
            </w:pPr>
            <w:r>
              <w:t>0.00358</w:t>
            </w:r>
          </w:p>
        </w:tc>
      </w:tr>
      <w:tr w:rsidR="00CE5A2E" w:rsidTr="00CE5A2E">
        <w:trPr>
          <w:trHeight w:hRule="exact" w:val="284"/>
          <w:jc w:val="center"/>
        </w:trPr>
        <w:tc>
          <w:tcPr>
            <w:tcW w:w="2420" w:type="dxa"/>
            <w:vAlign w:val="center"/>
          </w:tcPr>
          <w:p w:rsidR="00CE5A2E" w:rsidRDefault="00CE5A2E" w:rsidP="003C6AD6">
            <w:pPr>
              <w:pStyle w:val="affffffffff0"/>
            </w:pPr>
            <w:r>
              <w:t>CH</w:t>
            </w:r>
            <w:r>
              <w:rPr>
                <w:vertAlign w:val="subscript"/>
              </w:rPr>
              <w:t>4</w:t>
            </w:r>
          </w:p>
        </w:tc>
        <w:tc>
          <w:tcPr>
            <w:tcW w:w="2420" w:type="dxa"/>
            <w:vAlign w:val="center"/>
          </w:tcPr>
          <w:p w:rsidR="00CE5A2E" w:rsidRDefault="00CE5A2E" w:rsidP="003C6AD6">
            <w:pPr>
              <w:pStyle w:val="affffffffff0"/>
            </w:pPr>
            <w:r>
              <w:t>16.043</w:t>
            </w:r>
          </w:p>
        </w:tc>
        <w:tc>
          <w:tcPr>
            <w:tcW w:w="2572" w:type="dxa"/>
            <w:vAlign w:val="center"/>
          </w:tcPr>
          <w:p w:rsidR="00CE5A2E" w:rsidRDefault="00CE5A2E" w:rsidP="003C6AD6">
            <w:pPr>
              <w:pStyle w:val="affffffffff0"/>
            </w:pPr>
            <w:r>
              <w:t>97.058</w:t>
            </w:r>
          </w:p>
        </w:tc>
      </w:tr>
      <w:tr w:rsidR="00CE5A2E" w:rsidTr="00CE5A2E">
        <w:trPr>
          <w:trHeight w:hRule="exact" w:val="284"/>
          <w:jc w:val="center"/>
        </w:trPr>
        <w:tc>
          <w:tcPr>
            <w:tcW w:w="2420" w:type="dxa"/>
            <w:vAlign w:val="center"/>
          </w:tcPr>
          <w:p w:rsidR="00CE5A2E" w:rsidRDefault="00CE5A2E" w:rsidP="003C6AD6">
            <w:pPr>
              <w:pStyle w:val="affffffffff0"/>
            </w:pPr>
            <w:r>
              <w:t>C</w:t>
            </w:r>
            <w:r>
              <w:rPr>
                <w:vertAlign w:val="subscript"/>
              </w:rPr>
              <w:t>2</w:t>
            </w:r>
            <w:r>
              <w:t>H</w:t>
            </w:r>
            <w:r>
              <w:rPr>
                <w:vertAlign w:val="subscript"/>
              </w:rPr>
              <w:t>6</w:t>
            </w:r>
          </w:p>
        </w:tc>
        <w:tc>
          <w:tcPr>
            <w:tcW w:w="2420" w:type="dxa"/>
            <w:vAlign w:val="center"/>
          </w:tcPr>
          <w:p w:rsidR="00CE5A2E" w:rsidRDefault="00CE5A2E" w:rsidP="003C6AD6">
            <w:pPr>
              <w:pStyle w:val="affffffffff0"/>
            </w:pPr>
            <w:r>
              <w:t>30.07</w:t>
            </w:r>
          </w:p>
        </w:tc>
        <w:tc>
          <w:tcPr>
            <w:tcW w:w="2572" w:type="dxa"/>
            <w:vAlign w:val="center"/>
          </w:tcPr>
          <w:p w:rsidR="00CE5A2E" w:rsidRDefault="00CE5A2E" w:rsidP="003C6AD6">
            <w:pPr>
              <w:pStyle w:val="affffffffff0"/>
            </w:pPr>
            <w:r>
              <w:t>0.152185</w:t>
            </w:r>
          </w:p>
        </w:tc>
      </w:tr>
      <w:tr w:rsidR="00CE5A2E" w:rsidTr="00CE5A2E">
        <w:trPr>
          <w:trHeight w:hRule="exact" w:val="284"/>
          <w:jc w:val="center"/>
        </w:trPr>
        <w:tc>
          <w:tcPr>
            <w:tcW w:w="2420" w:type="dxa"/>
            <w:vAlign w:val="center"/>
          </w:tcPr>
          <w:p w:rsidR="00CE5A2E" w:rsidRDefault="00CE5A2E" w:rsidP="003C6AD6">
            <w:pPr>
              <w:pStyle w:val="affffffffff0"/>
            </w:pPr>
            <w:r>
              <w:t>C</w:t>
            </w:r>
            <w:r>
              <w:rPr>
                <w:vertAlign w:val="subscript"/>
              </w:rPr>
              <w:t>3</w:t>
            </w:r>
            <w:r>
              <w:t>H</w:t>
            </w:r>
            <w:r>
              <w:rPr>
                <w:vertAlign w:val="subscript"/>
              </w:rPr>
              <w:t>8</w:t>
            </w:r>
          </w:p>
        </w:tc>
        <w:tc>
          <w:tcPr>
            <w:tcW w:w="2420" w:type="dxa"/>
            <w:vAlign w:val="center"/>
          </w:tcPr>
          <w:p w:rsidR="00CE5A2E" w:rsidRDefault="00CE5A2E" w:rsidP="003C6AD6">
            <w:pPr>
              <w:pStyle w:val="affffffffff0"/>
            </w:pPr>
            <w:r>
              <w:t>44.097</w:t>
            </w:r>
          </w:p>
        </w:tc>
        <w:tc>
          <w:tcPr>
            <w:tcW w:w="2572" w:type="dxa"/>
            <w:vAlign w:val="center"/>
          </w:tcPr>
          <w:p w:rsidR="00CE5A2E" w:rsidRDefault="00CE5A2E" w:rsidP="003C6AD6">
            <w:pPr>
              <w:pStyle w:val="affffffffff0"/>
            </w:pPr>
            <w:r>
              <w:t>0.010113</w:t>
            </w:r>
          </w:p>
        </w:tc>
      </w:tr>
      <w:tr w:rsidR="00CE5A2E" w:rsidTr="00CE5A2E">
        <w:trPr>
          <w:trHeight w:hRule="exact" w:val="284"/>
          <w:jc w:val="center"/>
        </w:trPr>
        <w:tc>
          <w:tcPr>
            <w:tcW w:w="2420" w:type="dxa"/>
            <w:vAlign w:val="center"/>
          </w:tcPr>
          <w:p w:rsidR="00CE5A2E" w:rsidRDefault="00CE5A2E" w:rsidP="003C6AD6">
            <w:pPr>
              <w:pStyle w:val="affffffffff0"/>
            </w:pPr>
            <w:r>
              <w:t>CH</w:t>
            </w:r>
            <w:r>
              <w:rPr>
                <w:vertAlign w:val="subscript"/>
              </w:rPr>
              <w:t>3</w:t>
            </w:r>
            <w:r>
              <w:t>SH</w:t>
            </w:r>
            <w:r>
              <w:t>（甲硫醇）</w:t>
            </w:r>
          </w:p>
        </w:tc>
        <w:tc>
          <w:tcPr>
            <w:tcW w:w="2420" w:type="dxa"/>
            <w:vAlign w:val="center"/>
          </w:tcPr>
          <w:p w:rsidR="00CE5A2E" w:rsidRDefault="00CE5A2E" w:rsidP="003C6AD6">
            <w:pPr>
              <w:pStyle w:val="affffffffff0"/>
            </w:pPr>
            <w:r>
              <w:t>48.107</w:t>
            </w:r>
          </w:p>
        </w:tc>
        <w:tc>
          <w:tcPr>
            <w:tcW w:w="2572" w:type="dxa"/>
            <w:vAlign w:val="center"/>
          </w:tcPr>
          <w:p w:rsidR="00CE5A2E" w:rsidRDefault="00CE5A2E" w:rsidP="003C6AD6">
            <w:pPr>
              <w:pStyle w:val="affffffffff0"/>
            </w:pPr>
            <w:r>
              <w:t>0.000492</w:t>
            </w:r>
          </w:p>
        </w:tc>
      </w:tr>
      <w:tr w:rsidR="00CE5A2E" w:rsidTr="00CE5A2E">
        <w:trPr>
          <w:trHeight w:hRule="exact" w:val="284"/>
          <w:jc w:val="center"/>
        </w:trPr>
        <w:tc>
          <w:tcPr>
            <w:tcW w:w="2420" w:type="dxa"/>
            <w:vAlign w:val="center"/>
          </w:tcPr>
          <w:p w:rsidR="00CE5A2E" w:rsidRDefault="00CE5A2E" w:rsidP="003C6AD6">
            <w:pPr>
              <w:pStyle w:val="affffffffff0"/>
            </w:pPr>
            <w:r>
              <w:t>C</w:t>
            </w:r>
            <w:r>
              <w:rPr>
                <w:vertAlign w:val="subscript"/>
              </w:rPr>
              <w:t>2</w:t>
            </w:r>
            <w:r>
              <w:t>H</w:t>
            </w:r>
            <w:r>
              <w:rPr>
                <w:vertAlign w:val="subscript"/>
              </w:rPr>
              <w:t>5</w:t>
            </w:r>
            <w:r>
              <w:t>SH</w:t>
            </w:r>
            <w:r>
              <w:t>（乙硫醇）</w:t>
            </w:r>
          </w:p>
        </w:tc>
        <w:tc>
          <w:tcPr>
            <w:tcW w:w="2420" w:type="dxa"/>
            <w:vAlign w:val="center"/>
          </w:tcPr>
          <w:p w:rsidR="00CE5A2E" w:rsidRDefault="00CE5A2E" w:rsidP="003C6AD6">
            <w:pPr>
              <w:pStyle w:val="affffffffff0"/>
            </w:pPr>
            <w:r>
              <w:t>62.134</w:t>
            </w:r>
          </w:p>
        </w:tc>
        <w:tc>
          <w:tcPr>
            <w:tcW w:w="2572" w:type="dxa"/>
            <w:vAlign w:val="center"/>
          </w:tcPr>
          <w:p w:rsidR="00CE5A2E" w:rsidRDefault="00CE5A2E" w:rsidP="003C6AD6">
            <w:pPr>
              <w:pStyle w:val="affffffffff0"/>
            </w:pPr>
            <w:r>
              <w:t>0.0000369</w:t>
            </w:r>
          </w:p>
        </w:tc>
      </w:tr>
      <w:tr w:rsidR="00CE5A2E" w:rsidTr="00CE5A2E">
        <w:trPr>
          <w:trHeight w:hRule="exact" w:val="284"/>
          <w:jc w:val="center"/>
        </w:trPr>
        <w:tc>
          <w:tcPr>
            <w:tcW w:w="2420" w:type="dxa"/>
            <w:vAlign w:val="center"/>
          </w:tcPr>
          <w:p w:rsidR="00CE5A2E" w:rsidRDefault="00CE5A2E" w:rsidP="003C6AD6">
            <w:pPr>
              <w:pStyle w:val="affffffffff0"/>
            </w:pPr>
            <w:r>
              <w:t>He</w:t>
            </w:r>
          </w:p>
        </w:tc>
        <w:tc>
          <w:tcPr>
            <w:tcW w:w="2420" w:type="dxa"/>
            <w:vAlign w:val="center"/>
          </w:tcPr>
          <w:p w:rsidR="00CE5A2E" w:rsidRDefault="00CE5A2E" w:rsidP="003C6AD6">
            <w:pPr>
              <w:pStyle w:val="affffffffff0"/>
            </w:pPr>
            <w:r>
              <w:t>4.003</w:t>
            </w:r>
          </w:p>
        </w:tc>
        <w:tc>
          <w:tcPr>
            <w:tcW w:w="2572" w:type="dxa"/>
            <w:vAlign w:val="center"/>
          </w:tcPr>
          <w:p w:rsidR="00CE5A2E" w:rsidRDefault="00CE5A2E" w:rsidP="003C6AD6">
            <w:pPr>
              <w:pStyle w:val="affffffffff0"/>
            </w:pPr>
            <w:r>
              <w:t>0.012795</w:t>
            </w:r>
          </w:p>
        </w:tc>
      </w:tr>
    </w:tbl>
    <w:p w:rsidR="00C663DE" w:rsidRPr="00D630D1" w:rsidRDefault="00C663DE" w:rsidP="00C663DE">
      <w:pPr>
        <w:pStyle w:val="2"/>
        <w:spacing w:before="120"/>
        <w:rPr>
          <w:rFonts w:cs="Times New Roman"/>
        </w:rPr>
      </w:pPr>
      <w:bookmarkStart w:id="137" w:name="bookmark15"/>
      <w:bookmarkStart w:id="138" w:name="_Toc81515268"/>
      <w:bookmarkStart w:id="139" w:name="_Toc19815958"/>
      <w:bookmarkStart w:id="140" w:name="_Toc12288401"/>
      <w:bookmarkStart w:id="141" w:name="_Toc19815957"/>
      <w:bookmarkEnd w:id="136"/>
      <w:bookmarkEnd w:id="137"/>
      <w:r w:rsidRPr="00D630D1">
        <w:rPr>
          <w:rFonts w:cs="Times New Roman"/>
        </w:rPr>
        <w:t xml:space="preserve">3.4 </w:t>
      </w:r>
      <w:r w:rsidR="00DA5F7F" w:rsidRPr="00D630D1">
        <w:rPr>
          <w:rFonts w:cs="Times New Roman" w:hint="eastAsia"/>
        </w:rPr>
        <w:t>钻井</w:t>
      </w:r>
      <w:r w:rsidRPr="00D630D1">
        <w:rPr>
          <w:rFonts w:cs="Times New Roman"/>
        </w:rPr>
        <w:t>工程</w:t>
      </w:r>
      <w:bookmarkEnd w:id="138"/>
    </w:p>
    <w:p w:rsidR="00DA5F7F" w:rsidRPr="00D630D1" w:rsidRDefault="00DA5F7F" w:rsidP="00DA5F7F">
      <w:pPr>
        <w:pStyle w:val="afa"/>
        <w:ind w:firstLine="480"/>
      </w:pPr>
      <w:r w:rsidRPr="00D630D1">
        <w:rPr>
          <w:rFonts w:hint="eastAsia"/>
        </w:rPr>
        <w:t>本项目</w:t>
      </w:r>
      <w:r w:rsidR="00024CC8">
        <w:t>普陆页</w:t>
      </w:r>
      <w:r w:rsidR="00024CC8">
        <w:t>1-1~6</w:t>
      </w:r>
      <w:r w:rsidR="00024CC8">
        <w:t>井</w:t>
      </w:r>
      <w:r w:rsidRPr="00D630D1">
        <w:t>钻井</w:t>
      </w:r>
      <w:r w:rsidRPr="00D630D1">
        <w:rPr>
          <w:rFonts w:hint="eastAsia"/>
        </w:rPr>
        <w:t>工程包括钻前工程、钻井工程和完井工程。</w:t>
      </w:r>
    </w:p>
    <w:p w:rsidR="00DA5F7F" w:rsidRPr="00D630D1" w:rsidRDefault="00DA5F7F" w:rsidP="00DA5F7F">
      <w:pPr>
        <w:pStyle w:val="3"/>
        <w:rPr>
          <w:rFonts w:eastAsia="宋体"/>
        </w:rPr>
      </w:pPr>
      <w:r w:rsidRPr="00D630D1">
        <w:rPr>
          <w:rFonts w:eastAsia="宋体"/>
        </w:rPr>
        <w:t>3.</w:t>
      </w:r>
      <w:r w:rsidRPr="00D630D1">
        <w:rPr>
          <w:rFonts w:eastAsia="宋体" w:hint="eastAsia"/>
        </w:rPr>
        <w:t>4</w:t>
      </w:r>
      <w:r w:rsidRPr="00D630D1">
        <w:rPr>
          <w:rFonts w:eastAsia="宋体"/>
        </w:rPr>
        <w:t xml:space="preserve">.1 </w:t>
      </w:r>
      <w:r w:rsidRPr="00D630D1">
        <w:rPr>
          <w:rFonts w:eastAsia="宋体" w:hint="eastAsia"/>
        </w:rPr>
        <w:t>钻前工程</w:t>
      </w:r>
    </w:p>
    <w:p w:rsidR="00C663DE" w:rsidRPr="00D630D1" w:rsidRDefault="00362106" w:rsidP="00C663DE">
      <w:pPr>
        <w:pStyle w:val="afa"/>
        <w:ind w:firstLine="480"/>
      </w:pPr>
      <w:r w:rsidRPr="00362106">
        <w:rPr>
          <w:rFonts w:hint="eastAsia"/>
        </w:rPr>
        <w:t>利用原普光</w:t>
      </w:r>
      <w:r w:rsidRPr="00362106">
        <w:t>12</w:t>
      </w:r>
      <w:r w:rsidRPr="00362106">
        <w:rPr>
          <w:rFonts w:hint="eastAsia"/>
        </w:rPr>
        <w:t>井场</w:t>
      </w:r>
      <w:r w:rsidR="00C43B5C">
        <w:rPr>
          <w:rFonts w:hint="eastAsia"/>
        </w:rPr>
        <w:t>，</w:t>
      </w:r>
      <w:r w:rsidR="00C43B5C">
        <w:rPr>
          <w:rFonts w:ascii="宋体" w:cs="宋体" w:hint="eastAsia"/>
          <w:lang w:val="zh-CN"/>
        </w:rPr>
        <w:t>井场全长</w:t>
      </w:r>
      <w:r w:rsidR="00C43B5C">
        <w:t>115m</w:t>
      </w:r>
      <w:r w:rsidR="00C43B5C">
        <w:rPr>
          <w:rFonts w:ascii="宋体" w:cs="宋体" w:hint="eastAsia"/>
          <w:lang w:val="zh-CN"/>
        </w:rPr>
        <w:t>，前场宽</w:t>
      </w:r>
      <w:r w:rsidR="00C43B5C">
        <w:t>54m</w:t>
      </w:r>
      <w:r w:rsidR="00C43B5C">
        <w:rPr>
          <w:rFonts w:ascii="宋体" w:cs="宋体" w:hint="eastAsia"/>
          <w:lang w:val="zh-CN"/>
        </w:rPr>
        <w:t>，后场宽</w:t>
      </w:r>
      <w:r w:rsidR="00C43B5C">
        <w:t>47m</w:t>
      </w:r>
      <w:r>
        <w:rPr>
          <w:rFonts w:hint="eastAsia"/>
        </w:rPr>
        <w:t>，</w:t>
      </w:r>
      <w:r w:rsidRPr="00D630D1">
        <w:t>占地面积</w:t>
      </w:r>
      <w:r w:rsidRPr="00D630D1">
        <w:rPr>
          <w:bCs/>
        </w:rPr>
        <w:t>约</w:t>
      </w:r>
      <w:r w:rsidR="00C43B5C">
        <w:rPr>
          <w:rFonts w:hint="eastAsia"/>
        </w:rPr>
        <w:t>11615</w:t>
      </w:r>
      <w:r w:rsidRPr="00D630D1">
        <w:rPr>
          <w:bCs/>
        </w:rPr>
        <w:t>m</w:t>
      </w:r>
      <w:r w:rsidRPr="00D630D1">
        <w:rPr>
          <w:bCs/>
          <w:vertAlign w:val="superscript"/>
        </w:rPr>
        <w:t>2</w:t>
      </w:r>
      <w:r>
        <w:rPr>
          <w:rFonts w:hint="eastAsia"/>
        </w:rPr>
        <w:t>，</w:t>
      </w:r>
      <w:r w:rsidRPr="00362106">
        <w:rPr>
          <w:rFonts w:hint="eastAsia"/>
        </w:rPr>
        <w:t>新建方井</w:t>
      </w:r>
      <w:r w:rsidRPr="00362106">
        <w:t>6</w:t>
      </w:r>
      <w:r w:rsidRPr="00362106">
        <w:rPr>
          <w:rFonts w:hint="eastAsia"/>
        </w:rPr>
        <w:t>口，</w:t>
      </w:r>
      <w:r>
        <w:rPr>
          <w:rFonts w:hint="eastAsia"/>
        </w:rPr>
        <w:t>建设</w:t>
      </w:r>
      <w:r w:rsidRPr="00362106">
        <w:rPr>
          <w:rFonts w:hint="eastAsia"/>
        </w:rPr>
        <w:t>加长型井架基础、泥浆泵基础、发电机房基础、循环罐基础等各</w:t>
      </w:r>
      <w:r w:rsidRPr="00362106">
        <w:t>1</w:t>
      </w:r>
      <w:r w:rsidRPr="00362106">
        <w:rPr>
          <w:rFonts w:hint="eastAsia"/>
        </w:rPr>
        <w:t>套，利旧修复原污水池</w:t>
      </w:r>
      <w:r>
        <w:rPr>
          <w:rFonts w:hint="eastAsia"/>
        </w:rPr>
        <w:t>（</w:t>
      </w:r>
      <w:r>
        <w:rPr>
          <w:rFonts w:hint="eastAsia"/>
          <w:szCs w:val="21"/>
        </w:rPr>
        <w:t>容积</w:t>
      </w:r>
      <w:r w:rsidRPr="00D630D1">
        <w:rPr>
          <w:rFonts w:hint="eastAsia"/>
          <w:szCs w:val="21"/>
        </w:rPr>
        <w:t>为</w:t>
      </w:r>
      <w:r>
        <w:rPr>
          <w:rFonts w:hint="eastAsia"/>
          <w:szCs w:val="21"/>
        </w:rPr>
        <w:t>15</w:t>
      </w:r>
      <w:r w:rsidRPr="00D630D1">
        <w:rPr>
          <w:rFonts w:hint="eastAsia"/>
          <w:szCs w:val="21"/>
        </w:rPr>
        <w:t>00m</w:t>
      </w:r>
      <w:r w:rsidRPr="00D630D1">
        <w:rPr>
          <w:rFonts w:hint="eastAsia"/>
          <w:szCs w:val="21"/>
          <w:vertAlign w:val="superscript"/>
        </w:rPr>
        <w:t>3</w:t>
      </w:r>
      <w:r>
        <w:rPr>
          <w:rFonts w:hint="eastAsia"/>
        </w:rPr>
        <w:t>）</w:t>
      </w:r>
      <w:r w:rsidRPr="00362106">
        <w:rPr>
          <w:rFonts w:hint="eastAsia"/>
        </w:rPr>
        <w:t>和放喷池各</w:t>
      </w:r>
      <w:r w:rsidRPr="00362106">
        <w:t>1</w:t>
      </w:r>
      <w:r w:rsidRPr="00362106">
        <w:rPr>
          <w:rFonts w:hint="eastAsia"/>
        </w:rPr>
        <w:t>座</w:t>
      </w:r>
      <w:r>
        <w:rPr>
          <w:rFonts w:hint="eastAsia"/>
          <w:szCs w:val="21"/>
        </w:rPr>
        <w:t>（容积</w:t>
      </w:r>
      <w:r w:rsidRPr="00D630D1">
        <w:rPr>
          <w:rFonts w:hint="eastAsia"/>
          <w:szCs w:val="21"/>
        </w:rPr>
        <w:t>为</w:t>
      </w:r>
      <w:r w:rsidRPr="00D630D1">
        <w:rPr>
          <w:rFonts w:hint="eastAsia"/>
          <w:szCs w:val="21"/>
        </w:rPr>
        <w:t>300m</w:t>
      </w:r>
      <w:r w:rsidRPr="00D630D1">
        <w:rPr>
          <w:rFonts w:hint="eastAsia"/>
          <w:szCs w:val="21"/>
          <w:vertAlign w:val="superscript"/>
        </w:rPr>
        <w:t>3</w:t>
      </w:r>
      <w:r w:rsidRPr="00D630D1">
        <w:rPr>
          <w:rFonts w:hint="eastAsia"/>
          <w:szCs w:val="21"/>
        </w:rPr>
        <w:t>）</w:t>
      </w:r>
      <w:r w:rsidR="00C663DE" w:rsidRPr="00D630D1">
        <w:t>。</w:t>
      </w:r>
    </w:p>
    <w:p w:rsidR="00DA5F7F" w:rsidRPr="00D630D1" w:rsidRDefault="00DA5F7F" w:rsidP="00DA5F7F">
      <w:pPr>
        <w:pStyle w:val="3"/>
        <w:rPr>
          <w:rFonts w:eastAsia="宋体"/>
        </w:rPr>
      </w:pPr>
      <w:r w:rsidRPr="00D630D1">
        <w:rPr>
          <w:rFonts w:eastAsia="宋体"/>
        </w:rPr>
        <w:t>3.</w:t>
      </w:r>
      <w:r w:rsidRPr="00D630D1">
        <w:rPr>
          <w:rFonts w:eastAsia="宋体" w:hint="eastAsia"/>
        </w:rPr>
        <w:t>4</w:t>
      </w:r>
      <w:r w:rsidRPr="00D630D1">
        <w:rPr>
          <w:rFonts w:eastAsia="宋体"/>
        </w:rPr>
        <w:t>.</w:t>
      </w:r>
      <w:r w:rsidRPr="00D630D1">
        <w:rPr>
          <w:rFonts w:eastAsia="宋体" w:hint="eastAsia"/>
        </w:rPr>
        <w:t>2</w:t>
      </w:r>
      <w:r w:rsidRPr="00D630D1">
        <w:rPr>
          <w:rFonts w:eastAsia="宋体"/>
        </w:rPr>
        <w:t xml:space="preserve"> </w:t>
      </w:r>
      <w:r w:rsidRPr="00D630D1">
        <w:rPr>
          <w:rFonts w:eastAsia="宋体" w:hint="eastAsia"/>
        </w:rPr>
        <w:t>钻</w:t>
      </w:r>
      <w:r w:rsidR="0074669D" w:rsidRPr="00D630D1">
        <w:rPr>
          <w:rFonts w:eastAsia="宋体" w:hint="eastAsia"/>
        </w:rPr>
        <w:t>井</w:t>
      </w:r>
      <w:r w:rsidRPr="00D630D1">
        <w:rPr>
          <w:rFonts w:eastAsia="宋体" w:hint="eastAsia"/>
        </w:rPr>
        <w:t>工程</w:t>
      </w:r>
    </w:p>
    <w:p w:rsidR="0074669D" w:rsidRPr="00D630D1" w:rsidRDefault="0074669D" w:rsidP="0074669D">
      <w:pPr>
        <w:pStyle w:val="afa"/>
        <w:ind w:firstLine="482"/>
        <w:rPr>
          <w:b/>
        </w:rPr>
      </w:pPr>
      <w:r w:rsidRPr="00D630D1">
        <w:rPr>
          <w:rFonts w:hint="eastAsia"/>
          <w:b/>
        </w:rPr>
        <w:t>（</w:t>
      </w:r>
      <w:r w:rsidRPr="00D630D1">
        <w:rPr>
          <w:rFonts w:hint="eastAsia"/>
          <w:b/>
        </w:rPr>
        <w:t>1</w:t>
      </w:r>
      <w:r w:rsidRPr="00D630D1">
        <w:rPr>
          <w:rFonts w:hint="eastAsia"/>
          <w:b/>
        </w:rPr>
        <w:t>）基础数据</w:t>
      </w:r>
    </w:p>
    <w:p w:rsidR="0074669D" w:rsidRPr="00D630D1" w:rsidRDefault="0074669D" w:rsidP="0074669D">
      <w:pPr>
        <w:pStyle w:val="afa"/>
        <w:ind w:firstLine="480"/>
      </w:pPr>
      <w:r w:rsidRPr="00D630D1">
        <w:rPr>
          <w:rFonts w:hint="eastAsia"/>
        </w:rPr>
        <w:t>1</w:t>
      </w:r>
      <w:r w:rsidRPr="00D630D1">
        <w:rPr>
          <w:rFonts w:hint="eastAsia"/>
        </w:rPr>
        <w:t>）</w:t>
      </w:r>
      <w:r w:rsidRPr="00D630D1">
        <w:t>井别</w:t>
      </w:r>
      <w:r w:rsidRPr="00D630D1">
        <w:rPr>
          <w:rFonts w:hint="eastAsia"/>
        </w:rPr>
        <w:t>：</w:t>
      </w:r>
      <w:r w:rsidRPr="00D630D1">
        <w:rPr>
          <w:szCs w:val="21"/>
        </w:rPr>
        <w:t>气藏评价井</w:t>
      </w:r>
      <w:r w:rsidRPr="00D630D1">
        <w:rPr>
          <w:rFonts w:hint="eastAsia"/>
        </w:rPr>
        <w:t>；</w:t>
      </w:r>
      <w:r w:rsidRPr="00D630D1">
        <w:t xml:space="preserve"> </w:t>
      </w:r>
    </w:p>
    <w:p w:rsidR="0074669D" w:rsidRPr="00D630D1" w:rsidRDefault="0074669D" w:rsidP="0074669D">
      <w:pPr>
        <w:pStyle w:val="afa"/>
        <w:ind w:firstLine="480"/>
      </w:pPr>
      <w:r w:rsidRPr="00D630D1">
        <w:rPr>
          <w:rFonts w:hint="eastAsia"/>
        </w:rPr>
        <w:t>2</w:t>
      </w:r>
      <w:r w:rsidRPr="00D630D1">
        <w:rPr>
          <w:rFonts w:hint="eastAsia"/>
        </w:rPr>
        <w:t>）井型：水平井；</w:t>
      </w:r>
    </w:p>
    <w:p w:rsidR="0074669D" w:rsidRPr="00D630D1" w:rsidRDefault="0074669D" w:rsidP="0074669D">
      <w:pPr>
        <w:pStyle w:val="afa"/>
        <w:ind w:firstLine="480"/>
      </w:pPr>
      <w:r w:rsidRPr="00D630D1">
        <w:rPr>
          <w:rFonts w:hint="eastAsia"/>
        </w:rPr>
        <w:t>3</w:t>
      </w:r>
      <w:r w:rsidRPr="00D630D1">
        <w:rPr>
          <w:rFonts w:hint="eastAsia"/>
        </w:rPr>
        <w:t>）地质构造：</w:t>
      </w:r>
      <w:r w:rsidR="00C43B5C" w:rsidRPr="00C43B5C">
        <w:rPr>
          <w:rFonts w:hint="eastAsia"/>
          <w:bCs/>
        </w:rPr>
        <w:t>四川盆地川东断褶带毛坝构造</w:t>
      </w:r>
      <w:r w:rsidRPr="00D630D1">
        <w:rPr>
          <w:rFonts w:hint="eastAsia"/>
        </w:rPr>
        <w:t>；</w:t>
      </w:r>
    </w:p>
    <w:p w:rsidR="0074669D" w:rsidRPr="00D630D1" w:rsidRDefault="0074669D" w:rsidP="0074669D">
      <w:pPr>
        <w:pStyle w:val="afa"/>
        <w:ind w:firstLine="480"/>
      </w:pPr>
      <w:r w:rsidRPr="00D630D1">
        <w:rPr>
          <w:rFonts w:hint="eastAsia"/>
        </w:rPr>
        <w:t>4</w:t>
      </w:r>
      <w:r w:rsidRPr="00D630D1">
        <w:rPr>
          <w:rFonts w:hint="eastAsia"/>
        </w:rPr>
        <w:t>）设计井深：</w:t>
      </w:r>
      <w:r w:rsidR="0075190E" w:rsidRPr="00075350">
        <w:rPr>
          <w:rFonts w:hint="eastAsia"/>
        </w:rPr>
        <w:t>新钻井</w:t>
      </w:r>
      <w:r w:rsidR="0075190E" w:rsidRPr="00075350">
        <w:t xml:space="preserve">6 </w:t>
      </w:r>
      <w:r w:rsidR="0075190E" w:rsidRPr="00075350">
        <w:rPr>
          <w:rFonts w:hint="eastAsia"/>
        </w:rPr>
        <w:t>口（均为水平井），目的层为千佛崖组，选择</w:t>
      </w:r>
      <w:r w:rsidR="0075190E" w:rsidRPr="00075350">
        <w:t>70</w:t>
      </w:r>
      <w:r w:rsidR="0075190E" w:rsidRPr="00075350">
        <w:rPr>
          <w:rFonts w:hint="eastAsia"/>
        </w:rPr>
        <w:t>型电动滑轨钻机，采用“井工厂”模式，设计“导管</w:t>
      </w:r>
      <w:r w:rsidR="0075190E" w:rsidRPr="00075350">
        <w:t>+</w:t>
      </w:r>
      <w:r w:rsidR="0075190E" w:rsidRPr="00075350">
        <w:rPr>
          <w:rFonts w:hint="eastAsia"/>
        </w:rPr>
        <w:t>二开”井身结构，套管完井。总进尺</w:t>
      </w:r>
      <w:r w:rsidR="0075190E" w:rsidRPr="00075350">
        <w:t>37474</w:t>
      </w:r>
      <w:r w:rsidR="0075190E" w:rsidRPr="00075350">
        <w:rPr>
          <w:rFonts w:hint="eastAsia"/>
        </w:rPr>
        <w:t>米，其中普陆页</w:t>
      </w:r>
      <w:r w:rsidR="0075190E" w:rsidRPr="00075350">
        <w:t>1-1</w:t>
      </w:r>
      <w:r w:rsidR="0075190E" w:rsidRPr="00075350">
        <w:rPr>
          <w:rFonts w:hint="eastAsia"/>
        </w:rPr>
        <w:t>井设计井深</w:t>
      </w:r>
      <w:r w:rsidR="0075190E" w:rsidRPr="00075350">
        <w:t>5986.86</w:t>
      </w:r>
      <w:r w:rsidR="0075190E" w:rsidRPr="00075350">
        <w:rPr>
          <w:rFonts w:hint="eastAsia"/>
        </w:rPr>
        <w:t>米，普陆页</w:t>
      </w:r>
      <w:r w:rsidR="0075190E" w:rsidRPr="00075350">
        <w:t>1-2</w:t>
      </w:r>
      <w:r w:rsidR="0075190E" w:rsidRPr="00075350">
        <w:rPr>
          <w:rFonts w:hint="eastAsia"/>
        </w:rPr>
        <w:t>井设计井深</w:t>
      </w:r>
      <w:r w:rsidR="0075190E" w:rsidRPr="00075350">
        <w:t>5683.92</w:t>
      </w:r>
      <w:r w:rsidR="0075190E" w:rsidRPr="00075350">
        <w:rPr>
          <w:rFonts w:hint="eastAsia"/>
        </w:rPr>
        <w:t>米，普陆页</w:t>
      </w:r>
      <w:r w:rsidR="0075190E" w:rsidRPr="00075350">
        <w:t>1-3</w:t>
      </w:r>
      <w:r w:rsidR="0075190E" w:rsidRPr="00075350">
        <w:rPr>
          <w:rFonts w:hint="eastAsia"/>
        </w:rPr>
        <w:t>井设计井深</w:t>
      </w:r>
      <w:r w:rsidR="0075190E" w:rsidRPr="00075350">
        <w:t>5740.45</w:t>
      </w:r>
      <w:r w:rsidR="0075190E" w:rsidRPr="00075350">
        <w:rPr>
          <w:rFonts w:hint="eastAsia"/>
        </w:rPr>
        <w:t>米，普陆页</w:t>
      </w:r>
      <w:r w:rsidR="0075190E" w:rsidRPr="00075350">
        <w:t>1-4</w:t>
      </w:r>
      <w:r w:rsidR="0075190E" w:rsidRPr="00075350">
        <w:rPr>
          <w:rFonts w:hint="eastAsia"/>
        </w:rPr>
        <w:t>井设计井深</w:t>
      </w:r>
      <w:r w:rsidR="0075190E" w:rsidRPr="00075350">
        <w:t>6488.49</w:t>
      </w:r>
      <w:r w:rsidR="0075190E" w:rsidRPr="00075350">
        <w:rPr>
          <w:rFonts w:hint="eastAsia"/>
        </w:rPr>
        <w:t>米，普陆页</w:t>
      </w:r>
      <w:r w:rsidR="0075190E" w:rsidRPr="00075350">
        <w:t>1-5</w:t>
      </w:r>
      <w:r w:rsidR="0075190E" w:rsidRPr="00075350">
        <w:rPr>
          <w:rFonts w:hint="eastAsia"/>
        </w:rPr>
        <w:t>井设计井深</w:t>
      </w:r>
      <w:r w:rsidR="0075190E" w:rsidRPr="00075350">
        <w:t>6699.35</w:t>
      </w:r>
      <w:r w:rsidR="0075190E" w:rsidRPr="00075350">
        <w:rPr>
          <w:rFonts w:hint="eastAsia"/>
        </w:rPr>
        <w:t>米，普陆页</w:t>
      </w:r>
      <w:r w:rsidR="0075190E" w:rsidRPr="00075350">
        <w:t>1-6</w:t>
      </w:r>
      <w:r w:rsidR="0075190E" w:rsidRPr="00075350">
        <w:rPr>
          <w:rFonts w:hint="eastAsia"/>
        </w:rPr>
        <w:t>井设计井深</w:t>
      </w:r>
      <w:r w:rsidR="0075190E" w:rsidRPr="00075350">
        <w:t>6874.93</w:t>
      </w:r>
      <w:r w:rsidR="0075190E" w:rsidRPr="00075350">
        <w:rPr>
          <w:rFonts w:hint="eastAsia"/>
        </w:rPr>
        <w:lastRenderedPageBreak/>
        <w:t>米。</w:t>
      </w:r>
    </w:p>
    <w:p w:rsidR="0074669D" w:rsidRPr="00D630D1" w:rsidRDefault="0074669D" w:rsidP="0074669D">
      <w:pPr>
        <w:pStyle w:val="afa"/>
        <w:ind w:firstLine="480"/>
      </w:pPr>
      <w:r w:rsidRPr="00D630D1">
        <w:rPr>
          <w:rFonts w:hint="eastAsia"/>
        </w:rPr>
        <w:t>5</w:t>
      </w:r>
      <w:r w:rsidRPr="00D630D1">
        <w:rPr>
          <w:rFonts w:hint="eastAsia"/>
        </w:rPr>
        <w:t>）目的层：</w:t>
      </w:r>
      <w:r w:rsidR="0075190E" w:rsidRPr="00075350">
        <w:rPr>
          <w:rFonts w:hint="eastAsia"/>
        </w:rPr>
        <w:t>千佛崖组</w:t>
      </w:r>
      <w:r w:rsidRPr="00D630D1">
        <w:rPr>
          <w:rFonts w:hint="eastAsia"/>
        </w:rPr>
        <w:t>；</w:t>
      </w:r>
    </w:p>
    <w:p w:rsidR="0074669D" w:rsidRPr="00D630D1" w:rsidRDefault="0074669D" w:rsidP="0074669D">
      <w:pPr>
        <w:pStyle w:val="afa"/>
        <w:ind w:firstLine="480"/>
      </w:pPr>
      <w:r w:rsidRPr="00D630D1">
        <w:rPr>
          <w:rFonts w:hint="eastAsia"/>
        </w:rPr>
        <w:t>6</w:t>
      </w:r>
      <w:r w:rsidRPr="00D630D1">
        <w:rPr>
          <w:rFonts w:hint="eastAsia"/>
        </w:rPr>
        <w:t>）完钻层位：</w:t>
      </w:r>
      <w:r w:rsidR="0075190E" w:rsidRPr="00075350">
        <w:rPr>
          <w:rFonts w:hint="eastAsia"/>
        </w:rPr>
        <w:t>千佛崖组</w:t>
      </w:r>
      <w:r w:rsidRPr="00D630D1">
        <w:rPr>
          <w:rFonts w:hint="eastAsia"/>
        </w:rPr>
        <w:t>；</w:t>
      </w:r>
    </w:p>
    <w:p w:rsidR="0074669D" w:rsidRPr="00D630D1" w:rsidRDefault="0074669D" w:rsidP="0074669D">
      <w:pPr>
        <w:pStyle w:val="afa"/>
        <w:ind w:firstLine="480"/>
      </w:pPr>
      <w:r w:rsidRPr="00D630D1">
        <w:rPr>
          <w:rFonts w:hint="eastAsia"/>
        </w:rPr>
        <w:t>7</w:t>
      </w:r>
      <w:r w:rsidRPr="00D630D1">
        <w:rPr>
          <w:rFonts w:hint="eastAsia"/>
        </w:rPr>
        <w:t>）</w:t>
      </w:r>
      <w:bookmarkStart w:id="142" w:name="OLE_LINK137"/>
      <w:r w:rsidRPr="00D630D1">
        <w:rPr>
          <w:rFonts w:hint="eastAsia"/>
        </w:rPr>
        <w:t>钻井周期：施工周期</w:t>
      </w:r>
      <w:r w:rsidR="00F96E37">
        <w:rPr>
          <w:rFonts w:hint="eastAsia"/>
        </w:rPr>
        <w:t>730</w:t>
      </w:r>
      <w:r w:rsidRPr="00D630D1">
        <w:rPr>
          <w:rFonts w:hint="eastAsia"/>
        </w:rPr>
        <w:t>天，其中钻前工程</w:t>
      </w:r>
      <w:r w:rsidRPr="00D630D1">
        <w:rPr>
          <w:rFonts w:hint="eastAsia"/>
        </w:rPr>
        <w:t>50d</w:t>
      </w:r>
      <w:r w:rsidRPr="00D630D1">
        <w:rPr>
          <w:rFonts w:hint="eastAsia"/>
        </w:rPr>
        <w:t>，钻井工程</w:t>
      </w:r>
      <w:r w:rsidR="0075190E">
        <w:rPr>
          <w:rFonts w:hint="eastAsia"/>
        </w:rPr>
        <w:t>480</w:t>
      </w:r>
      <w:r w:rsidRPr="00D630D1">
        <w:rPr>
          <w:rFonts w:hint="eastAsia"/>
        </w:rPr>
        <w:t>d</w:t>
      </w:r>
      <w:r w:rsidRPr="00D630D1">
        <w:rPr>
          <w:rFonts w:hint="eastAsia"/>
        </w:rPr>
        <w:t>，完井工程</w:t>
      </w:r>
      <w:r w:rsidR="0075190E">
        <w:rPr>
          <w:rFonts w:hint="eastAsia"/>
        </w:rPr>
        <w:t>20</w:t>
      </w:r>
      <w:r w:rsidRPr="00D630D1">
        <w:rPr>
          <w:rFonts w:hint="eastAsia"/>
        </w:rPr>
        <w:t>0d</w:t>
      </w:r>
      <w:bookmarkEnd w:id="142"/>
      <w:r w:rsidRPr="00D630D1">
        <w:rPr>
          <w:rFonts w:hint="eastAsia"/>
        </w:rPr>
        <w:t>。</w:t>
      </w:r>
    </w:p>
    <w:p w:rsidR="0074669D" w:rsidRPr="00D630D1" w:rsidRDefault="0074669D" w:rsidP="0074669D">
      <w:pPr>
        <w:pStyle w:val="afa"/>
        <w:ind w:firstLine="482"/>
        <w:rPr>
          <w:b/>
        </w:rPr>
      </w:pPr>
      <w:r w:rsidRPr="00D630D1">
        <w:rPr>
          <w:rFonts w:hint="eastAsia"/>
          <w:b/>
        </w:rPr>
        <w:t>（</w:t>
      </w:r>
      <w:r w:rsidRPr="00D630D1">
        <w:rPr>
          <w:rFonts w:hint="eastAsia"/>
          <w:b/>
        </w:rPr>
        <w:t>2</w:t>
      </w:r>
      <w:r w:rsidRPr="00D630D1">
        <w:rPr>
          <w:rFonts w:hint="eastAsia"/>
          <w:b/>
        </w:rPr>
        <w:t>）井身结构</w:t>
      </w:r>
    </w:p>
    <w:p w:rsidR="0074669D" w:rsidRPr="00D630D1" w:rsidRDefault="0074669D" w:rsidP="00DA5F7F">
      <w:pPr>
        <w:pStyle w:val="afa"/>
        <w:ind w:firstLine="480"/>
      </w:pPr>
    </w:p>
    <w:p w:rsidR="0074669D" w:rsidRPr="00D630D1" w:rsidRDefault="009913C3" w:rsidP="0074669D">
      <w:pPr>
        <w:pStyle w:val="afa"/>
        <w:ind w:firstLine="480"/>
        <w:jc w:val="center"/>
      </w:pPr>
      <w:r>
        <w:rPr>
          <w:noProof/>
        </w:rPr>
        <w:pict>
          <v:shapetype id="_x0000_t202" coordsize="21600,21600" o:spt="202" path="m,l,21600r21600,l21600,xe">
            <v:stroke joinstyle="miter"/>
            <v:path gradientshapeok="t" o:connecttype="rect"/>
          </v:shapetype>
          <v:shape id="Text Box 2430" o:spid="_x0000_s1168" type="#_x0000_t202" style="position:absolute;left:0;text-align:left;margin-left:210.05pt;margin-top:15.4pt;width:189.45pt;height:346.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" strokecolor="white">
            <v:textbox style="mso-next-textbox:#Text Box 2430">
              <w:txbxContent>
                <w:p w:rsidR="00A62354" w:rsidRPr="0075190E" w:rsidRDefault="00A62354" w:rsidP="0075190E">
                  <w:pPr>
                    <w:spacing w:line="264" w:lineRule="auto"/>
                    <w:ind w:leftChars="200" w:left="480" w:firstLineChars="0" w:firstLine="0"/>
                    <w:rPr>
                      <w:rFonts w:asciiTheme="minorEastAsia" w:eastAsiaTheme="minorEastAsia" w:hAnsiTheme="minorEastAsia" w:cs="Times New Roman"/>
                    </w:rPr>
                  </w:pPr>
                  <w:r w:rsidRPr="0075190E">
                    <w:rPr>
                      <w:rFonts w:asciiTheme="minorEastAsia" w:eastAsiaTheme="minorEastAsia" w:hAnsiTheme="minorEastAsia" w:cs="Times New Roman"/>
                    </w:rPr>
                    <w:t>导管1：508mm导管预埋（5~10）m，满足气体钻施工</w:t>
                  </w: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导管2：</w:t>
                  </w: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井眼直径(mm):406.4</w:t>
                  </w: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所钻深度(m):201</w:t>
                  </w: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套管外径(mm):339.7</w:t>
                  </w: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套管下深(m):200</w:t>
                  </w: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水泥返高(m):地面</w:t>
                  </w:r>
                </w:p>
                <w:p w:rsidR="00A62354" w:rsidRPr="0075190E" w:rsidRDefault="00A62354" w:rsidP="0075190E">
                  <w:pPr>
                    <w:spacing w:line="264" w:lineRule="auto"/>
                    <w:ind w:firstLine="480"/>
                    <w:rPr>
                      <w:rFonts w:asciiTheme="minorEastAsia" w:eastAsiaTheme="minorEastAsia" w:hAnsiTheme="minorEastAsia" w:cs="Times New Roman"/>
                    </w:rPr>
                  </w:pP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一开：</w:t>
                  </w: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井眼直径(mm):311.2</w:t>
                  </w: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所钻深度(m):2882</w:t>
                  </w: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套管外径(mm):244.5</w:t>
                  </w: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套管下深(m):2880</w:t>
                  </w:r>
                </w:p>
                <w:p w:rsidR="00A62354" w:rsidRPr="0075190E" w:rsidRDefault="00A62354" w:rsidP="0075190E">
                  <w:pPr>
                    <w:spacing w:line="264" w:lineRule="auto"/>
                    <w:ind w:firstLine="480"/>
                    <w:rPr>
                      <w:rFonts w:asciiTheme="minorEastAsia" w:eastAsiaTheme="minorEastAsia" w:hAnsiTheme="minorEastAsia" w:cs="Times New Roman"/>
                      <w:color w:val="000000"/>
                    </w:rPr>
                  </w:pPr>
                  <w:r w:rsidRPr="0075190E">
                    <w:rPr>
                      <w:rFonts w:asciiTheme="minorEastAsia" w:eastAsiaTheme="minorEastAsia" w:hAnsiTheme="minorEastAsia" w:cs="Times New Roman"/>
                    </w:rPr>
                    <w:t>水泥返高(m):地面</w:t>
                  </w:r>
                </w:p>
                <w:p w:rsidR="00A62354" w:rsidRPr="0075190E" w:rsidRDefault="00A62354" w:rsidP="0075190E">
                  <w:pPr>
                    <w:spacing w:line="264" w:lineRule="auto"/>
                    <w:ind w:firstLine="480"/>
                    <w:rPr>
                      <w:rFonts w:asciiTheme="minorEastAsia" w:eastAsiaTheme="minorEastAsia" w:hAnsiTheme="minorEastAsia" w:cs="Times New Roman"/>
                      <w:color w:val="000000"/>
                    </w:rPr>
                  </w:pPr>
                </w:p>
                <w:p w:rsidR="00A62354" w:rsidRPr="0075190E" w:rsidRDefault="00A62354" w:rsidP="0075190E">
                  <w:pPr>
                    <w:spacing w:line="264" w:lineRule="auto"/>
                    <w:ind w:firstLine="480"/>
                    <w:rPr>
                      <w:rFonts w:asciiTheme="minorEastAsia" w:eastAsiaTheme="minorEastAsia" w:hAnsiTheme="minorEastAsia" w:cs="Times New Roman"/>
                      <w:color w:val="000000"/>
                    </w:rPr>
                  </w:pP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二开：</w:t>
                  </w: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井眼直径(mm):215.9</w:t>
                  </w:r>
                </w:p>
                <w:p w:rsidR="00A62354" w:rsidRPr="0075190E" w:rsidRDefault="00A62354" w:rsidP="0075190E">
                  <w:pPr>
                    <w:spacing w:line="264" w:lineRule="auto"/>
                    <w:ind w:firstLine="480"/>
                    <w:rPr>
                      <w:rFonts w:asciiTheme="minorEastAsia" w:eastAsiaTheme="minorEastAsia" w:hAnsiTheme="minorEastAsia" w:cs="Times New Roman"/>
                    </w:rPr>
                  </w:pPr>
                  <w:r w:rsidRPr="0075190E">
                    <w:rPr>
                      <w:rFonts w:asciiTheme="minorEastAsia" w:eastAsiaTheme="minorEastAsia" w:hAnsiTheme="minorEastAsia" w:cs="Times New Roman"/>
                    </w:rPr>
                    <w:t>所钻深度(m):</w:t>
                  </w:r>
                  <w:r w:rsidRPr="003C6AD6">
                    <w:rPr>
                      <w:rFonts w:asciiTheme="minorEastAsia" w:eastAsiaTheme="minorEastAsia" w:hAnsiTheme="minorEastAsia" w:cs="Times New Roman"/>
                    </w:rPr>
                    <w:t>5986.86</w:t>
                  </w:r>
                </w:p>
                <w:p w:rsidR="00A62354" w:rsidRPr="00DC2652" w:rsidRDefault="00A62354" w:rsidP="0075190E">
                  <w:pPr>
                    <w:spacing w:line="264" w:lineRule="auto"/>
                    <w:ind w:firstLine="480"/>
                  </w:pPr>
                  <w:r w:rsidRPr="00DC2652">
                    <w:t>套管外径(mm):</w:t>
                  </w:r>
                  <w:r>
                    <w:rPr>
                      <w:rFonts w:hint="eastAsia"/>
                    </w:rPr>
                    <w:t>139.7</w:t>
                  </w:r>
                </w:p>
                <w:p w:rsidR="00A62354" w:rsidRPr="00DC2652" w:rsidRDefault="00A62354" w:rsidP="0075190E">
                  <w:pPr>
                    <w:spacing w:line="264" w:lineRule="auto"/>
                    <w:ind w:firstLine="480"/>
                    <w:rPr>
                      <w:color w:val="FF0000"/>
                    </w:rPr>
                  </w:pPr>
                  <w:r w:rsidRPr="00DC2652">
                    <w:t>套管下深(m):</w:t>
                  </w:r>
                  <w:r>
                    <w:t>5959</w:t>
                  </w:r>
                </w:p>
                <w:p w:rsidR="00A62354" w:rsidRPr="00DC2652" w:rsidRDefault="00A62354" w:rsidP="0075190E">
                  <w:pPr>
                    <w:spacing w:line="264" w:lineRule="auto"/>
                    <w:ind w:firstLine="480"/>
                    <w:rPr>
                      <w:color w:val="000000"/>
                    </w:rPr>
                  </w:pPr>
                  <w:r w:rsidRPr="00DC2652">
                    <w:t>水泥返高(m):</w:t>
                  </w:r>
                  <w:r>
                    <w:t>2380</w:t>
                  </w:r>
                </w:p>
              </w:txbxContent>
            </v:textbox>
          </v:shape>
        </w:pict>
      </w:r>
      <w:r w:rsidR="0075190E" w:rsidRPr="0075190E">
        <w:rPr>
          <w:noProof/>
        </w:rPr>
        <w:drawing>
          <wp:inline distT="0" distB="0" distL="0" distR="0">
            <wp:extent cx="4025482" cy="5874589"/>
            <wp:effectExtent l="0" t="0" r="0" b="0"/>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4034578" cy="5887864"/>
                    </a:xfrm>
                    <a:prstGeom prst="rect">
                      <a:avLst/>
                    </a:prstGeom>
                    <a:noFill/>
                    <a:ln w="9525">
                      <a:noFill/>
                      <a:miter lim="800000"/>
                      <a:headEnd/>
                      <a:tailEnd/>
                    </a:ln>
                  </pic:spPr>
                </pic:pic>
              </a:graphicData>
            </a:graphic>
          </wp:inline>
        </w:drawing>
      </w:r>
    </w:p>
    <w:p w:rsidR="0074669D" w:rsidRPr="00D630D1" w:rsidRDefault="0074669D" w:rsidP="0074669D">
      <w:pPr>
        <w:pStyle w:val="afa"/>
        <w:ind w:firstLine="482"/>
        <w:jc w:val="center"/>
        <w:rPr>
          <w:b/>
        </w:rPr>
      </w:pPr>
      <w:r w:rsidRPr="00D630D1">
        <w:rPr>
          <w:rFonts w:hint="eastAsia"/>
          <w:b/>
        </w:rPr>
        <w:t>图</w:t>
      </w:r>
      <w:r w:rsidRPr="00D630D1">
        <w:rPr>
          <w:rFonts w:hint="eastAsia"/>
          <w:b/>
        </w:rPr>
        <w:t>3.4-1</w:t>
      </w:r>
      <w:r w:rsidRPr="00D630D1">
        <w:rPr>
          <w:b/>
        </w:rPr>
        <w:t xml:space="preserve">  </w:t>
      </w:r>
      <w:r w:rsidRPr="00D630D1">
        <w:rPr>
          <w:rFonts w:hint="eastAsia"/>
          <w:b/>
        </w:rPr>
        <w:t>井身结构图</w:t>
      </w:r>
      <w:r w:rsidR="003C6AD6" w:rsidRPr="003C6AD6">
        <w:rPr>
          <w:rFonts w:hint="eastAsia"/>
          <w:b/>
        </w:rPr>
        <w:t>（以普陆页</w:t>
      </w:r>
      <w:r w:rsidR="003C6AD6" w:rsidRPr="003C6AD6">
        <w:rPr>
          <w:rFonts w:hint="eastAsia"/>
          <w:b/>
        </w:rPr>
        <w:t>1-1</w:t>
      </w:r>
      <w:r w:rsidR="003C6AD6" w:rsidRPr="003C6AD6">
        <w:rPr>
          <w:rFonts w:hint="eastAsia"/>
          <w:b/>
        </w:rPr>
        <w:t>井为例）</w:t>
      </w:r>
    </w:p>
    <w:p w:rsidR="0074669D" w:rsidRPr="00D630D1" w:rsidRDefault="0074669D" w:rsidP="0074669D">
      <w:pPr>
        <w:pStyle w:val="afa"/>
        <w:ind w:firstLine="482"/>
        <w:rPr>
          <w:b/>
        </w:rPr>
      </w:pPr>
      <w:bookmarkStart w:id="143" w:name="OLE_LINK51"/>
      <w:bookmarkStart w:id="144" w:name="OLE_LINK52"/>
      <w:r w:rsidRPr="00D630D1">
        <w:rPr>
          <w:rFonts w:hint="eastAsia"/>
          <w:b/>
        </w:rPr>
        <w:t>3</w:t>
      </w:r>
      <w:r w:rsidRPr="00D630D1">
        <w:rPr>
          <w:rFonts w:hint="eastAsia"/>
          <w:b/>
        </w:rPr>
        <w:t>钻井技术选择</w:t>
      </w:r>
    </w:p>
    <w:p w:rsidR="0074669D" w:rsidRPr="00D630D1" w:rsidRDefault="0074669D" w:rsidP="0074669D">
      <w:pPr>
        <w:pStyle w:val="afa"/>
        <w:ind w:firstLine="480"/>
      </w:pPr>
      <w:r w:rsidRPr="00D630D1">
        <w:rPr>
          <w:rFonts w:hint="eastAsia"/>
        </w:rPr>
        <w:t>1</w:t>
      </w:r>
      <w:r w:rsidRPr="00D630D1">
        <w:rPr>
          <w:rFonts w:hint="eastAsia"/>
        </w:rPr>
        <w:t>）钻井</w:t>
      </w:r>
    </w:p>
    <w:bookmarkEnd w:id="143"/>
    <w:bookmarkEnd w:id="144"/>
    <w:p w:rsidR="0074669D" w:rsidRDefault="0074669D" w:rsidP="0074669D">
      <w:pPr>
        <w:pStyle w:val="afa"/>
        <w:ind w:firstLine="480"/>
      </w:pPr>
      <w:r w:rsidRPr="00D630D1">
        <w:rPr>
          <w:rFonts w:hint="eastAsia"/>
        </w:rPr>
        <w:lastRenderedPageBreak/>
        <w:t>根据项目区域地质特点，采用气体钻井技术和常规钻井技术相结合的方式钻井，不同井段的钻井方式见</w:t>
      </w:r>
      <w:r w:rsidRPr="00D630D1">
        <w:t>表</w:t>
      </w:r>
      <w:r w:rsidRPr="00D630D1">
        <w:rPr>
          <w:rFonts w:hint="eastAsia"/>
        </w:rPr>
        <w:t>3.4-2</w:t>
      </w:r>
      <w:r w:rsidRPr="00D630D1">
        <w:rPr>
          <w:rFonts w:hint="eastAsia"/>
        </w:rPr>
        <w:t>。设备用电使用网电。</w:t>
      </w:r>
    </w:p>
    <w:p w:rsidR="0074669D" w:rsidRDefault="0074669D" w:rsidP="00F96E37">
      <w:pPr>
        <w:topLinePunct w:val="0"/>
        <w:snapToGrid w:val="0"/>
        <w:spacing w:beforeLines="50"/>
        <w:ind w:firstLineChars="0" w:firstLine="0"/>
        <w:jc w:val="center"/>
        <w:rPr>
          <w:rFonts w:ascii="Times New Roman" w:cs="Times New Roman"/>
          <w:b/>
          <w:kern w:val="2"/>
          <w:sz w:val="21"/>
          <w:szCs w:val="20"/>
        </w:rPr>
      </w:pPr>
      <w:bookmarkStart w:id="145" w:name="_Ref495937680"/>
      <w:r w:rsidRPr="00D630D1">
        <w:rPr>
          <w:rFonts w:ascii="Times New Roman" w:cs="Times New Roman"/>
          <w:b/>
          <w:kern w:val="2"/>
          <w:sz w:val="21"/>
          <w:szCs w:val="20"/>
        </w:rPr>
        <w:t>表</w:t>
      </w:r>
      <w:bookmarkEnd w:id="145"/>
      <w:r w:rsidR="005645BE" w:rsidRPr="00D630D1">
        <w:rPr>
          <w:rFonts w:ascii="Times New Roman" w:cs="Times New Roman" w:hint="eastAsia"/>
          <w:b/>
          <w:kern w:val="2"/>
          <w:sz w:val="21"/>
          <w:szCs w:val="20"/>
        </w:rPr>
        <w:t>3.4-2</w:t>
      </w:r>
      <w:r w:rsidRPr="00D630D1">
        <w:rPr>
          <w:rFonts w:ascii="Times New Roman" w:cs="Times New Roman"/>
          <w:b/>
          <w:kern w:val="2"/>
          <w:sz w:val="21"/>
          <w:szCs w:val="20"/>
        </w:rPr>
        <w:t xml:space="preserve">  </w:t>
      </w:r>
      <w:r w:rsidRPr="00D630D1">
        <w:rPr>
          <w:rFonts w:ascii="Times New Roman" w:cs="Times New Roman"/>
          <w:b/>
          <w:kern w:val="2"/>
          <w:sz w:val="21"/>
          <w:szCs w:val="20"/>
        </w:rPr>
        <w:t>不同井段的钻井方式</w:t>
      </w:r>
      <w:r w:rsidR="003C6AD6" w:rsidRPr="003C6AD6">
        <w:rPr>
          <w:rFonts w:ascii="Times New Roman" w:cs="Times New Roman" w:hint="eastAsia"/>
          <w:b/>
          <w:kern w:val="2"/>
          <w:sz w:val="21"/>
          <w:szCs w:val="20"/>
        </w:rPr>
        <w:t>（以普陆页</w:t>
      </w:r>
      <w:r w:rsidR="003C6AD6" w:rsidRPr="003C6AD6">
        <w:rPr>
          <w:rFonts w:ascii="Times New Roman" w:cs="Times New Roman" w:hint="eastAsia"/>
          <w:b/>
          <w:kern w:val="2"/>
          <w:sz w:val="21"/>
          <w:szCs w:val="20"/>
        </w:rPr>
        <w:t>1-1</w:t>
      </w:r>
      <w:r w:rsidR="003C6AD6" w:rsidRPr="003C6AD6">
        <w:rPr>
          <w:rFonts w:ascii="Times New Roman" w:cs="Times New Roman" w:hint="eastAsia"/>
          <w:b/>
          <w:kern w:val="2"/>
          <w:sz w:val="21"/>
          <w:szCs w:val="20"/>
        </w:rPr>
        <w:t>井为例）</w:t>
      </w:r>
    </w:p>
    <w:tbl>
      <w:tblPr>
        <w:tblW w:w="8959" w:type="dxa"/>
        <w:jc w:val="center"/>
        <w:tblBorders>
          <w:top w:val="single" w:sz="12" w:space="0" w:color="000000"/>
          <w:bottom w:val="single" w:sz="12" w:space="0" w:color="000000"/>
          <w:insideH w:val="single" w:sz="4" w:space="0" w:color="000000"/>
          <w:insideV w:val="single" w:sz="4" w:space="0" w:color="000000"/>
        </w:tblBorders>
        <w:tblLayout w:type="fixed"/>
        <w:tblLook w:val="0000"/>
      </w:tblPr>
      <w:tblGrid>
        <w:gridCol w:w="1003"/>
        <w:gridCol w:w="1487"/>
        <w:gridCol w:w="1348"/>
        <w:gridCol w:w="1283"/>
        <w:gridCol w:w="1157"/>
        <w:gridCol w:w="1146"/>
        <w:gridCol w:w="1535"/>
      </w:tblGrid>
      <w:tr w:rsidR="003C6AD6" w:rsidRPr="003C6AD6" w:rsidTr="003C6AD6">
        <w:trPr>
          <w:trHeight w:val="20"/>
          <w:jc w:val="center"/>
        </w:trPr>
        <w:tc>
          <w:tcPr>
            <w:tcW w:w="1037"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hint="eastAsia"/>
                <w:sz w:val="21"/>
                <w:szCs w:val="21"/>
                <w:lang w:val="zh-CN"/>
              </w:rPr>
              <w:t>开次</w:t>
            </w:r>
          </w:p>
        </w:tc>
        <w:tc>
          <w:tcPr>
            <w:tcW w:w="1543"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rFonts w:ascii="Times New Roman" w:cs="Times New Roman"/>
                <w:sz w:val="21"/>
                <w:szCs w:val="21"/>
              </w:rPr>
            </w:pPr>
            <w:r w:rsidRPr="003C6AD6">
              <w:rPr>
                <w:rFonts w:hint="eastAsia"/>
                <w:sz w:val="21"/>
                <w:szCs w:val="21"/>
                <w:lang w:val="zh-CN"/>
              </w:rPr>
              <w:t>钻头尺寸</w:t>
            </w:r>
          </w:p>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(mm)</w:t>
            </w:r>
          </w:p>
        </w:tc>
        <w:tc>
          <w:tcPr>
            <w:tcW w:w="1398"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rFonts w:ascii="Times New Roman" w:cs="Times New Roman"/>
                <w:sz w:val="21"/>
                <w:szCs w:val="21"/>
              </w:rPr>
            </w:pPr>
            <w:r w:rsidRPr="003C6AD6">
              <w:rPr>
                <w:rFonts w:hint="eastAsia"/>
                <w:sz w:val="21"/>
                <w:szCs w:val="21"/>
                <w:lang w:val="zh-CN"/>
              </w:rPr>
              <w:t>钻深</w:t>
            </w:r>
          </w:p>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(m)</w:t>
            </w:r>
          </w:p>
        </w:tc>
        <w:tc>
          <w:tcPr>
            <w:tcW w:w="1330"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rFonts w:ascii="Times New Roman" w:cs="Times New Roman"/>
                <w:sz w:val="21"/>
                <w:szCs w:val="21"/>
              </w:rPr>
            </w:pPr>
            <w:r w:rsidRPr="003C6AD6">
              <w:rPr>
                <w:rFonts w:hint="eastAsia"/>
                <w:sz w:val="21"/>
                <w:szCs w:val="21"/>
                <w:lang w:val="zh-CN"/>
              </w:rPr>
              <w:t>套管尺寸</w:t>
            </w:r>
          </w:p>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(mm)</w:t>
            </w:r>
          </w:p>
        </w:tc>
        <w:tc>
          <w:tcPr>
            <w:tcW w:w="1198"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rFonts w:ascii="Times New Roman" w:cs="Times New Roman"/>
                <w:sz w:val="21"/>
                <w:szCs w:val="21"/>
              </w:rPr>
            </w:pPr>
            <w:r w:rsidRPr="003C6AD6">
              <w:rPr>
                <w:rFonts w:hint="eastAsia"/>
                <w:sz w:val="21"/>
                <w:szCs w:val="21"/>
                <w:lang w:val="zh-CN"/>
              </w:rPr>
              <w:t>套管下深</w:t>
            </w:r>
          </w:p>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(m)</w:t>
            </w:r>
          </w:p>
        </w:tc>
        <w:tc>
          <w:tcPr>
            <w:tcW w:w="1187"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rFonts w:ascii="Times New Roman" w:cs="Times New Roman"/>
                <w:sz w:val="21"/>
                <w:szCs w:val="21"/>
              </w:rPr>
            </w:pPr>
            <w:r w:rsidRPr="003C6AD6">
              <w:rPr>
                <w:rFonts w:hint="eastAsia"/>
                <w:sz w:val="21"/>
                <w:szCs w:val="21"/>
                <w:lang w:val="zh-CN"/>
              </w:rPr>
              <w:t>水泥返高</w:t>
            </w:r>
          </w:p>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(m)</w:t>
            </w:r>
          </w:p>
        </w:tc>
        <w:tc>
          <w:tcPr>
            <w:tcW w:w="1593"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hint="eastAsia"/>
                <w:sz w:val="21"/>
                <w:szCs w:val="21"/>
                <w:lang w:val="zh-CN"/>
              </w:rPr>
              <w:t>钻井方式</w:t>
            </w:r>
          </w:p>
        </w:tc>
      </w:tr>
      <w:tr w:rsidR="003C6AD6" w:rsidRPr="003C6AD6" w:rsidTr="003C6AD6">
        <w:trPr>
          <w:trHeight w:val="20"/>
          <w:jc w:val="center"/>
        </w:trPr>
        <w:tc>
          <w:tcPr>
            <w:tcW w:w="1037"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hint="eastAsia"/>
                <w:sz w:val="21"/>
                <w:szCs w:val="21"/>
                <w:lang w:val="zh-CN"/>
              </w:rPr>
              <w:t>导管</w:t>
            </w:r>
            <w:r w:rsidRPr="003C6AD6">
              <w:rPr>
                <w:rFonts w:ascii="Times New Roman" w:cs="Times New Roman"/>
                <w:sz w:val="21"/>
                <w:szCs w:val="21"/>
              </w:rPr>
              <w:t>1</w:t>
            </w:r>
          </w:p>
        </w:tc>
        <w:tc>
          <w:tcPr>
            <w:tcW w:w="1543"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p>
        </w:tc>
        <w:tc>
          <w:tcPr>
            <w:tcW w:w="1398"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p>
        </w:tc>
        <w:tc>
          <w:tcPr>
            <w:tcW w:w="1330"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508</w:t>
            </w:r>
          </w:p>
        </w:tc>
        <w:tc>
          <w:tcPr>
            <w:tcW w:w="1198"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5</w:t>
            </w:r>
            <w:r w:rsidRPr="003C6AD6">
              <w:rPr>
                <w:rFonts w:hint="eastAsia"/>
                <w:sz w:val="21"/>
                <w:szCs w:val="21"/>
                <w:lang w:val="zh-CN"/>
              </w:rPr>
              <w:t>～</w:t>
            </w:r>
            <w:r w:rsidRPr="003C6AD6">
              <w:rPr>
                <w:rFonts w:ascii="Times New Roman" w:cs="Times New Roman"/>
                <w:sz w:val="21"/>
                <w:szCs w:val="21"/>
              </w:rPr>
              <w:t>10</w:t>
            </w:r>
          </w:p>
        </w:tc>
        <w:tc>
          <w:tcPr>
            <w:tcW w:w="1187"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hint="eastAsia"/>
                <w:sz w:val="21"/>
                <w:szCs w:val="21"/>
                <w:lang w:val="zh-CN"/>
              </w:rPr>
              <w:t>地面</w:t>
            </w:r>
          </w:p>
        </w:tc>
        <w:tc>
          <w:tcPr>
            <w:tcW w:w="1593"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hint="eastAsia"/>
                <w:sz w:val="21"/>
                <w:szCs w:val="21"/>
                <w:lang w:val="zh-CN"/>
              </w:rPr>
              <w:t>预埋</w:t>
            </w:r>
          </w:p>
        </w:tc>
      </w:tr>
      <w:tr w:rsidR="003C6AD6" w:rsidRPr="003C6AD6" w:rsidTr="003C6AD6">
        <w:trPr>
          <w:trHeight w:val="20"/>
          <w:jc w:val="center"/>
        </w:trPr>
        <w:tc>
          <w:tcPr>
            <w:tcW w:w="1037"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hint="eastAsia"/>
                <w:sz w:val="21"/>
                <w:szCs w:val="21"/>
                <w:lang w:val="zh-CN"/>
              </w:rPr>
              <w:t>导管</w:t>
            </w:r>
            <w:r w:rsidRPr="003C6AD6">
              <w:rPr>
                <w:rFonts w:ascii="Times New Roman" w:cs="Times New Roman"/>
                <w:sz w:val="21"/>
                <w:szCs w:val="21"/>
              </w:rPr>
              <w:t>2</w:t>
            </w:r>
          </w:p>
        </w:tc>
        <w:tc>
          <w:tcPr>
            <w:tcW w:w="1543"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406.4</w:t>
            </w:r>
          </w:p>
        </w:tc>
        <w:tc>
          <w:tcPr>
            <w:tcW w:w="1398"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201</w:t>
            </w:r>
          </w:p>
        </w:tc>
        <w:tc>
          <w:tcPr>
            <w:tcW w:w="1330"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339.7</w:t>
            </w:r>
          </w:p>
        </w:tc>
        <w:tc>
          <w:tcPr>
            <w:tcW w:w="1198"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0</w:t>
            </w:r>
            <w:r w:rsidRPr="003C6AD6">
              <w:rPr>
                <w:rFonts w:hint="eastAsia"/>
                <w:sz w:val="21"/>
                <w:szCs w:val="21"/>
                <w:lang w:val="zh-CN"/>
              </w:rPr>
              <w:t>～</w:t>
            </w:r>
            <w:r w:rsidRPr="003C6AD6">
              <w:rPr>
                <w:rFonts w:ascii="Times New Roman" w:cs="Times New Roman"/>
                <w:sz w:val="21"/>
                <w:szCs w:val="21"/>
              </w:rPr>
              <w:t>200</w:t>
            </w:r>
          </w:p>
        </w:tc>
        <w:tc>
          <w:tcPr>
            <w:tcW w:w="1187"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hint="eastAsia"/>
                <w:sz w:val="21"/>
                <w:szCs w:val="21"/>
                <w:lang w:val="zh-CN"/>
              </w:rPr>
              <w:t>地面</w:t>
            </w:r>
          </w:p>
        </w:tc>
        <w:tc>
          <w:tcPr>
            <w:tcW w:w="1593"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hint="eastAsia"/>
                <w:sz w:val="21"/>
                <w:szCs w:val="21"/>
                <w:lang w:val="zh-CN"/>
              </w:rPr>
              <w:t>空气钻井</w:t>
            </w:r>
          </w:p>
        </w:tc>
      </w:tr>
      <w:tr w:rsidR="003C6AD6" w:rsidRPr="003C6AD6" w:rsidTr="003C6AD6">
        <w:trPr>
          <w:trHeight w:val="20"/>
          <w:jc w:val="center"/>
        </w:trPr>
        <w:tc>
          <w:tcPr>
            <w:tcW w:w="1037"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hint="eastAsia"/>
                <w:sz w:val="21"/>
                <w:szCs w:val="21"/>
                <w:lang w:val="zh-CN"/>
              </w:rPr>
              <w:t>一开</w:t>
            </w:r>
          </w:p>
        </w:tc>
        <w:tc>
          <w:tcPr>
            <w:tcW w:w="1543"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311.2</w:t>
            </w:r>
          </w:p>
        </w:tc>
        <w:tc>
          <w:tcPr>
            <w:tcW w:w="1398"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2882</w:t>
            </w:r>
          </w:p>
        </w:tc>
        <w:tc>
          <w:tcPr>
            <w:tcW w:w="1330"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244.5</w:t>
            </w:r>
          </w:p>
        </w:tc>
        <w:tc>
          <w:tcPr>
            <w:tcW w:w="1198"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0</w:t>
            </w:r>
            <w:r w:rsidRPr="003C6AD6">
              <w:rPr>
                <w:rFonts w:hint="eastAsia"/>
                <w:sz w:val="21"/>
                <w:szCs w:val="21"/>
                <w:lang w:val="zh-CN"/>
              </w:rPr>
              <w:t>～</w:t>
            </w:r>
            <w:r w:rsidRPr="003C6AD6">
              <w:rPr>
                <w:rFonts w:ascii="Times New Roman" w:cs="Times New Roman"/>
                <w:sz w:val="21"/>
                <w:szCs w:val="21"/>
              </w:rPr>
              <w:t>2880</w:t>
            </w:r>
          </w:p>
        </w:tc>
        <w:tc>
          <w:tcPr>
            <w:tcW w:w="1187"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hint="eastAsia"/>
                <w:sz w:val="21"/>
                <w:szCs w:val="21"/>
                <w:lang w:val="zh-CN"/>
              </w:rPr>
              <w:t>地面</w:t>
            </w:r>
          </w:p>
        </w:tc>
        <w:tc>
          <w:tcPr>
            <w:tcW w:w="1593"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hint="eastAsia"/>
                <w:sz w:val="21"/>
                <w:szCs w:val="21"/>
                <w:lang w:val="zh-CN"/>
              </w:rPr>
              <w:t>空气钻井</w:t>
            </w:r>
          </w:p>
        </w:tc>
      </w:tr>
      <w:tr w:rsidR="003C6AD6" w:rsidRPr="003C6AD6" w:rsidTr="003C6AD6">
        <w:trPr>
          <w:trHeight w:val="20"/>
          <w:jc w:val="center"/>
        </w:trPr>
        <w:tc>
          <w:tcPr>
            <w:tcW w:w="1037"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hint="eastAsia"/>
                <w:sz w:val="21"/>
                <w:szCs w:val="21"/>
                <w:lang w:val="zh-CN"/>
              </w:rPr>
              <w:t>二开</w:t>
            </w:r>
          </w:p>
        </w:tc>
        <w:tc>
          <w:tcPr>
            <w:tcW w:w="1543"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215.9</w:t>
            </w:r>
          </w:p>
        </w:tc>
        <w:tc>
          <w:tcPr>
            <w:tcW w:w="1398"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5986.86</w:t>
            </w:r>
          </w:p>
        </w:tc>
        <w:tc>
          <w:tcPr>
            <w:tcW w:w="1330"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139.7</w:t>
            </w:r>
          </w:p>
        </w:tc>
        <w:tc>
          <w:tcPr>
            <w:tcW w:w="1198"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0</w:t>
            </w:r>
            <w:r w:rsidRPr="003C6AD6">
              <w:rPr>
                <w:rFonts w:hint="eastAsia"/>
                <w:sz w:val="21"/>
                <w:szCs w:val="21"/>
                <w:lang w:val="zh-CN"/>
              </w:rPr>
              <w:t>～</w:t>
            </w:r>
            <w:r w:rsidRPr="003C6AD6">
              <w:rPr>
                <w:rFonts w:ascii="Times New Roman" w:cs="Times New Roman"/>
                <w:sz w:val="21"/>
                <w:szCs w:val="21"/>
              </w:rPr>
              <w:t>5959</w:t>
            </w:r>
          </w:p>
        </w:tc>
        <w:tc>
          <w:tcPr>
            <w:tcW w:w="1187"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jc w:val="center"/>
              <w:rPr>
                <w:sz w:val="22"/>
                <w:szCs w:val="22"/>
                <w:lang w:val="zh-CN"/>
              </w:rPr>
            </w:pPr>
            <w:r w:rsidRPr="003C6AD6">
              <w:rPr>
                <w:rFonts w:ascii="Times New Roman" w:cs="Times New Roman"/>
                <w:sz w:val="21"/>
                <w:szCs w:val="21"/>
              </w:rPr>
              <w:t>2380</w:t>
            </w:r>
          </w:p>
        </w:tc>
        <w:tc>
          <w:tcPr>
            <w:tcW w:w="1593" w:type="dxa"/>
            <w:shd w:val="clear" w:color="000000" w:fill="FFFFFF"/>
            <w:vAlign w:val="center"/>
          </w:tcPr>
          <w:p w:rsidR="003C6AD6" w:rsidRPr="003C6AD6" w:rsidRDefault="003C6AD6" w:rsidP="003C6AD6">
            <w:pPr>
              <w:topLinePunct w:val="0"/>
              <w:autoSpaceDE w:val="0"/>
              <w:autoSpaceDN w:val="0"/>
              <w:snapToGrid w:val="0"/>
              <w:spacing w:line="240" w:lineRule="auto"/>
              <w:ind w:firstLineChars="0" w:firstLine="0"/>
              <w:rPr>
                <w:sz w:val="22"/>
                <w:szCs w:val="22"/>
                <w:lang w:val="zh-CN"/>
              </w:rPr>
            </w:pPr>
          </w:p>
        </w:tc>
      </w:tr>
    </w:tbl>
    <w:p w:rsidR="0074669D" w:rsidRPr="00D630D1" w:rsidRDefault="005645BE" w:rsidP="005645BE">
      <w:pPr>
        <w:pStyle w:val="afa"/>
        <w:ind w:firstLineChars="0" w:firstLine="0"/>
        <w:rPr>
          <w:sz w:val="21"/>
          <w:szCs w:val="21"/>
        </w:rPr>
      </w:pPr>
      <w:r w:rsidRPr="00D630D1">
        <w:rPr>
          <w:rFonts w:hint="eastAsia"/>
          <w:sz w:val="21"/>
          <w:szCs w:val="21"/>
        </w:rPr>
        <w:t>注：气体钻井根据不同情况使用的是空气或者氮气。</w:t>
      </w:r>
    </w:p>
    <w:p w:rsidR="003C6AD6" w:rsidRDefault="003C6AD6" w:rsidP="003C6AD6">
      <w:pPr>
        <w:pStyle w:val="afa"/>
        <w:ind w:firstLine="480"/>
      </w:pPr>
      <w:r w:rsidRPr="003C6AD6">
        <w:rPr>
          <w:rFonts w:hint="eastAsia"/>
        </w:rPr>
        <w:t>普陆页</w:t>
      </w:r>
      <w:r w:rsidRPr="003C6AD6">
        <w:rPr>
          <w:rFonts w:hint="eastAsia"/>
        </w:rPr>
        <w:t>1-1~6</w:t>
      </w:r>
      <w:r w:rsidRPr="003C6AD6">
        <w:rPr>
          <w:rFonts w:hint="eastAsia"/>
        </w:rPr>
        <w:t>井井身结构数据</w:t>
      </w:r>
      <w:r>
        <w:rPr>
          <w:rFonts w:hint="eastAsia"/>
        </w:rPr>
        <w:t>见表</w:t>
      </w:r>
      <w:r w:rsidRPr="00D630D1">
        <w:rPr>
          <w:rFonts w:hint="eastAsia"/>
        </w:rPr>
        <w:t>3.4-3</w:t>
      </w:r>
      <w:r w:rsidRPr="00D630D1">
        <w:rPr>
          <w:rFonts w:hint="eastAsia"/>
        </w:rPr>
        <w:t>。</w:t>
      </w:r>
    </w:p>
    <w:p w:rsidR="003C6AD6" w:rsidRDefault="003C6AD6" w:rsidP="00F96E37">
      <w:pPr>
        <w:topLinePunct w:val="0"/>
        <w:snapToGrid w:val="0"/>
        <w:spacing w:beforeLines="50"/>
        <w:ind w:firstLineChars="0" w:firstLine="0"/>
        <w:jc w:val="center"/>
        <w:rPr>
          <w:rFonts w:ascii="Times New Roman" w:cs="Times New Roman"/>
          <w:b/>
          <w:kern w:val="2"/>
          <w:sz w:val="21"/>
          <w:szCs w:val="20"/>
        </w:rPr>
      </w:pPr>
      <w:r w:rsidRPr="00D630D1">
        <w:rPr>
          <w:rFonts w:ascii="Times New Roman" w:cs="Times New Roman"/>
          <w:b/>
          <w:kern w:val="2"/>
          <w:sz w:val="21"/>
          <w:szCs w:val="20"/>
        </w:rPr>
        <w:t>表</w:t>
      </w:r>
      <w:r w:rsidRPr="00D630D1">
        <w:rPr>
          <w:rFonts w:ascii="Times New Roman" w:cs="Times New Roman" w:hint="eastAsia"/>
          <w:b/>
          <w:kern w:val="2"/>
          <w:sz w:val="21"/>
          <w:szCs w:val="20"/>
        </w:rPr>
        <w:t>3.4-</w:t>
      </w:r>
      <w:r>
        <w:rPr>
          <w:rFonts w:ascii="Times New Roman" w:cs="Times New Roman" w:hint="eastAsia"/>
          <w:b/>
          <w:kern w:val="2"/>
          <w:sz w:val="21"/>
          <w:szCs w:val="20"/>
        </w:rPr>
        <w:t>3</w:t>
      </w:r>
      <w:r w:rsidRPr="00D630D1">
        <w:rPr>
          <w:rFonts w:ascii="Times New Roman" w:cs="Times New Roman"/>
          <w:b/>
          <w:kern w:val="2"/>
          <w:sz w:val="21"/>
          <w:szCs w:val="20"/>
        </w:rPr>
        <w:t xml:space="preserve">  </w:t>
      </w:r>
      <w:r w:rsidRPr="003C6AD6">
        <w:rPr>
          <w:rFonts w:ascii="Times New Roman" w:cs="Times New Roman" w:hint="eastAsia"/>
          <w:b/>
          <w:kern w:val="2"/>
          <w:sz w:val="21"/>
          <w:szCs w:val="20"/>
        </w:rPr>
        <w:t>试验井组井身结构设计数据表</w:t>
      </w:r>
    </w:p>
    <w:tbl>
      <w:tblPr>
        <w:tblW w:w="8959" w:type="dxa"/>
        <w:jc w:val="center"/>
        <w:tblBorders>
          <w:top w:val="single" w:sz="12" w:space="0" w:color="000000"/>
          <w:bottom w:val="single" w:sz="12" w:space="0" w:color="000000"/>
          <w:insideH w:val="single" w:sz="4" w:space="0" w:color="000000"/>
          <w:insideV w:val="single" w:sz="4" w:space="0" w:color="000000"/>
        </w:tblBorders>
        <w:tblLayout w:type="fixed"/>
        <w:tblLook w:val="0000"/>
      </w:tblPr>
      <w:tblGrid>
        <w:gridCol w:w="1558"/>
        <w:gridCol w:w="892"/>
        <w:gridCol w:w="893"/>
        <w:gridCol w:w="1042"/>
        <w:gridCol w:w="1042"/>
        <w:gridCol w:w="893"/>
        <w:gridCol w:w="893"/>
        <w:gridCol w:w="895"/>
        <w:gridCol w:w="851"/>
      </w:tblGrid>
      <w:tr w:rsidR="003C6AD6" w:rsidRPr="003C6AD6" w:rsidTr="003C6AD6">
        <w:trPr>
          <w:jc w:val="center"/>
        </w:trPr>
        <w:tc>
          <w:tcPr>
            <w:tcW w:w="1558"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井号</w:t>
            </w:r>
          </w:p>
        </w:tc>
        <w:tc>
          <w:tcPr>
            <w:tcW w:w="89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导管</w:t>
            </w:r>
            <w:r w:rsidRPr="003C6AD6">
              <w:rPr>
                <w:rFonts w:ascii="Times New Roman" w:cs="Times New Roman"/>
                <w:sz w:val="21"/>
                <w:szCs w:val="21"/>
              </w:rPr>
              <w:t>2</w:t>
            </w:r>
            <w:r w:rsidRPr="003C6AD6">
              <w:rPr>
                <w:rFonts w:hint="eastAsia"/>
                <w:sz w:val="21"/>
                <w:szCs w:val="21"/>
                <w:lang w:val="zh-CN"/>
              </w:rPr>
              <w:t>尺寸</w:t>
            </w:r>
            <w:r w:rsidRPr="003C6AD6">
              <w:rPr>
                <w:rFonts w:ascii="Times New Roman" w:cs="Times New Roman"/>
                <w:sz w:val="21"/>
                <w:szCs w:val="21"/>
              </w:rPr>
              <w:t>mm</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导管</w:t>
            </w:r>
            <w:r w:rsidRPr="003C6AD6">
              <w:rPr>
                <w:rFonts w:ascii="Times New Roman" w:cs="Times New Roman"/>
                <w:sz w:val="21"/>
                <w:szCs w:val="21"/>
              </w:rPr>
              <w:t>2</w:t>
            </w:r>
            <w:r w:rsidRPr="003C6AD6">
              <w:rPr>
                <w:rFonts w:hint="eastAsia"/>
                <w:sz w:val="21"/>
                <w:szCs w:val="21"/>
                <w:lang w:val="zh-CN"/>
              </w:rPr>
              <w:t>下深</w:t>
            </w:r>
            <w:r w:rsidRPr="003C6AD6">
              <w:rPr>
                <w:rFonts w:ascii="Times New Roman" w:cs="Times New Roman"/>
                <w:sz w:val="21"/>
                <w:szCs w:val="21"/>
              </w:rPr>
              <w:t>m</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一开套管尺寸</w:t>
            </w:r>
            <w:r w:rsidRPr="003C6AD6">
              <w:rPr>
                <w:rFonts w:ascii="Times New Roman" w:cs="Times New Roman"/>
                <w:sz w:val="21"/>
                <w:szCs w:val="21"/>
              </w:rPr>
              <w:t>mm</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表层下深</w:t>
            </w:r>
            <w:r w:rsidRPr="003C6AD6">
              <w:rPr>
                <w:rFonts w:ascii="Times New Roman" w:cs="Times New Roman"/>
                <w:sz w:val="21"/>
                <w:szCs w:val="21"/>
              </w:rPr>
              <w:t>m</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水泥返高</w:t>
            </w:r>
            <w:r w:rsidRPr="003C6AD6">
              <w:rPr>
                <w:rFonts w:ascii="Times New Roman" w:cs="Times New Roman"/>
                <w:sz w:val="21"/>
                <w:szCs w:val="21"/>
              </w:rPr>
              <w:t>m</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二开套管尺寸</w:t>
            </w:r>
            <w:r w:rsidRPr="003C6AD6">
              <w:rPr>
                <w:rFonts w:ascii="Times New Roman" w:cs="Times New Roman"/>
                <w:sz w:val="21"/>
                <w:szCs w:val="21"/>
              </w:rPr>
              <w:t>mm</w:t>
            </w:r>
          </w:p>
        </w:tc>
        <w:tc>
          <w:tcPr>
            <w:tcW w:w="895"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生产套管下深</w:t>
            </w:r>
            <w:r w:rsidRPr="003C6AD6">
              <w:rPr>
                <w:rFonts w:ascii="Times New Roman" w:cs="Times New Roman"/>
                <w:sz w:val="21"/>
                <w:szCs w:val="21"/>
              </w:rPr>
              <w:t>m</w:t>
            </w:r>
          </w:p>
        </w:tc>
        <w:tc>
          <w:tcPr>
            <w:tcW w:w="851"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水泥返高</w:t>
            </w:r>
            <w:r w:rsidRPr="003C6AD6">
              <w:rPr>
                <w:rFonts w:ascii="Times New Roman" w:cs="Times New Roman"/>
                <w:sz w:val="21"/>
                <w:szCs w:val="21"/>
              </w:rPr>
              <w:t>m</w:t>
            </w:r>
          </w:p>
        </w:tc>
      </w:tr>
      <w:tr w:rsidR="003C6AD6" w:rsidRPr="003C6AD6" w:rsidTr="003C6AD6">
        <w:trPr>
          <w:jc w:val="center"/>
        </w:trPr>
        <w:tc>
          <w:tcPr>
            <w:tcW w:w="1558"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普陆页</w:t>
            </w:r>
            <w:r w:rsidRPr="003C6AD6">
              <w:rPr>
                <w:rFonts w:ascii="Times New Roman" w:cs="Times New Roman"/>
                <w:sz w:val="21"/>
                <w:szCs w:val="21"/>
              </w:rPr>
              <w:t>1-1</w:t>
            </w:r>
          </w:p>
        </w:tc>
        <w:tc>
          <w:tcPr>
            <w:tcW w:w="89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339.7</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200</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244.5</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2880</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地面</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139.7</w:t>
            </w:r>
          </w:p>
        </w:tc>
        <w:tc>
          <w:tcPr>
            <w:tcW w:w="895"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5959</w:t>
            </w:r>
          </w:p>
        </w:tc>
        <w:tc>
          <w:tcPr>
            <w:tcW w:w="851"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2380</w:t>
            </w:r>
          </w:p>
        </w:tc>
      </w:tr>
      <w:tr w:rsidR="003C6AD6" w:rsidRPr="003C6AD6" w:rsidTr="003C6AD6">
        <w:trPr>
          <w:jc w:val="center"/>
        </w:trPr>
        <w:tc>
          <w:tcPr>
            <w:tcW w:w="1558"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普陆页</w:t>
            </w:r>
            <w:r w:rsidRPr="003C6AD6">
              <w:rPr>
                <w:rFonts w:ascii="Times New Roman" w:cs="Times New Roman"/>
                <w:sz w:val="21"/>
                <w:szCs w:val="21"/>
              </w:rPr>
              <w:t>1-3</w:t>
            </w:r>
          </w:p>
        </w:tc>
        <w:tc>
          <w:tcPr>
            <w:tcW w:w="89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339.7</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210</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244.5</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2910</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地面</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139.7</w:t>
            </w:r>
          </w:p>
        </w:tc>
        <w:tc>
          <w:tcPr>
            <w:tcW w:w="895"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5811</w:t>
            </w:r>
          </w:p>
        </w:tc>
        <w:tc>
          <w:tcPr>
            <w:tcW w:w="851"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2410</w:t>
            </w:r>
          </w:p>
        </w:tc>
      </w:tr>
      <w:tr w:rsidR="003C6AD6" w:rsidRPr="003C6AD6" w:rsidTr="003C6AD6">
        <w:trPr>
          <w:jc w:val="center"/>
        </w:trPr>
        <w:tc>
          <w:tcPr>
            <w:tcW w:w="1558"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普陆页</w:t>
            </w:r>
            <w:r w:rsidRPr="003C6AD6">
              <w:rPr>
                <w:rFonts w:ascii="Times New Roman" w:cs="Times New Roman"/>
                <w:sz w:val="21"/>
                <w:szCs w:val="21"/>
              </w:rPr>
              <w:t>1-2</w:t>
            </w:r>
          </w:p>
        </w:tc>
        <w:tc>
          <w:tcPr>
            <w:tcW w:w="89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339.7</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200</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244.5</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3020</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地面</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139.7</w:t>
            </w:r>
          </w:p>
        </w:tc>
        <w:tc>
          <w:tcPr>
            <w:tcW w:w="895"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5677</w:t>
            </w:r>
          </w:p>
        </w:tc>
        <w:tc>
          <w:tcPr>
            <w:tcW w:w="851"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2525</w:t>
            </w:r>
          </w:p>
        </w:tc>
      </w:tr>
      <w:tr w:rsidR="003C6AD6" w:rsidRPr="003C6AD6" w:rsidTr="003C6AD6">
        <w:trPr>
          <w:jc w:val="center"/>
        </w:trPr>
        <w:tc>
          <w:tcPr>
            <w:tcW w:w="1558"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普陆页</w:t>
            </w:r>
            <w:r w:rsidRPr="003C6AD6">
              <w:rPr>
                <w:rFonts w:ascii="Times New Roman" w:cs="Times New Roman"/>
                <w:sz w:val="21"/>
                <w:szCs w:val="21"/>
              </w:rPr>
              <w:t>1-4</w:t>
            </w:r>
          </w:p>
        </w:tc>
        <w:tc>
          <w:tcPr>
            <w:tcW w:w="89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339.7</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200</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244.5</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3035</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地面</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139.7</w:t>
            </w:r>
          </w:p>
        </w:tc>
        <w:tc>
          <w:tcPr>
            <w:tcW w:w="895"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6485</w:t>
            </w:r>
          </w:p>
        </w:tc>
        <w:tc>
          <w:tcPr>
            <w:tcW w:w="851"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2535</w:t>
            </w:r>
          </w:p>
        </w:tc>
      </w:tr>
      <w:tr w:rsidR="003C6AD6" w:rsidRPr="003C6AD6" w:rsidTr="003C6AD6">
        <w:trPr>
          <w:jc w:val="center"/>
        </w:trPr>
        <w:tc>
          <w:tcPr>
            <w:tcW w:w="1558"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普陆页</w:t>
            </w:r>
            <w:r w:rsidRPr="003C6AD6">
              <w:rPr>
                <w:rFonts w:ascii="Times New Roman" w:cs="Times New Roman"/>
                <w:sz w:val="21"/>
                <w:szCs w:val="21"/>
              </w:rPr>
              <w:t>1-5</w:t>
            </w:r>
          </w:p>
        </w:tc>
        <w:tc>
          <w:tcPr>
            <w:tcW w:w="89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339.7</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210</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244.5</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3025</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地面</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139.7</w:t>
            </w:r>
          </w:p>
        </w:tc>
        <w:tc>
          <w:tcPr>
            <w:tcW w:w="895"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6696</w:t>
            </w:r>
          </w:p>
        </w:tc>
        <w:tc>
          <w:tcPr>
            <w:tcW w:w="851"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2525</w:t>
            </w:r>
          </w:p>
        </w:tc>
      </w:tr>
      <w:tr w:rsidR="003C6AD6" w:rsidRPr="003C6AD6" w:rsidTr="003C6AD6">
        <w:trPr>
          <w:jc w:val="center"/>
        </w:trPr>
        <w:tc>
          <w:tcPr>
            <w:tcW w:w="1558"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普陆页</w:t>
            </w:r>
            <w:r w:rsidRPr="003C6AD6">
              <w:rPr>
                <w:rFonts w:ascii="Times New Roman" w:cs="Times New Roman"/>
                <w:sz w:val="21"/>
                <w:szCs w:val="21"/>
              </w:rPr>
              <w:t>1-6</w:t>
            </w:r>
          </w:p>
        </w:tc>
        <w:tc>
          <w:tcPr>
            <w:tcW w:w="89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339.7</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200</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244.5</w:t>
            </w:r>
          </w:p>
        </w:tc>
        <w:tc>
          <w:tcPr>
            <w:tcW w:w="104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3035</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hint="eastAsia"/>
                <w:sz w:val="21"/>
                <w:szCs w:val="21"/>
                <w:lang w:val="zh-CN"/>
              </w:rPr>
              <w:t>地面</w:t>
            </w:r>
          </w:p>
        </w:tc>
        <w:tc>
          <w:tcPr>
            <w:tcW w:w="893"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139.7</w:t>
            </w:r>
          </w:p>
        </w:tc>
        <w:tc>
          <w:tcPr>
            <w:tcW w:w="895"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6871</w:t>
            </w:r>
          </w:p>
        </w:tc>
        <w:tc>
          <w:tcPr>
            <w:tcW w:w="851"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sz w:val="22"/>
                <w:szCs w:val="22"/>
                <w:lang w:val="zh-CN"/>
              </w:rPr>
            </w:pPr>
            <w:r w:rsidRPr="003C6AD6">
              <w:rPr>
                <w:rFonts w:ascii="Times New Roman" w:cs="Times New Roman"/>
                <w:sz w:val="21"/>
                <w:szCs w:val="21"/>
              </w:rPr>
              <w:t>2535</w:t>
            </w:r>
          </w:p>
        </w:tc>
      </w:tr>
    </w:tbl>
    <w:p w:rsidR="005645BE" w:rsidRPr="00D630D1" w:rsidRDefault="005645BE" w:rsidP="005645BE">
      <w:pPr>
        <w:pStyle w:val="afa"/>
        <w:ind w:firstLine="480"/>
      </w:pPr>
      <w:r w:rsidRPr="00D630D1">
        <w:rPr>
          <w:rFonts w:hint="eastAsia"/>
        </w:rPr>
        <w:t>根据钻遇地层特点，</w:t>
      </w:r>
      <w:r w:rsidR="003C6AD6" w:rsidRPr="003C6AD6">
        <w:rPr>
          <w:rFonts w:hint="eastAsia"/>
        </w:rPr>
        <w:t>普陆页</w:t>
      </w:r>
      <w:r w:rsidR="003C6AD6" w:rsidRPr="003C6AD6">
        <w:rPr>
          <w:rFonts w:hint="eastAsia"/>
        </w:rPr>
        <w:t>1-1~6</w:t>
      </w:r>
      <w:r w:rsidR="003C6AD6" w:rsidRPr="003C6AD6">
        <w:rPr>
          <w:rFonts w:hint="eastAsia"/>
        </w:rPr>
        <w:t>井</w:t>
      </w:r>
      <w:r w:rsidRPr="00D630D1">
        <w:rPr>
          <w:rFonts w:hint="eastAsia"/>
        </w:rPr>
        <w:t>选用不同的钻井液体系，井身按</w:t>
      </w:r>
      <w:r w:rsidR="003C6AD6">
        <w:rPr>
          <w:rFonts w:hint="eastAsia"/>
        </w:rPr>
        <w:t>二</w:t>
      </w:r>
      <w:r w:rsidRPr="00D630D1">
        <w:rPr>
          <w:rFonts w:hint="eastAsia"/>
        </w:rPr>
        <w:t>开钻进，导管段采用</w:t>
      </w:r>
      <w:r w:rsidR="003C6AD6">
        <w:rPr>
          <w:rFonts w:ascii="宋体" w:cs="宋体" w:hint="eastAsia"/>
          <w:szCs w:val="21"/>
          <w:lang w:val="zh-CN"/>
        </w:rPr>
        <w:t>气体钻/聚合物钻井液</w:t>
      </w:r>
      <w:r w:rsidRPr="00D630D1">
        <w:rPr>
          <w:rFonts w:hint="eastAsia"/>
        </w:rPr>
        <w:t>，一开井段采用</w:t>
      </w:r>
      <w:r w:rsidR="003C6AD6">
        <w:rPr>
          <w:rFonts w:ascii="宋体" w:cs="宋体" w:hint="eastAsia"/>
          <w:szCs w:val="21"/>
          <w:lang w:val="zh-CN"/>
        </w:rPr>
        <w:t>气体钻/聚合物封堵防塌钻井液</w:t>
      </w:r>
      <w:r w:rsidRPr="00D630D1">
        <w:rPr>
          <w:rFonts w:hint="eastAsia"/>
        </w:rPr>
        <w:t>，二开井段采用</w:t>
      </w:r>
      <w:r w:rsidR="003C6AD6" w:rsidRPr="003C6AD6">
        <w:rPr>
          <w:rFonts w:hint="eastAsia"/>
        </w:rPr>
        <w:t>油基钻井液</w:t>
      </w:r>
      <w:r w:rsidRPr="00D630D1">
        <w:rPr>
          <w:rFonts w:hint="eastAsia"/>
        </w:rPr>
        <w:t>，本项目钻井液体系见表</w:t>
      </w:r>
      <w:bookmarkStart w:id="146" w:name="OLE_LINK57"/>
      <w:bookmarkStart w:id="147" w:name="OLE_LINK58"/>
      <w:bookmarkStart w:id="148" w:name="OLE_LINK248"/>
      <w:r w:rsidRPr="00D630D1">
        <w:rPr>
          <w:rFonts w:hint="eastAsia"/>
        </w:rPr>
        <w:t>3.4-</w:t>
      </w:r>
      <w:bookmarkEnd w:id="146"/>
      <w:bookmarkEnd w:id="147"/>
      <w:bookmarkEnd w:id="148"/>
      <w:r w:rsidR="003C6AD6">
        <w:rPr>
          <w:rFonts w:hint="eastAsia"/>
        </w:rPr>
        <w:t>4</w:t>
      </w:r>
      <w:r w:rsidRPr="00D630D1">
        <w:rPr>
          <w:rFonts w:hint="eastAsia"/>
        </w:rPr>
        <w:t>。</w:t>
      </w:r>
    </w:p>
    <w:p w:rsidR="005645BE" w:rsidRDefault="005645BE" w:rsidP="00F96E37">
      <w:pPr>
        <w:topLinePunct w:val="0"/>
        <w:snapToGrid w:val="0"/>
        <w:spacing w:beforeLines="50"/>
        <w:ind w:firstLineChars="0" w:firstLine="0"/>
        <w:jc w:val="center"/>
        <w:rPr>
          <w:rFonts w:ascii="Times New Roman" w:cs="Times New Roman"/>
          <w:b/>
          <w:kern w:val="2"/>
          <w:sz w:val="21"/>
          <w:szCs w:val="20"/>
        </w:rPr>
      </w:pPr>
      <w:bookmarkStart w:id="149" w:name="_Ref494447895"/>
      <w:r w:rsidRPr="00D630D1">
        <w:rPr>
          <w:rFonts w:ascii="Times New Roman" w:cs="Times New Roman"/>
          <w:b/>
          <w:kern w:val="2"/>
          <w:sz w:val="21"/>
          <w:szCs w:val="20"/>
        </w:rPr>
        <w:t>表</w:t>
      </w:r>
      <w:bookmarkEnd w:id="149"/>
      <w:r w:rsidRPr="00D630D1">
        <w:rPr>
          <w:rFonts w:ascii="Times New Roman" w:cs="Times New Roman"/>
          <w:b/>
          <w:kern w:val="2"/>
          <w:sz w:val="21"/>
          <w:szCs w:val="20"/>
        </w:rPr>
        <w:t>3.4-</w:t>
      </w:r>
      <w:r w:rsidR="003C6AD6">
        <w:rPr>
          <w:rFonts w:ascii="Times New Roman" w:cs="Times New Roman" w:hint="eastAsia"/>
          <w:b/>
          <w:kern w:val="2"/>
          <w:sz w:val="21"/>
          <w:szCs w:val="20"/>
        </w:rPr>
        <w:t>4</w:t>
      </w:r>
      <w:r w:rsidRPr="00D630D1">
        <w:rPr>
          <w:rFonts w:ascii="Times New Roman" w:cs="Times New Roman"/>
          <w:b/>
          <w:kern w:val="2"/>
          <w:sz w:val="21"/>
          <w:szCs w:val="20"/>
        </w:rPr>
        <w:t xml:space="preserve">  </w:t>
      </w:r>
      <w:r w:rsidRPr="00D630D1">
        <w:rPr>
          <w:rFonts w:ascii="Times New Roman" w:cs="Times New Roman"/>
          <w:b/>
          <w:kern w:val="2"/>
          <w:sz w:val="21"/>
          <w:szCs w:val="20"/>
        </w:rPr>
        <w:t>分段钻井液体系</w:t>
      </w:r>
      <w:r w:rsidR="00764475" w:rsidRPr="003C6AD6">
        <w:rPr>
          <w:rFonts w:ascii="Times New Roman" w:cs="Times New Roman" w:hint="eastAsia"/>
          <w:b/>
          <w:kern w:val="2"/>
          <w:sz w:val="21"/>
          <w:szCs w:val="20"/>
        </w:rPr>
        <w:t>（以普陆页</w:t>
      </w:r>
      <w:r w:rsidR="00764475" w:rsidRPr="003C6AD6">
        <w:rPr>
          <w:rFonts w:ascii="Times New Roman" w:cs="Times New Roman" w:hint="eastAsia"/>
          <w:b/>
          <w:kern w:val="2"/>
          <w:sz w:val="21"/>
          <w:szCs w:val="20"/>
        </w:rPr>
        <w:t>1-1</w:t>
      </w:r>
      <w:r w:rsidR="00764475" w:rsidRPr="003C6AD6">
        <w:rPr>
          <w:rFonts w:ascii="Times New Roman" w:cs="Times New Roman" w:hint="eastAsia"/>
          <w:b/>
          <w:kern w:val="2"/>
          <w:sz w:val="21"/>
          <w:szCs w:val="20"/>
        </w:rPr>
        <w:t>井为例）</w:t>
      </w:r>
    </w:p>
    <w:tbl>
      <w:tblPr>
        <w:tblW w:w="8954" w:type="dxa"/>
        <w:jc w:val="center"/>
        <w:tblBorders>
          <w:top w:val="single" w:sz="12" w:space="0" w:color="000000"/>
          <w:bottom w:val="single" w:sz="12" w:space="0" w:color="000000"/>
          <w:insideH w:val="single" w:sz="4" w:space="0" w:color="000000"/>
          <w:insideV w:val="single" w:sz="4" w:space="0" w:color="000000"/>
        </w:tblBorders>
        <w:tblLayout w:type="fixed"/>
        <w:tblLook w:val="0000"/>
      </w:tblPr>
      <w:tblGrid>
        <w:gridCol w:w="1532"/>
        <w:gridCol w:w="1230"/>
        <w:gridCol w:w="1367"/>
        <w:gridCol w:w="4825"/>
      </w:tblGrid>
      <w:tr w:rsidR="003C6AD6" w:rsidRPr="003C6AD6" w:rsidTr="003C6AD6">
        <w:trPr>
          <w:trHeight w:val="1"/>
          <w:jc w:val="center"/>
        </w:trPr>
        <w:tc>
          <w:tcPr>
            <w:tcW w:w="153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1"/>
                <w:szCs w:val="21"/>
                <w:lang w:val="zh-CN"/>
              </w:rPr>
            </w:pPr>
            <w:r w:rsidRPr="003C6AD6">
              <w:rPr>
                <w:rFonts w:ascii="Times New Roman" w:cs="Times New Roman"/>
                <w:sz w:val="21"/>
                <w:szCs w:val="21"/>
                <w:lang w:val="zh-CN"/>
              </w:rPr>
              <w:t>开钻</w:t>
            </w:r>
          </w:p>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序号</w:t>
            </w:r>
          </w:p>
        </w:tc>
        <w:tc>
          <w:tcPr>
            <w:tcW w:w="1230"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1"/>
                <w:szCs w:val="21"/>
                <w:lang w:val="zh-CN"/>
              </w:rPr>
            </w:pPr>
            <w:r w:rsidRPr="003C6AD6">
              <w:rPr>
                <w:rFonts w:ascii="Times New Roman" w:cs="Times New Roman"/>
                <w:sz w:val="21"/>
                <w:szCs w:val="21"/>
                <w:lang w:val="zh-CN"/>
              </w:rPr>
              <w:t>井眼尺寸</w:t>
            </w:r>
          </w:p>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w:t>
            </w:r>
            <w:r w:rsidRPr="003C6AD6">
              <w:rPr>
                <w:rFonts w:ascii="Times New Roman" w:cs="Times New Roman"/>
                <w:sz w:val="21"/>
                <w:szCs w:val="21"/>
                <w:lang w:val="zh-CN"/>
              </w:rPr>
              <w:t>mm</w:t>
            </w:r>
            <w:r w:rsidRPr="003C6AD6">
              <w:rPr>
                <w:rFonts w:ascii="Times New Roman" w:cs="Times New Roman"/>
                <w:sz w:val="21"/>
                <w:szCs w:val="21"/>
                <w:lang w:val="zh-CN"/>
              </w:rPr>
              <w:t>）</w:t>
            </w:r>
          </w:p>
        </w:tc>
        <w:tc>
          <w:tcPr>
            <w:tcW w:w="1367"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1"/>
                <w:szCs w:val="21"/>
                <w:lang w:val="zh-CN"/>
              </w:rPr>
            </w:pPr>
            <w:r w:rsidRPr="003C6AD6">
              <w:rPr>
                <w:rFonts w:ascii="Times New Roman" w:cs="Times New Roman"/>
                <w:sz w:val="21"/>
                <w:szCs w:val="21"/>
                <w:lang w:val="zh-CN"/>
              </w:rPr>
              <w:t>井段</w:t>
            </w:r>
          </w:p>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w:t>
            </w:r>
            <w:r w:rsidRPr="003C6AD6">
              <w:rPr>
                <w:rFonts w:ascii="Times New Roman" w:cs="Times New Roman"/>
                <w:sz w:val="21"/>
                <w:szCs w:val="21"/>
                <w:lang w:val="zh-CN"/>
              </w:rPr>
              <w:t>m</w:t>
            </w:r>
            <w:r w:rsidRPr="003C6AD6">
              <w:rPr>
                <w:rFonts w:ascii="Times New Roman" w:cs="Times New Roman"/>
                <w:sz w:val="21"/>
                <w:szCs w:val="21"/>
                <w:lang w:val="zh-CN"/>
              </w:rPr>
              <w:t>）</w:t>
            </w:r>
          </w:p>
        </w:tc>
        <w:tc>
          <w:tcPr>
            <w:tcW w:w="4825"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钻井液体系</w:t>
            </w:r>
          </w:p>
        </w:tc>
      </w:tr>
      <w:tr w:rsidR="003C6AD6" w:rsidRPr="003C6AD6" w:rsidTr="003C6AD6">
        <w:trPr>
          <w:trHeight w:val="1"/>
          <w:jc w:val="center"/>
        </w:trPr>
        <w:tc>
          <w:tcPr>
            <w:tcW w:w="153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导管</w:t>
            </w:r>
          </w:p>
        </w:tc>
        <w:tc>
          <w:tcPr>
            <w:tcW w:w="1230"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406.4</w:t>
            </w:r>
          </w:p>
        </w:tc>
        <w:tc>
          <w:tcPr>
            <w:tcW w:w="1367"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0</w:t>
            </w:r>
            <w:r w:rsidRPr="003C6AD6">
              <w:rPr>
                <w:rFonts w:ascii="Times New Roman" w:cs="Times New Roman"/>
                <w:sz w:val="21"/>
                <w:szCs w:val="21"/>
                <w:lang w:val="zh-CN"/>
              </w:rPr>
              <w:t>～</w:t>
            </w:r>
            <w:r w:rsidRPr="003C6AD6">
              <w:rPr>
                <w:rFonts w:ascii="Times New Roman" w:cs="Times New Roman"/>
                <w:sz w:val="21"/>
                <w:szCs w:val="21"/>
                <w:lang w:val="zh-CN"/>
              </w:rPr>
              <w:t>201</w:t>
            </w:r>
          </w:p>
        </w:tc>
        <w:tc>
          <w:tcPr>
            <w:tcW w:w="4825"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气体钻</w:t>
            </w:r>
            <w:r w:rsidRPr="003C6AD6">
              <w:rPr>
                <w:rFonts w:ascii="Times New Roman" w:cs="Times New Roman"/>
                <w:sz w:val="21"/>
                <w:szCs w:val="21"/>
                <w:lang w:val="zh-CN"/>
              </w:rPr>
              <w:t>/</w:t>
            </w:r>
            <w:r w:rsidRPr="003C6AD6">
              <w:rPr>
                <w:rFonts w:ascii="Times New Roman" w:cs="Times New Roman"/>
                <w:sz w:val="21"/>
                <w:szCs w:val="21"/>
                <w:lang w:val="zh-CN"/>
              </w:rPr>
              <w:t>聚合物钻井液</w:t>
            </w:r>
          </w:p>
        </w:tc>
      </w:tr>
      <w:tr w:rsidR="003C6AD6" w:rsidRPr="003C6AD6" w:rsidTr="003C6AD6">
        <w:trPr>
          <w:trHeight w:val="1"/>
          <w:jc w:val="center"/>
        </w:trPr>
        <w:tc>
          <w:tcPr>
            <w:tcW w:w="1532"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一开</w:t>
            </w:r>
          </w:p>
        </w:tc>
        <w:tc>
          <w:tcPr>
            <w:tcW w:w="1230"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311.2</w:t>
            </w:r>
          </w:p>
        </w:tc>
        <w:tc>
          <w:tcPr>
            <w:tcW w:w="1367"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w:t>
            </w:r>
            <w:r w:rsidRPr="003C6AD6">
              <w:rPr>
                <w:rFonts w:ascii="Times New Roman" w:cs="Times New Roman"/>
                <w:sz w:val="21"/>
                <w:szCs w:val="21"/>
                <w:lang w:val="zh-CN"/>
              </w:rPr>
              <w:t>3037</w:t>
            </w:r>
          </w:p>
        </w:tc>
        <w:tc>
          <w:tcPr>
            <w:tcW w:w="4825"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气体钻</w:t>
            </w:r>
            <w:r w:rsidRPr="003C6AD6">
              <w:rPr>
                <w:rFonts w:ascii="Times New Roman" w:cs="Times New Roman"/>
                <w:sz w:val="21"/>
                <w:szCs w:val="21"/>
                <w:lang w:val="zh-CN"/>
              </w:rPr>
              <w:t>/</w:t>
            </w:r>
            <w:r w:rsidRPr="003C6AD6">
              <w:rPr>
                <w:rFonts w:ascii="Times New Roman" w:cs="Times New Roman"/>
                <w:sz w:val="21"/>
                <w:szCs w:val="21"/>
                <w:lang w:val="zh-CN"/>
              </w:rPr>
              <w:t>聚合物封堵防塌钻井液</w:t>
            </w:r>
          </w:p>
        </w:tc>
      </w:tr>
      <w:tr w:rsidR="003C6AD6" w:rsidRPr="003C6AD6" w:rsidTr="003C6AD6">
        <w:trPr>
          <w:trHeight w:val="333"/>
          <w:jc w:val="center"/>
        </w:trPr>
        <w:tc>
          <w:tcPr>
            <w:tcW w:w="1532" w:type="dxa"/>
            <w:vMerge w:val="restart"/>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二开</w:t>
            </w:r>
          </w:p>
        </w:tc>
        <w:tc>
          <w:tcPr>
            <w:tcW w:w="1230"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215.9</w:t>
            </w:r>
          </w:p>
        </w:tc>
        <w:tc>
          <w:tcPr>
            <w:tcW w:w="1367"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w:t>
            </w:r>
            <w:r w:rsidRPr="003C6AD6">
              <w:rPr>
                <w:rFonts w:ascii="Times New Roman" w:cs="Times New Roman"/>
                <w:sz w:val="21"/>
                <w:szCs w:val="21"/>
                <w:lang w:val="zh-CN"/>
              </w:rPr>
              <w:t>3993.54</w:t>
            </w:r>
          </w:p>
        </w:tc>
        <w:tc>
          <w:tcPr>
            <w:tcW w:w="4825"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油基钻井液</w:t>
            </w:r>
            <w:r w:rsidRPr="003C6AD6">
              <w:rPr>
                <w:rFonts w:ascii="Times New Roman" w:cs="Times New Roman"/>
                <w:sz w:val="22"/>
                <w:szCs w:val="22"/>
                <w:lang w:val="zh-CN"/>
              </w:rPr>
              <w:t xml:space="preserve"> </w:t>
            </w:r>
          </w:p>
        </w:tc>
      </w:tr>
      <w:tr w:rsidR="003C6AD6" w:rsidRPr="003C6AD6" w:rsidTr="003C6AD6">
        <w:trPr>
          <w:trHeight w:val="267"/>
          <w:jc w:val="center"/>
        </w:trPr>
        <w:tc>
          <w:tcPr>
            <w:tcW w:w="1532" w:type="dxa"/>
            <w:vMerge/>
            <w:shd w:val="clear" w:color="000000" w:fill="FFFFFF"/>
            <w:vAlign w:val="center"/>
          </w:tcPr>
          <w:p w:rsidR="003C6AD6" w:rsidRPr="003C6AD6" w:rsidRDefault="003C6AD6" w:rsidP="003C6AD6">
            <w:pPr>
              <w:topLinePunct w:val="0"/>
              <w:autoSpaceDE w:val="0"/>
              <w:autoSpaceDN w:val="0"/>
              <w:spacing w:after="200" w:line="240" w:lineRule="auto"/>
              <w:ind w:firstLineChars="0" w:firstLine="0"/>
              <w:jc w:val="left"/>
              <w:rPr>
                <w:rFonts w:ascii="Times New Roman" w:cs="Times New Roman"/>
                <w:sz w:val="22"/>
                <w:szCs w:val="22"/>
                <w:lang w:val="zh-CN"/>
              </w:rPr>
            </w:pPr>
          </w:p>
        </w:tc>
        <w:tc>
          <w:tcPr>
            <w:tcW w:w="1230"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215.9</w:t>
            </w:r>
          </w:p>
        </w:tc>
        <w:tc>
          <w:tcPr>
            <w:tcW w:w="1367"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w:t>
            </w:r>
            <w:r w:rsidR="00764475" w:rsidRPr="00764475">
              <w:rPr>
                <w:rFonts w:ascii="Times New Roman" w:cs="Times New Roman"/>
                <w:sz w:val="21"/>
                <w:szCs w:val="21"/>
              </w:rPr>
              <w:t>5986.86</w:t>
            </w:r>
          </w:p>
        </w:tc>
        <w:tc>
          <w:tcPr>
            <w:tcW w:w="4825" w:type="dxa"/>
            <w:shd w:val="clear" w:color="000000" w:fill="FFFFFF"/>
            <w:vAlign w:val="center"/>
          </w:tcPr>
          <w:p w:rsidR="003C6AD6" w:rsidRPr="003C6AD6" w:rsidRDefault="003C6AD6" w:rsidP="003C6AD6">
            <w:pPr>
              <w:topLinePunct w:val="0"/>
              <w:autoSpaceDE w:val="0"/>
              <w:autoSpaceDN w:val="0"/>
              <w:spacing w:line="240" w:lineRule="auto"/>
              <w:ind w:firstLineChars="0" w:firstLine="0"/>
              <w:jc w:val="center"/>
              <w:rPr>
                <w:rFonts w:ascii="Times New Roman" w:cs="Times New Roman"/>
                <w:sz w:val="22"/>
                <w:szCs w:val="22"/>
                <w:lang w:val="zh-CN"/>
              </w:rPr>
            </w:pPr>
            <w:r w:rsidRPr="003C6AD6">
              <w:rPr>
                <w:rFonts w:ascii="Times New Roman" w:cs="Times New Roman"/>
                <w:sz w:val="21"/>
                <w:szCs w:val="21"/>
                <w:lang w:val="zh-CN"/>
              </w:rPr>
              <w:t>油基钻井液</w:t>
            </w:r>
          </w:p>
        </w:tc>
      </w:tr>
    </w:tbl>
    <w:p w:rsidR="005645BE" w:rsidRPr="00D630D1" w:rsidRDefault="00D7410B" w:rsidP="005645BE">
      <w:pPr>
        <w:pStyle w:val="afa"/>
        <w:ind w:firstLine="480"/>
      </w:pPr>
      <w:r w:rsidRPr="00D630D1">
        <w:rPr>
          <w:rFonts w:hint="eastAsia"/>
        </w:rPr>
        <w:t>各阶段钻井液性能见如下：</w:t>
      </w:r>
    </w:p>
    <w:p w:rsidR="003C6AD6" w:rsidRPr="003C6AD6" w:rsidRDefault="003C6AD6" w:rsidP="003C6AD6">
      <w:pPr>
        <w:snapToGrid w:val="0"/>
        <w:ind w:firstLine="480"/>
        <w:rPr>
          <w:rFonts w:ascii="Times New Roman" w:cs="Times New Roman"/>
          <w:szCs w:val="20"/>
        </w:rPr>
      </w:pPr>
      <w:r w:rsidRPr="003C6AD6">
        <w:rPr>
          <w:rFonts w:ascii="Times New Roman" w:cs="Times New Roman" w:hint="eastAsia"/>
          <w:szCs w:val="20"/>
        </w:rPr>
        <w:t>（</w:t>
      </w:r>
      <w:r w:rsidRPr="003C6AD6">
        <w:rPr>
          <w:rFonts w:ascii="Times New Roman" w:cs="Times New Roman" w:hint="eastAsia"/>
          <w:szCs w:val="20"/>
        </w:rPr>
        <w:t>1</w:t>
      </w:r>
      <w:r w:rsidRPr="003C6AD6">
        <w:rPr>
          <w:rFonts w:ascii="Times New Roman" w:cs="Times New Roman" w:hint="eastAsia"/>
          <w:szCs w:val="20"/>
        </w:rPr>
        <w:t>）导管（</w:t>
      </w:r>
      <w:r w:rsidRPr="003C6AD6">
        <w:rPr>
          <w:rFonts w:ascii="Times New Roman" w:cs="Times New Roman"/>
          <w:szCs w:val="20"/>
        </w:rPr>
        <w:t>0</w:t>
      </w:r>
      <w:r w:rsidRPr="003C6AD6">
        <w:rPr>
          <w:rFonts w:ascii="Times New Roman" w:cs="Times New Roman" w:hint="eastAsia"/>
          <w:szCs w:val="20"/>
        </w:rPr>
        <w:t>～</w:t>
      </w:r>
      <w:r w:rsidRPr="003C6AD6">
        <w:rPr>
          <w:rFonts w:ascii="Times New Roman" w:cs="Times New Roman"/>
          <w:szCs w:val="20"/>
        </w:rPr>
        <w:t>201m</w:t>
      </w:r>
      <w:r w:rsidRPr="003C6AD6">
        <w:rPr>
          <w:rFonts w:ascii="Times New Roman" w:cs="Times New Roman" w:hint="eastAsia"/>
          <w:szCs w:val="20"/>
        </w:rPr>
        <w:t>）</w:t>
      </w:r>
    </w:p>
    <w:p w:rsidR="003C6AD6" w:rsidRPr="003C6AD6" w:rsidRDefault="003C6AD6" w:rsidP="003C6AD6">
      <w:pPr>
        <w:snapToGrid w:val="0"/>
        <w:ind w:firstLine="480"/>
        <w:rPr>
          <w:rFonts w:ascii="Times New Roman" w:cs="Times New Roman"/>
          <w:szCs w:val="20"/>
        </w:rPr>
      </w:pPr>
      <w:r w:rsidRPr="003C6AD6">
        <w:rPr>
          <w:rFonts w:ascii="Times New Roman" w:cs="Times New Roman" w:hint="eastAsia"/>
          <w:szCs w:val="20"/>
        </w:rPr>
        <w:t>钻井液基本配方：（</w:t>
      </w:r>
      <w:r w:rsidRPr="003C6AD6">
        <w:rPr>
          <w:rFonts w:ascii="Times New Roman" w:cs="Times New Roman"/>
          <w:szCs w:val="20"/>
        </w:rPr>
        <w:t>4</w:t>
      </w:r>
      <w:r w:rsidRPr="003C6AD6">
        <w:rPr>
          <w:rFonts w:ascii="Times New Roman" w:cs="Times New Roman" w:hint="eastAsia"/>
          <w:szCs w:val="20"/>
        </w:rPr>
        <w:t>～</w:t>
      </w:r>
      <w:r w:rsidRPr="003C6AD6">
        <w:rPr>
          <w:rFonts w:ascii="Times New Roman" w:cs="Times New Roman"/>
          <w:szCs w:val="20"/>
        </w:rPr>
        <w:t>5</w:t>
      </w:r>
      <w:r w:rsidRPr="003C6AD6">
        <w:rPr>
          <w:rFonts w:ascii="Times New Roman" w:cs="Times New Roman" w:hint="eastAsia"/>
          <w:szCs w:val="20"/>
        </w:rPr>
        <w:t>）</w:t>
      </w:r>
      <w:r w:rsidRPr="003C6AD6">
        <w:rPr>
          <w:rFonts w:ascii="Times New Roman" w:cs="Times New Roman"/>
          <w:szCs w:val="20"/>
        </w:rPr>
        <w:t>%</w:t>
      </w:r>
      <w:r w:rsidRPr="003C6AD6">
        <w:rPr>
          <w:rFonts w:ascii="Times New Roman" w:cs="Times New Roman" w:hint="eastAsia"/>
          <w:szCs w:val="20"/>
        </w:rPr>
        <w:t>膨润土</w:t>
      </w:r>
      <w:r w:rsidRPr="003C6AD6">
        <w:rPr>
          <w:rFonts w:ascii="Times New Roman" w:cs="Times New Roman"/>
          <w:szCs w:val="20"/>
        </w:rPr>
        <w:t>+</w:t>
      </w:r>
      <w:r w:rsidRPr="003C6AD6">
        <w:rPr>
          <w:rFonts w:ascii="Times New Roman" w:cs="Times New Roman" w:hint="eastAsia"/>
          <w:szCs w:val="20"/>
        </w:rPr>
        <w:t>（</w:t>
      </w:r>
      <w:r w:rsidRPr="003C6AD6">
        <w:rPr>
          <w:rFonts w:ascii="Times New Roman" w:cs="Times New Roman"/>
          <w:szCs w:val="20"/>
        </w:rPr>
        <w:t>0.3</w:t>
      </w:r>
      <w:r w:rsidRPr="003C6AD6">
        <w:rPr>
          <w:rFonts w:ascii="Times New Roman" w:cs="Times New Roman" w:hint="eastAsia"/>
          <w:szCs w:val="20"/>
        </w:rPr>
        <w:t>～</w:t>
      </w:r>
      <w:r w:rsidRPr="003C6AD6">
        <w:rPr>
          <w:rFonts w:ascii="Times New Roman" w:cs="Times New Roman"/>
          <w:szCs w:val="20"/>
        </w:rPr>
        <w:t>0.5</w:t>
      </w:r>
      <w:r w:rsidRPr="003C6AD6">
        <w:rPr>
          <w:rFonts w:ascii="Times New Roman" w:cs="Times New Roman" w:hint="eastAsia"/>
          <w:szCs w:val="20"/>
        </w:rPr>
        <w:t>）</w:t>
      </w:r>
      <w:r w:rsidRPr="003C6AD6">
        <w:rPr>
          <w:rFonts w:ascii="Times New Roman" w:cs="Times New Roman"/>
          <w:szCs w:val="20"/>
        </w:rPr>
        <w:t>%Na</w:t>
      </w:r>
      <w:r w:rsidRPr="003C6AD6">
        <w:rPr>
          <w:rFonts w:ascii="Times New Roman" w:cs="Times New Roman"/>
          <w:szCs w:val="20"/>
          <w:vertAlign w:val="subscript"/>
        </w:rPr>
        <w:t>2</w:t>
      </w:r>
      <w:r w:rsidRPr="003C6AD6">
        <w:rPr>
          <w:rFonts w:ascii="Times New Roman" w:cs="Times New Roman"/>
          <w:szCs w:val="20"/>
        </w:rPr>
        <w:t>CO</w:t>
      </w:r>
      <w:r w:rsidRPr="003C6AD6">
        <w:rPr>
          <w:rFonts w:ascii="Times New Roman" w:cs="Times New Roman"/>
          <w:szCs w:val="20"/>
          <w:vertAlign w:val="subscript"/>
        </w:rPr>
        <w:t>3</w:t>
      </w:r>
      <w:r w:rsidRPr="003C6AD6">
        <w:rPr>
          <w:rFonts w:ascii="Times New Roman" w:cs="Times New Roman"/>
          <w:szCs w:val="20"/>
        </w:rPr>
        <w:t>+</w:t>
      </w:r>
      <w:r w:rsidRPr="003C6AD6">
        <w:rPr>
          <w:rFonts w:ascii="Times New Roman" w:cs="Times New Roman" w:hint="eastAsia"/>
          <w:szCs w:val="20"/>
        </w:rPr>
        <w:t>（</w:t>
      </w:r>
      <w:r w:rsidRPr="003C6AD6">
        <w:rPr>
          <w:rFonts w:ascii="Times New Roman" w:cs="Times New Roman"/>
          <w:szCs w:val="20"/>
        </w:rPr>
        <w:t>0.2</w:t>
      </w:r>
      <w:r w:rsidRPr="003C6AD6">
        <w:rPr>
          <w:rFonts w:ascii="Times New Roman" w:cs="Times New Roman" w:hint="eastAsia"/>
          <w:szCs w:val="20"/>
        </w:rPr>
        <w:t>～</w:t>
      </w:r>
      <w:r w:rsidRPr="003C6AD6">
        <w:rPr>
          <w:rFonts w:ascii="Times New Roman" w:cs="Times New Roman"/>
          <w:szCs w:val="20"/>
        </w:rPr>
        <w:t>0.3</w:t>
      </w:r>
      <w:r w:rsidRPr="003C6AD6">
        <w:rPr>
          <w:rFonts w:ascii="Times New Roman" w:cs="Times New Roman" w:hint="eastAsia"/>
          <w:szCs w:val="20"/>
        </w:rPr>
        <w:t>）</w:t>
      </w:r>
      <w:r w:rsidRPr="003C6AD6">
        <w:rPr>
          <w:rFonts w:ascii="Times New Roman" w:cs="Times New Roman"/>
          <w:szCs w:val="20"/>
        </w:rPr>
        <w:t>%HV-CMC+</w:t>
      </w:r>
      <w:r w:rsidRPr="003C6AD6">
        <w:rPr>
          <w:rFonts w:ascii="Times New Roman" w:cs="Times New Roman" w:hint="eastAsia"/>
          <w:szCs w:val="20"/>
        </w:rPr>
        <w:t>（</w:t>
      </w:r>
      <w:r w:rsidRPr="003C6AD6">
        <w:rPr>
          <w:rFonts w:ascii="Times New Roman" w:cs="Times New Roman"/>
          <w:szCs w:val="20"/>
        </w:rPr>
        <w:t>0.2</w:t>
      </w:r>
      <w:r w:rsidRPr="003C6AD6">
        <w:rPr>
          <w:rFonts w:ascii="Times New Roman" w:cs="Times New Roman" w:hint="eastAsia"/>
          <w:szCs w:val="20"/>
        </w:rPr>
        <w:t>～</w:t>
      </w:r>
      <w:r w:rsidRPr="003C6AD6">
        <w:rPr>
          <w:rFonts w:ascii="Times New Roman" w:cs="Times New Roman"/>
          <w:szCs w:val="20"/>
        </w:rPr>
        <w:t>0.3</w:t>
      </w:r>
      <w:r w:rsidRPr="003C6AD6">
        <w:rPr>
          <w:rFonts w:ascii="Times New Roman" w:cs="Times New Roman" w:hint="eastAsia"/>
          <w:szCs w:val="20"/>
        </w:rPr>
        <w:t>）</w:t>
      </w:r>
      <w:r w:rsidRPr="003C6AD6">
        <w:rPr>
          <w:rFonts w:ascii="Times New Roman" w:cs="Times New Roman"/>
          <w:szCs w:val="20"/>
        </w:rPr>
        <w:t>% CMP-1</w:t>
      </w:r>
      <w:r w:rsidR="00764475">
        <w:rPr>
          <w:rFonts w:ascii="Times New Roman" w:cs="Times New Roman" w:hint="eastAsia"/>
          <w:szCs w:val="20"/>
        </w:rPr>
        <w:t>（</w:t>
      </w:r>
      <w:r w:rsidR="00764475" w:rsidRPr="003C6AD6">
        <w:rPr>
          <w:rFonts w:ascii="Times New Roman" w:cs="Times New Roman" w:hint="eastAsia"/>
          <w:szCs w:val="20"/>
        </w:rPr>
        <w:t>或</w:t>
      </w:r>
      <w:r w:rsidR="00764475" w:rsidRPr="003C6AD6">
        <w:rPr>
          <w:rFonts w:ascii="Times New Roman" w:cs="Times New Roman"/>
          <w:szCs w:val="20"/>
        </w:rPr>
        <w:t>LS-AOF</w:t>
      </w:r>
      <w:r w:rsidR="00764475">
        <w:rPr>
          <w:rFonts w:ascii="Times New Roman" w:cs="Times New Roman" w:hint="eastAsia"/>
          <w:szCs w:val="20"/>
        </w:rPr>
        <w:t>）</w:t>
      </w:r>
      <w:r w:rsidRPr="003C6AD6">
        <w:rPr>
          <w:rFonts w:ascii="Times New Roman" w:cs="Times New Roman"/>
          <w:szCs w:val="20"/>
        </w:rPr>
        <w:t>+</w:t>
      </w:r>
      <w:r w:rsidRPr="003C6AD6">
        <w:rPr>
          <w:rFonts w:ascii="Times New Roman" w:cs="Times New Roman" w:hint="eastAsia"/>
          <w:szCs w:val="20"/>
        </w:rPr>
        <w:t>（</w:t>
      </w:r>
      <w:r w:rsidRPr="003C6AD6">
        <w:rPr>
          <w:rFonts w:ascii="Times New Roman" w:cs="Times New Roman"/>
          <w:szCs w:val="20"/>
        </w:rPr>
        <w:t>1</w:t>
      </w:r>
      <w:r w:rsidRPr="003C6AD6">
        <w:rPr>
          <w:rFonts w:ascii="Times New Roman" w:cs="Times New Roman" w:hint="eastAsia"/>
          <w:szCs w:val="20"/>
        </w:rPr>
        <w:t>～</w:t>
      </w:r>
      <w:r w:rsidRPr="003C6AD6">
        <w:rPr>
          <w:rFonts w:ascii="Times New Roman" w:cs="Times New Roman"/>
          <w:szCs w:val="20"/>
        </w:rPr>
        <w:t>1.5</w:t>
      </w:r>
      <w:r w:rsidRPr="003C6AD6">
        <w:rPr>
          <w:rFonts w:ascii="Times New Roman" w:cs="Times New Roman" w:hint="eastAsia"/>
          <w:szCs w:val="20"/>
        </w:rPr>
        <w:t>）</w:t>
      </w:r>
      <w:r w:rsidRPr="003C6AD6">
        <w:rPr>
          <w:rFonts w:ascii="Times New Roman" w:cs="Times New Roman"/>
          <w:szCs w:val="20"/>
        </w:rPr>
        <w:t>%JMP-1</w:t>
      </w:r>
      <w:r w:rsidRPr="003C6AD6">
        <w:rPr>
          <w:rFonts w:ascii="Times New Roman" w:cs="Times New Roman" w:hint="eastAsia"/>
          <w:szCs w:val="20"/>
        </w:rPr>
        <w:t>（或</w:t>
      </w:r>
      <w:r w:rsidRPr="003C6AD6">
        <w:rPr>
          <w:rFonts w:ascii="Times New Roman" w:cs="Times New Roman"/>
          <w:szCs w:val="20"/>
        </w:rPr>
        <w:t>DR-</w:t>
      </w:r>
      <w:r w:rsidRPr="003C6AD6">
        <w:rPr>
          <w:rFonts w:ascii="Times New Roman" w:cs="Times New Roman" w:hint="eastAsia"/>
          <w:szCs w:val="20"/>
        </w:rPr>
        <w:t>Ⅱ）</w:t>
      </w:r>
    </w:p>
    <w:p w:rsidR="003C6AD6" w:rsidRPr="003C6AD6" w:rsidRDefault="003C6AD6" w:rsidP="003C6AD6">
      <w:pPr>
        <w:snapToGrid w:val="0"/>
        <w:ind w:firstLine="480"/>
        <w:rPr>
          <w:rFonts w:ascii="Times New Roman" w:cs="Times New Roman"/>
          <w:szCs w:val="20"/>
        </w:rPr>
      </w:pPr>
      <w:r w:rsidRPr="003C6AD6">
        <w:rPr>
          <w:rFonts w:ascii="Times New Roman" w:cs="Times New Roman" w:hint="eastAsia"/>
          <w:szCs w:val="20"/>
        </w:rPr>
        <w:t>处理添加剂：堵漏剂等依需而定。</w:t>
      </w:r>
    </w:p>
    <w:p w:rsidR="003C6AD6" w:rsidRPr="003C6AD6" w:rsidRDefault="003C6AD6" w:rsidP="003C6AD6">
      <w:pPr>
        <w:snapToGrid w:val="0"/>
        <w:ind w:firstLine="480"/>
        <w:rPr>
          <w:rFonts w:ascii="Times New Roman" w:cs="Times New Roman"/>
          <w:szCs w:val="20"/>
        </w:rPr>
      </w:pPr>
      <w:r w:rsidRPr="003C6AD6">
        <w:rPr>
          <w:rFonts w:ascii="Times New Roman" w:cs="Times New Roman" w:hint="eastAsia"/>
          <w:szCs w:val="20"/>
        </w:rPr>
        <w:lastRenderedPageBreak/>
        <w:t>（</w:t>
      </w:r>
      <w:r w:rsidRPr="003C6AD6">
        <w:rPr>
          <w:rFonts w:ascii="Times New Roman" w:cs="Times New Roman" w:hint="eastAsia"/>
          <w:szCs w:val="20"/>
        </w:rPr>
        <w:t>2</w:t>
      </w:r>
      <w:r w:rsidRPr="003C6AD6">
        <w:rPr>
          <w:rFonts w:ascii="Times New Roman" w:cs="Times New Roman" w:hint="eastAsia"/>
          <w:szCs w:val="20"/>
        </w:rPr>
        <w:t>）一开井段（</w:t>
      </w:r>
      <w:r w:rsidRPr="003C6AD6">
        <w:rPr>
          <w:rFonts w:ascii="Times New Roman" w:cs="Times New Roman"/>
          <w:szCs w:val="20"/>
        </w:rPr>
        <w:t>201</w:t>
      </w:r>
      <w:r w:rsidRPr="003C6AD6">
        <w:rPr>
          <w:rFonts w:ascii="Times New Roman" w:cs="Times New Roman" w:hint="eastAsia"/>
          <w:szCs w:val="20"/>
        </w:rPr>
        <w:t>～</w:t>
      </w:r>
      <w:r w:rsidRPr="003C6AD6">
        <w:rPr>
          <w:rFonts w:ascii="Times New Roman" w:cs="Times New Roman"/>
          <w:szCs w:val="20"/>
        </w:rPr>
        <w:t>2882m</w:t>
      </w:r>
      <w:r w:rsidRPr="003C6AD6">
        <w:rPr>
          <w:rFonts w:ascii="Times New Roman" w:cs="Times New Roman" w:hint="eastAsia"/>
          <w:szCs w:val="20"/>
        </w:rPr>
        <w:t>）</w:t>
      </w:r>
    </w:p>
    <w:p w:rsidR="003C6AD6" w:rsidRPr="003C6AD6" w:rsidRDefault="003C6AD6" w:rsidP="003C6AD6">
      <w:pPr>
        <w:snapToGrid w:val="0"/>
        <w:ind w:firstLine="480"/>
        <w:rPr>
          <w:rFonts w:ascii="Times New Roman" w:cs="Times New Roman"/>
          <w:szCs w:val="20"/>
        </w:rPr>
      </w:pPr>
      <w:r w:rsidRPr="003C6AD6">
        <w:rPr>
          <w:rFonts w:ascii="Times New Roman" w:cs="Times New Roman" w:hint="eastAsia"/>
          <w:szCs w:val="20"/>
        </w:rPr>
        <w:t>钻井液基本配方：（</w:t>
      </w:r>
      <w:r w:rsidRPr="003C6AD6">
        <w:rPr>
          <w:rFonts w:ascii="Times New Roman" w:cs="Times New Roman"/>
          <w:szCs w:val="20"/>
        </w:rPr>
        <w:t>4</w:t>
      </w:r>
      <w:r w:rsidRPr="003C6AD6">
        <w:rPr>
          <w:rFonts w:ascii="Times New Roman" w:cs="Times New Roman" w:hint="eastAsia"/>
          <w:szCs w:val="20"/>
        </w:rPr>
        <w:t>～</w:t>
      </w:r>
      <w:r w:rsidRPr="003C6AD6">
        <w:rPr>
          <w:rFonts w:ascii="Times New Roman" w:cs="Times New Roman"/>
          <w:szCs w:val="20"/>
        </w:rPr>
        <w:t>5</w:t>
      </w:r>
      <w:r w:rsidRPr="003C6AD6">
        <w:rPr>
          <w:rFonts w:ascii="Times New Roman" w:cs="Times New Roman" w:hint="eastAsia"/>
          <w:szCs w:val="20"/>
        </w:rPr>
        <w:t>）</w:t>
      </w:r>
      <w:r w:rsidRPr="003C6AD6">
        <w:rPr>
          <w:rFonts w:ascii="Times New Roman" w:cs="Times New Roman"/>
          <w:szCs w:val="20"/>
        </w:rPr>
        <w:t>%</w:t>
      </w:r>
      <w:r w:rsidRPr="003C6AD6">
        <w:rPr>
          <w:rFonts w:ascii="Times New Roman" w:cs="Times New Roman" w:hint="eastAsia"/>
          <w:szCs w:val="20"/>
        </w:rPr>
        <w:t>膨润土</w:t>
      </w:r>
      <w:r w:rsidRPr="003C6AD6">
        <w:rPr>
          <w:rFonts w:ascii="Times New Roman" w:cs="Times New Roman"/>
          <w:szCs w:val="20"/>
        </w:rPr>
        <w:t>+</w:t>
      </w:r>
      <w:r w:rsidRPr="003C6AD6">
        <w:rPr>
          <w:rFonts w:ascii="Times New Roman" w:cs="Times New Roman" w:hint="eastAsia"/>
          <w:szCs w:val="20"/>
        </w:rPr>
        <w:t>（</w:t>
      </w:r>
      <w:r w:rsidRPr="003C6AD6">
        <w:rPr>
          <w:rFonts w:ascii="Times New Roman" w:cs="Times New Roman"/>
          <w:szCs w:val="20"/>
        </w:rPr>
        <w:t>0.3</w:t>
      </w:r>
      <w:r w:rsidRPr="003C6AD6">
        <w:rPr>
          <w:rFonts w:ascii="Times New Roman" w:cs="Times New Roman" w:hint="eastAsia"/>
          <w:szCs w:val="20"/>
        </w:rPr>
        <w:t>～</w:t>
      </w:r>
      <w:r w:rsidRPr="003C6AD6">
        <w:rPr>
          <w:rFonts w:ascii="Times New Roman" w:cs="Times New Roman"/>
          <w:szCs w:val="20"/>
        </w:rPr>
        <w:t>0.5</w:t>
      </w:r>
      <w:r w:rsidRPr="003C6AD6">
        <w:rPr>
          <w:rFonts w:ascii="Times New Roman" w:cs="Times New Roman" w:hint="eastAsia"/>
          <w:szCs w:val="20"/>
        </w:rPr>
        <w:t>）</w:t>
      </w:r>
      <w:r w:rsidRPr="003C6AD6">
        <w:rPr>
          <w:rFonts w:ascii="Times New Roman" w:cs="Times New Roman"/>
          <w:szCs w:val="20"/>
        </w:rPr>
        <w:t>%CMP-1+</w:t>
      </w:r>
      <w:r w:rsidRPr="003C6AD6">
        <w:rPr>
          <w:rFonts w:ascii="Times New Roman" w:cs="Times New Roman" w:hint="eastAsia"/>
          <w:szCs w:val="20"/>
        </w:rPr>
        <w:t>（</w:t>
      </w:r>
      <w:r w:rsidRPr="003C6AD6">
        <w:rPr>
          <w:rFonts w:ascii="Times New Roman" w:cs="Times New Roman"/>
          <w:szCs w:val="20"/>
        </w:rPr>
        <w:t>1.5</w:t>
      </w:r>
      <w:r w:rsidRPr="003C6AD6">
        <w:rPr>
          <w:rFonts w:ascii="Times New Roman" w:cs="Times New Roman" w:hint="eastAsia"/>
          <w:szCs w:val="20"/>
        </w:rPr>
        <w:t>～</w:t>
      </w:r>
      <w:r w:rsidRPr="003C6AD6">
        <w:rPr>
          <w:rFonts w:ascii="Times New Roman" w:cs="Times New Roman"/>
          <w:szCs w:val="20"/>
        </w:rPr>
        <w:t>2</w:t>
      </w:r>
      <w:r w:rsidRPr="003C6AD6">
        <w:rPr>
          <w:rFonts w:ascii="Times New Roman" w:cs="Times New Roman" w:hint="eastAsia"/>
          <w:szCs w:val="20"/>
        </w:rPr>
        <w:t>）</w:t>
      </w:r>
      <w:r w:rsidRPr="003C6AD6">
        <w:rPr>
          <w:rFonts w:ascii="Times New Roman" w:cs="Times New Roman"/>
          <w:szCs w:val="20"/>
        </w:rPr>
        <w:t>%DR-</w:t>
      </w:r>
      <w:r w:rsidRPr="003C6AD6">
        <w:rPr>
          <w:rFonts w:ascii="Times New Roman" w:cs="Times New Roman" w:hint="eastAsia"/>
          <w:szCs w:val="20"/>
        </w:rPr>
        <w:t>Ⅱ</w:t>
      </w:r>
      <w:r w:rsidR="00764475">
        <w:rPr>
          <w:rFonts w:ascii="Times New Roman" w:cs="Times New Roman" w:hint="eastAsia"/>
          <w:szCs w:val="20"/>
        </w:rPr>
        <w:t>（</w:t>
      </w:r>
      <w:r w:rsidR="00764475" w:rsidRPr="003C6AD6">
        <w:rPr>
          <w:rFonts w:ascii="Times New Roman" w:cs="Times New Roman" w:hint="eastAsia"/>
          <w:szCs w:val="20"/>
        </w:rPr>
        <w:t>或</w:t>
      </w:r>
      <w:r w:rsidR="00764475" w:rsidRPr="003C6AD6">
        <w:rPr>
          <w:rFonts w:ascii="Times New Roman" w:cs="Times New Roman"/>
          <w:szCs w:val="20"/>
        </w:rPr>
        <w:t>JMP-1</w:t>
      </w:r>
      <w:r w:rsidR="00764475">
        <w:rPr>
          <w:rFonts w:ascii="Times New Roman" w:cs="Times New Roman" w:hint="eastAsia"/>
          <w:szCs w:val="20"/>
        </w:rPr>
        <w:t>）</w:t>
      </w:r>
      <w:r w:rsidRPr="003C6AD6">
        <w:rPr>
          <w:rFonts w:ascii="Times New Roman" w:cs="Times New Roman"/>
          <w:szCs w:val="20"/>
        </w:rPr>
        <w:t>+</w:t>
      </w:r>
      <w:r w:rsidRPr="003C6AD6">
        <w:rPr>
          <w:rFonts w:ascii="Times New Roman" w:cs="Times New Roman" w:hint="eastAsia"/>
          <w:szCs w:val="20"/>
        </w:rPr>
        <w:t>（</w:t>
      </w:r>
      <w:r w:rsidRPr="003C6AD6">
        <w:rPr>
          <w:rFonts w:ascii="Times New Roman" w:cs="Times New Roman"/>
          <w:szCs w:val="20"/>
        </w:rPr>
        <w:t>2</w:t>
      </w:r>
      <w:r w:rsidRPr="003C6AD6">
        <w:rPr>
          <w:rFonts w:ascii="Times New Roman" w:cs="Times New Roman" w:hint="eastAsia"/>
          <w:szCs w:val="20"/>
        </w:rPr>
        <w:t>～</w:t>
      </w:r>
      <w:r w:rsidRPr="003C6AD6">
        <w:rPr>
          <w:rFonts w:ascii="Times New Roman" w:cs="Times New Roman"/>
          <w:szCs w:val="20"/>
        </w:rPr>
        <w:t>3</w:t>
      </w:r>
      <w:r w:rsidRPr="003C6AD6">
        <w:rPr>
          <w:rFonts w:ascii="Times New Roman" w:cs="Times New Roman" w:hint="eastAsia"/>
          <w:szCs w:val="20"/>
        </w:rPr>
        <w:t>）</w:t>
      </w:r>
      <w:r w:rsidRPr="003C6AD6">
        <w:rPr>
          <w:rFonts w:ascii="Times New Roman" w:cs="Times New Roman"/>
          <w:szCs w:val="20"/>
        </w:rPr>
        <w:t>%SD-202+</w:t>
      </w:r>
      <w:r w:rsidRPr="003C6AD6">
        <w:rPr>
          <w:rFonts w:ascii="Times New Roman" w:cs="Times New Roman" w:hint="eastAsia"/>
          <w:szCs w:val="20"/>
        </w:rPr>
        <w:t>（</w:t>
      </w:r>
      <w:r w:rsidRPr="003C6AD6">
        <w:rPr>
          <w:rFonts w:ascii="Times New Roman" w:cs="Times New Roman"/>
          <w:szCs w:val="20"/>
        </w:rPr>
        <w:t>2</w:t>
      </w:r>
      <w:r w:rsidRPr="003C6AD6">
        <w:rPr>
          <w:rFonts w:ascii="Times New Roman" w:cs="Times New Roman" w:hint="eastAsia"/>
          <w:szCs w:val="20"/>
        </w:rPr>
        <w:t>～</w:t>
      </w:r>
      <w:r w:rsidRPr="003C6AD6">
        <w:rPr>
          <w:rFonts w:ascii="Times New Roman" w:cs="Times New Roman"/>
          <w:szCs w:val="20"/>
        </w:rPr>
        <w:t>3</w:t>
      </w:r>
      <w:r w:rsidRPr="003C6AD6">
        <w:rPr>
          <w:rFonts w:ascii="Times New Roman" w:cs="Times New Roman" w:hint="eastAsia"/>
          <w:szCs w:val="20"/>
        </w:rPr>
        <w:t>）</w:t>
      </w:r>
      <w:r w:rsidRPr="003C6AD6">
        <w:rPr>
          <w:rFonts w:ascii="Times New Roman" w:cs="Times New Roman"/>
          <w:szCs w:val="20"/>
        </w:rPr>
        <w:t>%SPNH+</w:t>
      </w:r>
      <w:r w:rsidRPr="003C6AD6">
        <w:rPr>
          <w:rFonts w:ascii="Times New Roman" w:cs="Times New Roman" w:hint="eastAsia"/>
          <w:szCs w:val="20"/>
        </w:rPr>
        <w:t>（</w:t>
      </w:r>
      <w:r w:rsidRPr="003C6AD6">
        <w:rPr>
          <w:rFonts w:ascii="Times New Roman" w:cs="Times New Roman"/>
          <w:szCs w:val="20"/>
        </w:rPr>
        <w:t>2</w:t>
      </w:r>
      <w:r w:rsidRPr="003C6AD6">
        <w:rPr>
          <w:rFonts w:ascii="Times New Roman" w:cs="Times New Roman" w:hint="eastAsia"/>
          <w:szCs w:val="20"/>
        </w:rPr>
        <w:t>～</w:t>
      </w:r>
      <w:r w:rsidRPr="003C6AD6">
        <w:rPr>
          <w:rFonts w:ascii="Times New Roman" w:cs="Times New Roman"/>
          <w:szCs w:val="20"/>
        </w:rPr>
        <w:t>3</w:t>
      </w:r>
      <w:r w:rsidRPr="003C6AD6">
        <w:rPr>
          <w:rFonts w:ascii="Times New Roman" w:cs="Times New Roman" w:hint="eastAsia"/>
          <w:szCs w:val="20"/>
        </w:rPr>
        <w:t>）</w:t>
      </w:r>
      <w:r w:rsidRPr="003C6AD6">
        <w:rPr>
          <w:rFonts w:ascii="Times New Roman" w:cs="Times New Roman"/>
          <w:szCs w:val="20"/>
        </w:rPr>
        <w:t>%Soltex+</w:t>
      </w:r>
      <w:r w:rsidRPr="003C6AD6">
        <w:rPr>
          <w:rFonts w:ascii="Times New Roman" w:cs="Times New Roman" w:hint="eastAsia"/>
          <w:szCs w:val="20"/>
        </w:rPr>
        <w:t>（</w:t>
      </w:r>
      <w:r w:rsidRPr="003C6AD6">
        <w:rPr>
          <w:rFonts w:ascii="Times New Roman" w:cs="Times New Roman"/>
          <w:szCs w:val="20"/>
        </w:rPr>
        <w:t>2</w:t>
      </w:r>
      <w:r w:rsidRPr="003C6AD6">
        <w:rPr>
          <w:rFonts w:ascii="Times New Roman" w:cs="Times New Roman" w:hint="eastAsia"/>
          <w:szCs w:val="20"/>
        </w:rPr>
        <w:t>～</w:t>
      </w:r>
      <w:r w:rsidRPr="003C6AD6">
        <w:rPr>
          <w:rFonts w:ascii="Times New Roman" w:cs="Times New Roman"/>
          <w:szCs w:val="20"/>
        </w:rPr>
        <w:t>3</w:t>
      </w:r>
      <w:r w:rsidRPr="003C6AD6">
        <w:rPr>
          <w:rFonts w:ascii="Times New Roman" w:cs="Times New Roman" w:hint="eastAsia"/>
          <w:szCs w:val="20"/>
        </w:rPr>
        <w:t>）</w:t>
      </w:r>
      <w:r w:rsidRPr="003C6AD6">
        <w:rPr>
          <w:rFonts w:ascii="Times New Roman" w:cs="Times New Roman"/>
          <w:szCs w:val="20"/>
        </w:rPr>
        <w:t>%PEG+2%KSY</w:t>
      </w:r>
    </w:p>
    <w:p w:rsidR="003C6AD6" w:rsidRPr="003C6AD6" w:rsidRDefault="003C6AD6" w:rsidP="003C6AD6">
      <w:pPr>
        <w:snapToGrid w:val="0"/>
        <w:ind w:firstLine="480"/>
        <w:rPr>
          <w:rFonts w:ascii="Times New Roman" w:cs="Times New Roman"/>
          <w:szCs w:val="20"/>
        </w:rPr>
      </w:pPr>
      <w:r w:rsidRPr="003C6AD6">
        <w:rPr>
          <w:rFonts w:ascii="Times New Roman" w:cs="Times New Roman" w:hint="eastAsia"/>
          <w:szCs w:val="20"/>
        </w:rPr>
        <w:t>处理添加剂：</w:t>
      </w:r>
      <w:r w:rsidRPr="003C6AD6">
        <w:rPr>
          <w:rFonts w:ascii="Times New Roman" w:cs="Times New Roman"/>
          <w:szCs w:val="20"/>
        </w:rPr>
        <w:t>NaOH</w:t>
      </w:r>
      <w:r w:rsidRPr="003C6AD6">
        <w:rPr>
          <w:rFonts w:ascii="Times New Roman" w:cs="Times New Roman" w:hint="eastAsia"/>
          <w:szCs w:val="20"/>
        </w:rPr>
        <w:t>、</w:t>
      </w:r>
      <w:r w:rsidRPr="003C6AD6">
        <w:rPr>
          <w:rFonts w:ascii="Times New Roman" w:cs="Times New Roman"/>
          <w:szCs w:val="20"/>
        </w:rPr>
        <w:t>JN-1</w:t>
      </w:r>
      <w:r w:rsidRPr="003C6AD6">
        <w:rPr>
          <w:rFonts w:ascii="Times New Roman" w:cs="Times New Roman" w:hint="eastAsia"/>
          <w:szCs w:val="20"/>
        </w:rPr>
        <w:t>、</w:t>
      </w:r>
      <w:r w:rsidRPr="003C6AD6">
        <w:rPr>
          <w:rFonts w:ascii="Times New Roman" w:cs="Times New Roman"/>
          <w:szCs w:val="20"/>
        </w:rPr>
        <w:t>SF-1</w:t>
      </w:r>
      <w:r w:rsidRPr="003C6AD6">
        <w:rPr>
          <w:rFonts w:ascii="Times New Roman" w:cs="Times New Roman" w:hint="eastAsia"/>
          <w:szCs w:val="20"/>
        </w:rPr>
        <w:t>、</w:t>
      </w:r>
      <w:r w:rsidRPr="003C6AD6">
        <w:rPr>
          <w:rFonts w:ascii="Times New Roman" w:cs="Times New Roman"/>
          <w:szCs w:val="20"/>
        </w:rPr>
        <w:t>HV-CMC</w:t>
      </w:r>
      <w:r w:rsidRPr="003C6AD6">
        <w:rPr>
          <w:rFonts w:ascii="Times New Roman" w:cs="Times New Roman" w:hint="eastAsia"/>
          <w:szCs w:val="20"/>
        </w:rPr>
        <w:t>、</w:t>
      </w:r>
      <w:r w:rsidRPr="003C6AD6">
        <w:rPr>
          <w:rFonts w:ascii="Times New Roman" w:cs="Times New Roman"/>
          <w:szCs w:val="20"/>
        </w:rPr>
        <w:t>K-PAM</w:t>
      </w:r>
      <w:r w:rsidRPr="003C6AD6">
        <w:rPr>
          <w:rFonts w:ascii="Times New Roman" w:cs="Times New Roman" w:hint="eastAsia"/>
          <w:szCs w:val="20"/>
        </w:rPr>
        <w:t>、有机胺、加重剂、消泡剂、堵漏剂等依需而定。</w:t>
      </w:r>
    </w:p>
    <w:p w:rsidR="003C6AD6" w:rsidRPr="003C6AD6" w:rsidRDefault="003C6AD6" w:rsidP="003C6AD6">
      <w:pPr>
        <w:snapToGrid w:val="0"/>
        <w:ind w:firstLine="480"/>
        <w:rPr>
          <w:rFonts w:ascii="Times New Roman" w:cs="Times New Roman"/>
          <w:szCs w:val="20"/>
        </w:rPr>
      </w:pPr>
      <w:r w:rsidRPr="003C6AD6">
        <w:rPr>
          <w:rFonts w:ascii="Times New Roman" w:cs="Times New Roman" w:hint="eastAsia"/>
          <w:szCs w:val="20"/>
        </w:rPr>
        <w:t>（</w:t>
      </w:r>
      <w:r w:rsidRPr="003C6AD6">
        <w:rPr>
          <w:rFonts w:ascii="Times New Roman" w:cs="Times New Roman" w:hint="eastAsia"/>
          <w:szCs w:val="20"/>
        </w:rPr>
        <w:t>3</w:t>
      </w:r>
      <w:r w:rsidRPr="003C6AD6">
        <w:rPr>
          <w:rFonts w:ascii="Times New Roman" w:cs="Times New Roman" w:hint="eastAsia"/>
          <w:szCs w:val="20"/>
        </w:rPr>
        <w:t>）二开井段（</w:t>
      </w:r>
      <w:r w:rsidRPr="003C6AD6">
        <w:rPr>
          <w:rFonts w:ascii="Times New Roman" w:cs="Times New Roman"/>
          <w:szCs w:val="20"/>
        </w:rPr>
        <w:t>2882m</w:t>
      </w:r>
      <w:r w:rsidRPr="003C6AD6">
        <w:rPr>
          <w:rFonts w:ascii="Times New Roman" w:cs="Times New Roman" w:hint="eastAsia"/>
          <w:szCs w:val="20"/>
        </w:rPr>
        <w:t>～井底）</w:t>
      </w:r>
    </w:p>
    <w:p w:rsidR="003C6AD6" w:rsidRPr="003C6AD6" w:rsidRDefault="003C6AD6" w:rsidP="003C6AD6">
      <w:pPr>
        <w:snapToGrid w:val="0"/>
        <w:ind w:firstLine="480"/>
        <w:rPr>
          <w:rFonts w:ascii="Times New Roman" w:cs="Times New Roman"/>
          <w:szCs w:val="20"/>
        </w:rPr>
      </w:pPr>
      <w:r w:rsidRPr="003C6AD6">
        <w:rPr>
          <w:rFonts w:ascii="Times New Roman" w:cs="Times New Roman" w:hint="eastAsia"/>
          <w:szCs w:val="20"/>
        </w:rPr>
        <w:t>钻井液体系：油基钻井液</w:t>
      </w:r>
    </w:p>
    <w:p w:rsidR="003C6AD6" w:rsidRPr="003C6AD6" w:rsidRDefault="003C6AD6" w:rsidP="003C6AD6">
      <w:pPr>
        <w:snapToGrid w:val="0"/>
        <w:ind w:firstLine="480"/>
        <w:rPr>
          <w:rFonts w:ascii="Times New Roman" w:cs="Times New Roman"/>
          <w:szCs w:val="20"/>
        </w:rPr>
      </w:pPr>
      <w:r w:rsidRPr="003C6AD6">
        <w:rPr>
          <w:rFonts w:ascii="Times New Roman" w:cs="Times New Roman" w:hint="eastAsia"/>
          <w:szCs w:val="20"/>
        </w:rPr>
        <w:t>基液</w:t>
      </w:r>
      <w:r w:rsidRPr="003C6AD6">
        <w:rPr>
          <w:rFonts w:ascii="Times New Roman" w:cs="Times New Roman"/>
          <w:szCs w:val="20"/>
        </w:rPr>
        <w:t>[</w:t>
      </w:r>
      <w:r w:rsidRPr="003C6AD6">
        <w:rPr>
          <w:rFonts w:ascii="Times New Roman" w:cs="Times New Roman" w:hint="eastAsia"/>
          <w:szCs w:val="20"/>
        </w:rPr>
        <w:t>≥</w:t>
      </w:r>
      <w:r w:rsidRPr="003C6AD6">
        <w:rPr>
          <w:rFonts w:ascii="Times New Roman" w:cs="Times New Roman"/>
          <w:szCs w:val="20"/>
        </w:rPr>
        <w:t>90%</w:t>
      </w:r>
      <w:r w:rsidRPr="003C6AD6">
        <w:rPr>
          <w:rFonts w:ascii="Times New Roman" w:cs="Times New Roman" w:hint="eastAsia"/>
          <w:szCs w:val="20"/>
        </w:rPr>
        <w:t>柴油：≤</w:t>
      </w:r>
      <w:r w:rsidRPr="003C6AD6">
        <w:rPr>
          <w:rFonts w:ascii="Times New Roman" w:cs="Times New Roman"/>
          <w:szCs w:val="20"/>
        </w:rPr>
        <w:t>10%CaCl</w:t>
      </w:r>
      <w:r w:rsidRPr="003C6AD6">
        <w:rPr>
          <w:rFonts w:ascii="Times New Roman" w:cs="Times New Roman"/>
          <w:szCs w:val="20"/>
          <w:vertAlign w:val="subscript"/>
        </w:rPr>
        <w:t>2</w:t>
      </w:r>
      <w:r w:rsidRPr="003C6AD6">
        <w:rPr>
          <w:rFonts w:ascii="Times New Roman" w:cs="Times New Roman" w:hint="eastAsia"/>
          <w:szCs w:val="20"/>
        </w:rPr>
        <w:t>盐水</w:t>
      </w:r>
      <w:r w:rsidRPr="003C6AD6">
        <w:rPr>
          <w:rFonts w:ascii="Times New Roman" w:cs="Times New Roman"/>
          <w:szCs w:val="20"/>
        </w:rPr>
        <w:t>]+3%</w:t>
      </w:r>
      <w:r w:rsidRPr="003C6AD6">
        <w:rPr>
          <w:rFonts w:ascii="Times New Roman" w:cs="Times New Roman" w:hint="eastAsia"/>
          <w:szCs w:val="20"/>
        </w:rPr>
        <w:t>乳化剂</w:t>
      </w:r>
      <w:r w:rsidRPr="003C6AD6">
        <w:rPr>
          <w:rFonts w:ascii="Times New Roman" w:cs="Times New Roman"/>
          <w:szCs w:val="20"/>
        </w:rPr>
        <w:t xml:space="preserve"> +1%</w:t>
      </w:r>
      <w:r w:rsidRPr="003C6AD6">
        <w:rPr>
          <w:rFonts w:ascii="Times New Roman" w:cs="Times New Roman" w:hint="eastAsia"/>
          <w:szCs w:val="20"/>
        </w:rPr>
        <w:t>润湿剂</w:t>
      </w:r>
      <w:r w:rsidRPr="003C6AD6">
        <w:rPr>
          <w:rFonts w:ascii="Times New Roman" w:cs="Times New Roman"/>
          <w:szCs w:val="20"/>
        </w:rPr>
        <w:t xml:space="preserve"> +2%</w:t>
      </w:r>
      <w:r w:rsidRPr="003C6AD6">
        <w:rPr>
          <w:rFonts w:ascii="Times New Roman" w:cs="Times New Roman" w:hint="eastAsia"/>
          <w:szCs w:val="20"/>
        </w:rPr>
        <w:t>增黏剂</w:t>
      </w:r>
      <w:r w:rsidRPr="003C6AD6">
        <w:rPr>
          <w:rFonts w:ascii="Times New Roman" w:cs="Times New Roman"/>
          <w:szCs w:val="20"/>
        </w:rPr>
        <w:t>+</w:t>
      </w:r>
      <w:r w:rsidRPr="003C6AD6">
        <w:rPr>
          <w:rFonts w:ascii="Times New Roman" w:cs="Times New Roman" w:hint="eastAsia"/>
          <w:szCs w:val="20"/>
        </w:rPr>
        <w:t>（</w:t>
      </w:r>
      <w:r w:rsidRPr="003C6AD6">
        <w:rPr>
          <w:rFonts w:ascii="Times New Roman" w:cs="Times New Roman"/>
          <w:szCs w:val="20"/>
        </w:rPr>
        <w:t>3-5</w:t>
      </w:r>
      <w:r w:rsidRPr="003C6AD6">
        <w:rPr>
          <w:rFonts w:ascii="Times New Roman" w:cs="Times New Roman" w:hint="eastAsia"/>
          <w:szCs w:val="20"/>
        </w:rPr>
        <w:t>）</w:t>
      </w:r>
      <w:r w:rsidRPr="003C6AD6">
        <w:rPr>
          <w:rFonts w:ascii="Times New Roman" w:cs="Times New Roman"/>
          <w:szCs w:val="20"/>
        </w:rPr>
        <w:t>%CaO+4%</w:t>
      </w:r>
      <w:r w:rsidRPr="003C6AD6">
        <w:rPr>
          <w:rFonts w:ascii="Times New Roman" w:cs="Times New Roman" w:hint="eastAsia"/>
          <w:szCs w:val="20"/>
        </w:rPr>
        <w:t>有机土</w:t>
      </w:r>
      <w:r w:rsidRPr="003C6AD6">
        <w:rPr>
          <w:rFonts w:ascii="Times New Roman" w:cs="Times New Roman"/>
          <w:szCs w:val="20"/>
        </w:rPr>
        <w:t>+3%</w:t>
      </w:r>
      <w:r w:rsidRPr="003C6AD6">
        <w:rPr>
          <w:rFonts w:ascii="Times New Roman" w:cs="Times New Roman" w:hint="eastAsia"/>
          <w:szCs w:val="20"/>
        </w:rPr>
        <w:t>降滤失剂</w:t>
      </w:r>
      <w:r w:rsidRPr="003C6AD6">
        <w:rPr>
          <w:rFonts w:ascii="Times New Roman" w:cs="Times New Roman"/>
          <w:szCs w:val="20"/>
        </w:rPr>
        <w:t>+5%</w:t>
      </w:r>
      <w:r w:rsidRPr="003C6AD6">
        <w:rPr>
          <w:rFonts w:ascii="Times New Roman" w:cs="Times New Roman" w:hint="eastAsia"/>
          <w:szCs w:val="20"/>
        </w:rPr>
        <w:t>高效封堵剂</w:t>
      </w:r>
      <w:r w:rsidRPr="003C6AD6">
        <w:rPr>
          <w:rFonts w:ascii="Times New Roman" w:cs="Times New Roman"/>
          <w:szCs w:val="20"/>
        </w:rPr>
        <w:t>+3%</w:t>
      </w:r>
      <w:r w:rsidRPr="003C6AD6">
        <w:rPr>
          <w:rFonts w:ascii="Times New Roman" w:cs="Times New Roman" w:hint="eastAsia"/>
          <w:szCs w:val="20"/>
        </w:rPr>
        <w:t>超细碳酸钙。</w:t>
      </w:r>
    </w:p>
    <w:p w:rsidR="00FF41BF" w:rsidRPr="00D630D1" w:rsidRDefault="003C6AD6" w:rsidP="00FF41BF">
      <w:pPr>
        <w:snapToGrid w:val="0"/>
        <w:ind w:firstLine="480"/>
        <w:rPr>
          <w:rFonts w:hAnsi="宋体"/>
        </w:rPr>
      </w:pPr>
      <w:r w:rsidRPr="003C6AD6">
        <w:rPr>
          <w:rFonts w:ascii="Times New Roman" w:cs="Times New Roman" w:hint="eastAsia"/>
          <w:szCs w:val="20"/>
        </w:rPr>
        <w:t>其它添加剂：加重剂等</w:t>
      </w:r>
      <w:r w:rsidR="00D7410B" w:rsidRPr="00D630D1">
        <w:rPr>
          <w:rFonts w:hint="eastAsia"/>
        </w:rPr>
        <w:t>。</w:t>
      </w:r>
      <w:r w:rsidR="00D7410B" w:rsidRPr="00D630D1">
        <w:cr/>
      </w:r>
      <w:r w:rsidR="00FF41BF" w:rsidRPr="00D630D1">
        <w:rPr>
          <w:rFonts w:ascii="Times New Roman" w:cs="Times New Roman"/>
        </w:rPr>
        <w:t xml:space="preserve">    </w:t>
      </w:r>
      <w:r w:rsidR="00FF41BF" w:rsidRPr="00D630D1">
        <w:rPr>
          <w:rFonts w:hAnsi="宋体" w:hint="eastAsia"/>
        </w:rPr>
        <w:t>（2）钻井液性质及作用</w:t>
      </w:r>
    </w:p>
    <w:p w:rsidR="00FF41BF" w:rsidRPr="00D630D1" w:rsidRDefault="00FF41BF" w:rsidP="00FF41BF">
      <w:pPr>
        <w:snapToGrid w:val="0"/>
        <w:ind w:firstLine="480"/>
        <w:rPr>
          <w:rFonts w:hAnsi="宋体"/>
        </w:rPr>
      </w:pPr>
      <w:r w:rsidRPr="00D630D1">
        <w:rPr>
          <w:rFonts w:hAnsi="宋体" w:hint="eastAsia"/>
        </w:rPr>
        <w:t>钻井液是钻探过程中孔内使用的循环冲洗介质。钻井液是钻井的血液，又称钻孔冲洗液。钻井液按组成成分可分为清水、泥浆、无粘土相冲洗液、乳状液、泡沫和压缩空气等。钻井液是广泛使用的钻井液，主要</w:t>
      </w:r>
      <w:r w:rsidR="00AD59E9" w:rsidRPr="00D630D1">
        <w:rPr>
          <w:rFonts w:hAnsi="宋体" w:hint="eastAsia"/>
        </w:rPr>
        <w:t>适用于松散、裂隙发育、易坍塌掉块、遇水膨胀剥落等孔壁不稳定岩层</w:t>
      </w:r>
      <w:r w:rsidRPr="00D630D1">
        <w:rPr>
          <w:rFonts w:hAnsi="宋体" w:hint="eastAsia"/>
        </w:rPr>
        <w:t>。</w:t>
      </w:r>
    </w:p>
    <w:p w:rsidR="00FF41BF" w:rsidRPr="00D630D1" w:rsidRDefault="00FF41BF" w:rsidP="00FF41BF">
      <w:pPr>
        <w:pStyle w:val="afa"/>
        <w:ind w:firstLine="480"/>
      </w:pPr>
      <w:r w:rsidRPr="00D630D1">
        <w:rPr>
          <w:rFonts w:ascii="宋体" w:hAnsi="宋体" w:cs="宋体" w:hint="eastAsia"/>
        </w:rPr>
        <w:t>钻井液主要作用是：①冷却钻头、清净孔底、带出岩屑。②润滑钻具。③停钻时悬浮岩屑，保护孔壁防止坍塌，平衡地层压力、压住高压油气水层。④输送岩心，为孔底动力机传递破碎孔底岩石需要的动力等。钻井中钻井液的循环程序包括：钻井液罐、机泵→地面、管汇→立管→水龙带、水龙头→钻柱内→钻头→钻柱外环形空间→井口、泥浆（钻井液）槽→钻井液净化设备→钻井液罐。</w:t>
      </w:r>
    </w:p>
    <w:p w:rsidR="00D7410B" w:rsidRPr="00D630D1" w:rsidRDefault="00D7410B" w:rsidP="00D7410B">
      <w:pPr>
        <w:pStyle w:val="afa"/>
        <w:ind w:firstLine="480"/>
      </w:pPr>
      <w:r w:rsidRPr="00D630D1">
        <w:rPr>
          <w:rFonts w:hint="eastAsia"/>
        </w:rPr>
        <w:t>2</w:t>
      </w:r>
      <w:r w:rsidRPr="00D630D1">
        <w:rPr>
          <w:rFonts w:hint="eastAsia"/>
        </w:rPr>
        <w:t>）固井</w:t>
      </w:r>
    </w:p>
    <w:p w:rsidR="00764475" w:rsidRDefault="00764475" w:rsidP="00D7410B">
      <w:pPr>
        <w:pStyle w:val="afa"/>
        <w:ind w:firstLine="480"/>
      </w:pPr>
      <w:r w:rsidRPr="00764475">
        <w:rPr>
          <w:rFonts w:hint="eastAsia"/>
        </w:rPr>
        <w:t>普光气田千佛崖组陆相气藏，主要有致密气和页岩气两种类型气藏，气藏类型为中深层、高压低温、凝析气藏，属于中孔特低渗致密砂岩气藏，储层发育稳定，具有裂缝</w:t>
      </w:r>
      <w:r w:rsidRPr="00764475">
        <w:t>-</w:t>
      </w:r>
      <w:r w:rsidRPr="00764475">
        <w:rPr>
          <w:rFonts w:hint="eastAsia"/>
        </w:rPr>
        <w:t>孔隙型储层特征。鉴于普光陆相致密砂岩气层物性差、厚度薄的特点，采用水平井压裂方式开采。</w:t>
      </w:r>
    </w:p>
    <w:p w:rsidR="00D7410B" w:rsidRPr="00D630D1" w:rsidRDefault="00D7410B" w:rsidP="00D7410B">
      <w:pPr>
        <w:pStyle w:val="afa"/>
        <w:ind w:firstLine="480"/>
      </w:pPr>
      <w:r w:rsidRPr="00D630D1">
        <w:rPr>
          <w:rFonts w:hint="eastAsia"/>
        </w:rPr>
        <w:t>表层套管</w:t>
      </w:r>
      <w:r w:rsidRPr="00D630D1">
        <w:t>固井</w:t>
      </w:r>
      <w:r w:rsidRPr="00D630D1">
        <w:rPr>
          <w:rFonts w:hint="eastAsia"/>
        </w:rPr>
        <w:t>：</w:t>
      </w:r>
      <w:r w:rsidRPr="00D630D1">
        <w:t>采用</w:t>
      </w:r>
      <w:r w:rsidRPr="00D630D1">
        <w:t>“</w:t>
      </w:r>
      <w:r w:rsidRPr="00D630D1">
        <w:t>内插法</w:t>
      </w:r>
      <w:r w:rsidRPr="00D630D1">
        <w:t xml:space="preserve">” </w:t>
      </w:r>
      <w:r w:rsidRPr="00D630D1">
        <w:t>或</w:t>
      </w:r>
      <w:r w:rsidRPr="00D630D1">
        <w:t>“</w:t>
      </w:r>
      <w:r w:rsidRPr="00D630D1">
        <w:t>干法</w:t>
      </w:r>
      <w:r w:rsidRPr="00D630D1">
        <w:t>”</w:t>
      </w:r>
      <w:r w:rsidRPr="00D630D1">
        <w:t>固井。</w:t>
      </w:r>
    </w:p>
    <w:p w:rsidR="00D7410B" w:rsidRPr="00D630D1" w:rsidRDefault="00D7410B" w:rsidP="00D7410B">
      <w:pPr>
        <w:pStyle w:val="afa"/>
        <w:ind w:firstLine="480"/>
      </w:pPr>
      <w:r w:rsidRPr="00D630D1">
        <w:t>技术套管固井</w:t>
      </w:r>
      <w:r w:rsidRPr="00D630D1">
        <w:rPr>
          <w:rFonts w:hint="eastAsia"/>
        </w:rPr>
        <w:t>：</w:t>
      </w:r>
      <w:r w:rsidRPr="00D630D1">
        <w:t>根据地层承压能力确定采用单级或</w:t>
      </w:r>
      <w:r w:rsidRPr="00D630D1">
        <w:rPr>
          <w:rFonts w:hint="eastAsia"/>
        </w:rPr>
        <w:t>变密度</w:t>
      </w:r>
      <w:r w:rsidRPr="00D630D1">
        <w:t>固井方式</w:t>
      </w:r>
      <w:r w:rsidRPr="00D630D1">
        <w:rPr>
          <w:rFonts w:hint="eastAsia"/>
        </w:rPr>
        <w:t>；</w:t>
      </w:r>
      <w:r w:rsidRPr="00D630D1">
        <w:t>提高水泥浆性能</w:t>
      </w:r>
      <w:r w:rsidRPr="00D630D1">
        <w:rPr>
          <w:rFonts w:hint="eastAsia"/>
        </w:rPr>
        <w:t>；</w:t>
      </w:r>
      <w:r w:rsidRPr="00D630D1">
        <w:t>采用改良的前置液</w:t>
      </w:r>
      <w:r w:rsidRPr="00D630D1">
        <w:rPr>
          <w:rFonts w:hint="eastAsia"/>
        </w:rPr>
        <w:t>；</w:t>
      </w:r>
      <w:r w:rsidRPr="00D630D1">
        <w:t>使用变排量顶替工艺，根据设计模拟结果，控制施工压力，采用紊流</w:t>
      </w:r>
      <w:r w:rsidRPr="00D630D1">
        <w:t>+</w:t>
      </w:r>
      <w:r w:rsidRPr="00D630D1">
        <w:t>层流模式驱替，防止漏失</w:t>
      </w:r>
      <w:r w:rsidRPr="00D630D1">
        <w:rPr>
          <w:rFonts w:hint="eastAsia"/>
        </w:rPr>
        <w:t>。</w:t>
      </w:r>
    </w:p>
    <w:p w:rsidR="00D7410B" w:rsidRPr="00D630D1" w:rsidRDefault="00D7410B" w:rsidP="00D7410B">
      <w:pPr>
        <w:pStyle w:val="afa"/>
        <w:ind w:firstLine="480"/>
      </w:pPr>
      <w:r w:rsidRPr="00D630D1">
        <w:lastRenderedPageBreak/>
        <w:t>产层套管固井</w:t>
      </w:r>
      <w:r w:rsidRPr="00D630D1">
        <w:rPr>
          <w:rFonts w:hint="eastAsia"/>
        </w:rPr>
        <w:t>：</w:t>
      </w:r>
      <w:r w:rsidRPr="00D630D1">
        <w:t>采用胶乳防气窜水泥浆体系，采用高效冲洗液和抗高温隔离液，提高顶替效率</w:t>
      </w:r>
      <w:r w:rsidRPr="00D630D1">
        <w:rPr>
          <w:rFonts w:hint="eastAsia"/>
        </w:rPr>
        <w:t>，</w:t>
      </w:r>
      <w:r w:rsidRPr="00D630D1">
        <w:t>下套管前，做好地层承压试验</w:t>
      </w:r>
      <w:r w:rsidRPr="00D630D1">
        <w:rPr>
          <w:rFonts w:hint="eastAsia"/>
        </w:rPr>
        <w:t>。</w:t>
      </w:r>
    </w:p>
    <w:p w:rsidR="00D7410B" w:rsidRPr="00D630D1" w:rsidRDefault="00D7410B" w:rsidP="00D7410B">
      <w:pPr>
        <w:pStyle w:val="afa"/>
        <w:ind w:firstLine="482"/>
        <w:rPr>
          <w:b/>
        </w:rPr>
      </w:pPr>
      <w:r w:rsidRPr="00D630D1">
        <w:rPr>
          <w:rFonts w:hint="eastAsia"/>
          <w:b/>
        </w:rPr>
        <w:t>4</w:t>
      </w:r>
      <w:r w:rsidRPr="00D630D1">
        <w:rPr>
          <w:rFonts w:hint="eastAsia"/>
          <w:b/>
        </w:rPr>
        <w:t>钻井设备</w:t>
      </w:r>
    </w:p>
    <w:p w:rsidR="00D7410B" w:rsidRPr="00D630D1" w:rsidRDefault="00764475" w:rsidP="00D7410B">
      <w:pPr>
        <w:pStyle w:val="afa"/>
        <w:ind w:firstLine="480"/>
      </w:pPr>
      <w:r w:rsidRPr="003C6AD6">
        <w:rPr>
          <w:rFonts w:hint="eastAsia"/>
        </w:rPr>
        <w:t>普陆页</w:t>
      </w:r>
      <w:r w:rsidRPr="003C6AD6">
        <w:rPr>
          <w:rFonts w:hint="eastAsia"/>
        </w:rPr>
        <w:t>1-1~6</w:t>
      </w:r>
      <w:r w:rsidRPr="003C6AD6">
        <w:rPr>
          <w:rFonts w:hint="eastAsia"/>
        </w:rPr>
        <w:t>井</w:t>
      </w:r>
      <w:r w:rsidR="00D7410B" w:rsidRPr="00D630D1">
        <w:rPr>
          <w:rFonts w:hint="eastAsia"/>
        </w:rPr>
        <w:t>为水平井，设计</w:t>
      </w:r>
      <w:r w:rsidRPr="00764475">
        <w:rPr>
          <w:rFonts w:hint="eastAsia"/>
        </w:rPr>
        <w:t>最大钻探深度为</w:t>
      </w:r>
      <w:r w:rsidRPr="00764475">
        <w:t>6874</w:t>
      </w:r>
      <w:r w:rsidRPr="00764475">
        <w:rPr>
          <w:rFonts w:hint="eastAsia"/>
        </w:rPr>
        <w:t>.</w:t>
      </w:r>
      <w:r w:rsidRPr="00764475">
        <w:t>93</w:t>
      </w:r>
      <w:r w:rsidR="00B958B8" w:rsidRPr="00D630D1">
        <w:rPr>
          <w:rFonts w:hint="eastAsia"/>
        </w:rPr>
        <w:t>米</w:t>
      </w:r>
      <w:r w:rsidR="00D7410B" w:rsidRPr="00D630D1">
        <w:rPr>
          <w:rFonts w:hint="eastAsia"/>
        </w:rPr>
        <w:t>，选择设备负荷能力及配置满足</w:t>
      </w:r>
      <w:r w:rsidR="00A24B1A" w:rsidRPr="00D630D1">
        <w:rPr>
          <w:rFonts w:hint="eastAsia"/>
        </w:rPr>
        <w:t>7</w:t>
      </w:r>
      <w:r w:rsidR="00D7410B" w:rsidRPr="00D630D1">
        <w:t>000m</w:t>
      </w:r>
      <w:r w:rsidR="00D7410B" w:rsidRPr="00D630D1">
        <w:rPr>
          <w:rFonts w:hint="eastAsia"/>
        </w:rPr>
        <w:t>钻井需要的电动钻机，并配备顶驱。钻井设备见表</w:t>
      </w:r>
      <w:bookmarkStart w:id="150" w:name="OLE_LINK64"/>
      <w:bookmarkStart w:id="151" w:name="OLE_LINK76"/>
      <w:r w:rsidR="00D7410B" w:rsidRPr="00D630D1">
        <w:rPr>
          <w:rFonts w:hint="eastAsia"/>
        </w:rPr>
        <w:t>3.4-</w:t>
      </w:r>
      <w:bookmarkEnd w:id="150"/>
      <w:bookmarkEnd w:id="151"/>
      <w:r w:rsidR="00AD59E9" w:rsidRPr="00D630D1">
        <w:rPr>
          <w:rFonts w:hint="eastAsia"/>
        </w:rPr>
        <w:t>5</w:t>
      </w:r>
      <w:r w:rsidR="00D7410B" w:rsidRPr="00D630D1">
        <w:rPr>
          <w:rFonts w:hint="eastAsia"/>
        </w:rPr>
        <w:t>。</w:t>
      </w:r>
    </w:p>
    <w:p w:rsidR="00D7410B" w:rsidRDefault="00D7410B" w:rsidP="00F96E37">
      <w:pPr>
        <w:topLinePunct w:val="0"/>
        <w:snapToGrid w:val="0"/>
        <w:spacing w:beforeLines="50"/>
        <w:ind w:firstLineChars="0" w:firstLine="0"/>
        <w:jc w:val="center"/>
        <w:rPr>
          <w:rFonts w:ascii="Times New Roman" w:cs="Times New Roman"/>
          <w:b/>
          <w:kern w:val="2"/>
          <w:sz w:val="21"/>
          <w:szCs w:val="20"/>
        </w:rPr>
      </w:pPr>
      <w:bookmarkStart w:id="152" w:name="OLE_LINK59"/>
      <w:bookmarkStart w:id="153" w:name="OLE_LINK60"/>
      <w:r w:rsidRPr="00D630D1">
        <w:rPr>
          <w:rFonts w:ascii="Times New Roman" w:cs="Times New Roman"/>
          <w:b/>
          <w:sz w:val="21"/>
          <w:szCs w:val="21"/>
        </w:rPr>
        <w:t>3.4-</w:t>
      </w:r>
      <w:r w:rsidR="00AD59E9" w:rsidRPr="00D630D1">
        <w:rPr>
          <w:rFonts w:ascii="Times New Roman" w:cs="Times New Roman" w:hint="eastAsia"/>
          <w:b/>
          <w:sz w:val="21"/>
          <w:szCs w:val="21"/>
        </w:rPr>
        <w:t>5</w:t>
      </w:r>
      <w:r w:rsidRPr="00D630D1">
        <w:rPr>
          <w:rFonts w:ascii="Times New Roman" w:cs="Times New Roman"/>
          <w:b/>
          <w:kern w:val="2"/>
          <w:sz w:val="21"/>
          <w:szCs w:val="21"/>
        </w:rPr>
        <w:t xml:space="preserve">  </w:t>
      </w:r>
      <w:r w:rsidRPr="00D630D1">
        <w:rPr>
          <w:rFonts w:ascii="Times New Roman" w:cs="Times New Roman"/>
          <w:b/>
          <w:kern w:val="2"/>
          <w:sz w:val="21"/>
          <w:szCs w:val="20"/>
        </w:rPr>
        <w:t>钻井设备一览表</w:t>
      </w:r>
    </w:p>
    <w:tbl>
      <w:tblPr>
        <w:tblW w:w="8959" w:type="dxa"/>
        <w:jc w:val="center"/>
        <w:tblBorders>
          <w:top w:val="single" w:sz="12" w:space="0" w:color="000000"/>
          <w:bottom w:val="single" w:sz="12" w:space="0" w:color="000000"/>
          <w:insideH w:val="single" w:sz="4" w:space="0" w:color="000000"/>
          <w:insideV w:val="single" w:sz="4" w:space="0" w:color="000000"/>
        </w:tblBorders>
        <w:tblLayout w:type="fixed"/>
        <w:tblLook w:val="0000"/>
      </w:tblPr>
      <w:tblGrid>
        <w:gridCol w:w="699"/>
        <w:gridCol w:w="1894"/>
        <w:gridCol w:w="1486"/>
        <w:gridCol w:w="733"/>
        <w:gridCol w:w="4147"/>
      </w:tblGrid>
      <w:tr w:rsidR="00764475" w:rsidRPr="00764475" w:rsidTr="00764475">
        <w:trPr>
          <w:trHeight w:val="408"/>
          <w:tblHeader/>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序号</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名称</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功率或负荷</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数量</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备注</w:t>
            </w: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井架</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315"/>
              <w:rPr>
                <w:sz w:val="22"/>
                <w:szCs w:val="22"/>
                <w:lang w:val="zh-CN"/>
              </w:rPr>
            </w:pPr>
            <w:r w:rsidRPr="00764475">
              <w:rPr>
                <w:rFonts w:ascii="Times New Roman" w:cs="Times New Roman"/>
                <w:sz w:val="21"/>
                <w:szCs w:val="21"/>
              </w:rPr>
              <w:t>4500kN</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天车</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4500</w:t>
            </w:r>
            <w:r w:rsidRPr="00764475">
              <w:rPr>
                <w:rFonts w:ascii="Times New Roman" w:cs="Times New Roman"/>
                <w:sz w:val="21"/>
                <w:szCs w:val="21"/>
              </w:rPr>
              <w:t>kN</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游动滑车</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4500</w:t>
            </w:r>
            <w:r w:rsidRPr="00764475">
              <w:rPr>
                <w:rFonts w:ascii="Times New Roman" w:cs="Times New Roman"/>
                <w:sz w:val="21"/>
                <w:szCs w:val="21"/>
              </w:rPr>
              <w:t>kN</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4</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大钩</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4500</w:t>
            </w:r>
            <w:r w:rsidRPr="00764475">
              <w:rPr>
                <w:rFonts w:ascii="Times New Roman" w:cs="Times New Roman"/>
                <w:sz w:val="21"/>
                <w:szCs w:val="21"/>
              </w:rPr>
              <w:t>kN</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5</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水龙头</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4500</w:t>
            </w:r>
            <w:r w:rsidRPr="00764475">
              <w:rPr>
                <w:rFonts w:ascii="Times New Roman" w:cs="Times New Roman"/>
                <w:sz w:val="21"/>
                <w:szCs w:val="21"/>
              </w:rPr>
              <w:t>kN</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6</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转盘</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4500</w:t>
            </w:r>
            <w:r w:rsidRPr="00764475">
              <w:rPr>
                <w:rFonts w:ascii="Times New Roman" w:cs="Times New Roman"/>
                <w:sz w:val="21"/>
                <w:szCs w:val="21"/>
              </w:rPr>
              <w:t>kN</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7</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绞车</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1470kW</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8</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顶驱</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4500</w:t>
            </w:r>
            <w:r w:rsidRPr="00764475">
              <w:rPr>
                <w:rFonts w:ascii="Times New Roman" w:cs="Times New Roman"/>
                <w:sz w:val="21"/>
                <w:szCs w:val="21"/>
              </w:rPr>
              <w:t>kN</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9</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电磁刹车</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10</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钻井泵</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1193</w:t>
            </w:r>
            <w:r w:rsidRPr="00764475">
              <w:rPr>
                <w:rFonts w:ascii="Times New Roman" w:cs="Times New Roman"/>
                <w:sz w:val="21"/>
                <w:szCs w:val="21"/>
              </w:rPr>
              <w:t>kW</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11</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柴油机</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1320</w:t>
            </w:r>
            <w:r w:rsidRPr="00764475">
              <w:rPr>
                <w:rFonts w:ascii="Times New Roman" w:cs="Times New Roman"/>
                <w:sz w:val="21"/>
                <w:szCs w:val="21"/>
              </w:rPr>
              <w:t>kW</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12</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发电机</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320</w:t>
            </w:r>
            <w:r w:rsidRPr="00764475">
              <w:rPr>
                <w:rFonts w:ascii="Times New Roman" w:cs="Times New Roman"/>
                <w:sz w:val="21"/>
                <w:szCs w:val="21"/>
              </w:rPr>
              <w:t>kW</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330"/>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13</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双闸板防喷器</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70</w:t>
            </w:r>
            <w:r w:rsidRPr="00764475">
              <w:rPr>
                <w:rFonts w:ascii="Times New Roman" w:cs="Times New Roman"/>
                <w:sz w:val="21"/>
                <w:szCs w:val="21"/>
              </w:rPr>
              <w:t>MPa</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r>
              <w:rPr>
                <w:rFonts w:hint="eastAsia"/>
                <w:sz w:val="21"/>
                <w:szCs w:val="21"/>
                <w:lang w:val="zh-CN"/>
              </w:rPr>
              <w:t>二</w:t>
            </w:r>
            <w:r w:rsidRPr="00764475">
              <w:rPr>
                <w:rFonts w:hint="eastAsia"/>
                <w:sz w:val="21"/>
                <w:szCs w:val="21"/>
                <w:lang w:val="zh-CN"/>
              </w:rPr>
              <w:t>开使用</w:t>
            </w:r>
            <w:r w:rsidRPr="00764475">
              <w:rPr>
                <w:rFonts w:ascii="Times New Roman" w:cs="Times New Roman"/>
                <w:sz w:val="21"/>
                <w:szCs w:val="21"/>
              </w:rPr>
              <w:t>35-70</w:t>
            </w:r>
          </w:p>
        </w:tc>
      </w:tr>
      <w:tr w:rsidR="00764475" w:rsidRPr="00764475" w:rsidTr="00764475">
        <w:trPr>
          <w:trHeight w:val="396"/>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14</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环型防喷器</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35</w:t>
            </w:r>
            <w:r w:rsidRPr="00764475">
              <w:rPr>
                <w:rFonts w:ascii="Times New Roman" w:cs="Times New Roman"/>
                <w:sz w:val="21"/>
                <w:szCs w:val="21"/>
              </w:rPr>
              <w:t>MPa</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r w:rsidRPr="00764475">
              <w:rPr>
                <w:rFonts w:hint="eastAsia"/>
                <w:sz w:val="21"/>
                <w:szCs w:val="21"/>
                <w:lang w:val="zh-CN"/>
              </w:rPr>
              <w:t>二开使用</w:t>
            </w:r>
            <w:r w:rsidRPr="00764475">
              <w:rPr>
                <w:rFonts w:ascii="Times New Roman" w:cs="Times New Roman"/>
                <w:sz w:val="21"/>
                <w:szCs w:val="21"/>
              </w:rPr>
              <w:t>35-35</w:t>
            </w:r>
          </w:p>
        </w:tc>
      </w:tr>
      <w:tr w:rsidR="00764475" w:rsidRPr="00764475" w:rsidTr="00764475">
        <w:trPr>
          <w:trHeight w:val="396"/>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15</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rFonts w:ascii="Times New Roman" w:cs="Times New Roman"/>
                <w:sz w:val="21"/>
                <w:szCs w:val="21"/>
              </w:rPr>
            </w:pPr>
            <w:r w:rsidRPr="00764475">
              <w:rPr>
                <w:rFonts w:hint="eastAsia"/>
                <w:sz w:val="21"/>
                <w:szCs w:val="21"/>
                <w:lang w:val="zh-CN"/>
              </w:rPr>
              <w:t>旋转防喷器</w:t>
            </w:r>
          </w:p>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FX54-7.5/14</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7.5/14</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r w:rsidRPr="00764475">
              <w:rPr>
                <w:rFonts w:hint="eastAsia"/>
                <w:sz w:val="21"/>
                <w:szCs w:val="21"/>
                <w:lang w:val="zh-CN"/>
              </w:rPr>
              <w:t>一开使用</w:t>
            </w: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16</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旋转防喷器</w:t>
            </w:r>
            <w:r w:rsidRPr="00764475">
              <w:rPr>
                <w:rFonts w:ascii="Times New Roman" w:cs="Times New Roman"/>
                <w:sz w:val="21"/>
                <w:szCs w:val="21"/>
              </w:rPr>
              <w:t>FX35-17.5/35</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17.5/35</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r w:rsidRPr="00764475">
              <w:rPr>
                <w:rFonts w:hint="eastAsia"/>
                <w:sz w:val="21"/>
                <w:szCs w:val="21"/>
                <w:lang w:val="zh-CN"/>
              </w:rPr>
              <w:t>二开使用</w:t>
            </w: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17</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压井管汇</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70</w:t>
            </w:r>
            <w:r w:rsidRPr="00764475">
              <w:rPr>
                <w:rFonts w:ascii="Times New Roman" w:cs="Times New Roman"/>
                <w:sz w:val="21"/>
                <w:szCs w:val="21"/>
              </w:rPr>
              <w:t>MPa</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18</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节流管汇</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70</w:t>
            </w:r>
            <w:r w:rsidRPr="00764475">
              <w:rPr>
                <w:rFonts w:ascii="Times New Roman" w:cs="Times New Roman"/>
                <w:sz w:val="21"/>
                <w:szCs w:val="21"/>
              </w:rPr>
              <w:t>MPa</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19</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液气分离器</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20</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自动点火装置</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21</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手动点火装置</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22</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司钻控制台</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23</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节流控制箱</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24</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远程控制台</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25</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除砂器</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55</w:t>
            </w:r>
            <w:r w:rsidRPr="00764475">
              <w:rPr>
                <w:rFonts w:ascii="Times New Roman" w:cs="Times New Roman"/>
                <w:sz w:val="21"/>
                <w:szCs w:val="21"/>
              </w:rPr>
              <w:t>kW</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26</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除泥器</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45</w:t>
            </w:r>
            <w:r w:rsidRPr="00764475">
              <w:rPr>
                <w:rFonts w:ascii="Times New Roman" w:cs="Times New Roman"/>
                <w:sz w:val="21"/>
                <w:szCs w:val="21"/>
              </w:rPr>
              <w:t>kW</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28</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振动筛</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4</w:t>
            </w:r>
            <w:r w:rsidRPr="00764475">
              <w:rPr>
                <w:rFonts w:ascii="Times New Roman" w:cs="Times New Roman"/>
                <w:sz w:val="21"/>
                <w:szCs w:val="21"/>
              </w:rPr>
              <w:t>kW</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r w:rsidRPr="00764475">
              <w:rPr>
                <w:rFonts w:hint="eastAsia"/>
                <w:sz w:val="21"/>
                <w:szCs w:val="21"/>
                <w:lang w:val="zh-CN"/>
              </w:rPr>
              <w:t>处理量≥</w:t>
            </w:r>
            <w:r w:rsidRPr="00764475">
              <w:rPr>
                <w:rFonts w:ascii="Times New Roman" w:cs="Times New Roman"/>
                <w:sz w:val="21"/>
                <w:szCs w:val="21"/>
              </w:rPr>
              <w:t>55L/s</w:t>
            </w: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29</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除气器</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r w:rsidRPr="00764475">
              <w:rPr>
                <w:rFonts w:hint="eastAsia"/>
                <w:sz w:val="21"/>
                <w:szCs w:val="21"/>
                <w:lang w:val="zh-CN"/>
              </w:rPr>
              <w:t>排气管线接出井场</w:t>
            </w: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30</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离心机</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69</w:t>
            </w:r>
            <w:r w:rsidRPr="00764475">
              <w:rPr>
                <w:rFonts w:ascii="Times New Roman" w:cs="Times New Roman"/>
                <w:sz w:val="21"/>
                <w:szCs w:val="21"/>
              </w:rPr>
              <w:t>kW</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31</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液压大钳</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32</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搅拌机</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49</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33</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灌浆装置</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r w:rsidRPr="00764475">
              <w:rPr>
                <w:rFonts w:hint="eastAsia"/>
                <w:sz w:val="21"/>
                <w:szCs w:val="21"/>
                <w:lang w:val="zh-CN"/>
              </w:rPr>
              <w:t>小罐计量</w:t>
            </w: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lastRenderedPageBreak/>
              <w:t>34</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循环罐</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80</w:t>
            </w:r>
            <w:r w:rsidRPr="00764475">
              <w:rPr>
                <w:rFonts w:ascii="Times New Roman" w:cs="Times New Roman"/>
                <w:sz w:val="21"/>
                <w:szCs w:val="21"/>
              </w:rPr>
              <w:t>m</w:t>
            </w:r>
            <w:r w:rsidRPr="00764475">
              <w:rPr>
                <w:rFonts w:ascii="Times New Roman" w:cs="Times New Roman"/>
                <w:sz w:val="21"/>
                <w:szCs w:val="21"/>
                <w:vertAlign w:val="superscript"/>
              </w:rPr>
              <w:t>3</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5</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r w:rsidRPr="00764475">
              <w:rPr>
                <w:rFonts w:hint="eastAsia"/>
                <w:sz w:val="21"/>
                <w:szCs w:val="21"/>
                <w:lang w:val="zh-CN"/>
              </w:rPr>
              <w:t>锥形罐除外、带搅拌机</w:t>
            </w: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35</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储备罐</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Pr>
                <w:rFonts w:ascii="Times New Roman" w:cs="Times New Roman"/>
                <w:sz w:val="21"/>
                <w:szCs w:val="21"/>
              </w:rPr>
              <w:t>60</w:t>
            </w:r>
            <w:r w:rsidRPr="00764475">
              <w:rPr>
                <w:rFonts w:ascii="Times New Roman" w:cs="Times New Roman"/>
                <w:sz w:val="21"/>
                <w:szCs w:val="21"/>
              </w:rPr>
              <w:t>m</w:t>
            </w:r>
            <w:r w:rsidRPr="00764475">
              <w:rPr>
                <w:rFonts w:ascii="Times New Roman" w:cs="Times New Roman"/>
                <w:sz w:val="21"/>
                <w:szCs w:val="21"/>
                <w:vertAlign w:val="superscript"/>
              </w:rPr>
              <w:t>3</w:t>
            </w: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14</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36</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加重装置</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2</w:t>
            </w:r>
            <w:r w:rsidRPr="00764475">
              <w:rPr>
                <w:rFonts w:hint="eastAsia"/>
                <w:sz w:val="21"/>
                <w:szCs w:val="21"/>
                <w:lang w:val="zh-CN"/>
              </w:rPr>
              <w:t>套</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r w:rsidRPr="00764475">
              <w:rPr>
                <w:rFonts w:hint="eastAsia"/>
                <w:sz w:val="21"/>
                <w:szCs w:val="21"/>
                <w:lang w:val="zh-CN"/>
              </w:rPr>
              <w:t>气动下料</w:t>
            </w: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37</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钻井参数仪</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r w:rsidRPr="00764475">
              <w:rPr>
                <w:rFonts w:hint="eastAsia"/>
                <w:sz w:val="21"/>
                <w:szCs w:val="21"/>
                <w:lang w:val="zh-CN"/>
              </w:rPr>
              <w:t>钻压、扭矩、转速、泵压、泵冲、悬重、泥浆体积等八道参数以上，司钻台、监督房、工程师房内有显示屏</w:t>
            </w: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38</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二层台逃生装置</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r w:rsidR="00764475" w:rsidRPr="00764475" w:rsidTr="00764475">
        <w:trPr>
          <w:trHeight w:val="1"/>
          <w:jc w:val="center"/>
        </w:trPr>
        <w:tc>
          <w:tcPr>
            <w:tcW w:w="710"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39</w:t>
            </w:r>
          </w:p>
        </w:tc>
        <w:tc>
          <w:tcPr>
            <w:tcW w:w="1931"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hint="eastAsia"/>
                <w:sz w:val="21"/>
                <w:szCs w:val="21"/>
                <w:lang w:val="zh-CN"/>
              </w:rPr>
              <w:t>测斜绞车</w:t>
            </w:r>
            <w:r w:rsidRPr="00764475">
              <w:rPr>
                <w:rFonts w:ascii="Times New Roman" w:cs="Times New Roman"/>
                <w:sz w:val="21"/>
                <w:szCs w:val="21"/>
              </w:rPr>
              <w:t>/</w:t>
            </w:r>
            <w:r w:rsidRPr="00764475">
              <w:rPr>
                <w:rFonts w:hint="eastAsia"/>
                <w:sz w:val="21"/>
                <w:szCs w:val="21"/>
                <w:lang w:val="zh-CN"/>
              </w:rPr>
              <w:t>测斜仪</w:t>
            </w:r>
          </w:p>
        </w:tc>
        <w:tc>
          <w:tcPr>
            <w:tcW w:w="151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p>
        </w:tc>
        <w:tc>
          <w:tcPr>
            <w:tcW w:w="744" w:type="dxa"/>
            <w:shd w:val="clear" w:color="000000" w:fill="FFFFFF"/>
            <w:vAlign w:val="center"/>
          </w:tcPr>
          <w:p w:rsidR="00764475" w:rsidRPr="00764475" w:rsidRDefault="00764475" w:rsidP="00764475">
            <w:pPr>
              <w:topLinePunct w:val="0"/>
              <w:autoSpaceDE w:val="0"/>
              <w:autoSpaceDN w:val="0"/>
              <w:spacing w:line="240" w:lineRule="auto"/>
              <w:ind w:firstLineChars="0" w:firstLine="0"/>
              <w:jc w:val="center"/>
              <w:rPr>
                <w:sz w:val="22"/>
                <w:szCs w:val="22"/>
                <w:lang w:val="zh-CN"/>
              </w:rPr>
            </w:pPr>
            <w:r w:rsidRPr="00764475">
              <w:rPr>
                <w:rFonts w:ascii="Times New Roman" w:cs="Times New Roman"/>
                <w:sz w:val="21"/>
                <w:szCs w:val="21"/>
              </w:rPr>
              <w:t>1</w:t>
            </w:r>
          </w:p>
        </w:tc>
        <w:tc>
          <w:tcPr>
            <w:tcW w:w="4235" w:type="dxa"/>
            <w:shd w:val="clear" w:color="000000" w:fill="FFFFFF"/>
            <w:vAlign w:val="center"/>
          </w:tcPr>
          <w:p w:rsidR="00764475" w:rsidRPr="00764475" w:rsidRDefault="00764475" w:rsidP="00764475">
            <w:pPr>
              <w:topLinePunct w:val="0"/>
              <w:autoSpaceDE w:val="0"/>
              <w:autoSpaceDN w:val="0"/>
              <w:spacing w:line="240" w:lineRule="auto"/>
              <w:ind w:firstLineChars="0" w:firstLine="0"/>
              <w:rPr>
                <w:sz w:val="22"/>
                <w:szCs w:val="22"/>
                <w:lang w:val="zh-CN"/>
              </w:rPr>
            </w:pPr>
          </w:p>
        </w:tc>
      </w:tr>
    </w:tbl>
    <w:bookmarkEnd w:id="152"/>
    <w:bookmarkEnd w:id="153"/>
    <w:p w:rsidR="007E6F57" w:rsidRPr="00D630D1" w:rsidRDefault="007E6F57" w:rsidP="007E6F57">
      <w:pPr>
        <w:pStyle w:val="3"/>
        <w:rPr>
          <w:rFonts w:eastAsia="宋体"/>
        </w:rPr>
      </w:pPr>
      <w:r w:rsidRPr="00D630D1">
        <w:rPr>
          <w:rFonts w:eastAsia="宋体"/>
        </w:rPr>
        <w:t>3.</w:t>
      </w:r>
      <w:r w:rsidRPr="00D630D1">
        <w:rPr>
          <w:rFonts w:eastAsia="宋体" w:hint="eastAsia"/>
        </w:rPr>
        <w:t>4</w:t>
      </w:r>
      <w:r w:rsidRPr="00D630D1">
        <w:rPr>
          <w:rFonts w:eastAsia="宋体"/>
        </w:rPr>
        <w:t>.</w:t>
      </w:r>
      <w:r w:rsidRPr="00D630D1">
        <w:rPr>
          <w:rFonts w:eastAsia="宋体" w:hint="eastAsia"/>
        </w:rPr>
        <w:t>3</w:t>
      </w:r>
      <w:r w:rsidRPr="00D630D1">
        <w:rPr>
          <w:rFonts w:eastAsia="宋体"/>
        </w:rPr>
        <w:t xml:space="preserve"> </w:t>
      </w:r>
      <w:r w:rsidRPr="00D630D1">
        <w:rPr>
          <w:rFonts w:eastAsia="宋体" w:hint="eastAsia"/>
        </w:rPr>
        <w:t>完井工程</w:t>
      </w:r>
      <w:r w:rsidR="00B9377E" w:rsidRPr="00D630D1">
        <w:rPr>
          <w:rFonts w:eastAsia="宋体" w:hint="eastAsia"/>
        </w:rPr>
        <w:t>（采气工程）</w:t>
      </w:r>
    </w:p>
    <w:p w:rsidR="007E6F57" w:rsidRPr="00D630D1" w:rsidRDefault="007E6F57" w:rsidP="007E6F57">
      <w:pPr>
        <w:snapToGrid w:val="0"/>
        <w:ind w:firstLine="480"/>
        <w:rPr>
          <w:rFonts w:ascii="Times New Roman" w:cs="Times New Roman"/>
        </w:rPr>
      </w:pPr>
      <w:bookmarkStart w:id="154" w:name="OLE_LINK74"/>
      <w:r w:rsidRPr="00D630D1">
        <w:rPr>
          <w:rFonts w:ascii="Times New Roman" w:cs="Times New Roman"/>
        </w:rPr>
        <w:t>完井作业采用套管射孔完井、洗井等工艺，完井后设备搬迁。</w:t>
      </w:r>
    </w:p>
    <w:p w:rsidR="007E6F57" w:rsidRPr="00D630D1" w:rsidRDefault="007E6F57" w:rsidP="007E6F57">
      <w:pPr>
        <w:snapToGrid w:val="0"/>
        <w:ind w:firstLine="480"/>
        <w:rPr>
          <w:rFonts w:ascii="Times New Roman" w:cs="Times New Roman"/>
        </w:rPr>
      </w:pPr>
      <w:r w:rsidRPr="00D630D1">
        <w:rPr>
          <w:rFonts w:ascii="Times New Roman" w:cs="Times New Roman"/>
        </w:rPr>
        <w:t>完井工程共分为</w:t>
      </w:r>
      <w:r w:rsidRPr="00D630D1">
        <w:rPr>
          <w:rFonts w:ascii="Times New Roman" w:cs="Times New Roman"/>
        </w:rPr>
        <w:t>6</w:t>
      </w:r>
      <w:r w:rsidRPr="00D630D1">
        <w:rPr>
          <w:rFonts w:ascii="Times New Roman" w:cs="Times New Roman"/>
        </w:rPr>
        <w:t>个工艺，分别为：井筒处理、模拟通井、下完井管柱、安装采气树、压裂酸化、放喷测试。</w:t>
      </w:r>
    </w:p>
    <w:p w:rsidR="007E6F57" w:rsidRPr="00D630D1" w:rsidRDefault="007E6F57" w:rsidP="007E6F57">
      <w:pPr>
        <w:snapToGrid w:val="0"/>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）井筒处理</w:t>
      </w:r>
    </w:p>
    <w:p w:rsidR="007E6F57" w:rsidRPr="00D630D1" w:rsidRDefault="007E6F57" w:rsidP="007E6F57">
      <w:pPr>
        <w:snapToGrid w:val="0"/>
        <w:ind w:firstLine="480"/>
        <w:rPr>
          <w:rFonts w:ascii="Times New Roman" w:cs="Times New Roman"/>
        </w:rPr>
      </w:pPr>
      <w:r w:rsidRPr="00D630D1">
        <w:rPr>
          <w:rFonts w:ascii="Times New Roman" w:cs="Times New Roman"/>
        </w:rPr>
        <w:t>井筒处理包括钻塞、通井、刮削和洗井。</w:t>
      </w:r>
    </w:p>
    <w:p w:rsidR="007E6F57" w:rsidRPr="00D630D1" w:rsidRDefault="007E6F57" w:rsidP="007E6F57">
      <w:pPr>
        <w:snapToGrid w:val="0"/>
        <w:ind w:firstLine="480"/>
        <w:rPr>
          <w:rFonts w:ascii="Times New Roman" w:cs="Times New Roman"/>
        </w:rPr>
      </w:pPr>
      <w:r w:rsidRPr="00D630D1">
        <w:rPr>
          <w:rFonts w:ascii="Times New Roman" w:cs="Times New Roman"/>
        </w:rPr>
        <w:t>采用</w:t>
      </w:r>
      <w:r w:rsidRPr="00D630D1">
        <w:rPr>
          <w:rFonts w:ascii="Times New Roman" w:cs="Times New Roman"/>
        </w:rPr>
        <w:t>“</w:t>
      </w:r>
      <w:r w:rsidRPr="00D630D1">
        <w:rPr>
          <w:rFonts w:ascii="Times New Roman" w:cs="Times New Roman"/>
        </w:rPr>
        <w:t>钻头</w:t>
      </w:r>
      <w:r w:rsidRPr="00D630D1">
        <w:rPr>
          <w:rFonts w:ascii="Times New Roman" w:cs="Times New Roman"/>
        </w:rPr>
        <w:t>+</w:t>
      </w:r>
      <w:r w:rsidRPr="00D630D1">
        <w:rPr>
          <w:rFonts w:ascii="Times New Roman" w:cs="Times New Roman"/>
        </w:rPr>
        <w:t>螺杆钻</w:t>
      </w:r>
      <w:r w:rsidRPr="00D630D1">
        <w:rPr>
          <w:rFonts w:ascii="Times New Roman" w:cs="Times New Roman"/>
        </w:rPr>
        <w:t>”</w:t>
      </w:r>
      <w:r w:rsidRPr="00D630D1">
        <w:rPr>
          <w:rFonts w:ascii="Times New Roman" w:cs="Times New Roman"/>
        </w:rPr>
        <w:t>落实灰面并钻掉套管内水泥塞及浮箍，钻掉套管内水泥塞后，采用通井规对套管实施通井，采用刮削器对钻塞井段和合金套管段进行刮削，清理套管内壁残余水泥块，循环洗井。</w:t>
      </w:r>
    </w:p>
    <w:p w:rsidR="007E6F57" w:rsidRPr="00D630D1" w:rsidRDefault="007E6F57" w:rsidP="007E6F57">
      <w:pPr>
        <w:snapToGrid w:val="0"/>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）模拟通井</w:t>
      </w:r>
    </w:p>
    <w:p w:rsidR="007E6F57" w:rsidRPr="00D630D1" w:rsidRDefault="007E6F57" w:rsidP="007E6F57">
      <w:pPr>
        <w:snapToGrid w:val="0"/>
        <w:ind w:firstLine="480"/>
        <w:rPr>
          <w:rFonts w:ascii="Times New Roman" w:cs="Times New Roman"/>
        </w:rPr>
      </w:pPr>
      <w:r w:rsidRPr="00D630D1">
        <w:rPr>
          <w:rFonts w:ascii="Times New Roman" w:cs="Times New Roman"/>
        </w:rPr>
        <w:t>采用钻头通井、单铣柱模拟通井、双铣柱模拟通井三趟通井工艺，确保井眼光滑，为分段完井管柱下井提供顺畅的井筒条件。</w:t>
      </w:r>
    </w:p>
    <w:p w:rsidR="007E6F57" w:rsidRPr="00D630D1" w:rsidRDefault="007E6F57" w:rsidP="007E6F57">
      <w:pPr>
        <w:snapToGrid w:val="0"/>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）下完井管柱</w:t>
      </w:r>
    </w:p>
    <w:p w:rsidR="00D7410B" w:rsidRPr="00D630D1" w:rsidRDefault="007E6F57" w:rsidP="00764475">
      <w:pPr>
        <w:pStyle w:val="afa"/>
        <w:ind w:firstLine="480"/>
      </w:pPr>
      <w:r w:rsidRPr="00D630D1">
        <w:t>先采用钻杆携带悬挂封及以下分段管柱下井，完成管柱坐封，再下回接管柱完井。井下作业主要设备见表</w:t>
      </w:r>
      <w:bookmarkStart w:id="155" w:name="OLE_LINK79"/>
      <w:bookmarkStart w:id="156" w:name="OLE_LINK80"/>
      <w:r w:rsidRPr="00D630D1">
        <w:rPr>
          <w:rFonts w:hint="eastAsia"/>
        </w:rPr>
        <w:t>3.4-</w:t>
      </w:r>
      <w:bookmarkEnd w:id="155"/>
      <w:bookmarkEnd w:id="156"/>
      <w:r w:rsidR="00AD59E9" w:rsidRPr="00D630D1">
        <w:rPr>
          <w:rFonts w:hint="eastAsia"/>
        </w:rPr>
        <w:t>6</w:t>
      </w:r>
      <w:r w:rsidRPr="00D630D1">
        <w:t>。</w:t>
      </w:r>
      <w:bookmarkEnd w:id="154"/>
    </w:p>
    <w:p w:rsidR="007E6F57" w:rsidRPr="00D630D1" w:rsidRDefault="007E6F57" w:rsidP="00F96E37">
      <w:pPr>
        <w:topLinePunct w:val="0"/>
        <w:snapToGrid w:val="0"/>
        <w:spacing w:beforeLines="50"/>
        <w:ind w:firstLineChars="0" w:firstLine="0"/>
        <w:jc w:val="center"/>
        <w:rPr>
          <w:rFonts w:ascii="Times New Roman" w:cs="Times New Roman"/>
          <w:b/>
          <w:kern w:val="2"/>
          <w:sz w:val="21"/>
          <w:szCs w:val="20"/>
        </w:rPr>
      </w:pPr>
      <w:bookmarkStart w:id="157" w:name="_Ref505766830"/>
      <w:r w:rsidRPr="00D630D1">
        <w:rPr>
          <w:rFonts w:ascii="Times New Roman" w:cs="Times New Roman"/>
          <w:b/>
          <w:kern w:val="2"/>
          <w:sz w:val="21"/>
          <w:szCs w:val="20"/>
        </w:rPr>
        <w:t>表</w:t>
      </w:r>
      <w:bookmarkEnd w:id="157"/>
      <w:r w:rsidRPr="00D630D1">
        <w:rPr>
          <w:rFonts w:ascii="Times New Roman" w:cs="Times New Roman"/>
          <w:b/>
          <w:sz w:val="21"/>
          <w:szCs w:val="21"/>
        </w:rPr>
        <w:t>3.4-</w:t>
      </w:r>
      <w:r w:rsidR="00AD59E9" w:rsidRPr="00D630D1">
        <w:rPr>
          <w:rFonts w:ascii="Times New Roman" w:cs="Times New Roman" w:hint="eastAsia"/>
          <w:b/>
          <w:sz w:val="21"/>
          <w:szCs w:val="21"/>
        </w:rPr>
        <w:t>6</w:t>
      </w:r>
      <w:r w:rsidRPr="00D630D1">
        <w:rPr>
          <w:rFonts w:ascii="Times New Roman" w:cs="Times New Roman"/>
          <w:b/>
          <w:kern w:val="2"/>
          <w:sz w:val="21"/>
          <w:szCs w:val="20"/>
        </w:rPr>
        <w:t xml:space="preserve">  </w:t>
      </w:r>
      <w:r w:rsidRPr="00D630D1">
        <w:rPr>
          <w:rFonts w:ascii="Times New Roman" w:cs="Times New Roman"/>
          <w:b/>
          <w:kern w:val="2"/>
          <w:sz w:val="21"/>
          <w:szCs w:val="20"/>
        </w:rPr>
        <w:t>井下作业主要设备一览表</w:t>
      </w:r>
      <w:r w:rsidR="00764475" w:rsidRPr="003C6AD6">
        <w:rPr>
          <w:rFonts w:ascii="Times New Roman" w:cs="Times New Roman" w:hint="eastAsia"/>
          <w:b/>
          <w:kern w:val="2"/>
          <w:sz w:val="21"/>
          <w:szCs w:val="20"/>
        </w:rPr>
        <w:t>（以普陆页</w:t>
      </w:r>
      <w:r w:rsidR="00764475" w:rsidRPr="003C6AD6">
        <w:rPr>
          <w:rFonts w:ascii="Times New Roman" w:cs="Times New Roman" w:hint="eastAsia"/>
          <w:b/>
          <w:kern w:val="2"/>
          <w:sz w:val="21"/>
          <w:szCs w:val="20"/>
        </w:rPr>
        <w:t>1-1</w:t>
      </w:r>
      <w:r w:rsidR="00764475" w:rsidRPr="003C6AD6">
        <w:rPr>
          <w:rFonts w:ascii="Times New Roman" w:cs="Times New Roman" w:hint="eastAsia"/>
          <w:b/>
          <w:kern w:val="2"/>
          <w:sz w:val="21"/>
          <w:szCs w:val="20"/>
        </w:rPr>
        <w:t>井为例）</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1E0"/>
      </w:tblPr>
      <w:tblGrid>
        <w:gridCol w:w="735"/>
        <w:gridCol w:w="1848"/>
        <w:gridCol w:w="3218"/>
        <w:gridCol w:w="912"/>
        <w:gridCol w:w="1813"/>
      </w:tblGrid>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b/>
                <w:kern w:val="2"/>
                <w:sz w:val="21"/>
              </w:rPr>
            </w:pPr>
            <w:r w:rsidRPr="00D630D1">
              <w:rPr>
                <w:rFonts w:ascii="Times New Roman" w:cs="Times New Roman"/>
                <w:b/>
                <w:kern w:val="2"/>
                <w:sz w:val="21"/>
              </w:rPr>
              <w:t>序号</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b/>
                <w:kern w:val="2"/>
                <w:sz w:val="21"/>
              </w:rPr>
            </w:pPr>
            <w:r w:rsidRPr="00D630D1">
              <w:rPr>
                <w:rFonts w:ascii="Times New Roman" w:cs="Times New Roman"/>
                <w:b/>
                <w:kern w:val="2"/>
                <w:sz w:val="21"/>
              </w:rPr>
              <w:t>名称</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b/>
                <w:kern w:val="2"/>
                <w:sz w:val="21"/>
              </w:rPr>
            </w:pPr>
            <w:r w:rsidRPr="00D630D1">
              <w:rPr>
                <w:rFonts w:ascii="Times New Roman" w:cs="Times New Roman"/>
                <w:b/>
                <w:kern w:val="2"/>
                <w:sz w:val="21"/>
              </w:rPr>
              <w:t>规格型号</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b/>
                <w:kern w:val="2"/>
                <w:sz w:val="21"/>
              </w:rPr>
            </w:pPr>
            <w:r w:rsidRPr="00D630D1">
              <w:rPr>
                <w:rFonts w:ascii="Times New Roman" w:cs="Times New Roman"/>
                <w:b/>
                <w:kern w:val="2"/>
                <w:sz w:val="21"/>
              </w:rPr>
              <w:t>数量</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b/>
                <w:kern w:val="2"/>
                <w:sz w:val="21"/>
              </w:rPr>
            </w:pPr>
            <w:r w:rsidRPr="00D630D1">
              <w:rPr>
                <w:rFonts w:ascii="Times New Roman" w:cs="Times New Roman"/>
                <w:b/>
                <w:kern w:val="2"/>
                <w:sz w:val="21"/>
              </w:rPr>
              <w:t>备注</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Φ88.9mm</w:t>
            </w:r>
            <w:r w:rsidRPr="00D630D1">
              <w:rPr>
                <w:rFonts w:ascii="Times New Roman" w:cs="Times New Roman"/>
                <w:kern w:val="2"/>
                <w:sz w:val="21"/>
              </w:rPr>
              <w:t>斜坡钻杆</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spacing w:val="6"/>
                <w:kern w:val="2"/>
                <w:sz w:val="21"/>
              </w:rPr>
              <w:t>G105</w:t>
            </w:r>
            <w:r w:rsidRPr="00D630D1">
              <w:rPr>
                <w:rFonts w:ascii="Times New Roman" w:cs="Times New Roman"/>
                <w:kern w:val="2"/>
                <w:sz w:val="21"/>
              </w:rPr>
              <w:t>壁厚</w:t>
            </w:r>
            <w:r w:rsidRPr="00D630D1">
              <w:rPr>
                <w:rFonts w:ascii="Times New Roman" w:cs="Times New Roman"/>
                <w:kern w:val="2"/>
                <w:sz w:val="21"/>
              </w:rPr>
              <w:t>9.35</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6500m</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处理井筒</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套管通井规</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lang w:val="el-GR"/>
              </w:rPr>
            </w:pPr>
            <w:r w:rsidRPr="00D630D1">
              <w:rPr>
                <w:rFonts w:ascii="Times New Roman" w:cs="Times New Roman"/>
                <w:kern w:val="2"/>
                <w:sz w:val="21"/>
                <w:lang w:val="el-GR"/>
              </w:rPr>
              <w:t>Φ1</w:t>
            </w:r>
            <w:r w:rsidRPr="00D630D1">
              <w:rPr>
                <w:rFonts w:ascii="Times New Roman" w:cs="Times New Roman"/>
                <w:kern w:val="2"/>
                <w:sz w:val="21"/>
              </w:rPr>
              <w:t>46mm×4m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r w:rsidRPr="00D630D1">
              <w:rPr>
                <w:rFonts w:ascii="Times New Roman" w:cs="Times New Roman"/>
                <w:kern w:val="2"/>
                <w:sz w:val="21"/>
              </w:rPr>
              <w:t>支</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3</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套管刮削器</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GX-T178</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r w:rsidRPr="00D630D1">
              <w:rPr>
                <w:rFonts w:ascii="Times New Roman" w:cs="Times New Roman"/>
                <w:kern w:val="2"/>
                <w:sz w:val="21"/>
              </w:rPr>
              <w:t>支</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4</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钻头</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牙轮、刮刀</w:t>
            </w:r>
            <w:r w:rsidRPr="00D630D1">
              <w:rPr>
                <w:rFonts w:ascii="Times New Roman" w:cs="Times New Roman"/>
                <w:kern w:val="2"/>
                <w:sz w:val="21"/>
              </w:rPr>
              <w:t>Φ149.2mm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各</w:t>
            </w:r>
            <w:r w:rsidRPr="00D630D1">
              <w:rPr>
                <w:rFonts w:ascii="Times New Roman" w:cs="Times New Roman"/>
                <w:kern w:val="2"/>
                <w:sz w:val="21"/>
              </w:rPr>
              <w:t>2</w:t>
            </w:r>
            <w:r w:rsidRPr="00D630D1">
              <w:rPr>
                <w:rFonts w:ascii="Times New Roman" w:cs="Times New Roman"/>
                <w:kern w:val="2"/>
                <w:sz w:val="21"/>
              </w:rPr>
              <w:t>支</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抗硫</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5</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加重钻杆</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Φ88.9mm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24</w:t>
            </w:r>
            <w:r w:rsidRPr="00D630D1">
              <w:rPr>
                <w:rFonts w:ascii="Times New Roman" w:cs="Times New Roman"/>
                <w:kern w:val="2"/>
                <w:sz w:val="21"/>
              </w:rPr>
              <w:t>根</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抗硫</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6</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钻铤</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Φ104.8mm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w:t>
            </w:r>
            <w:r w:rsidRPr="00D630D1">
              <w:rPr>
                <w:rFonts w:ascii="Times New Roman" w:cs="Times New Roman"/>
                <w:kern w:val="2"/>
                <w:sz w:val="21"/>
              </w:rPr>
              <w:t>根</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抗硫</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7</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无磁钻铤</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Φ120.7mm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w:t>
            </w:r>
            <w:r w:rsidRPr="00D630D1">
              <w:rPr>
                <w:rFonts w:ascii="Times New Roman" w:cs="Times New Roman"/>
                <w:kern w:val="2"/>
                <w:sz w:val="21"/>
              </w:rPr>
              <w:t>根</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抗硫</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8</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单弯螺杆</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1.25°  Φ120.7mm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w:t>
            </w:r>
            <w:r w:rsidRPr="00D630D1">
              <w:rPr>
                <w:rFonts w:ascii="Times New Roman" w:cs="Times New Roman"/>
                <w:kern w:val="2"/>
                <w:sz w:val="21"/>
              </w:rPr>
              <w:t>只</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抗硫</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9</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止回阀</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lang w:val="el-GR"/>
              </w:rPr>
              <w:t>Φ</w:t>
            </w:r>
            <w:r w:rsidRPr="00D630D1">
              <w:rPr>
                <w:rFonts w:ascii="Times New Roman" w:cs="Times New Roman"/>
                <w:kern w:val="2"/>
                <w:sz w:val="21"/>
              </w:rPr>
              <w:t>120.7mm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各</w:t>
            </w:r>
            <w:r w:rsidRPr="00D630D1">
              <w:rPr>
                <w:rFonts w:ascii="Times New Roman" w:cs="Times New Roman"/>
                <w:kern w:val="2"/>
                <w:sz w:val="21"/>
              </w:rPr>
              <w:t>2</w:t>
            </w:r>
            <w:r w:rsidRPr="00D630D1">
              <w:rPr>
                <w:rFonts w:ascii="Times New Roman" w:cs="Times New Roman"/>
                <w:kern w:val="2"/>
                <w:sz w:val="21"/>
              </w:rPr>
              <w:t>只</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抗硫</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10</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打捞震击器</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Φ120.7mm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r w:rsidRPr="00D630D1">
              <w:rPr>
                <w:rFonts w:ascii="Times New Roman" w:cs="Times New Roman"/>
                <w:kern w:val="2"/>
                <w:sz w:val="21"/>
              </w:rPr>
              <w:t>只</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抗硫</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lastRenderedPageBreak/>
              <w:t>11</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西瓜皮铣柱</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lang w:val="el-GR"/>
              </w:rPr>
            </w:pPr>
            <w:r w:rsidRPr="00D630D1">
              <w:rPr>
                <w:rFonts w:ascii="Times New Roman" w:cs="Times New Roman"/>
                <w:kern w:val="2"/>
                <w:sz w:val="21"/>
              </w:rPr>
              <w:t>Φ</w:t>
            </w:r>
            <w:r w:rsidRPr="00D630D1">
              <w:rPr>
                <w:rFonts w:ascii="Times New Roman" w:cs="Times New Roman"/>
                <w:kern w:val="2"/>
                <w:sz w:val="21"/>
                <w:lang w:val="el-GR"/>
              </w:rPr>
              <w:t>146</w:t>
            </w:r>
            <w:r w:rsidRPr="00D630D1">
              <w:rPr>
                <w:rFonts w:ascii="Times New Roman" w:cs="Times New Roman"/>
                <w:kern w:val="2"/>
                <w:sz w:val="21"/>
              </w:rPr>
              <w:t>mm</w:t>
            </w:r>
            <w:r w:rsidRPr="00D630D1">
              <w:rPr>
                <w:rFonts w:ascii="Times New Roman" w:cs="Times New Roman"/>
                <w:kern w:val="2"/>
                <w:sz w:val="21"/>
                <w:lang w:val="el-GR"/>
              </w:rPr>
              <w:t>×1.2</w:t>
            </w:r>
            <w:r w:rsidRPr="00D630D1">
              <w:rPr>
                <w:rFonts w:ascii="Times New Roman" w:cs="Times New Roman"/>
                <w:kern w:val="2"/>
                <w:sz w:val="21"/>
              </w:rPr>
              <w:t>m</w:t>
            </w:r>
            <w:r w:rsidRPr="00D630D1">
              <w:rPr>
                <w:rFonts w:ascii="Times New Roman" w:cs="Times New Roman"/>
                <w:kern w:val="2"/>
                <w:sz w:val="21"/>
                <w:lang w:val="el-GR"/>
              </w:rPr>
              <w:t>、</w:t>
            </w:r>
            <w:r w:rsidRPr="00D630D1">
              <w:rPr>
                <w:rFonts w:ascii="Times New Roman" w:cs="Times New Roman"/>
                <w:kern w:val="2"/>
                <w:sz w:val="21"/>
              </w:rPr>
              <w:t>Φ</w:t>
            </w:r>
            <w:r w:rsidRPr="00D630D1">
              <w:rPr>
                <w:rFonts w:ascii="Times New Roman" w:cs="Times New Roman"/>
                <w:kern w:val="2"/>
                <w:sz w:val="21"/>
                <w:lang w:val="el-GR"/>
              </w:rPr>
              <w:t>148</w:t>
            </w:r>
            <w:r w:rsidRPr="00D630D1">
              <w:rPr>
                <w:rFonts w:ascii="Times New Roman" w:cs="Times New Roman"/>
                <w:kern w:val="2"/>
                <w:sz w:val="21"/>
              </w:rPr>
              <w:t>mm</w:t>
            </w:r>
            <w:r w:rsidRPr="00D630D1">
              <w:rPr>
                <w:rFonts w:ascii="Times New Roman" w:cs="Times New Roman"/>
                <w:kern w:val="2"/>
                <w:sz w:val="21"/>
                <w:lang w:val="el-GR"/>
              </w:rPr>
              <w:t>×1.2</w:t>
            </w:r>
            <w:r w:rsidRPr="00D630D1">
              <w:rPr>
                <w:rFonts w:ascii="Times New Roman" w:cs="Times New Roman"/>
                <w:kern w:val="2"/>
                <w:sz w:val="21"/>
              </w:rPr>
              <w:t>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各</w:t>
            </w:r>
            <w:r w:rsidRPr="00D630D1">
              <w:rPr>
                <w:rFonts w:ascii="Times New Roman" w:cs="Times New Roman"/>
                <w:kern w:val="2"/>
                <w:sz w:val="21"/>
              </w:rPr>
              <w:t>2</w:t>
            </w:r>
            <w:r w:rsidRPr="00D630D1">
              <w:rPr>
                <w:rFonts w:ascii="Times New Roman" w:cs="Times New Roman"/>
                <w:kern w:val="2"/>
                <w:sz w:val="21"/>
              </w:rPr>
              <w:t>支</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12</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液压钳</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1200</w:t>
            </w:r>
            <w:r w:rsidRPr="00D630D1">
              <w:rPr>
                <w:rFonts w:ascii="Times New Roman" w:cs="Times New Roman"/>
                <w:kern w:val="2"/>
                <w:sz w:val="21"/>
              </w:rPr>
              <w:t>型、</w:t>
            </w:r>
            <w:r w:rsidRPr="00D630D1">
              <w:rPr>
                <w:rFonts w:ascii="Times New Roman" w:cs="Times New Roman"/>
                <w:kern w:val="2"/>
                <w:sz w:val="21"/>
              </w:rPr>
              <w:t>600</w:t>
            </w:r>
            <w:r w:rsidRPr="00D630D1">
              <w:rPr>
                <w:rFonts w:ascii="Times New Roman" w:cs="Times New Roman"/>
                <w:kern w:val="2"/>
                <w:sz w:val="21"/>
              </w:rPr>
              <w:t>型</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各</w:t>
            </w:r>
            <w:r w:rsidRPr="00D630D1">
              <w:rPr>
                <w:rFonts w:ascii="Times New Roman" w:cs="Times New Roman"/>
                <w:kern w:val="2"/>
                <w:sz w:val="21"/>
              </w:rPr>
              <w:t>1</w:t>
            </w:r>
            <w:r w:rsidRPr="00D630D1">
              <w:rPr>
                <w:rFonts w:ascii="Times New Roman" w:cs="Times New Roman"/>
                <w:kern w:val="2"/>
                <w:sz w:val="21"/>
              </w:rPr>
              <w:t>台</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13</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活门吊卡</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250</w:t>
            </w:r>
            <w:r w:rsidRPr="00D630D1">
              <w:rPr>
                <w:rFonts w:ascii="Times New Roman" w:cs="Times New Roman"/>
                <w:kern w:val="2"/>
                <w:sz w:val="21"/>
              </w:rPr>
              <w:t>吨（</w:t>
            </w:r>
            <w:r w:rsidRPr="00D630D1">
              <w:rPr>
                <w:rFonts w:ascii="Times New Roman" w:cs="Times New Roman"/>
                <w:kern w:val="2"/>
                <w:sz w:val="21"/>
              </w:rPr>
              <w:t>Φ88.9mm</w:t>
            </w:r>
            <w:r w:rsidRPr="00D630D1">
              <w:rPr>
                <w:rFonts w:ascii="Times New Roman" w:cs="Times New Roman"/>
                <w:kern w:val="2"/>
                <w:sz w:val="21"/>
              </w:rPr>
              <w:t>加厚、平式）</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各</w:t>
            </w:r>
            <w:r w:rsidRPr="00D630D1">
              <w:rPr>
                <w:rFonts w:ascii="Times New Roman" w:cs="Times New Roman"/>
                <w:kern w:val="2"/>
                <w:sz w:val="21"/>
              </w:rPr>
              <w:t>2</w:t>
            </w:r>
            <w:r w:rsidRPr="00D630D1">
              <w:rPr>
                <w:rFonts w:ascii="Times New Roman" w:cs="Times New Roman"/>
                <w:kern w:val="2"/>
                <w:sz w:val="21"/>
              </w:rPr>
              <w:t>只</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14</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扭角吊卡</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250</w:t>
            </w:r>
            <w:r w:rsidRPr="00D630D1">
              <w:rPr>
                <w:rFonts w:ascii="Times New Roman" w:cs="Times New Roman"/>
                <w:kern w:val="2"/>
                <w:sz w:val="21"/>
              </w:rPr>
              <w:t>吨（</w:t>
            </w:r>
            <w:r w:rsidRPr="00D630D1">
              <w:rPr>
                <w:rFonts w:ascii="Times New Roman" w:cs="Times New Roman"/>
                <w:kern w:val="2"/>
                <w:sz w:val="21"/>
              </w:rPr>
              <w:t>Φ88.9mm</w:t>
            </w:r>
            <w:r w:rsidRPr="00D630D1">
              <w:rPr>
                <w:rFonts w:ascii="Times New Roman" w:cs="Times New Roman"/>
                <w:kern w:val="2"/>
                <w:sz w:val="21"/>
              </w:rPr>
              <w:t>加厚）</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w:t>
            </w:r>
            <w:r w:rsidRPr="00D630D1">
              <w:rPr>
                <w:rFonts w:ascii="Times New Roman" w:cs="Times New Roman"/>
                <w:kern w:val="2"/>
                <w:sz w:val="21"/>
              </w:rPr>
              <w:t>只</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15</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卡盘</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250</w:t>
            </w:r>
            <w:r w:rsidRPr="00D630D1">
              <w:rPr>
                <w:rFonts w:ascii="Times New Roman" w:cs="Times New Roman"/>
                <w:kern w:val="2"/>
                <w:sz w:val="21"/>
              </w:rPr>
              <w:t>吨（</w:t>
            </w:r>
            <w:r w:rsidRPr="00D630D1">
              <w:rPr>
                <w:rFonts w:ascii="Times New Roman" w:cs="Times New Roman"/>
                <w:kern w:val="2"/>
                <w:sz w:val="21"/>
              </w:rPr>
              <w:t>Φ88.9mm</w:t>
            </w:r>
            <w:r w:rsidRPr="00D630D1">
              <w:rPr>
                <w:rFonts w:ascii="Times New Roman" w:cs="Times New Roman"/>
                <w:kern w:val="2"/>
                <w:sz w:val="21"/>
              </w:rPr>
              <w:t>）</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r w:rsidRPr="00D630D1">
              <w:rPr>
                <w:rFonts w:ascii="Times New Roman" w:cs="Times New Roman"/>
                <w:kern w:val="2"/>
                <w:sz w:val="21"/>
              </w:rPr>
              <w:t>套</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16</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微牙痕液压油管钳</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bCs/>
                <w:kern w:val="2"/>
                <w:sz w:val="21"/>
              </w:rPr>
              <w:t>8-5/8"</w:t>
            </w:r>
            <w:r w:rsidRPr="00D630D1">
              <w:rPr>
                <w:rFonts w:ascii="Times New Roman" w:cs="Times New Roman"/>
                <w:bCs/>
                <w:kern w:val="2"/>
                <w:sz w:val="21"/>
              </w:rPr>
              <w:t>，最大扭矩：</w:t>
            </w:r>
            <w:r w:rsidRPr="00D630D1">
              <w:rPr>
                <w:rFonts w:ascii="Times New Roman" w:cs="Times New Roman"/>
                <w:bCs/>
                <w:kern w:val="2"/>
                <w:sz w:val="21"/>
              </w:rPr>
              <w:t>45000N.M 1575mm×940mm×1699mm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r w:rsidRPr="00D630D1">
              <w:rPr>
                <w:rFonts w:ascii="Times New Roman" w:cs="Times New Roman"/>
                <w:kern w:val="2"/>
                <w:sz w:val="21"/>
              </w:rPr>
              <w:t>台</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bCs/>
                <w:kern w:val="2"/>
                <w:sz w:val="21"/>
              </w:rPr>
              <w:t>包括各种尺寸钳头、微牙痕牙板</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17</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合金油管吊卡</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Φ88.9mm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3</w:t>
            </w:r>
            <w:r w:rsidRPr="00D630D1">
              <w:rPr>
                <w:rFonts w:ascii="Times New Roman" w:cs="Times New Roman"/>
                <w:kern w:val="2"/>
                <w:sz w:val="21"/>
              </w:rPr>
              <w:t>台</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18</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摩擦钳</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Φ88.9mm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w:t>
            </w:r>
            <w:r w:rsidRPr="00D630D1">
              <w:rPr>
                <w:rFonts w:ascii="Times New Roman" w:cs="Times New Roman"/>
                <w:kern w:val="2"/>
                <w:sz w:val="21"/>
              </w:rPr>
              <w:t>把</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19</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布袋钳</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bCs/>
                <w:kern w:val="2"/>
                <w:sz w:val="21"/>
              </w:rPr>
            </w:pPr>
            <w:r w:rsidRPr="00D630D1">
              <w:rPr>
                <w:rFonts w:ascii="Times New Roman" w:cs="Times New Roman"/>
                <w:kern w:val="2"/>
                <w:sz w:val="21"/>
              </w:rPr>
              <w:t>Φ88.9mm</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w:t>
            </w:r>
            <w:r w:rsidRPr="00D630D1">
              <w:rPr>
                <w:rFonts w:ascii="Times New Roman" w:cs="Times New Roman"/>
                <w:kern w:val="2"/>
                <w:sz w:val="21"/>
              </w:rPr>
              <w:t>把</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20</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扭矩监测仪</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A150</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w:t>
            </w:r>
            <w:r w:rsidRPr="00D630D1">
              <w:rPr>
                <w:rFonts w:ascii="Times New Roman" w:cs="Times New Roman"/>
                <w:kern w:val="2"/>
                <w:sz w:val="21"/>
              </w:rPr>
              <w:t>台</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21</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传感器</w:t>
            </w:r>
          </w:p>
        </w:tc>
        <w:tc>
          <w:tcPr>
            <w:tcW w:w="1887"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5T</w:t>
            </w:r>
          </w:p>
        </w:tc>
        <w:tc>
          <w:tcPr>
            <w:tcW w:w="535"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w:t>
            </w:r>
            <w:r w:rsidRPr="00D630D1">
              <w:rPr>
                <w:rFonts w:ascii="Times New Roman" w:cs="Times New Roman"/>
                <w:kern w:val="2"/>
                <w:sz w:val="21"/>
              </w:rPr>
              <w:t>套</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22</w:t>
            </w:r>
          </w:p>
        </w:tc>
        <w:tc>
          <w:tcPr>
            <w:tcW w:w="108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液压动力站</w:t>
            </w:r>
          </w:p>
        </w:tc>
        <w:tc>
          <w:tcPr>
            <w:tcW w:w="1887"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Y250</w:t>
            </w:r>
            <w:r w:rsidRPr="00D630D1">
              <w:rPr>
                <w:rFonts w:ascii="Times New Roman" w:cs="Times New Roman"/>
                <w:bCs/>
                <w:kern w:val="2"/>
                <w:sz w:val="21"/>
              </w:rPr>
              <w:t>、</w:t>
            </w:r>
            <w:r w:rsidRPr="00D630D1">
              <w:rPr>
                <w:rFonts w:ascii="Times New Roman" w:cs="Times New Roman"/>
                <w:bCs/>
                <w:kern w:val="2"/>
                <w:sz w:val="21"/>
              </w:rPr>
              <w:t>37kW</w:t>
            </w:r>
            <w:r w:rsidRPr="00D630D1">
              <w:rPr>
                <w:rFonts w:ascii="Times New Roman" w:cs="Times New Roman"/>
                <w:bCs/>
                <w:kern w:val="2"/>
                <w:sz w:val="21"/>
              </w:rPr>
              <w:t>、</w:t>
            </w:r>
            <w:r w:rsidRPr="00D630D1">
              <w:rPr>
                <w:rFonts w:ascii="Times New Roman" w:cs="Times New Roman"/>
                <w:bCs/>
                <w:kern w:val="2"/>
                <w:sz w:val="21"/>
              </w:rPr>
              <w:t>380V</w:t>
            </w:r>
          </w:p>
        </w:tc>
        <w:tc>
          <w:tcPr>
            <w:tcW w:w="535"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1</w:t>
            </w:r>
            <w:r w:rsidRPr="00D630D1">
              <w:rPr>
                <w:rFonts w:ascii="Times New Roman" w:cs="Times New Roman"/>
                <w:bCs/>
                <w:kern w:val="2"/>
                <w:sz w:val="21"/>
              </w:rPr>
              <w:t>台</w:t>
            </w:r>
          </w:p>
        </w:tc>
        <w:tc>
          <w:tcPr>
            <w:tcW w:w="1064"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23</w:t>
            </w:r>
          </w:p>
        </w:tc>
        <w:tc>
          <w:tcPr>
            <w:tcW w:w="1084"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防碰胶垫</w:t>
            </w:r>
          </w:p>
        </w:tc>
        <w:tc>
          <w:tcPr>
            <w:tcW w:w="1887"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p>
        </w:tc>
        <w:tc>
          <w:tcPr>
            <w:tcW w:w="535"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若干</w:t>
            </w:r>
          </w:p>
        </w:tc>
        <w:tc>
          <w:tcPr>
            <w:tcW w:w="1064" w:type="pct"/>
            <w:vAlign w:val="center"/>
          </w:tcPr>
          <w:p w:rsidR="007E6F57" w:rsidRPr="00D630D1" w:rsidRDefault="007E6F57" w:rsidP="007E6F57">
            <w:pPr>
              <w:topLinePunct w:val="0"/>
              <w:snapToGrid w:val="0"/>
              <w:spacing w:line="240" w:lineRule="auto"/>
              <w:ind w:leftChars="-10" w:left="-3" w:hangingChars="10" w:hanging="21"/>
              <w:jc w:val="center"/>
              <w:rPr>
                <w:rFonts w:ascii="Times New Roman" w:cs="Times New Roman"/>
                <w:bCs/>
                <w:kern w:val="2"/>
                <w:sz w:val="21"/>
              </w:rPr>
            </w:pPr>
            <w:r w:rsidRPr="00D630D1">
              <w:rPr>
                <w:rFonts w:ascii="Times New Roman" w:cs="Times New Roman"/>
                <w:bCs/>
                <w:kern w:val="2"/>
                <w:sz w:val="21"/>
              </w:rPr>
              <w:t>钻机配套，保护钻台滑道</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24</w:t>
            </w:r>
          </w:p>
        </w:tc>
        <w:tc>
          <w:tcPr>
            <w:tcW w:w="1084"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鼠洞保护胶筒</w:t>
            </w:r>
          </w:p>
        </w:tc>
        <w:tc>
          <w:tcPr>
            <w:tcW w:w="1887"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7"</w:t>
            </w:r>
          </w:p>
        </w:tc>
        <w:tc>
          <w:tcPr>
            <w:tcW w:w="535"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1</w:t>
            </w:r>
            <w:r w:rsidRPr="00D630D1">
              <w:rPr>
                <w:rFonts w:ascii="Times New Roman" w:cs="Times New Roman"/>
                <w:bCs/>
                <w:kern w:val="2"/>
                <w:sz w:val="21"/>
              </w:rPr>
              <w:t>根</w:t>
            </w:r>
          </w:p>
        </w:tc>
        <w:tc>
          <w:tcPr>
            <w:tcW w:w="1064" w:type="pct"/>
            <w:vAlign w:val="center"/>
          </w:tcPr>
          <w:p w:rsidR="007E6F57" w:rsidRPr="00D630D1" w:rsidRDefault="007E6F57" w:rsidP="007E6F57">
            <w:pPr>
              <w:topLinePunct w:val="0"/>
              <w:snapToGrid w:val="0"/>
              <w:spacing w:line="240" w:lineRule="auto"/>
              <w:ind w:firstLineChars="34" w:firstLine="71"/>
              <w:jc w:val="center"/>
              <w:rPr>
                <w:rFonts w:ascii="Times New Roman" w:cs="Times New Roman"/>
                <w:bCs/>
                <w:kern w:val="2"/>
                <w:sz w:val="21"/>
              </w:rPr>
            </w:pP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25</w:t>
            </w:r>
          </w:p>
        </w:tc>
        <w:tc>
          <w:tcPr>
            <w:tcW w:w="1084"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泥浆压井液</w:t>
            </w:r>
          </w:p>
        </w:tc>
        <w:tc>
          <w:tcPr>
            <w:tcW w:w="1887"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kern w:val="2"/>
                <w:sz w:val="21"/>
              </w:rPr>
            </w:pPr>
          </w:p>
        </w:tc>
        <w:tc>
          <w:tcPr>
            <w:tcW w:w="535"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330m</w:t>
            </w:r>
            <w:r w:rsidRPr="00D630D1">
              <w:rPr>
                <w:rFonts w:ascii="Times New Roman" w:cs="Times New Roman"/>
                <w:bCs/>
                <w:kern w:val="2"/>
                <w:sz w:val="21"/>
                <w:vertAlign w:val="superscript"/>
              </w:rPr>
              <w:t>3</w:t>
            </w:r>
          </w:p>
        </w:tc>
        <w:tc>
          <w:tcPr>
            <w:tcW w:w="1064" w:type="pct"/>
            <w:vAlign w:val="center"/>
          </w:tcPr>
          <w:p w:rsidR="007E6F57" w:rsidRPr="00D630D1" w:rsidRDefault="007E6F57" w:rsidP="007E6F57">
            <w:pPr>
              <w:topLinePunct w:val="0"/>
              <w:snapToGrid w:val="0"/>
              <w:spacing w:line="240" w:lineRule="auto"/>
              <w:ind w:firstLineChars="34" w:firstLine="71"/>
              <w:jc w:val="center"/>
              <w:rPr>
                <w:rFonts w:ascii="Times New Roman" w:cs="Times New Roman"/>
                <w:bCs/>
                <w:kern w:val="2"/>
                <w:sz w:val="21"/>
              </w:rPr>
            </w:pPr>
            <w:r w:rsidRPr="00D630D1">
              <w:rPr>
                <w:rFonts w:ascii="Times New Roman" w:cs="Times New Roman"/>
                <w:bCs/>
                <w:kern w:val="2"/>
                <w:sz w:val="21"/>
              </w:rPr>
              <w:t>密度</w:t>
            </w:r>
            <w:r w:rsidRPr="00D630D1">
              <w:rPr>
                <w:rFonts w:ascii="Times New Roman" w:cs="Times New Roman"/>
                <w:bCs/>
                <w:kern w:val="2"/>
                <w:sz w:val="21"/>
              </w:rPr>
              <w:t>1.09g/cm</w:t>
            </w:r>
            <w:r w:rsidRPr="00D630D1">
              <w:rPr>
                <w:rFonts w:ascii="Times New Roman" w:cs="Times New Roman"/>
                <w:bCs/>
                <w:kern w:val="2"/>
                <w:sz w:val="21"/>
                <w:vertAlign w:val="superscript"/>
              </w:rPr>
              <w:t>3</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26</w:t>
            </w:r>
          </w:p>
        </w:tc>
        <w:tc>
          <w:tcPr>
            <w:tcW w:w="1084"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重浆</w:t>
            </w:r>
          </w:p>
        </w:tc>
        <w:tc>
          <w:tcPr>
            <w:tcW w:w="1887"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kern w:val="2"/>
                <w:sz w:val="21"/>
              </w:rPr>
            </w:pPr>
          </w:p>
        </w:tc>
        <w:tc>
          <w:tcPr>
            <w:tcW w:w="535"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250m</w:t>
            </w:r>
            <w:r w:rsidRPr="00D630D1">
              <w:rPr>
                <w:rFonts w:ascii="Times New Roman" w:cs="Times New Roman"/>
                <w:bCs/>
                <w:kern w:val="2"/>
                <w:sz w:val="21"/>
                <w:vertAlign w:val="superscript"/>
              </w:rPr>
              <w:t>3</w:t>
            </w:r>
          </w:p>
        </w:tc>
        <w:tc>
          <w:tcPr>
            <w:tcW w:w="1064" w:type="pct"/>
            <w:vAlign w:val="center"/>
          </w:tcPr>
          <w:p w:rsidR="007E6F57" w:rsidRPr="00D630D1" w:rsidRDefault="007E6F57" w:rsidP="007E6F57">
            <w:pPr>
              <w:topLinePunct w:val="0"/>
              <w:snapToGrid w:val="0"/>
              <w:spacing w:line="240" w:lineRule="auto"/>
              <w:ind w:firstLineChars="34" w:firstLine="71"/>
              <w:jc w:val="center"/>
              <w:rPr>
                <w:rFonts w:ascii="Times New Roman" w:cs="Times New Roman"/>
                <w:bCs/>
                <w:kern w:val="2"/>
                <w:sz w:val="21"/>
              </w:rPr>
            </w:pPr>
            <w:r w:rsidRPr="00D630D1">
              <w:rPr>
                <w:rFonts w:ascii="Times New Roman" w:cs="Times New Roman"/>
                <w:bCs/>
                <w:kern w:val="2"/>
                <w:sz w:val="21"/>
              </w:rPr>
              <w:t>密度</w:t>
            </w:r>
            <w:r w:rsidRPr="00D630D1">
              <w:rPr>
                <w:rFonts w:ascii="Times New Roman" w:cs="Times New Roman"/>
                <w:bCs/>
                <w:kern w:val="2"/>
                <w:sz w:val="21"/>
              </w:rPr>
              <w:t>1.29g/cm</w:t>
            </w:r>
            <w:r w:rsidRPr="00D630D1">
              <w:rPr>
                <w:rFonts w:ascii="Times New Roman" w:cs="Times New Roman"/>
                <w:bCs/>
                <w:kern w:val="2"/>
                <w:sz w:val="21"/>
                <w:vertAlign w:val="superscript"/>
              </w:rPr>
              <w:t>3</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27</w:t>
            </w:r>
          </w:p>
        </w:tc>
        <w:tc>
          <w:tcPr>
            <w:tcW w:w="1084"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环空保护液</w:t>
            </w:r>
          </w:p>
        </w:tc>
        <w:tc>
          <w:tcPr>
            <w:tcW w:w="1887"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kern w:val="2"/>
                <w:sz w:val="21"/>
              </w:rPr>
            </w:pPr>
          </w:p>
        </w:tc>
        <w:tc>
          <w:tcPr>
            <w:tcW w:w="535"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140m</w:t>
            </w:r>
            <w:r w:rsidRPr="00D630D1">
              <w:rPr>
                <w:rFonts w:ascii="Times New Roman" w:cs="Times New Roman"/>
                <w:bCs/>
                <w:kern w:val="2"/>
                <w:sz w:val="21"/>
                <w:vertAlign w:val="superscript"/>
              </w:rPr>
              <w:t>3</w:t>
            </w:r>
          </w:p>
        </w:tc>
        <w:tc>
          <w:tcPr>
            <w:tcW w:w="1064" w:type="pct"/>
            <w:vAlign w:val="center"/>
          </w:tcPr>
          <w:p w:rsidR="007E6F57" w:rsidRPr="00D630D1" w:rsidRDefault="007E6F57" w:rsidP="007E6F57">
            <w:pPr>
              <w:topLinePunct w:val="0"/>
              <w:snapToGrid w:val="0"/>
              <w:spacing w:line="240" w:lineRule="auto"/>
              <w:ind w:firstLineChars="34" w:firstLine="71"/>
              <w:jc w:val="center"/>
              <w:rPr>
                <w:rFonts w:ascii="Times New Roman" w:cs="Times New Roman"/>
                <w:bCs/>
                <w:kern w:val="2"/>
                <w:sz w:val="21"/>
              </w:rPr>
            </w:pPr>
            <w:r w:rsidRPr="00D630D1">
              <w:rPr>
                <w:rFonts w:ascii="Times New Roman" w:cs="Times New Roman"/>
                <w:bCs/>
                <w:kern w:val="2"/>
                <w:sz w:val="21"/>
              </w:rPr>
              <w:t>密度</w:t>
            </w:r>
            <w:r w:rsidRPr="00D630D1">
              <w:rPr>
                <w:rFonts w:ascii="Times New Roman" w:cs="Times New Roman"/>
                <w:bCs/>
                <w:kern w:val="2"/>
                <w:sz w:val="21"/>
              </w:rPr>
              <w:t>1.09g/cm</w:t>
            </w:r>
            <w:r w:rsidRPr="00D630D1">
              <w:rPr>
                <w:rFonts w:ascii="Times New Roman" w:cs="Times New Roman"/>
                <w:bCs/>
                <w:kern w:val="2"/>
                <w:sz w:val="21"/>
                <w:vertAlign w:val="superscript"/>
              </w:rPr>
              <w:t>3</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28</w:t>
            </w:r>
          </w:p>
        </w:tc>
        <w:tc>
          <w:tcPr>
            <w:tcW w:w="1084"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无固相压井液</w:t>
            </w:r>
          </w:p>
        </w:tc>
        <w:tc>
          <w:tcPr>
            <w:tcW w:w="1887"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kern w:val="2"/>
                <w:sz w:val="21"/>
              </w:rPr>
            </w:pPr>
          </w:p>
        </w:tc>
        <w:tc>
          <w:tcPr>
            <w:tcW w:w="535"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100m</w:t>
            </w:r>
            <w:r w:rsidRPr="00D630D1">
              <w:rPr>
                <w:rFonts w:ascii="Times New Roman" w:cs="Times New Roman"/>
                <w:bCs/>
                <w:kern w:val="2"/>
                <w:sz w:val="21"/>
                <w:vertAlign w:val="superscript"/>
              </w:rPr>
              <w:t>3</w:t>
            </w:r>
          </w:p>
        </w:tc>
        <w:tc>
          <w:tcPr>
            <w:tcW w:w="1064" w:type="pct"/>
            <w:vAlign w:val="center"/>
          </w:tcPr>
          <w:p w:rsidR="007E6F57" w:rsidRPr="00D630D1" w:rsidRDefault="007E6F57" w:rsidP="007E6F57">
            <w:pPr>
              <w:topLinePunct w:val="0"/>
              <w:snapToGrid w:val="0"/>
              <w:spacing w:line="240" w:lineRule="auto"/>
              <w:ind w:firstLineChars="34" w:firstLine="71"/>
              <w:jc w:val="center"/>
              <w:rPr>
                <w:rFonts w:ascii="Times New Roman" w:cs="Times New Roman"/>
                <w:bCs/>
                <w:kern w:val="2"/>
                <w:sz w:val="21"/>
              </w:rPr>
            </w:pPr>
            <w:r w:rsidRPr="00D630D1">
              <w:rPr>
                <w:rFonts w:ascii="Times New Roman" w:cs="Times New Roman"/>
                <w:bCs/>
                <w:kern w:val="2"/>
                <w:sz w:val="21"/>
              </w:rPr>
              <w:t>密度</w:t>
            </w:r>
            <w:r w:rsidRPr="00D630D1">
              <w:rPr>
                <w:rFonts w:ascii="Times New Roman" w:cs="Times New Roman"/>
                <w:bCs/>
                <w:kern w:val="2"/>
                <w:sz w:val="21"/>
              </w:rPr>
              <w:t>1.09g/cm</w:t>
            </w:r>
            <w:r w:rsidRPr="00D630D1">
              <w:rPr>
                <w:rFonts w:ascii="Times New Roman" w:cs="Times New Roman"/>
                <w:bCs/>
                <w:kern w:val="2"/>
                <w:sz w:val="21"/>
                <w:vertAlign w:val="superscript"/>
              </w:rPr>
              <w:t>3</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29</w:t>
            </w:r>
          </w:p>
        </w:tc>
        <w:tc>
          <w:tcPr>
            <w:tcW w:w="1084"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酸液</w:t>
            </w:r>
          </w:p>
        </w:tc>
        <w:tc>
          <w:tcPr>
            <w:tcW w:w="1887"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kern w:val="2"/>
                <w:sz w:val="21"/>
              </w:rPr>
            </w:pPr>
          </w:p>
        </w:tc>
        <w:tc>
          <w:tcPr>
            <w:tcW w:w="535"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700/180m</w:t>
            </w:r>
            <w:r w:rsidRPr="00D630D1">
              <w:rPr>
                <w:rFonts w:ascii="Times New Roman" w:cs="Times New Roman"/>
                <w:bCs/>
                <w:kern w:val="2"/>
                <w:sz w:val="21"/>
                <w:vertAlign w:val="superscript"/>
              </w:rPr>
              <w:t>3</w:t>
            </w:r>
          </w:p>
        </w:tc>
        <w:tc>
          <w:tcPr>
            <w:tcW w:w="1064" w:type="pct"/>
            <w:vAlign w:val="center"/>
          </w:tcPr>
          <w:p w:rsidR="007E6F57" w:rsidRPr="00D630D1" w:rsidRDefault="007E6F57" w:rsidP="007E6F57">
            <w:pPr>
              <w:topLinePunct w:val="0"/>
              <w:snapToGrid w:val="0"/>
              <w:spacing w:line="240" w:lineRule="auto"/>
              <w:ind w:firstLineChars="50" w:firstLine="105"/>
              <w:jc w:val="center"/>
              <w:rPr>
                <w:rFonts w:ascii="Times New Roman" w:cs="Times New Roman"/>
                <w:bCs/>
                <w:kern w:val="2"/>
                <w:sz w:val="21"/>
              </w:rPr>
            </w:pPr>
            <w:r w:rsidRPr="00D630D1">
              <w:rPr>
                <w:rFonts w:ascii="Times New Roman" w:cs="Times New Roman"/>
                <w:bCs/>
                <w:kern w:val="2"/>
                <w:sz w:val="21"/>
              </w:rPr>
              <w:t>前置酸</w:t>
            </w:r>
            <w:r w:rsidRPr="00D630D1">
              <w:rPr>
                <w:rFonts w:ascii="Times New Roman" w:cs="Times New Roman"/>
                <w:bCs/>
                <w:kern w:val="2"/>
                <w:sz w:val="21"/>
              </w:rPr>
              <w:t>/</w:t>
            </w:r>
            <w:r w:rsidRPr="00D630D1">
              <w:rPr>
                <w:rFonts w:ascii="Times New Roman" w:cs="Times New Roman"/>
                <w:bCs/>
                <w:kern w:val="2"/>
                <w:sz w:val="21"/>
              </w:rPr>
              <w:t>清洁酸</w:t>
            </w:r>
          </w:p>
        </w:tc>
      </w:tr>
      <w:tr w:rsidR="007E6F57" w:rsidRPr="00D630D1" w:rsidTr="007E6F57">
        <w:trPr>
          <w:cantSplit/>
          <w:trHeight w:val="20"/>
          <w:jc w:val="center"/>
        </w:trPr>
        <w:tc>
          <w:tcPr>
            <w:tcW w:w="431" w:type="pct"/>
            <w:vAlign w:val="center"/>
          </w:tcPr>
          <w:p w:rsidR="007E6F57" w:rsidRPr="00D630D1" w:rsidRDefault="007E6F57" w:rsidP="007E6F57">
            <w:pPr>
              <w:topLinePunct w:val="0"/>
              <w:autoSpaceDE w:val="0"/>
              <w:autoSpaceDN w:val="0"/>
              <w:snapToGrid w:val="0"/>
              <w:spacing w:line="240" w:lineRule="auto"/>
              <w:ind w:firstLineChars="0" w:firstLine="0"/>
              <w:jc w:val="center"/>
              <w:rPr>
                <w:rFonts w:ascii="Times New Roman" w:cs="Times New Roman"/>
                <w:kern w:val="2"/>
                <w:sz w:val="21"/>
              </w:rPr>
            </w:pPr>
            <w:r w:rsidRPr="00D630D1">
              <w:rPr>
                <w:rFonts w:ascii="Times New Roman" w:cs="Times New Roman"/>
                <w:kern w:val="2"/>
                <w:sz w:val="21"/>
              </w:rPr>
              <w:t>30</w:t>
            </w:r>
          </w:p>
        </w:tc>
        <w:tc>
          <w:tcPr>
            <w:tcW w:w="1084"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液氮</w:t>
            </w:r>
          </w:p>
        </w:tc>
        <w:tc>
          <w:tcPr>
            <w:tcW w:w="1887"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kern w:val="2"/>
                <w:sz w:val="21"/>
              </w:rPr>
            </w:pPr>
          </w:p>
        </w:tc>
        <w:tc>
          <w:tcPr>
            <w:tcW w:w="535" w:type="pct"/>
            <w:vAlign w:val="center"/>
          </w:tcPr>
          <w:p w:rsidR="007E6F57" w:rsidRPr="00D630D1" w:rsidRDefault="007E6F57" w:rsidP="007E6F57">
            <w:pPr>
              <w:topLinePunct w:val="0"/>
              <w:snapToGrid w:val="0"/>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40m</w:t>
            </w:r>
            <w:r w:rsidRPr="00D630D1">
              <w:rPr>
                <w:rFonts w:ascii="Times New Roman" w:cs="Times New Roman"/>
                <w:bCs/>
                <w:kern w:val="2"/>
                <w:sz w:val="21"/>
                <w:vertAlign w:val="superscript"/>
              </w:rPr>
              <w:t>3</w:t>
            </w:r>
          </w:p>
        </w:tc>
        <w:tc>
          <w:tcPr>
            <w:tcW w:w="1064" w:type="pct"/>
            <w:vAlign w:val="center"/>
          </w:tcPr>
          <w:p w:rsidR="007E6F57" w:rsidRPr="00D630D1" w:rsidRDefault="007E6F57" w:rsidP="007E6F57">
            <w:pPr>
              <w:topLinePunct w:val="0"/>
              <w:snapToGrid w:val="0"/>
              <w:spacing w:line="240" w:lineRule="auto"/>
              <w:ind w:firstLineChars="50" w:firstLine="105"/>
              <w:jc w:val="center"/>
              <w:rPr>
                <w:rFonts w:ascii="Times New Roman" w:cs="Times New Roman"/>
                <w:bCs/>
                <w:kern w:val="2"/>
                <w:sz w:val="21"/>
              </w:rPr>
            </w:pPr>
            <w:r w:rsidRPr="00D630D1">
              <w:rPr>
                <w:rFonts w:ascii="Times New Roman" w:cs="Times New Roman"/>
                <w:bCs/>
                <w:kern w:val="2"/>
                <w:sz w:val="21"/>
              </w:rPr>
              <w:t>储存量</w:t>
            </w:r>
            <w:r w:rsidRPr="00D630D1">
              <w:rPr>
                <w:rFonts w:ascii="Times New Roman" w:cs="Times New Roman"/>
                <w:bCs/>
                <w:kern w:val="2"/>
                <w:sz w:val="21"/>
              </w:rPr>
              <w:t>10m</w:t>
            </w:r>
            <w:r w:rsidRPr="00D630D1">
              <w:rPr>
                <w:rFonts w:ascii="Times New Roman" w:cs="Times New Roman"/>
                <w:bCs/>
                <w:kern w:val="2"/>
                <w:sz w:val="21"/>
                <w:vertAlign w:val="superscript"/>
              </w:rPr>
              <w:t>3</w:t>
            </w:r>
          </w:p>
        </w:tc>
      </w:tr>
    </w:tbl>
    <w:p w:rsidR="007E6F57" w:rsidRPr="00D630D1" w:rsidRDefault="007E6F57" w:rsidP="007E6F57">
      <w:pPr>
        <w:pStyle w:val="afa"/>
        <w:ind w:firstLineChars="83" w:firstLine="199"/>
        <w:jc w:val="center"/>
      </w:pPr>
    </w:p>
    <w:p w:rsidR="007E6F57" w:rsidRPr="00D630D1" w:rsidRDefault="007E6F57" w:rsidP="007E6F57">
      <w:pPr>
        <w:topLinePunct w:val="0"/>
        <w:snapToGrid w:val="0"/>
        <w:spacing w:line="331" w:lineRule="auto"/>
        <w:ind w:left="476" w:firstLineChars="0" w:firstLine="0"/>
        <w:rPr>
          <w:rFonts w:ascii="Times New Roman" w:cs="Times New Roman"/>
          <w:kern w:val="2"/>
        </w:rPr>
      </w:pPr>
      <w:r w:rsidRPr="00D630D1">
        <w:rPr>
          <w:rFonts w:ascii="Times New Roman" w:hAnsi="宋体" w:cs="Times New Roman"/>
          <w:kern w:val="2"/>
        </w:rPr>
        <w:t>（</w:t>
      </w:r>
      <w:r w:rsidRPr="00D630D1">
        <w:rPr>
          <w:rFonts w:ascii="Times New Roman" w:cs="Times New Roman"/>
          <w:kern w:val="2"/>
        </w:rPr>
        <w:t>4</w:t>
      </w:r>
      <w:r w:rsidRPr="00D630D1">
        <w:rPr>
          <w:rFonts w:ascii="Times New Roman" w:hAnsi="宋体" w:cs="Times New Roman"/>
          <w:kern w:val="2"/>
        </w:rPr>
        <w:t>）安装采气树</w:t>
      </w:r>
    </w:p>
    <w:p w:rsidR="007E6F57" w:rsidRPr="00D630D1" w:rsidRDefault="007E6F57" w:rsidP="007E6F57">
      <w:pPr>
        <w:topLinePunct w:val="0"/>
        <w:snapToGrid w:val="0"/>
        <w:ind w:firstLine="480"/>
        <w:rPr>
          <w:rFonts w:ascii="Times New Roman" w:cs="Times New Roman"/>
        </w:rPr>
      </w:pPr>
      <w:r w:rsidRPr="00D630D1">
        <w:rPr>
          <w:rFonts w:ascii="Times New Roman" w:cs="Times New Roman" w:hint="eastAsia"/>
          <w:kern w:val="2"/>
        </w:rPr>
        <w:t>安装采气树并进行试压。</w:t>
      </w:r>
      <w:r w:rsidRPr="00D630D1">
        <w:rPr>
          <w:rFonts w:ascii="Times New Roman" w:cs="Times New Roman"/>
          <w:kern w:val="2"/>
        </w:rPr>
        <w:t>依据压裂酸化排量及地面泵压预测结果</w:t>
      </w:r>
      <w:r w:rsidRPr="00D630D1">
        <w:rPr>
          <w:rFonts w:ascii="Times New Roman" w:cs="Times New Roman" w:hint="eastAsia"/>
          <w:kern w:val="2"/>
        </w:rPr>
        <w:t>（最高泵压</w:t>
      </w:r>
      <w:r w:rsidRPr="00D630D1">
        <w:rPr>
          <w:rFonts w:ascii="Times New Roman" w:cs="Times New Roman" w:hint="eastAsia"/>
          <w:kern w:val="2"/>
        </w:rPr>
        <w:t>65.15MPa</w:t>
      </w:r>
      <w:r w:rsidRPr="00D630D1">
        <w:rPr>
          <w:rFonts w:ascii="Times New Roman" w:cs="Times New Roman" w:hint="eastAsia"/>
          <w:kern w:val="2"/>
        </w:rPr>
        <w:t>）、地层压力（</w:t>
      </w:r>
      <w:r w:rsidRPr="00D630D1">
        <w:rPr>
          <w:rFonts w:ascii="Times New Roman" w:cs="Times New Roman" w:hint="eastAsia"/>
          <w:kern w:val="2"/>
        </w:rPr>
        <w:t>50.9MPa</w:t>
      </w:r>
      <w:r w:rsidRPr="00D630D1">
        <w:rPr>
          <w:rFonts w:ascii="Times New Roman" w:cs="Times New Roman" w:hint="eastAsia"/>
          <w:kern w:val="2"/>
        </w:rPr>
        <w:t>）</w:t>
      </w:r>
      <w:r w:rsidRPr="00D630D1">
        <w:rPr>
          <w:rFonts w:ascii="Times New Roman" w:cs="Times New Roman"/>
          <w:kern w:val="2"/>
        </w:rPr>
        <w:t>，选用</w:t>
      </w:r>
      <w:r w:rsidRPr="00D630D1">
        <w:rPr>
          <w:rFonts w:ascii="Times New Roman" w:cs="Times New Roman"/>
          <w:kern w:val="2"/>
        </w:rPr>
        <w:t>70MPa HH</w:t>
      </w:r>
      <w:r w:rsidRPr="00D630D1">
        <w:rPr>
          <w:rFonts w:ascii="Times New Roman" w:cs="Times New Roman"/>
          <w:kern w:val="2"/>
        </w:rPr>
        <w:t>级采气井口，双翼双阀结构，单翼生产，主</w:t>
      </w:r>
      <w:r w:rsidRPr="00D630D1">
        <w:rPr>
          <w:rFonts w:ascii="Times New Roman" w:cs="Times New Roman" w:hint="eastAsia"/>
          <w:kern w:val="2"/>
        </w:rPr>
        <w:t>、侧</w:t>
      </w:r>
      <w:r w:rsidRPr="00D630D1">
        <w:rPr>
          <w:rFonts w:ascii="Times New Roman" w:cs="Times New Roman"/>
          <w:kern w:val="2"/>
        </w:rPr>
        <w:t>通径</w:t>
      </w:r>
      <w:r w:rsidRPr="00D630D1">
        <w:rPr>
          <w:rFonts w:ascii="Times New Roman" w:cs="Times New Roman"/>
          <w:kern w:val="2"/>
        </w:rPr>
        <w:t>3-1/16″</w:t>
      </w:r>
      <w:r w:rsidRPr="00D630D1">
        <w:rPr>
          <w:rFonts w:ascii="Times New Roman" w:cs="Times New Roman"/>
          <w:kern w:val="2"/>
        </w:rPr>
        <w:t>，油管四通</w:t>
      </w:r>
      <w:r w:rsidRPr="00D630D1">
        <w:rPr>
          <w:rFonts w:ascii="Times New Roman" w:cs="Times New Roman"/>
          <w:kern w:val="2"/>
        </w:rPr>
        <w:t>70-70MPa</w:t>
      </w:r>
      <w:r w:rsidRPr="00D630D1">
        <w:rPr>
          <w:rFonts w:ascii="Times New Roman" w:cs="Times New Roman"/>
          <w:kern w:val="2"/>
        </w:rPr>
        <w:t>。</w:t>
      </w:r>
      <w:r w:rsidRPr="00D630D1">
        <w:rPr>
          <w:rFonts w:ascii="Times New Roman" w:cs="Times New Roman" w:hint="eastAsia"/>
          <w:kern w:val="2"/>
        </w:rPr>
        <w:t>主要设备见表</w:t>
      </w:r>
      <w:bookmarkStart w:id="158" w:name="OLE_LINK83"/>
      <w:bookmarkStart w:id="159" w:name="OLE_LINK84"/>
      <w:r w:rsidRPr="00D630D1">
        <w:rPr>
          <w:rFonts w:ascii="Times New Roman" w:cs="Times New Roman"/>
        </w:rPr>
        <w:t>3.4-</w:t>
      </w:r>
      <w:bookmarkEnd w:id="158"/>
      <w:bookmarkEnd w:id="159"/>
      <w:r w:rsidR="00AD59E9" w:rsidRPr="00D630D1">
        <w:rPr>
          <w:rFonts w:ascii="Times New Roman" w:cs="Times New Roman" w:hint="eastAsia"/>
        </w:rPr>
        <w:t>7</w:t>
      </w:r>
      <w:r w:rsidRPr="00D630D1">
        <w:rPr>
          <w:rFonts w:ascii="Times New Roman" w:cs="Times New Roman" w:hint="eastAsia"/>
          <w:kern w:val="2"/>
        </w:rPr>
        <w:t>。</w:t>
      </w:r>
    </w:p>
    <w:p w:rsidR="007E6F57" w:rsidRPr="00D630D1" w:rsidRDefault="007E6F57" w:rsidP="00F96E37">
      <w:pPr>
        <w:topLinePunct w:val="0"/>
        <w:snapToGrid w:val="0"/>
        <w:spacing w:beforeLines="50"/>
        <w:ind w:firstLineChars="0" w:firstLine="0"/>
        <w:jc w:val="center"/>
        <w:rPr>
          <w:rFonts w:ascii="Times New Roman" w:cs="Times New Roman"/>
          <w:b/>
          <w:kern w:val="2"/>
          <w:sz w:val="21"/>
          <w:szCs w:val="20"/>
        </w:rPr>
      </w:pPr>
      <w:bookmarkStart w:id="160" w:name="_Ref505766946"/>
      <w:r w:rsidRPr="00D630D1">
        <w:rPr>
          <w:rFonts w:ascii="Times New Roman" w:cs="Times New Roman"/>
          <w:b/>
          <w:kern w:val="2"/>
          <w:sz w:val="21"/>
          <w:szCs w:val="20"/>
        </w:rPr>
        <w:t>表</w:t>
      </w:r>
      <w:bookmarkEnd w:id="160"/>
      <w:r w:rsidRPr="00D630D1">
        <w:rPr>
          <w:rFonts w:ascii="Times New Roman" w:cs="Times New Roman"/>
          <w:b/>
          <w:kern w:val="2"/>
          <w:sz w:val="21"/>
          <w:szCs w:val="20"/>
        </w:rPr>
        <w:t>3.4-</w:t>
      </w:r>
      <w:r w:rsidR="00AD59E9" w:rsidRPr="00D630D1">
        <w:rPr>
          <w:rFonts w:ascii="Times New Roman" w:cs="Times New Roman" w:hint="eastAsia"/>
          <w:b/>
          <w:kern w:val="2"/>
          <w:sz w:val="21"/>
          <w:szCs w:val="20"/>
        </w:rPr>
        <w:t>7</w:t>
      </w:r>
      <w:r w:rsidRPr="00D630D1">
        <w:rPr>
          <w:rFonts w:ascii="Times New Roman" w:cs="Times New Roman"/>
          <w:b/>
          <w:kern w:val="2"/>
          <w:sz w:val="21"/>
          <w:szCs w:val="20"/>
        </w:rPr>
        <w:t xml:space="preserve">  </w:t>
      </w:r>
      <w:r w:rsidRPr="00D630D1">
        <w:rPr>
          <w:rFonts w:ascii="Times New Roman" w:cs="Times New Roman"/>
          <w:b/>
          <w:kern w:val="2"/>
          <w:sz w:val="21"/>
          <w:szCs w:val="20"/>
        </w:rPr>
        <w:t>采气主要设备一览表</w:t>
      </w:r>
      <w:r w:rsidR="00764475" w:rsidRPr="003C6AD6">
        <w:rPr>
          <w:rFonts w:ascii="Times New Roman" w:cs="Times New Roman" w:hint="eastAsia"/>
          <w:b/>
          <w:kern w:val="2"/>
          <w:sz w:val="21"/>
          <w:szCs w:val="20"/>
        </w:rPr>
        <w:t>（以普陆页</w:t>
      </w:r>
      <w:r w:rsidR="00764475" w:rsidRPr="003C6AD6">
        <w:rPr>
          <w:rFonts w:ascii="Times New Roman" w:cs="Times New Roman" w:hint="eastAsia"/>
          <w:b/>
          <w:kern w:val="2"/>
          <w:sz w:val="21"/>
          <w:szCs w:val="20"/>
        </w:rPr>
        <w:t>1-1</w:t>
      </w:r>
      <w:r w:rsidR="00764475" w:rsidRPr="003C6AD6">
        <w:rPr>
          <w:rFonts w:ascii="Times New Roman" w:cs="Times New Roman" w:hint="eastAsia"/>
          <w:b/>
          <w:kern w:val="2"/>
          <w:sz w:val="21"/>
          <w:szCs w:val="20"/>
        </w:rPr>
        <w:t>井为例）</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000"/>
      </w:tblPr>
      <w:tblGrid>
        <w:gridCol w:w="2237"/>
        <w:gridCol w:w="1248"/>
        <w:gridCol w:w="1319"/>
        <w:gridCol w:w="1319"/>
        <w:gridCol w:w="633"/>
        <w:gridCol w:w="1554"/>
      </w:tblGrid>
      <w:tr w:rsidR="007E6F57" w:rsidRPr="00D630D1" w:rsidTr="007E6F57">
        <w:trPr>
          <w:trHeight w:val="20"/>
          <w:jc w:val="center"/>
        </w:trPr>
        <w:tc>
          <w:tcPr>
            <w:tcW w:w="2444"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b/>
                <w:kern w:val="2"/>
                <w:sz w:val="21"/>
                <w:szCs w:val="21"/>
              </w:rPr>
            </w:pPr>
            <w:r w:rsidRPr="00D630D1">
              <w:rPr>
                <w:rFonts w:ascii="Times New Roman" w:cs="Times New Roman"/>
                <w:b/>
                <w:kern w:val="2"/>
                <w:sz w:val="21"/>
                <w:szCs w:val="21"/>
              </w:rPr>
              <w:t>名称</w:t>
            </w:r>
          </w:p>
        </w:tc>
        <w:tc>
          <w:tcPr>
            <w:tcW w:w="1361"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b/>
                <w:kern w:val="2"/>
                <w:sz w:val="21"/>
                <w:szCs w:val="21"/>
              </w:rPr>
            </w:pPr>
            <w:r w:rsidRPr="00D630D1">
              <w:rPr>
                <w:rFonts w:ascii="Times New Roman" w:cs="Times New Roman"/>
                <w:b/>
                <w:kern w:val="2"/>
                <w:sz w:val="21"/>
                <w:szCs w:val="21"/>
              </w:rPr>
              <w:t>型号规格</w:t>
            </w:r>
          </w:p>
        </w:tc>
        <w:tc>
          <w:tcPr>
            <w:tcW w:w="1435" w:type="dxa"/>
            <w:tcMar>
              <w:top w:w="0" w:type="dxa"/>
              <w:left w:w="28" w:type="dxa"/>
              <w:bottom w:w="0" w:type="dxa"/>
              <w:right w:w="28" w:type="dxa"/>
            </w:tcMar>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b/>
                <w:kern w:val="2"/>
                <w:sz w:val="21"/>
                <w:szCs w:val="21"/>
              </w:rPr>
            </w:pPr>
            <w:r w:rsidRPr="00D630D1">
              <w:rPr>
                <w:rFonts w:ascii="Times New Roman" w:cs="Times New Roman"/>
                <w:b/>
                <w:kern w:val="2"/>
                <w:sz w:val="21"/>
                <w:szCs w:val="21"/>
              </w:rPr>
              <w:t>压力级别</w:t>
            </w:r>
          </w:p>
        </w:tc>
        <w:tc>
          <w:tcPr>
            <w:tcW w:w="1435" w:type="dxa"/>
            <w:tcMar>
              <w:top w:w="0" w:type="dxa"/>
              <w:left w:w="28" w:type="dxa"/>
              <w:bottom w:w="0" w:type="dxa"/>
              <w:right w:w="28" w:type="dxa"/>
            </w:tcMar>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b/>
                <w:kern w:val="2"/>
                <w:sz w:val="21"/>
                <w:szCs w:val="21"/>
              </w:rPr>
            </w:pPr>
            <w:r w:rsidRPr="00D630D1">
              <w:rPr>
                <w:rFonts w:ascii="Times New Roman" w:cs="Times New Roman"/>
                <w:b/>
                <w:kern w:val="2"/>
                <w:sz w:val="21"/>
                <w:szCs w:val="21"/>
              </w:rPr>
              <w:t>材料级别</w:t>
            </w:r>
          </w:p>
        </w:tc>
        <w:tc>
          <w:tcPr>
            <w:tcW w:w="689"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b/>
                <w:kern w:val="2"/>
                <w:sz w:val="21"/>
                <w:szCs w:val="21"/>
              </w:rPr>
            </w:pPr>
            <w:r w:rsidRPr="00D630D1">
              <w:rPr>
                <w:rFonts w:ascii="Times New Roman" w:cs="Times New Roman"/>
                <w:b/>
                <w:kern w:val="2"/>
                <w:sz w:val="21"/>
                <w:szCs w:val="21"/>
              </w:rPr>
              <w:t>数量</w:t>
            </w:r>
          </w:p>
        </w:tc>
        <w:tc>
          <w:tcPr>
            <w:tcW w:w="1696"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b/>
                <w:kern w:val="2"/>
                <w:sz w:val="21"/>
                <w:szCs w:val="21"/>
              </w:rPr>
            </w:pPr>
            <w:r w:rsidRPr="00D630D1">
              <w:rPr>
                <w:rFonts w:ascii="Times New Roman" w:cs="Times New Roman"/>
                <w:b/>
                <w:kern w:val="2"/>
                <w:sz w:val="21"/>
                <w:szCs w:val="21"/>
              </w:rPr>
              <w:t>备注</w:t>
            </w:r>
          </w:p>
        </w:tc>
      </w:tr>
      <w:tr w:rsidR="007E6F57" w:rsidRPr="00D630D1" w:rsidTr="007E6F57">
        <w:trPr>
          <w:trHeight w:val="20"/>
          <w:jc w:val="center"/>
        </w:trPr>
        <w:tc>
          <w:tcPr>
            <w:tcW w:w="2444"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采气树</w:t>
            </w:r>
          </w:p>
        </w:tc>
        <w:tc>
          <w:tcPr>
            <w:tcW w:w="1361"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3-1/16″</w:t>
            </w:r>
          </w:p>
        </w:tc>
        <w:tc>
          <w:tcPr>
            <w:tcW w:w="1435" w:type="dxa"/>
            <w:tcMar>
              <w:top w:w="0" w:type="dxa"/>
              <w:left w:w="28" w:type="dxa"/>
              <w:bottom w:w="0" w:type="dxa"/>
              <w:right w:w="28" w:type="dxa"/>
            </w:tcMar>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70MPa</w:t>
            </w:r>
          </w:p>
        </w:tc>
        <w:tc>
          <w:tcPr>
            <w:tcW w:w="1435" w:type="dxa"/>
            <w:tcMar>
              <w:top w:w="0" w:type="dxa"/>
              <w:left w:w="28" w:type="dxa"/>
              <w:bottom w:w="0" w:type="dxa"/>
              <w:right w:w="28" w:type="dxa"/>
            </w:tcMar>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HH</w:t>
            </w:r>
            <w:r w:rsidRPr="00D630D1">
              <w:rPr>
                <w:rFonts w:ascii="Times New Roman" w:cs="Times New Roman"/>
                <w:kern w:val="2"/>
                <w:sz w:val="21"/>
                <w:szCs w:val="21"/>
              </w:rPr>
              <w:t>级</w:t>
            </w:r>
          </w:p>
        </w:tc>
        <w:tc>
          <w:tcPr>
            <w:tcW w:w="689"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套</w:t>
            </w:r>
          </w:p>
        </w:tc>
        <w:tc>
          <w:tcPr>
            <w:tcW w:w="1696"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带配件</w:t>
            </w:r>
          </w:p>
        </w:tc>
      </w:tr>
      <w:tr w:rsidR="007E6F57" w:rsidRPr="00D630D1" w:rsidTr="007E6F57">
        <w:trPr>
          <w:trHeight w:val="20"/>
          <w:jc w:val="center"/>
        </w:trPr>
        <w:tc>
          <w:tcPr>
            <w:tcW w:w="2444"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油管四通</w:t>
            </w:r>
          </w:p>
        </w:tc>
        <w:tc>
          <w:tcPr>
            <w:tcW w:w="1361"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p>
        </w:tc>
        <w:tc>
          <w:tcPr>
            <w:tcW w:w="1435" w:type="dxa"/>
            <w:tcMar>
              <w:top w:w="0" w:type="dxa"/>
              <w:left w:w="28" w:type="dxa"/>
              <w:bottom w:w="0" w:type="dxa"/>
              <w:right w:w="28" w:type="dxa"/>
            </w:tcMar>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70-70MPa</w:t>
            </w:r>
          </w:p>
        </w:tc>
        <w:tc>
          <w:tcPr>
            <w:tcW w:w="1435" w:type="dxa"/>
            <w:tcMar>
              <w:top w:w="0" w:type="dxa"/>
              <w:left w:w="28" w:type="dxa"/>
              <w:bottom w:w="0" w:type="dxa"/>
              <w:right w:w="28" w:type="dxa"/>
            </w:tcMar>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HH</w:t>
            </w:r>
            <w:r w:rsidRPr="00D630D1">
              <w:rPr>
                <w:rFonts w:ascii="Times New Roman" w:cs="Times New Roman"/>
                <w:kern w:val="2"/>
                <w:sz w:val="21"/>
                <w:szCs w:val="21"/>
              </w:rPr>
              <w:t>级</w:t>
            </w:r>
          </w:p>
        </w:tc>
        <w:tc>
          <w:tcPr>
            <w:tcW w:w="689"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套</w:t>
            </w:r>
          </w:p>
        </w:tc>
        <w:tc>
          <w:tcPr>
            <w:tcW w:w="1696"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p>
        </w:tc>
      </w:tr>
      <w:tr w:rsidR="007E6F57" w:rsidRPr="00D630D1" w:rsidTr="007E6F57">
        <w:trPr>
          <w:trHeight w:val="20"/>
          <w:jc w:val="center"/>
        </w:trPr>
        <w:tc>
          <w:tcPr>
            <w:tcW w:w="2444"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生产油管悬挂器</w:t>
            </w:r>
          </w:p>
        </w:tc>
        <w:tc>
          <w:tcPr>
            <w:tcW w:w="1361"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p>
        </w:tc>
        <w:tc>
          <w:tcPr>
            <w:tcW w:w="1435" w:type="dxa"/>
            <w:tcMar>
              <w:top w:w="0" w:type="dxa"/>
              <w:left w:w="28" w:type="dxa"/>
              <w:bottom w:w="0" w:type="dxa"/>
              <w:right w:w="28" w:type="dxa"/>
            </w:tcMar>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70MPa</w:t>
            </w:r>
          </w:p>
        </w:tc>
        <w:tc>
          <w:tcPr>
            <w:tcW w:w="1435" w:type="dxa"/>
            <w:tcMar>
              <w:top w:w="0" w:type="dxa"/>
              <w:left w:w="28" w:type="dxa"/>
              <w:bottom w:w="0" w:type="dxa"/>
              <w:right w:w="28" w:type="dxa"/>
            </w:tcMar>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lang w:val="pt-BR"/>
              </w:rPr>
            </w:pPr>
            <w:r w:rsidRPr="00D630D1">
              <w:rPr>
                <w:rFonts w:ascii="Times New Roman" w:cs="Times New Roman"/>
                <w:kern w:val="2"/>
                <w:sz w:val="21"/>
                <w:szCs w:val="21"/>
              </w:rPr>
              <w:t>HH</w:t>
            </w:r>
            <w:r w:rsidRPr="00D630D1">
              <w:rPr>
                <w:rFonts w:ascii="Times New Roman" w:cs="Times New Roman"/>
                <w:kern w:val="2"/>
                <w:sz w:val="21"/>
                <w:szCs w:val="21"/>
              </w:rPr>
              <w:t>级</w:t>
            </w:r>
          </w:p>
        </w:tc>
        <w:tc>
          <w:tcPr>
            <w:tcW w:w="689"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套</w:t>
            </w:r>
          </w:p>
        </w:tc>
        <w:tc>
          <w:tcPr>
            <w:tcW w:w="1696"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lang w:val="pt-BR"/>
              </w:rPr>
            </w:pPr>
            <w:r w:rsidRPr="00D630D1">
              <w:rPr>
                <w:rFonts w:ascii="Times New Roman" w:cs="Times New Roman"/>
                <w:kern w:val="2"/>
                <w:sz w:val="21"/>
                <w:szCs w:val="21"/>
                <w:lang w:val="pt-BR"/>
              </w:rPr>
              <w:t>带双公短节</w:t>
            </w:r>
          </w:p>
        </w:tc>
      </w:tr>
      <w:tr w:rsidR="007E6F57" w:rsidRPr="00D630D1" w:rsidTr="007E6F57">
        <w:trPr>
          <w:trHeight w:val="20"/>
          <w:jc w:val="center"/>
        </w:trPr>
        <w:tc>
          <w:tcPr>
            <w:tcW w:w="2444"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地面控制系统</w:t>
            </w:r>
          </w:p>
        </w:tc>
        <w:tc>
          <w:tcPr>
            <w:tcW w:w="1361"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p>
        </w:tc>
        <w:tc>
          <w:tcPr>
            <w:tcW w:w="1435" w:type="dxa"/>
            <w:tcMar>
              <w:top w:w="0" w:type="dxa"/>
              <w:left w:w="28" w:type="dxa"/>
              <w:bottom w:w="0" w:type="dxa"/>
              <w:right w:w="28" w:type="dxa"/>
            </w:tcMar>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p>
        </w:tc>
        <w:tc>
          <w:tcPr>
            <w:tcW w:w="1435" w:type="dxa"/>
            <w:tcMar>
              <w:top w:w="0" w:type="dxa"/>
              <w:left w:w="28" w:type="dxa"/>
              <w:bottom w:w="0" w:type="dxa"/>
              <w:right w:w="28" w:type="dxa"/>
            </w:tcMar>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p>
        </w:tc>
        <w:tc>
          <w:tcPr>
            <w:tcW w:w="689"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套</w:t>
            </w:r>
          </w:p>
        </w:tc>
        <w:tc>
          <w:tcPr>
            <w:tcW w:w="1696" w:type="dxa"/>
            <w:vAlign w:val="center"/>
          </w:tcPr>
          <w:p w:rsidR="007E6F57" w:rsidRPr="00D630D1" w:rsidRDefault="007E6F57" w:rsidP="007E6F57">
            <w:pPr>
              <w:topLinePunct w:val="0"/>
              <w:snapToGrid w:val="0"/>
              <w:spacing w:line="240" w:lineRule="auto"/>
              <w:ind w:firstLineChars="0" w:firstLine="0"/>
              <w:jc w:val="center"/>
              <w:textAlignment w:val="center"/>
              <w:rPr>
                <w:rFonts w:ascii="Times New Roman" w:cs="Times New Roman"/>
                <w:kern w:val="2"/>
                <w:sz w:val="21"/>
                <w:szCs w:val="21"/>
                <w:lang w:val="pt-BR"/>
              </w:rPr>
            </w:pPr>
          </w:p>
        </w:tc>
      </w:tr>
    </w:tbl>
    <w:p w:rsidR="007E6F57" w:rsidRPr="00D630D1" w:rsidRDefault="007E6F57" w:rsidP="007E6F57">
      <w:pPr>
        <w:topLinePunct w:val="0"/>
        <w:snapToGrid w:val="0"/>
        <w:spacing w:line="331" w:lineRule="auto"/>
        <w:ind w:left="476" w:firstLineChars="0" w:firstLine="0"/>
        <w:rPr>
          <w:rFonts w:ascii="Times New Roman" w:cs="Times New Roman"/>
          <w:kern w:val="2"/>
        </w:rPr>
      </w:pPr>
      <w:r w:rsidRPr="00D630D1">
        <w:rPr>
          <w:rFonts w:ascii="Times New Roman" w:hAnsi="宋体" w:cs="Times New Roman"/>
          <w:kern w:val="2"/>
        </w:rPr>
        <w:t>（</w:t>
      </w:r>
      <w:r w:rsidRPr="00D630D1">
        <w:rPr>
          <w:rFonts w:ascii="Times New Roman" w:cs="Times New Roman"/>
          <w:kern w:val="2"/>
        </w:rPr>
        <w:t>5</w:t>
      </w:r>
      <w:r w:rsidRPr="00D630D1">
        <w:rPr>
          <w:rFonts w:ascii="Times New Roman" w:hAnsi="宋体" w:cs="Times New Roman"/>
          <w:kern w:val="2"/>
        </w:rPr>
        <w:t>）压裂酸化</w:t>
      </w:r>
    </w:p>
    <w:p w:rsidR="007E6F57" w:rsidRDefault="007E6F57" w:rsidP="007E6F57">
      <w:pPr>
        <w:topLinePunct w:val="0"/>
        <w:snapToGrid w:val="0"/>
        <w:ind w:firstLine="480"/>
        <w:rPr>
          <w:rFonts w:ascii="Times New Roman" w:cs="Times New Roman"/>
          <w:kern w:val="2"/>
        </w:rPr>
      </w:pPr>
      <w:r w:rsidRPr="00D630D1">
        <w:rPr>
          <w:rFonts w:ascii="Times New Roman" w:cs="Times New Roman"/>
          <w:kern w:val="2"/>
        </w:rPr>
        <w:t>本项目采用分段压裂酸化改造，以达到均匀布酸、减少前期作业对储层的污染、沟通近井地带储集空间的目标。酸液采用清洁酸，主要成分为水、盐酸和醋酸，</w:t>
      </w:r>
      <w:r w:rsidR="00D23958">
        <w:rPr>
          <w:rFonts w:ascii="Times New Roman" w:cs="Times New Roman" w:hint="eastAsia"/>
          <w:kern w:val="2"/>
        </w:rPr>
        <w:t>单井</w:t>
      </w:r>
      <w:r w:rsidRPr="00D630D1">
        <w:rPr>
          <w:rFonts w:ascii="Times New Roman" w:cs="Times New Roman"/>
          <w:kern w:val="2"/>
        </w:rPr>
        <w:t>设计用酸总量</w:t>
      </w:r>
      <w:r w:rsidRPr="00D630D1">
        <w:rPr>
          <w:rFonts w:ascii="Times New Roman" w:cs="Times New Roman"/>
          <w:kern w:val="2"/>
        </w:rPr>
        <w:t>600m</w:t>
      </w:r>
      <w:r w:rsidRPr="00D630D1">
        <w:rPr>
          <w:rFonts w:ascii="Times New Roman" w:cs="Times New Roman"/>
          <w:kern w:val="2"/>
          <w:vertAlign w:val="superscript"/>
        </w:rPr>
        <w:t>3</w:t>
      </w:r>
      <w:r w:rsidR="00BB75E0">
        <w:rPr>
          <w:rFonts w:ascii="Times New Roman" w:cs="Times New Roman" w:hint="eastAsia"/>
          <w:bCs/>
          <w:kern w:val="2"/>
        </w:rPr>
        <w:t>，</w:t>
      </w:r>
      <w:r w:rsidR="00BB75E0" w:rsidRPr="00D26A12">
        <w:rPr>
          <w:rFonts w:ascii="Times New Roman" w:hAnsi="宋体" w:cs="Times New Roman" w:hint="eastAsia"/>
          <w:kern w:val="2"/>
        </w:rPr>
        <w:t>普陆页</w:t>
      </w:r>
      <w:r w:rsidR="00BB75E0" w:rsidRPr="00D26A12">
        <w:rPr>
          <w:rFonts w:ascii="Times New Roman" w:hAnsi="宋体" w:cs="Times New Roman" w:hint="eastAsia"/>
          <w:kern w:val="2"/>
        </w:rPr>
        <w:t>1-1~6</w:t>
      </w:r>
      <w:r w:rsidR="00BB75E0">
        <w:rPr>
          <w:rFonts w:ascii="Times New Roman" w:hAnsi="宋体" w:cs="Times New Roman" w:hint="eastAsia"/>
          <w:kern w:val="2"/>
        </w:rPr>
        <w:t>井总用量为</w:t>
      </w:r>
      <w:r w:rsidR="00BB75E0">
        <w:rPr>
          <w:rFonts w:ascii="Times New Roman" w:hAnsi="宋体" w:cs="Times New Roman" w:hint="eastAsia"/>
          <w:kern w:val="2"/>
        </w:rPr>
        <w:t>3600</w:t>
      </w:r>
      <w:r w:rsidR="00BB75E0" w:rsidRPr="00D630D1">
        <w:rPr>
          <w:rFonts w:ascii="Times New Roman" w:cs="Times New Roman"/>
          <w:kern w:val="2"/>
        </w:rPr>
        <w:t>m</w:t>
      </w:r>
      <w:r w:rsidR="00BB75E0" w:rsidRPr="00D630D1">
        <w:rPr>
          <w:rFonts w:ascii="Times New Roman" w:cs="Times New Roman"/>
          <w:kern w:val="2"/>
          <w:vertAlign w:val="superscript"/>
        </w:rPr>
        <w:t>3</w:t>
      </w:r>
      <w:r w:rsidR="00BB75E0" w:rsidRPr="00D630D1">
        <w:rPr>
          <w:rFonts w:ascii="Times New Roman" w:hAnsi="宋体" w:cs="Times New Roman"/>
          <w:kern w:val="2"/>
        </w:rPr>
        <w:t>，</w:t>
      </w:r>
      <w:r w:rsidRPr="00D630D1">
        <w:rPr>
          <w:rFonts w:ascii="Times New Roman" w:cs="Times New Roman"/>
          <w:bCs/>
          <w:kern w:val="2"/>
        </w:rPr>
        <w:t>压裂酸化设备见</w:t>
      </w:r>
      <w:r w:rsidRPr="00D630D1">
        <w:rPr>
          <w:rFonts w:ascii="Times New Roman" w:cs="Times New Roman" w:hint="eastAsia"/>
          <w:kern w:val="2"/>
        </w:rPr>
        <w:t>表</w:t>
      </w:r>
      <w:bookmarkStart w:id="161" w:name="OLE_LINK85"/>
      <w:bookmarkStart w:id="162" w:name="OLE_LINK86"/>
      <w:r w:rsidRPr="00D630D1">
        <w:rPr>
          <w:rFonts w:ascii="Times New Roman" w:cs="Times New Roman"/>
        </w:rPr>
        <w:t>3.4-</w:t>
      </w:r>
      <w:bookmarkEnd w:id="161"/>
      <w:bookmarkEnd w:id="162"/>
      <w:r w:rsidR="00AD59E9" w:rsidRPr="00D630D1">
        <w:rPr>
          <w:rFonts w:ascii="Times New Roman" w:cs="Times New Roman" w:hint="eastAsia"/>
        </w:rPr>
        <w:t>8</w:t>
      </w:r>
      <w:r w:rsidRPr="00D630D1">
        <w:rPr>
          <w:rFonts w:ascii="Times New Roman" w:cs="Times New Roman" w:hint="eastAsia"/>
          <w:kern w:val="2"/>
        </w:rPr>
        <w:t>。</w:t>
      </w:r>
    </w:p>
    <w:p w:rsidR="00BB75E0" w:rsidRPr="00BB75E0" w:rsidRDefault="00BB75E0" w:rsidP="007E6F57">
      <w:pPr>
        <w:topLinePunct w:val="0"/>
        <w:snapToGrid w:val="0"/>
        <w:ind w:firstLine="480"/>
        <w:rPr>
          <w:rFonts w:ascii="Times New Roman" w:cs="Times New Roman"/>
        </w:rPr>
      </w:pPr>
    </w:p>
    <w:p w:rsidR="007E6F57" w:rsidRPr="00D630D1" w:rsidRDefault="007E6F57" w:rsidP="00F96E37">
      <w:pPr>
        <w:topLinePunct w:val="0"/>
        <w:snapToGrid w:val="0"/>
        <w:spacing w:beforeLines="50"/>
        <w:ind w:firstLineChars="0" w:firstLine="0"/>
        <w:jc w:val="center"/>
        <w:rPr>
          <w:rFonts w:ascii="Times New Roman" w:cs="Times New Roman"/>
          <w:b/>
          <w:kern w:val="2"/>
          <w:sz w:val="21"/>
          <w:szCs w:val="21"/>
        </w:rPr>
      </w:pPr>
      <w:bookmarkStart w:id="163" w:name="_Ref505766585"/>
      <w:r w:rsidRPr="00D630D1">
        <w:rPr>
          <w:rFonts w:ascii="Times New Roman" w:cs="Times New Roman"/>
          <w:b/>
          <w:kern w:val="2"/>
          <w:sz w:val="21"/>
          <w:szCs w:val="21"/>
        </w:rPr>
        <w:t>表</w:t>
      </w:r>
      <w:bookmarkEnd w:id="163"/>
      <w:r w:rsidRPr="00D630D1">
        <w:rPr>
          <w:rFonts w:ascii="Times New Roman" w:cs="Times New Roman"/>
          <w:b/>
          <w:sz w:val="21"/>
          <w:szCs w:val="21"/>
        </w:rPr>
        <w:t>3.4-</w:t>
      </w:r>
      <w:r w:rsidR="00AD59E9" w:rsidRPr="00D630D1">
        <w:rPr>
          <w:rFonts w:ascii="Times New Roman" w:cs="Times New Roman" w:hint="eastAsia"/>
          <w:b/>
          <w:sz w:val="21"/>
          <w:szCs w:val="21"/>
        </w:rPr>
        <w:t>8</w:t>
      </w:r>
      <w:r w:rsidRPr="00D630D1">
        <w:rPr>
          <w:rFonts w:ascii="Times New Roman" w:cs="Times New Roman"/>
          <w:b/>
          <w:kern w:val="2"/>
          <w:sz w:val="21"/>
          <w:szCs w:val="21"/>
        </w:rPr>
        <w:t xml:space="preserve">  </w:t>
      </w:r>
      <w:r w:rsidRPr="00D630D1">
        <w:rPr>
          <w:rFonts w:ascii="Times New Roman" w:cs="Times New Roman"/>
          <w:b/>
          <w:kern w:val="2"/>
          <w:sz w:val="21"/>
          <w:szCs w:val="21"/>
        </w:rPr>
        <w:t>压裂酸化设备一览表</w:t>
      </w:r>
      <w:r w:rsidR="00764475" w:rsidRPr="003C6AD6">
        <w:rPr>
          <w:rFonts w:ascii="Times New Roman" w:cs="Times New Roman" w:hint="eastAsia"/>
          <w:b/>
          <w:kern w:val="2"/>
          <w:sz w:val="21"/>
          <w:szCs w:val="20"/>
        </w:rPr>
        <w:t>（以普陆页</w:t>
      </w:r>
      <w:r w:rsidR="00764475" w:rsidRPr="003C6AD6">
        <w:rPr>
          <w:rFonts w:ascii="Times New Roman" w:cs="Times New Roman" w:hint="eastAsia"/>
          <w:b/>
          <w:kern w:val="2"/>
          <w:sz w:val="21"/>
          <w:szCs w:val="20"/>
        </w:rPr>
        <w:t>1-1</w:t>
      </w:r>
      <w:r w:rsidR="00764475" w:rsidRPr="003C6AD6">
        <w:rPr>
          <w:rFonts w:ascii="Times New Roman" w:cs="Times New Roman" w:hint="eastAsia"/>
          <w:b/>
          <w:kern w:val="2"/>
          <w:sz w:val="21"/>
          <w:szCs w:val="20"/>
        </w:rPr>
        <w:t>井为例）</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CellMar>
          <w:left w:w="10" w:type="dxa"/>
          <w:right w:w="10" w:type="dxa"/>
        </w:tblCellMar>
        <w:tblLook w:val="0000"/>
      </w:tblPr>
      <w:tblGrid>
        <w:gridCol w:w="612"/>
        <w:gridCol w:w="1543"/>
        <w:gridCol w:w="611"/>
        <w:gridCol w:w="611"/>
        <w:gridCol w:w="4953"/>
      </w:tblGrid>
      <w:tr w:rsidR="007E6F57" w:rsidRPr="00D630D1" w:rsidTr="007E6F57">
        <w:trPr>
          <w:cantSplit/>
          <w:trHeight w:val="20"/>
          <w:jc w:val="center"/>
        </w:trPr>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b/>
                <w:kern w:val="2"/>
                <w:sz w:val="21"/>
              </w:rPr>
            </w:pPr>
            <w:r w:rsidRPr="00D630D1">
              <w:rPr>
                <w:rFonts w:ascii="Times New Roman" w:cs="Times New Roman"/>
                <w:b/>
                <w:kern w:val="2"/>
                <w:sz w:val="21"/>
                <w:lang w:val="zh-CN"/>
              </w:rPr>
              <w:lastRenderedPageBreak/>
              <w:t>序号</w:t>
            </w:r>
          </w:p>
        </w:tc>
        <w:tc>
          <w:tcPr>
            <w:tcW w:w="926"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b/>
                <w:kern w:val="2"/>
                <w:sz w:val="21"/>
              </w:rPr>
            </w:pPr>
            <w:r w:rsidRPr="00D630D1">
              <w:rPr>
                <w:rFonts w:ascii="Times New Roman" w:cs="Times New Roman"/>
                <w:b/>
                <w:kern w:val="2"/>
                <w:sz w:val="21"/>
                <w:lang w:val="zh-CN"/>
              </w:rPr>
              <w:t>设备名称</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b/>
                <w:kern w:val="2"/>
                <w:sz w:val="21"/>
              </w:rPr>
            </w:pPr>
            <w:r w:rsidRPr="00D630D1">
              <w:rPr>
                <w:rFonts w:ascii="Times New Roman" w:cs="Times New Roman"/>
                <w:b/>
                <w:kern w:val="2"/>
                <w:sz w:val="21"/>
                <w:lang w:val="zh-CN"/>
              </w:rPr>
              <w:t>单位</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b/>
                <w:kern w:val="2"/>
                <w:sz w:val="21"/>
              </w:rPr>
            </w:pPr>
            <w:r w:rsidRPr="00D630D1">
              <w:rPr>
                <w:rFonts w:ascii="Times New Roman" w:cs="Times New Roman"/>
                <w:b/>
                <w:kern w:val="2"/>
                <w:sz w:val="21"/>
                <w:lang w:val="zh-CN"/>
              </w:rPr>
              <w:t>数量</w:t>
            </w:r>
          </w:p>
        </w:tc>
        <w:tc>
          <w:tcPr>
            <w:tcW w:w="2973"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b/>
                <w:kern w:val="2"/>
                <w:sz w:val="21"/>
              </w:rPr>
            </w:pPr>
            <w:r w:rsidRPr="00D630D1">
              <w:rPr>
                <w:rFonts w:ascii="Times New Roman" w:cs="Times New Roman"/>
                <w:b/>
                <w:kern w:val="2"/>
                <w:sz w:val="21"/>
                <w:lang w:val="zh-CN"/>
              </w:rPr>
              <w:t>备注</w:t>
            </w:r>
          </w:p>
        </w:tc>
      </w:tr>
      <w:tr w:rsidR="007E6F57" w:rsidRPr="00D630D1" w:rsidTr="007E6F57">
        <w:trPr>
          <w:cantSplit/>
          <w:trHeight w:val="20"/>
          <w:jc w:val="center"/>
        </w:trPr>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p>
        </w:tc>
        <w:tc>
          <w:tcPr>
            <w:tcW w:w="926"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压裂泵车</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台</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p>
        </w:tc>
        <w:tc>
          <w:tcPr>
            <w:tcW w:w="2973"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满足改造需要</w:t>
            </w:r>
          </w:p>
        </w:tc>
      </w:tr>
      <w:tr w:rsidR="007E6F57" w:rsidRPr="00D630D1" w:rsidTr="007E6F57">
        <w:trPr>
          <w:cantSplit/>
          <w:trHeight w:val="20"/>
          <w:jc w:val="center"/>
        </w:trPr>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2</w:t>
            </w:r>
          </w:p>
        </w:tc>
        <w:tc>
          <w:tcPr>
            <w:tcW w:w="926"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仪表车</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台</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p>
        </w:tc>
        <w:tc>
          <w:tcPr>
            <w:tcW w:w="2973"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3</w:t>
            </w:r>
          </w:p>
        </w:tc>
        <w:tc>
          <w:tcPr>
            <w:tcW w:w="926"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管汇车</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台</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p>
        </w:tc>
        <w:tc>
          <w:tcPr>
            <w:tcW w:w="2973"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4</w:t>
            </w:r>
          </w:p>
        </w:tc>
        <w:tc>
          <w:tcPr>
            <w:tcW w:w="926"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撬装酸泵</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台</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2</w:t>
            </w:r>
          </w:p>
        </w:tc>
        <w:tc>
          <w:tcPr>
            <w:tcW w:w="2973"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满足酸液配制及大排量循环需要</w:t>
            </w:r>
          </w:p>
        </w:tc>
      </w:tr>
      <w:tr w:rsidR="007E6F57" w:rsidRPr="00D630D1" w:rsidTr="007E6F57">
        <w:trPr>
          <w:cantSplit/>
          <w:trHeight w:val="20"/>
          <w:jc w:val="center"/>
        </w:trPr>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w:t>
            </w:r>
          </w:p>
        </w:tc>
        <w:tc>
          <w:tcPr>
            <w:tcW w:w="926"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灌注泵</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台</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p>
        </w:tc>
        <w:tc>
          <w:tcPr>
            <w:tcW w:w="2973"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w:t>
            </w:r>
          </w:p>
        </w:tc>
        <w:tc>
          <w:tcPr>
            <w:tcW w:w="926"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700</w:t>
            </w:r>
            <w:r w:rsidRPr="00D630D1">
              <w:rPr>
                <w:rFonts w:ascii="Times New Roman" w:cs="Times New Roman"/>
                <w:kern w:val="2"/>
                <w:sz w:val="21"/>
                <w:lang w:val="zh-CN"/>
              </w:rPr>
              <w:t>型平衡泵车</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台</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p>
        </w:tc>
        <w:tc>
          <w:tcPr>
            <w:tcW w:w="2973"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打平衡用</w:t>
            </w:r>
          </w:p>
        </w:tc>
      </w:tr>
      <w:tr w:rsidR="007E6F57" w:rsidRPr="00D630D1" w:rsidTr="007E6F57">
        <w:trPr>
          <w:cantSplit/>
          <w:trHeight w:val="20"/>
          <w:jc w:val="center"/>
        </w:trPr>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7</w:t>
            </w:r>
          </w:p>
        </w:tc>
        <w:tc>
          <w:tcPr>
            <w:tcW w:w="926"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酸罐</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具</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p>
        </w:tc>
        <w:tc>
          <w:tcPr>
            <w:tcW w:w="2973"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满足施工要求</w:t>
            </w:r>
          </w:p>
        </w:tc>
      </w:tr>
      <w:tr w:rsidR="007E6F57" w:rsidRPr="00D630D1" w:rsidTr="007E6F57">
        <w:trPr>
          <w:cantSplit/>
          <w:trHeight w:val="20"/>
          <w:jc w:val="center"/>
        </w:trPr>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8</w:t>
            </w:r>
          </w:p>
        </w:tc>
        <w:tc>
          <w:tcPr>
            <w:tcW w:w="926"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液罐</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具</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p>
        </w:tc>
        <w:tc>
          <w:tcPr>
            <w:tcW w:w="2973"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满足施工要求，</w:t>
            </w:r>
            <w:r w:rsidRPr="00D630D1">
              <w:rPr>
                <w:rFonts w:ascii="Times New Roman" w:cs="Times New Roman"/>
                <w:kern w:val="2"/>
                <w:sz w:val="21"/>
              </w:rPr>
              <w:t>活性水</w:t>
            </w:r>
          </w:p>
        </w:tc>
      </w:tr>
      <w:tr w:rsidR="007E6F57" w:rsidRPr="00D630D1" w:rsidTr="007E6F57">
        <w:trPr>
          <w:cantSplit/>
          <w:trHeight w:val="20"/>
          <w:jc w:val="center"/>
        </w:trPr>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9</w:t>
            </w:r>
          </w:p>
        </w:tc>
        <w:tc>
          <w:tcPr>
            <w:tcW w:w="926"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随车吊</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台</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p>
        </w:tc>
        <w:tc>
          <w:tcPr>
            <w:tcW w:w="2973"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10</w:t>
            </w:r>
          </w:p>
        </w:tc>
        <w:tc>
          <w:tcPr>
            <w:tcW w:w="926"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30t</w:t>
            </w:r>
            <w:r w:rsidRPr="00D630D1">
              <w:rPr>
                <w:rFonts w:ascii="Times New Roman" w:cs="Times New Roman"/>
                <w:kern w:val="2"/>
                <w:sz w:val="21"/>
                <w:lang w:val="zh-CN"/>
              </w:rPr>
              <w:t>吊车</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台</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p>
        </w:tc>
        <w:tc>
          <w:tcPr>
            <w:tcW w:w="2973"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p>
        </w:tc>
      </w:tr>
      <w:tr w:rsidR="007E6F57" w:rsidRPr="00D630D1" w:rsidTr="007E6F57">
        <w:trPr>
          <w:cantSplit/>
          <w:trHeight w:val="20"/>
          <w:jc w:val="center"/>
        </w:trPr>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11</w:t>
            </w:r>
          </w:p>
        </w:tc>
        <w:tc>
          <w:tcPr>
            <w:tcW w:w="926"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液氮泵车</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lang w:val="zh-CN"/>
              </w:rPr>
            </w:pPr>
            <w:r w:rsidRPr="00D630D1">
              <w:rPr>
                <w:rFonts w:ascii="Times New Roman" w:cs="Times New Roman"/>
                <w:kern w:val="2"/>
                <w:sz w:val="21"/>
                <w:lang w:val="zh-CN"/>
              </w:rPr>
              <w:t>台</w:t>
            </w:r>
          </w:p>
        </w:tc>
        <w:tc>
          <w:tcPr>
            <w:tcW w:w="367"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1</w:t>
            </w:r>
          </w:p>
        </w:tc>
        <w:tc>
          <w:tcPr>
            <w:tcW w:w="2973" w:type="pct"/>
            <w:vAlign w:val="center"/>
          </w:tcPr>
          <w:p w:rsidR="007E6F57" w:rsidRPr="00D630D1" w:rsidRDefault="007E6F57" w:rsidP="007E6F57">
            <w:pPr>
              <w:topLinePunct w:val="0"/>
              <w:autoSpaceDE w:val="0"/>
              <w:autoSpaceDN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lang w:val="zh-CN"/>
              </w:rPr>
              <w:t>满足施工要求</w:t>
            </w:r>
          </w:p>
        </w:tc>
      </w:tr>
    </w:tbl>
    <w:p w:rsidR="007E6F57" w:rsidRPr="00D630D1" w:rsidRDefault="007E6F57" w:rsidP="007E6F57">
      <w:pPr>
        <w:topLinePunct w:val="0"/>
        <w:snapToGrid w:val="0"/>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6</w:t>
      </w:r>
      <w:r w:rsidRPr="00D630D1">
        <w:rPr>
          <w:rFonts w:ascii="Times New Roman" w:cs="Times New Roman" w:hint="eastAsia"/>
        </w:rPr>
        <w:t>）放喷测试</w:t>
      </w:r>
    </w:p>
    <w:p w:rsidR="007E6F57" w:rsidRPr="00D630D1" w:rsidRDefault="007E6F57" w:rsidP="007E6F57">
      <w:pPr>
        <w:topLinePunct w:val="0"/>
        <w:snapToGrid w:val="0"/>
        <w:ind w:firstLine="480"/>
        <w:rPr>
          <w:rFonts w:ascii="Times New Roman" w:cs="Times New Roman"/>
          <w:kern w:val="2"/>
        </w:rPr>
      </w:pPr>
      <w:r w:rsidRPr="00D630D1">
        <w:rPr>
          <w:rFonts w:ascii="Times New Roman" w:cs="Times New Roman" w:hint="eastAsia"/>
        </w:rPr>
        <w:t>选用</w:t>
      </w:r>
      <w:r w:rsidRPr="00D630D1">
        <w:rPr>
          <w:rFonts w:ascii="Times New Roman" w:cs="Times New Roman" w:hint="eastAsia"/>
        </w:rPr>
        <w:t>70MPa</w:t>
      </w:r>
      <w:r w:rsidRPr="00D630D1">
        <w:rPr>
          <w:rFonts w:ascii="Times New Roman" w:cs="Times New Roman" w:hint="eastAsia"/>
        </w:rPr>
        <w:t>～</w:t>
      </w:r>
      <w:r w:rsidRPr="00D630D1">
        <w:rPr>
          <w:rFonts w:ascii="Times New Roman" w:cs="Times New Roman" w:hint="eastAsia"/>
        </w:rPr>
        <w:t>35MPa</w:t>
      </w:r>
      <w:r w:rsidRPr="00D630D1">
        <w:rPr>
          <w:rFonts w:ascii="Times New Roman" w:cs="Times New Roman" w:hint="eastAsia"/>
        </w:rPr>
        <w:t>、</w:t>
      </w:r>
      <w:r w:rsidRPr="00D630D1">
        <w:rPr>
          <w:rFonts w:ascii="Times New Roman" w:cs="Times New Roman" w:hint="eastAsia"/>
        </w:rPr>
        <w:t>EE</w:t>
      </w:r>
      <w:r w:rsidRPr="00D630D1">
        <w:rPr>
          <w:rFonts w:ascii="Times New Roman" w:cs="Times New Roman" w:hint="eastAsia"/>
        </w:rPr>
        <w:t>级二级降压放喷流程，放喷排液后求产。放喷主要设备见</w:t>
      </w:r>
      <w:r w:rsidRPr="00D630D1">
        <w:rPr>
          <w:rFonts w:ascii="Times New Roman" w:cs="Times New Roman" w:hint="eastAsia"/>
          <w:kern w:val="2"/>
        </w:rPr>
        <w:t>表</w:t>
      </w:r>
      <w:r w:rsidRPr="00D630D1">
        <w:rPr>
          <w:rFonts w:ascii="Times New Roman" w:cs="Times New Roman"/>
        </w:rPr>
        <w:t>3.4-</w:t>
      </w:r>
      <w:r w:rsidR="00AD59E9" w:rsidRPr="00D630D1">
        <w:rPr>
          <w:rFonts w:ascii="Times New Roman" w:cs="Times New Roman" w:hint="eastAsia"/>
        </w:rPr>
        <w:t>9</w:t>
      </w:r>
      <w:r w:rsidRPr="00D630D1">
        <w:rPr>
          <w:rFonts w:ascii="Times New Roman" w:cs="Times New Roman" w:hint="eastAsia"/>
          <w:kern w:val="2"/>
        </w:rPr>
        <w:t>。</w:t>
      </w:r>
    </w:p>
    <w:p w:rsidR="007E6F57" w:rsidRPr="00D630D1" w:rsidRDefault="007E6F57" w:rsidP="00F96E37">
      <w:pPr>
        <w:topLinePunct w:val="0"/>
        <w:snapToGrid w:val="0"/>
        <w:spacing w:beforeLines="50"/>
        <w:ind w:firstLineChars="0" w:firstLine="0"/>
        <w:jc w:val="center"/>
        <w:rPr>
          <w:rFonts w:hAnsi="Cambria" w:cs="Times New Roman"/>
          <w:b/>
          <w:kern w:val="2"/>
          <w:sz w:val="21"/>
          <w:szCs w:val="20"/>
        </w:rPr>
      </w:pPr>
      <w:bookmarkStart w:id="164" w:name="_Ref505766702"/>
      <w:r w:rsidRPr="00D630D1">
        <w:rPr>
          <w:rFonts w:ascii="Times New Roman" w:cs="Times New Roman"/>
          <w:b/>
          <w:kern w:val="2"/>
          <w:sz w:val="21"/>
          <w:szCs w:val="21"/>
        </w:rPr>
        <w:t>表</w:t>
      </w:r>
      <w:bookmarkEnd w:id="164"/>
      <w:r w:rsidRPr="00D630D1">
        <w:rPr>
          <w:rFonts w:ascii="Times New Roman" w:cs="Times New Roman"/>
          <w:b/>
          <w:sz w:val="21"/>
          <w:szCs w:val="21"/>
        </w:rPr>
        <w:t>3.4-</w:t>
      </w:r>
      <w:r w:rsidR="00AD59E9" w:rsidRPr="00D630D1">
        <w:rPr>
          <w:rFonts w:ascii="Times New Roman" w:cs="Times New Roman" w:hint="eastAsia"/>
          <w:b/>
          <w:sz w:val="21"/>
          <w:szCs w:val="21"/>
        </w:rPr>
        <w:t>9</w:t>
      </w:r>
      <w:r w:rsidRPr="00D630D1">
        <w:rPr>
          <w:rFonts w:ascii="Times New Roman" w:cs="Times New Roman"/>
          <w:b/>
          <w:kern w:val="2"/>
          <w:sz w:val="21"/>
          <w:szCs w:val="21"/>
        </w:rPr>
        <w:t xml:space="preserve"> </w:t>
      </w:r>
      <w:r w:rsidRPr="00D630D1">
        <w:rPr>
          <w:rFonts w:hAnsi="Cambria" w:cs="Times New Roman"/>
          <w:b/>
          <w:kern w:val="2"/>
          <w:sz w:val="21"/>
          <w:szCs w:val="21"/>
        </w:rPr>
        <w:t xml:space="preserve"> </w:t>
      </w:r>
      <w:r w:rsidRPr="00D630D1">
        <w:rPr>
          <w:rFonts w:hAnsi="Cambria" w:cs="Times New Roman" w:hint="eastAsia"/>
          <w:b/>
          <w:kern w:val="2"/>
          <w:sz w:val="21"/>
          <w:szCs w:val="21"/>
        </w:rPr>
        <w:t>放喷主要设备一览</w:t>
      </w:r>
      <w:r w:rsidRPr="00D630D1">
        <w:rPr>
          <w:rFonts w:hAnsi="Cambria" w:cs="Times New Roman" w:hint="eastAsia"/>
          <w:b/>
          <w:kern w:val="2"/>
          <w:sz w:val="21"/>
          <w:szCs w:val="20"/>
        </w:rPr>
        <w:t>表</w:t>
      </w:r>
      <w:r w:rsidR="001B32FD" w:rsidRPr="003C6AD6">
        <w:rPr>
          <w:rFonts w:ascii="Times New Roman" w:cs="Times New Roman" w:hint="eastAsia"/>
          <w:b/>
          <w:kern w:val="2"/>
          <w:sz w:val="21"/>
          <w:szCs w:val="20"/>
        </w:rPr>
        <w:t>（以普陆页</w:t>
      </w:r>
      <w:r w:rsidR="001B32FD" w:rsidRPr="003C6AD6">
        <w:rPr>
          <w:rFonts w:ascii="Times New Roman" w:cs="Times New Roman" w:hint="eastAsia"/>
          <w:b/>
          <w:kern w:val="2"/>
          <w:sz w:val="21"/>
          <w:szCs w:val="20"/>
        </w:rPr>
        <w:t>1-1</w:t>
      </w:r>
      <w:r w:rsidR="001B32FD" w:rsidRPr="003C6AD6">
        <w:rPr>
          <w:rFonts w:ascii="Times New Roman" w:cs="Times New Roman" w:hint="eastAsia"/>
          <w:b/>
          <w:kern w:val="2"/>
          <w:sz w:val="21"/>
          <w:szCs w:val="20"/>
        </w:rPr>
        <w:t>井为例）</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1E0"/>
      </w:tblPr>
      <w:tblGrid>
        <w:gridCol w:w="698"/>
        <w:gridCol w:w="1549"/>
        <w:gridCol w:w="5269"/>
        <w:gridCol w:w="850"/>
      </w:tblGrid>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b/>
                <w:kern w:val="2"/>
                <w:sz w:val="21"/>
              </w:rPr>
            </w:pPr>
            <w:r w:rsidRPr="00D630D1">
              <w:rPr>
                <w:rFonts w:ascii="Times New Roman" w:hAnsi="宋体" w:cs="Times New Roman"/>
                <w:b/>
                <w:kern w:val="2"/>
                <w:sz w:val="21"/>
              </w:rPr>
              <w:t>序号</w:t>
            </w:r>
          </w:p>
        </w:tc>
        <w:tc>
          <w:tcPr>
            <w:tcW w:w="926" w:type="pct"/>
            <w:vAlign w:val="center"/>
          </w:tcPr>
          <w:p w:rsidR="007E6F57" w:rsidRPr="00D630D1" w:rsidRDefault="007E6F57" w:rsidP="007E6F57">
            <w:pPr>
              <w:topLinePunct w:val="0"/>
              <w:spacing w:line="240" w:lineRule="auto"/>
              <w:ind w:firstLineChars="100" w:firstLine="211"/>
              <w:jc w:val="center"/>
              <w:rPr>
                <w:rFonts w:ascii="Times New Roman" w:hAnsi="宋体" w:cs="Times New Roman"/>
                <w:b/>
                <w:kern w:val="2"/>
                <w:sz w:val="21"/>
              </w:rPr>
            </w:pPr>
            <w:r w:rsidRPr="00D630D1">
              <w:rPr>
                <w:rFonts w:ascii="Times New Roman" w:hAnsi="宋体" w:cs="Times New Roman"/>
                <w:b/>
                <w:kern w:val="2"/>
                <w:sz w:val="21"/>
              </w:rPr>
              <w:t>设备名称</w:t>
            </w:r>
          </w:p>
        </w:tc>
        <w:tc>
          <w:tcPr>
            <w:tcW w:w="3149" w:type="pct"/>
            <w:vAlign w:val="center"/>
          </w:tcPr>
          <w:p w:rsidR="007E6F57" w:rsidRPr="00D630D1" w:rsidRDefault="007E6F57" w:rsidP="007E6F57">
            <w:pPr>
              <w:topLinePunct w:val="0"/>
              <w:spacing w:line="240" w:lineRule="auto"/>
              <w:ind w:firstLineChars="0" w:firstLine="420"/>
              <w:jc w:val="center"/>
              <w:rPr>
                <w:rFonts w:ascii="Times New Roman" w:hAnsi="宋体" w:cs="Times New Roman"/>
                <w:b/>
                <w:kern w:val="2"/>
                <w:sz w:val="21"/>
              </w:rPr>
            </w:pPr>
            <w:r w:rsidRPr="00D630D1">
              <w:rPr>
                <w:rFonts w:ascii="Times New Roman" w:hAnsi="宋体" w:cs="Times New Roman"/>
                <w:b/>
                <w:kern w:val="2"/>
                <w:sz w:val="21"/>
              </w:rPr>
              <w:t>指标</w:t>
            </w: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b/>
                <w:kern w:val="2"/>
                <w:sz w:val="21"/>
              </w:rPr>
            </w:pPr>
            <w:r w:rsidRPr="00D630D1">
              <w:rPr>
                <w:rFonts w:ascii="Times New Roman" w:hAnsi="宋体" w:cs="Times New Roman"/>
                <w:b/>
                <w:kern w:val="2"/>
                <w:sz w:val="21"/>
              </w:rPr>
              <w:t>数量</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二级节流系统</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工作压力</w:t>
            </w:r>
            <w:r w:rsidRPr="00D630D1">
              <w:rPr>
                <w:rFonts w:ascii="Times New Roman" w:hAnsi="宋体" w:cs="Times New Roman"/>
                <w:kern w:val="2"/>
                <w:sz w:val="21"/>
              </w:rPr>
              <w:t>70-35MPa</w:t>
            </w:r>
            <w:r w:rsidRPr="00D630D1">
              <w:rPr>
                <w:rFonts w:ascii="Times New Roman" w:hAnsi="宋体" w:cs="Times New Roman"/>
                <w:kern w:val="2"/>
                <w:sz w:val="21"/>
              </w:rPr>
              <w:t>，内径</w:t>
            </w:r>
            <w:r w:rsidRPr="00D630D1">
              <w:rPr>
                <w:rFonts w:ascii="Times New Roman" w:hAnsi="宋体" w:cs="Times New Roman"/>
                <w:kern w:val="2"/>
                <w:sz w:val="21"/>
              </w:rPr>
              <w:t>76mm</w:t>
            </w: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w:t>
            </w:r>
            <w:r w:rsidRPr="00D630D1">
              <w:rPr>
                <w:rFonts w:ascii="Times New Roman" w:hAnsi="宋体" w:cs="Times New Roman"/>
                <w:kern w:val="2"/>
                <w:sz w:val="21"/>
              </w:rPr>
              <w:t>套</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2</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分离器</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工作压力</w:t>
            </w:r>
            <w:r w:rsidRPr="00D630D1">
              <w:rPr>
                <w:rFonts w:ascii="Times New Roman" w:hAnsi="宋体" w:cs="Times New Roman"/>
                <w:kern w:val="2"/>
                <w:sz w:val="21"/>
              </w:rPr>
              <w:t>14.9MPa</w:t>
            </w:r>
            <w:r w:rsidRPr="00D630D1">
              <w:rPr>
                <w:rFonts w:ascii="Times New Roman" w:hAnsi="宋体" w:cs="Times New Roman"/>
                <w:kern w:val="2"/>
                <w:sz w:val="21"/>
              </w:rPr>
              <w:t>、温度</w:t>
            </w:r>
            <w:r w:rsidRPr="00D630D1">
              <w:rPr>
                <w:rFonts w:ascii="Times New Roman" w:hAnsi="宋体" w:cs="Times New Roman"/>
                <w:kern w:val="2"/>
                <w:sz w:val="21"/>
              </w:rPr>
              <w:t>-10</w:t>
            </w:r>
            <w:r w:rsidRPr="00D630D1">
              <w:rPr>
                <w:rFonts w:ascii="Times New Roman" w:hAnsi="宋体" w:cs="Times New Roman" w:hint="eastAsia"/>
                <w:kern w:val="2"/>
                <w:sz w:val="21"/>
              </w:rPr>
              <w:t>℃</w:t>
            </w:r>
            <w:r w:rsidRPr="00D630D1">
              <w:rPr>
                <w:rFonts w:ascii="Times New Roman" w:hAnsi="宋体" w:cs="Times New Roman"/>
                <w:kern w:val="2"/>
                <w:sz w:val="21"/>
              </w:rPr>
              <w:t>-125</w:t>
            </w:r>
            <w:r w:rsidRPr="00D630D1">
              <w:rPr>
                <w:rFonts w:ascii="Times New Roman" w:hAnsi="宋体" w:cs="Times New Roman" w:hint="eastAsia"/>
                <w:kern w:val="2"/>
                <w:sz w:val="21"/>
              </w:rPr>
              <w:t>℃</w:t>
            </w:r>
            <w:r w:rsidRPr="00D630D1">
              <w:rPr>
                <w:rFonts w:ascii="Times New Roman" w:hAnsi="宋体" w:cs="Times New Roman"/>
                <w:kern w:val="2"/>
                <w:sz w:val="21"/>
              </w:rPr>
              <w:t>，日处理气</w:t>
            </w:r>
            <w:r w:rsidRPr="00D630D1">
              <w:rPr>
                <w:rFonts w:ascii="Times New Roman" w:hAnsi="宋体" w:cs="Times New Roman"/>
                <w:kern w:val="2"/>
                <w:sz w:val="21"/>
              </w:rPr>
              <w:t>100</w:t>
            </w:r>
            <w:r w:rsidRPr="00D630D1">
              <w:rPr>
                <w:rFonts w:ascii="Times New Roman" w:hAnsi="宋体" w:cs="Times New Roman"/>
                <w:kern w:val="2"/>
                <w:sz w:val="21"/>
              </w:rPr>
              <w:t>×</w:t>
            </w:r>
            <w:r w:rsidRPr="00D630D1">
              <w:rPr>
                <w:rFonts w:ascii="Times New Roman" w:hAnsi="宋体" w:cs="Times New Roman"/>
                <w:kern w:val="2"/>
                <w:sz w:val="21"/>
              </w:rPr>
              <w:t>10</w:t>
            </w:r>
            <w:r w:rsidRPr="00D630D1">
              <w:rPr>
                <w:rFonts w:ascii="Times New Roman" w:hAnsi="宋体" w:cs="Times New Roman"/>
                <w:kern w:val="2"/>
                <w:sz w:val="21"/>
                <w:vertAlign w:val="superscript"/>
              </w:rPr>
              <w:t>4</w:t>
            </w:r>
            <w:r w:rsidRPr="00D630D1">
              <w:rPr>
                <w:rFonts w:ascii="Times New Roman" w:hAnsi="宋体" w:cs="Times New Roman"/>
                <w:kern w:val="2"/>
                <w:sz w:val="21"/>
              </w:rPr>
              <w:t>m</w:t>
            </w:r>
            <w:r w:rsidRPr="00D630D1">
              <w:rPr>
                <w:rFonts w:ascii="Times New Roman" w:hAnsi="宋体" w:cs="Times New Roman"/>
                <w:kern w:val="2"/>
                <w:sz w:val="21"/>
                <w:vertAlign w:val="superscript"/>
              </w:rPr>
              <w:t>3</w:t>
            </w:r>
            <w:r w:rsidRPr="00D630D1">
              <w:rPr>
                <w:rFonts w:ascii="Times New Roman" w:hAnsi="宋体" w:cs="Times New Roman"/>
                <w:kern w:val="2"/>
                <w:sz w:val="21"/>
              </w:rPr>
              <w:t>、日处理水大于</w:t>
            </w:r>
            <w:r w:rsidRPr="00D630D1">
              <w:rPr>
                <w:rFonts w:ascii="Times New Roman" w:hAnsi="宋体" w:cs="Times New Roman"/>
                <w:kern w:val="2"/>
                <w:sz w:val="21"/>
              </w:rPr>
              <w:t>240m</w:t>
            </w:r>
            <w:r w:rsidRPr="00D630D1">
              <w:rPr>
                <w:rFonts w:ascii="Times New Roman" w:hAnsi="宋体" w:cs="Times New Roman"/>
                <w:kern w:val="2"/>
                <w:sz w:val="21"/>
                <w:vertAlign w:val="superscript"/>
              </w:rPr>
              <w:t>3</w:t>
            </w: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w:t>
            </w:r>
            <w:r w:rsidRPr="00D630D1">
              <w:rPr>
                <w:rFonts w:ascii="Times New Roman" w:hAnsi="宋体" w:cs="Times New Roman"/>
                <w:kern w:val="2"/>
                <w:sz w:val="21"/>
              </w:rPr>
              <w:t>台</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3</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热交换器</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工作压力</w:t>
            </w:r>
            <w:r w:rsidRPr="00D630D1">
              <w:rPr>
                <w:rFonts w:ascii="Times New Roman" w:hAnsi="宋体" w:cs="Times New Roman"/>
                <w:kern w:val="2"/>
                <w:sz w:val="21"/>
              </w:rPr>
              <w:t>35MPa</w:t>
            </w:r>
            <w:r w:rsidRPr="00D630D1">
              <w:rPr>
                <w:rFonts w:ascii="Times New Roman" w:hAnsi="宋体" w:cs="Times New Roman"/>
                <w:kern w:val="2"/>
                <w:sz w:val="21"/>
              </w:rPr>
              <w:t>，热交换量</w:t>
            </w:r>
            <w:r w:rsidRPr="00D630D1">
              <w:rPr>
                <w:rFonts w:ascii="Times New Roman" w:hAnsi="宋体" w:cs="Times New Roman"/>
                <w:kern w:val="2"/>
                <w:sz w:val="21"/>
              </w:rPr>
              <w:t>2.51</w:t>
            </w:r>
            <w:r w:rsidRPr="00D630D1">
              <w:rPr>
                <w:rFonts w:ascii="Times New Roman" w:hAnsi="宋体" w:cs="Times New Roman"/>
                <w:kern w:val="2"/>
                <w:sz w:val="21"/>
              </w:rPr>
              <w:t>×</w:t>
            </w:r>
            <w:r w:rsidRPr="00D630D1">
              <w:rPr>
                <w:rFonts w:ascii="Times New Roman" w:hAnsi="宋体" w:cs="Times New Roman"/>
                <w:kern w:val="2"/>
                <w:sz w:val="21"/>
              </w:rPr>
              <w:t>10</w:t>
            </w:r>
            <w:r w:rsidRPr="00D630D1">
              <w:rPr>
                <w:rFonts w:ascii="Times New Roman" w:hAnsi="宋体" w:cs="Times New Roman"/>
                <w:kern w:val="2"/>
                <w:sz w:val="21"/>
                <w:vertAlign w:val="superscript"/>
              </w:rPr>
              <w:t>6</w:t>
            </w:r>
            <w:r w:rsidRPr="00D630D1">
              <w:rPr>
                <w:rFonts w:ascii="Times New Roman" w:hAnsi="宋体" w:cs="Times New Roman"/>
                <w:kern w:val="2"/>
                <w:sz w:val="21"/>
              </w:rPr>
              <w:t>kJ</w:t>
            </w: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w:t>
            </w:r>
            <w:r w:rsidRPr="00D630D1">
              <w:rPr>
                <w:rFonts w:ascii="Times New Roman" w:hAnsi="宋体" w:cs="Times New Roman"/>
                <w:kern w:val="2"/>
                <w:sz w:val="21"/>
              </w:rPr>
              <w:t>台</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4</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安全控制阀</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工作压力：</w:t>
            </w:r>
            <w:r w:rsidRPr="00D630D1">
              <w:rPr>
                <w:rFonts w:ascii="Times New Roman" w:hAnsi="宋体" w:cs="Times New Roman"/>
                <w:kern w:val="2"/>
                <w:sz w:val="21"/>
              </w:rPr>
              <w:t>70MPa</w:t>
            </w: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w:t>
            </w:r>
            <w:r w:rsidRPr="00D630D1">
              <w:rPr>
                <w:rFonts w:ascii="Times New Roman" w:hAnsi="宋体" w:cs="Times New Roman"/>
                <w:kern w:val="2"/>
                <w:sz w:val="21"/>
              </w:rPr>
              <w:t>套</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5</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数据采集系统</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时间</w:t>
            </w:r>
            <w:r w:rsidRPr="00D630D1">
              <w:rPr>
                <w:rFonts w:ascii="Times New Roman" w:hAnsi="宋体" w:cs="Times New Roman"/>
                <w:kern w:val="2"/>
                <w:sz w:val="21"/>
              </w:rPr>
              <w:t>/</w:t>
            </w:r>
            <w:r w:rsidRPr="00D630D1">
              <w:rPr>
                <w:rFonts w:ascii="Times New Roman" w:hAnsi="宋体" w:cs="Times New Roman"/>
                <w:kern w:val="2"/>
                <w:sz w:val="21"/>
              </w:rPr>
              <w:t>压力</w:t>
            </w:r>
            <w:r w:rsidRPr="00D630D1">
              <w:rPr>
                <w:rFonts w:ascii="Times New Roman" w:hAnsi="宋体" w:cs="Times New Roman"/>
                <w:kern w:val="2"/>
                <w:sz w:val="21"/>
              </w:rPr>
              <w:t>/</w:t>
            </w:r>
            <w:r w:rsidRPr="00D630D1">
              <w:rPr>
                <w:rFonts w:ascii="Times New Roman" w:hAnsi="宋体" w:cs="Times New Roman"/>
                <w:kern w:val="2"/>
                <w:sz w:val="21"/>
              </w:rPr>
              <w:t>温度</w:t>
            </w:r>
            <w:r w:rsidRPr="00D630D1">
              <w:rPr>
                <w:rFonts w:ascii="Times New Roman" w:hAnsi="宋体" w:cs="Times New Roman"/>
                <w:kern w:val="2"/>
                <w:sz w:val="21"/>
              </w:rPr>
              <w:t>/</w:t>
            </w:r>
            <w:r w:rsidRPr="00D630D1">
              <w:rPr>
                <w:rFonts w:ascii="Times New Roman" w:hAnsi="宋体" w:cs="Times New Roman"/>
                <w:kern w:val="2"/>
                <w:sz w:val="21"/>
              </w:rPr>
              <w:t>流量数据同步采集，压力级别：</w:t>
            </w:r>
            <w:r w:rsidRPr="00D630D1">
              <w:rPr>
                <w:rFonts w:ascii="Times New Roman" w:hAnsi="宋体" w:cs="Times New Roman"/>
                <w:kern w:val="2"/>
                <w:sz w:val="21"/>
              </w:rPr>
              <w:t>70MPa</w:t>
            </w:r>
            <w:r w:rsidRPr="00D630D1">
              <w:rPr>
                <w:rFonts w:ascii="Times New Roman" w:hAnsi="宋体" w:cs="Times New Roman"/>
                <w:kern w:val="2"/>
                <w:sz w:val="21"/>
              </w:rPr>
              <w:t>，温度级别：</w:t>
            </w:r>
            <w:r w:rsidRPr="00D630D1">
              <w:rPr>
                <w:rFonts w:ascii="Times New Roman" w:hAnsi="宋体" w:cs="Times New Roman"/>
                <w:kern w:val="2"/>
                <w:sz w:val="21"/>
              </w:rPr>
              <w:t>-28.9</w:t>
            </w:r>
            <w:r w:rsidRPr="00D630D1">
              <w:rPr>
                <w:rFonts w:ascii="Times New Roman" w:hAnsi="宋体" w:cs="Times New Roman" w:hint="eastAsia"/>
                <w:kern w:val="2"/>
                <w:sz w:val="21"/>
              </w:rPr>
              <w:t>℃</w:t>
            </w:r>
            <w:r w:rsidRPr="00D630D1">
              <w:rPr>
                <w:rFonts w:ascii="Times New Roman" w:hAnsi="宋体" w:cs="Times New Roman"/>
                <w:kern w:val="2"/>
                <w:sz w:val="21"/>
              </w:rPr>
              <w:t>～</w:t>
            </w:r>
            <w:r w:rsidRPr="00D630D1">
              <w:rPr>
                <w:rFonts w:ascii="Times New Roman" w:hAnsi="宋体" w:cs="Times New Roman"/>
                <w:kern w:val="2"/>
                <w:sz w:val="21"/>
              </w:rPr>
              <w:t>121</w:t>
            </w:r>
            <w:r w:rsidRPr="00D630D1">
              <w:rPr>
                <w:rFonts w:ascii="Times New Roman" w:hAnsi="宋体" w:cs="Times New Roman" w:hint="eastAsia"/>
                <w:kern w:val="2"/>
                <w:sz w:val="21"/>
              </w:rPr>
              <w:t>℃</w:t>
            </w: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w:t>
            </w:r>
            <w:r w:rsidRPr="00D630D1">
              <w:rPr>
                <w:rFonts w:ascii="Times New Roman" w:hAnsi="宋体" w:cs="Times New Roman"/>
                <w:kern w:val="2"/>
                <w:sz w:val="21"/>
              </w:rPr>
              <w:t>套</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6</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化学注入泵</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工作温度：</w:t>
            </w:r>
            <w:r w:rsidRPr="00D630D1">
              <w:rPr>
                <w:rFonts w:ascii="Times New Roman" w:hAnsi="宋体" w:cs="Times New Roman"/>
                <w:kern w:val="2"/>
                <w:sz w:val="21"/>
              </w:rPr>
              <w:t>-28.9</w:t>
            </w:r>
            <w:r w:rsidRPr="00D630D1">
              <w:rPr>
                <w:rFonts w:ascii="Times New Roman" w:hAnsi="宋体" w:cs="Times New Roman" w:hint="eastAsia"/>
                <w:kern w:val="2"/>
                <w:sz w:val="21"/>
              </w:rPr>
              <w:t>℃</w:t>
            </w:r>
            <w:r w:rsidRPr="00D630D1">
              <w:rPr>
                <w:rFonts w:ascii="Times New Roman" w:hAnsi="宋体" w:cs="Times New Roman"/>
                <w:kern w:val="2"/>
                <w:sz w:val="21"/>
              </w:rPr>
              <w:t>～</w:t>
            </w:r>
            <w:r w:rsidRPr="00D630D1">
              <w:rPr>
                <w:rFonts w:ascii="Times New Roman" w:hAnsi="宋体" w:cs="Times New Roman"/>
                <w:kern w:val="2"/>
                <w:sz w:val="21"/>
              </w:rPr>
              <w:t>121</w:t>
            </w:r>
            <w:r w:rsidRPr="00D630D1">
              <w:rPr>
                <w:rFonts w:ascii="Times New Roman" w:hAnsi="宋体" w:cs="Times New Roman" w:hint="eastAsia"/>
                <w:kern w:val="2"/>
                <w:sz w:val="21"/>
              </w:rPr>
              <w:t>℃</w:t>
            </w:r>
            <w:r w:rsidRPr="00D630D1">
              <w:rPr>
                <w:rFonts w:ascii="Times New Roman" w:hAnsi="宋体" w:cs="Times New Roman"/>
                <w:kern w:val="2"/>
                <w:sz w:val="21"/>
              </w:rPr>
              <w:t>，排量：</w:t>
            </w:r>
            <w:r w:rsidRPr="00D630D1">
              <w:rPr>
                <w:rFonts w:ascii="Times New Roman" w:hAnsi="宋体" w:cs="Times New Roman"/>
                <w:kern w:val="2"/>
                <w:sz w:val="21"/>
              </w:rPr>
              <w:t>0.01-0.19m</w:t>
            </w:r>
            <w:r w:rsidRPr="00D630D1">
              <w:rPr>
                <w:rFonts w:ascii="Times New Roman" w:hAnsi="宋体" w:cs="Times New Roman"/>
                <w:kern w:val="2"/>
                <w:sz w:val="21"/>
                <w:vertAlign w:val="superscript"/>
              </w:rPr>
              <w:t>3</w:t>
            </w:r>
            <w:r w:rsidRPr="00D630D1">
              <w:rPr>
                <w:rFonts w:ascii="Times New Roman" w:hAnsi="宋体" w:cs="Times New Roman"/>
                <w:kern w:val="2"/>
                <w:sz w:val="21"/>
              </w:rPr>
              <w:t>/h</w:t>
            </w:r>
            <w:r w:rsidRPr="00D630D1">
              <w:rPr>
                <w:rFonts w:ascii="Times New Roman" w:hAnsi="宋体" w:cs="Times New Roman"/>
                <w:kern w:val="2"/>
                <w:sz w:val="21"/>
              </w:rPr>
              <w:t>，排放压力：</w:t>
            </w:r>
            <w:r w:rsidRPr="00D630D1">
              <w:rPr>
                <w:rFonts w:ascii="Times New Roman" w:hAnsi="宋体" w:cs="Times New Roman"/>
                <w:kern w:val="2"/>
                <w:sz w:val="21"/>
              </w:rPr>
              <w:t>70MPa</w:t>
            </w:r>
            <w:r w:rsidRPr="00D630D1">
              <w:rPr>
                <w:rFonts w:ascii="Times New Roman" w:hAnsi="宋体" w:cs="Times New Roman"/>
                <w:kern w:val="2"/>
                <w:sz w:val="21"/>
              </w:rPr>
              <w:t>，化学剂罐容积</w:t>
            </w:r>
            <w:r w:rsidRPr="00D630D1">
              <w:rPr>
                <w:rFonts w:ascii="Times New Roman" w:hAnsi="宋体" w:cs="Times New Roman"/>
                <w:kern w:val="2"/>
                <w:sz w:val="21"/>
              </w:rPr>
              <w:t>0.04m</w:t>
            </w:r>
            <w:r w:rsidRPr="00D630D1">
              <w:rPr>
                <w:rFonts w:ascii="Times New Roman" w:hAnsi="宋体" w:cs="Times New Roman"/>
                <w:kern w:val="2"/>
                <w:sz w:val="21"/>
                <w:vertAlign w:val="superscript"/>
              </w:rPr>
              <w:t>3</w:t>
            </w: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w:t>
            </w:r>
            <w:r w:rsidRPr="00D630D1">
              <w:rPr>
                <w:rFonts w:ascii="Times New Roman" w:hAnsi="宋体" w:cs="Times New Roman"/>
                <w:kern w:val="2"/>
                <w:sz w:val="21"/>
              </w:rPr>
              <w:t>套</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7</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环空监测系统</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耐压：</w:t>
            </w:r>
            <w:r w:rsidRPr="00D630D1">
              <w:rPr>
                <w:rFonts w:ascii="Times New Roman" w:hAnsi="宋体" w:cs="Times New Roman"/>
                <w:kern w:val="2"/>
                <w:sz w:val="21"/>
              </w:rPr>
              <w:t>70MPa</w:t>
            </w: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w:t>
            </w:r>
            <w:r w:rsidRPr="00D630D1">
              <w:rPr>
                <w:rFonts w:ascii="Times New Roman" w:hAnsi="宋体" w:cs="Times New Roman"/>
                <w:kern w:val="2"/>
                <w:sz w:val="21"/>
              </w:rPr>
              <w:t>套</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8</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压井系统</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耐压：</w:t>
            </w:r>
            <w:r w:rsidRPr="00D630D1">
              <w:rPr>
                <w:rFonts w:ascii="Times New Roman" w:hAnsi="宋体" w:cs="Times New Roman"/>
                <w:kern w:val="2"/>
                <w:sz w:val="21"/>
              </w:rPr>
              <w:t>70MPa</w:t>
            </w: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w:t>
            </w:r>
            <w:r w:rsidRPr="00D630D1">
              <w:rPr>
                <w:rFonts w:ascii="Times New Roman" w:hAnsi="宋体" w:cs="Times New Roman"/>
                <w:kern w:val="2"/>
                <w:sz w:val="21"/>
              </w:rPr>
              <w:t>套</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9</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点火装置</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长明火，自动点火装置</w:t>
            </w: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若干</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10</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火把</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12</w:t>
            </w:r>
            <w:r w:rsidRPr="00D630D1">
              <w:rPr>
                <w:rFonts w:ascii="Times New Roman" w:hAnsi="宋体" w:cs="Times New Roman"/>
                <w:kern w:val="2"/>
                <w:sz w:val="21"/>
              </w:rPr>
              <w:t>个</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11</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放喷管线及配件</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直径</w:t>
            </w:r>
            <w:r w:rsidRPr="00D630D1">
              <w:rPr>
                <w:rFonts w:ascii="Times New Roman" w:hAnsi="宋体" w:cs="Times New Roman"/>
                <w:kern w:val="2"/>
                <w:sz w:val="21"/>
              </w:rPr>
              <w:t>3-1/2</w:t>
            </w:r>
            <w:r w:rsidRPr="00D630D1">
              <w:rPr>
                <w:rFonts w:ascii="Times New Roman" w:hAnsi="宋体" w:cs="Times New Roman"/>
                <w:kern w:val="2"/>
                <w:sz w:val="21"/>
              </w:rPr>
              <w:t>″</w:t>
            </w: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1200m</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12</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立式燃烧筒</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w:t>
            </w:r>
            <w:r w:rsidRPr="00D630D1">
              <w:rPr>
                <w:rFonts w:ascii="Times New Roman" w:hAnsi="宋体" w:cs="Times New Roman"/>
                <w:kern w:val="2"/>
                <w:sz w:val="21"/>
              </w:rPr>
              <w:t>套</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13</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卧式燃烧筒</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p>
        </w:tc>
        <w:tc>
          <w:tcPr>
            <w:tcW w:w="508"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w:t>
            </w:r>
            <w:r w:rsidRPr="00D630D1">
              <w:rPr>
                <w:rFonts w:ascii="Times New Roman" w:hAnsi="宋体" w:cs="Times New Roman"/>
                <w:kern w:val="2"/>
                <w:sz w:val="21"/>
              </w:rPr>
              <w:t>套</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14</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连接管线</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70MPa</w:t>
            </w:r>
            <w:r w:rsidRPr="00D630D1">
              <w:rPr>
                <w:rFonts w:ascii="Times New Roman" w:hAnsi="宋体" w:cs="Times New Roman"/>
                <w:kern w:val="2"/>
                <w:sz w:val="21"/>
              </w:rPr>
              <w:t>的管线</w:t>
            </w:r>
          </w:p>
        </w:tc>
        <w:tc>
          <w:tcPr>
            <w:tcW w:w="508" w:type="pct"/>
            <w:vAlign w:val="center"/>
          </w:tcPr>
          <w:p w:rsidR="007E6F57" w:rsidRPr="00D630D1" w:rsidRDefault="007E6F57" w:rsidP="007E6F57">
            <w:pPr>
              <w:topLinePunct w:val="0"/>
              <w:snapToGrid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若干</w:t>
            </w:r>
          </w:p>
        </w:tc>
      </w:tr>
      <w:tr w:rsidR="007E6F57" w:rsidRPr="00D630D1" w:rsidTr="007E6F57">
        <w:trPr>
          <w:trHeight w:val="340"/>
          <w:jc w:val="center"/>
        </w:trPr>
        <w:tc>
          <w:tcPr>
            <w:tcW w:w="417"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15</w:t>
            </w:r>
          </w:p>
        </w:tc>
        <w:tc>
          <w:tcPr>
            <w:tcW w:w="926"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管线连接件</w:t>
            </w:r>
          </w:p>
        </w:tc>
        <w:tc>
          <w:tcPr>
            <w:tcW w:w="3149" w:type="pct"/>
            <w:vAlign w:val="center"/>
          </w:tcPr>
          <w:p w:rsidR="007E6F57" w:rsidRPr="00D630D1" w:rsidRDefault="007E6F57" w:rsidP="007E6F57">
            <w:pPr>
              <w:topLinePunct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包含各个压力级别的弯头、三通、四通、短节等</w:t>
            </w:r>
          </w:p>
        </w:tc>
        <w:tc>
          <w:tcPr>
            <w:tcW w:w="508" w:type="pct"/>
            <w:vAlign w:val="center"/>
          </w:tcPr>
          <w:p w:rsidR="007E6F57" w:rsidRPr="00D630D1" w:rsidRDefault="007E6F57" w:rsidP="007E6F57">
            <w:pPr>
              <w:topLinePunct w:val="0"/>
              <w:snapToGrid w:val="0"/>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若干</w:t>
            </w:r>
          </w:p>
        </w:tc>
      </w:tr>
    </w:tbl>
    <w:p w:rsidR="00DA5F7F" w:rsidRPr="00D630D1" w:rsidRDefault="00DA5F7F" w:rsidP="00DA5F7F">
      <w:pPr>
        <w:pStyle w:val="2"/>
        <w:spacing w:before="120"/>
        <w:rPr>
          <w:rFonts w:cs="Times New Roman"/>
        </w:rPr>
      </w:pPr>
      <w:r w:rsidRPr="00D630D1">
        <w:rPr>
          <w:rFonts w:cs="Times New Roman"/>
        </w:rPr>
        <w:t>3.</w:t>
      </w:r>
      <w:r w:rsidR="00AD59E9" w:rsidRPr="00D630D1">
        <w:rPr>
          <w:rFonts w:cs="Times New Roman" w:hint="eastAsia"/>
        </w:rPr>
        <w:t>5</w:t>
      </w:r>
      <w:r w:rsidRPr="00D630D1">
        <w:rPr>
          <w:rFonts w:cs="Times New Roman"/>
        </w:rPr>
        <w:t xml:space="preserve"> </w:t>
      </w:r>
      <w:r w:rsidRPr="00D630D1">
        <w:rPr>
          <w:rFonts w:cs="Times New Roman"/>
        </w:rPr>
        <w:t>场站工程</w:t>
      </w:r>
      <w:r w:rsidR="001C7921" w:rsidRPr="00D630D1">
        <w:rPr>
          <w:rFonts w:cs="Times New Roman" w:hint="eastAsia"/>
        </w:rPr>
        <w:t>、管线</w:t>
      </w:r>
    </w:p>
    <w:p w:rsidR="00DA5F7F" w:rsidRPr="00D630D1" w:rsidRDefault="007E6F57" w:rsidP="00DA5F7F">
      <w:pPr>
        <w:pStyle w:val="afa"/>
        <w:ind w:firstLine="480"/>
      </w:pPr>
      <w:r w:rsidRPr="00D630D1">
        <w:rPr>
          <w:rFonts w:hint="eastAsia"/>
        </w:rPr>
        <w:t>新建</w:t>
      </w:r>
      <w:r w:rsidR="002C00AE">
        <w:rPr>
          <w:rFonts w:hint="eastAsia"/>
        </w:rPr>
        <w:t>普光</w:t>
      </w:r>
      <w:r w:rsidR="002C00AE">
        <w:rPr>
          <w:rFonts w:hint="eastAsia"/>
        </w:rPr>
        <w:t>12</w:t>
      </w:r>
      <w:r w:rsidR="002C00AE">
        <w:rPr>
          <w:rFonts w:hint="eastAsia"/>
        </w:rPr>
        <w:t>采气站</w:t>
      </w:r>
      <w:r w:rsidR="00200C3C" w:rsidRPr="00D630D1">
        <w:rPr>
          <w:rFonts w:hint="eastAsia"/>
        </w:rPr>
        <w:t>，</w:t>
      </w:r>
      <w:r w:rsidR="001B32FD">
        <w:rPr>
          <w:rFonts w:hint="eastAsia"/>
        </w:rPr>
        <w:t>新建普光</w:t>
      </w:r>
      <w:r w:rsidR="001B32FD">
        <w:rPr>
          <w:rFonts w:hint="eastAsia"/>
        </w:rPr>
        <w:t>12</w:t>
      </w:r>
      <w:r w:rsidR="001B32FD">
        <w:rPr>
          <w:rFonts w:hint="eastAsia"/>
        </w:rPr>
        <w:t>采气站</w:t>
      </w:r>
      <w:r w:rsidR="001B32FD">
        <w:rPr>
          <w:rFonts w:hint="eastAsia"/>
        </w:rPr>
        <w:t>~</w:t>
      </w:r>
      <w:r w:rsidR="001B32FD">
        <w:rPr>
          <w:rFonts w:hint="eastAsia"/>
        </w:rPr>
        <w:t>普陆</w:t>
      </w:r>
      <w:r w:rsidR="001B32FD">
        <w:rPr>
          <w:rFonts w:hint="eastAsia"/>
        </w:rPr>
        <w:t>3</w:t>
      </w:r>
      <w:r w:rsidR="001B32FD">
        <w:rPr>
          <w:rFonts w:hint="eastAsia"/>
        </w:rPr>
        <w:t>集气站集输管线</w:t>
      </w:r>
      <w:r w:rsidR="001B32FD">
        <w:rPr>
          <w:rFonts w:hint="eastAsia"/>
        </w:rPr>
        <w:t>1</w:t>
      </w:r>
      <w:r w:rsidR="001B32FD">
        <w:rPr>
          <w:rFonts w:hint="eastAsia"/>
        </w:rPr>
        <w:t>条，</w:t>
      </w:r>
      <w:r w:rsidR="001B32FD" w:rsidRPr="001B32FD">
        <w:rPr>
          <w:rFonts w:hint="eastAsia"/>
        </w:rPr>
        <w:t>设计压力</w:t>
      </w:r>
      <w:r w:rsidR="001B32FD" w:rsidRPr="001B32FD">
        <w:rPr>
          <w:rFonts w:hint="eastAsia"/>
        </w:rPr>
        <w:t>11MPa</w:t>
      </w:r>
      <w:r w:rsidR="001B32FD">
        <w:rPr>
          <w:rFonts w:hint="eastAsia"/>
        </w:rPr>
        <w:t>，</w:t>
      </w:r>
      <w:r w:rsidR="001B32FD" w:rsidRPr="001B32FD">
        <w:t>材质为</w:t>
      </w:r>
      <w:r w:rsidR="001B32FD" w:rsidRPr="001B32FD">
        <w:rPr>
          <w:rFonts w:hint="eastAsia"/>
        </w:rPr>
        <w:t>L</w:t>
      </w:r>
      <w:r w:rsidR="001B32FD" w:rsidRPr="001B32FD">
        <w:t>245</w:t>
      </w:r>
      <w:r w:rsidR="001B32FD" w:rsidRPr="001B32FD">
        <w:rPr>
          <w:rFonts w:hint="eastAsia"/>
        </w:rPr>
        <w:t>N</w:t>
      </w:r>
      <w:r w:rsidR="001B32FD" w:rsidRPr="001B32FD">
        <w:rPr>
          <w:rFonts w:hint="eastAsia"/>
        </w:rPr>
        <w:t>无缝钢管</w:t>
      </w:r>
      <w:r w:rsidR="001B32FD" w:rsidRPr="001B32FD">
        <w:rPr>
          <w:rFonts w:hint="eastAsia"/>
        </w:rPr>
        <w:t>PSL2</w:t>
      </w:r>
      <w:r w:rsidR="001B32FD">
        <w:rPr>
          <w:rFonts w:hint="eastAsia"/>
        </w:rPr>
        <w:t>，管径</w:t>
      </w:r>
      <w:r w:rsidR="001B32FD">
        <w:rPr>
          <w:rFonts w:hint="eastAsia"/>
        </w:rPr>
        <w:t>DN200</w:t>
      </w:r>
      <w:r w:rsidR="001B32FD">
        <w:rPr>
          <w:rFonts w:hint="eastAsia"/>
        </w:rPr>
        <w:t>，长度约</w:t>
      </w:r>
      <w:r w:rsidR="001B32FD">
        <w:rPr>
          <w:rFonts w:hint="eastAsia"/>
        </w:rPr>
        <w:t>3km</w:t>
      </w:r>
      <w:r w:rsidR="001B32FD">
        <w:rPr>
          <w:rFonts w:hint="eastAsia"/>
        </w:rPr>
        <w:t>；新建普陆</w:t>
      </w:r>
      <w:r w:rsidR="001B32FD">
        <w:rPr>
          <w:rFonts w:hint="eastAsia"/>
        </w:rPr>
        <w:t>3</w:t>
      </w:r>
      <w:r w:rsidR="001B32FD">
        <w:rPr>
          <w:rFonts w:hint="eastAsia"/>
        </w:rPr>
        <w:t>集气站</w:t>
      </w:r>
      <w:r w:rsidR="001B32FD">
        <w:rPr>
          <w:rFonts w:hint="eastAsia"/>
        </w:rPr>
        <w:t>~P105</w:t>
      </w:r>
      <w:r w:rsidR="001B32FD">
        <w:rPr>
          <w:rFonts w:hint="eastAsia"/>
        </w:rPr>
        <w:t>集气站集输管线</w:t>
      </w:r>
      <w:r w:rsidR="001B32FD">
        <w:rPr>
          <w:rFonts w:hint="eastAsia"/>
        </w:rPr>
        <w:t>1</w:t>
      </w:r>
      <w:r w:rsidR="001B32FD">
        <w:rPr>
          <w:rFonts w:hint="eastAsia"/>
        </w:rPr>
        <w:t>条，</w:t>
      </w:r>
      <w:r w:rsidR="001B32FD" w:rsidRPr="001B32FD">
        <w:rPr>
          <w:rFonts w:hint="eastAsia"/>
        </w:rPr>
        <w:t>设计压力</w:t>
      </w:r>
      <w:r w:rsidR="001B32FD" w:rsidRPr="001B32FD">
        <w:rPr>
          <w:rFonts w:hint="eastAsia"/>
        </w:rPr>
        <w:t>11MPa</w:t>
      </w:r>
      <w:r w:rsidR="001B32FD">
        <w:rPr>
          <w:rFonts w:hint="eastAsia"/>
        </w:rPr>
        <w:t>，</w:t>
      </w:r>
      <w:r w:rsidR="001B32FD" w:rsidRPr="001B32FD">
        <w:t>材质为</w:t>
      </w:r>
      <w:r w:rsidR="001B32FD" w:rsidRPr="001B32FD">
        <w:rPr>
          <w:rFonts w:hint="eastAsia"/>
        </w:rPr>
        <w:t>L</w:t>
      </w:r>
      <w:r w:rsidR="001B32FD" w:rsidRPr="001B32FD">
        <w:t>245</w:t>
      </w:r>
      <w:r w:rsidR="001B32FD">
        <w:rPr>
          <w:rFonts w:hint="eastAsia"/>
        </w:rPr>
        <w:t>N</w:t>
      </w:r>
      <w:r w:rsidR="001B32FD" w:rsidRPr="001B32FD">
        <w:rPr>
          <w:rFonts w:hint="eastAsia"/>
        </w:rPr>
        <w:lastRenderedPageBreak/>
        <w:t>无缝钢管</w:t>
      </w:r>
      <w:r w:rsidR="001B32FD" w:rsidRPr="001B32FD">
        <w:rPr>
          <w:rFonts w:hint="eastAsia"/>
        </w:rPr>
        <w:t>PSL2</w:t>
      </w:r>
      <w:r w:rsidR="001B32FD">
        <w:rPr>
          <w:rFonts w:hint="eastAsia"/>
        </w:rPr>
        <w:t>，管径</w:t>
      </w:r>
      <w:r w:rsidR="001B32FD">
        <w:rPr>
          <w:rFonts w:hint="eastAsia"/>
        </w:rPr>
        <w:t>DN150</w:t>
      </w:r>
      <w:r w:rsidR="001B32FD">
        <w:rPr>
          <w:rFonts w:hint="eastAsia"/>
        </w:rPr>
        <w:t>，长度约</w:t>
      </w:r>
      <w:r w:rsidR="001B32FD">
        <w:rPr>
          <w:rFonts w:hint="eastAsia"/>
        </w:rPr>
        <w:t>0.98km</w:t>
      </w:r>
      <w:r w:rsidR="00DA5F7F" w:rsidRPr="00D630D1">
        <w:rPr>
          <w:rFonts w:hint="eastAsia"/>
        </w:rPr>
        <w:t>。集输站场设计规模</w:t>
      </w:r>
      <w:r w:rsidR="001B32FD">
        <w:rPr>
          <w:rFonts w:hint="eastAsia"/>
        </w:rPr>
        <w:t>6</w:t>
      </w:r>
      <w:r w:rsidR="00B958B8" w:rsidRPr="00D630D1">
        <w:rPr>
          <w:rFonts w:hint="eastAsia"/>
        </w:rPr>
        <w:t>0</w:t>
      </w:r>
      <w:r w:rsidR="00DA5F7F" w:rsidRPr="00D630D1">
        <w:rPr>
          <w:rFonts w:hint="eastAsia"/>
        </w:rPr>
        <w:t>×</w:t>
      </w:r>
      <w:r w:rsidR="00DA5F7F" w:rsidRPr="00D630D1">
        <w:t>10</w:t>
      </w:r>
      <w:r w:rsidR="00DA5F7F" w:rsidRPr="00D630D1">
        <w:rPr>
          <w:vertAlign w:val="superscript"/>
        </w:rPr>
        <w:t>4</w:t>
      </w:r>
      <w:r w:rsidR="00DA5F7F" w:rsidRPr="00D630D1">
        <w:t>m</w:t>
      </w:r>
      <w:r w:rsidR="00DA5F7F" w:rsidRPr="00D630D1">
        <w:rPr>
          <w:vertAlign w:val="superscript"/>
        </w:rPr>
        <w:t>3</w:t>
      </w:r>
      <w:r w:rsidR="00DA5F7F" w:rsidRPr="00D630D1">
        <w:t>/d</w:t>
      </w:r>
      <w:r w:rsidR="00DA5F7F" w:rsidRPr="00D630D1">
        <w:t>。</w:t>
      </w:r>
    </w:p>
    <w:p w:rsidR="00FA1A23" w:rsidRDefault="00FA1A23" w:rsidP="00FA1A23">
      <w:pPr>
        <w:pStyle w:val="10"/>
        <w:rPr>
          <w:rFonts w:cs="Times New Roman"/>
        </w:rPr>
      </w:pPr>
      <w:r w:rsidRPr="00D630D1">
        <w:rPr>
          <w:rFonts w:cs="Times New Roman"/>
        </w:rPr>
        <w:t>表</w:t>
      </w:r>
      <w:r w:rsidRPr="00D630D1">
        <w:rPr>
          <w:rFonts w:cs="Times New Roman"/>
        </w:rPr>
        <w:t>3.</w:t>
      </w:r>
      <w:r w:rsidR="00AD59E9" w:rsidRPr="00D630D1">
        <w:rPr>
          <w:rFonts w:cs="Times New Roman" w:hint="eastAsia"/>
        </w:rPr>
        <w:t>5</w:t>
      </w:r>
      <w:r w:rsidRPr="00D630D1">
        <w:rPr>
          <w:rFonts w:cs="Times New Roman"/>
        </w:rPr>
        <w:t>-</w:t>
      </w:r>
      <w:r w:rsidR="00AD59E9" w:rsidRPr="00D630D1">
        <w:rPr>
          <w:rFonts w:cs="Times New Roman" w:hint="eastAsia"/>
        </w:rPr>
        <w:t>1</w:t>
      </w:r>
      <w:r w:rsidRPr="00D630D1">
        <w:rPr>
          <w:rFonts w:cs="Times New Roman"/>
        </w:rPr>
        <w:t xml:space="preserve">  </w:t>
      </w:r>
      <w:r w:rsidR="001B32FD">
        <w:rPr>
          <w:rFonts w:cs="Times New Roman" w:hint="eastAsia"/>
        </w:rPr>
        <w:t>集输工艺</w:t>
      </w:r>
      <w:r w:rsidR="001B32FD">
        <w:rPr>
          <w:rFonts w:cs="Times New Roman"/>
        </w:rPr>
        <w:t>主要</w:t>
      </w:r>
      <w:r w:rsidRPr="00D630D1">
        <w:rPr>
          <w:rFonts w:cs="Times New Roman"/>
        </w:rPr>
        <w:t>设备表</w:t>
      </w:r>
    </w:p>
    <w:tbl>
      <w:tblPr>
        <w:tblW w:w="8959" w:type="dxa"/>
        <w:jc w:val="center"/>
        <w:tblBorders>
          <w:top w:val="single" w:sz="12" w:space="0" w:color="auto"/>
          <w:bottom w:val="single" w:sz="12" w:space="0" w:color="auto"/>
          <w:insideH w:val="single" w:sz="4" w:space="0" w:color="auto"/>
          <w:insideV w:val="single" w:sz="4" w:space="0" w:color="auto"/>
        </w:tblBorders>
        <w:tblLook w:val="04A0"/>
      </w:tblPr>
      <w:tblGrid>
        <w:gridCol w:w="892"/>
        <w:gridCol w:w="5529"/>
        <w:gridCol w:w="762"/>
        <w:gridCol w:w="751"/>
        <w:gridCol w:w="1025"/>
      </w:tblGrid>
      <w:tr w:rsidR="001B32FD" w:rsidRPr="001B32FD" w:rsidTr="001B32FD">
        <w:trPr>
          <w:trHeight w:val="288"/>
          <w:jc w:val="center"/>
        </w:trPr>
        <w:tc>
          <w:tcPr>
            <w:tcW w:w="892"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序号</w:t>
            </w: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主要工程量</w:t>
            </w:r>
          </w:p>
        </w:tc>
        <w:tc>
          <w:tcPr>
            <w:tcW w:w="762"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单位</w:t>
            </w:r>
          </w:p>
        </w:tc>
        <w:tc>
          <w:tcPr>
            <w:tcW w:w="751"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数量</w:t>
            </w:r>
          </w:p>
        </w:tc>
        <w:tc>
          <w:tcPr>
            <w:tcW w:w="1025"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备注</w:t>
            </w: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b/>
                <w:bCs/>
                <w:kern w:val="2"/>
                <w:sz w:val="21"/>
              </w:rPr>
            </w:pPr>
            <w:r w:rsidRPr="001B32FD">
              <w:rPr>
                <w:rFonts w:ascii="Times New Roman" w:eastAsiaTheme="minorEastAsia" w:hAnsiTheme="minorEastAsia" w:cs="Times New Roman"/>
                <w:b/>
                <w:bCs/>
                <w:kern w:val="2"/>
                <w:sz w:val="21"/>
              </w:rPr>
              <w:t>一</w:t>
            </w: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b/>
                <w:bCs/>
                <w:kern w:val="2"/>
                <w:sz w:val="21"/>
              </w:rPr>
            </w:pPr>
            <w:r w:rsidRPr="001B32FD">
              <w:rPr>
                <w:rFonts w:ascii="Times New Roman" w:eastAsiaTheme="minorEastAsia" w:hAnsiTheme="minorEastAsia" w:cs="Times New Roman"/>
                <w:b/>
                <w:bCs/>
                <w:kern w:val="2"/>
                <w:sz w:val="21"/>
              </w:rPr>
              <w:t>普光</w:t>
            </w:r>
            <w:r w:rsidRPr="001B32FD">
              <w:rPr>
                <w:rFonts w:ascii="Times New Roman" w:eastAsiaTheme="minorEastAsia" w:cs="Times New Roman"/>
                <w:b/>
                <w:bCs/>
                <w:kern w:val="2"/>
                <w:sz w:val="21"/>
              </w:rPr>
              <w:t>12</w:t>
            </w:r>
            <w:r w:rsidRPr="001B32FD">
              <w:rPr>
                <w:rFonts w:ascii="Times New Roman" w:eastAsiaTheme="minorEastAsia" w:hAnsiTheme="minorEastAsia" w:cs="Times New Roman"/>
                <w:b/>
                <w:bCs/>
                <w:kern w:val="2"/>
                <w:sz w:val="21"/>
              </w:rPr>
              <w:t>采气站</w:t>
            </w:r>
          </w:p>
        </w:tc>
        <w:tc>
          <w:tcPr>
            <w:tcW w:w="762"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c>
          <w:tcPr>
            <w:tcW w:w="751"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c>
          <w:tcPr>
            <w:tcW w:w="1025"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w:t>
            </w:r>
          </w:p>
        </w:tc>
        <w:tc>
          <w:tcPr>
            <w:tcW w:w="5529"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除砂器撬</w:t>
            </w:r>
            <w:r w:rsidRPr="001B32FD">
              <w:rPr>
                <w:rFonts w:ascii="Times New Roman" w:eastAsiaTheme="minorEastAsia" w:cs="Times New Roman"/>
                <w:kern w:val="2"/>
                <w:sz w:val="21"/>
              </w:rPr>
              <w:t xml:space="preserve"> DN600 Class1500</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套</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8</w:t>
            </w:r>
          </w:p>
        </w:tc>
        <w:tc>
          <w:tcPr>
            <w:tcW w:w="1025"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2</w:t>
            </w:r>
          </w:p>
        </w:tc>
        <w:tc>
          <w:tcPr>
            <w:tcW w:w="5529"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8</w:t>
            </w:r>
            <w:r w:rsidRPr="001B32FD">
              <w:rPr>
                <w:rFonts w:ascii="Times New Roman" w:eastAsiaTheme="minorEastAsia" w:hAnsiTheme="minorEastAsia" w:cs="Times New Roman"/>
                <w:kern w:val="2"/>
                <w:sz w:val="21"/>
              </w:rPr>
              <w:t>盘管水套加热炉撬</w:t>
            </w:r>
            <w:r w:rsidRPr="001B32FD">
              <w:rPr>
                <w:rFonts w:ascii="Times New Roman" w:eastAsiaTheme="minorEastAsia" w:cs="Times New Roman"/>
                <w:kern w:val="2"/>
                <w:sz w:val="21"/>
              </w:rPr>
              <w:t xml:space="preserve"> 800kW Class1500</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套</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2</w:t>
            </w:r>
          </w:p>
        </w:tc>
        <w:tc>
          <w:tcPr>
            <w:tcW w:w="1025"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3</w:t>
            </w: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8</w:t>
            </w:r>
            <w:r w:rsidRPr="001B32FD">
              <w:rPr>
                <w:rFonts w:ascii="Times New Roman" w:eastAsiaTheme="minorEastAsia" w:hAnsiTheme="minorEastAsia" w:cs="Times New Roman"/>
                <w:kern w:val="2"/>
                <w:sz w:val="21"/>
              </w:rPr>
              <w:t>井式混相计量撬</w:t>
            </w:r>
            <w:r w:rsidRPr="001B32FD">
              <w:rPr>
                <w:rFonts w:ascii="Times New Roman" w:eastAsiaTheme="minorEastAsia" w:cs="Times New Roman"/>
                <w:kern w:val="2"/>
                <w:sz w:val="21"/>
              </w:rPr>
              <w:t xml:space="preserve"> Class900</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套</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w:t>
            </w:r>
          </w:p>
        </w:tc>
        <w:tc>
          <w:tcPr>
            <w:tcW w:w="1025"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4</w:t>
            </w: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气液两相分离器</w:t>
            </w:r>
            <w:r w:rsidRPr="001B32FD">
              <w:rPr>
                <w:rFonts w:ascii="Times New Roman" w:eastAsiaTheme="minorEastAsia" w:cs="Times New Roman"/>
                <w:kern w:val="2"/>
                <w:sz w:val="21"/>
              </w:rPr>
              <w:t xml:space="preserve"> φ1200×6000 PN10MPa</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座</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5</w:t>
            </w: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三相闪蒸分离器</w:t>
            </w:r>
            <w:r w:rsidRPr="001B32FD">
              <w:rPr>
                <w:rFonts w:ascii="Times New Roman" w:eastAsiaTheme="minorEastAsia" w:cs="Times New Roman"/>
                <w:kern w:val="2"/>
                <w:sz w:val="21"/>
              </w:rPr>
              <w:t>φ1200×6000 PN0.48 MPa</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座</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6</w:t>
            </w: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燃料气分液罐</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座</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7</w:t>
            </w: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燃料气调压撬</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座</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8</w:t>
            </w: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50</w:t>
            </w:r>
            <w:r w:rsidRPr="001B32FD">
              <w:rPr>
                <w:rFonts w:ascii="Times New Roman" w:eastAsiaTheme="minorEastAsia" w:hAnsiTheme="minorEastAsia" w:cs="Times New Roman"/>
                <w:kern w:val="2"/>
                <w:sz w:val="21"/>
              </w:rPr>
              <w:t>方水罐</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座</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3</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9</w:t>
            </w: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50</w:t>
            </w:r>
            <w:r w:rsidRPr="001B32FD">
              <w:rPr>
                <w:rFonts w:ascii="Times New Roman" w:eastAsiaTheme="minorEastAsia" w:hAnsiTheme="minorEastAsia" w:cs="Times New Roman"/>
                <w:kern w:val="2"/>
                <w:sz w:val="21"/>
              </w:rPr>
              <w:t>方凝析油罐</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座</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2</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10</w:t>
            </w:r>
          </w:p>
        </w:tc>
        <w:tc>
          <w:tcPr>
            <w:tcW w:w="5529"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火炬分液罐</w:t>
            </w:r>
            <w:r w:rsidRPr="001B32FD">
              <w:rPr>
                <w:rFonts w:ascii="Times New Roman" w:eastAsiaTheme="minorEastAsia" w:cs="Times New Roman"/>
                <w:kern w:val="2"/>
                <w:sz w:val="21"/>
              </w:rPr>
              <w:t>φ1600×6000</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套</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11</w:t>
            </w:r>
          </w:p>
        </w:tc>
        <w:tc>
          <w:tcPr>
            <w:tcW w:w="5529"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放空火炬（带自动点火装置）</w:t>
            </w:r>
            <w:r w:rsidRPr="001B32FD">
              <w:rPr>
                <w:rFonts w:ascii="Times New Roman" w:eastAsiaTheme="minorEastAsia" w:cs="Times New Roman"/>
                <w:kern w:val="2"/>
                <w:sz w:val="21"/>
              </w:rPr>
              <w:t>DN250</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套</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12</w:t>
            </w:r>
          </w:p>
        </w:tc>
        <w:tc>
          <w:tcPr>
            <w:tcW w:w="5529"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设备梯子平台</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t</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3</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13</w:t>
            </w: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清管阀</w:t>
            </w:r>
            <w:r w:rsidRPr="001B32FD">
              <w:rPr>
                <w:rFonts w:ascii="Times New Roman" w:eastAsiaTheme="minorEastAsia" w:cs="Times New Roman"/>
                <w:kern w:val="2"/>
                <w:sz w:val="21"/>
              </w:rPr>
              <w:t xml:space="preserve"> DN200  Class 900</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座</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w:t>
            </w:r>
          </w:p>
        </w:tc>
        <w:tc>
          <w:tcPr>
            <w:tcW w:w="1025"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14</w:t>
            </w: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电动球阀</w:t>
            </w:r>
            <w:r w:rsidRPr="001B32FD">
              <w:rPr>
                <w:rFonts w:ascii="Times New Roman" w:eastAsiaTheme="minorEastAsia" w:cs="Times New Roman"/>
                <w:kern w:val="2"/>
                <w:sz w:val="21"/>
              </w:rPr>
              <w:t xml:space="preserve"> </w:t>
            </w:r>
            <w:r w:rsidRPr="001B32FD">
              <w:rPr>
                <w:rFonts w:ascii="Times New Roman" w:eastAsiaTheme="minorEastAsia" w:hAnsiTheme="minorEastAsia" w:cs="Times New Roman"/>
                <w:kern w:val="2"/>
                <w:sz w:val="21"/>
              </w:rPr>
              <w:t>带执行机构</w:t>
            </w:r>
          </w:p>
        </w:tc>
        <w:tc>
          <w:tcPr>
            <w:tcW w:w="762"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c>
          <w:tcPr>
            <w:tcW w:w="751"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c>
          <w:tcPr>
            <w:tcW w:w="1025"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r>
      <w:tr w:rsidR="001B32FD" w:rsidRPr="001B32FD" w:rsidTr="001B32FD">
        <w:trPr>
          <w:trHeight w:val="288"/>
          <w:jc w:val="center"/>
        </w:trPr>
        <w:tc>
          <w:tcPr>
            <w:tcW w:w="89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DN50 Class 900</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座</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3</w:t>
            </w:r>
          </w:p>
        </w:tc>
        <w:tc>
          <w:tcPr>
            <w:tcW w:w="1025"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r>
      <w:tr w:rsidR="001B32FD" w:rsidRPr="001B32FD" w:rsidTr="001B32FD">
        <w:trPr>
          <w:trHeight w:val="288"/>
          <w:jc w:val="center"/>
        </w:trPr>
        <w:tc>
          <w:tcPr>
            <w:tcW w:w="89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c>
          <w:tcPr>
            <w:tcW w:w="5529"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DN150 Class 900</w:t>
            </w:r>
          </w:p>
        </w:tc>
        <w:tc>
          <w:tcPr>
            <w:tcW w:w="76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座</w:t>
            </w:r>
          </w:p>
        </w:tc>
        <w:tc>
          <w:tcPr>
            <w:tcW w:w="751"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2</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15</w:t>
            </w:r>
          </w:p>
        </w:tc>
        <w:tc>
          <w:tcPr>
            <w:tcW w:w="5529"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撬装活动板房</w:t>
            </w:r>
            <w:r w:rsidRPr="001B32FD">
              <w:rPr>
                <w:rFonts w:ascii="Times New Roman" w:eastAsiaTheme="minorEastAsia" w:cs="Times New Roman"/>
                <w:kern w:val="2"/>
                <w:sz w:val="21"/>
              </w:rPr>
              <w:t xml:space="preserve"> 12*2.5*2.7m</w:t>
            </w:r>
          </w:p>
        </w:tc>
        <w:tc>
          <w:tcPr>
            <w:tcW w:w="76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座</w:t>
            </w:r>
          </w:p>
        </w:tc>
        <w:tc>
          <w:tcPr>
            <w:tcW w:w="751"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2</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b/>
                <w:bCs/>
                <w:kern w:val="2"/>
                <w:sz w:val="21"/>
              </w:rPr>
            </w:pPr>
            <w:r w:rsidRPr="001B32FD">
              <w:rPr>
                <w:rFonts w:ascii="Times New Roman" w:eastAsiaTheme="minorEastAsia" w:hAnsiTheme="minorEastAsia" w:cs="Times New Roman"/>
                <w:b/>
                <w:bCs/>
                <w:kern w:val="2"/>
                <w:sz w:val="21"/>
              </w:rPr>
              <w:t>二</w:t>
            </w:r>
          </w:p>
        </w:tc>
        <w:tc>
          <w:tcPr>
            <w:tcW w:w="5529"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b/>
                <w:bCs/>
                <w:kern w:val="2"/>
                <w:sz w:val="21"/>
              </w:rPr>
            </w:pPr>
            <w:r w:rsidRPr="001B32FD">
              <w:rPr>
                <w:rFonts w:ascii="Times New Roman" w:eastAsiaTheme="minorEastAsia" w:hAnsiTheme="minorEastAsia" w:cs="Times New Roman"/>
                <w:b/>
                <w:bCs/>
                <w:kern w:val="2"/>
                <w:sz w:val="21"/>
              </w:rPr>
              <w:t>普光</w:t>
            </w:r>
            <w:r w:rsidRPr="001B32FD">
              <w:rPr>
                <w:rFonts w:ascii="Times New Roman" w:eastAsiaTheme="minorEastAsia" w:cs="Times New Roman"/>
                <w:b/>
                <w:bCs/>
                <w:kern w:val="2"/>
                <w:sz w:val="21"/>
              </w:rPr>
              <w:t>12</w:t>
            </w:r>
            <w:r w:rsidRPr="001B32FD">
              <w:rPr>
                <w:rFonts w:ascii="Times New Roman" w:eastAsiaTheme="minorEastAsia" w:hAnsiTheme="minorEastAsia" w:cs="Times New Roman"/>
                <w:b/>
                <w:bCs/>
                <w:kern w:val="2"/>
                <w:sz w:val="21"/>
              </w:rPr>
              <w:t>外输管线</w:t>
            </w:r>
          </w:p>
        </w:tc>
        <w:tc>
          <w:tcPr>
            <w:tcW w:w="762"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c>
          <w:tcPr>
            <w:tcW w:w="751"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c>
          <w:tcPr>
            <w:tcW w:w="1025"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w:t>
            </w:r>
          </w:p>
        </w:tc>
        <w:tc>
          <w:tcPr>
            <w:tcW w:w="5529"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无缝钢管</w:t>
            </w:r>
            <w:r w:rsidRPr="001B32FD">
              <w:rPr>
                <w:rFonts w:ascii="Times New Roman" w:eastAsiaTheme="minorEastAsia" w:cs="Times New Roman"/>
                <w:kern w:val="2"/>
                <w:sz w:val="21"/>
              </w:rPr>
              <w:t>D219×8  L245N  GB/T 9711-2017</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km</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3</w:t>
            </w:r>
          </w:p>
        </w:tc>
        <w:tc>
          <w:tcPr>
            <w:tcW w:w="1025"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2</w:t>
            </w:r>
          </w:p>
        </w:tc>
        <w:tc>
          <w:tcPr>
            <w:tcW w:w="5529"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无缝钢管</w:t>
            </w:r>
            <w:r w:rsidRPr="001B32FD">
              <w:rPr>
                <w:rFonts w:ascii="Times New Roman" w:eastAsiaTheme="minorEastAsia" w:cs="Times New Roman"/>
                <w:kern w:val="2"/>
                <w:sz w:val="21"/>
              </w:rPr>
              <w:t>D219×8  L245N  GB/T 9711-2017</w:t>
            </w:r>
            <w:r>
              <w:rPr>
                <w:rFonts w:ascii="Times New Roman" w:eastAsiaTheme="minorEastAsia" w:cs="Times New Roman" w:hint="eastAsia"/>
                <w:kern w:val="2"/>
                <w:sz w:val="21"/>
              </w:rPr>
              <w:t>（</w:t>
            </w:r>
            <w:r w:rsidRPr="001B32FD">
              <w:rPr>
                <w:rFonts w:ascii="Times New Roman" w:eastAsiaTheme="minorEastAsia" w:hAnsiTheme="minorEastAsia" w:cs="Times New Roman"/>
                <w:kern w:val="2"/>
                <w:sz w:val="21"/>
              </w:rPr>
              <w:t>穿跨越</w:t>
            </w:r>
            <w:r>
              <w:rPr>
                <w:rFonts w:ascii="Times New Roman" w:eastAsiaTheme="minorEastAsia" w:hAnsiTheme="minorEastAsia" w:cs="Times New Roman" w:hint="eastAsia"/>
                <w:kern w:val="2"/>
                <w:sz w:val="21"/>
              </w:rPr>
              <w:t>公路</w:t>
            </w:r>
            <w:r>
              <w:rPr>
                <w:rFonts w:ascii="Times New Roman" w:eastAsiaTheme="minorEastAsia" w:cs="Times New Roman" w:hint="eastAsia"/>
                <w:kern w:val="2"/>
                <w:sz w:val="21"/>
              </w:rPr>
              <w:t>）</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km</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0.04</w:t>
            </w:r>
          </w:p>
        </w:tc>
        <w:tc>
          <w:tcPr>
            <w:tcW w:w="1025"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r>
      <w:tr w:rsidR="001B32FD" w:rsidRPr="001B32FD" w:rsidTr="001B32FD">
        <w:trPr>
          <w:trHeight w:val="288"/>
          <w:jc w:val="center"/>
        </w:trPr>
        <w:tc>
          <w:tcPr>
            <w:tcW w:w="89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3</w:t>
            </w:r>
          </w:p>
        </w:tc>
        <w:tc>
          <w:tcPr>
            <w:tcW w:w="5529"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热煨弯头</w:t>
            </w:r>
            <w:r w:rsidRPr="001B32FD">
              <w:rPr>
                <w:rFonts w:ascii="Times New Roman" w:eastAsiaTheme="minorEastAsia" w:cs="Times New Roman"/>
                <w:kern w:val="2"/>
                <w:sz w:val="21"/>
              </w:rPr>
              <w:t xml:space="preserve"> R=6D D219×8.5 L245N SY/T5257-2012</w:t>
            </w:r>
          </w:p>
        </w:tc>
        <w:tc>
          <w:tcPr>
            <w:tcW w:w="762"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个</w:t>
            </w:r>
          </w:p>
        </w:tc>
        <w:tc>
          <w:tcPr>
            <w:tcW w:w="751" w:type="dxa"/>
            <w:shd w:val="clear" w:color="auto" w:fill="auto"/>
            <w:noWrap/>
            <w:vAlign w:val="center"/>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25</w:t>
            </w:r>
          </w:p>
        </w:tc>
        <w:tc>
          <w:tcPr>
            <w:tcW w:w="1025" w:type="dxa"/>
            <w:shd w:val="clear" w:color="auto" w:fill="auto"/>
            <w:noWrap/>
            <w:vAlign w:val="bottom"/>
            <w:hideMark/>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 xml:space="preserve">　</w:t>
            </w:r>
          </w:p>
        </w:tc>
      </w:tr>
      <w:tr w:rsidR="001B32FD" w:rsidRPr="001B32FD" w:rsidTr="001B32FD">
        <w:trPr>
          <w:trHeight w:val="288"/>
          <w:jc w:val="center"/>
        </w:trPr>
        <w:tc>
          <w:tcPr>
            <w:tcW w:w="89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b/>
                <w:kern w:val="2"/>
                <w:sz w:val="21"/>
              </w:rPr>
            </w:pPr>
            <w:r w:rsidRPr="001B32FD">
              <w:rPr>
                <w:rFonts w:ascii="Times New Roman" w:eastAsiaTheme="minorEastAsia" w:hAnsiTheme="minorEastAsia" w:cs="Times New Roman"/>
                <w:b/>
                <w:kern w:val="2"/>
                <w:sz w:val="21"/>
              </w:rPr>
              <w:t>三</w:t>
            </w:r>
          </w:p>
        </w:tc>
        <w:tc>
          <w:tcPr>
            <w:tcW w:w="5529"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b/>
                <w:kern w:val="2"/>
                <w:sz w:val="21"/>
              </w:rPr>
            </w:pPr>
            <w:r w:rsidRPr="001B32FD">
              <w:rPr>
                <w:rFonts w:ascii="Times New Roman" w:eastAsiaTheme="minorEastAsia" w:hAnsiTheme="minorEastAsia" w:cs="Times New Roman"/>
                <w:b/>
                <w:kern w:val="2"/>
                <w:sz w:val="21"/>
              </w:rPr>
              <w:t>普陆</w:t>
            </w:r>
            <w:r w:rsidRPr="001B32FD">
              <w:rPr>
                <w:rFonts w:ascii="Times New Roman" w:eastAsiaTheme="minorEastAsia" w:cs="Times New Roman"/>
                <w:b/>
                <w:kern w:val="2"/>
                <w:sz w:val="21"/>
              </w:rPr>
              <w:t>3</w:t>
            </w:r>
            <w:r w:rsidRPr="001B32FD">
              <w:rPr>
                <w:rFonts w:ascii="Times New Roman" w:eastAsiaTheme="minorEastAsia" w:hAnsiTheme="minorEastAsia" w:cs="Times New Roman"/>
                <w:b/>
                <w:kern w:val="2"/>
                <w:sz w:val="21"/>
              </w:rPr>
              <w:t>外输管线</w:t>
            </w:r>
          </w:p>
        </w:tc>
        <w:tc>
          <w:tcPr>
            <w:tcW w:w="76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c>
          <w:tcPr>
            <w:tcW w:w="751"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1</w:t>
            </w:r>
          </w:p>
        </w:tc>
        <w:tc>
          <w:tcPr>
            <w:tcW w:w="5529"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无缝钢管</w:t>
            </w:r>
            <w:r w:rsidRPr="001B32FD">
              <w:rPr>
                <w:rFonts w:ascii="Times New Roman" w:eastAsiaTheme="minorEastAsia" w:cs="Times New Roman"/>
                <w:kern w:val="2"/>
                <w:sz w:val="21"/>
              </w:rPr>
              <w:t>D159×8  L245N  GB/T 9711-2017</w:t>
            </w:r>
          </w:p>
        </w:tc>
        <w:tc>
          <w:tcPr>
            <w:tcW w:w="76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km</w:t>
            </w:r>
          </w:p>
        </w:tc>
        <w:tc>
          <w:tcPr>
            <w:tcW w:w="751"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0.972</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2</w:t>
            </w:r>
          </w:p>
        </w:tc>
        <w:tc>
          <w:tcPr>
            <w:tcW w:w="5529"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无缝钢管</w:t>
            </w:r>
            <w:r w:rsidRPr="001B32FD">
              <w:rPr>
                <w:rFonts w:ascii="Times New Roman" w:eastAsiaTheme="minorEastAsia" w:cs="Times New Roman"/>
                <w:kern w:val="2"/>
                <w:sz w:val="21"/>
              </w:rPr>
              <w:t>D159×8  L245N  GB/T 9711-2017</w:t>
            </w:r>
            <w:r>
              <w:rPr>
                <w:rFonts w:ascii="Times New Roman" w:eastAsiaTheme="minorEastAsia" w:cs="Times New Roman" w:hint="eastAsia"/>
                <w:kern w:val="2"/>
                <w:sz w:val="21"/>
              </w:rPr>
              <w:t>（</w:t>
            </w:r>
            <w:r w:rsidRPr="001B32FD">
              <w:rPr>
                <w:rFonts w:ascii="Times New Roman" w:eastAsiaTheme="minorEastAsia" w:hAnsiTheme="minorEastAsia" w:cs="Times New Roman"/>
                <w:kern w:val="2"/>
                <w:sz w:val="21"/>
              </w:rPr>
              <w:t>穿跨越</w:t>
            </w:r>
            <w:r>
              <w:rPr>
                <w:rFonts w:ascii="Times New Roman" w:eastAsiaTheme="minorEastAsia" w:hAnsiTheme="minorEastAsia" w:cs="Times New Roman" w:hint="eastAsia"/>
                <w:kern w:val="2"/>
                <w:sz w:val="21"/>
              </w:rPr>
              <w:t>公路</w:t>
            </w:r>
            <w:r>
              <w:rPr>
                <w:rFonts w:ascii="Times New Roman" w:eastAsiaTheme="minorEastAsia" w:cs="Times New Roman" w:hint="eastAsia"/>
                <w:kern w:val="2"/>
                <w:sz w:val="21"/>
              </w:rPr>
              <w:t>）</w:t>
            </w:r>
          </w:p>
        </w:tc>
        <w:tc>
          <w:tcPr>
            <w:tcW w:w="76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km</w:t>
            </w:r>
          </w:p>
        </w:tc>
        <w:tc>
          <w:tcPr>
            <w:tcW w:w="751"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0.008</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r w:rsidR="001B32FD" w:rsidRPr="001B32FD" w:rsidTr="001B32FD">
        <w:trPr>
          <w:trHeight w:val="288"/>
          <w:jc w:val="center"/>
        </w:trPr>
        <w:tc>
          <w:tcPr>
            <w:tcW w:w="89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3</w:t>
            </w:r>
          </w:p>
        </w:tc>
        <w:tc>
          <w:tcPr>
            <w:tcW w:w="5529"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热煨弯头</w:t>
            </w:r>
            <w:r w:rsidRPr="001B32FD">
              <w:rPr>
                <w:rFonts w:ascii="Times New Roman" w:eastAsiaTheme="minorEastAsia" w:cs="Times New Roman"/>
                <w:kern w:val="2"/>
                <w:sz w:val="21"/>
              </w:rPr>
              <w:t xml:space="preserve"> R=6D D159×8.5 L245N SY/T5257-2012</w:t>
            </w:r>
          </w:p>
        </w:tc>
        <w:tc>
          <w:tcPr>
            <w:tcW w:w="762"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hAnsiTheme="minorEastAsia" w:cs="Times New Roman"/>
                <w:kern w:val="2"/>
                <w:sz w:val="21"/>
              </w:rPr>
              <w:t>个</w:t>
            </w:r>
          </w:p>
        </w:tc>
        <w:tc>
          <w:tcPr>
            <w:tcW w:w="751" w:type="dxa"/>
            <w:shd w:val="clear" w:color="auto" w:fill="auto"/>
            <w:noWrap/>
            <w:vAlign w:val="center"/>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r w:rsidRPr="001B32FD">
              <w:rPr>
                <w:rFonts w:ascii="Times New Roman" w:eastAsiaTheme="minorEastAsia" w:cs="Times New Roman"/>
                <w:kern w:val="2"/>
                <w:sz w:val="21"/>
              </w:rPr>
              <w:t>7</w:t>
            </w:r>
          </w:p>
        </w:tc>
        <w:tc>
          <w:tcPr>
            <w:tcW w:w="1025" w:type="dxa"/>
            <w:shd w:val="clear" w:color="auto" w:fill="auto"/>
            <w:noWrap/>
            <w:vAlign w:val="bottom"/>
          </w:tcPr>
          <w:p w:rsidR="001B32FD" w:rsidRPr="001B32FD" w:rsidRDefault="001B32FD" w:rsidP="001B32FD">
            <w:pPr>
              <w:topLinePunct w:val="0"/>
              <w:adjustRightInd/>
              <w:spacing w:line="400" w:lineRule="exact"/>
              <w:ind w:firstLineChars="0" w:firstLine="0"/>
              <w:jc w:val="center"/>
              <w:rPr>
                <w:rFonts w:ascii="Times New Roman" w:eastAsiaTheme="minorEastAsia" w:cs="Times New Roman"/>
                <w:kern w:val="2"/>
                <w:sz w:val="21"/>
              </w:rPr>
            </w:pPr>
          </w:p>
        </w:tc>
      </w:tr>
    </w:tbl>
    <w:p w:rsidR="00C663DE" w:rsidRPr="00D630D1" w:rsidRDefault="00C663DE" w:rsidP="00C663DE">
      <w:pPr>
        <w:pStyle w:val="2"/>
        <w:spacing w:before="120"/>
        <w:rPr>
          <w:rFonts w:cs="Times New Roman"/>
        </w:rPr>
      </w:pPr>
      <w:bookmarkStart w:id="165" w:name="_Toc19815956"/>
      <w:bookmarkStart w:id="166" w:name="_Toc12288400"/>
      <w:bookmarkStart w:id="167" w:name="_Toc81515269"/>
      <w:r w:rsidRPr="00D630D1">
        <w:rPr>
          <w:rFonts w:cs="Times New Roman"/>
        </w:rPr>
        <w:t>3.</w:t>
      </w:r>
      <w:r w:rsidR="00AD59E9" w:rsidRPr="00D630D1">
        <w:rPr>
          <w:rFonts w:cs="Times New Roman" w:hint="eastAsia"/>
        </w:rPr>
        <w:t>6</w:t>
      </w:r>
      <w:r w:rsidRPr="00D630D1">
        <w:rPr>
          <w:rFonts w:cs="Times New Roman"/>
        </w:rPr>
        <w:t xml:space="preserve"> </w:t>
      </w:r>
      <w:r w:rsidRPr="00D630D1">
        <w:rPr>
          <w:rFonts w:cs="Times New Roman"/>
        </w:rPr>
        <w:t>线路工程</w:t>
      </w:r>
      <w:bookmarkEnd w:id="165"/>
      <w:bookmarkEnd w:id="166"/>
      <w:bookmarkEnd w:id="167"/>
    </w:p>
    <w:p w:rsidR="00C663DE" w:rsidRPr="00D630D1" w:rsidRDefault="00C663DE" w:rsidP="00C663DE">
      <w:pPr>
        <w:pStyle w:val="3"/>
        <w:rPr>
          <w:rFonts w:eastAsia="宋体"/>
        </w:rPr>
      </w:pPr>
      <w:r w:rsidRPr="00D630D1">
        <w:rPr>
          <w:rFonts w:eastAsia="宋体"/>
        </w:rPr>
        <w:t>3.</w:t>
      </w:r>
      <w:r w:rsidR="00AD59E9" w:rsidRPr="00D630D1">
        <w:rPr>
          <w:rFonts w:eastAsia="宋体" w:hint="eastAsia"/>
        </w:rPr>
        <w:t>6</w:t>
      </w:r>
      <w:r w:rsidRPr="00D630D1">
        <w:rPr>
          <w:rFonts w:eastAsia="宋体"/>
        </w:rPr>
        <w:t xml:space="preserve">.1 </w:t>
      </w:r>
      <w:r w:rsidRPr="00D630D1">
        <w:rPr>
          <w:rFonts w:eastAsia="宋体"/>
        </w:rPr>
        <w:t>线路走向</w:t>
      </w:r>
    </w:p>
    <w:p w:rsidR="00C01C7F" w:rsidRPr="00D630D1" w:rsidRDefault="00C01C7F" w:rsidP="00C01C7F">
      <w:pPr>
        <w:pStyle w:val="afa"/>
        <w:ind w:firstLine="480"/>
      </w:pPr>
      <w:r w:rsidRPr="00D630D1">
        <w:rPr>
          <w:rFonts w:hint="eastAsia"/>
        </w:rPr>
        <w:t>（</w:t>
      </w:r>
      <w:r w:rsidRPr="00D630D1">
        <w:rPr>
          <w:rFonts w:hint="eastAsia"/>
        </w:rPr>
        <w:t>1</w:t>
      </w:r>
      <w:r w:rsidRPr="00D630D1">
        <w:rPr>
          <w:rFonts w:hint="eastAsia"/>
        </w:rPr>
        <w:t>）</w:t>
      </w:r>
      <w:r w:rsidR="00DD3EA1">
        <w:rPr>
          <w:rFonts w:hint="eastAsia"/>
        </w:rPr>
        <w:t>普光</w:t>
      </w:r>
      <w:r w:rsidR="00DD3EA1">
        <w:rPr>
          <w:rFonts w:hint="eastAsia"/>
        </w:rPr>
        <w:t>12</w:t>
      </w:r>
      <w:r w:rsidR="00DD3EA1">
        <w:rPr>
          <w:rFonts w:hint="eastAsia"/>
        </w:rPr>
        <w:t>采气站</w:t>
      </w:r>
      <w:r w:rsidR="00200C3C" w:rsidRPr="00D630D1">
        <w:rPr>
          <w:rFonts w:hint="eastAsia"/>
        </w:rPr>
        <w:t>~</w:t>
      </w:r>
      <w:r w:rsidR="00B958B8" w:rsidRPr="00D630D1">
        <w:rPr>
          <w:rFonts w:hint="eastAsia"/>
        </w:rPr>
        <w:t xml:space="preserve"> </w:t>
      </w:r>
      <w:r w:rsidR="005471F7">
        <w:rPr>
          <w:rFonts w:hint="eastAsia"/>
        </w:rPr>
        <w:t>普陆</w:t>
      </w:r>
      <w:r w:rsidR="005471F7">
        <w:rPr>
          <w:rFonts w:hint="eastAsia"/>
        </w:rPr>
        <w:t>3</w:t>
      </w:r>
      <w:r w:rsidR="005471F7">
        <w:rPr>
          <w:rFonts w:hint="eastAsia"/>
        </w:rPr>
        <w:t>集气站</w:t>
      </w:r>
      <w:r w:rsidR="00200C3C" w:rsidRPr="00D630D1">
        <w:rPr>
          <w:rFonts w:hint="eastAsia"/>
        </w:rPr>
        <w:t>集气管道</w:t>
      </w:r>
    </w:p>
    <w:p w:rsidR="00763FC5" w:rsidRPr="00D630D1" w:rsidRDefault="00024CC8" w:rsidP="00C01C7F">
      <w:pPr>
        <w:pStyle w:val="afa"/>
        <w:ind w:firstLine="480"/>
      </w:pPr>
      <w:r w:rsidRPr="00024CC8">
        <w:rPr>
          <w:rFonts w:hint="eastAsia"/>
        </w:rPr>
        <w:t>设计压力</w:t>
      </w:r>
      <w:r w:rsidRPr="00024CC8">
        <w:rPr>
          <w:rFonts w:hint="eastAsia"/>
        </w:rPr>
        <w:t>11MPa</w:t>
      </w:r>
      <w:r w:rsidRPr="00024CC8">
        <w:rPr>
          <w:rFonts w:hint="eastAsia"/>
        </w:rPr>
        <w:t>，</w:t>
      </w:r>
      <w:r w:rsidRPr="00024CC8">
        <w:t>材质为</w:t>
      </w:r>
      <w:r w:rsidRPr="00024CC8">
        <w:rPr>
          <w:rFonts w:hint="eastAsia"/>
        </w:rPr>
        <w:t>L</w:t>
      </w:r>
      <w:r w:rsidRPr="00024CC8">
        <w:t>245</w:t>
      </w:r>
      <w:r w:rsidRPr="00024CC8">
        <w:rPr>
          <w:rFonts w:hint="eastAsia"/>
        </w:rPr>
        <w:t>N</w:t>
      </w:r>
      <w:r w:rsidRPr="00024CC8">
        <w:rPr>
          <w:rFonts w:hint="eastAsia"/>
        </w:rPr>
        <w:t>无缝钢管</w:t>
      </w:r>
      <w:r w:rsidRPr="00024CC8">
        <w:rPr>
          <w:rFonts w:hint="eastAsia"/>
        </w:rPr>
        <w:t>PSL2</w:t>
      </w:r>
      <w:r w:rsidRPr="00024CC8">
        <w:rPr>
          <w:rFonts w:hint="eastAsia"/>
        </w:rPr>
        <w:t>，</w:t>
      </w:r>
      <w:r>
        <w:rPr>
          <w:rFonts w:hint="eastAsia"/>
        </w:rPr>
        <w:t>管径</w:t>
      </w:r>
      <w:r>
        <w:rPr>
          <w:rFonts w:hint="eastAsia"/>
        </w:rPr>
        <w:t xml:space="preserve"> DN200</w:t>
      </w:r>
      <w:r>
        <w:rPr>
          <w:rFonts w:hint="eastAsia"/>
        </w:rPr>
        <w:t>，长度约</w:t>
      </w:r>
      <w:r>
        <w:rPr>
          <w:rFonts w:hint="eastAsia"/>
        </w:rPr>
        <w:t>3km</w:t>
      </w:r>
      <w:r>
        <w:rPr>
          <w:rFonts w:hint="eastAsia"/>
        </w:rPr>
        <w:t>，</w:t>
      </w:r>
      <w:r>
        <w:rPr>
          <w:rFonts w:hint="eastAsia"/>
        </w:rPr>
        <w:lastRenderedPageBreak/>
        <w:t>管道起于普光</w:t>
      </w:r>
      <w:r>
        <w:rPr>
          <w:rFonts w:hint="eastAsia"/>
        </w:rPr>
        <w:t>12</w:t>
      </w:r>
      <w:r>
        <w:t>采气站</w:t>
      </w:r>
      <w:r>
        <w:rPr>
          <w:rFonts w:hint="eastAsia"/>
        </w:rPr>
        <w:t>，出站后往北走线，穿越塌娅村后往东北走线，于鲜家坪后往北，接入普陆</w:t>
      </w:r>
      <w:r>
        <w:rPr>
          <w:rFonts w:hint="eastAsia"/>
        </w:rPr>
        <w:t>3</w:t>
      </w:r>
      <w:r>
        <w:rPr>
          <w:rFonts w:hint="eastAsia"/>
        </w:rPr>
        <w:t>集气站</w:t>
      </w:r>
      <w:r w:rsidR="00C01C7F" w:rsidRPr="00D630D1">
        <w:rPr>
          <w:rFonts w:hint="eastAsia"/>
        </w:rPr>
        <w:t>。</w:t>
      </w:r>
    </w:p>
    <w:p w:rsidR="00423978" w:rsidRPr="00D630D1" w:rsidRDefault="00423978" w:rsidP="00423978">
      <w:pPr>
        <w:pStyle w:val="afa"/>
        <w:ind w:firstLine="480"/>
      </w:pPr>
      <w:r w:rsidRPr="00D630D1">
        <w:t>（</w:t>
      </w:r>
      <w:r w:rsidRPr="00D630D1">
        <w:t>2</w:t>
      </w:r>
      <w:r w:rsidRPr="00D630D1">
        <w:t>）</w:t>
      </w:r>
      <w:r w:rsidR="00024CC8">
        <w:rPr>
          <w:rFonts w:hint="eastAsia"/>
        </w:rPr>
        <w:t>普陆</w:t>
      </w:r>
      <w:r w:rsidR="00024CC8">
        <w:rPr>
          <w:rFonts w:hint="eastAsia"/>
        </w:rPr>
        <w:t>3</w:t>
      </w:r>
      <w:r w:rsidR="00024CC8">
        <w:rPr>
          <w:rFonts w:hint="eastAsia"/>
        </w:rPr>
        <w:t>集气站</w:t>
      </w:r>
      <w:r w:rsidR="00024CC8" w:rsidRPr="00D630D1">
        <w:rPr>
          <w:rFonts w:hint="eastAsia"/>
        </w:rPr>
        <w:t xml:space="preserve">~ </w:t>
      </w:r>
      <w:r w:rsidR="00024CC8">
        <w:rPr>
          <w:rFonts w:hint="eastAsia"/>
        </w:rPr>
        <w:t>P105</w:t>
      </w:r>
      <w:r w:rsidR="00024CC8">
        <w:rPr>
          <w:rFonts w:hint="eastAsia"/>
        </w:rPr>
        <w:t>集气站</w:t>
      </w:r>
      <w:r w:rsidR="00024CC8" w:rsidRPr="00D630D1">
        <w:rPr>
          <w:rFonts w:hint="eastAsia"/>
        </w:rPr>
        <w:t>集气管道</w:t>
      </w:r>
    </w:p>
    <w:p w:rsidR="00423978" w:rsidRPr="00D630D1" w:rsidRDefault="00024CC8" w:rsidP="00423978">
      <w:pPr>
        <w:ind w:firstLine="480"/>
        <w:rPr>
          <w:rFonts w:ascii="Times New Roman" w:cs="Times New Roman"/>
        </w:rPr>
      </w:pPr>
      <w:r w:rsidRPr="00024CC8">
        <w:rPr>
          <w:rFonts w:ascii="Times New Roman" w:cs="Times New Roman" w:hint="eastAsia"/>
        </w:rPr>
        <w:t>设计压力</w:t>
      </w:r>
      <w:r w:rsidRPr="00024CC8">
        <w:rPr>
          <w:rFonts w:ascii="Times New Roman" w:cs="Times New Roman" w:hint="eastAsia"/>
        </w:rPr>
        <w:t>11MPa</w:t>
      </w:r>
      <w:r w:rsidRPr="00024CC8">
        <w:rPr>
          <w:rFonts w:ascii="Times New Roman" w:cs="Times New Roman" w:hint="eastAsia"/>
        </w:rPr>
        <w:t>，</w:t>
      </w:r>
      <w:r w:rsidRPr="00024CC8">
        <w:rPr>
          <w:rFonts w:ascii="Times New Roman" w:cs="Times New Roman"/>
        </w:rPr>
        <w:t>材质为</w:t>
      </w:r>
      <w:r w:rsidRPr="00024CC8">
        <w:rPr>
          <w:rFonts w:ascii="Times New Roman" w:cs="Times New Roman" w:hint="eastAsia"/>
        </w:rPr>
        <w:t>L</w:t>
      </w:r>
      <w:r w:rsidRPr="00024CC8">
        <w:rPr>
          <w:rFonts w:ascii="Times New Roman" w:cs="Times New Roman"/>
        </w:rPr>
        <w:t>245</w:t>
      </w:r>
      <w:r w:rsidRPr="00024CC8">
        <w:rPr>
          <w:rFonts w:ascii="Times New Roman" w:cs="Times New Roman" w:hint="eastAsia"/>
        </w:rPr>
        <w:t>N</w:t>
      </w:r>
      <w:r w:rsidRPr="00024CC8">
        <w:rPr>
          <w:rFonts w:ascii="Times New Roman" w:cs="Times New Roman" w:hint="eastAsia"/>
        </w:rPr>
        <w:t>无缝钢管</w:t>
      </w:r>
      <w:r w:rsidRPr="00024CC8">
        <w:rPr>
          <w:rFonts w:ascii="Times New Roman" w:cs="Times New Roman" w:hint="eastAsia"/>
        </w:rPr>
        <w:t>PSL2</w:t>
      </w:r>
      <w:r w:rsidRPr="00024CC8">
        <w:rPr>
          <w:rFonts w:ascii="Times New Roman" w:cs="Times New Roman" w:hint="eastAsia"/>
        </w:rPr>
        <w:t>，管径</w:t>
      </w:r>
      <w:r w:rsidRPr="00024CC8">
        <w:rPr>
          <w:rFonts w:ascii="Times New Roman" w:cs="Times New Roman" w:hint="eastAsia"/>
        </w:rPr>
        <w:t>DN150</w:t>
      </w:r>
      <w:r w:rsidRPr="00024CC8">
        <w:rPr>
          <w:rFonts w:ascii="Times New Roman" w:cs="Times New Roman" w:hint="eastAsia"/>
        </w:rPr>
        <w:t>，长度约</w:t>
      </w:r>
      <w:r w:rsidRPr="00024CC8">
        <w:rPr>
          <w:rFonts w:ascii="Times New Roman" w:cs="Times New Roman" w:hint="eastAsia"/>
        </w:rPr>
        <w:t xml:space="preserve"> 0.98km</w:t>
      </w:r>
      <w:r w:rsidRPr="00024CC8">
        <w:rPr>
          <w:rFonts w:ascii="Times New Roman" w:cs="Times New Roman" w:hint="eastAsia"/>
        </w:rPr>
        <w:t>，管道起于普陆</w:t>
      </w:r>
      <w:r w:rsidRPr="00024CC8">
        <w:rPr>
          <w:rFonts w:ascii="Times New Roman" w:cs="Times New Roman" w:hint="eastAsia"/>
        </w:rPr>
        <w:t xml:space="preserve"> 3</w:t>
      </w:r>
      <w:r w:rsidRPr="00024CC8">
        <w:rPr>
          <w:rFonts w:ascii="Times New Roman" w:cs="Times New Roman" w:hint="eastAsia"/>
        </w:rPr>
        <w:t>井场，往西走线约</w:t>
      </w:r>
      <w:r w:rsidRPr="00024CC8">
        <w:rPr>
          <w:rFonts w:ascii="Times New Roman" w:cs="Times New Roman" w:hint="eastAsia"/>
        </w:rPr>
        <w:t xml:space="preserve"> 130m </w:t>
      </w:r>
      <w:r w:rsidRPr="00024CC8">
        <w:rPr>
          <w:rFonts w:ascii="Times New Roman" w:cs="Times New Roman" w:hint="eastAsia"/>
        </w:rPr>
        <w:t>后往南走线，穿越鲜家坪后进入</w:t>
      </w:r>
      <w:r w:rsidRPr="00024CC8">
        <w:rPr>
          <w:rFonts w:ascii="Times New Roman" w:cs="Times New Roman" w:hint="eastAsia"/>
        </w:rPr>
        <w:t xml:space="preserve"> P105 </w:t>
      </w:r>
      <w:r w:rsidRPr="00024CC8">
        <w:rPr>
          <w:rFonts w:ascii="Times New Roman" w:cs="Times New Roman" w:hint="eastAsia"/>
        </w:rPr>
        <w:t>集气站</w:t>
      </w:r>
      <w:r w:rsidR="00423978" w:rsidRPr="00D630D1">
        <w:rPr>
          <w:rFonts w:ascii="Times New Roman" w:cs="Times New Roman"/>
        </w:rPr>
        <w:t>。</w:t>
      </w:r>
    </w:p>
    <w:p w:rsidR="00117C3D" w:rsidRPr="00D630D1" w:rsidRDefault="00AD5B79">
      <w:pPr>
        <w:pStyle w:val="3"/>
        <w:rPr>
          <w:rFonts w:eastAsia="宋体"/>
        </w:rPr>
      </w:pPr>
      <w:r w:rsidRPr="00D630D1">
        <w:rPr>
          <w:rFonts w:eastAsia="宋体"/>
        </w:rPr>
        <w:t>3</w:t>
      </w:r>
      <w:r w:rsidR="008B5B84" w:rsidRPr="00D630D1">
        <w:rPr>
          <w:rFonts w:eastAsia="宋体"/>
        </w:rPr>
        <w:t>.</w:t>
      </w:r>
      <w:r w:rsidR="00AD59E9" w:rsidRPr="00D630D1">
        <w:rPr>
          <w:rFonts w:eastAsia="宋体" w:hint="eastAsia"/>
        </w:rPr>
        <w:t>6</w:t>
      </w:r>
      <w:r w:rsidR="008B5B84" w:rsidRPr="00D630D1">
        <w:rPr>
          <w:rFonts w:eastAsia="宋体"/>
        </w:rPr>
        <w:t xml:space="preserve">.2 </w:t>
      </w:r>
      <w:r w:rsidR="008B5B84" w:rsidRPr="00D630D1">
        <w:rPr>
          <w:rFonts w:eastAsia="宋体"/>
        </w:rPr>
        <w:t>沿线基本情况</w:t>
      </w:r>
      <w:bookmarkEnd w:id="139"/>
    </w:p>
    <w:p w:rsidR="00117C3D" w:rsidRPr="00D630D1" w:rsidRDefault="008B5B84" w:rsidP="00AD5B79">
      <w:pPr>
        <w:pStyle w:val="a1"/>
        <w:ind w:firstLine="430"/>
        <w:rPr>
          <w:rStyle w:val="ae"/>
          <w:rFonts w:cs="Times New Roman"/>
        </w:rPr>
      </w:pPr>
      <w:bookmarkStart w:id="168" w:name="_Toc12288403"/>
      <w:r w:rsidRPr="00D630D1">
        <w:rPr>
          <w:rStyle w:val="ae"/>
          <w:rFonts w:cs="Times New Roman"/>
        </w:rPr>
        <w:t>1</w:t>
      </w:r>
      <w:r w:rsidRPr="00D630D1">
        <w:rPr>
          <w:rStyle w:val="ae"/>
          <w:rFonts w:cs="Times New Roman"/>
        </w:rPr>
        <w:t>、</w:t>
      </w:r>
      <w:bookmarkEnd w:id="168"/>
      <w:r w:rsidR="00AD5B79" w:rsidRPr="00D630D1">
        <w:rPr>
          <w:rStyle w:val="ae"/>
          <w:rFonts w:cs="Times New Roman"/>
        </w:rPr>
        <w:t>沿线地表植被区划长度</w:t>
      </w:r>
    </w:p>
    <w:p w:rsidR="005D56AE" w:rsidRPr="00D630D1" w:rsidRDefault="005D56AE" w:rsidP="005D56AE">
      <w:pPr>
        <w:pStyle w:val="afa"/>
        <w:ind w:firstLine="480"/>
      </w:pPr>
      <w:bookmarkStart w:id="169" w:name="_Hlk52901667"/>
      <w:r w:rsidRPr="00D630D1">
        <w:t>管线沿线包植被分布在</w:t>
      </w:r>
      <w:r w:rsidR="003C2664" w:rsidRPr="00D630D1">
        <w:t>旱地</w:t>
      </w:r>
      <w:r w:rsidRPr="00D630D1">
        <w:t>、水田、林地，以</w:t>
      </w:r>
      <w:r w:rsidR="003C2664" w:rsidRPr="00D630D1">
        <w:t>旱地</w:t>
      </w:r>
      <w:r w:rsidRPr="00D630D1">
        <w:t>和</w:t>
      </w:r>
      <w:r w:rsidR="00C663DE" w:rsidRPr="00D630D1">
        <w:t>林地</w:t>
      </w:r>
      <w:r w:rsidRPr="00D630D1">
        <w:t>为主。其中旱地主要为蔬菜、玉米、花生等作物，</w:t>
      </w:r>
      <w:r w:rsidR="00C663DE" w:rsidRPr="00D630D1">
        <w:t>林地</w:t>
      </w:r>
      <w:r w:rsidRPr="00D630D1">
        <w:t>主要为</w:t>
      </w:r>
      <w:r w:rsidR="00C663DE" w:rsidRPr="00D630D1">
        <w:t>马尾松、柏树</w:t>
      </w:r>
      <w:r w:rsidRPr="00D630D1">
        <w:t>等作物。</w:t>
      </w:r>
    </w:p>
    <w:p w:rsidR="00117C3D" w:rsidRPr="00D630D1" w:rsidRDefault="008B5B84" w:rsidP="005D56AE">
      <w:pPr>
        <w:pStyle w:val="afa"/>
        <w:ind w:firstLine="480"/>
      </w:pPr>
      <w:r w:rsidRPr="00D630D1">
        <w:t>根据</w:t>
      </w:r>
      <w:r w:rsidR="00AD5B79" w:rsidRPr="00D630D1">
        <w:t>沿线地表植被区划长度统计</w:t>
      </w:r>
      <w:r w:rsidRPr="00D630D1">
        <w:t>。</w:t>
      </w:r>
    </w:p>
    <w:p w:rsidR="00117C3D" w:rsidRPr="00D630D1" w:rsidRDefault="008B5B84" w:rsidP="00AD5B79">
      <w:pPr>
        <w:pStyle w:val="10"/>
        <w:rPr>
          <w:rFonts w:cs="Times New Roman"/>
        </w:rPr>
      </w:pPr>
      <w:bookmarkStart w:id="170" w:name="_Hlk58767188"/>
      <w:r w:rsidRPr="00D630D1">
        <w:rPr>
          <w:rFonts w:cs="Times New Roman"/>
        </w:rPr>
        <w:t>表</w:t>
      </w:r>
      <w:r w:rsidR="00AD5B79" w:rsidRPr="00D630D1">
        <w:rPr>
          <w:rFonts w:cs="Times New Roman"/>
        </w:rPr>
        <w:t>3</w:t>
      </w:r>
      <w:r w:rsidRPr="00D630D1">
        <w:rPr>
          <w:rFonts w:cs="Times New Roman"/>
        </w:rPr>
        <w:t>.</w:t>
      </w:r>
      <w:r w:rsidR="00AD59E9" w:rsidRPr="00D630D1">
        <w:rPr>
          <w:rFonts w:cs="Times New Roman" w:hint="eastAsia"/>
        </w:rPr>
        <w:t>6</w:t>
      </w:r>
      <w:r w:rsidRPr="00D630D1">
        <w:rPr>
          <w:rFonts w:cs="Times New Roman"/>
        </w:rPr>
        <w:t xml:space="preserve">-1 </w:t>
      </w:r>
      <w:r w:rsidR="00AD5B79" w:rsidRPr="00D630D1">
        <w:rPr>
          <w:rFonts w:cs="Times New Roman"/>
        </w:rPr>
        <w:t xml:space="preserve"> </w:t>
      </w:r>
      <w:r w:rsidR="00AD5B79" w:rsidRPr="00D630D1">
        <w:rPr>
          <w:rFonts w:cs="Times New Roman"/>
        </w:rPr>
        <w:t>沿线地表植被长度统计表</w:t>
      </w:r>
    </w:p>
    <w:tbl>
      <w:tblPr>
        <w:tblW w:w="8552"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688"/>
        <w:gridCol w:w="2410"/>
        <w:gridCol w:w="3423"/>
        <w:gridCol w:w="2031"/>
      </w:tblGrid>
      <w:tr w:rsidR="00C9196E" w:rsidRPr="00D630D1" w:rsidTr="00C9196E">
        <w:trPr>
          <w:trHeight w:val="257"/>
          <w:tblHeader/>
          <w:jc w:val="center"/>
        </w:trPr>
        <w:tc>
          <w:tcPr>
            <w:tcW w:w="688" w:type="dxa"/>
            <w:vAlign w:val="center"/>
          </w:tcPr>
          <w:p w:rsidR="00AD5B79" w:rsidRPr="00D630D1" w:rsidRDefault="00AD5B79" w:rsidP="00AD5B79">
            <w:pPr>
              <w:pStyle w:val="aff2"/>
              <w:rPr>
                <w:b/>
                <w:bCs/>
              </w:rPr>
            </w:pPr>
            <w:r w:rsidRPr="00D630D1">
              <w:rPr>
                <w:b/>
                <w:bCs/>
              </w:rPr>
              <w:t>序号</w:t>
            </w:r>
          </w:p>
        </w:tc>
        <w:tc>
          <w:tcPr>
            <w:tcW w:w="2410" w:type="dxa"/>
            <w:vAlign w:val="center"/>
          </w:tcPr>
          <w:p w:rsidR="00AD5B79" w:rsidRPr="00D630D1" w:rsidRDefault="00AD5B79" w:rsidP="00AD5B79">
            <w:pPr>
              <w:pStyle w:val="aff2"/>
              <w:rPr>
                <w:b/>
                <w:bCs/>
              </w:rPr>
            </w:pPr>
            <w:r w:rsidRPr="00D630D1">
              <w:rPr>
                <w:b/>
                <w:bCs/>
              </w:rPr>
              <w:t>地表现状</w:t>
            </w:r>
          </w:p>
        </w:tc>
        <w:tc>
          <w:tcPr>
            <w:tcW w:w="3423" w:type="dxa"/>
            <w:vAlign w:val="center"/>
          </w:tcPr>
          <w:p w:rsidR="00AD5B79" w:rsidRPr="00D630D1" w:rsidRDefault="00AD5B79" w:rsidP="00AD5B79">
            <w:pPr>
              <w:pStyle w:val="aff2"/>
              <w:rPr>
                <w:b/>
                <w:bCs/>
              </w:rPr>
            </w:pPr>
            <w:r w:rsidRPr="00D630D1">
              <w:rPr>
                <w:b/>
                <w:bCs/>
              </w:rPr>
              <w:t>长度（</w:t>
            </w:r>
            <w:r w:rsidRPr="00D630D1">
              <w:rPr>
                <w:b/>
                <w:bCs/>
              </w:rPr>
              <w:t>m</w:t>
            </w:r>
            <w:r w:rsidRPr="00D630D1">
              <w:rPr>
                <w:b/>
                <w:bCs/>
              </w:rPr>
              <w:t>）</w:t>
            </w:r>
          </w:p>
        </w:tc>
        <w:tc>
          <w:tcPr>
            <w:tcW w:w="2031" w:type="dxa"/>
            <w:vAlign w:val="center"/>
          </w:tcPr>
          <w:p w:rsidR="00AD5B79" w:rsidRPr="00D630D1" w:rsidRDefault="00AD5B79" w:rsidP="00AD5B79">
            <w:pPr>
              <w:pStyle w:val="aff2"/>
              <w:rPr>
                <w:b/>
                <w:bCs/>
              </w:rPr>
            </w:pPr>
            <w:r w:rsidRPr="00D630D1">
              <w:rPr>
                <w:b/>
                <w:bCs/>
              </w:rPr>
              <w:t>备注</w:t>
            </w:r>
          </w:p>
        </w:tc>
      </w:tr>
      <w:tr w:rsidR="00C9196E" w:rsidRPr="00D630D1" w:rsidTr="00C9196E">
        <w:trPr>
          <w:trHeight w:val="257"/>
          <w:jc w:val="center"/>
        </w:trPr>
        <w:tc>
          <w:tcPr>
            <w:tcW w:w="688" w:type="dxa"/>
            <w:vAlign w:val="center"/>
          </w:tcPr>
          <w:p w:rsidR="0016641A" w:rsidRPr="00D630D1" w:rsidRDefault="0016641A" w:rsidP="0016641A">
            <w:pPr>
              <w:pStyle w:val="aff2"/>
            </w:pPr>
            <w:r w:rsidRPr="00D630D1">
              <w:t>1</w:t>
            </w:r>
          </w:p>
        </w:tc>
        <w:tc>
          <w:tcPr>
            <w:tcW w:w="2410" w:type="dxa"/>
            <w:vAlign w:val="center"/>
          </w:tcPr>
          <w:p w:rsidR="0016641A" w:rsidRPr="00D630D1" w:rsidRDefault="003C2664" w:rsidP="0016641A">
            <w:pPr>
              <w:pStyle w:val="aff2"/>
            </w:pPr>
            <w:r w:rsidRPr="00D630D1">
              <w:t>旱地</w:t>
            </w:r>
          </w:p>
        </w:tc>
        <w:tc>
          <w:tcPr>
            <w:tcW w:w="3423" w:type="dxa"/>
            <w:vAlign w:val="center"/>
          </w:tcPr>
          <w:p w:rsidR="0016641A" w:rsidRPr="00D630D1" w:rsidRDefault="00024CC8" w:rsidP="00D03037">
            <w:pPr>
              <w:pStyle w:val="aff2"/>
            </w:pPr>
            <w:r>
              <w:rPr>
                <w:rFonts w:hint="eastAsia"/>
                <w:szCs w:val="21"/>
              </w:rPr>
              <w:t>30</w:t>
            </w:r>
            <w:r w:rsidR="00423978" w:rsidRPr="00D630D1">
              <w:rPr>
                <w:rFonts w:hint="eastAsia"/>
                <w:szCs w:val="21"/>
              </w:rPr>
              <w:t>0</w:t>
            </w:r>
          </w:p>
        </w:tc>
        <w:tc>
          <w:tcPr>
            <w:tcW w:w="2031" w:type="dxa"/>
            <w:vAlign w:val="center"/>
          </w:tcPr>
          <w:p w:rsidR="0016641A" w:rsidRPr="00D630D1" w:rsidRDefault="0016641A" w:rsidP="0016641A">
            <w:pPr>
              <w:pStyle w:val="aff2"/>
            </w:pPr>
          </w:p>
        </w:tc>
      </w:tr>
      <w:tr w:rsidR="00C9196E" w:rsidRPr="00D630D1" w:rsidTr="00C9196E">
        <w:trPr>
          <w:trHeight w:val="257"/>
          <w:jc w:val="center"/>
        </w:trPr>
        <w:tc>
          <w:tcPr>
            <w:tcW w:w="688" w:type="dxa"/>
            <w:vAlign w:val="center"/>
          </w:tcPr>
          <w:p w:rsidR="0016641A" w:rsidRPr="00D630D1" w:rsidRDefault="0016641A" w:rsidP="0016641A">
            <w:pPr>
              <w:pStyle w:val="aff2"/>
            </w:pPr>
            <w:r w:rsidRPr="00D630D1">
              <w:t>2</w:t>
            </w:r>
          </w:p>
        </w:tc>
        <w:tc>
          <w:tcPr>
            <w:tcW w:w="2410" w:type="dxa"/>
            <w:vAlign w:val="center"/>
          </w:tcPr>
          <w:p w:rsidR="0016641A" w:rsidRPr="00D630D1" w:rsidRDefault="0016641A" w:rsidP="0016641A">
            <w:pPr>
              <w:pStyle w:val="aff2"/>
            </w:pPr>
            <w:r w:rsidRPr="00D630D1">
              <w:t>水田</w:t>
            </w:r>
          </w:p>
        </w:tc>
        <w:tc>
          <w:tcPr>
            <w:tcW w:w="3423" w:type="dxa"/>
            <w:vAlign w:val="center"/>
          </w:tcPr>
          <w:p w:rsidR="0016641A" w:rsidRPr="00D630D1" w:rsidRDefault="00024CC8" w:rsidP="0016641A">
            <w:pPr>
              <w:pStyle w:val="aff2"/>
            </w:pPr>
            <w:r>
              <w:rPr>
                <w:rFonts w:hint="eastAsia"/>
                <w:szCs w:val="21"/>
              </w:rPr>
              <w:t>120</w:t>
            </w:r>
            <w:r w:rsidR="00423978" w:rsidRPr="00D630D1">
              <w:rPr>
                <w:rFonts w:hint="eastAsia"/>
                <w:szCs w:val="21"/>
              </w:rPr>
              <w:t>0</w:t>
            </w:r>
          </w:p>
        </w:tc>
        <w:tc>
          <w:tcPr>
            <w:tcW w:w="2031" w:type="dxa"/>
            <w:vAlign w:val="center"/>
          </w:tcPr>
          <w:p w:rsidR="0016641A" w:rsidRPr="00D630D1" w:rsidRDefault="0016641A" w:rsidP="0016641A">
            <w:pPr>
              <w:pStyle w:val="aff2"/>
            </w:pPr>
          </w:p>
        </w:tc>
      </w:tr>
      <w:tr w:rsidR="00C9196E" w:rsidRPr="00D630D1" w:rsidTr="00C9196E">
        <w:trPr>
          <w:trHeight w:val="257"/>
          <w:jc w:val="center"/>
        </w:trPr>
        <w:tc>
          <w:tcPr>
            <w:tcW w:w="688" w:type="dxa"/>
            <w:vAlign w:val="center"/>
          </w:tcPr>
          <w:p w:rsidR="00B22C9E" w:rsidRPr="00D630D1" w:rsidRDefault="00B22C9E" w:rsidP="00B22C9E">
            <w:pPr>
              <w:pStyle w:val="aff2"/>
            </w:pPr>
            <w:r w:rsidRPr="00D630D1">
              <w:t>3</w:t>
            </w:r>
          </w:p>
        </w:tc>
        <w:tc>
          <w:tcPr>
            <w:tcW w:w="2410" w:type="dxa"/>
            <w:vAlign w:val="center"/>
          </w:tcPr>
          <w:p w:rsidR="00B22C9E" w:rsidRPr="00D630D1" w:rsidRDefault="00B22C9E" w:rsidP="00B22C9E">
            <w:pPr>
              <w:pStyle w:val="aff2"/>
            </w:pPr>
            <w:r w:rsidRPr="00D630D1">
              <w:t>林地</w:t>
            </w:r>
          </w:p>
        </w:tc>
        <w:tc>
          <w:tcPr>
            <w:tcW w:w="3423" w:type="dxa"/>
            <w:vAlign w:val="center"/>
          </w:tcPr>
          <w:p w:rsidR="00B22C9E" w:rsidRPr="00D630D1" w:rsidRDefault="00024CC8" w:rsidP="00B22C9E">
            <w:pPr>
              <w:pStyle w:val="aff2"/>
            </w:pPr>
            <w:r>
              <w:rPr>
                <w:rFonts w:hint="eastAsia"/>
                <w:szCs w:val="21"/>
              </w:rPr>
              <w:t>2480</w:t>
            </w:r>
          </w:p>
        </w:tc>
        <w:tc>
          <w:tcPr>
            <w:tcW w:w="2031" w:type="dxa"/>
            <w:vAlign w:val="center"/>
          </w:tcPr>
          <w:p w:rsidR="00B22C9E" w:rsidRPr="00D630D1" w:rsidRDefault="00B22C9E" w:rsidP="00B22C9E">
            <w:pPr>
              <w:pStyle w:val="aff2"/>
            </w:pPr>
          </w:p>
        </w:tc>
      </w:tr>
      <w:tr w:rsidR="005E32F8" w:rsidRPr="00D630D1" w:rsidTr="00AA2CA8">
        <w:trPr>
          <w:trHeight w:val="257"/>
          <w:jc w:val="center"/>
        </w:trPr>
        <w:tc>
          <w:tcPr>
            <w:tcW w:w="3098" w:type="dxa"/>
            <w:gridSpan w:val="2"/>
            <w:vAlign w:val="center"/>
          </w:tcPr>
          <w:p w:rsidR="005E32F8" w:rsidRPr="00D630D1" w:rsidRDefault="005E32F8" w:rsidP="00B22C9E">
            <w:pPr>
              <w:pStyle w:val="aff2"/>
            </w:pPr>
            <w:r w:rsidRPr="00D630D1">
              <w:t>合计</w:t>
            </w:r>
          </w:p>
        </w:tc>
        <w:tc>
          <w:tcPr>
            <w:tcW w:w="3423" w:type="dxa"/>
            <w:vAlign w:val="center"/>
          </w:tcPr>
          <w:p w:rsidR="005E32F8" w:rsidRPr="00D630D1" w:rsidRDefault="00E168FA" w:rsidP="00024CC8">
            <w:pPr>
              <w:pStyle w:val="aff2"/>
              <w:rPr>
                <w:szCs w:val="21"/>
              </w:rPr>
            </w:pPr>
            <w:r w:rsidRPr="00D630D1">
              <w:rPr>
                <w:rFonts w:hint="eastAsia"/>
                <w:szCs w:val="21"/>
              </w:rPr>
              <w:t>3</w:t>
            </w:r>
            <w:r w:rsidR="00024CC8">
              <w:rPr>
                <w:rFonts w:hint="eastAsia"/>
                <w:szCs w:val="21"/>
              </w:rPr>
              <w:t>980</w:t>
            </w:r>
          </w:p>
        </w:tc>
        <w:tc>
          <w:tcPr>
            <w:tcW w:w="2031" w:type="dxa"/>
            <w:vAlign w:val="center"/>
          </w:tcPr>
          <w:p w:rsidR="005E32F8" w:rsidRPr="00D630D1" w:rsidRDefault="005E32F8" w:rsidP="00B22C9E">
            <w:pPr>
              <w:pStyle w:val="aff2"/>
            </w:pPr>
          </w:p>
        </w:tc>
      </w:tr>
    </w:tbl>
    <w:p w:rsidR="00117C3D" w:rsidRPr="00D630D1" w:rsidRDefault="008B5B84">
      <w:pPr>
        <w:pStyle w:val="a1"/>
        <w:ind w:firstLine="482"/>
        <w:rPr>
          <w:rFonts w:ascii="Times New Roman" w:cs="Times New Roman"/>
          <w:b/>
        </w:rPr>
      </w:pPr>
      <w:bookmarkStart w:id="171" w:name="_Toc12288407"/>
      <w:bookmarkEnd w:id="169"/>
      <w:bookmarkEnd w:id="170"/>
      <w:r w:rsidRPr="00D630D1">
        <w:rPr>
          <w:rFonts w:ascii="Times New Roman" w:cs="Times New Roman"/>
          <w:b/>
        </w:rPr>
        <w:t>2</w:t>
      </w:r>
      <w:r w:rsidRPr="00D630D1">
        <w:rPr>
          <w:rFonts w:ascii="Times New Roman" w:cs="Times New Roman"/>
          <w:b/>
        </w:rPr>
        <w:t>、地区等级</w:t>
      </w:r>
      <w:bookmarkEnd w:id="171"/>
    </w:p>
    <w:p w:rsidR="00FA1A23" w:rsidRPr="00D630D1" w:rsidRDefault="00FA1A23" w:rsidP="00FA1A23">
      <w:pPr>
        <w:pStyle w:val="afa"/>
        <w:ind w:firstLine="480"/>
      </w:pPr>
      <w:r w:rsidRPr="00D630D1">
        <w:t>根据《输气管道工程设计规范》（</w:t>
      </w:r>
      <w:r w:rsidRPr="00D630D1">
        <w:t>GB50251-2003</w:t>
      </w:r>
      <w:r w:rsidRPr="00D630D1">
        <w:t>），沿管道中心两侧各</w:t>
      </w:r>
      <w:r w:rsidRPr="00D630D1">
        <w:t>200m</w:t>
      </w:r>
      <w:r w:rsidRPr="00D630D1">
        <w:t>范围内，任意划分成长度为</w:t>
      </w:r>
      <w:r w:rsidRPr="00D630D1">
        <w:t>2km</w:t>
      </w:r>
      <w:r w:rsidRPr="00D630D1">
        <w:t>并能包括最大聚居户数的若干地段，按划定地段内的户数划分为四个等级。</w:t>
      </w:r>
    </w:p>
    <w:p w:rsidR="00FA1A23" w:rsidRPr="00D630D1" w:rsidRDefault="00FA1A23" w:rsidP="00FA1A23">
      <w:pPr>
        <w:pStyle w:val="afa"/>
        <w:ind w:firstLine="480"/>
      </w:pPr>
      <w:bookmarkStart w:id="172" w:name="OLE_LINK109"/>
      <w:bookmarkStart w:id="173" w:name="OLE_LINK110"/>
      <w:r w:rsidRPr="00D630D1">
        <w:t>一</w:t>
      </w:r>
      <w:bookmarkEnd w:id="172"/>
      <w:bookmarkEnd w:id="173"/>
      <w:r w:rsidRPr="00D630D1">
        <w:t>级地区：户数在</w:t>
      </w:r>
      <w:r w:rsidRPr="00D630D1">
        <w:t>15</w:t>
      </w:r>
      <w:r w:rsidRPr="00D630D1">
        <w:t>户或以下的区段；</w:t>
      </w:r>
    </w:p>
    <w:p w:rsidR="00FA1A23" w:rsidRPr="00D630D1" w:rsidRDefault="00FA1A23" w:rsidP="00FA1A23">
      <w:pPr>
        <w:pStyle w:val="afa"/>
        <w:ind w:firstLine="480"/>
      </w:pPr>
      <w:r w:rsidRPr="00D630D1">
        <w:t>二级地区：户数在</w:t>
      </w:r>
      <w:r w:rsidRPr="00D630D1">
        <w:t>15</w:t>
      </w:r>
      <w:r w:rsidRPr="00D630D1">
        <w:t>户以上、</w:t>
      </w:r>
      <w:r w:rsidRPr="00D630D1">
        <w:t>100</w:t>
      </w:r>
      <w:r w:rsidRPr="00D630D1">
        <w:t>户以下的区段；</w:t>
      </w:r>
    </w:p>
    <w:p w:rsidR="00FA1A23" w:rsidRPr="00D630D1" w:rsidRDefault="00FA1A23" w:rsidP="00FA1A23">
      <w:pPr>
        <w:pStyle w:val="afa"/>
        <w:ind w:firstLine="480"/>
      </w:pPr>
      <w:r w:rsidRPr="00D630D1">
        <w:t>三级地区：户数在</w:t>
      </w:r>
      <w:r w:rsidRPr="00D630D1">
        <w:t>100</w:t>
      </w:r>
      <w:r w:rsidRPr="00D630D1">
        <w:t>户以或以上的区段，包括市郊居住区、商业区、工业区、发展区以及不够四级地区条件的人口稠密区；</w:t>
      </w:r>
    </w:p>
    <w:p w:rsidR="00FA1A23" w:rsidRDefault="00FA1A23" w:rsidP="00FA1A23">
      <w:pPr>
        <w:pStyle w:val="afa"/>
        <w:ind w:firstLine="480"/>
      </w:pPr>
      <w:r w:rsidRPr="00D630D1">
        <w:t>四级地区：系指四层及四层以上楼房（不计地下室层数）普遍集中、交通频繁、地下设施多的区段。</w:t>
      </w:r>
    </w:p>
    <w:p w:rsidR="007835BF" w:rsidRPr="00733954" w:rsidRDefault="007835BF" w:rsidP="007835BF">
      <w:pPr>
        <w:pStyle w:val="3"/>
        <w:rPr>
          <w:rFonts w:eastAsia="宋体"/>
        </w:rPr>
      </w:pPr>
      <w:bookmarkStart w:id="174" w:name="_Toc12288418"/>
      <w:bookmarkStart w:id="175" w:name="_Toc19815960"/>
      <w:r w:rsidRPr="00733954">
        <w:rPr>
          <w:rFonts w:eastAsia="宋体"/>
        </w:rPr>
        <w:t>3.</w:t>
      </w:r>
      <w:r>
        <w:rPr>
          <w:rFonts w:eastAsia="宋体" w:hint="eastAsia"/>
        </w:rPr>
        <w:t>6</w:t>
      </w:r>
      <w:r w:rsidRPr="00733954">
        <w:rPr>
          <w:rFonts w:eastAsia="宋体"/>
        </w:rPr>
        <w:t xml:space="preserve">.3 </w:t>
      </w:r>
      <w:r w:rsidRPr="00733954">
        <w:rPr>
          <w:rFonts w:eastAsia="宋体"/>
        </w:rPr>
        <w:t>河流穿越</w:t>
      </w:r>
      <w:bookmarkEnd w:id="174"/>
      <w:bookmarkEnd w:id="175"/>
    </w:p>
    <w:p w:rsidR="007835BF" w:rsidRPr="00733954" w:rsidRDefault="00633FBE" w:rsidP="007835BF">
      <w:pPr>
        <w:pStyle w:val="a1"/>
        <w:ind w:firstLine="480"/>
        <w:rPr>
          <w:rFonts w:ascii="Times New Roman" w:cs="Times New Roman"/>
        </w:rPr>
      </w:pPr>
      <w:r>
        <w:rPr>
          <w:rFonts w:ascii="Times New Roman" w:cs="Times New Roman" w:hint="eastAsia"/>
        </w:rPr>
        <w:t>本项目管线不涉及河流穿越</w:t>
      </w:r>
      <w:r w:rsidR="007835BF" w:rsidRPr="00733954">
        <w:rPr>
          <w:rFonts w:ascii="Times New Roman" w:cs="Times New Roman"/>
        </w:rPr>
        <w:t>。</w:t>
      </w:r>
    </w:p>
    <w:p w:rsidR="007835BF" w:rsidRPr="007835BF" w:rsidRDefault="007835BF" w:rsidP="00FA1A23">
      <w:pPr>
        <w:pStyle w:val="afa"/>
        <w:ind w:firstLine="480"/>
      </w:pPr>
    </w:p>
    <w:p w:rsidR="007835BF" w:rsidRPr="00733954" w:rsidRDefault="007835BF" w:rsidP="007835BF">
      <w:pPr>
        <w:pStyle w:val="3"/>
        <w:rPr>
          <w:rFonts w:eastAsia="宋体"/>
        </w:rPr>
      </w:pPr>
      <w:bookmarkStart w:id="176" w:name="_Toc12288427"/>
      <w:r w:rsidRPr="00733954">
        <w:rPr>
          <w:rFonts w:eastAsia="宋体"/>
        </w:rPr>
        <w:t>3.</w:t>
      </w:r>
      <w:r>
        <w:rPr>
          <w:rFonts w:eastAsia="宋体" w:hint="eastAsia"/>
        </w:rPr>
        <w:t>6</w:t>
      </w:r>
      <w:r w:rsidRPr="00733954">
        <w:rPr>
          <w:rFonts w:eastAsia="宋体"/>
        </w:rPr>
        <w:t xml:space="preserve">.4 </w:t>
      </w:r>
      <w:r w:rsidRPr="00733954">
        <w:rPr>
          <w:rFonts w:eastAsia="宋体"/>
        </w:rPr>
        <w:t>道路穿越</w:t>
      </w:r>
      <w:bookmarkEnd w:id="176"/>
    </w:p>
    <w:p w:rsidR="007835BF" w:rsidRDefault="00633FBE" w:rsidP="007835BF">
      <w:pPr>
        <w:pStyle w:val="a1"/>
        <w:ind w:firstLine="480"/>
        <w:rPr>
          <w:rFonts w:ascii="Times New Roman" w:cs="Times New Roman"/>
        </w:rPr>
      </w:pPr>
      <w:r w:rsidRPr="00733954">
        <w:rPr>
          <w:rFonts w:ascii="Times New Roman" w:cs="Times New Roman"/>
        </w:rPr>
        <w:t>本工程集输管道穿越乡村公路</w:t>
      </w:r>
      <w:r>
        <w:rPr>
          <w:rFonts w:ascii="Times New Roman" w:cs="Times New Roman" w:hint="eastAsia"/>
        </w:rPr>
        <w:t>5</w:t>
      </w:r>
      <w:r w:rsidRPr="00733954">
        <w:rPr>
          <w:rFonts w:ascii="Times New Roman" w:cs="Times New Roman"/>
        </w:rPr>
        <w:t>处</w:t>
      </w:r>
      <w:r w:rsidRPr="00733954">
        <w:rPr>
          <w:rFonts w:ascii="Times New Roman" w:cs="Times New Roman" w:hint="eastAsia"/>
        </w:rPr>
        <w:t>（其中</w:t>
      </w:r>
      <w:r>
        <w:rPr>
          <w:rFonts w:ascii="Times New Roman" w:cs="Times New Roman" w:hint="eastAsia"/>
        </w:rPr>
        <w:t>普光</w:t>
      </w:r>
      <w:r>
        <w:rPr>
          <w:rFonts w:ascii="Times New Roman" w:cs="Times New Roman" w:hint="eastAsia"/>
        </w:rPr>
        <w:t>12</w:t>
      </w:r>
      <w:r>
        <w:rPr>
          <w:rFonts w:ascii="Times New Roman" w:cs="Times New Roman" w:hint="eastAsia"/>
        </w:rPr>
        <w:t>采气站</w:t>
      </w:r>
      <w:r>
        <w:rPr>
          <w:rFonts w:ascii="Times New Roman" w:cs="Times New Roman" w:hint="eastAsia"/>
        </w:rPr>
        <w:t>~</w:t>
      </w:r>
      <w:r w:rsidRPr="00733954">
        <w:rPr>
          <w:rFonts w:ascii="Times New Roman" w:cs="Times New Roman"/>
        </w:rPr>
        <w:t>普陆</w:t>
      </w:r>
      <w:r w:rsidRPr="00733954">
        <w:rPr>
          <w:rFonts w:ascii="Times New Roman" w:cs="Times New Roman"/>
        </w:rPr>
        <w:t>3</w:t>
      </w:r>
      <w:r w:rsidRPr="00733954">
        <w:rPr>
          <w:rFonts w:ascii="Times New Roman" w:cs="Times New Roman"/>
        </w:rPr>
        <w:t>集气站</w:t>
      </w:r>
      <w:r>
        <w:rPr>
          <w:rFonts w:ascii="Times New Roman" w:cs="Times New Roman" w:hint="eastAsia"/>
        </w:rPr>
        <w:t>集输</w:t>
      </w:r>
      <w:r w:rsidRPr="00733954">
        <w:rPr>
          <w:rFonts w:ascii="Times New Roman" w:cs="Times New Roman"/>
        </w:rPr>
        <w:lastRenderedPageBreak/>
        <w:t>管线穿越</w:t>
      </w:r>
      <w:r>
        <w:rPr>
          <w:rFonts w:ascii="Times New Roman" w:cs="Times New Roman" w:hint="eastAsia"/>
        </w:rPr>
        <w:t>5</w:t>
      </w:r>
      <w:r w:rsidRPr="00733954">
        <w:rPr>
          <w:rFonts w:ascii="Times New Roman" w:cs="Times New Roman" w:hint="eastAsia"/>
        </w:rPr>
        <w:t>处，</w:t>
      </w:r>
      <w:r w:rsidRPr="00733954">
        <w:rPr>
          <w:rFonts w:ascii="Times New Roman" w:cs="Times New Roman"/>
        </w:rPr>
        <w:t>普陆</w:t>
      </w:r>
      <w:r w:rsidRPr="00733954">
        <w:rPr>
          <w:rFonts w:ascii="Times New Roman" w:cs="Times New Roman"/>
        </w:rPr>
        <w:t>3</w:t>
      </w:r>
      <w:r w:rsidRPr="00733954">
        <w:rPr>
          <w:rFonts w:ascii="Times New Roman" w:cs="Times New Roman"/>
        </w:rPr>
        <w:t>集气站</w:t>
      </w:r>
      <w:r w:rsidRPr="00733954">
        <w:rPr>
          <w:rFonts w:ascii="Times New Roman" w:cs="Times New Roman"/>
        </w:rPr>
        <w:t>-P105</w:t>
      </w:r>
      <w:r w:rsidRPr="00733954">
        <w:rPr>
          <w:rFonts w:ascii="Times New Roman" w:cs="Times New Roman"/>
        </w:rPr>
        <w:t>集气站</w:t>
      </w:r>
      <w:r>
        <w:rPr>
          <w:rFonts w:ascii="Times New Roman" w:cs="Times New Roman" w:hint="eastAsia"/>
        </w:rPr>
        <w:t>集输</w:t>
      </w:r>
      <w:r w:rsidRPr="00733954">
        <w:rPr>
          <w:rFonts w:ascii="Times New Roman" w:cs="Times New Roman"/>
        </w:rPr>
        <w:t>管线穿越</w:t>
      </w:r>
      <w:r w:rsidRPr="00733954">
        <w:rPr>
          <w:rFonts w:ascii="Times New Roman" w:cs="Times New Roman" w:hint="eastAsia"/>
        </w:rPr>
        <w:t>1</w:t>
      </w:r>
      <w:r w:rsidRPr="00733954">
        <w:rPr>
          <w:rFonts w:ascii="Times New Roman" w:cs="Times New Roman" w:hint="eastAsia"/>
        </w:rPr>
        <w:t>处）</w:t>
      </w:r>
      <w:r>
        <w:rPr>
          <w:rFonts w:ascii="Times New Roman" w:cs="Times New Roman" w:hint="eastAsia"/>
        </w:rPr>
        <w:t>。</w:t>
      </w:r>
    </w:p>
    <w:p w:rsidR="00633FBE" w:rsidRPr="00733954" w:rsidRDefault="00633FBE" w:rsidP="00633FBE">
      <w:pPr>
        <w:pStyle w:val="10"/>
        <w:rPr>
          <w:rFonts w:cs="Times New Roman"/>
        </w:rPr>
      </w:pPr>
      <w:r w:rsidRPr="00733954">
        <w:rPr>
          <w:rFonts w:cs="Times New Roman"/>
        </w:rPr>
        <w:t>表</w:t>
      </w:r>
      <w:r w:rsidRPr="00733954">
        <w:rPr>
          <w:rFonts w:cs="Times New Roman"/>
        </w:rPr>
        <w:t>3.</w:t>
      </w:r>
      <w:r>
        <w:rPr>
          <w:rFonts w:cs="Times New Roman" w:hint="eastAsia"/>
        </w:rPr>
        <w:t>6</w:t>
      </w:r>
      <w:r w:rsidRPr="00733954">
        <w:rPr>
          <w:rFonts w:cs="Times New Roman"/>
        </w:rPr>
        <w:t>-</w:t>
      </w:r>
      <w:r>
        <w:rPr>
          <w:rFonts w:cs="Times New Roman" w:hint="eastAsia"/>
        </w:rPr>
        <w:t>2</w:t>
      </w:r>
      <w:r w:rsidRPr="00733954">
        <w:rPr>
          <w:rFonts w:cs="Times New Roman"/>
        </w:rPr>
        <w:t xml:space="preserve">  </w:t>
      </w:r>
      <w:r w:rsidRPr="00733954">
        <w:rPr>
          <w:rFonts w:cs="Times New Roman"/>
        </w:rPr>
        <w:t>公路及机耕路穿越统计表</w:t>
      </w:r>
    </w:p>
    <w:tbl>
      <w:tblPr>
        <w:tblW w:w="8849" w:type="dxa"/>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000"/>
      </w:tblPr>
      <w:tblGrid>
        <w:gridCol w:w="1830"/>
        <w:gridCol w:w="1644"/>
        <w:gridCol w:w="1474"/>
        <w:gridCol w:w="1559"/>
        <w:gridCol w:w="1587"/>
        <w:gridCol w:w="755"/>
      </w:tblGrid>
      <w:tr w:rsidR="00633FBE" w:rsidRPr="00733954" w:rsidTr="006269A7">
        <w:trPr>
          <w:trHeight w:val="275"/>
          <w:jc w:val="center"/>
        </w:trPr>
        <w:tc>
          <w:tcPr>
            <w:tcW w:w="1830" w:type="dxa"/>
            <w:noWrap/>
            <w:tcMar>
              <w:top w:w="15" w:type="dxa"/>
              <w:left w:w="15" w:type="dxa"/>
              <w:right w:w="15" w:type="dxa"/>
            </w:tcMar>
            <w:vAlign w:val="center"/>
          </w:tcPr>
          <w:p w:rsidR="00633FBE" w:rsidRPr="00733954" w:rsidRDefault="00633FBE" w:rsidP="006269A7">
            <w:pPr>
              <w:pStyle w:val="aff2"/>
              <w:rPr>
                <w:b/>
                <w:bCs/>
                <w:szCs w:val="21"/>
              </w:rPr>
            </w:pPr>
            <w:r w:rsidRPr="00733954">
              <w:rPr>
                <w:b/>
                <w:bCs/>
                <w:szCs w:val="21"/>
              </w:rPr>
              <w:t>序号</w:t>
            </w:r>
          </w:p>
        </w:tc>
        <w:tc>
          <w:tcPr>
            <w:tcW w:w="1644" w:type="dxa"/>
            <w:tcBorders>
              <w:right w:val="single" w:sz="4" w:space="0" w:color="auto"/>
            </w:tcBorders>
            <w:noWrap/>
            <w:tcMar>
              <w:top w:w="15" w:type="dxa"/>
              <w:left w:w="15" w:type="dxa"/>
              <w:right w:w="15" w:type="dxa"/>
            </w:tcMar>
            <w:vAlign w:val="center"/>
          </w:tcPr>
          <w:p w:rsidR="00633FBE" w:rsidRPr="00733954" w:rsidRDefault="00633FBE" w:rsidP="006269A7">
            <w:pPr>
              <w:pStyle w:val="aff2"/>
              <w:rPr>
                <w:b/>
                <w:bCs/>
                <w:szCs w:val="21"/>
              </w:rPr>
            </w:pPr>
            <w:r w:rsidRPr="00733954">
              <w:rPr>
                <w:b/>
                <w:bCs/>
                <w:szCs w:val="21"/>
              </w:rPr>
              <w:t>地点</w:t>
            </w:r>
          </w:p>
        </w:tc>
        <w:tc>
          <w:tcPr>
            <w:tcW w:w="1474" w:type="dxa"/>
            <w:tcBorders>
              <w:left w:val="single" w:sz="4" w:space="0" w:color="auto"/>
            </w:tcBorders>
            <w:tcMar>
              <w:top w:w="15" w:type="dxa"/>
              <w:left w:w="15" w:type="dxa"/>
              <w:right w:w="15" w:type="dxa"/>
            </w:tcMar>
            <w:vAlign w:val="center"/>
          </w:tcPr>
          <w:p w:rsidR="00633FBE" w:rsidRPr="00733954" w:rsidRDefault="00633FBE" w:rsidP="006269A7">
            <w:pPr>
              <w:pStyle w:val="aff2"/>
              <w:rPr>
                <w:b/>
                <w:bCs/>
              </w:rPr>
            </w:pPr>
            <w:r w:rsidRPr="00733954">
              <w:rPr>
                <w:b/>
                <w:bCs/>
              </w:rPr>
              <w:t>测绘里程桩号</w:t>
            </w:r>
          </w:p>
        </w:tc>
        <w:tc>
          <w:tcPr>
            <w:tcW w:w="1559" w:type="dxa"/>
            <w:noWrap/>
            <w:tcMar>
              <w:top w:w="15" w:type="dxa"/>
              <w:left w:w="15" w:type="dxa"/>
              <w:right w:w="15" w:type="dxa"/>
            </w:tcMar>
            <w:vAlign w:val="center"/>
          </w:tcPr>
          <w:p w:rsidR="00633FBE" w:rsidRPr="00733954" w:rsidRDefault="00633FBE" w:rsidP="006269A7">
            <w:pPr>
              <w:pStyle w:val="aff2"/>
              <w:rPr>
                <w:b/>
                <w:bCs/>
                <w:szCs w:val="21"/>
              </w:rPr>
            </w:pPr>
            <w:r w:rsidRPr="00733954">
              <w:rPr>
                <w:b/>
                <w:bCs/>
                <w:szCs w:val="21"/>
              </w:rPr>
              <w:t>公路宽（</w:t>
            </w:r>
            <w:r w:rsidRPr="00733954">
              <w:rPr>
                <w:b/>
                <w:bCs/>
                <w:szCs w:val="21"/>
              </w:rPr>
              <w:t>m</w:t>
            </w:r>
            <w:r w:rsidRPr="00733954">
              <w:rPr>
                <w:b/>
                <w:bCs/>
                <w:szCs w:val="21"/>
              </w:rPr>
              <w:t>）</w:t>
            </w:r>
          </w:p>
        </w:tc>
        <w:tc>
          <w:tcPr>
            <w:tcW w:w="1587" w:type="dxa"/>
            <w:noWrap/>
            <w:tcMar>
              <w:top w:w="15" w:type="dxa"/>
              <w:left w:w="15" w:type="dxa"/>
              <w:right w:w="15" w:type="dxa"/>
            </w:tcMar>
            <w:vAlign w:val="center"/>
          </w:tcPr>
          <w:p w:rsidR="00633FBE" w:rsidRPr="00733954" w:rsidRDefault="00633FBE" w:rsidP="006269A7">
            <w:pPr>
              <w:pStyle w:val="aff2"/>
              <w:rPr>
                <w:b/>
                <w:bCs/>
                <w:szCs w:val="21"/>
              </w:rPr>
            </w:pPr>
            <w:r w:rsidRPr="00733954">
              <w:rPr>
                <w:b/>
                <w:bCs/>
                <w:szCs w:val="21"/>
              </w:rPr>
              <w:t>套管长度（</w:t>
            </w:r>
            <w:r w:rsidRPr="00733954">
              <w:rPr>
                <w:b/>
                <w:bCs/>
                <w:szCs w:val="21"/>
              </w:rPr>
              <w:t>m</w:t>
            </w:r>
            <w:r w:rsidRPr="00733954">
              <w:rPr>
                <w:b/>
                <w:bCs/>
                <w:szCs w:val="21"/>
              </w:rPr>
              <w:t>）</w:t>
            </w:r>
          </w:p>
        </w:tc>
        <w:tc>
          <w:tcPr>
            <w:tcW w:w="755" w:type="dxa"/>
            <w:noWrap/>
            <w:tcMar>
              <w:top w:w="15" w:type="dxa"/>
              <w:left w:w="15" w:type="dxa"/>
              <w:right w:w="15" w:type="dxa"/>
            </w:tcMar>
            <w:vAlign w:val="center"/>
          </w:tcPr>
          <w:p w:rsidR="00633FBE" w:rsidRPr="00733954" w:rsidRDefault="00633FBE" w:rsidP="006269A7">
            <w:pPr>
              <w:pStyle w:val="aff2"/>
              <w:rPr>
                <w:b/>
                <w:bCs/>
                <w:szCs w:val="21"/>
              </w:rPr>
            </w:pPr>
            <w:r w:rsidRPr="00733954">
              <w:rPr>
                <w:b/>
                <w:bCs/>
                <w:szCs w:val="21"/>
              </w:rPr>
              <w:t>备注</w:t>
            </w:r>
          </w:p>
        </w:tc>
      </w:tr>
      <w:tr w:rsidR="00633FBE" w:rsidRPr="00733954" w:rsidTr="006269A7">
        <w:trPr>
          <w:trHeight w:val="275"/>
          <w:jc w:val="center"/>
        </w:trPr>
        <w:tc>
          <w:tcPr>
            <w:tcW w:w="1830" w:type="dxa"/>
            <w:noWrap/>
            <w:tcMar>
              <w:top w:w="15" w:type="dxa"/>
              <w:left w:w="15" w:type="dxa"/>
              <w:right w:w="15" w:type="dxa"/>
            </w:tcMar>
            <w:vAlign w:val="center"/>
          </w:tcPr>
          <w:p w:rsidR="00633FBE" w:rsidRPr="00733954" w:rsidRDefault="00633FBE" w:rsidP="006269A7">
            <w:pPr>
              <w:pStyle w:val="aff2"/>
              <w:rPr>
                <w:szCs w:val="21"/>
              </w:rPr>
            </w:pPr>
            <w:r w:rsidRPr="00733954">
              <w:rPr>
                <w:szCs w:val="21"/>
              </w:rPr>
              <w:t>1</w:t>
            </w:r>
          </w:p>
        </w:tc>
        <w:tc>
          <w:tcPr>
            <w:tcW w:w="1644" w:type="dxa"/>
            <w:tcBorders>
              <w:right w:val="single" w:sz="4" w:space="0" w:color="auto"/>
            </w:tcBorders>
            <w:noWrap/>
            <w:tcMar>
              <w:top w:w="15" w:type="dxa"/>
              <w:left w:w="15" w:type="dxa"/>
              <w:right w:w="15" w:type="dxa"/>
            </w:tcMar>
            <w:vAlign w:val="center"/>
          </w:tcPr>
          <w:p w:rsidR="00633FBE" w:rsidRPr="00733954" w:rsidRDefault="00633FBE" w:rsidP="006269A7">
            <w:pPr>
              <w:pStyle w:val="aff2"/>
              <w:rPr>
                <w:szCs w:val="21"/>
              </w:rPr>
            </w:pPr>
            <w:r w:rsidRPr="00733954">
              <w:rPr>
                <w:rFonts w:hint="eastAsia"/>
                <w:szCs w:val="21"/>
              </w:rPr>
              <w:t>塔垭</w:t>
            </w:r>
            <w:r w:rsidRPr="00733954">
              <w:rPr>
                <w:szCs w:val="21"/>
              </w:rPr>
              <w:t>村</w:t>
            </w:r>
          </w:p>
        </w:tc>
        <w:tc>
          <w:tcPr>
            <w:tcW w:w="1474" w:type="dxa"/>
            <w:tcBorders>
              <w:left w:val="single" w:sz="4" w:space="0" w:color="auto"/>
            </w:tcBorders>
            <w:tcMar>
              <w:top w:w="15" w:type="dxa"/>
              <w:left w:w="15" w:type="dxa"/>
              <w:right w:w="15" w:type="dxa"/>
            </w:tcMar>
            <w:vAlign w:val="center"/>
          </w:tcPr>
          <w:p w:rsidR="00633FBE" w:rsidRPr="00733954" w:rsidRDefault="00633FBE" w:rsidP="00633FBE">
            <w:pPr>
              <w:pStyle w:val="aff2"/>
            </w:pPr>
            <w:r w:rsidRPr="00733954">
              <w:t>AB</w:t>
            </w:r>
            <w:r w:rsidRPr="00733954">
              <w:rPr>
                <w:rFonts w:hint="eastAsia"/>
              </w:rPr>
              <w:t>0</w:t>
            </w:r>
            <w:r>
              <w:rPr>
                <w:rFonts w:hint="eastAsia"/>
              </w:rPr>
              <w:t>2</w:t>
            </w:r>
            <w:r w:rsidRPr="00733954">
              <w:t>-AB</w:t>
            </w:r>
            <w:r w:rsidRPr="00733954">
              <w:rPr>
                <w:rFonts w:hint="eastAsia"/>
              </w:rPr>
              <w:t>0</w:t>
            </w:r>
            <w:r>
              <w:rPr>
                <w:rFonts w:hint="eastAsia"/>
              </w:rPr>
              <w:t>3</w:t>
            </w:r>
          </w:p>
        </w:tc>
        <w:tc>
          <w:tcPr>
            <w:tcW w:w="1559" w:type="dxa"/>
            <w:noWrap/>
            <w:tcMar>
              <w:top w:w="15" w:type="dxa"/>
              <w:left w:w="15" w:type="dxa"/>
              <w:right w:w="15" w:type="dxa"/>
            </w:tcMar>
            <w:vAlign w:val="center"/>
          </w:tcPr>
          <w:p w:rsidR="00633FBE" w:rsidRPr="00733954" w:rsidRDefault="00633FBE" w:rsidP="006269A7">
            <w:pPr>
              <w:pStyle w:val="aff2"/>
              <w:rPr>
                <w:szCs w:val="21"/>
              </w:rPr>
            </w:pPr>
            <w:r w:rsidRPr="00733954">
              <w:rPr>
                <w:szCs w:val="21"/>
              </w:rPr>
              <w:t>4</w:t>
            </w:r>
          </w:p>
        </w:tc>
        <w:tc>
          <w:tcPr>
            <w:tcW w:w="1587" w:type="dxa"/>
            <w:noWrap/>
            <w:tcMar>
              <w:top w:w="15" w:type="dxa"/>
              <w:left w:w="15" w:type="dxa"/>
              <w:right w:w="15" w:type="dxa"/>
            </w:tcMar>
            <w:vAlign w:val="center"/>
          </w:tcPr>
          <w:p w:rsidR="00633FBE" w:rsidRPr="00733954" w:rsidRDefault="00633FBE" w:rsidP="006269A7">
            <w:pPr>
              <w:pStyle w:val="aff2"/>
              <w:rPr>
                <w:szCs w:val="21"/>
              </w:rPr>
            </w:pPr>
            <w:r w:rsidRPr="00733954">
              <w:rPr>
                <w:szCs w:val="21"/>
              </w:rPr>
              <w:t>6</w:t>
            </w:r>
          </w:p>
        </w:tc>
        <w:tc>
          <w:tcPr>
            <w:tcW w:w="755" w:type="dxa"/>
            <w:vMerge w:val="restart"/>
            <w:noWrap/>
            <w:tcMar>
              <w:top w:w="15" w:type="dxa"/>
              <w:left w:w="15" w:type="dxa"/>
              <w:right w:w="15" w:type="dxa"/>
            </w:tcMar>
            <w:vAlign w:val="center"/>
          </w:tcPr>
          <w:p w:rsidR="00633FBE" w:rsidRPr="00733954" w:rsidRDefault="00633FBE" w:rsidP="006269A7">
            <w:pPr>
              <w:pStyle w:val="aff2"/>
              <w:rPr>
                <w:szCs w:val="21"/>
              </w:rPr>
            </w:pPr>
            <w:r w:rsidRPr="00733954">
              <w:rPr>
                <w:szCs w:val="21"/>
              </w:rPr>
              <w:t>顶管</w:t>
            </w:r>
          </w:p>
          <w:p w:rsidR="00633FBE" w:rsidRPr="00733954" w:rsidRDefault="00633FBE" w:rsidP="006269A7">
            <w:pPr>
              <w:pStyle w:val="aff2"/>
              <w:rPr>
                <w:szCs w:val="21"/>
              </w:rPr>
            </w:pPr>
            <w:r w:rsidRPr="00733954">
              <w:rPr>
                <w:szCs w:val="21"/>
              </w:rPr>
              <w:t>穿越</w:t>
            </w:r>
          </w:p>
        </w:tc>
      </w:tr>
      <w:tr w:rsidR="00633FBE" w:rsidRPr="00733954" w:rsidTr="006269A7">
        <w:trPr>
          <w:trHeight w:val="275"/>
          <w:jc w:val="center"/>
        </w:trPr>
        <w:tc>
          <w:tcPr>
            <w:tcW w:w="1830" w:type="dxa"/>
            <w:noWrap/>
            <w:tcMar>
              <w:top w:w="15" w:type="dxa"/>
              <w:left w:w="15" w:type="dxa"/>
              <w:right w:w="15" w:type="dxa"/>
            </w:tcMar>
            <w:vAlign w:val="center"/>
          </w:tcPr>
          <w:p w:rsidR="00633FBE" w:rsidRPr="00733954" w:rsidRDefault="00633FBE" w:rsidP="006269A7">
            <w:pPr>
              <w:pStyle w:val="aff2"/>
              <w:rPr>
                <w:szCs w:val="21"/>
              </w:rPr>
            </w:pPr>
            <w:r w:rsidRPr="00733954">
              <w:rPr>
                <w:szCs w:val="21"/>
              </w:rPr>
              <w:t>2</w:t>
            </w:r>
          </w:p>
        </w:tc>
        <w:tc>
          <w:tcPr>
            <w:tcW w:w="1644" w:type="dxa"/>
            <w:tcBorders>
              <w:right w:val="single" w:sz="4" w:space="0" w:color="auto"/>
            </w:tcBorders>
            <w:noWrap/>
            <w:tcMar>
              <w:top w:w="15" w:type="dxa"/>
              <w:left w:w="15" w:type="dxa"/>
              <w:right w:w="15" w:type="dxa"/>
            </w:tcMar>
            <w:vAlign w:val="center"/>
          </w:tcPr>
          <w:p w:rsidR="00633FBE" w:rsidRPr="00733954" w:rsidRDefault="00633FBE" w:rsidP="006269A7">
            <w:pPr>
              <w:pStyle w:val="aff2"/>
              <w:rPr>
                <w:szCs w:val="21"/>
              </w:rPr>
            </w:pPr>
            <w:r w:rsidRPr="00733954">
              <w:rPr>
                <w:rFonts w:hint="eastAsia"/>
                <w:szCs w:val="21"/>
              </w:rPr>
              <w:t>塔垭</w:t>
            </w:r>
            <w:r w:rsidRPr="00733954">
              <w:rPr>
                <w:szCs w:val="21"/>
              </w:rPr>
              <w:t>村</w:t>
            </w:r>
          </w:p>
        </w:tc>
        <w:tc>
          <w:tcPr>
            <w:tcW w:w="1474" w:type="dxa"/>
            <w:tcBorders>
              <w:left w:val="single" w:sz="4" w:space="0" w:color="auto"/>
            </w:tcBorders>
            <w:tcMar>
              <w:top w:w="15" w:type="dxa"/>
              <w:left w:w="15" w:type="dxa"/>
              <w:right w:w="15" w:type="dxa"/>
            </w:tcMar>
            <w:vAlign w:val="center"/>
          </w:tcPr>
          <w:p w:rsidR="00633FBE" w:rsidRPr="00733954" w:rsidRDefault="00633FBE" w:rsidP="006269A7">
            <w:pPr>
              <w:pStyle w:val="aff2"/>
            </w:pPr>
            <w:r w:rsidRPr="00733954">
              <w:t>AB</w:t>
            </w:r>
            <w:r w:rsidRPr="00733954">
              <w:rPr>
                <w:rFonts w:hint="eastAsia"/>
              </w:rPr>
              <w:t>0</w:t>
            </w:r>
            <w:r>
              <w:rPr>
                <w:rFonts w:hint="eastAsia"/>
              </w:rPr>
              <w:t>6</w:t>
            </w:r>
            <w:r w:rsidRPr="00733954">
              <w:t>-AB</w:t>
            </w:r>
            <w:r w:rsidRPr="00733954">
              <w:rPr>
                <w:rFonts w:hint="eastAsia"/>
              </w:rPr>
              <w:t>0</w:t>
            </w:r>
            <w:r>
              <w:rPr>
                <w:rFonts w:hint="eastAsia"/>
              </w:rPr>
              <w:t>7</w:t>
            </w:r>
          </w:p>
        </w:tc>
        <w:tc>
          <w:tcPr>
            <w:tcW w:w="1559" w:type="dxa"/>
            <w:noWrap/>
            <w:tcMar>
              <w:top w:w="15" w:type="dxa"/>
              <w:left w:w="15" w:type="dxa"/>
              <w:right w:w="15" w:type="dxa"/>
            </w:tcMar>
            <w:vAlign w:val="center"/>
          </w:tcPr>
          <w:p w:rsidR="00633FBE" w:rsidRPr="00733954" w:rsidRDefault="00633FBE" w:rsidP="006269A7">
            <w:pPr>
              <w:pStyle w:val="aff2"/>
              <w:rPr>
                <w:szCs w:val="21"/>
              </w:rPr>
            </w:pPr>
            <w:r w:rsidRPr="00733954">
              <w:rPr>
                <w:szCs w:val="21"/>
              </w:rPr>
              <w:t>4</w:t>
            </w:r>
          </w:p>
        </w:tc>
        <w:tc>
          <w:tcPr>
            <w:tcW w:w="1587" w:type="dxa"/>
            <w:noWrap/>
            <w:tcMar>
              <w:top w:w="15" w:type="dxa"/>
              <w:left w:w="15" w:type="dxa"/>
              <w:right w:w="15" w:type="dxa"/>
            </w:tcMar>
          </w:tcPr>
          <w:p w:rsidR="00633FBE" w:rsidRPr="00733954" w:rsidRDefault="00633FBE" w:rsidP="006269A7">
            <w:pPr>
              <w:pStyle w:val="aff2"/>
              <w:rPr>
                <w:szCs w:val="21"/>
              </w:rPr>
            </w:pPr>
            <w:r w:rsidRPr="00733954">
              <w:rPr>
                <w:szCs w:val="21"/>
              </w:rPr>
              <w:t>6</w:t>
            </w:r>
          </w:p>
        </w:tc>
        <w:tc>
          <w:tcPr>
            <w:tcW w:w="755" w:type="dxa"/>
            <w:vMerge/>
            <w:noWrap/>
            <w:tcMar>
              <w:top w:w="15" w:type="dxa"/>
              <w:left w:w="15" w:type="dxa"/>
              <w:right w:w="15" w:type="dxa"/>
            </w:tcMar>
            <w:vAlign w:val="center"/>
          </w:tcPr>
          <w:p w:rsidR="00633FBE" w:rsidRPr="00733954" w:rsidRDefault="00633FBE" w:rsidP="006269A7">
            <w:pPr>
              <w:pStyle w:val="aff2"/>
              <w:rPr>
                <w:szCs w:val="21"/>
              </w:rPr>
            </w:pPr>
          </w:p>
        </w:tc>
      </w:tr>
      <w:tr w:rsidR="00633FBE" w:rsidRPr="00733954" w:rsidTr="006269A7">
        <w:trPr>
          <w:trHeight w:val="275"/>
          <w:jc w:val="center"/>
        </w:trPr>
        <w:tc>
          <w:tcPr>
            <w:tcW w:w="1830" w:type="dxa"/>
            <w:noWrap/>
            <w:tcMar>
              <w:top w:w="15" w:type="dxa"/>
              <w:left w:w="15" w:type="dxa"/>
              <w:right w:w="15" w:type="dxa"/>
            </w:tcMar>
            <w:vAlign w:val="center"/>
          </w:tcPr>
          <w:p w:rsidR="00633FBE" w:rsidRPr="00733954" w:rsidRDefault="00633FBE" w:rsidP="006269A7">
            <w:pPr>
              <w:pStyle w:val="aff2"/>
              <w:rPr>
                <w:szCs w:val="21"/>
              </w:rPr>
            </w:pPr>
            <w:r w:rsidRPr="00733954">
              <w:rPr>
                <w:szCs w:val="21"/>
              </w:rPr>
              <w:t>3</w:t>
            </w:r>
          </w:p>
        </w:tc>
        <w:tc>
          <w:tcPr>
            <w:tcW w:w="1644" w:type="dxa"/>
            <w:tcBorders>
              <w:right w:val="single" w:sz="4" w:space="0" w:color="auto"/>
            </w:tcBorders>
            <w:noWrap/>
            <w:tcMar>
              <w:top w:w="15" w:type="dxa"/>
              <w:left w:w="15" w:type="dxa"/>
              <w:right w:w="15" w:type="dxa"/>
            </w:tcMar>
            <w:vAlign w:val="center"/>
          </w:tcPr>
          <w:p w:rsidR="00633FBE" w:rsidRPr="00733954" w:rsidRDefault="00633FBE" w:rsidP="006269A7">
            <w:pPr>
              <w:pStyle w:val="aff2"/>
              <w:rPr>
                <w:szCs w:val="21"/>
              </w:rPr>
            </w:pPr>
            <w:r w:rsidRPr="00733954">
              <w:rPr>
                <w:rFonts w:hint="eastAsia"/>
                <w:szCs w:val="21"/>
              </w:rPr>
              <w:t>塔垭</w:t>
            </w:r>
            <w:r w:rsidRPr="00733954">
              <w:rPr>
                <w:szCs w:val="21"/>
              </w:rPr>
              <w:t>村</w:t>
            </w:r>
          </w:p>
        </w:tc>
        <w:tc>
          <w:tcPr>
            <w:tcW w:w="1474" w:type="dxa"/>
            <w:tcBorders>
              <w:left w:val="single" w:sz="4" w:space="0" w:color="auto"/>
            </w:tcBorders>
            <w:tcMar>
              <w:top w:w="15" w:type="dxa"/>
              <w:left w:w="15" w:type="dxa"/>
              <w:right w:w="15" w:type="dxa"/>
            </w:tcMar>
            <w:vAlign w:val="center"/>
          </w:tcPr>
          <w:p w:rsidR="00633FBE" w:rsidRPr="00733954" w:rsidRDefault="00633FBE" w:rsidP="006269A7">
            <w:pPr>
              <w:pStyle w:val="aff2"/>
              <w:rPr>
                <w:szCs w:val="21"/>
              </w:rPr>
            </w:pPr>
            <w:r w:rsidRPr="00733954">
              <w:t>AB</w:t>
            </w:r>
            <w:r w:rsidRPr="00733954">
              <w:rPr>
                <w:rFonts w:hint="eastAsia"/>
              </w:rPr>
              <w:t>0</w:t>
            </w:r>
            <w:r>
              <w:rPr>
                <w:rFonts w:hint="eastAsia"/>
              </w:rPr>
              <w:t>8</w:t>
            </w:r>
            <w:r w:rsidRPr="00733954">
              <w:t>-AB</w:t>
            </w:r>
            <w:r w:rsidRPr="00733954">
              <w:rPr>
                <w:rFonts w:hint="eastAsia"/>
              </w:rPr>
              <w:t>0</w:t>
            </w:r>
            <w:r>
              <w:rPr>
                <w:rFonts w:hint="eastAsia"/>
              </w:rPr>
              <w:t>9</w:t>
            </w:r>
          </w:p>
        </w:tc>
        <w:tc>
          <w:tcPr>
            <w:tcW w:w="1559" w:type="dxa"/>
            <w:noWrap/>
            <w:tcMar>
              <w:top w:w="15" w:type="dxa"/>
              <w:left w:w="15" w:type="dxa"/>
              <w:right w:w="15" w:type="dxa"/>
            </w:tcMar>
          </w:tcPr>
          <w:p w:rsidR="00633FBE" w:rsidRPr="00733954" w:rsidRDefault="00633FBE" w:rsidP="006269A7">
            <w:pPr>
              <w:pStyle w:val="aff2"/>
              <w:rPr>
                <w:szCs w:val="21"/>
              </w:rPr>
            </w:pPr>
            <w:r w:rsidRPr="00733954">
              <w:rPr>
                <w:szCs w:val="21"/>
              </w:rPr>
              <w:t>4</w:t>
            </w:r>
          </w:p>
        </w:tc>
        <w:tc>
          <w:tcPr>
            <w:tcW w:w="1587" w:type="dxa"/>
            <w:noWrap/>
            <w:tcMar>
              <w:top w:w="15" w:type="dxa"/>
              <w:left w:w="15" w:type="dxa"/>
              <w:right w:w="15" w:type="dxa"/>
            </w:tcMar>
          </w:tcPr>
          <w:p w:rsidR="00633FBE" w:rsidRPr="00733954" w:rsidRDefault="00633FBE" w:rsidP="006269A7">
            <w:pPr>
              <w:pStyle w:val="aff2"/>
              <w:rPr>
                <w:szCs w:val="21"/>
              </w:rPr>
            </w:pPr>
            <w:r w:rsidRPr="00733954">
              <w:rPr>
                <w:szCs w:val="21"/>
              </w:rPr>
              <w:t>6</w:t>
            </w:r>
          </w:p>
        </w:tc>
        <w:tc>
          <w:tcPr>
            <w:tcW w:w="755" w:type="dxa"/>
            <w:vMerge/>
            <w:noWrap/>
            <w:tcMar>
              <w:top w:w="15" w:type="dxa"/>
              <w:left w:w="15" w:type="dxa"/>
              <w:right w:w="15" w:type="dxa"/>
            </w:tcMar>
            <w:vAlign w:val="center"/>
          </w:tcPr>
          <w:p w:rsidR="00633FBE" w:rsidRPr="00733954" w:rsidRDefault="00633FBE" w:rsidP="006269A7">
            <w:pPr>
              <w:pStyle w:val="aff2"/>
              <w:rPr>
                <w:szCs w:val="21"/>
              </w:rPr>
            </w:pPr>
          </w:p>
        </w:tc>
      </w:tr>
      <w:tr w:rsidR="00633FBE" w:rsidRPr="00733954" w:rsidTr="006269A7">
        <w:trPr>
          <w:trHeight w:val="275"/>
          <w:jc w:val="center"/>
        </w:trPr>
        <w:tc>
          <w:tcPr>
            <w:tcW w:w="1830" w:type="dxa"/>
            <w:noWrap/>
            <w:tcMar>
              <w:top w:w="15" w:type="dxa"/>
              <w:left w:w="15" w:type="dxa"/>
              <w:right w:w="15" w:type="dxa"/>
            </w:tcMar>
            <w:vAlign w:val="center"/>
          </w:tcPr>
          <w:p w:rsidR="00633FBE" w:rsidRPr="00733954" w:rsidRDefault="00633FBE" w:rsidP="006269A7">
            <w:pPr>
              <w:pStyle w:val="aff2"/>
              <w:rPr>
                <w:szCs w:val="21"/>
              </w:rPr>
            </w:pPr>
            <w:r w:rsidRPr="00733954">
              <w:rPr>
                <w:szCs w:val="21"/>
              </w:rPr>
              <w:t>4</w:t>
            </w:r>
          </w:p>
        </w:tc>
        <w:tc>
          <w:tcPr>
            <w:tcW w:w="1644" w:type="dxa"/>
            <w:tcBorders>
              <w:right w:val="single" w:sz="4" w:space="0" w:color="auto"/>
            </w:tcBorders>
            <w:noWrap/>
            <w:tcMar>
              <w:top w:w="15" w:type="dxa"/>
              <w:left w:w="15" w:type="dxa"/>
              <w:right w:w="15" w:type="dxa"/>
            </w:tcMar>
            <w:vAlign w:val="center"/>
          </w:tcPr>
          <w:p w:rsidR="00633FBE" w:rsidRPr="00733954" w:rsidRDefault="00633FBE" w:rsidP="006269A7">
            <w:pPr>
              <w:pStyle w:val="aff2"/>
              <w:rPr>
                <w:szCs w:val="21"/>
              </w:rPr>
            </w:pPr>
            <w:r w:rsidRPr="00733954">
              <w:rPr>
                <w:rFonts w:hint="eastAsia"/>
                <w:szCs w:val="21"/>
              </w:rPr>
              <w:t>塔垭</w:t>
            </w:r>
            <w:r w:rsidRPr="00733954">
              <w:rPr>
                <w:szCs w:val="21"/>
              </w:rPr>
              <w:t>村</w:t>
            </w:r>
          </w:p>
        </w:tc>
        <w:tc>
          <w:tcPr>
            <w:tcW w:w="1474" w:type="dxa"/>
            <w:tcBorders>
              <w:left w:val="single" w:sz="4" w:space="0" w:color="auto"/>
            </w:tcBorders>
            <w:tcMar>
              <w:top w:w="15" w:type="dxa"/>
              <w:left w:w="15" w:type="dxa"/>
              <w:right w:w="15" w:type="dxa"/>
            </w:tcMar>
            <w:vAlign w:val="center"/>
          </w:tcPr>
          <w:p w:rsidR="00633FBE" w:rsidRPr="00733954" w:rsidRDefault="00633FBE" w:rsidP="006269A7">
            <w:pPr>
              <w:pStyle w:val="aff2"/>
              <w:rPr>
                <w:szCs w:val="21"/>
              </w:rPr>
            </w:pPr>
            <w:r w:rsidRPr="00733954">
              <w:t>AB</w:t>
            </w:r>
            <w:r w:rsidRPr="00733954">
              <w:rPr>
                <w:rFonts w:hint="eastAsia"/>
              </w:rPr>
              <w:t>0</w:t>
            </w:r>
            <w:r>
              <w:rPr>
                <w:rFonts w:hint="eastAsia"/>
              </w:rPr>
              <w:t>9</w:t>
            </w:r>
            <w:r w:rsidRPr="00733954">
              <w:t>-AB</w:t>
            </w:r>
            <w:r>
              <w:rPr>
                <w:rFonts w:hint="eastAsia"/>
              </w:rPr>
              <w:t>10</w:t>
            </w:r>
          </w:p>
        </w:tc>
        <w:tc>
          <w:tcPr>
            <w:tcW w:w="1559" w:type="dxa"/>
            <w:noWrap/>
            <w:tcMar>
              <w:top w:w="15" w:type="dxa"/>
              <w:left w:w="15" w:type="dxa"/>
              <w:right w:w="15" w:type="dxa"/>
            </w:tcMar>
          </w:tcPr>
          <w:p w:rsidR="00633FBE" w:rsidRPr="00733954" w:rsidRDefault="00633FBE" w:rsidP="006269A7">
            <w:pPr>
              <w:pStyle w:val="aff2"/>
              <w:rPr>
                <w:szCs w:val="21"/>
              </w:rPr>
            </w:pPr>
            <w:r w:rsidRPr="00733954">
              <w:rPr>
                <w:szCs w:val="21"/>
              </w:rPr>
              <w:t>4</w:t>
            </w:r>
          </w:p>
        </w:tc>
        <w:tc>
          <w:tcPr>
            <w:tcW w:w="1587" w:type="dxa"/>
            <w:noWrap/>
            <w:tcMar>
              <w:top w:w="15" w:type="dxa"/>
              <w:left w:w="15" w:type="dxa"/>
              <w:right w:w="15" w:type="dxa"/>
            </w:tcMar>
          </w:tcPr>
          <w:p w:rsidR="00633FBE" w:rsidRPr="00733954" w:rsidRDefault="00633FBE" w:rsidP="006269A7">
            <w:pPr>
              <w:pStyle w:val="aff2"/>
              <w:rPr>
                <w:szCs w:val="21"/>
              </w:rPr>
            </w:pPr>
            <w:r w:rsidRPr="00733954">
              <w:rPr>
                <w:szCs w:val="21"/>
              </w:rPr>
              <w:t>6</w:t>
            </w:r>
          </w:p>
        </w:tc>
        <w:tc>
          <w:tcPr>
            <w:tcW w:w="755" w:type="dxa"/>
            <w:vMerge/>
            <w:noWrap/>
            <w:tcMar>
              <w:top w:w="15" w:type="dxa"/>
              <w:left w:w="15" w:type="dxa"/>
              <w:right w:w="15" w:type="dxa"/>
            </w:tcMar>
            <w:vAlign w:val="center"/>
          </w:tcPr>
          <w:p w:rsidR="00633FBE" w:rsidRPr="00733954" w:rsidRDefault="00633FBE" w:rsidP="006269A7">
            <w:pPr>
              <w:pStyle w:val="aff2"/>
              <w:rPr>
                <w:szCs w:val="21"/>
              </w:rPr>
            </w:pPr>
          </w:p>
        </w:tc>
      </w:tr>
      <w:tr w:rsidR="00633FBE" w:rsidRPr="00733954" w:rsidTr="006269A7">
        <w:trPr>
          <w:trHeight w:val="275"/>
          <w:jc w:val="center"/>
        </w:trPr>
        <w:tc>
          <w:tcPr>
            <w:tcW w:w="1830" w:type="dxa"/>
            <w:noWrap/>
            <w:tcMar>
              <w:top w:w="15" w:type="dxa"/>
              <w:left w:w="15" w:type="dxa"/>
              <w:right w:w="15" w:type="dxa"/>
            </w:tcMar>
            <w:vAlign w:val="center"/>
          </w:tcPr>
          <w:p w:rsidR="00633FBE" w:rsidRPr="00733954" w:rsidRDefault="00633FBE" w:rsidP="006269A7">
            <w:pPr>
              <w:pStyle w:val="aff2"/>
              <w:rPr>
                <w:szCs w:val="21"/>
              </w:rPr>
            </w:pPr>
            <w:r w:rsidRPr="00733954">
              <w:rPr>
                <w:szCs w:val="21"/>
              </w:rPr>
              <w:t>5</w:t>
            </w:r>
          </w:p>
        </w:tc>
        <w:tc>
          <w:tcPr>
            <w:tcW w:w="1644" w:type="dxa"/>
            <w:tcBorders>
              <w:right w:val="single" w:sz="4" w:space="0" w:color="auto"/>
            </w:tcBorders>
            <w:noWrap/>
            <w:tcMar>
              <w:top w:w="15" w:type="dxa"/>
              <w:left w:w="15" w:type="dxa"/>
              <w:right w:w="15" w:type="dxa"/>
            </w:tcMar>
            <w:vAlign w:val="center"/>
          </w:tcPr>
          <w:p w:rsidR="00633FBE" w:rsidRPr="00733954" w:rsidRDefault="00633FBE" w:rsidP="006269A7">
            <w:pPr>
              <w:pStyle w:val="aff2"/>
              <w:rPr>
                <w:szCs w:val="21"/>
              </w:rPr>
            </w:pPr>
            <w:r w:rsidRPr="00733954">
              <w:rPr>
                <w:rFonts w:hint="eastAsia"/>
                <w:szCs w:val="21"/>
              </w:rPr>
              <w:t>塔垭</w:t>
            </w:r>
            <w:r w:rsidRPr="00733954">
              <w:rPr>
                <w:szCs w:val="21"/>
              </w:rPr>
              <w:t>村</w:t>
            </w:r>
          </w:p>
        </w:tc>
        <w:tc>
          <w:tcPr>
            <w:tcW w:w="1474" w:type="dxa"/>
            <w:tcBorders>
              <w:left w:val="single" w:sz="4" w:space="0" w:color="auto"/>
            </w:tcBorders>
            <w:tcMar>
              <w:top w:w="15" w:type="dxa"/>
              <w:left w:w="15" w:type="dxa"/>
              <w:right w:w="15" w:type="dxa"/>
            </w:tcMar>
            <w:vAlign w:val="center"/>
          </w:tcPr>
          <w:p w:rsidR="00633FBE" w:rsidRPr="00733954" w:rsidRDefault="00633FBE" w:rsidP="006269A7">
            <w:pPr>
              <w:pStyle w:val="aff2"/>
              <w:rPr>
                <w:szCs w:val="21"/>
              </w:rPr>
            </w:pPr>
            <w:r w:rsidRPr="00733954">
              <w:t>AB</w:t>
            </w:r>
            <w:r>
              <w:rPr>
                <w:rFonts w:hint="eastAsia"/>
              </w:rPr>
              <w:t>13</w:t>
            </w:r>
            <w:r w:rsidRPr="00733954">
              <w:t>-AB</w:t>
            </w:r>
            <w:r>
              <w:rPr>
                <w:rFonts w:hint="eastAsia"/>
              </w:rPr>
              <w:t>14</w:t>
            </w:r>
          </w:p>
        </w:tc>
        <w:tc>
          <w:tcPr>
            <w:tcW w:w="1559" w:type="dxa"/>
            <w:noWrap/>
            <w:tcMar>
              <w:top w:w="15" w:type="dxa"/>
              <w:left w:w="15" w:type="dxa"/>
              <w:right w:w="15" w:type="dxa"/>
            </w:tcMar>
          </w:tcPr>
          <w:p w:rsidR="00633FBE" w:rsidRPr="00733954" w:rsidRDefault="00633FBE" w:rsidP="006269A7">
            <w:pPr>
              <w:pStyle w:val="aff2"/>
              <w:rPr>
                <w:szCs w:val="21"/>
              </w:rPr>
            </w:pPr>
            <w:r w:rsidRPr="00733954">
              <w:rPr>
                <w:szCs w:val="21"/>
              </w:rPr>
              <w:t>4</w:t>
            </w:r>
          </w:p>
        </w:tc>
        <w:tc>
          <w:tcPr>
            <w:tcW w:w="1587" w:type="dxa"/>
            <w:noWrap/>
            <w:tcMar>
              <w:top w:w="15" w:type="dxa"/>
              <w:left w:w="15" w:type="dxa"/>
              <w:right w:w="15" w:type="dxa"/>
            </w:tcMar>
          </w:tcPr>
          <w:p w:rsidR="00633FBE" w:rsidRPr="00733954" w:rsidRDefault="00633FBE" w:rsidP="006269A7">
            <w:pPr>
              <w:pStyle w:val="aff2"/>
              <w:rPr>
                <w:szCs w:val="21"/>
              </w:rPr>
            </w:pPr>
            <w:r w:rsidRPr="00733954">
              <w:rPr>
                <w:szCs w:val="21"/>
              </w:rPr>
              <w:t>6</w:t>
            </w:r>
          </w:p>
        </w:tc>
        <w:tc>
          <w:tcPr>
            <w:tcW w:w="755" w:type="dxa"/>
            <w:vMerge/>
            <w:noWrap/>
            <w:tcMar>
              <w:top w:w="15" w:type="dxa"/>
              <w:left w:w="15" w:type="dxa"/>
              <w:right w:w="15" w:type="dxa"/>
            </w:tcMar>
            <w:vAlign w:val="center"/>
          </w:tcPr>
          <w:p w:rsidR="00633FBE" w:rsidRPr="00733954" w:rsidRDefault="00633FBE" w:rsidP="006269A7">
            <w:pPr>
              <w:pStyle w:val="aff2"/>
              <w:rPr>
                <w:szCs w:val="21"/>
              </w:rPr>
            </w:pPr>
          </w:p>
        </w:tc>
      </w:tr>
      <w:tr w:rsidR="00633FBE" w:rsidRPr="00733954" w:rsidTr="006269A7">
        <w:trPr>
          <w:trHeight w:val="275"/>
          <w:jc w:val="center"/>
        </w:trPr>
        <w:tc>
          <w:tcPr>
            <w:tcW w:w="1830" w:type="dxa"/>
            <w:noWrap/>
            <w:tcMar>
              <w:top w:w="15" w:type="dxa"/>
              <w:left w:w="15" w:type="dxa"/>
              <w:right w:w="15" w:type="dxa"/>
            </w:tcMar>
            <w:vAlign w:val="center"/>
          </w:tcPr>
          <w:p w:rsidR="00633FBE" w:rsidRPr="00733954" w:rsidRDefault="00633FBE" w:rsidP="006269A7">
            <w:pPr>
              <w:pStyle w:val="aff2"/>
              <w:rPr>
                <w:szCs w:val="21"/>
              </w:rPr>
            </w:pPr>
            <w:r w:rsidRPr="00733954">
              <w:rPr>
                <w:szCs w:val="21"/>
              </w:rPr>
              <w:t>6</w:t>
            </w:r>
          </w:p>
        </w:tc>
        <w:tc>
          <w:tcPr>
            <w:tcW w:w="1644" w:type="dxa"/>
            <w:tcBorders>
              <w:right w:val="single" w:sz="4" w:space="0" w:color="auto"/>
            </w:tcBorders>
            <w:noWrap/>
            <w:tcMar>
              <w:top w:w="15" w:type="dxa"/>
              <w:left w:w="15" w:type="dxa"/>
              <w:right w:w="15" w:type="dxa"/>
            </w:tcMar>
            <w:vAlign w:val="center"/>
          </w:tcPr>
          <w:p w:rsidR="00633FBE" w:rsidRPr="00733954" w:rsidRDefault="00633FBE" w:rsidP="006269A7">
            <w:pPr>
              <w:pStyle w:val="aff2"/>
              <w:rPr>
                <w:szCs w:val="21"/>
              </w:rPr>
            </w:pPr>
            <w:r w:rsidRPr="00733954">
              <w:rPr>
                <w:rFonts w:hint="eastAsia"/>
                <w:szCs w:val="21"/>
              </w:rPr>
              <w:t>塔垭</w:t>
            </w:r>
            <w:r w:rsidRPr="00733954">
              <w:rPr>
                <w:szCs w:val="21"/>
              </w:rPr>
              <w:t>村</w:t>
            </w:r>
          </w:p>
        </w:tc>
        <w:tc>
          <w:tcPr>
            <w:tcW w:w="1474" w:type="dxa"/>
            <w:tcBorders>
              <w:left w:val="single" w:sz="4" w:space="0" w:color="auto"/>
            </w:tcBorders>
            <w:tcMar>
              <w:top w:w="15" w:type="dxa"/>
              <w:left w:w="15" w:type="dxa"/>
              <w:right w:w="15" w:type="dxa"/>
            </w:tcMar>
            <w:vAlign w:val="center"/>
          </w:tcPr>
          <w:p w:rsidR="00633FBE" w:rsidRPr="00733954" w:rsidRDefault="00633FBE" w:rsidP="00633FBE">
            <w:pPr>
              <w:pStyle w:val="aff2"/>
              <w:rPr>
                <w:szCs w:val="21"/>
              </w:rPr>
            </w:pPr>
            <w:r w:rsidRPr="00733954">
              <w:t>AB</w:t>
            </w:r>
            <w:r w:rsidRPr="00733954">
              <w:rPr>
                <w:rFonts w:hint="eastAsia"/>
              </w:rPr>
              <w:t>1</w:t>
            </w:r>
            <w:r>
              <w:rPr>
                <w:rFonts w:hint="eastAsia"/>
              </w:rPr>
              <w:t>6</w:t>
            </w:r>
            <w:r w:rsidRPr="00733954">
              <w:t>-AB</w:t>
            </w:r>
            <w:r w:rsidRPr="00733954">
              <w:rPr>
                <w:rFonts w:hint="eastAsia"/>
              </w:rPr>
              <w:t>1</w:t>
            </w:r>
            <w:r>
              <w:rPr>
                <w:rFonts w:hint="eastAsia"/>
              </w:rPr>
              <w:t>7</w:t>
            </w:r>
          </w:p>
        </w:tc>
        <w:tc>
          <w:tcPr>
            <w:tcW w:w="1559" w:type="dxa"/>
            <w:noWrap/>
            <w:tcMar>
              <w:top w:w="15" w:type="dxa"/>
              <w:left w:w="15" w:type="dxa"/>
              <w:right w:w="15" w:type="dxa"/>
            </w:tcMar>
          </w:tcPr>
          <w:p w:rsidR="00633FBE" w:rsidRPr="00733954" w:rsidRDefault="00633FBE" w:rsidP="006269A7">
            <w:pPr>
              <w:pStyle w:val="aff2"/>
              <w:rPr>
                <w:szCs w:val="21"/>
              </w:rPr>
            </w:pPr>
            <w:r w:rsidRPr="00733954">
              <w:rPr>
                <w:szCs w:val="21"/>
              </w:rPr>
              <w:t>4</w:t>
            </w:r>
          </w:p>
        </w:tc>
        <w:tc>
          <w:tcPr>
            <w:tcW w:w="1587" w:type="dxa"/>
            <w:noWrap/>
            <w:tcMar>
              <w:top w:w="15" w:type="dxa"/>
              <w:left w:w="15" w:type="dxa"/>
              <w:right w:w="15" w:type="dxa"/>
            </w:tcMar>
          </w:tcPr>
          <w:p w:rsidR="00633FBE" w:rsidRPr="00733954" w:rsidRDefault="00633FBE" w:rsidP="006269A7">
            <w:pPr>
              <w:pStyle w:val="aff2"/>
              <w:rPr>
                <w:szCs w:val="21"/>
              </w:rPr>
            </w:pPr>
            <w:r w:rsidRPr="00733954">
              <w:rPr>
                <w:szCs w:val="21"/>
              </w:rPr>
              <w:t>6</w:t>
            </w:r>
          </w:p>
        </w:tc>
        <w:tc>
          <w:tcPr>
            <w:tcW w:w="755" w:type="dxa"/>
            <w:vMerge/>
            <w:noWrap/>
            <w:tcMar>
              <w:top w:w="15" w:type="dxa"/>
              <w:left w:w="15" w:type="dxa"/>
              <w:right w:w="15" w:type="dxa"/>
            </w:tcMar>
            <w:vAlign w:val="center"/>
          </w:tcPr>
          <w:p w:rsidR="00633FBE" w:rsidRPr="00733954" w:rsidRDefault="00633FBE" w:rsidP="006269A7">
            <w:pPr>
              <w:pStyle w:val="aff2"/>
              <w:rPr>
                <w:szCs w:val="21"/>
              </w:rPr>
            </w:pPr>
          </w:p>
        </w:tc>
      </w:tr>
      <w:tr w:rsidR="00633FBE" w:rsidRPr="00733954" w:rsidTr="006269A7">
        <w:trPr>
          <w:trHeight w:val="275"/>
          <w:jc w:val="center"/>
        </w:trPr>
        <w:tc>
          <w:tcPr>
            <w:tcW w:w="4948" w:type="dxa"/>
            <w:gridSpan w:val="3"/>
            <w:noWrap/>
            <w:tcMar>
              <w:top w:w="15" w:type="dxa"/>
              <w:left w:w="15" w:type="dxa"/>
              <w:right w:w="15" w:type="dxa"/>
            </w:tcMar>
            <w:vAlign w:val="center"/>
          </w:tcPr>
          <w:p w:rsidR="00633FBE" w:rsidRPr="00733954" w:rsidRDefault="00633FBE" w:rsidP="006269A7">
            <w:pPr>
              <w:pStyle w:val="aff2"/>
              <w:rPr>
                <w:szCs w:val="21"/>
              </w:rPr>
            </w:pPr>
            <w:r w:rsidRPr="00733954">
              <w:rPr>
                <w:szCs w:val="21"/>
              </w:rPr>
              <w:t>合计</w:t>
            </w:r>
          </w:p>
        </w:tc>
        <w:tc>
          <w:tcPr>
            <w:tcW w:w="1559" w:type="dxa"/>
            <w:noWrap/>
            <w:tcMar>
              <w:top w:w="15" w:type="dxa"/>
              <w:left w:w="15" w:type="dxa"/>
              <w:right w:w="15" w:type="dxa"/>
            </w:tcMar>
          </w:tcPr>
          <w:p w:rsidR="00633FBE" w:rsidRPr="00733954" w:rsidRDefault="00633FBE" w:rsidP="006269A7">
            <w:pPr>
              <w:pStyle w:val="aff2"/>
              <w:rPr>
                <w:szCs w:val="21"/>
              </w:rPr>
            </w:pPr>
            <w:r w:rsidRPr="00733954">
              <w:rPr>
                <w:rFonts w:hint="eastAsia"/>
                <w:szCs w:val="21"/>
              </w:rPr>
              <w:t>24</w:t>
            </w:r>
          </w:p>
        </w:tc>
        <w:tc>
          <w:tcPr>
            <w:tcW w:w="1587" w:type="dxa"/>
            <w:noWrap/>
            <w:tcMar>
              <w:top w:w="15" w:type="dxa"/>
              <w:left w:w="15" w:type="dxa"/>
              <w:right w:w="15" w:type="dxa"/>
            </w:tcMar>
          </w:tcPr>
          <w:p w:rsidR="00633FBE" w:rsidRPr="00733954" w:rsidRDefault="00633FBE" w:rsidP="006269A7">
            <w:pPr>
              <w:pStyle w:val="aff2"/>
              <w:rPr>
                <w:szCs w:val="21"/>
              </w:rPr>
            </w:pPr>
            <w:r w:rsidRPr="00733954">
              <w:rPr>
                <w:rFonts w:hint="eastAsia"/>
                <w:szCs w:val="21"/>
              </w:rPr>
              <w:t>36</w:t>
            </w:r>
          </w:p>
        </w:tc>
        <w:tc>
          <w:tcPr>
            <w:tcW w:w="755" w:type="dxa"/>
            <w:noWrap/>
            <w:tcMar>
              <w:top w:w="15" w:type="dxa"/>
              <w:left w:w="15" w:type="dxa"/>
              <w:right w:w="15" w:type="dxa"/>
            </w:tcMar>
            <w:vAlign w:val="center"/>
          </w:tcPr>
          <w:p w:rsidR="00633FBE" w:rsidRPr="00733954" w:rsidRDefault="00633FBE" w:rsidP="006269A7">
            <w:pPr>
              <w:pStyle w:val="aff2"/>
              <w:rPr>
                <w:szCs w:val="21"/>
              </w:rPr>
            </w:pPr>
          </w:p>
        </w:tc>
      </w:tr>
    </w:tbl>
    <w:p w:rsidR="00B85CB8" w:rsidRPr="00D630D1" w:rsidRDefault="00B85CB8" w:rsidP="00B85CB8">
      <w:pPr>
        <w:pStyle w:val="2"/>
        <w:spacing w:before="120"/>
        <w:rPr>
          <w:rFonts w:cs="Times New Roman"/>
        </w:rPr>
      </w:pPr>
      <w:bookmarkStart w:id="177" w:name="bookmark16"/>
      <w:bookmarkStart w:id="178" w:name="bookmark17"/>
      <w:bookmarkStart w:id="179" w:name="_Toc12288443"/>
      <w:bookmarkStart w:id="180" w:name="_Toc19815966"/>
      <w:bookmarkStart w:id="181" w:name="_Toc81515270"/>
      <w:bookmarkStart w:id="182" w:name="_Toc12288450"/>
      <w:bookmarkEnd w:id="140"/>
      <w:bookmarkEnd w:id="141"/>
      <w:bookmarkEnd w:id="177"/>
      <w:bookmarkEnd w:id="178"/>
      <w:r w:rsidRPr="00D630D1">
        <w:rPr>
          <w:rFonts w:cs="Times New Roman"/>
        </w:rPr>
        <w:t>3.</w:t>
      </w:r>
      <w:r w:rsidR="00AD59E9" w:rsidRPr="00D630D1">
        <w:rPr>
          <w:rFonts w:cs="Times New Roman" w:hint="eastAsia"/>
        </w:rPr>
        <w:t>7</w:t>
      </w:r>
      <w:r w:rsidRPr="00D630D1">
        <w:rPr>
          <w:rFonts w:cs="Times New Roman"/>
        </w:rPr>
        <w:t xml:space="preserve"> </w:t>
      </w:r>
      <w:r w:rsidRPr="00D630D1">
        <w:rPr>
          <w:rFonts w:cs="Times New Roman"/>
        </w:rPr>
        <w:t>辅助工程</w:t>
      </w:r>
      <w:bookmarkStart w:id="183" w:name="bookmark18"/>
      <w:bookmarkStart w:id="184" w:name="_Toc520234419"/>
      <w:bookmarkStart w:id="185" w:name="_Toc438796864"/>
      <w:bookmarkEnd w:id="179"/>
      <w:bookmarkEnd w:id="180"/>
      <w:bookmarkEnd w:id="181"/>
      <w:bookmarkEnd w:id="183"/>
    </w:p>
    <w:p w:rsidR="00B85CB8" w:rsidRPr="00D630D1" w:rsidRDefault="00B85CB8" w:rsidP="00B85CB8">
      <w:pPr>
        <w:pStyle w:val="3"/>
        <w:rPr>
          <w:rFonts w:eastAsia="宋体"/>
        </w:rPr>
      </w:pPr>
      <w:bookmarkStart w:id="186" w:name="_Toc19815967"/>
      <w:r w:rsidRPr="00D630D1">
        <w:rPr>
          <w:rFonts w:eastAsia="宋体"/>
        </w:rPr>
        <w:t>3.</w:t>
      </w:r>
      <w:r w:rsidR="00AD59E9" w:rsidRPr="00D630D1">
        <w:rPr>
          <w:rFonts w:eastAsia="宋体" w:hint="eastAsia"/>
        </w:rPr>
        <w:t>7</w:t>
      </w:r>
      <w:r w:rsidRPr="00D630D1">
        <w:rPr>
          <w:rFonts w:eastAsia="宋体"/>
        </w:rPr>
        <w:t xml:space="preserve">.1 </w:t>
      </w:r>
      <w:bookmarkEnd w:id="184"/>
      <w:bookmarkEnd w:id="185"/>
      <w:bookmarkEnd w:id="186"/>
      <w:r w:rsidRPr="00D630D1">
        <w:rPr>
          <w:rFonts w:eastAsia="宋体"/>
        </w:rPr>
        <w:t>管道防腐系统方案综述</w:t>
      </w:r>
    </w:p>
    <w:p w:rsidR="00117C3D" w:rsidRPr="00D630D1" w:rsidRDefault="005556BB" w:rsidP="005556BB">
      <w:pPr>
        <w:pStyle w:val="afa"/>
        <w:ind w:firstLine="480"/>
      </w:pPr>
      <w:r w:rsidRPr="00D630D1">
        <w:t>本工程</w:t>
      </w:r>
      <w:r w:rsidR="004A321D" w:rsidRPr="00D630D1">
        <w:rPr>
          <w:rFonts w:hint="eastAsia"/>
        </w:rPr>
        <w:t>新建</w:t>
      </w:r>
      <w:r w:rsidR="00024CC8">
        <w:t>普陆页</w:t>
      </w:r>
      <w:r w:rsidR="00024CC8">
        <w:t>1-1~6</w:t>
      </w:r>
      <w:r w:rsidR="00024CC8">
        <w:t>井</w:t>
      </w:r>
      <w:r w:rsidR="004A321D" w:rsidRPr="00D630D1">
        <w:rPr>
          <w:rFonts w:hint="eastAsia"/>
          <w:bCs/>
        </w:rPr>
        <w:t>钻井工程</w:t>
      </w:r>
      <w:r w:rsidR="004A321D" w:rsidRPr="00D630D1">
        <w:t>、</w:t>
      </w:r>
      <w:r w:rsidR="004A321D" w:rsidRPr="00D630D1">
        <w:rPr>
          <w:rFonts w:hint="eastAsia"/>
        </w:rPr>
        <w:t>新建</w:t>
      </w:r>
      <w:r w:rsidR="002C00AE">
        <w:t>普光</w:t>
      </w:r>
      <w:r w:rsidR="002C00AE">
        <w:t>12</w:t>
      </w:r>
      <w:r w:rsidR="002C00AE">
        <w:t>采气站</w:t>
      </w:r>
      <w:r w:rsidR="004A321D" w:rsidRPr="00D630D1">
        <w:t>、</w:t>
      </w:r>
      <w:r w:rsidR="004A321D" w:rsidRPr="00D630D1">
        <w:rPr>
          <w:rFonts w:hint="eastAsia"/>
        </w:rPr>
        <w:t>新建</w:t>
      </w:r>
      <w:bookmarkStart w:id="187" w:name="OLE_LINK113"/>
      <w:bookmarkStart w:id="188" w:name="OLE_LINK114"/>
      <w:r w:rsidR="00DD3EA1">
        <w:t>普光</w:t>
      </w:r>
      <w:r w:rsidR="00DD3EA1">
        <w:t>12</w:t>
      </w:r>
      <w:r w:rsidR="00DD3EA1">
        <w:t>采气站</w:t>
      </w:r>
      <w:r w:rsidR="004A321D" w:rsidRPr="00D630D1">
        <w:t>~</w:t>
      </w:r>
      <w:r w:rsidR="00D57583">
        <w:rPr>
          <w:rFonts w:hint="eastAsia"/>
        </w:rPr>
        <w:t>普陆</w:t>
      </w:r>
      <w:r w:rsidR="00D57583">
        <w:rPr>
          <w:rFonts w:hint="eastAsia"/>
        </w:rPr>
        <w:t>3</w:t>
      </w:r>
      <w:r w:rsidR="00D57583">
        <w:rPr>
          <w:rFonts w:hint="eastAsia"/>
        </w:rPr>
        <w:t>集气站</w:t>
      </w:r>
      <w:r w:rsidR="004A321D" w:rsidRPr="00D630D1">
        <w:rPr>
          <w:rFonts w:hint="eastAsia"/>
        </w:rPr>
        <w:t>集气管道</w:t>
      </w:r>
      <w:bookmarkEnd w:id="187"/>
      <w:bookmarkEnd w:id="188"/>
      <w:r w:rsidR="00024CC8">
        <w:rPr>
          <w:rFonts w:hint="eastAsia"/>
        </w:rPr>
        <w:t>、普陆</w:t>
      </w:r>
      <w:r w:rsidR="00024CC8">
        <w:rPr>
          <w:rFonts w:hint="eastAsia"/>
        </w:rPr>
        <w:t>3</w:t>
      </w:r>
      <w:r w:rsidR="00024CC8">
        <w:rPr>
          <w:rFonts w:hint="eastAsia"/>
        </w:rPr>
        <w:t>集气站</w:t>
      </w:r>
      <w:r w:rsidR="00024CC8" w:rsidRPr="00D630D1">
        <w:rPr>
          <w:rFonts w:hint="eastAsia"/>
        </w:rPr>
        <w:t xml:space="preserve">~ </w:t>
      </w:r>
      <w:r w:rsidR="00024CC8">
        <w:rPr>
          <w:rFonts w:hint="eastAsia"/>
        </w:rPr>
        <w:t>P105</w:t>
      </w:r>
      <w:r w:rsidR="00024CC8">
        <w:rPr>
          <w:rFonts w:hint="eastAsia"/>
        </w:rPr>
        <w:t>集气站</w:t>
      </w:r>
      <w:r w:rsidR="00024CC8" w:rsidRPr="00D630D1">
        <w:rPr>
          <w:rFonts w:hint="eastAsia"/>
        </w:rPr>
        <w:t>集气管道</w:t>
      </w:r>
      <w:r w:rsidRPr="00D630D1">
        <w:t>。本工程天然气集输系统中由</w:t>
      </w:r>
      <w:r w:rsidRPr="00D630D1">
        <w:t>CO</w:t>
      </w:r>
      <w:r w:rsidRPr="00D630D1">
        <w:rPr>
          <w:vertAlign w:val="subscript"/>
        </w:rPr>
        <w:t>2</w:t>
      </w:r>
      <w:r w:rsidRPr="00D630D1">
        <w:t>引发的管道、设备内腐蚀是腐蚀控制的关键，针对本工程集输系统管道、设备的内外腐蚀环境，应充分考虑各种因素，采取经济合理、有效可靠的腐蚀控制及腐蚀监测技术，以防止腐蚀危害，保证气田的安全生产。</w:t>
      </w:r>
    </w:p>
    <w:p w:rsidR="00117C3D" w:rsidRPr="00D630D1" w:rsidRDefault="004D269E">
      <w:pPr>
        <w:pStyle w:val="3"/>
        <w:rPr>
          <w:rFonts w:eastAsia="宋体"/>
        </w:rPr>
      </w:pPr>
      <w:bookmarkStart w:id="189" w:name="_Toc438796865"/>
      <w:bookmarkStart w:id="190" w:name="_Toc353089502"/>
      <w:bookmarkStart w:id="191" w:name="_Toc520234420"/>
      <w:bookmarkStart w:id="192" w:name="_Toc337886671"/>
      <w:bookmarkStart w:id="193" w:name="_Toc19815968"/>
      <w:r w:rsidRPr="00D630D1">
        <w:rPr>
          <w:rFonts w:eastAsia="宋体"/>
        </w:rPr>
        <w:t>3</w:t>
      </w:r>
      <w:r w:rsidR="008B5B84" w:rsidRPr="00D630D1">
        <w:rPr>
          <w:rFonts w:eastAsia="宋体"/>
        </w:rPr>
        <w:t>.</w:t>
      </w:r>
      <w:r w:rsidR="00AD59E9" w:rsidRPr="00D630D1">
        <w:rPr>
          <w:rFonts w:eastAsia="宋体" w:hint="eastAsia"/>
        </w:rPr>
        <w:t>7</w:t>
      </w:r>
      <w:r w:rsidR="008B5B84" w:rsidRPr="00D630D1">
        <w:rPr>
          <w:rFonts w:eastAsia="宋体"/>
        </w:rPr>
        <w:t xml:space="preserve">.2 </w:t>
      </w:r>
      <w:bookmarkEnd w:id="189"/>
      <w:bookmarkEnd w:id="190"/>
      <w:bookmarkEnd w:id="191"/>
      <w:bookmarkEnd w:id="192"/>
      <w:bookmarkEnd w:id="193"/>
      <w:r w:rsidR="00D45808" w:rsidRPr="00D630D1">
        <w:rPr>
          <w:rFonts w:eastAsia="宋体"/>
        </w:rPr>
        <w:t>线路防腐</w:t>
      </w:r>
    </w:p>
    <w:p w:rsidR="005556BB" w:rsidRPr="00D630D1" w:rsidRDefault="005556BB" w:rsidP="005556BB">
      <w:pPr>
        <w:pStyle w:val="afa"/>
        <w:ind w:firstLine="480"/>
      </w:pPr>
      <w:r w:rsidRPr="00D630D1">
        <w:t>本工程管道地处四川山区，所在地区有酸雨且土壤腐蚀性较强，结合本工程保温输送工艺方案，埋地酸气、燃料气应采用相应的防腐保温保护措施。</w:t>
      </w:r>
    </w:p>
    <w:p w:rsidR="005556BB" w:rsidRPr="00D630D1" w:rsidRDefault="005556BB" w:rsidP="005556BB">
      <w:pPr>
        <w:pStyle w:val="afa"/>
        <w:ind w:firstLine="480"/>
        <w:rPr>
          <w:kern w:val="2"/>
          <w:szCs w:val="24"/>
        </w:rPr>
      </w:pPr>
      <w:r w:rsidRPr="00D630D1">
        <w:rPr>
          <w:kern w:val="2"/>
          <w:szCs w:val="24"/>
        </w:rPr>
        <w:t>埋地酸气管线防腐保温采用</w:t>
      </w:r>
      <w:r w:rsidRPr="00D630D1">
        <w:rPr>
          <w:kern w:val="2"/>
          <w:szCs w:val="24"/>
        </w:rPr>
        <w:t>“</w:t>
      </w:r>
      <w:r w:rsidRPr="00D630D1">
        <w:rPr>
          <w:kern w:val="2"/>
          <w:szCs w:val="24"/>
        </w:rPr>
        <w:t>管中管</w:t>
      </w:r>
      <w:r w:rsidRPr="00D630D1">
        <w:rPr>
          <w:kern w:val="2"/>
          <w:szCs w:val="24"/>
        </w:rPr>
        <w:t>”</w:t>
      </w:r>
      <w:r w:rsidRPr="00D630D1">
        <w:rPr>
          <w:kern w:val="2"/>
          <w:szCs w:val="24"/>
        </w:rPr>
        <w:t>成型工艺，保温层采用硬质聚氨脂泡沫聚乙烯防腐保温层（保温层厚</w:t>
      </w:r>
      <w:r w:rsidRPr="00D630D1">
        <w:rPr>
          <w:kern w:val="2"/>
          <w:szCs w:val="24"/>
        </w:rPr>
        <w:t>40mm</w:t>
      </w:r>
      <w:r w:rsidRPr="00D630D1">
        <w:rPr>
          <w:kern w:val="2"/>
          <w:szCs w:val="24"/>
        </w:rPr>
        <w:t>），防腐层采用环氧粉末；防护层采用聚乙烯层，酸气管道补口采用现场发泡，补口防腐采用无溶剂液体环氧涂料</w:t>
      </w:r>
      <w:r w:rsidRPr="00D630D1">
        <w:rPr>
          <w:kern w:val="2"/>
          <w:szCs w:val="24"/>
        </w:rPr>
        <w:t>+</w:t>
      </w:r>
      <w:r w:rsidRPr="00D630D1">
        <w:rPr>
          <w:kern w:val="2"/>
          <w:szCs w:val="24"/>
        </w:rPr>
        <w:t>粘弹体胶带</w:t>
      </w:r>
      <w:r w:rsidRPr="00D630D1">
        <w:rPr>
          <w:kern w:val="2"/>
          <w:szCs w:val="24"/>
        </w:rPr>
        <w:t>+</w:t>
      </w:r>
      <w:r w:rsidRPr="00D630D1">
        <w:rPr>
          <w:kern w:val="2"/>
          <w:szCs w:val="24"/>
        </w:rPr>
        <w:t>聚乙烯袖套管</w:t>
      </w:r>
      <w:r w:rsidRPr="00D630D1">
        <w:rPr>
          <w:kern w:val="2"/>
          <w:szCs w:val="24"/>
        </w:rPr>
        <w:t>+</w:t>
      </w:r>
      <w:r w:rsidRPr="00D630D1">
        <w:rPr>
          <w:kern w:val="2"/>
          <w:szCs w:val="24"/>
        </w:rPr>
        <w:t>粘弹体胶带</w:t>
      </w:r>
      <w:r w:rsidRPr="00D630D1">
        <w:rPr>
          <w:kern w:val="2"/>
          <w:szCs w:val="24"/>
        </w:rPr>
        <w:t>+</w:t>
      </w:r>
      <w:r w:rsidRPr="00D630D1">
        <w:rPr>
          <w:kern w:val="2"/>
          <w:szCs w:val="24"/>
        </w:rPr>
        <w:t>辐射交联聚乙烯热收缩带。</w:t>
      </w:r>
    </w:p>
    <w:p w:rsidR="00D45808" w:rsidRPr="00D630D1" w:rsidRDefault="005556BB" w:rsidP="005556BB">
      <w:pPr>
        <w:pStyle w:val="afa"/>
        <w:ind w:firstLine="480"/>
      </w:pPr>
      <w:r w:rsidRPr="00D630D1">
        <w:rPr>
          <w:kern w:val="2"/>
          <w:szCs w:val="24"/>
        </w:rPr>
        <w:t>燃料气管线采用机械强度高，耐磨耐冲击，耐化学介质腐蚀，抗植物根茎穿透，吸水性低，使用寿命长，电绝缘性好，使用寿命长的加强级三层</w:t>
      </w:r>
      <w:r w:rsidRPr="00D630D1">
        <w:rPr>
          <w:kern w:val="2"/>
          <w:szCs w:val="24"/>
        </w:rPr>
        <w:t>PE</w:t>
      </w:r>
      <w:r w:rsidRPr="00D630D1">
        <w:rPr>
          <w:kern w:val="2"/>
          <w:szCs w:val="24"/>
        </w:rPr>
        <w:t>防腐层，管道补口采用辐射交联聚乙烯热收缩套。</w:t>
      </w:r>
    </w:p>
    <w:p w:rsidR="00117C3D" w:rsidRPr="00D630D1" w:rsidRDefault="004D269E">
      <w:pPr>
        <w:pStyle w:val="3"/>
        <w:rPr>
          <w:rFonts w:eastAsia="宋体"/>
        </w:rPr>
      </w:pPr>
      <w:bookmarkStart w:id="194" w:name="_Toc437344359"/>
      <w:bookmarkStart w:id="195" w:name="_Toc213832697"/>
      <w:bookmarkStart w:id="196" w:name="_Toc520234421"/>
      <w:bookmarkStart w:id="197" w:name="_Toc19815969"/>
      <w:r w:rsidRPr="00D630D1">
        <w:rPr>
          <w:rFonts w:eastAsia="宋体"/>
        </w:rPr>
        <w:t>3</w:t>
      </w:r>
      <w:r w:rsidR="008B5B84" w:rsidRPr="00D630D1">
        <w:rPr>
          <w:rFonts w:eastAsia="宋体"/>
        </w:rPr>
        <w:t>.</w:t>
      </w:r>
      <w:r w:rsidR="00AD59E9" w:rsidRPr="00D630D1">
        <w:rPr>
          <w:rFonts w:eastAsia="宋体" w:hint="eastAsia"/>
        </w:rPr>
        <w:t>7</w:t>
      </w:r>
      <w:r w:rsidR="008B5B84" w:rsidRPr="00D630D1">
        <w:rPr>
          <w:rFonts w:eastAsia="宋体"/>
        </w:rPr>
        <w:t xml:space="preserve">.3 </w:t>
      </w:r>
      <w:r w:rsidR="008B5B84" w:rsidRPr="00D630D1">
        <w:rPr>
          <w:rFonts w:eastAsia="宋体"/>
        </w:rPr>
        <w:t>阴极保护</w:t>
      </w:r>
      <w:bookmarkEnd w:id="194"/>
      <w:bookmarkEnd w:id="195"/>
      <w:bookmarkEnd w:id="196"/>
      <w:bookmarkEnd w:id="197"/>
    </w:p>
    <w:p w:rsidR="005556BB" w:rsidRPr="00D630D1" w:rsidRDefault="005556BB" w:rsidP="005556BB">
      <w:pPr>
        <w:pStyle w:val="afa"/>
        <w:ind w:firstLine="480"/>
      </w:pPr>
      <w:r w:rsidRPr="00D630D1">
        <w:t>本工程对站外埋地酸气管道实施强制电流阴极保护；在</w:t>
      </w:r>
      <w:r w:rsidR="002C00AE">
        <w:t>普光</w:t>
      </w:r>
      <w:r w:rsidR="002C00AE">
        <w:t>12</w:t>
      </w:r>
      <w:r w:rsidR="002C00AE">
        <w:t>采气站</w:t>
      </w:r>
      <w:r w:rsidRPr="00D630D1">
        <w:t>新建阴极保护站</w:t>
      </w:r>
      <w:r w:rsidRPr="00D630D1">
        <w:t>1</w:t>
      </w:r>
      <w:r w:rsidRPr="00D630D1">
        <w:t>座，同时在</w:t>
      </w:r>
      <w:r w:rsidR="00DD3EA1">
        <w:t>普光</w:t>
      </w:r>
      <w:r w:rsidR="00DD3EA1">
        <w:t>12</w:t>
      </w:r>
      <w:r w:rsidR="00DD3EA1">
        <w:t>采气站</w:t>
      </w:r>
      <w:r w:rsidR="004A321D" w:rsidRPr="00D630D1">
        <w:t>~</w:t>
      </w:r>
      <w:r w:rsidR="00D57583">
        <w:rPr>
          <w:rFonts w:hint="eastAsia"/>
        </w:rPr>
        <w:t>普陆</w:t>
      </w:r>
      <w:r w:rsidR="00D57583">
        <w:rPr>
          <w:rFonts w:hint="eastAsia"/>
        </w:rPr>
        <w:t>3</w:t>
      </w:r>
      <w:r w:rsidR="00D57583">
        <w:rPr>
          <w:rFonts w:hint="eastAsia"/>
        </w:rPr>
        <w:t>集气站</w:t>
      </w:r>
      <w:r w:rsidR="004A321D" w:rsidRPr="00D630D1">
        <w:rPr>
          <w:rFonts w:hint="eastAsia"/>
        </w:rPr>
        <w:t>集气管道</w:t>
      </w:r>
      <w:r w:rsidR="00024CC8">
        <w:rPr>
          <w:rFonts w:hint="eastAsia"/>
        </w:rPr>
        <w:t>、普陆</w:t>
      </w:r>
      <w:r w:rsidR="00024CC8">
        <w:rPr>
          <w:rFonts w:hint="eastAsia"/>
        </w:rPr>
        <w:t>3</w:t>
      </w:r>
      <w:r w:rsidR="00024CC8">
        <w:rPr>
          <w:rFonts w:hint="eastAsia"/>
        </w:rPr>
        <w:t>集气站</w:t>
      </w:r>
      <w:r w:rsidR="00024CC8" w:rsidRPr="00D630D1">
        <w:rPr>
          <w:rFonts w:hint="eastAsia"/>
        </w:rPr>
        <w:t xml:space="preserve">~ </w:t>
      </w:r>
      <w:r w:rsidR="00024CC8">
        <w:rPr>
          <w:rFonts w:hint="eastAsia"/>
        </w:rPr>
        <w:t>P105</w:t>
      </w:r>
      <w:r w:rsidR="00024CC8">
        <w:rPr>
          <w:rFonts w:hint="eastAsia"/>
        </w:rPr>
        <w:t>集气站</w:t>
      </w:r>
      <w:r w:rsidR="00024CC8" w:rsidRPr="00D630D1">
        <w:rPr>
          <w:rFonts w:hint="eastAsia"/>
        </w:rPr>
        <w:t>集气管道</w:t>
      </w:r>
      <w:r w:rsidRPr="00D630D1">
        <w:t>沿线设置智能测试桩，实现阴极保护设备、管道保护电位数据的在线监测；为防止已埋地的管道被腐蚀，对本段管线全线</w:t>
      </w:r>
      <w:r w:rsidR="004A321D" w:rsidRPr="00D630D1">
        <w:t>采用牺牲阳极作</w:t>
      </w:r>
      <w:r w:rsidR="004A321D" w:rsidRPr="00D630D1">
        <w:lastRenderedPageBreak/>
        <w:t>为临时性保护措施。临时阴极保护选用块状镁合金阳极</w:t>
      </w:r>
      <w:r w:rsidRPr="00D630D1">
        <w:t>。</w:t>
      </w:r>
    </w:p>
    <w:p w:rsidR="005556BB" w:rsidRPr="00D630D1" w:rsidRDefault="005556BB" w:rsidP="005556BB">
      <w:pPr>
        <w:pStyle w:val="afa"/>
        <w:ind w:firstLine="480"/>
      </w:pPr>
      <w:r w:rsidRPr="00D630D1">
        <w:t>阴极保护站由电源设备（恒电位仪、控制台）、连接电缆、阳极地床、参比电极、绝缘设施以及测试设施等构成，其中电源设备布置在阴极保护间内（与机柜间合建）。</w:t>
      </w:r>
    </w:p>
    <w:p w:rsidR="005556BB" w:rsidRPr="00D630D1" w:rsidRDefault="005556BB" w:rsidP="005556BB">
      <w:pPr>
        <w:pStyle w:val="afa"/>
        <w:ind w:firstLine="480"/>
      </w:pPr>
      <w:r w:rsidRPr="00D630D1">
        <w:t>恒电位仪是阴极保护系统的极化电源装置，共设</w:t>
      </w:r>
      <w:r w:rsidRPr="00D630D1">
        <w:t>2</w:t>
      </w:r>
      <w:r w:rsidRPr="00D630D1">
        <w:t>台，</w:t>
      </w:r>
      <w:r w:rsidRPr="00D630D1">
        <w:t>1</w:t>
      </w:r>
      <w:r w:rsidRPr="00D630D1">
        <w:t>用</w:t>
      </w:r>
      <w:r w:rsidRPr="00D630D1">
        <w:t>1</w:t>
      </w:r>
      <w:r w:rsidRPr="00D630D1">
        <w:t>备。控制台是控制多台恒电位仪的设备，实现恒电位仪的自动切换。</w:t>
      </w:r>
    </w:p>
    <w:p w:rsidR="00D45808" w:rsidRPr="00D630D1" w:rsidRDefault="005556BB" w:rsidP="005556BB">
      <w:pPr>
        <w:pStyle w:val="afa"/>
        <w:ind w:firstLine="480"/>
      </w:pPr>
      <w:r w:rsidRPr="00D630D1">
        <w:t>阳极地床是阴极保护站重要辅助设施，目前有浅埋和深井两种方式，本工程暂按深井阳极考虑，下一步根据地质勘探情况再最终确定。</w:t>
      </w:r>
    </w:p>
    <w:p w:rsidR="005556BB" w:rsidRPr="00D630D1" w:rsidRDefault="005556BB" w:rsidP="005556BB">
      <w:pPr>
        <w:pStyle w:val="3"/>
        <w:rPr>
          <w:rFonts w:eastAsia="宋体"/>
        </w:rPr>
      </w:pPr>
      <w:r w:rsidRPr="00D630D1">
        <w:rPr>
          <w:rFonts w:eastAsia="宋体"/>
        </w:rPr>
        <w:t>3.</w:t>
      </w:r>
      <w:r w:rsidR="00AD59E9" w:rsidRPr="00D630D1">
        <w:rPr>
          <w:rFonts w:eastAsia="宋体" w:hint="eastAsia"/>
        </w:rPr>
        <w:t>7</w:t>
      </w:r>
      <w:r w:rsidRPr="00D630D1">
        <w:rPr>
          <w:rFonts w:eastAsia="宋体"/>
        </w:rPr>
        <w:t xml:space="preserve">.4 </w:t>
      </w:r>
      <w:r w:rsidRPr="00D630D1">
        <w:rPr>
          <w:rFonts w:eastAsia="宋体"/>
        </w:rPr>
        <w:t>自动控制</w:t>
      </w:r>
    </w:p>
    <w:p w:rsidR="005556BB" w:rsidRPr="00D630D1" w:rsidRDefault="005556BB" w:rsidP="005556BB">
      <w:pPr>
        <w:pStyle w:val="afa"/>
        <w:ind w:firstLine="482"/>
        <w:rPr>
          <w:b/>
          <w:bCs/>
        </w:rPr>
      </w:pPr>
      <w:r w:rsidRPr="00D630D1">
        <w:rPr>
          <w:b/>
          <w:bCs/>
        </w:rPr>
        <w:t>1</w:t>
      </w:r>
      <w:r w:rsidRPr="00D630D1">
        <w:rPr>
          <w:b/>
          <w:bCs/>
        </w:rPr>
        <w:t>、新建站场</w:t>
      </w:r>
    </w:p>
    <w:p w:rsidR="005556BB" w:rsidRPr="00D630D1" w:rsidRDefault="002C00AE" w:rsidP="005556BB">
      <w:pPr>
        <w:pStyle w:val="afa"/>
        <w:ind w:firstLine="480"/>
      </w:pPr>
      <w:r>
        <w:t>普光</w:t>
      </w:r>
      <w:r>
        <w:t>12</w:t>
      </w:r>
      <w:r>
        <w:t>采气站</w:t>
      </w:r>
      <w:r w:rsidR="005556BB" w:rsidRPr="00D630D1">
        <w:t>新建站控系统，站控系统（</w:t>
      </w:r>
      <w:r w:rsidR="005556BB" w:rsidRPr="00D630D1">
        <w:t>SCS</w:t>
      </w:r>
      <w:r w:rsidR="005556BB" w:rsidRPr="00D630D1">
        <w:t>）共分为两部分：过程控制系统（</w:t>
      </w:r>
      <w:r w:rsidR="005556BB" w:rsidRPr="00D630D1">
        <w:t>PCS</w:t>
      </w:r>
      <w:r w:rsidR="005556BB" w:rsidRPr="00D630D1">
        <w:t>）和安全仪表系统（</w:t>
      </w:r>
      <w:r w:rsidR="005556BB" w:rsidRPr="00D630D1">
        <w:t>SIS</w:t>
      </w:r>
      <w:r w:rsidR="005556BB" w:rsidRPr="00D630D1">
        <w:t>）。安全仪表系统还包括火气检测系统（</w:t>
      </w:r>
      <w:r w:rsidR="005556BB" w:rsidRPr="00D630D1">
        <w:t>FGS</w:t>
      </w:r>
      <w:r w:rsidR="005556BB" w:rsidRPr="00D630D1">
        <w:t>）和紧急关断系统（</w:t>
      </w:r>
      <w:r w:rsidR="005556BB" w:rsidRPr="00D630D1">
        <w:t>ESD</w:t>
      </w:r>
      <w:r w:rsidR="005556BB" w:rsidRPr="00D630D1">
        <w:t>）</w:t>
      </w:r>
      <w:r w:rsidR="005556BB" w:rsidRPr="00D630D1">
        <w:t>2</w:t>
      </w:r>
      <w:r w:rsidR="005556BB" w:rsidRPr="00D630D1">
        <w:t>个子系统，两个系统采用独立的</w:t>
      </w:r>
      <w:r w:rsidR="005556BB" w:rsidRPr="00D630D1">
        <w:t>I/O</w:t>
      </w:r>
      <w:r w:rsidR="005556BB" w:rsidRPr="00D630D1">
        <w:t>卡件。</w:t>
      </w:r>
      <w:r w:rsidR="005556BB" w:rsidRPr="00D630D1">
        <w:t>PCS</w:t>
      </w:r>
      <w:r w:rsidR="005556BB" w:rsidRPr="00D630D1">
        <w:t>负责工艺流程的监测和控制，</w:t>
      </w:r>
      <w:r w:rsidR="005556BB" w:rsidRPr="00D630D1">
        <w:t>SIS</w:t>
      </w:r>
      <w:r w:rsidR="005556BB" w:rsidRPr="00D630D1">
        <w:t>负责安全联锁保护。</w:t>
      </w:r>
    </w:p>
    <w:p w:rsidR="005556BB" w:rsidRPr="00D630D1" w:rsidRDefault="00E92F8F" w:rsidP="005556BB">
      <w:pPr>
        <w:pStyle w:val="afa"/>
        <w:ind w:firstLine="482"/>
        <w:rPr>
          <w:b/>
          <w:bCs/>
        </w:rPr>
      </w:pPr>
      <w:r w:rsidRPr="00D630D1">
        <w:rPr>
          <w:rFonts w:hint="eastAsia"/>
          <w:b/>
          <w:bCs/>
        </w:rPr>
        <w:t>2</w:t>
      </w:r>
      <w:r w:rsidR="005556BB" w:rsidRPr="00D630D1">
        <w:rPr>
          <w:b/>
          <w:bCs/>
        </w:rPr>
        <w:t>、净化厂中控室</w:t>
      </w:r>
    </w:p>
    <w:p w:rsidR="005556BB" w:rsidRPr="00D630D1" w:rsidRDefault="005556BB" w:rsidP="005556BB">
      <w:pPr>
        <w:pStyle w:val="afa"/>
        <w:ind w:firstLine="480"/>
      </w:pPr>
      <w:r w:rsidRPr="00D630D1">
        <w:t>普光气田集输系统的控制中心为已建</w:t>
      </w:r>
      <w:r w:rsidR="00E92F8F" w:rsidRPr="00D630D1">
        <w:t>，设置在脱硫净化厂的中控室，本次设计对中控室系统进行扩容，将</w:t>
      </w:r>
      <w:r w:rsidRPr="00D630D1">
        <w:t>新建</w:t>
      </w:r>
      <w:r w:rsidR="002C00AE">
        <w:t>普光</w:t>
      </w:r>
      <w:r w:rsidR="002C00AE">
        <w:t>12</w:t>
      </w:r>
      <w:r w:rsidR="002C00AE">
        <w:t>采气站</w:t>
      </w:r>
      <w:r w:rsidRPr="00D630D1">
        <w:t>的信号纳入</w:t>
      </w:r>
      <w:r w:rsidRPr="00D630D1">
        <w:t>SCADA</w:t>
      </w:r>
      <w:r w:rsidRPr="00D630D1">
        <w:t>系统，并修改</w:t>
      </w:r>
      <w:r w:rsidRPr="00D630D1">
        <w:t>SCADA</w:t>
      </w:r>
      <w:r w:rsidRPr="00D630D1">
        <w:t>系统的</w:t>
      </w:r>
      <w:r w:rsidRPr="00D630D1">
        <w:t>ESD</w:t>
      </w:r>
      <w:r w:rsidRPr="00D630D1">
        <w:t>因果逻辑，完成新增集气站的数据采集监控和安全保护功能。</w:t>
      </w:r>
    </w:p>
    <w:p w:rsidR="005556BB" w:rsidRPr="00D630D1" w:rsidRDefault="005556BB" w:rsidP="005556BB">
      <w:pPr>
        <w:pStyle w:val="3"/>
        <w:rPr>
          <w:rFonts w:eastAsia="宋体"/>
        </w:rPr>
      </w:pPr>
      <w:r w:rsidRPr="00D630D1">
        <w:rPr>
          <w:rFonts w:eastAsia="宋体"/>
        </w:rPr>
        <w:t>3.</w:t>
      </w:r>
      <w:r w:rsidR="00AD59E9" w:rsidRPr="00D630D1">
        <w:rPr>
          <w:rFonts w:eastAsia="宋体" w:hint="eastAsia"/>
        </w:rPr>
        <w:t>7</w:t>
      </w:r>
      <w:r w:rsidRPr="00D630D1">
        <w:rPr>
          <w:rFonts w:eastAsia="宋体"/>
        </w:rPr>
        <w:t xml:space="preserve">.5 </w:t>
      </w:r>
      <w:r w:rsidRPr="00D630D1">
        <w:rPr>
          <w:rFonts w:eastAsia="宋体"/>
        </w:rPr>
        <w:t>通信工程</w:t>
      </w:r>
    </w:p>
    <w:p w:rsidR="005556BB" w:rsidRPr="00D630D1" w:rsidRDefault="005556BB" w:rsidP="005556BB">
      <w:pPr>
        <w:pStyle w:val="afa"/>
        <w:ind w:firstLine="480"/>
      </w:pPr>
      <w:r w:rsidRPr="00D630D1">
        <w:t>主要包括光缆线路，光传输系统，工业以太网，站场广播对讲系统</w:t>
      </w:r>
      <w:r w:rsidR="00F4330E" w:rsidRPr="00D630D1">
        <w:rPr>
          <w:rFonts w:hint="eastAsia"/>
        </w:rPr>
        <w:t>（</w:t>
      </w:r>
      <w:r w:rsidR="00F4330E" w:rsidRPr="00D630D1">
        <w:t>PA/GA</w:t>
      </w:r>
      <w:r w:rsidR="00F4330E" w:rsidRPr="00D630D1">
        <w:rPr>
          <w:rFonts w:hint="eastAsia"/>
        </w:rPr>
        <w:t>）</w:t>
      </w:r>
      <w:r w:rsidRPr="00D630D1">
        <w:t>，工业电视监控系统，周界报警系统，办公网及语音系统，气象系统，紧急疏散广播系统扩容，通信基站。</w:t>
      </w:r>
    </w:p>
    <w:p w:rsidR="005556BB" w:rsidRPr="00D630D1" w:rsidRDefault="005556BB" w:rsidP="005556BB">
      <w:pPr>
        <w:pStyle w:val="afa"/>
        <w:ind w:firstLine="480"/>
      </w:pPr>
      <w:r w:rsidRPr="00D630D1">
        <w:t>从</w:t>
      </w:r>
      <w:r w:rsidR="00E92F8F" w:rsidRPr="00D630D1">
        <w:rPr>
          <w:rFonts w:hint="eastAsia"/>
        </w:rPr>
        <w:t>井场</w:t>
      </w:r>
      <w:r w:rsidRPr="00D630D1">
        <w:t>出发，沿输气管道同沟敷设</w:t>
      </w:r>
      <w:r w:rsidRPr="00D630D1">
        <w:t>1</w:t>
      </w:r>
      <w:r w:rsidRPr="00D630D1">
        <w:t>条</w:t>
      </w:r>
      <w:r w:rsidRPr="00D630D1">
        <w:t>24</w:t>
      </w:r>
      <w:r w:rsidRPr="00D630D1">
        <w:t>芯</w:t>
      </w:r>
      <w:r w:rsidRPr="00D630D1">
        <w:t>GYTA</w:t>
      </w:r>
      <w:r w:rsidR="00E92F8F" w:rsidRPr="00D630D1">
        <w:rPr>
          <w:rFonts w:hint="eastAsia"/>
        </w:rPr>
        <w:t>-24B1</w:t>
      </w:r>
      <w:r w:rsidRPr="00D630D1">
        <w:t>光缆，穿硅芯管保护至</w:t>
      </w:r>
      <w:r w:rsidR="00D57583">
        <w:rPr>
          <w:rFonts w:hint="eastAsia"/>
        </w:rPr>
        <w:t>普陆</w:t>
      </w:r>
      <w:r w:rsidR="00D57583">
        <w:rPr>
          <w:rFonts w:hint="eastAsia"/>
        </w:rPr>
        <w:t>3</w:t>
      </w:r>
      <w:r w:rsidR="00D57583">
        <w:rPr>
          <w:rFonts w:hint="eastAsia"/>
        </w:rPr>
        <w:t>集气站</w:t>
      </w:r>
      <w:r w:rsidRPr="00D630D1">
        <w:t>。</w:t>
      </w:r>
    </w:p>
    <w:p w:rsidR="005556BB" w:rsidRPr="00D630D1" w:rsidRDefault="005556BB" w:rsidP="005556BB">
      <w:pPr>
        <w:pStyle w:val="afa"/>
        <w:ind w:firstLine="480"/>
      </w:pPr>
      <w:r w:rsidRPr="00D630D1">
        <w:t>从</w:t>
      </w:r>
      <w:r w:rsidR="00E92F8F" w:rsidRPr="00D630D1">
        <w:rPr>
          <w:rFonts w:hint="eastAsia"/>
        </w:rPr>
        <w:t>井场</w:t>
      </w:r>
      <w:r w:rsidRPr="00D630D1">
        <w:t>架设</w:t>
      </w:r>
      <w:r w:rsidRPr="00D630D1">
        <w:t>1</w:t>
      </w:r>
      <w:r w:rsidRPr="00D630D1">
        <w:t>条</w:t>
      </w:r>
      <w:r w:rsidRPr="00D630D1">
        <w:t>24</w:t>
      </w:r>
      <w:r w:rsidRPr="00D630D1">
        <w:t>芯</w:t>
      </w:r>
      <w:r w:rsidRPr="00D630D1">
        <w:t>ADSS</w:t>
      </w:r>
      <w:r w:rsidRPr="00D630D1">
        <w:t>光缆至</w:t>
      </w:r>
      <w:r w:rsidR="00D57583">
        <w:rPr>
          <w:rFonts w:hint="eastAsia"/>
        </w:rPr>
        <w:t>普陆</w:t>
      </w:r>
      <w:r w:rsidR="00D57583">
        <w:rPr>
          <w:rFonts w:hint="eastAsia"/>
        </w:rPr>
        <w:t>3</w:t>
      </w:r>
      <w:r w:rsidR="00D57583">
        <w:rPr>
          <w:rFonts w:hint="eastAsia"/>
        </w:rPr>
        <w:t>集气站</w:t>
      </w:r>
      <w:r w:rsidRPr="00D630D1">
        <w:t>，其中沿电力线路同杆架设</w:t>
      </w:r>
      <w:r w:rsidRPr="00D630D1">
        <w:t>ADSS</w:t>
      </w:r>
      <w:r w:rsidRPr="00D630D1">
        <w:t>光缆，无新建电力线路时，再沿管线新建杆路，架设</w:t>
      </w:r>
      <w:r w:rsidRPr="00D630D1">
        <w:t>ADSS</w:t>
      </w:r>
      <w:r w:rsidRPr="00D630D1">
        <w:t>光缆。</w:t>
      </w:r>
    </w:p>
    <w:p w:rsidR="00117C3D" w:rsidRPr="00D630D1" w:rsidRDefault="00647CF2">
      <w:pPr>
        <w:pStyle w:val="3"/>
        <w:rPr>
          <w:rFonts w:eastAsia="宋体"/>
        </w:rPr>
      </w:pPr>
      <w:bookmarkStart w:id="198" w:name="_Toc303189542"/>
      <w:bookmarkStart w:id="199" w:name="_Toc351383895"/>
      <w:bookmarkStart w:id="200" w:name="_Toc395634367"/>
      <w:bookmarkStart w:id="201" w:name="_Toc93513824"/>
      <w:bookmarkStart w:id="202" w:name="_Toc312135301"/>
      <w:bookmarkStart w:id="203" w:name="_Toc19815970"/>
      <w:bookmarkStart w:id="204" w:name="_Toc436162612"/>
      <w:bookmarkStart w:id="205" w:name="_Toc520234423"/>
      <w:r w:rsidRPr="00D630D1">
        <w:rPr>
          <w:rFonts w:eastAsia="宋体"/>
        </w:rPr>
        <w:t>3</w:t>
      </w:r>
      <w:r w:rsidR="008B5B84" w:rsidRPr="00D630D1">
        <w:rPr>
          <w:rFonts w:eastAsia="宋体"/>
        </w:rPr>
        <w:t>.</w:t>
      </w:r>
      <w:r w:rsidR="00AD59E9" w:rsidRPr="00D630D1">
        <w:rPr>
          <w:rFonts w:eastAsia="宋体" w:hint="eastAsia"/>
        </w:rPr>
        <w:t>7</w:t>
      </w:r>
      <w:r w:rsidR="008B5B84" w:rsidRPr="00D630D1">
        <w:rPr>
          <w:rFonts w:eastAsia="宋体"/>
        </w:rPr>
        <w:t>.</w:t>
      </w:r>
      <w:r w:rsidR="005556BB" w:rsidRPr="00D630D1">
        <w:rPr>
          <w:rFonts w:eastAsia="宋体"/>
        </w:rPr>
        <w:t>6</w:t>
      </w:r>
      <w:r w:rsidR="008B5B84" w:rsidRPr="00D630D1">
        <w:rPr>
          <w:rFonts w:eastAsia="宋体"/>
        </w:rPr>
        <w:t xml:space="preserve"> </w:t>
      </w:r>
      <w:bookmarkEnd w:id="198"/>
      <w:bookmarkEnd w:id="199"/>
      <w:bookmarkEnd w:id="200"/>
      <w:bookmarkEnd w:id="201"/>
      <w:bookmarkEnd w:id="202"/>
      <w:bookmarkEnd w:id="203"/>
      <w:bookmarkEnd w:id="204"/>
      <w:bookmarkEnd w:id="205"/>
      <w:r w:rsidR="005556BB" w:rsidRPr="00D630D1">
        <w:rPr>
          <w:rFonts w:eastAsia="宋体"/>
        </w:rPr>
        <w:t>管道焊接与焊缝检验</w:t>
      </w:r>
    </w:p>
    <w:p w:rsidR="00117C3D" w:rsidRPr="00D630D1" w:rsidRDefault="00647CF2">
      <w:pPr>
        <w:ind w:firstLine="480"/>
        <w:rPr>
          <w:rFonts w:ascii="Times New Roman" w:cs="Times New Roman"/>
        </w:rPr>
      </w:pPr>
      <w:r w:rsidRPr="00D630D1">
        <w:rPr>
          <w:rFonts w:ascii="Times New Roman" w:cs="Times New Roman"/>
        </w:rPr>
        <w:t>本工程推荐采用采用氩弧焊打底，手工电弧焊接盖面，施工单位可根据现场情况及自身设备及技术条件调整焊接方式，但必须满足焊接工艺评定相关要求。</w:t>
      </w:r>
      <w:r w:rsidRPr="00D630D1">
        <w:rPr>
          <w:rFonts w:ascii="Times New Roman" w:cs="Times New Roman"/>
        </w:rPr>
        <w:lastRenderedPageBreak/>
        <w:t>本项目管道探伤采用</w:t>
      </w:r>
      <w:r w:rsidRPr="00D630D1">
        <w:rPr>
          <w:rFonts w:ascii="Times New Roman" w:cs="Times New Roman"/>
        </w:rPr>
        <w:t>100%</w:t>
      </w:r>
      <w:r w:rsidRPr="00D630D1">
        <w:rPr>
          <w:rFonts w:ascii="Times New Roman" w:cs="Times New Roman"/>
        </w:rPr>
        <w:t>全周长超声波探伤，合格后再进行</w:t>
      </w:r>
      <w:r w:rsidRPr="00D630D1">
        <w:rPr>
          <w:rFonts w:ascii="Times New Roman" w:cs="Times New Roman"/>
        </w:rPr>
        <w:t>100%</w:t>
      </w:r>
      <w:r w:rsidRPr="00D630D1">
        <w:rPr>
          <w:rFonts w:ascii="Times New Roman" w:cs="Times New Roman"/>
        </w:rPr>
        <w:t>的</w:t>
      </w:r>
      <w:r w:rsidRPr="00D630D1">
        <w:rPr>
          <w:rFonts w:ascii="Times New Roman" w:cs="Times New Roman"/>
        </w:rPr>
        <w:t>X</w:t>
      </w:r>
      <w:r w:rsidRPr="00D630D1">
        <w:rPr>
          <w:rFonts w:ascii="Times New Roman" w:cs="Times New Roman"/>
        </w:rPr>
        <w:t>射线探伤检验。工程探伤检验由专业队伍开展，应按照《工业</w:t>
      </w:r>
      <w:r w:rsidRPr="00D630D1">
        <w:rPr>
          <w:rFonts w:ascii="Times New Roman" w:cs="Times New Roman"/>
        </w:rPr>
        <w:t>X</w:t>
      </w:r>
      <w:r w:rsidRPr="00D630D1">
        <w:rPr>
          <w:rFonts w:ascii="Times New Roman" w:cs="Times New Roman"/>
        </w:rPr>
        <w:t>射线探伤放射防护要求》（</w:t>
      </w:r>
      <w:r w:rsidRPr="00D630D1">
        <w:rPr>
          <w:rFonts w:ascii="Times New Roman" w:cs="Times New Roman"/>
        </w:rPr>
        <w:t>GBZ117—2015</w:t>
      </w:r>
      <w:r w:rsidRPr="00D630D1">
        <w:rPr>
          <w:rFonts w:ascii="Times New Roman" w:cs="Times New Roman"/>
        </w:rPr>
        <w:t>）对管道探伤</w:t>
      </w:r>
      <w:r w:rsidRPr="00D630D1">
        <w:rPr>
          <w:rFonts w:ascii="Times New Roman" w:cs="Times New Roman"/>
        </w:rPr>
        <w:t>X</w:t>
      </w:r>
      <w:r w:rsidRPr="00D630D1">
        <w:rPr>
          <w:rFonts w:ascii="Times New Roman" w:cs="Times New Roman"/>
        </w:rPr>
        <w:t>射线复验进行。采用</w:t>
      </w:r>
      <w:r w:rsidRPr="00D630D1">
        <w:rPr>
          <w:rFonts w:ascii="Times New Roman" w:cs="Times New Roman"/>
        </w:rPr>
        <w:t>X</w:t>
      </w:r>
      <w:r w:rsidRPr="00D630D1">
        <w:rPr>
          <w:rFonts w:ascii="Times New Roman" w:cs="Times New Roman"/>
        </w:rPr>
        <w:t>射线探伤设备功率为</w:t>
      </w:r>
      <w:r w:rsidRPr="00D630D1">
        <w:rPr>
          <w:rFonts w:ascii="Times New Roman" w:cs="Times New Roman"/>
        </w:rPr>
        <w:t>700W</w:t>
      </w:r>
      <w:r w:rsidRPr="00D630D1">
        <w:rPr>
          <w:rFonts w:ascii="Times New Roman" w:cs="Times New Roman"/>
        </w:rPr>
        <w:t>，专业队伍在开展探伤工作前，应对项目使用探伤设备到相应环保部门进行登记，取得《辐射许可证》后方可进行。工程探伤检验由专业队伍开展，应按照《工业</w:t>
      </w:r>
      <w:r w:rsidRPr="00D630D1">
        <w:rPr>
          <w:rFonts w:ascii="Times New Roman" w:cs="Times New Roman"/>
        </w:rPr>
        <w:t>X</w:t>
      </w:r>
      <w:r w:rsidRPr="00D630D1">
        <w:rPr>
          <w:rFonts w:ascii="Times New Roman" w:cs="Times New Roman"/>
        </w:rPr>
        <w:t>射线探伤放射防护要求》（</w:t>
      </w:r>
      <w:r w:rsidRPr="00D630D1">
        <w:rPr>
          <w:rFonts w:ascii="Times New Roman" w:cs="Times New Roman"/>
        </w:rPr>
        <w:t>GBZ117—2015</w:t>
      </w:r>
      <w:r w:rsidRPr="00D630D1">
        <w:rPr>
          <w:rFonts w:ascii="Times New Roman" w:cs="Times New Roman"/>
        </w:rPr>
        <w:t>）对管道探伤</w:t>
      </w:r>
      <w:r w:rsidRPr="00D630D1">
        <w:rPr>
          <w:rFonts w:ascii="Times New Roman" w:cs="Times New Roman"/>
        </w:rPr>
        <w:t>X</w:t>
      </w:r>
      <w:r w:rsidRPr="00D630D1">
        <w:rPr>
          <w:rFonts w:ascii="Times New Roman" w:cs="Times New Roman"/>
        </w:rPr>
        <w:t>射线复验进行。</w:t>
      </w:r>
      <w:r w:rsidRPr="00D630D1">
        <w:rPr>
          <w:rFonts w:ascii="Times New Roman" w:cs="Times New Roman"/>
          <w:b/>
          <w:bCs/>
        </w:rPr>
        <w:t>不在本次评价范围内。</w:t>
      </w:r>
    </w:p>
    <w:p w:rsidR="00117C3D" w:rsidRPr="00D630D1" w:rsidRDefault="001E45AD" w:rsidP="001E45AD">
      <w:pPr>
        <w:pStyle w:val="2"/>
        <w:spacing w:before="120"/>
        <w:rPr>
          <w:rFonts w:cs="Times New Roman"/>
        </w:rPr>
      </w:pPr>
      <w:bookmarkStart w:id="206" w:name="_Toc19815971"/>
      <w:bookmarkStart w:id="207" w:name="_Toc81515271"/>
      <w:r w:rsidRPr="00D630D1">
        <w:rPr>
          <w:rFonts w:cs="Times New Roman"/>
        </w:rPr>
        <w:t>3</w:t>
      </w:r>
      <w:r w:rsidR="008B5B84" w:rsidRPr="00D630D1">
        <w:rPr>
          <w:rFonts w:cs="Times New Roman"/>
        </w:rPr>
        <w:t>.</w:t>
      </w:r>
      <w:r w:rsidR="00AD59E9" w:rsidRPr="00D630D1">
        <w:rPr>
          <w:rFonts w:cs="Times New Roman" w:hint="eastAsia"/>
        </w:rPr>
        <w:t>8</w:t>
      </w:r>
      <w:r w:rsidR="008B5B84" w:rsidRPr="00D630D1">
        <w:rPr>
          <w:rFonts w:cs="Times New Roman"/>
        </w:rPr>
        <w:t xml:space="preserve"> </w:t>
      </w:r>
      <w:r w:rsidR="008B5B84" w:rsidRPr="00D630D1">
        <w:rPr>
          <w:rFonts w:cs="Times New Roman"/>
        </w:rPr>
        <w:t>公用工程</w:t>
      </w:r>
      <w:bookmarkEnd w:id="182"/>
      <w:bookmarkEnd w:id="206"/>
      <w:bookmarkEnd w:id="207"/>
    </w:p>
    <w:p w:rsidR="00117C3D" w:rsidRPr="00D630D1" w:rsidRDefault="001E45AD">
      <w:pPr>
        <w:pStyle w:val="3"/>
        <w:rPr>
          <w:rFonts w:eastAsia="宋体"/>
        </w:rPr>
      </w:pPr>
      <w:bookmarkStart w:id="208" w:name="_Toc19815972"/>
      <w:bookmarkStart w:id="209" w:name="_Toc12288451"/>
      <w:r w:rsidRPr="00D630D1">
        <w:rPr>
          <w:rFonts w:eastAsia="宋体"/>
        </w:rPr>
        <w:t>3</w:t>
      </w:r>
      <w:r w:rsidR="008B5B84" w:rsidRPr="00D630D1">
        <w:rPr>
          <w:rFonts w:eastAsia="宋体"/>
        </w:rPr>
        <w:t>.</w:t>
      </w:r>
      <w:r w:rsidR="00AD59E9" w:rsidRPr="00D630D1">
        <w:rPr>
          <w:rFonts w:eastAsia="宋体" w:hint="eastAsia"/>
        </w:rPr>
        <w:t>8</w:t>
      </w:r>
      <w:r w:rsidR="008B5B84" w:rsidRPr="00D630D1">
        <w:rPr>
          <w:rFonts w:eastAsia="宋体"/>
        </w:rPr>
        <w:t xml:space="preserve">.1 </w:t>
      </w:r>
      <w:r w:rsidR="008B5B84" w:rsidRPr="00D630D1">
        <w:rPr>
          <w:rFonts w:eastAsia="宋体"/>
        </w:rPr>
        <w:t>给排水</w:t>
      </w:r>
      <w:bookmarkEnd w:id="208"/>
      <w:bookmarkEnd w:id="209"/>
    </w:p>
    <w:p w:rsidR="00117C3D" w:rsidRPr="00D630D1" w:rsidRDefault="008B5B84">
      <w:pPr>
        <w:pStyle w:val="a1"/>
        <w:ind w:firstLine="482"/>
        <w:rPr>
          <w:rFonts w:ascii="Times New Roman" w:cs="Times New Roman"/>
          <w:b/>
        </w:rPr>
      </w:pPr>
      <w:r w:rsidRPr="00D630D1">
        <w:rPr>
          <w:rFonts w:ascii="Times New Roman" w:cs="Times New Roman"/>
          <w:b/>
        </w:rPr>
        <w:t>1</w:t>
      </w:r>
      <w:r w:rsidRPr="00D630D1">
        <w:rPr>
          <w:rFonts w:ascii="Times New Roman" w:cs="Times New Roman"/>
          <w:b/>
        </w:rPr>
        <w:t>、给水</w:t>
      </w:r>
    </w:p>
    <w:p w:rsidR="001E45AD" w:rsidRPr="00D630D1" w:rsidRDefault="002C00AE">
      <w:pPr>
        <w:pStyle w:val="a1"/>
        <w:ind w:firstLine="480"/>
        <w:rPr>
          <w:rFonts w:ascii="Times New Roman" w:cs="Times New Roman"/>
        </w:rPr>
      </w:pPr>
      <w:r>
        <w:rPr>
          <w:rFonts w:ascii="Times New Roman" w:cs="Times New Roman"/>
        </w:rPr>
        <w:t>普光</w:t>
      </w:r>
      <w:r>
        <w:rPr>
          <w:rFonts w:ascii="Times New Roman" w:cs="Times New Roman"/>
        </w:rPr>
        <w:t>12</w:t>
      </w:r>
      <w:r>
        <w:rPr>
          <w:rFonts w:ascii="Times New Roman" w:cs="Times New Roman"/>
        </w:rPr>
        <w:t>采气站</w:t>
      </w:r>
      <w:r w:rsidR="005556BB" w:rsidRPr="00D630D1">
        <w:rPr>
          <w:rFonts w:ascii="Times New Roman" w:cs="Times New Roman"/>
        </w:rPr>
        <w:t>生活、生产用水采用罐车拉水的方式，车拉水卸至站场高架水箱，由水箱供给单井站生产生活用水。</w:t>
      </w:r>
    </w:p>
    <w:p w:rsidR="00117C3D" w:rsidRPr="00D630D1" w:rsidRDefault="008B5B84">
      <w:pPr>
        <w:pStyle w:val="a1"/>
        <w:ind w:firstLine="482"/>
        <w:rPr>
          <w:rFonts w:ascii="Times New Roman" w:cs="Times New Roman"/>
          <w:b/>
        </w:rPr>
      </w:pPr>
      <w:bookmarkStart w:id="210" w:name="_Toc12288452"/>
      <w:r w:rsidRPr="00D630D1">
        <w:rPr>
          <w:rFonts w:ascii="Times New Roman" w:cs="Times New Roman"/>
          <w:b/>
        </w:rPr>
        <w:t>2</w:t>
      </w:r>
      <w:r w:rsidRPr="00D630D1">
        <w:rPr>
          <w:rFonts w:ascii="Times New Roman" w:cs="Times New Roman"/>
          <w:b/>
        </w:rPr>
        <w:t>、排水</w:t>
      </w:r>
      <w:bookmarkEnd w:id="210"/>
    </w:p>
    <w:p w:rsidR="00117C3D" w:rsidRPr="00D630D1" w:rsidRDefault="00006097" w:rsidP="001E45AD">
      <w:pPr>
        <w:pStyle w:val="a1"/>
        <w:ind w:firstLine="480"/>
        <w:rPr>
          <w:rFonts w:ascii="Times New Roman" w:cs="Times New Roman"/>
        </w:rPr>
      </w:pPr>
      <w:r w:rsidRPr="00D630D1">
        <w:rPr>
          <w:rFonts w:ascii="Times New Roman" w:cs="Times New Roman"/>
        </w:rPr>
        <w:t>施工期</w:t>
      </w:r>
      <w:r w:rsidR="005556BB" w:rsidRPr="00D630D1">
        <w:rPr>
          <w:rFonts w:ascii="Times New Roman" w:cs="Times New Roman"/>
        </w:rPr>
        <w:t>生活污水</w:t>
      </w:r>
      <w:r w:rsidR="00034734" w:rsidRPr="00D630D1">
        <w:rPr>
          <w:rFonts w:ascii="Times New Roman" w:cs="Times New Roman" w:hint="eastAsia"/>
        </w:rPr>
        <w:t>经</w:t>
      </w:r>
      <w:r w:rsidR="004E0A38" w:rsidRPr="00D630D1">
        <w:t>生态环保厕所收</w:t>
      </w:r>
      <w:r w:rsidR="005556BB" w:rsidRPr="00D630D1">
        <w:rPr>
          <w:rFonts w:ascii="Times New Roman" w:cs="Times New Roman"/>
        </w:rPr>
        <w:t>，用作农肥，不外排。雨水依托站内排水沟散排。</w:t>
      </w:r>
    </w:p>
    <w:p w:rsidR="005556BB" w:rsidRPr="00D630D1" w:rsidRDefault="005556BB" w:rsidP="005556BB">
      <w:pPr>
        <w:pStyle w:val="3"/>
        <w:rPr>
          <w:rFonts w:eastAsia="宋体"/>
        </w:rPr>
      </w:pPr>
      <w:r w:rsidRPr="00D630D1">
        <w:rPr>
          <w:rFonts w:eastAsia="宋体"/>
        </w:rPr>
        <w:t>3.</w:t>
      </w:r>
      <w:r w:rsidR="00AD59E9" w:rsidRPr="00D630D1">
        <w:rPr>
          <w:rFonts w:eastAsia="宋体" w:hint="eastAsia"/>
        </w:rPr>
        <w:t>8</w:t>
      </w:r>
      <w:r w:rsidRPr="00D630D1">
        <w:rPr>
          <w:rFonts w:eastAsia="宋体"/>
        </w:rPr>
        <w:t>.</w:t>
      </w:r>
      <w:r w:rsidR="00517854" w:rsidRPr="00D630D1">
        <w:rPr>
          <w:rFonts w:eastAsia="宋体"/>
        </w:rPr>
        <w:t>2</w:t>
      </w:r>
      <w:r w:rsidRPr="00D630D1">
        <w:rPr>
          <w:rFonts w:eastAsia="宋体"/>
        </w:rPr>
        <w:t xml:space="preserve"> </w:t>
      </w:r>
      <w:r w:rsidRPr="00D630D1">
        <w:rPr>
          <w:rFonts w:eastAsia="宋体"/>
        </w:rPr>
        <w:t>消防</w:t>
      </w:r>
    </w:p>
    <w:p w:rsidR="00985E89" w:rsidRPr="00D630D1" w:rsidRDefault="00985E89" w:rsidP="00985E89">
      <w:pPr>
        <w:pStyle w:val="afa"/>
        <w:ind w:firstLine="480"/>
      </w:pPr>
      <w:r w:rsidRPr="00D630D1">
        <w:t>根据《石油天然气工程设计防火规范》（</w:t>
      </w:r>
      <w:r w:rsidRPr="00D630D1">
        <w:t>GB50183-2004</w:t>
      </w:r>
      <w:r w:rsidRPr="00D630D1">
        <w:t>）及《建筑灭火器配置设计规范》（</w:t>
      </w:r>
      <w:r w:rsidRPr="00D630D1">
        <w:t>GB50140-2005</w:t>
      </w:r>
      <w:r w:rsidRPr="00D630D1">
        <w:t>）的要求，</w:t>
      </w:r>
      <w:r w:rsidR="002C00AE">
        <w:t>普光</w:t>
      </w:r>
      <w:r w:rsidR="002C00AE">
        <w:t>12</w:t>
      </w:r>
      <w:r w:rsidR="002C00AE">
        <w:t>采气站</w:t>
      </w:r>
      <w:r w:rsidRPr="00D630D1">
        <w:t>可不设消防给水系统。</w:t>
      </w:r>
    </w:p>
    <w:p w:rsidR="005556BB" w:rsidRPr="00D630D1" w:rsidRDefault="00985E89" w:rsidP="00985E89">
      <w:pPr>
        <w:pStyle w:val="afa"/>
        <w:ind w:firstLine="480"/>
      </w:pPr>
      <w:r w:rsidRPr="00D630D1">
        <w:t>在集气站内配置一定数量的手提式及推车式磷酸铵盐干粉和二氧化碳灭火器，以便火灾发生时随时启用扑救。并在工艺装置区配置消防沙箱等消防器材。便于及时扑救火灾。</w:t>
      </w:r>
    </w:p>
    <w:p w:rsidR="00117C3D" w:rsidRPr="00D630D1" w:rsidRDefault="001E45AD">
      <w:pPr>
        <w:pStyle w:val="3"/>
        <w:rPr>
          <w:rFonts w:eastAsia="宋体"/>
        </w:rPr>
      </w:pPr>
      <w:bookmarkStart w:id="211" w:name="_Toc19815973"/>
      <w:bookmarkStart w:id="212" w:name="_Toc12288453"/>
      <w:r w:rsidRPr="00D630D1">
        <w:rPr>
          <w:rFonts w:eastAsia="宋体"/>
        </w:rPr>
        <w:t>3</w:t>
      </w:r>
      <w:r w:rsidR="008B5B84" w:rsidRPr="00D630D1">
        <w:rPr>
          <w:rFonts w:eastAsia="宋体"/>
        </w:rPr>
        <w:t>.</w:t>
      </w:r>
      <w:r w:rsidR="00AD59E9" w:rsidRPr="00D630D1">
        <w:rPr>
          <w:rFonts w:eastAsia="宋体" w:hint="eastAsia"/>
        </w:rPr>
        <w:t>8</w:t>
      </w:r>
      <w:r w:rsidR="008B5B84" w:rsidRPr="00D630D1">
        <w:rPr>
          <w:rFonts w:eastAsia="宋体"/>
        </w:rPr>
        <w:t>.</w:t>
      </w:r>
      <w:r w:rsidR="00517854" w:rsidRPr="00D630D1">
        <w:rPr>
          <w:rFonts w:eastAsia="宋体"/>
        </w:rPr>
        <w:t>3</w:t>
      </w:r>
      <w:r w:rsidR="008B5B84" w:rsidRPr="00D630D1">
        <w:rPr>
          <w:rFonts w:eastAsia="宋体"/>
        </w:rPr>
        <w:t xml:space="preserve"> </w:t>
      </w:r>
      <w:r w:rsidR="008B5B84" w:rsidRPr="00D630D1">
        <w:rPr>
          <w:rFonts w:eastAsia="宋体"/>
        </w:rPr>
        <w:t>供配电及防雷、防静电和接地</w:t>
      </w:r>
      <w:bookmarkEnd w:id="211"/>
      <w:bookmarkEnd w:id="212"/>
    </w:p>
    <w:p w:rsidR="00117C3D" w:rsidRPr="00D630D1" w:rsidRDefault="001E45AD" w:rsidP="001E45AD">
      <w:pPr>
        <w:pStyle w:val="afa"/>
        <w:ind w:firstLine="482"/>
        <w:rPr>
          <w:b/>
        </w:rPr>
      </w:pPr>
      <w:r w:rsidRPr="00D630D1">
        <w:rPr>
          <w:b/>
        </w:rPr>
        <w:t>1</w:t>
      </w:r>
      <w:r w:rsidR="008B5B84" w:rsidRPr="00D630D1">
        <w:rPr>
          <w:b/>
        </w:rPr>
        <w:t>、供配电</w:t>
      </w:r>
    </w:p>
    <w:p w:rsidR="00117C3D" w:rsidRPr="00D630D1" w:rsidRDefault="00985E89" w:rsidP="001E45AD">
      <w:pPr>
        <w:pStyle w:val="afa"/>
        <w:ind w:firstLine="480"/>
      </w:pPr>
      <w:r w:rsidRPr="00D630D1">
        <w:t>在站内设电力小屋</w:t>
      </w:r>
      <w:r w:rsidRPr="00D630D1">
        <w:t>1</w:t>
      </w:r>
      <w:r w:rsidRPr="00D630D1">
        <w:t>座，内设</w:t>
      </w:r>
      <w:r w:rsidRPr="00D630D1">
        <w:t>35kV</w:t>
      </w:r>
      <w:r w:rsidRPr="00D630D1">
        <w:t>高压开关柜、干式变压器柜、低压配电柜和</w:t>
      </w:r>
      <w:r w:rsidRPr="00D630D1">
        <w:t>UPS</w:t>
      </w:r>
      <w:r w:rsidRPr="00D630D1">
        <w:t>装置。变压器容量为</w:t>
      </w:r>
      <w:r w:rsidRPr="00D630D1">
        <w:t>125kVA</w:t>
      </w:r>
      <w:r w:rsidRPr="00D630D1">
        <w:t>，冗余式</w:t>
      </w:r>
      <w:r w:rsidRPr="00D630D1">
        <w:t>UPS</w:t>
      </w:r>
      <w:r w:rsidRPr="00D630D1">
        <w:t>容量为</w:t>
      </w:r>
      <w:r w:rsidRPr="00D630D1">
        <w:t>380V</w:t>
      </w:r>
      <w:r w:rsidRPr="00D630D1">
        <w:t>、</w:t>
      </w:r>
      <w:r w:rsidRPr="00D630D1">
        <w:t>30kVA</w:t>
      </w:r>
      <w:r w:rsidRPr="00D630D1">
        <w:t>，后备时间为</w:t>
      </w:r>
      <w:r w:rsidRPr="00D630D1">
        <w:t>1h</w:t>
      </w:r>
      <w:r w:rsidRPr="00D630D1">
        <w:t>。</w:t>
      </w:r>
    </w:p>
    <w:p w:rsidR="00117C3D" w:rsidRPr="00D630D1" w:rsidRDefault="001E45AD" w:rsidP="001E45AD">
      <w:pPr>
        <w:pStyle w:val="afa"/>
        <w:ind w:firstLine="482"/>
      </w:pPr>
      <w:bookmarkStart w:id="213" w:name="_Toc12288454"/>
      <w:r w:rsidRPr="00D630D1">
        <w:rPr>
          <w:b/>
        </w:rPr>
        <w:t>2</w:t>
      </w:r>
      <w:r w:rsidR="008B5B84" w:rsidRPr="00D630D1">
        <w:rPr>
          <w:b/>
        </w:rPr>
        <w:t>、</w:t>
      </w:r>
      <w:bookmarkEnd w:id="213"/>
      <w:r w:rsidR="00985E89" w:rsidRPr="00D630D1">
        <w:rPr>
          <w:b/>
        </w:rPr>
        <w:t>防雷、防静电设计</w:t>
      </w:r>
    </w:p>
    <w:p w:rsidR="00117C3D" w:rsidRPr="00D630D1" w:rsidRDefault="00985E89" w:rsidP="00985E89">
      <w:pPr>
        <w:pStyle w:val="afa"/>
        <w:ind w:firstLine="480"/>
      </w:pPr>
      <w:r w:rsidRPr="00D630D1">
        <w:t>为防止雷电波侵入过电压，在进线电源柜内安装并联式电涌保护器，</w:t>
      </w:r>
      <w:r w:rsidRPr="00D630D1">
        <w:t>UPS</w:t>
      </w:r>
      <w:r w:rsidRPr="00D630D1">
        <w:t>的进线侧安装电涌保护器。工艺装置区内布置的塔、容器等，当顶板厚度等于或</w:t>
      </w:r>
      <w:r w:rsidRPr="00D630D1">
        <w:lastRenderedPageBreak/>
        <w:t>大于</w:t>
      </w:r>
      <w:r w:rsidRPr="00D630D1">
        <w:t>4mm</w:t>
      </w:r>
      <w:r w:rsidRPr="00D630D1">
        <w:t>时，不设避雷针保护，但必须设防雷接地。</w:t>
      </w:r>
    </w:p>
    <w:p w:rsidR="00985E89" w:rsidRPr="00D630D1" w:rsidRDefault="00985E89" w:rsidP="00985E89">
      <w:pPr>
        <w:pStyle w:val="afa"/>
        <w:ind w:firstLine="480"/>
      </w:pPr>
      <w:r w:rsidRPr="00D630D1">
        <w:t>站内采用联合接地网配置，所有的电气设备工作接地和保护接地、建筑物的防雷接地及仪表接地采用共用接地方式，接地电阻小于</w:t>
      </w:r>
      <w:r w:rsidRPr="00D630D1">
        <w:t>1Ω</w:t>
      </w:r>
      <w:r w:rsidRPr="00D630D1">
        <w:t>。</w:t>
      </w:r>
    </w:p>
    <w:p w:rsidR="00985E89" w:rsidRPr="00D630D1" w:rsidRDefault="00985E89" w:rsidP="00985E89">
      <w:pPr>
        <w:pStyle w:val="afa"/>
        <w:ind w:firstLine="480"/>
      </w:pPr>
      <w:r w:rsidRPr="00D630D1">
        <w:t>管道在地上跨越应采取防雷防静电措施。</w:t>
      </w:r>
    </w:p>
    <w:p w:rsidR="00117C3D" w:rsidRPr="00D630D1" w:rsidRDefault="001E45AD" w:rsidP="001E45AD">
      <w:pPr>
        <w:pStyle w:val="2"/>
        <w:spacing w:before="120"/>
        <w:rPr>
          <w:rFonts w:cs="Times New Roman"/>
        </w:rPr>
      </w:pPr>
      <w:bookmarkStart w:id="214" w:name="bookmark19"/>
      <w:bookmarkStart w:id="215" w:name="_Toc12288457"/>
      <w:bookmarkStart w:id="216" w:name="_Toc19815974"/>
      <w:bookmarkStart w:id="217" w:name="_Toc81515272"/>
      <w:bookmarkEnd w:id="214"/>
      <w:r w:rsidRPr="00D630D1">
        <w:rPr>
          <w:rFonts w:cs="Times New Roman"/>
        </w:rPr>
        <w:t>3</w:t>
      </w:r>
      <w:r w:rsidR="008B5B84" w:rsidRPr="00D630D1">
        <w:rPr>
          <w:rFonts w:cs="Times New Roman"/>
        </w:rPr>
        <w:t>.</w:t>
      </w:r>
      <w:r w:rsidR="00AD59E9" w:rsidRPr="00D630D1">
        <w:rPr>
          <w:rFonts w:cs="Times New Roman" w:hint="eastAsia"/>
        </w:rPr>
        <w:t>9</w:t>
      </w:r>
      <w:r w:rsidR="008B5B84" w:rsidRPr="00D630D1">
        <w:rPr>
          <w:rFonts w:cs="Times New Roman"/>
        </w:rPr>
        <w:t xml:space="preserve"> </w:t>
      </w:r>
      <w:r w:rsidR="008B5B84" w:rsidRPr="00D630D1">
        <w:rPr>
          <w:rFonts w:cs="Times New Roman"/>
        </w:rPr>
        <w:t>其他工程</w:t>
      </w:r>
      <w:bookmarkEnd w:id="215"/>
      <w:bookmarkEnd w:id="216"/>
      <w:bookmarkEnd w:id="217"/>
    </w:p>
    <w:p w:rsidR="00695DB1" w:rsidRPr="00D630D1" w:rsidRDefault="00695DB1" w:rsidP="00695DB1">
      <w:pPr>
        <w:pStyle w:val="3"/>
        <w:rPr>
          <w:rFonts w:eastAsia="宋体"/>
        </w:rPr>
      </w:pPr>
      <w:bookmarkStart w:id="218" w:name="_Toc19815977"/>
      <w:r w:rsidRPr="00D630D1">
        <w:rPr>
          <w:rFonts w:eastAsia="宋体"/>
        </w:rPr>
        <w:t>3.</w:t>
      </w:r>
      <w:r w:rsidR="00AD59E9" w:rsidRPr="00D630D1">
        <w:rPr>
          <w:rFonts w:eastAsia="宋体" w:hint="eastAsia"/>
        </w:rPr>
        <w:t>9</w:t>
      </w:r>
      <w:r w:rsidRPr="00D630D1">
        <w:rPr>
          <w:rFonts w:eastAsia="宋体"/>
        </w:rPr>
        <w:t xml:space="preserve">.1 </w:t>
      </w:r>
      <w:r w:rsidRPr="00D630D1">
        <w:rPr>
          <w:rFonts w:eastAsia="宋体"/>
        </w:rPr>
        <w:t>项目工程占地</w:t>
      </w:r>
      <w:bookmarkEnd w:id="218"/>
    </w:p>
    <w:p w:rsidR="00117C3D" w:rsidRPr="00D630D1" w:rsidRDefault="008B5B84" w:rsidP="000C44C6">
      <w:pPr>
        <w:pStyle w:val="afa"/>
        <w:ind w:firstLine="480"/>
      </w:pPr>
      <w:bookmarkStart w:id="219" w:name="OLE_LINK168"/>
      <w:bookmarkStart w:id="220" w:name="OLE_LINK169"/>
      <w:r w:rsidRPr="00D630D1">
        <w:t>项目永久占地</w:t>
      </w:r>
      <w:bookmarkStart w:id="221" w:name="OLE_LINK123"/>
      <w:bookmarkStart w:id="222" w:name="OLE_LINK124"/>
      <w:bookmarkStart w:id="223" w:name="OLE_LINK131"/>
      <w:r w:rsidR="00024CC8" w:rsidRPr="00024CC8">
        <w:rPr>
          <w:rFonts w:hint="eastAsia"/>
        </w:rPr>
        <w:t>11615</w:t>
      </w:r>
      <w:r w:rsidR="009753F2" w:rsidRPr="00D630D1">
        <w:rPr>
          <w:rFonts w:hint="eastAsia"/>
          <w:bCs/>
        </w:rPr>
        <w:t>m</w:t>
      </w:r>
      <w:r w:rsidR="009753F2" w:rsidRPr="00D630D1">
        <w:rPr>
          <w:rFonts w:hint="eastAsia"/>
          <w:bCs/>
          <w:vertAlign w:val="superscript"/>
        </w:rPr>
        <w:t>2</w:t>
      </w:r>
      <w:bookmarkEnd w:id="221"/>
      <w:bookmarkEnd w:id="222"/>
      <w:bookmarkEnd w:id="223"/>
      <w:r w:rsidRPr="00D630D1">
        <w:t>，临时占地</w:t>
      </w:r>
      <w:r w:rsidR="003E1BEF">
        <w:rPr>
          <w:rFonts w:hint="eastAsia"/>
          <w:bCs/>
        </w:rPr>
        <w:t>33640</w:t>
      </w:r>
      <w:r w:rsidR="009753F2" w:rsidRPr="00D630D1">
        <w:rPr>
          <w:rFonts w:hint="eastAsia"/>
          <w:bCs/>
        </w:rPr>
        <w:t>m</w:t>
      </w:r>
      <w:r w:rsidR="009753F2" w:rsidRPr="00D630D1">
        <w:rPr>
          <w:rFonts w:hint="eastAsia"/>
          <w:bCs/>
          <w:vertAlign w:val="superscript"/>
        </w:rPr>
        <w:t>2</w:t>
      </w:r>
      <w:bookmarkEnd w:id="219"/>
      <w:bookmarkEnd w:id="220"/>
      <w:r w:rsidRPr="00D630D1">
        <w:t>。</w:t>
      </w:r>
    </w:p>
    <w:p w:rsidR="00117C3D" w:rsidRPr="00D630D1" w:rsidRDefault="008B5B84" w:rsidP="000C44C6">
      <w:pPr>
        <w:pStyle w:val="10"/>
        <w:rPr>
          <w:rFonts w:cs="Times New Roman"/>
        </w:rPr>
      </w:pPr>
      <w:r w:rsidRPr="00D630D1">
        <w:rPr>
          <w:rFonts w:cs="Times New Roman"/>
        </w:rPr>
        <w:t>表</w:t>
      </w:r>
      <w:r w:rsidR="000C44C6" w:rsidRPr="00D630D1">
        <w:rPr>
          <w:rFonts w:cs="Times New Roman"/>
        </w:rPr>
        <w:t>3</w:t>
      </w:r>
      <w:r w:rsidRPr="00D630D1">
        <w:rPr>
          <w:rFonts w:cs="Times New Roman"/>
        </w:rPr>
        <w:t>.</w:t>
      </w:r>
      <w:r w:rsidR="00AD59E9" w:rsidRPr="00D630D1">
        <w:rPr>
          <w:rFonts w:cs="Times New Roman" w:hint="eastAsia"/>
        </w:rPr>
        <w:t>9</w:t>
      </w:r>
      <w:r w:rsidRPr="00D630D1">
        <w:rPr>
          <w:rFonts w:cs="Times New Roman"/>
        </w:rPr>
        <w:t>-</w:t>
      </w:r>
      <w:r w:rsidR="00695DB1" w:rsidRPr="00D630D1">
        <w:rPr>
          <w:rFonts w:cs="Times New Roman"/>
        </w:rPr>
        <w:t>1</w:t>
      </w:r>
      <w:r w:rsidRPr="00D630D1">
        <w:rPr>
          <w:rFonts w:cs="Times New Roman"/>
        </w:rPr>
        <w:t xml:space="preserve"> </w:t>
      </w:r>
      <w:r w:rsidR="000C44C6" w:rsidRPr="00D630D1">
        <w:rPr>
          <w:rFonts w:cs="Times New Roman"/>
        </w:rPr>
        <w:t xml:space="preserve"> </w:t>
      </w:r>
      <w:r w:rsidRPr="00D630D1">
        <w:rPr>
          <w:rFonts w:cs="Times New Roman"/>
        </w:rPr>
        <w:t>占地面积统计表</w:t>
      </w:r>
    </w:p>
    <w:tbl>
      <w:tblPr>
        <w:tblW w:w="5341"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tblPr>
      <w:tblGrid>
        <w:gridCol w:w="1307"/>
        <w:gridCol w:w="994"/>
        <w:gridCol w:w="1133"/>
        <w:gridCol w:w="4259"/>
        <w:gridCol w:w="1244"/>
      </w:tblGrid>
      <w:tr w:rsidR="007C384E" w:rsidRPr="00D630D1" w:rsidTr="007C384E">
        <w:trPr>
          <w:trHeight w:val="363"/>
          <w:jc w:val="center"/>
        </w:trPr>
        <w:tc>
          <w:tcPr>
            <w:tcW w:w="731" w:type="pct"/>
            <w:vAlign w:val="center"/>
          </w:tcPr>
          <w:p w:rsidR="007C384E" w:rsidRPr="00D630D1" w:rsidRDefault="007C384E">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类别</w:t>
            </w:r>
          </w:p>
        </w:tc>
        <w:tc>
          <w:tcPr>
            <w:tcW w:w="556" w:type="pct"/>
            <w:vAlign w:val="center"/>
          </w:tcPr>
          <w:p w:rsidR="007C384E" w:rsidRPr="00D630D1" w:rsidRDefault="007C384E">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单位</w:t>
            </w:r>
          </w:p>
        </w:tc>
        <w:tc>
          <w:tcPr>
            <w:tcW w:w="634" w:type="pct"/>
            <w:vAlign w:val="center"/>
          </w:tcPr>
          <w:p w:rsidR="007C384E" w:rsidRPr="00D630D1" w:rsidRDefault="007C384E">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数量</w:t>
            </w:r>
          </w:p>
        </w:tc>
        <w:tc>
          <w:tcPr>
            <w:tcW w:w="2383" w:type="pct"/>
            <w:vAlign w:val="center"/>
          </w:tcPr>
          <w:p w:rsidR="007C384E" w:rsidRPr="00D630D1" w:rsidRDefault="007C384E">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备注</w:t>
            </w:r>
          </w:p>
        </w:tc>
        <w:tc>
          <w:tcPr>
            <w:tcW w:w="696" w:type="pct"/>
            <w:vAlign w:val="center"/>
          </w:tcPr>
          <w:p w:rsidR="007C384E" w:rsidRPr="00D630D1" w:rsidRDefault="007C384E" w:rsidP="007C384E">
            <w:pPr>
              <w:snapToGrid w:val="0"/>
              <w:spacing w:line="240" w:lineRule="auto"/>
              <w:ind w:firstLineChars="0" w:firstLine="0"/>
              <w:jc w:val="center"/>
              <w:rPr>
                <w:rFonts w:ascii="Times New Roman" w:cs="Times New Roman"/>
                <w:b/>
                <w:bCs/>
                <w:sz w:val="21"/>
                <w:szCs w:val="21"/>
              </w:rPr>
            </w:pPr>
            <w:r w:rsidRPr="00D630D1">
              <w:rPr>
                <w:rFonts w:ascii="Times New Roman" w:cs="Times New Roman"/>
                <w:b/>
                <w:bCs/>
                <w:sz w:val="21"/>
                <w:szCs w:val="21"/>
              </w:rPr>
              <w:t>占地类型</w:t>
            </w:r>
          </w:p>
        </w:tc>
      </w:tr>
      <w:tr w:rsidR="007C384E" w:rsidRPr="00D630D1" w:rsidTr="007C384E">
        <w:trPr>
          <w:trHeight w:val="363"/>
          <w:jc w:val="center"/>
        </w:trPr>
        <w:tc>
          <w:tcPr>
            <w:tcW w:w="731" w:type="pct"/>
            <w:vAlign w:val="center"/>
          </w:tcPr>
          <w:p w:rsidR="007C384E" w:rsidRPr="00D630D1" w:rsidRDefault="007C384E">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永久占地</w:t>
            </w:r>
          </w:p>
        </w:tc>
        <w:tc>
          <w:tcPr>
            <w:tcW w:w="556" w:type="pct"/>
            <w:vAlign w:val="center"/>
          </w:tcPr>
          <w:p w:rsidR="007C384E" w:rsidRPr="00D630D1" w:rsidRDefault="009753F2">
            <w:pPr>
              <w:spacing w:line="240" w:lineRule="auto"/>
              <w:ind w:firstLineChars="0" w:firstLine="0"/>
              <w:jc w:val="center"/>
              <w:rPr>
                <w:rFonts w:ascii="Times New Roman" w:cs="Times New Roman"/>
                <w:sz w:val="21"/>
                <w:szCs w:val="21"/>
              </w:rPr>
            </w:pPr>
            <w:r w:rsidRPr="00D630D1">
              <w:rPr>
                <w:rFonts w:ascii="Times New Roman" w:cs="Times New Roman" w:hint="eastAsia"/>
                <w:bCs/>
                <w:sz w:val="21"/>
                <w:szCs w:val="21"/>
              </w:rPr>
              <w:t>m</w:t>
            </w:r>
            <w:r w:rsidRPr="00D630D1">
              <w:rPr>
                <w:rFonts w:ascii="Times New Roman" w:cs="Times New Roman" w:hint="eastAsia"/>
                <w:bCs/>
                <w:sz w:val="21"/>
                <w:szCs w:val="21"/>
                <w:vertAlign w:val="superscript"/>
              </w:rPr>
              <w:t>2</w:t>
            </w:r>
          </w:p>
        </w:tc>
        <w:tc>
          <w:tcPr>
            <w:tcW w:w="634" w:type="pct"/>
            <w:vAlign w:val="center"/>
          </w:tcPr>
          <w:p w:rsidR="007C384E" w:rsidRPr="00D630D1" w:rsidRDefault="00024CC8" w:rsidP="009753F2">
            <w:pPr>
              <w:spacing w:before="240"/>
              <w:ind w:firstLineChars="0" w:firstLine="0"/>
              <w:jc w:val="center"/>
              <w:rPr>
                <w:rFonts w:ascii="Times New Roman" w:cs="Times New Roman"/>
                <w:sz w:val="21"/>
                <w:szCs w:val="21"/>
              </w:rPr>
            </w:pPr>
            <w:r w:rsidRPr="00024CC8">
              <w:rPr>
                <w:rFonts w:ascii="Times New Roman" w:cs="Times New Roman" w:hint="eastAsia"/>
                <w:sz w:val="21"/>
                <w:szCs w:val="21"/>
              </w:rPr>
              <w:t>11615</w:t>
            </w:r>
          </w:p>
        </w:tc>
        <w:tc>
          <w:tcPr>
            <w:tcW w:w="2383" w:type="pct"/>
            <w:vAlign w:val="center"/>
          </w:tcPr>
          <w:p w:rsidR="007C384E" w:rsidRPr="00D630D1" w:rsidRDefault="00DD3EA1" w:rsidP="003E1BEF">
            <w:pPr>
              <w:spacing w:line="240" w:lineRule="auto"/>
              <w:ind w:firstLineChars="0" w:firstLine="0"/>
              <w:jc w:val="center"/>
              <w:rPr>
                <w:rFonts w:ascii="Times New Roman" w:cs="Times New Roman"/>
                <w:sz w:val="21"/>
                <w:szCs w:val="21"/>
              </w:rPr>
            </w:pPr>
            <w:r>
              <w:rPr>
                <w:rFonts w:ascii="Times New Roman" w:cs="Times New Roman"/>
                <w:sz w:val="21"/>
                <w:szCs w:val="21"/>
              </w:rPr>
              <w:t>普光</w:t>
            </w:r>
            <w:r>
              <w:rPr>
                <w:rFonts w:ascii="Times New Roman" w:cs="Times New Roman"/>
                <w:sz w:val="21"/>
                <w:szCs w:val="21"/>
              </w:rPr>
              <w:t>12</w:t>
            </w:r>
            <w:r>
              <w:rPr>
                <w:rFonts w:ascii="Times New Roman" w:cs="Times New Roman"/>
                <w:sz w:val="21"/>
                <w:szCs w:val="21"/>
              </w:rPr>
              <w:t>采气站</w:t>
            </w:r>
          </w:p>
        </w:tc>
        <w:tc>
          <w:tcPr>
            <w:tcW w:w="696" w:type="pct"/>
            <w:vAlign w:val="center"/>
          </w:tcPr>
          <w:p w:rsidR="007C384E" w:rsidRPr="00D630D1" w:rsidRDefault="007C384E" w:rsidP="003E1BEF">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见表</w:t>
            </w:r>
            <w:r w:rsidRPr="00D630D1">
              <w:rPr>
                <w:rFonts w:ascii="Times New Roman" w:cs="Times New Roman" w:hint="eastAsia"/>
                <w:sz w:val="21"/>
                <w:szCs w:val="21"/>
              </w:rPr>
              <w:t>4.1-</w:t>
            </w:r>
            <w:r w:rsidR="003E1BEF">
              <w:rPr>
                <w:rFonts w:ascii="Times New Roman" w:cs="Times New Roman" w:hint="eastAsia"/>
                <w:sz w:val="21"/>
                <w:szCs w:val="21"/>
              </w:rPr>
              <w:t>3</w:t>
            </w:r>
          </w:p>
        </w:tc>
      </w:tr>
      <w:tr w:rsidR="007C384E" w:rsidRPr="00D630D1" w:rsidTr="007C384E">
        <w:trPr>
          <w:trHeight w:val="363"/>
          <w:jc w:val="center"/>
        </w:trPr>
        <w:tc>
          <w:tcPr>
            <w:tcW w:w="731" w:type="pct"/>
            <w:vAlign w:val="center"/>
          </w:tcPr>
          <w:p w:rsidR="007C384E" w:rsidRPr="00D630D1" w:rsidRDefault="007C384E">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临时占地</w:t>
            </w:r>
          </w:p>
        </w:tc>
        <w:tc>
          <w:tcPr>
            <w:tcW w:w="556" w:type="pct"/>
            <w:vAlign w:val="center"/>
          </w:tcPr>
          <w:p w:rsidR="007C384E" w:rsidRPr="00D630D1" w:rsidRDefault="009753F2">
            <w:pPr>
              <w:spacing w:line="240" w:lineRule="auto"/>
              <w:ind w:firstLineChars="0" w:firstLine="0"/>
              <w:jc w:val="center"/>
              <w:rPr>
                <w:rFonts w:ascii="Times New Roman" w:cs="Times New Roman"/>
                <w:sz w:val="21"/>
                <w:szCs w:val="21"/>
              </w:rPr>
            </w:pPr>
            <w:bookmarkStart w:id="224" w:name="OLE_LINK127"/>
            <w:bookmarkStart w:id="225" w:name="OLE_LINK128"/>
            <w:r w:rsidRPr="00D630D1">
              <w:rPr>
                <w:rFonts w:ascii="Times New Roman" w:cs="Times New Roman" w:hint="eastAsia"/>
                <w:bCs/>
                <w:sz w:val="21"/>
                <w:szCs w:val="21"/>
              </w:rPr>
              <w:t>m</w:t>
            </w:r>
            <w:r w:rsidRPr="00D630D1">
              <w:rPr>
                <w:rFonts w:ascii="Times New Roman" w:cs="Times New Roman" w:hint="eastAsia"/>
                <w:bCs/>
                <w:sz w:val="21"/>
                <w:szCs w:val="21"/>
                <w:vertAlign w:val="superscript"/>
              </w:rPr>
              <w:t>2</w:t>
            </w:r>
            <w:bookmarkEnd w:id="224"/>
            <w:bookmarkEnd w:id="225"/>
          </w:p>
        </w:tc>
        <w:tc>
          <w:tcPr>
            <w:tcW w:w="634" w:type="pct"/>
            <w:vAlign w:val="center"/>
          </w:tcPr>
          <w:p w:rsidR="007C384E" w:rsidRPr="00D630D1" w:rsidRDefault="003E1BEF">
            <w:pPr>
              <w:spacing w:line="240" w:lineRule="auto"/>
              <w:ind w:firstLineChars="0" w:firstLine="0"/>
              <w:jc w:val="center"/>
              <w:rPr>
                <w:rFonts w:ascii="Times New Roman" w:cs="Times New Roman"/>
                <w:sz w:val="21"/>
                <w:szCs w:val="21"/>
              </w:rPr>
            </w:pPr>
            <w:r>
              <w:rPr>
                <w:rFonts w:ascii="Times New Roman" w:cs="Times New Roman" w:hint="eastAsia"/>
                <w:sz w:val="21"/>
                <w:szCs w:val="21"/>
              </w:rPr>
              <w:t>33640</w:t>
            </w:r>
          </w:p>
        </w:tc>
        <w:tc>
          <w:tcPr>
            <w:tcW w:w="2383" w:type="pct"/>
            <w:vAlign w:val="center"/>
          </w:tcPr>
          <w:p w:rsidR="007C384E" w:rsidRPr="00D630D1" w:rsidRDefault="007C384E">
            <w:pPr>
              <w:spacing w:line="240" w:lineRule="auto"/>
              <w:ind w:firstLineChars="0" w:firstLine="0"/>
              <w:jc w:val="center"/>
              <w:rPr>
                <w:rFonts w:ascii="Times New Roman" w:cs="Times New Roman"/>
                <w:sz w:val="21"/>
                <w:szCs w:val="21"/>
              </w:rPr>
            </w:pPr>
            <w:r w:rsidRPr="00D630D1">
              <w:rPr>
                <w:rFonts w:ascii="Times New Roman" w:cs="Times New Roman"/>
                <w:sz w:val="21"/>
                <w:szCs w:val="21"/>
              </w:rPr>
              <w:t>施工作业带、</w:t>
            </w:r>
            <w:r w:rsidRPr="00D630D1">
              <w:rPr>
                <w:rFonts w:ascii="Times New Roman" w:cs="Times New Roman" w:hint="eastAsia"/>
                <w:sz w:val="21"/>
                <w:szCs w:val="21"/>
              </w:rPr>
              <w:t>管道工程区堆管点、</w:t>
            </w:r>
            <w:r w:rsidRPr="00D630D1">
              <w:rPr>
                <w:rFonts w:ascii="Times New Roman" w:cs="Times New Roman"/>
                <w:sz w:val="21"/>
                <w:szCs w:val="21"/>
              </w:rPr>
              <w:t>施工便道</w:t>
            </w:r>
          </w:p>
        </w:tc>
        <w:tc>
          <w:tcPr>
            <w:tcW w:w="696" w:type="pct"/>
            <w:vAlign w:val="center"/>
          </w:tcPr>
          <w:p w:rsidR="007C384E" w:rsidRPr="00D630D1" w:rsidRDefault="007C384E" w:rsidP="003E1BEF">
            <w:pPr>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见表</w:t>
            </w:r>
            <w:r w:rsidRPr="00D630D1">
              <w:rPr>
                <w:rFonts w:ascii="Times New Roman" w:cs="Times New Roman" w:hint="eastAsia"/>
                <w:sz w:val="21"/>
                <w:szCs w:val="21"/>
              </w:rPr>
              <w:t>4.1-</w:t>
            </w:r>
            <w:r w:rsidR="003E1BEF">
              <w:rPr>
                <w:rFonts w:ascii="Times New Roman" w:cs="Times New Roman" w:hint="eastAsia"/>
                <w:sz w:val="21"/>
                <w:szCs w:val="21"/>
              </w:rPr>
              <w:t>4</w:t>
            </w:r>
          </w:p>
        </w:tc>
      </w:tr>
    </w:tbl>
    <w:p w:rsidR="00117C3D" w:rsidRPr="00D630D1" w:rsidRDefault="008B5B84" w:rsidP="000C44C6">
      <w:pPr>
        <w:pStyle w:val="afa"/>
        <w:ind w:firstLine="480"/>
      </w:pPr>
      <w:r w:rsidRPr="00D630D1">
        <w:t>项目线路选线工程涉及</w:t>
      </w:r>
      <w:r w:rsidR="006F4551" w:rsidRPr="00D630D1">
        <w:t>的</w:t>
      </w:r>
      <w:r w:rsidRPr="00D630D1">
        <w:t>必要所占耕地、林地的补偿方式将依据沿线各地的有关规定，并委托市、县国土资源部门、林业部门完成耕地、林地等的补偿任务，依法缴纳相关费用，</w:t>
      </w:r>
      <w:r w:rsidR="006F4551" w:rsidRPr="00D630D1">
        <w:t>以</w:t>
      </w:r>
      <w:r w:rsidRPr="00D630D1">
        <w:t>确保实现耕地、林地等的占补平衡。临时用地施工作业带在满足施工作业的情况下，尽量少占地，项目管线施工完后应及时恢复原地形地貌。</w:t>
      </w:r>
    </w:p>
    <w:p w:rsidR="00AB0BE5" w:rsidRPr="00D630D1" w:rsidRDefault="00AB0BE5" w:rsidP="00AB0BE5">
      <w:pPr>
        <w:pStyle w:val="3"/>
        <w:rPr>
          <w:rFonts w:eastAsia="宋体"/>
        </w:rPr>
      </w:pPr>
      <w:r w:rsidRPr="00D630D1">
        <w:rPr>
          <w:rFonts w:eastAsia="宋体"/>
        </w:rPr>
        <w:t>3.</w:t>
      </w:r>
      <w:r w:rsidR="00AD59E9" w:rsidRPr="00D630D1">
        <w:rPr>
          <w:rFonts w:eastAsia="宋体" w:hint="eastAsia"/>
        </w:rPr>
        <w:t>9</w:t>
      </w:r>
      <w:r w:rsidRPr="00D630D1">
        <w:rPr>
          <w:rFonts w:eastAsia="宋体"/>
        </w:rPr>
        <w:t xml:space="preserve">.2 </w:t>
      </w:r>
      <w:r w:rsidRPr="00D630D1">
        <w:rPr>
          <w:rFonts w:eastAsia="宋体"/>
        </w:rPr>
        <w:t>土石方平衡分析</w:t>
      </w:r>
    </w:p>
    <w:p w:rsidR="00AB0BE5" w:rsidRPr="00D630D1" w:rsidRDefault="00AB0BE5" w:rsidP="00AB0BE5">
      <w:pPr>
        <w:pStyle w:val="af8"/>
        <w:ind w:firstLine="480"/>
      </w:pPr>
      <w:r w:rsidRPr="00D630D1">
        <w:t>本项目土石方工程主要来自管道工程区、施工便道区施工活动中产生的开挖、堆土及回填。</w:t>
      </w:r>
    </w:p>
    <w:p w:rsidR="00AB0BE5" w:rsidRPr="00D630D1" w:rsidRDefault="00AB0BE5" w:rsidP="00AB0BE5">
      <w:pPr>
        <w:pStyle w:val="af8"/>
        <w:ind w:firstLine="482"/>
        <w:rPr>
          <w:b/>
          <w:bCs/>
        </w:rPr>
      </w:pPr>
      <w:r w:rsidRPr="00D630D1">
        <w:rPr>
          <w:b/>
          <w:bCs/>
        </w:rPr>
        <w:t>1</w:t>
      </w:r>
      <w:r w:rsidRPr="00D630D1">
        <w:rPr>
          <w:b/>
          <w:bCs/>
        </w:rPr>
        <w:t>、表土剥离与回填</w:t>
      </w:r>
    </w:p>
    <w:p w:rsidR="00AB0BE5" w:rsidRPr="00D630D1" w:rsidRDefault="00AB0BE5" w:rsidP="00AB0BE5">
      <w:pPr>
        <w:pStyle w:val="af8"/>
        <w:ind w:firstLine="480"/>
      </w:pPr>
      <w:r w:rsidRPr="00D630D1">
        <w:t>对本项目各分区需要开挖破坏的占地类型为耕地、林地、草地可进行表土剥离用于项目完成后的复耕覆土，项目施工前应进行表土剥离，可剥离面积约</w:t>
      </w:r>
      <w:r w:rsidR="00024CC8" w:rsidRPr="00024CC8">
        <w:rPr>
          <w:rFonts w:hint="eastAsia"/>
          <w:bCs/>
        </w:rPr>
        <w:t>4000</w:t>
      </w:r>
      <w:r w:rsidR="009753F2" w:rsidRPr="00D630D1">
        <w:rPr>
          <w:rFonts w:hint="eastAsia"/>
          <w:bCs/>
        </w:rPr>
        <w:t>m</w:t>
      </w:r>
      <w:r w:rsidR="009753F2" w:rsidRPr="00D630D1">
        <w:rPr>
          <w:rFonts w:hint="eastAsia"/>
          <w:bCs/>
          <w:vertAlign w:val="superscript"/>
        </w:rPr>
        <w:t>2</w:t>
      </w:r>
      <w:r w:rsidRPr="00D630D1">
        <w:t>，可剥离厚度</w:t>
      </w:r>
      <w:r w:rsidRPr="00D630D1">
        <w:t>30cm</w:t>
      </w:r>
      <w:r w:rsidRPr="00D630D1">
        <w:t>，总剥离量</w:t>
      </w:r>
      <w:r w:rsidR="00024CC8">
        <w:rPr>
          <w:rFonts w:hint="eastAsia"/>
        </w:rPr>
        <w:t>1200</w:t>
      </w:r>
      <w:r w:rsidRPr="00D630D1">
        <w:t>m</w:t>
      </w:r>
      <w:r w:rsidRPr="00D630D1">
        <w:rPr>
          <w:vertAlign w:val="superscript"/>
        </w:rPr>
        <w:t>3</w:t>
      </w:r>
      <w:r w:rsidRPr="00D630D1">
        <w:t>，项目施工完成后，对各分区拆除地表因施工形成的占压物并覆土以恢复植被，剥离表土全部复耕。</w:t>
      </w:r>
    </w:p>
    <w:p w:rsidR="00AB0BE5" w:rsidRPr="00D630D1" w:rsidRDefault="00AB0BE5" w:rsidP="00AB0BE5">
      <w:pPr>
        <w:pStyle w:val="af8"/>
        <w:ind w:firstLine="482"/>
        <w:rPr>
          <w:b/>
          <w:bCs/>
        </w:rPr>
      </w:pPr>
      <w:r w:rsidRPr="00D630D1">
        <w:rPr>
          <w:b/>
          <w:bCs/>
        </w:rPr>
        <w:t>2</w:t>
      </w:r>
      <w:r w:rsidRPr="00D630D1">
        <w:rPr>
          <w:b/>
          <w:bCs/>
        </w:rPr>
        <w:t>、土石方开挖及回填</w:t>
      </w:r>
    </w:p>
    <w:p w:rsidR="00AB0BE5" w:rsidRPr="00D630D1" w:rsidRDefault="00AB0BE5" w:rsidP="00AB0BE5">
      <w:pPr>
        <w:pStyle w:val="af8"/>
        <w:ind w:firstLine="480"/>
      </w:pPr>
      <w:r w:rsidRPr="00D630D1">
        <w:t>根据《</w:t>
      </w:r>
      <w:r w:rsidR="00D630D1" w:rsidRPr="00D630D1">
        <w:t>普光气田普陆页</w:t>
      </w:r>
      <w:r w:rsidR="00D630D1" w:rsidRPr="00D630D1">
        <w:t>1</w:t>
      </w:r>
      <w:r w:rsidR="00D630D1" w:rsidRPr="00D630D1">
        <w:t>试验井组项目</w:t>
      </w:r>
      <w:r w:rsidR="008C0160" w:rsidRPr="00D630D1">
        <w:rPr>
          <w:rFonts w:hint="eastAsia"/>
        </w:rPr>
        <w:t>水土保持方案</w:t>
      </w:r>
      <w:r w:rsidR="00615F4D" w:rsidRPr="00D630D1">
        <w:t>报告</w:t>
      </w:r>
      <w:r w:rsidRPr="00D630D1">
        <w:t>》可知，本项目土石方主要为管沟开挖、施工便道开挖。项目土石方挖方量共计</w:t>
      </w:r>
      <w:r w:rsidR="00941AC9">
        <w:rPr>
          <w:rFonts w:hint="eastAsia"/>
        </w:rPr>
        <w:t>约</w:t>
      </w:r>
      <w:r w:rsidR="008C0160" w:rsidRPr="00D630D1">
        <w:rPr>
          <w:rFonts w:hint="eastAsia"/>
        </w:rPr>
        <w:t>1.</w:t>
      </w:r>
      <w:r w:rsidR="00941AC9">
        <w:rPr>
          <w:rFonts w:hint="eastAsia"/>
        </w:rPr>
        <w:t>78</w:t>
      </w:r>
      <w:r w:rsidR="008C0160" w:rsidRPr="00D630D1">
        <w:rPr>
          <w:rFonts w:hint="eastAsia"/>
        </w:rPr>
        <w:t>万</w:t>
      </w:r>
      <w:r w:rsidRPr="00D630D1">
        <w:t>m</w:t>
      </w:r>
      <w:r w:rsidRPr="00D630D1">
        <w:rPr>
          <w:vertAlign w:val="superscript"/>
        </w:rPr>
        <w:t>3</w:t>
      </w:r>
      <w:r w:rsidRPr="00D630D1">
        <w:t>，填方量共计</w:t>
      </w:r>
      <w:r w:rsidR="00941AC9">
        <w:rPr>
          <w:rFonts w:hint="eastAsia"/>
        </w:rPr>
        <w:t>约</w:t>
      </w:r>
      <w:r w:rsidR="008C0160" w:rsidRPr="00D630D1">
        <w:rPr>
          <w:rFonts w:hint="eastAsia"/>
        </w:rPr>
        <w:t>1.</w:t>
      </w:r>
      <w:r w:rsidR="00941AC9">
        <w:rPr>
          <w:rFonts w:hint="eastAsia"/>
        </w:rPr>
        <w:t>78</w:t>
      </w:r>
      <w:r w:rsidR="008C0160" w:rsidRPr="00D630D1">
        <w:rPr>
          <w:rFonts w:hint="eastAsia"/>
        </w:rPr>
        <w:t>万</w:t>
      </w:r>
      <w:r w:rsidR="008C0160" w:rsidRPr="00D630D1">
        <w:t>m</w:t>
      </w:r>
      <w:r w:rsidR="008C0160" w:rsidRPr="00D630D1">
        <w:rPr>
          <w:vertAlign w:val="superscript"/>
        </w:rPr>
        <w:t>3</w:t>
      </w:r>
      <w:r w:rsidRPr="00D630D1">
        <w:t>，</w:t>
      </w:r>
      <w:r w:rsidR="009753F2" w:rsidRPr="00D630D1">
        <w:rPr>
          <w:rFonts w:hint="eastAsia"/>
        </w:rPr>
        <w:t>无</w:t>
      </w:r>
      <w:r w:rsidR="009753F2" w:rsidRPr="00D630D1">
        <w:t>弃方</w:t>
      </w:r>
      <w:r w:rsidRPr="00D630D1">
        <w:t>。</w:t>
      </w:r>
    </w:p>
    <w:p w:rsidR="00695DB1" w:rsidRPr="00D630D1" w:rsidRDefault="00695DB1" w:rsidP="00695DB1">
      <w:pPr>
        <w:pStyle w:val="3"/>
        <w:rPr>
          <w:rFonts w:eastAsia="宋体"/>
        </w:rPr>
      </w:pPr>
      <w:r w:rsidRPr="00D630D1">
        <w:rPr>
          <w:rFonts w:eastAsia="宋体"/>
        </w:rPr>
        <w:lastRenderedPageBreak/>
        <w:t>3.</w:t>
      </w:r>
      <w:r w:rsidR="00AD59E9" w:rsidRPr="00D630D1">
        <w:rPr>
          <w:rFonts w:eastAsia="宋体" w:hint="eastAsia"/>
        </w:rPr>
        <w:t>9</w:t>
      </w:r>
      <w:r w:rsidRPr="00D630D1">
        <w:rPr>
          <w:rFonts w:eastAsia="宋体"/>
        </w:rPr>
        <w:t>.</w:t>
      </w:r>
      <w:r w:rsidR="00AB0BE5" w:rsidRPr="00D630D1">
        <w:rPr>
          <w:rFonts w:eastAsia="宋体"/>
        </w:rPr>
        <w:t>3</w:t>
      </w:r>
      <w:r w:rsidRPr="00D630D1">
        <w:rPr>
          <w:rFonts w:eastAsia="宋体"/>
        </w:rPr>
        <w:t xml:space="preserve"> </w:t>
      </w:r>
      <w:r w:rsidRPr="00D630D1">
        <w:rPr>
          <w:rFonts w:eastAsia="宋体"/>
        </w:rPr>
        <w:t>拆迁工程</w:t>
      </w:r>
    </w:p>
    <w:p w:rsidR="00695DB1" w:rsidRPr="00D630D1" w:rsidRDefault="007C4688" w:rsidP="000C44C6">
      <w:pPr>
        <w:pStyle w:val="afa"/>
        <w:ind w:firstLine="480"/>
      </w:pPr>
      <w:r w:rsidRPr="00D630D1">
        <w:t>根据《中华人民共和国石油天然气管道保护法》中第三十条规定的</w:t>
      </w:r>
      <w:r w:rsidRPr="00D630D1">
        <w:t>“</w:t>
      </w:r>
      <w:r w:rsidRPr="00D630D1">
        <w:t>在管道线路中心线两侧各</w:t>
      </w:r>
      <w:r w:rsidRPr="00D630D1">
        <w:t>5m</w:t>
      </w:r>
      <w:r w:rsidRPr="00D630D1">
        <w:t>地域范围内，禁止下列危害管道安全的行为：建家畜棚圈、建房以及修建其他建筑物、构筑物。</w:t>
      </w:r>
      <w:r w:rsidRPr="00D630D1">
        <w:t>”</w:t>
      </w:r>
      <w:r w:rsidR="00695DB1" w:rsidRPr="00D630D1">
        <w:t>在管线敷设过程中</w:t>
      </w:r>
      <w:r w:rsidR="00DC5D18" w:rsidRPr="00D630D1">
        <w:t>不涉及拆迁工程</w:t>
      </w:r>
      <w:r w:rsidR="00F9150E" w:rsidRPr="00D630D1">
        <w:t>。</w:t>
      </w:r>
    </w:p>
    <w:p w:rsidR="00117C3D" w:rsidRPr="00D630D1" w:rsidRDefault="001E45AD" w:rsidP="00AA5F68">
      <w:pPr>
        <w:pStyle w:val="2"/>
        <w:spacing w:before="120"/>
        <w:rPr>
          <w:rFonts w:cs="Times New Roman"/>
        </w:rPr>
      </w:pPr>
      <w:bookmarkStart w:id="226" w:name="bookmark20"/>
      <w:bookmarkStart w:id="227" w:name="_Toc12288458"/>
      <w:bookmarkStart w:id="228" w:name="_Toc19815978"/>
      <w:bookmarkStart w:id="229" w:name="_Toc81515273"/>
      <w:bookmarkEnd w:id="226"/>
      <w:r w:rsidRPr="00D630D1">
        <w:rPr>
          <w:rFonts w:cs="Times New Roman"/>
        </w:rPr>
        <w:t>3</w:t>
      </w:r>
      <w:r w:rsidR="008B5B84" w:rsidRPr="00D630D1">
        <w:rPr>
          <w:rFonts w:cs="Times New Roman"/>
        </w:rPr>
        <w:t>.</w:t>
      </w:r>
      <w:r w:rsidR="00AD59E9" w:rsidRPr="00D630D1">
        <w:rPr>
          <w:rFonts w:cs="Times New Roman" w:hint="eastAsia"/>
        </w:rPr>
        <w:t>10</w:t>
      </w:r>
      <w:r w:rsidR="008B5B84" w:rsidRPr="00D630D1">
        <w:rPr>
          <w:rFonts w:cs="Times New Roman"/>
        </w:rPr>
        <w:t xml:space="preserve"> </w:t>
      </w:r>
      <w:bookmarkEnd w:id="227"/>
      <w:bookmarkEnd w:id="228"/>
      <w:r w:rsidR="00B647F3" w:rsidRPr="00D630D1">
        <w:rPr>
          <w:rFonts w:cs="Times New Roman"/>
        </w:rPr>
        <w:t>劳动定员、建设进度</w:t>
      </w:r>
      <w:bookmarkEnd w:id="229"/>
    </w:p>
    <w:p w:rsidR="00117C3D" w:rsidRPr="00D630D1" w:rsidRDefault="001E45AD">
      <w:pPr>
        <w:pStyle w:val="3"/>
        <w:rPr>
          <w:rFonts w:eastAsia="宋体"/>
        </w:rPr>
      </w:pPr>
      <w:bookmarkStart w:id="230" w:name="_Toc213835365"/>
      <w:bookmarkStart w:id="231" w:name="_Toc520234482"/>
      <w:bookmarkStart w:id="232" w:name="_Toc155976349"/>
      <w:bookmarkStart w:id="233" w:name="_Toc175728350"/>
      <w:bookmarkStart w:id="234" w:name="_Toc155976099"/>
      <w:bookmarkStart w:id="235" w:name="_Toc155975331"/>
      <w:bookmarkStart w:id="236" w:name="_Toc155975831"/>
      <w:bookmarkStart w:id="237" w:name="_Toc153685211"/>
      <w:bookmarkStart w:id="238" w:name="_Toc148954843"/>
      <w:bookmarkStart w:id="239" w:name="_Toc139207294"/>
      <w:bookmarkStart w:id="240" w:name="_Toc111542124"/>
      <w:bookmarkStart w:id="241" w:name="_Toc19815979"/>
      <w:r w:rsidRPr="00D630D1">
        <w:rPr>
          <w:rFonts w:eastAsia="宋体"/>
        </w:rPr>
        <w:t>3</w:t>
      </w:r>
      <w:r w:rsidR="008B5B84" w:rsidRPr="00D630D1">
        <w:rPr>
          <w:rFonts w:eastAsia="宋体"/>
        </w:rPr>
        <w:t>.</w:t>
      </w:r>
      <w:r w:rsidR="00AD59E9" w:rsidRPr="00D630D1">
        <w:rPr>
          <w:rFonts w:eastAsia="宋体" w:hint="eastAsia"/>
        </w:rPr>
        <w:t>10</w:t>
      </w:r>
      <w:r w:rsidR="008B5B84" w:rsidRPr="00D630D1">
        <w:rPr>
          <w:rFonts w:eastAsia="宋体"/>
        </w:rPr>
        <w:t xml:space="preserve">.1 </w:t>
      </w:r>
      <w:r w:rsidR="008B5B84" w:rsidRPr="00D630D1">
        <w:rPr>
          <w:rFonts w:eastAsia="宋体"/>
        </w:rPr>
        <w:t>组织机构</w:t>
      </w:r>
      <w:bookmarkEnd w:id="230"/>
      <w:bookmarkEnd w:id="231"/>
      <w:bookmarkEnd w:id="232"/>
      <w:bookmarkEnd w:id="233"/>
      <w:bookmarkEnd w:id="234"/>
      <w:bookmarkEnd w:id="235"/>
      <w:bookmarkEnd w:id="236"/>
      <w:bookmarkEnd w:id="237"/>
      <w:bookmarkEnd w:id="238"/>
      <w:bookmarkEnd w:id="239"/>
      <w:bookmarkEnd w:id="240"/>
      <w:bookmarkEnd w:id="241"/>
    </w:p>
    <w:p w:rsidR="00117C3D" w:rsidRPr="00D630D1" w:rsidRDefault="00AA5F68">
      <w:pPr>
        <w:ind w:firstLine="480"/>
        <w:rPr>
          <w:rFonts w:ascii="Times New Roman" w:cs="Times New Roman"/>
        </w:rPr>
      </w:pPr>
      <w:r w:rsidRPr="00D630D1">
        <w:rPr>
          <w:rFonts w:ascii="Times New Roman" w:cs="Times New Roman"/>
        </w:rPr>
        <w:t>本工程</w:t>
      </w:r>
      <w:r w:rsidR="00124375" w:rsidRPr="00D630D1">
        <w:rPr>
          <w:rFonts w:ascii="Times New Roman" w:cs="Times New Roman"/>
        </w:rPr>
        <w:t>为天然气</w:t>
      </w:r>
      <w:r w:rsidR="00586C59" w:rsidRPr="00D630D1">
        <w:rPr>
          <w:rFonts w:ascii="Times New Roman" w:cs="Times New Roman" w:hint="eastAsia"/>
        </w:rPr>
        <w:t>开采</w:t>
      </w:r>
      <w:r w:rsidR="00B11B9F" w:rsidRPr="00D630D1">
        <w:rPr>
          <w:rFonts w:ascii="Times New Roman" w:cs="Times New Roman" w:hint="eastAsia"/>
        </w:rPr>
        <w:t>和</w:t>
      </w:r>
      <w:r w:rsidR="00124375" w:rsidRPr="00D630D1">
        <w:rPr>
          <w:rFonts w:ascii="Times New Roman" w:cs="Times New Roman"/>
        </w:rPr>
        <w:t>内部集输工程</w:t>
      </w:r>
      <w:r w:rsidRPr="00D630D1">
        <w:rPr>
          <w:rFonts w:ascii="Times New Roman" w:cs="Times New Roman"/>
        </w:rPr>
        <w:t>，由</w:t>
      </w:r>
      <w:r w:rsidR="00124375" w:rsidRPr="00D630D1">
        <w:rPr>
          <w:rFonts w:ascii="Times New Roman" w:cs="Times New Roman"/>
        </w:rPr>
        <w:t>中国石油化工股份有限公司中原油田普光分公司</w:t>
      </w:r>
      <w:r w:rsidRPr="00D630D1">
        <w:rPr>
          <w:rFonts w:ascii="Times New Roman" w:cs="Times New Roman"/>
        </w:rPr>
        <w:t>管理。</w:t>
      </w:r>
    </w:p>
    <w:p w:rsidR="00117C3D" w:rsidRPr="00D630D1" w:rsidRDefault="001E45AD">
      <w:pPr>
        <w:pStyle w:val="3"/>
        <w:rPr>
          <w:rFonts w:eastAsia="宋体"/>
        </w:rPr>
      </w:pPr>
      <w:bookmarkStart w:id="242" w:name="_Toc19815980"/>
      <w:bookmarkStart w:id="243" w:name="_Toc439056557"/>
      <w:bookmarkStart w:id="244" w:name="_Toc520234483"/>
      <w:bookmarkStart w:id="245" w:name="_Toc213835368"/>
      <w:r w:rsidRPr="00D630D1">
        <w:rPr>
          <w:rFonts w:eastAsia="宋体"/>
        </w:rPr>
        <w:t>3</w:t>
      </w:r>
      <w:r w:rsidR="008B5B84" w:rsidRPr="00D630D1">
        <w:rPr>
          <w:rFonts w:eastAsia="宋体"/>
        </w:rPr>
        <w:t>.</w:t>
      </w:r>
      <w:r w:rsidR="00AD59E9" w:rsidRPr="00D630D1">
        <w:rPr>
          <w:rFonts w:eastAsia="宋体" w:hint="eastAsia"/>
        </w:rPr>
        <w:t>10</w:t>
      </w:r>
      <w:r w:rsidR="008B5B84" w:rsidRPr="00D630D1">
        <w:rPr>
          <w:rFonts w:eastAsia="宋体"/>
        </w:rPr>
        <w:t xml:space="preserve">.2 </w:t>
      </w:r>
      <w:bookmarkEnd w:id="242"/>
      <w:bookmarkEnd w:id="243"/>
      <w:bookmarkEnd w:id="244"/>
      <w:bookmarkEnd w:id="245"/>
      <w:r w:rsidR="00AA5F68" w:rsidRPr="00D630D1">
        <w:rPr>
          <w:rFonts w:eastAsia="宋体"/>
        </w:rPr>
        <w:t>定员</w:t>
      </w:r>
    </w:p>
    <w:p w:rsidR="00117C3D" w:rsidRPr="00D630D1" w:rsidRDefault="00124375" w:rsidP="00124375">
      <w:pPr>
        <w:pStyle w:val="afa"/>
        <w:ind w:firstLine="480"/>
      </w:pPr>
      <w:r w:rsidRPr="00D630D1">
        <w:t>本项目</w:t>
      </w:r>
      <w:r w:rsidR="002C00AE">
        <w:t>普光</w:t>
      </w:r>
      <w:r w:rsidR="002C00AE">
        <w:t>12</w:t>
      </w:r>
      <w:r w:rsidR="002C00AE">
        <w:t>采气站</w:t>
      </w:r>
      <w:r w:rsidR="00944029" w:rsidRPr="00D630D1">
        <w:t>为</w:t>
      </w:r>
      <w:r w:rsidR="007200A5">
        <w:rPr>
          <w:rFonts w:hint="eastAsia"/>
        </w:rPr>
        <w:t>有</w:t>
      </w:r>
      <w:r w:rsidR="00944029" w:rsidRPr="00D630D1">
        <w:t>人值守站</w:t>
      </w:r>
      <w:r w:rsidR="00944029" w:rsidRPr="00D630D1">
        <w:rPr>
          <w:rFonts w:hint="eastAsia"/>
        </w:rPr>
        <w:t>，</w:t>
      </w:r>
      <w:r w:rsidR="007200A5">
        <w:rPr>
          <w:rFonts w:hint="eastAsia"/>
        </w:rPr>
        <w:t>本项目新增劳动定员</w:t>
      </w:r>
      <w:r w:rsidR="007200A5">
        <w:rPr>
          <w:rFonts w:hint="eastAsia"/>
        </w:rPr>
        <w:t>13</w:t>
      </w:r>
      <w:r w:rsidR="00775840" w:rsidRPr="00D630D1">
        <w:rPr>
          <w:rFonts w:hint="eastAsia"/>
        </w:rPr>
        <w:t>人</w:t>
      </w:r>
      <w:r w:rsidRPr="00D630D1">
        <w:t>。</w:t>
      </w:r>
    </w:p>
    <w:p w:rsidR="00B647F3" w:rsidRPr="00D630D1" w:rsidRDefault="00B647F3" w:rsidP="00B647F3">
      <w:pPr>
        <w:pStyle w:val="3"/>
        <w:rPr>
          <w:rFonts w:eastAsia="宋体"/>
        </w:rPr>
      </w:pPr>
      <w:r w:rsidRPr="00D630D1">
        <w:rPr>
          <w:rFonts w:eastAsia="宋体"/>
        </w:rPr>
        <w:t>3.</w:t>
      </w:r>
      <w:r w:rsidR="00AD59E9" w:rsidRPr="00D630D1">
        <w:rPr>
          <w:rFonts w:eastAsia="宋体" w:hint="eastAsia"/>
        </w:rPr>
        <w:t>10</w:t>
      </w:r>
      <w:r w:rsidRPr="00D630D1">
        <w:rPr>
          <w:rFonts w:eastAsia="宋体"/>
        </w:rPr>
        <w:t>.</w:t>
      </w:r>
      <w:r w:rsidR="00517854" w:rsidRPr="00D630D1">
        <w:rPr>
          <w:rFonts w:eastAsia="宋体"/>
        </w:rPr>
        <w:t>3</w:t>
      </w:r>
      <w:r w:rsidRPr="00D630D1">
        <w:rPr>
          <w:rFonts w:eastAsia="宋体"/>
        </w:rPr>
        <w:t xml:space="preserve"> </w:t>
      </w:r>
      <w:r w:rsidRPr="00D630D1">
        <w:rPr>
          <w:rFonts w:eastAsia="宋体"/>
        </w:rPr>
        <w:t>建设进度</w:t>
      </w:r>
    </w:p>
    <w:p w:rsidR="00AA5F68" w:rsidRPr="00D630D1" w:rsidRDefault="00124375" w:rsidP="00124375">
      <w:pPr>
        <w:pStyle w:val="afa"/>
        <w:ind w:firstLine="480"/>
      </w:pPr>
      <w:r w:rsidRPr="00D630D1">
        <w:t>项目</w:t>
      </w:r>
      <w:bookmarkStart w:id="246" w:name="OLE_LINK134"/>
      <w:bookmarkStart w:id="247" w:name="OLE_LINK135"/>
      <w:r w:rsidR="00706811" w:rsidRPr="00D630D1">
        <w:rPr>
          <w:rFonts w:hint="eastAsia"/>
        </w:rPr>
        <w:t>站场</w:t>
      </w:r>
      <w:bookmarkEnd w:id="246"/>
      <w:bookmarkEnd w:id="247"/>
      <w:r w:rsidR="00706811" w:rsidRPr="00D630D1">
        <w:t>施工作业主要采用人工</w:t>
      </w:r>
      <w:r w:rsidR="00706811" w:rsidRPr="00D630D1">
        <w:t>+</w:t>
      </w:r>
      <w:r w:rsidR="00706811" w:rsidRPr="00D630D1">
        <w:t>机械</w:t>
      </w:r>
      <w:r w:rsidR="00706811" w:rsidRPr="00D630D1">
        <w:rPr>
          <w:rFonts w:hint="eastAsia"/>
        </w:rPr>
        <w:t>作业，</w:t>
      </w:r>
      <w:bookmarkStart w:id="248" w:name="OLE_LINK136"/>
      <w:r w:rsidRPr="00D630D1">
        <w:t>管道</w:t>
      </w:r>
      <w:bookmarkStart w:id="249" w:name="OLE_LINK132"/>
      <w:bookmarkStart w:id="250" w:name="OLE_LINK133"/>
      <w:bookmarkEnd w:id="248"/>
      <w:r w:rsidRPr="00D630D1">
        <w:t>施工作业主要采用人工</w:t>
      </w:r>
      <w:r w:rsidRPr="00D630D1">
        <w:t>+</w:t>
      </w:r>
      <w:r w:rsidRPr="00D630D1">
        <w:t>机械开挖</w:t>
      </w:r>
      <w:bookmarkEnd w:id="249"/>
      <w:bookmarkEnd w:id="250"/>
      <w:r w:rsidRPr="00D630D1">
        <w:t>管沟，不设置施工营地，项目</w:t>
      </w:r>
      <w:r w:rsidR="00706811" w:rsidRPr="00D630D1">
        <w:rPr>
          <w:rFonts w:hint="eastAsia"/>
        </w:rPr>
        <w:t>站场和</w:t>
      </w:r>
      <w:r w:rsidR="00706811" w:rsidRPr="00D630D1">
        <w:t>管道</w:t>
      </w:r>
      <w:r w:rsidRPr="00D630D1">
        <w:t>施工工期约为</w:t>
      </w:r>
      <w:r w:rsidR="00702E84" w:rsidRPr="00D630D1">
        <w:rPr>
          <w:rFonts w:hint="eastAsia"/>
        </w:rPr>
        <w:t>6</w:t>
      </w:r>
      <w:r w:rsidRPr="00D630D1">
        <w:t>个月</w:t>
      </w:r>
      <w:r w:rsidR="00706811" w:rsidRPr="00D630D1">
        <w:rPr>
          <w:rFonts w:hint="eastAsia"/>
        </w:rPr>
        <w:t>，项目钻井周期：施工周期</w:t>
      </w:r>
      <w:r w:rsidR="00941AC9">
        <w:rPr>
          <w:rFonts w:hint="eastAsia"/>
        </w:rPr>
        <w:t>730</w:t>
      </w:r>
      <w:r w:rsidR="00706811" w:rsidRPr="00D630D1">
        <w:rPr>
          <w:rFonts w:hint="eastAsia"/>
        </w:rPr>
        <w:t>天，其中钻前工程</w:t>
      </w:r>
      <w:r w:rsidR="00706811" w:rsidRPr="00D630D1">
        <w:rPr>
          <w:rFonts w:hint="eastAsia"/>
        </w:rPr>
        <w:t>50d</w:t>
      </w:r>
      <w:r w:rsidR="00706811" w:rsidRPr="00D630D1">
        <w:rPr>
          <w:rFonts w:hint="eastAsia"/>
        </w:rPr>
        <w:t>，钻井工程</w:t>
      </w:r>
      <w:r w:rsidR="00941AC9">
        <w:rPr>
          <w:rFonts w:hint="eastAsia"/>
        </w:rPr>
        <w:t>480</w:t>
      </w:r>
      <w:r w:rsidR="00706811" w:rsidRPr="00D630D1">
        <w:rPr>
          <w:rFonts w:hint="eastAsia"/>
        </w:rPr>
        <w:t>d</w:t>
      </w:r>
      <w:r w:rsidR="00706811" w:rsidRPr="00D630D1">
        <w:rPr>
          <w:rFonts w:hint="eastAsia"/>
        </w:rPr>
        <w:t>，完井工程</w:t>
      </w:r>
      <w:r w:rsidR="00941AC9">
        <w:rPr>
          <w:rFonts w:hint="eastAsia"/>
        </w:rPr>
        <w:t>20</w:t>
      </w:r>
      <w:r w:rsidR="00706811" w:rsidRPr="00D630D1">
        <w:rPr>
          <w:rFonts w:hint="eastAsia"/>
        </w:rPr>
        <w:t>0d</w:t>
      </w:r>
      <w:r w:rsidRPr="00D630D1">
        <w:t>。为有效保护项目沿线耕地内土壤，项目</w:t>
      </w:r>
      <w:r w:rsidR="00706811" w:rsidRPr="00D630D1">
        <w:rPr>
          <w:rFonts w:hint="eastAsia"/>
        </w:rPr>
        <w:t>管道</w:t>
      </w:r>
      <w:r w:rsidRPr="00D630D1">
        <w:t>施工分段进行，每段施工完成后，及时恢复地表植被及回填耕作层土壤。</w:t>
      </w:r>
    </w:p>
    <w:p w:rsidR="00B647F3" w:rsidRPr="00D630D1" w:rsidRDefault="00B647F3" w:rsidP="00AA5F68">
      <w:pPr>
        <w:pStyle w:val="afa"/>
        <w:ind w:firstLine="480"/>
      </w:pPr>
    </w:p>
    <w:p w:rsidR="00AA5F68" w:rsidRPr="00D630D1" w:rsidRDefault="00AA5F68" w:rsidP="00AA5F68">
      <w:pPr>
        <w:pStyle w:val="afa"/>
        <w:ind w:firstLine="480"/>
        <w:sectPr w:rsidR="00AA5F68" w:rsidRPr="00D630D1" w:rsidSect="00BA4F10">
          <w:pgSz w:w="11910" w:h="16840"/>
          <w:pgMar w:top="1440" w:right="1800" w:bottom="1440" w:left="1800" w:header="885" w:footer="1097" w:gutter="0"/>
          <w:pgNumType w:chapStyle="2"/>
          <w:cols w:space="720"/>
          <w:docGrid w:linePitch="326"/>
        </w:sectPr>
      </w:pPr>
    </w:p>
    <w:p w:rsidR="00117C3D" w:rsidRPr="00D630D1" w:rsidRDefault="00AA5F68" w:rsidP="00AA5F68">
      <w:pPr>
        <w:pStyle w:val="1"/>
        <w:spacing w:before="0" w:beforeAutospacing="0" w:after="0" w:afterAutospacing="0"/>
        <w:rPr>
          <w:rFonts w:eastAsia="宋体"/>
        </w:rPr>
      </w:pPr>
      <w:bookmarkStart w:id="251" w:name="bookmark22"/>
      <w:bookmarkStart w:id="252" w:name="_Toc19815984"/>
      <w:bookmarkStart w:id="253" w:name="_Toc12288470"/>
      <w:bookmarkStart w:id="254" w:name="_Toc81515274"/>
      <w:bookmarkEnd w:id="251"/>
      <w:r w:rsidRPr="00D630D1">
        <w:rPr>
          <w:rFonts w:eastAsia="宋体"/>
        </w:rPr>
        <w:lastRenderedPageBreak/>
        <w:t>4</w:t>
      </w:r>
      <w:r w:rsidR="008B5B84" w:rsidRPr="00D630D1">
        <w:rPr>
          <w:rFonts w:eastAsia="宋体"/>
        </w:rPr>
        <w:t xml:space="preserve"> </w:t>
      </w:r>
      <w:r w:rsidR="008B5B84" w:rsidRPr="00D630D1">
        <w:rPr>
          <w:rFonts w:eastAsia="宋体"/>
        </w:rPr>
        <w:t>工程分析</w:t>
      </w:r>
      <w:bookmarkEnd w:id="252"/>
      <w:bookmarkEnd w:id="253"/>
      <w:bookmarkEnd w:id="254"/>
    </w:p>
    <w:p w:rsidR="00517854" w:rsidRPr="00D630D1" w:rsidRDefault="00517854" w:rsidP="00517854">
      <w:pPr>
        <w:pStyle w:val="afa"/>
        <w:ind w:firstLine="480"/>
      </w:pPr>
      <w:bookmarkStart w:id="255" w:name="bookmark23"/>
      <w:bookmarkEnd w:id="255"/>
      <w:r w:rsidRPr="00D630D1">
        <w:t>该项目对环境的影响分为施工期和运营期两个阶段。根据</w:t>
      </w:r>
      <w:bookmarkStart w:id="256" w:name="OLE_LINK141"/>
      <w:bookmarkStart w:id="257" w:name="OLE_LINK142"/>
      <w:r w:rsidR="00706811" w:rsidRPr="00D630D1">
        <w:rPr>
          <w:rFonts w:hint="eastAsia"/>
        </w:rPr>
        <w:t>钻井工程</w:t>
      </w:r>
      <w:bookmarkEnd w:id="256"/>
      <w:bookmarkEnd w:id="257"/>
      <w:r w:rsidR="00706811" w:rsidRPr="00D630D1">
        <w:rPr>
          <w:rFonts w:hint="eastAsia"/>
        </w:rPr>
        <w:t>和</w:t>
      </w:r>
      <w:bookmarkStart w:id="258" w:name="OLE_LINK143"/>
      <w:bookmarkStart w:id="259" w:name="OLE_LINK144"/>
      <w:r w:rsidRPr="00D630D1">
        <w:t>集输工程</w:t>
      </w:r>
      <w:bookmarkEnd w:id="258"/>
      <w:bookmarkEnd w:id="259"/>
      <w:r w:rsidRPr="00D630D1">
        <w:t>的特点，</w:t>
      </w:r>
      <w:r w:rsidR="00706811" w:rsidRPr="00D630D1">
        <w:rPr>
          <w:rFonts w:hint="eastAsia"/>
        </w:rPr>
        <w:t>钻井施工</w:t>
      </w:r>
      <w:r w:rsidR="00706811" w:rsidRPr="00D630D1">
        <w:rPr>
          <w:rFonts w:hint="eastAsia"/>
          <w:bCs/>
        </w:rPr>
        <w:t>主要体现在钻井、完井过程中会产生废气、废水、废泥浆、岩屑、噪声、环境风险等以及钻井过程中可能造成地下水的污染，</w:t>
      </w:r>
      <w:r w:rsidR="00706811" w:rsidRPr="00D630D1">
        <w:t>集输工程</w:t>
      </w:r>
      <w:r w:rsidRPr="00D630D1">
        <w:t>施工期对环境的影响主要表现在对生态的影响，其次是产生的施工机械噪声、生活污水、生活垃圾、扬尘等污染物对环境的影响。运营期对环境的影响主要表现井</w:t>
      </w:r>
      <w:r w:rsidR="00706811" w:rsidRPr="00D630D1">
        <w:rPr>
          <w:rFonts w:hint="eastAsia"/>
        </w:rPr>
        <w:t>场</w:t>
      </w:r>
      <w:r w:rsidRPr="00D630D1">
        <w:t>水套加热炉的燃烧废气、</w:t>
      </w:r>
      <w:r w:rsidR="004B093C" w:rsidRPr="00D630D1">
        <w:rPr>
          <w:rFonts w:hint="eastAsia"/>
        </w:rPr>
        <w:t>返排酸液</w:t>
      </w:r>
      <w:r w:rsidRPr="00D630D1">
        <w:t>和管道运营过程中存在的环境风险。</w:t>
      </w:r>
    </w:p>
    <w:p w:rsidR="00517854" w:rsidRPr="00D630D1" w:rsidRDefault="00517854" w:rsidP="00517854">
      <w:pPr>
        <w:pStyle w:val="2"/>
        <w:spacing w:before="120"/>
        <w:rPr>
          <w:rFonts w:cs="Times New Roman"/>
        </w:rPr>
      </w:pPr>
      <w:bookmarkStart w:id="260" w:name="_Toc19815985"/>
      <w:bookmarkStart w:id="261" w:name="_Toc12288471"/>
      <w:bookmarkStart w:id="262" w:name="_Toc81515275"/>
      <w:r w:rsidRPr="00D630D1">
        <w:rPr>
          <w:rFonts w:cs="Times New Roman"/>
        </w:rPr>
        <w:t xml:space="preserve">4.1 </w:t>
      </w:r>
      <w:r w:rsidRPr="00D630D1">
        <w:rPr>
          <w:rFonts w:cs="Times New Roman"/>
        </w:rPr>
        <w:t>施工期</w:t>
      </w:r>
      <w:bookmarkEnd w:id="260"/>
      <w:bookmarkEnd w:id="261"/>
      <w:r w:rsidRPr="00D630D1">
        <w:rPr>
          <w:rFonts w:cs="Times New Roman"/>
        </w:rPr>
        <w:t>工程分析</w:t>
      </w:r>
      <w:bookmarkEnd w:id="262"/>
    </w:p>
    <w:p w:rsidR="00117C3D" w:rsidRPr="00D630D1" w:rsidRDefault="00AA5F68">
      <w:pPr>
        <w:pStyle w:val="3"/>
        <w:rPr>
          <w:rFonts w:eastAsia="宋体"/>
        </w:rPr>
      </w:pPr>
      <w:r w:rsidRPr="00D630D1">
        <w:rPr>
          <w:rFonts w:eastAsia="宋体"/>
        </w:rPr>
        <w:t>4</w:t>
      </w:r>
      <w:r w:rsidR="008B5B84" w:rsidRPr="00D630D1">
        <w:rPr>
          <w:rFonts w:eastAsia="宋体"/>
        </w:rPr>
        <w:t xml:space="preserve">.1.1 </w:t>
      </w:r>
      <w:r w:rsidR="00517854" w:rsidRPr="00D630D1">
        <w:rPr>
          <w:rFonts w:eastAsia="宋体"/>
        </w:rPr>
        <w:t>施工过程分析</w:t>
      </w:r>
    </w:p>
    <w:p w:rsidR="00AA2DA0" w:rsidRPr="00D630D1" w:rsidRDefault="00717AC7" w:rsidP="00717AC7">
      <w:pPr>
        <w:pStyle w:val="afa"/>
        <w:ind w:firstLine="480"/>
      </w:pPr>
      <w:r w:rsidRPr="00D630D1">
        <w:t>首先要测量定线，清理施工现场、平整工作带，修筑施工便道（以便施工人员、施工车辆、管材等进入施工场地），管材防腐绝缘后运到现场</w:t>
      </w:r>
      <w:r w:rsidR="00FB2376" w:rsidRPr="00D630D1">
        <w:t>，开始布管、组装焊接，无损探伤，补口及防腐检漏，在完成管沟开挖</w:t>
      </w:r>
      <w:r w:rsidRPr="00D630D1">
        <w:t>等基础工作以后管道下沟，分段试压，站间连接，通球扫线，阴极保护，竣工验收后投入使用。</w:t>
      </w:r>
    </w:p>
    <w:p w:rsidR="00117C3D" w:rsidRPr="00D630D1" w:rsidRDefault="009913C3">
      <w:pPr>
        <w:pStyle w:val="a1"/>
        <w:ind w:firstLineChars="0" w:firstLine="0"/>
        <w:jc w:val="center"/>
        <w:rPr>
          <w:rFonts w:ascii="Times New Roman" w:cs="Times New Roman"/>
        </w:rPr>
      </w:pPr>
      <w:r w:rsidRPr="009913C3">
        <w:rPr>
          <w:noProof/>
        </w:rPr>
        <w:pict>
          <v:shape id="_x0000_s1054" type="#_x0000_t202" style="position:absolute;left:0;text-align:left;margin-left:71.05pt;margin-top:81.95pt;width:159.35pt;height:22.7pt;z-index:251660288;mso-width-relative:margin;mso-height-relative:margin">
            <v:textbox style="mso-next-textbox:#_x0000_s1054">
              <w:txbxContent>
                <w:p w:rsidR="00A62354" w:rsidRPr="00706811" w:rsidRDefault="00A62354" w:rsidP="00706811">
                  <w:pPr>
                    <w:spacing w:line="240" w:lineRule="auto"/>
                    <w:ind w:firstLineChars="0" w:firstLine="0"/>
                    <w:jc w:val="center"/>
                    <w:rPr>
                      <w:sz w:val="21"/>
                      <w:szCs w:val="21"/>
                    </w:rPr>
                  </w:pPr>
                  <w:r w:rsidRPr="00706811">
                    <w:rPr>
                      <w:rFonts w:hint="eastAsia"/>
                      <w:sz w:val="21"/>
                      <w:szCs w:val="21"/>
                    </w:rPr>
                    <w:t>管沟开挖</w:t>
                  </w:r>
                </w:p>
              </w:txbxContent>
            </v:textbox>
          </v:shape>
        </w:pict>
      </w:r>
      <w:r w:rsidR="001A254A" w:rsidRPr="00D630D1">
        <w:rPr>
          <w:rFonts w:ascii="Times New Roman" w:cs="Times New Roman"/>
          <w:noProof/>
        </w:rPr>
        <w:drawing>
          <wp:inline distT="0" distB="0" distL="0" distR="0">
            <wp:extent cx="4867275" cy="4322445"/>
            <wp:effectExtent l="19050" t="0" r="9525" b="0"/>
            <wp:docPr id="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46" cstate="print"/>
                    <a:srcRect/>
                    <a:stretch>
                      <a:fillRect/>
                    </a:stretch>
                  </pic:blipFill>
                  <pic:spPr bwMode="auto">
                    <a:xfrm>
                      <a:off x="0" y="0"/>
                      <a:ext cx="4867275" cy="4322445"/>
                    </a:xfrm>
                    <a:prstGeom prst="rect">
                      <a:avLst/>
                    </a:prstGeom>
                    <a:noFill/>
                    <a:ln w="9525">
                      <a:noFill/>
                      <a:miter lim="800000"/>
                      <a:headEnd/>
                      <a:tailEnd/>
                    </a:ln>
                  </pic:spPr>
                </pic:pic>
              </a:graphicData>
            </a:graphic>
          </wp:inline>
        </w:drawing>
      </w:r>
    </w:p>
    <w:p w:rsidR="00117C3D" w:rsidRPr="00D630D1" w:rsidRDefault="008B5B84">
      <w:pPr>
        <w:pStyle w:val="a1"/>
        <w:ind w:firstLine="422"/>
        <w:jc w:val="center"/>
        <w:rPr>
          <w:rFonts w:ascii="Times New Roman" w:cs="Times New Roman"/>
          <w:b/>
          <w:sz w:val="21"/>
          <w:szCs w:val="21"/>
        </w:rPr>
      </w:pPr>
      <w:r w:rsidRPr="00D630D1">
        <w:rPr>
          <w:rFonts w:ascii="Times New Roman" w:cs="Times New Roman"/>
          <w:b/>
          <w:sz w:val="21"/>
          <w:szCs w:val="21"/>
        </w:rPr>
        <w:t>图</w:t>
      </w:r>
      <w:r w:rsidR="00BA0CE9" w:rsidRPr="00D630D1">
        <w:rPr>
          <w:rFonts w:ascii="Times New Roman" w:cs="Times New Roman"/>
          <w:b/>
          <w:sz w:val="21"/>
          <w:szCs w:val="21"/>
        </w:rPr>
        <w:t>4</w:t>
      </w:r>
      <w:r w:rsidRPr="00D630D1">
        <w:rPr>
          <w:rFonts w:ascii="Times New Roman" w:cs="Times New Roman"/>
          <w:b/>
          <w:sz w:val="21"/>
          <w:szCs w:val="21"/>
        </w:rPr>
        <w:t xml:space="preserve">.1-1 </w:t>
      </w:r>
      <w:r w:rsidR="00BA0CE9" w:rsidRPr="00D630D1">
        <w:rPr>
          <w:rFonts w:ascii="Times New Roman" w:cs="Times New Roman"/>
          <w:b/>
          <w:sz w:val="21"/>
          <w:szCs w:val="21"/>
        </w:rPr>
        <w:t xml:space="preserve"> </w:t>
      </w:r>
      <w:r w:rsidR="00717AC7" w:rsidRPr="00D630D1">
        <w:rPr>
          <w:rFonts w:ascii="Times New Roman" w:cs="Times New Roman"/>
          <w:b/>
          <w:sz w:val="21"/>
          <w:szCs w:val="21"/>
        </w:rPr>
        <w:t>站场</w:t>
      </w:r>
      <w:r w:rsidR="00941AC9">
        <w:rPr>
          <w:rFonts w:ascii="Times New Roman" w:cs="Times New Roman" w:hint="eastAsia"/>
          <w:b/>
          <w:sz w:val="21"/>
          <w:szCs w:val="21"/>
        </w:rPr>
        <w:t>、</w:t>
      </w:r>
      <w:r w:rsidR="00941AC9" w:rsidRPr="00D630D1">
        <w:rPr>
          <w:rFonts w:ascii="Times New Roman" w:cs="Times New Roman"/>
          <w:b/>
          <w:sz w:val="21"/>
          <w:szCs w:val="21"/>
        </w:rPr>
        <w:t>管线</w:t>
      </w:r>
      <w:r w:rsidR="00941AC9">
        <w:rPr>
          <w:rFonts w:ascii="Times New Roman" w:cs="Times New Roman" w:hint="eastAsia"/>
          <w:b/>
          <w:sz w:val="21"/>
          <w:szCs w:val="21"/>
        </w:rPr>
        <w:t>施工</w:t>
      </w:r>
      <w:r w:rsidR="00717AC7" w:rsidRPr="00D630D1">
        <w:rPr>
          <w:rFonts w:ascii="Times New Roman" w:cs="Times New Roman"/>
          <w:b/>
          <w:sz w:val="21"/>
          <w:szCs w:val="21"/>
        </w:rPr>
        <w:t>工艺流程及产污情况</w:t>
      </w:r>
    </w:p>
    <w:p w:rsidR="00717AC7" w:rsidRPr="00D630D1" w:rsidRDefault="00717AC7" w:rsidP="00717AC7">
      <w:pPr>
        <w:pStyle w:val="afa"/>
        <w:ind w:firstLine="480"/>
      </w:pPr>
      <w:r w:rsidRPr="00D630D1">
        <w:lastRenderedPageBreak/>
        <w:t>施工一般可分为线路施工和站场施工</w:t>
      </w:r>
      <w:r w:rsidR="00CF4EB8" w:rsidRPr="00D630D1">
        <w:t>，管道施工分为若干个标段分别施工，标段按行政区划和地貌类型划分</w:t>
      </w:r>
      <w:r w:rsidRPr="00D630D1">
        <w:t>。施工由装备先进的专业施工队伍完成。</w:t>
      </w:r>
    </w:p>
    <w:p w:rsidR="00717AC7" w:rsidRPr="00D630D1" w:rsidRDefault="00717AC7" w:rsidP="00717AC7">
      <w:pPr>
        <w:pStyle w:val="afa"/>
        <w:ind w:firstLine="480"/>
      </w:pPr>
      <w:r w:rsidRPr="00D630D1">
        <w:t>（</w:t>
      </w:r>
      <w:r w:rsidRPr="00D630D1">
        <w:t>1</w:t>
      </w:r>
      <w:r w:rsidRPr="00D630D1">
        <w:t>）管道线路施工工艺</w:t>
      </w:r>
    </w:p>
    <w:p w:rsidR="00717AC7" w:rsidRPr="00D630D1" w:rsidRDefault="00717AC7" w:rsidP="00717AC7">
      <w:pPr>
        <w:pStyle w:val="afa"/>
        <w:ind w:firstLine="480"/>
      </w:pPr>
      <w:r w:rsidRPr="00D630D1">
        <w:rPr>
          <w:rFonts w:ascii="宋体" w:hAnsi="宋体" w:cs="宋体" w:hint="eastAsia"/>
        </w:rPr>
        <w:t>①</w:t>
      </w:r>
      <w:r w:rsidR="00706811" w:rsidRPr="00D630D1">
        <w:t>现场勘查，确认路由后进行作业线路的清理。在完成管沟开挖</w:t>
      </w:r>
      <w:r w:rsidRPr="00D630D1">
        <w:t>等基础工程后，将钢管运至各施工现场。将管段及必要的弯头等组装后，用人工或自动方式焊接，然后进行防腐工艺的施工，最后按管道施工规范下到管沟内，覆土回填。</w:t>
      </w:r>
    </w:p>
    <w:p w:rsidR="00717AC7" w:rsidRPr="00D630D1" w:rsidRDefault="00717AC7" w:rsidP="00717AC7">
      <w:pPr>
        <w:pStyle w:val="afa"/>
        <w:ind w:firstLine="480"/>
      </w:pPr>
      <w:r w:rsidRPr="00D630D1">
        <w:rPr>
          <w:rFonts w:ascii="宋体" w:hAnsi="宋体" w:cs="宋体" w:hint="eastAsia"/>
        </w:rPr>
        <w:t>②</w:t>
      </w:r>
      <w:r w:rsidRPr="00D630D1">
        <w:t>对管线进行清管、吹扫试压，清理作业现场，恢复地貌。</w:t>
      </w:r>
    </w:p>
    <w:p w:rsidR="00717AC7" w:rsidRPr="00D630D1" w:rsidRDefault="00717AC7" w:rsidP="00717AC7">
      <w:pPr>
        <w:pStyle w:val="afa"/>
        <w:ind w:firstLine="480"/>
      </w:pPr>
      <w:r w:rsidRPr="00D630D1">
        <w:rPr>
          <w:rFonts w:ascii="宋体" w:hAnsi="宋体" w:cs="宋体" w:hint="eastAsia"/>
        </w:rPr>
        <w:t>③</w:t>
      </w:r>
      <w:r w:rsidRPr="00D630D1">
        <w:t>管线试运行正常后正式投产输气。</w:t>
      </w:r>
    </w:p>
    <w:p w:rsidR="00117C3D" w:rsidRPr="00D630D1" w:rsidRDefault="00717AC7" w:rsidP="00717AC7">
      <w:pPr>
        <w:pStyle w:val="afa"/>
        <w:ind w:firstLine="480"/>
      </w:pPr>
      <w:r w:rsidRPr="00D630D1">
        <w:t>（</w:t>
      </w:r>
      <w:r w:rsidRPr="00D630D1">
        <w:t>2</w:t>
      </w:r>
      <w:r w:rsidRPr="00D630D1">
        <w:t>）站场施工工艺</w:t>
      </w:r>
    </w:p>
    <w:p w:rsidR="00717AC7" w:rsidRPr="00D630D1" w:rsidRDefault="00717AC7" w:rsidP="00717AC7">
      <w:pPr>
        <w:pStyle w:val="afa"/>
        <w:ind w:firstLine="480"/>
      </w:pPr>
      <w:r w:rsidRPr="00D630D1">
        <w:t>本项目站场施工</w:t>
      </w:r>
      <w:r w:rsidR="00706811" w:rsidRPr="00D630D1">
        <w:rPr>
          <w:rFonts w:hint="eastAsia"/>
        </w:rPr>
        <w:t>主要为</w:t>
      </w:r>
      <w:r w:rsidR="00941AC9">
        <w:rPr>
          <w:rFonts w:hint="eastAsia"/>
        </w:rPr>
        <w:t>进场道路修缮</w:t>
      </w:r>
      <w:r w:rsidR="00706811" w:rsidRPr="00D630D1">
        <w:t>、</w:t>
      </w:r>
      <w:r w:rsidR="00706811" w:rsidRPr="00D630D1">
        <w:rPr>
          <w:rFonts w:hint="eastAsia"/>
        </w:rPr>
        <w:t>场地平整、</w:t>
      </w:r>
      <w:r w:rsidRPr="00D630D1">
        <w:t>安装工艺装置，并建设相应的辅助设施</w:t>
      </w:r>
      <w:r w:rsidR="00706811" w:rsidRPr="00D630D1">
        <w:rPr>
          <w:rFonts w:hint="eastAsia"/>
        </w:rPr>
        <w:t>等</w:t>
      </w:r>
      <w:r w:rsidRPr="00D630D1">
        <w:t>。上述工程建设完成后，对管沟覆土回填，清理作业现场，恢复地貌、恢复地表植被，竣工验收。</w:t>
      </w:r>
    </w:p>
    <w:p w:rsidR="007422A2" w:rsidRPr="00D630D1" w:rsidRDefault="007422A2" w:rsidP="00717AC7">
      <w:pPr>
        <w:pStyle w:val="afa"/>
        <w:ind w:firstLine="480"/>
      </w:pPr>
      <w:r w:rsidRPr="00D630D1">
        <w:rPr>
          <w:rFonts w:hint="eastAsia"/>
        </w:rPr>
        <w:t>（</w:t>
      </w:r>
      <w:r w:rsidRPr="00D630D1">
        <w:rPr>
          <w:rFonts w:hint="eastAsia"/>
        </w:rPr>
        <w:t>3</w:t>
      </w:r>
      <w:r w:rsidRPr="00D630D1">
        <w:rPr>
          <w:rFonts w:hint="eastAsia"/>
        </w:rPr>
        <w:t>）钻井工艺</w:t>
      </w:r>
    </w:p>
    <w:p w:rsidR="007422A2" w:rsidRPr="00D630D1" w:rsidRDefault="007422A2" w:rsidP="00717AC7">
      <w:pPr>
        <w:pStyle w:val="afa"/>
        <w:ind w:firstLine="480"/>
      </w:pPr>
      <w:r w:rsidRPr="00D630D1">
        <w:t>钻井工程主要包括钻进、钻进辅助作业、固井等过程。</w:t>
      </w:r>
    </w:p>
    <w:p w:rsidR="00717AC7" w:rsidRPr="00D630D1" w:rsidRDefault="00717AC7" w:rsidP="00717AC7">
      <w:pPr>
        <w:pStyle w:val="3"/>
        <w:rPr>
          <w:rFonts w:eastAsia="宋体"/>
        </w:rPr>
      </w:pPr>
      <w:r w:rsidRPr="00D630D1">
        <w:rPr>
          <w:rFonts w:eastAsia="宋体"/>
        </w:rPr>
        <w:t xml:space="preserve">4.1.2 </w:t>
      </w:r>
      <w:r w:rsidRPr="00D630D1">
        <w:rPr>
          <w:rFonts w:eastAsia="宋体"/>
        </w:rPr>
        <w:t>施工工艺流程</w:t>
      </w:r>
    </w:p>
    <w:p w:rsidR="009D06C0" w:rsidRPr="00D630D1" w:rsidRDefault="009D06C0" w:rsidP="007952C1">
      <w:pPr>
        <w:pStyle w:val="afa"/>
        <w:ind w:firstLine="482"/>
        <w:rPr>
          <w:b/>
          <w:bCs/>
        </w:rPr>
      </w:pPr>
      <w:r w:rsidRPr="00D630D1">
        <w:rPr>
          <w:b/>
          <w:bCs/>
        </w:rPr>
        <w:t>（一）管道施工</w:t>
      </w:r>
    </w:p>
    <w:p w:rsidR="007952C1" w:rsidRPr="00D630D1" w:rsidRDefault="007952C1" w:rsidP="007952C1">
      <w:pPr>
        <w:pStyle w:val="afa"/>
        <w:ind w:firstLine="482"/>
        <w:rPr>
          <w:b/>
          <w:bCs/>
        </w:rPr>
      </w:pPr>
      <w:r w:rsidRPr="00D630D1">
        <w:rPr>
          <w:b/>
          <w:bCs/>
        </w:rPr>
        <w:t>1</w:t>
      </w:r>
      <w:r w:rsidRPr="00D630D1">
        <w:rPr>
          <w:b/>
          <w:bCs/>
        </w:rPr>
        <w:t>、施工作业带清理和管沟开挖</w:t>
      </w:r>
    </w:p>
    <w:p w:rsidR="007952C1" w:rsidRPr="00D630D1" w:rsidRDefault="007952C1" w:rsidP="007952C1">
      <w:pPr>
        <w:pStyle w:val="afa"/>
        <w:ind w:firstLine="480"/>
      </w:pPr>
      <w:r w:rsidRPr="00D630D1">
        <w:t>（</w:t>
      </w:r>
      <w:r w:rsidRPr="00D630D1">
        <w:t>1</w:t>
      </w:r>
      <w:r w:rsidRPr="00D630D1">
        <w:t>）作业带清理</w:t>
      </w:r>
    </w:p>
    <w:p w:rsidR="007952C1" w:rsidRPr="00D630D1" w:rsidRDefault="007952C1" w:rsidP="007952C1">
      <w:pPr>
        <w:pStyle w:val="afa"/>
        <w:ind w:firstLine="480"/>
      </w:pPr>
      <w:r w:rsidRPr="00D630D1">
        <w:t>一般线路段管道采用沟埋方式敷设，管道施工作业带应以少占良田、好地为原则，根据管道施工特点并结合本工程实际，在一般地段，施工作业带考虑机械化施工所需要的宽度。本工程输气管道施工作业带宽度为</w:t>
      </w:r>
      <w:r w:rsidR="00733954" w:rsidRPr="00D630D1">
        <w:rPr>
          <w:rFonts w:hint="eastAsia"/>
        </w:rPr>
        <w:t>8</w:t>
      </w:r>
      <w:r w:rsidRPr="00D630D1">
        <w:t>m</w:t>
      </w:r>
      <w:r w:rsidRPr="00D630D1">
        <w:t>。局部地形受限制地段，可适当减少施工作业带宽度。</w:t>
      </w:r>
    </w:p>
    <w:p w:rsidR="00717AC7" w:rsidRPr="00D630D1" w:rsidRDefault="007952C1" w:rsidP="007952C1">
      <w:pPr>
        <w:pStyle w:val="afa"/>
        <w:ind w:firstLine="480"/>
      </w:pPr>
      <w:r w:rsidRPr="00D630D1">
        <w:t>本项目线路全长</w:t>
      </w:r>
      <w:r w:rsidR="007835BF">
        <w:rPr>
          <w:rFonts w:hint="eastAsia"/>
        </w:rPr>
        <w:t>3.98</w:t>
      </w:r>
      <w:r w:rsidRPr="00D630D1">
        <w:t>km</w:t>
      </w:r>
      <w:r w:rsidRPr="00D630D1">
        <w:t>，施工作业带共清理面积</w:t>
      </w:r>
      <w:r w:rsidR="00583FE0" w:rsidRPr="00D630D1">
        <w:t>约</w:t>
      </w:r>
      <w:r w:rsidR="007835BF">
        <w:rPr>
          <w:rFonts w:hint="eastAsia"/>
        </w:rPr>
        <w:t>31840</w:t>
      </w:r>
      <w:r w:rsidRPr="00D630D1">
        <w:t>m</w:t>
      </w:r>
      <w:r w:rsidRPr="00D630D1">
        <w:rPr>
          <w:vertAlign w:val="superscript"/>
        </w:rPr>
        <w:t>2</w:t>
      </w:r>
      <w:r w:rsidRPr="00D630D1">
        <w:t>。在管道通过经济作物区等特殊地带，尽量采取沟下组焊等占地宽度较小的施工作业方式，减少施工作业带宽度。在施工作业带范围内，对于影响施工机具通行或施工作业的石块、杂草、树木应清理干净，沟、坎应予以平整。有积水的</w:t>
      </w:r>
      <w:r w:rsidR="003E2A7C" w:rsidRPr="00D630D1">
        <w:rPr>
          <w:rFonts w:hint="eastAsia"/>
        </w:rPr>
        <w:t>地势</w:t>
      </w:r>
      <w:r w:rsidRPr="00D630D1">
        <w:t>低洼地段应排水，施工作业带清理时，应注意对土地的保护，减少或防止产生水土流失。清理和平整施工作业带时，应注意保护标志桩，如果破坏应立即恢复。在耕地开挖管沟时，应严格将表层耕作土和底层生土分层堆放。</w:t>
      </w:r>
    </w:p>
    <w:p w:rsidR="00717AC7" w:rsidRPr="00D630D1" w:rsidRDefault="00583FE0" w:rsidP="00583FE0">
      <w:pPr>
        <w:pStyle w:val="afa"/>
        <w:ind w:firstLine="480"/>
      </w:pPr>
      <w:r w:rsidRPr="00D630D1">
        <w:lastRenderedPageBreak/>
        <w:t>（</w:t>
      </w:r>
      <w:r w:rsidRPr="00D630D1">
        <w:t>2</w:t>
      </w:r>
      <w:r w:rsidRPr="00D630D1">
        <w:t>）管沟开挖</w:t>
      </w:r>
    </w:p>
    <w:p w:rsidR="00583FE0" w:rsidRPr="00D630D1" w:rsidRDefault="00583FE0" w:rsidP="00583FE0">
      <w:pPr>
        <w:pStyle w:val="afa"/>
        <w:ind w:firstLine="480"/>
      </w:pPr>
      <w:r w:rsidRPr="00D630D1">
        <w:t>管沟开挖的方式有人工开挖和机械开挖，必要时还可采用爆破开挖。</w:t>
      </w:r>
    </w:p>
    <w:p w:rsidR="00583FE0" w:rsidRPr="00D630D1" w:rsidRDefault="00583FE0" w:rsidP="00583FE0">
      <w:pPr>
        <w:pStyle w:val="afa"/>
        <w:ind w:firstLine="480"/>
      </w:pPr>
      <w:r w:rsidRPr="00D630D1">
        <w:t>一般地段管沟开挖时，管顶覆土深度要求不小于</w:t>
      </w:r>
      <w:r w:rsidRPr="00D630D1">
        <w:t>1.0m</w:t>
      </w:r>
      <w:r w:rsidRPr="00D630D1">
        <w:t>，管道通过岩石层、卵砾石地段时，管沟应超挖</w:t>
      </w:r>
      <w:r w:rsidRPr="00D630D1">
        <w:t>0.2m</w:t>
      </w:r>
      <w:r w:rsidRPr="00D630D1">
        <w:t>，并用细土或砂浆深挖部分垫平后方可下管。管沟回填时，应先用细土回填至管顶以上</w:t>
      </w:r>
      <w:r w:rsidRPr="00D630D1">
        <w:t>0.3m</w:t>
      </w:r>
      <w:r w:rsidRPr="00D630D1">
        <w:t>，方可用土、砂或粒径小于</w:t>
      </w:r>
      <w:r w:rsidRPr="00D630D1">
        <w:t>100mm</w:t>
      </w:r>
      <w:r w:rsidRPr="00D630D1">
        <w:t>的碎石回填压实。管沟回填土应高出地面</w:t>
      </w:r>
      <w:r w:rsidRPr="00D630D1">
        <w:t>0.3m</w:t>
      </w:r>
      <w:r w:rsidRPr="00D630D1">
        <w:t>。在经过一些河流、沟渠、陡坡、陡坎时，为满足管道的弹性敷设要求及管道的轴向稳定性，局部地段应适当挖深，管沟宽度适当放大。</w:t>
      </w:r>
    </w:p>
    <w:p w:rsidR="00717AC7" w:rsidRPr="00D630D1" w:rsidRDefault="00583FE0" w:rsidP="00717AC7">
      <w:pPr>
        <w:pStyle w:val="afa"/>
        <w:ind w:firstLine="480"/>
      </w:pPr>
      <w:r w:rsidRPr="00D630D1">
        <w:t>（</w:t>
      </w:r>
      <w:r w:rsidRPr="00D630D1">
        <w:t>3</w:t>
      </w:r>
      <w:r w:rsidRPr="00D630D1">
        <w:t>）管沟边坡</w:t>
      </w:r>
    </w:p>
    <w:p w:rsidR="00583FE0" w:rsidRPr="00D630D1" w:rsidRDefault="00583FE0" w:rsidP="00583FE0">
      <w:pPr>
        <w:pStyle w:val="afa"/>
        <w:ind w:firstLine="480"/>
      </w:pPr>
      <w:r w:rsidRPr="00D630D1">
        <w:t>根据线路的特点，一般地段管沟边坡坡度执行以下规定：</w:t>
      </w:r>
    </w:p>
    <w:p w:rsidR="00583FE0" w:rsidRPr="00D630D1" w:rsidRDefault="00583FE0" w:rsidP="00583FE0">
      <w:pPr>
        <w:pStyle w:val="10"/>
        <w:rPr>
          <w:rFonts w:cs="Times New Roman"/>
        </w:rPr>
      </w:pPr>
      <w:r w:rsidRPr="00D630D1">
        <w:rPr>
          <w:rFonts w:cs="Times New Roman"/>
        </w:rPr>
        <w:t>表</w:t>
      </w:r>
      <w:r w:rsidRPr="00D630D1">
        <w:rPr>
          <w:rFonts w:cs="Times New Roman"/>
        </w:rPr>
        <w:t xml:space="preserve">4.1-1  </w:t>
      </w:r>
      <w:r w:rsidRPr="00D630D1">
        <w:rPr>
          <w:rFonts w:cs="Times New Roman"/>
        </w:rPr>
        <w:t>深度在</w:t>
      </w:r>
      <w:r w:rsidRPr="00D630D1">
        <w:rPr>
          <w:rFonts w:cs="Times New Roman"/>
        </w:rPr>
        <w:t>5m</w:t>
      </w:r>
      <w:r w:rsidRPr="00D630D1">
        <w:rPr>
          <w:rFonts w:cs="Times New Roman"/>
        </w:rPr>
        <w:t>以内管沟最陡边坡坡度</w:t>
      </w:r>
    </w:p>
    <w:tbl>
      <w:tblPr>
        <w:tblW w:w="8998" w:type="dxa"/>
        <w:jc w:val="center"/>
        <w:tblBorders>
          <w:top w:val="single" w:sz="12" w:space="0" w:color="auto"/>
          <w:bottom w:val="single" w:sz="12" w:space="0" w:color="auto"/>
          <w:insideH w:val="single" w:sz="4" w:space="0" w:color="auto"/>
          <w:insideV w:val="single" w:sz="4" w:space="0" w:color="auto"/>
        </w:tblBorders>
        <w:tblLook w:val="01E0"/>
      </w:tblPr>
      <w:tblGrid>
        <w:gridCol w:w="3096"/>
        <w:gridCol w:w="1793"/>
        <w:gridCol w:w="2054"/>
        <w:gridCol w:w="2055"/>
      </w:tblGrid>
      <w:tr w:rsidR="00583FE0" w:rsidRPr="00D630D1" w:rsidTr="00B85CB8">
        <w:trPr>
          <w:cantSplit/>
          <w:trHeight w:val="272"/>
          <w:jc w:val="center"/>
        </w:trPr>
        <w:tc>
          <w:tcPr>
            <w:tcW w:w="3096" w:type="dxa"/>
            <w:vMerge w:val="restart"/>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b/>
                <w:bCs/>
                <w:sz w:val="21"/>
                <w:szCs w:val="18"/>
              </w:rPr>
            </w:pPr>
            <w:r w:rsidRPr="00D630D1">
              <w:rPr>
                <w:rFonts w:ascii="Times New Roman" w:cs="Times New Roman"/>
                <w:b/>
                <w:bCs/>
                <w:sz w:val="21"/>
                <w:szCs w:val="18"/>
              </w:rPr>
              <w:t>土壤类别</w:t>
            </w:r>
          </w:p>
        </w:tc>
        <w:tc>
          <w:tcPr>
            <w:tcW w:w="5902" w:type="dxa"/>
            <w:gridSpan w:val="3"/>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b/>
                <w:bCs/>
                <w:sz w:val="21"/>
                <w:szCs w:val="18"/>
              </w:rPr>
            </w:pPr>
            <w:r w:rsidRPr="00D630D1">
              <w:rPr>
                <w:rFonts w:ascii="Times New Roman" w:cs="Times New Roman"/>
                <w:b/>
                <w:bCs/>
                <w:sz w:val="21"/>
                <w:szCs w:val="18"/>
              </w:rPr>
              <w:t>最陡边坡坡度</w:t>
            </w:r>
          </w:p>
        </w:tc>
      </w:tr>
      <w:tr w:rsidR="00583FE0" w:rsidRPr="00D630D1" w:rsidTr="00B85CB8">
        <w:trPr>
          <w:cantSplit/>
          <w:trHeight w:val="272"/>
          <w:jc w:val="center"/>
        </w:trPr>
        <w:tc>
          <w:tcPr>
            <w:tcW w:w="3096" w:type="dxa"/>
            <w:vMerge/>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b/>
                <w:bCs/>
                <w:sz w:val="21"/>
                <w:szCs w:val="18"/>
              </w:rPr>
            </w:pPr>
          </w:p>
        </w:tc>
        <w:tc>
          <w:tcPr>
            <w:tcW w:w="1793"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b/>
                <w:bCs/>
                <w:sz w:val="21"/>
                <w:szCs w:val="18"/>
              </w:rPr>
            </w:pPr>
            <w:r w:rsidRPr="00D630D1">
              <w:rPr>
                <w:rFonts w:ascii="Times New Roman" w:cs="Times New Roman"/>
                <w:b/>
                <w:bCs/>
                <w:sz w:val="21"/>
                <w:szCs w:val="18"/>
              </w:rPr>
              <w:t>坡顶无载荷</w:t>
            </w:r>
          </w:p>
        </w:tc>
        <w:tc>
          <w:tcPr>
            <w:tcW w:w="2054"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b/>
                <w:bCs/>
                <w:sz w:val="21"/>
                <w:szCs w:val="18"/>
              </w:rPr>
            </w:pPr>
            <w:r w:rsidRPr="00D630D1">
              <w:rPr>
                <w:rFonts w:ascii="Times New Roman" w:cs="Times New Roman"/>
                <w:b/>
                <w:bCs/>
                <w:sz w:val="21"/>
                <w:szCs w:val="18"/>
              </w:rPr>
              <w:t>坡顶有静载荷</w:t>
            </w:r>
          </w:p>
        </w:tc>
        <w:tc>
          <w:tcPr>
            <w:tcW w:w="2055"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b/>
                <w:bCs/>
                <w:sz w:val="21"/>
                <w:szCs w:val="18"/>
              </w:rPr>
            </w:pPr>
            <w:r w:rsidRPr="00D630D1">
              <w:rPr>
                <w:rFonts w:ascii="Times New Roman" w:cs="Times New Roman"/>
                <w:b/>
                <w:bCs/>
                <w:sz w:val="21"/>
                <w:szCs w:val="18"/>
              </w:rPr>
              <w:t>坡顶有动载荷</w:t>
            </w:r>
          </w:p>
        </w:tc>
      </w:tr>
      <w:tr w:rsidR="00583FE0" w:rsidRPr="00D630D1" w:rsidTr="00B85CB8">
        <w:trPr>
          <w:cantSplit/>
          <w:trHeight w:val="272"/>
          <w:jc w:val="center"/>
        </w:trPr>
        <w:tc>
          <w:tcPr>
            <w:tcW w:w="3096"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中密的沙土</w:t>
            </w:r>
          </w:p>
        </w:tc>
        <w:tc>
          <w:tcPr>
            <w:tcW w:w="1793"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1.00</w:t>
            </w:r>
          </w:p>
        </w:tc>
        <w:tc>
          <w:tcPr>
            <w:tcW w:w="2054"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1.25</w:t>
            </w:r>
          </w:p>
        </w:tc>
        <w:tc>
          <w:tcPr>
            <w:tcW w:w="2055"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1.5</w:t>
            </w:r>
          </w:p>
        </w:tc>
      </w:tr>
      <w:tr w:rsidR="00583FE0" w:rsidRPr="00D630D1" w:rsidTr="00B85CB8">
        <w:trPr>
          <w:cantSplit/>
          <w:trHeight w:val="272"/>
          <w:jc w:val="center"/>
        </w:trPr>
        <w:tc>
          <w:tcPr>
            <w:tcW w:w="3096"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中密的碎石类土</w:t>
            </w:r>
          </w:p>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（充填物为沙土）</w:t>
            </w:r>
          </w:p>
        </w:tc>
        <w:tc>
          <w:tcPr>
            <w:tcW w:w="1793"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0.75</w:t>
            </w:r>
          </w:p>
        </w:tc>
        <w:tc>
          <w:tcPr>
            <w:tcW w:w="2054"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1.00</w:t>
            </w:r>
          </w:p>
        </w:tc>
        <w:tc>
          <w:tcPr>
            <w:tcW w:w="2055"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1.25</w:t>
            </w:r>
          </w:p>
        </w:tc>
      </w:tr>
      <w:tr w:rsidR="00583FE0" w:rsidRPr="00D630D1" w:rsidTr="00B85CB8">
        <w:trPr>
          <w:cantSplit/>
          <w:trHeight w:val="272"/>
          <w:jc w:val="center"/>
        </w:trPr>
        <w:tc>
          <w:tcPr>
            <w:tcW w:w="3096"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硬塑的粉土</w:t>
            </w:r>
          </w:p>
        </w:tc>
        <w:tc>
          <w:tcPr>
            <w:tcW w:w="1793"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0.67</w:t>
            </w:r>
          </w:p>
        </w:tc>
        <w:tc>
          <w:tcPr>
            <w:tcW w:w="2054"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0.75</w:t>
            </w:r>
          </w:p>
        </w:tc>
        <w:tc>
          <w:tcPr>
            <w:tcW w:w="2055"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1.00</w:t>
            </w:r>
          </w:p>
        </w:tc>
      </w:tr>
      <w:tr w:rsidR="00583FE0" w:rsidRPr="00D630D1" w:rsidTr="00B85CB8">
        <w:trPr>
          <w:cantSplit/>
          <w:trHeight w:val="272"/>
          <w:jc w:val="center"/>
        </w:trPr>
        <w:tc>
          <w:tcPr>
            <w:tcW w:w="3096"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中密的碎石类土</w:t>
            </w:r>
          </w:p>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（充填物为粘性土）</w:t>
            </w:r>
          </w:p>
        </w:tc>
        <w:tc>
          <w:tcPr>
            <w:tcW w:w="1793"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0.5</w:t>
            </w:r>
          </w:p>
        </w:tc>
        <w:tc>
          <w:tcPr>
            <w:tcW w:w="2054"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0.67</w:t>
            </w:r>
          </w:p>
        </w:tc>
        <w:tc>
          <w:tcPr>
            <w:tcW w:w="2055"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0.75</w:t>
            </w:r>
          </w:p>
        </w:tc>
      </w:tr>
      <w:tr w:rsidR="00583FE0" w:rsidRPr="00D630D1" w:rsidTr="00B85CB8">
        <w:trPr>
          <w:cantSplit/>
          <w:trHeight w:val="272"/>
          <w:jc w:val="center"/>
        </w:trPr>
        <w:tc>
          <w:tcPr>
            <w:tcW w:w="3096"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硬塑的粉质粘土、粘土</w:t>
            </w:r>
          </w:p>
        </w:tc>
        <w:tc>
          <w:tcPr>
            <w:tcW w:w="1793"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0.33</w:t>
            </w:r>
          </w:p>
        </w:tc>
        <w:tc>
          <w:tcPr>
            <w:tcW w:w="2054"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0.50</w:t>
            </w:r>
          </w:p>
        </w:tc>
        <w:tc>
          <w:tcPr>
            <w:tcW w:w="2055"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0.67</w:t>
            </w:r>
          </w:p>
        </w:tc>
      </w:tr>
      <w:tr w:rsidR="00583FE0" w:rsidRPr="00D630D1" w:rsidTr="00B85CB8">
        <w:trPr>
          <w:cantSplit/>
          <w:trHeight w:val="272"/>
          <w:jc w:val="center"/>
        </w:trPr>
        <w:tc>
          <w:tcPr>
            <w:tcW w:w="3096"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老黄土</w:t>
            </w:r>
          </w:p>
        </w:tc>
        <w:tc>
          <w:tcPr>
            <w:tcW w:w="1793"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0.10</w:t>
            </w:r>
          </w:p>
        </w:tc>
        <w:tc>
          <w:tcPr>
            <w:tcW w:w="2054"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0.25</w:t>
            </w:r>
          </w:p>
        </w:tc>
        <w:tc>
          <w:tcPr>
            <w:tcW w:w="2055"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0.33</w:t>
            </w:r>
          </w:p>
        </w:tc>
      </w:tr>
      <w:tr w:rsidR="00583FE0" w:rsidRPr="00D630D1" w:rsidTr="00B85CB8">
        <w:trPr>
          <w:cantSplit/>
          <w:trHeight w:val="272"/>
          <w:jc w:val="center"/>
        </w:trPr>
        <w:tc>
          <w:tcPr>
            <w:tcW w:w="3096"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软土（经井点降水）</w:t>
            </w:r>
          </w:p>
        </w:tc>
        <w:tc>
          <w:tcPr>
            <w:tcW w:w="1793"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1.00</w:t>
            </w:r>
          </w:p>
        </w:tc>
        <w:tc>
          <w:tcPr>
            <w:tcW w:w="2054"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w:t>
            </w:r>
          </w:p>
        </w:tc>
        <w:tc>
          <w:tcPr>
            <w:tcW w:w="2055"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w:t>
            </w:r>
          </w:p>
        </w:tc>
      </w:tr>
      <w:tr w:rsidR="00583FE0" w:rsidRPr="00D630D1" w:rsidTr="00B85CB8">
        <w:trPr>
          <w:cantSplit/>
          <w:trHeight w:val="272"/>
          <w:jc w:val="center"/>
        </w:trPr>
        <w:tc>
          <w:tcPr>
            <w:tcW w:w="3096"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硬质岩</w:t>
            </w:r>
          </w:p>
        </w:tc>
        <w:tc>
          <w:tcPr>
            <w:tcW w:w="1793"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w:t>
            </w:r>
          </w:p>
        </w:tc>
        <w:tc>
          <w:tcPr>
            <w:tcW w:w="2054"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w:t>
            </w:r>
          </w:p>
        </w:tc>
        <w:tc>
          <w:tcPr>
            <w:tcW w:w="2055" w:type="dxa"/>
            <w:vAlign w:val="center"/>
          </w:tcPr>
          <w:p w:rsidR="00583FE0" w:rsidRPr="00D630D1" w:rsidRDefault="00583FE0" w:rsidP="00583FE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w:t>
            </w:r>
            <w:r w:rsidRPr="00D630D1">
              <w:rPr>
                <w:rFonts w:ascii="Times New Roman" w:cs="Times New Roman"/>
                <w:sz w:val="21"/>
                <w:szCs w:val="18"/>
              </w:rPr>
              <w:t>：</w:t>
            </w:r>
            <w:r w:rsidRPr="00D630D1">
              <w:rPr>
                <w:rFonts w:ascii="Times New Roman" w:cs="Times New Roman"/>
                <w:sz w:val="21"/>
                <w:szCs w:val="18"/>
              </w:rPr>
              <w:t>0</w:t>
            </w:r>
          </w:p>
        </w:tc>
      </w:tr>
    </w:tbl>
    <w:p w:rsidR="00583FE0" w:rsidRPr="00D630D1" w:rsidRDefault="00583FE0" w:rsidP="00583FE0">
      <w:pPr>
        <w:pStyle w:val="afa"/>
        <w:ind w:firstLine="480"/>
      </w:pPr>
      <w:r w:rsidRPr="00D630D1">
        <w:t>特殊地段、管沟挖深超过</w:t>
      </w:r>
      <w:r w:rsidRPr="00D630D1">
        <w:t>5m</w:t>
      </w:r>
      <w:r w:rsidRPr="00D630D1">
        <w:t>时，可根据实际</w:t>
      </w:r>
      <w:r w:rsidR="002055B5" w:rsidRPr="00D630D1">
        <w:t>情</w:t>
      </w:r>
      <w:r w:rsidRPr="00D630D1">
        <w:t>况，采取边坡适当放缓，加支撑或采取阶梯式开挖措施。</w:t>
      </w:r>
    </w:p>
    <w:p w:rsidR="00717AC7" w:rsidRPr="00D630D1" w:rsidRDefault="00AA0920" w:rsidP="00717AC7">
      <w:pPr>
        <w:pStyle w:val="afa"/>
        <w:ind w:firstLine="480"/>
      </w:pPr>
      <w:r w:rsidRPr="00D630D1">
        <w:t>（</w:t>
      </w:r>
      <w:r w:rsidRPr="00D630D1">
        <w:t>4</w:t>
      </w:r>
      <w:r w:rsidRPr="00D630D1">
        <w:t>）管沟底宽</w:t>
      </w:r>
    </w:p>
    <w:p w:rsidR="00AA0920" w:rsidRPr="00D630D1" w:rsidRDefault="00AA0920" w:rsidP="00AA0920">
      <w:pPr>
        <w:pStyle w:val="afa"/>
        <w:ind w:firstLine="480"/>
      </w:pPr>
      <w:r w:rsidRPr="00D630D1">
        <w:t>当管沟深度小于或等于</w:t>
      </w:r>
      <w:r w:rsidRPr="00D630D1">
        <w:t>3m</w:t>
      </w:r>
      <w:r w:rsidRPr="00D630D1">
        <w:t>时，沟底宽度应按下式计算：</w:t>
      </w:r>
    </w:p>
    <w:p w:rsidR="00AA0920" w:rsidRPr="00D630D1" w:rsidRDefault="00AA0920" w:rsidP="00AA0920">
      <w:pPr>
        <w:pStyle w:val="afa"/>
        <w:ind w:firstLineChars="0" w:firstLine="0"/>
        <w:jc w:val="center"/>
        <w:rPr>
          <w:bCs/>
        </w:rPr>
      </w:pPr>
      <w:r w:rsidRPr="00D630D1">
        <w:rPr>
          <w:bCs/>
        </w:rPr>
        <w:t>B</w:t>
      </w:r>
      <w:r w:rsidRPr="00D630D1">
        <w:rPr>
          <w:bCs/>
        </w:rPr>
        <w:t>＝</w:t>
      </w:r>
      <w:r w:rsidRPr="00D630D1">
        <w:rPr>
          <w:bCs/>
        </w:rPr>
        <w:t>D</w:t>
      </w:r>
      <w:r w:rsidRPr="00D630D1">
        <w:rPr>
          <w:bCs/>
        </w:rPr>
        <w:t>＋</w:t>
      </w:r>
      <w:r w:rsidRPr="00D630D1">
        <w:rPr>
          <w:bCs/>
        </w:rPr>
        <w:t>K</w:t>
      </w:r>
    </w:p>
    <w:p w:rsidR="00AA0920" w:rsidRPr="00D630D1" w:rsidRDefault="00AA0920" w:rsidP="00AA0920">
      <w:pPr>
        <w:pStyle w:val="afa"/>
        <w:ind w:firstLine="480"/>
        <w:rPr>
          <w:bCs/>
        </w:rPr>
      </w:pPr>
      <w:r w:rsidRPr="00D630D1">
        <w:rPr>
          <w:bCs/>
        </w:rPr>
        <w:t>式中：</w:t>
      </w:r>
    </w:p>
    <w:p w:rsidR="00AA0920" w:rsidRPr="00D630D1" w:rsidRDefault="00AA0920" w:rsidP="00AA0920">
      <w:pPr>
        <w:pStyle w:val="afa"/>
        <w:ind w:firstLine="480"/>
        <w:rPr>
          <w:bCs/>
        </w:rPr>
      </w:pPr>
      <w:r w:rsidRPr="00D630D1">
        <w:rPr>
          <w:bCs/>
        </w:rPr>
        <w:t>B—</w:t>
      </w:r>
      <w:r w:rsidRPr="00D630D1">
        <w:rPr>
          <w:bCs/>
        </w:rPr>
        <w:t>沟底宽度（</w:t>
      </w:r>
      <w:r w:rsidRPr="00D630D1">
        <w:rPr>
          <w:bCs/>
        </w:rPr>
        <w:t>m</w:t>
      </w:r>
      <w:r w:rsidRPr="00D630D1">
        <w:rPr>
          <w:bCs/>
        </w:rPr>
        <w:t>）；</w:t>
      </w:r>
    </w:p>
    <w:p w:rsidR="00AA0920" w:rsidRPr="00D630D1" w:rsidRDefault="00AA0920" w:rsidP="00AA0920">
      <w:pPr>
        <w:pStyle w:val="afa"/>
        <w:ind w:firstLine="480"/>
        <w:rPr>
          <w:bCs/>
        </w:rPr>
      </w:pPr>
      <w:r w:rsidRPr="00D630D1">
        <w:rPr>
          <w:bCs/>
        </w:rPr>
        <w:t>D—</w:t>
      </w:r>
      <w:r w:rsidRPr="00D630D1">
        <w:rPr>
          <w:bCs/>
        </w:rPr>
        <w:t>钢管的结构外径（包括防腐、保温层的厚度）（</w:t>
      </w:r>
      <w:r w:rsidRPr="00D630D1">
        <w:rPr>
          <w:bCs/>
        </w:rPr>
        <w:t>m</w:t>
      </w:r>
      <w:r w:rsidRPr="00D630D1">
        <w:rPr>
          <w:bCs/>
        </w:rPr>
        <w:t>）；</w:t>
      </w:r>
    </w:p>
    <w:p w:rsidR="00AA0920" w:rsidRPr="00D630D1" w:rsidRDefault="00AA0920" w:rsidP="00AA0920">
      <w:pPr>
        <w:pStyle w:val="afa"/>
        <w:ind w:firstLine="480"/>
        <w:rPr>
          <w:bCs/>
        </w:rPr>
      </w:pPr>
      <w:r w:rsidRPr="00D630D1">
        <w:rPr>
          <w:bCs/>
        </w:rPr>
        <w:t>K—</w:t>
      </w:r>
      <w:r w:rsidRPr="00D630D1">
        <w:rPr>
          <w:bCs/>
        </w:rPr>
        <w:t>沟底加宽裕量（</w:t>
      </w:r>
      <w:r w:rsidRPr="00D630D1">
        <w:rPr>
          <w:bCs/>
        </w:rPr>
        <w:t>m</w:t>
      </w:r>
      <w:r w:rsidRPr="00D630D1">
        <w:rPr>
          <w:bCs/>
        </w:rPr>
        <w:t>）。按表</w:t>
      </w:r>
      <w:r w:rsidRPr="00D630D1">
        <w:rPr>
          <w:bCs/>
        </w:rPr>
        <w:t>4.1-2</w:t>
      </w:r>
      <w:r w:rsidRPr="00D630D1">
        <w:rPr>
          <w:bCs/>
        </w:rPr>
        <w:t>取值。</w:t>
      </w:r>
    </w:p>
    <w:p w:rsidR="00AA0920" w:rsidRPr="00D630D1" w:rsidRDefault="00AA0920" w:rsidP="00AA0920">
      <w:pPr>
        <w:pStyle w:val="10"/>
        <w:rPr>
          <w:rFonts w:cs="Times New Roman"/>
        </w:rPr>
      </w:pPr>
      <w:r w:rsidRPr="00D630D1">
        <w:rPr>
          <w:rFonts w:cs="Times New Roman"/>
        </w:rPr>
        <w:t>表</w:t>
      </w:r>
      <w:r w:rsidRPr="00D630D1">
        <w:rPr>
          <w:rFonts w:cs="Times New Roman"/>
        </w:rPr>
        <w:t xml:space="preserve">4.1-2  </w:t>
      </w:r>
      <w:r w:rsidRPr="00D630D1">
        <w:rPr>
          <w:rFonts w:cs="Times New Roman"/>
        </w:rPr>
        <w:t>沟底加宽裕量</w:t>
      </w:r>
      <w:r w:rsidRPr="00D630D1">
        <w:rPr>
          <w:rFonts w:cs="Times New Roman"/>
        </w:rPr>
        <w:t>K</w:t>
      </w:r>
      <w:r w:rsidRPr="00D630D1">
        <w:rPr>
          <w:rFonts w:cs="Times New Roman"/>
        </w:rPr>
        <w:t>值</w:t>
      </w:r>
      <w:r w:rsidRPr="00D630D1">
        <w:rPr>
          <w:rFonts w:cs="Times New Roman"/>
        </w:rPr>
        <w:t xml:space="preserve"> (m)</w:t>
      </w:r>
    </w:p>
    <w:tbl>
      <w:tblPr>
        <w:tblW w:w="8824" w:type="dxa"/>
        <w:jc w:val="center"/>
        <w:tblBorders>
          <w:top w:val="single" w:sz="12" w:space="0" w:color="auto"/>
          <w:bottom w:val="single" w:sz="12" w:space="0" w:color="auto"/>
          <w:insideH w:val="single" w:sz="4" w:space="0" w:color="auto"/>
          <w:insideV w:val="single" w:sz="4" w:space="0" w:color="auto"/>
        </w:tblBorders>
        <w:tblLook w:val="0000"/>
      </w:tblPr>
      <w:tblGrid>
        <w:gridCol w:w="2509"/>
        <w:gridCol w:w="1642"/>
        <w:gridCol w:w="2747"/>
        <w:gridCol w:w="1926"/>
      </w:tblGrid>
      <w:tr w:rsidR="00AA0920" w:rsidRPr="00D630D1" w:rsidTr="00B85CB8">
        <w:trPr>
          <w:cantSplit/>
          <w:trHeight w:val="275"/>
          <w:jc w:val="center"/>
        </w:trPr>
        <w:tc>
          <w:tcPr>
            <w:tcW w:w="2509" w:type="dxa"/>
            <w:vAlign w:val="center"/>
          </w:tcPr>
          <w:p w:rsidR="00AA0920" w:rsidRPr="00D630D1" w:rsidRDefault="00AA0920" w:rsidP="00AA0920">
            <w:pPr>
              <w:tabs>
                <w:tab w:val="left" w:pos="1500"/>
              </w:tabs>
              <w:snapToGrid w:val="0"/>
              <w:spacing w:line="240" w:lineRule="auto"/>
              <w:ind w:firstLineChars="0" w:firstLine="0"/>
              <w:jc w:val="center"/>
              <w:rPr>
                <w:rFonts w:ascii="Times New Roman" w:cs="Times New Roman"/>
                <w:b/>
                <w:bCs/>
                <w:sz w:val="21"/>
                <w:szCs w:val="18"/>
              </w:rPr>
            </w:pPr>
            <w:r w:rsidRPr="00D630D1">
              <w:rPr>
                <w:rFonts w:ascii="Times New Roman" w:cs="Times New Roman"/>
                <w:b/>
                <w:bCs/>
                <w:sz w:val="21"/>
                <w:szCs w:val="18"/>
              </w:rPr>
              <w:t>施工方法</w:t>
            </w:r>
          </w:p>
        </w:tc>
        <w:tc>
          <w:tcPr>
            <w:tcW w:w="6315" w:type="dxa"/>
            <w:gridSpan w:val="3"/>
            <w:vAlign w:val="center"/>
          </w:tcPr>
          <w:p w:rsidR="00AA0920" w:rsidRPr="00D630D1" w:rsidRDefault="00AA0920" w:rsidP="00AA0920">
            <w:pPr>
              <w:tabs>
                <w:tab w:val="left" w:pos="1500"/>
              </w:tabs>
              <w:snapToGrid w:val="0"/>
              <w:spacing w:line="240" w:lineRule="auto"/>
              <w:ind w:firstLineChars="0" w:firstLine="0"/>
              <w:jc w:val="center"/>
              <w:rPr>
                <w:rFonts w:ascii="Times New Roman" w:cs="Times New Roman"/>
                <w:b/>
                <w:bCs/>
                <w:sz w:val="21"/>
                <w:szCs w:val="18"/>
              </w:rPr>
            </w:pPr>
            <w:r w:rsidRPr="00D630D1">
              <w:rPr>
                <w:rFonts w:ascii="Times New Roman" w:cs="Times New Roman"/>
                <w:b/>
                <w:bCs/>
                <w:sz w:val="21"/>
                <w:szCs w:val="18"/>
              </w:rPr>
              <w:t>沟下组装焊接</w:t>
            </w:r>
          </w:p>
        </w:tc>
      </w:tr>
      <w:tr w:rsidR="00AA0920" w:rsidRPr="00D630D1" w:rsidTr="00B85CB8">
        <w:trPr>
          <w:cantSplit/>
          <w:trHeight w:val="275"/>
          <w:jc w:val="center"/>
        </w:trPr>
        <w:tc>
          <w:tcPr>
            <w:tcW w:w="2509" w:type="dxa"/>
            <w:vAlign w:val="center"/>
          </w:tcPr>
          <w:p w:rsidR="00AA0920" w:rsidRPr="00D630D1" w:rsidRDefault="00AA0920" w:rsidP="00AA092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地质条件</w:t>
            </w:r>
          </w:p>
        </w:tc>
        <w:tc>
          <w:tcPr>
            <w:tcW w:w="1642" w:type="dxa"/>
            <w:vAlign w:val="center"/>
          </w:tcPr>
          <w:p w:rsidR="00AA0920" w:rsidRPr="00D630D1" w:rsidRDefault="00AA0920" w:rsidP="00AA092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旱地</w:t>
            </w:r>
          </w:p>
        </w:tc>
        <w:tc>
          <w:tcPr>
            <w:tcW w:w="2747" w:type="dxa"/>
            <w:vAlign w:val="center"/>
          </w:tcPr>
          <w:p w:rsidR="00AA0920" w:rsidRPr="00D630D1" w:rsidRDefault="00AA0920" w:rsidP="00AA092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沟内有积水</w:t>
            </w:r>
          </w:p>
        </w:tc>
        <w:tc>
          <w:tcPr>
            <w:tcW w:w="1926" w:type="dxa"/>
            <w:vAlign w:val="center"/>
          </w:tcPr>
          <w:p w:rsidR="00AA0920" w:rsidRPr="00D630D1" w:rsidRDefault="00AA0920" w:rsidP="00AA092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岩石</w:t>
            </w:r>
          </w:p>
        </w:tc>
      </w:tr>
      <w:tr w:rsidR="00AA0920" w:rsidRPr="00D630D1" w:rsidTr="00B85CB8">
        <w:trPr>
          <w:cantSplit/>
          <w:trHeight w:val="275"/>
          <w:jc w:val="center"/>
        </w:trPr>
        <w:tc>
          <w:tcPr>
            <w:tcW w:w="2509" w:type="dxa"/>
            <w:vAlign w:val="center"/>
          </w:tcPr>
          <w:p w:rsidR="00AA0920" w:rsidRPr="00D630D1" w:rsidRDefault="00AA0920" w:rsidP="00AA092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lastRenderedPageBreak/>
              <w:t>B</w:t>
            </w:r>
            <w:r w:rsidRPr="00D630D1">
              <w:rPr>
                <w:rFonts w:ascii="Times New Roman" w:cs="Times New Roman"/>
                <w:sz w:val="21"/>
                <w:szCs w:val="18"/>
              </w:rPr>
              <w:t>（</w:t>
            </w:r>
            <w:r w:rsidRPr="00D630D1">
              <w:rPr>
                <w:rFonts w:ascii="Times New Roman" w:cs="Times New Roman"/>
                <w:sz w:val="21"/>
                <w:szCs w:val="18"/>
              </w:rPr>
              <w:t>m</w:t>
            </w:r>
            <w:r w:rsidRPr="00D630D1">
              <w:rPr>
                <w:rFonts w:ascii="Times New Roman" w:cs="Times New Roman"/>
                <w:sz w:val="21"/>
                <w:szCs w:val="18"/>
              </w:rPr>
              <w:t>）</w:t>
            </w:r>
          </w:p>
        </w:tc>
        <w:tc>
          <w:tcPr>
            <w:tcW w:w="1642" w:type="dxa"/>
            <w:vAlign w:val="center"/>
          </w:tcPr>
          <w:p w:rsidR="00AA0920" w:rsidRPr="00D630D1" w:rsidRDefault="00AA0920" w:rsidP="00AA092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0.8</w:t>
            </w:r>
          </w:p>
        </w:tc>
        <w:tc>
          <w:tcPr>
            <w:tcW w:w="2747" w:type="dxa"/>
            <w:vAlign w:val="center"/>
          </w:tcPr>
          <w:p w:rsidR="00AA0920" w:rsidRPr="00D630D1" w:rsidRDefault="00AA0920" w:rsidP="00AA092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1.0</w:t>
            </w:r>
          </w:p>
        </w:tc>
        <w:tc>
          <w:tcPr>
            <w:tcW w:w="1926" w:type="dxa"/>
            <w:vAlign w:val="center"/>
          </w:tcPr>
          <w:p w:rsidR="00AA0920" w:rsidRPr="00D630D1" w:rsidRDefault="00AA0920" w:rsidP="00AA0920">
            <w:pPr>
              <w:tabs>
                <w:tab w:val="left" w:pos="1500"/>
              </w:tabs>
              <w:snapToGrid w:val="0"/>
              <w:spacing w:line="240" w:lineRule="auto"/>
              <w:ind w:firstLineChars="0" w:firstLine="0"/>
              <w:jc w:val="center"/>
              <w:rPr>
                <w:rFonts w:ascii="Times New Roman" w:cs="Times New Roman"/>
                <w:sz w:val="21"/>
                <w:szCs w:val="18"/>
              </w:rPr>
            </w:pPr>
            <w:r w:rsidRPr="00D630D1">
              <w:rPr>
                <w:rFonts w:ascii="Times New Roman" w:cs="Times New Roman"/>
                <w:sz w:val="21"/>
                <w:szCs w:val="18"/>
              </w:rPr>
              <w:t>0.9</w:t>
            </w:r>
          </w:p>
        </w:tc>
      </w:tr>
    </w:tbl>
    <w:p w:rsidR="00AA0920" w:rsidRPr="00D630D1" w:rsidRDefault="00AA0920" w:rsidP="000A3853">
      <w:pPr>
        <w:pStyle w:val="afa"/>
        <w:ind w:firstLine="480"/>
      </w:pPr>
      <w:r w:rsidRPr="00D630D1">
        <w:t>当管沟深度大于</w:t>
      </w:r>
      <w:r w:rsidRPr="00D630D1">
        <w:t>3m</w:t>
      </w:r>
      <w:r w:rsidRPr="00D630D1">
        <w:t>而小于</w:t>
      </w:r>
      <w:r w:rsidRPr="00D630D1">
        <w:t>5m</w:t>
      </w:r>
      <w:r w:rsidRPr="00D630D1">
        <w:t>时，管沟沟底宽度应按上式计算值再加宽</w:t>
      </w:r>
      <w:r w:rsidRPr="00D630D1">
        <w:t>0.2m</w:t>
      </w:r>
      <w:r w:rsidRPr="00D630D1">
        <w:t>；当管沟深度超过</w:t>
      </w:r>
      <w:r w:rsidRPr="00D630D1">
        <w:t>5m</w:t>
      </w:r>
      <w:r w:rsidRPr="00D630D1">
        <w:t>时，管沟沟底宽度应根据工程地质情况酌情处理。</w:t>
      </w:r>
    </w:p>
    <w:p w:rsidR="00AA0920" w:rsidRPr="00D630D1" w:rsidRDefault="000A3853" w:rsidP="000A3853">
      <w:pPr>
        <w:pStyle w:val="afa"/>
        <w:ind w:firstLine="480"/>
      </w:pPr>
      <w:r w:rsidRPr="00D630D1">
        <w:t>（</w:t>
      </w:r>
      <w:r w:rsidRPr="00D630D1">
        <w:t>5</w:t>
      </w:r>
      <w:r w:rsidRPr="00D630D1">
        <w:t>）管沟回填</w:t>
      </w:r>
    </w:p>
    <w:p w:rsidR="000A3853" w:rsidRPr="00D630D1" w:rsidRDefault="000A3853" w:rsidP="000A3853">
      <w:pPr>
        <w:pStyle w:val="afa"/>
        <w:ind w:firstLine="480"/>
      </w:pPr>
      <w:r w:rsidRPr="00D630D1">
        <w:t>岩石、砾石区的管沟，应在沟底先铺设</w:t>
      </w:r>
      <w:r w:rsidRPr="00D630D1">
        <w:t>0.2m</w:t>
      </w:r>
      <w:r w:rsidRPr="00D630D1">
        <w:t>厚的细土或细砂垫层且平整后方可管线下沟，对于管沟坡度较大，散土无法固定，细土垫层必须全部用编织袋或草口袋装袋，由下而上堆码回填，在堆码时必须分层交叉；有空隙的地方，再用散土填充。回填岩石、砾石区的管沟时，</w:t>
      </w:r>
    </w:p>
    <w:p w:rsidR="00AA0920" w:rsidRPr="00D630D1" w:rsidRDefault="000A3853" w:rsidP="000A3853">
      <w:pPr>
        <w:pStyle w:val="afa"/>
        <w:ind w:firstLine="480"/>
      </w:pPr>
      <w:r w:rsidRPr="00D630D1">
        <w:t>必须用细土或砂（最大粒径不超过</w:t>
      </w:r>
      <w:r w:rsidRPr="00D630D1">
        <w:t>3mm</w:t>
      </w:r>
      <w:r w:rsidRPr="00D630D1">
        <w:t>）回填至管顶以上</w:t>
      </w:r>
      <w:r w:rsidRPr="00D630D1">
        <w:t>0.3m</w:t>
      </w:r>
      <w:r w:rsidRPr="00D630D1">
        <w:t>后，方可用原土，回填压实，其回填土的岩石和砾石块径不得超过</w:t>
      </w:r>
      <w:r w:rsidRPr="00D630D1">
        <w:t>100mm</w:t>
      </w:r>
      <w:r w:rsidRPr="00D630D1">
        <w:t>。管沟回填应留有沉降裕量，一般高出地面</w:t>
      </w:r>
      <w:r w:rsidRPr="00D630D1">
        <w:t>0.3m</w:t>
      </w:r>
      <w:r w:rsidRPr="00D630D1">
        <w:t>。管道出土端、弯头两侧非嵌固端及稳管墩处，回填土时应分层夯实。管沟回填后，应恢复原地貌，并保护耕植层，防止水土流失和积水。</w:t>
      </w:r>
    </w:p>
    <w:p w:rsidR="00117C3D" w:rsidRPr="00D630D1" w:rsidRDefault="00BA0CE9">
      <w:pPr>
        <w:pStyle w:val="a1"/>
        <w:ind w:firstLine="482"/>
        <w:rPr>
          <w:rStyle w:val="af0"/>
          <w:rFonts w:cs="Times New Roman"/>
        </w:rPr>
      </w:pPr>
      <w:bookmarkStart w:id="263" w:name="_Toc12288476"/>
      <w:r w:rsidRPr="00D630D1">
        <w:rPr>
          <w:rStyle w:val="af0"/>
          <w:rFonts w:cs="Times New Roman"/>
        </w:rPr>
        <w:t>2</w:t>
      </w:r>
      <w:r w:rsidR="008B5B84" w:rsidRPr="00D630D1">
        <w:rPr>
          <w:rStyle w:val="af0"/>
          <w:rFonts w:cs="Times New Roman"/>
        </w:rPr>
        <w:t>、</w:t>
      </w:r>
      <w:bookmarkEnd w:id="263"/>
      <w:r w:rsidR="002055B5" w:rsidRPr="00D630D1">
        <w:rPr>
          <w:rFonts w:ascii="Times New Roman" w:cs="Times New Roman"/>
          <w:b/>
          <w:bCs/>
        </w:rPr>
        <w:t>特殊地段敷设方式</w:t>
      </w:r>
    </w:p>
    <w:p w:rsidR="002055B5" w:rsidRPr="00D630D1" w:rsidRDefault="002055B5" w:rsidP="002055B5">
      <w:pPr>
        <w:pStyle w:val="afa"/>
        <w:ind w:firstLine="480"/>
      </w:pPr>
      <w:bookmarkStart w:id="264" w:name="_Toc12288477"/>
      <w:r w:rsidRPr="00D630D1">
        <w:t>（</w:t>
      </w:r>
      <w:r w:rsidRPr="00D630D1">
        <w:t>1</w:t>
      </w:r>
      <w:r w:rsidRPr="00D630D1">
        <w:t>）陡坡地段</w:t>
      </w:r>
    </w:p>
    <w:p w:rsidR="002055B5" w:rsidRPr="00D630D1" w:rsidRDefault="002055B5" w:rsidP="002055B5">
      <w:pPr>
        <w:pStyle w:val="afa"/>
        <w:ind w:firstLine="480"/>
      </w:pPr>
      <w:r w:rsidRPr="00D630D1">
        <w:t>为防止陡坡地段雨水冲刷管沟，设计在管沟内每隔适当距离设置截水墙，采用浆砌石砌筑，同时作好导水排水措施。</w:t>
      </w:r>
    </w:p>
    <w:p w:rsidR="002055B5" w:rsidRPr="00D630D1" w:rsidRDefault="002055B5" w:rsidP="002055B5">
      <w:pPr>
        <w:pStyle w:val="afa"/>
        <w:ind w:firstLine="480"/>
      </w:pPr>
      <w:r w:rsidRPr="00D630D1">
        <w:t>在侧坡敷设管道时，一般要先开辟一条作业带，然后在作业带靠近山坡一侧挖沟埋设管道，雨季施工时，要作好排水设施，以免冲毁管沟和施工作业带，同时还要注意坡体的稳定。</w:t>
      </w:r>
    </w:p>
    <w:p w:rsidR="002055B5" w:rsidRPr="00D630D1" w:rsidRDefault="002055B5" w:rsidP="002055B5">
      <w:pPr>
        <w:pStyle w:val="afa"/>
        <w:ind w:firstLine="480"/>
      </w:pPr>
      <w:r w:rsidRPr="00D630D1">
        <w:t>（</w:t>
      </w:r>
      <w:r w:rsidRPr="00D630D1">
        <w:t>2</w:t>
      </w:r>
      <w:r w:rsidRPr="00D630D1">
        <w:t>）冲涮严重地段</w:t>
      </w:r>
    </w:p>
    <w:p w:rsidR="002055B5" w:rsidRPr="00D630D1" w:rsidRDefault="002055B5" w:rsidP="002055B5">
      <w:pPr>
        <w:pStyle w:val="afa"/>
        <w:ind w:firstLine="480"/>
      </w:pPr>
      <w:r w:rsidRPr="00D630D1">
        <w:t>由于受地形限制，线路局部沿山间谷地河床埋设，河床分布有砂卵石、巨石、大漂石的，也有基岩裸露的，雨季时山间谷地河道内水流量大、流速快、冲涮严重，水害威胁管线的安全，为了防止管道周围水土流失，造成管道架空，对冲涮严重段管线应埋入最大冲刷深度之下或采用现浇细石砼的方式防护。</w:t>
      </w:r>
    </w:p>
    <w:p w:rsidR="00117C3D" w:rsidRPr="00D630D1" w:rsidRDefault="00886DA8">
      <w:pPr>
        <w:pStyle w:val="a1"/>
        <w:ind w:firstLine="480"/>
        <w:rPr>
          <w:rFonts w:ascii="Times New Roman" w:cs="Times New Roman"/>
        </w:rPr>
      </w:pPr>
      <w:bookmarkStart w:id="265" w:name="_Toc12288484"/>
      <w:bookmarkEnd w:id="264"/>
      <w:r w:rsidRPr="00D630D1">
        <w:rPr>
          <w:rFonts w:ascii="Times New Roman" w:cs="Times New Roman"/>
        </w:rPr>
        <w:t>（</w:t>
      </w:r>
      <w:r w:rsidRPr="00D630D1">
        <w:rPr>
          <w:rFonts w:ascii="Times New Roman" w:cs="Times New Roman"/>
        </w:rPr>
        <w:t>3</w:t>
      </w:r>
      <w:r w:rsidRPr="00D630D1">
        <w:rPr>
          <w:rFonts w:ascii="Times New Roman" w:cs="Times New Roman"/>
        </w:rPr>
        <w:t>）</w:t>
      </w:r>
      <w:r w:rsidR="008B5B84" w:rsidRPr="00D630D1">
        <w:rPr>
          <w:rFonts w:ascii="Times New Roman" w:cs="Times New Roman"/>
        </w:rPr>
        <w:t>农田、林带管道敷设</w:t>
      </w:r>
      <w:bookmarkEnd w:id="265"/>
    </w:p>
    <w:p w:rsidR="00117C3D" w:rsidRPr="00D630D1" w:rsidRDefault="008B5B84">
      <w:pPr>
        <w:pStyle w:val="a1"/>
        <w:ind w:firstLine="480"/>
        <w:rPr>
          <w:rFonts w:ascii="Times New Roman" w:cs="Times New Roman"/>
        </w:rPr>
      </w:pPr>
      <w:r w:rsidRPr="00D630D1">
        <w:rPr>
          <w:rFonts w:hAnsi="宋体" w:hint="eastAsia"/>
        </w:rPr>
        <w:t>①</w:t>
      </w:r>
      <w:r w:rsidRPr="00D630D1">
        <w:rPr>
          <w:rFonts w:ascii="Times New Roman" w:cs="Times New Roman"/>
        </w:rPr>
        <w:t xml:space="preserve"> </w:t>
      </w:r>
      <w:r w:rsidRPr="00D630D1">
        <w:rPr>
          <w:rFonts w:ascii="Times New Roman" w:cs="Times New Roman"/>
        </w:rPr>
        <w:t>严格控制作业带宽度，尽量减少对沿线植被的破坏。在能安全行走的情况下，尽量不砍伐林木，对遮挡视线的树木，应只砍去遮挡视线的枝桠，不应整棵树砍伐。</w:t>
      </w:r>
    </w:p>
    <w:p w:rsidR="00117C3D" w:rsidRPr="00D630D1" w:rsidRDefault="008B5B84">
      <w:pPr>
        <w:pStyle w:val="a1"/>
        <w:ind w:firstLine="480"/>
        <w:rPr>
          <w:rFonts w:ascii="Times New Roman" w:cs="Times New Roman"/>
        </w:rPr>
      </w:pPr>
      <w:r w:rsidRPr="00D630D1">
        <w:rPr>
          <w:rFonts w:hAnsi="宋体" w:hint="eastAsia"/>
        </w:rPr>
        <w:t>②</w:t>
      </w:r>
      <w:r w:rsidRPr="00D630D1">
        <w:rPr>
          <w:rFonts w:ascii="Times New Roman" w:cs="Times New Roman"/>
        </w:rPr>
        <w:t xml:space="preserve"> </w:t>
      </w:r>
      <w:r w:rsidRPr="00D630D1">
        <w:rPr>
          <w:rFonts w:ascii="Times New Roman" w:cs="Times New Roman"/>
        </w:rPr>
        <w:t>地面附着物清点完、征地赔偿完后，经当地政府林业管理同意后，才能</w:t>
      </w:r>
      <w:r w:rsidRPr="00D630D1">
        <w:rPr>
          <w:rFonts w:ascii="Times New Roman" w:cs="Times New Roman"/>
        </w:rPr>
        <w:lastRenderedPageBreak/>
        <w:t>进行施工进行作业带的清理平整。</w:t>
      </w:r>
    </w:p>
    <w:p w:rsidR="00117C3D" w:rsidRPr="00D630D1" w:rsidRDefault="008B5B84">
      <w:pPr>
        <w:pStyle w:val="a1"/>
        <w:ind w:firstLine="480"/>
        <w:rPr>
          <w:rFonts w:ascii="Times New Roman" w:cs="Times New Roman"/>
        </w:rPr>
      </w:pPr>
      <w:r w:rsidRPr="00D630D1">
        <w:rPr>
          <w:rFonts w:hAnsi="宋体" w:hint="eastAsia"/>
        </w:rPr>
        <w:t>③</w:t>
      </w:r>
      <w:r w:rsidRPr="00D630D1">
        <w:rPr>
          <w:rFonts w:ascii="Times New Roman" w:cs="Times New Roman"/>
        </w:rPr>
        <w:t xml:space="preserve"> </w:t>
      </w:r>
      <w:r w:rsidRPr="00D630D1">
        <w:rPr>
          <w:rFonts w:ascii="Times New Roman" w:cs="Times New Roman"/>
        </w:rPr>
        <w:t>原则上能移植的尽量移植，能不砍伐的尽量不去砍伐。</w:t>
      </w:r>
    </w:p>
    <w:p w:rsidR="00117C3D" w:rsidRPr="00D630D1" w:rsidRDefault="008B5B84">
      <w:pPr>
        <w:pStyle w:val="a1"/>
        <w:ind w:firstLine="480"/>
        <w:rPr>
          <w:rFonts w:ascii="Times New Roman" w:cs="Times New Roman"/>
        </w:rPr>
      </w:pPr>
      <w:r w:rsidRPr="00D630D1">
        <w:rPr>
          <w:rFonts w:hAnsi="宋体" w:hint="eastAsia"/>
        </w:rPr>
        <w:t>④</w:t>
      </w:r>
      <w:r w:rsidRPr="00D630D1">
        <w:rPr>
          <w:rFonts w:ascii="Times New Roman" w:cs="Times New Roman"/>
        </w:rPr>
        <w:t xml:space="preserve"> </w:t>
      </w:r>
      <w:r w:rsidRPr="00D630D1">
        <w:rPr>
          <w:rFonts w:ascii="Times New Roman" w:cs="Times New Roman"/>
        </w:rPr>
        <w:t>作业带清理平整过程，尽量不采用大型机械设备，对不影响履带设备行走的土坎、沟渠等尽量不动。</w:t>
      </w:r>
    </w:p>
    <w:p w:rsidR="00117C3D" w:rsidRPr="00D630D1" w:rsidRDefault="008B5B84">
      <w:pPr>
        <w:pStyle w:val="a1"/>
        <w:ind w:firstLine="480"/>
        <w:rPr>
          <w:rFonts w:ascii="Times New Roman" w:cs="Times New Roman"/>
        </w:rPr>
      </w:pPr>
      <w:r w:rsidRPr="00D630D1">
        <w:rPr>
          <w:rFonts w:hAnsi="宋体" w:hint="eastAsia"/>
        </w:rPr>
        <w:t>⑤</w:t>
      </w:r>
      <w:r w:rsidRPr="00D630D1">
        <w:rPr>
          <w:rFonts w:ascii="Times New Roman" w:cs="Times New Roman"/>
        </w:rPr>
        <w:t xml:space="preserve"> </w:t>
      </w:r>
      <w:r w:rsidRPr="00D630D1">
        <w:rPr>
          <w:rFonts w:ascii="Times New Roman" w:cs="Times New Roman"/>
        </w:rPr>
        <w:t>清理掉农作物、草根、树根及其他障碍物保证设备通过，在施工作业带边界设置防火隔离带，严禁任意砍伐作业带以外的树木。</w:t>
      </w:r>
    </w:p>
    <w:p w:rsidR="00117C3D" w:rsidRPr="00D630D1" w:rsidRDefault="008B5B84">
      <w:pPr>
        <w:pStyle w:val="a1"/>
        <w:ind w:firstLine="480"/>
        <w:rPr>
          <w:rFonts w:ascii="Times New Roman" w:cs="Times New Roman"/>
        </w:rPr>
      </w:pPr>
      <w:r w:rsidRPr="00D630D1">
        <w:rPr>
          <w:rFonts w:hAnsi="宋体" w:hint="eastAsia"/>
        </w:rPr>
        <w:t>⑥</w:t>
      </w:r>
      <w:r w:rsidRPr="00D630D1">
        <w:rPr>
          <w:rFonts w:ascii="Times New Roman" w:cs="Times New Roman"/>
        </w:rPr>
        <w:t xml:space="preserve"> </w:t>
      </w:r>
      <w:r w:rsidRPr="00D630D1">
        <w:rPr>
          <w:rFonts w:ascii="Times New Roman" w:cs="Times New Roman"/>
        </w:rPr>
        <w:t>清除掉的农作物、草丛、树枝等杂物及时清理出作业带，严禁在作业带内乱摆乱放。</w:t>
      </w:r>
    </w:p>
    <w:p w:rsidR="00117C3D" w:rsidRPr="00D630D1" w:rsidRDefault="008B5B84">
      <w:pPr>
        <w:pStyle w:val="a1"/>
        <w:ind w:firstLine="480"/>
        <w:rPr>
          <w:rFonts w:ascii="Times New Roman" w:cs="Times New Roman"/>
        </w:rPr>
      </w:pPr>
      <w:r w:rsidRPr="00D630D1">
        <w:rPr>
          <w:rFonts w:hAnsi="宋体" w:hint="eastAsia"/>
        </w:rPr>
        <w:t>⑦</w:t>
      </w:r>
      <w:r w:rsidRPr="00D630D1">
        <w:rPr>
          <w:rFonts w:ascii="Times New Roman" w:cs="Times New Roman"/>
        </w:rPr>
        <w:t xml:space="preserve"> </w:t>
      </w:r>
      <w:r w:rsidRPr="00D630D1">
        <w:rPr>
          <w:rFonts w:ascii="Times New Roman" w:cs="Times New Roman"/>
        </w:rPr>
        <w:t>农田施工尽量减少对农田防护林的损坏，必要时对林木进行移栽或假植。</w:t>
      </w:r>
    </w:p>
    <w:p w:rsidR="00117C3D" w:rsidRPr="00D630D1" w:rsidRDefault="008B5B84">
      <w:pPr>
        <w:pStyle w:val="a1"/>
        <w:ind w:firstLine="480"/>
        <w:rPr>
          <w:rFonts w:ascii="Times New Roman" w:cs="Times New Roman"/>
        </w:rPr>
      </w:pPr>
      <w:r w:rsidRPr="00D630D1">
        <w:rPr>
          <w:rFonts w:hAnsi="宋体" w:hint="eastAsia"/>
        </w:rPr>
        <w:t>⑧</w:t>
      </w:r>
      <w:r w:rsidRPr="00D630D1">
        <w:rPr>
          <w:rFonts w:ascii="Times New Roman" w:cs="Times New Roman"/>
        </w:rPr>
        <w:t xml:space="preserve"> </w:t>
      </w:r>
      <w:r w:rsidRPr="00D630D1">
        <w:rPr>
          <w:rFonts w:ascii="Times New Roman" w:cs="Times New Roman"/>
        </w:rPr>
        <w:t>作业带平整时，要对农田、苗圃、林带原有的水利设施修建临时疏通设施，保证原有水系畅通，避免对灌溉、泄洪及居民用水产生影响。</w:t>
      </w:r>
    </w:p>
    <w:p w:rsidR="00117C3D" w:rsidRPr="00D630D1" w:rsidRDefault="00886DA8">
      <w:pPr>
        <w:pStyle w:val="a1"/>
        <w:ind w:firstLine="480"/>
        <w:rPr>
          <w:rFonts w:ascii="Times New Roman" w:cs="Times New Roman"/>
        </w:rPr>
      </w:pPr>
      <w:bookmarkStart w:id="266" w:name="_Toc12288486"/>
      <w:r w:rsidRPr="00D630D1">
        <w:rPr>
          <w:rFonts w:ascii="Times New Roman" w:cs="Times New Roman"/>
        </w:rPr>
        <w:t>（</w:t>
      </w:r>
      <w:r w:rsidR="00C52020" w:rsidRPr="00D630D1">
        <w:rPr>
          <w:rFonts w:ascii="Times New Roman" w:cs="Times New Roman"/>
        </w:rPr>
        <w:t>4</w:t>
      </w:r>
      <w:r w:rsidRPr="00D630D1">
        <w:rPr>
          <w:rFonts w:ascii="Times New Roman" w:cs="Times New Roman"/>
        </w:rPr>
        <w:t>）</w:t>
      </w:r>
      <w:r w:rsidR="008B5B84" w:rsidRPr="00D630D1">
        <w:rPr>
          <w:rFonts w:ascii="Times New Roman" w:cs="Times New Roman"/>
        </w:rPr>
        <w:t>山区段</w:t>
      </w:r>
    </w:p>
    <w:p w:rsidR="00117C3D" w:rsidRPr="00D630D1" w:rsidRDefault="008B5B84">
      <w:pPr>
        <w:pStyle w:val="a1"/>
        <w:ind w:firstLine="480"/>
        <w:rPr>
          <w:rFonts w:ascii="Times New Roman" w:cs="Times New Roman"/>
        </w:rPr>
      </w:pPr>
      <w:r w:rsidRPr="00D630D1">
        <w:rPr>
          <w:rFonts w:ascii="Times New Roman" w:cs="Times New Roman"/>
        </w:rPr>
        <w:t>山区地段应采取以下措施：</w:t>
      </w:r>
    </w:p>
    <w:p w:rsidR="00117C3D" w:rsidRPr="00D630D1" w:rsidRDefault="008B5B84">
      <w:pPr>
        <w:pStyle w:val="a1"/>
        <w:ind w:firstLine="480"/>
        <w:rPr>
          <w:rFonts w:ascii="Times New Roman" w:cs="Times New Roman"/>
        </w:rPr>
      </w:pPr>
      <w:r w:rsidRPr="00D630D1">
        <w:rPr>
          <w:rFonts w:hAnsi="宋体" w:hint="eastAsia"/>
        </w:rPr>
        <w:t>①</w:t>
      </w:r>
      <w:r w:rsidRPr="00D630D1">
        <w:rPr>
          <w:rFonts w:ascii="Times New Roman" w:cs="Times New Roman"/>
        </w:rPr>
        <w:t xml:space="preserve"> </w:t>
      </w:r>
      <w:r w:rsidRPr="00D630D1">
        <w:rPr>
          <w:rFonts w:ascii="Times New Roman" w:cs="Times New Roman"/>
        </w:rPr>
        <w:t>避开雨季施工。</w:t>
      </w:r>
    </w:p>
    <w:p w:rsidR="00117C3D" w:rsidRPr="00D630D1" w:rsidRDefault="008B5B84">
      <w:pPr>
        <w:pStyle w:val="a1"/>
        <w:ind w:firstLine="480"/>
        <w:rPr>
          <w:rFonts w:ascii="Times New Roman" w:cs="Times New Roman"/>
        </w:rPr>
      </w:pPr>
      <w:r w:rsidRPr="00D630D1">
        <w:rPr>
          <w:rFonts w:hAnsi="宋体" w:hint="eastAsia"/>
        </w:rPr>
        <w:t>②</w:t>
      </w:r>
      <w:r w:rsidRPr="00D630D1">
        <w:rPr>
          <w:rFonts w:ascii="Times New Roman" w:cs="Times New Roman"/>
        </w:rPr>
        <w:t xml:space="preserve"> </w:t>
      </w:r>
      <w:r w:rsidRPr="00D630D1">
        <w:rPr>
          <w:rFonts w:ascii="Times New Roman" w:cs="Times New Roman"/>
        </w:rPr>
        <w:t>适当减小作业带宽，减少对植被的破坏。</w:t>
      </w:r>
    </w:p>
    <w:p w:rsidR="00117C3D" w:rsidRPr="00D630D1" w:rsidRDefault="008B5B84">
      <w:pPr>
        <w:pStyle w:val="a1"/>
        <w:ind w:firstLine="480"/>
        <w:rPr>
          <w:rFonts w:ascii="Times New Roman" w:cs="Times New Roman"/>
        </w:rPr>
      </w:pPr>
      <w:r w:rsidRPr="00D630D1">
        <w:rPr>
          <w:rFonts w:hAnsi="宋体" w:hint="eastAsia"/>
        </w:rPr>
        <w:t>③</w:t>
      </w:r>
      <w:r w:rsidRPr="00D630D1">
        <w:rPr>
          <w:rFonts w:ascii="Times New Roman" w:cs="Times New Roman"/>
        </w:rPr>
        <w:t xml:space="preserve"> </w:t>
      </w:r>
      <w:r w:rsidRPr="00D630D1">
        <w:rPr>
          <w:rFonts w:ascii="Times New Roman" w:cs="Times New Roman"/>
        </w:rPr>
        <w:t>管线通过高陡斜坡地段，需根据敷设管道坡度在坡顶和坡脚考虑设置固定墩。</w:t>
      </w:r>
    </w:p>
    <w:p w:rsidR="00117C3D" w:rsidRPr="00D630D1" w:rsidRDefault="008B5B84">
      <w:pPr>
        <w:pStyle w:val="a1"/>
        <w:ind w:firstLine="480"/>
        <w:rPr>
          <w:rFonts w:ascii="Times New Roman" w:cs="Times New Roman"/>
        </w:rPr>
      </w:pPr>
      <w:r w:rsidRPr="00D630D1">
        <w:rPr>
          <w:rFonts w:hAnsi="宋体" w:hint="eastAsia"/>
        </w:rPr>
        <w:t>④</w:t>
      </w:r>
      <w:r w:rsidRPr="00D630D1">
        <w:rPr>
          <w:rFonts w:ascii="Times New Roman" w:cs="Times New Roman"/>
        </w:rPr>
        <w:t xml:space="preserve"> </w:t>
      </w:r>
      <w:r w:rsidRPr="00D630D1">
        <w:rPr>
          <w:rFonts w:ascii="Times New Roman" w:cs="Times New Roman"/>
        </w:rPr>
        <w:t>管道在堆放、搬运、下管、回填等环节中要做好保护措施，防止对防腐层的伤害。</w:t>
      </w:r>
    </w:p>
    <w:p w:rsidR="00117C3D" w:rsidRPr="00D630D1" w:rsidRDefault="008B5B84">
      <w:pPr>
        <w:pStyle w:val="a1"/>
        <w:ind w:firstLine="480"/>
        <w:rPr>
          <w:rFonts w:ascii="Times New Roman" w:cs="Times New Roman"/>
        </w:rPr>
      </w:pPr>
      <w:r w:rsidRPr="00D630D1">
        <w:rPr>
          <w:rFonts w:hAnsi="宋体" w:hint="eastAsia"/>
        </w:rPr>
        <w:t>⑤</w:t>
      </w:r>
      <w:r w:rsidRPr="00D630D1">
        <w:rPr>
          <w:rFonts w:ascii="Times New Roman" w:cs="Times New Roman"/>
        </w:rPr>
        <w:t xml:space="preserve"> </w:t>
      </w:r>
      <w:r w:rsidRPr="00D630D1">
        <w:rPr>
          <w:rFonts w:ascii="Times New Roman" w:cs="Times New Roman"/>
        </w:rPr>
        <w:t>做好水工保护。</w:t>
      </w:r>
    </w:p>
    <w:p w:rsidR="00886DA8" w:rsidRPr="00D630D1" w:rsidRDefault="001E7766">
      <w:pPr>
        <w:pStyle w:val="a1"/>
        <w:ind w:firstLine="482"/>
        <w:rPr>
          <w:rFonts w:ascii="Times New Roman" w:cs="Times New Roman"/>
          <w:b/>
          <w:bCs/>
        </w:rPr>
      </w:pPr>
      <w:r w:rsidRPr="00D630D1">
        <w:rPr>
          <w:rFonts w:ascii="Times New Roman" w:cs="Times New Roman"/>
          <w:b/>
          <w:bCs/>
        </w:rPr>
        <w:t>3</w:t>
      </w:r>
      <w:r w:rsidR="00886DA8" w:rsidRPr="00D630D1">
        <w:rPr>
          <w:rFonts w:ascii="Times New Roman" w:cs="Times New Roman"/>
          <w:b/>
          <w:bCs/>
        </w:rPr>
        <w:t>、</w:t>
      </w:r>
      <w:r w:rsidRPr="00D630D1">
        <w:rPr>
          <w:rFonts w:ascii="Times New Roman" w:cs="Times New Roman"/>
          <w:b/>
          <w:bCs/>
        </w:rPr>
        <w:t>施工作业地带</w:t>
      </w:r>
    </w:p>
    <w:p w:rsidR="00886DA8" w:rsidRPr="00D630D1" w:rsidRDefault="001E7766" w:rsidP="001E7766">
      <w:pPr>
        <w:pStyle w:val="afa"/>
        <w:ind w:firstLine="480"/>
      </w:pPr>
      <w:r w:rsidRPr="00D630D1">
        <w:t>管道施工作业带在石方段、有地方要求的规划区、经济作物带等特殊地段应在保证施工手段展开的前提下，尽量减小作业带宽度。</w:t>
      </w:r>
      <w:r w:rsidR="00A55CCB" w:rsidRPr="00D630D1">
        <w:t>作业带开拓必须能满足大型车辆和大型施工机械作业要求，本项目新建管道结合线路地形，</w:t>
      </w:r>
      <w:r w:rsidRPr="00D630D1">
        <w:t>作业带宽度</w:t>
      </w:r>
      <w:r w:rsidR="00733954" w:rsidRPr="00D630D1">
        <w:rPr>
          <w:rFonts w:hint="eastAsia"/>
        </w:rPr>
        <w:t>为</w:t>
      </w:r>
      <w:r w:rsidR="00733954" w:rsidRPr="00D630D1">
        <w:rPr>
          <w:rFonts w:hint="eastAsia"/>
        </w:rPr>
        <w:t>8</w:t>
      </w:r>
      <w:r w:rsidRPr="00D630D1">
        <w:t>m</w:t>
      </w:r>
      <w:r w:rsidRPr="00D630D1">
        <w:t>。施工作业带清理、平整应遵循保护植被及配套设施，减少或防止产生水土流失的原则。管沟开挖前应弄清施工作业带内是否埋设有管道、电缆、光缆，以及其它建构筑物或设施。探明的地下设施处应设立标志，并在竣工图中注明，施工时采取相应的保护措施。</w:t>
      </w:r>
    </w:p>
    <w:p w:rsidR="00A55CCB" w:rsidRPr="00D630D1" w:rsidRDefault="00A55CCB" w:rsidP="00A55CCB">
      <w:pPr>
        <w:pStyle w:val="a1"/>
        <w:ind w:firstLine="480"/>
        <w:jc w:val="left"/>
        <w:rPr>
          <w:rFonts w:ascii="Times New Roman" w:cs="Times New Roman"/>
        </w:rPr>
      </w:pPr>
      <w:r w:rsidRPr="00D630D1">
        <w:rPr>
          <w:rFonts w:ascii="Times New Roman" w:cs="Times New Roman"/>
        </w:rPr>
        <w:t>按有关法规对管道施工作业带只进行临时性使用土地，施工完毕后应立即还</w:t>
      </w:r>
      <w:r w:rsidRPr="00D630D1">
        <w:rPr>
          <w:rFonts w:ascii="Times New Roman" w:cs="Times New Roman"/>
        </w:rPr>
        <w:lastRenderedPageBreak/>
        <w:t>耕复种，并恢复原地貌。本项目管道的施工方式断面下图所示：</w:t>
      </w:r>
    </w:p>
    <w:p w:rsidR="00A55CCB" w:rsidRPr="00D630D1" w:rsidRDefault="001A254A" w:rsidP="00A55CCB">
      <w:pPr>
        <w:pStyle w:val="a1"/>
        <w:ind w:firstLineChars="0" w:firstLine="0"/>
        <w:jc w:val="center"/>
        <w:rPr>
          <w:rFonts w:ascii="Times New Roman" w:cs="Times New Roman"/>
          <w:b/>
        </w:rPr>
      </w:pPr>
      <w:r w:rsidRPr="00D630D1">
        <w:rPr>
          <w:rFonts w:ascii="Times New Roman" w:cs="Times New Roman"/>
          <w:b/>
          <w:noProof/>
        </w:rPr>
        <w:drawing>
          <wp:inline distT="0" distB="0" distL="0" distR="0">
            <wp:extent cx="5080000" cy="3094355"/>
            <wp:effectExtent l="19050" t="0" r="6350" b="0"/>
            <wp:docPr id="8" name="图片 24" descr="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图7.jpg"/>
                    <pic:cNvPicPr>
                      <a:picLocks noChangeAspect="1" noChangeArrowheads="1"/>
                    </pic:cNvPicPr>
                  </pic:nvPicPr>
                  <pic:blipFill>
                    <a:blip r:embed="rId47" cstate="print"/>
                    <a:srcRect b="9174"/>
                    <a:stretch>
                      <a:fillRect/>
                    </a:stretch>
                  </pic:blipFill>
                  <pic:spPr bwMode="auto">
                    <a:xfrm>
                      <a:off x="0" y="0"/>
                      <a:ext cx="5080000" cy="3094355"/>
                    </a:xfrm>
                    <a:prstGeom prst="rect">
                      <a:avLst/>
                    </a:prstGeom>
                    <a:noFill/>
                    <a:ln w="9525">
                      <a:noFill/>
                      <a:miter lim="800000"/>
                      <a:headEnd/>
                      <a:tailEnd/>
                    </a:ln>
                  </pic:spPr>
                </pic:pic>
              </a:graphicData>
            </a:graphic>
          </wp:inline>
        </w:drawing>
      </w:r>
    </w:p>
    <w:p w:rsidR="00A55CCB" w:rsidRPr="00D630D1" w:rsidRDefault="00A55CCB" w:rsidP="00A55CCB">
      <w:pPr>
        <w:pStyle w:val="10"/>
        <w:rPr>
          <w:rFonts w:cs="Times New Roman"/>
        </w:rPr>
      </w:pPr>
      <w:r w:rsidRPr="00D630D1">
        <w:rPr>
          <w:rFonts w:cs="Times New Roman"/>
        </w:rPr>
        <w:t>图</w:t>
      </w:r>
      <w:r w:rsidRPr="00D630D1">
        <w:rPr>
          <w:rFonts w:cs="Times New Roman"/>
        </w:rPr>
        <w:t xml:space="preserve">4.1-2 </w:t>
      </w:r>
      <w:r w:rsidRPr="00D630D1">
        <w:rPr>
          <w:rFonts w:cs="Times New Roman"/>
        </w:rPr>
        <w:t>管道施工方式断面示意图</w:t>
      </w:r>
    </w:p>
    <w:p w:rsidR="00633FBE" w:rsidRPr="00733954" w:rsidRDefault="00633FBE" w:rsidP="00633FBE">
      <w:pPr>
        <w:pStyle w:val="a1"/>
        <w:ind w:firstLine="482"/>
        <w:rPr>
          <w:rFonts w:ascii="Times New Roman" w:cs="Times New Roman"/>
          <w:b/>
          <w:bCs/>
        </w:rPr>
      </w:pPr>
      <w:bookmarkStart w:id="267" w:name="_Toc12288489"/>
      <w:bookmarkStart w:id="268" w:name="_Toc12288494"/>
      <w:bookmarkEnd w:id="266"/>
      <w:r>
        <w:rPr>
          <w:rFonts w:ascii="Times New Roman" w:cs="Times New Roman" w:hint="eastAsia"/>
          <w:b/>
          <w:bCs/>
        </w:rPr>
        <w:t>4</w:t>
      </w:r>
      <w:r w:rsidRPr="00733954">
        <w:rPr>
          <w:rFonts w:ascii="Times New Roman" w:cs="Times New Roman"/>
          <w:b/>
          <w:bCs/>
        </w:rPr>
        <w:t>、公路穿越</w:t>
      </w:r>
      <w:bookmarkEnd w:id="267"/>
    </w:p>
    <w:p w:rsidR="00633FBE" w:rsidRPr="00633FBE" w:rsidRDefault="00633FBE" w:rsidP="00633FBE">
      <w:pPr>
        <w:pStyle w:val="afa"/>
        <w:ind w:firstLine="480"/>
      </w:pPr>
      <w:r w:rsidRPr="00633FBE">
        <w:t>（</w:t>
      </w:r>
      <w:r w:rsidRPr="00633FBE">
        <w:t>1</w:t>
      </w:r>
      <w:r w:rsidRPr="00633FBE">
        <w:t>）公路及机耕路穿越</w:t>
      </w:r>
    </w:p>
    <w:p w:rsidR="00633FBE" w:rsidRPr="00633FBE" w:rsidRDefault="00633FBE" w:rsidP="00633FBE">
      <w:pPr>
        <w:pStyle w:val="afa"/>
        <w:ind w:firstLine="480"/>
      </w:pPr>
      <w:r w:rsidRPr="00633FBE">
        <w:rPr>
          <w:rFonts w:ascii="宋体" w:hAnsi="宋体" w:cs="宋体" w:hint="eastAsia"/>
        </w:rPr>
        <w:t>①</w:t>
      </w:r>
      <w:r w:rsidRPr="00633FBE">
        <w:t>管道穿越公路及机耕道均采用</w:t>
      </w:r>
      <w:r w:rsidRPr="00633FBE">
        <w:rPr>
          <w:rFonts w:hint="eastAsia"/>
        </w:rPr>
        <w:t>顶管</w:t>
      </w:r>
      <w:r w:rsidRPr="00633FBE">
        <w:t>穿越方式，并采用钢筋水泥套管加以保护，套管顶距离地面的埋深</w:t>
      </w:r>
      <w:r w:rsidRPr="00633FBE">
        <w:t>≥1.2m</w:t>
      </w:r>
      <w:r w:rsidRPr="00633FBE">
        <w:t>，并应符合公路管理部门的要求。套管两端伸出公路坡脚或排水沟的长度不小于</w:t>
      </w:r>
      <w:r w:rsidRPr="00633FBE">
        <w:t>1m</w:t>
      </w:r>
      <w:r w:rsidRPr="00633FBE">
        <w:t>。套管内的天然气管道设置绝缘支撑。并不得损坏管道外防腐层。套管两端与输气管道之间的环形空间应采用柔性的防腐、防水材料密封。</w:t>
      </w:r>
    </w:p>
    <w:p w:rsidR="00633FBE" w:rsidRPr="00633FBE" w:rsidRDefault="00633FBE" w:rsidP="00633FBE">
      <w:pPr>
        <w:pStyle w:val="afa"/>
        <w:ind w:firstLine="480"/>
      </w:pPr>
      <w:r w:rsidRPr="00633FBE">
        <w:rPr>
          <w:rFonts w:ascii="宋体" w:hAnsi="宋体" w:cs="宋体" w:hint="eastAsia"/>
        </w:rPr>
        <w:t>②</w:t>
      </w:r>
      <w:r w:rsidRPr="00633FBE">
        <w:t>管道穿越宜垂直交叉通过。当必须斜交时，斜交角度应大于</w:t>
      </w:r>
      <w:r w:rsidRPr="00633FBE">
        <w:t>60°</w:t>
      </w:r>
      <w:r w:rsidRPr="00633FBE">
        <w:t>。路基下面的管段不允许出现转角或进行平、竖面曲线敷设。</w:t>
      </w:r>
    </w:p>
    <w:p w:rsidR="00633FBE" w:rsidRPr="00633FBE" w:rsidRDefault="00633FBE" w:rsidP="00633FBE">
      <w:pPr>
        <w:pStyle w:val="afa"/>
        <w:ind w:firstLine="480"/>
      </w:pPr>
      <w:r w:rsidRPr="00633FBE">
        <w:rPr>
          <w:rFonts w:ascii="宋体" w:hAnsi="宋体" w:cs="宋体" w:hint="eastAsia"/>
        </w:rPr>
        <w:t>③</w:t>
      </w:r>
      <w:r w:rsidRPr="00633FBE">
        <w:t>穿越乡镇道路的集输管道应选择质量好、较长的管子组焊，以减少焊口数，确保施工质量。</w:t>
      </w:r>
    </w:p>
    <w:p w:rsidR="00633FBE" w:rsidRPr="00633FBE" w:rsidRDefault="00633FBE" w:rsidP="00633FBE">
      <w:pPr>
        <w:pStyle w:val="afa"/>
        <w:ind w:firstLine="480"/>
      </w:pPr>
      <w:r w:rsidRPr="00633FBE">
        <w:rPr>
          <w:rFonts w:ascii="宋体" w:hAnsi="宋体" w:cs="宋体" w:hint="eastAsia"/>
        </w:rPr>
        <w:t>④</w:t>
      </w:r>
      <w:r w:rsidRPr="00633FBE">
        <w:t>确保施工质量。穿越公路管沟回填土应充分夯实，使其密度与未开挖的土壤一致，并应按未开挖前的结构和质量恢复路面。</w:t>
      </w:r>
    </w:p>
    <w:p w:rsidR="00633FBE" w:rsidRPr="00633FBE" w:rsidRDefault="00633FBE" w:rsidP="00633FBE">
      <w:pPr>
        <w:pStyle w:val="afa"/>
        <w:ind w:firstLine="480"/>
      </w:pPr>
      <w:r w:rsidRPr="00633FBE">
        <w:t>（</w:t>
      </w:r>
      <w:r w:rsidRPr="00633FBE">
        <w:t>2</w:t>
      </w:r>
      <w:r w:rsidRPr="00633FBE">
        <w:t>）管道设绝缘滑块以保护管道外防腐层，并在穿越套管两端采用柔性材料进行端部密封；</w:t>
      </w:r>
    </w:p>
    <w:p w:rsidR="00633FBE" w:rsidRPr="00633FBE" w:rsidRDefault="00633FBE" w:rsidP="00633FBE">
      <w:pPr>
        <w:pStyle w:val="a1"/>
        <w:ind w:firstLine="480"/>
        <w:rPr>
          <w:rFonts w:ascii="Times New Roman" w:cs="Times New Roman"/>
          <w:b/>
        </w:rPr>
      </w:pPr>
      <w:r w:rsidRPr="00633FBE">
        <w:rPr>
          <w:rFonts w:ascii="Times New Roman" w:cs="Times New Roman"/>
        </w:rPr>
        <w:t>（</w:t>
      </w:r>
      <w:r w:rsidRPr="00633FBE">
        <w:rPr>
          <w:rFonts w:ascii="Times New Roman" w:cs="Times New Roman"/>
        </w:rPr>
        <w:t>3</w:t>
      </w:r>
      <w:r w:rsidRPr="00633FBE">
        <w:rPr>
          <w:rFonts w:ascii="Times New Roman" w:cs="Times New Roman"/>
        </w:rPr>
        <w:t>）</w:t>
      </w:r>
      <w:r w:rsidRPr="00633FBE">
        <w:t>公路穿越段两侧设置管道公路穿越标志桩。</w:t>
      </w:r>
    </w:p>
    <w:p w:rsidR="00117C3D" w:rsidRPr="00D630D1" w:rsidRDefault="00633FBE">
      <w:pPr>
        <w:pStyle w:val="a1"/>
        <w:ind w:firstLine="482"/>
        <w:rPr>
          <w:rFonts w:ascii="Times New Roman" w:cs="Times New Roman"/>
          <w:b/>
        </w:rPr>
      </w:pPr>
      <w:r>
        <w:rPr>
          <w:rFonts w:ascii="Times New Roman" w:cs="Times New Roman" w:hint="eastAsia"/>
          <w:b/>
        </w:rPr>
        <w:t>5</w:t>
      </w:r>
      <w:r w:rsidR="008B5B84" w:rsidRPr="00D630D1">
        <w:rPr>
          <w:rFonts w:ascii="Times New Roman" w:cs="Times New Roman"/>
          <w:b/>
        </w:rPr>
        <w:t>、</w:t>
      </w:r>
      <w:bookmarkEnd w:id="268"/>
      <w:r w:rsidR="009150DD" w:rsidRPr="00D630D1">
        <w:rPr>
          <w:rFonts w:ascii="Times New Roman" w:cs="Times New Roman"/>
          <w:b/>
        </w:rPr>
        <w:t>焊接、清管试压干燥置换</w:t>
      </w:r>
    </w:p>
    <w:p w:rsidR="009150DD" w:rsidRPr="00D630D1" w:rsidRDefault="009150DD" w:rsidP="007422A2">
      <w:pPr>
        <w:pStyle w:val="afa"/>
        <w:ind w:firstLine="480"/>
        <w:rPr>
          <w:szCs w:val="24"/>
        </w:rPr>
      </w:pPr>
      <w:r w:rsidRPr="00D630D1">
        <w:rPr>
          <w:szCs w:val="24"/>
        </w:rPr>
        <w:lastRenderedPageBreak/>
        <w:t>（</w:t>
      </w:r>
      <w:r w:rsidRPr="00D630D1">
        <w:rPr>
          <w:szCs w:val="24"/>
        </w:rPr>
        <w:t>1</w:t>
      </w:r>
      <w:r w:rsidRPr="00D630D1">
        <w:rPr>
          <w:szCs w:val="24"/>
        </w:rPr>
        <w:t>）管道焊接</w:t>
      </w:r>
    </w:p>
    <w:p w:rsidR="009150DD" w:rsidRPr="00D630D1" w:rsidRDefault="009150DD" w:rsidP="007422A2">
      <w:pPr>
        <w:pStyle w:val="afa"/>
        <w:ind w:firstLine="480"/>
        <w:rPr>
          <w:szCs w:val="24"/>
        </w:rPr>
      </w:pPr>
      <w:r w:rsidRPr="00D630D1">
        <w:rPr>
          <w:szCs w:val="24"/>
        </w:rPr>
        <w:t>本工程推荐采用采用氩弧焊打底，手工电弧焊接盖面，施工单位可根据现场情况及自身设备及技术条件调整焊接方式，但必须满足焊接工艺评定相关要求。管道焊缝质量先进行外观检查，外观检查标准应符合《油水长输管道工程施工及验收规范》（</w:t>
      </w:r>
      <w:r w:rsidRPr="00D630D1">
        <w:rPr>
          <w:szCs w:val="24"/>
        </w:rPr>
        <w:t>GB50369-2006</w:t>
      </w:r>
      <w:r w:rsidRPr="00D630D1">
        <w:rPr>
          <w:szCs w:val="24"/>
        </w:rPr>
        <w:t>）的规定，合格后方可进行无损检测。</w:t>
      </w:r>
    </w:p>
    <w:p w:rsidR="00DC6EE4" w:rsidRPr="00D630D1" w:rsidRDefault="00DC6EE4" w:rsidP="00DC6EE4">
      <w:pPr>
        <w:pStyle w:val="afa"/>
        <w:ind w:firstLine="480"/>
      </w:pPr>
      <w:r w:rsidRPr="00D630D1">
        <w:t>（</w:t>
      </w:r>
      <w:r w:rsidRPr="00D630D1">
        <w:t>2</w:t>
      </w:r>
      <w:r w:rsidRPr="00D630D1">
        <w:t>）探伤</w:t>
      </w:r>
    </w:p>
    <w:p w:rsidR="009150DD" w:rsidRPr="00D630D1" w:rsidRDefault="00DC6EE4" w:rsidP="00DC6EE4">
      <w:pPr>
        <w:pStyle w:val="afa"/>
        <w:ind w:firstLine="480"/>
      </w:pPr>
      <w:r w:rsidRPr="00D630D1">
        <w:t>本项目管道探伤采用</w:t>
      </w:r>
      <w:r w:rsidRPr="00D630D1">
        <w:t>100%</w:t>
      </w:r>
      <w:r w:rsidRPr="00D630D1">
        <w:t>全周长超声波探伤，合格后再进行</w:t>
      </w:r>
      <w:r w:rsidRPr="00D630D1">
        <w:t>100%</w:t>
      </w:r>
      <w:r w:rsidRPr="00D630D1">
        <w:t>的</w:t>
      </w:r>
      <w:r w:rsidRPr="00D630D1">
        <w:t>X</w:t>
      </w:r>
      <w:r w:rsidRPr="00D630D1">
        <w:t>射线探伤检验。工程探伤检验由专业队伍开展，应按照《工业</w:t>
      </w:r>
      <w:r w:rsidRPr="00D630D1">
        <w:t>X</w:t>
      </w:r>
      <w:r w:rsidRPr="00D630D1">
        <w:t>射线探伤放射防护要求》（</w:t>
      </w:r>
      <w:r w:rsidRPr="00D630D1">
        <w:t>GBZ117—2015</w:t>
      </w:r>
      <w:r w:rsidRPr="00D630D1">
        <w:t>）对管道探伤</w:t>
      </w:r>
      <w:r w:rsidRPr="00D630D1">
        <w:t>X</w:t>
      </w:r>
      <w:r w:rsidRPr="00D630D1">
        <w:t>射线复验进行。采用</w:t>
      </w:r>
      <w:r w:rsidRPr="00D630D1">
        <w:t>X</w:t>
      </w:r>
      <w:r w:rsidRPr="00D630D1">
        <w:t>射线探伤设备功率为</w:t>
      </w:r>
      <w:r w:rsidRPr="00D630D1">
        <w:t>700W</w:t>
      </w:r>
      <w:r w:rsidRPr="00D630D1">
        <w:t>，专业队伍在开展探伤工作前，应对项目使用探伤设备到相应环保部门进行登记，取得《辐射许可证》后方可进行。工程探伤检验由专业队伍开展，应按照《工业</w:t>
      </w:r>
      <w:r w:rsidRPr="00D630D1">
        <w:t>X</w:t>
      </w:r>
      <w:r w:rsidRPr="00D630D1">
        <w:t>射线探伤放射防护要求》（</w:t>
      </w:r>
      <w:r w:rsidRPr="00D630D1">
        <w:t>GBZ117—2015</w:t>
      </w:r>
      <w:r w:rsidRPr="00D630D1">
        <w:t>）对管道探伤</w:t>
      </w:r>
      <w:r w:rsidRPr="00D630D1">
        <w:t>X</w:t>
      </w:r>
      <w:r w:rsidRPr="00D630D1">
        <w:t>射线复验进行。</w:t>
      </w:r>
      <w:r w:rsidRPr="00D630D1">
        <w:rPr>
          <w:b/>
          <w:bCs/>
        </w:rPr>
        <w:t>不在本次评价范围内。</w:t>
      </w:r>
    </w:p>
    <w:p w:rsidR="00DC6EE4" w:rsidRPr="00D630D1" w:rsidRDefault="00DC6EE4" w:rsidP="006A1DCA">
      <w:pPr>
        <w:pStyle w:val="afa"/>
        <w:ind w:firstLine="480"/>
        <w:rPr>
          <w:szCs w:val="24"/>
        </w:rPr>
      </w:pPr>
      <w:r w:rsidRPr="00D630D1">
        <w:rPr>
          <w:szCs w:val="24"/>
        </w:rPr>
        <w:t>（</w:t>
      </w:r>
      <w:r w:rsidRPr="00D630D1">
        <w:rPr>
          <w:szCs w:val="24"/>
        </w:rPr>
        <w:t>3</w:t>
      </w:r>
      <w:r w:rsidRPr="00D630D1">
        <w:rPr>
          <w:szCs w:val="24"/>
        </w:rPr>
        <w:t>）清管</w:t>
      </w:r>
    </w:p>
    <w:p w:rsidR="009150DD" w:rsidRPr="00D630D1" w:rsidRDefault="00DC6EE4" w:rsidP="006A1DCA">
      <w:pPr>
        <w:pStyle w:val="afa"/>
        <w:ind w:firstLine="480"/>
        <w:rPr>
          <w:szCs w:val="24"/>
        </w:rPr>
      </w:pPr>
      <w:r w:rsidRPr="00D630D1">
        <w:rPr>
          <w:szCs w:val="24"/>
        </w:rPr>
        <w:t>分段试压前，应采用清管球（器）进行清管，清管介质应用空气。清管次数不少于</w:t>
      </w:r>
      <w:r w:rsidRPr="00D630D1">
        <w:rPr>
          <w:szCs w:val="24"/>
        </w:rPr>
        <w:t>3</w:t>
      </w:r>
      <w:r w:rsidRPr="00D630D1">
        <w:rPr>
          <w:szCs w:val="24"/>
        </w:rPr>
        <w:t>次，以开口端不再排除杂物为合格。分段清管应设临时清管器收发装置，清管器接受装置应选择在地势较高且</w:t>
      </w:r>
      <w:r w:rsidRPr="00D630D1">
        <w:rPr>
          <w:szCs w:val="24"/>
        </w:rPr>
        <w:t>50m</w:t>
      </w:r>
      <w:r w:rsidRPr="00D630D1">
        <w:rPr>
          <w:szCs w:val="24"/>
        </w:rPr>
        <w:t>范围内没有建筑物和人口的区域内，并应设警示标志。清管选用复合式清管器，清管球充水后直径过盈量应为管内径的</w:t>
      </w:r>
      <w:r w:rsidRPr="00D630D1">
        <w:rPr>
          <w:szCs w:val="24"/>
        </w:rPr>
        <w:t>5%~8%</w:t>
      </w:r>
      <w:r w:rsidRPr="00D630D1">
        <w:rPr>
          <w:szCs w:val="24"/>
        </w:rPr>
        <w:t>。清管时的最大压力不得超过管材最小屈服强度的</w:t>
      </w:r>
      <w:r w:rsidRPr="00D630D1">
        <w:rPr>
          <w:szCs w:val="24"/>
        </w:rPr>
        <w:t>30%</w:t>
      </w:r>
      <w:r w:rsidRPr="00D630D1">
        <w:rPr>
          <w:szCs w:val="24"/>
        </w:rPr>
        <w:t>。清管器应适用于管线弯管的曲率半径。</w:t>
      </w:r>
    </w:p>
    <w:p w:rsidR="009150DD" w:rsidRPr="00D630D1" w:rsidRDefault="00DC6EE4" w:rsidP="009150DD">
      <w:pPr>
        <w:ind w:firstLine="480"/>
        <w:rPr>
          <w:rFonts w:ascii="Times New Roman" w:cs="Times New Roman"/>
        </w:rPr>
      </w:pPr>
      <w:r w:rsidRPr="00D630D1">
        <w:rPr>
          <w:rFonts w:ascii="Times New Roman" w:cs="Times New Roman"/>
        </w:rPr>
        <w:t>（</w:t>
      </w:r>
      <w:r w:rsidRPr="00D630D1">
        <w:rPr>
          <w:rFonts w:ascii="Times New Roman" w:cs="Times New Roman"/>
        </w:rPr>
        <w:t>4</w:t>
      </w:r>
      <w:r w:rsidRPr="00D630D1">
        <w:rPr>
          <w:rFonts w:ascii="Times New Roman" w:cs="Times New Roman"/>
        </w:rPr>
        <w:t>）管道试压</w:t>
      </w:r>
    </w:p>
    <w:p w:rsidR="00DC6EE4" w:rsidRPr="00D630D1" w:rsidRDefault="00DC6EE4" w:rsidP="00DC6EE4">
      <w:pPr>
        <w:pStyle w:val="afa"/>
        <w:ind w:firstLine="480"/>
      </w:pPr>
      <w:r w:rsidRPr="00D630D1">
        <w:t>本工程线路段管道应进行分段试压，用</w:t>
      </w:r>
      <w:r w:rsidRPr="00D630D1">
        <w:rPr>
          <w:bCs/>
        </w:rPr>
        <w:t>洁净水</w:t>
      </w:r>
      <w:r w:rsidRPr="00D630D1">
        <w:t>作为试压介质时，每段自然高度应保证最低点管道环向应力不大于</w:t>
      </w:r>
      <w:r w:rsidRPr="00D630D1">
        <w:t>0.95σs</w:t>
      </w:r>
      <w:r w:rsidRPr="00D630D1">
        <w:t>。水质为无腐蚀性洁净水，试压时水温不得低于</w:t>
      </w:r>
      <w:r w:rsidRPr="00D630D1">
        <w:t>5℃</w:t>
      </w:r>
      <w:r w:rsidRPr="00D630D1">
        <w:t>，否则应采取防冻措施。注水宜连续，排除管道内的气体。水试压合格后，必须将管段内积水清扫干净。</w:t>
      </w:r>
    </w:p>
    <w:p w:rsidR="00DC6EE4" w:rsidRPr="00D630D1" w:rsidRDefault="00DC6EE4" w:rsidP="00DC6EE4">
      <w:pPr>
        <w:pStyle w:val="afa"/>
        <w:ind w:firstLine="480"/>
      </w:pPr>
      <w:r w:rsidRPr="00D630D1">
        <w:t>本工程管道试验压力应为：</w:t>
      </w:r>
    </w:p>
    <w:p w:rsidR="00DC6EE4" w:rsidRPr="00D630D1" w:rsidRDefault="00DC6EE4" w:rsidP="00DC6EE4">
      <w:pPr>
        <w:pStyle w:val="afa"/>
        <w:ind w:firstLine="480"/>
      </w:pPr>
      <w:r w:rsidRPr="00D630D1">
        <w:t>强度试验压力为管道设计压力的</w:t>
      </w:r>
      <w:r w:rsidRPr="00D630D1">
        <w:t>1.5</w:t>
      </w:r>
      <w:r w:rsidRPr="00D630D1">
        <w:t>倍，严密性试验的压力为管道的设计压力。</w:t>
      </w:r>
    </w:p>
    <w:p w:rsidR="00DC6EE4" w:rsidRPr="00D630D1" w:rsidRDefault="00DC6EE4" w:rsidP="00DC6EE4">
      <w:pPr>
        <w:pStyle w:val="afa"/>
        <w:ind w:firstLine="480"/>
      </w:pPr>
      <w:r w:rsidRPr="00D630D1">
        <w:t>管道强度试验时，应缓慢升压，压力分别升至试验压力的</w:t>
      </w:r>
      <w:r w:rsidRPr="00D630D1">
        <w:t>30%</w:t>
      </w:r>
      <w:r w:rsidRPr="00D630D1">
        <w:t>和</w:t>
      </w:r>
      <w:r w:rsidRPr="00D630D1">
        <w:t>60%</w:t>
      </w:r>
      <w:r w:rsidRPr="00D630D1">
        <w:t>，各</w:t>
      </w:r>
      <w:r w:rsidRPr="00D630D1">
        <w:lastRenderedPageBreak/>
        <w:t>稳压</w:t>
      </w:r>
      <w:r w:rsidRPr="00D630D1">
        <w:t>30min</w:t>
      </w:r>
      <w:r w:rsidRPr="00D630D1">
        <w:t>，检查管道无变形、无渗漏后，继续升至强度试验压力，稳压</w:t>
      </w:r>
      <w:r w:rsidRPr="00D630D1">
        <w:t>4h</w:t>
      </w:r>
      <w:r w:rsidRPr="00D630D1">
        <w:t>，管道无断裂，目测无变形、无渗漏、压降小于或等于试验压力的</w:t>
      </w:r>
      <w:r w:rsidRPr="00D630D1">
        <w:t>1%</w:t>
      </w:r>
      <w:r w:rsidRPr="00D630D1">
        <w:t>且不大于</w:t>
      </w:r>
      <w:r w:rsidRPr="00D630D1">
        <w:t>0.1MPa</w:t>
      </w:r>
      <w:r w:rsidRPr="00D630D1">
        <w:t>为合格。强度试压合格后，应对整个管道进行卸压，卸压后应采取如通球等措施将水排除。</w:t>
      </w:r>
    </w:p>
    <w:p w:rsidR="00DC6EE4" w:rsidRPr="00D630D1" w:rsidRDefault="00DC6EE4" w:rsidP="00DC6EE4">
      <w:pPr>
        <w:pStyle w:val="afa"/>
        <w:ind w:firstLine="480"/>
        <w:rPr>
          <w:bCs/>
        </w:rPr>
      </w:pPr>
      <w:r w:rsidRPr="00D630D1">
        <w:rPr>
          <w:bCs/>
        </w:rPr>
        <w:t>严密性试验应在强度试验合格后进行。</w:t>
      </w:r>
    </w:p>
    <w:p w:rsidR="00DC6EE4" w:rsidRPr="00D630D1" w:rsidRDefault="00DC6EE4" w:rsidP="00DC6EE4">
      <w:pPr>
        <w:pStyle w:val="afa"/>
        <w:ind w:firstLine="480"/>
        <w:rPr>
          <w:bCs/>
        </w:rPr>
      </w:pPr>
      <w:r w:rsidRPr="00D630D1">
        <w:rPr>
          <w:bCs/>
        </w:rPr>
        <w:t>采用无腐蚀性洁净水进行严密性试验时，应将管道内压力值降至设计压力，后</w:t>
      </w:r>
      <w:r w:rsidRPr="00D630D1">
        <w:rPr>
          <w:bCs/>
        </w:rPr>
        <w:tab/>
      </w:r>
      <w:r w:rsidRPr="00D630D1">
        <w:rPr>
          <w:bCs/>
        </w:rPr>
        <w:t>稳压</w:t>
      </w:r>
      <w:r w:rsidRPr="00D630D1">
        <w:rPr>
          <w:bCs/>
        </w:rPr>
        <w:t>24h</w:t>
      </w:r>
      <w:r w:rsidRPr="00D630D1">
        <w:rPr>
          <w:bCs/>
        </w:rPr>
        <w:t>，若巡线检查管道无断裂，目测无变形、无渗漏。压降率不大于试验压力值的</w:t>
      </w:r>
      <w:r w:rsidRPr="00D630D1">
        <w:rPr>
          <w:bCs/>
        </w:rPr>
        <w:t>1%</w:t>
      </w:r>
      <w:r w:rsidRPr="00D630D1">
        <w:rPr>
          <w:bCs/>
        </w:rPr>
        <w:t>且不大于</w:t>
      </w:r>
      <w:r w:rsidRPr="00D630D1">
        <w:rPr>
          <w:bCs/>
        </w:rPr>
        <w:t>0.1MPa</w:t>
      </w:r>
      <w:r w:rsidRPr="00D630D1">
        <w:rPr>
          <w:bCs/>
        </w:rPr>
        <w:t>为合格。管道稳压时间内的压降</w:t>
      </w:r>
      <w:r w:rsidRPr="00D630D1">
        <w:rPr>
          <w:rFonts w:ascii="宋体" w:hAnsi="宋体" w:cs="宋体" w:hint="eastAsia"/>
          <w:bCs/>
        </w:rPr>
        <w:t>△</w:t>
      </w:r>
      <w:r w:rsidRPr="00D630D1">
        <w:rPr>
          <w:bCs/>
        </w:rPr>
        <w:t>P</w:t>
      </w:r>
      <w:r w:rsidRPr="00D630D1">
        <w:rPr>
          <w:bCs/>
        </w:rPr>
        <w:t>应按《高含硫化氢气田集输管道工程施工技术规范》（</w:t>
      </w:r>
      <w:r w:rsidRPr="00D630D1">
        <w:rPr>
          <w:bCs/>
        </w:rPr>
        <w:t>SY/T 4119-2016</w:t>
      </w:r>
      <w:r w:rsidRPr="00D630D1">
        <w:rPr>
          <w:bCs/>
        </w:rPr>
        <w:t>）的要求计算。</w:t>
      </w:r>
    </w:p>
    <w:p w:rsidR="00DC6EE4" w:rsidRPr="00D630D1" w:rsidRDefault="00DC6EE4" w:rsidP="00DC6EE4">
      <w:pPr>
        <w:ind w:firstLine="480"/>
        <w:rPr>
          <w:rFonts w:ascii="Times New Roman" w:cs="Times New Roman"/>
        </w:rPr>
      </w:pPr>
      <w:r w:rsidRPr="00D630D1">
        <w:rPr>
          <w:rFonts w:ascii="Times New Roman" w:cs="Times New Roman"/>
        </w:rPr>
        <w:t>（</w:t>
      </w:r>
      <w:r w:rsidRPr="00D630D1">
        <w:rPr>
          <w:rFonts w:ascii="Times New Roman" w:cs="Times New Roman"/>
        </w:rPr>
        <w:t>5</w:t>
      </w:r>
      <w:r w:rsidRPr="00D630D1">
        <w:rPr>
          <w:rFonts w:ascii="Times New Roman" w:cs="Times New Roman"/>
        </w:rPr>
        <w:t>）管道干燥</w:t>
      </w:r>
    </w:p>
    <w:p w:rsidR="00DC6EE4" w:rsidRPr="00D630D1" w:rsidRDefault="00DC6EE4" w:rsidP="009D06C0">
      <w:pPr>
        <w:pStyle w:val="afa"/>
        <w:ind w:firstLine="480"/>
      </w:pPr>
      <w:r w:rsidRPr="00D630D1">
        <w:t>本工程为湿气输送，故原料气管道可不进行干燥。</w:t>
      </w:r>
    </w:p>
    <w:p w:rsidR="00DC6EE4" w:rsidRPr="00D630D1" w:rsidRDefault="009D06C0" w:rsidP="009D06C0">
      <w:pPr>
        <w:pStyle w:val="afa"/>
        <w:ind w:firstLine="480"/>
      </w:pPr>
      <w:r w:rsidRPr="00D630D1">
        <w:t>燃料气管道在投运前应进行彻底干燥。干燥前，应先用清管器连续三次清扫管道内残余水，后用干燥的空气吹扫干净，当测量管道内空气水露点低于</w:t>
      </w:r>
      <w:r w:rsidRPr="00D630D1">
        <w:t>-15℃</w:t>
      </w:r>
      <w:r w:rsidRPr="00D630D1">
        <w:t>为合格。</w:t>
      </w:r>
    </w:p>
    <w:p w:rsidR="009D06C0" w:rsidRPr="00D630D1" w:rsidRDefault="009D06C0" w:rsidP="009D06C0">
      <w:pPr>
        <w:ind w:firstLine="480"/>
        <w:rPr>
          <w:rFonts w:ascii="Times New Roman" w:cs="Times New Roman"/>
        </w:rPr>
      </w:pPr>
      <w:r w:rsidRPr="00D630D1">
        <w:rPr>
          <w:rFonts w:ascii="Times New Roman" w:cs="Times New Roman"/>
        </w:rPr>
        <w:t>（</w:t>
      </w:r>
      <w:r w:rsidRPr="00D630D1">
        <w:rPr>
          <w:rFonts w:ascii="Times New Roman" w:cs="Times New Roman"/>
        </w:rPr>
        <w:t>6</w:t>
      </w:r>
      <w:r w:rsidRPr="00D630D1">
        <w:rPr>
          <w:rFonts w:ascii="Times New Roman" w:cs="Times New Roman"/>
        </w:rPr>
        <w:t>）管道置换</w:t>
      </w:r>
    </w:p>
    <w:p w:rsidR="00DC6EE4" w:rsidRPr="00D630D1" w:rsidRDefault="009D06C0" w:rsidP="009D06C0">
      <w:pPr>
        <w:pStyle w:val="afa"/>
        <w:ind w:firstLine="480"/>
      </w:pPr>
      <w:r w:rsidRPr="00D630D1">
        <w:t>管道及设备投用前需用氮气对天然气系统进行置换。置换氮气压力为</w:t>
      </w:r>
      <w:r w:rsidRPr="00D630D1">
        <w:t>0.2</w:t>
      </w:r>
      <w:r w:rsidRPr="00D630D1">
        <w:t>～</w:t>
      </w:r>
      <w:r w:rsidRPr="00D630D1">
        <w:t>0.3MPa</w:t>
      </w:r>
      <w:r w:rsidRPr="00D630D1">
        <w:t>，置换宜分段反复进行，直至置换排气中氧含量小于</w:t>
      </w:r>
      <w:r w:rsidRPr="00D630D1">
        <w:t>2%</w:t>
      </w:r>
      <w:r w:rsidRPr="00D630D1">
        <w:t>为止。氮气置换合格后用天然气进行系统置换。</w:t>
      </w:r>
    </w:p>
    <w:p w:rsidR="009D06C0" w:rsidRPr="00D630D1" w:rsidRDefault="009D06C0" w:rsidP="009D06C0">
      <w:pPr>
        <w:pStyle w:val="afa"/>
        <w:ind w:firstLine="480"/>
      </w:pPr>
      <w:r w:rsidRPr="00D630D1">
        <w:t>（</w:t>
      </w:r>
      <w:r w:rsidRPr="00D630D1">
        <w:t>7</w:t>
      </w:r>
      <w:r w:rsidRPr="00D630D1">
        <w:t>）投运</w:t>
      </w:r>
    </w:p>
    <w:p w:rsidR="00DC6EE4" w:rsidRPr="00D630D1" w:rsidRDefault="009D06C0" w:rsidP="009D06C0">
      <w:pPr>
        <w:pStyle w:val="afa"/>
        <w:ind w:firstLine="480"/>
      </w:pPr>
      <w:r w:rsidRPr="00D630D1">
        <w:t>试压合格后，管道管理单位应根据《天然气管道运行规范》（</w:t>
      </w:r>
      <w:r w:rsidRPr="00D630D1">
        <w:t>SY/T5922-2012</w:t>
      </w:r>
      <w:r w:rsidRPr="00D630D1">
        <w:t>）相关规定制定投运方案及相应的安全应急预案，经相关部门审查通过后实施。</w:t>
      </w:r>
    </w:p>
    <w:p w:rsidR="009D06C0" w:rsidRPr="00D630D1" w:rsidRDefault="009D06C0" w:rsidP="009D06C0">
      <w:pPr>
        <w:pStyle w:val="afa"/>
        <w:ind w:firstLine="482"/>
        <w:rPr>
          <w:b/>
          <w:bCs/>
        </w:rPr>
      </w:pPr>
      <w:bookmarkStart w:id="269" w:name="OLE_LINK149"/>
      <w:bookmarkStart w:id="270" w:name="OLE_LINK150"/>
      <w:r w:rsidRPr="00D630D1">
        <w:rPr>
          <w:b/>
          <w:bCs/>
        </w:rPr>
        <w:t>（二）站场工程</w:t>
      </w:r>
    </w:p>
    <w:p w:rsidR="009D06C0" w:rsidRPr="00D630D1" w:rsidRDefault="00AB2218" w:rsidP="000B193E">
      <w:pPr>
        <w:pStyle w:val="afa"/>
        <w:ind w:firstLine="480"/>
      </w:pPr>
      <w:r w:rsidRPr="00D630D1">
        <w:t>本工程</w:t>
      </w:r>
      <w:r w:rsidR="00FF478B" w:rsidRPr="00D630D1">
        <w:rPr>
          <w:rFonts w:hint="eastAsia"/>
        </w:rPr>
        <w:t>建设</w:t>
      </w:r>
      <w:bookmarkEnd w:id="269"/>
      <w:bookmarkEnd w:id="270"/>
      <w:r w:rsidR="00DD3EA1">
        <w:t>普光</w:t>
      </w:r>
      <w:r w:rsidR="00DD3EA1">
        <w:t>12</w:t>
      </w:r>
      <w:r w:rsidR="00DD3EA1">
        <w:t>采气站</w:t>
      </w:r>
      <w:r w:rsidR="00633FBE">
        <w:rPr>
          <w:rFonts w:hint="eastAsia"/>
        </w:rPr>
        <w:t>一座</w:t>
      </w:r>
      <w:r w:rsidR="000B193E" w:rsidRPr="00D630D1">
        <w:t>。</w:t>
      </w:r>
      <w:r w:rsidRPr="00D630D1">
        <w:t>站场建设过程产生扬尘、机械</w:t>
      </w:r>
      <w:r w:rsidR="007422A2" w:rsidRPr="00D630D1">
        <w:t>设备噪声、施工队生活污水、混凝土搅拌废水、生活垃圾及建筑垃圾等</w:t>
      </w:r>
      <w:r w:rsidR="000B193E" w:rsidRPr="00D630D1">
        <w:t>。</w:t>
      </w:r>
    </w:p>
    <w:p w:rsidR="007422A2" w:rsidRPr="00D630D1" w:rsidRDefault="007422A2" w:rsidP="007422A2">
      <w:pPr>
        <w:pStyle w:val="afa"/>
        <w:ind w:firstLine="482"/>
        <w:rPr>
          <w:b/>
          <w:bCs/>
        </w:rPr>
      </w:pPr>
      <w:r w:rsidRPr="00D630D1">
        <w:rPr>
          <w:b/>
          <w:bCs/>
        </w:rPr>
        <w:t>（</w:t>
      </w:r>
      <w:r w:rsidRPr="00D630D1">
        <w:rPr>
          <w:rFonts w:hint="eastAsia"/>
          <w:b/>
          <w:bCs/>
        </w:rPr>
        <w:t>三</w:t>
      </w:r>
      <w:r w:rsidRPr="00D630D1">
        <w:rPr>
          <w:b/>
          <w:bCs/>
        </w:rPr>
        <w:t>）</w:t>
      </w:r>
      <w:r w:rsidRPr="00D630D1">
        <w:rPr>
          <w:rFonts w:hint="eastAsia"/>
          <w:b/>
          <w:bCs/>
        </w:rPr>
        <w:t>钻井</w:t>
      </w:r>
      <w:r w:rsidRPr="00D630D1">
        <w:rPr>
          <w:b/>
          <w:bCs/>
        </w:rPr>
        <w:t>工程</w:t>
      </w:r>
    </w:p>
    <w:p w:rsidR="007422A2" w:rsidRPr="00D630D1" w:rsidRDefault="007422A2" w:rsidP="007422A2">
      <w:pPr>
        <w:pStyle w:val="SSEC20150323"/>
        <w:spacing w:line="360" w:lineRule="auto"/>
        <w:ind w:firstLine="480"/>
        <w:rPr>
          <w:rFonts w:ascii="Times New Roman" w:hAnsi="Times New Roman"/>
        </w:rPr>
      </w:pPr>
      <w:bookmarkStart w:id="271" w:name="OLE_LINK147"/>
      <w:bookmarkStart w:id="272" w:name="OLE_LINK148"/>
      <w:r w:rsidRPr="00D630D1">
        <w:rPr>
          <w:rFonts w:ascii="Times New Roman" w:hAnsi="Times New Roman"/>
        </w:rPr>
        <w:t>钻井工程主要包括钻进、钻进辅助作业、固井等过程。</w:t>
      </w:r>
      <w:bookmarkEnd w:id="271"/>
      <w:bookmarkEnd w:id="272"/>
    </w:p>
    <w:p w:rsidR="007422A2" w:rsidRPr="00D630D1" w:rsidRDefault="007422A2" w:rsidP="007422A2">
      <w:pPr>
        <w:pStyle w:val="SSEC20150323"/>
        <w:spacing w:line="360" w:lineRule="auto"/>
        <w:ind w:firstLine="480"/>
        <w:rPr>
          <w:rFonts w:ascii="Times New Roman" w:hAnsi="Times New Roman"/>
        </w:rPr>
      </w:pPr>
      <w:r w:rsidRPr="00D630D1">
        <w:rPr>
          <w:rFonts w:ascii="Times New Roman" w:hAnsi="Times New Roman"/>
        </w:rPr>
        <w:t>钻进由起下钻、接单根、钻进等作业组成；钻进辅助作业由电测井、取心钻进、综合录井、中途测试等作业组成；固井由下套管和注固井液两个过程组成；完井作业采用套管完井、洗井等工艺，完井后设备搬迁。钻井过程采用网电。</w:t>
      </w:r>
    </w:p>
    <w:p w:rsidR="007422A2" w:rsidRPr="00D630D1" w:rsidRDefault="007422A2" w:rsidP="007422A2">
      <w:pPr>
        <w:pStyle w:val="SSEC1"/>
        <w:numPr>
          <w:ilvl w:val="0"/>
          <w:numId w:val="0"/>
        </w:numPr>
        <w:spacing w:line="360" w:lineRule="auto"/>
        <w:ind w:left="476"/>
        <w:rPr>
          <w:rFonts w:ascii="Times New Roman" w:hAnsi="Times New Roman"/>
        </w:rPr>
      </w:pPr>
      <w:r w:rsidRPr="00D630D1">
        <w:rPr>
          <w:rFonts w:ascii="Times New Roman" w:hAnsi="Times New Roman"/>
        </w:rPr>
        <w:t>（</w:t>
      </w:r>
      <w:r w:rsidRPr="00D630D1">
        <w:rPr>
          <w:rFonts w:ascii="Times New Roman" w:hAnsi="Times New Roman"/>
        </w:rPr>
        <w:t>1</w:t>
      </w:r>
      <w:r w:rsidRPr="00D630D1">
        <w:rPr>
          <w:rFonts w:ascii="Times New Roman" w:hAnsi="Times New Roman"/>
        </w:rPr>
        <w:t>）钻井过程</w:t>
      </w:r>
    </w:p>
    <w:p w:rsidR="00AC430B" w:rsidRDefault="00AC430B" w:rsidP="00AC430B">
      <w:pPr>
        <w:pStyle w:val="afa"/>
        <w:ind w:firstLine="480"/>
      </w:pPr>
      <w:r>
        <w:rPr>
          <w:rFonts w:hint="eastAsia"/>
        </w:rPr>
        <w:lastRenderedPageBreak/>
        <w:t>钻井工程以网电为动力（备用柴油发电机），通过钻机、转盘，带动钻头切削地层，同时由泥浆泵经钻杆向井内注入高压泥浆，冲刷井底，将切削下的岩屑不断带至地面，整个过程循环进行，直至目的井深；钻井中途需要停钻，以便起下钻具更换钻头、下套管、固井、替换洗井液和检修设备；当钻井钻至目的层位后即可进入完井阶段，完井阶段采用的是衬管完井（备用裸眼），然后再进行压裂作业，以实现储层改造。钻井作业</w:t>
      </w:r>
      <w:r>
        <w:rPr>
          <w:rFonts w:hint="eastAsia"/>
        </w:rPr>
        <w:t xml:space="preserve"> 24 </w:t>
      </w:r>
      <w:r>
        <w:rPr>
          <w:rFonts w:hint="eastAsia"/>
        </w:rPr>
        <w:t>小时连续作业。本项目钻井方式为泥浆钻井方式，导管及一开采用水基泥浆钻井，二开采用油基钻井液。</w:t>
      </w:r>
      <w:r w:rsidRPr="00D630D1">
        <w:t>钻</w:t>
      </w:r>
      <w:r>
        <w:rPr>
          <w:rFonts w:hint="eastAsia"/>
        </w:rPr>
        <w:t>井</w:t>
      </w:r>
      <w:r w:rsidRPr="00D630D1">
        <w:t>过程工艺流程及产污环节见图</w:t>
      </w:r>
      <w:r w:rsidRPr="00D630D1">
        <w:rPr>
          <w:rFonts w:hint="eastAsia"/>
        </w:rPr>
        <w:t>4.1-2</w:t>
      </w:r>
      <w:r w:rsidRPr="00D630D1">
        <w:rPr>
          <w:rFonts w:hint="eastAsia"/>
        </w:rPr>
        <w:t>。</w:t>
      </w: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pPr>
    </w:p>
    <w:p w:rsidR="00AC430B" w:rsidRDefault="00AC430B" w:rsidP="00AC430B">
      <w:pPr>
        <w:pStyle w:val="afa"/>
        <w:ind w:firstLine="480"/>
        <w:sectPr w:rsidR="00AC430B" w:rsidSect="00BA4F10">
          <w:headerReference w:type="default" r:id="rId48"/>
          <w:footerReference w:type="default" r:id="rId49"/>
          <w:pgSz w:w="11906" w:h="16838"/>
          <w:pgMar w:top="1440" w:right="1800" w:bottom="1440" w:left="1800" w:header="851" w:footer="992" w:gutter="0"/>
          <w:cols w:space="425"/>
          <w:docGrid w:type="lines" w:linePitch="312"/>
        </w:sectPr>
      </w:pPr>
    </w:p>
    <w:p w:rsidR="00AC430B" w:rsidRDefault="00AC430B" w:rsidP="00AC430B">
      <w:pPr>
        <w:pStyle w:val="afa"/>
        <w:ind w:firstLine="480"/>
      </w:pPr>
      <w:r w:rsidRPr="00AC430B">
        <w:rPr>
          <w:noProof/>
        </w:rPr>
        <w:lastRenderedPageBreak/>
        <w:drawing>
          <wp:inline distT="0" distB="0" distL="0" distR="0">
            <wp:extent cx="8484870" cy="3786967"/>
            <wp:effectExtent l="19050" t="0" r="0" b="0"/>
            <wp:docPr id="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print"/>
                    <a:srcRect/>
                    <a:stretch>
                      <a:fillRect/>
                    </a:stretch>
                  </pic:blipFill>
                  <pic:spPr bwMode="auto">
                    <a:xfrm>
                      <a:off x="0" y="0"/>
                      <a:ext cx="8494668" cy="3791340"/>
                    </a:xfrm>
                    <a:prstGeom prst="rect">
                      <a:avLst/>
                    </a:prstGeom>
                    <a:noFill/>
                    <a:ln w="9525">
                      <a:noFill/>
                      <a:miter lim="800000"/>
                      <a:headEnd/>
                      <a:tailEnd/>
                    </a:ln>
                  </pic:spPr>
                </pic:pic>
              </a:graphicData>
            </a:graphic>
          </wp:inline>
        </w:drawing>
      </w:r>
    </w:p>
    <w:p w:rsidR="00AC430B" w:rsidRDefault="00AC430B" w:rsidP="00AC430B">
      <w:pPr>
        <w:pStyle w:val="afa"/>
        <w:ind w:firstLine="422"/>
        <w:jc w:val="center"/>
      </w:pPr>
      <w:r w:rsidRPr="00D630D1">
        <w:rPr>
          <w:rFonts w:hint="eastAsia"/>
          <w:b/>
          <w:sz w:val="21"/>
          <w:szCs w:val="21"/>
        </w:rPr>
        <w:t>图</w:t>
      </w:r>
      <w:r w:rsidRPr="00D630D1">
        <w:rPr>
          <w:b/>
          <w:sz w:val="21"/>
          <w:szCs w:val="21"/>
        </w:rPr>
        <w:t>4</w:t>
      </w:r>
      <w:r w:rsidRPr="00D630D1">
        <w:rPr>
          <w:rFonts w:hint="eastAsia"/>
          <w:b/>
          <w:sz w:val="21"/>
          <w:szCs w:val="21"/>
        </w:rPr>
        <w:t>.1</w:t>
      </w:r>
      <w:r w:rsidRPr="00D630D1">
        <w:rPr>
          <w:b/>
          <w:sz w:val="21"/>
          <w:szCs w:val="21"/>
        </w:rPr>
        <w:t>-</w:t>
      </w:r>
      <w:r w:rsidRPr="00D630D1">
        <w:rPr>
          <w:rFonts w:hint="eastAsia"/>
          <w:b/>
          <w:sz w:val="21"/>
          <w:szCs w:val="21"/>
        </w:rPr>
        <w:t>2</w:t>
      </w:r>
      <w:r w:rsidRPr="00D630D1">
        <w:rPr>
          <w:b/>
          <w:sz w:val="21"/>
          <w:szCs w:val="21"/>
        </w:rPr>
        <w:t xml:space="preserve">  </w:t>
      </w:r>
      <w:r w:rsidRPr="00D630D1">
        <w:rPr>
          <w:rFonts w:hint="eastAsia"/>
          <w:b/>
          <w:sz w:val="21"/>
          <w:szCs w:val="21"/>
        </w:rPr>
        <w:t>钻井过程</w:t>
      </w:r>
      <w:r w:rsidRPr="00D630D1">
        <w:rPr>
          <w:b/>
          <w:sz w:val="21"/>
          <w:szCs w:val="21"/>
        </w:rPr>
        <w:t>工艺流程及产污环节图</w:t>
      </w:r>
    </w:p>
    <w:p w:rsidR="00AC430B" w:rsidRDefault="00AC430B" w:rsidP="00AC430B">
      <w:pPr>
        <w:pStyle w:val="afa"/>
        <w:ind w:firstLine="480"/>
      </w:pPr>
    </w:p>
    <w:p w:rsidR="00AC430B" w:rsidRDefault="00AC430B" w:rsidP="00AC430B">
      <w:pPr>
        <w:pStyle w:val="afa"/>
        <w:ind w:firstLine="480"/>
        <w:sectPr w:rsidR="00AC430B" w:rsidSect="00AC430B">
          <w:pgSz w:w="16838" w:h="11906" w:orient="landscape"/>
          <w:pgMar w:top="1797" w:right="1440" w:bottom="1797" w:left="1440" w:header="851" w:footer="992" w:gutter="0"/>
          <w:cols w:space="425"/>
          <w:docGrid w:type="linesAndChars" w:linePitch="312"/>
        </w:sectPr>
      </w:pPr>
    </w:p>
    <w:p w:rsidR="00AC430B" w:rsidRDefault="00AC430B" w:rsidP="00AC430B">
      <w:pPr>
        <w:pStyle w:val="afa"/>
        <w:ind w:firstLine="480"/>
      </w:pPr>
      <w:r>
        <w:rPr>
          <w:rFonts w:hint="eastAsia"/>
        </w:rPr>
        <w:lastRenderedPageBreak/>
        <w:t>1</w:t>
      </w:r>
      <w:r>
        <w:rPr>
          <w:rFonts w:hint="eastAsia"/>
        </w:rPr>
        <w:t>）钻井</w:t>
      </w:r>
    </w:p>
    <w:p w:rsidR="00D23958" w:rsidRDefault="00AC430B" w:rsidP="00AC430B">
      <w:pPr>
        <w:pStyle w:val="afa"/>
        <w:ind w:firstLine="480"/>
      </w:pPr>
      <w:r>
        <w:rPr>
          <w:rFonts w:hint="eastAsia"/>
        </w:rPr>
        <w:t>本工程采用常规钻井工艺，钻井工程作业正常情况下以网电为动力，停电等非正常情况下以柴油机为动力，通过钻机、转盘，带动钻杆切削地层，同时用泥浆泵经钻杆向井内注入高压泥浆，冲刷井底，将切削下的岩屑不断带至地面，整个过程循环进行，使井不断加深，直至目的井深。钻井中途会停钻，以起下钻具更换钻头、下套管、固井、替换洗井液、设备检修等。钻井工艺设备组成示意见图</w:t>
      </w:r>
      <w:r>
        <w:rPr>
          <w:rFonts w:hint="eastAsia"/>
        </w:rPr>
        <w:t xml:space="preserve"> 4.1-3</w:t>
      </w:r>
      <w:r>
        <w:rPr>
          <w:rFonts w:hint="eastAsia"/>
        </w:rPr>
        <w:t>。</w:t>
      </w:r>
    </w:p>
    <w:p w:rsidR="00D23958" w:rsidRDefault="00D23958" w:rsidP="00D23958">
      <w:pPr>
        <w:pStyle w:val="afa"/>
        <w:ind w:firstLineChars="0" w:firstLine="0"/>
        <w:jc w:val="center"/>
      </w:pPr>
      <w:r>
        <w:rPr>
          <w:noProof/>
        </w:rPr>
        <w:drawing>
          <wp:inline distT="0" distB="0" distL="0" distR="0">
            <wp:extent cx="3451860" cy="4417695"/>
            <wp:effectExtent l="1905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cstate="print"/>
                    <a:srcRect/>
                    <a:stretch>
                      <a:fillRect/>
                    </a:stretch>
                  </pic:blipFill>
                  <pic:spPr bwMode="auto">
                    <a:xfrm>
                      <a:off x="0" y="0"/>
                      <a:ext cx="3451860" cy="4417695"/>
                    </a:xfrm>
                    <a:prstGeom prst="rect">
                      <a:avLst/>
                    </a:prstGeom>
                    <a:noFill/>
                    <a:ln w="9525">
                      <a:noFill/>
                      <a:miter lim="800000"/>
                      <a:headEnd/>
                      <a:tailEnd/>
                    </a:ln>
                  </pic:spPr>
                </pic:pic>
              </a:graphicData>
            </a:graphic>
          </wp:inline>
        </w:drawing>
      </w:r>
      <w:r>
        <w:t xml:space="preserve"> </w:t>
      </w:r>
    </w:p>
    <w:p w:rsidR="00AC430B" w:rsidRDefault="00D23958" w:rsidP="00D23958">
      <w:pPr>
        <w:pStyle w:val="afa"/>
        <w:ind w:firstLineChars="0" w:firstLine="0"/>
        <w:jc w:val="center"/>
      </w:pPr>
      <w:r w:rsidRPr="00D630D1">
        <w:rPr>
          <w:rFonts w:hint="eastAsia"/>
          <w:b/>
          <w:sz w:val="21"/>
          <w:szCs w:val="21"/>
        </w:rPr>
        <w:t>图</w:t>
      </w:r>
      <w:r w:rsidRPr="00D630D1">
        <w:rPr>
          <w:b/>
          <w:sz w:val="21"/>
          <w:szCs w:val="21"/>
        </w:rPr>
        <w:t>4</w:t>
      </w:r>
      <w:r w:rsidRPr="00D630D1">
        <w:rPr>
          <w:rFonts w:hint="eastAsia"/>
          <w:b/>
          <w:sz w:val="21"/>
          <w:szCs w:val="21"/>
        </w:rPr>
        <w:t>.1</w:t>
      </w:r>
      <w:r w:rsidRPr="00D630D1">
        <w:rPr>
          <w:b/>
          <w:sz w:val="21"/>
          <w:szCs w:val="21"/>
        </w:rPr>
        <w:t>-</w:t>
      </w:r>
      <w:r>
        <w:rPr>
          <w:rFonts w:hint="eastAsia"/>
          <w:b/>
          <w:sz w:val="21"/>
          <w:szCs w:val="21"/>
        </w:rPr>
        <w:t>3</w:t>
      </w:r>
      <w:r w:rsidRPr="00D630D1">
        <w:rPr>
          <w:b/>
          <w:sz w:val="21"/>
          <w:szCs w:val="21"/>
        </w:rPr>
        <w:t xml:space="preserve">  </w:t>
      </w:r>
      <w:r w:rsidRPr="00D23958">
        <w:rPr>
          <w:rFonts w:hint="eastAsia"/>
          <w:b/>
          <w:sz w:val="21"/>
          <w:szCs w:val="21"/>
        </w:rPr>
        <w:t>钻井工艺设备组成示意图</w:t>
      </w:r>
    </w:p>
    <w:p w:rsidR="00D23958" w:rsidRDefault="00D23958" w:rsidP="00D23958">
      <w:pPr>
        <w:pStyle w:val="afa"/>
        <w:ind w:firstLine="480"/>
      </w:pPr>
      <w:r>
        <w:rPr>
          <w:rFonts w:hint="eastAsia"/>
        </w:rPr>
        <w:t>2</w:t>
      </w:r>
      <w:r>
        <w:rPr>
          <w:rFonts w:hint="eastAsia"/>
        </w:rPr>
        <w:t>）钻井液循环系统</w:t>
      </w:r>
    </w:p>
    <w:p w:rsidR="00D23958" w:rsidRDefault="00D23958" w:rsidP="00D23958">
      <w:pPr>
        <w:pStyle w:val="afa"/>
        <w:ind w:firstLine="480"/>
      </w:pPr>
      <w:r>
        <w:rPr>
          <w:rFonts w:hint="eastAsia"/>
        </w:rPr>
        <w:t>钻井泥浆系统是钻井工程的核心部分，钻井泥浆分为可生物降解、水基、油基三种，清洁性能依次减弱。泥浆循环系统主要包括钻井液振动筛、真空除气器、除砂器、除泥器，除砂除泥一体机、液气分离器、搅拌器、砂泵、泥浆罐等石油钻井固控设备及成套泥浆循环系统，泥浆循环系统，适用于油井、水井钻探中泥浆循环作业。箱体外壳均用钢板压制成型，外形美观，强度高。</w:t>
      </w:r>
    </w:p>
    <w:p w:rsidR="00AC430B" w:rsidRDefault="00D23958" w:rsidP="00D23958">
      <w:pPr>
        <w:pStyle w:val="afa"/>
        <w:ind w:firstLine="480"/>
      </w:pPr>
      <w:r>
        <w:rPr>
          <w:rFonts w:hint="eastAsia"/>
        </w:rPr>
        <w:lastRenderedPageBreak/>
        <w:t>钻井泥浆泵经钻杆向井内注入高压钻井泥浆，通过钻头挤入井底，冲刷井底，将钻头切削下的岩屑不断地带至地面，通过泥浆循环系统实现泥浆与岩屑的分离，回收泥浆进入泥浆罐再利用。本项目涉及</w:t>
      </w:r>
      <w:r w:rsidRPr="00D23958">
        <w:rPr>
          <w:rFonts w:hint="eastAsia"/>
        </w:rPr>
        <w:t>普陆页</w:t>
      </w:r>
      <w:r w:rsidRPr="00D23958">
        <w:rPr>
          <w:rFonts w:hint="eastAsia"/>
        </w:rPr>
        <w:t>1-1~6</w:t>
      </w:r>
      <w:r>
        <w:rPr>
          <w:rFonts w:hint="eastAsia"/>
        </w:rPr>
        <w:t>井；使用水基钻井液钻井，有利于降低作业成本，减少对地层污染。钻井过程严格按照中国石油化工股份有限公司中原油田普光分公司钻井作业指导书进行，强化泥浆的循环利用率。完井后泥浆循环系统中产生的合格泥浆暂存在泥浆储备罐内，用于区域内其他井水基泥浆配置。钻井过程中产生的废弃泥浆通过现场泥浆不落地工艺进行固液分离，回收上清液用于泥浆配置，剩余废水经预处理后由罐车拉运至大湾</w:t>
      </w:r>
      <w:r>
        <w:rPr>
          <w:rFonts w:hint="eastAsia"/>
        </w:rPr>
        <w:t xml:space="preserve"> 403</w:t>
      </w:r>
      <w:r>
        <w:rPr>
          <w:rFonts w:hint="eastAsia"/>
        </w:rPr>
        <w:t>污水站处理达标后管输至毛开</w:t>
      </w:r>
      <w:r>
        <w:rPr>
          <w:rFonts w:hint="eastAsia"/>
        </w:rPr>
        <w:t xml:space="preserve"> 1 </w:t>
      </w:r>
      <w:r>
        <w:rPr>
          <w:rFonts w:hint="eastAsia"/>
        </w:rPr>
        <w:t>井回注站回注，不外排；水基钻井固废</w:t>
      </w:r>
      <w:r w:rsidRPr="00D630D1">
        <w:t>就近交给依法取得生态环境部门关于利用和处置相关工业固体废物项目环评批复、具有处理处置相应固体废物能力并配套建设有废气、废水、固废等污染物治理设施的单位</w:t>
      </w:r>
      <w:r w:rsidRPr="00D630D1">
        <w:rPr>
          <w:rFonts w:hint="eastAsia"/>
        </w:rPr>
        <w:t>进行资源化利用</w:t>
      </w:r>
      <w:r>
        <w:rPr>
          <w:rFonts w:hint="eastAsia"/>
        </w:rPr>
        <w:t>；油基钻井固废交由资质单位处置。</w:t>
      </w:r>
    </w:p>
    <w:p w:rsidR="00D23958" w:rsidRDefault="00D23958" w:rsidP="00D23958">
      <w:pPr>
        <w:pStyle w:val="afa"/>
        <w:ind w:firstLine="480"/>
      </w:pPr>
      <w:r>
        <w:rPr>
          <w:rFonts w:hint="eastAsia"/>
        </w:rPr>
        <w:t>3</w:t>
      </w:r>
      <w:r>
        <w:rPr>
          <w:rFonts w:hint="eastAsia"/>
        </w:rPr>
        <w:t>）泥浆不落地系统</w:t>
      </w:r>
    </w:p>
    <w:p w:rsidR="00D23958" w:rsidRDefault="00D23958" w:rsidP="00D23958">
      <w:pPr>
        <w:pStyle w:val="afa"/>
        <w:ind w:firstLine="480"/>
      </w:pPr>
      <w:r>
        <w:rPr>
          <w:rFonts w:hint="eastAsia"/>
        </w:rPr>
        <w:t>泥浆不落地处置工艺流程图见图</w:t>
      </w:r>
      <w:r>
        <w:rPr>
          <w:rFonts w:hint="eastAsia"/>
        </w:rPr>
        <w:t>4.1-4</w:t>
      </w:r>
      <w:r>
        <w:rPr>
          <w:rFonts w:hint="eastAsia"/>
        </w:rPr>
        <w:t>。</w:t>
      </w:r>
    </w:p>
    <w:p w:rsidR="00D23958" w:rsidRDefault="00D23958" w:rsidP="00D23958">
      <w:pPr>
        <w:pStyle w:val="afa"/>
        <w:ind w:firstLineChars="83" w:firstLine="199"/>
        <w:jc w:val="center"/>
      </w:pPr>
      <w:r>
        <w:rPr>
          <w:rFonts w:hint="eastAsia"/>
          <w:noProof/>
        </w:rPr>
        <w:drawing>
          <wp:inline distT="0" distB="0" distL="0" distR="0">
            <wp:extent cx="5274310" cy="3223245"/>
            <wp:effectExtent l="19050" t="0" r="2540" b="0"/>
            <wp:docPr id="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srcRect/>
                    <a:stretch>
                      <a:fillRect/>
                    </a:stretch>
                  </pic:blipFill>
                  <pic:spPr bwMode="auto">
                    <a:xfrm>
                      <a:off x="0" y="0"/>
                      <a:ext cx="5274310" cy="3223245"/>
                    </a:xfrm>
                    <a:prstGeom prst="rect">
                      <a:avLst/>
                    </a:prstGeom>
                    <a:noFill/>
                    <a:ln w="9525">
                      <a:noFill/>
                      <a:miter lim="800000"/>
                      <a:headEnd/>
                      <a:tailEnd/>
                    </a:ln>
                  </pic:spPr>
                </pic:pic>
              </a:graphicData>
            </a:graphic>
          </wp:inline>
        </w:drawing>
      </w:r>
    </w:p>
    <w:p w:rsidR="00D23958" w:rsidRPr="00D23958" w:rsidRDefault="00D23958" w:rsidP="00D23958">
      <w:pPr>
        <w:pStyle w:val="afa"/>
        <w:ind w:firstLineChars="83" w:firstLine="175"/>
        <w:jc w:val="center"/>
      </w:pPr>
      <w:r w:rsidRPr="00D630D1">
        <w:rPr>
          <w:rFonts w:hint="eastAsia"/>
          <w:b/>
          <w:sz w:val="21"/>
          <w:szCs w:val="21"/>
        </w:rPr>
        <w:t>图</w:t>
      </w:r>
      <w:r w:rsidRPr="00D630D1">
        <w:rPr>
          <w:b/>
          <w:sz w:val="21"/>
          <w:szCs w:val="21"/>
        </w:rPr>
        <w:t>4</w:t>
      </w:r>
      <w:r w:rsidRPr="00D630D1">
        <w:rPr>
          <w:rFonts w:hint="eastAsia"/>
          <w:b/>
          <w:sz w:val="21"/>
          <w:szCs w:val="21"/>
        </w:rPr>
        <w:t>.1</w:t>
      </w:r>
      <w:r w:rsidRPr="00D630D1">
        <w:rPr>
          <w:b/>
          <w:sz w:val="21"/>
          <w:szCs w:val="21"/>
        </w:rPr>
        <w:t>-</w:t>
      </w:r>
      <w:r>
        <w:rPr>
          <w:rFonts w:hint="eastAsia"/>
          <w:b/>
          <w:sz w:val="21"/>
          <w:szCs w:val="21"/>
        </w:rPr>
        <w:t>4</w:t>
      </w:r>
      <w:r w:rsidRPr="00D630D1">
        <w:rPr>
          <w:b/>
          <w:sz w:val="21"/>
          <w:szCs w:val="21"/>
        </w:rPr>
        <w:t xml:space="preserve">  </w:t>
      </w:r>
      <w:r>
        <w:rPr>
          <w:rFonts w:hint="eastAsia"/>
          <w:b/>
          <w:sz w:val="21"/>
          <w:szCs w:val="21"/>
        </w:rPr>
        <w:t>泥浆</w:t>
      </w:r>
      <w:r w:rsidRPr="00D23958">
        <w:rPr>
          <w:rFonts w:hint="eastAsia"/>
          <w:b/>
          <w:sz w:val="21"/>
          <w:szCs w:val="21"/>
        </w:rPr>
        <w:t>不落地处置工艺流程图</w:t>
      </w:r>
    </w:p>
    <w:p w:rsidR="00D23958" w:rsidRDefault="00D23958" w:rsidP="00D23958">
      <w:pPr>
        <w:pStyle w:val="afa"/>
        <w:ind w:firstLine="480"/>
      </w:pPr>
      <w:r>
        <w:rPr>
          <w:rFonts w:hint="eastAsia"/>
        </w:rPr>
        <w:t>泥浆不落地处理工艺含泥浆不落地装置一套，占地面积</w:t>
      </w:r>
      <w:r>
        <w:rPr>
          <w:rFonts w:hint="eastAsia"/>
        </w:rPr>
        <w:t xml:space="preserve"> 310m</w:t>
      </w:r>
      <w:r w:rsidRPr="00D23958">
        <w:rPr>
          <w:rFonts w:hint="eastAsia"/>
          <w:vertAlign w:val="superscript"/>
        </w:rPr>
        <w:t>2</w:t>
      </w:r>
      <w:r>
        <w:rPr>
          <w:rFonts w:hint="eastAsia"/>
        </w:rPr>
        <w:t>。主要包含</w:t>
      </w:r>
      <w:r>
        <w:rPr>
          <w:rFonts w:hint="eastAsia"/>
        </w:rPr>
        <w:t>40m</w:t>
      </w:r>
      <w:r w:rsidRPr="00D23958">
        <w:rPr>
          <w:rFonts w:hint="eastAsia"/>
          <w:vertAlign w:val="superscript"/>
        </w:rPr>
        <w:t>3</w:t>
      </w:r>
      <w:r>
        <w:rPr>
          <w:rFonts w:hint="eastAsia"/>
        </w:rPr>
        <w:t>废水罐</w:t>
      </w:r>
      <w:r>
        <w:rPr>
          <w:rFonts w:hint="eastAsia"/>
        </w:rPr>
        <w:t>4</w:t>
      </w:r>
      <w:r>
        <w:rPr>
          <w:rFonts w:hint="eastAsia"/>
        </w:rPr>
        <w:t>个；</w:t>
      </w:r>
      <w:r>
        <w:rPr>
          <w:rFonts w:hint="eastAsia"/>
        </w:rPr>
        <w:t>20m</w:t>
      </w:r>
      <w:r w:rsidRPr="00D23958">
        <w:rPr>
          <w:rFonts w:hint="eastAsia"/>
          <w:vertAlign w:val="superscript"/>
        </w:rPr>
        <w:t>3</w:t>
      </w:r>
      <w:r>
        <w:rPr>
          <w:rFonts w:hint="eastAsia"/>
        </w:rPr>
        <w:t>岩屑固化罐</w:t>
      </w:r>
      <w:r>
        <w:rPr>
          <w:rFonts w:hint="eastAsia"/>
        </w:rPr>
        <w:t>4</w:t>
      </w:r>
      <w:r>
        <w:rPr>
          <w:rFonts w:hint="eastAsia"/>
        </w:rPr>
        <w:t>个；</w:t>
      </w:r>
      <w:r>
        <w:rPr>
          <w:rFonts w:hint="eastAsia"/>
        </w:rPr>
        <w:t>3m</w:t>
      </w:r>
      <w:r w:rsidRPr="00D23958">
        <w:rPr>
          <w:rFonts w:hint="eastAsia"/>
          <w:vertAlign w:val="superscript"/>
        </w:rPr>
        <w:t>3</w:t>
      </w:r>
      <w:r>
        <w:rPr>
          <w:rFonts w:hint="eastAsia"/>
        </w:rPr>
        <w:t>岩屑收集罐</w:t>
      </w:r>
      <w:r>
        <w:rPr>
          <w:rFonts w:hint="eastAsia"/>
        </w:rPr>
        <w:t>8</w:t>
      </w:r>
      <w:r>
        <w:rPr>
          <w:rFonts w:hint="eastAsia"/>
        </w:rPr>
        <w:t>个；化学品存放区。</w:t>
      </w:r>
    </w:p>
    <w:p w:rsidR="00F23EBB" w:rsidRPr="00D630D1" w:rsidRDefault="00D23958" w:rsidP="00D23958">
      <w:pPr>
        <w:pStyle w:val="afa"/>
        <w:ind w:firstLine="480"/>
      </w:pPr>
      <w:r>
        <w:rPr>
          <w:rFonts w:hint="eastAsia"/>
        </w:rPr>
        <w:t>泥浆不落地处理工艺流程为：钻井循环系统振动筛、除砂除泥器产生的钻井</w:t>
      </w:r>
      <w:r>
        <w:rPr>
          <w:rFonts w:hint="eastAsia"/>
        </w:rPr>
        <w:lastRenderedPageBreak/>
        <w:t>废弃物通过滑槽及螺旋输送机收集暂存于隔油罐，随后泵入沉淀罐处理。泥饼卸料后由皮带输送机或螺旋输送机输送到设备岩屑固化罐，处置后泥饼含水率一般保持在</w:t>
      </w:r>
      <w:r>
        <w:rPr>
          <w:rFonts w:hint="eastAsia"/>
        </w:rPr>
        <w:t xml:space="preserve"> 40%~50%</w:t>
      </w:r>
      <w:r>
        <w:rPr>
          <w:rFonts w:hint="eastAsia"/>
        </w:rPr>
        <w:t>的范围内。</w:t>
      </w:r>
      <w:r>
        <w:cr/>
      </w:r>
      <w:r>
        <w:rPr>
          <w:rFonts w:hint="eastAsia"/>
        </w:rPr>
        <w:t xml:space="preserve">    </w:t>
      </w:r>
      <w:r w:rsidR="00F23EBB" w:rsidRPr="00D630D1">
        <w:rPr>
          <w:rFonts w:hint="eastAsia"/>
        </w:rPr>
        <w:t>（</w:t>
      </w:r>
      <w:r w:rsidR="00F23EBB" w:rsidRPr="00D630D1">
        <w:t>2</w:t>
      </w:r>
      <w:r w:rsidR="00F23EBB" w:rsidRPr="00D630D1">
        <w:rPr>
          <w:rFonts w:hint="eastAsia"/>
        </w:rPr>
        <w:t>）钻井辅助作业</w:t>
      </w:r>
    </w:p>
    <w:p w:rsidR="00F23EBB" w:rsidRPr="00D630D1" w:rsidRDefault="00F23EBB" w:rsidP="00F23EBB">
      <w:pPr>
        <w:pStyle w:val="SSEC20150323"/>
        <w:ind w:firstLine="480"/>
      </w:pPr>
      <w:r w:rsidRPr="00D630D1">
        <w:rPr>
          <w:rFonts w:hint="eastAsia"/>
        </w:rPr>
        <w:t>钻井辅助作业由测井、取心钻进、录井、中途测试等作业组成。</w:t>
      </w:r>
    </w:p>
    <w:p w:rsidR="00F23EBB" w:rsidRPr="00D630D1" w:rsidRDefault="00F23EBB" w:rsidP="00F23EBB">
      <w:pPr>
        <w:pStyle w:val="SSEC20150323"/>
        <w:ind w:firstLine="480"/>
      </w:pPr>
      <w:r w:rsidRPr="00D630D1">
        <w:rPr>
          <w:rFonts w:hint="eastAsia"/>
        </w:rPr>
        <w:t>测井是利用电、磁、声、热、核等物理原理制造的各种测井仪器，由测井电缆下入井内，使地面电测仪可沿着井筒连续记录随深度变化的各种参数。通过表示这类参数的曲线，来识别地下的岩层，如油、气、水层、煤层、金属矿床等。目前中原</w:t>
      </w:r>
      <w:r w:rsidRPr="00D630D1">
        <w:t>油田普光分公司测井</w:t>
      </w:r>
      <w:r w:rsidRPr="00D630D1">
        <w:rPr>
          <w:rFonts w:hint="eastAsia"/>
        </w:rPr>
        <w:t>还</w:t>
      </w:r>
      <w:r w:rsidRPr="00D630D1">
        <w:t>未用</w:t>
      </w:r>
      <w:r w:rsidRPr="00D630D1">
        <w:rPr>
          <w:rFonts w:hint="eastAsia"/>
        </w:rPr>
        <w:t>核元素</w:t>
      </w:r>
      <w:r w:rsidRPr="00D630D1">
        <w:t>测井。</w:t>
      </w:r>
    </w:p>
    <w:p w:rsidR="00F23EBB" w:rsidRPr="00D630D1" w:rsidRDefault="00F23EBB" w:rsidP="00F23EBB">
      <w:pPr>
        <w:pStyle w:val="SSEC20150323"/>
        <w:ind w:firstLine="480"/>
      </w:pPr>
      <w:r w:rsidRPr="00D630D1">
        <w:rPr>
          <w:rFonts w:hint="eastAsia"/>
        </w:rPr>
        <w:t>取心是在钻井过程中使用特殊的取心工具把地下岩石成块地取到地面上来，这种成块的岩石叫做岩心，通过它可以测定岩石的各种性质，直观的研究地下构造和岩石沉积环境，了解其中的流体性质等。</w:t>
      </w:r>
    </w:p>
    <w:p w:rsidR="00F23EBB" w:rsidRPr="00D630D1" w:rsidRDefault="00F23EBB" w:rsidP="00F23EBB">
      <w:pPr>
        <w:pStyle w:val="SSEC20150323"/>
        <w:ind w:firstLine="480"/>
      </w:pPr>
      <w:r w:rsidRPr="00D630D1">
        <w:rPr>
          <w:rFonts w:hint="eastAsia"/>
        </w:rPr>
        <w:t>录井是根据测井数据、现场录井数据及综合分析化验数据进行岩性解释、归位，确定含油、气、水产状。</w:t>
      </w:r>
    </w:p>
    <w:p w:rsidR="00F23EBB" w:rsidRPr="00D630D1" w:rsidRDefault="00F23EBB" w:rsidP="00F23EBB">
      <w:pPr>
        <w:pStyle w:val="SSEC20150323"/>
        <w:ind w:firstLine="480"/>
      </w:pPr>
      <w:r w:rsidRPr="00D630D1">
        <w:rPr>
          <w:rFonts w:hint="eastAsia"/>
        </w:rPr>
        <w:t>中途测试是在钻井过程中如果发现良好油气显示即停止钻进，对可能的油、气层进行测试求产。其方法一般有钻杆地层测试，是使用钻杆或油管把带封隔器的地层测试器下入井中进行试油的一种先进技术。它既可以在已下入套管的井中进行测试，也可在未下入套管的裸眼井中进行测试；既可在钻井完成后进行测试，又可在钻井中途进行测试。</w:t>
      </w:r>
    </w:p>
    <w:p w:rsidR="00F23EBB" w:rsidRPr="00D630D1" w:rsidRDefault="00F23EBB" w:rsidP="00F23EBB">
      <w:pPr>
        <w:pStyle w:val="SSEC1"/>
        <w:numPr>
          <w:ilvl w:val="0"/>
          <w:numId w:val="0"/>
        </w:numPr>
        <w:ind w:left="476"/>
      </w:pPr>
      <w:bookmarkStart w:id="273" w:name="OLE_LINK163"/>
      <w:bookmarkStart w:id="274" w:name="OLE_LINK164"/>
      <w:r w:rsidRPr="00D630D1">
        <w:rPr>
          <w:rFonts w:hint="eastAsia"/>
        </w:rPr>
        <w:t>（</w:t>
      </w:r>
      <w:r w:rsidRPr="00D630D1">
        <w:rPr>
          <w:rFonts w:ascii="Times New Roman" w:hAnsi="Times New Roman"/>
        </w:rPr>
        <w:t>3</w:t>
      </w:r>
      <w:r w:rsidRPr="00D630D1">
        <w:rPr>
          <w:rFonts w:hint="eastAsia"/>
        </w:rPr>
        <w:t>）固井作业</w:t>
      </w:r>
      <w:bookmarkEnd w:id="273"/>
      <w:bookmarkEnd w:id="274"/>
    </w:p>
    <w:p w:rsidR="00F23EBB" w:rsidRPr="00D630D1" w:rsidRDefault="00F23EBB" w:rsidP="00F23EBB">
      <w:pPr>
        <w:pStyle w:val="SSEC20150323"/>
        <w:ind w:firstLine="480"/>
      </w:pPr>
      <w:r w:rsidRPr="00D630D1">
        <w:rPr>
          <w:rFonts w:hint="eastAsia"/>
        </w:rPr>
        <w:t>固井是在已钻成的井眼内下入套管，再在套管与井壁之间环空内注入水泥将套管和地层固结在一起的工艺过程，以保证安全继续钻进下一段井眼或保证顺利开采生产层中的油、气。</w:t>
      </w:r>
    </w:p>
    <w:p w:rsidR="00F23EBB" w:rsidRPr="00D630D1" w:rsidRDefault="00F23EBB" w:rsidP="00F23EBB">
      <w:pPr>
        <w:pStyle w:val="SSEC20150323"/>
        <w:ind w:firstLine="480"/>
      </w:pPr>
      <w:r w:rsidRPr="00D630D1">
        <w:rPr>
          <w:rFonts w:hint="eastAsia"/>
        </w:rPr>
        <w:t>固井作业包括下套管和注水泥两个过程。下套管就是在已经钻成的井眼中按规定深度下入一定直径、由某种或几种不同钢级及壁厚的套管组成的套管柱。注水泥就是在地面上将水泥浆通过套管柱注入到井眼与套管柱之间的环形空间中的过程。固井的主要目的是封隔疏松的易塌、易漏地层；封隔油、气、水层，防止互相窜漏。固井作业的主要设备有水泥搅拌机、下灰罐车、混合漏斗和其他附属安全放喷设备等。</w:t>
      </w:r>
    </w:p>
    <w:p w:rsidR="00F23EBB" w:rsidRPr="00D630D1" w:rsidRDefault="00F23EBB" w:rsidP="00F23EBB">
      <w:pPr>
        <w:pStyle w:val="afa"/>
        <w:ind w:firstLine="480"/>
      </w:pPr>
      <w:r w:rsidRPr="00D630D1">
        <w:rPr>
          <w:rFonts w:hint="eastAsia"/>
        </w:rPr>
        <w:t>固井现场施工前根据实际情况要作固井液配方及性能复核试验，若钻进中井漏严重，则应考虑采用双凝水泥浆体系固井，从而提高固井质量，防止因为井漏事故造成地下水环境污染。</w:t>
      </w:r>
    </w:p>
    <w:p w:rsidR="00F23EBB" w:rsidRPr="00D630D1" w:rsidRDefault="00F23EBB" w:rsidP="00F23EBB">
      <w:pPr>
        <w:pStyle w:val="afa"/>
        <w:ind w:firstLine="480"/>
      </w:pPr>
      <w:r w:rsidRPr="00D630D1">
        <w:rPr>
          <w:rFonts w:hint="eastAsia"/>
        </w:rPr>
        <w:lastRenderedPageBreak/>
        <w:t>（</w:t>
      </w:r>
      <w:r w:rsidRPr="00D630D1">
        <w:rPr>
          <w:rFonts w:hint="eastAsia"/>
        </w:rPr>
        <w:t>4</w:t>
      </w:r>
      <w:r w:rsidRPr="00D630D1">
        <w:rPr>
          <w:rFonts w:hint="eastAsia"/>
        </w:rPr>
        <w:t>）完井工程</w:t>
      </w:r>
      <w:r w:rsidR="009A34A1" w:rsidRPr="00D630D1">
        <w:rPr>
          <w:rFonts w:hint="eastAsia"/>
        </w:rPr>
        <w:t>（采气工程）</w:t>
      </w:r>
    </w:p>
    <w:p w:rsidR="00F23EBB" w:rsidRPr="00D630D1" w:rsidRDefault="00F23EBB" w:rsidP="00F23EBB">
      <w:pPr>
        <w:pStyle w:val="SSEC20150323"/>
        <w:spacing w:line="360" w:lineRule="auto"/>
        <w:ind w:firstLine="480"/>
        <w:rPr>
          <w:rFonts w:ascii="Times New Roman" w:hAnsi="Times New Roman"/>
        </w:rPr>
      </w:pPr>
      <w:r w:rsidRPr="00D630D1">
        <w:rPr>
          <w:rFonts w:ascii="Times New Roman"/>
        </w:rPr>
        <w:t>完井工程</w:t>
      </w:r>
      <w:r w:rsidRPr="00D630D1">
        <w:rPr>
          <w:rFonts w:ascii="Times New Roman" w:hAnsi="Times New Roman"/>
        </w:rPr>
        <w:t>共分为</w:t>
      </w:r>
      <w:r w:rsidRPr="00D630D1">
        <w:rPr>
          <w:rFonts w:ascii="Times New Roman" w:hAnsi="Times New Roman"/>
        </w:rPr>
        <w:t>6</w:t>
      </w:r>
      <w:r w:rsidRPr="00D630D1">
        <w:rPr>
          <w:rFonts w:ascii="Times New Roman" w:hAnsi="Times New Roman"/>
        </w:rPr>
        <w:t>个工艺，分别为：井筒处理、模拟通井、下完井管柱、安装采气树、射孔、压裂酸化、放喷求产。</w:t>
      </w:r>
    </w:p>
    <w:p w:rsidR="00B9377E" w:rsidRPr="00D630D1" w:rsidRDefault="00B9377E" w:rsidP="00B9377E">
      <w:pPr>
        <w:snapToGrid w:val="0"/>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）井筒处理</w:t>
      </w:r>
    </w:p>
    <w:p w:rsidR="00B9377E" w:rsidRPr="00D630D1" w:rsidRDefault="00B9377E" w:rsidP="00B9377E">
      <w:pPr>
        <w:snapToGrid w:val="0"/>
        <w:ind w:firstLine="480"/>
        <w:rPr>
          <w:rFonts w:ascii="Times New Roman" w:cs="Times New Roman"/>
        </w:rPr>
      </w:pPr>
      <w:r w:rsidRPr="00D630D1">
        <w:rPr>
          <w:rFonts w:ascii="Times New Roman" w:cs="Times New Roman"/>
        </w:rPr>
        <w:t>井筒处理包括钻塞、通井、刮削和洗井。</w:t>
      </w:r>
    </w:p>
    <w:p w:rsidR="00B9377E" w:rsidRPr="00D630D1" w:rsidRDefault="00B9377E" w:rsidP="00B9377E">
      <w:pPr>
        <w:snapToGrid w:val="0"/>
        <w:ind w:firstLine="480"/>
        <w:rPr>
          <w:rFonts w:ascii="Times New Roman" w:cs="Times New Roman"/>
        </w:rPr>
      </w:pPr>
      <w:r w:rsidRPr="00D630D1">
        <w:rPr>
          <w:rFonts w:ascii="Times New Roman" w:cs="Times New Roman"/>
        </w:rPr>
        <w:t>采用</w:t>
      </w:r>
      <w:r w:rsidRPr="00D630D1">
        <w:rPr>
          <w:rFonts w:ascii="Times New Roman" w:cs="Times New Roman"/>
        </w:rPr>
        <w:t>“</w:t>
      </w:r>
      <w:r w:rsidRPr="00D630D1">
        <w:rPr>
          <w:rFonts w:ascii="Times New Roman" w:cs="Times New Roman"/>
        </w:rPr>
        <w:t>钻头</w:t>
      </w:r>
      <w:r w:rsidRPr="00D630D1">
        <w:rPr>
          <w:rFonts w:ascii="Times New Roman" w:cs="Times New Roman"/>
        </w:rPr>
        <w:t>+</w:t>
      </w:r>
      <w:r w:rsidRPr="00D630D1">
        <w:rPr>
          <w:rFonts w:ascii="Times New Roman" w:cs="Times New Roman"/>
        </w:rPr>
        <w:t>螺杆钻</w:t>
      </w:r>
      <w:r w:rsidRPr="00D630D1">
        <w:rPr>
          <w:rFonts w:ascii="Times New Roman" w:cs="Times New Roman"/>
        </w:rPr>
        <w:t>”</w:t>
      </w:r>
      <w:r w:rsidRPr="00D630D1">
        <w:rPr>
          <w:rFonts w:ascii="Times New Roman" w:cs="Times New Roman"/>
        </w:rPr>
        <w:t>落实灰面并钻掉套管内水泥塞及浮箍，钻掉套管内水泥塞后，采用通井规对套管实施通井，采用刮削器对钻塞井段和合金套管段进行刮削，清理套管内壁残余水泥块，循环洗井。</w:t>
      </w:r>
    </w:p>
    <w:p w:rsidR="00B9377E" w:rsidRPr="00D630D1" w:rsidRDefault="00B9377E" w:rsidP="00B9377E">
      <w:pPr>
        <w:snapToGrid w:val="0"/>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）模拟通井</w:t>
      </w:r>
    </w:p>
    <w:p w:rsidR="00B9377E" w:rsidRPr="00D630D1" w:rsidRDefault="00B9377E" w:rsidP="00B9377E">
      <w:pPr>
        <w:snapToGrid w:val="0"/>
        <w:ind w:firstLine="480"/>
        <w:rPr>
          <w:rFonts w:ascii="Times New Roman" w:cs="Times New Roman"/>
        </w:rPr>
      </w:pPr>
      <w:r w:rsidRPr="00D630D1">
        <w:rPr>
          <w:rFonts w:ascii="Times New Roman" w:cs="Times New Roman"/>
        </w:rPr>
        <w:t>采用钻头通井、单铣柱模拟通井、双铣柱模拟通井三趟通井工艺，确保井眼光滑，为分段完井管柱下井提供顺畅的井筒条件。</w:t>
      </w:r>
    </w:p>
    <w:p w:rsidR="00B9377E" w:rsidRPr="00D630D1" w:rsidRDefault="00B9377E" w:rsidP="00B9377E">
      <w:pPr>
        <w:snapToGrid w:val="0"/>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）下完井管柱</w:t>
      </w:r>
    </w:p>
    <w:p w:rsidR="00B9377E" w:rsidRPr="00D630D1" w:rsidRDefault="00B9377E" w:rsidP="00B9377E">
      <w:pPr>
        <w:pStyle w:val="afa"/>
        <w:ind w:firstLineChars="83" w:firstLine="199"/>
      </w:pPr>
      <w:r w:rsidRPr="00D630D1">
        <w:t>先采用钻杆携带悬挂封及以下分段管柱下井，完成管柱坐封，再下回接管柱完井。</w:t>
      </w:r>
    </w:p>
    <w:p w:rsidR="00B9377E" w:rsidRPr="00D630D1" w:rsidRDefault="00B9377E" w:rsidP="00B9377E">
      <w:pPr>
        <w:topLinePunct w:val="0"/>
        <w:snapToGrid w:val="0"/>
        <w:spacing w:line="331" w:lineRule="auto"/>
        <w:ind w:left="476" w:firstLineChars="0" w:firstLine="0"/>
        <w:rPr>
          <w:rFonts w:ascii="Times New Roman" w:cs="Times New Roman"/>
          <w:kern w:val="2"/>
        </w:rPr>
      </w:pPr>
      <w:r w:rsidRPr="00D630D1">
        <w:rPr>
          <w:rFonts w:ascii="Times New Roman" w:hAnsi="宋体" w:cs="Times New Roman"/>
          <w:kern w:val="2"/>
        </w:rPr>
        <w:t>（</w:t>
      </w:r>
      <w:r w:rsidRPr="00D630D1">
        <w:rPr>
          <w:rFonts w:ascii="Times New Roman" w:cs="Times New Roman"/>
          <w:kern w:val="2"/>
        </w:rPr>
        <w:t>4</w:t>
      </w:r>
      <w:r w:rsidRPr="00D630D1">
        <w:rPr>
          <w:rFonts w:ascii="Times New Roman" w:hAnsi="宋体" w:cs="Times New Roman"/>
          <w:kern w:val="2"/>
        </w:rPr>
        <w:t>）安装采气树</w:t>
      </w:r>
    </w:p>
    <w:p w:rsidR="00B9377E" w:rsidRPr="00D630D1" w:rsidRDefault="00B9377E" w:rsidP="00B9377E">
      <w:pPr>
        <w:topLinePunct w:val="0"/>
        <w:snapToGrid w:val="0"/>
        <w:ind w:firstLine="480"/>
        <w:rPr>
          <w:rFonts w:ascii="Times New Roman" w:cs="Times New Roman"/>
          <w:kern w:val="2"/>
        </w:rPr>
      </w:pPr>
      <w:r w:rsidRPr="00D630D1">
        <w:rPr>
          <w:rFonts w:ascii="Times New Roman" w:cs="Times New Roman" w:hint="eastAsia"/>
          <w:kern w:val="2"/>
        </w:rPr>
        <w:t>安装采气树并进行试压。</w:t>
      </w:r>
      <w:r w:rsidRPr="00D630D1">
        <w:rPr>
          <w:rFonts w:ascii="Times New Roman" w:cs="Times New Roman"/>
          <w:kern w:val="2"/>
        </w:rPr>
        <w:t>依据压裂酸化排量及地面泵压预测结果</w:t>
      </w:r>
      <w:r w:rsidRPr="00D630D1">
        <w:rPr>
          <w:rFonts w:ascii="Times New Roman" w:cs="Times New Roman" w:hint="eastAsia"/>
          <w:kern w:val="2"/>
        </w:rPr>
        <w:t>（最高泵压</w:t>
      </w:r>
      <w:r w:rsidRPr="00D630D1">
        <w:rPr>
          <w:rFonts w:ascii="Times New Roman" w:cs="Times New Roman" w:hint="eastAsia"/>
          <w:kern w:val="2"/>
        </w:rPr>
        <w:t>65.15MPa</w:t>
      </w:r>
      <w:r w:rsidRPr="00D630D1">
        <w:rPr>
          <w:rFonts w:ascii="Times New Roman" w:cs="Times New Roman" w:hint="eastAsia"/>
          <w:kern w:val="2"/>
        </w:rPr>
        <w:t>）、地层压力（</w:t>
      </w:r>
      <w:r w:rsidRPr="00D630D1">
        <w:rPr>
          <w:rFonts w:ascii="Times New Roman" w:cs="Times New Roman" w:hint="eastAsia"/>
          <w:kern w:val="2"/>
        </w:rPr>
        <w:t>50.9MPa</w:t>
      </w:r>
      <w:r w:rsidRPr="00D630D1">
        <w:rPr>
          <w:rFonts w:ascii="Times New Roman" w:cs="Times New Roman" w:hint="eastAsia"/>
          <w:kern w:val="2"/>
        </w:rPr>
        <w:t>）</w:t>
      </w:r>
      <w:r w:rsidRPr="00D630D1">
        <w:rPr>
          <w:rFonts w:ascii="Times New Roman" w:cs="Times New Roman"/>
          <w:kern w:val="2"/>
        </w:rPr>
        <w:t>，选用</w:t>
      </w:r>
      <w:r w:rsidRPr="00D630D1">
        <w:rPr>
          <w:rFonts w:ascii="Times New Roman" w:cs="Times New Roman"/>
          <w:kern w:val="2"/>
        </w:rPr>
        <w:t>70MPa HH</w:t>
      </w:r>
      <w:r w:rsidRPr="00D630D1">
        <w:rPr>
          <w:rFonts w:ascii="Times New Roman" w:cs="Times New Roman"/>
          <w:kern w:val="2"/>
        </w:rPr>
        <w:t>级采气井口，双翼双阀结构，单翼生产，主</w:t>
      </w:r>
      <w:r w:rsidRPr="00D630D1">
        <w:rPr>
          <w:rFonts w:ascii="Times New Roman" w:cs="Times New Roman" w:hint="eastAsia"/>
          <w:kern w:val="2"/>
        </w:rPr>
        <w:t>、侧</w:t>
      </w:r>
      <w:r w:rsidRPr="00D630D1">
        <w:rPr>
          <w:rFonts w:ascii="Times New Roman" w:cs="Times New Roman"/>
          <w:kern w:val="2"/>
        </w:rPr>
        <w:t>通径</w:t>
      </w:r>
      <w:r w:rsidRPr="00D630D1">
        <w:rPr>
          <w:rFonts w:ascii="Times New Roman" w:cs="Times New Roman"/>
          <w:kern w:val="2"/>
        </w:rPr>
        <w:t>3-1/16″</w:t>
      </w:r>
      <w:r w:rsidRPr="00D630D1">
        <w:rPr>
          <w:rFonts w:ascii="Times New Roman" w:cs="Times New Roman"/>
          <w:kern w:val="2"/>
        </w:rPr>
        <w:t>，油管四通</w:t>
      </w:r>
      <w:r w:rsidRPr="00D630D1">
        <w:rPr>
          <w:rFonts w:ascii="Times New Roman" w:cs="Times New Roman"/>
          <w:kern w:val="2"/>
        </w:rPr>
        <w:t>70-70MPa</w:t>
      </w:r>
      <w:r w:rsidRPr="00D630D1">
        <w:rPr>
          <w:rFonts w:ascii="Times New Roman" w:cs="Times New Roman"/>
          <w:kern w:val="2"/>
        </w:rPr>
        <w:t>。</w:t>
      </w:r>
    </w:p>
    <w:p w:rsidR="00B9377E" w:rsidRPr="00D630D1" w:rsidRDefault="00B9377E" w:rsidP="00B9377E">
      <w:pPr>
        <w:topLinePunct w:val="0"/>
        <w:snapToGrid w:val="0"/>
        <w:ind w:firstLine="480"/>
        <w:rPr>
          <w:rFonts w:ascii="Times New Roman" w:cs="Times New Roman"/>
          <w:kern w:val="2"/>
        </w:rPr>
      </w:pPr>
      <w:r w:rsidRPr="00D630D1">
        <w:rPr>
          <w:rFonts w:ascii="Times New Roman" w:hAnsi="宋体" w:cs="Times New Roman"/>
          <w:kern w:val="2"/>
        </w:rPr>
        <w:t>（</w:t>
      </w:r>
      <w:r w:rsidRPr="00D630D1">
        <w:rPr>
          <w:rFonts w:ascii="Times New Roman" w:cs="Times New Roman"/>
          <w:kern w:val="2"/>
        </w:rPr>
        <w:t>5</w:t>
      </w:r>
      <w:r w:rsidRPr="00D630D1">
        <w:rPr>
          <w:rFonts w:ascii="Times New Roman" w:hAnsi="宋体" w:cs="Times New Roman"/>
          <w:kern w:val="2"/>
        </w:rPr>
        <w:t>）压裂酸化</w:t>
      </w:r>
    </w:p>
    <w:p w:rsidR="00B9377E" w:rsidRPr="00D630D1" w:rsidRDefault="00B9377E" w:rsidP="00B9377E">
      <w:pPr>
        <w:topLinePunct w:val="0"/>
        <w:snapToGrid w:val="0"/>
        <w:ind w:firstLine="480"/>
        <w:rPr>
          <w:rFonts w:ascii="Times New Roman" w:cs="Times New Roman"/>
          <w:bCs/>
          <w:kern w:val="2"/>
        </w:rPr>
      </w:pPr>
      <w:r w:rsidRPr="00D630D1">
        <w:rPr>
          <w:rFonts w:ascii="Times New Roman" w:cs="Times New Roman"/>
          <w:kern w:val="2"/>
        </w:rPr>
        <w:t>本项目采用分段压裂酸化改造，以达到均匀布酸、减少前期作业对储层的污染、沟通近井地带储集空间的目标。酸液采用清洁酸，主要成分为水、盐酸和醋酸，</w:t>
      </w:r>
      <w:r w:rsidR="00BB75E0">
        <w:rPr>
          <w:rFonts w:ascii="Times New Roman" w:cs="Times New Roman" w:hint="eastAsia"/>
          <w:kern w:val="2"/>
        </w:rPr>
        <w:t>单井</w:t>
      </w:r>
      <w:r w:rsidR="00BB75E0" w:rsidRPr="00D630D1">
        <w:rPr>
          <w:rFonts w:ascii="Times New Roman" w:cs="Times New Roman"/>
          <w:kern w:val="2"/>
        </w:rPr>
        <w:t>设计用酸总量</w:t>
      </w:r>
      <w:r w:rsidR="00BB75E0" w:rsidRPr="00D630D1">
        <w:rPr>
          <w:rFonts w:ascii="Times New Roman" w:cs="Times New Roman"/>
          <w:kern w:val="2"/>
        </w:rPr>
        <w:t>600m</w:t>
      </w:r>
      <w:r w:rsidR="00BB75E0" w:rsidRPr="00D630D1">
        <w:rPr>
          <w:rFonts w:ascii="Times New Roman" w:cs="Times New Roman"/>
          <w:kern w:val="2"/>
          <w:vertAlign w:val="superscript"/>
        </w:rPr>
        <w:t>3</w:t>
      </w:r>
      <w:r w:rsidR="00BB75E0">
        <w:rPr>
          <w:rFonts w:ascii="Times New Roman" w:cs="Times New Roman" w:hint="eastAsia"/>
          <w:kern w:val="2"/>
        </w:rPr>
        <w:t>，</w:t>
      </w:r>
      <w:r w:rsidR="00BB75E0" w:rsidRPr="00D26A12">
        <w:rPr>
          <w:rFonts w:ascii="Times New Roman" w:hAnsi="宋体" w:cs="Times New Roman" w:hint="eastAsia"/>
          <w:kern w:val="2"/>
        </w:rPr>
        <w:t>普陆页</w:t>
      </w:r>
      <w:r w:rsidR="00BB75E0" w:rsidRPr="00D26A12">
        <w:rPr>
          <w:rFonts w:ascii="Times New Roman" w:hAnsi="宋体" w:cs="Times New Roman" w:hint="eastAsia"/>
          <w:kern w:val="2"/>
        </w:rPr>
        <w:t>1-1~6</w:t>
      </w:r>
      <w:r w:rsidR="00BB75E0">
        <w:rPr>
          <w:rFonts w:ascii="Times New Roman" w:hAnsi="宋体" w:cs="Times New Roman" w:hint="eastAsia"/>
          <w:kern w:val="2"/>
        </w:rPr>
        <w:t>井总用量为</w:t>
      </w:r>
      <w:r w:rsidR="00BB75E0">
        <w:rPr>
          <w:rFonts w:ascii="Times New Roman" w:hAnsi="宋体" w:cs="Times New Roman" w:hint="eastAsia"/>
          <w:kern w:val="2"/>
        </w:rPr>
        <w:t>3600</w:t>
      </w:r>
      <w:r w:rsidR="00BB75E0" w:rsidRPr="00D630D1">
        <w:rPr>
          <w:rFonts w:ascii="Times New Roman" w:cs="Times New Roman"/>
          <w:kern w:val="2"/>
        </w:rPr>
        <w:t>m</w:t>
      </w:r>
      <w:r w:rsidR="00BB75E0" w:rsidRPr="00D630D1">
        <w:rPr>
          <w:rFonts w:ascii="Times New Roman" w:cs="Times New Roman"/>
          <w:kern w:val="2"/>
          <w:vertAlign w:val="superscript"/>
        </w:rPr>
        <w:t>3</w:t>
      </w:r>
      <w:r w:rsidRPr="00D630D1">
        <w:rPr>
          <w:rFonts w:ascii="Times New Roman" w:cs="Times New Roman"/>
          <w:bCs/>
          <w:kern w:val="2"/>
        </w:rPr>
        <w:t>。</w:t>
      </w:r>
    </w:p>
    <w:p w:rsidR="00B9377E" w:rsidRPr="00D630D1" w:rsidRDefault="00B9377E" w:rsidP="00B9377E">
      <w:pPr>
        <w:topLinePunct w:val="0"/>
        <w:snapToGrid w:val="0"/>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6</w:t>
      </w:r>
      <w:r w:rsidRPr="00D630D1">
        <w:rPr>
          <w:rFonts w:ascii="Times New Roman" w:cs="Times New Roman" w:hint="eastAsia"/>
        </w:rPr>
        <w:t>）放喷测试</w:t>
      </w:r>
    </w:p>
    <w:p w:rsidR="00B9377E" w:rsidRPr="00D630D1" w:rsidRDefault="00B9377E" w:rsidP="00B9377E">
      <w:pPr>
        <w:pStyle w:val="SSEC20150323"/>
        <w:spacing w:line="360" w:lineRule="auto"/>
        <w:ind w:firstLine="480"/>
        <w:rPr>
          <w:rFonts w:ascii="Times New Roman" w:hAnsi="Times New Roman"/>
        </w:rPr>
      </w:pPr>
      <w:r w:rsidRPr="00D630D1">
        <w:rPr>
          <w:rFonts w:ascii="Times New Roman" w:hint="eastAsia"/>
        </w:rPr>
        <w:t>选用</w:t>
      </w:r>
      <w:r w:rsidRPr="00D630D1">
        <w:rPr>
          <w:rFonts w:ascii="Times New Roman" w:hint="eastAsia"/>
        </w:rPr>
        <w:t>70MPa</w:t>
      </w:r>
      <w:r w:rsidRPr="00D630D1">
        <w:rPr>
          <w:rFonts w:ascii="Times New Roman" w:hint="eastAsia"/>
        </w:rPr>
        <w:t>～</w:t>
      </w:r>
      <w:r w:rsidRPr="00D630D1">
        <w:rPr>
          <w:rFonts w:ascii="Times New Roman" w:hint="eastAsia"/>
        </w:rPr>
        <w:t>35MPa</w:t>
      </w:r>
      <w:r w:rsidRPr="00D630D1">
        <w:rPr>
          <w:rFonts w:ascii="Times New Roman" w:hint="eastAsia"/>
        </w:rPr>
        <w:t>、</w:t>
      </w:r>
      <w:r w:rsidRPr="00D630D1">
        <w:rPr>
          <w:rFonts w:ascii="Times New Roman" w:hint="eastAsia"/>
        </w:rPr>
        <w:t>EE</w:t>
      </w:r>
      <w:r w:rsidRPr="00D630D1">
        <w:rPr>
          <w:rFonts w:ascii="Times New Roman" w:hint="eastAsia"/>
        </w:rPr>
        <w:t>级二级降压放喷流程，放喷排液后求产。</w:t>
      </w:r>
    </w:p>
    <w:p w:rsidR="00F23EBB" w:rsidRPr="00D630D1" w:rsidRDefault="00F23EBB" w:rsidP="00F23EBB">
      <w:pPr>
        <w:pStyle w:val="SSEC20150323"/>
        <w:ind w:firstLine="480"/>
        <w:rPr>
          <w:rFonts w:ascii="Times New Roman" w:hAnsi="Times New Roman"/>
        </w:rPr>
      </w:pPr>
      <w:r w:rsidRPr="00D630D1">
        <w:rPr>
          <w:rFonts w:ascii="Times New Roman" w:hAnsi="Times New Roman"/>
        </w:rPr>
        <w:t>其中</w:t>
      </w:r>
      <w:r w:rsidR="00BB75E0">
        <w:rPr>
          <w:rFonts w:ascii="Times New Roman" w:hAnsi="Times New Roman" w:hint="eastAsia"/>
        </w:rPr>
        <w:t>单井</w:t>
      </w:r>
      <w:r w:rsidRPr="00D630D1">
        <w:rPr>
          <w:rFonts w:ascii="Times New Roman" w:hAnsi="Times New Roman"/>
        </w:rPr>
        <w:t>井筒处理会产生</w:t>
      </w:r>
      <w:r w:rsidRPr="00D630D1">
        <w:rPr>
          <w:rFonts w:ascii="Times New Roman"/>
        </w:rPr>
        <w:t>洗井废水约</w:t>
      </w:r>
      <w:r w:rsidRPr="00D630D1">
        <w:rPr>
          <w:rFonts w:ascii="Times New Roman" w:hAnsi="Times New Roman"/>
        </w:rPr>
        <w:t>100m</w:t>
      </w:r>
      <w:r w:rsidRPr="00D630D1">
        <w:rPr>
          <w:rFonts w:ascii="Times New Roman" w:hAnsi="Times New Roman"/>
          <w:vertAlign w:val="superscript"/>
        </w:rPr>
        <w:t>3</w:t>
      </w:r>
      <w:r w:rsidR="00BB75E0">
        <w:rPr>
          <w:rFonts w:ascii="Times New Roman" w:hint="eastAsia"/>
        </w:rPr>
        <w:t>，</w:t>
      </w:r>
      <w:r w:rsidR="00BB75E0" w:rsidRPr="00D26A12">
        <w:rPr>
          <w:rFonts w:ascii="Times New Roman" w:hint="eastAsia"/>
        </w:rPr>
        <w:t>普陆页</w:t>
      </w:r>
      <w:r w:rsidR="00BB75E0" w:rsidRPr="00D26A12">
        <w:rPr>
          <w:rFonts w:ascii="Times New Roman" w:hint="eastAsia"/>
        </w:rPr>
        <w:t>1-1~6</w:t>
      </w:r>
      <w:r w:rsidR="00BB75E0">
        <w:rPr>
          <w:rFonts w:ascii="Times New Roman" w:hint="eastAsia"/>
        </w:rPr>
        <w:t>井</w:t>
      </w:r>
      <w:r w:rsidR="00BB75E0">
        <w:rPr>
          <w:rFonts w:ascii="Times New Roman" w:hAnsi="Times New Roman" w:hint="eastAsia"/>
        </w:rPr>
        <w:t>总共</w:t>
      </w:r>
      <w:r w:rsidR="00BB75E0" w:rsidRPr="00D630D1">
        <w:rPr>
          <w:rFonts w:ascii="Times New Roman" w:hAnsi="Times New Roman"/>
        </w:rPr>
        <w:t>产生</w:t>
      </w:r>
      <w:r w:rsidR="00BB75E0" w:rsidRPr="00D630D1">
        <w:rPr>
          <w:rFonts w:ascii="Times New Roman"/>
        </w:rPr>
        <w:t>洗井废水约</w:t>
      </w:r>
      <w:r w:rsidR="00BB75E0">
        <w:rPr>
          <w:rFonts w:ascii="Times New Roman" w:hAnsi="Times New Roman" w:hint="eastAsia"/>
        </w:rPr>
        <w:t>6</w:t>
      </w:r>
      <w:r w:rsidR="00BB75E0" w:rsidRPr="00D630D1">
        <w:rPr>
          <w:rFonts w:ascii="Times New Roman" w:hAnsi="Times New Roman"/>
        </w:rPr>
        <w:t>00m</w:t>
      </w:r>
      <w:r w:rsidR="00BB75E0" w:rsidRPr="00D630D1">
        <w:rPr>
          <w:rFonts w:ascii="Times New Roman" w:hAnsi="Times New Roman"/>
          <w:vertAlign w:val="superscript"/>
        </w:rPr>
        <w:t>3</w:t>
      </w:r>
      <w:r w:rsidR="00BB75E0" w:rsidRPr="00D630D1">
        <w:rPr>
          <w:rFonts w:ascii="Times New Roman"/>
        </w:rPr>
        <w:t>；</w:t>
      </w:r>
      <w:r w:rsidRPr="00D630D1">
        <w:rPr>
          <w:rFonts w:ascii="Times New Roman"/>
        </w:rPr>
        <w:t>压裂酸化过程产生压裂酸化废水，本项目</w:t>
      </w:r>
      <w:r w:rsidR="000B68BB">
        <w:rPr>
          <w:rFonts w:ascii="Times New Roman" w:hAnsi="Times New Roman" w:hint="eastAsia"/>
        </w:rPr>
        <w:t>单井</w:t>
      </w:r>
      <w:r w:rsidRPr="00D630D1">
        <w:rPr>
          <w:rFonts w:ascii="Times New Roman"/>
        </w:rPr>
        <w:t>酸压过程酸液用量约</w:t>
      </w:r>
      <w:r w:rsidRPr="00D630D1">
        <w:rPr>
          <w:rFonts w:ascii="Times New Roman" w:hAnsi="Times New Roman"/>
        </w:rPr>
        <w:t>600m</w:t>
      </w:r>
      <w:r w:rsidRPr="00D630D1">
        <w:rPr>
          <w:rFonts w:ascii="Times New Roman" w:hAnsi="Times New Roman"/>
          <w:vertAlign w:val="superscript"/>
        </w:rPr>
        <w:t>3</w:t>
      </w:r>
      <w:r w:rsidRPr="00D630D1">
        <w:rPr>
          <w:rFonts w:ascii="Times New Roman"/>
        </w:rPr>
        <w:t>，</w:t>
      </w:r>
      <w:r w:rsidR="00BB75E0" w:rsidRPr="00D26A12">
        <w:rPr>
          <w:rFonts w:ascii="Times New Roman" w:hint="eastAsia"/>
        </w:rPr>
        <w:t>普陆页</w:t>
      </w:r>
      <w:r w:rsidR="00BB75E0" w:rsidRPr="00D26A12">
        <w:rPr>
          <w:rFonts w:ascii="Times New Roman" w:hint="eastAsia"/>
        </w:rPr>
        <w:t>1-1~6</w:t>
      </w:r>
      <w:r w:rsidR="00BB75E0">
        <w:rPr>
          <w:rFonts w:ascii="Times New Roman" w:hint="eastAsia"/>
        </w:rPr>
        <w:t>井总用量为</w:t>
      </w:r>
      <w:r w:rsidR="00BB75E0">
        <w:rPr>
          <w:rFonts w:ascii="Times New Roman" w:hint="eastAsia"/>
        </w:rPr>
        <w:t>3600</w:t>
      </w:r>
      <w:r w:rsidR="00BB75E0" w:rsidRPr="00D630D1">
        <w:rPr>
          <w:rFonts w:ascii="Times New Roman"/>
        </w:rPr>
        <w:t>m</w:t>
      </w:r>
      <w:r w:rsidR="00BB75E0" w:rsidRPr="00D630D1">
        <w:rPr>
          <w:rFonts w:ascii="Times New Roman"/>
          <w:vertAlign w:val="superscript"/>
        </w:rPr>
        <w:t>3</w:t>
      </w:r>
      <w:r w:rsidR="00BB75E0" w:rsidRPr="00D630D1">
        <w:rPr>
          <w:rFonts w:ascii="Times New Roman"/>
        </w:rPr>
        <w:t>，</w:t>
      </w:r>
      <w:r w:rsidRPr="00D630D1">
        <w:rPr>
          <w:rFonts w:ascii="Times New Roman"/>
        </w:rPr>
        <w:t>根据该区域已完钻钻井工程可知，该区域钻井工程返排率约</w:t>
      </w:r>
      <w:r w:rsidRPr="00D630D1">
        <w:rPr>
          <w:rFonts w:ascii="Times New Roman" w:hAnsi="Times New Roman"/>
        </w:rPr>
        <w:t>30%</w:t>
      </w:r>
      <w:r w:rsidRPr="00D630D1">
        <w:rPr>
          <w:rFonts w:ascii="Times New Roman"/>
        </w:rPr>
        <w:t>，则本项目</w:t>
      </w:r>
      <w:r w:rsidR="000B68BB">
        <w:rPr>
          <w:rFonts w:ascii="Times New Roman" w:hAnsi="Times New Roman" w:hint="eastAsia"/>
        </w:rPr>
        <w:t>单井</w:t>
      </w:r>
      <w:r w:rsidRPr="00D630D1">
        <w:rPr>
          <w:rFonts w:ascii="Times New Roman"/>
        </w:rPr>
        <w:t>返排液量为</w:t>
      </w:r>
      <w:r w:rsidRPr="00D630D1">
        <w:rPr>
          <w:rFonts w:ascii="Times New Roman" w:hAnsi="Times New Roman"/>
        </w:rPr>
        <w:t>1</w:t>
      </w:r>
      <w:r w:rsidR="00BB75E0">
        <w:rPr>
          <w:rFonts w:ascii="Times New Roman" w:hAnsi="Times New Roman" w:hint="eastAsia"/>
        </w:rPr>
        <w:t>0</w:t>
      </w:r>
      <w:r w:rsidRPr="00D630D1">
        <w:rPr>
          <w:rFonts w:ascii="Times New Roman" w:hAnsi="Times New Roman"/>
        </w:rPr>
        <w:t>80m</w:t>
      </w:r>
      <w:r w:rsidRPr="00D630D1">
        <w:rPr>
          <w:rFonts w:ascii="Times New Roman" w:hAnsi="Times New Roman"/>
          <w:vertAlign w:val="superscript"/>
        </w:rPr>
        <w:t>3</w:t>
      </w:r>
      <w:r w:rsidRPr="00D630D1">
        <w:rPr>
          <w:rFonts w:ascii="Times New Roman"/>
        </w:rPr>
        <w:t>，压裂酸化废水</w:t>
      </w:r>
      <w:r w:rsidR="00775840" w:rsidRPr="00D630D1">
        <w:rPr>
          <w:rFonts w:hint="eastAsia"/>
          <w:spacing w:val="-8"/>
          <w:szCs w:val="21"/>
        </w:rPr>
        <w:t>部分</w:t>
      </w:r>
      <w:r w:rsidR="00775840" w:rsidRPr="00D630D1">
        <w:rPr>
          <w:spacing w:val="-8"/>
          <w:szCs w:val="21"/>
        </w:rPr>
        <w:t>暂存</w:t>
      </w:r>
      <w:r w:rsidR="00775840" w:rsidRPr="00D630D1">
        <w:rPr>
          <w:rFonts w:hint="eastAsia"/>
          <w:spacing w:val="-8"/>
          <w:szCs w:val="21"/>
        </w:rPr>
        <w:t>于放喷池，剩余部分暂存于污水缓冲罐</w:t>
      </w:r>
      <w:r w:rsidRPr="00D630D1">
        <w:rPr>
          <w:rFonts w:ascii="Times New Roman"/>
        </w:rPr>
        <w:t>；放喷分离气体经专用管线引至放喷池燃烧，测试放喷时间一般为</w:t>
      </w:r>
      <w:r w:rsidRPr="00D630D1">
        <w:rPr>
          <w:rFonts w:ascii="Times New Roman" w:hAnsi="Times New Roman"/>
        </w:rPr>
        <w:t>4h</w:t>
      </w:r>
      <w:r w:rsidRPr="00D630D1">
        <w:rPr>
          <w:rFonts w:ascii="Times New Roman"/>
        </w:rPr>
        <w:t>～</w:t>
      </w:r>
      <w:r w:rsidRPr="00D630D1">
        <w:rPr>
          <w:rFonts w:ascii="Times New Roman" w:hAnsi="Times New Roman"/>
        </w:rPr>
        <w:t>6h</w:t>
      </w:r>
      <w:r w:rsidRPr="00D630D1">
        <w:rPr>
          <w:rFonts w:ascii="Times New Roman"/>
        </w:rPr>
        <w:t>。</w:t>
      </w:r>
    </w:p>
    <w:p w:rsidR="00F23EBB" w:rsidRPr="00D630D1" w:rsidRDefault="00F23EBB" w:rsidP="00F23EBB">
      <w:pPr>
        <w:pStyle w:val="afa"/>
        <w:ind w:firstLine="480"/>
      </w:pPr>
      <w:r w:rsidRPr="00D630D1">
        <w:lastRenderedPageBreak/>
        <w:t>压裂酸化返排的压裂酸化废水</w:t>
      </w:r>
      <w:r w:rsidR="00775840" w:rsidRPr="00D630D1">
        <w:rPr>
          <w:rFonts w:hint="eastAsia"/>
          <w:spacing w:val="-8"/>
          <w:szCs w:val="21"/>
        </w:rPr>
        <w:t>部分</w:t>
      </w:r>
      <w:r w:rsidR="00775840" w:rsidRPr="00D630D1">
        <w:rPr>
          <w:spacing w:val="-8"/>
          <w:szCs w:val="21"/>
        </w:rPr>
        <w:t>暂存</w:t>
      </w:r>
      <w:r w:rsidR="00775840" w:rsidRPr="00D630D1">
        <w:rPr>
          <w:rFonts w:hint="eastAsia"/>
          <w:spacing w:val="-8"/>
          <w:szCs w:val="21"/>
        </w:rPr>
        <w:t>于放喷池，剩余部分暂存于污水缓冲罐</w:t>
      </w:r>
      <w:r w:rsidRPr="00D630D1">
        <w:t>，返排酸液不回用，由罐车运至大湾</w:t>
      </w:r>
      <w:r w:rsidRPr="00D630D1">
        <w:t>403</w:t>
      </w:r>
      <w:r w:rsidRPr="00D630D1">
        <w:t>污水站处理达标后管输至毛开</w:t>
      </w:r>
      <w:r w:rsidRPr="00D630D1">
        <w:t>1</w:t>
      </w:r>
      <w:r w:rsidRPr="00D630D1">
        <w:t>井回注站回注。</w:t>
      </w:r>
    </w:p>
    <w:p w:rsidR="000B193E" w:rsidRPr="00D630D1" w:rsidRDefault="003A7CE8">
      <w:pPr>
        <w:pStyle w:val="3"/>
        <w:rPr>
          <w:rFonts w:eastAsia="宋体"/>
        </w:rPr>
      </w:pPr>
      <w:bookmarkStart w:id="275" w:name="_Toc19815989"/>
      <w:bookmarkStart w:id="276" w:name="_Toc12288515"/>
      <w:bookmarkStart w:id="277" w:name="_Toc19815988"/>
      <w:bookmarkStart w:id="278" w:name="_Toc12288508"/>
      <w:r w:rsidRPr="00D630D1">
        <w:rPr>
          <w:rFonts w:eastAsia="宋体"/>
        </w:rPr>
        <w:t>4</w:t>
      </w:r>
      <w:r w:rsidR="008B5B84" w:rsidRPr="00D630D1">
        <w:rPr>
          <w:rFonts w:eastAsia="宋体"/>
        </w:rPr>
        <w:t xml:space="preserve">.1.3 </w:t>
      </w:r>
      <w:r w:rsidR="000B193E" w:rsidRPr="00D630D1">
        <w:rPr>
          <w:rFonts w:eastAsia="宋体"/>
        </w:rPr>
        <w:t>生态影响及治理措施</w:t>
      </w:r>
    </w:p>
    <w:p w:rsidR="000B193E" w:rsidRPr="00D630D1" w:rsidRDefault="000B193E" w:rsidP="000B193E">
      <w:pPr>
        <w:pStyle w:val="afa"/>
        <w:ind w:firstLine="482"/>
        <w:rPr>
          <w:b/>
          <w:bCs/>
        </w:rPr>
      </w:pPr>
      <w:r w:rsidRPr="00D630D1">
        <w:rPr>
          <w:b/>
          <w:bCs/>
        </w:rPr>
        <w:t>1</w:t>
      </w:r>
      <w:r w:rsidRPr="00D630D1">
        <w:rPr>
          <w:b/>
          <w:bCs/>
        </w:rPr>
        <w:t>、工程占地分析</w:t>
      </w:r>
    </w:p>
    <w:bookmarkEnd w:id="275"/>
    <w:bookmarkEnd w:id="276"/>
    <w:p w:rsidR="00117C3D" w:rsidRPr="00D630D1" w:rsidRDefault="008B5B84">
      <w:pPr>
        <w:pStyle w:val="a1"/>
        <w:ind w:firstLine="480"/>
        <w:rPr>
          <w:rFonts w:ascii="Times New Roman" w:cs="Times New Roman"/>
        </w:rPr>
      </w:pPr>
      <w:r w:rsidRPr="00D630D1">
        <w:rPr>
          <w:rFonts w:ascii="Times New Roman" w:cs="Times New Roman"/>
        </w:rPr>
        <w:t>本项目建设总占地面积</w:t>
      </w:r>
      <w:r w:rsidR="000B68BB">
        <w:rPr>
          <w:rFonts w:ascii="Times New Roman" w:cs="Times New Roman" w:hint="eastAsia"/>
        </w:rPr>
        <w:t>45255</w:t>
      </w:r>
      <w:r w:rsidR="008B60CF" w:rsidRPr="00D630D1">
        <w:rPr>
          <w:rFonts w:ascii="Times New Roman" w:cs="Times New Roman" w:hint="eastAsia"/>
          <w:bCs/>
        </w:rPr>
        <w:t>m</w:t>
      </w:r>
      <w:r w:rsidR="008B60CF" w:rsidRPr="00D630D1">
        <w:rPr>
          <w:rFonts w:ascii="Times New Roman" w:cs="Times New Roman" w:hint="eastAsia"/>
          <w:bCs/>
          <w:vertAlign w:val="superscript"/>
        </w:rPr>
        <w:t>2</w:t>
      </w:r>
      <w:r w:rsidR="003C4CAF" w:rsidRPr="00D630D1">
        <w:rPr>
          <w:rFonts w:ascii="Times New Roman" w:cs="Times New Roman"/>
        </w:rPr>
        <w:t>（</w:t>
      </w:r>
      <w:r w:rsidR="008B60CF" w:rsidRPr="00D630D1">
        <w:rPr>
          <w:rFonts w:ascii="Times New Roman" w:cs="Times New Roman" w:hint="eastAsia"/>
        </w:rPr>
        <w:t>项目永久占地</w:t>
      </w:r>
      <w:bookmarkStart w:id="279" w:name="OLE_LINK172"/>
      <w:bookmarkStart w:id="280" w:name="OLE_LINK173"/>
      <w:bookmarkStart w:id="281" w:name="OLE_LINK170"/>
      <w:bookmarkStart w:id="282" w:name="OLE_LINK171"/>
      <w:bookmarkStart w:id="283" w:name="OLE_LINK177"/>
      <w:r w:rsidR="000B68BB" w:rsidRPr="000B68BB">
        <w:rPr>
          <w:rFonts w:ascii="Times New Roman" w:cs="Times New Roman" w:hint="eastAsia"/>
        </w:rPr>
        <w:t>11615</w:t>
      </w:r>
      <w:r w:rsidR="008B60CF" w:rsidRPr="00D630D1">
        <w:rPr>
          <w:rFonts w:ascii="Times New Roman" w:cs="Times New Roman" w:hint="eastAsia"/>
          <w:bCs/>
        </w:rPr>
        <w:t>m</w:t>
      </w:r>
      <w:r w:rsidR="008B60CF" w:rsidRPr="00D630D1">
        <w:rPr>
          <w:rFonts w:ascii="Times New Roman" w:cs="Times New Roman" w:hint="eastAsia"/>
          <w:bCs/>
          <w:vertAlign w:val="superscript"/>
        </w:rPr>
        <w:t>2</w:t>
      </w:r>
      <w:bookmarkEnd w:id="279"/>
      <w:bookmarkEnd w:id="280"/>
      <w:bookmarkEnd w:id="281"/>
      <w:bookmarkEnd w:id="282"/>
      <w:bookmarkEnd w:id="283"/>
      <w:r w:rsidR="008B60CF" w:rsidRPr="00D630D1">
        <w:rPr>
          <w:rFonts w:ascii="Times New Roman" w:cs="Times New Roman" w:hint="eastAsia"/>
        </w:rPr>
        <w:t>，临时占地</w:t>
      </w:r>
      <w:r w:rsidR="000B68BB" w:rsidRPr="000B68BB">
        <w:rPr>
          <w:rFonts w:ascii="Times New Roman" w:cs="Times New Roman" w:hint="eastAsia"/>
          <w:bCs/>
        </w:rPr>
        <w:t>3364</w:t>
      </w:r>
      <w:r w:rsidR="000B68BB" w:rsidRPr="000B68BB">
        <w:rPr>
          <w:rFonts w:ascii="Times New Roman" w:cs="Times New Roman"/>
          <w:bCs/>
        </w:rPr>
        <w:t>0m</w:t>
      </w:r>
      <w:r w:rsidR="000B68BB" w:rsidRPr="000B68BB">
        <w:rPr>
          <w:rFonts w:ascii="Times New Roman" w:cs="Times New Roman"/>
          <w:bCs/>
          <w:vertAlign w:val="superscript"/>
        </w:rPr>
        <w:t>2</w:t>
      </w:r>
      <w:r w:rsidR="003C4CAF" w:rsidRPr="00D630D1">
        <w:rPr>
          <w:rFonts w:ascii="Times New Roman" w:cs="Times New Roman"/>
        </w:rPr>
        <w:t>）</w:t>
      </w:r>
      <w:r w:rsidRPr="00D630D1">
        <w:rPr>
          <w:rFonts w:ascii="Times New Roman" w:cs="Times New Roman"/>
        </w:rPr>
        <w:t>。</w:t>
      </w:r>
    </w:p>
    <w:p w:rsidR="00117C3D" w:rsidRPr="00D630D1" w:rsidRDefault="000B193E">
      <w:pPr>
        <w:pStyle w:val="a1"/>
        <w:ind w:firstLine="482"/>
        <w:rPr>
          <w:rFonts w:ascii="Times New Roman" w:cs="Times New Roman"/>
          <w:b/>
          <w:bCs/>
        </w:rPr>
      </w:pPr>
      <w:bookmarkStart w:id="284" w:name="_Hlk53002324"/>
      <w:r w:rsidRPr="00D630D1">
        <w:rPr>
          <w:rFonts w:ascii="Times New Roman" w:cs="Times New Roman"/>
          <w:b/>
          <w:bCs/>
        </w:rPr>
        <w:t>（</w:t>
      </w:r>
      <w:r w:rsidRPr="00D630D1">
        <w:rPr>
          <w:rFonts w:ascii="Times New Roman" w:cs="Times New Roman"/>
          <w:b/>
          <w:bCs/>
        </w:rPr>
        <w:t>1</w:t>
      </w:r>
      <w:r w:rsidRPr="00D630D1">
        <w:rPr>
          <w:rFonts w:ascii="Times New Roman" w:cs="Times New Roman"/>
          <w:b/>
          <w:bCs/>
        </w:rPr>
        <w:t>）</w:t>
      </w:r>
      <w:r w:rsidR="008B5B84" w:rsidRPr="00D630D1">
        <w:rPr>
          <w:rFonts w:ascii="Times New Roman" w:cs="Times New Roman"/>
          <w:b/>
          <w:bCs/>
        </w:rPr>
        <w:t>永久占地</w:t>
      </w:r>
    </w:p>
    <w:p w:rsidR="00E70DBA" w:rsidRPr="00D630D1" w:rsidRDefault="00E70DBA">
      <w:pPr>
        <w:pStyle w:val="a1"/>
        <w:ind w:firstLine="480"/>
        <w:rPr>
          <w:rFonts w:ascii="Times New Roman" w:cs="Times New Roman"/>
        </w:rPr>
      </w:pPr>
      <w:r w:rsidRPr="00D630D1">
        <w:rPr>
          <w:rFonts w:hAnsi="宋体" w:hint="eastAsia"/>
        </w:rPr>
        <w:t>①</w:t>
      </w:r>
      <w:r w:rsidRPr="00D630D1">
        <w:rPr>
          <w:rFonts w:ascii="Times New Roman" w:cs="Times New Roman"/>
        </w:rPr>
        <w:t>永久占地情况</w:t>
      </w:r>
    </w:p>
    <w:p w:rsidR="00117C3D" w:rsidRPr="00D630D1" w:rsidRDefault="003655DE">
      <w:pPr>
        <w:pStyle w:val="a1"/>
        <w:ind w:firstLine="480"/>
        <w:rPr>
          <w:rFonts w:ascii="Times New Roman" w:cs="Times New Roman"/>
        </w:rPr>
      </w:pPr>
      <w:r w:rsidRPr="00D630D1">
        <w:rPr>
          <w:rFonts w:ascii="Times New Roman" w:cs="Times New Roman"/>
        </w:rPr>
        <w:t>本项目</w:t>
      </w:r>
      <w:r w:rsidR="008B5B84" w:rsidRPr="00D630D1">
        <w:rPr>
          <w:rFonts w:ascii="Times New Roman" w:cs="Times New Roman"/>
        </w:rPr>
        <w:t>永久占地面积</w:t>
      </w:r>
      <w:r w:rsidR="000B68BB" w:rsidRPr="000B68BB">
        <w:rPr>
          <w:rFonts w:ascii="Times New Roman" w:cs="Times New Roman" w:hint="eastAsia"/>
        </w:rPr>
        <w:t>11615</w:t>
      </w:r>
      <w:r w:rsidR="008B60CF" w:rsidRPr="00D630D1">
        <w:rPr>
          <w:rFonts w:ascii="Times New Roman" w:cs="Times New Roman"/>
          <w:bCs/>
        </w:rPr>
        <w:t>m</w:t>
      </w:r>
      <w:r w:rsidR="008B60CF" w:rsidRPr="00D630D1">
        <w:rPr>
          <w:rFonts w:ascii="Times New Roman" w:cs="Times New Roman"/>
          <w:bCs/>
          <w:vertAlign w:val="superscript"/>
        </w:rPr>
        <w:t>2</w:t>
      </w:r>
      <w:r w:rsidR="0007009A">
        <w:rPr>
          <w:rFonts w:ascii="Times New Roman" w:cs="Times New Roman" w:hint="eastAsia"/>
        </w:rPr>
        <w:t>（依托现有井场建设，不涉及</w:t>
      </w:r>
      <w:r w:rsidR="0007009A" w:rsidRPr="00D630D1">
        <w:rPr>
          <w:rFonts w:ascii="Times New Roman" w:cs="Times New Roman" w:hint="eastAsia"/>
        </w:rPr>
        <w:t>新增永久占地</w:t>
      </w:r>
      <w:r w:rsidR="0007009A">
        <w:rPr>
          <w:rFonts w:ascii="Times New Roman" w:cs="Times New Roman" w:hint="eastAsia"/>
        </w:rPr>
        <w:t>）</w:t>
      </w:r>
      <w:r w:rsidR="008B5B84" w:rsidRPr="00D630D1">
        <w:rPr>
          <w:rFonts w:ascii="Times New Roman" w:cs="Times New Roman"/>
        </w:rPr>
        <w:t>。不占用</w:t>
      </w:r>
      <w:r w:rsidR="005B4B8C" w:rsidRPr="00D630D1">
        <w:rPr>
          <w:rFonts w:ascii="Times New Roman" w:cs="Times New Roman"/>
        </w:rPr>
        <w:t>永久</w:t>
      </w:r>
      <w:r w:rsidR="008B5B84" w:rsidRPr="00D630D1">
        <w:rPr>
          <w:rFonts w:ascii="Times New Roman" w:cs="Times New Roman"/>
        </w:rPr>
        <w:t>基本农田，不涉及基本农田保护区，符合基本农田保护相关规范及要求。</w:t>
      </w:r>
    </w:p>
    <w:p w:rsidR="00117C3D" w:rsidRPr="00D630D1" w:rsidRDefault="008B5B84" w:rsidP="00870C8D">
      <w:pPr>
        <w:pStyle w:val="10"/>
        <w:rPr>
          <w:rFonts w:cs="Times New Roman"/>
        </w:rPr>
      </w:pPr>
      <w:bookmarkStart w:id="285" w:name="_Hlk81157643"/>
      <w:r w:rsidRPr="00D630D1">
        <w:rPr>
          <w:rFonts w:cs="Times New Roman"/>
        </w:rPr>
        <w:t>表</w:t>
      </w:r>
      <w:r w:rsidR="00870C8D" w:rsidRPr="00D630D1">
        <w:rPr>
          <w:rFonts w:cs="Times New Roman"/>
        </w:rPr>
        <w:t>4</w:t>
      </w:r>
      <w:r w:rsidRPr="00D630D1">
        <w:rPr>
          <w:rFonts w:cs="Times New Roman"/>
        </w:rPr>
        <w:t>.1-</w:t>
      </w:r>
      <w:r w:rsidR="0007009A">
        <w:rPr>
          <w:rFonts w:cs="Times New Roman" w:hint="eastAsia"/>
        </w:rPr>
        <w:t>3</w:t>
      </w:r>
      <w:r w:rsidR="00870C8D" w:rsidRPr="00D630D1">
        <w:rPr>
          <w:rFonts w:cs="Times New Roman"/>
        </w:rPr>
        <w:t xml:space="preserve">  </w:t>
      </w:r>
      <w:r w:rsidRPr="00D630D1">
        <w:rPr>
          <w:rFonts w:cs="Times New Roman"/>
        </w:rPr>
        <w:t>项目永久占地面积统计表</w:t>
      </w:r>
    </w:p>
    <w:tbl>
      <w:tblPr>
        <w:tblW w:w="8315" w:type="dxa"/>
        <w:jc w:val="center"/>
        <w:tblBorders>
          <w:top w:val="single" w:sz="12" w:space="0" w:color="auto"/>
          <w:bottom w:val="single" w:sz="12" w:space="0" w:color="auto"/>
          <w:insideH w:val="single" w:sz="4" w:space="0" w:color="000000"/>
          <w:insideV w:val="single" w:sz="2" w:space="0" w:color="auto"/>
        </w:tblBorders>
        <w:tblLayout w:type="fixed"/>
        <w:tblLook w:val="04A0"/>
      </w:tblPr>
      <w:tblGrid>
        <w:gridCol w:w="1706"/>
        <w:gridCol w:w="988"/>
        <w:gridCol w:w="708"/>
        <w:gridCol w:w="1134"/>
        <w:gridCol w:w="1418"/>
        <w:gridCol w:w="850"/>
        <w:gridCol w:w="1511"/>
      </w:tblGrid>
      <w:tr w:rsidR="00E70DBA" w:rsidRPr="00D630D1" w:rsidTr="0007009A">
        <w:trPr>
          <w:trHeight w:val="218"/>
          <w:jc w:val="center"/>
        </w:trPr>
        <w:tc>
          <w:tcPr>
            <w:tcW w:w="1706" w:type="dxa"/>
            <w:vMerge w:val="restart"/>
            <w:vAlign w:val="center"/>
          </w:tcPr>
          <w:p w:rsidR="00E70DBA" w:rsidRPr="00D630D1" w:rsidRDefault="00E70DBA" w:rsidP="00AA2CA8">
            <w:pPr>
              <w:pStyle w:val="af2"/>
              <w:rPr>
                <w:b/>
                <w:bCs/>
              </w:rPr>
            </w:pPr>
            <w:r w:rsidRPr="00D630D1">
              <w:rPr>
                <w:b/>
                <w:bCs/>
              </w:rPr>
              <w:t>项目组成</w:t>
            </w:r>
          </w:p>
        </w:tc>
        <w:tc>
          <w:tcPr>
            <w:tcW w:w="4248" w:type="dxa"/>
            <w:gridSpan w:val="4"/>
            <w:vAlign w:val="center"/>
          </w:tcPr>
          <w:p w:rsidR="00E70DBA" w:rsidRPr="00D630D1" w:rsidRDefault="00E70DBA" w:rsidP="00AA2CA8">
            <w:pPr>
              <w:pStyle w:val="af2"/>
              <w:rPr>
                <w:b/>
                <w:bCs/>
              </w:rPr>
            </w:pPr>
            <w:r w:rsidRPr="00D630D1">
              <w:rPr>
                <w:b/>
                <w:bCs/>
              </w:rPr>
              <w:t>占地类型（</w:t>
            </w:r>
            <w:r w:rsidR="00747ED0" w:rsidRPr="00D630D1">
              <w:rPr>
                <w:rFonts w:hint="eastAsia"/>
                <w:b/>
                <w:bCs/>
              </w:rPr>
              <w:t>m</w:t>
            </w:r>
            <w:r w:rsidR="00747ED0" w:rsidRPr="00D630D1">
              <w:rPr>
                <w:rFonts w:hint="eastAsia"/>
                <w:b/>
                <w:bCs/>
                <w:vertAlign w:val="superscript"/>
              </w:rPr>
              <w:t>2</w:t>
            </w:r>
            <w:r w:rsidRPr="00D630D1">
              <w:rPr>
                <w:b/>
                <w:bCs/>
              </w:rPr>
              <w:t>）</w:t>
            </w:r>
          </w:p>
        </w:tc>
        <w:tc>
          <w:tcPr>
            <w:tcW w:w="850" w:type="dxa"/>
            <w:vMerge w:val="restart"/>
            <w:vAlign w:val="center"/>
          </w:tcPr>
          <w:p w:rsidR="00E70DBA" w:rsidRPr="00D630D1" w:rsidRDefault="00E70DBA" w:rsidP="00AA2CA8">
            <w:pPr>
              <w:pStyle w:val="af2"/>
              <w:rPr>
                <w:b/>
                <w:bCs/>
              </w:rPr>
            </w:pPr>
            <w:r w:rsidRPr="00D630D1">
              <w:rPr>
                <w:b/>
                <w:bCs/>
              </w:rPr>
              <w:t>合计</w:t>
            </w:r>
          </w:p>
        </w:tc>
        <w:tc>
          <w:tcPr>
            <w:tcW w:w="1511" w:type="dxa"/>
            <w:vMerge w:val="restart"/>
            <w:vAlign w:val="center"/>
          </w:tcPr>
          <w:p w:rsidR="00E70DBA" w:rsidRPr="00D630D1" w:rsidRDefault="00E70DBA" w:rsidP="00A03549">
            <w:pPr>
              <w:pStyle w:val="af2"/>
              <w:rPr>
                <w:b/>
                <w:bCs/>
              </w:rPr>
            </w:pPr>
            <w:r w:rsidRPr="00D630D1">
              <w:rPr>
                <w:b/>
                <w:bCs/>
              </w:rPr>
              <w:t>占地性质</w:t>
            </w:r>
          </w:p>
        </w:tc>
      </w:tr>
      <w:tr w:rsidR="00E70DBA" w:rsidRPr="00D630D1" w:rsidTr="0007009A">
        <w:trPr>
          <w:trHeight w:val="63"/>
          <w:jc w:val="center"/>
        </w:trPr>
        <w:tc>
          <w:tcPr>
            <w:tcW w:w="1706" w:type="dxa"/>
            <w:vMerge/>
            <w:vAlign w:val="center"/>
          </w:tcPr>
          <w:p w:rsidR="00E70DBA" w:rsidRPr="00D630D1" w:rsidRDefault="00E70DBA" w:rsidP="00E70DBA">
            <w:pPr>
              <w:pStyle w:val="af2"/>
              <w:rPr>
                <w:b/>
                <w:bCs/>
              </w:rPr>
            </w:pPr>
          </w:p>
        </w:tc>
        <w:tc>
          <w:tcPr>
            <w:tcW w:w="988" w:type="dxa"/>
            <w:vAlign w:val="center"/>
          </w:tcPr>
          <w:p w:rsidR="00E70DBA" w:rsidRPr="00D630D1" w:rsidRDefault="00E70DBA" w:rsidP="00E70DBA">
            <w:pPr>
              <w:pStyle w:val="af2"/>
              <w:rPr>
                <w:b/>
                <w:bCs/>
              </w:rPr>
            </w:pPr>
            <w:r w:rsidRPr="00D630D1">
              <w:rPr>
                <w:b/>
                <w:bCs/>
              </w:rPr>
              <w:t>耕地</w:t>
            </w:r>
          </w:p>
        </w:tc>
        <w:tc>
          <w:tcPr>
            <w:tcW w:w="708" w:type="dxa"/>
            <w:vAlign w:val="center"/>
          </w:tcPr>
          <w:p w:rsidR="00E70DBA" w:rsidRPr="00D630D1" w:rsidRDefault="00E70DBA" w:rsidP="00E70DBA">
            <w:pPr>
              <w:pStyle w:val="af2"/>
              <w:rPr>
                <w:b/>
                <w:bCs/>
              </w:rPr>
            </w:pPr>
            <w:r w:rsidRPr="00D630D1">
              <w:rPr>
                <w:b/>
                <w:bCs/>
              </w:rPr>
              <w:t>林地</w:t>
            </w:r>
          </w:p>
        </w:tc>
        <w:tc>
          <w:tcPr>
            <w:tcW w:w="1134" w:type="dxa"/>
            <w:vAlign w:val="center"/>
          </w:tcPr>
          <w:p w:rsidR="00E70DBA" w:rsidRPr="00D630D1" w:rsidRDefault="00E70DBA" w:rsidP="00E70DBA">
            <w:pPr>
              <w:pStyle w:val="af2"/>
              <w:rPr>
                <w:b/>
                <w:bCs/>
              </w:rPr>
            </w:pPr>
            <w:r w:rsidRPr="00D630D1">
              <w:rPr>
                <w:b/>
                <w:bCs/>
              </w:rPr>
              <w:t>草地</w:t>
            </w:r>
          </w:p>
        </w:tc>
        <w:tc>
          <w:tcPr>
            <w:tcW w:w="1418" w:type="dxa"/>
            <w:vAlign w:val="center"/>
          </w:tcPr>
          <w:p w:rsidR="00E70DBA" w:rsidRPr="00D630D1" w:rsidRDefault="00E70DBA" w:rsidP="00E70DBA">
            <w:pPr>
              <w:pStyle w:val="af2"/>
              <w:rPr>
                <w:b/>
                <w:bCs/>
              </w:rPr>
            </w:pPr>
            <w:r w:rsidRPr="00D630D1">
              <w:rPr>
                <w:b/>
                <w:bCs/>
              </w:rPr>
              <w:t>其他土地</w:t>
            </w:r>
          </w:p>
        </w:tc>
        <w:tc>
          <w:tcPr>
            <w:tcW w:w="850" w:type="dxa"/>
            <w:vMerge/>
            <w:vAlign w:val="center"/>
          </w:tcPr>
          <w:p w:rsidR="00E70DBA" w:rsidRPr="00D630D1" w:rsidRDefault="00E70DBA" w:rsidP="00E70DBA">
            <w:pPr>
              <w:pStyle w:val="af2"/>
              <w:rPr>
                <w:b/>
                <w:bCs/>
              </w:rPr>
            </w:pPr>
          </w:p>
        </w:tc>
        <w:tc>
          <w:tcPr>
            <w:tcW w:w="1511" w:type="dxa"/>
            <w:vMerge/>
            <w:vAlign w:val="center"/>
          </w:tcPr>
          <w:p w:rsidR="00E70DBA" w:rsidRPr="00D630D1" w:rsidRDefault="00E70DBA" w:rsidP="00E70DBA">
            <w:pPr>
              <w:pStyle w:val="af2"/>
              <w:rPr>
                <w:b/>
                <w:bCs/>
              </w:rPr>
            </w:pPr>
          </w:p>
        </w:tc>
      </w:tr>
      <w:tr w:rsidR="0007009A" w:rsidRPr="00D630D1" w:rsidTr="0007009A">
        <w:trPr>
          <w:trHeight w:val="63"/>
          <w:jc w:val="center"/>
        </w:trPr>
        <w:tc>
          <w:tcPr>
            <w:tcW w:w="1706" w:type="dxa"/>
            <w:vAlign w:val="center"/>
          </w:tcPr>
          <w:p w:rsidR="0007009A" w:rsidRPr="00D630D1" w:rsidRDefault="0007009A" w:rsidP="0007009A">
            <w:pPr>
              <w:pStyle w:val="af2"/>
            </w:pPr>
            <w:r w:rsidRPr="00D630D1">
              <w:rPr>
                <w:rFonts w:hint="eastAsia"/>
              </w:rPr>
              <w:t>采气站</w:t>
            </w:r>
          </w:p>
        </w:tc>
        <w:tc>
          <w:tcPr>
            <w:tcW w:w="988" w:type="dxa"/>
            <w:vAlign w:val="center"/>
          </w:tcPr>
          <w:p w:rsidR="0007009A" w:rsidRPr="00D630D1" w:rsidRDefault="0007009A" w:rsidP="006269A7">
            <w:pPr>
              <w:pStyle w:val="af2"/>
            </w:pPr>
          </w:p>
        </w:tc>
        <w:tc>
          <w:tcPr>
            <w:tcW w:w="708" w:type="dxa"/>
            <w:vAlign w:val="center"/>
          </w:tcPr>
          <w:p w:rsidR="0007009A" w:rsidRPr="00D630D1" w:rsidRDefault="0007009A" w:rsidP="006269A7">
            <w:pPr>
              <w:pStyle w:val="af2"/>
            </w:pPr>
          </w:p>
        </w:tc>
        <w:tc>
          <w:tcPr>
            <w:tcW w:w="1134" w:type="dxa"/>
            <w:vAlign w:val="center"/>
          </w:tcPr>
          <w:p w:rsidR="0007009A" w:rsidRPr="00D630D1" w:rsidRDefault="0007009A" w:rsidP="006269A7">
            <w:pPr>
              <w:pStyle w:val="af2"/>
            </w:pPr>
          </w:p>
        </w:tc>
        <w:tc>
          <w:tcPr>
            <w:tcW w:w="1418" w:type="dxa"/>
            <w:vAlign w:val="center"/>
          </w:tcPr>
          <w:p w:rsidR="0007009A" w:rsidRPr="00D630D1" w:rsidRDefault="0007009A" w:rsidP="006269A7">
            <w:pPr>
              <w:pStyle w:val="af2"/>
            </w:pPr>
            <w:r w:rsidRPr="000B68BB">
              <w:rPr>
                <w:rFonts w:hint="eastAsia"/>
              </w:rPr>
              <w:t>11615</w:t>
            </w:r>
          </w:p>
        </w:tc>
        <w:tc>
          <w:tcPr>
            <w:tcW w:w="850" w:type="dxa"/>
            <w:vAlign w:val="center"/>
          </w:tcPr>
          <w:p w:rsidR="0007009A" w:rsidRPr="00D630D1" w:rsidRDefault="0007009A" w:rsidP="006269A7">
            <w:pPr>
              <w:pStyle w:val="af2"/>
            </w:pPr>
            <w:r w:rsidRPr="000B68BB">
              <w:rPr>
                <w:rFonts w:hint="eastAsia"/>
              </w:rPr>
              <w:t>11615</w:t>
            </w:r>
          </w:p>
        </w:tc>
        <w:tc>
          <w:tcPr>
            <w:tcW w:w="1511" w:type="dxa"/>
            <w:tcBorders>
              <w:top w:val="single" w:sz="4" w:space="0" w:color="auto"/>
            </w:tcBorders>
            <w:vAlign w:val="center"/>
          </w:tcPr>
          <w:p w:rsidR="0007009A" w:rsidRPr="00D630D1" w:rsidRDefault="0007009A" w:rsidP="00E70DBA">
            <w:pPr>
              <w:pStyle w:val="af2"/>
            </w:pPr>
            <w:r w:rsidRPr="00D630D1">
              <w:t>永久占地</w:t>
            </w:r>
          </w:p>
        </w:tc>
      </w:tr>
    </w:tbl>
    <w:p w:rsidR="00117C3D" w:rsidRPr="00D630D1" w:rsidRDefault="00E70DBA">
      <w:pPr>
        <w:pStyle w:val="a1"/>
        <w:ind w:firstLine="480"/>
        <w:rPr>
          <w:rFonts w:ascii="Times New Roman" w:cs="Times New Roman"/>
          <w:bCs/>
        </w:rPr>
      </w:pPr>
      <w:bookmarkStart w:id="286" w:name="_Toc12288517"/>
      <w:bookmarkEnd w:id="285"/>
      <w:r w:rsidRPr="00D630D1">
        <w:rPr>
          <w:rFonts w:hAnsi="宋体" w:hint="eastAsia"/>
          <w:bCs/>
        </w:rPr>
        <w:t>②</w:t>
      </w:r>
      <w:r w:rsidR="008B5B84" w:rsidRPr="00D630D1">
        <w:rPr>
          <w:rFonts w:ascii="Times New Roman" w:cs="Times New Roman"/>
          <w:bCs/>
        </w:rPr>
        <w:t>占地影响分析</w:t>
      </w:r>
    </w:p>
    <w:p w:rsidR="00117C3D" w:rsidRPr="00D630D1" w:rsidRDefault="008B5B84">
      <w:pPr>
        <w:pStyle w:val="a1"/>
        <w:ind w:firstLine="480"/>
        <w:rPr>
          <w:rFonts w:ascii="Times New Roman" w:cs="Times New Roman"/>
          <w:bCs/>
        </w:rPr>
      </w:pPr>
      <w:r w:rsidRPr="00D630D1">
        <w:rPr>
          <w:rFonts w:ascii="Times New Roman" w:cs="Times New Roman"/>
          <w:bCs/>
        </w:rPr>
        <w:t>由于</w:t>
      </w:r>
      <w:r w:rsidR="00E70DBA" w:rsidRPr="00D630D1">
        <w:rPr>
          <w:rFonts w:ascii="Times New Roman" w:cs="Times New Roman"/>
          <w:bCs/>
        </w:rPr>
        <w:t>本项目</w:t>
      </w:r>
      <w:r w:rsidR="0007009A">
        <w:rPr>
          <w:rFonts w:ascii="Times New Roman" w:cs="Times New Roman" w:hint="eastAsia"/>
        </w:rPr>
        <w:t>依托现有井场建设，不涉及</w:t>
      </w:r>
      <w:r w:rsidR="0007009A" w:rsidRPr="00D630D1">
        <w:rPr>
          <w:rFonts w:ascii="Times New Roman" w:cs="Times New Roman" w:hint="eastAsia"/>
        </w:rPr>
        <w:t>新增永久占地</w:t>
      </w:r>
      <w:r w:rsidR="0007009A">
        <w:rPr>
          <w:rFonts w:ascii="Times New Roman" w:cs="Times New Roman"/>
          <w:bCs/>
        </w:rPr>
        <w:t>，不会对当地土地利用产生</w:t>
      </w:r>
      <w:r w:rsidRPr="00D630D1">
        <w:rPr>
          <w:rFonts w:ascii="Times New Roman" w:cs="Times New Roman"/>
          <w:bCs/>
        </w:rPr>
        <w:t>影响。项目永久占地</w:t>
      </w:r>
      <w:r w:rsidR="00870C8D" w:rsidRPr="00D630D1">
        <w:rPr>
          <w:rFonts w:ascii="Times New Roman" w:cs="Times New Roman"/>
        </w:rPr>
        <w:t>不占用</w:t>
      </w:r>
      <w:r w:rsidR="005B4B8C" w:rsidRPr="00D630D1">
        <w:rPr>
          <w:rFonts w:ascii="Times New Roman" w:cs="Times New Roman"/>
        </w:rPr>
        <w:t>永久</w:t>
      </w:r>
      <w:r w:rsidR="00870C8D" w:rsidRPr="00D630D1">
        <w:rPr>
          <w:rFonts w:ascii="Times New Roman" w:cs="Times New Roman"/>
        </w:rPr>
        <w:t>基本农田，不涉及基本农田保护区</w:t>
      </w:r>
      <w:r w:rsidR="00870C8D" w:rsidRPr="00D630D1">
        <w:rPr>
          <w:rFonts w:ascii="Times New Roman" w:cs="Times New Roman"/>
          <w:bCs/>
        </w:rPr>
        <w:t>。</w:t>
      </w:r>
    </w:p>
    <w:bookmarkEnd w:id="286"/>
    <w:p w:rsidR="00117C3D" w:rsidRPr="00D630D1" w:rsidRDefault="00E70DBA">
      <w:pPr>
        <w:pStyle w:val="a1"/>
        <w:ind w:firstLine="482"/>
        <w:rPr>
          <w:rFonts w:ascii="Times New Roman" w:cs="Times New Roman"/>
          <w:b/>
          <w:bCs/>
        </w:rPr>
      </w:pPr>
      <w:r w:rsidRPr="00D630D1">
        <w:rPr>
          <w:rFonts w:ascii="Times New Roman" w:cs="Times New Roman"/>
          <w:b/>
          <w:bCs/>
        </w:rPr>
        <w:t>（</w:t>
      </w:r>
      <w:r w:rsidRPr="00D630D1">
        <w:rPr>
          <w:rFonts w:ascii="Times New Roman" w:cs="Times New Roman"/>
          <w:b/>
          <w:bCs/>
        </w:rPr>
        <w:t>2</w:t>
      </w:r>
      <w:r w:rsidRPr="00D630D1">
        <w:rPr>
          <w:rFonts w:ascii="Times New Roman" w:cs="Times New Roman"/>
          <w:b/>
          <w:bCs/>
        </w:rPr>
        <w:t>）</w:t>
      </w:r>
      <w:r w:rsidR="008B5B84" w:rsidRPr="00D630D1">
        <w:rPr>
          <w:rFonts w:ascii="Times New Roman" w:cs="Times New Roman"/>
          <w:b/>
          <w:bCs/>
        </w:rPr>
        <w:t>临时占地</w:t>
      </w:r>
    </w:p>
    <w:p w:rsidR="00117C3D" w:rsidRPr="00D630D1" w:rsidRDefault="00E70DBA">
      <w:pPr>
        <w:pStyle w:val="a1"/>
        <w:ind w:firstLine="482"/>
        <w:rPr>
          <w:rFonts w:ascii="Times New Roman" w:cs="Times New Roman"/>
          <w:b/>
          <w:bCs/>
        </w:rPr>
      </w:pPr>
      <w:r w:rsidRPr="00D630D1">
        <w:rPr>
          <w:rFonts w:hAnsi="宋体" w:hint="eastAsia"/>
          <w:b/>
          <w:bCs/>
        </w:rPr>
        <w:t>①</w:t>
      </w:r>
      <w:r w:rsidR="008B5B84" w:rsidRPr="00D630D1">
        <w:rPr>
          <w:rFonts w:ascii="Times New Roman" w:cs="Times New Roman"/>
          <w:b/>
          <w:bCs/>
        </w:rPr>
        <w:t>占地情况</w:t>
      </w:r>
    </w:p>
    <w:p w:rsidR="00E70DBA" w:rsidRPr="00D630D1" w:rsidRDefault="00747ED0">
      <w:pPr>
        <w:pStyle w:val="a1"/>
        <w:ind w:firstLine="480"/>
        <w:rPr>
          <w:rFonts w:ascii="Times New Roman" w:cs="Times New Roman"/>
          <w:bCs/>
        </w:rPr>
      </w:pPr>
      <w:r w:rsidRPr="00D630D1">
        <w:rPr>
          <w:rFonts w:ascii="Times New Roman" w:cs="Times New Roman"/>
        </w:rPr>
        <w:t>本项目</w:t>
      </w:r>
      <w:r w:rsidR="00FC092A" w:rsidRPr="00D630D1">
        <w:rPr>
          <w:rFonts w:ascii="Times New Roman" w:cs="Times New Roman"/>
          <w:bCs/>
        </w:rPr>
        <w:t>临时占地</w:t>
      </w:r>
      <w:r w:rsidR="00F4330E" w:rsidRPr="00D630D1">
        <w:rPr>
          <w:rFonts w:ascii="Times New Roman" w:cs="Times New Roman" w:hint="eastAsia"/>
        </w:rPr>
        <w:t>3</w:t>
      </w:r>
      <w:r w:rsidR="000B68BB">
        <w:rPr>
          <w:rFonts w:ascii="Times New Roman" w:cs="Times New Roman" w:hint="eastAsia"/>
        </w:rPr>
        <w:t>364</w:t>
      </w:r>
      <w:r w:rsidRPr="00D630D1">
        <w:rPr>
          <w:rFonts w:ascii="Times New Roman" w:cs="Times New Roman"/>
        </w:rPr>
        <w:t>0</w:t>
      </w:r>
      <w:r w:rsidRPr="00D630D1">
        <w:rPr>
          <w:rFonts w:ascii="Times New Roman" w:cs="Times New Roman"/>
          <w:bCs/>
        </w:rPr>
        <w:t>m</w:t>
      </w:r>
      <w:r w:rsidRPr="00D630D1">
        <w:rPr>
          <w:rFonts w:ascii="Times New Roman" w:cs="Times New Roman"/>
          <w:bCs/>
          <w:vertAlign w:val="superscript"/>
        </w:rPr>
        <w:t>2</w:t>
      </w:r>
      <w:r w:rsidR="00FC092A" w:rsidRPr="00D630D1">
        <w:rPr>
          <w:rFonts w:ascii="Times New Roman" w:cs="Times New Roman"/>
        </w:rPr>
        <w:t>，</w:t>
      </w:r>
      <w:r w:rsidRPr="00D630D1">
        <w:rPr>
          <w:rFonts w:ascii="Times New Roman" w:cs="Times New Roman"/>
        </w:rPr>
        <w:t>其中管道作业带（</w:t>
      </w:r>
      <w:r w:rsidRPr="00D630D1">
        <w:rPr>
          <w:rFonts w:ascii="Times New Roman" w:cs="Times New Roman"/>
        </w:rPr>
        <w:t>8m</w:t>
      </w:r>
      <w:r w:rsidRPr="00D630D1">
        <w:rPr>
          <w:rFonts w:ascii="Times New Roman" w:cs="Times New Roman"/>
        </w:rPr>
        <w:t>）临时占地</w:t>
      </w:r>
      <w:r w:rsidR="000B68BB">
        <w:rPr>
          <w:rFonts w:ascii="Times New Roman" w:cs="Times New Roman" w:hint="eastAsia"/>
        </w:rPr>
        <w:t>3184</w:t>
      </w:r>
      <w:r w:rsidRPr="00D630D1">
        <w:rPr>
          <w:rFonts w:ascii="Times New Roman" w:cs="Times New Roman"/>
        </w:rPr>
        <w:t>0</w:t>
      </w:r>
      <w:r w:rsidRPr="00D630D1">
        <w:rPr>
          <w:rFonts w:ascii="Times New Roman" w:cs="Times New Roman"/>
          <w:bCs/>
        </w:rPr>
        <w:t>m</w:t>
      </w:r>
      <w:r w:rsidRPr="00D630D1">
        <w:rPr>
          <w:rFonts w:ascii="Times New Roman" w:cs="Times New Roman"/>
          <w:bCs/>
          <w:vertAlign w:val="superscript"/>
        </w:rPr>
        <w:t>2</w:t>
      </w:r>
      <w:r w:rsidRPr="00D630D1">
        <w:rPr>
          <w:rFonts w:ascii="Times New Roman" w:cs="Times New Roman"/>
        </w:rPr>
        <w:t>，管道工程区堆管点临时占地</w:t>
      </w:r>
      <w:r w:rsidR="000B68BB">
        <w:rPr>
          <w:rFonts w:ascii="Times New Roman" w:cs="Times New Roman" w:hint="eastAsia"/>
        </w:rPr>
        <w:t>10</w:t>
      </w:r>
      <w:r w:rsidRPr="00D630D1">
        <w:rPr>
          <w:rFonts w:ascii="Times New Roman" w:cs="Times New Roman"/>
        </w:rPr>
        <w:t>00</w:t>
      </w:r>
      <w:r w:rsidRPr="00D630D1">
        <w:rPr>
          <w:rFonts w:ascii="Times New Roman" w:cs="Times New Roman"/>
          <w:bCs/>
        </w:rPr>
        <w:t>m</w:t>
      </w:r>
      <w:r w:rsidRPr="00D630D1">
        <w:rPr>
          <w:rFonts w:ascii="Times New Roman" w:cs="Times New Roman"/>
          <w:bCs/>
          <w:vertAlign w:val="superscript"/>
        </w:rPr>
        <w:t>2</w:t>
      </w:r>
      <w:r w:rsidRPr="00D630D1">
        <w:rPr>
          <w:rFonts w:ascii="Times New Roman" w:cs="Times New Roman"/>
        </w:rPr>
        <w:t>，施工便道区临时占地</w:t>
      </w:r>
      <w:r w:rsidR="000B68BB">
        <w:rPr>
          <w:rFonts w:ascii="Times New Roman" w:cs="Times New Roman" w:hint="eastAsia"/>
        </w:rPr>
        <w:t>8</w:t>
      </w:r>
      <w:r w:rsidRPr="00D630D1">
        <w:rPr>
          <w:rFonts w:ascii="Times New Roman" w:cs="Times New Roman"/>
        </w:rPr>
        <w:t>00</w:t>
      </w:r>
      <w:bookmarkStart w:id="287" w:name="OLE_LINK181"/>
      <w:bookmarkStart w:id="288" w:name="OLE_LINK182"/>
      <w:r w:rsidRPr="00D630D1">
        <w:rPr>
          <w:rFonts w:ascii="Times New Roman" w:cs="Times New Roman"/>
          <w:bCs/>
        </w:rPr>
        <w:t>m</w:t>
      </w:r>
      <w:r w:rsidRPr="00D630D1">
        <w:rPr>
          <w:rFonts w:ascii="Times New Roman" w:cs="Times New Roman"/>
          <w:bCs/>
          <w:vertAlign w:val="superscript"/>
        </w:rPr>
        <w:t>2</w:t>
      </w:r>
      <w:bookmarkEnd w:id="287"/>
      <w:bookmarkEnd w:id="288"/>
      <w:r w:rsidR="00E70DBA" w:rsidRPr="00D630D1">
        <w:rPr>
          <w:rFonts w:ascii="Times New Roman" w:cs="Times New Roman"/>
          <w:bCs/>
        </w:rPr>
        <w:t>。</w:t>
      </w:r>
      <w:r w:rsidR="000B2F10" w:rsidRPr="00D630D1">
        <w:rPr>
          <w:rFonts w:ascii="Times New Roman" w:cs="Times New Roman"/>
        </w:rPr>
        <w:t>不占用</w:t>
      </w:r>
      <w:r w:rsidR="005B4B8C" w:rsidRPr="00D630D1">
        <w:rPr>
          <w:rFonts w:ascii="Times New Roman" w:cs="Times New Roman"/>
        </w:rPr>
        <w:t>永久</w:t>
      </w:r>
      <w:r w:rsidR="000B2F10" w:rsidRPr="00D630D1">
        <w:rPr>
          <w:rFonts w:ascii="Times New Roman" w:cs="Times New Roman"/>
        </w:rPr>
        <w:t>基本农田，不涉及基本农田保护区，符合基本农田保护相关规范及要求。</w:t>
      </w:r>
    </w:p>
    <w:p w:rsidR="000B2F10" w:rsidRPr="00D630D1" w:rsidRDefault="000B2F10" w:rsidP="000B2F10">
      <w:pPr>
        <w:pStyle w:val="10"/>
        <w:rPr>
          <w:rFonts w:cs="Times New Roman"/>
        </w:rPr>
      </w:pPr>
      <w:bookmarkStart w:id="289" w:name="_Hlk81157639"/>
      <w:r w:rsidRPr="00D630D1">
        <w:rPr>
          <w:rFonts w:cs="Times New Roman"/>
        </w:rPr>
        <w:t>表</w:t>
      </w:r>
      <w:r w:rsidRPr="00D630D1">
        <w:rPr>
          <w:rFonts w:cs="Times New Roman"/>
        </w:rPr>
        <w:t>4.1-</w:t>
      </w:r>
      <w:r w:rsidR="0007009A">
        <w:rPr>
          <w:rFonts w:cs="Times New Roman" w:hint="eastAsia"/>
        </w:rPr>
        <w:t>4</w:t>
      </w:r>
      <w:r w:rsidRPr="00D630D1">
        <w:rPr>
          <w:rFonts w:cs="Times New Roman"/>
        </w:rPr>
        <w:t xml:space="preserve">  </w:t>
      </w:r>
      <w:r w:rsidRPr="00D630D1">
        <w:rPr>
          <w:rFonts w:cs="Times New Roman"/>
        </w:rPr>
        <w:t>项目</w:t>
      </w:r>
      <w:r w:rsidR="007C384E" w:rsidRPr="00D630D1">
        <w:rPr>
          <w:rFonts w:cs="Times New Roman" w:hint="eastAsia"/>
        </w:rPr>
        <w:t>临时</w:t>
      </w:r>
      <w:r w:rsidRPr="00D630D1">
        <w:rPr>
          <w:rFonts w:cs="Times New Roman"/>
        </w:rPr>
        <w:t>占地面积统计表</w:t>
      </w:r>
    </w:p>
    <w:tbl>
      <w:tblPr>
        <w:tblW w:w="8865" w:type="dxa"/>
        <w:jc w:val="center"/>
        <w:tblBorders>
          <w:top w:val="single" w:sz="12" w:space="0" w:color="auto"/>
          <w:bottom w:val="single" w:sz="12" w:space="0" w:color="auto"/>
          <w:insideH w:val="single" w:sz="4" w:space="0" w:color="000000"/>
          <w:insideV w:val="single" w:sz="2" w:space="0" w:color="auto"/>
        </w:tblBorders>
        <w:tblLayout w:type="fixed"/>
        <w:tblLook w:val="04A0"/>
      </w:tblPr>
      <w:tblGrid>
        <w:gridCol w:w="1663"/>
        <w:gridCol w:w="906"/>
        <w:gridCol w:w="907"/>
        <w:gridCol w:w="1199"/>
        <w:gridCol w:w="1417"/>
        <w:gridCol w:w="1276"/>
        <w:gridCol w:w="794"/>
        <w:gridCol w:w="703"/>
      </w:tblGrid>
      <w:tr w:rsidR="000B2F10" w:rsidRPr="00D630D1" w:rsidTr="00FC092A">
        <w:trPr>
          <w:trHeight w:val="174"/>
          <w:jc w:val="center"/>
        </w:trPr>
        <w:tc>
          <w:tcPr>
            <w:tcW w:w="1663" w:type="dxa"/>
            <w:vMerge w:val="restart"/>
            <w:vAlign w:val="center"/>
          </w:tcPr>
          <w:p w:rsidR="000B2F10" w:rsidRPr="00D630D1" w:rsidRDefault="000B2F10" w:rsidP="00AA2CA8">
            <w:pPr>
              <w:pStyle w:val="af2"/>
              <w:rPr>
                <w:b/>
                <w:bCs/>
              </w:rPr>
            </w:pPr>
            <w:r w:rsidRPr="00D630D1">
              <w:rPr>
                <w:b/>
                <w:bCs/>
              </w:rPr>
              <w:t>项目组成</w:t>
            </w:r>
          </w:p>
        </w:tc>
        <w:tc>
          <w:tcPr>
            <w:tcW w:w="5705" w:type="dxa"/>
            <w:gridSpan w:val="5"/>
            <w:vAlign w:val="center"/>
          </w:tcPr>
          <w:p w:rsidR="000B2F10" w:rsidRPr="00D630D1" w:rsidRDefault="000B2F10" w:rsidP="00AA2CA8">
            <w:pPr>
              <w:pStyle w:val="af2"/>
              <w:rPr>
                <w:b/>
                <w:bCs/>
              </w:rPr>
            </w:pPr>
            <w:r w:rsidRPr="00D630D1">
              <w:rPr>
                <w:b/>
                <w:bCs/>
              </w:rPr>
              <w:t>占地类型（</w:t>
            </w:r>
            <w:r w:rsidR="00747ED0" w:rsidRPr="00D630D1">
              <w:rPr>
                <w:b/>
                <w:bCs/>
              </w:rPr>
              <w:t>m</w:t>
            </w:r>
            <w:r w:rsidR="00747ED0" w:rsidRPr="00D630D1">
              <w:rPr>
                <w:b/>
                <w:bCs/>
                <w:vertAlign w:val="superscript"/>
              </w:rPr>
              <w:t>2</w:t>
            </w:r>
            <w:r w:rsidRPr="00D630D1">
              <w:rPr>
                <w:b/>
                <w:bCs/>
              </w:rPr>
              <w:t>）</w:t>
            </w:r>
          </w:p>
        </w:tc>
        <w:tc>
          <w:tcPr>
            <w:tcW w:w="794" w:type="dxa"/>
            <w:vMerge w:val="restart"/>
            <w:vAlign w:val="center"/>
          </w:tcPr>
          <w:p w:rsidR="000B2F10" w:rsidRPr="00D630D1" w:rsidRDefault="000B2F10" w:rsidP="00AA2CA8">
            <w:pPr>
              <w:pStyle w:val="af2"/>
              <w:rPr>
                <w:b/>
                <w:bCs/>
              </w:rPr>
            </w:pPr>
            <w:r w:rsidRPr="00D630D1">
              <w:rPr>
                <w:b/>
                <w:bCs/>
              </w:rPr>
              <w:t>合计</w:t>
            </w:r>
          </w:p>
        </w:tc>
        <w:tc>
          <w:tcPr>
            <w:tcW w:w="703" w:type="dxa"/>
            <w:vMerge w:val="restart"/>
            <w:vAlign w:val="center"/>
          </w:tcPr>
          <w:p w:rsidR="000B2F10" w:rsidRPr="00D630D1" w:rsidRDefault="000B2F10" w:rsidP="00A03549">
            <w:pPr>
              <w:pStyle w:val="af2"/>
              <w:rPr>
                <w:b/>
                <w:bCs/>
              </w:rPr>
            </w:pPr>
            <w:r w:rsidRPr="00D630D1">
              <w:rPr>
                <w:b/>
                <w:bCs/>
              </w:rPr>
              <w:t>占地性质</w:t>
            </w:r>
          </w:p>
        </w:tc>
      </w:tr>
      <w:tr w:rsidR="00747ED0" w:rsidRPr="00D630D1" w:rsidTr="00747ED0">
        <w:trPr>
          <w:trHeight w:val="50"/>
          <w:jc w:val="center"/>
        </w:trPr>
        <w:tc>
          <w:tcPr>
            <w:tcW w:w="1663" w:type="dxa"/>
            <w:vMerge/>
            <w:vAlign w:val="center"/>
          </w:tcPr>
          <w:p w:rsidR="00747ED0" w:rsidRPr="00D630D1" w:rsidRDefault="00747ED0" w:rsidP="00AA2CA8">
            <w:pPr>
              <w:pStyle w:val="af2"/>
              <w:rPr>
                <w:b/>
                <w:bCs/>
              </w:rPr>
            </w:pPr>
          </w:p>
        </w:tc>
        <w:tc>
          <w:tcPr>
            <w:tcW w:w="906" w:type="dxa"/>
            <w:vAlign w:val="center"/>
          </w:tcPr>
          <w:p w:rsidR="00747ED0" w:rsidRPr="00D630D1" w:rsidRDefault="00747ED0" w:rsidP="00AA2CA8">
            <w:pPr>
              <w:pStyle w:val="af2"/>
              <w:rPr>
                <w:b/>
                <w:bCs/>
              </w:rPr>
            </w:pPr>
            <w:r w:rsidRPr="00D630D1">
              <w:rPr>
                <w:b/>
                <w:bCs/>
              </w:rPr>
              <w:t>耕地</w:t>
            </w:r>
          </w:p>
        </w:tc>
        <w:tc>
          <w:tcPr>
            <w:tcW w:w="907" w:type="dxa"/>
            <w:vAlign w:val="center"/>
          </w:tcPr>
          <w:p w:rsidR="00747ED0" w:rsidRPr="00D630D1" w:rsidRDefault="00747ED0" w:rsidP="00AA2CA8">
            <w:pPr>
              <w:pStyle w:val="af2"/>
              <w:rPr>
                <w:b/>
                <w:bCs/>
              </w:rPr>
            </w:pPr>
            <w:r w:rsidRPr="00D630D1">
              <w:rPr>
                <w:b/>
                <w:bCs/>
              </w:rPr>
              <w:t>水田</w:t>
            </w:r>
          </w:p>
        </w:tc>
        <w:tc>
          <w:tcPr>
            <w:tcW w:w="1199" w:type="dxa"/>
            <w:vAlign w:val="center"/>
          </w:tcPr>
          <w:p w:rsidR="00747ED0" w:rsidRPr="00D630D1" w:rsidRDefault="00747ED0" w:rsidP="00AA2CA8">
            <w:pPr>
              <w:pStyle w:val="af2"/>
              <w:rPr>
                <w:b/>
                <w:bCs/>
              </w:rPr>
            </w:pPr>
            <w:r w:rsidRPr="00D630D1">
              <w:rPr>
                <w:b/>
                <w:bCs/>
              </w:rPr>
              <w:t>林地</w:t>
            </w:r>
          </w:p>
        </w:tc>
        <w:tc>
          <w:tcPr>
            <w:tcW w:w="1417" w:type="dxa"/>
            <w:tcBorders>
              <w:left w:val="single" w:sz="2" w:space="0" w:color="auto"/>
            </w:tcBorders>
            <w:vAlign w:val="center"/>
          </w:tcPr>
          <w:p w:rsidR="00747ED0" w:rsidRPr="00D630D1" w:rsidRDefault="00747ED0" w:rsidP="00AA2CA8">
            <w:pPr>
              <w:pStyle w:val="af2"/>
              <w:rPr>
                <w:b/>
                <w:bCs/>
              </w:rPr>
            </w:pPr>
            <w:r w:rsidRPr="00D630D1">
              <w:rPr>
                <w:b/>
                <w:bCs/>
              </w:rPr>
              <w:t>草地</w:t>
            </w:r>
          </w:p>
        </w:tc>
        <w:tc>
          <w:tcPr>
            <w:tcW w:w="1276" w:type="dxa"/>
            <w:tcBorders>
              <w:left w:val="single" w:sz="2" w:space="0" w:color="auto"/>
            </w:tcBorders>
            <w:vAlign w:val="center"/>
          </w:tcPr>
          <w:p w:rsidR="00747ED0" w:rsidRPr="00D630D1" w:rsidRDefault="00747ED0" w:rsidP="00AA2CA8">
            <w:pPr>
              <w:pStyle w:val="af2"/>
              <w:rPr>
                <w:b/>
                <w:bCs/>
              </w:rPr>
            </w:pPr>
            <w:r w:rsidRPr="00D630D1">
              <w:rPr>
                <w:b/>
                <w:bCs/>
              </w:rPr>
              <w:t>其他土地</w:t>
            </w:r>
          </w:p>
        </w:tc>
        <w:tc>
          <w:tcPr>
            <w:tcW w:w="794" w:type="dxa"/>
            <w:vMerge/>
            <w:vAlign w:val="center"/>
          </w:tcPr>
          <w:p w:rsidR="00747ED0" w:rsidRPr="00D630D1" w:rsidRDefault="00747ED0" w:rsidP="00AA2CA8">
            <w:pPr>
              <w:pStyle w:val="af2"/>
              <w:rPr>
                <w:b/>
                <w:bCs/>
              </w:rPr>
            </w:pPr>
          </w:p>
        </w:tc>
        <w:tc>
          <w:tcPr>
            <w:tcW w:w="703" w:type="dxa"/>
            <w:vMerge/>
            <w:vAlign w:val="center"/>
          </w:tcPr>
          <w:p w:rsidR="00747ED0" w:rsidRPr="00D630D1" w:rsidRDefault="00747ED0" w:rsidP="00AA2CA8">
            <w:pPr>
              <w:pStyle w:val="af2"/>
              <w:rPr>
                <w:b/>
                <w:bCs/>
              </w:rPr>
            </w:pPr>
          </w:p>
        </w:tc>
      </w:tr>
      <w:tr w:rsidR="00747ED0" w:rsidRPr="00D630D1" w:rsidTr="00747ED0">
        <w:trPr>
          <w:trHeight w:val="50"/>
          <w:jc w:val="center"/>
        </w:trPr>
        <w:tc>
          <w:tcPr>
            <w:tcW w:w="1663" w:type="dxa"/>
            <w:vAlign w:val="center"/>
          </w:tcPr>
          <w:p w:rsidR="00747ED0" w:rsidRPr="00D630D1" w:rsidRDefault="00747ED0" w:rsidP="00D56328">
            <w:pPr>
              <w:pStyle w:val="af2"/>
              <w:rPr>
                <w:bCs/>
              </w:rPr>
            </w:pPr>
            <w:r w:rsidRPr="00D630D1">
              <w:rPr>
                <w:bCs/>
              </w:rPr>
              <w:t>管道作业带</w:t>
            </w:r>
          </w:p>
        </w:tc>
        <w:tc>
          <w:tcPr>
            <w:tcW w:w="906" w:type="dxa"/>
            <w:vAlign w:val="center"/>
          </w:tcPr>
          <w:p w:rsidR="00747ED0" w:rsidRPr="00D630D1" w:rsidRDefault="007B6E09" w:rsidP="00F4330E">
            <w:pPr>
              <w:pStyle w:val="af2"/>
              <w:rPr>
                <w:bCs/>
              </w:rPr>
            </w:pPr>
            <w:r>
              <w:rPr>
                <w:rFonts w:hint="eastAsia"/>
                <w:bCs/>
              </w:rPr>
              <w:t>17500</w:t>
            </w:r>
          </w:p>
        </w:tc>
        <w:tc>
          <w:tcPr>
            <w:tcW w:w="907" w:type="dxa"/>
            <w:vAlign w:val="center"/>
          </w:tcPr>
          <w:p w:rsidR="00747ED0" w:rsidRPr="00D630D1" w:rsidRDefault="007B6E09" w:rsidP="0007009A">
            <w:pPr>
              <w:pStyle w:val="af2"/>
              <w:rPr>
                <w:bCs/>
              </w:rPr>
            </w:pPr>
            <w:r>
              <w:rPr>
                <w:rFonts w:hint="eastAsia"/>
                <w:bCs/>
              </w:rPr>
              <w:t>8950</w:t>
            </w:r>
          </w:p>
        </w:tc>
        <w:tc>
          <w:tcPr>
            <w:tcW w:w="1199" w:type="dxa"/>
            <w:vAlign w:val="center"/>
          </w:tcPr>
          <w:p w:rsidR="00747ED0" w:rsidRPr="00D630D1" w:rsidRDefault="007B6E09" w:rsidP="00FC092A">
            <w:pPr>
              <w:pStyle w:val="af2"/>
              <w:rPr>
                <w:bCs/>
              </w:rPr>
            </w:pPr>
            <w:r>
              <w:rPr>
                <w:rFonts w:hint="eastAsia"/>
                <w:bCs/>
              </w:rPr>
              <w:t>2350</w:t>
            </w:r>
          </w:p>
        </w:tc>
        <w:tc>
          <w:tcPr>
            <w:tcW w:w="1417" w:type="dxa"/>
            <w:tcBorders>
              <w:left w:val="single" w:sz="2" w:space="0" w:color="auto"/>
            </w:tcBorders>
            <w:vAlign w:val="center"/>
          </w:tcPr>
          <w:p w:rsidR="00747ED0" w:rsidRPr="00D630D1" w:rsidRDefault="0007009A" w:rsidP="00FC092A">
            <w:pPr>
              <w:pStyle w:val="af2"/>
              <w:rPr>
                <w:bCs/>
              </w:rPr>
            </w:pPr>
            <w:r>
              <w:rPr>
                <w:rFonts w:hint="eastAsia"/>
                <w:bCs/>
              </w:rPr>
              <w:t>3040</w:t>
            </w:r>
          </w:p>
        </w:tc>
        <w:tc>
          <w:tcPr>
            <w:tcW w:w="1276" w:type="dxa"/>
            <w:tcBorders>
              <w:left w:val="single" w:sz="2" w:space="0" w:color="auto"/>
            </w:tcBorders>
            <w:vAlign w:val="center"/>
          </w:tcPr>
          <w:p w:rsidR="00747ED0" w:rsidRPr="00D630D1" w:rsidRDefault="00747ED0" w:rsidP="00D56328">
            <w:pPr>
              <w:pStyle w:val="af2"/>
              <w:rPr>
                <w:bCs/>
              </w:rPr>
            </w:pPr>
          </w:p>
        </w:tc>
        <w:tc>
          <w:tcPr>
            <w:tcW w:w="794" w:type="dxa"/>
            <w:vAlign w:val="center"/>
          </w:tcPr>
          <w:p w:rsidR="00747ED0" w:rsidRPr="00D630D1" w:rsidRDefault="0007009A" w:rsidP="00D56328">
            <w:pPr>
              <w:pStyle w:val="af2"/>
              <w:rPr>
                <w:bCs/>
              </w:rPr>
            </w:pPr>
            <w:r>
              <w:rPr>
                <w:rFonts w:hint="eastAsia"/>
              </w:rPr>
              <w:t>3184</w:t>
            </w:r>
            <w:r w:rsidRPr="00D630D1">
              <w:t>0</w:t>
            </w:r>
          </w:p>
        </w:tc>
        <w:tc>
          <w:tcPr>
            <w:tcW w:w="703" w:type="dxa"/>
            <w:vMerge w:val="restart"/>
            <w:vAlign w:val="center"/>
          </w:tcPr>
          <w:p w:rsidR="00747ED0" w:rsidRPr="00D630D1" w:rsidRDefault="00747ED0" w:rsidP="00D56328">
            <w:pPr>
              <w:pStyle w:val="af2"/>
              <w:rPr>
                <w:bCs/>
              </w:rPr>
            </w:pPr>
            <w:r w:rsidRPr="00D630D1">
              <w:rPr>
                <w:bCs/>
              </w:rPr>
              <w:t>临时占地</w:t>
            </w:r>
          </w:p>
        </w:tc>
      </w:tr>
      <w:tr w:rsidR="0007009A" w:rsidRPr="00D630D1" w:rsidTr="00747ED0">
        <w:trPr>
          <w:trHeight w:val="50"/>
          <w:jc w:val="center"/>
        </w:trPr>
        <w:tc>
          <w:tcPr>
            <w:tcW w:w="1663" w:type="dxa"/>
            <w:vAlign w:val="center"/>
          </w:tcPr>
          <w:p w:rsidR="0007009A" w:rsidRPr="00D630D1" w:rsidRDefault="0007009A" w:rsidP="00D56328">
            <w:pPr>
              <w:pStyle w:val="af2"/>
              <w:rPr>
                <w:bCs/>
              </w:rPr>
            </w:pPr>
            <w:r w:rsidRPr="00D630D1">
              <w:rPr>
                <w:bCs/>
              </w:rPr>
              <w:t>堆管点</w:t>
            </w:r>
          </w:p>
        </w:tc>
        <w:tc>
          <w:tcPr>
            <w:tcW w:w="906" w:type="dxa"/>
            <w:vAlign w:val="center"/>
          </w:tcPr>
          <w:p w:rsidR="0007009A" w:rsidRPr="00D630D1" w:rsidRDefault="0007009A" w:rsidP="006269A7">
            <w:pPr>
              <w:pStyle w:val="af2"/>
              <w:rPr>
                <w:bCs/>
              </w:rPr>
            </w:pPr>
          </w:p>
        </w:tc>
        <w:tc>
          <w:tcPr>
            <w:tcW w:w="907" w:type="dxa"/>
            <w:vAlign w:val="center"/>
          </w:tcPr>
          <w:p w:rsidR="0007009A" w:rsidRPr="00D630D1" w:rsidRDefault="0007009A" w:rsidP="00D56328">
            <w:pPr>
              <w:pStyle w:val="af2"/>
              <w:rPr>
                <w:bCs/>
              </w:rPr>
            </w:pPr>
          </w:p>
        </w:tc>
        <w:tc>
          <w:tcPr>
            <w:tcW w:w="1199" w:type="dxa"/>
            <w:vAlign w:val="center"/>
          </w:tcPr>
          <w:p w:rsidR="0007009A" w:rsidRPr="00D630D1" w:rsidRDefault="0007009A" w:rsidP="00D56328">
            <w:pPr>
              <w:pStyle w:val="af2"/>
              <w:rPr>
                <w:bCs/>
              </w:rPr>
            </w:pPr>
          </w:p>
        </w:tc>
        <w:tc>
          <w:tcPr>
            <w:tcW w:w="1417" w:type="dxa"/>
            <w:tcBorders>
              <w:left w:val="single" w:sz="2" w:space="0" w:color="auto"/>
            </w:tcBorders>
            <w:vAlign w:val="center"/>
          </w:tcPr>
          <w:p w:rsidR="0007009A" w:rsidRPr="00D630D1" w:rsidRDefault="0007009A" w:rsidP="00D56328">
            <w:pPr>
              <w:pStyle w:val="af2"/>
              <w:rPr>
                <w:bCs/>
              </w:rPr>
            </w:pPr>
            <w:r>
              <w:rPr>
                <w:rFonts w:hint="eastAsia"/>
                <w:bCs/>
              </w:rPr>
              <w:t>700</w:t>
            </w:r>
          </w:p>
        </w:tc>
        <w:tc>
          <w:tcPr>
            <w:tcW w:w="1276" w:type="dxa"/>
            <w:tcBorders>
              <w:left w:val="single" w:sz="2" w:space="0" w:color="auto"/>
            </w:tcBorders>
            <w:vAlign w:val="center"/>
          </w:tcPr>
          <w:p w:rsidR="0007009A" w:rsidRPr="00D630D1" w:rsidRDefault="0007009A" w:rsidP="00D56328">
            <w:pPr>
              <w:pStyle w:val="af2"/>
              <w:rPr>
                <w:bCs/>
              </w:rPr>
            </w:pPr>
            <w:r w:rsidRPr="00D630D1">
              <w:rPr>
                <w:rFonts w:hint="eastAsia"/>
                <w:bCs/>
              </w:rPr>
              <w:t>300</w:t>
            </w:r>
          </w:p>
        </w:tc>
        <w:tc>
          <w:tcPr>
            <w:tcW w:w="794" w:type="dxa"/>
            <w:vAlign w:val="center"/>
          </w:tcPr>
          <w:p w:rsidR="0007009A" w:rsidRPr="00D630D1" w:rsidRDefault="0007009A" w:rsidP="006269A7">
            <w:pPr>
              <w:pStyle w:val="af2"/>
              <w:rPr>
                <w:bCs/>
              </w:rPr>
            </w:pPr>
            <w:r w:rsidRPr="00D630D1">
              <w:rPr>
                <w:rFonts w:hint="eastAsia"/>
                <w:bCs/>
              </w:rPr>
              <w:t>100</w:t>
            </w:r>
            <w:r>
              <w:rPr>
                <w:rFonts w:hint="eastAsia"/>
                <w:bCs/>
              </w:rPr>
              <w:t>0</w:t>
            </w:r>
          </w:p>
        </w:tc>
        <w:tc>
          <w:tcPr>
            <w:tcW w:w="703" w:type="dxa"/>
            <w:vMerge/>
            <w:vAlign w:val="center"/>
          </w:tcPr>
          <w:p w:rsidR="0007009A" w:rsidRPr="00D630D1" w:rsidRDefault="0007009A" w:rsidP="00D56328">
            <w:pPr>
              <w:pStyle w:val="af2"/>
              <w:rPr>
                <w:bCs/>
              </w:rPr>
            </w:pPr>
          </w:p>
        </w:tc>
      </w:tr>
      <w:tr w:rsidR="0007009A" w:rsidRPr="00D630D1" w:rsidTr="00747ED0">
        <w:trPr>
          <w:trHeight w:val="50"/>
          <w:jc w:val="center"/>
        </w:trPr>
        <w:tc>
          <w:tcPr>
            <w:tcW w:w="1663" w:type="dxa"/>
            <w:vAlign w:val="center"/>
          </w:tcPr>
          <w:p w:rsidR="0007009A" w:rsidRPr="00D630D1" w:rsidRDefault="0007009A" w:rsidP="00D56328">
            <w:pPr>
              <w:pStyle w:val="af2"/>
              <w:rPr>
                <w:bCs/>
              </w:rPr>
            </w:pPr>
            <w:r w:rsidRPr="00D630D1">
              <w:rPr>
                <w:bCs/>
              </w:rPr>
              <w:t>施工便道</w:t>
            </w:r>
          </w:p>
        </w:tc>
        <w:tc>
          <w:tcPr>
            <w:tcW w:w="906" w:type="dxa"/>
            <w:vAlign w:val="center"/>
          </w:tcPr>
          <w:p w:rsidR="0007009A" w:rsidRPr="00D630D1" w:rsidRDefault="0007009A" w:rsidP="006269A7">
            <w:pPr>
              <w:pStyle w:val="af2"/>
              <w:rPr>
                <w:bCs/>
              </w:rPr>
            </w:pPr>
            <w:r>
              <w:rPr>
                <w:rFonts w:hint="eastAsia"/>
                <w:bCs/>
              </w:rPr>
              <w:t>400</w:t>
            </w:r>
          </w:p>
        </w:tc>
        <w:tc>
          <w:tcPr>
            <w:tcW w:w="907" w:type="dxa"/>
            <w:vAlign w:val="center"/>
          </w:tcPr>
          <w:p w:rsidR="0007009A" w:rsidRPr="00D630D1" w:rsidRDefault="0007009A" w:rsidP="00D56328">
            <w:pPr>
              <w:pStyle w:val="af2"/>
              <w:rPr>
                <w:bCs/>
              </w:rPr>
            </w:pPr>
          </w:p>
        </w:tc>
        <w:tc>
          <w:tcPr>
            <w:tcW w:w="1199" w:type="dxa"/>
            <w:vAlign w:val="center"/>
          </w:tcPr>
          <w:p w:rsidR="0007009A" w:rsidRPr="00D630D1" w:rsidRDefault="0007009A" w:rsidP="00D56328">
            <w:pPr>
              <w:pStyle w:val="af2"/>
              <w:rPr>
                <w:bCs/>
              </w:rPr>
            </w:pPr>
            <w:r>
              <w:rPr>
                <w:rFonts w:hint="eastAsia"/>
                <w:bCs/>
              </w:rPr>
              <w:t>300</w:t>
            </w:r>
          </w:p>
        </w:tc>
        <w:tc>
          <w:tcPr>
            <w:tcW w:w="1417" w:type="dxa"/>
            <w:tcBorders>
              <w:left w:val="single" w:sz="2" w:space="0" w:color="auto"/>
            </w:tcBorders>
            <w:vAlign w:val="center"/>
          </w:tcPr>
          <w:p w:rsidR="0007009A" w:rsidRPr="00D630D1" w:rsidRDefault="0007009A" w:rsidP="00D56328">
            <w:pPr>
              <w:pStyle w:val="af2"/>
              <w:rPr>
                <w:bCs/>
              </w:rPr>
            </w:pPr>
          </w:p>
        </w:tc>
        <w:tc>
          <w:tcPr>
            <w:tcW w:w="1276" w:type="dxa"/>
            <w:tcBorders>
              <w:left w:val="single" w:sz="2" w:space="0" w:color="auto"/>
            </w:tcBorders>
            <w:vAlign w:val="center"/>
          </w:tcPr>
          <w:p w:rsidR="0007009A" w:rsidRPr="00D630D1" w:rsidRDefault="0007009A" w:rsidP="00D56328">
            <w:pPr>
              <w:pStyle w:val="af2"/>
              <w:rPr>
                <w:bCs/>
              </w:rPr>
            </w:pPr>
            <w:r w:rsidRPr="00D630D1">
              <w:rPr>
                <w:rFonts w:hint="eastAsia"/>
                <w:bCs/>
              </w:rPr>
              <w:t>100</w:t>
            </w:r>
          </w:p>
        </w:tc>
        <w:tc>
          <w:tcPr>
            <w:tcW w:w="794" w:type="dxa"/>
            <w:vAlign w:val="center"/>
          </w:tcPr>
          <w:p w:rsidR="0007009A" w:rsidRPr="00D630D1" w:rsidRDefault="0007009A" w:rsidP="006269A7">
            <w:pPr>
              <w:pStyle w:val="af2"/>
              <w:rPr>
                <w:bCs/>
              </w:rPr>
            </w:pPr>
            <w:r>
              <w:rPr>
                <w:rFonts w:hint="eastAsia"/>
                <w:bCs/>
              </w:rPr>
              <w:t>800</w:t>
            </w:r>
          </w:p>
        </w:tc>
        <w:tc>
          <w:tcPr>
            <w:tcW w:w="703" w:type="dxa"/>
            <w:vMerge/>
            <w:vAlign w:val="center"/>
          </w:tcPr>
          <w:p w:rsidR="0007009A" w:rsidRPr="00D630D1" w:rsidRDefault="0007009A" w:rsidP="00D56328">
            <w:pPr>
              <w:pStyle w:val="af2"/>
              <w:rPr>
                <w:bCs/>
              </w:rPr>
            </w:pPr>
          </w:p>
        </w:tc>
      </w:tr>
      <w:tr w:rsidR="0007009A" w:rsidRPr="00D630D1" w:rsidTr="00747ED0">
        <w:trPr>
          <w:trHeight w:val="50"/>
          <w:jc w:val="center"/>
        </w:trPr>
        <w:tc>
          <w:tcPr>
            <w:tcW w:w="1663" w:type="dxa"/>
            <w:vAlign w:val="center"/>
          </w:tcPr>
          <w:p w:rsidR="0007009A" w:rsidRPr="00D630D1" w:rsidRDefault="0007009A" w:rsidP="00D56328">
            <w:pPr>
              <w:pStyle w:val="af2"/>
              <w:rPr>
                <w:bCs/>
              </w:rPr>
            </w:pPr>
            <w:r w:rsidRPr="00D630D1">
              <w:rPr>
                <w:bCs/>
              </w:rPr>
              <w:t>合计</w:t>
            </w:r>
          </w:p>
        </w:tc>
        <w:tc>
          <w:tcPr>
            <w:tcW w:w="906" w:type="dxa"/>
            <w:vAlign w:val="center"/>
          </w:tcPr>
          <w:p w:rsidR="0007009A" w:rsidRPr="00D630D1" w:rsidRDefault="007B6E09" w:rsidP="00F4330E">
            <w:pPr>
              <w:pStyle w:val="af2"/>
              <w:rPr>
                <w:bCs/>
              </w:rPr>
            </w:pPr>
            <w:r>
              <w:rPr>
                <w:rFonts w:hint="eastAsia"/>
                <w:bCs/>
              </w:rPr>
              <w:t>1790</w:t>
            </w:r>
            <w:r w:rsidR="0007009A" w:rsidRPr="00D630D1">
              <w:rPr>
                <w:rFonts w:hint="eastAsia"/>
                <w:bCs/>
              </w:rPr>
              <w:t>0</w:t>
            </w:r>
          </w:p>
        </w:tc>
        <w:tc>
          <w:tcPr>
            <w:tcW w:w="907" w:type="dxa"/>
            <w:vAlign w:val="center"/>
          </w:tcPr>
          <w:p w:rsidR="0007009A" w:rsidRPr="00D630D1" w:rsidRDefault="0007009A" w:rsidP="00D56328">
            <w:pPr>
              <w:pStyle w:val="af2"/>
              <w:rPr>
                <w:bCs/>
              </w:rPr>
            </w:pPr>
            <w:r>
              <w:rPr>
                <w:rFonts w:hint="eastAsia"/>
                <w:bCs/>
              </w:rPr>
              <w:t>8950</w:t>
            </w:r>
          </w:p>
        </w:tc>
        <w:tc>
          <w:tcPr>
            <w:tcW w:w="1199" w:type="dxa"/>
            <w:vAlign w:val="center"/>
          </w:tcPr>
          <w:p w:rsidR="0007009A" w:rsidRPr="00D630D1" w:rsidRDefault="007B6E09" w:rsidP="00D56328">
            <w:pPr>
              <w:pStyle w:val="af2"/>
              <w:rPr>
                <w:bCs/>
              </w:rPr>
            </w:pPr>
            <w:r>
              <w:rPr>
                <w:rFonts w:hint="eastAsia"/>
                <w:bCs/>
              </w:rPr>
              <w:t>265</w:t>
            </w:r>
            <w:r w:rsidR="0007009A">
              <w:rPr>
                <w:rFonts w:hint="eastAsia"/>
                <w:bCs/>
              </w:rPr>
              <w:t>0</w:t>
            </w:r>
          </w:p>
        </w:tc>
        <w:tc>
          <w:tcPr>
            <w:tcW w:w="1417" w:type="dxa"/>
            <w:tcBorders>
              <w:left w:val="single" w:sz="2" w:space="0" w:color="auto"/>
            </w:tcBorders>
            <w:vAlign w:val="center"/>
          </w:tcPr>
          <w:p w:rsidR="0007009A" w:rsidRPr="00D630D1" w:rsidRDefault="0007009A" w:rsidP="00D56328">
            <w:pPr>
              <w:pStyle w:val="af2"/>
              <w:rPr>
                <w:bCs/>
              </w:rPr>
            </w:pPr>
            <w:r>
              <w:rPr>
                <w:rFonts w:hint="eastAsia"/>
                <w:bCs/>
              </w:rPr>
              <w:t>374</w:t>
            </w:r>
            <w:r w:rsidRPr="00D630D1">
              <w:rPr>
                <w:rFonts w:hint="eastAsia"/>
                <w:bCs/>
              </w:rPr>
              <w:t>0</w:t>
            </w:r>
          </w:p>
        </w:tc>
        <w:tc>
          <w:tcPr>
            <w:tcW w:w="1276" w:type="dxa"/>
            <w:tcBorders>
              <w:left w:val="single" w:sz="2" w:space="0" w:color="auto"/>
            </w:tcBorders>
            <w:vAlign w:val="center"/>
          </w:tcPr>
          <w:p w:rsidR="0007009A" w:rsidRPr="00D630D1" w:rsidRDefault="0007009A" w:rsidP="00D56328">
            <w:pPr>
              <w:pStyle w:val="af2"/>
              <w:rPr>
                <w:bCs/>
              </w:rPr>
            </w:pPr>
            <w:r w:rsidRPr="00D630D1">
              <w:rPr>
                <w:rFonts w:hint="eastAsia"/>
                <w:bCs/>
              </w:rPr>
              <w:t>400</w:t>
            </w:r>
          </w:p>
        </w:tc>
        <w:tc>
          <w:tcPr>
            <w:tcW w:w="794" w:type="dxa"/>
            <w:vAlign w:val="center"/>
          </w:tcPr>
          <w:p w:rsidR="0007009A" w:rsidRPr="00D630D1" w:rsidRDefault="0007009A" w:rsidP="00D56328">
            <w:pPr>
              <w:pStyle w:val="af2"/>
              <w:rPr>
                <w:bCs/>
              </w:rPr>
            </w:pPr>
            <w:r w:rsidRPr="0007009A">
              <w:rPr>
                <w:rFonts w:hint="eastAsia"/>
                <w:bCs/>
              </w:rPr>
              <w:t>3364</w:t>
            </w:r>
            <w:r w:rsidRPr="0007009A">
              <w:rPr>
                <w:bCs/>
              </w:rPr>
              <w:t>0</w:t>
            </w:r>
          </w:p>
        </w:tc>
        <w:tc>
          <w:tcPr>
            <w:tcW w:w="703" w:type="dxa"/>
            <w:vAlign w:val="center"/>
          </w:tcPr>
          <w:p w:rsidR="0007009A" w:rsidRPr="00D630D1" w:rsidRDefault="0007009A" w:rsidP="00D56328">
            <w:pPr>
              <w:pStyle w:val="af2"/>
              <w:rPr>
                <w:bCs/>
              </w:rPr>
            </w:pPr>
          </w:p>
        </w:tc>
      </w:tr>
    </w:tbl>
    <w:bookmarkEnd w:id="284"/>
    <w:bookmarkEnd w:id="289"/>
    <w:p w:rsidR="00117C3D" w:rsidRPr="00D630D1" w:rsidRDefault="00D56328">
      <w:pPr>
        <w:pStyle w:val="a1"/>
        <w:ind w:firstLine="482"/>
        <w:rPr>
          <w:rFonts w:ascii="Times New Roman" w:cs="Times New Roman"/>
          <w:b/>
        </w:rPr>
      </w:pPr>
      <w:r w:rsidRPr="00D630D1">
        <w:rPr>
          <w:rFonts w:hAnsi="宋体" w:hint="eastAsia"/>
          <w:b/>
        </w:rPr>
        <w:t>②</w:t>
      </w:r>
      <w:r w:rsidR="008B5B84" w:rsidRPr="00D630D1">
        <w:rPr>
          <w:rFonts w:ascii="Times New Roman" w:cs="Times New Roman"/>
          <w:b/>
        </w:rPr>
        <w:t>占地影响</w:t>
      </w:r>
    </w:p>
    <w:p w:rsidR="00117C3D" w:rsidRPr="00D630D1" w:rsidRDefault="008B5B84" w:rsidP="00D56328">
      <w:pPr>
        <w:pStyle w:val="afa"/>
        <w:ind w:firstLine="480"/>
      </w:pPr>
      <w:r w:rsidRPr="00D630D1">
        <w:lastRenderedPageBreak/>
        <w:t>项目的临时占地主要在施工期。在管线及站场施工过程中，施工作业带、施工便道等均为临时占用土地，一般仅在施工阶段造成沿线土地利用的暂时改变，大部分用地在施工结束后短期内（</w:t>
      </w:r>
      <w:r w:rsidRPr="00D630D1">
        <w:t>1</w:t>
      </w:r>
      <w:r w:rsidRPr="00D630D1">
        <w:t>年～</w:t>
      </w:r>
      <w:r w:rsidRPr="00D630D1">
        <w:t>2</w:t>
      </w:r>
      <w:r w:rsidRPr="00D630D1">
        <w:t>年）能恢复原有的利用功能。</w:t>
      </w:r>
    </w:p>
    <w:p w:rsidR="00117C3D" w:rsidRPr="00D630D1" w:rsidRDefault="00D56328" w:rsidP="00D56328">
      <w:pPr>
        <w:pStyle w:val="afa"/>
        <w:ind w:firstLine="480"/>
      </w:pPr>
      <w:r w:rsidRPr="00D630D1">
        <w:t>A.</w:t>
      </w:r>
      <w:r w:rsidR="008B5B84" w:rsidRPr="00D630D1">
        <w:t>管道施工作业带占地</w:t>
      </w:r>
    </w:p>
    <w:p w:rsidR="00117C3D" w:rsidRPr="00D630D1" w:rsidRDefault="008B5B84" w:rsidP="00D56328">
      <w:pPr>
        <w:pStyle w:val="afa"/>
        <w:ind w:firstLine="480"/>
      </w:pPr>
      <w:r w:rsidRPr="00D630D1">
        <w:t>管道工程大部分临时占地是在管道开挖埋设施工过程中，由于管道施工分段进行，施工时间较短，每段管线从施工到重新覆土约为三个月的时间，施工完毕后，管道敷设完成，该地段土地利用大部分可恢复为原利用状态。</w:t>
      </w:r>
    </w:p>
    <w:p w:rsidR="00117C3D" w:rsidRPr="00D630D1" w:rsidRDefault="008B5B84" w:rsidP="00D56328">
      <w:pPr>
        <w:pStyle w:val="afa"/>
        <w:ind w:firstLine="480"/>
      </w:pPr>
      <w:r w:rsidRPr="00D630D1">
        <w:t>施工完成后，管道两侧</w:t>
      </w:r>
      <w:r w:rsidRPr="00D630D1">
        <w:t>5m</w:t>
      </w:r>
      <w:r w:rsidRPr="00D630D1">
        <w:t>范围内不能再种植深根植物，一般情况下，该地段可以种植根系不发达的草本植物，以改善景观、防止水土流失。因此从用地类型看对林地、灌丛等用地有一定的影响。</w:t>
      </w:r>
    </w:p>
    <w:p w:rsidR="00117C3D" w:rsidRPr="00D630D1" w:rsidRDefault="008B5B84" w:rsidP="00D56328">
      <w:pPr>
        <w:pStyle w:val="afa"/>
        <w:ind w:firstLine="480"/>
      </w:pPr>
      <w:r w:rsidRPr="00D630D1">
        <w:t>从宏观整体区域看，施工作业带为线性施工，相较于所占地类型面积比例极小，施工临时区域不会影响该区域的土地利用结构。管道施工完毕，管线两侧</w:t>
      </w:r>
      <w:r w:rsidRPr="00D630D1">
        <w:t>5m</w:t>
      </w:r>
      <w:r w:rsidRPr="00D630D1">
        <w:t>范围外可以重新种植深根作物，对土地利用的影响也将逐渐消失。</w:t>
      </w:r>
    </w:p>
    <w:p w:rsidR="00117C3D" w:rsidRPr="00D630D1" w:rsidRDefault="00D56328" w:rsidP="00D56328">
      <w:pPr>
        <w:pStyle w:val="afa"/>
        <w:ind w:firstLine="480"/>
      </w:pPr>
      <w:r w:rsidRPr="00D630D1">
        <w:t>B.</w:t>
      </w:r>
      <w:r w:rsidR="008B5B84" w:rsidRPr="00D630D1">
        <w:t>施工便道占地</w:t>
      </w:r>
    </w:p>
    <w:p w:rsidR="00117C3D" w:rsidRPr="00D630D1" w:rsidRDefault="008B5B84" w:rsidP="00D56328">
      <w:pPr>
        <w:pStyle w:val="afa"/>
        <w:ind w:firstLine="480"/>
      </w:pPr>
      <w:r w:rsidRPr="00D630D1">
        <w:t>管线施工便道属于临时性工程占地，施工结束后大部分即可恢复原有用地使用性质，一部分的施工便道将作为农村道路或者为了管道维护的方便而保持下来，虽然改变了其原有的用地性质，但由于保留的施工便道比较少，不会对区域土地利用产生较大影响。</w:t>
      </w:r>
    </w:p>
    <w:p w:rsidR="00117C3D" w:rsidRPr="00D630D1" w:rsidRDefault="008B5B84" w:rsidP="00D56328">
      <w:pPr>
        <w:pStyle w:val="afa"/>
        <w:ind w:firstLine="480"/>
      </w:pPr>
      <w:r w:rsidRPr="00D630D1">
        <w:t>施工便道多按具体的施工工段设置，各工段占地一般为</w:t>
      </w:r>
      <w:r w:rsidRPr="00D630D1">
        <w:t>30</w:t>
      </w:r>
      <w:r w:rsidRPr="00D630D1">
        <w:t>天～</w:t>
      </w:r>
      <w:r w:rsidRPr="00D630D1">
        <w:t>45</w:t>
      </w:r>
      <w:r w:rsidRPr="00D630D1">
        <w:t>天，施工便道以依托现有县乡道路为主，新建道路基本是在管道两侧</w:t>
      </w:r>
      <w:r w:rsidR="00733954" w:rsidRPr="00D630D1">
        <w:rPr>
          <w:rFonts w:hint="eastAsia"/>
        </w:rPr>
        <w:t>8</w:t>
      </w:r>
      <w:r w:rsidRPr="00D630D1">
        <w:t>m</w:t>
      </w:r>
      <w:r w:rsidRPr="00D630D1">
        <w:t>内。施工期，施工范围内的农作物将被清除铲掉，施工便道需压实；施工结束后，施工便道占用的耕地可恢复原有种植。施工期施工便道对沿线生态环境的影响主要有：</w:t>
      </w:r>
    </w:p>
    <w:p w:rsidR="00117C3D" w:rsidRPr="00D630D1" w:rsidRDefault="008B5B84" w:rsidP="00D56328">
      <w:pPr>
        <w:pStyle w:val="afa"/>
        <w:ind w:firstLine="480"/>
      </w:pPr>
      <w:r w:rsidRPr="00D630D1">
        <w:t>a</w:t>
      </w:r>
      <w:r w:rsidRPr="00D630D1">
        <w:t>、临时占地将破坏地表原有植被作物，其中对农作物而言将减少一季收成；</w:t>
      </w:r>
    </w:p>
    <w:p w:rsidR="00117C3D" w:rsidRPr="00D630D1" w:rsidRDefault="008B5B84" w:rsidP="00D56328">
      <w:pPr>
        <w:pStyle w:val="afa"/>
        <w:ind w:firstLine="480"/>
      </w:pPr>
      <w:r w:rsidRPr="00D630D1">
        <w:t>b</w:t>
      </w:r>
      <w:r w:rsidRPr="00D630D1">
        <w:t>、施工过程中车辆碾压使占地范围内的土壤紧实度增加，对土地复耕后作物根系发育和生长不利；</w:t>
      </w:r>
    </w:p>
    <w:p w:rsidR="00117C3D" w:rsidRPr="00D630D1" w:rsidRDefault="008B5B84" w:rsidP="00D56328">
      <w:pPr>
        <w:pStyle w:val="afa"/>
        <w:ind w:firstLine="480"/>
      </w:pPr>
      <w:r w:rsidRPr="00D630D1">
        <w:t>c</w:t>
      </w:r>
      <w:r w:rsidRPr="00D630D1">
        <w:t>、在干燥天气下，车辆行驶扬尘，使便道两侧作物叶面覆盖降尘，光合作用弱，影响作物生长；降雨天气，施工车辆进出施工场地，施工便道上的泥土将影响到公路路面的清洁，干燥后会产生扬尘污染</w:t>
      </w:r>
      <w:r w:rsidR="00D56328" w:rsidRPr="00D630D1">
        <w:t>。</w:t>
      </w:r>
    </w:p>
    <w:p w:rsidR="00117C3D" w:rsidRPr="00D630D1" w:rsidRDefault="008B5B84" w:rsidP="00D56328">
      <w:pPr>
        <w:pStyle w:val="afa"/>
        <w:ind w:firstLine="480"/>
      </w:pPr>
      <w:r w:rsidRPr="00D630D1">
        <w:t>总之，临时性工程占地短期内将影响沿线土地的利用状况，施工结束后，随</w:t>
      </w:r>
      <w:r w:rsidRPr="00D630D1">
        <w:lastRenderedPageBreak/>
        <w:t>着生态补偿或生态恢复措施的实施，这一影响将逐渐小或消失。</w:t>
      </w:r>
    </w:p>
    <w:bookmarkEnd w:id="277"/>
    <w:bookmarkEnd w:id="278"/>
    <w:p w:rsidR="00117C3D" w:rsidRPr="00D630D1" w:rsidRDefault="00A41C7D">
      <w:pPr>
        <w:pStyle w:val="a1"/>
        <w:ind w:firstLine="482"/>
        <w:rPr>
          <w:rFonts w:ascii="Times New Roman" w:cs="Times New Roman"/>
          <w:b/>
          <w:bCs/>
        </w:rPr>
      </w:pPr>
      <w:r w:rsidRPr="00D630D1">
        <w:rPr>
          <w:rFonts w:ascii="Times New Roman" w:cs="Times New Roman"/>
          <w:b/>
          <w:bCs/>
        </w:rPr>
        <w:t>2</w:t>
      </w:r>
      <w:r w:rsidR="00FD5D8C" w:rsidRPr="00D630D1">
        <w:rPr>
          <w:rFonts w:ascii="Times New Roman" w:cs="Times New Roman"/>
          <w:b/>
          <w:bCs/>
        </w:rPr>
        <w:t>、</w:t>
      </w:r>
      <w:r w:rsidRPr="00D630D1">
        <w:rPr>
          <w:rFonts w:ascii="Times New Roman" w:cs="Times New Roman"/>
          <w:b/>
          <w:bCs/>
        </w:rPr>
        <w:t>生态环境影响分析</w:t>
      </w:r>
    </w:p>
    <w:p w:rsidR="00A41C7D" w:rsidRPr="00D630D1" w:rsidRDefault="00A41C7D">
      <w:pPr>
        <w:pStyle w:val="a1"/>
        <w:ind w:firstLine="482"/>
        <w:rPr>
          <w:rFonts w:ascii="Times New Roman" w:cs="Times New Roman"/>
          <w:b/>
        </w:rPr>
      </w:pPr>
      <w:r w:rsidRPr="00D630D1">
        <w:rPr>
          <w:rFonts w:ascii="Times New Roman" w:cs="Times New Roman"/>
          <w:b/>
        </w:rPr>
        <w:t>（</w:t>
      </w:r>
      <w:r w:rsidRPr="00D630D1">
        <w:rPr>
          <w:rFonts w:ascii="Times New Roman" w:cs="Times New Roman"/>
          <w:b/>
        </w:rPr>
        <w:t>1</w:t>
      </w:r>
      <w:r w:rsidRPr="00D630D1">
        <w:rPr>
          <w:rFonts w:ascii="Times New Roman" w:cs="Times New Roman"/>
          <w:b/>
        </w:rPr>
        <w:t>）生态影响分析</w:t>
      </w:r>
    </w:p>
    <w:p w:rsidR="00117C3D" w:rsidRPr="00D630D1" w:rsidRDefault="008B5B84">
      <w:pPr>
        <w:pStyle w:val="a1"/>
        <w:ind w:firstLine="480"/>
        <w:rPr>
          <w:rFonts w:ascii="Times New Roman" w:cs="Times New Roman"/>
        </w:rPr>
      </w:pPr>
      <w:r w:rsidRPr="00D630D1">
        <w:rPr>
          <w:rFonts w:hAnsi="宋体" w:hint="eastAsia"/>
        </w:rPr>
        <w:t>①</w:t>
      </w:r>
      <w:r w:rsidRPr="00D630D1">
        <w:rPr>
          <w:rFonts w:ascii="Times New Roman" w:cs="Times New Roman"/>
        </w:rPr>
        <w:t>在工程施工前期准备阶段，路线方案的选择、施工场地的准备，</w:t>
      </w:r>
      <w:r w:rsidR="00FD5D8C" w:rsidRPr="00D630D1">
        <w:rPr>
          <w:rFonts w:ascii="Times New Roman" w:cs="Times New Roman"/>
        </w:rPr>
        <w:t>施工便道</w:t>
      </w:r>
      <w:r w:rsidRPr="00D630D1">
        <w:rPr>
          <w:rFonts w:ascii="Times New Roman" w:cs="Times New Roman"/>
        </w:rPr>
        <w:t>的修建，对土地利用产生明显的影响。</w:t>
      </w:r>
    </w:p>
    <w:p w:rsidR="00117C3D" w:rsidRPr="00D630D1" w:rsidRDefault="008B5B84">
      <w:pPr>
        <w:pStyle w:val="a1"/>
        <w:ind w:firstLine="480"/>
        <w:rPr>
          <w:rFonts w:ascii="Times New Roman" w:cs="Times New Roman"/>
        </w:rPr>
      </w:pPr>
      <w:r w:rsidRPr="00D630D1">
        <w:rPr>
          <w:rFonts w:hAnsi="宋体" w:hint="eastAsia"/>
        </w:rPr>
        <w:t>②</w:t>
      </w:r>
      <w:r w:rsidRPr="00D630D1">
        <w:rPr>
          <w:rFonts w:ascii="Times New Roman" w:cs="Times New Roman"/>
        </w:rPr>
        <w:t>施工期间土石方工程的开挖引起自然地貌的改变和地表自然及人工植被的破坏，生物量和生产力的变化，由此引发的区域生态环境的破坏。</w:t>
      </w:r>
    </w:p>
    <w:p w:rsidR="00117C3D" w:rsidRPr="00D630D1" w:rsidRDefault="008B5B84">
      <w:pPr>
        <w:pStyle w:val="a1"/>
        <w:ind w:firstLine="480"/>
        <w:rPr>
          <w:rFonts w:ascii="Times New Roman" w:cs="Times New Roman"/>
        </w:rPr>
      </w:pPr>
      <w:r w:rsidRPr="00D630D1">
        <w:rPr>
          <w:rFonts w:hAnsi="宋体" w:hint="eastAsia"/>
        </w:rPr>
        <w:t>③</w:t>
      </w:r>
      <w:r w:rsidRPr="00D630D1">
        <w:rPr>
          <w:rFonts w:ascii="Times New Roman" w:cs="Times New Roman"/>
        </w:rPr>
        <w:t>施工中临时道路、施工工场、管线敷设导致农业生态系统发生较大变化。</w:t>
      </w:r>
    </w:p>
    <w:p w:rsidR="00117C3D" w:rsidRPr="00D630D1" w:rsidRDefault="00A41C7D">
      <w:pPr>
        <w:pStyle w:val="a1"/>
        <w:ind w:firstLine="482"/>
        <w:rPr>
          <w:rFonts w:ascii="Times New Roman" w:cs="Times New Roman"/>
          <w:b/>
        </w:rPr>
      </w:pPr>
      <w:bookmarkStart w:id="290" w:name="_Toc12288510"/>
      <w:r w:rsidRPr="00D630D1">
        <w:rPr>
          <w:rFonts w:ascii="Times New Roman" w:cs="Times New Roman"/>
          <w:b/>
        </w:rPr>
        <w:t>（</w:t>
      </w:r>
      <w:r w:rsidRPr="00D630D1">
        <w:rPr>
          <w:rFonts w:ascii="Times New Roman" w:cs="Times New Roman"/>
          <w:b/>
        </w:rPr>
        <w:t>2</w:t>
      </w:r>
      <w:r w:rsidRPr="00D630D1">
        <w:rPr>
          <w:rFonts w:ascii="Times New Roman" w:cs="Times New Roman"/>
          <w:b/>
        </w:rPr>
        <w:t>）</w:t>
      </w:r>
      <w:r w:rsidR="008B5B84" w:rsidRPr="00D630D1">
        <w:rPr>
          <w:rFonts w:ascii="Times New Roman" w:cs="Times New Roman"/>
          <w:b/>
        </w:rPr>
        <w:t>拟采取的生态保护措施</w:t>
      </w:r>
      <w:bookmarkEnd w:id="290"/>
    </w:p>
    <w:p w:rsidR="00117C3D" w:rsidRPr="00D630D1" w:rsidRDefault="008B5B84">
      <w:pPr>
        <w:pStyle w:val="a1"/>
        <w:ind w:firstLine="480"/>
        <w:rPr>
          <w:rFonts w:ascii="Times New Roman" w:cs="Times New Roman"/>
        </w:rPr>
      </w:pPr>
      <w:r w:rsidRPr="00D630D1">
        <w:rPr>
          <w:rFonts w:hAnsi="宋体" w:hint="eastAsia"/>
        </w:rPr>
        <w:t>①</w:t>
      </w:r>
      <w:r w:rsidRPr="00D630D1">
        <w:rPr>
          <w:rFonts w:ascii="Times New Roman" w:cs="Times New Roman"/>
        </w:rPr>
        <w:t>线路方案选择过程中，在确定线路走向时，充分考虑对生态环境的保护，在满足线路走向和工艺要求的同时，线路尽量避开或减少了通过林区地段；在无法避免的林地段施工时，严格控制作业带宽度，采用人工开挖的方式，减少对林地的保护。</w:t>
      </w:r>
    </w:p>
    <w:p w:rsidR="00117C3D" w:rsidRPr="00D630D1" w:rsidRDefault="008B5B84">
      <w:pPr>
        <w:pStyle w:val="a1"/>
        <w:ind w:firstLine="480"/>
        <w:rPr>
          <w:rFonts w:ascii="Times New Roman" w:cs="Times New Roman"/>
        </w:rPr>
      </w:pPr>
      <w:r w:rsidRPr="00D630D1">
        <w:rPr>
          <w:rFonts w:hAnsi="宋体" w:hint="eastAsia"/>
        </w:rPr>
        <w:t>②</w:t>
      </w:r>
      <w:r w:rsidR="00FD5D8C" w:rsidRPr="00D630D1">
        <w:rPr>
          <w:rFonts w:ascii="Times New Roman" w:cs="Times New Roman"/>
        </w:rPr>
        <w:t>通过农业区时，管道保持足够埋深（国家强制规范要求埋深，车行道下不低于</w:t>
      </w:r>
      <w:r w:rsidR="00FD5D8C" w:rsidRPr="00D630D1">
        <w:rPr>
          <w:rFonts w:ascii="Times New Roman" w:cs="Times New Roman"/>
        </w:rPr>
        <w:t>0.9m</w:t>
      </w:r>
      <w:r w:rsidR="00FD5D8C" w:rsidRPr="00D630D1">
        <w:rPr>
          <w:rFonts w:ascii="Times New Roman" w:cs="Times New Roman"/>
        </w:rPr>
        <w:t>，非车行道下</w:t>
      </w:r>
      <w:r w:rsidR="00FD5D8C" w:rsidRPr="00D630D1">
        <w:rPr>
          <w:rFonts w:ascii="Times New Roman" w:cs="Times New Roman"/>
        </w:rPr>
        <w:t>0.6m</w:t>
      </w:r>
      <w:r w:rsidR="00FD5D8C" w:rsidRPr="00D630D1">
        <w:rPr>
          <w:rFonts w:ascii="Times New Roman" w:cs="Times New Roman"/>
        </w:rPr>
        <w:t>，绿化带内</w:t>
      </w:r>
      <w:r w:rsidR="00FD5D8C" w:rsidRPr="00D630D1">
        <w:rPr>
          <w:rFonts w:ascii="Times New Roman" w:cs="Times New Roman"/>
        </w:rPr>
        <w:t>0.3m</w:t>
      </w:r>
      <w:r w:rsidR="00FD5D8C" w:rsidRPr="00D630D1">
        <w:rPr>
          <w:rFonts w:ascii="Times New Roman" w:cs="Times New Roman"/>
        </w:rPr>
        <w:t>。田内应该参考管顶</w:t>
      </w:r>
      <w:r w:rsidR="00FD5D8C" w:rsidRPr="00D630D1">
        <w:rPr>
          <w:rFonts w:ascii="Times New Roman" w:cs="Times New Roman"/>
        </w:rPr>
        <w:t>0.6m</w:t>
      </w:r>
      <w:r w:rsidR="00FD5D8C" w:rsidRPr="00D630D1">
        <w:rPr>
          <w:rFonts w:ascii="Times New Roman" w:cs="Times New Roman"/>
        </w:rPr>
        <w:t>埋深执行），不影响耕作。表土开挖采取分层堆放，分层回填，对熟土的保护做到措施到位，尽量不造成熟土养分流失，减少营运期内对农作物生长造成的经济损失。</w:t>
      </w:r>
    </w:p>
    <w:p w:rsidR="00117C3D" w:rsidRPr="00D630D1" w:rsidRDefault="008B5B84">
      <w:pPr>
        <w:pStyle w:val="a1"/>
        <w:ind w:firstLine="480"/>
        <w:rPr>
          <w:rFonts w:ascii="Times New Roman" w:cs="Times New Roman"/>
        </w:rPr>
      </w:pPr>
      <w:r w:rsidRPr="00D630D1">
        <w:rPr>
          <w:rFonts w:hAnsi="宋体" w:hint="eastAsia"/>
        </w:rPr>
        <w:t>③</w:t>
      </w:r>
      <w:r w:rsidRPr="00D630D1">
        <w:rPr>
          <w:rFonts w:ascii="Times New Roman" w:cs="Times New Roman"/>
        </w:rPr>
        <w:t>线路尽量避开滑坡、崩塌地带。施工中控制施工作业带范围，施工作业带以外不得破坏树木植被。林地做好还林、补林和林木移栽工作措施。</w:t>
      </w:r>
    </w:p>
    <w:p w:rsidR="00117C3D" w:rsidRPr="00D630D1" w:rsidRDefault="008B5B84">
      <w:pPr>
        <w:pStyle w:val="a1"/>
        <w:ind w:firstLine="480"/>
        <w:rPr>
          <w:rFonts w:ascii="Times New Roman" w:cs="Times New Roman"/>
        </w:rPr>
      </w:pPr>
      <w:r w:rsidRPr="00D630D1">
        <w:rPr>
          <w:rFonts w:hAnsi="宋体" w:hint="eastAsia"/>
        </w:rPr>
        <w:t>④</w:t>
      </w:r>
      <w:r w:rsidRPr="00D630D1">
        <w:rPr>
          <w:rFonts w:ascii="Times New Roman" w:cs="Times New Roman"/>
        </w:rPr>
        <w:t>管沟开挖产生的多余土石方不随意丢弃，并采取相应的拦挡措施，防</w:t>
      </w:r>
      <w:r w:rsidR="005F0550" w:rsidRPr="00D630D1">
        <w:rPr>
          <w:rFonts w:ascii="Times New Roman" w:cs="Times New Roman"/>
        </w:rPr>
        <w:t>止水土流失。管道经过深沟、陡坎地段，做好护坡、堡坎和排泄水设施</w:t>
      </w:r>
      <w:r w:rsidRPr="00D630D1">
        <w:rPr>
          <w:rFonts w:ascii="Times New Roman" w:cs="Times New Roman"/>
        </w:rPr>
        <w:t>。</w:t>
      </w:r>
    </w:p>
    <w:p w:rsidR="00117C3D" w:rsidRPr="00D630D1" w:rsidRDefault="008B5B84">
      <w:pPr>
        <w:pStyle w:val="a1"/>
        <w:ind w:firstLine="480"/>
        <w:rPr>
          <w:rFonts w:ascii="Times New Roman" w:cs="Times New Roman"/>
        </w:rPr>
      </w:pPr>
      <w:r w:rsidRPr="00D630D1">
        <w:rPr>
          <w:rFonts w:hAnsi="宋体" w:hint="eastAsia"/>
        </w:rPr>
        <w:t>⑤</w:t>
      </w:r>
      <w:r w:rsidRPr="00D630D1">
        <w:rPr>
          <w:rFonts w:ascii="Times New Roman" w:cs="Times New Roman"/>
        </w:rPr>
        <w:t>施工作业应避开暴雨季节，减少降雨引发的水土流失机率。应尽量避开农作物生长季节，减少农业生产的损失。</w:t>
      </w:r>
    </w:p>
    <w:p w:rsidR="00117C3D" w:rsidRPr="00D630D1" w:rsidRDefault="008B5B84">
      <w:pPr>
        <w:pStyle w:val="a1"/>
        <w:ind w:firstLine="480"/>
        <w:rPr>
          <w:rFonts w:ascii="Times New Roman" w:cs="Times New Roman"/>
        </w:rPr>
      </w:pPr>
      <w:r w:rsidRPr="00D630D1">
        <w:rPr>
          <w:rFonts w:hAnsi="宋体" w:hint="eastAsia"/>
        </w:rPr>
        <w:t>⑥</w:t>
      </w:r>
      <w:r w:rsidR="003A0A1F" w:rsidRPr="00D630D1">
        <w:rPr>
          <w:rFonts w:ascii="Times New Roman" w:cs="Times New Roman"/>
        </w:rPr>
        <w:t>妥善处理施工期产生的各类污染物，防止其对生态环境造成污染，特别是对河流和土壤的影响。施工回填时，应尽量按原有土壤层次进行回填，以恢复土壤的生产能力。回填后多余的土应平铺在田间或作为田埂等，不得随意丢弃。回填完成后，应立即开展复耕、复植工作，完善相应的水土保持工程</w:t>
      </w:r>
      <w:r w:rsidRPr="00D630D1">
        <w:rPr>
          <w:rFonts w:ascii="Times New Roman" w:cs="Times New Roman"/>
        </w:rPr>
        <w:t>。</w:t>
      </w:r>
    </w:p>
    <w:p w:rsidR="00117C3D" w:rsidRPr="00D630D1" w:rsidRDefault="008B5B84">
      <w:pPr>
        <w:pStyle w:val="a1"/>
        <w:ind w:firstLine="480"/>
        <w:rPr>
          <w:rFonts w:ascii="Times New Roman" w:cs="Times New Roman"/>
        </w:rPr>
      </w:pPr>
      <w:r w:rsidRPr="00D630D1">
        <w:rPr>
          <w:rFonts w:hAnsi="宋体" w:hint="eastAsia"/>
        </w:rPr>
        <w:t>⑦</w:t>
      </w:r>
      <w:r w:rsidR="003A0A1F" w:rsidRPr="00D630D1">
        <w:rPr>
          <w:rFonts w:ascii="Times New Roman" w:cs="Times New Roman" w:hint="eastAsia"/>
        </w:rPr>
        <w:t>妥善处理施工期产生的各类污染物，防止其对生态环境造成污染，特别是对河流和土壤的影响。施工回填时，应尽量按原有土壤层次进行回填，以恢复土</w:t>
      </w:r>
      <w:r w:rsidR="003A0A1F" w:rsidRPr="00D630D1">
        <w:rPr>
          <w:rFonts w:ascii="Times New Roman" w:cs="Times New Roman" w:hint="eastAsia"/>
        </w:rPr>
        <w:lastRenderedPageBreak/>
        <w:t>壤的生产能力。回填后多余的土应平铺在田间或作为田埂等，不得随意丢弃。回填完成后，应立即开展复耕、复植工作，完善相应的水土保持工程</w:t>
      </w:r>
      <w:r w:rsidRPr="00D630D1">
        <w:rPr>
          <w:rFonts w:ascii="Times New Roman" w:cs="Times New Roman"/>
        </w:rPr>
        <w:t>。</w:t>
      </w:r>
    </w:p>
    <w:p w:rsidR="00117C3D" w:rsidRPr="00D630D1" w:rsidRDefault="008B5B84">
      <w:pPr>
        <w:pStyle w:val="a1"/>
        <w:ind w:firstLine="480"/>
        <w:rPr>
          <w:rFonts w:ascii="Times New Roman" w:cs="Times New Roman"/>
        </w:rPr>
      </w:pPr>
      <w:r w:rsidRPr="00D630D1">
        <w:rPr>
          <w:rFonts w:hAnsi="宋体" w:hint="eastAsia"/>
        </w:rPr>
        <w:t>⑧</w:t>
      </w:r>
      <w:r w:rsidR="003A0A1F" w:rsidRPr="00D630D1">
        <w:rPr>
          <w:rFonts w:ascii="Times New Roman" w:cs="Times New Roman"/>
        </w:rPr>
        <w:t>加大对作业带有机肥料的投入，增加土壤有机质含量，恢复土壤团粒结构，减轻对土壤的压实效应</w:t>
      </w:r>
      <w:r w:rsidRPr="00D630D1">
        <w:rPr>
          <w:rFonts w:ascii="Times New Roman" w:cs="Times New Roman"/>
        </w:rPr>
        <w:t>。</w:t>
      </w:r>
    </w:p>
    <w:p w:rsidR="00117C3D" w:rsidRPr="00D630D1" w:rsidRDefault="003A7CE8">
      <w:pPr>
        <w:pStyle w:val="3"/>
        <w:rPr>
          <w:rStyle w:val="af0"/>
          <w:b/>
          <w:bCs/>
        </w:rPr>
      </w:pPr>
      <w:bookmarkStart w:id="291" w:name="_Toc12288511"/>
      <w:r w:rsidRPr="00D630D1">
        <w:rPr>
          <w:rStyle w:val="af0"/>
          <w:b/>
          <w:bCs/>
        </w:rPr>
        <w:t>4</w:t>
      </w:r>
      <w:r w:rsidR="008B5B84" w:rsidRPr="00D630D1">
        <w:rPr>
          <w:rStyle w:val="af0"/>
          <w:b/>
          <w:bCs/>
        </w:rPr>
        <w:t>.1.</w:t>
      </w:r>
      <w:bookmarkEnd w:id="291"/>
      <w:r w:rsidR="00A41C7D" w:rsidRPr="00D630D1">
        <w:rPr>
          <w:rStyle w:val="af0"/>
          <w:b/>
          <w:bCs/>
        </w:rPr>
        <w:t>4</w:t>
      </w:r>
      <w:r w:rsidR="008B5B84" w:rsidRPr="00D630D1">
        <w:rPr>
          <w:rStyle w:val="af0"/>
          <w:b/>
          <w:bCs/>
        </w:rPr>
        <w:t xml:space="preserve"> </w:t>
      </w:r>
      <w:r w:rsidR="008B5B84" w:rsidRPr="00D630D1">
        <w:rPr>
          <w:rStyle w:val="af0"/>
          <w:b/>
          <w:bCs/>
        </w:rPr>
        <w:t>废气产生情况及治理措施</w:t>
      </w:r>
    </w:p>
    <w:p w:rsidR="00117C3D" w:rsidRPr="00D630D1" w:rsidRDefault="00FD5D8C">
      <w:pPr>
        <w:pStyle w:val="a1"/>
        <w:ind w:firstLine="480"/>
        <w:rPr>
          <w:rFonts w:ascii="Times New Roman" w:cs="Times New Roman"/>
        </w:rPr>
      </w:pPr>
      <w:r w:rsidRPr="00D630D1">
        <w:rPr>
          <w:rFonts w:ascii="Times New Roman" w:cs="Times New Roman"/>
        </w:rPr>
        <w:t>本工程施工大气污染源包括管沟土石方开挖产生的扬尘、裸露地面扬尘、施工运输车辆扬尘、施工机械及运输车辆燃油废气、焊接烟气</w:t>
      </w:r>
      <w:r w:rsidR="003A0A1F" w:rsidRPr="00D630D1">
        <w:rPr>
          <w:rFonts w:ascii="Times New Roman" w:cs="Times New Roman" w:hint="eastAsia"/>
        </w:rPr>
        <w:t>、</w:t>
      </w:r>
      <w:r w:rsidR="003A0A1F" w:rsidRPr="00D630D1">
        <w:rPr>
          <w:rFonts w:ascii="Times New Roman"/>
        </w:rPr>
        <w:t>气体钻粉尘</w:t>
      </w:r>
      <w:r w:rsidR="003A0A1F" w:rsidRPr="00D630D1">
        <w:rPr>
          <w:rFonts w:ascii="Times New Roman" w:hint="eastAsia"/>
        </w:rPr>
        <w:t>、</w:t>
      </w:r>
      <w:r w:rsidR="00907B8A" w:rsidRPr="00D630D1">
        <w:rPr>
          <w:rFonts w:hint="eastAsia"/>
        </w:rPr>
        <w:t>测试放喷废气</w:t>
      </w:r>
      <w:r w:rsidRPr="00D630D1">
        <w:rPr>
          <w:rFonts w:ascii="Times New Roman" w:cs="Times New Roman"/>
        </w:rPr>
        <w:t>。</w:t>
      </w:r>
    </w:p>
    <w:p w:rsidR="00FD5D8C" w:rsidRPr="00D630D1" w:rsidRDefault="00FD5D8C" w:rsidP="00FD5D8C">
      <w:pPr>
        <w:pStyle w:val="afa"/>
        <w:ind w:firstLine="482"/>
        <w:rPr>
          <w:b/>
          <w:bCs/>
        </w:rPr>
      </w:pPr>
      <w:r w:rsidRPr="00D630D1">
        <w:rPr>
          <w:b/>
          <w:bCs/>
        </w:rPr>
        <w:t>1</w:t>
      </w:r>
      <w:r w:rsidRPr="00D630D1">
        <w:rPr>
          <w:b/>
          <w:bCs/>
        </w:rPr>
        <w:t>、污染源分析</w:t>
      </w:r>
    </w:p>
    <w:p w:rsidR="00FD5D8C" w:rsidRPr="00D630D1" w:rsidRDefault="00FD5D8C" w:rsidP="00FD5D8C">
      <w:pPr>
        <w:pStyle w:val="afa"/>
        <w:ind w:firstLine="482"/>
        <w:rPr>
          <w:b/>
          <w:bCs/>
        </w:rPr>
      </w:pPr>
      <w:bookmarkStart w:id="292" w:name="_Hlk52895135"/>
      <w:r w:rsidRPr="00D630D1">
        <w:rPr>
          <w:b/>
          <w:bCs/>
        </w:rPr>
        <w:t>（</w:t>
      </w:r>
      <w:r w:rsidRPr="00D630D1">
        <w:rPr>
          <w:b/>
          <w:bCs/>
        </w:rPr>
        <w:t>1</w:t>
      </w:r>
      <w:r w:rsidRPr="00D630D1">
        <w:rPr>
          <w:b/>
          <w:bCs/>
        </w:rPr>
        <w:t>）施工扬尘</w:t>
      </w:r>
    </w:p>
    <w:p w:rsidR="00FD5D8C" w:rsidRPr="00D630D1" w:rsidRDefault="00FD5D8C" w:rsidP="00FD5D8C">
      <w:pPr>
        <w:pStyle w:val="afa"/>
        <w:ind w:firstLine="480"/>
        <w:rPr>
          <w:highlight w:val="yellow"/>
        </w:rPr>
      </w:pPr>
      <w:r w:rsidRPr="00D630D1">
        <w:t>裸露地表在工程扰动或风力扰动的情况下会产生一定的扬尘，扬尘的产生量及产生浓度与扰动的严重程度有关，但在去除外界扰动的情況下扬尘会随自身重力降至地面。同时，根据相关经验表明，裸露地表在扰动的情況下所产生的扬尘量及浓度还与地表土壤的湿润程度有很大的联系，地表土壤所含水分越多，越不容易产生扬尘、放空废气。</w:t>
      </w:r>
    </w:p>
    <w:p w:rsidR="00FD5D8C" w:rsidRPr="00D630D1" w:rsidRDefault="00FD5D8C" w:rsidP="00FD5D8C">
      <w:pPr>
        <w:pStyle w:val="afa"/>
        <w:ind w:firstLine="482"/>
        <w:rPr>
          <w:b/>
          <w:bCs/>
        </w:rPr>
      </w:pPr>
      <w:r w:rsidRPr="00D630D1">
        <w:rPr>
          <w:b/>
          <w:bCs/>
        </w:rPr>
        <w:t>（</w:t>
      </w:r>
      <w:r w:rsidRPr="00D630D1">
        <w:rPr>
          <w:b/>
          <w:bCs/>
        </w:rPr>
        <w:t>2</w:t>
      </w:r>
      <w:r w:rsidRPr="00D630D1">
        <w:rPr>
          <w:b/>
          <w:bCs/>
        </w:rPr>
        <w:t>）堆场所产生的扬尘</w:t>
      </w:r>
    </w:p>
    <w:p w:rsidR="00FD5D8C" w:rsidRPr="00D630D1" w:rsidRDefault="00FD5D8C" w:rsidP="00FD5D8C">
      <w:pPr>
        <w:pStyle w:val="afa"/>
        <w:ind w:firstLine="480"/>
      </w:pPr>
      <w:r w:rsidRPr="00D630D1">
        <w:t>管线施工阶段扬尘的另一个来源是临时堆场和裸露场地的风力扬尘。在气候干燥的情况下会产生扬尘，其扬尘可按堆场起尘的经验公式计算。</w:t>
      </w:r>
    </w:p>
    <w:p w:rsidR="00FD5D8C" w:rsidRPr="00D630D1" w:rsidRDefault="001A254A" w:rsidP="00FD5D8C">
      <w:pPr>
        <w:pStyle w:val="afa"/>
        <w:ind w:firstLine="480"/>
      </w:pPr>
      <m:oMathPara>
        <m:oMath>
          <m:r>
            <m:rPr>
              <m:sty m:val="p"/>
            </m:rPr>
            <w:rPr>
              <w:rFonts w:ascii="Cambria Math" w:hAnsi="Cambria Math"/>
            </w:rPr>
            <m:t>Q=2.1</m:t>
          </m:r>
          <m:d>
            <m:dPr>
              <m:ctrlPr>
                <w:rPr>
                  <w:rFonts w:ascii="Cambria Math" w:hAnsi="Cambria Math"/>
                </w:rPr>
              </m:ctrlPr>
            </m:dPr>
            <m:e>
              <m:sSub>
                <m:sSubPr>
                  <m:ctrlPr>
                    <w:rPr>
                      <w:rFonts w:ascii="Cambria Math" w:hAnsi="Cambria Math"/>
                      <w:i/>
                    </w:rPr>
                  </m:ctrlPr>
                </m:sSubPr>
                <m:e>
                  <m:r>
                    <w:rPr>
                      <w:rFonts w:ascii="Cambria Math" w:hAnsi="Cambria Math"/>
                    </w:rPr>
                    <m:t>V</m:t>
                  </m:r>
                </m:e>
                <m:sub>
                  <m:r>
                    <w:rPr>
                      <w:rFonts w:ascii="Cambria Math" w:hAnsi="Cambria Math"/>
                    </w:rPr>
                    <m:t>50</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e>
          </m:d>
          <m:sSup>
            <m:sSupPr>
              <m:ctrlPr>
                <w:rPr>
                  <w:rFonts w:ascii="Cambria Math" w:hAnsi="Cambria Math"/>
                  <w:i/>
                </w:rPr>
              </m:ctrlPr>
            </m:sSupPr>
            <m:e>
              <m:r>
                <w:rPr>
                  <w:rFonts w:ascii="Cambria Math" w:hAnsi="Cambria Math"/>
                </w:rPr>
                <m:t xml:space="preserve"> </m:t>
              </m:r>
            </m:e>
            <m:sup>
              <m:r>
                <w:rPr>
                  <w:rFonts w:ascii="Cambria Math" w:hAnsi="Cambria Math"/>
                </w:rPr>
                <m:t>3</m:t>
              </m:r>
            </m:sup>
          </m:sSup>
          <m:sSup>
            <m:sSupPr>
              <m:ctrlPr>
                <w:rPr>
                  <w:rFonts w:ascii="Cambria Math" w:hAnsi="Cambria Math"/>
                  <w:i/>
                </w:rPr>
              </m:ctrlPr>
            </m:sSupPr>
            <m:e>
              <m:r>
                <w:rPr>
                  <w:rFonts w:ascii="Cambria Math" w:hAnsi="Cambria Math"/>
                </w:rPr>
                <m:t>e</m:t>
              </m:r>
            </m:e>
            <m:sup>
              <m:r>
                <w:rPr>
                  <w:rFonts w:ascii="Cambria Math" w:hAnsi="Cambria Math"/>
                </w:rPr>
                <m:t>-1.023W</m:t>
              </m:r>
            </m:sup>
          </m:sSup>
        </m:oMath>
      </m:oMathPara>
    </w:p>
    <w:p w:rsidR="00FD5D8C" w:rsidRPr="00D630D1" w:rsidRDefault="00FD5D8C" w:rsidP="00FD5D8C">
      <w:pPr>
        <w:pStyle w:val="afa"/>
        <w:ind w:firstLine="480"/>
      </w:pPr>
      <w:r w:rsidRPr="00D630D1">
        <w:t>其中：</w:t>
      </w:r>
      <w:r w:rsidRPr="00D630D1">
        <w:t>Q—</w:t>
      </w:r>
      <w:r w:rsidRPr="00D630D1">
        <w:t>起尘量，</w:t>
      </w:r>
      <w:r w:rsidRPr="00D630D1">
        <w:t>kg/</w:t>
      </w:r>
      <w:r w:rsidRPr="00D630D1">
        <w:t>吨</w:t>
      </w:r>
      <w:r w:rsidRPr="00D630D1">
        <w:t>·</w:t>
      </w:r>
      <w:r w:rsidRPr="00D630D1">
        <w:t>年</w:t>
      </w:r>
    </w:p>
    <w:p w:rsidR="00FD5D8C" w:rsidRPr="00D630D1" w:rsidRDefault="00FD5D8C" w:rsidP="00FD5D8C">
      <w:pPr>
        <w:pStyle w:val="afa"/>
        <w:ind w:firstLine="480"/>
      </w:pPr>
      <w:r w:rsidRPr="00D630D1">
        <w:t>V</w:t>
      </w:r>
      <w:r w:rsidRPr="00D630D1">
        <w:rPr>
          <w:vertAlign w:val="subscript"/>
        </w:rPr>
        <w:t>50</w:t>
      </w:r>
      <w:r w:rsidRPr="00D630D1">
        <w:t>—</w:t>
      </w:r>
      <w:r w:rsidRPr="00D630D1">
        <w:t>距地面</w:t>
      </w:r>
      <w:r w:rsidRPr="00D630D1">
        <w:t>50m</w:t>
      </w:r>
      <w:r w:rsidRPr="00D630D1">
        <w:t>处风速，</w:t>
      </w:r>
      <w:r w:rsidRPr="00D630D1">
        <w:t>m/s</w:t>
      </w:r>
      <w:r w:rsidRPr="00D630D1">
        <w:t>；</w:t>
      </w:r>
    </w:p>
    <w:p w:rsidR="00FD5D8C" w:rsidRPr="00D630D1" w:rsidRDefault="00FD5D8C" w:rsidP="00FD5D8C">
      <w:pPr>
        <w:pStyle w:val="afa"/>
        <w:ind w:firstLine="480"/>
      </w:pPr>
      <w:r w:rsidRPr="00D630D1">
        <w:t>V</w:t>
      </w:r>
      <w:r w:rsidRPr="00D630D1">
        <w:rPr>
          <w:vertAlign w:val="subscript"/>
        </w:rPr>
        <w:t>0</w:t>
      </w:r>
      <w:r w:rsidRPr="00D630D1">
        <w:t>—</w:t>
      </w:r>
      <w:r w:rsidRPr="00D630D1">
        <w:t>起尘风速，</w:t>
      </w:r>
      <w:r w:rsidRPr="00D630D1">
        <w:t>m/s</w:t>
      </w:r>
      <w:r w:rsidRPr="00D630D1">
        <w:t>；</w:t>
      </w:r>
    </w:p>
    <w:p w:rsidR="00FD5D8C" w:rsidRPr="00D630D1" w:rsidRDefault="00FD5D8C" w:rsidP="00FD5D8C">
      <w:pPr>
        <w:pStyle w:val="afa"/>
        <w:ind w:firstLine="480"/>
      </w:pPr>
      <w:r w:rsidRPr="00D630D1">
        <w:t>W—</w:t>
      </w:r>
      <w:r w:rsidRPr="00D630D1">
        <w:t>尘粒的含水率，</w:t>
      </w:r>
      <w:r w:rsidRPr="00D630D1">
        <w:t>%</w:t>
      </w:r>
    </w:p>
    <w:p w:rsidR="00FD5D8C" w:rsidRPr="00D630D1" w:rsidRDefault="00FD5D8C" w:rsidP="00FD5D8C">
      <w:pPr>
        <w:pStyle w:val="afa"/>
        <w:ind w:firstLine="480"/>
      </w:pPr>
      <w:r w:rsidRPr="00D630D1">
        <w:t>V</w:t>
      </w:r>
      <w:r w:rsidRPr="00D630D1">
        <w:rPr>
          <w:vertAlign w:val="subscript"/>
        </w:rPr>
        <w:t>0</w:t>
      </w:r>
      <w:r w:rsidRPr="00D630D1">
        <w:t>与粒径和含水率有关，因此，减少露天堆放和保证一定的含水率及减少裸露地面是减少风力起尘的有效手段。</w:t>
      </w:r>
    </w:p>
    <w:p w:rsidR="00FD5D8C" w:rsidRPr="00D630D1" w:rsidRDefault="00FD5D8C" w:rsidP="00FD5D8C">
      <w:pPr>
        <w:pStyle w:val="afa"/>
        <w:ind w:firstLine="480"/>
      </w:pPr>
      <w:r w:rsidRPr="00D630D1">
        <w:t>尘粒在空气中的传播扩散情况与风速等气象条件有关，也与尘粒本身的沉降速度有关。不同粒径的尘粒的沉降速度见表</w:t>
      </w:r>
      <w:r w:rsidR="00E44C40" w:rsidRPr="00D630D1">
        <w:t>4</w:t>
      </w:r>
      <w:r w:rsidR="00C149FD" w:rsidRPr="00D630D1">
        <w:t>.1-</w:t>
      </w:r>
      <w:r w:rsidR="0007009A">
        <w:rPr>
          <w:rFonts w:hint="eastAsia"/>
        </w:rPr>
        <w:t>5</w:t>
      </w:r>
      <w:r w:rsidRPr="00D630D1">
        <w:t>。</w:t>
      </w:r>
    </w:p>
    <w:p w:rsidR="00FD5D8C" w:rsidRPr="00D630D1" w:rsidRDefault="00FD5D8C" w:rsidP="00FD5D8C">
      <w:pPr>
        <w:pStyle w:val="10"/>
        <w:rPr>
          <w:rFonts w:cs="Times New Roman"/>
        </w:rPr>
      </w:pPr>
      <w:r w:rsidRPr="00D630D1">
        <w:rPr>
          <w:rFonts w:cs="Times New Roman"/>
        </w:rPr>
        <w:t>表</w:t>
      </w:r>
      <w:r w:rsidR="00E44C40" w:rsidRPr="00D630D1">
        <w:rPr>
          <w:rFonts w:cs="Times New Roman"/>
        </w:rPr>
        <w:t>4</w:t>
      </w:r>
      <w:r w:rsidR="00C149FD" w:rsidRPr="00D630D1">
        <w:rPr>
          <w:rFonts w:cs="Times New Roman"/>
        </w:rPr>
        <w:t>.1-</w:t>
      </w:r>
      <w:r w:rsidR="0007009A">
        <w:rPr>
          <w:rFonts w:cs="Times New Roman" w:hint="eastAsia"/>
        </w:rPr>
        <w:t>5</w:t>
      </w:r>
      <w:r w:rsidRPr="00D630D1">
        <w:rPr>
          <w:rFonts w:cs="Times New Roman"/>
        </w:rPr>
        <w:t xml:space="preserve">  </w:t>
      </w:r>
      <w:r w:rsidRPr="00D630D1">
        <w:rPr>
          <w:rFonts w:cs="Times New Roman"/>
        </w:rPr>
        <w:t>不同粒径尘粒的沉降速度</w:t>
      </w:r>
    </w:p>
    <w:tbl>
      <w:tblPr>
        <w:tblW w:w="8703" w:type="dxa"/>
        <w:jc w:val="center"/>
        <w:tblBorders>
          <w:top w:val="single" w:sz="12" w:space="0" w:color="000000"/>
          <w:bottom w:val="single" w:sz="12" w:space="0" w:color="000000"/>
          <w:insideH w:val="single" w:sz="2" w:space="0" w:color="auto"/>
          <w:insideV w:val="single" w:sz="2" w:space="0" w:color="auto"/>
        </w:tblBorders>
        <w:tblLayout w:type="fixed"/>
        <w:tblLook w:val="0000"/>
      </w:tblPr>
      <w:tblGrid>
        <w:gridCol w:w="2127"/>
        <w:gridCol w:w="850"/>
        <w:gridCol w:w="851"/>
        <w:gridCol w:w="992"/>
        <w:gridCol w:w="850"/>
        <w:gridCol w:w="1076"/>
        <w:gridCol w:w="926"/>
        <w:gridCol w:w="1031"/>
      </w:tblGrid>
      <w:tr w:rsidR="002528C5" w:rsidRPr="00D630D1" w:rsidTr="00AF36E2">
        <w:trPr>
          <w:trHeight w:val="52"/>
          <w:jc w:val="center"/>
        </w:trPr>
        <w:tc>
          <w:tcPr>
            <w:tcW w:w="2127" w:type="dxa"/>
            <w:vAlign w:val="center"/>
          </w:tcPr>
          <w:p w:rsidR="00FD5D8C" w:rsidRPr="00D630D1" w:rsidRDefault="00FD5D8C" w:rsidP="00FD5D8C">
            <w:pPr>
              <w:pStyle w:val="aff2"/>
            </w:pPr>
            <w:r w:rsidRPr="00D630D1">
              <w:t>粉尘粒径（</w:t>
            </w:r>
            <w:r w:rsidRPr="00D630D1">
              <w:rPr>
                <w:kern w:val="0"/>
              </w:rPr>
              <w:t>μm</w:t>
            </w:r>
            <w:r w:rsidRPr="00D630D1">
              <w:t>）</w:t>
            </w:r>
          </w:p>
        </w:tc>
        <w:tc>
          <w:tcPr>
            <w:tcW w:w="850" w:type="dxa"/>
            <w:vAlign w:val="center"/>
          </w:tcPr>
          <w:p w:rsidR="00FD5D8C" w:rsidRPr="00D630D1" w:rsidRDefault="00FD5D8C" w:rsidP="00FD5D8C">
            <w:pPr>
              <w:pStyle w:val="aff2"/>
            </w:pPr>
            <w:r w:rsidRPr="00D630D1">
              <w:t>10</w:t>
            </w:r>
          </w:p>
        </w:tc>
        <w:tc>
          <w:tcPr>
            <w:tcW w:w="851" w:type="dxa"/>
            <w:vAlign w:val="center"/>
          </w:tcPr>
          <w:p w:rsidR="00FD5D8C" w:rsidRPr="00D630D1" w:rsidRDefault="00FD5D8C" w:rsidP="00FD5D8C">
            <w:pPr>
              <w:pStyle w:val="aff2"/>
            </w:pPr>
            <w:r w:rsidRPr="00D630D1">
              <w:t>20</w:t>
            </w:r>
          </w:p>
        </w:tc>
        <w:tc>
          <w:tcPr>
            <w:tcW w:w="992" w:type="dxa"/>
            <w:vAlign w:val="center"/>
          </w:tcPr>
          <w:p w:rsidR="00FD5D8C" w:rsidRPr="00D630D1" w:rsidRDefault="00FD5D8C" w:rsidP="00FD5D8C">
            <w:pPr>
              <w:pStyle w:val="aff2"/>
            </w:pPr>
            <w:r w:rsidRPr="00D630D1">
              <w:t>30</w:t>
            </w:r>
          </w:p>
        </w:tc>
        <w:tc>
          <w:tcPr>
            <w:tcW w:w="850" w:type="dxa"/>
            <w:vAlign w:val="center"/>
          </w:tcPr>
          <w:p w:rsidR="00FD5D8C" w:rsidRPr="00D630D1" w:rsidRDefault="00FD5D8C" w:rsidP="00FD5D8C">
            <w:pPr>
              <w:pStyle w:val="aff2"/>
            </w:pPr>
            <w:r w:rsidRPr="00D630D1">
              <w:t>40</w:t>
            </w:r>
          </w:p>
        </w:tc>
        <w:tc>
          <w:tcPr>
            <w:tcW w:w="1076" w:type="dxa"/>
            <w:vAlign w:val="center"/>
          </w:tcPr>
          <w:p w:rsidR="00FD5D8C" w:rsidRPr="00D630D1" w:rsidRDefault="00FD5D8C" w:rsidP="00FD5D8C">
            <w:pPr>
              <w:pStyle w:val="aff2"/>
            </w:pPr>
            <w:r w:rsidRPr="00D630D1">
              <w:t>50</w:t>
            </w:r>
          </w:p>
        </w:tc>
        <w:tc>
          <w:tcPr>
            <w:tcW w:w="926" w:type="dxa"/>
            <w:vAlign w:val="center"/>
          </w:tcPr>
          <w:p w:rsidR="00FD5D8C" w:rsidRPr="00D630D1" w:rsidRDefault="00FD5D8C" w:rsidP="00FD5D8C">
            <w:pPr>
              <w:pStyle w:val="aff2"/>
            </w:pPr>
            <w:r w:rsidRPr="00D630D1">
              <w:t>60</w:t>
            </w:r>
          </w:p>
        </w:tc>
        <w:tc>
          <w:tcPr>
            <w:tcW w:w="1031" w:type="dxa"/>
            <w:vAlign w:val="center"/>
          </w:tcPr>
          <w:p w:rsidR="00FD5D8C" w:rsidRPr="00D630D1" w:rsidRDefault="00FD5D8C" w:rsidP="00FD5D8C">
            <w:pPr>
              <w:pStyle w:val="aff2"/>
            </w:pPr>
            <w:r w:rsidRPr="00D630D1">
              <w:t>70</w:t>
            </w:r>
          </w:p>
        </w:tc>
      </w:tr>
      <w:tr w:rsidR="002528C5" w:rsidRPr="00D630D1" w:rsidTr="00AF36E2">
        <w:trPr>
          <w:trHeight w:val="75"/>
          <w:jc w:val="center"/>
        </w:trPr>
        <w:tc>
          <w:tcPr>
            <w:tcW w:w="2127" w:type="dxa"/>
            <w:vAlign w:val="center"/>
          </w:tcPr>
          <w:p w:rsidR="00FD5D8C" w:rsidRPr="00D630D1" w:rsidRDefault="00FD5D8C" w:rsidP="00FD5D8C">
            <w:pPr>
              <w:pStyle w:val="aff2"/>
            </w:pPr>
            <w:r w:rsidRPr="00D630D1">
              <w:t>沉降速度（</w:t>
            </w:r>
            <w:r w:rsidRPr="00D630D1">
              <w:t>m/s</w:t>
            </w:r>
            <w:r w:rsidRPr="00D630D1">
              <w:t>）</w:t>
            </w:r>
          </w:p>
        </w:tc>
        <w:tc>
          <w:tcPr>
            <w:tcW w:w="850" w:type="dxa"/>
            <w:vAlign w:val="center"/>
          </w:tcPr>
          <w:p w:rsidR="00FD5D8C" w:rsidRPr="00D630D1" w:rsidRDefault="00FD5D8C" w:rsidP="00FD5D8C">
            <w:pPr>
              <w:pStyle w:val="aff2"/>
            </w:pPr>
            <w:r w:rsidRPr="00D630D1">
              <w:t>0.003</w:t>
            </w:r>
          </w:p>
        </w:tc>
        <w:tc>
          <w:tcPr>
            <w:tcW w:w="851" w:type="dxa"/>
            <w:vAlign w:val="center"/>
          </w:tcPr>
          <w:p w:rsidR="00FD5D8C" w:rsidRPr="00D630D1" w:rsidRDefault="00FD5D8C" w:rsidP="00FD5D8C">
            <w:pPr>
              <w:pStyle w:val="aff2"/>
            </w:pPr>
            <w:r w:rsidRPr="00D630D1">
              <w:t>0.012</w:t>
            </w:r>
          </w:p>
        </w:tc>
        <w:tc>
          <w:tcPr>
            <w:tcW w:w="992" w:type="dxa"/>
            <w:vAlign w:val="center"/>
          </w:tcPr>
          <w:p w:rsidR="00FD5D8C" w:rsidRPr="00D630D1" w:rsidRDefault="00FD5D8C" w:rsidP="00FD5D8C">
            <w:pPr>
              <w:pStyle w:val="aff2"/>
            </w:pPr>
            <w:r w:rsidRPr="00D630D1">
              <w:t>0.027</w:t>
            </w:r>
          </w:p>
        </w:tc>
        <w:tc>
          <w:tcPr>
            <w:tcW w:w="850" w:type="dxa"/>
            <w:vAlign w:val="center"/>
          </w:tcPr>
          <w:p w:rsidR="00FD5D8C" w:rsidRPr="00D630D1" w:rsidRDefault="00FD5D8C" w:rsidP="00FD5D8C">
            <w:pPr>
              <w:pStyle w:val="aff2"/>
            </w:pPr>
            <w:r w:rsidRPr="00D630D1">
              <w:t>0.048</w:t>
            </w:r>
          </w:p>
        </w:tc>
        <w:tc>
          <w:tcPr>
            <w:tcW w:w="1076" w:type="dxa"/>
            <w:vAlign w:val="center"/>
          </w:tcPr>
          <w:p w:rsidR="00FD5D8C" w:rsidRPr="00D630D1" w:rsidRDefault="00FD5D8C" w:rsidP="00FD5D8C">
            <w:pPr>
              <w:pStyle w:val="aff2"/>
            </w:pPr>
            <w:r w:rsidRPr="00D630D1">
              <w:t>0.075</w:t>
            </w:r>
          </w:p>
        </w:tc>
        <w:tc>
          <w:tcPr>
            <w:tcW w:w="926" w:type="dxa"/>
            <w:vAlign w:val="center"/>
          </w:tcPr>
          <w:p w:rsidR="00FD5D8C" w:rsidRPr="00D630D1" w:rsidRDefault="00FD5D8C" w:rsidP="00FD5D8C">
            <w:pPr>
              <w:pStyle w:val="aff2"/>
            </w:pPr>
            <w:r w:rsidRPr="00D630D1">
              <w:t>0.108</w:t>
            </w:r>
          </w:p>
        </w:tc>
        <w:tc>
          <w:tcPr>
            <w:tcW w:w="1031" w:type="dxa"/>
            <w:vAlign w:val="center"/>
          </w:tcPr>
          <w:p w:rsidR="00FD5D8C" w:rsidRPr="00D630D1" w:rsidRDefault="00FD5D8C" w:rsidP="00FD5D8C">
            <w:pPr>
              <w:pStyle w:val="aff2"/>
            </w:pPr>
            <w:r w:rsidRPr="00D630D1">
              <w:t>0.147</w:t>
            </w:r>
          </w:p>
        </w:tc>
      </w:tr>
      <w:tr w:rsidR="002528C5" w:rsidRPr="00D630D1" w:rsidTr="00AF36E2">
        <w:trPr>
          <w:trHeight w:val="75"/>
          <w:jc w:val="center"/>
        </w:trPr>
        <w:tc>
          <w:tcPr>
            <w:tcW w:w="2127" w:type="dxa"/>
            <w:vAlign w:val="center"/>
          </w:tcPr>
          <w:p w:rsidR="00FD5D8C" w:rsidRPr="00D630D1" w:rsidRDefault="00FD5D8C" w:rsidP="00FD5D8C">
            <w:pPr>
              <w:pStyle w:val="aff2"/>
            </w:pPr>
            <w:r w:rsidRPr="00D630D1">
              <w:lastRenderedPageBreak/>
              <w:t>粉尘粒径（</w:t>
            </w:r>
            <w:r w:rsidRPr="00D630D1">
              <w:rPr>
                <w:kern w:val="0"/>
              </w:rPr>
              <w:t>μm</w:t>
            </w:r>
            <w:r w:rsidRPr="00D630D1">
              <w:t>）</w:t>
            </w:r>
          </w:p>
        </w:tc>
        <w:tc>
          <w:tcPr>
            <w:tcW w:w="850" w:type="dxa"/>
            <w:vAlign w:val="center"/>
          </w:tcPr>
          <w:p w:rsidR="00FD5D8C" w:rsidRPr="00D630D1" w:rsidRDefault="00FD5D8C" w:rsidP="00FD5D8C">
            <w:pPr>
              <w:pStyle w:val="aff2"/>
            </w:pPr>
            <w:r w:rsidRPr="00D630D1">
              <w:t>80</w:t>
            </w:r>
          </w:p>
        </w:tc>
        <w:tc>
          <w:tcPr>
            <w:tcW w:w="851" w:type="dxa"/>
            <w:vAlign w:val="center"/>
          </w:tcPr>
          <w:p w:rsidR="00FD5D8C" w:rsidRPr="00D630D1" w:rsidRDefault="00FD5D8C" w:rsidP="00FD5D8C">
            <w:pPr>
              <w:pStyle w:val="aff2"/>
            </w:pPr>
            <w:r w:rsidRPr="00D630D1">
              <w:t>90</w:t>
            </w:r>
          </w:p>
        </w:tc>
        <w:tc>
          <w:tcPr>
            <w:tcW w:w="992" w:type="dxa"/>
            <w:vAlign w:val="center"/>
          </w:tcPr>
          <w:p w:rsidR="00FD5D8C" w:rsidRPr="00D630D1" w:rsidRDefault="00FD5D8C" w:rsidP="00FD5D8C">
            <w:pPr>
              <w:pStyle w:val="aff2"/>
            </w:pPr>
            <w:r w:rsidRPr="00D630D1">
              <w:t>100</w:t>
            </w:r>
          </w:p>
        </w:tc>
        <w:tc>
          <w:tcPr>
            <w:tcW w:w="850" w:type="dxa"/>
            <w:vAlign w:val="center"/>
          </w:tcPr>
          <w:p w:rsidR="00FD5D8C" w:rsidRPr="00D630D1" w:rsidRDefault="00FD5D8C" w:rsidP="00FD5D8C">
            <w:pPr>
              <w:pStyle w:val="aff2"/>
            </w:pPr>
            <w:r w:rsidRPr="00D630D1">
              <w:t>150</w:t>
            </w:r>
          </w:p>
        </w:tc>
        <w:tc>
          <w:tcPr>
            <w:tcW w:w="1076" w:type="dxa"/>
            <w:vAlign w:val="center"/>
          </w:tcPr>
          <w:p w:rsidR="00FD5D8C" w:rsidRPr="00D630D1" w:rsidRDefault="00FD5D8C" w:rsidP="00FD5D8C">
            <w:pPr>
              <w:pStyle w:val="aff2"/>
            </w:pPr>
            <w:r w:rsidRPr="00D630D1">
              <w:t>200</w:t>
            </w:r>
          </w:p>
        </w:tc>
        <w:tc>
          <w:tcPr>
            <w:tcW w:w="926" w:type="dxa"/>
            <w:vAlign w:val="center"/>
          </w:tcPr>
          <w:p w:rsidR="00FD5D8C" w:rsidRPr="00D630D1" w:rsidRDefault="00FD5D8C" w:rsidP="00FD5D8C">
            <w:pPr>
              <w:pStyle w:val="aff2"/>
            </w:pPr>
            <w:r w:rsidRPr="00D630D1">
              <w:t>250</w:t>
            </w:r>
          </w:p>
        </w:tc>
        <w:tc>
          <w:tcPr>
            <w:tcW w:w="1031" w:type="dxa"/>
            <w:vAlign w:val="center"/>
          </w:tcPr>
          <w:p w:rsidR="00FD5D8C" w:rsidRPr="00D630D1" w:rsidRDefault="00FD5D8C" w:rsidP="00FD5D8C">
            <w:pPr>
              <w:pStyle w:val="aff2"/>
            </w:pPr>
            <w:r w:rsidRPr="00D630D1">
              <w:t>350</w:t>
            </w:r>
          </w:p>
        </w:tc>
      </w:tr>
      <w:tr w:rsidR="002528C5" w:rsidRPr="00D630D1" w:rsidTr="00AF36E2">
        <w:trPr>
          <w:trHeight w:val="75"/>
          <w:jc w:val="center"/>
        </w:trPr>
        <w:tc>
          <w:tcPr>
            <w:tcW w:w="2127" w:type="dxa"/>
            <w:vAlign w:val="center"/>
          </w:tcPr>
          <w:p w:rsidR="00FD5D8C" w:rsidRPr="00D630D1" w:rsidRDefault="00FD5D8C" w:rsidP="00FD5D8C">
            <w:pPr>
              <w:pStyle w:val="aff2"/>
            </w:pPr>
            <w:r w:rsidRPr="00D630D1">
              <w:t>沉降速度（</w:t>
            </w:r>
            <w:r w:rsidRPr="00D630D1">
              <w:t>m/s</w:t>
            </w:r>
            <w:r w:rsidRPr="00D630D1">
              <w:t>）</w:t>
            </w:r>
          </w:p>
        </w:tc>
        <w:tc>
          <w:tcPr>
            <w:tcW w:w="850" w:type="dxa"/>
            <w:vAlign w:val="center"/>
          </w:tcPr>
          <w:p w:rsidR="00FD5D8C" w:rsidRPr="00D630D1" w:rsidRDefault="00FD5D8C" w:rsidP="00FD5D8C">
            <w:pPr>
              <w:pStyle w:val="aff2"/>
            </w:pPr>
            <w:r w:rsidRPr="00D630D1">
              <w:t>0.158</w:t>
            </w:r>
          </w:p>
        </w:tc>
        <w:tc>
          <w:tcPr>
            <w:tcW w:w="851" w:type="dxa"/>
            <w:vAlign w:val="center"/>
          </w:tcPr>
          <w:p w:rsidR="00FD5D8C" w:rsidRPr="00D630D1" w:rsidRDefault="00FD5D8C" w:rsidP="00FD5D8C">
            <w:pPr>
              <w:pStyle w:val="aff2"/>
            </w:pPr>
            <w:r w:rsidRPr="00D630D1">
              <w:t>0.170</w:t>
            </w:r>
          </w:p>
        </w:tc>
        <w:tc>
          <w:tcPr>
            <w:tcW w:w="992" w:type="dxa"/>
            <w:vAlign w:val="center"/>
          </w:tcPr>
          <w:p w:rsidR="00FD5D8C" w:rsidRPr="00D630D1" w:rsidRDefault="00FD5D8C" w:rsidP="00FD5D8C">
            <w:pPr>
              <w:pStyle w:val="aff2"/>
            </w:pPr>
            <w:r w:rsidRPr="00D630D1">
              <w:t>0.182</w:t>
            </w:r>
          </w:p>
        </w:tc>
        <w:tc>
          <w:tcPr>
            <w:tcW w:w="850" w:type="dxa"/>
            <w:vAlign w:val="center"/>
          </w:tcPr>
          <w:p w:rsidR="00FD5D8C" w:rsidRPr="00D630D1" w:rsidRDefault="00FD5D8C" w:rsidP="00FD5D8C">
            <w:pPr>
              <w:pStyle w:val="aff2"/>
            </w:pPr>
            <w:r w:rsidRPr="00D630D1">
              <w:t>0.239</w:t>
            </w:r>
          </w:p>
        </w:tc>
        <w:tc>
          <w:tcPr>
            <w:tcW w:w="1076" w:type="dxa"/>
            <w:vAlign w:val="center"/>
          </w:tcPr>
          <w:p w:rsidR="00FD5D8C" w:rsidRPr="00D630D1" w:rsidRDefault="00FD5D8C" w:rsidP="00FD5D8C">
            <w:pPr>
              <w:pStyle w:val="aff2"/>
            </w:pPr>
            <w:r w:rsidRPr="00D630D1">
              <w:t>0.804</w:t>
            </w:r>
          </w:p>
        </w:tc>
        <w:tc>
          <w:tcPr>
            <w:tcW w:w="926" w:type="dxa"/>
            <w:vAlign w:val="center"/>
          </w:tcPr>
          <w:p w:rsidR="00FD5D8C" w:rsidRPr="00D630D1" w:rsidRDefault="00FD5D8C" w:rsidP="00FD5D8C">
            <w:pPr>
              <w:pStyle w:val="aff2"/>
            </w:pPr>
            <w:r w:rsidRPr="00D630D1">
              <w:t>1.005</w:t>
            </w:r>
          </w:p>
        </w:tc>
        <w:tc>
          <w:tcPr>
            <w:tcW w:w="1031" w:type="dxa"/>
            <w:vAlign w:val="center"/>
          </w:tcPr>
          <w:p w:rsidR="00FD5D8C" w:rsidRPr="00D630D1" w:rsidRDefault="00FD5D8C" w:rsidP="00FD5D8C">
            <w:pPr>
              <w:pStyle w:val="aff2"/>
            </w:pPr>
            <w:r w:rsidRPr="00D630D1">
              <w:t>1.829</w:t>
            </w:r>
          </w:p>
        </w:tc>
      </w:tr>
      <w:tr w:rsidR="002528C5" w:rsidRPr="00D630D1" w:rsidTr="00AF36E2">
        <w:trPr>
          <w:trHeight w:val="75"/>
          <w:jc w:val="center"/>
        </w:trPr>
        <w:tc>
          <w:tcPr>
            <w:tcW w:w="2127" w:type="dxa"/>
            <w:vAlign w:val="center"/>
          </w:tcPr>
          <w:p w:rsidR="00FD5D8C" w:rsidRPr="00D630D1" w:rsidRDefault="00FD5D8C" w:rsidP="00FD5D8C">
            <w:pPr>
              <w:pStyle w:val="aff2"/>
            </w:pPr>
            <w:r w:rsidRPr="00D630D1">
              <w:t>粉尘粒径（</w:t>
            </w:r>
            <w:r w:rsidRPr="00D630D1">
              <w:rPr>
                <w:kern w:val="0"/>
              </w:rPr>
              <w:t>μm</w:t>
            </w:r>
            <w:r w:rsidRPr="00D630D1">
              <w:t>）</w:t>
            </w:r>
          </w:p>
        </w:tc>
        <w:tc>
          <w:tcPr>
            <w:tcW w:w="850" w:type="dxa"/>
            <w:vAlign w:val="center"/>
          </w:tcPr>
          <w:p w:rsidR="00FD5D8C" w:rsidRPr="00D630D1" w:rsidRDefault="00FD5D8C" w:rsidP="00FD5D8C">
            <w:pPr>
              <w:pStyle w:val="aff2"/>
            </w:pPr>
            <w:r w:rsidRPr="00D630D1">
              <w:t>450</w:t>
            </w:r>
          </w:p>
        </w:tc>
        <w:tc>
          <w:tcPr>
            <w:tcW w:w="851" w:type="dxa"/>
            <w:vAlign w:val="center"/>
          </w:tcPr>
          <w:p w:rsidR="00FD5D8C" w:rsidRPr="00D630D1" w:rsidRDefault="00FD5D8C" w:rsidP="00FD5D8C">
            <w:pPr>
              <w:pStyle w:val="aff2"/>
            </w:pPr>
            <w:r w:rsidRPr="00D630D1">
              <w:t>550</w:t>
            </w:r>
          </w:p>
        </w:tc>
        <w:tc>
          <w:tcPr>
            <w:tcW w:w="992" w:type="dxa"/>
            <w:vAlign w:val="center"/>
          </w:tcPr>
          <w:p w:rsidR="00FD5D8C" w:rsidRPr="00D630D1" w:rsidRDefault="00FD5D8C" w:rsidP="00FD5D8C">
            <w:pPr>
              <w:pStyle w:val="aff2"/>
            </w:pPr>
            <w:r w:rsidRPr="00D630D1">
              <w:t>650</w:t>
            </w:r>
          </w:p>
        </w:tc>
        <w:tc>
          <w:tcPr>
            <w:tcW w:w="850" w:type="dxa"/>
            <w:vAlign w:val="center"/>
          </w:tcPr>
          <w:p w:rsidR="00FD5D8C" w:rsidRPr="00D630D1" w:rsidRDefault="00FD5D8C" w:rsidP="00FD5D8C">
            <w:pPr>
              <w:pStyle w:val="aff2"/>
            </w:pPr>
            <w:r w:rsidRPr="00D630D1">
              <w:t>750</w:t>
            </w:r>
          </w:p>
        </w:tc>
        <w:tc>
          <w:tcPr>
            <w:tcW w:w="1076" w:type="dxa"/>
            <w:vAlign w:val="center"/>
          </w:tcPr>
          <w:p w:rsidR="00FD5D8C" w:rsidRPr="00D630D1" w:rsidRDefault="00FD5D8C" w:rsidP="00FD5D8C">
            <w:pPr>
              <w:pStyle w:val="aff2"/>
            </w:pPr>
            <w:r w:rsidRPr="00D630D1">
              <w:t>850</w:t>
            </w:r>
          </w:p>
        </w:tc>
        <w:tc>
          <w:tcPr>
            <w:tcW w:w="926" w:type="dxa"/>
            <w:vAlign w:val="center"/>
          </w:tcPr>
          <w:p w:rsidR="00FD5D8C" w:rsidRPr="00D630D1" w:rsidRDefault="00FD5D8C" w:rsidP="00FD5D8C">
            <w:pPr>
              <w:pStyle w:val="aff2"/>
            </w:pPr>
            <w:r w:rsidRPr="00D630D1">
              <w:t>950</w:t>
            </w:r>
          </w:p>
        </w:tc>
        <w:tc>
          <w:tcPr>
            <w:tcW w:w="1031" w:type="dxa"/>
            <w:vAlign w:val="center"/>
          </w:tcPr>
          <w:p w:rsidR="00FD5D8C" w:rsidRPr="00D630D1" w:rsidRDefault="00FD5D8C" w:rsidP="00FD5D8C">
            <w:pPr>
              <w:pStyle w:val="aff2"/>
            </w:pPr>
            <w:r w:rsidRPr="00D630D1">
              <w:t>1050</w:t>
            </w:r>
          </w:p>
        </w:tc>
      </w:tr>
      <w:tr w:rsidR="002528C5" w:rsidRPr="00D630D1" w:rsidTr="00AF36E2">
        <w:trPr>
          <w:trHeight w:val="75"/>
          <w:jc w:val="center"/>
        </w:trPr>
        <w:tc>
          <w:tcPr>
            <w:tcW w:w="2127" w:type="dxa"/>
            <w:vAlign w:val="center"/>
          </w:tcPr>
          <w:p w:rsidR="00FD5D8C" w:rsidRPr="00D630D1" w:rsidRDefault="00FD5D8C" w:rsidP="00FD5D8C">
            <w:pPr>
              <w:pStyle w:val="aff2"/>
            </w:pPr>
            <w:r w:rsidRPr="00D630D1">
              <w:t>沉降速度（</w:t>
            </w:r>
            <w:r w:rsidRPr="00D630D1">
              <w:t>m/s</w:t>
            </w:r>
            <w:r w:rsidRPr="00D630D1">
              <w:t>）</w:t>
            </w:r>
          </w:p>
        </w:tc>
        <w:tc>
          <w:tcPr>
            <w:tcW w:w="850" w:type="dxa"/>
            <w:vAlign w:val="center"/>
          </w:tcPr>
          <w:p w:rsidR="00FD5D8C" w:rsidRPr="00D630D1" w:rsidRDefault="00FD5D8C" w:rsidP="00FD5D8C">
            <w:pPr>
              <w:pStyle w:val="aff2"/>
            </w:pPr>
            <w:r w:rsidRPr="00D630D1">
              <w:t>2.211</w:t>
            </w:r>
          </w:p>
        </w:tc>
        <w:tc>
          <w:tcPr>
            <w:tcW w:w="851" w:type="dxa"/>
            <w:vAlign w:val="center"/>
          </w:tcPr>
          <w:p w:rsidR="00FD5D8C" w:rsidRPr="00D630D1" w:rsidRDefault="00FD5D8C" w:rsidP="00FD5D8C">
            <w:pPr>
              <w:pStyle w:val="aff2"/>
            </w:pPr>
            <w:r w:rsidRPr="00D630D1">
              <w:t>2.514</w:t>
            </w:r>
          </w:p>
        </w:tc>
        <w:tc>
          <w:tcPr>
            <w:tcW w:w="992" w:type="dxa"/>
            <w:vAlign w:val="center"/>
          </w:tcPr>
          <w:p w:rsidR="00FD5D8C" w:rsidRPr="00D630D1" w:rsidRDefault="00FD5D8C" w:rsidP="00FD5D8C">
            <w:pPr>
              <w:pStyle w:val="aff2"/>
            </w:pPr>
            <w:r w:rsidRPr="00D630D1">
              <w:t>3.016</w:t>
            </w:r>
          </w:p>
        </w:tc>
        <w:tc>
          <w:tcPr>
            <w:tcW w:w="850" w:type="dxa"/>
            <w:vAlign w:val="center"/>
          </w:tcPr>
          <w:p w:rsidR="00FD5D8C" w:rsidRPr="00D630D1" w:rsidRDefault="00FD5D8C" w:rsidP="00FD5D8C">
            <w:pPr>
              <w:pStyle w:val="aff2"/>
            </w:pPr>
            <w:r w:rsidRPr="00D630D1">
              <w:t>3.458</w:t>
            </w:r>
          </w:p>
        </w:tc>
        <w:tc>
          <w:tcPr>
            <w:tcW w:w="1076" w:type="dxa"/>
            <w:vAlign w:val="center"/>
          </w:tcPr>
          <w:p w:rsidR="00FD5D8C" w:rsidRPr="00D630D1" w:rsidRDefault="00FD5D8C" w:rsidP="00FD5D8C">
            <w:pPr>
              <w:pStyle w:val="aff2"/>
            </w:pPr>
            <w:r w:rsidRPr="00D630D1">
              <w:t>3.820</w:t>
            </w:r>
          </w:p>
        </w:tc>
        <w:tc>
          <w:tcPr>
            <w:tcW w:w="926" w:type="dxa"/>
            <w:vAlign w:val="center"/>
          </w:tcPr>
          <w:p w:rsidR="00FD5D8C" w:rsidRPr="00D630D1" w:rsidRDefault="00FD5D8C" w:rsidP="00FD5D8C">
            <w:pPr>
              <w:pStyle w:val="aff2"/>
            </w:pPr>
            <w:r w:rsidRPr="00D630D1">
              <w:t>4.222</w:t>
            </w:r>
          </w:p>
        </w:tc>
        <w:tc>
          <w:tcPr>
            <w:tcW w:w="1031" w:type="dxa"/>
            <w:vAlign w:val="center"/>
          </w:tcPr>
          <w:p w:rsidR="00FD5D8C" w:rsidRPr="00D630D1" w:rsidRDefault="00FD5D8C" w:rsidP="00FD5D8C">
            <w:pPr>
              <w:pStyle w:val="aff2"/>
            </w:pPr>
            <w:r w:rsidRPr="00D630D1">
              <w:t>4.624</w:t>
            </w:r>
          </w:p>
        </w:tc>
      </w:tr>
    </w:tbl>
    <w:p w:rsidR="00FD5D8C" w:rsidRPr="00D630D1" w:rsidRDefault="00FD5D8C" w:rsidP="00FD5D8C">
      <w:pPr>
        <w:pStyle w:val="W"/>
        <w:spacing w:line="360" w:lineRule="auto"/>
        <w:ind w:firstLine="480"/>
        <w:rPr>
          <w:rFonts w:ascii="Times New Roman" w:hAnsi="Times New Roman"/>
        </w:rPr>
      </w:pPr>
      <w:r w:rsidRPr="00D630D1">
        <w:rPr>
          <w:rFonts w:ascii="Times New Roman" w:hAnsi="Times New Roman"/>
        </w:rPr>
        <w:t>由此表可知，粉尘的沉降速度随粒径的增大而迅速增大。当粒径为</w:t>
      </w:r>
      <w:r w:rsidRPr="00D630D1">
        <w:rPr>
          <w:rFonts w:ascii="Times New Roman" w:hAnsi="Times New Roman"/>
        </w:rPr>
        <w:t>250μm</w:t>
      </w:r>
      <w:r w:rsidRPr="00D630D1">
        <w:rPr>
          <w:rFonts w:ascii="Times New Roman" w:hAnsi="Times New Roman"/>
        </w:rPr>
        <w:t>时，沉降速度</w:t>
      </w:r>
      <w:r w:rsidRPr="00D630D1">
        <w:rPr>
          <w:rFonts w:ascii="Times New Roman" w:hAnsi="Times New Roman"/>
        </w:rPr>
        <w:t>1.005m/s</w:t>
      </w:r>
      <w:r w:rsidRPr="00D630D1">
        <w:rPr>
          <w:rFonts w:ascii="Times New Roman" w:hAnsi="Times New Roman"/>
        </w:rPr>
        <w:t>，因此可认为当尘粒大于</w:t>
      </w:r>
      <w:r w:rsidRPr="00D630D1">
        <w:rPr>
          <w:rFonts w:ascii="Times New Roman" w:hAnsi="Times New Roman"/>
        </w:rPr>
        <w:t>250μm</w:t>
      </w:r>
      <w:r w:rsidRPr="00D630D1">
        <w:rPr>
          <w:rFonts w:ascii="Times New Roman" w:hAnsi="Times New Roman"/>
        </w:rPr>
        <w:t>时，主要影响范围在扬尘点下风向近距离范围内，而真正对外环境产生影响的是一些微小粒径的粉尘。根据现场的气候情况不同，其影响也有所不同。</w:t>
      </w:r>
    </w:p>
    <w:p w:rsidR="00FD5D8C" w:rsidRPr="00D630D1" w:rsidRDefault="00C149FD" w:rsidP="00FD5D8C">
      <w:pPr>
        <w:pStyle w:val="W"/>
        <w:spacing w:line="360" w:lineRule="auto"/>
        <w:ind w:firstLine="482"/>
        <w:rPr>
          <w:rFonts w:ascii="Times New Roman" w:hAnsi="Times New Roman"/>
          <w:b/>
          <w:bCs/>
        </w:rPr>
      </w:pPr>
      <w:r w:rsidRPr="00D630D1">
        <w:rPr>
          <w:rFonts w:ascii="Times New Roman" w:hAnsi="Times New Roman"/>
          <w:b/>
          <w:bCs/>
        </w:rPr>
        <w:t>（</w:t>
      </w:r>
      <w:r w:rsidRPr="00D630D1">
        <w:rPr>
          <w:rFonts w:ascii="Times New Roman" w:hAnsi="Times New Roman"/>
          <w:b/>
          <w:bCs/>
        </w:rPr>
        <w:t>3</w:t>
      </w:r>
      <w:r w:rsidRPr="00D630D1">
        <w:rPr>
          <w:rFonts w:ascii="Times New Roman" w:hAnsi="Times New Roman"/>
          <w:b/>
          <w:bCs/>
        </w:rPr>
        <w:t>）</w:t>
      </w:r>
      <w:r w:rsidR="00FD5D8C" w:rsidRPr="00D630D1">
        <w:rPr>
          <w:rFonts w:ascii="Times New Roman" w:hAnsi="Times New Roman"/>
          <w:b/>
          <w:bCs/>
        </w:rPr>
        <w:t>运输扬尘</w:t>
      </w:r>
    </w:p>
    <w:p w:rsidR="00FD5D8C" w:rsidRPr="00D630D1" w:rsidRDefault="00FD5D8C" w:rsidP="00FD5D8C">
      <w:pPr>
        <w:pStyle w:val="W"/>
        <w:spacing w:line="360" w:lineRule="auto"/>
        <w:ind w:firstLine="480"/>
        <w:rPr>
          <w:rFonts w:ascii="Times New Roman" w:hAnsi="Times New Roman"/>
        </w:rPr>
      </w:pPr>
      <w:r w:rsidRPr="00D630D1">
        <w:rPr>
          <w:rFonts w:ascii="Times New Roman" w:hAnsi="Times New Roman"/>
        </w:rPr>
        <w:t>在对大气环境的影响中，运输车辆引起的扬尘影响最大、时间较长，其影响程度因施工场地内路面破坏、泥土裸露而加重，一般扬尘量与汽车速度、汽车重量、道路表面积尘量成比例关系，据有关方面的研究，当汽车运送土方时，行车道路两侧的扬尘短期浓度可达</w:t>
      </w:r>
      <w:r w:rsidRPr="00D630D1">
        <w:rPr>
          <w:rFonts w:ascii="Times New Roman" w:hAnsi="Times New Roman"/>
        </w:rPr>
        <w:t>8</w:t>
      </w:r>
      <w:r w:rsidR="002528C5" w:rsidRPr="00D630D1">
        <w:rPr>
          <w:rFonts w:ascii="Times New Roman" w:hAnsi="Times New Roman"/>
        </w:rPr>
        <w:t>~</w:t>
      </w:r>
      <w:r w:rsidRPr="00D630D1">
        <w:rPr>
          <w:rFonts w:ascii="Times New Roman" w:hAnsi="Times New Roman"/>
        </w:rPr>
        <w:t>10mg/m</w:t>
      </w:r>
      <w:r w:rsidRPr="00D630D1">
        <w:rPr>
          <w:rFonts w:ascii="Times New Roman" w:hAnsi="Times New Roman"/>
          <w:vertAlign w:val="superscript"/>
        </w:rPr>
        <w:t>3</w:t>
      </w:r>
      <w:r w:rsidRPr="00D630D1">
        <w:rPr>
          <w:rFonts w:ascii="Times New Roman" w:hAnsi="Times New Roman"/>
        </w:rPr>
        <w:t>。但是，道路扬尘浓度随距离增加迅速下降，扬尘下风向</w:t>
      </w:r>
      <w:r w:rsidRPr="00D630D1">
        <w:rPr>
          <w:rFonts w:ascii="Times New Roman" w:hAnsi="Times New Roman"/>
        </w:rPr>
        <w:t>200</w:t>
      </w:r>
      <w:r w:rsidRPr="00D630D1">
        <w:rPr>
          <w:rFonts w:ascii="Times New Roman" w:hAnsi="Times New Roman"/>
        </w:rPr>
        <w:t>米处的浓度几乎接近上风向对照点的浓度。据对同类工程的比较分析，车辆运输产生的二次扬尘对项目周边运输路线二侧居民会造成一定影响。</w:t>
      </w:r>
    </w:p>
    <w:p w:rsidR="00FD5D8C" w:rsidRPr="00D630D1" w:rsidRDefault="00C149FD" w:rsidP="00FD5D8C">
      <w:pPr>
        <w:pStyle w:val="W"/>
        <w:spacing w:line="360" w:lineRule="auto"/>
        <w:ind w:firstLine="482"/>
        <w:rPr>
          <w:rFonts w:ascii="Times New Roman" w:hAnsi="Times New Roman"/>
          <w:b/>
          <w:bCs/>
        </w:rPr>
      </w:pPr>
      <w:r w:rsidRPr="00D630D1">
        <w:rPr>
          <w:rFonts w:ascii="Times New Roman" w:hAnsi="Times New Roman"/>
          <w:b/>
          <w:bCs/>
        </w:rPr>
        <w:t>（</w:t>
      </w:r>
      <w:r w:rsidRPr="00D630D1">
        <w:rPr>
          <w:rFonts w:ascii="Times New Roman" w:hAnsi="Times New Roman"/>
          <w:b/>
          <w:bCs/>
        </w:rPr>
        <w:t>4</w:t>
      </w:r>
      <w:r w:rsidRPr="00D630D1">
        <w:rPr>
          <w:rFonts w:ascii="Times New Roman" w:hAnsi="Times New Roman"/>
          <w:b/>
          <w:bCs/>
        </w:rPr>
        <w:t>）</w:t>
      </w:r>
      <w:r w:rsidR="00FD5D8C" w:rsidRPr="00D630D1">
        <w:rPr>
          <w:rFonts w:ascii="Times New Roman" w:hAnsi="Times New Roman"/>
          <w:b/>
          <w:bCs/>
        </w:rPr>
        <w:t>运输车辆和施工机械运行过程中排放的尾气</w:t>
      </w:r>
    </w:p>
    <w:p w:rsidR="00FD5D8C" w:rsidRPr="00D630D1" w:rsidRDefault="00FD5D8C" w:rsidP="00FD5D8C">
      <w:pPr>
        <w:pStyle w:val="W"/>
        <w:spacing w:line="360" w:lineRule="auto"/>
        <w:ind w:firstLine="480"/>
        <w:rPr>
          <w:rFonts w:ascii="Times New Roman" w:hAnsi="Times New Roman"/>
        </w:rPr>
      </w:pPr>
      <w:r w:rsidRPr="00D630D1">
        <w:rPr>
          <w:rFonts w:ascii="Times New Roman" w:hAnsi="Times New Roman"/>
        </w:rPr>
        <w:t>其主要污染物是未完全燃烧的</w:t>
      </w:r>
      <w:r w:rsidRPr="00D630D1">
        <w:rPr>
          <w:rFonts w:ascii="Times New Roman" w:hAnsi="Times New Roman"/>
        </w:rPr>
        <w:t>CmHn</w:t>
      </w:r>
      <w:r w:rsidRPr="00D630D1">
        <w:rPr>
          <w:rFonts w:ascii="Times New Roman" w:hAnsi="Times New Roman"/>
        </w:rPr>
        <w:t>和</w:t>
      </w:r>
      <w:r w:rsidRPr="00D630D1">
        <w:rPr>
          <w:rFonts w:ascii="Times New Roman" w:hAnsi="Times New Roman"/>
        </w:rPr>
        <w:t>CO</w:t>
      </w:r>
      <w:r w:rsidRPr="00D630D1">
        <w:rPr>
          <w:rFonts w:ascii="Times New Roman" w:hAnsi="Times New Roman"/>
        </w:rPr>
        <w:t>、</w:t>
      </w:r>
      <w:r w:rsidRPr="00D630D1">
        <w:rPr>
          <w:rFonts w:ascii="Times New Roman" w:hAnsi="Times New Roman"/>
        </w:rPr>
        <w:t>NOx</w:t>
      </w:r>
      <w:r w:rsidRPr="00D630D1">
        <w:rPr>
          <w:rFonts w:ascii="Times New Roman" w:hAnsi="Times New Roman"/>
        </w:rPr>
        <w:t>等，其特点是产生量较小，属间歇式、分散式排放。本项目工程量小，施工机械、车辆少，施工车辆尾气很少，本次评价不定量分析。</w:t>
      </w:r>
    </w:p>
    <w:p w:rsidR="00FD5D8C" w:rsidRPr="00D630D1" w:rsidRDefault="00C149FD" w:rsidP="00FD5D8C">
      <w:pPr>
        <w:ind w:firstLine="482"/>
        <w:rPr>
          <w:rFonts w:ascii="Times New Roman" w:cs="Times New Roman"/>
          <w:b/>
          <w:bCs/>
        </w:rPr>
      </w:pPr>
      <w:bookmarkStart w:id="293" w:name="OLE_LINK185"/>
      <w:bookmarkStart w:id="294" w:name="OLE_LINK186"/>
      <w:r w:rsidRPr="00D630D1">
        <w:rPr>
          <w:rFonts w:ascii="Times New Roman" w:cs="Times New Roman"/>
          <w:b/>
          <w:bCs/>
        </w:rPr>
        <w:t>（</w:t>
      </w:r>
      <w:r w:rsidRPr="00D630D1">
        <w:rPr>
          <w:rFonts w:ascii="Times New Roman" w:cs="Times New Roman"/>
          <w:b/>
          <w:bCs/>
        </w:rPr>
        <w:t>5</w:t>
      </w:r>
      <w:r w:rsidRPr="00D630D1">
        <w:rPr>
          <w:rFonts w:ascii="Times New Roman" w:cs="Times New Roman"/>
          <w:b/>
          <w:bCs/>
        </w:rPr>
        <w:t>）</w:t>
      </w:r>
      <w:r w:rsidR="00FD5D8C" w:rsidRPr="00D630D1">
        <w:rPr>
          <w:rFonts w:ascii="Times New Roman" w:cs="Times New Roman"/>
          <w:b/>
          <w:bCs/>
        </w:rPr>
        <w:t>焊接烟尘</w:t>
      </w:r>
    </w:p>
    <w:p w:rsidR="00FD5D8C" w:rsidRPr="00D630D1" w:rsidRDefault="00FD5D8C" w:rsidP="00FD5D8C">
      <w:pPr>
        <w:ind w:firstLine="480"/>
        <w:rPr>
          <w:rFonts w:ascii="Times New Roman" w:cs="Times New Roman"/>
        </w:rPr>
      </w:pPr>
      <w:r w:rsidRPr="00D630D1">
        <w:rPr>
          <w:rFonts w:ascii="Times New Roman" w:cs="Times New Roman"/>
        </w:rPr>
        <w:t>本工</w:t>
      </w:r>
      <w:bookmarkEnd w:id="293"/>
      <w:bookmarkEnd w:id="294"/>
      <w:r w:rsidRPr="00D630D1">
        <w:rPr>
          <w:rFonts w:ascii="Times New Roman" w:cs="Times New Roman"/>
        </w:rPr>
        <w:t>程管道采用</w:t>
      </w:r>
      <w:r w:rsidRPr="00D630D1">
        <w:rPr>
          <w:rFonts w:ascii="Times New Roman" w:cs="Times New Roman"/>
          <w:bCs/>
        </w:rPr>
        <w:t>氩弧焊打底，手工电弧焊接盖面。</w:t>
      </w:r>
      <w:r w:rsidRPr="00D630D1">
        <w:rPr>
          <w:rFonts w:ascii="Times New Roman" w:cs="Times New Roman"/>
        </w:rPr>
        <w:t>每公里消耗约</w:t>
      </w:r>
      <w:r w:rsidRPr="00D630D1">
        <w:rPr>
          <w:rFonts w:ascii="Times New Roman" w:cs="Times New Roman"/>
        </w:rPr>
        <w:t>400kg</w:t>
      </w:r>
      <w:r w:rsidRPr="00D630D1">
        <w:rPr>
          <w:rFonts w:ascii="Times New Roman" w:cs="Times New Roman"/>
        </w:rPr>
        <w:t>的焊条，根据类比资料分析，每公斤焊条产生的焊烟约</w:t>
      </w:r>
      <w:r w:rsidRPr="00D630D1">
        <w:rPr>
          <w:rFonts w:ascii="Times New Roman" w:cs="Times New Roman"/>
        </w:rPr>
        <w:t>30g</w:t>
      </w:r>
      <w:r w:rsidRPr="00D630D1">
        <w:rPr>
          <w:rFonts w:ascii="Times New Roman" w:cs="Times New Roman"/>
        </w:rPr>
        <w:t>，则焊接烟尘产生量约为</w:t>
      </w:r>
      <w:r w:rsidRPr="00D630D1">
        <w:rPr>
          <w:rFonts w:ascii="Times New Roman" w:cs="Times New Roman"/>
        </w:rPr>
        <w:t>12kg/km</w:t>
      </w:r>
      <w:r w:rsidRPr="00D630D1">
        <w:rPr>
          <w:rFonts w:ascii="Times New Roman" w:cs="Times New Roman"/>
        </w:rPr>
        <w:t>，本工程改线段管道长度为</w:t>
      </w:r>
      <w:r w:rsidR="00FC092A" w:rsidRPr="00D630D1">
        <w:rPr>
          <w:rFonts w:ascii="Times New Roman" w:cs="Times New Roman" w:hint="eastAsia"/>
        </w:rPr>
        <w:t>3.8</w:t>
      </w:r>
      <w:r w:rsidRPr="00D630D1">
        <w:rPr>
          <w:rFonts w:ascii="Times New Roman" w:cs="Times New Roman"/>
        </w:rPr>
        <w:t>km</w:t>
      </w:r>
      <w:r w:rsidRPr="00D630D1">
        <w:rPr>
          <w:rFonts w:ascii="Times New Roman" w:cs="Times New Roman"/>
        </w:rPr>
        <w:t>，则焊接烟尘产生量约为</w:t>
      </w:r>
      <w:r w:rsidR="00FC092A" w:rsidRPr="00D630D1">
        <w:rPr>
          <w:rFonts w:ascii="Times New Roman" w:cs="Times New Roman" w:hint="eastAsia"/>
        </w:rPr>
        <w:t>45.6</w:t>
      </w:r>
      <w:r w:rsidRPr="00D630D1">
        <w:rPr>
          <w:rFonts w:ascii="Times New Roman" w:cs="Times New Roman"/>
        </w:rPr>
        <w:t>kg</w:t>
      </w:r>
      <w:r w:rsidRPr="00D630D1">
        <w:rPr>
          <w:rFonts w:ascii="Times New Roman" w:cs="Times New Roman"/>
        </w:rPr>
        <w:t>。由于焊接烟尘的排放具有分散、间断排放和排放量小的特点，故焊接烟尘对周围空气质量影响较小。</w:t>
      </w:r>
    </w:p>
    <w:bookmarkEnd w:id="292"/>
    <w:p w:rsidR="00FD5D8C" w:rsidRPr="00D630D1" w:rsidRDefault="003A7CE8" w:rsidP="003A7CE8">
      <w:pPr>
        <w:pStyle w:val="afa"/>
        <w:ind w:firstLine="482"/>
        <w:rPr>
          <w:b/>
          <w:bCs/>
        </w:rPr>
      </w:pPr>
      <w:r w:rsidRPr="00D630D1">
        <w:rPr>
          <w:b/>
          <w:bCs/>
        </w:rPr>
        <w:t>2</w:t>
      </w:r>
      <w:r w:rsidRPr="00D630D1">
        <w:rPr>
          <w:b/>
          <w:bCs/>
        </w:rPr>
        <w:t>、</w:t>
      </w:r>
      <w:r w:rsidR="00FD5D8C" w:rsidRPr="00D630D1">
        <w:rPr>
          <w:b/>
          <w:bCs/>
        </w:rPr>
        <w:t>防治措施</w:t>
      </w:r>
    </w:p>
    <w:p w:rsidR="00FD5D8C" w:rsidRPr="00D630D1" w:rsidRDefault="00FD5D8C" w:rsidP="003A7CE8">
      <w:pPr>
        <w:pStyle w:val="afa"/>
        <w:ind w:firstLine="480"/>
      </w:pPr>
      <w:r w:rsidRPr="00D630D1">
        <w:t>本项目在施工建设中应严格按照《四川省〈中华人民共和国大气污染防治法〉实施办法》等相关扬尘防治管理规定进行施工建设，最大程度减少大气污染物产生的环境污染。针对本项目特点和区域特征，本项目施工期的具体大气污染物治理措施如下：</w:t>
      </w:r>
    </w:p>
    <w:p w:rsidR="00FD5D8C" w:rsidRPr="00D630D1" w:rsidRDefault="00FD5D8C" w:rsidP="003A7CE8">
      <w:pPr>
        <w:pStyle w:val="afa"/>
        <w:ind w:firstLine="480"/>
      </w:pPr>
      <w:r w:rsidRPr="00D630D1">
        <w:rPr>
          <w:rFonts w:ascii="宋体" w:hAnsi="宋体" w:cs="宋体" w:hint="eastAsia"/>
        </w:rPr>
        <w:lastRenderedPageBreak/>
        <w:t>①</w:t>
      </w:r>
      <w:r w:rsidRPr="00D630D1">
        <w:t>施工期间，大风天禁止施工作业；</w:t>
      </w:r>
    </w:p>
    <w:p w:rsidR="00FD5D8C" w:rsidRPr="00D630D1" w:rsidRDefault="00FD5D8C" w:rsidP="003A7CE8">
      <w:pPr>
        <w:pStyle w:val="afa"/>
        <w:ind w:firstLine="480"/>
      </w:pPr>
      <w:r w:rsidRPr="00D630D1">
        <w:rPr>
          <w:rFonts w:ascii="宋体" w:hAnsi="宋体" w:cs="宋体" w:hint="eastAsia"/>
        </w:rPr>
        <w:t>②</w:t>
      </w:r>
      <w:r w:rsidRPr="00D630D1">
        <w:t>散体材料装卸必须采取防风遮挡等降尘措施；</w:t>
      </w:r>
    </w:p>
    <w:p w:rsidR="00FD5D8C" w:rsidRPr="00D630D1" w:rsidRDefault="00FD5D8C" w:rsidP="003A7CE8">
      <w:pPr>
        <w:pStyle w:val="afa"/>
        <w:ind w:firstLine="480"/>
      </w:pPr>
      <w:r w:rsidRPr="00D630D1">
        <w:rPr>
          <w:rFonts w:ascii="宋体" w:hAnsi="宋体" w:cs="宋体" w:hint="eastAsia"/>
        </w:rPr>
        <w:t>③</w:t>
      </w:r>
      <w:r w:rsidRPr="00D630D1">
        <w:t>定期对作业面和土堆洒水，使其保持一定湿度，降低施工期的粉尘散发量；</w:t>
      </w:r>
    </w:p>
    <w:p w:rsidR="00FD5D8C" w:rsidRPr="00D630D1" w:rsidRDefault="00FD5D8C" w:rsidP="003A7CE8">
      <w:pPr>
        <w:pStyle w:val="afa"/>
        <w:ind w:firstLine="480"/>
      </w:pPr>
      <w:r w:rsidRPr="00D630D1">
        <w:rPr>
          <w:rFonts w:ascii="宋体" w:hAnsi="宋体" w:cs="宋体" w:hint="eastAsia"/>
        </w:rPr>
        <w:t>④</w:t>
      </w:r>
      <w:r w:rsidRPr="00D630D1">
        <w:t>对施工临时堆放的土方，应采取防护措施，如加盖防尘网、喷淋保湿等，防止扬尘污染；</w:t>
      </w:r>
    </w:p>
    <w:p w:rsidR="00FD5D8C" w:rsidRPr="00D630D1" w:rsidRDefault="00FD5D8C" w:rsidP="003A7CE8">
      <w:pPr>
        <w:pStyle w:val="afa"/>
        <w:ind w:firstLine="480"/>
      </w:pPr>
      <w:r w:rsidRPr="00D630D1">
        <w:rPr>
          <w:rFonts w:ascii="宋体" w:hAnsi="宋体" w:cs="宋体" w:hint="eastAsia"/>
        </w:rPr>
        <w:t>⑤</w:t>
      </w:r>
      <w:r w:rsidRPr="00D630D1">
        <w:t>对施工便道进行定期养护、清扫，确保路况良好，保持运输车辆完好，不超高超载，采取遮盖、密闭措施，减少沿程抛洒，及时清扫散落在路面上的泥土和建筑材料，冲洗轮胎，定时洒水压尘，减少运输过程中的扬尘；</w:t>
      </w:r>
    </w:p>
    <w:p w:rsidR="00FD5D8C" w:rsidRPr="00D630D1" w:rsidRDefault="00FD5D8C" w:rsidP="003A7CE8">
      <w:pPr>
        <w:pStyle w:val="afa"/>
        <w:ind w:firstLine="480"/>
      </w:pPr>
      <w:r w:rsidRPr="00D630D1">
        <w:rPr>
          <w:rFonts w:ascii="宋体" w:hAnsi="宋体" w:cs="宋体" w:hint="eastAsia"/>
        </w:rPr>
        <w:t>⑥</w:t>
      </w:r>
      <w:r w:rsidR="00891D77" w:rsidRPr="00D630D1">
        <w:t>施工场地进行打围和封闭</w:t>
      </w:r>
      <w:r w:rsidR="00891D77" w:rsidRPr="00D630D1">
        <w:rPr>
          <w:rFonts w:hint="eastAsia"/>
        </w:rPr>
        <w:t>，</w:t>
      </w:r>
      <w:r w:rsidR="00891D77" w:rsidRPr="00D630D1">
        <w:t>采取边坡防护等措施</w:t>
      </w:r>
      <w:r w:rsidR="00891D77" w:rsidRPr="00D630D1">
        <w:rPr>
          <w:rFonts w:hint="eastAsia"/>
        </w:rPr>
        <w:t>。</w:t>
      </w:r>
    </w:p>
    <w:p w:rsidR="00FD5D8C" w:rsidRPr="00D630D1" w:rsidRDefault="00FD5D8C" w:rsidP="003A7CE8">
      <w:pPr>
        <w:pStyle w:val="afa"/>
        <w:ind w:firstLine="480"/>
      </w:pPr>
      <w:r w:rsidRPr="00D630D1">
        <w:rPr>
          <w:rFonts w:ascii="宋体" w:hAnsi="宋体" w:cs="宋体" w:hint="eastAsia"/>
        </w:rPr>
        <w:t>⑦</w:t>
      </w:r>
      <w:r w:rsidR="00891D77" w:rsidRPr="00D630D1">
        <w:t>施工单位应严格落实本环评提出各项降尘措施。</w:t>
      </w:r>
    </w:p>
    <w:p w:rsidR="00FD5D8C" w:rsidRPr="00D630D1" w:rsidRDefault="00FD5D8C" w:rsidP="003A7CE8">
      <w:pPr>
        <w:pStyle w:val="afa"/>
        <w:ind w:firstLine="480"/>
      </w:pPr>
      <w:r w:rsidRPr="00D630D1">
        <w:t>通过采取以上措施后，可有效减少施工扬尘、燃油尾气及放空废气对周围环境的影响。</w:t>
      </w:r>
    </w:p>
    <w:p w:rsidR="003A0A1F" w:rsidRPr="00D630D1" w:rsidRDefault="003A0A1F" w:rsidP="003A0A1F">
      <w:pPr>
        <w:ind w:firstLine="482"/>
        <w:rPr>
          <w:rFonts w:ascii="Times New Roman" w:cs="Times New Roman"/>
          <w:b/>
          <w:bCs/>
        </w:rPr>
      </w:pPr>
      <w:bookmarkStart w:id="295" w:name="OLE_LINK189"/>
      <w:r w:rsidRPr="00D630D1">
        <w:rPr>
          <w:rFonts w:ascii="Times New Roman" w:cs="Times New Roman"/>
          <w:b/>
          <w:bCs/>
        </w:rPr>
        <w:t>（</w:t>
      </w:r>
      <w:r w:rsidRPr="00D630D1">
        <w:rPr>
          <w:rFonts w:ascii="Times New Roman" w:cs="Times New Roman" w:hint="eastAsia"/>
          <w:b/>
          <w:bCs/>
        </w:rPr>
        <w:t>6</w:t>
      </w:r>
      <w:r w:rsidRPr="00D630D1">
        <w:rPr>
          <w:rFonts w:ascii="Times New Roman" w:cs="Times New Roman"/>
          <w:b/>
          <w:bCs/>
        </w:rPr>
        <w:t>）</w:t>
      </w:r>
      <w:bookmarkStart w:id="296" w:name="OLE_LINK267"/>
      <w:bookmarkStart w:id="297" w:name="OLE_LINK268"/>
      <w:r w:rsidRPr="00D630D1">
        <w:rPr>
          <w:rFonts w:ascii="Times New Roman" w:cs="Times New Roman" w:hint="eastAsia"/>
          <w:b/>
          <w:bCs/>
        </w:rPr>
        <w:t>气体钻粉尘</w:t>
      </w:r>
      <w:bookmarkEnd w:id="296"/>
      <w:bookmarkEnd w:id="297"/>
    </w:p>
    <w:p w:rsidR="003A0A1F" w:rsidRPr="00D630D1" w:rsidRDefault="003A0A1F" w:rsidP="003A0A1F">
      <w:pPr>
        <w:pStyle w:val="afa"/>
        <w:ind w:firstLine="480"/>
      </w:pPr>
      <w:r w:rsidRPr="00D630D1">
        <w:rPr>
          <w:rFonts w:hint="eastAsia"/>
        </w:rPr>
        <w:t>钻井过程</w:t>
      </w:r>
      <w:bookmarkEnd w:id="295"/>
      <w:r w:rsidRPr="00D630D1">
        <w:rPr>
          <w:rFonts w:hint="eastAsia"/>
        </w:rPr>
        <w:t>中，使用气体钻时会返出一定量的粉尘，从而导致周围空气粉尘量增加。本项目在气体钻的排屑管处喷淋降尘，同时产生的污水及泥砂进入污水及清洁化操作平台。由于产生的粉尘量小，因此对周围环境影响较小。</w:t>
      </w:r>
    </w:p>
    <w:p w:rsidR="003A0A1F" w:rsidRPr="00D630D1" w:rsidRDefault="003A0A1F" w:rsidP="003A0A1F">
      <w:pPr>
        <w:ind w:firstLine="482"/>
        <w:rPr>
          <w:rFonts w:ascii="Times New Roman" w:cs="Times New Roman"/>
          <w:b/>
          <w:bCs/>
        </w:rPr>
      </w:pPr>
      <w:r w:rsidRPr="00D630D1">
        <w:rPr>
          <w:rFonts w:ascii="Times New Roman" w:cs="Times New Roman"/>
          <w:b/>
          <w:bCs/>
        </w:rPr>
        <w:t>（</w:t>
      </w:r>
      <w:r w:rsidRPr="00D630D1">
        <w:rPr>
          <w:rFonts w:ascii="Times New Roman" w:cs="Times New Roman" w:hint="eastAsia"/>
          <w:b/>
          <w:bCs/>
        </w:rPr>
        <w:t>7</w:t>
      </w:r>
      <w:r w:rsidRPr="00D630D1">
        <w:rPr>
          <w:rFonts w:ascii="Times New Roman" w:cs="Times New Roman"/>
          <w:b/>
          <w:bCs/>
        </w:rPr>
        <w:t>）</w:t>
      </w:r>
      <w:r w:rsidRPr="00D630D1">
        <w:rPr>
          <w:rFonts w:ascii="Times New Roman" w:cs="Times New Roman" w:hint="eastAsia"/>
          <w:b/>
          <w:bCs/>
        </w:rPr>
        <w:t>测试放喷废气</w:t>
      </w:r>
    </w:p>
    <w:p w:rsidR="008F1499" w:rsidRDefault="003A0A1F" w:rsidP="008F1499">
      <w:pPr>
        <w:pStyle w:val="afa"/>
        <w:ind w:firstLine="480"/>
      </w:pPr>
      <w:r w:rsidRPr="00D630D1">
        <w:rPr>
          <w:rFonts w:hint="eastAsia"/>
        </w:rPr>
        <w:t>测试放喷的天然气经专用放喷管线引至放喷池后点火燃烧，单井测试放喷时间约</w:t>
      </w:r>
      <w:r w:rsidRPr="00D630D1">
        <w:t>1d</w:t>
      </w:r>
      <w:r w:rsidRPr="00D630D1">
        <w:rPr>
          <w:rFonts w:hint="eastAsia"/>
        </w:rPr>
        <w:t>～</w:t>
      </w:r>
      <w:r w:rsidRPr="00D630D1">
        <w:t>2d</w:t>
      </w:r>
      <w:r w:rsidRPr="00D630D1">
        <w:rPr>
          <w:rFonts w:hint="eastAsia"/>
        </w:rPr>
        <w:t>，依据测试气量，间歇放喷，每次持续放喷时间约</w:t>
      </w:r>
      <w:r w:rsidRPr="00D630D1">
        <w:t>4h</w:t>
      </w:r>
      <w:r w:rsidRPr="00D630D1">
        <w:rPr>
          <w:rFonts w:hint="eastAsia"/>
        </w:rPr>
        <w:t>～</w:t>
      </w:r>
      <w:r w:rsidRPr="00D630D1">
        <w:t>6h</w:t>
      </w:r>
      <w:r w:rsidRPr="00D630D1">
        <w:rPr>
          <w:rFonts w:hint="eastAsia"/>
        </w:rPr>
        <w:t>，废气排放属不连续排放。测试放喷的天然气经点火燃烧，其主要污染物为</w:t>
      </w:r>
      <w:r w:rsidR="008F1499">
        <w:rPr>
          <w:rFonts w:hint="eastAsia"/>
        </w:rPr>
        <w:t>C</w:t>
      </w:r>
      <w:r w:rsidRPr="00D630D1">
        <w:t>O</w:t>
      </w:r>
      <w:r w:rsidRPr="00D630D1">
        <w:rPr>
          <w:vertAlign w:val="subscript"/>
        </w:rPr>
        <w:t>2</w:t>
      </w:r>
      <w:r w:rsidRPr="00D630D1">
        <w:rPr>
          <w:rFonts w:hint="eastAsia"/>
        </w:rPr>
        <w:t>。根据企业提供的资料，预计本项目</w:t>
      </w:r>
      <w:r w:rsidR="008F1499">
        <w:rPr>
          <w:rFonts w:hint="eastAsia"/>
        </w:rPr>
        <w:t>单井</w:t>
      </w:r>
      <w:r w:rsidRPr="00D630D1">
        <w:rPr>
          <w:rFonts w:hint="eastAsia"/>
        </w:rPr>
        <w:t>可能放喷的最大天然气流量为</w:t>
      </w:r>
      <w:r w:rsidR="008F1499">
        <w:rPr>
          <w:rFonts w:hint="eastAsia"/>
          <w:bCs/>
        </w:rPr>
        <w:t>30</w:t>
      </w:r>
      <w:r w:rsidRPr="00D630D1">
        <w:rPr>
          <w:bCs/>
        </w:rPr>
        <w:t>×10</w:t>
      </w:r>
      <w:r w:rsidRPr="00D630D1">
        <w:rPr>
          <w:bCs/>
          <w:vertAlign w:val="superscript"/>
        </w:rPr>
        <w:t>4</w:t>
      </w:r>
      <w:r w:rsidRPr="00D630D1">
        <w:rPr>
          <w:bCs/>
        </w:rPr>
        <w:t>m</w:t>
      </w:r>
      <w:r w:rsidRPr="00D630D1">
        <w:rPr>
          <w:bCs/>
          <w:vertAlign w:val="superscript"/>
        </w:rPr>
        <w:t>3</w:t>
      </w:r>
      <w:r w:rsidRPr="00D630D1">
        <w:rPr>
          <w:bCs/>
        </w:rPr>
        <w:t>/d</w:t>
      </w:r>
      <w:r w:rsidR="008F1499">
        <w:rPr>
          <w:rFonts w:hint="eastAsia"/>
        </w:rPr>
        <w:t>，</w:t>
      </w:r>
      <w:r w:rsidRPr="00D630D1">
        <w:rPr>
          <w:rFonts w:hint="eastAsia"/>
        </w:rPr>
        <w:t>天然气经放喷管线外输至放喷池点燃</w:t>
      </w:r>
      <w:r w:rsidR="008F1499">
        <w:rPr>
          <w:rFonts w:hint="eastAsia"/>
        </w:rPr>
        <w:t>。</w:t>
      </w:r>
    </w:p>
    <w:p w:rsidR="008F1499" w:rsidRDefault="008F1499" w:rsidP="008F1499">
      <w:pPr>
        <w:pStyle w:val="afa"/>
        <w:ind w:firstLine="480"/>
      </w:pPr>
      <w:r>
        <w:rPr>
          <w:rFonts w:hint="eastAsia"/>
        </w:rPr>
        <w:t>本项目在放喷前，建设单位会对距离井口</w:t>
      </w:r>
      <w:r>
        <w:rPr>
          <w:rFonts w:hint="eastAsia"/>
        </w:rPr>
        <w:t>500m</w:t>
      </w:r>
      <w:r>
        <w:rPr>
          <w:rFonts w:hint="eastAsia"/>
        </w:rPr>
        <w:t>范围内的居民临时撤离，并建立警戒点进行</w:t>
      </w:r>
      <w:r>
        <w:rPr>
          <w:rFonts w:hint="eastAsia"/>
        </w:rPr>
        <w:t>24</w:t>
      </w:r>
      <w:r>
        <w:rPr>
          <w:rFonts w:hint="eastAsia"/>
        </w:rPr>
        <w:t>小时警戒，严禁居民靠近，以减轻放喷废气对这些居民的影响。同时由于测试放喷属短期排放，不会形成长期环境影响，短期影响也可控制在周边居民健康安全限值以下，污染物排放随测试放喷的结束而停止，不会长期存在，不会影响区域环境空气功能区划。</w:t>
      </w:r>
    </w:p>
    <w:p w:rsidR="003A0A1F" w:rsidRPr="00D630D1" w:rsidRDefault="008F1499" w:rsidP="008F1499">
      <w:pPr>
        <w:pStyle w:val="afa"/>
        <w:ind w:firstLine="480"/>
      </w:pPr>
      <w:r>
        <w:rPr>
          <w:rFonts w:hint="eastAsia"/>
        </w:rPr>
        <w:t>本项目测试放喷在昼间进行，且时间较短，天然气燃烧后主要污染物为</w:t>
      </w:r>
      <w:r>
        <w:rPr>
          <w:rFonts w:hint="eastAsia"/>
        </w:rPr>
        <w:t>CO</w:t>
      </w:r>
      <w:r w:rsidRPr="008F1499">
        <w:rPr>
          <w:rFonts w:hint="eastAsia"/>
          <w:vertAlign w:val="subscript"/>
        </w:rPr>
        <w:t>2</w:t>
      </w:r>
      <w:r>
        <w:rPr>
          <w:rFonts w:hint="eastAsia"/>
        </w:rPr>
        <w:t>，污染物产生量较小，并将随测试放喷的结束而消除，对周边大气环境影响较小</w:t>
      </w:r>
      <w:r w:rsidR="003A0A1F" w:rsidRPr="00D630D1">
        <w:rPr>
          <w:rFonts w:hint="eastAsia"/>
        </w:rPr>
        <w:t>。</w:t>
      </w:r>
    </w:p>
    <w:p w:rsidR="00117C3D" w:rsidRPr="00D630D1" w:rsidRDefault="003A7CE8">
      <w:pPr>
        <w:pStyle w:val="3"/>
        <w:rPr>
          <w:rFonts w:eastAsia="宋体"/>
        </w:rPr>
      </w:pPr>
      <w:bookmarkStart w:id="298" w:name="_Toc12288512"/>
      <w:r w:rsidRPr="00D630D1">
        <w:rPr>
          <w:rFonts w:eastAsia="宋体"/>
        </w:rPr>
        <w:lastRenderedPageBreak/>
        <w:t>4</w:t>
      </w:r>
      <w:r w:rsidR="008B5B84" w:rsidRPr="00D630D1">
        <w:rPr>
          <w:rFonts w:eastAsia="宋体"/>
        </w:rPr>
        <w:t>.1.</w:t>
      </w:r>
      <w:r w:rsidR="002528C5" w:rsidRPr="00D630D1">
        <w:rPr>
          <w:rFonts w:eastAsia="宋体"/>
        </w:rPr>
        <w:t>5</w:t>
      </w:r>
      <w:r w:rsidR="008B5B84" w:rsidRPr="00D630D1">
        <w:rPr>
          <w:rFonts w:eastAsia="宋体"/>
        </w:rPr>
        <w:t xml:space="preserve"> </w:t>
      </w:r>
      <w:r w:rsidR="008B5B84" w:rsidRPr="00D630D1">
        <w:rPr>
          <w:rFonts w:eastAsia="宋体"/>
        </w:rPr>
        <w:t>废水</w:t>
      </w:r>
      <w:bookmarkEnd w:id="298"/>
      <w:r w:rsidR="008B5B84" w:rsidRPr="00D630D1">
        <w:rPr>
          <w:rFonts w:eastAsia="宋体"/>
        </w:rPr>
        <w:t>产生情况及治理措施</w:t>
      </w:r>
    </w:p>
    <w:p w:rsidR="00117C3D" w:rsidRPr="00D630D1" w:rsidRDefault="008B5B84" w:rsidP="008D3FB5">
      <w:pPr>
        <w:pStyle w:val="afa"/>
        <w:ind w:firstLine="480"/>
      </w:pPr>
      <w:bookmarkStart w:id="299" w:name="OLE_LINK196"/>
      <w:bookmarkStart w:id="300" w:name="OLE_LINK197"/>
      <w:r w:rsidRPr="00D630D1">
        <w:t>管道</w:t>
      </w:r>
      <w:bookmarkEnd w:id="299"/>
      <w:bookmarkEnd w:id="300"/>
      <w:r w:rsidRPr="00D630D1">
        <w:t>施工</w:t>
      </w:r>
      <w:bookmarkStart w:id="301" w:name="OLE_LINK195"/>
      <w:bookmarkStart w:id="302" w:name="OLE_LINK194"/>
      <w:r w:rsidR="003A0A1F" w:rsidRPr="00D630D1">
        <w:rPr>
          <w:rFonts w:hint="eastAsia"/>
        </w:rPr>
        <w:t>、</w:t>
      </w:r>
      <w:bookmarkStart w:id="303" w:name="OLE_LINK198"/>
      <w:bookmarkStart w:id="304" w:name="OLE_LINK199"/>
      <w:r w:rsidR="003A0A1F" w:rsidRPr="00D630D1">
        <w:rPr>
          <w:rFonts w:hint="eastAsia"/>
        </w:rPr>
        <w:t>钻井</w:t>
      </w:r>
      <w:bookmarkEnd w:id="301"/>
      <w:bookmarkEnd w:id="302"/>
      <w:r w:rsidR="003A0A1F" w:rsidRPr="00D630D1">
        <w:rPr>
          <w:rFonts w:hint="eastAsia"/>
        </w:rPr>
        <w:t>施工</w:t>
      </w:r>
      <w:bookmarkEnd w:id="303"/>
      <w:bookmarkEnd w:id="304"/>
      <w:r w:rsidRPr="00D630D1">
        <w:t>废水主要来自施工人员在施工作业中产生的生活污水、管道安装完后清管试压排放的废水</w:t>
      </w:r>
      <w:r w:rsidR="003A0A1F" w:rsidRPr="00D630D1">
        <w:rPr>
          <w:rFonts w:hint="eastAsia"/>
        </w:rPr>
        <w:t>、</w:t>
      </w:r>
      <w:r w:rsidR="004D3E6E" w:rsidRPr="00D630D1">
        <w:rPr>
          <w:rFonts w:hint="eastAsia"/>
        </w:rPr>
        <w:t>井场施工废水、</w:t>
      </w:r>
      <w:r w:rsidR="003A0A1F" w:rsidRPr="00D630D1">
        <w:rPr>
          <w:rFonts w:hint="eastAsia"/>
        </w:rPr>
        <w:t>初期雨水、钻井废水、压裂、洗井废水</w:t>
      </w:r>
      <w:r w:rsidRPr="00D630D1">
        <w:t>。</w:t>
      </w:r>
    </w:p>
    <w:p w:rsidR="00117C3D" w:rsidRPr="00D630D1" w:rsidRDefault="008D3FB5" w:rsidP="008D3FB5">
      <w:pPr>
        <w:pStyle w:val="afa"/>
        <w:ind w:firstLine="482"/>
        <w:rPr>
          <w:b/>
          <w:bCs/>
        </w:rPr>
      </w:pPr>
      <w:r w:rsidRPr="00D630D1">
        <w:rPr>
          <w:b/>
          <w:bCs/>
        </w:rPr>
        <w:t>1</w:t>
      </w:r>
      <w:r w:rsidRPr="00D630D1">
        <w:rPr>
          <w:b/>
          <w:bCs/>
        </w:rPr>
        <w:t>、</w:t>
      </w:r>
      <w:r w:rsidR="008B5B84" w:rsidRPr="00D630D1">
        <w:rPr>
          <w:b/>
          <w:bCs/>
        </w:rPr>
        <w:t>人员生活污水</w:t>
      </w:r>
    </w:p>
    <w:p w:rsidR="008D3FB5" w:rsidRPr="00D630D1" w:rsidRDefault="00F64138" w:rsidP="008D3FB5">
      <w:pPr>
        <w:pStyle w:val="afa"/>
        <w:ind w:firstLine="480"/>
      </w:pPr>
      <w:r w:rsidRPr="00D630D1">
        <w:rPr>
          <w:rFonts w:hint="eastAsia"/>
        </w:rPr>
        <w:t>站场、</w:t>
      </w:r>
      <w:r w:rsidR="003A0A1F" w:rsidRPr="00D630D1">
        <w:rPr>
          <w:rFonts w:hint="eastAsia"/>
        </w:rPr>
        <w:t>管道</w:t>
      </w:r>
      <w:r w:rsidR="008D3FB5" w:rsidRPr="00D630D1">
        <w:t>施工</w:t>
      </w:r>
      <w:r w:rsidR="003A0A1F" w:rsidRPr="00D630D1">
        <w:rPr>
          <w:rFonts w:hint="eastAsia"/>
        </w:rPr>
        <w:t>和钻井施工</w:t>
      </w:r>
      <w:r w:rsidR="008D3FB5" w:rsidRPr="00D630D1">
        <w:t>时，施工人员生活污水的主要污染物主要为</w:t>
      </w:r>
      <w:r w:rsidR="008D3FB5" w:rsidRPr="00D630D1">
        <w:t>pH</w:t>
      </w:r>
      <w:r w:rsidR="008D3FB5" w:rsidRPr="00D630D1">
        <w:t>、</w:t>
      </w:r>
      <w:r w:rsidR="008D3FB5" w:rsidRPr="00D630D1">
        <w:t>SS</w:t>
      </w:r>
      <w:r w:rsidR="008D3FB5" w:rsidRPr="00D630D1">
        <w:t>、</w:t>
      </w:r>
      <w:r w:rsidR="008D3FB5" w:rsidRPr="00D630D1">
        <w:t>COD</w:t>
      </w:r>
      <w:r w:rsidR="008D3FB5" w:rsidRPr="00D630D1">
        <w:t>和</w:t>
      </w:r>
      <w:r w:rsidR="008D3FB5" w:rsidRPr="00D630D1">
        <w:t>BOD</w:t>
      </w:r>
      <w:r w:rsidR="008D3FB5" w:rsidRPr="00D630D1">
        <w:rPr>
          <w:vertAlign w:val="subscript"/>
        </w:rPr>
        <w:t>5</w:t>
      </w:r>
      <w:r w:rsidR="008D3FB5" w:rsidRPr="00D630D1">
        <w:t>等，施工期生活污水量按以下公式计算：</w:t>
      </w:r>
    </w:p>
    <w:p w:rsidR="008D3FB5" w:rsidRPr="00D630D1" w:rsidRDefault="008D3FB5" w:rsidP="008D3FB5">
      <w:pPr>
        <w:pStyle w:val="afa"/>
        <w:ind w:firstLineChars="0" w:firstLine="0"/>
        <w:jc w:val="center"/>
      </w:pPr>
      <w:r w:rsidRPr="00D630D1">
        <w:t>Qs=</w:t>
      </w:r>
      <w:r w:rsidRPr="00D630D1">
        <w:t>（</w:t>
      </w:r>
      <w:r w:rsidRPr="00D630D1">
        <w:t>k•q1</w:t>
      </w:r>
      <w:r w:rsidRPr="00D630D1">
        <w:t>）</w:t>
      </w:r>
      <w:r w:rsidRPr="00D630D1">
        <w:t>/1000</w:t>
      </w:r>
    </w:p>
    <w:p w:rsidR="008D3FB5" w:rsidRPr="00D630D1" w:rsidRDefault="008D3FB5" w:rsidP="008D3FB5">
      <w:pPr>
        <w:pStyle w:val="afa"/>
        <w:ind w:firstLine="480"/>
      </w:pPr>
      <w:r w:rsidRPr="00D630D1">
        <w:t>式中：</w:t>
      </w:r>
    </w:p>
    <w:p w:rsidR="008D3FB5" w:rsidRPr="00D630D1" w:rsidRDefault="008D3FB5" w:rsidP="008D3FB5">
      <w:pPr>
        <w:pStyle w:val="afa"/>
        <w:ind w:firstLine="480"/>
      </w:pPr>
      <w:r w:rsidRPr="00D630D1">
        <w:t>Qs—</w:t>
      </w:r>
      <w:r w:rsidRPr="00D630D1">
        <w:t>每人每天生活污水排放量（</w:t>
      </w:r>
      <w:r w:rsidRPr="00D630D1">
        <w:t>t/</w:t>
      </w:r>
      <w:r w:rsidRPr="00D630D1">
        <w:t>人</w:t>
      </w:r>
      <w:r w:rsidRPr="00D630D1">
        <w:t>·d</w:t>
      </w:r>
      <w:r w:rsidRPr="00D630D1">
        <w:t>）；</w:t>
      </w:r>
    </w:p>
    <w:p w:rsidR="008D3FB5" w:rsidRPr="00D630D1" w:rsidRDefault="008D3FB5" w:rsidP="008D3FB5">
      <w:pPr>
        <w:pStyle w:val="afa"/>
        <w:ind w:firstLine="480"/>
      </w:pPr>
      <w:r w:rsidRPr="00D630D1">
        <w:t>k—</w:t>
      </w:r>
      <w:r w:rsidRPr="00D630D1">
        <w:t>生活污水排放系数，一般为</w:t>
      </w:r>
      <w:r w:rsidRPr="00D630D1">
        <w:t>0.6</w:t>
      </w:r>
      <w:r w:rsidRPr="00D630D1">
        <w:t>～</w:t>
      </w:r>
      <w:r w:rsidRPr="00D630D1">
        <w:t>0.9</w:t>
      </w:r>
      <w:r w:rsidRPr="00D630D1">
        <w:t>，取</w:t>
      </w:r>
      <w:r w:rsidRPr="00D630D1">
        <w:t>k=0.9</w:t>
      </w:r>
      <w:r w:rsidRPr="00D630D1">
        <w:t>；</w:t>
      </w:r>
    </w:p>
    <w:p w:rsidR="008D3FB5" w:rsidRPr="00D630D1" w:rsidRDefault="008D3FB5" w:rsidP="008D3FB5">
      <w:pPr>
        <w:pStyle w:val="afa"/>
        <w:ind w:firstLine="480"/>
      </w:pPr>
      <w:r w:rsidRPr="00D630D1">
        <w:t>q1—</w:t>
      </w:r>
      <w:r w:rsidRPr="00D630D1">
        <w:t>每人每天生活用水量定额，</w:t>
      </w:r>
      <w:r w:rsidRPr="00D630D1">
        <w:t>L/</w:t>
      </w:r>
      <w:r w:rsidRPr="00D630D1">
        <w:t>（人</w:t>
      </w:r>
      <w:r w:rsidRPr="00D630D1">
        <w:t>·d</w:t>
      </w:r>
      <w:r w:rsidRPr="00D630D1">
        <w:t>），取</w:t>
      </w:r>
      <w:r w:rsidRPr="00D630D1">
        <w:t>q1=80L/</w:t>
      </w:r>
      <w:r w:rsidRPr="00D630D1">
        <w:t>（人</w:t>
      </w:r>
      <w:r w:rsidRPr="00D630D1">
        <w:t>·d</w:t>
      </w:r>
      <w:r w:rsidRPr="00D630D1">
        <w:t>）。</w:t>
      </w:r>
    </w:p>
    <w:p w:rsidR="008D3FB5" w:rsidRPr="00D630D1" w:rsidRDefault="008D3FB5" w:rsidP="008D3FB5">
      <w:pPr>
        <w:pStyle w:val="afa"/>
        <w:ind w:firstLine="480"/>
      </w:pPr>
      <w:r w:rsidRPr="00D630D1">
        <w:t>项目施工人员主要为当地劳动力，</w:t>
      </w:r>
      <w:r w:rsidR="00F64138" w:rsidRPr="00D630D1">
        <w:rPr>
          <w:rFonts w:hint="eastAsia"/>
        </w:rPr>
        <w:t>站场、</w:t>
      </w:r>
      <w:r w:rsidR="003A0A1F" w:rsidRPr="00D630D1">
        <w:rPr>
          <w:rFonts w:hint="eastAsia"/>
        </w:rPr>
        <w:t>管道</w:t>
      </w:r>
      <w:r w:rsidRPr="00D630D1">
        <w:t>施工人员数量</w:t>
      </w:r>
      <w:bookmarkStart w:id="305" w:name="OLE_LINK200"/>
      <w:r w:rsidRPr="00D630D1">
        <w:t>按</w:t>
      </w:r>
      <w:r w:rsidR="002528C5" w:rsidRPr="00D630D1">
        <w:t>2</w:t>
      </w:r>
      <w:r w:rsidRPr="00D630D1">
        <w:t>0</w:t>
      </w:r>
      <w:r w:rsidRPr="00D630D1">
        <w:t>人</w:t>
      </w:r>
      <w:bookmarkEnd w:id="305"/>
      <w:r w:rsidRPr="00D630D1">
        <w:t>计，</w:t>
      </w:r>
      <w:bookmarkStart w:id="306" w:name="OLE_LINK202"/>
      <w:bookmarkStart w:id="307" w:name="OLE_LINK203"/>
      <w:r w:rsidRPr="00D630D1">
        <w:t>则</w:t>
      </w:r>
      <w:bookmarkStart w:id="308" w:name="OLE_LINK201"/>
      <w:r w:rsidR="003A0A1F" w:rsidRPr="00D630D1">
        <w:rPr>
          <w:rFonts w:hint="eastAsia"/>
        </w:rPr>
        <w:t>管道</w:t>
      </w:r>
      <w:bookmarkEnd w:id="308"/>
      <w:r w:rsidR="003A0A1F" w:rsidRPr="00D630D1">
        <w:rPr>
          <w:rFonts w:hint="eastAsia"/>
        </w:rPr>
        <w:t>施工</w:t>
      </w:r>
      <w:r w:rsidRPr="00D630D1">
        <w:t>生活污水产生量约</w:t>
      </w:r>
      <w:r w:rsidR="002528C5" w:rsidRPr="00D630D1">
        <w:t>2</w:t>
      </w:r>
      <w:r w:rsidRPr="00D630D1">
        <w:t>0×80L/</w:t>
      </w:r>
      <w:r w:rsidRPr="00D630D1">
        <w:t>（人</w:t>
      </w:r>
      <w:r w:rsidRPr="00D630D1">
        <w:t>·d</w:t>
      </w:r>
      <w:r w:rsidRPr="00D630D1">
        <w:t>）</w:t>
      </w:r>
      <w:r w:rsidRPr="00D630D1">
        <w:t>=</w:t>
      </w:r>
      <w:r w:rsidR="002528C5" w:rsidRPr="00D630D1">
        <w:t>1.6</w:t>
      </w:r>
      <w:r w:rsidRPr="00D630D1">
        <w:t>m</w:t>
      </w:r>
      <w:r w:rsidRPr="00D630D1">
        <w:rPr>
          <w:vertAlign w:val="superscript"/>
        </w:rPr>
        <w:t>3</w:t>
      </w:r>
      <w:r w:rsidRPr="00D630D1">
        <w:t>/d</w:t>
      </w:r>
      <w:r w:rsidRPr="00D630D1">
        <w:t>，</w:t>
      </w:r>
      <w:r w:rsidR="003A0A1F" w:rsidRPr="00D630D1">
        <w:rPr>
          <w:rFonts w:hint="eastAsia"/>
        </w:rPr>
        <w:t>管道</w:t>
      </w:r>
      <w:r w:rsidRPr="00D630D1">
        <w:rPr>
          <w:szCs w:val="24"/>
        </w:rPr>
        <w:t>施工期废水产生量约为</w:t>
      </w:r>
      <w:r w:rsidR="002528C5" w:rsidRPr="00D630D1">
        <w:rPr>
          <w:szCs w:val="24"/>
        </w:rPr>
        <w:t>584</w:t>
      </w:r>
      <w:r w:rsidRPr="00D630D1">
        <w:rPr>
          <w:szCs w:val="24"/>
        </w:rPr>
        <w:t>m</w:t>
      </w:r>
      <w:r w:rsidRPr="00D630D1">
        <w:rPr>
          <w:szCs w:val="24"/>
          <w:vertAlign w:val="superscript"/>
        </w:rPr>
        <w:t>3</w:t>
      </w:r>
      <w:bookmarkEnd w:id="306"/>
      <w:bookmarkEnd w:id="307"/>
      <w:r w:rsidR="003A0A1F" w:rsidRPr="00D630D1">
        <w:rPr>
          <w:rFonts w:hint="eastAsia"/>
          <w:szCs w:val="24"/>
        </w:rPr>
        <w:t>；</w:t>
      </w:r>
      <w:bookmarkStart w:id="309" w:name="_Hlk105534660"/>
      <w:bookmarkStart w:id="310" w:name="OLE_LINK204"/>
      <w:bookmarkStart w:id="311" w:name="OLE_LINK205"/>
      <w:bookmarkStart w:id="312" w:name="OLE_LINK206"/>
      <w:r w:rsidR="003A0A1F" w:rsidRPr="00D630D1">
        <w:rPr>
          <w:rFonts w:hint="eastAsia"/>
        </w:rPr>
        <w:t>钻井</w:t>
      </w:r>
      <w:bookmarkEnd w:id="309"/>
      <w:bookmarkEnd w:id="310"/>
      <w:r w:rsidR="003A0A1F" w:rsidRPr="00D630D1">
        <w:rPr>
          <w:rFonts w:hint="eastAsia"/>
        </w:rPr>
        <w:t>施工</w:t>
      </w:r>
      <w:bookmarkEnd w:id="311"/>
      <w:bookmarkEnd w:id="312"/>
      <w:r w:rsidR="003A0A1F" w:rsidRPr="00D630D1">
        <w:rPr>
          <w:rFonts w:hint="eastAsia"/>
        </w:rPr>
        <w:t>人数按</w:t>
      </w:r>
      <w:r w:rsidR="003A0A1F" w:rsidRPr="00D630D1">
        <w:rPr>
          <w:rFonts w:hint="eastAsia"/>
        </w:rPr>
        <w:t>50</w:t>
      </w:r>
      <w:r w:rsidR="003A0A1F" w:rsidRPr="00D630D1">
        <w:rPr>
          <w:rFonts w:hint="eastAsia"/>
        </w:rPr>
        <w:t>人计，</w:t>
      </w:r>
      <w:r w:rsidR="00F64138" w:rsidRPr="00D630D1">
        <w:t>则</w:t>
      </w:r>
      <w:r w:rsidR="00F64138" w:rsidRPr="00D630D1">
        <w:rPr>
          <w:rFonts w:hint="eastAsia"/>
        </w:rPr>
        <w:t>钻井施工</w:t>
      </w:r>
      <w:r w:rsidR="00F64138" w:rsidRPr="00D630D1">
        <w:t>生活污水产生量约</w:t>
      </w:r>
      <w:r w:rsidR="00F64138" w:rsidRPr="00D630D1">
        <w:rPr>
          <w:rFonts w:hint="eastAsia"/>
        </w:rPr>
        <w:t>5</w:t>
      </w:r>
      <w:r w:rsidR="00F64138" w:rsidRPr="00D630D1">
        <w:t>0×80L/</w:t>
      </w:r>
      <w:r w:rsidR="00F64138" w:rsidRPr="00D630D1">
        <w:t>（人</w:t>
      </w:r>
      <w:r w:rsidR="00F64138" w:rsidRPr="00D630D1">
        <w:t>·d</w:t>
      </w:r>
      <w:r w:rsidR="00F64138" w:rsidRPr="00D630D1">
        <w:t>）</w:t>
      </w:r>
      <w:r w:rsidR="00F64138" w:rsidRPr="00D630D1">
        <w:t>=</w:t>
      </w:r>
      <w:r w:rsidR="00F64138" w:rsidRPr="00D630D1">
        <w:rPr>
          <w:rFonts w:hint="eastAsia"/>
        </w:rPr>
        <w:t>4</w:t>
      </w:r>
      <w:r w:rsidR="00F64138" w:rsidRPr="00D630D1">
        <w:t>m</w:t>
      </w:r>
      <w:r w:rsidR="00F64138" w:rsidRPr="00D630D1">
        <w:rPr>
          <w:vertAlign w:val="superscript"/>
        </w:rPr>
        <w:t>3</w:t>
      </w:r>
      <w:r w:rsidR="00F64138" w:rsidRPr="00D630D1">
        <w:t>/d</w:t>
      </w:r>
      <w:r w:rsidR="00F64138" w:rsidRPr="00D630D1">
        <w:t>，</w:t>
      </w:r>
      <w:r w:rsidR="00F64138" w:rsidRPr="00D630D1">
        <w:rPr>
          <w:rFonts w:hint="eastAsia"/>
        </w:rPr>
        <w:t>钻井</w:t>
      </w:r>
      <w:r w:rsidR="00F64138" w:rsidRPr="00D630D1">
        <w:rPr>
          <w:szCs w:val="24"/>
        </w:rPr>
        <w:t>施工期</w:t>
      </w:r>
      <w:r w:rsidR="00473CDB">
        <w:rPr>
          <w:rFonts w:hint="eastAsia"/>
          <w:szCs w:val="24"/>
        </w:rPr>
        <w:t>生活</w:t>
      </w:r>
      <w:r w:rsidR="00F64138" w:rsidRPr="00D630D1">
        <w:rPr>
          <w:szCs w:val="24"/>
        </w:rPr>
        <w:t>废水产生量约为</w:t>
      </w:r>
      <w:r w:rsidR="00F64138" w:rsidRPr="00D630D1">
        <w:rPr>
          <w:rFonts w:hint="eastAsia"/>
          <w:szCs w:val="24"/>
        </w:rPr>
        <w:t>952</w:t>
      </w:r>
      <w:bookmarkStart w:id="313" w:name="OLE_LINK277"/>
      <w:bookmarkStart w:id="314" w:name="OLE_LINK278"/>
      <w:r w:rsidR="00F64138" w:rsidRPr="00D630D1">
        <w:rPr>
          <w:szCs w:val="24"/>
        </w:rPr>
        <w:t>m</w:t>
      </w:r>
      <w:r w:rsidR="00F64138" w:rsidRPr="00D630D1">
        <w:rPr>
          <w:szCs w:val="24"/>
          <w:vertAlign w:val="superscript"/>
        </w:rPr>
        <w:t>3</w:t>
      </w:r>
      <w:bookmarkEnd w:id="313"/>
      <w:bookmarkEnd w:id="314"/>
      <w:r w:rsidR="004D3E6E" w:rsidRPr="00D630D1">
        <w:rPr>
          <w:rFonts w:hint="eastAsia"/>
        </w:rPr>
        <w:t>，施工期生活污水共计</w:t>
      </w:r>
      <w:r w:rsidR="004D3E6E" w:rsidRPr="00D630D1">
        <w:rPr>
          <w:rFonts w:hint="eastAsia"/>
        </w:rPr>
        <w:t>1536m</w:t>
      </w:r>
      <w:r w:rsidR="004D3E6E" w:rsidRPr="00D630D1">
        <w:rPr>
          <w:rFonts w:hint="eastAsia"/>
          <w:vertAlign w:val="superscript"/>
        </w:rPr>
        <w:t>3</w:t>
      </w:r>
      <w:r w:rsidR="004D3E6E" w:rsidRPr="00D630D1">
        <w:rPr>
          <w:rFonts w:hint="eastAsia"/>
        </w:rPr>
        <w:t>。</w:t>
      </w:r>
    </w:p>
    <w:p w:rsidR="008D3FB5" w:rsidRPr="00D630D1" w:rsidRDefault="008D3FB5" w:rsidP="008D3FB5">
      <w:pPr>
        <w:pStyle w:val="afa"/>
        <w:ind w:firstLine="480"/>
      </w:pPr>
      <w:r w:rsidRPr="00D630D1">
        <w:t>施工期生活污水的水质指标浓度见下表所示：</w:t>
      </w:r>
    </w:p>
    <w:p w:rsidR="008D3FB5" w:rsidRPr="00D630D1" w:rsidRDefault="008D3FB5" w:rsidP="008D3FB5">
      <w:pPr>
        <w:pStyle w:val="10"/>
        <w:rPr>
          <w:rFonts w:cs="Times New Roman"/>
        </w:rPr>
      </w:pPr>
      <w:r w:rsidRPr="00D630D1">
        <w:rPr>
          <w:rFonts w:cs="Times New Roman"/>
        </w:rPr>
        <w:t>表</w:t>
      </w:r>
      <w:r w:rsidRPr="00D630D1">
        <w:rPr>
          <w:rFonts w:cs="Times New Roman"/>
        </w:rPr>
        <w:t>4.1-</w:t>
      </w:r>
      <w:r w:rsidR="0007009A">
        <w:rPr>
          <w:rFonts w:cs="Times New Roman" w:hint="eastAsia"/>
        </w:rPr>
        <w:t>6</w:t>
      </w:r>
      <w:r w:rsidRPr="00D630D1">
        <w:rPr>
          <w:rFonts w:cs="Times New Roman"/>
        </w:rPr>
        <w:t xml:space="preserve">  </w:t>
      </w:r>
      <w:r w:rsidRPr="00D630D1">
        <w:rPr>
          <w:rFonts w:cs="Times New Roman"/>
        </w:rPr>
        <w:t>施工期生活污水成分及浓度表</w:t>
      </w:r>
      <w:r w:rsidRPr="00D630D1">
        <w:rPr>
          <w:rFonts w:cs="Times New Roman"/>
        </w:rPr>
        <w:t xml:space="preserve">   </w:t>
      </w:r>
      <w:r w:rsidRPr="00D630D1">
        <w:rPr>
          <w:rFonts w:cs="Times New Roman"/>
        </w:rPr>
        <w:t>单位：</w:t>
      </w:r>
      <w:r w:rsidRPr="00D630D1">
        <w:rPr>
          <w:rFonts w:cs="Times New Roman"/>
        </w:rPr>
        <w:t>mg/L</w:t>
      </w:r>
    </w:p>
    <w:tbl>
      <w:tblPr>
        <w:tblW w:w="8388" w:type="dxa"/>
        <w:jc w:val="center"/>
        <w:tblBorders>
          <w:top w:val="single" w:sz="12" w:space="0" w:color="000000"/>
          <w:bottom w:val="single" w:sz="12" w:space="0" w:color="000000"/>
          <w:insideH w:val="single" w:sz="2" w:space="0" w:color="auto"/>
          <w:insideV w:val="single" w:sz="2" w:space="0" w:color="auto"/>
        </w:tblBorders>
        <w:tblLayout w:type="fixed"/>
        <w:tblLook w:val="0000"/>
      </w:tblPr>
      <w:tblGrid>
        <w:gridCol w:w="1517"/>
        <w:gridCol w:w="1087"/>
        <w:gridCol w:w="1012"/>
        <w:gridCol w:w="1302"/>
        <w:gridCol w:w="1173"/>
        <w:gridCol w:w="963"/>
        <w:gridCol w:w="1334"/>
      </w:tblGrid>
      <w:tr w:rsidR="002528C5" w:rsidRPr="00D630D1" w:rsidTr="00D37812">
        <w:trPr>
          <w:trHeight w:val="390"/>
          <w:jc w:val="center"/>
        </w:trPr>
        <w:tc>
          <w:tcPr>
            <w:tcW w:w="1517" w:type="dxa"/>
            <w:vAlign w:val="center"/>
          </w:tcPr>
          <w:p w:rsidR="008D3FB5" w:rsidRPr="00D630D1" w:rsidRDefault="008D3FB5" w:rsidP="008D3FB5">
            <w:pPr>
              <w:pStyle w:val="aff2"/>
              <w:rPr>
                <w:b/>
                <w:bCs/>
              </w:rPr>
            </w:pPr>
            <w:r w:rsidRPr="00D630D1">
              <w:rPr>
                <w:b/>
                <w:bCs/>
              </w:rPr>
              <w:t>污染物</w:t>
            </w:r>
          </w:p>
        </w:tc>
        <w:tc>
          <w:tcPr>
            <w:tcW w:w="1087" w:type="dxa"/>
            <w:vAlign w:val="center"/>
          </w:tcPr>
          <w:p w:rsidR="008D3FB5" w:rsidRPr="00D630D1" w:rsidRDefault="008D3FB5" w:rsidP="008D3FB5">
            <w:pPr>
              <w:pStyle w:val="aff2"/>
              <w:rPr>
                <w:b/>
                <w:bCs/>
              </w:rPr>
            </w:pPr>
            <w:r w:rsidRPr="00D630D1">
              <w:rPr>
                <w:b/>
                <w:bCs/>
              </w:rPr>
              <w:t>COD</w:t>
            </w:r>
          </w:p>
        </w:tc>
        <w:tc>
          <w:tcPr>
            <w:tcW w:w="1012" w:type="dxa"/>
            <w:vAlign w:val="center"/>
          </w:tcPr>
          <w:p w:rsidR="008D3FB5" w:rsidRPr="00D630D1" w:rsidRDefault="008D3FB5" w:rsidP="008D3FB5">
            <w:pPr>
              <w:pStyle w:val="aff2"/>
              <w:rPr>
                <w:b/>
                <w:bCs/>
              </w:rPr>
            </w:pPr>
            <w:r w:rsidRPr="00D630D1">
              <w:rPr>
                <w:b/>
                <w:bCs/>
              </w:rPr>
              <w:t>BOD</w:t>
            </w:r>
            <w:r w:rsidRPr="00D630D1">
              <w:rPr>
                <w:b/>
                <w:bCs/>
                <w:vertAlign w:val="subscript"/>
              </w:rPr>
              <w:t>5</w:t>
            </w:r>
          </w:p>
        </w:tc>
        <w:tc>
          <w:tcPr>
            <w:tcW w:w="1302" w:type="dxa"/>
            <w:vAlign w:val="center"/>
          </w:tcPr>
          <w:p w:rsidR="008D3FB5" w:rsidRPr="00D630D1" w:rsidRDefault="008D3FB5" w:rsidP="008D3FB5">
            <w:pPr>
              <w:pStyle w:val="aff2"/>
              <w:rPr>
                <w:b/>
                <w:bCs/>
              </w:rPr>
            </w:pPr>
            <w:r w:rsidRPr="00D630D1">
              <w:rPr>
                <w:b/>
                <w:bCs/>
              </w:rPr>
              <w:t>氨氮</w:t>
            </w:r>
          </w:p>
        </w:tc>
        <w:tc>
          <w:tcPr>
            <w:tcW w:w="1173" w:type="dxa"/>
            <w:vAlign w:val="center"/>
          </w:tcPr>
          <w:p w:rsidR="008D3FB5" w:rsidRPr="00D630D1" w:rsidRDefault="008D3FB5" w:rsidP="008D3FB5">
            <w:pPr>
              <w:pStyle w:val="aff2"/>
              <w:rPr>
                <w:b/>
                <w:bCs/>
              </w:rPr>
            </w:pPr>
            <w:r w:rsidRPr="00D630D1">
              <w:rPr>
                <w:b/>
                <w:bCs/>
              </w:rPr>
              <w:t>SS</w:t>
            </w:r>
          </w:p>
        </w:tc>
        <w:tc>
          <w:tcPr>
            <w:tcW w:w="963" w:type="dxa"/>
            <w:vAlign w:val="center"/>
          </w:tcPr>
          <w:p w:rsidR="008D3FB5" w:rsidRPr="00D630D1" w:rsidRDefault="008D3FB5" w:rsidP="008D3FB5">
            <w:pPr>
              <w:pStyle w:val="aff2"/>
              <w:rPr>
                <w:b/>
                <w:bCs/>
              </w:rPr>
            </w:pPr>
            <w:r w:rsidRPr="00D630D1">
              <w:rPr>
                <w:b/>
                <w:bCs/>
              </w:rPr>
              <w:t>石油类</w:t>
            </w:r>
          </w:p>
        </w:tc>
        <w:tc>
          <w:tcPr>
            <w:tcW w:w="1334" w:type="dxa"/>
            <w:vAlign w:val="center"/>
          </w:tcPr>
          <w:p w:rsidR="008D3FB5" w:rsidRPr="00D630D1" w:rsidRDefault="008D3FB5" w:rsidP="008D3FB5">
            <w:pPr>
              <w:pStyle w:val="aff2"/>
              <w:rPr>
                <w:b/>
                <w:bCs/>
              </w:rPr>
            </w:pPr>
            <w:r w:rsidRPr="00D630D1">
              <w:rPr>
                <w:b/>
                <w:bCs/>
              </w:rPr>
              <w:t>动植物油</w:t>
            </w:r>
          </w:p>
        </w:tc>
      </w:tr>
      <w:tr w:rsidR="002528C5" w:rsidRPr="00D630D1" w:rsidTr="00D37812">
        <w:trPr>
          <w:trHeight w:val="374"/>
          <w:jc w:val="center"/>
        </w:trPr>
        <w:tc>
          <w:tcPr>
            <w:tcW w:w="1517" w:type="dxa"/>
            <w:vAlign w:val="center"/>
          </w:tcPr>
          <w:p w:rsidR="008D3FB5" w:rsidRPr="00D630D1" w:rsidRDefault="008D3FB5" w:rsidP="008D3FB5">
            <w:pPr>
              <w:pStyle w:val="aff2"/>
            </w:pPr>
            <w:r w:rsidRPr="00D630D1">
              <w:t>浓度（</w:t>
            </w:r>
            <w:r w:rsidRPr="00D630D1">
              <w:t>mg/L</w:t>
            </w:r>
            <w:r w:rsidRPr="00D630D1">
              <w:t>）</w:t>
            </w:r>
          </w:p>
        </w:tc>
        <w:tc>
          <w:tcPr>
            <w:tcW w:w="1087" w:type="dxa"/>
            <w:vAlign w:val="center"/>
          </w:tcPr>
          <w:p w:rsidR="008D3FB5" w:rsidRPr="00D630D1" w:rsidRDefault="008D3FB5" w:rsidP="008D3FB5">
            <w:pPr>
              <w:pStyle w:val="aff2"/>
            </w:pPr>
            <w:r w:rsidRPr="00D630D1">
              <w:t>300</w:t>
            </w:r>
          </w:p>
        </w:tc>
        <w:tc>
          <w:tcPr>
            <w:tcW w:w="1012" w:type="dxa"/>
            <w:vAlign w:val="center"/>
          </w:tcPr>
          <w:p w:rsidR="008D3FB5" w:rsidRPr="00D630D1" w:rsidRDefault="008D3FB5" w:rsidP="008D3FB5">
            <w:pPr>
              <w:pStyle w:val="aff2"/>
            </w:pPr>
            <w:r w:rsidRPr="00D630D1">
              <w:t>250</w:t>
            </w:r>
          </w:p>
        </w:tc>
        <w:tc>
          <w:tcPr>
            <w:tcW w:w="1302" w:type="dxa"/>
            <w:vAlign w:val="center"/>
          </w:tcPr>
          <w:p w:rsidR="008D3FB5" w:rsidRPr="00D630D1" w:rsidRDefault="008D3FB5" w:rsidP="008D3FB5">
            <w:pPr>
              <w:pStyle w:val="aff2"/>
            </w:pPr>
            <w:r w:rsidRPr="00D630D1">
              <w:t>35</w:t>
            </w:r>
          </w:p>
        </w:tc>
        <w:tc>
          <w:tcPr>
            <w:tcW w:w="1173" w:type="dxa"/>
            <w:vAlign w:val="center"/>
          </w:tcPr>
          <w:p w:rsidR="008D3FB5" w:rsidRPr="00D630D1" w:rsidRDefault="008D3FB5" w:rsidP="008D3FB5">
            <w:pPr>
              <w:pStyle w:val="aff2"/>
            </w:pPr>
            <w:r w:rsidRPr="00D630D1">
              <w:t>200</w:t>
            </w:r>
          </w:p>
        </w:tc>
        <w:tc>
          <w:tcPr>
            <w:tcW w:w="963" w:type="dxa"/>
            <w:vAlign w:val="center"/>
          </w:tcPr>
          <w:p w:rsidR="008D3FB5" w:rsidRPr="00D630D1" w:rsidRDefault="008D3FB5" w:rsidP="008D3FB5">
            <w:pPr>
              <w:pStyle w:val="aff2"/>
            </w:pPr>
            <w:r w:rsidRPr="00D630D1">
              <w:t>5</w:t>
            </w:r>
          </w:p>
        </w:tc>
        <w:tc>
          <w:tcPr>
            <w:tcW w:w="1334" w:type="dxa"/>
            <w:vAlign w:val="center"/>
          </w:tcPr>
          <w:p w:rsidR="008D3FB5" w:rsidRPr="00D630D1" w:rsidRDefault="008D3FB5" w:rsidP="008D3FB5">
            <w:pPr>
              <w:pStyle w:val="aff2"/>
            </w:pPr>
            <w:r w:rsidRPr="00D630D1">
              <w:t>30</w:t>
            </w:r>
          </w:p>
        </w:tc>
      </w:tr>
    </w:tbl>
    <w:p w:rsidR="008D3FB5" w:rsidRPr="00D630D1" w:rsidRDefault="008D3FB5" w:rsidP="002528C5">
      <w:pPr>
        <w:pStyle w:val="afa"/>
        <w:ind w:firstLine="480"/>
      </w:pPr>
      <w:r w:rsidRPr="00D630D1">
        <w:t>项目不设置施工营地，</w:t>
      </w:r>
      <w:r w:rsidR="00CA7B11" w:rsidRPr="00D630D1">
        <w:t>管线施工人员生活污水依托租用附近居民房收集处理，</w:t>
      </w:r>
      <w:r w:rsidR="00CA7B11" w:rsidRPr="00D630D1">
        <w:rPr>
          <w:rFonts w:hint="eastAsia"/>
        </w:rPr>
        <w:t>井场</w:t>
      </w:r>
      <w:r w:rsidR="00CA7B11" w:rsidRPr="00D630D1">
        <w:t>施工</w:t>
      </w:r>
      <w:r w:rsidR="00F64138" w:rsidRPr="00D630D1">
        <w:rPr>
          <w:rFonts w:hint="eastAsia"/>
        </w:rPr>
        <w:t>、钻井施工</w:t>
      </w:r>
      <w:r w:rsidR="00C106D4" w:rsidRPr="00D630D1">
        <w:t>生活污水分别</w:t>
      </w:r>
      <w:r w:rsidR="0061759A" w:rsidRPr="00D630D1">
        <w:rPr>
          <w:rFonts w:hint="eastAsia"/>
        </w:rPr>
        <w:t>经</w:t>
      </w:r>
      <w:r w:rsidR="00C106D4" w:rsidRPr="00D630D1">
        <w:t>生态环保厕所收集后</w:t>
      </w:r>
      <w:r w:rsidR="00C106D4" w:rsidRPr="00D630D1">
        <w:rPr>
          <w:rFonts w:hint="eastAsia"/>
        </w:rPr>
        <w:t>，</w:t>
      </w:r>
      <w:r w:rsidR="00C106D4" w:rsidRPr="00D630D1">
        <w:t>用作周边农肥，</w:t>
      </w:r>
      <w:r w:rsidRPr="00D630D1">
        <w:t>不外排。</w:t>
      </w:r>
    </w:p>
    <w:p w:rsidR="00117C3D" w:rsidRPr="00D630D1" w:rsidRDefault="008D3FB5">
      <w:pPr>
        <w:pStyle w:val="a1"/>
        <w:ind w:firstLine="482"/>
        <w:rPr>
          <w:rFonts w:ascii="Times New Roman" w:cs="Times New Roman"/>
          <w:b/>
          <w:bCs/>
        </w:rPr>
      </w:pPr>
      <w:r w:rsidRPr="00D630D1">
        <w:rPr>
          <w:rFonts w:ascii="Times New Roman" w:cs="Times New Roman"/>
          <w:b/>
          <w:bCs/>
        </w:rPr>
        <w:t>2</w:t>
      </w:r>
      <w:r w:rsidRPr="00D630D1">
        <w:rPr>
          <w:rFonts w:ascii="Times New Roman" w:cs="Times New Roman"/>
          <w:b/>
          <w:bCs/>
        </w:rPr>
        <w:t>、</w:t>
      </w:r>
      <w:r w:rsidR="008B5B84" w:rsidRPr="00D630D1">
        <w:rPr>
          <w:rFonts w:ascii="Times New Roman" w:cs="Times New Roman"/>
          <w:b/>
          <w:bCs/>
        </w:rPr>
        <w:t>试压废水</w:t>
      </w:r>
    </w:p>
    <w:p w:rsidR="002528C5" w:rsidRPr="00D630D1" w:rsidRDefault="002528C5" w:rsidP="002528C5">
      <w:pPr>
        <w:pStyle w:val="afa"/>
        <w:ind w:firstLine="480"/>
      </w:pPr>
      <w:r w:rsidRPr="00D630D1">
        <w:t>本项目管道试压使用洁净水，且采取分段试压的方式进行，管道试压废水产生量合计约为</w:t>
      </w:r>
      <w:r w:rsidRPr="00D630D1">
        <w:t>200m</w:t>
      </w:r>
      <w:r w:rsidRPr="00D630D1">
        <w:rPr>
          <w:vertAlign w:val="superscript"/>
        </w:rPr>
        <w:t>3</w:t>
      </w:r>
      <w:r w:rsidRPr="00D630D1">
        <w:t>，水中的主要污染物为管线敷设时掉落的少量泥沙，由于在试压前已经过清管处理，试压废水中所含污染物主要是机械杂质、泥沙等，</w:t>
      </w:r>
      <w:r w:rsidRPr="00D630D1">
        <w:t>SS</w:t>
      </w:r>
      <w:r w:rsidRPr="00D630D1">
        <w:t>浓度较低，约为</w:t>
      </w:r>
      <w:r w:rsidRPr="00D630D1">
        <w:t>60mg/m</w:t>
      </w:r>
      <w:r w:rsidRPr="00D630D1">
        <w:rPr>
          <w:vertAlign w:val="superscript"/>
        </w:rPr>
        <w:t>3</w:t>
      </w:r>
      <w:r w:rsidRPr="00D630D1">
        <w:t>。由于污染物相对简单，这部分废水在分段</w:t>
      </w:r>
      <w:r w:rsidR="00476617" w:rsidRPr="00D630D1">
        <w:rPr>
          <w:rFonts w:hint="eastAsia"/>
        </w:rPr>
        <w:t>试压</w:t>
      </w:r>
      <w:r w:rsidRPr="00D630D1">
        <w:t>末端处挖一沉沙池，处置方式一般是在经沉淀池沉淀后</w:t>
      </w:r>
      <w:r w:rsidR="006F49C4" w:rsidRPr="00D630D1">
        <w:rPr>
          <w:rFonts w:hint="eastAsia"/>
        </w:rPr>
        <w:t>回用，不外</w:t>
      </w:r>
      <w:r w:rsidRPr="00D630D1">
        <w:t>排。</w:t>
      </w:r>
    </w:p>
    <w:p w:rsidR="004D3E6E" w:rsidRPr="00D630D1" w:rsidRDefault="004D3E6E" w:rsidP="004D3E6E">
      <w:pPr>
        <w:pStyle w:val="afa"/>
        <w:ind w:firstLine="482"/>
        <w:rPr>
          <w:b/>
        </w:rPr>
      </w:pPr>
      <w:r w:rsidRPr="00D630D1">
        <w:rPr>
          <w:rFonts w:hint="eastAsia"/>
          <w:b/>
        </w:rPr>
        <w:lastRenderedPageBreak/>
        <w:t>3</w:t>
      </w:r>
      <w:r w:rsidRPr="00D630D1">
        <w:rPr>
          <w:rFonts w:hint="eastAsia"/>
          <w:b/>
        </w:rPr>
        <w:t>、井场施工废水</w:t>
      </w:r>
    </w:p>
    <w:p w:rsidR="004D3E6E" w:rsidRPr="00D630D1" w:rsidRDefault="004D3E6E" w:rsidP="002528C5">
      <w:pPr>
        <w:pStyle w:val="afa"/>
        <w:ind w:firstLine="480"/>
      </w:pPr>
      <w:r w:rsidRPr="00D630D1">
        <w:t>井场基础建设产生的</w:t>
      </w:r>
      <w:r w:rsidRPr="00D630D1">
        <w:rPr>
          <w:rFonts w:hint="eastAsia"/>
        </w:rPr>
        <w:t>施工</w:t>
      </w:r>
      <w:r w:rsidRPr="00D630D1">
        <w:t>废水，主要来自砂石骨料加工、混凝土搅拌及养护等过程，废水经沉淀处理后循环使用，不外排。</w:t>
      </w:r>
    </w:p>
    <w:p w:rsidR="00117C3D" w:rsidRPr="00D630D1" w:rsidRDefault="004D3E6E">
      <w:pPr>
        <w:pStyle w:val="a1"/>
        <w:ind w:firstLine="482"/>
        <w:rPr>
          <w:rFonts w:ascii="Times New Roman" w:cs="Times New Roman"/>
          <w:b/>
          <w:bCs/>
        </w:rPr>
      </w:pPr>
      <w:bookmarkStart w:id="315" w:name="OLE_LINK213"/>
      <w:bookmarkStart w:id="316" w:name="OLE_LINK214"/>
      <w:r w:rsidRPr="00D630D1">
        <w:rPr>
          <w:rFonts w:ascii="Times New Roman" w:cs="Times New Roman" w:hint="eastAsia"/>
          <w:b/>
          <w:bCs/>
        </w:rPr>
        <w:t>4</w:t>
      </w:r>
      <w:r w:rsidR="00160BE4" w:rsidRPr="00D630D1">
        <w:rPr>
          <w:rFonts w:ascii="Times New Roman" w:cs="Times New Roman"/>
          <w:b/>
          <w:bCs/>
        </w:rPr>
        <w:t>、</w:t>
      </w:r>
      <w:r w:rsidR="00F64138" w:rsidRPr="00D630D1">
        <w:rPr>
          <w:rFonts w:ascii="Times New Roman" w:cs="Times New Roman" w:hint="eastAsia"/>
          <w:b/>
          <w:bCs/>
        </w:rPr>
        <w:t>初期雨水</w:t>
      </w:r>
    </w:p>
    <w:p w:rsidR="00F64138" w:rsidRPr="00D630D1" w:rsidRDefault="00F64138" w:rsidP="00F64138">
      <w:pPr>
        <w:pStyle w:val="SSEC20150323"/>
        <w:ind w:firstLine="480"/>
        <w:rPr>
          <w:rFonts w:ascii="Times New Roman" w:hAnsi="Times New Roman"/>
        </w:rPr>
      </w:pPr>
      <w:r w:rsidRPr="00D630D1">
        <w:rPr>
          <w:rFonts w:ascii="Times New Roman"/>
        </w:rPr>
        <w:t>初</w:t>
      </w:r>
      <w:bookmarkEnd w:id="315"/>
      <w:bookmarkEnd w:id="316"/>
      <w:r w:rsidRPr="00D630D1">
        <w:rPr>
          <w:rFonts w:ascii="Times New Roman"/>
        </w:rPr>
        <w:t>期雨水量按照如下公示计算：</w:t>
      </w:r>
    </w:p>
    <w:p w:rsidR="00F64138" w:rsidRPr="00D630D1" w:rsidRDefault="00F64138" w:rsidP="00F64138">
      <w:pPr>
        <w:pStyle w:val="SSEC20150323"/>
        <w:ind w:firstLine="480"/>
        <w:rPr>
          <w:rFonts w:ascii="Times New Roman" w:hAnsi="Times New Roman"/>
        </w:rPr>
      </w:pPr>
      <w:r w:rsidRPr="00D630D1">
        <w:rPr>
          <w:rFonts w:ascii="Times New Roman" w:hAnsi="Times New Roman"/>
        </w:rPr>
        <w:t>V=q×ψ×F×t×60÷1000</w:t>
      </w:r>
    </w:p>
    <w:p w:rsidR="00F64138" w:rsidRPr="00D630D1" w:rsidRDefault="00F64138" w:rsidP="00F64138">
      <w:pPr>
        <w:pStyle w:val="SSEC20150323"/>
        <w:ind w:firstLine="480"/>
        <w:rPr>
          <w:rFonts w:ascii="Times New Roman" w:hAnsi="Times New Roman"/>
        </w:rPr>
      </w:pPr>
      <w:r w:rsidRPr="00D630D1">
        <w:rPr>
          <w:rFonts w:ascii="Times New Roman"/>
        </w:rPr>
        <w:t>式中：</w:t>
      </w:r>
      <w:r w:rsidRPr="00D630D1">
        <w:rPr>
          <w:rFonts w:ascii="Times New Roman" w:hAnsi="Times New Roman"/>
        </w:rPr>
        <w:t>V-</w:t>
      </w:r>
      <w:r w:rsidRPr="00D630D1">
        <w:rPr>
          <w:rFonts w:ascii="Times New Roman"/>
        </w:rPr>
        <w:t>初期雨水最大量，</w:t>
      </w:r>
      <w:r w:rsidRPr="00D630D1">
        <w:rPr>
          <w:rFonts w:ascii="Times New Roman" w:hAnsi="Times New Roman"/>
        </w:rPr>
        <w:t>m</w:t>
      </w:r>
      <w:r w:rsidRPr="00D630D1">
        <w:rPr>
          <w:rFonts w:ascii="Times New Roman" w:hAnsi="Times New Roman"/>
          <w:vertAlign w:val="superscript"/>
        </w:rPr>
        <w:t>3</w:t>
      </w:r>
      <w:r w:rsidRPr="00D630D1">
        <w:rPr>
          <w:rFonts w:ascii="Times New Roman"/>
        </w:rPr>
        <w:t>；</w:t>
      </w:r>
    </w:p>
    <w:p w:rsidR="00F64138" w:rsidRPr="00D630D1" w:rsidRDefault="00F64138" w:rsidP="00F64138">
      <w:pPr>
        <w:pStyle w:val="SSEC20150323"/>
        <w:ind w:firstLine="480"/>
        <w:rPr>
          <w:rFonts w:ascii="Times New Roman" w:hAnsi="Times New Roman"/>
        </w:rPr>
      </w:pPr>
      <w:r w:rsidRPr="00D630D1">
        <w:rPr>
          <w:rFonts w:ascii="Times New Roman" w:hAnsi="Times New Roman"/>
        </w:rPr>
        <w:t xml:space="preserve">      t-</w:t>
      </w:r>
      <w:r w:rsidRPr="00D630D1">
        <w:rPr>
          <w:rFonts w:ascii="Times New Roman"/>
        </w:rPr>
        <w:t>降雨历时，</w:t>
      </w:r>
      <w:r w:rsidRPr="00D630D1">
        <w:rPr>
          <w:rFonts w:ascii="Times New Roman" w:hAnsi="Times New Roman"/>
        </w:rPr>
        <w:t>min</w:t>
      </w:r>
      <w:r w:rsidRPr="00D630D1">
        <w:rPr>
          <w:rFonts w:ascii="Times New Roman"/>
        </w:rPr>
        <w:t>；</w:t>
      </w:r>
    </w:p>
    <w:p w:rsidR="00F64138" w:rsidRPr="00D630D1" w:rsidRDefault="00F64138" w:rsidP="00F64138">
      <w:pPr>
        <w:pStyle w:val="SSEC20150323"/>
        <w:ind w:firstLineChars="500" w:firstLine="1200"/>
        <w:rPr>
          <w:rFonts w:ascii="Times New Roman" w:hAnsi="Times New Roman"/>
        </w:rPr>
      </w:pPr>
      <w:r w:rsidRPr="00D630D1">
        <w:rPr>
          <w:rFonts w:ascii="Times New Roman" w:hAnsi="Times New Roman"/>
        </w:rPr>
        <w:t>ψ-</w:t>
      </w:r>
      <w:r w:rsidRPr="00D630D1">
        <w:rPr>
          <w:rFonts w:ascii="Times New Roman"/>
        </w:rPr>
        <w:t>径流系数，取</w:t>
      </w:r>
      <w:r w:rsidRPr="00D630D1">
        <w:rPr>
          <w:rFonts w:ascii="Times New Roman" w:hAnsi="Times New Roman"/>
        </w:rPr>
        <w:t>0.85</w:t>
      </w:r>
      <w:r w:rsidRPr="00D630D1">
        <w:rPr>
          <w:rFonts w:ascii="Times New Roman"/>
        </w:rPr>
        <w:t>；</w:t>
      </w:r>
    </w:p>
    <w:p w:rsidR="00F64138" w:rsidRPr="00D630D1" w:rsidRDefault="00F64138" w:rsidP="00F64138">
      <w:pPr>
        <w:pStyle w:val="SSEC20150323"/>
        <w:ind w:firstLineChars="500" w:firstLine="1200"/>
        <w:rPr>
          <w:rFonts w:ascii="Times New Roman" w:hAnsi="Times New Roman"/>
        </w:rPr>
      </w:pPr>
      <w:r w:rsidRPr="00D630D1">
        <w:rPr>
          <w:rFonts w:ascii="Times New Roman" w:hAnsi="Times New Roman"/>
        </w:rPr>
        <w:t>F-</w:t>
      </w:r>
      <w:r w:rsidRPr="00D630D1">
        <w:rPr>
          <w:rFonts w:ascii="Times New Roman"/>
        </w:rPr>
        <w:t>汇水面积，</w:t>
      </w:r>
      <w:r w:rsidRPr="00D630D1">
        <w:rPr>
          <w:rFonts w:ascii="Times New Roman" w:hAnsi="Times New Roman"/>
        </w:rPr>
        <w:t>hm</w:t>
      </w:r>
      <w:r w:rsidRPr="00D630D1">
        <w:rPr>
          <w:rFonts w:ascii="Times New Roman" w:hAnsi="Times New Roman"/>
          <w:vertAlign w:val="superscript"/>
        </w:rPr>
        <w:t>2</w:t>
      </w:r>
      <w:r w:rsidRPr="00D630D1">
        <w:rPr>
          <w:rFonts w:ascii="Times New Roman"/>
        </w:rPr>
        <w:t>，本次计算泥浆循环系统区域、油罐区域、井口区域，合计</w:t>
      </w:r>
      <w:r w:rsidRPr="00D630D1">
        <w:rPr>
          <w:rFonts w:ascii="Times New Roman" w:hAnsi="Times New Roman" w:hint="eastAsia"/>
        </w:rPr>
        <w:t>50</w:t>
      </w:r>
      <w:r w:rsidRPr="00D630D1">
        <w:rPr>
          <w:rFonts w:ascii="Times New Roman" w:hAnsi="Times New Roman"/>
        </w:rPr>
        <w:t>00m</w:t>
      </w:r>
      <w:r w:rsidRPr="00D630D1">
        <w:rPr>
          <w:rFonts w:ascii="Times New Roman" w:hAnsi="Times New Roman"/>
          <w:vertAlign w:val="superscript"/>
        </w:rPr>
        <w:t>2</w:t>
      </w:r>
      <w:r w:rsidRPr="00D630D1">
        <w:rPr>
          <w:rFonts w:ascii="Times New Roman"/>
        </w:rPr>
        <w:t>；</w:t>
      </w:r>
    </w:p>
    <w:p w:rsidR="00F64138" w:rsidRPr="00D630D1" w:rsidRDefault="00F64138" w:rsidP="00F64138">
      <w:pPr>
        <w:pStyle w:val="SSEC20150323"/>
        <w:ind w:firstLineChars="500" w:firstLine="1200"/>
        <w:rPr>
          <w:rFonts w:ascii="Times New Roman" w:hAnsi="Times New Roman"/>
        </w:rPr>
      </w:pPr>
      <w:r w:rsidRPr="00D630D1">
        <w:rPr>
          <w:rFonts w:ascii="Times New Roman" w:hAnsi="Times New Roman"/>
        </w:rPr>
        <w:t>q-</w:t>
      </w:r>
      <w:r w:rsidRPr="00D630D1">
        <w:rPr>
          <w:rFonts w:ascii="Times New Roman"/>
        </w:rPr>
        <w:t>设计暴雨强度，</w:t>
      </w:r>
      <w:r w:rsidRPr="00D630D1">
        <w:rPr>
          <w:rFonts w:ascii="Times New Roman" w:hAnsi="Times New Roman"/>
        </w:rPr>
        <w:t>L/</w:t>
      </w:r>
      <w:r w:rsidRPr="00D630D1">
        <w:rPr>
          <w:rFonts w:ascii="Times New Roman"/>
        </w:rPr>
        <w:t>（</w:t>
      </w:r>
      <w:r w:rsidRPr="00D630D1">
        <w:rPr>
          <w:rFonts w:ascii="Times New Roman" w:hAnsi="Times New Roman"/>
        </w:rPr>
        <w:t>s·hm</w:t>
      </w:r>
      <w:r w:rsidRPr="00D630D1">
        <w:rPr>
          <w:rFonts w:ascii="Times New Roman" w:hAnsi="Times New Roman"/>
          <w:vertAlign w:val="superscript"/>
        </w:rPr>
        <w:t>2</w:t>
      </w:r>
      <w:r w:rsidRPr="00D630D1">
        <w:rPr>
          <w:rFonts w:ascii="Times New Roman"/>
        </w:rPr>
        <w:t>）。</w:t>
      </w:r>
    </w:p>
    <w:p w:rsidR="00F64138" w:rsidRPr="00D630D1" w:rsidRDefault="00F64138" w:rsidP="00F64138">
      <w:pPr>
        <w:pStyle w:val="SSEC20150323"/>
        <w:ind w:firstLine="480"/>
        <w:rPr>
          <w:rFonts w:ascii="Times New Roman"/>
        </w:rPr>
      </w:pPr>
      <w:r w:rsidRPr="00D630D1">
        <w:rPr>
          <w:rFonts w:ascii="Times New Roman"/>
        </w:rPr>
        <w:t>设计暴雨强度</w:t>
      </w:r>
      <w:r w:rsidRPr="00D630D1">
        <w:rPr>
          <w:rFonts w:ascii="Times New Roman" w:hint="eastAsia"/>
        </w:rPr>
        <w:t>采用</w:t>
      </w:r>
      <w:r w:rsidRPr="00D630D1">
        <w:rPr>
          <w:rFonts w:ascii="Times New Roman"/>
        </w:rPr>
        <w:t>达州市</w:t>
      </w:r>
      <w:r w:rsidR="00051B44" w:rsidRPr="00D630D1">
        <w:rPr>
          <w:rFonts w:ascii="Times New Roman" w:hint="eastAsia"/>
        </w:rPr>
        <w:t>中心城区</w:t>
      </w:r>
      <w:r w:rsidRPr="00D630D1">
        <w:rPr>
          <w:rFonts w:ascii="Times New Roman"/>
        </w:rPr>
        <w:t>的暴雨强度</w:t>
      </w:r>
      <w:r w:rsidR="00051B44" w:rsidRPr="00D630D1">
        <w:rPr>
          <w:rFonts w:ascii="Times New Roman" w:hint="eastAsia"/>
        </w:rPr>
        <w:t>公式</w:t>
      </w:r>
      <w:r w:rsidRPr="00D630D1">
        <w:rPr>
          <w:rFonts w:ascii="Times New Roman"/>
        </w:rPr>
        <w:t>，公式如下：</w:t>
      </w:r>
    </w:p>
    <w:p w:rsidR="00F64138" w:rsidRPr="00D630D1" w:rsidRDefault="001A254A" w:rsidP="00F64138">
      <w:pPr>
        <w:pStyle w:val="SSEC20150323"/>
        <w:ind w:firstLineChars="0" w:firstLine="0"/>
        <w:jc w:val="center"/>
        <w:rPr>
          <w:rFonts w:ascii="Times New Roman" w:hAnsi="Times New Roman"/>
        </w:rPr>
      </w:pPr>
      <w:r w:rsidRPr="00D630D1">
        <w:rPr>
          <w:rFonts w:ascii="Times New Roman"/>
          <w:noProof/>
        </w:rPr>
        <w:drawing>
          <wp:inline distT="0" distB="0" distL="0" distR="0">
            <wp:extent cx="3712845" cy="600075"/>
            <wp:effectExtent l="19050" t="0" r="190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3712845" cy="600075"/>
                    </a:xfrm>
                    <a:prstGeom prst="rect">
                      <a:avLst/>
                    </a:prstGeom>
                    <a:noFill/>
                    <a:ln w="9525">
                      <a:noFill/>
                      <a:miter lim="800000"/>
                      <a:headEnd/>
                      <a:tailEnd/>
                    </a:ln>
                  </pic:spPr>
                </pic:pic>
              </a:graphicData>
            </a:graphic>
          </wp:inline>
        </w:drawing>
      </w:r>
    </w:p>
    <w:p w:rsidR="00F64138" w:rsidRPr="00D630D1" w:rsidRDefault="00F64138" w:rsidP="00F64138">
      <w:pPr>
        <w:pStyle w:val="SSEC20150323"/>
        <w:ind w:firstLine="480"/>
        <w:rPr>
          <w:rFonts w:ascii="Times New Roman" w:hAnsi="Times New Roman"/>
        </w:rPr>
      </w:pPr>
      <w:r w:rsidRPr="00D630D1">
        <w:rPr>
          <w:rFonts w:ascii="Times New Roman"/>
        </w:rPr>
        <w:t>式中：</w:t>
      </w:r>
    </w:p>
    <w:p w:rsidR="00F64138" w:rsidRPr="00D630D1" w:rsidRDefault="00F64138" w:rsidP="00F64138">
      <w:pPr>
        <w:pStyle w:val="SSEC20150323"/>
        <w:ind w:firstLineChars="500" w:firstLine="1200"/>
        <w:rPr>
          <w:rFonts w:ascii="Times New Roman" w:hAnsi="Times New Roman"/>
        </w:rPr>
      </w:pPr>
      <w:r w:rsidRPr="00D630D1">
        <w:rPr>
          <w:rFonts w:ascii="Times New Roman" w:hAnsi="Times New Roman"/>
        </w:rPr>
        <w:t>q-</w:t>
      </w:r>
      <w:r w:rsidRPr="00D630D1">
        <w:rPr>
          <w:rFonts w:ascii="Times New Roman"/>
        </w:rPr>
        <w:t>暴雨强度，</w:t>
      </w:r>
      <w:r w:rsidRPr="00D630D1">
        <w:rPr>
          <w:rFonts w:ascii="Times New Roman" w:hAnsi="Times New Roman"/>
        </w:rPr>
        <w:t>L/</w:t>
      </w:r>
      <w:r w:rsidRPr="00D630D1">
        <w:rPr>
          <w:rFonts w:ascii="Times New Roman"/>
        </w:rPr>
        <w:t>（</w:t>
      </w:r>
      <w:r w:rsidRPr="00D630D1">
        <w:rPr>
          <w:rFonts w:ascii="Times New Roman" w:hAnsi="Times New Roman"/>
        </w:rPr>
        <w:t>s·hm</w:t>
      </w:r>
      <w:r w:rsidRPr="00D630D1">
        <w:rPr>
          <w:rFonts w:ascii="Times New Roman" w:hAnsi="Times New Roman"/>
          <w:vertAlign w:val="superscript"/>
        </w:rPr>
        <w:t>2</w:t>
      </w:r>
      <w:r w:rsidRPr="00D630D1">
        <w:rPr>
          <w:rFonts w:ascii="Times New Roman"/>
        </w:rPr>
        <w:t>）；</w:t>
      </w:r>
    </w:p>
    <w:p w:rsidR="00F64138" w:rsidRPr="00D630D1" w:rsidRDefault="00F64138" w:rsidP="00F64138">
      <w:pPr>
        <w:pStyle w:val="SSEC20150323"/>
        <w:ind w:firstLine="480"/>
        <w:rPr>
          <w:rFonts w:ascii="Times New Roman" w:hAnsi="Times New Roman"/>
        </w:rPr>
      </w:pPr>
      <w:r w:rsidRPr="00D630D1">
        <w:rPr>
          <w:rFonts w:ascii="Times New Roman" w:hAnsi="Times New Roman"/>
        </w:rPr>
        <w:t xml:space="preserve">      p-</w:t>
      </w:r>
      <w:r w:rsidR="00051B44" w:rsidRPr="00D630D1">
        <w:rPr>
          <w:rFonts w:ascii="Times New Roman"/>
        </w:rPr>
        <w:t>设计</w:t>
      </w:r>
      <w:r w:rsidRPr="00D630D1">
        <w:rPr>
          <w:rFonts w:ascii="Times New Roman"/>
        </w:rPr>
        <w:t>重现期（年）：本次取值为</w:t>
      </w:r>
      <w:r w:rsidRPr="00D630D1">
        <w:rPr>
          <w:rFonts w:ascii="Times New Roman" w:hAnsi="Times New Roman"/>
        </w:rPr>
        <w:t>3</w:t>
      </w:r>
      <w:r w:rsidRPr="00D630D1">
        <w:rPr>
          <w:rFonts w:ascii="Times New Roman"/>
        </w:rPr>
        <w:t>年；</w:t>
      </w:r>
    </w:p>
    <w:p w:rsidR="00F64138" w:rsidRPr="00D630D1" w:rsidRDefault="00F64138" w:rsidP="00F64138">
      <w:pPr>
        <w:pStyle w:val="SSEC20150323"/>
        <w:ind w:firstLine="480"/>
        <w:rPr>
          <w:rFonts w:ascii="Times New Roman" w:hAnsi="Times New Roman"/>
        </w:rPr>
      </w:pPr>
      <w:r w:rsidRPr="00D630D1">
        <w:rPr>
          <w:rFonts w:ascii="Times New Roman" w:hAnsi="Times New Roman"/>
        </w:rPr>
        <w:t xml:space="preserve">      t-</w:t>
      </w:r>
      <w:r w:rsidRPr="00D630D1">
        <w:rPr>
          <w:rFonts w:ascii="Times New Roman"/>
        </w:rPr>
        <w:t>降雨历时（</w:t>
      </w:r>
      <w:r w:rsidRPr="00D630D1">
        <w:rPr>
          <w:rFonts w:ascii="Times New Roman" w:hAnsi="Times New Roman"/>
        </w:rPr>
        <w:t>min</w:t>
      </w:r>
      <w:r w:rsidRPr="00D630D1">
        <w:rPr>
          <w:rFonts w:ascii="Times New Roman"/>
        </w:rPr>
        <w:t>）：取</w:t>
      </w:r>
      <w:r w:rsidRPr="00D630D1">
        <w:rPr>
          <w:rFonts w:ascii="Times New Roman" w:hAnsi="Times New Roman"/>
        </w:rPr>
        <w:t>15min</w:t>
      </w:r>
      <w:r w:rsidRPr="00D630D1">
        <w:rPr>
          <w:rFonts w:ascii="Times New Roman"/>
        </w:rPr>
        <w:t>。</w:t>
      </w:r>
    </w:p>
    <w:p w:rsidR="00117C3D" w:rsidRPr="00D630D1" w:rsidRDefault="00F64138" w:rsidP="00F64138">
      <w:pPr>
        <w:pStyle w:val="a1"/>
        <w:ind w:firstLine="480"/>
        <w:rPr>
          <w:rFonts w:ascii="Times New Roman" w:cs="Times New Roman"/>
        </w:rPr>
      </w:pPr>
      <w:r w:rsidRPr="00D630D1">
        <w:rPr>
          <w:rFonts w:ascii="Times New Roman"/>
        </w:rPr>
        <w:t>经计算，本项目</w:t>
      </w:r>
      <w:r w:rsidRPr="00D630D1">
        <w:rPr>
          <w:rFonts w:ascii="Times New Roman"/>
        </w:rPr>
        <w:t>15min</w:t>
      </w:r>
      <w:r w:rsidRPr="00D630D1">
        <w:rPr>
          <w:rFonts w:ascii="Times New Roman"/>
        </w:rPr>
        <w:t>初期雨水产生量为</w:t>
      </w:r>
      <w:bookmarkStart w:id="317" w:name="OLE_LINK283"/>
      <w:r w:rsidR="00051B44" w:rsidRPr="00D630D1">
        <w:rPr>
          <w:rFonts w:ascii="Times New Roman" w:hint="eastAsia"/>
        </w:rPr>
        <w:t>17</w:t>
      </w:r>
      <w:r w:rsidRPr="00D630D1">
        <w:rPr>
          <w:rFonts w:ascii="Times New Roman" w:hint="eastAsia"/>
        </w:rPr>
        <w:t>8</w:t>
      </w:r>
      <w:r w:rsidRPr="00D630D1">
        <w:rPr>
          <w:rFonts w:ascii="Times New Roman"/>
        </w:rPr>
        <w:t>m</w:t>
      </w:r>
      <w:r w:rsidRPr="00D630D1">
        <w:rPr>
          <w:rFonts w:ascii="Times New Roman"/>
          <w:vertAlign w:val="superscript"/>
        </w:rPr>
        <w:t>3</w:t>
      </w:r>
      <w:bookmarkEnd w:id="317"/>
      <w:r w:rsidR="008B5B84" w:rsidRPr="00D630D1">
        <w:rPr>
          <w:rFonts w:ascii="Times New Roman" w:cs="Times New Roman"/>
        </w:rPr>
        <w:t>。</w:t>
      </w:r>
    </w:p>
    <w:p w:rsidR="00F64138" w:rsidRPr="00D630D1" w:rsidRDefault="00F64138" w:rsidP="00F64138">
      <w:pPr>
        <w:pStyle w:val="a1"/>
        <w:ind w:firstLine="480"/>
        <w:rPr>
          <w:rFonts w:ascii="Times New Roman"/>
        </w:rPr>
      </w:pPr>
      <w:r w:rsidRPr="00D630D1">
        <w:rPr>
          <w:rFonts w:ascii="Times New Roman"/>
        </w:rPr>
        <w:t>井场内四周设排水边沟，井场雨水随四周排水边沟汇至排放口，排放口设监控池，初期雨水</w:t>
      </w:r>
      <w:r w:rsidR="000C6323" w:rsidRPr="00D630D1">
        <w:rPr>
          <w:rFonts w:ascii="Times New Roman" w:hint="eastAsia"/>
        </w:rPr>
        <w:t>与</w:t>
      </w:r>
      <w:r w:rsidRPr="00D630D1">
        <w:rPr>
          <w:rFonts w:ascii="Times New Roman"/>
        </w:rPr>
        <w:t>钻井废水一同</w:t>
      </w:r>
      <w:r w:rsidR="000C6323" w:rsidRPr="00D630D1">
        <w:rPr>
          <w:spacing w:val="-8"/>
          <w:szCs w:val="21"/>
        </w:rPr>
        <w:t>经</w:t>
      </w:r>
      <w:r w:rsidR="000C6323" w:rsidRPr="00D630D1">
        <w:rPr>
          <w:rFonts w:hint="eastAsia"/>
          <w:spacing w:val="-8"/>
          <w:szCs w:val="21"/>
        </w:rPr>
        <w:t>清洁化操作平台</w:t>
      </w:r>
      <w:r w:rsidR="000C6323" w:rsidRPr="00D630D1">
        <w:rPr>
          <w:spacing w:val="-8"/>
          <w:szCs w:val="21"/>
        </w:rPr>
        <w:t>预处理后装车拉运至毛开1井回注站回注</w:t>
      </w:r>
      <w:r w:rsidRPr="00D630D1">
        <w:rPr>
          <w:rFonts w:ascii="Times New Roman"/>
        </w:rPr>
        <w:t>，</w:t>
      </w:r>
      <w:r w:rsidR="000C6323" w:rsidRPr="00D630D1">
        <w:rPr>
          <w:rFonts w:ascii="Times New Roman"/>
        </w:rPr>
        <w:t>不外排</w:t>
      </w:r>
      <w:r w:rsidRPr="00D630D1">
        <w:rPr>
          <w:rFonts w:ascii="Times New Roman" w:hint="eastAsia"/>
        </w:rPr>
        <w:t>。</w:t>
      </w:r>
    </w:p>
    <w:p w:rsidR="00F64138" w:rsidRPr="00D630D1" w:rsidRDefault="004D3E6E" w:rsidP="00F64138">
      <w:pPr>
        <w:pStyle w:val="a1"/>
        <w:ind w:firstLine="482"/>
        <w:rPr>
          <w:rFonts w:ascii="Times New Roman" w:cs="Times New Roman"/>
          <w:b/>
          <w:bCs/>
        </w:rPr>
      </w:pPr>
      <w:r w:rsidRPr="00D630D1">
        <w:rPr>
          <w:rFonts w:ascii="Times New Roman" w:cs="Times New Roman" w:hint="eastAsia"/>
          <w:b/>
          <w:bCs/>
        </w:rPr>
        <w:t>5</w:t>
      </w:r>
      <w:r w:rsidR="00F64138" w:rsidRPr="00D630D1">
        <w:rPr>
          <w:rFonts w:ascii="Times New Roman" w:cs="Times New Roman"/>
          <w:b/>
          <w:bCs/>
        </w:rPr>
        <w:t>、</w:t>
      </w:r>
      <w:r w:rsidR="00F64138" w:rsidRPr="00D630D1">
        <w:rPr>
          <w:rFonts w:ascii="Times New Roman" w:cs="Times New Roman" w:hint="eastAsia"/>
          <w:b/>
          <w:bCs/>
        </w:rPr>
        <w:t>钻井废水</w:t>
      </w:r>
    </w:p>
    <w:p w:rsidR="00F64138" w:rsidRPr="00D630D1" w:rsidRDefault="00F64138" w:rsidP="00F64138">
      <w:pPr>
        <w:widowControl/>
        <w:topLinePunct w:val="0"/>
        <w:snapToGrid w:val="0"/>
        <w:spacing w:line="331" w:lineRule="auto"/>
        <w:ind w:firstLine="480"/>
        <w:rPr>
          <w:rFonts w:ascii="Times New Roman" w:cs="Times New Roman"/>
          <w:kern w:val="2"/>
        </w:rPr>
      </w:pPr>
      <w:bookmarkStart w:id="318" w:name="OLE_LINK217"/>
      <w:bookmarkStart w:id="319" w:name="OLE_LINK218"/>
      <w:r w:rsidRPr="00D630D1">
        <w:rPr>
          <w:rFonts w:ascii="Times New Roman" w:hAnsi="宋体" w:cs="Times New Roman"/>
          <w:kern w:val="2"/>
        </w:rPr>
        <w:t>本项目在钻井阶段采用气体钻井和常规钻井相结合的工艺。在使用气体钻（空气或氮气）的过程中会产生一定量的粉尘，本项目通过喷淋的方式降低空气中的粉尘，喷淋所产生的废水进入</w:t>
      </w:r>
      <w:r w:rsidR="000C6323" w:rsidRPr="00D630D1">
        <w:rPr>
          <w:rFonts w:ascii="Times New Roman" w:hAnsi="宋体" w:cs="Times New Roman" w:hint="eastAsia"/>
          <w:kern w:val="2"/>
        </w:rPr>
        <w:t>清洁化操作平台</w:t>
      </w:r>
      <w:r w:rsidRPr="00D630D1">
        <w:rPr>
          <w:rFonts w:ascii="Times New Roman" w:hAnsi="宋体" w:cs="Times New Roman"/>
          <w:kern w:val="2"/>
        </w:rPr>
        <w:t>处理后回用，不可回用的部分同钻井废水一同进行处理。</w:t>
      </w:r>
    </w:p>
    <w:p w:rsidR="00F64138" w:rsidRPr="00D630D1" w:rsidRDefault="00F64138" w:rsidP="00F64138">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t>钻井作业的配浆过程中会根据泥浆的不同要求加入不等量的水，这些水随钻井液进入井底协助钻井作业，在钻井液返回地面后，大部分水随泥浆进入泥浆净</w:t>
      </w:r>
      <w:r w:rsidRPr="00D630D1">
        <w:rPr>
          <w:rFonts w:ascii="Times New Roman" w:hAnsi="宋体" w:cs="Times New Roman"/>
          <w:kern w:val="2"/>
        </w:rPr>
        <w:lastRenderedPageBreak/>
        <w:t>化系统，小部分水随钻屑进入</w:t>
      </w:r>
      <w:r w:rsidR="00DB6EC5" w:rsidRPr="00D630D1">
        <w:rPr>
          <w:rFonts w:ascii="Times New Roman" w:hAnsi="宋体" w:cs="Times New Roman" w:hint="eastAsia"/>
          <w:kern w:val="2"/>
        </w:rPr>
        <w:t>清洁化操作平台</w:t>
      </w:r>
      <w:r w:rsidRPr="00D630D1">
        <w:rPr>
          <w:rFonts w:ascii="Times New Roman" w:hAnsi="宋体" w:cs="Times New Roman"/>
          <w:kern w:val="2"/>
        </w:rPr>
        <w:t>，经固液分离后，回收上清液用于泥浆配置，剩余废水由罐车拉运至毛开</w:t>
      </w:r>
      <w:r w:rsidRPr="00D630D1">
        <w:rPr>
          <w:rFonts w:ascii="Times New Roman" w:cs="Times New Roman"/>
          <w:kern w:val="2"/>
        </w:rPr>
        <w:t>1</w:t>
      </w:r>
      <w:r w:rsidRPr="00D630D1">
        <w:rPr>
          <w:rFonts w:ascii="Times New Roman" w:hAnsi="宋体" w:cs="Times New Roman"/>
          <w:kern w:val="2"/>
        </w:rPr>
        <w:t>井回注标准后回注，不外排。</w:t>
      </w:r>
    </w:p>
    <w:p w:rsidR="00F64138" w:rsidRPr="00D630D1" w:rsidRDefault="00F64138" w:rsidP="00F64138">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t>根据普光气田钻井工程的类比分析，每米进尺产生钻井废水量为</w:t>
      </w:r>
      <w:r w:rsidRPr="00D630D1">
        <w:rPr>
          <w:rFonts w:ascii="Times New Roman" w:cs="Times New Roman"/>
          <w:kern w:val="2"/>
        </w:rPr>
        <w:t>0.05m</w:t>
      </w:r>
      <w:r w:rsidRPr="00D630D1">
        <w:rPr>
          <w:rFonts w:ascii="Times New Roman" w:cs="Times New Roman"/>
          <w:kern w:val="2"/>
          <w:vertAlign w:val="superscript"/>
        </w:rPr>
        <w:t>3</w:t>
      </w:r>
      <w:r w:rsidRPr="00D630D1">
        <w:rPr>
          <w:rFonts w:ascii="Times New Roman" w:hAnsi="宋体" w:cs="Times New Roman"/>
          <w:kern w:val="2"/>
        </w:rPr>
        <w:t>。本项目</w:t>
      </w:r>
      <w:r w:rsidR="00BB75E0">
        <w:rPr>
          <w:rFonts w:ascii="Times New Roman" w:hAnsi="宋体" w:cs="Times New Roman" w:hint="eastAsia"/>
          <w:kern w:val="2"/>
        </w:rPr>
        <w:t>总</w:t>
      </w:r>
      <w:r w:rsidRPr="00D630D1">
        <w:rPr>
          <w:rFonts w:ascii="Times New Roman" w:hAnsi="宋体" w:cs="Times New Roman"/>
          <w:kern w:val="2"/>
        </w:rPr>
        <w:t>钻井进尺</w:t>
      </w:r>
      <w:r w:rsidR="00473CDB" w:rsidRPr="00473CDB">
        <w:rPr>
          <w:rFonts w:ascii="Times New Roman" w:cs="Times New Roman"/>
        </w:rPr>
        <w:t>37474</w:t>
      </w:r>
      <w:r w:rsidRPr="00D630D1">
        <w:rPr>
          <w:rFonts w:ascii="Times New Roman" w:cs="Times New Roman"/>
          <w:kern w:val="2"/>
        </w:rPr>
        <w:t>m</w:t>
      </w:r>
      <w:r w:rsidRPr="00D630D1">
        <w:rPr>
          <w:rFonts w:ascii="Times New Roman" w:hAnsi="宋体" w:cs="Times New Roman"/>
          <w:kern w:val="2"/>
        </w:rPr>
        <w:t>，产生的钻井废水为</w:t>
      </w:r>
      <w:bookmarkStart w:id="320" w:name="OLE_LINK287"/>
      <w:bookmarkStart w:id="321" w:name="OLE_LINK288"/>
      <w:r w:rsidR="00473CDB">
        <w:rPr>
          <w:rFonts w:ascii="Times New Roman" w:cs="Times New Roman" w:hint="eastAsia"/>
          <w:kern w:val="2"/>
        </w:rPr>
        <w:t>1873.7</w:t>
      </w:r>
      <w:r w:rsidRPr="00D630D1">
        <w:rPr>
          <w:rFonts w:ascii="Times New Roman" w:cs="Times New Roman"/>
          <w:kern w:val="2"/>
        </w:rPr>
        <w:t>m</w:t>
      </w:r>
      <w:r w:rsidRPr="00D630D1">
        <w:rPr>
          <w:rFonts w:ascii="Times New Roman" w:cs="Times New Roman"/>
          <w:kern w:val="2"/>
          <w:vertAlign w:val="superscript"/>
        </w:rPr>
        <w:t>3</w:t>
      </w:r>
      <w:bookmarkEnd w:id="320"/>
      <w:bookmarkEnd w:id="321"/>
      <w:r w:rsidRPr="00D630D1">
        <w:rPr>
          <w:rFonts w:ascii="Times New Roman" w:hAnsi="宋体" w:cs="Times New Roman"/>
          <w:kern w:val="2"/>
        </w:rPr>
        <w:t>。</w:t>
      </w:r>
      <w:bookmarkEnd w:id="318"/>
      <w:bookmarkEnd w:id="319"/>
    </w:p>
    <w:p w:rsidR="00F64138" w:rsidRPr="00D630D1" w:rsidRDefault="000C6323" w:rsidP="00F64138">
      <w:pPr>
        <w:widowControl/>
        <w:topLinePunct w:val="0"/>
        <w:snapToGrid w:val="0"/>
        <w:spacing w:line="331" w:lineRule="auto"/>
        <w:ind w:firstLine="480"/>
        <w:rPr>
          <w:rFonts w:ascii="Times New Roman" w:cs="Times New Roman"/>
          <w:kern w:val="2"/>
        </w:rPr>
      </w:pPr>
      <w:r w:rsidRPr="00D630D1">
        <w:rPr>
          <w:rFonts w:ascii="Times New Roman" w:hAnsi="宋体" w:cs="Times New Roman" w:hint="eastAsia"/>
          <w:kern w:val="2"/>
        </w:rPr>
        <w:t>本项目钻井</w:t>
      </w:r>
      <w:r w:rsidR="00F64138" w:rsidRPr="00D630D1">
        <w:rPr>
          <w:rFonts w:ascii="Times New Roman" w:hAnsi="宋体" w:cs="Times New Roman"/>
          <w:kern w:val="2"/>
        </w:rPr>
        <w:t>废水主要污染物浓度根据普光气田钻井工程</w:t>
      </w:r>
      <w:r w:rsidRPr="00D630D1">
        <w:rPr>
          <w:rFonts w:ascii="Times New Roman" w:hAnsi="宋体" w:cs="Times New Roman" w:hint="eastAsia"/>
          <w:kern w:val="2"/>
        </w:rPr>
        <w:t>钻井</w:t>
      </w:r>
      <w:r w:rsidR="00F64138" w:rsidRPr="00D630D1">
        <w:rPr>
          <w:rFonts w:ascii="Times New Roman" w:hAnsi="宋体" w:cs="Times New Roman"/>
          <w:kern w:val="2"/>
        </w:rPr>
        <w:t>废水类比，钻井废水水质污染物浓度见表</w:t>
      </w:r>
      <w:r w:rsidR="00F64138" w:rsidRPr="00D630D1">
        <w:rPr>
          <w:rFonts w:ascii="Times New Roman" w:cs="Times New Roman"/>
          <w:kern w:val="2"/>
        </w:rPr>
        <w:t>4</w:t>
      </w:r>
      <w:r w:rsidR="00F64138" w:rsidRPr="00D630D1">
        <w:rPr>
          <w:rFonts w:ascii="Times New Roman" w:cs="Times New Roman" w:hint="eastAsia"/>
          <w:kern w:val="2"/>
        </w:rPr>
        <w:t>.1-</w:t>
      </w:r>
      <w:r w:rsidR="0007009A">
        <w:rPr>
          <w:rFonts w:ascii="Times New Roman" w:cs="Times New Roman" w:hint="eastAsia"/>
          <w:kern w:val="2"/>
        </w:rPr>
        <w:t>7</w:t>
      </w:r>
      <w:r w:rsidR="00F64138" w:rsidRPr="00D630D1">
        <w:rPr>
          <w:rFonts w:ascii="Times New Roman" w:hAnsi="宋体" w:cs="Times New Roman"/>
          <w:kern w:val="2"/>
        </w:rPr>
        <w:t>。</w:t>
      </w:r>
    </w:p>
    <w:p w:rsidR="00F64138" w:rsidRPr="00D630D1" w:rsidRDefault="00F64138" w:rsidP="00F96E37">
      <w:pPr>
        <w:topLinePunct w:val="0"/>
        <w:snapToGrid w:val="0"/>
        <w:spacing w:beforeLines="50"/>
        <w:ind w:firstLineChars="0" w:firstLine="480"/>
        <w:jc w:val="center"/>
        <w:rPr>
          <w:rFonts w:ascii="Times New Roman" w:cs="Times New Roman"/>
          <w:b/>
          <w:kern w:val="2"/>
          <w:sz w:val="21"/>
          <w:szCs w:val="20"/>
        </w:rPr>
      </w:pPr>
      <w:bookmarkStart w:id="322" w:name="_Ref477986982"/>
      <w:r w:rsidRPr="00D630D1">
        <w:rPr>
          <w:rFonts w:ascii="Times New Roman" w:cs="Times New Roman"/>
          <w:b/>
          <w:kern w:val="2"/>
          <w:sz w:val="21"/>
          <w:szCs w:val="20"/>
        </w:rPr>
        <w:t>表</w:t>
      </w:r>
      <w:bookmarkEnd w:id="322"/>
      <w:r w:rsidRPr="00D630D1">
        <w:rPr>
          <w:rFonts w:ascii="Times New Roman" w:cs="Times New Roman"/>
          <w:b/>
          <w:kern w:val="2"/>
          <w:sz w:val="21"/>
          <w:szCs w:val="20"/>
        </w:rPr>
        <w:t>4</w:t>
      </w:r>
      <w:r w:rsidRPr="00D630D1">
        <w:rPr>
          <w:rFonts w:ascii="Times New Roman" w:cs="Times New Roman" w:hint="eastAsia"/>
          <w:b/>
          <w:kern w:val="2"/>
          <w:sz w:val="21"/>
          <w:szCs w:val="20"/>
        </w:rPr>
        <w:t>.1-</w:t>
      </w:r>
      <w:r w:rsidR="0007009A">
        <w:rPr>
          <w:rFonts w:ascii="Times New Roman" w:cs="Times New Roman" w:hint="eastAsia"/>
          <w:b/>
          <w:kern w:val="2"/>
          <w:sz w:val="21"/>
          <w:szCs w:val="20"/>
        </w:rPr>
        <w:t>7</w:t>
      </w:r>
      <w:r w:rsidRPr="00D630D1">
        <w:rPr>
          <w:rFonts w:ascii="Times New Roman" w:cs="Times New Roman"/>
          <w:b/>
          <w:kern w:val="2"/>
          <w:sz w:val="21"/>
          <w:szCs w:val="20"/>
        </w:rPr>
        <w:t xml:space="preserve">  </w:t>
      </w:r>
      <w:r w:rsidRPr="00D630D1">
        <w:rPr>
          <w:rFonts w:ascii="Times New Roman" w:cs="Times New Roman"/>
          <w:b/>
          <w:kern w:val="2"/>
          <w:sz w:val="21"/>
          <w:szCs w:val="20"/>
        </w:rPr>
        <w:t>钻井废水综合水质污染物浓度表（单位：</w:t>
      </w:r>
      <w:r w:rsidRPr="00D630D1">
        <w:rPr>
          <w:rFonts w:ascii="Times New Roman" w:cs="Times New Roman"/>
          <w:b/>
          <w:kern w:val="2"/>
          <w:sz w:val="21"/>
          <w:szCs w:val="20"/>
        </w:rPr>
        <w:t>mg/L</w:t>
      </w:r>
      <w:r w:rsidRPr="00D630D1">
        <w:rPr>
          <w:rFonts w:ascii="Times New Roman" w:cs="Times New Roman"/>
          <w:b/>
          <w:kern w:val="2"/>
          <w:sz w:val="21"/>
          <w:szCs w:val="20"/>
        </w:rPr>
        <w:t>，</w:t>
      </w:r>
      <w:r w:rsidRPr="00D630D1">
        <w:rPr>
          <w:rFonts w:ascii="Times New Roman" w:cs="Times New Roman"/>
          <w:b/>
          <w:kern w:val="2"/>
          <w:sz w:val="21"/>
          <w:szCs w:val="20"/>
        </w:rPr>
        <w:t>pH</w:t>
      </w:r>
      <w:r w:rsidRPr="00D630D1">
        <w:rPr>
          <w:rFonts w:ascii="Times New Roman" w:cs="Times New Roman"/>
          <w:b/>
          <w:kern w:val="2"/>
          <w:sz w:val="21"/>
          <w:szCs w:val="20"/>
        </w:rPr>
        <w:t>值无量纲）</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402"/>
        <w:gridCol w:w="1468"/>
        <w:gridCol w:w="2508"/>
        <w:gridCol w:w="3144"/>
      </w:tblGrid>
      <w:tr w:rsidR="00F64138" w:rsidRPr="00D630D1" w:rsidTr="00F64138">
        <w:trPr>
          <w:jc w:val="center"/>
        </w:trPr>
        <w:tc>
          <w:tcPr>
            <w:tcW w:w="1486"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污染物名称</w:t>
            </w:r>
          </w:p>
        </w:tc>
        <w:tc>
          <w:tcPr>
            <w:tcW w:w="1555"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pH</w:t>
            </w:r>
          </w:p>
        </w:tc>
        <w:tc>
          <w:tcPr>
            <w:tcW w:w="2669"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bookmarkStart w:id="323" w:name="OLE_LINK289"/>
            <w:r w:rsidRPr="00D630D1">
              <w:rPr>
                <w:rFonts w:ascii="Times New Roman" w:cs="Times New Roman"/>
                <w:b/>
                <w:kern w:val="2"/>
                <w:sz w:val="21"/>
                <w:szCs w:val="21"/>
              </w:rPr>
              <w:t>SS</w:t>
            </w:r>
            <w:bookmarkEnd w:id="323"/>
          </w:p>
        </w:tc>
        <w:tc>
          <w:tcPr>
            <w:tcW w:w="3350"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石油类</w:t>
            </w:r>
          </w:p>
        </w:tc>
      </w:tr>
      <w:tr w:rsidR="00F64138" w:rsidRPr="00D630D1" w:rsidTr="00F64138">
        <w:trPr>
          <w:jc w:val="center"/>
        </w:trPr>
        <w:tc>
          <w:tcPr>
            <w:tcW w:w="1486"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浓度</w:t>
            </w:r>
          </w:p>
        </w:tc>
        <w:tc>
          <w:tcPr>
            <w:tcW w:w="1555"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8.3</w:t>
            </w:r>
            <w:r w:rsidRPr="00D630D1">
              <w:rPr>
                <w:rFonts w:ascii="Times New Roman" w:hAnsi="宋体" w:cs="Times New Roman"/>
                <w:kern w:val="2"/>
                <w:sz w:val="21"/>
                <w:szCs w:val="21"/>
              </w:rPr>
              <w:t>～</w:t>
            </w:r>
            <w:r w:rsidRPr="00D630D1">
              <w:rPr>
                <w:rFonts w:ascii="Times New Roman" w:cs="Times New Roman"/>
                <w:kern w:val="2"/>
                <w:sz w:val="21"/>
                <w:szCs w:val="21"/>
              </w:rPr>
              <w:t>12.5</w:t>
            </w:r>
          </w:p>
        </w:tc>
        <w:tc>
          <w:tcPr>
            <w:tcW w:w="2669"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≤7500</w:t>
            </w:r>
          </w:p>
        </w:tc>
        <w:tc>
          <w:tcPr>
            <w:tcW w:w="3350"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≤200</w:t>
            </w:r>
          </w:p>
        </w:tc>
      </w:tr>
    </w:tbl>
    <w:p w:rsidR="00F64138" w:rsidRPr="00D630D1" w:rsidRDefault="004D3E6E" w:rsidP="00F64138">
      <w:pPr>
        <w:widowControl/>
        <w:topLinePunct w:val="0"/>
        <w:snapToGrid w:val="0"/>
        <w:spacing w:line="331" w:lineRule="auto"/>
        <w:ind w:firstLine="482"/>
        <w:rPr>
          <w:rFonts w:ascii="Times New Roman" w:cs="Times New Roman"/>
          <w:b/>
          <w:kern w:val="2"/>
        </w:rPr>
      </w:pPr>
      <w:r w:rsidRPr="00D630D1">
        <w:rPr>
          <w:rFonts w:ascii="Times New Roman" w:cs="Times New Roman" w:hint="eastAsia"/>
          <w:b/>
          <w:kern w:val="2"/>
        </w:rPr>
        <w:t>6</w:t>
      </w:r>
      <w:r w:rsidR="00F64138" w:rsidRPr="00D630D1">
        <w:rPr>
          <w:rFonts w:ascii="Times New Roman" w:hAnsi="宋体" w:cs="Times New Roman" w:hint="eastAsia"/>
          <w:b/>
          <w:kern w:val="2"/>
        </w:rPr>
        <w:t>、</w:t>
      </w:r>
      <w:bookmarkStart w:id="324" w:name="OLE_LINK221"/>
      <w:bookmarkStart w:id="325" w:name="OLE_LINK222"/>
      <w:bookmarkStart w:id="326" w:name="_Hlk105537178"/>
      <w:r w:rsidR="00F64138" w:rsidRPr="00D630D1">
        <w:rPr>
          <w:rFonts w:ascii="Times New Roman" w:hAnsi="宋体" w:cs="Times New Roman" w:hint="eastAsia"/>
          <w:b/>
          <w:kern w:val="2"/>
        </w:rPr>
        <w:t>压裂、洗井</w:t>
      </w:r>
      <w:bookmarkEnd w:id="324"/>
      <w:bookmarkEnd w:id="325"/>
      <w:r w:rsidR="00F64138" w:rsidRPr="00D630D1">
        <w:rPr>
          <w:rFonts w:ascii="Times New Roman" w:hAnsi="宋体" w:cs="Times New Roman"/>
          <w:b/>
          <w:kern w:val="2"/>
        </w:rPr>
        <w:t>废水</w:t>
      </w:r>
      <w:bookmarkEnd w:id="326"/>
    </w:p>
    <w:p w:rsidR="00F64138" w:rsidRPr="00D630D1" w:rsidRDefault="00F64138" w:rsidP="00F64138">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t>完井工程产生的作业废水主要是压裂酸化、洗井等施工时产生的废水。本项目</w:t>
      </w:r>
      <w:r w:rsidR="00D26A12">
        <w:rPr>
          <w:rFonts w:ascii="Times New Roman" w:hAnsi="宋体" w:cs="Times New Roman" w:hint="eastAsia"/>
          <w:kern w:val="2"/>
        </w:rPr>
        <w:t>单井</w:t>
      </w:r>
      <w:r w:rsidRPr="00D630D1">
        <w:rPr>
          <w:rFonts w:ascii="Times New Roman" w:hAnsi="宋体" w:cs="Times New Roman"/>
          <w:kern w:val="2"/>
        </w:rPr>
        <w:t>压裂酸化过程酸液用量约</w:t>
      </w:r>
      <w:r w:rsidRPr="00D630D1">
        <w:rPr>
          <w:rFonts w:ascii="Times New Roman" w:cs="Times New Roman"/>
          <w:kern w:val="2"/>
        </w:rPr>
        <w:t>600m</w:t>
      </w:r>
      <w:r w:rsidRPr="00D630D1">
        <w:rPr>
          <w:rFonts w:ascii="Times New Roman" w:cs="Times New Roman"/>
          <w:kern w:val="2"/>
          <w:vertAlign w:val="superscript"/>
        </w:rPr>
        <w:t>3</w:t>
      </w:r>
      <w:r w:rsidRPr="00D630D1">
        <w:rPr>
          <w:rFonts w:ascii="Times New Roman" w:hAnsi="宋体" w:cs="Times New Roman"/>
          <w:kern w:val="2"/>
        </w:rPr>
        <w:t>，</w:t>
      </w:r>
      <w:r w:rsidR="00D26A12" w:rsidRPr="00D26A12">
        <w:rPr>
          <w:rFonts w:ascii="Times New Roman" w:hAnsi="宋体" w:cs="Times New Roman" w:hint="eastAsia"/>
          <w:kern w:val="2"/>
        </w:rPr>
        <w:t>普陆页</w:t>
      </w:r>
      <w:r w:rsidR="00D26A12" w:rsidRPr="00D26A12">
        <w:rPr>
          <w:rFonts w:ascii="Times New Roman" w:hAnsi="宋体" w:cs="Times New Roman" w:hint="eastAsia"/>
          <w:kern w:val="2"/>
        </w:rPr>
        <w:t>1-1~6</w:t>
      </w:r>
      <w:r w:rsidR="00D26A12">
        <w:rPr>
          <w:rFonts w:ascii="Times New Roman" w:hAnsi="宋体" w:cs="Times New Roman" w:hint="eastAsia"/>
          <w:kern w:val="2"/>
        </w:rPr>
        <w:t>井总用量为</w:t>
      </w:r>
      <w:r w:rsidR="00D26A12">
        <w:rPr>
          <w:rFonts w:ascii="Times New Roman" w:hAnsi="宋体" w:cs="Times New Roman" w:hint="eastAsia"/>
          <w:kern w:val="2"/>
        </w:rPr>
        <w:t>3600</w:t>
      </w:r>
      <w:r w:rsidR="00D26A12" w:rsidRPr="00D630D1">
        <w:rPr>
          <w:rFonts w:ascii="Times New Roman" w:cs="Times New Roman"/>
          <w:kern w:val="2"/>
        </w:rPr>
        <w:t>m</w:t>
      </w:r>
      <w:r w:rsidR="00D26A12" w:rsidRPr="00D630D1">
        <w:rPr>
          <w:rFonts w:ascii="Times New Roman" w:cs="Times New Roman"/>
          <w:kern w:val="2"/>
          <w:vertAlign w:val="superscript"/>
        </w:rPr>
        <w:t>3</w:t>
      </w:r>
      <w:r w:rsidR="00D26A12" w:rsidRPr="00D630D1">
        <w:rPr>
          <w:rFonts w:ascii="Times New Roman" w:hAnsi="宋体" w:cs="Times New Roman"/>
          <w:kern w:val="2"/>
        </w:rPr>
        <w:t>，</w:t>
      </w:r>
      <w:r w:rsidRPr="00D630D1">
        <w:rPr>
          <w:rFonts w:ascii="Times New Roman" w:hAnsi="宋体" w:cs="Times New Roman"/>
          <w:kern w:val="2"/>
        </w:rPr>
        <w:t>根据该区域已完钻钻井工程可知，该区域钻井工程酸液返排率约</w:t>
      </w:r>
      <w:r w:rsidRPr="00D630D1">
        <w:rPr>
          <w:rFonts w:ascii="Times New Roman" w:cs="Times New Roman"/>
          <w:kern w:val="2"/>
        </w:rPr>
        <w:t>30%</w:t>
      </w:r>
      <w:r w:rsidRPr="00D630D1">
        <w:rPr>
          <w:rFonts w:ascii="Times New Roman" w:hAnsi="宋体" w:cs="Times New Roman"/>
          <w:kern w:val="2"/>
        </w:rPr>
        <w:t>，则本项目返排液量为</w:t>
      </w:r>
      <w:r w:rsidRPr="00D630D1">
        <w:rPr>
          <w:rFonts w:ascii="Times New Roman" w:cs="Times New Roman"/>
          <w:kern w:val="2"/>
        </w:rPr>
        <w:t>1</w:t>
      </w:r>
      <w:r w:rsidR="00D26A12">
        <w:rPr>
          <w:rFonts w:ascii="Times New Roman" w:cs="Times New Roman" w:hint="eastAsia"/>
          <w:kern w:val="2"/>
        </w:rPr>
        <w:t>0</w:t>
      </w:r>
      <w:r w:rsidRPr="00D630D1">
        <w:rPr>
          <w:rFonts w:ascii="Times New Roman" w:cs="Times New Roman"/>
          <w:kern w:val="2"/>
        </w:rPr>
        <w:t>80m</w:t>
      </w:r>
      <w:r w:rsidRPr="00D630D1">
        <w:rPr>
          <w:rFonts w:ascii="Times New Roman" w:cs="Times New Roman"/>
          <w:kern w:val="2"/>
          <w:vertAlign w:val="superscript"/>
        </w:rPr>
        <w:t>3</w:t>
      </w:r>
      <w:r w:rsidRPr="00D630D1">
        <w:rPr>
          <w:rFonts w:ascii="Times New Roman" w:hAnsi="宋体" w:cs="Times New Roman"/>
          <w:kern w:val="2"/>
        </w:rPr>
        <w:t>，作业废水主要组成为水、盐酸及醋酸与岩层反应后生成的盐类、及表面活性剂等。返排液排至经防腐防渗处理的</w:t>
      </w:r>
      <w:r w:rsidR="00E35006" w:rsidRPr="00D630D1">
        <w:rPr>
          <w:rFonts w:hint="eastAsia"/>
        </w:rPr>
        <w:t>污水缓冲罐</w:t>
      </w:r>
      <w:r w:rsidRPr="00D630D1">
        <w:rPr>
          <w:rFonts w:ascii="Times New Roman" w:hAnsi="宋体" w:cs="Times New Roman"/>
          <w:kern w:val="2"/>
        </w:rPr>
        <w:t>中暂存，返排周期为</w:t>
      </w:r>
      <w:r w:rsidRPr="00D630D1">
        <w:rPr>
          <w:rFonts w:ascii="Times New Roman" w:cs="Times New Roman"/>
          <w:kern w:val="2"/>
        </w:rPr>
        <w:t>3d</w:t>
      </w:r>
      <w:r w:rsidRPr="00D630D1">
        <w:rPr>
          <w:rFonts w:ascii="Times New Roman" w:hAnsi="宋体" w:cs="Times New Roman"/>
          <w:kern w:val="2"/>
        </w:rPr>
        <w:t>～</w:t>
      </w:r>
      <w:r w:rsidRPr="00D630D1">
        <w:rPr>
          <w:rFonts w:ascii="Times New Roman" w:cs="Times New Roman"/>
          <w:kern w:val="2"/>
        </w:rPr>
        <w:t>5d</w:t>
      </w:r>
      <w:r w:rsidRPr="00D630D1">
        <w:rPr>
          <w:rFonts w:ascii="Times New Roman" w:hAnsi="宋体" w:cs="Times New Roman"/>
          <w:kern w:val="2"/>
        </w:rPr>
        <w:t>。本项目洗井采用清水，</w:t>
      </w:r>
      <w:r w:rsidR="00D26A12">
        <w:rPr>
          <w:rFonts w:ascii="Times New Roman" w:hAnsi="宋体" w:cs="Times New Roman" w:hint="eastAsia"/>
          <w:kern w:val="2"/>
        </w:rPr>
        <w:t>单井</w:t>
      </w:r>
      <w:r w:rsidR="00D26A12" w:rsidRPr="00D630D1">
        <w:rPr>
          <w:rFonts w:ascii="Times New Roman" w:hAnsi="宋体" w:cs="Times New Roman"/>
          <w:kern w:val="2"/>
        </w:rPr>
        <w:t>洗井废水产生约</w:t>
      </w:r>
      <w:r w:rsidR="00D26A12" w:rsidRPr="00D630D1">
        <w:rPr>
          <w:rFonts w:ascii="Times New Roman" w:cs="Times New Roman"/>
          <w:kern w:val="2"/>
        </w:rPr>
        <w:t>100m</w:t>
      </w:r>
      <w:r w:rsidR="00D26A12" w:rsidRPr="00D630D1">
        <w:rPr>
          <w:rFonts w:ascii="Times New Roman" w:cs="Times New Roman"/>
          <w:kern w:val="2"/>
          <w:vertAlign w:val="superscript"/>
        </w:rPr>
        <w:t>3</w:t>
      </w:r>
      <w:r w:rsidR="00D26A12">
        <w:rPr>
          <w:rFonts w:ascii="Times New Roman" w:hAnsi="宋体" w:cs="Times New Roman" w:hint="eastAsia"/>
          <w:kern w:val="2"/>
        </w:rPr>
        <w:t>，</w:t>
      </w:r>
      <w:r w:rsidR="00D26A12" w:rsidRPr="00D26A12">
        <w:rPr>
          <w:rFonts w:ascii="Times New Roman" w:hAnsi="宋体" w:cs="Times New Roman" w:hint="eastAsia"/>
          <w:kern w:val="2"/>
        </w:rPr>
        <w:t>普陆页</w:t>
      </w:r>
      <w:r w:rsidR="00D26A12" w:rsidRPr="00D26A12">
        <w:rPr>
          <w:rFonts w:ascii="Times New Roman" w:hAnsi="宋体" w:cs="Times New Roman" w:hint="eastAsia"/>
          <w:kern w:val="2"/>
        </w:rPr>
        <w:t>1-1~6</w:t>
      </w:r>
      <w:r w:rsidR="00D26A12">
        <w:rPr>
          <w:rFonts w:ascii="Times New Roman" w:hAnsi="宋体" w:cs="Times New Roman" w:hint="eastAsia"/>
          <w:kern w:val="2"/>
        </w:rPr>
        <w:t>井总共产生</w:t>
      </w:r>
      <w:r w:rsidR="00D26A12">
        <w:rPr>
          <w:rFonts w:ascii="Times New Roman" w:hAnsi="宋体" w:cs="Times New Roman"/>
          <w:kern w:val="2"/>
        </w:rPr>
        <w:t>洗井废水</w:t>
      </w:r>
      <w:r w:rsidR="00D26A12" w:rsidRPr="00D630D1">
        <w:rPr>
          <w:rFonts w:ascii="Times New Roman" w:hAnsi="宋体" w:cs="Times New Roman"/>
          <w:kern w:val="2"/>
        </w:rPr>
        <w:t>约</w:t>
      </w:r>
      <w:r w:rsidR="00D26A12">
        <w:rPr>
          <w:rFonts w:ascii="Times New Roman" w:cs="Times New Roman" w:hint="eastAsia"/>
          <w:kern w:val="2"/>
        </w:rPr>
        <w:t>6</w:t>
      </w:r>
      <w:r w:rsidR="00D26A12" w:rsidRPr="00D630D1">
        <w:rPr>
          <w:rFonts w:ascii="Times New Roman" w:cs="Times New Roman"/>
          <w:kern w:val="2"/>
        </w:rPr>
        <w:t>00m</w:t>
      </w:r>
      <w:r w:rsidR="00D26A12" w:rsidRPr="00D630D1">
        <w:rPr>
          <w:rFonts w:ascii="Times New Roman" w:cs="Times New Roman"/>
          <w:kern w:val="2"/>
          <w:vertAlign w:val="superscript"/>
        </w:rPr>
        <w:t>3</w:t>
      </w:r>
      <w:r w:rsidRPr="00D630D1">
        <w:rPr>
          <w:rFonts w:ascii="Times New Roman" w:hAnsi="宋体" w:cs="Times New Roman"/>
          <w:kern w:val="2"/>
        </w:rPr>
        <w:t>。</w:t>
      </w:r>
    </w:p>
    <w:p w:rsidR="00F64138" w:rsidRPr="00D630D1" w:rsidRDefault="00775840" w:rsidP="00775840">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t>压裂废水和洗井废水</w:t>
      </w:r>
      <w:r w:rsidRPr="00D630D1">
        <w:rPr>
          <w:rFonts w:ascii="Times New Roman" w:hAnsi="宋体" w:cs="Times New Roman" w:hint="eastAsia"/>
          <w:kern w:val="2"/>
        </w:rPr>
        <w:t>部分</w:t>
      </w:r>
      <w:r w:rsidRPr="00D630D1">
        <w:rPr>
          <w:rFonts w:ascii="Times New Roman" w:hAnsi="宋体" w:cs="Times New Roman"/>
          <w:kern w:val="2"/>
        </w:rPr>
        <w:t>暂存</w:t>
      </w:r>
      <w:r w:rsidRPr="00D630D1">
        <w:rPr>
          <w:rFonts w:ascii="Times New Roman" w:hAnsi="宋体" w:cs="Times New Roman" w:hint="eastAsia"/>
          <w:kern w:val="2"/>
        </w:rPr>
        <w:t>于放喷池，剩余部分暂存于污水缓冲罐</w:t>
      </w:r>
      <w:r w:rsidRPr="00D630D1">
        <w:rPr>
          <w:rFonts w:ascii="Times New Roman" w:hAnsi="宋体" w:cs="Times New Roman"/>
          <w:kern w:val="2"/>
        </w:rPr>
        <w:t>，装车拉运至大湾</w:t>
      </w:r>
      <w:r w:rsidRPr="00D630D1">
        <w:rPr>
          <w:rFonts w:ascii="Times New Roman" w:hAnsi="宋体" w:cs="Times New Roman"/>
          <w:kern w:val="2"/>
        </w:rPr>
        <w:t>403</w:t>
      </w:r>
      <w:r w:rsidRPr="00D630D1">
        <w:rPr>
          <w:rFonts w:ascii="Times New Roman" w:hAnsi="宋体" w:cs="Times New Roman"/>
          <w:kern w:val="2"/>
        </w:rPr>
        <w:t>污水站处理达标后管输至毛开</w:t>
      </w:r>
      <w:r w:rsidRPr="00D630D1">
        <w:rPr>
          <w:rFonts w:ascii="Times New Roman" w:hAnsi="宋体" w:cs="Times New Roman"/>
          <w:kern w:val="2"/>
        </w:rPr>
        <w:t>1</w:t>
      </w:r>
      <w:r w:rsidRPr="00D630D1">
        <w:rPr>
          <w:rFonts w:ascii="Times New Roman" w:hAnsi="宋体" w:cs="Times New Roman"/>
          <w:kern w:val="2"/>
        </w:rPr>
        <w:t>井回注站回注</w:t>
      </w:r>
      <w:r w:rsidR="00F64138" w:rsidRPr="00D630D1">
        <w:rPr>
          <w:rFonts w:ascii="Times New Roman" w:hAnsi="宋体" w:cs="Times New Roman"/>
          <w:kern w:val="2"/>
        </w:rPr>
        <w:t>。</w:t>
      </w:r>
    </w:p>
    <w:p w:rsidR="00F64138" w:rsidRPr="00D630D1" w:rsidRDefault="00F64138" w:rsidP="00F64138">
      <w:pPr>
        <w:widowControl/>
        <w:topLinePunct w:val="0"/>
        <w:snapToGrid w:val="0"/>
        <w:spacing w:line="331" w:lineRule="auto"/>
        <w:ind w:firstLine="480"/>
        <w:rPr>
          <w:rFonts w:ascii="Times New Roman" w:hAnsi="宋体" w:cs="Times New Roman"/>
          <w:kern w:val="2"/>
        </w:rPr>
      </w:pPr>
      <w:r w:rsidRPr="00D630D1">
        <w:rPr>
          <w:rFonts w:ascii="Times New Roman" w:hAnsi="宋体" w:cs="Times New Roman"/>
          <w:kern w:val="2"/>
        </w:rPr>
        <w:t>根据普光气田钻井工程类比调查，作业废水污染物浓度情况见表</w:t>
      </w:r>
      <w:r w:rsidRPr="00D630D1">
        <w:rPr>
          <w:rFonts w:ascii="Times New Roman" w:cs="Times New Roman"/>
          <w:kern w:val="2"/>
        </w:rPr>
        <w:t>4</w:t>
      </w:r>
      <w:r w:rsidRPr="00D630D1">
        <w:rPr>
          <w:rFonts w:ascii="Times New Roman" w:cs="Times New Roman" w:hint="eastAsia"/>
          <w:kern w:val="2"/>
        </w:rPr>
        <w:t>.1-</w:t>
      </w:r>
      <w:r w:rsidR="0007009A">
        <w:rPr>
          <w:rFonts w:ascii="Times New Roman" w:cs="Times New Roman" w:hint="eastAsia"/>
          <w:kern w:val="2"/>
        </w:rPr>
        <w:t>8</w:t>
      </w:r>
      <w:r w:rsidRPr="00D630D1">
        <w:rPr>
          <w:rFonts w:ascii="Times New Roman" w:hAnsi="宋体" w:cs="Times New Roman"/>
          <w:kern w:val="2"/>
        </w:rPr>
        <w:t>。</w:t>
      </w:r>
    </w:p>
    <w:p w:rsidR="00F64138" w:rsidRPr="00D630D1" w:rsidRDefault="00F64138" w:rsidP="00F96E37">
      <w:pPr>
        <w:topLinePunct w:val="0"/>
        <w:snapToGrid w:val="0"/>
        <w:spacing w:beforeLines="50"/>
        <w:ind w:firstLineChars="0" w:firstLine="480"/>
        <w:jc w:val="center"/>
        <w:rPr>
          <w:rFonts w:ascii="Times New Roman" w:cs="Times New Roman"/>
          <w:b/>
          <w:kern w:val="2"/>
          <w:sz w:val="21"/>
          <w:szCs w:val="20"/>
        </w:rPr>
      </w:pPr>
      <w:bookmarkStart w:id="327" w:name="_Ref472452376"/>
      <w:r w:rsidRPr="00D630D1">
        <w:rPr>
          <w:rFonts w:ascii="Times New Roman" w:cs="Times New Roman"/>
          <w:b/>
          <w:kern w:val="2"/>
          <w:sz w:val="21"/>
          <w:szCs w:val="20"/>
        </w:rPr>
        <w:t>表</w:t>
      </w:r>
      <w:r w:rsidRPr="00D630D1">
        <w:rPr>
          <w:rFonts w:ascii="Times New Roman" w:cs="Times New Roman"/>
          <w:b/>
          <w:kern w:val="2"/>
          <w:sz w:val="21"/>
          <w:szCs w:val="20"/>
        </w:rPr>
        <w:t xml:space="preserve"> </w:t>
      </w:r>
      <w:bookmarkEnd w:id="327"/>
      <w:r w:rsidRPr="00D630D1">
        <w:rPr>
          <w:rFonts w:ascii="Times New Roman" w:cs="Times New Roman"/>
          <w:b/>
          <w:kern w:val="2"/>
          <w:sz w:val="21"/>
          <w:szCs w:val="20"/>
        </w:rPr>
        <w:t>4</w:t>
      </w:r>
      <w:r w:rsidRPr="00D630D1">
        <w:rPr>
          <w:rFonts w:ascii="Times New Roman" w:cs="Times New Roman" w:hint="eastAsia"/>
          <w:b/>
          <w:kern w:val="2"/>
          <w:sz w:val="21"/>
          <w:szCs w:val="20"/>
        </w:rPr>
        <w:t>.1-</w:t>
      </w:r>
      <w:r w:rsidR="0007009A">
        <w:rPr>
          <w:rFonts w:ascii="Times New Roman" w:cs="Times New Roman" w:hint="eastAsia"/>
          <w:b/>
          <w:kern w:val="2"/>
          <w:sz w:val="21"/>
          <w:szCs w:val="20"/>
        </w:rPr>
        <w:t>8</w:t>
      </w:r>
      <w:r w:rsidRPr="00D630D1">
        <w:rPr>
          <w:rFonts w:ascii="Times New Roman" w:cs="Times New Roman"/>
          <w:b/>
          <w:kern w:val="2"/>
          <w:sz w:val="21"/>
          <w:szCs w:val="20"/>
        </w:rPr>
        <w:t xml:space="preserve">  </w:t>
      </w:r>
      <w:r w:rsidRPr="00D630D1">
        <w:rPr>
          <w:rFonts w:ascii="Times New Roman" w:cs="Times New Roman" w:hint="eastAsia"/>
          <w:b/>
          <w:kern w:val="2"/>
          <w:sz w:val="21"/>
          <w:szCs w:val="20"/>
        </w:rPr>
        <w:t>压裂、洗井</w:t>
      </w:r>
      <w:r w:rsidRPr="00D630D1">
        <w:rPr>
          <w:rFonts w:ascii="Times New Roman" w:cs="Times New Roman"/>
          <w:b/>
          <w:kern w:val="2"/>
          <w:sz w:val="21"/>
          <w:szCs w:val="20"/>
        </w:rPr>
        <w:t>废水污染物浓度表（单位：</w:t>
      </w:r>
      <w:r w:rsidRPr="00D630D1">
        <w:rPr>
          <w:rFonts w:ascii="Times New Roman" w:cs="Times New Roman"/>
          <w:b/>
          <w:kern w:val="2"/>
          <w:sz w:val="21"/>
          <w:szCs w:val="20"/>
        </w:rPr>
        <w:t>mg/L</w:t>
      </w:r>
      <w:r w:rsidRPr="00D630D1">
        <w:rPr>
          <w:rFonts w:ascii="Times New Roman" w:cs="Times New Roman"/>
          <w:b/>
          <w:kern w:val="2"/>
          <w:sz w:val="21"/>
          <w:szCs w:val="20"/>
        </w:rPr>
        <w:t>）</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378"/>
        <w:gridCol w:w="1656"/>
        <w:gridCol w:w="1110"/>
        <w:gridCol w:w="1110"/>
        <w:gridCol w:w="1110"/>
        <w:gridCol w:w="973"/>
        <w:gridCol w:w="1185"/>
      </w:tblGrid>
      <w:tr w:rsidR="00F64138" w:rsidRPr="00D630D1" w:rsidTr="00F64138">
        <w:trPr>
          <w:trHeight w:val="270"/>
          <w:jc w:val="center"/>
        </w:trPr>
        <w:tc>
          <w:tcPr>
            <w:tcW w:w="1469"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污染物名称</w:t>
            </w:r>
          </w:p>
        </w:tc>
        <w:tc>
          <w:tcPr>
            <w:tcW w:w="1767"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pH</w:t>
            </w:r>
          </w:p>
        </w:tc>
        <w:tc>
          <w:tcPr>
            <w:tcW w:w="117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COD</w:t>
            </w:r>
          </w:p>
        </w:tc>
        <w:tc>
          <w:tcPr>
            <w:tcW w:w="117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SS</w:t>
            </w:r>
          </w:p>
        </w:tc>
        <w:tc>
          <w:tcPr>
            <w:tcW w:w="117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石油类</w:t>
            </w:r>
          </w:p>
        </w:tc>
        <w:tc>
          <w:tcPr>
            <w:tcW w:w="103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挥发酚</w:t>
            </w:r>
          </w:p>
        </w:tc>
        <w:tc>
          <w:tcPr>
            <w:tcW w:w="1259"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氯离子</w:t>
            </w:r>
          </w:p>
        </w:tc>
      </w:tr>
      <w:tr w:rsidR="00F64138" w:rsidRPr="00D630D1" w:rsidTr="00F64138">
        <w:trPr>
          <w:trHeight w:val="337"/>
          <w:jc w:val="center"/>
        </w:trPr>
        <w:tc>
          <w:tcPr>
            <w:tcW w:w="1469"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浓度</w:t>
            </w:r>
          </w:p>
        </w:tc>
        <w:tc>
          <w:tcPr>
            <w:tcW w:w="1767"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w:t>
            </w:r>
            <w:r w:rsidRPr="00D630D1">
              <w:rPr>
                <w:rFonts w:ascii="Times New Roman" w:hAnsi="宋体" w:cs="Times New Roman"/>
                <w:kern w:val="2"/>
                <w:sz w:val="21"/>
                <w:szCs w:val="21"/>
              </w:rPr>
              <w:t>～</w:t>
            </w:r>
            <w:r w:rsidRPr="00D630D1">
              <w:rPr>
                <w:rFonts w:ascii="Times New Roman" w:cs="Times New Roman"/>
                <w:kern w:val="2"/>
                <w:sz w:val="21"/>
                <w:szCs w:val="21"/>
              </w:rPr>
              <w:t>6</w:t>
            </w:r>
          </w:p>
        </w:tc>
        <w:tc>
          <w:tcPr>
            <w:tcW w:w="117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≤5000</w:t>
            </w:r>
          </w:p>
        </w:tc>
        <w:tc>
          <w:tcPr>
            <w:tcW w:w="117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≤7500</w:t>
            </w:r>
          </w:p>
        </w:tc>
        <w:tc>
          <w:tcPr>
            <w:tcW w:w="117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≤200</w:t>
            </w:r>
          </w:p>
        </w:tc>
        <w:tc>
          <w:tcPr>
            <w:tcW w:w="103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≤7.0</w:t>
            </w:r>
          </w:p>
        </w:tc>
        <w:tc>
          <w:tcPr>
            <w:tcW w:w="1259"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≤4000</w:t>
            </w:r>
          </w:p>
        </w:tc>
      </w:tr>
    </w:tbl>
    <w:p w:rsidR="00117C3D" w:rsidRPr="00D630D1" w:rsidRDefault="003A7CE8">
      <w:pPr>
        <w:pStyle w:val="3"/>
        <w:rPr>
          <w:rFonts w:eastAsia="宋体"/>
        </w:rPr>
      </w:pPr>
      <w:bookmarkStart w:id="328" w:name="_Toc12288513"/>
      <w:r w:rsidRPr="00D630D1">
        <w:rPr>
          <w:rFonts w:eastAsia="宋体"/>
        </w:rPr>
        <w:t>4</w:t>
      </w:r>
      <w:r w:rsidR="008B5B84" w:rsidRPr="00D630D1">
        <w:rPr>
          <w:rFonts w:eastAsia="宋体"/>
        </w:rPr>
        <w:t>.1.</w:t>
      </w:r>
      <w:r w:rsidR="002528C5" w:rsidRPr="00D630D1">
        <w:rPr>
          <w:rFonts w:eastAsia="宋体"/>
        </w:rPr>
        <w:t>6</w:t>
      </w:r>
      <w:r w:rsidR="008B5B84" w:rsidRPr="00D630D1">
        <w:rPr>
          <w:rFonts w:eastAsia="宋体"/>
        </w:rPr>
        <w:t xml:space="preserve"> </w:t>
      </w:r>
      <w:r w:rsidR="008B5B84" w:rsidRPr="00D630D1">
        <w:rPr>
          <w:rFonts w:eastAsia="宋体"/>
        </w:rPr>
        <w:t>噪声产生情况及治理措施</w:t>
      </w:r>
    </w:p>
    <w:p w:rsidR="00F64138" w:rsidRPr="00D630D1" w:rsidRDefault="008B5B84" w:rsidP="00F64138">
      <w:pPr>
        <w:pStyle w:val="afa"/>
        <w:ind w:firstLine="480"/>
      </w:pPr>
      <w:r w:rsidRPr="00D630D1">
        <w:t>噪声源主要来</w:t>
      </w:r>
      <w:r w:rsidR="00F64138" w:rsidRPr="00D630D1">
        <w:rPr>
          <w:rFonts w:hint="eastAsia"/>
        </w:rPr>
        <w:t>站场、管道</w:t>
      </w:r>
      <w:r w:rsidRPr="00D630D1">
        <w:t>施工作业机械，如挖掘机、电焊机、凿岩机等，其强度在</w:t>
      </w:r>
      <w:r w:rsidRPr="00D630D1">
        <w:t>85~105dB</w:t>
      </w:r>
      <w:r w:rsidRPr="00D630D1">
        <w:t>（</w:t>
      </w:r>
      <w:r w:rsidRPr="00D630D1">
        <w:t>A</w:t>
      </w:r>
      <w:r w:rsidRPr="00D630D1">
        <w:t>）</w:t>
      </w:r>
      <w:r w:rsidR="00F64138" w:rsidRPr="00D630D1">
        <w:rPr>
          <w:rFonts w:hint="eastAsia"/>
        </w:rPr>
        <w:t>；钻井施工</w:t>
      </w:r>
      <w:r w:rsidR="00F64138" w:rsidRPr="00D630D1">
        <w:t>过程中的噪声主要包括正常生产过程中的机械噪声、作业噪声其产生情况为：</w:t>
      </w:r>
    </w:p>
    <w:p w:rsidR="00F64138" w:rsidRPr="00D630D1" w:rsidRDefault="00F64138" w:rsidP="00F64138">
      <w:pPr>
        <w:pStyle w:val="afa"/>
        <w:ind w:firstLine="480"/>
      </w:pPr>
      <w:r w:rsidRPr="00D630D1">
        <w:t>机械噪声：包括钻机、振动筛、泥浆泵、离心机、空压机、增压机以及其他各种机械转动所产生的噪声；</w:t>
      </w:r>
    </w:p>
    <w:p w:rsidR="00F64138" w:rsidRPr="00D630D1" w:rsidRDefault="00F64138" w:rsidP="00F64138">
      <w:pPr>
        <w:pStyle w:val="afa"/>
        <w:ind w:firstLine="480"/>
      </w:pPr>
      <w:r w:rsidRPr="00D630D1">
        <w:t>作业噪声：包括固井作业、下套管、起下钻具、钻机气路控制系统操作时快速放气阀放气、跳钻时吊环与水龙头的撞击等所产生的噪声</w:t>
      </w:r>
      <w:r w:rsidRPr="00D630D1">
        <w:rPr>
          <w:rFonts w:hint="eastAsia"/>
        </w:rPr>
        <w:t>。</w:t>
      </w:r>
    </w:p>
    <w:p w:rsidR="00117C3D" w:rsidRPr="00D630D1" w:rsidRDefault="00F64138" w:rsidP="00F64138">
      <w:pPr>
        <w:pStyle w:val="afa"/>
        <w:ind w:firstLine="480"/>
      </w:pPr>
      <w:r w:rsidRPr="00D630D1">
        <w:rPr>
          <w:rFonts w:hint="eastAsia"/>
        </w:rPr>
        <w:t>同时</w:t>
      </w:r>
      <w:r w:rsidRPr="00D630D1">
        <w:t>完井工程中主要噪声为压裂噪声、测试放喷噪声</w:t>
      </w:r>
      <w:r w:rsidR="008B5B84" w:rsidRPr="00D630D1">
        <w:t>。</w:t>
      </w:r>
    </w:p>
    <w:p w:rsidR="00117C3D" w:rsidRPr="00D630D1" w:rsidRDefault="008B5B84" w:rsidP="003A7CE8">
      <w:pPr>
        <w:pStyle w:val="10"/>
        <w:rPr>
          <w:rFonts w:cs="Times New Roman"/>
        </w:rPr>
      </w:pPr>
      <w:r w:rsidRPr="00D630D1">
        <w:rPr>
          <w:rFonts w:cs="Times New Roman"/>
        </w:rPr>
        <w:lastRenderedPageBreak/>
        <w:t>表</w:t>
      </w:r>
      <w:bookmarkStart w:id="329" w:name="OLE_LINK231"/>
      <w:bookmarkStart w:id="330" w:name="OLE_LINK232"/>
      <w:r w:rsidR="003A7CE8" w:rsidRPr="00D630D1">
        <w:rPr>
          <w:rFonts w:cs="Times New Roman"/>
        </w:rPr>
        <w:t>4</w:t>
      </w:r>
      <w:r w:rsidRPr="00D630D1">
        <w:rPr>
          <w:rFonts w:cs="Times New Roman"/>
        </w:rPr>
        <w:t>.1-</w:t>
      </w:r>
      <w:bookmarkEnd w:id="329"/>
      <w:bookmarkEnd w:id="330"/>
      <w:r w:rsidR="0007009A">
        <w:rPr>
          <w:rFonts w:cs="Times New Roman" w:hint="eastAsia"/>
        </w:rPr>
        <w:t>9</w:t>
      </w:r>
      <w:r w:rsidR="003A7CE8" w:rsidRPr="00D630D1">
        <w:rPr>
          <w:rFonts w:cs="Times New Roman"/>
        </w:rPr>
        <w:t xml:space="preserve">  </w:t>
      </w:r>
      <w:r w:rsidRPr="00D630D1">
        <w:rPr>
          <w:rFonts w:cs="Times New Roman"/>
        </w:rPr>
        <w:t>管道工程施工机械噪声强度测试值</w:t>
      </w:r>
    </w:p>
    <w:tbl>
      <w:tblPr>
        <w:tblW w:w="5223" w:type="pct"/>
        <w:jc w:val="center"/>
        <w:tblCellMar>
          <w:left w:w="0" w:type="dxa"/>
          <w:right w:w="0" w:type="dxa"/>
        </w:tblCellMar>
        <w:tblLook w:val="04A0"/>
      </w:tblPr>
      <w:tblGrid>
        <w:gridCol w:w="832"/>
        <w:gridCol w:w="1595"/>
        <w:gridCol w:w="1572"/>
        <w:gridCol w:w="888"/>
        <w:gridCol w:w="1924"/>
        <w:gridCol w:w="1865"/>
      </w:tblGrid>
      <w:tr w:rsidR="002528C5" w:rsidRPr="00D630D1" w:rsidTr="00B60C73">
        <w:trPr>
          <w:trHeight w:val="18"/>
          <w:jc w:val="center"/>
        </w:trPr>
        <w:tc>
          <w:tcPr>
            <w:tcW w:w="479" w:type="pct"/>
            <w:tcBorders>
              <w:top w:val="single" w:sz="12" w:space="0" w:color="000000"/>
              <w:left w:val="nil"/>
              <w:bottom w:val="single" w:sz="4" w:space="0" w:color="000000"/>
              <w:right w:val="single" w:sz="4" w:space="0" w:color="000000"/>
            </w:tcBorders>
            <w:vAlign w:val="center"/>
          </w:tcPr>
          <w:p w:rsidR="00117C3D" w:rsidRPr="00D630D1" w:rsidRDefault="008B5B84" w:rsidP="00833289">
            <w:pPr>
              <w:pStyle w:val="aff2"/>
              <w:rPr>
                <w:b/>
                <w:bCs/>
              </w:rPr>
            </w:pPr>
            <w:r w:rsidRPr="00D630D1">
              <w:rPr>
                <w:b/>
                <w:bCs/>
              </w:rPr>
              <w:t>序号</w:t>
            </w:r>
          </w:p>
        </w:tc>
        <w:tc>
          <w:tcPr>
            <w:tcW w:w="919" w:type="pc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rPr>
                <w:b/>
                <w:bCs/>
              </w:rPr>
            </w:pPr>
            <w:r w:rsidRPr="00D630D1">
              <w:rPr>
                <w:b/>
                <w:bCs/>
              </w:rPr>
              <w:t>噪声源</w:t>
            </w:r>
          </w:p>
        </w:tc>
        <w:tc>
          <w:tcPr>
            <w:tcW w:w="906" w:type="pc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rPr>
                <w:b/>
                <w:bCs/>
              </w:rPr>
            </w:pPr>
            <w:r w:rsidRPr="00D630D1">
              <w:rPr>
                <w:b/>
                <w:bCs/>
              </w:rPr>
              <w:t>噪声强度</w:t>
            </w:r>
            <w:r w:rsidRPr="00D630D1">
              <w:rPr>
                <w:b/>
                <w:bCs/>
              </w:rPr>
              <w:t>dB(A)</w:t>
            </w:r>
          </w:p>
        </w:tc>
        <w:tc>
          <w:tcPr>
            <w:tcW w:w="512" w:type="pc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rPr>
                <w:b/>
                <w:bCs/>
              </w:rPr>
            </w:pPr>
            <w:r w:rsidRPr="00D630D1">
              <w:rPr>
                <w:b/>
                <w:bCs/>
              </w:rPr>
              <w:t>序号</w:t>
            </w:r>
          </w:p>
        </w:tc>
        <w:tc>
          <w:tcPr>
            <w:tcW w:w="1109" w:type="pc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rPr>
                <w:b/>
                <w:bCs/>
              </w:rPr>
            </w:pPr>
            <w:r w:rsidRPr="00D630D1">
              <w:rPr>
                <w:b/>
                <w:bCs/>
              </w:rPr>
              <w:t>噪声源</w:t>
            </w:r>
          </w:p>
        </w:tc>
        <w:tc>
          <w:tcPr>
            <w:tcW w:w="1075" w:type="pct"/>
            <w:tcBorders>
              <w:top w:val="single" w:sz="12" w:space="0" w:color="000000"/>
              <w:left w:val="single" w:sz="4" w:space="0" w:color="000000"/>
              <w:bottom w:val="single" w:sz="4" w:space="0" w:color="000000"/>
              <w:right w:val="nil"/>
            </w:tcBorders>
            <w:vAlign w:val="center"/>
          </w:tcPr>
          <w:p w:rsidR="00117C3D" w:rsidRPr="00D630D1" w:rsidRDefault="008B5B84" w:rsidP="00833289">
            <w:pPr>
              <w:pStyle w:val="aff2"/>
              <w:rPr>
                <w:b/>
                <w:bCs/>
              </w:rPr>
            </w:pPr>
            <w:r w:rsidRPr="00D630D1">
              <w:rPr>
                <w:b/>
                <w:bCs/>
              </w:rPr>
              <w:t>噪声强度</w:t>
            </w:r>
            <w:r w:rsidRPr="00D630D1">
              <w:rPr>
                <w:b/>
                <w:bCs/>
              </w:rPr>
              <w:t>dB(A)</w:t>
            </w:r>
          </w:p>
        </w:tc>
      </w:tr>
      <w:tr w:rsidR="002528C5" w:rsidRPr="00D630D1" w:rsidTr="00B60C73">
        <w:trPr>
          <w:trHeight w:val="18"/>
          <w:jc w:val="center"/>
        </w:trPr>
        <w:tc>
          <w:tcPr>
            <w:tcW w:w="479" w:type="pct"/>
            <w:tcBorders>
              <w:top w:val="single" w:sz="4" w:space="0" w:color="000000"/>
              <w:left w:val="nil"/>
              <w:bottom w:val="single" w:sz="4" w:space="0" w:color="000000"/>
              <w:right w:val="single" w:sz="4" w:space="0" w:color="000000"/>
            </w:tcBorders>
            <w:vAlign w:val="center"/>
          </w:tcPr>
          <w:p w:rsidR="00117C3D" w:rsidRPr="00D630D1" w:rsidRDefault="008B5B84" w:rsidP="00833289">
            <w:pPr>
              <w:pStyle w:val="aff2"/>
            </w:pPr>
            <w:r w:rsidRPr="00D630D1">
              <w:t>1</w:t>
            </w:r>
          </w:p>
        </w:tc>
        <w:tc>
          <w:tcPr>
            <w:tcW w:w="91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挖掘机</w:t>
            </w:r>
          </w:p>
        </w:tc>
        <w:tc>
          <w:tcPr>
            <w:tcW w:w="906"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92</w:t>
            </w:r>
          </w:p>
        </w:tc>
        <w:tc>
          <w:tcPr>
            <w:tcW w:w="512"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6</w:t>
            </w:r>
          </w:p>
        </w:tc>
        <w:tc>
          <w:tcPr>
            <w:tcW w:w="110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混凝土搅拌机</w:t>
            </w:r>
          </w:p>
        </w:tc>
        <w:tc>
          <w:tcPr>
            <w:tcW w:w="1075" w:type="pct"/>
            <w:tcBorders>
              <w:top w:val="single" w:sz="4" w:space="0" w:color="000000"/>
              <w:left w:val="single" w:sz="4" w:space="0" w:color="000000"/>
              <w:bottom w:val="single" w:sz="4" w:space="0" w:color="000000"/>
              <w:right w:val="nil"/>
            </w:tcBorders>
            <w:vAlign w:val="center"/>
          </w:tcPr>
          <w:p w:rsidR="00117C3D" w:rsidRPr="00D630D1" w:rsidRDefault="008B5B84" w:rsidP="00833289">
            <w:pPr>
              <w:pStyle w:val="aff2"/>
            </w:pPr>
            <w:r w:rsidRPr="00D630D1">
              <w:t>95</w:t>
            </w:r>
          </w:p>
        </w:tc>
      </w:tr>
      <w:tr w:rsidR="002528C5" w:rsidRPr="00D630D1" w:rsidTr="00B60C73">
        <w:trPr>
          <w:trHeight w:val="18"/>
          <w:jc w:val="center"/>
        </w:trPr>
        <w:tc>
          <w:tcPr>
            <w:tcW w:w="479" w:type="pct"/>
            <w:tcBorders>
              <w:top w:val="single" w:sz="4" w:space="0" w:color="000000"/>
              <w:left w:val="nil"/>
              <w:bottom w:val="single" w:sz="4" w:space="0" w:color="000000"/>
              <w:right w:val="single" w:sz="4" w:space="0" w:color="000000"/>
            </w:tcBorders>
            <w:vAlign w:val="center"/>
          </w:tcPr>
          <w:p w:rsidR="00117C3D" w:rsidRPr="00D630D1" w:rsidRDefault="008B5B84" w:rsidP="00833289">
            <w:pPr>
              <w:pStyle w:val="aff2"/>
            </w:pPr>
            <w:r w:rsidRPr="00D630D1">
              <w:t>2</w:t>
            </w:r>
          </w:p>
        </w:tc>
        <w:tc>
          <w:tcPr>
            <w:tcW w:w="91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吊管机</w:t>
            </w:r>
          </w:p>
        </w:tc>
        <w:tc>
          <w:tcPr>
            <w:tcW w:w="906"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88</w:t>
            </w:r>
          </w:p>
        </w:tc>
        <w:tc>
          <w:tcPr>
            <w:tcW w:w="512"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7</w:t>
            </w:r>
          </w:p>
        </w:tc>
        <w:tc>
          <w:tcPr>
            <w:tcW w:w="110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混凝土翻斗车</w:t>
            </w:r>
          </w:p>
        </w:tc>
        <w:tc>
          <w:tcPr>
            <w:tcW w:w="1075" w:type="pct"/>
            <w:tcBorders>
              <w:top w:val="single" w:sz="4" w:space="0" w:color="000000"/>
              <w:left w:val="single" w:sz="4" w:space="0" w:color="000000"/>
              <w:bottom w:val="single" w:sz="4" w:space="0" w:color="000000"/>
              <w:right w:val="nil"/>
            </w:tcBorders>
            <w:vAlign w:val="center"/>
          </w:tcPr>
          <w:p w:rsidR="00117C3D" w:rsidRPr="00D630D1" w:rsidRDefault="008B5B84" w:rsidP="00833289">
            <w:pPr>
              <w:pStyle w:val="aff2"/>
            </w:pPr>
            <w:r w:rsidRPr="00D630D1">
              <w:t>90</w:t>
            </w:r>
          </w:p>
        </w:tc>
      </w:tr>
      <w:tr w:rsidR="002528C5" w:rsidRPr="00D630D1" w:rsidTr="00B60C73">
        <w:trPr>
          <w:trHeight w:val="18"/>
          <w:jc w:val="center"/>
        </w:trPr>
        <w:tc>
          <w:tcPr>
            <w:tcW w:w="479" w:type="pct"/>
            <w:tcBorders>
              <w:top w:val="single" w:sz="4" w:space="0" w:color="000000"/>
              <w:left w:val="nil"/>
              <w:bottom w:val="single" w:sz="4" w:space="0" w:color="000000"/>
              <w:right w:val="single" w:sz="4" w:space="0" w:color="000000"/>
            </w:tcBorders>
            <w:vAlign w:val="center"/>
          </w:tcPr>
          <w:p w:rsidR="00117C3D" w:rsidRPr="00D630D1" w:rsidRDefault="008B5B84" w:rsidP="00833289">
            <w:pPr>
              <w:pStyle w:val="aff2"/>
            </w:pPr>
            <w:r w:rsidRPr="00D630D1">
              <w:t>3</w:t>
            </w:r>
          </w:p>
        </w:tc>
        <w:tc>
          <w:tcPr>
            <w:tcW w:w="91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电焊机</w:t>
            </w:r>
          </w:p>
        </w:tc>
        <w:tc>
          <w:tcPr>
            <w:tcW w:w="906"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85</w:t>
            </w:r>
          </w:p>
        </w:tc>
        <w:tc>
          <w:tcPr>
            <w:tcW w:w="512"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8</w:t>
            </w:r>
          </w:p>
        </w:tc>
        <w:tc>
          <w:tcPr>
            <w:tcW w:w="110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混凝土震动棒</w:t>
            </w:r>
          </w:p>
        </w:tc>
        <w:tc>
          <w:tcPr>
            <w:tcW w:w="1075" w:type="pct"/>
            <w:tcBorders>
              <w:top w:val="single" w:sz="4" w:space="0" w:color="000000"/>
              <w:left w:val="single" w:sz="4" w:space="0" w:color="000000"/>
              <w:bottom w:val="single" w:sz="4" w:space="0" w:color="000000"/>
              <w:right w:val="nil"/>
            </w:tcBorders>
            <w:vAlign w:val="center"/>
          </w:tcPr>
          <w:p w:rsidR="00117C3D" w:rsidRPr="00D630D1" w:rsidRDefault="008B5B84" w:rsidP="00833289">
            <w:pPr>
              <w:pStyle w:val="aff2"/>
            </w:pPr>
            <w:r w:rsidRPr="00D630D1">
              <w:t>105</w:t>
            </w:r>
          </w:p>
        </w:tc>
      </w:tr>
      <w:tr w:rsidR="002528C5" w:rsidRPr="00D630D1" w:rsidTr="00B60C73">
        <w:trPr>
          <w:trHeight w:val="18"/>
          <w:jc w:val="center"/>
        </w:trPr>
        <w:tc>
          <w:tcPr>
            <w:tcW w:w="479" w:type="pct"/>
            <w:tcBorders>
              <w:top w:val="single" w:sz="4" w:space="0" w:color="000000"/>
              <w:left w:val="nil"/>
              <w:bottom w:val="single" w:sz="4" w:space="0" w:color="000000"/>
              <w:right w:val="single" w:sz="4" w:space="0" w:color="000000"/>
            </w:tcBorders>
            <w:vAlign w:val="center"/>
          </w:tcPr>
          <w:p w:rsidR="00117C3D" w:rsidRPr="00D630D1" w:rsidRDefault="008B5B84" w:rsidP="00833289">
            <w:pPr>
              <w:pStyle w:val="aff2"/>
            </w:pPr>
            <w:r w:rsidRPr="00D630D1">
              <w:t>4</w:t>
            </w:r>
          </w:p>
        </w:tc>
        <w:tc>
          <w:tcPr>
            <w:tcW w:w="91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定向钻机</w:t>
            </w:r>
          </w:p>
        </w:tc>
        <w:tc>
          <w:tcPr>
            <w:tcW w:w="906"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90</w:t>
            </w:r>
          </w:p>
        </w:tc>
        <w:tc>
          <w:tcPr>
            <w:tcW w:w="512"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9</w:t>
            </w:r>
          </w:p>
        </w:tc>
        <w:tc>
          <w:tcPr>
            <w:tcW w:w="110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833289">
            <w:pPr>
              <w:pStyle w:val="aff2"/>
            </w:pPr>
            <w:r w:rsidRPr="00D630D1">
              <w:t>切割机</w:t>
            </w:r>
          </w:p>
        </w:tc>
        <w:tc>
          <w:tcPr>
            <w:tcW w:w="1075" w:type="pct"/>
            <w:tcBorders>
              <w:top w:val="single" w:sz="4" w:space="0" w:color="000000"/>
              <w:left w:val="single" w:sz="4" w:space="0" w:color="000000"/>
              <w:bottom w:val="single" w:sz="4" w:space="0" w:color="000000"/>
              <w:right w:val="nil"/>
            </w:tcBorders>
            <w:vAlign w:val="center"/>
          </w:tcPr>
          <w:p w:rsidR="00117C3D" w:rsidRPr="00D630D1" w:rsidRDefault="008B5B84" w:rsidP="00833289">
            <w:pPr>
              <w:pStyle w:val="aff2"/>
            </w:pPr>
            <w:r w:rsidRPr="00D630D1">
              <w:t>95</w:t>
            </w:r>
          </w:p>
        </w:tc>
      </w:tr>
      <w:tr w:rsidR="002528C5" w:rsidRPr="00D630D1" w:rsidTr="00B60C73">
        <w:trPr>
          <w:trHeight w:val="18"/>
          <w:jc w:val="center"/>
        </w:trPr>
        <w:tc>
          <w:tcPr>
            <w:tcW w:w="479" w:type="pct"/>
            <w:tcBorders>
              <w:top w:val="single" w:sz="4" w:space="0" w:color="000000"/>
              <w:left w:val="nil"/>
              <w:bottom w:val="single" w:sz="12" w:space="0" w:color="000000"/>
              <w:right w:val="single" w:sz="4" w:space="0" w:color="000000"/>
            </w:tcBorders>
            <w:vAlign w:val="center"/>
          </w:tcPr>
          <w:p w:rsidR="00117C3D" w:rsidRPr="00D630D1" w:rsidRDefault="008B5B84" w:rsidP="00833289">
            <w:pPr>
              <w:pStyle w:val="aff2"/>
            </w:pPr>
            <w:r w:rsidRPr="00D630D1">
              <w:t>5</w:t>
            </w:r>
          </w:p>
        </w:tc>
        <w:tc>
          <w:tcPr>
            <w:tcW w:w="919" w:type="pct"/>
            <w:tcBorders>
              <w:top w:val="single" w:sz="4" w:space="0" w:color="000000"/>
              <w:left w:val="single" w:sz="4" w:space="0" w:color="000000"/>
              <w:bottom w:val="single" w:sz="12" w:space="0" w:color="000000"/>
              <w:right w:val="single" w:sz="4" w:space="0" w:color="000000"/>
            </w:tcBorders>
            <w:vAlign w:val="center"/>
          </w:tcPr>
          <w:p w:rsidR="00117C3D" w:rsidRPr="00D630D1" w:rsidRDefault="008B5B84" w:rsidP="00833289">
            <w:pPr>
              <w:pStyle w:val="aff2"/>
            </w:pPr>
            <w:r w:rsidRPr="00D630D1">
              <w:t>推土机</w:t>
            </w:r>
          </w:p>
        </w:tc>
        <w:tc>
          <w:tcPr>
            <w:tcW w:w="906" w:type="pct"/>
            <w:tcBorders>
              <w:top w:val="single" w:sz="4" w:space="0" w:color="000000"/>
              <w:left w:val="single" w:sz="4" w:space="0" w:color="000000"/>
              <w:bottom w:val="single" w:sz="12" w:space="0" w:color="000000"/>
              <w:right w:val="single" w:sz="4" w:space="0" w:color="000000"/>
            </w:tcBorders>
            <w:vAlign w:val="center"/>
          </w:tcPr>
          <w:p w:rsidR="00117C3D" w:rsidRPr="00D630D1" w:rsidRDefault="008B5B84" w:rsidP="00833289">
            <w:pPr>
              <w:pStyle w:val="aff2"/>
            </w:pPr>
            <w:r w:rsidRPr="00D630D1">
              <w:t>90</w:t>
            </w:r>
          </w:p>
        </w:tc>
        <w:tc>
          <w:tcPr>
            <w:tcW w:w="512" w:type="pct"/>
            <w:tcBorders>
              <w:top w:val="single" w:sz="4" w:space="0" w:color="000000"/>
              <w:left w:val="single" w:sz="4" w:space="0" w:color="000000"/>
              <w:bottom w:val="single" w:sz="12" w:space="0" w:color="000000"/>
              <w:right w:val="single" w:sz="4" w:space="0" w:color="000000"/>
            </w:tcBorders>
            <w:vAlign w:val="center"/>
          </w:tcPr>
          <w:p w:rsidR="00117C3D" w:rsidRPr="00D630D1" w:rsidRDefault="008B5B84" w:rsidP="00833289">
            <w:pPr>
              <w:pStyle w:val="aff2"/>
            </w:pPr>
            <w:r w:rsidRPr="00D630D1">
              <w:t>10</w:t>
            </w:r>
          </w:p>
        </w:tc>
        <w:tc>
          <w:tcPr>
            <w:tcW w:w="1109" w:type="pct"/>
            <w:tcBorders>
              <w:top w:val="single" w:sz="4" w:space="0" w:color="000000"/>
              <w:left w:val="single" w:sz="4" w:space="0" w:color="000000"/>
              <w:bottom w:val="single" w:sz="12" w:space="0" w:color="000000"/>
              <w:right w:val="single" w:sz="4" w:space="0" w:color="000000"/>
            </w:tcBorders>
            <w:vAlign w:val="center"/>
          </w:tcPr>
          <w:p w:rsidR="00117C3D" w:rsidRPr="00D630D1" w:rsidRDefault="008B5B84" w:rsidP="00833289">
            <w:pPr>
              <w:pStyle w:val="aff2"/>
            </w:pPr>
            <w:r w:rsidRPr="00D630D1">
              <w:t>柴油发电机</w:t>
            </w:r>
          </w:p>
        </w:tc>
        <w:tc>
          <w:tcPr>
            <w:tcW w:w="1075" w:type="pct"/>
            <w:tcBorders>
              <w:top w:val="single" w:sz="4" w:space="0" w:color="000000"/>
              <w:left w:val="single" w:sz="4" w:space="0" w:color="000000"/>
              <w:bottom w:val="single" w:sz="12" w:space="0" w:color="000000"/>
              <w:right w:val="nil"/>
            </w:tcBorders>
            <w:vAlign w:val="center"/>
          </w:tcPr>
          <w:p w:rsidR="00117C3D" w:rsidRPr="00D630D1" w:rsidRDefault="008B5B84" w:rsidP="00833289">
            <w:pPr>
              <w:pStyle w:val="aff2"/>
            </w:pPr>
            <w:r w:rsidRPr="00D630D1">
              <w:t>100</w:t>
            </w:r>
          </w:p>
        </w:tc>
      </w:tr>
    </w:tbl>
    <w:p w:rsidR="00F64138" w:rsidRPr="00D630D1" w:rsidRDefault="00F64138" w:rsidP="00F96E37">
      <w:pPr>
        <w:topLinePunct w:val="0"/>
        <w:snapToGrid w:val="0"/>
        <w:spacing w:beforeLines="50"/>
        <w:ind w:firstLineChars="0" w:firstLine="480"/>
        <w:jc w:val="center"/>
        <w:rPr>
          <w:rFonts w:ascii="Times New Roman" w:cs="Times New Roman"/>
          <w:b/>
          <w:kern w:val="2"/>
          <w:sz w:val="21"/>
          <w:szCs w:val="20"/>
        </w:rPr>
      </w:pPr>
      <w:bookmarkStart w:id="331" w:name="_Ref471280915"/>
      <w:r w:rsidRPr="00D630D1">
        <w:rPr>
          <w:rFonts w:ascii="Times New Roman" w:cs="Times New Roman"/>
          <w:b/>
          <w:kern w:val="2"/>
          <w:sz w:val="21"/>
          <w:szCs w:val="20"/>
        </w:rPr>
        <w:t>表</w:t>
      </w:r>
      <w:bookmarkStart w:id="332" w:name="OLE_LINK253"/>
      <w:bookmarkStart w:id="333" w:name="OLE_LINK254"/>
      <w:bookmarkEnd w:id="331"/>
      <w:r w:rsidRPr="00D630D1">
        <w:rPr>
          <w:rFonts w:ascii="Times New Roman" w:cs="Times New Roman"/>
          <w:b/>
          <w:sz w:val="21"/>
          <w:szCs w:val="21"/>
        </w:rPr>
        <w:t>4.1-10</w:t>
      </w:r>
      <w:bookmarkEnd w:id="332"/>
      <w:bookmarkEnd w:id="333"/>
      <w:r w:rsidRPr="00D630D1">
        <w:rPr>
          <w:rFonts w:ascii="Times New Roman" w:cs="Times New Roman"/>
          <w:b/>
          <w:kern w:val="2"/>
          <w:sz w:val="21"/>
          <w:szCs w:val="20"/>
        </w:rPr>
        <w:t xml:space="preserve">  </w:t>
      </w:r>
      <w:bookmarkStart w:id="334" w:name="OLE_LINK81"/>
      <w:bookmarkStart w:id="335" w:name="OLE_LINK82"/>
      <w:r w:rsidRPr="00D630D1">
        <w:rPr>
          <w:rFonts w:ascii="Times New Roman" w:cs="Times New Roman"/>
          <w:b/>
          <w:kern w:val="2"/>
          <w:sz w:val="21"/>
          <w:szCs w:val="20"/>
        </w:rPr>
        <w:t>钻井、压裂、测试放喷噪声</w:t>
      </w:r>
      <w:bookmarkEnd w:id="334"/>
      <w:bookmarkEnd w:id="335"/>
      <w:r w:rsidRPr="00D630D1">
        <w:rPr>
          <w:rFonts w:ascii="Times New Roman" w:cs="Times New Roman"/>
          <w:b/>
          <w:kern w:val="2"/>
          <w:sz w:val="21"/>
          <w:szCs w:val="20"/>
        </w:rPr>
        <w:t>产生情况一览表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6" w:type="dxa"/>
          <w:right w:w="6" w:type="dxa"/>
        </w:tblCellMar>
        <w:tblLook w:val="0000"/>
      </w:tblPr>
      <w:tblGrid>
        <w:gridCol w:w="871"/>
        <w:gridCol w:w="1350"/>
        <w:gridCol w:w="1244"/>
        <w:gridCol w:w="1071"/>
        <w:gridCol w:w="2608"/>
        <w:gridCol w:w="1174"/>
      </w:tblGrid>
      <w:tr w:rsidR="00F64138" w:rsidRPr="00D630D1" w:rsidTr="00F64138">
        <w:trPr>
          <w:trHeight w:val="340"/>
          <w:tblHeader/>
          <w:jc w:val="center"/>
        </w:trPr>
        <w:tc>
          <w:tcPr>
            <w:tcW w:w="852"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声源名称</w:t>
            </w:r>
          </w:p>
        </w:tc>
        <w:tc>
          <w:tcPr>
            <w:tcW w:w="132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数量（台）</w:t>
            </w:r>
          </w:p>
        </w:tc>
        <w:tc>
          <w:tcPr>
            <w:tcW w:w="1217"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声级</w:t>
            </w:r>
            <w:r w:rsidRPr="00D630D1">
              <w:rPr>
                <w:rFonts w:ascii="Times New Roman" w:cs="Times New Roman"/>
                <w:b/>
                <w:kern w:val="2"/>
                <w:sz w:val="21"/>
                <w:szCs w:val="21"/>
              </w:rPr>
              <w:t>dB</w:t>
            </w:r>
            <w:r w:rsidRPr="00D630D1">
              <w:rPr>
                <w:rFonts w:ascii="Times New Roman" w:hAnsi="宋体" w:cs="Times New Roman"/>
                <w:b/>
                <w:kern w:val="2"/>
                <w:sz w:val="21"/>
                <w:szCs w:val="21"/>
              </w:rPr>
              <w:t>（</w:t>
            </w:r>
            <w:r w:rsidRPr="00D630D1">
              <w:rPr>
                <w:rFonts w:ascii="Times New Roman" w:cs="Times New Roman"/>
                <w:b/>
                <w:kern w:val="2"/>
                <w:sz w:val="21"/>
                <w:szCs w:val="21"/>
              </w:rPr>
              <w:t>A</w:t>
            </w:r>
            <w:r w:rsidRPr="00D630D1">
              <w:rPr>
                <w:rFonts w:ascii="Times New Roman" w:hAnsi="宋体" w:cs="Times New Roman"/>
                <w:b/>
                <w:kern w:val="2"/>
                <w:sz w:val="21"/>
                <w:szCs w:val="21"/>
              </w:rPr>
              <w:t>）</w:t>
            </w:r>
          </w:p>
        </w:tc>
        <w:tc>
          <w:tcPr>
            <w:tcW w:w="10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声源高度（</w:t>
            </w:r>
            <w:r w:rsidRPr="00D630D1">
              <w:rPr>
                <w:rFonts w:ascii="Times New Roman" w:cs="Times New Roman"/>
                <w:b/>
                <w:kern w:val="2"/>
                <w:sz w:val="21"/>
                <w:szCs w:val="21"/>
              </w:rPr>
              <w:t>m</w:t>
            </w:r>
            <w:r w:rsidRPr="00D630D1">
              <w:rPr>
                <w:rFonts w:ascii="Times New Roman" w:hAnsi="宋体" w:cs="Times New Roman"/>
                <w:b/>
                <w:kern w:val="2"/>
                <w:sz w:val="21"/>
                <w:szCs w:val="21"/>
              </w:rPr>
              <w:t>）</w:t>
            </w:r>
          </w:p>
        </w:tc>
        <w:tc>
          <w:tcPr>
            <w:tcW w:w="255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运行时段</w:t>
            </w:r>
          </w:p>
        </w:tc>
        <w:tc>
          <w:tcPr>
            <w:tcW w:w="11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备注</w:t>
            </w:r>
          </w:p>
        </w:tc>
      </w:tr>
      <w:tr w:rsidR="00F64138" w:rsidRPr="00D630D1" w:rsidTr="00F64138">
        <w:trPr>
          <w:trHeight w:val="340"/>
          <w:jc w:val="center"/>
        </w:trPr>
        <w:tc>
          <w:tcPr>
            <w:tcW w:w="852"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钻机</w:t>
            </w:r>
          </w:p>
        </w:tc>
        <w:tc>
          <w:tcPr>
            <w:tcW w:w="132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p>
        </w:tc>
        <w:tc>
          <w:tcPr>
            <w:tcW w:w="1217"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95</w:t>
            </w:r>
          </w:p>
        </w:tc>
        <w:tc>
          <w:tcPr>
            <w:tcW w:w="10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w:t>
            </w:r>
          </w:p>
        </w:tc>
        <w:tc>
          <w:tcPr>
            <w:tcW w:w="255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气体钻、常规钻</w:t>
            </w:r>
          </w:p>
        </w:tc>
        <w:tc>
          <w:tcPr>
            <w:tcW w:w="11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单台声源</w:t>
            </w:r>
          </w:p>
        </w:tc>
      </w:tr>
      <w:tr w:rsidR="00F64138" w:rsidRPr="00D630D1" w:rsidTr="00F64138">
        <w:trPr>
          <w:trHeight w:val="340"/>
          <w:jc w:val="center"/>
        </w:trPr>
        <w:tc>
          <w:tcPr>
            <w:tcW w:w="852"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空压机</w:t>
            </w:r>
          </w:p>
        </w:tc>
        <w:tc>
          <w:tcPr>
            <w:tcW w:w="132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w:t>
            </w:r>
            <w:r w:rsidRPr="00D630D1">
              <w:rPr>
                <w:rFonts w:ascii="Times New Roman" w:hAnsi="宋体" w:cs="Times New Roman"/>
                <w:kern w:val="2"/>
                <w:sz w:val="21"/>
                <w:szCs w:val="21"/>
              </w:rPr>
              <w:t>（</w:t>
            </w:r>
            <w:r w:rsidRPr="00D630D1">
              <w:rPr>
                <w:rFonts w:ascii="Times New Roman" w:cs="Times New Roman"/>
                <w:kern w:val="2"/>
                <w:sz w:val="21"/>
                <w:szCs w:val="21"/>
              </w:rPr>
              <w:t>6</w:t>
            </w:r>
            <w:r w:rsidRPr="00D630D1">
              <w:rPr>
                <w:rFonts w:ascii="Times New Roman" w:hAnsi="宋体" w:cs="Times New Roman"/>
                <w:kern w:val="2"/>
                <w:sz w:val="21"/>
                <w:szCs w:val="21"/>
              </w:rPr>
              <w:t>用</w:t>
            </w:r>
            <w:r w:rsidRPr="00D630D1">
              <w:rPr>
                <w:rFonts w:ascii="Times New Roman" w:cs="Times New Roman"/>
                <w:kern w:val="2"/>
                <w:sz w:val="21"/>
                <w:szCs w:val="21"/>
              </w:rPr>
              <w:t>2</w:t>
            </w:r>
            <w:r w:rsidRPr="00D630D1">
              <w:rPr>
                <w:rFonts w:ascii="Times New Roman" w:hAnsi="宋体" w:cs="Times New Roman"/>
                <w:kern w:val="2"/>
                <w:sz w:val="21"/>
                <w:szCs w:val="21"/>
              </w:rPr>
              <w:t>备）</w:t>
            </w:r>
          </w:p>
        </w:tc>
        <w:tc>
          <w:tcPr>
            <w:tcW w:w="1217"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90</w:t>
            </w:r>
            <w:r w:rsidRPr="00D630D1">
              <w:rPr>
                <w:rFonts w:ascii="Times New Roman" w:hAnsi="宋体" w:cs="Times New Roman"/>
                <w:kern w:val="2"/>
                <w:sz w:val="21"/>
                <w:szCs w:val="21"/>
              </w:rPr>
              <w:t>～</w:t>
            </w:r>
            <w:r w:rsidRPr="00D630D1">
              <w:rPr>
                <w:rFonts w:ascii="Times New Roman" w:cs="Times New Roman"/>
                <w:kern w:val="2"/>
                <w:sz w:val="21"/>
                <w:szCs w:val="21"/>
              </w:rPr>
              <w:t>95</w:t>
            </w:r>
          </w:p>
        </w:tc>
        <w:tc>
          <w:tcPr>
            <w:tcW w:w="10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255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气体钻（钻井时间</w:t>
            </w:r>
            <w:r w:rsidRPr="00D630D1">
              <w:rPr>
                <w:rFonts w:ascii="Times New Roman" w:cs="Times New Roman" w:hint="eastAsia"/>
                <w:kern w:val="2"/>
                <w:sz w:val="21"/>
                <w:szCs w:val="21"/>
              </w:rPr>
              <w:t>43</w:t>
            </w:r>
            <w:r w:rsidRPr="00D630D1">
              <w:rPr>
                <w:rFonts w:ascii="Times New Roman" w:cs="Times New Roman"/>
                <w:kern w:val="2"/>
                <w:sz w:val="21"/>
                <w:szCs w:val="21"/>
              </w:rPr>
              <w:t>d</w:t>
            </w:r>
            <w:r w:rsidRPr="00D630D1">
              <w:rPr>
                <w:rFonts w:ascii="Times New Roman" w:hAnsi="宋体" w:cs="Times New Roman"/>
                <w:kern w:val="2"/>
                <w:sz w:val="21"/>
                <w:szCs w:val="21"/>
              </w:rPr>
              <w:t>）</w:t>
            </w:r>
          </w:p>
        </w:tc>
        <w:tc>
          <w:tcPr>
            <w:tcW w:w="11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单台声源</w:t>
            </w:r>
          </w:p>
        </w:tc>
      </w:tr>
      <w:tr w:rsidR="00F64138" w:rsidRPr="00D630D1" w:rsidTr="00F64138">
        <w:trPr>
          <w:trHeight w:val="340"/>
          <w:jc w:val="center"/>
        </w:trPr>
        <w:tc>
          <w:tcPr>
            <w:tcW w:w="852"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增压机</w:t>
            </w:r>
          </w:p>
        </w:tc>
        <w:tc>
          <w:tcPr>
            <w:tcW w:w="132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w:t>
            </w:r>
          </w:p>
        </w:tc>
        <w:tc>
          <w:tcPr>
            <w:tcW w:w="1217"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90</w:t>
            </w:r>
            <w:r w:rsidRPr="00D630D1">
              <w:rPr>
                <w:rFonts w:ascii="Times New Roman" w:hAnsi="宋体" w:cs="Times New Roman"/>
                <w:kern w:val="2"/>
                <w:sz w:val="21"/>
                <w:szCs w:val="21"/>
              </w:rPr>
              <w:t>～</w:t>
            </w:r>
            <w:r w:rsidRPr="00D630D1">
              <w:rPr>
                <w:rFonts w:ascii="Times New Roman" w:cs="Times New Roman"/>
                <w:kern w:val="2"/>
                <w:sz w:val="21"/>
                <w:szCs w:val="21"/>
              </w:rPr>
              <w:t>95</w:t>
            </w:r>
          </w:p>
        </w:tc>
        <w:tc>
          <w:tcPr>
            <w:tcW w:w="10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255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气体钻（钻井时间</w:t>
            </w:r>
            <w:r w:rsidRPr="00D630D1">
              <w:rPr>
                <w:rFonts w:ascii="Times New Roman" w:cs="Times New Roman" w:hint="eastAsia"/>
                <w:kern w:val="2"/>
                <w:sz w:val="21"/>
                <w:szCs w:val="21"/>
              </w:rPr>
              <w:t>43</w:t>
            </w:r>
            <w:r w:rsidRPr="00D630D1">
              <w:rPr>
                <w:rFonts w:ascii="Times New Roman" w:cs="Times New Roman"/>
                <w:kern w:val="2"/>
                <w:sz w:val="21"/>
                <w:szCs w:val="21"/>
              </w:rPr>
              <w:t>d</w:t>
            </w:r>
            <w:r w:rsidRPr="00D630D1">
              <w:rPr>
                <w:rFonts w:ascii="Times New Roman" w:hAnsi="宋体" w:cs="Times New Roman"/>
                <w:kern w:val="2"/>
                <w:sz w:val="21"/>
                <w:szCs w:val="21"/>
              </w:rPr>
              <w:t>）</w:t>
            </w:r>
          </w:p>
        </w:tc>
        <w:tc>
          <w:tcPr>
            <w:tcW w:w="11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单台声源</w:t>
            </w:r>
          </w:p>
        </w:tc>
      </w:tr>
      <w:tr w:rsidR="00F64138" w:rsidRPr="00D630D1" w:rsidTr="00F64138">
        <w:trPr>
          <w:trHeight w:val="340"/>
          <w:jc w:val="center"/>
        </w:trPr>
        <w:tc>
          <w:tcPr>
            <w:tcW w:w="852"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泥浆泵</w:t>
            </w:r>
          </w:p>
        </w:tc>
        <w:tc>
          <w:tcPr>
            <w:tcW w:w="132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w:t>
            </w:r>
          </w:p>
        </w:tc>
        <w:tc>
          <w:tcPr>
            <w:tcW w:w="1217"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95</w:t>
            </w:r>
          </w:p>
        </w:tc>
        <w:tc>
          <w:tcPr>
            <w:tcW w:w="10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255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常规钻（钻井时间</w:t>
            </w:r>
            <w:r w:rsidRPr="00D630D1">
              <w:rPr>
                <w:rFonts w:ascii="Times New Roman" w:cs="Times New Roman" w:hint="eastAsia"/>
                <w:kern w:val="2"/>
                <w:sz w:val="21"/>
                <w:szCs w:val="21"/>
              </w:rPr>
              <w:t>87</w:t>
            </w:r>
            <w:r w:rsidRPr="00D630D1">
              <w:rPr>
                <w:rFonts w:ascii="Times New Roman" w:cs="Times New Roman"/>
                <w:kern w:val="2"/>
                <w:sz w:val="21"/>
                <w:szCs w:val="21"/>
              </w:rPr>
              <w:t>d</w:t>
            </w:r>
            <w:r w:rsidRPr="00D630D1">
              <w:rPr>
                <w:rFonts w:ascii="Times New Roman" w:hAnsi="宋体" w:cs="Times New Roman"/>
                <w:kern w:val="2"/>
                <w:sz w:val="21"/>
                <w:szCs w:val="21"/>
              </w:rPr>
              <w:t>）</w:t>
            </w:r>
          </w:p>
        </w:tc>
        <w:tc>
          <w:tcPr>
            <w:tcW w:w="11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单台声源</w:t>
            </w:r>
          </w:p>
        </w:tc>
      </w:tr>
      <w:tr w:rsidR="00F64138" w:rsidRPr="00D630D1" w:rsidTr="00F64138">
        <w:trPr>
          <w:trHeight w:val="340"/>
          <w:jc w:val="center"/>
        </w:trPr>
        <w:tc>
          <w:tcPr>
            <w:tcW w:w="852"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振动筛</w:t>
            </w:r>
          </w:p>
        </w:tc>
        <w:tc>
          <w:tcPr>
            <w:tcW w:w="132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w:t>
            </w:r>
          </w:p>
        </w:tc>
        <w:tc>
          <w:tcPr>
            <w:tcW w:w="1217"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80</w:t>
            </w:r>
            <w:r w:rsidRPr="00D630D1">
              <w:rPr>
                <w:rFonts w:ascii="Times New Roman" w:hAnsi="宋体" w:cs="Times New Roman"/>
                <w:kern w:val="2"/>
                <w:sz w:val="21"/>
                <w:szCs w:val="21"/>
              </w:rPr>
              <w:t>～</w:t>
            </w:r>
            <w:r w:rsidRPr="00D630D1">
              <w:rPr>
                <w:rFonts w:ascii="Times New Roman" w:cs="Times New Roman"/>
                <w:kern w:val="2"/>
                <w:sz w:val="21"/>
                <w:szCs w:val="21"/>
              </w:rPr>
              <w:t>90</w:t>
            </w:r>
          </w:p>
        </w:tc>
        <w:tc>
          <w:tcPr>
            <w:tcW w:w="10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255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常规钻（钻井时间</w:t>
            </w:r>
            <w:r w:rsidRPr="00D630D1">
              <w:rPr>
                <w:rFonts w:ascii="Times New Roman" w:cs="Times New Roman" w:hint="eastAsia"/>
                <w:kern w:val="2"/>
                <w:sz w:val="21"/>
                <w:szCs w:val="21"/>
              </w:rPr>
              <w:t>87</w:t>
            </w:r>
            <w:r w:rsidRPr="00D630D1">
              <w:rPr>
                <w:rFonts w:ascii="Times New Roman" w:cs="Times New Roman"/>
                <w:kern w:val="2"/>
                <w:sz w:val="21"/>
                <w:szCs w:val="21"/>
              </w:rPr>
              <w:t>d</w:t>
            </w:r>
            <w:r w:rsidRPr="00D630D1">
              <w:rPr>
                <w:rFonts w:ascii="Times New Roman" w:hAnsi="宋体" w:cs="Times New Roman"/>
                <w:kern w:val="2"/>
                <w:sz w:val="21"/>
                <w:szCs w:val="21"/>
              </w:rPr>
              <w:t>）</w:t>
            </w:r>
          </w:p>
        </w:tc>
        <w:tc>
          <w:tcPr>
            <w:tcW w:w="11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单台声源</w:t>
            </w:r>
          </w:p>
        </w:tc>
      </w:tr>
      <w:tr w:rsidR="00F64138" w:rsidRPr="00D630D1" w:rsidTr="00F64138">
        <w:trPr>
          <w:trHeight w:val="340"/>
          <w:jc w:val="center"/>
        </w:trPr>
        <w:tc>
          <w:tcPr>
            <w:tcW w:w="852"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离心机</w:t>
            </w:r>
          </w:p>
        </w:tc>
        <w:tc>
          <w:tcPr>
            <w:tcW w:w="132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p>
        </w:tc>
        <w:tc>
          <w:tcPr>
            <w:tcW w:w="1217"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80</w:t>
            </w:r>
            <w:r w:rsidRPr="00D630D1">
              <w:rPr>
                <w:rFonts w:ascii="Times New Roman" w:hAnsi="宋体" w:cs="Times New Roman"/>
                <w:kern w:val="2"/>
                <w:sz w:val="21"/>
                <w:szCs w:val="21"/>
              </w:rPr>
              <w:t>～</w:t>
            </w:r>
            <w:r w:rsidRPr="00D630D1">
              <w:rPr>
                <w:rFonts w:ascii="Times New Roman" w:cs="Times New Roman"/>
                <w:kern w:val="2"/>
                <w:sz w:val="21"/>
                <w:szCs w:val="21"/>
              </w:rPr>
              <w:t>90</w:t>
            </w:r>
          </w:p>
        </w:tc>
        <w:tc>
          <w:tcPr>
            <w:tcW w:w="10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255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常规钻（钻井时间</w:t>
            </w:r>
            <w:r w:rsidRPr="00D630D1">
              <w:rPr>
                <w:rFonts w:ascii="Times New Roman" w:cs="Times New Roman" w:hint="eastAsia"/>
                <w:kern w:val="2"/>
                <w:sz w:val="21"/>
                <w:szCs w:val="21"/>
              </w:rPr>
              <w:t>87</w:t>
            </w:r>
            <w:r w:rsidRPr="00D630D1">
              <w:rPr>
                <w:rFonts w:ascii="Times New Roman" w:cs="Times New Roman"/>
                <w:kern w:val="2"/>
                <w:sz w:val="21"/>
                <w:szCs w:val="21"/>
              </w:rPr>
              <w:t>d</w:t>
            </w:r>
            <w:r w:rsidRPr="00D630D1">
              <w:rPr>
                <w:rFonts w:ascii="Times New Roman" w:hAnsi="宋体" w:cs="Times New Roman"/>
                <w:kern w:val="2"/>
                <w:sz w:val="21"/>
                <w:szCs w:val="21"/>
              </w:rPr>
              <w:t>）</w:t>
            </w:r>
          </w:p>
        </w:tc>
        <w:tc>
          <w:tcPr>
            <w:tcW w:w="11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单台声源</w:t>
            </w:r>
          </w:p>
        </w:tc>
      </w:tr>
      <w:tr w:rsidR="00F64138" w:rsidRPr="00D630D1" w:rsidTr="00F64138">
        <w:trPr>
          <w:trHeight w:val="340"/>
          <w:jc w:val="center"/>
        </w:trPr>
        <w:tc>
          <w:tcPr>
            <w:tcW w:w="852"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压裂泵</w:t>
            </w:r>
          </w:p>
        </w:tc>
        <w:tc>
          <w:tcPr>
            <w:tcW w:w="132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w:t>
            </w:r>
          </w:p>
        </w:tc>
        <w:tc>
          <w:tcPr>
            <w:tcW w:w="1217"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95</w:t>
            </w:r>
            <w:r w:rsidRPr="00D630D1">
              <w:rPr>
                <w:rFonts w:ascii="Times New Roman" w:hAnsi="宋体" w:cs="Times New Roman"/>
                <w:kern w:val="2"/>
                <w:sz w:val="21"/>
                <w:szCs w:val="21"/>
              </w:rPr>
              <w:t>～</w:t>
            </w:r>
            <w:r w:rsidRPr="00D630D1">
              <w:rPr>
                <w:rFonts w:ascii="Times New Roman" w:cs="Times New Roman"/>
                <w:kern w:val="2"/>
                <w:sz w:val="21"/>
                <w:szCs w:val="21"/>
              </w:rPr>
              <w:t>100</w:t>
            </w:r>
          </w:p>
        </w:tc>
        <w:tc>
          <w:tcPr>
            <w:tcW w:w="10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255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压裂</w:t>
            </w:r>
          </w:p>
        </w:tc>
        <w:tc>
          <w:tcPr>
            <w:tcW w:w="11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单台声源</w:t>
            </w:r>
          </w:p>
        </w:tc>
      </w:tr>
      <w:tr w:rsidR="00F64138" w:rsidRPr="00D630D1" w:rsidTr="00F64138">
        <w:trPr>
          <w:trHeight w:val="340"/>
          <w:jc w:val="center"/>
        </w:trPr>
        <w:tc>
          <w:tcPr>
            <w:tcW w:w="852"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测试放喷</w:t>
            </w:r>
          </w:p>
        </w:tc>
        <w:tc>
          <w:tcPr>
            <w:tcW w:w="132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1217"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95</w:t>
            </w:r>
            <w:r w:rsidRPr="00D630D1">
              <w:rPr>
                <w:rFonts w:ascii="Times New Roman" w:hAnsi="宋体" w:cs="Times New Roman"/>
                <w:kern w:val="2"/>
                <w:sz w:val="21"/>
                <w:szCs w:val="21"/>
              </w:rPr>
              <w:t>～</w:t>
            </w:r>
            <w:r w:rsidRPr="00D630D1">
              <w:rPr>
                <w:rFonts w:ascii="Times New Roman" w:cs="Times New Roman"/>
                <w:kern w:val="2"/>
                <w:sz w:val="21"/>
                <w:szCs w:val="21"/>
              </w:rPr>
              <w:t>105</w:t>
            </w:r>
          </w:p>
        </w:tc>
        <w:tc>
          <w:tcPr>
            <w:tcW w:w="10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0.2</w:t>
            </w:r>
          </w:p>
        </w:tc>
        <w:tc>
          <w:tcPr>
            <w:tcW w:w="2551"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4h</w:t>
            </w:r>
            <w:r w:rsidRPr="00D630D1">
              <w:rPr>
                <w:rFonts w:ascii="Times New Roman" w:hAnsi="宋体" w:cs="Times New Roman"/>
                <w:kern w:val="2"/>
                <w:sz w:val="21"/>
                <w:szCs w:val="21"/>
              </w:rPr>
              <w:t>～</w:t>
            </w:r>
            <w:r w:rsidRPr="00D630D1">
              <w:rPr>
                <w:rFonts w:ascii="Times New Roman" w:cs="Times New Roman"/>
                <w:kern w:val="2"/>
                <w:sz w:val="21"/>
                <w:szCs w:val="21"/>
              </w:rPr>
              <w:t>6h</w:t>
            </w:r>
          </w:p>
        </w:tc>
        <w:tc>
          <w:tcPr>
            <w:tcW w:w="1148" w:type="dxa"/>
            <w:vAlign w:val="center"/>
          </w:tcPr>
          <w:p w:rsidR="00F64138" w:rsidRPr="00D630D1" w:rsidRDefault="00F64138" w:rsidP="00F64138">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临时排放</w:t>
            </w:r>
          </w:p>
        </w:tc>
      </w:tr>
    </w:tbl>
    <w:p w:rsidR="00117C3D" w:rsidRPr="00D630D1" w:rsidRDefault="008B5B84" w:rsidP="003A7CE8">
      <w:pPr>
        <w:pStyle w:val="afa"/>
        <w:ind w:firstLine="480"/>
      </w:pPr>
      <w:r w:rsidRPr="00D630D1">
        <w:t>环评要求：项目在施工期间</w:t>
      </w:r>
      <w:bookmarkStart w:id="336" w:name="OLE_LINK121"/>
      <w:bookmarkStart w:id="337" w:name="OLE_LINK122"/>
      <w:bookmarkStart w:id="338" w:name="OLE_LINK125"/>
      <w:bookmarkStart w:id="339" w:name="OLE_LINK126"/>
      <w:r w:rsidRPr="00D630D1">
        <w:t>合理安排施工作业时间，合理布局施工现场；夜间原则上禁止施工</w:t>
      </w:r>
      <w:bookmarkEnd w:id="336"/>
      <w:bookmarkEnd w:id="337"/>
      <w:r w:rsidRPr="00D630D1">
        <w:t>，若遇特定工艺需连续作业需报相关部门同意后，方可开展夜间施工，同时做好夜间环境保护防护及应急措施；在施工沿线居民集中点设挡声板</w:t>
      </w:r>
      <w:bookmarkEnd w:id="338"/>
      <w:bookmarkEnd w:id="339"/>
      <w:r w:rsidR="00F64138" w:rsidRPr="00D630D1">
        <w:rPr>
          <w:rFonts w:hint="eastAsia"/>
        </w:rPr>
        <w:t>；</w:t>
      </w:r>
      <w:bookmarkStart w:id="340" w:name="OLE_LINK129"/>
      <w:bookmarkStart w:id="341" w:name="OLE_LINK130"/>
      <w:r w:rsidR="00F64138" w:rsidRPr="00D630D1">
        <w:rPr>
          <w:rFonts w:hint="eastAsia"/>
        </w:rPr>
        <w:t>钻井施工采用网电</w:t>
      </w:r>
      <w:bookmarkEnd w:id="340"/>
      <w:bookmarkEnd w:id="341"/>
      <w:r w:rsidRPr="00D630D1">
        <w:t>。</w:t>
      </w:r>
    </w:p>
    <w:p w:rsidR="00117C3D" w:rsidRPr="00D630D1" w:rsidRDefault="00B647F3">
      <w:pPr>
        <w:pStyle w:val="3"/>
        <w:rPr>
          <w:rFonts w:eastAsia="宋体"/>
        </w:rPr>
      </w:pPr>
      <w:bookmarkStart w:id="342" w:name="_Toc12288514"/>
      <w:bookmarkEnd w:id="328"/>
      <w:r w:rsidRPr="00D630D1">
        <w:rPr>
          <w:rFonts w:eastAsia="宋体"/>
          <w:bCs/>
        </w:rPr>
        <w:t>4</w:t>
      </w:r>
      <w:r w:rsidR="008B5B84" w:rsidRPr="00D630D1">
        <w:rPr>
          <w:rFonts w:eastAsia="宋体"/>
          <w:bCs/>
        </w:rPr>
        <w:t>.1.</w:t>
      </w:r>
      <w:r w:rsidR="002528C5" w:rsidRPr="00D630D1">
        <w:rPr>
          <w:rFonts w:eastAsia="宋体"/>
          <w:bCs/>
        </w:rPr>
        <w:t>7</w:t>
      </w:r>
      <w:r w:rsidR="008B5B84" w:rsidRPr="00D630D1">
        <w:rPr>
          <w:rFonts w:eastAsia="宋体"/>
        </w:rPr>
        <w:t xml:space="preserve"> </w:t>
      </w:r>
      <w:bookmarkEnd w:id="342"/>
      <w:r w:rsidR="008B5B84" w:rsidRPr="00D630D1">
        <w:rPr>
          <w:rFonts w:eastAsia="宋体"/>
        </w:rPr>
        <w:t>固体废物产生情况及治理措施</w:t>
      </w:r>
    </w:p>
    <w:p w:rsidR="00117C3D" w:rsidRPr="00D630D1" w:rsidRDefault="008B5B84" w:rsidP="00833289">
      <w:pPr>
        <w:pStyle w:val="afa"/>
        <w:ind w:firstLine="480"/>
      </w:pPr>
      <w:bookmarkStart w:id="343" w:name="_Hlk56969655"/>
      <w:r w:rsidRPr="00D630D1">
        <w:t>施工期产生的固体废物主要为生活垃圾、施工废料、</w:t>
      </w:r>
      <w:bookmarkStart w:id="344" w:name="OLE_LINK239"/>
      <w:bookmarkStart w:id="345" w:name="OLE_LINK240"/>
      <w:r w:rsidR="007A3ABD" w:rsidRPr="00D630D1">
        <w:rPr>
          <w:rFonts w:hint="eastAsia"/>
        </w:rPr>
        <w:t>土石方、</w:t>
      </w:r>
      <w:r w:rsidR="00F64138" w:rsidRPr="00D630D1">
        <w:t>钻井岩屑</w:t>
      </w:r>
      <w:r w:rsidR="00F64138" w:rsidRPr="00D630D1">
        <w:rPr>
          <w:rFonts w:hint="eastAsia"/>
        </w:rPr>
        <w:t>、</w:t>
      </w:r>
      <w:r w:rsidR="00F64138" w:rsidRPr="00D630D1">
        <w:t>废泥浆</w:t>
      </w:r>
      <w:r w:rsidR="00FF41BF" w:rsidRPr="00D630D1">
        <w:rPr>
          <w:rFonts w:hint="eastAsia"/>
        </w:rPr>
        <w:t>、废油</w:t>
      </w:r>
      <w:bookmarkEnd w:id="344"/>
      <w:bookmarkEnd w:id="345"/>
      <w:r w:rsidRPr="00D630D1">
        <w:t>等。</w:t>
      </w:r>
    </w:p>
    <w:p w:rsidR="00117C3D" w:rsidRPr="00D630D1" w:rsidRDefault="00B647F3" w:rsidP="00B647F3">
      <w:pPr>
        <w:pStyle w:val="afa"/>
        <w:ind w:firstLine="482"/>
        <w:rPr>
          <w:b/>
          <w:bCs/>
        </w:rPr>
      </w:pPr>
      <w:r w:rsidRPr="00D630D1">
        <w:rPr>
          <w:b/>
          <w:bCs/>
        </w:rPr>
        <w:t>1</w:t>
      </w:r>
      <w:r w:rsidRPr="00D630D1">
        <w:rPr>
          <w:b/>
          <w:bCs/>
        </w:rPr>
        <w:t>、</w:t>
      </w:r>
      <w:r w:rsidR="008B5B84" w:rsidRPr="00D630D1">
        <w:rPr>
          <w:b/>
          <w:bCs/>
        </w:rPr>
        <w:t>生活垃圾</w:t>
      </w:r>
    </w:p>
    <w:p w:rsidR="00B647F3" w:rsidRPr="00D630D1" w:rsidRDefault="00B647F3" w:rsidP="00833289">
      <w:pPr>
        <w:pStyle w:val="afa"/>
        <w:ind w:firstLine="480"/>
      </w:pPr>
      <w:bookmarkStart w:id="346" w:name="_Hlk43111258"/>
      <w:r w:rsidRPr="00D630D1">
        <w:t>施工人员生活垃圾主要产生于依托的当地旅馆、饭店和居民，由果皮、一次性水杯、饮料瓶、塑料袋、报纸、杂志、食品垃圾等有机物组成。施工人员生活垃圾排放量约为</w:t>
      </w:r>
      <w:r w:rsidRPr="00D630D1">
        <w:t>0.5kg/</w:t>
      </w:r>
      <w:r w:rsidRPr="00D630D1">
        <w:t>（人</w:t>
      </w:r>
      <w:r w:rsidRPr="00D630D1">
        <w:t>·</w:t>
      </w:r>
      <w:r w:rsidRPr="00D630D1">
        <w:t>日）。本项目施工期</w:t>
      </w:r>
      <w:r w:rsidR="00FF41BF" w:rsidRPr="00D630D1">
        <w:rPr>
          <w:rFonts w:hint="eastAsia"/>
        </w:rPr>
        <w:t>站场、管道</w:t>
      </w:r>
      <w:r w:rsidRPr="00D630D1">
        <w:t>施工</w:t>
      </w:r>
      <w:bookmarkStart w:id="347" w:name="OLE_LINK236"/>
      <w:r w:rsidRPr="00D630D1">
        <w:t>人员约</w:t>
      </w:r>
      <w:r w:rsidR="002528C5" w:rsidRPr="00D630D1">
        <w:t>2</w:t>
      </w:r>
      <w:r w:rsidRPr="00D630D1">
        <w:t>0</w:t>
      </w:r>
      <w:r w:rsidRPr="00D630D1">
        <w:t>人</w:t>
      </w:r>
      <w:bookmarkEnd w:id="347"/>
      <w:r w:rsidRPr="00D630D1">
        <w:t>，</w:t>
      </w:r>
      <w:r w:rsidR="00FF41BF" w:rsidRPr="00D630D1">
        <w:rPr>
          <w:rFonts w:hint="eastAsia"/>
        </w:rPr>
        <w:t>钻井施工</w:t>
      </w:r>
      <w:r w:rsidR="00FF41BF" w:rsidRPr="00D630D1">
        <w:t>人员约</w:t>
      </w:r>
      <w:r w:rsidR="00FF41BF" w:rsidRPr="00D630D1">
        <w:rPr>
          <w:rFonts w:hint="eastAsia"/>
        </w:rPr>
        <w:t>5</w:t>
      </w:r>
      <w:r w:rsidR="00FF41BF" w:rsidRPr="00D630D1">
        <w:t>0</w:t>
      </w:r>
      <w:r w:rsidR="00FF41BF" w:rsidRPr="00D630D1">
        <w:t>人</w:t>
      </w:r>
      <w:r w:rsidR="00FF41BF" w:rsidRPr="00D630D1">
        <w:rPr>
          <w:rFonts w:hint="eastAsia"/>
        </w:rPr>
        <w:t>，</w:t>
      </w:r>
      <w:r w:rsidRPr="00D630D1">
        <w:t>施工人员生活垃圾排放量约为</w:t>
      </w:r>
      <w:r w:rsidR="00FF41BF" w:rsidRPr="00D630D1">
        <w:rPr>
          <w:rFonts w:hint="eastAsia"/>
        </w:rPr>
        <w:t>35</w:t>
      </w:r>
      <w:r w:rsidRPr="00D630D1">
        <w:t>kg/d</w:t>
      </w:r>
      <w:r w:rsidRPr="00D630D1">
        <w:t>，施工期排放总量约为</w:t>
      </w:r>
      <w:r w:rsidR="00FF41BF" w:rsidRPr="00D630D1">
        <w:rPr>
          <w:rFonts w:hint="eastAsia"/>
        </w:rPr>
        <w:t>9.6</w:t>
      </w:r>
      <w:r w:rsidRPr="00D630D1">
        <w:t>t</w:t>
      </w:r>
      <w:r w:rsidRPr="00D630D1">
        <w:t>。</w:t>
      </w:r>
    </w:p>
    <w:p w:rsidR="00117C3D" w:rsidRPr="00D630D1" w:rsidRDefault="00B647F3" w:rsidP="00833289">
      <w:pPr>
        <w:pStyle w:val="afa"/>
        <w:ind w:firstLine="482"/>
      </w:pPr>
      <w:r w:rsidRPr="00D630D1">
        <w:rPr>
          <w:b/>
          <w:bCs/>
        </w:rPr>
        <w:t>治理措施：</w:t>
      </w:r>
      <w:r w:rsidRPr="00D630D1">
        <w:t>施工人员的垃圾</w:t>
      </w:r>
      <w:r w:rsidR="00034734" w:rsidRPr="00D630D1">
        <w:rPr>
          <w:rFonts w:hint="eastAsia"/>
        </w:rPr>
        <w:t>经</w:t>
      </w:r>
      <w:r w:rsidR="00C106D4" w:rsidRPr="00D630D1">
        <w:rPr>
          <w:rFonts w:hint="eastAsia"/>
        </w:rPr>
        <w:t>垃圾</w:t>
      </w:r>
      <w:r w:rsidR="00C106D4" w:rsidRPr="00D630D1">
        <w:t>收集</w:t>
      </w:r>
      <w:r w:rsidRPr="00D630D1">
        <w:t>设施</w:t>
      </w:r>
      <w:r w:rsidR="00C106D4" w:rsidRPr="00D630D1">
        <w:rPr>
          <w:rFonts w:hint="eastAsia"/>
        </w:rPr>
        <w:t>收集</w:t>
      </w:r>
      <w:r w:rsidRPr="00D630D1">
        <w:t>，统一送环卫部门处理。</w:t>
      </w:r>
    </w:p>
    <w:bookmarkEnd w:id="346"/>
    <w:p w:rsidR="00117C3D" w:rsidRPr="00D630D1" w:rsidRDefault="00B647F3" w:rsidP="00833289">
      <w:pPr>
        <w:pStyle w:val="afa"/>
        <w:ind w:firstLine="482"/>
        <w:rPr>
          <w:b/>
          <w:bCs/>
        </w:rPr>
      </w:pPr>
      <w:r w:rsidRPr="00D630D1">
        <w:rPr>
          <w:b/>
          <w:bCs/>
        </w:rPr>
        <w:t>2</w:t>
      </w:r>
      <w:r w:rsidRPr="00D630D1">
        <w:rPr>
          <w:b/>
          <w:bCs/>
        </w:rPr>
        <w:t>、</w:t>
      </w:r>
      <w:r w:rsidR="008B5B84" w:rsidRPr="00D630D1">
        <w:rPr>
          <w:b/>
          <w:bCs/>
        </w:rPr>
        <w:t>施工废料</w:t>
      </w:r>
    </w:p>
    <w:p w:rsidR="00117C3D" w:rsidRPr="00D630D1" w:rsidRDefault="00B647F3" w:rsidP="00833289">
      <w:pPr>
        <w:pStyle w:val="afa"/>
        <w:ind w:firstLine="480"/>
      </w:pPr>
      <w:r w:rsidRPr="00D630D1">
        <w:t>项目管线防腐层均在厂家预制完成，现场无防腐层废料产生，施工废料为管</w:t>
      </w:r>
      <w:r w:rsidRPr="00D630D1">
        <w:lastRenderedPageBreak/>
        <w:t>道焊接后废弃的废焊条</w:t>
      </w:r>
      <w:r w:rsidR="003E327E" w:rsidRPr="00D630D1">
        <w:t>、</w:t>
      </w:r>
      <w:r w:rsidRPr="00D630D1">
        <w:t>焊渣（属于一般固废）</w:t>
      </w:r>
      <w:r w:rsidR="003E327E" w:rsidRPr="00D630D1">
        <w:t>及接口处废弃防腐材料及少量废油漆桶</w:t>
      </w:r>
      <w:r w:rsidRPr="00D630D1">
        <w:t>。根据类比调查，施工废料的产生量约为</w:t>
      </w:r>
      <w:r w:rsidRPr="00D630D1">
        <w:t>0.2t/km</w:t>
      </w:r>
      <w:r w:rsidRPr="00D630D1">
        <w:t>，本项目</w:t>
      </w:r>
      <w:r w:rsidR="0010055E" w:rsidRPr="00D630D1">
        <w:rPr>
          <w:rFonts w:hint="eastAsia"/>
        </w:rPr>
        <w:t>集输</w:t>
      </w:r>
      <w:r w:rsidRPr="00D630D1">
        <w:t>管道</w:t>
      </w:r>
      <w:r w:rsidR="00833289" w:rsidRPr="00D630D1">
        <w:t>总</w:t>
      </w:r>
      <w:r w:rsidRPr="00D630D1">
        <w:t>长度</w:t>
      </w:r>
      <w:r w:rsidR="00FF41BF" w:rsidRPr="00D630D1">
        <w:rPr>
          <w:rFonts w:hint="eastAsia"/>
        </w:rPr>
        <w:t>0.7</w:t>
      </w:r>
      <w:r w:rsidRPr="00D630D1">
        <w:t>km</w:t>
      </w:r>
      <w:r w:rsidRPr="00D630D1">
        <w:t>，施工过程产生的施工废料约为</w:t>
      </w:r>
      <w:r w:rsidR="00300933" w:rsidRPr="00D630D1">
        <w:rPr>
          <w:rFonts w:hint="eastAsia"/>
        </w:rPr>
        <w:t>0.</w:t>
      </w:r>
      <w:r w:rsidR="00FF41BF" w:rsidRPr="00D630D1">
        <w:rPr>
          <w:rFonts w:hint="eastAsia"/>
        </w:rPr>
        <w:t>14</w:t>
      </w:r>
      <w:r w:rsidRPr="00D630D1">
        <w:t>t</w:t>
      </w:r>
      <w:r w:rsidRPr="00D630D1">
        <w:t>。施工废料部分可回收利用，剩余废料</w:t>
      </w:r>
      <w:r w:rsidR="003E327E" w:rsidRPr="00D630D1">
        <w:t>交由当地环卫部门处置；一定量的废弃防腐材料及少量废油漆桶由施工单位集中收集，然后交有资质单位处置</w:t>
      </w:r>
      <w:r w:rsidRPr="00D630D1">
        <w:t>。</w:t>
      </w:r>
      <w:r w:rsidR="00DC6370" w:rsidRPr="00D630D1">
        <w:t>X</w:t>
      </w:r>
      <w:r w:rsidR="00DC6370" w:rsidRPr="00D630D1">
        <w:t>射线探伤产生一些废弃物（浸润液、感光废弃材料等），由工程探伤检验专业队伍集中收集处置，不在本次评价范围内。</w:t>
      </w:r>
    </w:p>
    <w:p w:rsidR="00B647F3" w:rsidRPr="00D630D1" w:rsidRDefault="00833289" w:rsidP="00833289">
      <w:pPr>
        <w:pStyle w:val="afa"/>
        <w:ind w:firstLine="482"/>
        <w:rPr>
          <w:b/>
          <w:bCs/>
        </w:rPr>
      </w:pPr>
      <w:bookmarkStart w:id="348" w:name="OLE_LINK241"/>
      <w:bookmarkStart w:id="349" w:name="OLE_LINK242"/>
      <w:r w:rsidRPr="00D630D1">
        <w:rPr>
          <w:b/>
          <w:bCs/>
        </w:rPr>
        <w:t>3</w:t>
      </w:r>
      <w:r w:rsidRPr="00D630D1">
        <w:rPr>
          <w:b/>
          <w:bCs/>
        </w:rPr>
        <w:t>、土石方</w:t>
      </w:r>
    </w:p>
    <w:p w:rsidR="002528C5" w:rsidRPr="00D630D1" w:rsidRDefault="007230AA" w:rsidP="002528C5">
      <w:pPr>
        <w:pStyle w:val="af8"/>
        <w:ind w:firstLine="480"/>
      </w:pPr>
      <w:r w:rsidRPr="00D630D1">
        <w:t>根据《</w:t>
      </w:r>
      <w:r w:rsidR="00D630D1" w:rsidRPr="00D630D1">
        <w:t>普光气田普陆页</w:t>
      </w:r>
      <w:r w:rsidR="00D630D1" w:rsidRPr="00D630D1">
        <w:t>1</w:t>
      </w:r>
      <w:r w:rsidR="00D630D1" w:rsidRPr="00D630D1">
        <w:t>试验井组项目</w:t>
      </w:r>
      <w:r w:rsidRPr="00D630D1">
        <w:rPr>
          <w:rFonts w:hint="eastAsia"/>
        </w:rPr>
        <w:t>水土保持方案</w:t>
      </w:r>
      <w:r w:rsidRPr="00D630D1">
        <w:t>报告》</w:t>
      </w:r>
      <w:r w:rsidRPr="00D630D1">
        <w:rPr>
          <w:rFonts w:hint="eastAsia"/>
        </w:rPr>
        <w:t>，</w:t>
      </w:r>
      <w:r w:rsidR="00300933" w:rsidRPr="00D630D1">
        <w:t>项目</w:t>
      </w:r>
      <w:bookmarkEnd w:id="348"/>
      <w:bookmarkEnd w:id="349"/>
      <w:r w:rsidR="00300933" w:rsidRPr="00D630D1">
        <w:t>土石方挖方量共计</w:t>
      </w:r>
      <w:r w:rsidR="00BB75E0">
        <w:rPr>
          <w:rFonts w:hint="eastAsia"/>
        </w:rPr>
        <w:t>约</w:t>
      </w:r>
      <w:r w:rsidR="00BB75E0" w:rsidRPr="00D630D1">
        <w:rPr>
          <w:rFonts w:hint="eastAsia"/>
        </w:rPr>
        <w:t>1.</w:t>
      </w:r>
      <w:r w:rsidR="00BB75E0">
        <w:rPr>
          <w:rFonts w:hint="eastAsia"/>
        </w:rPr>
        <w:t>78</w:t>
      </w:r>
      <w:r w:rsidRPr="00D630D1">
        <w:rPr>
          <w:rFonts w:hint="eastAsia"/>
        </w:rPr>
        <w:t>万</w:t>
      </w:r>
      <w:r w:rsidR="00300933" w:rsidRPr="00D630D1">
        <w:t>m</w:t>
      </w:r>
      <w:r w:rsidR="00300933" w:rsidRPr="00D630D1">
        <w:rPr>
          <w:vertAlign w:val="superscript"/>
        </w:rPr>
        <w:t>3</w:t>
      </w:r>
      <w:r w:rsidR="00300933" w:rsidRPr="00D630D1">
        <w:t>，填方量共计</w:t>
      </w:r>
      <w:r w:rsidR="00BB75E0">
        <w:rPr>
          <w:rFonts w:hint="eastAsia"/>
        </w:rPr>
        <w:t>约</w:t>
      </w:r>
      <w:r w:rsidR="00BB75E0" w:rsidRPr="00D630D1">
        <w:rPr>
          <w:rFonts w:hint="eastAsia"/>
        </w:rPr>
        <w:t>1.</w:t>
      </w:r>
      <w:r w:rsidR="00BB75E0">
        <w:rPr>
          <w:rFonts w:hint="eastAsia"/>
        </w:rPr>
        <w:t>78</w:t>
      </w:r>
      <w:r w:rsidRPr="00D630D1">
        <w:rPr>
          <w:rFonts w:hint="eastAsia"/>
        </w:rPr>
        <w:t>万</w:t>
      </w:r>
      <w:r w:rsidR="00300933" w:rsidRPr="00D630D1">
        <w:t>m</w:t>
      </w:r>
      <w:r w:rsidR="00300933" w:rsidRPr="00D630D1">
        <w:rPr>
          <w:vertAlign w:val="superscript"/>
        </w:rPr>
        <w:t>3</w:t>
      </w:r>
      <w:r w:rsidR="00300933" w:rsidRPr="00D630D1">
        <w:t>，</w:t>
      </w:r>
      <w:r w:rsidR="00FF41BF" w:rsidRPr="00D630D1">
        <w:rPr>
          <w:rFonts w:hint="eastAsia"/>
        </w:rPr>
        <w:t>无</w:t>
      </w:r>
      <w:r w:rsidR="00300933" w:rsidRPr="00D630D1">
        <w:t>弃方</w:t>
      </w:r>
      <w:r w:rsidR="00FF41BF" w:rsidRPr="00D630D1">
        <w:rPr>
          <w:rFonts w:hint="eastAsia"/>
        </w:rPr>
        <w:t>产生</w:t>
      </w:r>
      <w:r w:rsidR="002528C5" w:rsidRPr="00D630D1">
        <w:t>。</w:t>
      </w:r>
    </w:p>
    <w:p w:rsidR="00FF41BF" w:rsidRPr="00D630D1" w:rsidRDefault="00FF41BF" w:rsidP="00FF41BF">
      <w:pPr>
        <w:pStyle w:val="afa"/>
        <w:ind w:firstLine="482"/>
        <w:rPr>
          <w:b/>
          <w:bCs/>
        </w:rPr>
      </w:pPr>
      <w:r w:rsidRPr="00D630D1">
        <w:rPr>
          <w:rFonts w:hint="eastAsia"/>
          <w:b/>
          <w:bCs/>
        </w:rPr>
        <w:t>4</w:t>
      </w:r>
      <w:r w:rsidRPr="00D630D1">
        <w:rPr>
          <w:b/>
          <w:bCs/>
        </w:rPr>
        <w:t>、</w:t>
      </w:r>
      <w:bookmarkStart w:id="350" w:name="OLE_LINK299"/>
      <w:bookmarkStart w:id="351" w:name="OLE_LINK300"/>
      <w:r w:rsidRPr="00D630D1">
        <w:rPr>
          <w:rFonts w:hint="eastAsia"/>
          <w:b/>
          <w:bCs/>
        </w:rPr>
        <w:t>钻井岩屑</w:t>
      </w:r>
      <w:bookmarkEnd w:id="350"/>
      <w:bookmarkEnd w:id="351"/>
    </w:p>
    <w:p w:rsidR="00FF41BF" w:rsidRPr="00D630D1" w:rsidRDefault="00FF41BF" w:rsidP="00867A54">
      <w:pPr>
        <w:pStyle w:val="SSEC20150323"/>
        <w:ind w:firstLine="480"/>
        <w:rPr>
          <w:rFonts w:ascii="Times New Roman" w:hAnsi="Times New Roman"/>
        </w:rPr>
      </w:pPr>
      <w:r w:rsidRPr="00D630D1">
        <w:rPr>
          <w:rFonts w:ascii="Times New Roman"/>
        </w:rPr>
        <w:t>钻井岩屑是在钻井过程中连续产生，根据普光气田钻井类比调查，每米进尺岩屑产生量约为</w:t>
      </w:r>
      <w:r w:rsidRPr="00D630D1">
        <w:rPr>
          <w:rFonts w:ascii="Times New Roman" w:hAnsi="Times New Roman"/>
        </w:rPr>
        <w:t>0.1m</w:t>
      </w:r>
      <w:r w:rsidRPr="00D630D1">
        <w:rPr>
          <w:rFonts w:ascii="Times New Roman" w:hAnsi="Times New Roman"/>
          <w:vertAlign w:val="superscript"/>
        </w:rPr>
        <w:t>3</w:t>
      </w:r>
      <w:r w:rsidRPr="00D630D1">
        <w:rPr>
          <w:rFonts w:ascii="Times New Roman"/>
        </w:rPr>
        <w:t>，因此本项目岩屑产生量约为</w:t>
      </w:r>
      <w:r w:rsidR="00BB75E0" w:rsidRPr="00473CDB">
        <w:rPr>
          <w:rFonts w:ascii="Times New Roman"/>
        </w:rPr>
        <w:t>3747</w:t>
      </w:r>
      <w:r w:rsidR="00BB75E0">
        <w:rPr>
          <w:rFonts w:ascii="Times New Roman" w:hint="eastAsia"/>
        </w:rPr>
        <w:t>.</w:t>
      </w:r>
      <w:r w:rsidR="00BB75E0" w:rsidRPr="00473CDB">
        <w:rPr>
          <w:rFonts w:ascii="Times New Roman"/>
        </w:rPr>
        <w:t>4</w:t>
      </w:r>
      <w:r w:rsidRPr="00D630D1">
        <w:rPr>
          <w:rFonts w:ascii="Times New Roman" w:hAnsi="Times New Roman"/>
        </w:rPr>
        <w:t>m</w:t>
      </w:r>
      <w:r w:rsidRPr="00D630D1">
        <w:rPr>
          <w:rFonts w:ascii="Times New Roman" w:hAnsi="Times New Roman"/>
          <w:vertAlign w:val="superscript"/>
        </w:rPr>
        <w:t>3</w:t>
      </w:r>
      <w:r w:rsidRPr="00D630D1">
        <w:rPr>
          <w:rFonts w:ascii="Times New Roman"/>
        </w:rPr>
        <w:t>。</w:t>
      </w:r>
      <w:r w:rsidR="00BB75E0">
        <w:rPr>
          <w:rFonts w:ascii="Times New Roman" w:hint="eastAsia"/>
        </w:rPr>
        <w:t>由于本项目二开采用油基钻井液</w:t>
      </w:r>
      <w:r w:rsidR="00867A54">
        <w:rPr>
          <w:rFonts w:ascii="Times New Roman" w:hint="eastAsia"/>
        </w:rPr>
        <w:t>，根据钻井方式，</w:t>
      </w:r>
      <w:r w:rsidR="00671AE7">
        <w:rPr>
          <w:rFonts w:ascii="Times New Roman" w:hint="eastAsia"/>
        </w:rPr>
        <w:t>核算出</w:t>
      </w:r>
      <w:r w:rsidR="00867A54">
        <w:rPr>
          <w:rFonts w:ascii="Times New Roman" w:hint="eastAsia"/>
        </w:rPr>
        <w:t>水基</w:t>
      </w:r>
      <w:r w:rsidR="00867A54" w:rsidRPr="00D630D1">
        <w:rPr>
          <w:rFonts w:ascii="Times New Roman"/>
        </w:rPr>
        <w:t>岩屑</w:t>
      </w:r>
      <w:r w:rsidR="00867A54">
        <w:rPr>
          <w:rFonts w:ascii="Times New Roman" w:hint="eastAsia"/>
        </w:rPr>
        <w:t>产生量</w:t>
      </w:r>
      <w:r w:rsidR="00867A54" w:rsidRPr="00D630D1">
        <w:rPr>
          <w:rFonts w:ascii="Times New Roman"/>
        </w:rPr>
        <w:t>约为</w:t>
      </w:r>
      <w:r w:rsidR="00867A54">
        <w:rPr>
          <w:rFonts w:ascii="Times New Roman" w:hint="eastAsia"/>
        </w:rPr>
        <w:t>2810.55</w:t>
      </w:r>
      <w:r w:rsidR="00867A54" w:rsidRPr="00D630D1">
        <w:rPr>
          <w:rFonts w:ascii="Times New Roman" w:hAnsi="Times New Roman"/>
        </w:rPr>
        <w:t>m</w:t>
      </w:r>
      <w:r w:rsidR="00867A54" w:rsidRPr="00D630D1">
        <w:rPr>
          <w:rFonts w:ascii="Times New Roman" w:hAnsi="Times New Roman"/>
          <w:vertAlign w:val="superscript"/>
        </w:rPr>
        <w:t>3</w:t>
      </w:r>
      <w:r w:rsidR="00867A54">
        <w:rPr>
          <w:rFonts w:ascii="Times New Roman" w:hint="eastAsia"/>
        </w:rPr>
        <w:t>，油基</w:t>
      </w:r>
      <w:r w:rsidR="00867A54" w:rsidRPr="00D630D1">
        <w:rPr>
          <w:rFonts w:ascii="Times New Roman"/>
        </w:rPr>
        <w:t>岩屑</w:t>
      </w:r>
      <w:r w:rsidR="00867A54">
        <w:rPr>
          <w:rFonts w:ascii="Times New Roman" w:hint="eastAsia"/>
        </w:rPr>
        <w:t>产生量</w:t>
      </w:r>
      <w:r w:rsidR="00867A54" w:rsidRPr="00D630D1">
        <w:rPr>
          <w:rFonts w:ascii="Times New Roman"/>
        </w:rPr>
        <w:t>约为</w:t>
      </w:r>
      <w:r w:rsidR="00867A54">
        <w:rPr>
          <w:rFonts w:ascii="Times New Roman" w:hint="eastAsia"/>
        </w:rPr>
        <w:t>936.85</w:t>
      </w:r>
      <w:r w:rsidR="00867A54" w:rsidRPr="00D630D1">
        <w:rPr>
          <w:rFonts w:ascii="Times New Roman" w:hAnsi="Times New Roman"/>
        </w:rPr>
        <w:t>m</w:t>
      </w:r>
      <w:r w:rsidR="00867A54" w:rsidRPr="00D630D1">
        <w:rPr>
          <w:rFonts w:ascii="Times New Roman" w:hAnsi="Times New Roman"/>
          <w:vertAlign w:val="superscript"/>
        </w:rPr>
        <w:t>3</w:t>
      </w:r>
      <w:r w:rsidR="00BB75E0">
        <w:rPr>
          <w:rFonts w:ascii="Times New Roman" w:hint="eastAsia"/>
        </w:rPr>
        <w:t>，</w:t>
      </w:r>
      <w:r w:rsidRPr="00D630D1">
        <w:rPr>
          <w:rFonts w:ascii="Times New Roman"/>
        </w:rPr>
        <w:t>本项目</w:t>
      </w:r>
      <w:r w:rsidR="00867A54" w:rsidRPr="00D630D1">
        <w:rPr>
          <w:rFonts w:ascii="Times New Roman"/>
        </w:rPr>
        <w:t>岩屑</w:t>
      </w:r>
      <w:r w:rsidRPr="00D630D1">
        <w:rPr>
          <w:rFonts w:ascii="Times New Roman"/>
        </w:rPr>
        <w:t>采取清洁化操作平台</w:t>
      </w:r>
      <w:r w:rsidR="00671AE7">
        <w:rPr>
          <w:rFonts w:ascii="Times New Roman" w:hint="eastAsia"/>
        </w:rPr>
        <w:t>处理</w:t>
      </w:r>
      <w:r w:rsidRPr="00D630D1">
        <w:rPr>
          <w:rFonts w:ascii="Times New Roman"/>
        </w:rPr>
        <w:t>，</w:t>
      </w:r>
      <w:r w:rsidR="00671AE7">
        <w:rPr>
          <w:rFonts w:ascii="Times New Roman" w:hint="eastAsia"/>
        </w:rPr>
        <w:t>水基</w:t>
      </w:r>
      <w:r w:rsidR="00671AE7" w:rsidRPr="00D630D1">
        <w:rPr>
          <w:rFonts w:ascii="Times New Roman"/>
        </w:rPr>
        <w:t>岩屑</w:t>
      </w:r>
      <w:r w:rsidRPr="00D630D1">
        <w:rPr>
          <w:rFonts w:ascii="Times New Roman"/>
        </w:rPr>
        <w:t>按照《达州市生态环境局办公室关于</w:t>
      </w:r>
      <w:r w:rsidRPr="00D630D1">
        <w:rPr>
          <w:rFonts w:ascii="Times New Roman" w:hint="eastAsia"/>
        </w:rPr>
        <w:t>进一步</w:t>
      </w:r>
      <w:r w:rsidRPr="00D630D1">
        <w:rPr>
          <w:rFonts w:ascii="Times New Roman"/>
        </w:rPr>
        <w:t>加强固体废物污染防治工作的通知》（达市环办发〔</w:t>
      </w:r>
      <w:r w:rsidRPr="00D630D1">
        <w:rPr>
          <w:rFonts w:ascii="Times New Roman" w:hAnsi="Times New Roman"/>
        </w:rPr>
        <w:t>20</w:t>
      </w:r>
      <w:r w:rsidRPr="00D630D1">
        <w:rPr>
          <w:rFonts w:ascii="Times New Roman" w:hAnsi="Times New Roman" w:hint="eastAsia"/>
        </w:rPr>
        <w:t>21</w:t>
      </w:r>
      <w:r w:rsidRPr="00D630D1">
        <w:rPr>
          <w:rFonts w:ascii="Times New Roman"/>
        </w:rPr>
        <w:t>〕</w:t>
      </w:r>
      <w:r w:rsidRPr="00D630D1">
        <w:rPr>
          <w:rFonts w:ascii="Times New Roman" w:hAnsi="Times New Roman" w:hint="eastAsia"/>
        </w:rPr>
        <w:t>24</w:t>
      </w:r>
      <w:r w:rsidRPr="00D630D1">
        <w:rPr>
          <w:rFonts w:ascii="Times New Roman"/>
        </w:rPr>
        <w:t>号）要求，就近交给依法取得生态环境部门关于利用和处置相关工业固体废物项目环评批复、具有处理处置相应固体废物能力并配套建设有废气、废水、固废等污染物治理设施的单位</w:t>
      </w:r>
      <w:r w:rsidRPr="00D630D1">
        <w:rPr>
          <w:rFonts w:ascii="Times New Roman" w:hint="eastAsia"/>
        </w:rPr>
        <w:t>进行资源化利用</w:t>
      </w:r>
      <w:r w:rsidR="00867A54">
        <w:rPr>
          <w:rFonts w:ascii="Times New Roman" w:hint="eastAsia"/>
        </w:rPr>
        <w:t>；</w:t>
      </w:r>
      <w:r w:rsidR="00867A54" w:rsidRPr="00867A54">
        <w:rPr>
          <w:rFonts w:ascii="Times New Roman" w:hint="eastAsia"/>
        </w:rPr>
        <w:t>油基岩屑为危险废物</w:t>
      </w:r>
      <w:r w:rsidR="00671AE7">
        <w:rPr>
          <w:rFonts w:ascii="Times New Roman" w:hint="eastAsia"/>
        </w:rPr>
        <w:t>（</w:t>
      </w:r>
      <w:r w:rsidR="00671AE7" w:rsidRPr="00671AE7">
        <w:rPr>
          <w:rFonts w:ascii="Times New Roman"/>
        </w:rPr>
        <w:t>HW08</w:t>
      </w:r>
      <w:r w:rsidR="00671AE7" w:rsidRPr="00671AE7">
        <w:rPr>
          <w:rFonts w:ascii="Times New Roman"/>
        </w:rPr>
        <w:t>废矿物油</w:t>
      </w:r>
      <w:r w:rsidR="00671AE7" w:rsidRPr="00671AE7">
        <w:rPr>
          <w:rFonts w:ascii="Times New Roman" w:hint="eastAsia"/>
        </w:rPr>
        <w:t>与含矿物油废物</w:t>
      </w:r>
      <w:r w:rsidR="00671AE7">
        <w:rPr>
          <w:rFonts w:ascii="Times New Roman" w:hint="eastAsia"/>
        </w:rPr>
        <w:t>）</w:t>
      </w:r>
      <w:r w:rsidR="00867A54" w:rsidRPr="00867A54">
        <w:rPr>
          <w:rFonts w:ascii="Times New Roman" w:hint="eastAsia"/>
        </w:rPr>
        <w:t>，存于危废暂存间，定期交由资质单位处置</w:t>
      </w:r>
      <w:r w:rsidRPr="00D630D1">
        <w:rPr>
          <w:rFonts w:ascii="Times New Roman"/>
        </w:rPr>
        <w:t>。</w:t>
      </w:r>
    </w:p>
    <w:p w:rsidR="00FF41BF" w:rsidRPr="00D630D1" w:rsidRDefault="00FF41BF" w:rsidP="00FF41BF">
      <w:pPr>
        <w:pStyle w:val="afa"/>
        <w:ind w:firstLine="482"/>
        <w:rPr>
          <w:b/>
          <w:bCs/>
        </w:rPr>
      </w:pPr>
      <w:bookmarkStart w:id="352" w:name="OLE_LINK261"/>
      <w:bookmarkStart w:id="353" w:name="OLE_LINK262"/>
      <w:r w:rsidRPr="00D630D1">
        <w:rPr>
          <w:rFonts w:hint="eastAsia"/>
          <w:b/>
          <w:bCs/>
        </w:rPr>
        <w:t>5</w:t>
      </w:r>
      <w:r w:rsidRPr="00D630D1">
        <w:rPr>
          <w:b/>
          <w:bCs/>
        </w:rPr>
        <w:t>、</w:t>
      </w:r>
      <w:bookmarkStart w:id="354" w:name="OLE_LINK11"/>
      <w:bookmarkStart w:id="355" w:name="OLE_LINK12"/>
      <w:r w:rsidRPr="00D630D1">
        <w:rPr>
          <w:rFonts w:hint="eastAsia"/>
          <w:b/>
          <w:bCs/>
        </w:rPr>
        <w:t>废泥浆</w:t>
      </w:r>
      <w:bookmarkEnd w:id="354"/>
      <w:bookmarkEnd w:id="355"/>
    </w:p>
    <w:p w:rsidR="00FF41BF" w:rsidRPr="00D630D1" w:rsidRDefault="00FF41BF" w:rsidP="00FF41BF">
      <w:pPr>
        <w:pStyle w:val="SSEC41"/>
        <w:ind w:firstLine="480"/>
        <w:rPr>
          <w:rFonts w:ascii="Times New Roman" w:hAnsi="Times New Roman"/>
        </w:rPr>
      </w:pPr>
      <w:r w:rsidRPr="00D630D1">
        <w:rPr>
          <w:rFonts w:ascii="Times New Roman" w:hAnsi="Times New Roman"/>
        </w:rPr>
        <w:t>a</w:t>
      </w:r>
      <w:r w:rsidRPr="00D630D1">
        <w:rPr>
          <w:rFonts w:ascii="Times New Roman"/>
        </w:rPr>
        <w:t>、组成</w:t>
      </w:r>
    </w:p>
    <w:bookmarkEnd w:id="352"/>
    <w:bookmarkEnd w:id="353"/>
    <w:p w:rsidR="00FF41BF" w:rsidRPr="00D630D1" w:rsidRDefault="00FF41BF" w:rsidP="00FF41BF">
      <w:pPr>
        <w:pStyle w:val="SSEC20150323"/>
        <w:ind w:firstLine="480"/>
        <w:rPr>
          <w:rFonts w:ascii="Times New Roman" w:hAnsi="Times New Roman"/>
        </w:rPr>
      </w:pPr>
      <w:r w:rsidRPr="00D630D1">
        <w:rPr>
          <w:rFonts w:ascii="Times New Roman"/>
        </w:rPr>
        <w:t>废钻井液主要是由黏土、钻屑、加重材料、化学添加剂、无机盐等组成的多相稳定悬浮液，</w:t>
      </w:r>
      <w:r w:rsidRPr="00D630D1">
        <w:rPr>
          <w:rFonts w:ascii="Times New Roman" w:hAnsi="Times New Roman"/>
        </w:rPr>
        <w:t>pH</w:t>
      </w:r>
      <w:r w:rsidRPr="00D630D1">
        <w:rPr>
          <w:rFonts w:ascii="Times New Roman"/>
        </w:rPr>
        <w:t>值较高。导致环境污染的有害成分为盐类、杀菌剂、化学添加剂，高分子有机化合物经生物降解后产生的低分子有机化合物和碱性物质。</w:t>
      </w:r>
    </w:p>
    <w:p w:rsidR="00FF41BF" w:rsidRPr="00D630D1" w:rsidRDefault="00FF41BF" w:rsidP="00FF41BF">
      <w:pPr>
        <w:pStyle w:val="SSEC41"/>
        <w:rPr>
          <w:rFonts w:ascii="Times New Roman" w:hAnsi="Times New Roman"/>
        </w:rPr>
      </w:pPr>
      <w:r w:rsidRPr="00D630D1">
        <w:rPr>
          <w:rFonts w:ascii="Times New Roman" w:hAnsi="Times New Roman"/>
        </w:rPr>
        <w:t>b</w:t>
      </w:r>
      <w:r w:rsidRPr="00D630D1">
        <w:rPr>
          <w:rFonts w:ascii="Times New Roman"/>
        </w:rPr>
        <w:t>、产生量</w:t>
      </w:r>
    </w:p>
    <w:p w:rsidR="00FF41BF" w:rsidRPr="00D630D1" w:rsidRDefault="00FF41BF" w:rsidP="00FF41BF">
      <w:pPr>
        <w:pStyle w:val="SSEC20150323"/>
        <w:ind w:firstLine="480"/>
        <w:rPr>
          <w:rFonts w:ascii="Times New Roman" w:hAnsi="Times New Roman"/>
        </w:rPr>
      </w:pPr>
      <w:r w:rsidRPr="00D630D1">
        <w:rPr>
          <w:rFonts w:ascii="Times New Roman"/>
        </w:rPr>
        <w:t>钻井过程中泥浆的回收利用率为</w:t>
      </w:r>
      <w:r w:rsidRPr="00D630D1">
        <w:rPr>
          <w:rFonts w:ascii="Times New Roman" w:hAnsi="Times New Roman"/>
        </w:rPr>
        <w:t>95%</w:t>
      </w:r>
      <w:r w:rsidR="00671AE7">
        <w:rPr>
          <w:rFonts w:ascii="Times New Roman"/>
        </w:rPr>
        <w:t>，其余为废</w:t>
      </w:r>
      <w:r w:rsidRPr="00D630D1">
        <w:rPr>
          <w:rFonts w:ascii="Times New Roman"/>
        </w:rPr>
        <w:t>泥浆。本项目钻井液用量为</w:t>
      </w:r>
      <w:r w:rsidR="00867A54">
        <w:rPr>
          <w:rFonts w:ascii="Times New Roman" w:hAnsi="Times New Roman" w:hint="eastAsia"/>
        </w:rPr>
        <w:t>8460</w:t>
      </w:r>
      <w:r w:rsidRPr="00D630D1">
        <w:rPr>
          <w:rFonts w:ascii="Times New Roman" w:hAnsi="Times New Roman"/>
        </w:rPr>
        <w:t>m</w:t>
      </w:r>
      <w:r w:rsidRPr="00D630D1">
        <w:rPr>
          <w:rFonts w:ascii="Times New Roman" w:hAnsi="Times New Roman"/>
          <w:vertAlign w:val="superscript"/>
        </w:rPr>
        <w:t>3</w:t>
      </w:r>
      <w:r w:rsidRPr="00D630D1">
        <w:rPr>
          <w:rFonts w:ascii="Times New Roman"/>
        </w:rPr>
        <w:t>，则废弃泥浆产生量为</w:t>
      </w:r>
      <w:r w:rsidR="00867A54">
        <w:rPr>
          <w:rFonts w:ascii="Times New Roman" w:hAnsi="Times New Roman" w:hint="eastAsia"/>
        </w:rPr>
        <w:t>423</w:t>
      </w:r>
      <w:r w:rsidRPr="00D630D1">
        <w:rPr>
          <w:rFonts w:ascii="Times New Roman" w:hAnsi="Times New Roman"/>
        </w:rPr>
        <w:t>m</w:t>
      </w:r>
      <w:r w:rsidRPr="00D630D1">
        <w:rPr>
          <w:rFonts w:ascii="Times New Roman" w:hAnsi="Times New Roman"/>
          <w:vertAlign w:val="superscript"/>
        </w:rPr>
        <w:t>3</w:t>
      </w:r>
      <w:r w:rsidRPr="00D630D1">
        <w:rPr>
          <w:rFonts w:ascii="Times New Roman"/>
        </w:rPr>
        <w:t>。</w:t>
      </w:r>
      <w:r w:rsidR="00671AE7">
        <w:rPr>
          <w:rFonts w:ascii="Times New Roman" w:hint="eastAsia"/>
        </w:rPr>
        <w:t>根据钻井方式核算出水基泥浆产生量</w:t>
      </w:r>
      <w:r w:rsidR="00671AE7" w:rsidRPr="00D630D1">
        <w:rPr>
          <w:rFonts w:ascii="Times New Roman"/>
        </w:rPr>
        <w:t>约为</w:t>
      </w:r>
      <w:r w:rsidR="00671AE7">
        <w:rPr>
          <w:rFonts w:ascii="Times New Roman" w:hint="eastAsia"/>
        </w:rPr>
        <w:t>169.2</w:t>
      </w:r>
      <w:r w:rsidR="00671AE7" w:rsidRPr="00D630D1">
        <w:rPr>
          <w:rFonts w:ascii="Times New Roman" w:hAnsi="Times New Roman"/>
        </w:rPr>
        <w:t>m</w:t>
      </w:r>
      <w:r w:rsidR="00671AE7" w:rsidRPr="00D630D1">
        <w:rPr>
          <w:rFonts w:ascii="Times New Roman" w:hAnsi="Times New Roman"/>
          <w:vertAlign w:val="superscript"/>
        </w:rPr>
        <w:t>3</w:t>
      </w:r>
      <w:r w:rsidR="00671AE7">
        <w:rPr>
          <w:rFonts w:ascii="Times New Roman" w:hint="eastAsia"/>
        </w:rPr>
        <w:t>，油基泥浆产生量</w:t>
      </w:r>
      <w:r w:rsidR="00671AE7" w:rsidRPr="00D630D1">
        <w:rPr>
          <w:rFonts w:ascii="Times New Roman"/>
        </w:rPr>
        <w:t>约为</w:t>
      </w:r>
      <w:r w:rsidR="00671AE7">
        <w:rPr>
          <w:rFonts w:ascii="Times New Roman" w:hint="eastAsia"/>
        </w:rPr>
        <w:t>253.8</w:t>
      </w:r>
      <w:r w:rsidR="00671AE7" w:rsidRPr="00D630D1">
        <w:rPr>
          <w:rFonts w:ascii="Times New Roman" w:hAnsi="Times New Roman"/>
        </w:rPr>
        <w:t>m</w:t>
      </w:r>
      <w:r w:rsidR="00671AE7" w:rsidRPr="00D630D1">
        <w:rPr>
          <w:rFonts w:ascii="Times New Roman" w:hAnsi="Times New Roman"/>
          <w:vertAlign w:val="superscript"/>
        </w:rPr>
        <w:t>3</w:t>
      </w:r>
      <w:r w:rsidR="00671AE7">
        <w:rPr>
          <w:rFonts w:ascii="Times New Roman" w:hint="eastAsia"/>
        </w:rPr>
        <w:t>，</w:t>
      </w:r>
      <w:r w:rsidRPr="00D630D1">
        <w:rPr>
          <w:rFonts w:ascii="Times New Roman"/>
        </w:rPr>
        <w:t>废弃泥浆采用清洁化操作平台，并采取泥浆不落地措施</w:t>
      </w:r>
      <w:r w:rsidRPr="00D630D1">
        <w:rPr>
          <w:rFonts w:ascii="Times New Roman" w:hint="eastAsia"/>
        </w:rPr>
        <w:t>，</w:t>
      </w:r>
      <w:r w:rsidR="00671AE7">
        <w:rPr>
          <w:rFonts w:ascii="Times New Roman"/>
        </w:rPr>
        <w:t>废</w:t>
      </w:r>
      <w:r w:rsidR="00671AE7">
        <w:rPr>
          <w:rFonts w:ascii="Times New Roman" w:hint="eastAsia"/>
        </w:rPr>
        <w:t>水基</w:t>
      </w:r>
      <w:r w:rsidR="00671AE7" w:rsidRPr="00D630D1">
        <w:rPr>
          <w:rFonts w:ascii="Times New Roman"/>
        </w:rPr>
        <w:t>泥浆</w:t>
      </w:r>
      <w:r w:rsidRPr="00D630D1">
        <w:rPr>
          <w:rFonts w:ascii="Times New Roman"/>
        </w:rPr>
        <w:t>按照《达州市生态环境局办公室关于</w:t>
      </w:r>
      <w:r w:rsidRPr="00D630D1">
        <w:rPr>
          <w:rFonts w:ascii="Times New Roman" w:hint="eastAsia"/>
        </w:rPr>
        <w:t>进一步</w:t>
      </w:r>
      <w:r w:rsidRPr="00D630D1">
        <w:rPr>
          <w:rFonts w:ascii="Times New Roman"/>
        </w:rPr>
        <w:t>加强固体废物污染防治工作的通知》（达市环办发〔</w:t>
      </w:r>
      <w:r w:rsidRPr="00D630D1">
        <w:rPr>
          <w:rFonts w:ascii="Times New Roman" w:hAnsi="Times New Roman"/>
        </w:rPr>
        <w:t>20</w:t>
      </w:r>
      <w:r w:rsidRPr="00D630D1">
        <w:rPr>
          <w:rFonts w:ascii="Times New Roman" w:hAnsi="Times New Roman" w:hint="eastAsia"/>
        </w:rPr>
        <w:t>21</w:t>
      </w:r>
      <w:r w:rsidRPr="00D630D1">
        <w:rPr>
          <w:rFonts w:ascii="Times New Roman"/>
        </w:rPr>
        <w:t>〕</w:t>
      </w:r>
      <w:r w:rsidRPr="00D630D1">
        <w:rPr>
          <w:rFonts w:ascii="Times New Roman" w:hAnsi="Times New Roman" w:hint="eastAsia"/>
        </w:rPr>
        <w:t>24</w:t>
      </w:r>
      <w:r w:rsidRPr="00D630D1">
        <w:rPr>
          <w:rFonts w:ascii="Times New Roman"/>
        </w:rPr>
        <w:t>号）要求，就近交给依法</w:t>
      </w:r>
      <w:r w:rsidRPr="00D630D1">
        <w:rPr>
          <w:rFonts w:ascii="Times New Roman"/>
        </w:rPr>
        <w:lastRenderedPageBreak/>
        <w:t>取得生态环境部门关于利用和处置相关工业固体废物项目环评批复、具有处理处置相应固体废物能力并配套建设有废气、废水、固废等污染物治理设施的单位</w:t>
      </w:r>
      <w:r w:rsidRPr="00D630D1">
        <w:rPr>
          <w:rFonts w:ascii="Times New Roman" w:hint="eastAsia"/>
        </w:rPr>
        <w:t>进行资源化利用</w:t>
      </w:r>
      <w:r w:rsidR="00671AE7">
        <w:rPr>
          <w:rFonts w:ascii="Times New Roman" w:hint="eastAsia"/>
        </w:rPr>
        <w:t>；废油基泥浆</w:t>
      </w:r>
      <w:r w:rsidR="00671AE7" w:rsidRPr="00867A54">
        <w:rPr>
          <w:rFonts w:ascii="Times New Roman" w:hint="eastAsia"/>
        </w:rPr>
        <w:t>为危险废物</w:t>
      </w:r>
      <w:r w:rsidR="00671AE7">
        <w:rPr>
          <w:rFonts w:ascii="Times New Roman" w:hint="eastAsia"/>
        </w:rPr>
        <w:t>（</w:t>
      </w:r>
      <w:r w:rsidR="00671AE7" w:rsidRPr="00671AE7">
        <w:rPr>
          <w:rFonts w:ascii="Times New Roman"/>
        </w:rPr>
        <w:t>HW08</w:t>
      </w:r>
      <w:r w:rsidR="00671AE7" w:rsidRPr="00671AE7">
        <w:rPr>
          <w:rFonts w:ascii="Times New Roman"/>
        </w:rPr>
        <w:t>废矿物油</w:t>
      </w:r>
      <w:r w:rsidR="00671AE7" w:rsidRPr="00671AE7">
        <w:rPr>
          <w:rFonts w:ascii="Times New Roman" w:hint="eastAsia"/>
        </w:rPr>
        <w:t>与含矿物油废物</w:t>
      </w:r>
      <w:r w:rsidR="00671AE7">
        <w:rPr>
          <w:rFonts w:ascii="Times New Roman" w:hint="eastAsia"/>
        </w:rPr>
        <w:t>）</w:t>
      </w:r>
      <w:r w:rsidR="00671AE7" w:rsidRPr="00867A54">
        <w:rPr>
          <w:rFonts w:ascii="Times New Roman" w:hint="eastAsia"/>
        </w:rPr>
        <w:t>，存于危废暂存间，定期交由资质单位处置</w:t>
      </w:r>
      <w:r w:rsidRPr="00D630D1">
        <w:rPr>
          <w:rFonts w:ascii="Times New Roman"/>
        </w:rPr>
        <w:t>。</w:t>
      </w:r>
    </w:p>
    <w:p w:rsidR="00FF41BF" w:rsidRPr="00D630D1" w:rsidRDefault="00FF41BF" w:rsidP="00FF41BF">
      <w:pPr>
        <w:pStyle w:val="af8"/>
        <w:ind w:firstLine="480"/>
      </w:pPr>
      <w:r w:rsidRPr="00D630D1">
        <w:t>类比普光</w:t>
      </w:r>
      <w:r w:rsidRPr="00D630D1">
        <w:t>3</w:t>
      </w:r>
      <w:r w:rsidRPr="00D630D1">
        <w:t>井及普光</w:t>
      </w:r>
      <w:r w:rsidRPr="00D630D1">
        <w:t>7</w:t>
      </w:r>
      <w:r w:rsidRPr="00D630D1">
        <w:t>井钻井液固化物浸出液检测结果（见表</w:t>
      </w:r>
      <w:bookmarkStart w:id="356" w:name="OLE_LINK257"/>
      <w:bookmarkStart w:id="357" w:name="OLE_LINK258"/>
      <w:r w:rsidR="00AD59E9" w:rsidRPr="00D630D1">
        <w:t>4.1-1</w:t>
      </w:r>
      <w:r w:rsidR="00AD59E9" w:rsidRPr="00D630D1">
        <w:rPr>
          <w:rFonts w:hint="eastAsia"/>
        </w:rPr>
        <w:t>1</w:t>
      </w:r>
      <w:bookmarkEnd w:id="356"/>
      <w:bookmarkEnd w:id="357"/>
      <w:r w:rsidRPr="00D630D1">
        <w:t>），样品污染物浓度均不超过《危险废物鉴别标准</w:t>
      </w:r>
      <w:r w:rsidRPr="00D630D1">
        <w:t xml:space="preserve"> </w:t>
      </w:r>
      <w:r w:rsidRPr="00D630D1">
        <w:t>浸出毒性鉴别》（</w:t>
      </w:r>
      <w:r w:rsidRPr="00D630D1">
        <w:t>GB 5085.3-2007</w:t>
      </w:r>
      <w:r w:rsidRPr="00D630D1">
        <w:t>）中表</w:t>
      </w:r>
      <w:r w:rsidRPr="00D630D1">
        <w:t>1</w:t>
      </w:r>
      <w:r w:rsidRPr="00D630D1">
        <w:t>标准，因此，钻井废</w:t>
      </w:r>
      <w:r w:rsidR="00671AE7">
        <w:rPr>
          <w:rFonts w:hint="eastAsia"/>
        </w:rPr>
        <w:t>水基</w:t>
      </w:r>
      <w:r w:rsidRPr="00D630D1">
        <w:t>泥浆属于第</w:t>
      </w:r>
      <w:r w:rsidRPr="00D630D1">
        <w:t>Ⅱ</w:t>
      </w:r>
      <w:r w:rsidRPr="00D630D1">
        <w:t>类一般工业固体废物。同时经与《国家危险废物名录》（</w:t>
      </w:r>
      <w:r w:rsidRPr="00D630D1">
        <w:t>20</w:t>
      </w:r>
      <w:r w:rsidRPr="00D630D1">
        <w:rPr>
          <w:rFonts w:hint="eastAsia"/>
        </w:rPr>
        <w:t>21</w:t>
      </w:r>
      <w:r w:rsidRPr="00D630D1">
        <w:t>年</w:t>
      </w:r>
      <w:r w:rsidRPr="00D630D1">
        <w:rPr>
          <w:rFonts w:hint="eastAsia"/>
        </w:rPr>
        <w:t>1</w:t>
      </w:r>
      <w:r w:rsidRPr="00D630D1">
        <w:t>月</w:t>
      </w:r>
      <w:r w:rsidRPr="00D630D1">
        <w:t>1</w:t>
      </w:r>
      <w:r w:rsidRPr="00D630D1">
        <w:t>日）对比，废水基泥浆不在上述名录中规定的危险废物之列。因此，废水基泥浆不属于危险废物</w:t>
      </w:r>
      <w:r w:rsidR="00AD59E9" w:rsidRPr="00D630D1">
        <w:rPr>
          <w:rFonts w:hint="eastAsia"/>
        </w:rPr>
        <w:t>。</w:t>
      </w:r>
    </w:p>
    <w:p w:rsidR="00AD59E9" w:rsidRPr="00D630D1" w:rsidRDefault="00AD59E9" w:rsidP="00F96E37">
      <w:pPr>
        <w:topLinePunct w:val="0"/>
        <w:snapToGrid w:val="0"/>
        <w:spacing w:beforeLines="50"/>
        <w:ind w:firstLineChars="0" w:firstLine="480"/>
        <w:jc w:val="center"/>
        <w:rPr>
          <w:rFonts w:ascii="Times New Roman" w:cs="Times New Roman"/>
          <w:b/>
          <w:kern w:val="2"/>
          <w:sz w:val="21"/>
          <w:szCs w:val="20"/>
        </w:rPr>
      </w:pPr>
      <w:bookmarkStart w:id="358" w:name="_Ref477502032"/>
      <w:r w:rsidRPr="00D630D1">
        <w:rPr>
          <w:rFonts w:ascii="Times New Roman" w:cs="Times New Roman"/>
          <w:b/>
          <w:kern w:val="2"/>
          <w:sz w:val="21"/>
          <w:szCs w:val="20"/>
        </w:rPr>
        <w:t>表</w:t>
      </w:r>
      <w:bookmarkEnd w:id="358"/>
      <w:r w:rsidRPr="00D630D1">
        <w:rPr>
          <w:rFonts w:ascii="Times New Roman" w:cs="Times New Roman"/>
          <w:b/>
          <w:sz w:val="21"/>
          <w:szCs w:val="21"/>
        </w:rPr>
        <w:t>4.1-11</w:t>
      </w:r>
      <w:r w:rsidRPr="00D630D1">
        <w:rPr>
          <w:rFonts w:ascii="Times New Roman" w:cs="Times New Roman"/>
          <w:b/>
          <w:kern w:val="2"/>
          <w:sz w:val="21"/>
          <w:szCs w:val="21"/>
        </w:rPr>
        <w:t xml:space="preserve"> </w:t>
      </w:r>
      <w:r w:rsidRPr="00D630D1">
        <w:rPr>
          <w:rFonts w:ascii="Times New Roman" w:cs="Times New Roman"/>
          <w:b/>
          <w:kern w:val="2"/>
          <w:sz w:val="21"/>
          <w:szCs w:val="20"/>
        </w:rPr>
        <w:t xml:space="preserve"> </w:t>
      </w:r>
      <w:r w:rsidRPr="00D630D1">
        <w:rPr>
          <w:rFonts w:ascii="Times New Roman" w:cs="Times New Roman"/>
          <w:b/>
          <w:kern w:val="2"/>
          <w:sz w:val="21"/>
          <w:szCs w:val="20"/>
        </w:rPr>
        <w:t>普光</w:t>
      </w:r>
      <w:r w:rsidRPr="00D630D1">
        <w:rPr>
          <w:rFonts w:ascii="Times New Roman" w:cs="Times New Roman"/>
          <w:b/>
          <w:kern w:val="2"/>
          <w:sz w:val="21"/>
          <w:szCs w:val="20"/>
        </w:rPr>
        <w:t>3</w:t>
      </w:r>
      <w:r w:rsidRPr="00D630D1">
        <w:rPr>
          <w:rFonts w:ascii="Times New Roman" w:cs="Times New Roman"/>
          <w:b/>
          <w:kern w:val="2"/>
          <w:sz w:val="21"/>
          <w:szCs w:val="20"/>
        </w:rPr>
        <w:t>井及普光</w:t>
      </w:r>
      <w:r w:rsidRPr="00D630D1">
        <w:rPr>
          <w:rFonts w:ascii="Times New Roman" w:cs="Times New Roman"/>
          <w:b/>
          <w:kern w:val="2"/>
          <w:sz w:val="21"/>
          <w:szCs w:val="20"/>
        </w:rPr>
        <w:t>7</w:t>
      </w:r>
      <w:r w:rsidRPr="00D630D1">
        <w:rPr>
          <w:rFonts w:ascii="Times New Roman" w:cs="Times New Roman"/>
          <w:b/>
          <w:kern w:val="2"/>
          <w:sz w:val="21"/>
          <w:szCs w:val="20"/>
        </w:rPr>
        <w:t>井固化样浸出液检测结果</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327"/>
        <w:gridCol w:w="2161"/>
        <w:gridCol w:w="2294"/>
        <w:gridCol w:w="2740"/>
      </w:tblGrid>
      <w:tr w:rsidR="00AD59E9" w:rsidRPr="00D630D1" w:rsidTr="00AD59E9">
        <w:trPr>
          <w:trHeight w:val="340"/>
          <w:tblHeader/>
          <w:jc w:val="center"/>
        </w:trPr>
        <w:tc>
          <w:tcPr>
            <w:tcW w:w="1327"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项目</w:t>
            </w:r>
          </w:p>
        </w:tc>
        <w:tc>
          <w:tcPr>
            <w:tcW w:w="2161"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普光</w:t>
            </w:r>
            <w:r w:rsidRPr="00D630D1">
              <w:rPr>
                <w:rFonts w:ascii="Times New Roman" w:cs="Times New Roman"/>
                <w:b/>
                <w:kern w:val="2"/>
                <w:sz w:val="21"/>
                <w:szCs w:val="21"/>
              </w:rPr>
              <w:t>3</w:t>
            </w:r>
            <w:r w:rsidRPr="00D630D1">
              <w:rPr>
                <w:rFonts w:ascii="Times New Roman" w:hAnsi="宋体" w:cs="Times New Roman"/>
                <w:b/>
                <w:kern w:val="2"/>
                <w:sz w:val="21"/>
                <w:szCs w:val="21"/>
              </w:rPr>
              <w:t>井检测值</w:t>
            </w:r>
          </w:p>
          <w:p w:rsidR="00AD59E9" w:rsidRPr="00D630D1" w:rsidRDefault="00AD59E9" w:rsidP="00AD59E9">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w:t>
            </w:r>
            <w:r w:rsidRPr="00D630D1">
              <w:rPr>
                <w:rFonts w:ascii="Times New Roman" w:cs="Times New Roman"/>
                <w:b/>
                <w:kern w:val="2"/>
                <w:sz w:val="21"/>
                <w:szCs w:val="21"/>
              </w:rPr>
              <w:t>mg/L</w:t>
            </w:r>
            <w:r w:rsidRPr="00D630D1">
              <w:rPr>
                <w:rFonts w:ascii="Times New Roman" w:hAnsi="宋体" w:cs="Times New Roman"/>
                <w:b/>
                <w:kern w:val="2"/>
                <w:sz w:val="21"/>
                <w:szCs w:val="21"/>
              </w:rPr>
              <w:t>）</w:t>
            </w:r>
          </w:p>
        </w:tc>
        <w:tc>
          <w:tcPr>
            <w:tcW w:w="2294"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普光</w:t>
            </w:r>
            <w:r w:rsidRPr="00D630D1">
              <w:rPr>
                <w:rFonts w:ascii="Times New Roman" w:cs="Times New Roman"/>
                <w:b/>
                <w:kern w:val="2"/>
                <w:sz w:val="21"/>
                <w:szCs w:val="21"/>
              </w:rPr>
              <w:t>7</w:t>
            </w:r>
            <w:r w:rsidRPr="00D630D1">
              <w:rPr>
                <w:rFonts w:ascii="Times New Roman" w:hAnsi="宋体" w:cs="Times New Roman"/>
                <w:b/>
                <w:kern w:val="2"/>
                <w:sz w:val="21"/>
                <w:szCs w:val="21"/>
              </w:rPr>
              <w:t>井检测值</w:t>
            </w:r>
          </w:p>
          <w:p w:rsidR="00AD59E9" w:rsidRPr="00D630D1" w:rsidRDefault="00AD59E9" w:rsidP="00AD59E9">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w:t>
            </w:r>
            <w:r w:rsidRPr="00D630D1">
              <w:rPr>
                <w:rFonts w:ascii="Times New Roman" w:cs="Times New Roman"/>
                <w:b/>
                <w:kern w:val="2"/>
                <w:sz w:val="21"/>
                <w:szCs w:val="21"/>
              </w:rPr>
              <w:t>mg/L</w:t>
            </w:r>
            <w:r w:rsidRPr="00D630D1">
              <w:rPr>
                <w:rFonts w:ascii="Times New Roman" w:hAnsi="宋体" w:cs="Times New Roman"/>
                <w:b/>
                <w:kern w:val="2"/>
                <w:sz w:val="21"/>
                <w:szCs w:val="21"/>
              </w:rPr>
              <w:t>）</w:t>
            </w:r>
          </w:p>
        </w:tc>
        <w:tc>
          <w:tcPr>
            <w:tcW w:w="2740"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GB 5085.3-2007</w:t>
            </w:r>
            <w:r w:rsidRPr="00D630D1">
              <w:rPr>
                <w:rFonts w:ascii="Times New Roman" w:hAnsi="宋体" w:cs="Times New Roman"/>
                <w:b/>
                <w:kern w:val="2"/>
                <w:sz w:val="21"/>
                <w:szCs w:val="21"/>
              </w:rPr>
              <w:t>标准值</w:t>
            </w:r>
          </w:p>
          <w:p w:rsidR="00AD59E9" w:rsidRPr="00D630D1" w:rsidRDefault="00AD59E9" w:rsidP="00AD59E9">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hAnsi="宋体" w:cs="Times New Roman"/>
                <w:b/>
                <w:kern w:val="2"/>
                <w:sz w:val="21"/>
                <w:szCs w:val="21"/>
              </w:rPr>
              <w:t>（</w:t>
            </w:r>
            <w:r w:rsidRPr="00D630D1">
              <w:rPr>
                <w:rFonts w:ascii="Times New Roman" w:cs="Times New Roman"/>
                <w:b/>
                <w:kern w:val="2"/>
                <w:sz w:val="21"/>
                <w:szCs w:val="21"/>
              </w:rPr>
              <w:t>mg/L</w:t>
            </w:r>
            <w:r w:rsidRPr="00D630D1">
              <w:rPr>
                <w:rFonts w:ascii="Times New Roman" w:hAnsi="宋体" w:cs="Times New Roman"/>
                <w:b/>
                <w:kern w:val="2"/>
                <w:sz w:val="21"/>
                <w:szCs w:val="21"/>
              </w:rPr>
              <w:t>）</w:t>
            </w:r>
          </w:p>
        </w:tc>
      </w:tr>
      <w:tr w:rsidR="00AD59E9" w:rsidRPr="00D630D1" w:rsidTr="00AD59E9">
        <w:trPr>
          <w:trHeight w:val="340"/>
          <w:jc w:val="center"/>
        </w:trPr>
        <w:tc>
          <w:tcPr>
            <w:tcW w:w="1327"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铬（六价）</w:t>
            </w:r>
          </w:p>
        </w:tc>
        <w:tc>
          <w:tcPr>
            <w:tcW w:w="2161"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未检出</w:t>
            </w:r>
          </w:p>
        </w:tc>
        <w:tc>
          <w:tcPr>
            <w:tcW w:w="2294"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未检出</w:t>
            </w:r>
          </w:p>
        </w:tc>
        <w:tc>
          <w:tcPr>
            <w:tcW w:w="2740"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w:t>
            </w:r>
          </w:p>
        </w:tc>
      </w:tr>
      <w:tr w:rsidR="00AD59E9" w:rsidRPr="00D630D1" w:rsidTr="00AD59E9">
        <w:trPr>
          <w:trHeight w:val="340"/>
          <w:jc w:val="center"/>
        </w:trPr>
        <w:tc>
          <w:tcPr>
            <w:tcW w:w="1327"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铜</w:t>
            </w:r>
          </w:p>
        </w:tc>
        <w:tc>
          <w:tcPr>
            <w:tcW w:w="2161"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0.105</w:t>
            </w:r>
          </w:p>
        </w:tc>
        <w:tc>
          <w:tcPr>
            <w:tcW w:w="2294"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未检出</w:t>
            </w:r>
          </w:p>
        </w:tc>
        <w:tc>
          <w:tcPr>
            <w:tcW w:w="2740"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100</w:t>
            </w:r>
          </w:p>
        </w:tc>
      </w:tr>
      <w:tr w:rsidR="00AD59E9" w:rsidRPr="00D630D1" w:rsidTr="00AD59E9">
        <w:trPr>
          <w:trHeight w:val="340"/>
          <w:jc w:val="center"/>
        </w:trPr>
        <w:tc>
          <w:tcPr>
            <w:tcW w:w="1327"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锌</w:t>
            </w:r>
          </w:p>
        </w:tc>
        <w:tc>
          <w:tcPr>
            <w:tcW w:w="2161"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0.072</w:t>
            </w:r>
          </w:p>
        </w:tc>
        <w:tc>
          <w:tcPr>
            <w:tcW w:w="2294"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未检出</w:t>
            </w:r>
          </w:p>
        </w:tc>
        <w:tc>
          <w:tcPr>
            <w:tcW w:w="2740"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100</w:t>
            </w:r>
          </w:p>
        </w:tc>
      </w:tr>
      <w:tr w:rsidR="00AD59E9" w:rsidRPr="00D630D1" w:rsidTr="00AD59E9">
        <w:trPr>
          <w:trHeight w:val="340"/>
          <w:jc w:val="center"/>
        </w:trPr>
        <w:tc>
          <w:tcPr>
            <w:tcW w:w="1327"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铅</w:t>
            </w:r>
          </w:p>
        </w:tc>
        <w:tc>
          <w:tcPr>
            <w:tcW w:w="2161"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未检出</w:t>
            </w:r>
          </w:p>
        </w:tc>
        <w:tc>
          <w:tcPr>
            <w:tcW w:w="2294"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未检出</w:t>
            </w:r>
          </w:p>
        </w:tc>
        <w:tc>
          <w:tcPr>
            <w:tcW w:w="2740"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w:t>
            </w:r>
          </w:p>
        </w:tc>
      </w:tr>
      <w:tr w:rsidR="00AD59E9" w:rsidRPr="00D630D1" w:rsidTr="00AD59E9">
        <w:trPr>
          <w:trHeight w:val="340"/>
          <w:jc w:val="center"/>
        </w:trPr>
        <w:tc>
          <w:tcPr>
            <w:tcW w:w="1327"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镉</w:t>
            </w:r>
          </w:p>
        </w:tc>
        <w:tc>
          <w:tcPr>
            <w:tcW w:w="2161"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未检出</w:t>
            </w:r>
          </w:p>
        </w:tc>
        <w:tc>
          <w:tcPr>
            <w:tcW w:w="2294"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未检出</w:t>
            </w:r>
          </w:p>
        </w:tc>
        <w:tc>
          <w:tcPr>
            <w:tcW w:w="2740"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p>
        </w:tc>
      </w:tr>
      <w:tr w:rsidR="00AD59E9" w:rsidRPr="00D630D1" w:rsidTr="00AD59E9">
        <w:trPr>
          <w:trHeight w:val="340"/>
          <w:jc w:val="center"/>
        </w:trPr>
        <w:tc>
          <w:tcPr>
            <w:tcW w:w="1327"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汞</w:t>
            </w:r>
          </w:p>
        </w:tc>
        <w:tc>
          <w:tcPr>
            <w:tcW w:w="2161"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未检出</w:t>
            </w:r>
          </w:p>
        </w:tc>
        <w:tc>
          <w:tcPr>
            <w:tcW w:w="2294"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2740"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0.1</w:t>
            </w:r>
          </w:p>
        </w:tc>
      </w:tr>
      <w:tr w:rsidR="00AD59E9" w:rsidRPr="00D630D1" w:rsidTr="00AD59E9">
        <w:trPr>
          <w:trHeight w:val="340"/>
          <w:jc w:val="center"/>
        </w:trPr>
        <w:tc>
          <w:tcPr>
            <w:tcW w:w="1327"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砷</w:t>
            </w:r>
          </w:p>
        </w:tc>
        <w:tc>
          <w:tcPr>
            <w:tcW w:w="2161"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0.0003</w:t>
            </w:r>
          </w:p>
        </w:tc>
        <w:tc>
          <w:tcPr>
            <w:tcW w:w="2294"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2740" w:type="dxa"/>
            <w:vAlign w:val="center"/>
          </w:tcPr>
          <w:p w:rsidR="00AD59E9" w:rsidRPr="00D630D1" w:rsidRDefault="00AD59E9" w:rsidP="00AD59E9">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w:t>
            </w:r>
          </w:p>
        </w:tc>
      </w:tr>
    </w:tbl>
    <w:p w:rsidR="00AD59E9" w:rsidRPr="00D630D1" w:rsidRDefault="00AD59E9" w:rsidP="00AD59E9">
      <w:pPr>
        <w:pStyle w:val="SSEC20150323"/>
        <w:ind w:firstLine="480"/>
        <w:rPr>
          <w:rFonts w:ascii="Times New Roman" w:hAnsi="Times New Roman"/>
        </w:rPr>
      </w:pPr>
      <w:r w:rsidRPr="00D630D1">
        <w:rPr>
          <w:rFonts w:ascii="Times New Roman" w:hAnsi="Times New Roman"/>
        </w:rPr>
        <w:t>c.</w:t>
      </w:r>
      <w:r w:rsidRPr="00D630D1">
        <w:rPr>
          <w:rFonts w:ascii="Times New Roman"/>
        </w:rPr>
        <w:t>废岩屑、废泥浆处置方式</w:t>
      </w:r>
      <w:r w:rsidRPr="00D630D1">
        <w:rPr>
          <w:rFonts w:ascii="Times New Roman" w:hAnsi="Times New Roman"/>
        </w:rPr>
        <w:t xml:space="preserve"> </w:t>
      </w:r>
    </w:p>
    <w:p w:rsidR="00AD59E9" w:rsidRPr="00D630D1" w:rsidRDefault="00AD59E9" w:rsidP="00AD59E9">
      <w:pPr>
        <w:pStyle w:val="af8"/>
        <w:ind w:firstLine="480"/>
      </w:pPr>
      <w:r w:rsidRPr="00D630D1">
        <w:rPr>
          <w:rFonts w:hint="eastAsia"/>
          <w:bCs/>
        </w:rPr>
        <w:t>本项目</w:t>
      </w:r>
      <w:r w:rsidRPr="00D630D1">
        <w:rPr>
          <w:bCs/>
        </w:rPr>
        <w:t>采用清洁化操作平台，并采取泥浆不落地措施</w:t>
      </w:r>
      <w:r w:rsidRPr="00D630D1">
        <w:rPr>
          <w:rFonts w:hint="eastAsia"/>
          <w:bCs/>
        </w:rPr>
        <w:t>，</w:t>
      </w:r>
      <w:r w:rsidR="00671AE7" w:rsidRPr="00D630D1">
        <w:t>废水基泥浆</w:t>
      </w:r>
      <w:r w:rsidRPr="00D630D1">
        <w:t>按照《达州市生态环境局办公室关于</w:t>
      </w:r>
      <w:r w:rsidRPr="00D630D1">
        <w:rPr>
          <w:rFonts w:hint="eastAsia"/>
        </w:rPr>
        <w:t>进一步</w:t>
      </w:r>
      <w:r w:rsidRPr="00D630D1">
        <w:t>加强固体废物污染防治工作的通知》（达市环办发〔</w:t>
      </w:r>
      <w:r w:rsidRPr="00D630D1">
        <w:t>20</w:t>
      </w:r>
      <w:r w:rsidRPr="00D630D1">
        <w:rPr>
          <w:rFonts w:hint="eastAsia"/>
        </w:rPr>
        <w:t>21</w:t>
      </w:r>
      <w:r w:rsidRPr="00D630D1">
        <w:t>〕</w:t>
      </w:r>
      <w:r w:rsidRPr="00D630D1">
        <w:rPr>
          <w:rFonts w:hint="eastAsia"/>
        </w:rPr>
        <w:t>24</w:t>
      </w:r>
      <w:r w:rsidRPr="00D630D1">
        <w:t>号）要求，就近交给依法取得生态环境部门关于利用和处置相关工业固体废物项目环评批复、具有处理处置相应固体废物能力并配套建设有废气、废水、固废等污染物治理设施的单位</w:t>
      </w:r>
      <w:r w:rsidRPr="00D630D1">
        <w:rPr>
          <w:rFonts w:hint="eastAsia"/>
        </w:rPr>
        <w:t>进行资源化利用</w:t>
      </w:r>
      <w:r w:rsidR="00671AE7">
        <w:rPr>
          <w:rFonts w:hint="eastAsia"/>
        </w:rPr>
        <w:t>；废油基泥浆</w:t>
      </w:r>
      <w:r w:rsidR="00671AE7" w:rsidRPr="00867A54">
        <w:rPr>
          <w:rFonts w:hint="eastAsia"/>
        </w:rPr>
        <w:t>存于危废暂存间，定期交由资质单位处置</w:t>
      </w:r>
      <w:r w:rsidR="00671AE7" w:rsidRPr="00D630D1">
        <w:t>。</w:t>
      </w:r>
      <w:r w:rsidRPr="00D630D1">
        <w:rPr>
          <w:rFonts w:hint="eastAsia"/>
        </w:rPr>
        <w:t>。</w:t>
      </w:r>
    </w:p>
    <w:p w:rsidR="00AD59E9" w:rsidRPr="00D630D1" w:rsidRDefault="00AD59E9" w:rsidP="00AD59E9">
      <w:pPr>
        <w:pStyle w:val="afa"/>
        <w:ind w:firstLine="482"/>
        <w:rPr>
          <w:b/>
          <w:bCs/>
        </w:rPr>
      </w:pPr>
      <w:r w:rsidRPr="00D630D1">
        <w:rPr>
          <w:rFonts w:hint="eastAsia"/>
          <w:b/>
          <w:bCs/>
        </w:rPr>
        <w:t>6</w:t>
      </w:r>
      <w:r w:rsidRPr="00D630D1">
        <w:rPr>
          <w:b/>
          <w:bCs/>
        </w:rPr>
        <w:t>、</w:t>
      </w:r>
      <w:r w:rsidRPr="00D630D1">
        <w:rPr>
          <w:rFonts w:hint="eastAsia"/>
          <w:b/>
        </w:rPr>
        <w:t>废油</w:t>
      </w:r>
    </w:p>
    <w:p w:rsidR="00AD59E9" w:rsidRPr="00D630D1" w:rsidRDefault="00AD59E9" w:rsidP="00AD59E9">
      <w:pPr>
        <w:pStyle w:val="af8"/>
        <w:ind w:firstLine="480"/>
      </w:pPr>
      <w:r w:rsidRPr="00D630D1">
        <w:t>钻井过程中废油的主要来源是：机械（泥浆泵、转盘、链条等）润滑废油；清洗、保养产生的废油。</w:t>
      </w:r>
      <w:r w:rsidR="00024CC8">
        <w:t>普陆页</w:t>
      </w:r>
      <w:r w:rsidR="00024CC8">
        <w:t>1-1~6</w:t>
      </w:r>
      <w:r w:rsidR="00024CC8">
        <w:t>井</w:t>
      </w:r>
      <w:r w:rsidRPr="00D630D1">
        <w:t>钻井期间废油产生量约</w:t>
      </w:r>
      <w:r w:rsidR="00671AE7">
        <w:rPr>
          <w:rFonts w:hint="eastAsia"/>
        </w:rPr>
        <w:t>3</w:t>
      </w:r>
      <w:r w:rsidRPr="00D630D1">
        <w:t>m</w:t>
      </w:r>
      <w:r w:rsidRPr="00D630D1">
        <w:rPr>
          <w:vertAlign w:val="superscript"/>
        </w:rPr>
        <w:t>3</w:t>
      </w:r>
      <w:r w:rsidRPr="00D630D1">
        <w:t>，废油</w:t>
      </w:r>
      <w:r w:rsidRPr="00D630D1">
        <w:rPr>
          <w:rFonts w:hint="eastAsia"/>
        </w:rPr>
        <w:t>暂存于危废暂存间，面积约</w:t>
      </w:r>
      <w:r w:rsidR="00C04B07">
        <w:rPr>
          <w:rFonts w:hint="eastAsia"/>
        </w:rPr>
        <w:t>10</w:t>
      </w:r>
      <w:r w:rsidRPr="00D630D1">
        <w:rPr>
          <w:rFonts w:hint="eastAsia"/>
        </w:rPr>
        <w:t>m</w:t>
      </w:r>
      <w:r w:rsidRPr="00D630D1">
        <w:rPr>
          <w:rFonts w:hint="eastAsia"/>
          <w:vertAlign w:val="superscript"/>
        </w:rPr>
        <w:t>2</w:t>
      </w:r>
      <w:r w:rsidRPr="00D630D1">
        <w:rPr>
          <w:rFonts w:hint="eastAsia"/>
        </w:rPr>
        <w:t>，暂存间地面采取四防措施（防风、防雨、防晒、防渗漏），并</w:t>
      </w:r>
      <w:r w:rsidRPr="00D630D1">
        <w:t>及时清运</w:t>
      </w:r>
      <w:r w:rsidRPr="00D630D1">
        <w:rPr>
          <w:rFonts w:hint="eastAsia"/>
        </w:rPr>
        <w:t>至企业净化厂</w:t>
      </w:r>
      <w:r w:rsidRPr="00D630D1">
        <w:t>危险废物贮存仓库</w:t>
      </w:r>
      <w:r w:rsidRPr="00D630D1">
        <w:rPr>
          <w:rFonts w:hint="eastAsia"/>
        </w:rPr>
        <w:t>（运距约</w:t>
      </w:r>
      <w:r w:rsidRPr="00D630D1">
        <w:rPr>
          <w:rFonts w:hint="eastAsia"/>
        </w:rPr>
        <w:t>2</w:t>
      </w:r>
      <w:r w:rsidR="00E21449">
        <w:rPr>
          <w:rFonts w:hint="eastAsia"/>
        </w:rPr>
        <w:t>2</w:t>
      </w:r>
      <w:r w:rsidRPr="00D630D1">
        <w:rPr>
          <w:rFonts w:hint="eastAsia"/>
        </w:rPr>
        <w:t>km</w:t>
      </w:r>
      <w:r w:rsidRPr="00D630D1">
        <w:rPr>
          <w:rFonts w:hint="eastAsia"/>
        </w:rPr>
        <w:t>）</w:t>
      </w:r>
      <w:r w:rsidRPr="00D630D1">
        <w:t>，</w:t>
      </w:r>
      <w:r w:rsidRPr="00D630D1">
        <w:rPr>
          <w:rFonts w:hint="eastAsia"/>
        </w:rPr>
        <w:t>定期</w:t>
      </w:r>
      <w:r w:rsidRPr="00D630D1">
        <w:t>送有资质单位处理。废油属危险废物（《国家危险废物名录》（</w:t>
      </w:r>
      <w:r w:rsidRPr="00D630D1">
        <w:t>20</w:t>
      </w:r>
      <w:r w:rsidRPr="00D630D1">
        <w:rPr>
          <w:rFonts w:hint="eastAsia"/>
        </w:rPr>
        <w:t>21</w:t>
      </w:r>
      <w:r w:rsidRPr="00D630D1">
        <w:t>年</w:t>
      </w:r>
      <w:r w:rsidRPr="00D630D1">
        <w:rPr>
          <w:rFonts w:hint="eastAsia"/>
        </w:rPr>
        <w:t>1</w:t>
      </w:r>
      <w:r w:rsidRPr="00D630D1">
        <w:t>月</w:t>
      </w:r>
      <w:r w:rsidRPr="00D630D1">
        <w:t>1</w:t>
      </w:r>
      <w:r w:rsidRPr="00D630D1">
        <w:lastRenderedPageBreak/>
        <w:t>日）中</w:t>
      </w:r>
      <w:r w:rsidRPr="00D630D1">
        <w:t>HW08</w:t>
      </w:r>
      <w:r w:rsidRPr="00D630D1">
        <w:t>废矿物油</w:t>
      </w:r>
      <w:r w:rsidRPr="00D630D1">
        <w:rPr>
          <w:rFonts w:hint="eastAsia"/>
        </w:rPr>
        <w:t>与含矿物油废物</w:t>
      </w:r>
      <w:r w:rsidRPr="00D630D1">
        <w:t>），由有危险废物处置资质的单位代为处置。本项目对废油的收集、贮存和运输应满足《危险废物收集</w:t>
      </w:r>
      <w:r w:rsidRPr="00D630D1">
        <w:t xml:space="preserve"> </w:t>
      </w:r>
      <w:r w:rsidRPr="00D630D1">
        <w:t>贮存</w:t>
      </w:r>
      <w:r w:rsidRPr="00D630D1">
        <w:t xml:space="preserve"> </w:t>
      </w:r>
      <w:r w:rsidRPr="00D630D1">
        <w:t>运输技术规范》（</w:t>
      </w:r>
      <w:r w:rsidRPr="00D630D1">
        <w:t>HJ 2025-2012</w:t>
      </w:r>
      <w:r w:rsidRPr="00D630D1">
        <w:t>）的相关规定。</w:t>
      </w:r>
    </w:p>
    <w:p w:rsidR="00AD59E9" w:rsidRPr="00D630D1" w:rsidRDefault="00AD59E9" w:rsidP="00AD59E9">
      <w:pPr>
        <w:pStyle w:val="af8"/>
        <w:ind w:firstLine="480"/>
      </w:pPr>
      <w:bookmarkStart w:id="359" w:name="OLE_LINK77"/>
      <w:bookmarkStart w:id="360" w:name="OLE_LINK78"/>
      <w:bookmarkStart w:id="361" w:name="_Hlk105537821"/>
      <w:r w:rsidRPr="00D630D1">
        <w:t>HW08</w:t>
      </w:r>
      <w:bookmarkEnd w:id="359"/>
      <w:bookmarkEnd w:id="360"/>
      <w:r w:rsidRPr="00D630D1">
        <w:t>废矿物油</w:t>
      </w:r>
      <w:bookmarkEnd w:id="361"/>
      <w:r w:rsidRPr="00D630D1">
        <w:rPr>
          <w:rFonts w:hint="eastAsia"/>
        </w:rPr>
        <w:t>与含矿物油废物</w:t>
      </w:r>
      <w:r w:rsidRPr="00D630D1">
        <w:t>委托有危险废物处置资质的单位进行处理，可满足本项目废油处置的需求。</w:t>
      </w:r>
    </w:p>
    <w:bookmarkEnd w:id="343"/>
    <w:p w:rsidR="00117C3D" w:rsidRPr="00D630D1" w:rsidRDefault="00833289">
      <w:pPr>
        <w:pStyle w:val="3"/>
        <w:rPr>
          <w:rFonts w:eastAsia="宋体"/>
        </w:rPr>
      </w:pPr>
      <w:r w:rsidRPr="00D630D1">
        <w:rPr>
          <w:rFonts w:eastAsia="宋体"/>
        </w:rPr>
        <w:t>4</w:t>
      </w:r>
      <w:r w:rsidR="008B5B84" w:rsidRPr="00D630D1">
        <w:rPr>
          <w:rFonts w:eastAsia="宋体"/>
        </w:rPr>
        <w:t>.1.</w:t>
      </w:r>
      <w:r w:rsidR="009866A7" w:rsidRPr="00D630D1">
        <w:rPr>
          <w:rFonts w:eastAsia="宋体"/>
        </w:rPr>
        <w:t>8</w:t>
      </w:r>
      <w:r w:rsidR="008B5B84" w:rsidRPr="00D630D1">
        <w:rPr>
          <w:rFonts w:eastAsia="宋体"/>
        </w:rPr>
        <w:t xml:space="preserve"> </w:t>
      </w:r>
      <w:r w:rsidR="008B5B84" w:rsidRPr="00D630D1">
        <w:rPr>
          <w:rFonts w:eastAsia="宋体"/>
        </w:rPr>
        <w:t>施工期</w:t>
      </w:r>
      <w:r w:rsidR="008B5B84" w:rsidRPr="00D630D1">
        <w:rPr>
          <w:rFonts w:eastAsia="宋体"/>
        </w:rPr>
        <w:t>“</w:t>
      </w:r>
      <w:r w:rsidR="008B5B84" w:rsidRPr="00D630D1">
        <w:rPr>
          <w:rFonts w:eastAsia="宋体"/>
        </w:rPr>
        <w:t>三废</w:t>
      </w:r>
      <w:r w:rsidR="008B5B84" w:rsidRPr="00D630D1">
        <w:rPr>
          <w:rFonts w:eastAsia="宋体"/>
        </w:rPr>
        <w:t>”</w:t>
      </w:r>
      <w:r w:rsidR="008B5B84" w:rsidRPr="00D630D1">
        <w:rPr>
          <w:rFonts w:eastAsia="宋体"/>
        </w:rPr>
        <w:t>产生情况表</w:t>
      </w:r>
    </w:p>
    <w:p w:rsidR="00117C3D" w:rsidRPr="00D630D1" w:rsidRDefault="008B5B84" w:rsidP="00833289">
      <w:pPr>
        <w:pStyle w:val="afa"/>
        <w:ind w:firstLine="480"/>
      </w:pPr>
      <w:r w:rsidRPr="00D630D1">
        <w:t>本项目施工期</w:t>
      </w:r>
      <w:r w:rsidRPr="00D630D1">
        <w:t>“</w:t>
      </w:r>
      <w:r w:rsidRPr="00D630D1">
        <w:t>三废</w:t>
      </w:r>
      <w:r w:rsidRPr="00D630D1">
        <w:t>”</w:t>
      </w:r>
      <w:r w:rsidRPr="00D630D1">
        <w:t>产生及排放情况见下表。</w:t>
      </w:r>
    </w:p>
    <w:p w:rsidR="00117C3D" w:rsidRPr="00D630D1" w:rsidRDefault="008B5B84" w:rsidP="00833289">
      <w:pPr>
        <w:pStyle w:val="10"/>
        <w:rPr>
          <w:rFonts w:cs="Times New Roman"/>
        </w:rPr>
      </w:pPr>
      <w:r w:rsidRPr="00D630D1">
        <w:rPr>
          <w:rFonts w:cs="Times New Roman"/>
        </w:rPr>
        <w:t>表</w:t>
      </w:r>
      <w:r w:rsidR="00833289" w:rsidRPr="00D630D1">
        <w:rPr>
          <w:rFonts w:cs="Times New Roman"/>
        </w:rPr>
        <w:t>4</w:t>
      </w:r>
      <w:r w:rsidRPr="00D630D1">
        <w:rPr>
          <w:rFonts w:cs="Times New Roman"/>
        </w:rPr>
        <w:t>.1-</w:t>
      </w:r>
      <w:r w:rsidR="00AD59E9" w:rsidRPr="00D630D1">
        <w:rPr>
          <w:rFonts w:cs="Times New Roman" w:hint="eastAsia"/>
        </w:rPr>
        <w:t>12</w:t>
      </w:r>
      <w:r w:rsidR="00833289" w:rsidRPr="00D630D1">
        <w:rPr>
          <w:rFonts w:cs="Times New Roman"/>
        </w:rPr>
        <w:t xml:space="preserve">  </w:t>
      </w:r>
      <w:r w:rsidRPr="00D630D1">
        <w:rPr>
          <w:rFonts w:cs="Times New Roman"/>
        </w:rPr>
        <w:t>施工期主要污染源和污染物统计表</w:t>
      </w:r>
    </w:p>
    <w:tbl>
      <w:tblPr>
        <w:tblW w:w="8758" w:type="dxa"/>
        <w:jc w:val="center"/>
        <w:tblBorders>
          <w:top w:val="single" w:sz="12" w:space="0" w:color="000000"/>
          <w:bottom w:val="single" w:sz="12" w:space="0" w:color="000000"/>
          <w:insideH w:val="single" w:sz="2" w:space="0" w:color="000000"/>
          <w:insideV w:val="single" w:sz="2" w:space="0" w:color="000000"/>
        </w:tblBorders>
        <w:tblCellMar>
          <w:left w:w="0" w:type="dxa"/>
          <w:right w:w="0" w:type="dxa"/>
        </w:tblCellMar>
        <w:tblLook w:val="04A0"/>
      </w:tblPr>
      <w:tblGrid>
        <w:gridCol w:w="538"/>
        <w:gridCol w:w="1391"/>
        <w:gridCol w:w="1558"/>
        <w:gridCol w:w="1045"/>
        <w:gridCol w:w="1705"/>
        <w:gridCol w:w="2521"/>
      </w:tblGrid>
      <w:tr w:rsidR="006854E2" w:rsidRPr="00D630D1" w:rsidTr="00AD59E9">
        <w:trPr>
          <w:trHeight w:val="366"/>
          <w:jc w:val="center"/>
        </w:trPr>
        <w:tc>
          <w:tcPr>
            <w:tcW w:w="538" w:type="dxa"/>
            <w:vAlign w:val="center"/>
          </w:tcPr>
          <w:p w:rsidR="008D3FB5" w:rsidRPr="00D630D1" w:rsidRDefault="008D3FB5" w:rsidP="00833289">
            <w:pPr>
              <w:pStyle w:val="aff2"/>
              <w:rPr>
                <w:b/>
                <w:bCs/>
              </w:rPr>
            </w:pPr>
            <w:r w:rsidRPr="00D630D1">
              <w:rPr>
                <w:b/>
                <w:bCs/>
              </w:rPr>
              <w:t>污染类型</w:t>
            </w:r>
          </w:p>
        </w:tc>
        <w:tc>
          <w:tcPr>
            <w:tcW w:w="1391" w:type="dxa"/>
            <w:vAlign w:val="center"/>
          </w:tcPr>
          <w:p w:rsidR="008D3FB5" w:rsidRPr="00D630D1" w:rsidRDefault="008D3FB5" w:rsidP="00833289">
            <w:pPr>
              <w:pStyle w:val="aff2"/>
              <w:rPr>
                <w:b/>
                <w:bCs/>
              </w:rPr>
            </w:pPr>
            <w:r w:rsidRPr="00D630D1">
              <w:rPr>
                <w:b/>
                <w:bCs/>
              </w:rPr>
              <w:t>污染源</w:t>
            </w:r>
          </w:p>
        </w:tc>
        <w:tc>
          <w:tcPr>
            <w:tcW w:w="1558" w:type="dxa"/>
            <w:vAlign w:val="center"/>
          </w:tcPr>
          <w:p w:rsidR="008D3FB5" w:rsidRPr="00D630D1" w:rsidRDefault="008D3FB5" w:rsidP="00833289">
            <w:pPr>
              <w:pStyle w:val="aff2"/>
              <w:rPr>
                <w:b/>
                <w:bCs/>
              </w:rPr>
            </w:pPr>
            <w:r w:rsidRPr="00D630D1">
              <w:rPr>
                <w:b/>
                <w:bCs/>
              </w:rPr>
              <w:t>排放量</w:t>
            </w:r>
          </w:p>
        </w:tc>
        <w:tc>
          <w:tcPr>
            <w:tcW w:w="1045" w:type="dxa"/>
            <w:vAlign w:val="center"/>
          </w:tcPr>
          <w:p w:rsidR="008D3FB5" w:rsidRPr="00D630D1" w:rsidRDefault="008D3FB5" w:rsidP="00833289">
            <w:pPr>
              <w:pStyle w:val="aff2"/>
              <w:rPr>
                <w:b/>
                <w:bCs/>
              </w:rPr>
            </w:pPr>
            <w:r w:rsidRPr="00D630D1">
              <w:rPr>
                <w:b/>
                <w:bCs/>
              </w:rPr>
              <w:t>排放方式</w:t>
            </w:r>
          </w:p>
        </w:tc>
        <w:tc>
          <w:tcPr>
            <w:tcW w:w="1705" w:type="dxa"/>
            <w:vAlign w:val="center"/>
          </w:tcPr>
          <w:p w:rsidR="008D3FB5" w:rsidRPr="00D630D1" w:rsidRDefault="008D3FB5" w:rsidP="00833289">
            <w:pPr>
              <w:pStyle w:val="aff2"/>
              <w:rPr>
                <w:b/>
                <w:bCs/>
              </w:rPr>
            </w:pPr>
            <w:r w:rsidRPr="00D630D1">
              <w:rPr>
                <w:b/>
                <w:bCs/>
              </w:rPr>
              <w:t>主要污染物</w:t>
            </w:r>
          </w:p>
        </w:tc>
        <w:tc>
          <w:tcPr>
            <w:tcW w:w="2521" w:type="dxa"/>
            <w:vAlign w:val="center"/>
          </w:tcPr>
          <w:p w:rsidR="008D3FB5" w:rsidRPr="00D630D1" w:rsidRDefault="008D3FB5" w:rsidP="00833289">
            <w:pPr>
              <w:pStyle w:val="aff2"/>
              <w:rPr>
                <w:b/>
                <w:bCs/>
              </w:rPr>
            </w:pPr>
            <w:r w:rsidRPr="00D630D1">
              <w:rPr>
                <w:b/>
                <w:bCs/>
              </w:rPr>
              <w:t>排放去向</w:t>
            </w:r>
          </w:p>
        </w:tc>
      </w:tr>
      <w:tr w:rsidR="006854E2" w:rsidRPr="00D630D1" w:rsidTr="00AD59E9">
        <w:trPr>
          <w:trHeight w:val="366"/>
          <w:jc w:val="center"/>
        </w:trPr>
        <w:tc>
          <w:tcPr>
            <w:tcW w:w="538" w:type="dxa"/>
            <w:vMerge w:val="restart"/>
            <w:vAlign w:val="center"/>
          </w:tcPr>
          <w:p w:rsidR="008D3FB5" w:rsidRPr="00D630D1" w:rsidRDefault="008D3FB5" w:rsidP="00833289">
            <w:pPr>
              <w:pStyle w:val="aff2"/>
            </w:pPr>
            <w:bookmarkStart w:id="362" w:name="_Hlk105536694"/>
            <w:r w:rsidRPr="00D630D1">
              <w:t>废气</w:t>
            </w:r>
          </w:p>
        </w:tc>
        <w:tc>
          <w:tcPr>
            <w:tcW w:w="1391" w:type="dxa"/>
            <w:vAlign w:val="center"/>
          </w:tcPr>
          <w:p w:rsidR="008D3FB5" w:rsidRPr="00D630D1" w:rsidRDefault="008D3FB5" w:rsidP="00833289">
            <w:pPr>
              <w:pStyle w:val="aff2"/>
            </w:pPr>
            <w:r w:rsidRPr="00D630D1">
              <w:t>车辆行驶、地面开挖</w:t>
            </w:r>
          </w:p>
        </w:tc>
        <w:tc>
          <w:tcPr>
            <w:tcW w:w="1558" w:type="dxa"/>
            <w:vAlign w:val="center"/>
          </w:tcPr>
          <w:p w:rsidR="008D3FB5" w:rsidRPr="00D630D1" w:rsidRDefault="008D3FB5" w:rsidP="00833289">
            <w:pPr>
              <w:pStyle w:val="aff2"/>
            </w:pPr>
            <w:r w:rsidRPr="00D630D1">
              <w:t>少量</w:t>
            </w:r>
          </w:p>
        </w:tc>
        <w:tc>
          <w:tcPr>
            <w:tcW w:w="1045" w:type="dxa"/>
            <w:vAlign w:val="center"/>
          </w:tcPr>
          <w:p w:rsidR="008D3FB5" w:rsidRPr="00D630D1" w:rsidRDefault="008D3FB5" w:rsidP="008D3FB5">
            <w:pPr>
              <w:pStyle w:val="aff2"/>
            </w:pPr>
            <w:r w:rsidRPr="00D630D1">
              <w:t>间断</w:t>
            </w:r>
          </w:p>
        </w:tc>
        <w:tc>
          <w:tcPr>
            <w:tcW w:w="1705" w:type="dxa"/>
            <w:vAlign w:val="center"/>
          </w:tcPr>
          <w:p w:rsidR="008D3FB5" w:rsidRPr="00D630D1" w:rsidRDefault="008D3FB5" w:rsidP="00833289">
            <w:pPr>
              <w:pStyle w:val="aff2"/>
            </w:pPr>
            <w:r w:rsidRPr="00D630D1">
              <w:t>粉尘</w:t>
            </w:r>
          </w:p>
        </w:tc>
        <w:tc>
          <w:tcPr>
            <w:tcW w:w="2521" w:type="dxa"/>
            <w:vMerge w:val="restart"/>
            <w:vAlign w:val="center"/>
          </w:tcPr>
          <w:p w:rsidR="008D3FB5" w:rsidRPr="00D630D1" w:rsidRDefault="008D3FB5" w:rsidP="00833289">
            <w:pPr>
              <w:pStyle w:val="aff2"/>
            </w:pPr>
            <w:r w:rsidRPr="00D630D1">
              <w:t>环境空气</w:t>
            </w:r>
          </w:p>
        </w:tc>
      </w:tr>
      <w:bookmarkEnd w:id="362"/>
      <w:tr w:rsidR="006854E2" w:rsidRPr="00D630D1" w:rsidTr="00AD59E9">
        <w:trPr>
          <w:trHeight w:val="377"/>
          <w:jc w:val="center"/>
        </w:trPr>
        <w:tc>
          <w:tcPr>
            <w:tcW w:w="538" w:type="dxa"/>
            <w:vMerge/>
            <w:vAlign w:val="center"/>
          </w:tcPr>
          <w:p w:rsidR="008D3FB5" w:rsidRPr="00D630D1" w:rsidRDefault="008D3FB5" w:rsidP="00833289">
            <w:pPr>
              <w:pStyle w:val="aff2"/>
            </w:pPr>
          </w:p>
        </w:tc>
        <w:tc>
          <w:tcPr>
            <w:tcW w:w="1391" w:type="dxa"/>
            <w:vAlign w:val="center"/>
          </w:tcPr>
          <w:p w:rsidR="008D3FB5" w:rsidRPr="00D630D1" w:rsidRDefault="008D3FB5" w:rsidP="00833289">
            <w:pPr>
              <w:pStyle w:val="aff2"/>
            </w:pPr>
            <w:r w:rsidRPr="00D630D1">
              <w:t>施工机械、运输车辆尾气</w:t>
            </w:r>
          </w:p>
        </w:tc>
        <w:tc>
          <w:tcPr>
            <w:tcW w:w="1558" w:type="dxa"/>
            <w:vAlign w:val="center"/>
          </w:tcPr>
          <w:p w:rsidR="008D3FB5" w:rsidRPr="00D630D1" w:rsidRDefault="008D3FB5" w:rsidP="00833289">
            <w:pPr>
              <w:pStyle w:val="aff2"/>
            </w:pPr>
            <w:r w:rsidRPr="00D630D1">
              <w:t>少量</w:t>
            </w:r>
          </w:p>
        </w:tc>
        <w:tc>
          <w:tcPr>
            <w:tcW w:w="1045" w:type="dxa"/>
            <w:vAlign w:val="center"/>
          </w:tcPr>
          <w:p w:rsidR="008D3FB5" w:rsidRPr="00D630D1" w:rsidRDefault="008D3FB5" w:rsidP="00833289">
            <w:pPr>
              <w:pStyle w:val="aff2"/>
            </w:pPr>
            <w:r w:rsidRPr="00D630D1">
              <w:t>间断</w:t>
            </w:r>
          </w:p>
        </w:tc>
        <w:tc>
          <w:tcPr>
            <w:tcW w:w="1705" w:type="dxa"/>
            <w:vAlign w:val="center"/>
          </w:tcPr>
          <w:p w:rsidR="008D3FB5" w:rsidRPr="00D630D1" w:rsidRDefault="008D3FB5" w:rsidP="00833289">
            <w:pPr>
              <w:pStyle w:val="aff2"/>
            </w:pPr>
            <w:r w:rsidRPr="00D630D1">
              <w:t>SO</w:t>
            </w:r>
            <w:r w:rsidRPr="00D630D1">
              <w:rPr>
                <w:vertAlign w:val="subscript"/>
              </w:rPr>
              <w:t>2</w:t>
            </w:r>
            <w:r w:rsidRPr="00D630D1">
              <w:t>、</w:t>
            </w:r>
            <w:r w:rsidRPr="00D630D1">
              <w:t>NO</w:t>
            </w:r>
            <w:r w:rsidRPr="00D630D1">
              <w:rPr>
                <w:vertAlign w:val="subscript"/>
              </w:rPr>
              <w:t>2</w:t>
            </w:r>
            <w:r w:rsidRPr="00D630D1">
              <w:t>、</w:t>
            </w:r>
            <w:r w:rsidRPr="00D630D1">
              <w:t>C</w:t>
            </w:r>
            <w:r w:rsidRPr="00D630D1">
              <w:rPr>
                <w:vertAlign w:val="subscript"/>
              </w:rPr>
              <w:t>m</w:t>
            </w:r>
            <w:r w:rsidRPr="00D630D1">
              <w:t>H</w:t>
            </w:r>
            <w:r w:rsidRPr="00D630D1">
              <w:rPr>
                <w:vertAlign w:val="subscript"/>
              </w:rPr>
              <w:t>n</w:t>
            </w:r>
          </w:p>
        </w:tc>
        <w:tc>
          <w:tcPr>
            <w:tcW w:w="2521" w:type="dxa"/>
            <w:vMerge/>
            <w:vAlign w:val="center"/>
          </w:tcPr>
          <w:p w:rsidR="008D3FB5" w:rsidRPr="00D630D1" w:rsidRDefault="008D3FB5" w:rsidP="00833289">
            <w:pPr>
              <w:pStyle w:val="aff2"/>
            </w:pPr>
          </w:p>
        </w:tc>
      </w:tr>
      <w:tr w:rsidR="00AD59E9" w:rsidRPr="00D630D1" w:rsidTr="00AD59E9">
        <w:trPr>
          <w:trHeight w:val="377"/>
          <w:jc w:val="center"/>
        </w:trPr>
        <w:tc>
          <w:tcPr>
            <w:tcW w:w="538" w:type="dxa"/>
            <w:vMerge/>
            <w:vAlign w:val="center"/>
          </w:tcPr>
          <w:p w:rsidR="00AD59E9" w:rsidRPr="00D630D1" w:rsidRDefault="00AD59E9" w:rsidP="00833289">
            <w:pPr>
              <w:pStyle w:val="aff2"/>
            </w:pPr>
          </w:p>
        </w:tc>
        <w:tc>
          <w:tcPr>
            <w:tcW w:w="1391" w:type="dxa"/>
            <w:vAlign w:val="center"/>
          </w:tcPr>
          <w:p w:rsidR="00AD59E9" w:rsidRPr="00D630D1" w:rsidRDefault="00AD59E9" w:rsidP="00AD59E9">
            <w:pPr>
              <w:pStyle w:val="aff2"/>
            </w:pPr>
            <w:r w:rsidRPr="00D630D1">
              <w:rPr>
                <w:szCs w:val="21"/>
              </w:rPr>
              <w:t>焊接烟气</w:t>
            </w:r>
          </w:p>
        </w:tc>
        <w:tc>
          <w:tcPr>
            <w:tcW w:w="1558" w:type="dxa"/>
            <w:vAlign w:val="center"/>
          </w:tcPr>
          <w:p w:rsidR="00AD59E9" w:rsidRPr="00D630D1" w:rsidRDefault="00AD59E9" w:rsidP="00AD59E9">
            <w:pPr>
              <w:pStyle w:val="aff2"/>
            </w:pPr>
            <w:r w:rsidRPr="00D630D1">
              <w:rPr>
                <w:rFonts w:hint="eastAsia"/>
              </w:rPr>
              <w:t>45.6</w:t>
            </w:r>
            <w:r w:rsidRPr="00D630D1">
              <w:t>kg</w:t>
            </w:r>
          </w:p>
        </w:tc>
        <w:tc>
          <w:tcPr>
            <w:tcW w:w="1045" w:type="dxa"/>
            <w:vAlign w:val="center"/>
          </w:tcPr>
          <w:p w:rsidR="00AD59E9" w:rsidRPr="00D630D1" w:rsidRDefault="00AD59E9" w:rsidP="00AD59E9">
            <w:pPr>
              <w:pStyle w:val="aff2"/>
            </w:pPr>
            <w:bookmarkStart w:id="363" w:name="OLE_LINK275"/>
            <w:bookmarkStart w:id="364" w:name="OLE_LINK276"/>
            <w:r w:rsidRPr="00D630D1">
              <w:t>间断</w:t>
            </w:r>
            <w:bookmarkEnd w:id="363"/>
            <w:bookmarkEnd w:id="364"/>
          </w:p>
        </w:tc>
        <w:tc>
          <w:tcPr>
            <w:tcW w:w="1705" w:type="dxa"/>
            <w:vAlign w:val="center"/>
          </w:tcPr>
          <w:p w:rsidR="00AD59E9" w:rsidRPr="00D630D1" w:rsidRDefault="00AD59E9" w:rsidP="00AD59E9">
            <w:pPr>
              <w:pStyle w:val="aff2"/>
            </w:pPr>
            <w:r w:rsidRPr="00D630D1">
              <w:t>烟尘</w:t>
            </w:r>
          </w:p>
        </w:tc>
        <w:tc>
          <w:tcPr>
            <w:tcW w:w="2521" w:type="dxa"/>
            <w:vMerge/>
            <w:vAlign w:val="center"/>
          </w:tcPr>
          <w:p w:rsidR="00AD59E9" w:rsidRPr="00D630D1" w:rsidRDefault="00AD59E9" w:rsidP="00833289">
            <w:pPr>
              <w:pStyle w:val="aff2"/>
            </w:pPr>
          </w:p>
        </w:tc>
      </w:tr>
      <w:tr w:rsidR="00AD59E9" w:rsidRPr="00D630D1" w:rsidTr="00AD59E9">
        <w:trPr>
          <w:trHeight w:val="377"/>
          <w:jc w:val="center"/>
        </w:trPr>
        <w:tc>
          <w:tcPr>
            <w:tcW w:w="538" w:type="dxa"/>
            <w:vMerge/>
            <w:vAlign w:val="center"/>
          </w:tcPr>
          <w:p w:rsidR="00AD59E9" w:rsidRPr="00D630D1" w:rsidRDefault="00AD59E9" w:rsidP="00833289">
            <w:pPr>
              <w:pStyle w:val="aff2"/>
            </w:pPr>
          </w:p>
        </w:tc>
        <w:tc>
          <w:tcPr>
            <w:tcW w:w="1391" w:type="dxa"/>
            <w:vAlign w:val="center"/>
          </w:tcPr>
          <w:p w:rsidR="00AD59E9" w:rsidRPr="00D630D1" w:rsidRDefault="00AD59E9" w:rsidP="00AD59E9">
            <w:pPr>
              <w:pStyle w:val="aff2"/>
              <w:rPr>
                <w:szCs w:val="21"/>
              </w:rPr>
            </w:pPr>
            <w:r w:rsidRPr="00D630D1">
              <w:rPr>
                <w:rFonts w:hint="eastAsia"/>
                <w:szCs w:val="21"/>
              </w:rPr>
              <w:t>气体钻粉尘</w:t>
            </w:r>
          </w:p>
        </w:tc>
        <w:tc>
          <w:tcPr>
            <w:tcW w:w="1558" w:type="dxa"/>
            <w:vAlign w:val="center"/>
          </w:tcPr>
          <w:p w:rsidR="00AD59E9" w:rsidRPr="00D630D1" w:rsidRDefault="00AD59E9" w:rsidP="00AD59E9">
            <w:pPr>
              <w:pStyle w:val="aff2"/>
            </w:pPr>
            <w:r w:rsidRPr="00D630D1">
              <w:t>少量</w:t>
            </w:r>
          </w:p>
        </w:tc>
        <w:tc>
          <w:tcPr>
            <w:tcW w:w="1045" w:type="dxa"/>
            <w:vAlign w:val="center"/>
          </w:tcPr>
          <w:p w:rsidR="00AD59E9" w:rsidRPr="00D630D1" w:rsidRDefault="00AD59E9" w:rsidP="00AD59E9">
            <w:pPr>
              <w:pStyle w:val="aff2"/>
            </w:pPr>
            <w:r w:rsidRPr="00D630D1">
              <w:rPr>
                <w:rFonts w:hint="eastAsia"/>
              </w:rPr>
              <w:t>连续</w:t>
            </w:r>
          </w:p>
        </w:tc>
        <w:tc>
          <w:tcPr>
            <w:tcW w:w="1705" w:type="dxa"/>
            <w:vAlign w:val="center"/>
          </w:tcPr>
          <w:p w:rsidR="00AD59E9" w:rsidRPr="00D630D1" w:rsidRDefault="00AD59E9" w:rsidP="00AD59E9">
            <w:pPr>
              <w:pStyle w:val="aff2"/>
            </w:pPr>
            <w:r w:rsidRPr="00D630D1">
              <w:t>粉尘</w:t>
            </w:r>
          </w:p>
        </w:tc>
        <w:tc>
          <w:tcPr>
            <w:tcW w:w="2521" w:type="dxa"/>
            <w:vMerge/>
            <w:vAlign w:val="center"/>
          </w:tcPr>
          <w:p w:rsidR="00AD59E9" w:rsidRPr="00D630D1" w:rsidRDefault="00AD59E9" w:rsidP="00833289">
            <w:pPr>
              <w:pStyle w:val="aff2"/>
            </w:pPr>
          </w:p>
        </w:tc>
      </w:tr>
      <w:tr w:rsidR="00AD59E9" w:rsidRPr="00D630D1" w:rsidTr="00AD59E9">
        <w:trPr>
          <w:trHeight w:val="188"/>
          <w:jc w:val="center"/>
        </w:trPr>
        <w:tc>
          <w:tcPr>
            <w:tcW w:w="538" w:type="dxa"/>
            <w:vMerge/>
            <w:vAlign w:val="center"/>
          </w:tcPr>
          <w:p w:rsidR="00AD59E9" w:rsidRPr="00D630D1" w:rsidRDefault="00AD59E9" w:rsidP="00833289">
            <w:pPr>
              <w:pStyle w:val="aff2"/>
            </w:pPr>
          </w:p>
        </w:tc>
        <w:tc>
          <w:tcPr>
            <w:tcW w:w="1391" w:type="dxa"/>
            <w:vAlign w:val="center"/>
          </w:tcPr>
          <w:p w:rsidR="00AD59E9" w:rsidRPr="00D630D1" w:rsidRDefault="00AD59E9" w:rsidP="00833289">
            <w:pPr>
              <w:pStyle w:val="aff2"/>
            </w:pPr>
            <w:r w:rsidRPr="00D630D1">
              <w:rPr>
                <w:rFonts w:hint="eastAsia"/>
              </w:rPr>
              <w:t>测试放喷废气</w:t>
            </w:r>
          </w:p>
        </w:tc>
        <w:tc>
          <w:tcPr>
            <w:tcW w:w="1558" w:type="dxa"/>
            <w:vAlign w:val="center"/>
          </w:tcPr>
          <w:p w:rsidR="00AD59E9" w:rsidRPr="00D630D1" w:rsidRDefault="00671AE7" w:rsidP="00833289">
            <w:pPr>
              <w:pStyle w:val="aff2"/>
            </w:pPr>
            <w:r w:rsidRPr="00D630D1">
              <w:t>少量</w:t>
            </w:r>
          </w:p>
        </w:tc>
        <w:tc>
          <w:tcPr>
            <w:tcW w:w="1045" w:type="dxa"/>
            <w:vAlign w:val="center"/>
          </w:tcPr>
          <w:p w:rsidR="00AD59E9" w:rsidRPr="00D630D1" w:rsidRDefault="00AD59E9" w:rsidP="008D3FB5">
            <w:pPr>
              <w:pStyle w:val="aff2"/>
            </w:pPr>
            <w:r w:rsidRPr="00D630D1">
              <w:t>间断</w:t>
            </w:r>
          </w:p>
        </w:tc>
        <w:tc>
          <w:tcPr>
            <w:tcW w:w="1705" w:type="dxa"/>
            <w:vAlign w:val="center"/>
          </w:tcPr>
          <w:p w:rsidR="00AD59E9" w:rsidRPr="00D630D1" w:rsidRDefault="00671AE7" w:rsidP="00833289">
            <w:pPr>
              <w:pStyle w:val="aff2"/>
            </w:pPr>
            <w:r>
              <w:rPr>
                <w:rFonts w:hint="eastAsia"/>
              </w:rPr>
              <w:t>C</w:t>
            </w:r>
            <w:r w:rsidR="00AD59E9" w:rsidRPr="00D630D1">
              <w:t>O</w:t>
            </w:r>
            <w:r w:rsidR="00AD59E9" w:rsidRPr="00D630D1">
              <w:rPr>
                <w:vertAlign w:val="subscript"/>
              </w:rPr>
              <w:t>2</w:t>
            </w:r>
          </w:p>
        </w:tc>
        <w:tc>
          <w:tcPr>
            <w:tcW w:w="2521" w:type="dxa"/>
            <w:vMerge/>
            <w:vAlign w:val="center"/>
          </w:tcPr>
          <w:p w:rsidR="00AD59E9" w:rsidRPr="00D630D1" w:rsidRDefault="00AD59E9" w:rsidP="00833289">
            <w:pPr>
              <w:pStyle w:val="aff2"/>
            </w:pPr>
          </w:p>
        </w:tc>
      </w:tr>
      <w:tr w:rsidR="00AD59E9" w:rsidRPr="00D630D1" w:rsidTr="00AD59E9">
        <w:trPr>
          <w:trHeight w:val="366"/>
          <w:jc w:val="center"/>
        </w:trPr>
        <w:tc>
          <w:tcPr>
            <w:tcW w:w="538" w:type="dxa"/>
            <w:vMerge w:val="restart"/>
            <w:vAlign w:val="center"/>
          </w:tcPr>
          <w:p w:rsidR="00AD59E9" w:rsidRPr="00D630D1" w:rsidRDefault="00AD59E9" w:rsidP="00833289">
            <w:pPr>
              <w:pStyle w:val="aff2"/>
            </w:pPr>
            <w:r w:rsidRPr="00D630D1">
              <w:t>废水</w:t>
            </w:r>
          </w:p>
        </w:tc>
        <w:tc>
          <w:tcPr>
            <w:tcW w:w="1391" w:type="dxa"/>
            <w:vAlign w:val="center"/>
          </w:tcPr>
          <w:p w:rsidR="00AD59E9" w:rsidRPr="00D630D1" w:rsidRDefault="00AD59E9" w:rsidP="00833289">
            <w:pPr>
              <w:pStyle w:val="aff2"/>
            </w:pPr>
            <w:r w:rsidRPr="00D630D1">
              <w:t>施工人员生活污水</w:t>
            </w:r>
          </w:p>
        </w:tc>
        <w:tc>
          <w:tcPr>
            <w:tcW w:w="1558" w:type="dxa"/>
            <w:vAlign w:val="center"/>
          </w:tcPr>
          <w:p w:rsidR="00AD59E9" w:rsidRPr="00D630D1" w:rsidRDefault="004D3E6E" w:rsidP="00833289">
            <w:pPr>
              <w:pStyle w:val="aff2"/>
            </w:pPr>
            <w:r w:rsidRPr="00D630D1">
              <w:rPr>
                <w:rFonts w:hint="eastAsia"/>
              </w:rPr>
              <w:t>1536</w:t>
            </w:r>
            <w:r w:rsidR="00AD59E9" w:rsidRPr="00D630D1">
              <w:t>m</w:t>
            </w:r>
            <w:r w:rsidR="00AD59E9" w:rsidRPr="00D630D1">
              <w:rPr>
                <w:vertAlign w:val="superscript"/>
              </w:rPr>
              <w:t>3</w:t>
            </w:r>
          </w:p>
        </w:tc>
        <w:tc>
          <w:tcPr>
            <w:tcW w:w="1045" w:type="dxa"/>
            <w:vAlign w:val="center"/>
          </w:tcPr>
          <w:p w:rsidR="00AD59E9" w:rsidRPr="00D630D1" w:rsidRDefault="00AD59E9" w:rsidP="00833289">
            <w:pPr>
              <w:pStyle w:val="aff2"/>
            </w:pPr>
            <w:r w:rsidRPr="00D630D1">
              <w:t>间断</w:t>
            </w:r>
          </w:p>
        </w:tc>
        <w:tc>
          <w:tcPr>
            <w:tcW w:w="1705" w:type="dxa"/>
            <w:vAlign w:val="center"/>
          </w:tcPr>
          <w:p w:rsidR="00AD59E9" w:rsidRPr="00D630D1" w:rsidRDefault="00AD59E9" w:rsidP="00833289">
            <w:pPr>
              <w:pStyle w:val="aff2"/>
            </w:pPr>
            <w:r w:rsidRPr="00D630D1">
              <w:t>COD</w:t>
            </w:r>
            <w:r w:rsidRPr="00D630D1">
              <w:t>、</w:t>
            </w:r>
            <w:r w:rsidRPr="00D630D1">
              <w:t>BOD</w:t>
            </w:r>
            <w:r w:rsidRPr="00D630D1">
              <w:rPr>
                <w:vertAlign w:val="subscript"/>
              </w:rPr>
              <w:t>5</w:t>
            </w:r>
            <w:r w:rsidRPr="00D630D1">
              <w:t>、氨氮</w:t>
            </w:r>
          </w:p>
        </w:tc>
        <w:tc>
          <w:tcPr>
            <w:tcW w:w="2521" w:type="dxa"/>
            <w:vAlign w:val="center"/>
          </w:tcPr>
          <w:p w:rsidR="00AD59E9" w:rsidRPr="00D630D1" w:rsidRDefault="00AD59E9" w:rsidP="00833289">
            <w:pPr>
              <w:pStyle w:val="aff2"/>
            </w:pPr>
            <w:r w:rsidRPr="00D630D1">
              <w:rPr>
                <w:spacing w:val="-8"/>
                <w:szCs w:val="21"/>
              </w:rPr>
              <w:t>施工期管线施工人员生活污水依托租用附近居民房收集处理</w:t>
            </w:r>
            <w:r w:rsidRPr="00D630D1">
              <w:rPr>
                <w:rFonts w:hint="eastAsia"/>
                <w:spacing w:val="-8"/>
                <w:szCs w:val="21"/>
              </w:rPr>
              <w:t>，井</w:t>
            </w:r>
            <w:r w:rsidRPr="00D630D1">
              <w:rPr>
                <w:spacing w:val="-8"/>
                <w:szCs w:val="21"/>
              </w:rPr>
              <w:t>场</w:t>
            </w:r>
            <w:r w:rsidR="004D3E6E" w:rsidRPr="00D630D1">
              <w:rPr>
                <w:rFonts w:hint="eastAsia"/>
                <w:spacing w:val="-8"/>
                <w:szCs w:val="21"/>
              </w:rPr>
              <w:t>、钻井</w:t>
            </w:r>
            <w:r w:rsidRPr="00D630D1">
              <w:rPr>
                <w:spacing w:val="-8"/>
                <w:szCs w:val="21"/>
              </w:rPr>
              <w:t>施工生活污水</w:t>
            </w:r>
            <w:r w:rsidRPr="00D630D1">
              <w:rPr>
                <w:rFonts w:hint="eastAsia"/>
                <w:spacing w:val="-8"/>
                <w:szCs w:val="21"/>
              </w:rPr>
              <w:t>经生态</w:t>
            </w:r>
            <w:r w:rsidRPr="00D630D1">
              <w:rPr>
                <w:spacing w:val="-8"/>
                <w:szCs w:val="21"/>
              </w:rPr>
              <w:t>环保厕所收集后，用作周边农肥，不外排</w:t>
            </w:r>
          </w:p>
        </w:tc>
      </w:tr>
      <w:tr w:rsidR="00AD59E9" w:rsidRPr="00D630D1" w:rsidTr="00AD59E9">
        <w:trPr>
          <w:trHeight w:val="377"/>
          <w:jc w:val="center"/>
        </w:trPr>
        <w:tc>
          <w:tcPr>
            <w:tcW w:w="538" w:type="dxa"/>
            <w:vMerge/>
            <w:vAlign w:val="center"/>
          </w:tcPr>
          <w:p w:rsidR="00AD59E9" w:rsidRPr="00D630D1" w:rsidRDefault="00AD59E9" w:rsidP="00833289">
            <w:pPr>
              <w:pStyle w:val="aff2"/>
            </w:pPr>
          </w:p>
        </w:tc>
        <w:tc>
          <w:tcPr>
            <w:tcW w:w="1391" w:type="dxa"/>
            <w:vAlign w:val="center"/>
          </w:tcPr>
          <w:p w:rsidR="00AD59E9" w:rsidRPr="00D630D1" w:rsidRDefault="00AD59E9" w:rsidP="00833289">
            <w:pPr>
              <w:pStyle w:val="aff2"/>
            </w:pPr>
            <w:r w:rsidRPr="00D630D1">
              <w:t>管道清管试压排水</w:t>
            </w:r>
          </w:p>
        </w:tc>
        <w:tc>
          <w:tcPr>
            <w:tcW w:w="1558" w:type="dxa"/>
            <w:vAlign w:val="center"/>
          </w:tcPr>
          <w:p w:rsidR="00AD59E9" w:rsidRPr="00D630D1" w:rsidRDefault="00AD59E9" w:rsidP="00833289">
            <w:pPr>
              <w:pStyle w:val="aff2"/>
            </w:pPr>
            <w:r w:rsidRPr="00D630D1">
              <w:t>200m</w:t>
            </w:r>
            <w:r w:rsidRPr="00D630D1">
              <w:rPr>
                <w:vertAlign w:val="superscript"/>
              </w:rPr>
              <w:t>3</w:t>
            </w:r>
          </w:p>
        </w:tc>
        <w:tc>
          <w:tcPr>
            <w:tcW w:w="1045" w:type="dxa"/>
            <w:vAlign w:val="center"/>
          </w:tcPr>
          <w:p w:rsidR="00AD59E9" w:rsidRPr="00D630D1" w:rsidRDefault="00AD59E9" w:rsidP="00833289">
            <w:pPr>
              <w:pStyle w:val="aff2"/>
            </w:pPr>
            <w:r w:rsidRPr="00D630D1">
              <w:t>间断</w:t>
            </w:r>
          </w:p>
        </w:tc>
        <w:tc>
          <w:tcPr>
            <w:tcW w:w="1705" w:type="dxa"/>
            <w:vAlign w:val="center"/>
          </w:tcPr>
          <w:p w:rsidR="00AD59E9" w:rsidRPr="00D630D1" w:rsidRDefault="00AD59E9" w:rsidP="00833289">
            <w:pPr>
              <w:pStyle w:val="aff2"/>
            </w:pPr>
            <w:r w:rsidRPr="00D630D1">
              <w:t>少量铁锈、泥沙</w:t>
            </w:r>
          </w:p>
        </w:tc>
        <w:tc>
          <w:tcPr>
            <w:tcW w:w="2521" w:type="dxa"/>
            <w:vAlign w:val="center"/>
          </w:tcPr>
          <w:p w:rsidR="00AD59E9" w:rsidRPr="00D630D1" w:rsidRDefault="00AD59E9" w:rsidP="006F49C4">
            <w:pPr>
              <w:pStyle w:val="aff2"/>
            </w:pPr>
            <w:r w:rsidRPr="00D630D1">
              <w:t>沉淀池沉淀后</w:t>
            </w:r>
            <w:r w:rsidR="006F49C4" w:rsidRPr="00D630D1">
              <w:rPr>
                <w:rFonts w:hint="eastAsia"/>
              </w:rPr>
              <w:t>回用，不外排</w:t>
            </w:r>
          </w:p>
        </w:tc>
      </w:tr>
      <w:tr w:rsidR="004D3E6E" w:rsidRPr="00D630D1" w:rsidTr="00AD59E9">
        <w:trPr>
          <w:trHeight w:val="377"/>
          <w:jc w:val="center"/>
        </w:trPr>
        <w:tc>
          <w:tcPr>
            <w:tcW w:w="538" w:type="dxa"/>
            <w:vMerge/>
            <w:vAlign w:val="center"/>
          </w:tcPr>
          <w:p w:rsidR="004D3E6E" w:rsidRPr="00D630D1" w:rsidRDefault="004D3E6E" w:rsidP="00833289">
            <w:pPr>
              <w:pStyle w:val="aff2"/>
            </w:pPr>
          </w:p>
        </w:tc>
        <w:tc>
          <w:tcPr>
            <w:tcW w:w="1391" w:type="dxa"/>
            <w:vAlign w:val="center"/>
          </w:tcPr>
          <w:p w:rsidR="004D3E6E" w:rsidRPr="00D630D1" w:rsidRDefault="004D3E6E" w:rsidP="004D3E6E">
            <w:pPr>
              <w:pStyle w:val="aff2"/>
            </w:pPr>
            <w:r w:rsidRPr="00D630D1">
              <w:rPr>
                <w:rFonts w:hint="eastAsia"/>
              </w:rPr>
              <w:t>井场</w:t>
            </w:r>
            <w:r w:rsidRPr="00D630D1">
              <w:t>施工废水</w:t>
            </w:r>
          </w:p>
        </w:tc>
        <w:tc>
          <w:tcPr>
            <w:tcW w:w="1558" w:type="dxa"/>
            <w:vAlign w:val="center"/>
          </w:tcPr>
          <w:p w:rsidR="004D3E6E" w:rsidRPr="00D630D1" w:rsidRDefault="00671AE7" w:rsidP="004D3E6E">
            <w:pPr>
              <w:pStyle w:val="aff2"/>
            </w:pPr>
            <w:r>
              <w:rPr>
                <w:rFonts w:hint="eastAsia"/>
              </w:rPr>
              <w:t>/</w:t>
            </w:r>
          </w:p>
        </w:tc>
        <w:tc>
          <w:tcPr>
            <w:tcW w:w="1045" w:type="dxa"/>
            <w:vAlign w:val="center"/>
          </w:tcPr>
          <w:p w:rsidR="004D3E6E" w:rsidRPr="00D630D1" w:rsidRDefault="004D3E6E" w:rsidP="004D3E6E">
            <w:pPr>
              <w:pStyle w:val="aff2"/>
            </w:pPr>
            <w:r w:rsidRPr="00D630D1">
              <w:t>间断</w:t>
            </w:r>
          </w:p>
        </w:tc>
        <w:tc>
          <w:tcPr>
            <w:tcW w:w="1705" w:type="dxa"/>
            <w:vAlign w:val="center"/>
          </w:tcPr>
          <w:p w:rsidR="004D3E6E" w:rsidRPr="00D630D1" w:rsidRDefault="004D3E6E" w:rsidP="004D3E6E">
            <w:pPr>
              <w:pStyle w:val="aff2"/>
            </w:pPr>
            <w:bookmarkStart w:id="365" w:name="OLE_LINK284"/>
            <w:r w:rsidRPr="00D630D1">
              <w:t>SS</w:t>
            </w:r>
            <w:bookmarkEnd w:id="365"/>
          </w:p>
        </w:tc>
        <w:tc>
          <w:tcPr>
            <w:tcW w:w="2521" w:type="dxa"/>
            <w:vAlign w:val="center"/>
          </w:tcPr>
          <w:p w:rsidR="004D3E6E" w:rsidRPr="00D630D1" w:rsidRDefault="004D3E6E" w:rsidP="004D3E6E">
            <w:pPr>
              <w:pStyle w:val="aff2"/>
            </w:pPr>
            <w:r w:rsidRPr="00D630D1">
              <w:t>经隔油沉淀池收集处理后，洒水降尘</w:t>
            </w:r>
          </w:p>
        </w:tc>
      </w:tr>
      <w:tr w:rsidR="004D3E6E" w:rsidRPr="00D630D1" w:rsidTr="00AD59E9">
        <w:trPr>
          <w:trHeight w:val="377"/>
          <w:jc w:val="center"/>
        </w:trPr>
        <w:tc>
          <w:tcPr>
            <w:tcW w:w="538" w:type="dxa"/>
            <w:vMerge/>
            <w:vAlign w:val="center"/>
          </w:tcPr>
          <w:p w:rsidR="004D3E6E" w:rsidRPr="00D630D1" w:rsidRDefault="004D3E6E" w:rsidP="00833289">
            <w:pPr>
              <w:pStyle w:val="aff2"/>
            </w:pPr>
          </w:p>
        </w:tc>
        <w:tc>
          <w:tcPr>
            <w:tcW w:w="1391" w:type="dxa"/>
            <w:vAlign w:val="center"/>
          </w:tcPr>
          <w:p w:rsidR="004D3E6E" w:rsidRPr="00D630D1" w:rsidRDefault="004D3E6E" w:rsidP="004D3E6E">
            <w:pPr>
              <w:pStyle w:val="aff2"/>
            </w:pPr>
            <w:r w:rsidRPr="00D630D1">
              <w:rPr>
                <w:rFonts w:hint="eastAsia"/>
              </w:rPr>
              <w:t>初期雨水</w:t>
            </w:r>
          </w:p>
        </w:tc>
        <w:tc>
          <w:tcPr>
            <w:tcW w:w="1558" w:type="dxa"/>
            <w:vAlign w:val="center"/>
          </w:tcPr>
          <w:p w:rsidR="004D3E6E" w:rsidRPr="00D630D1" w:rsidRDefault="00A624BD" w:rsidP="004D3E6E">
            <w:pPr>
              <w:pStyle w:val="aff2"/>
            </w:pPr>
            <w:r w:rsidRPr="00D630D1">
              <w:rPr>
                <w:rFonts w:hint="eastAsia"/>
              </w:rPr>
              <w:t>17</w:t>
            </w:r>
            <w:r w:rsidR="004D3E6E" w:rsidRPr="00D630D1">
              <w:rPr>
                <w:rFonts w:hint="eastAsia"/>
              </w:rPr>
              <w:t>8</w:t>
            </w:r>
            <w:r w:rsidR="004D3E6E" w:rsidRPr="00D630D1">
              <w:t>m</w:t>
            </w:r>
            <w:r w:rsidR="004D3E6E" w:rsidRPr="00D630D1">
              <w:rPr>
                <w:vertAlign w:val="superscript"/>
              </w:rPr>
              <w:t>3</w:t>
            </w:r>
          </w:p>
        </w:tc>
        <w:tc>
          <w:tcPr>
            <w:tcW w:w="1045" w:type="dxa"/>
            <w:vAlign w:val="center"/>
          </w:tcPr>
          <w:p w:rsidR="004D3E6E" w:rsidRPr="00D630D1" w:rsidRDefault="004D3E6E" w:rsidP="004D3E6E">
            <w:pPr>
              <w:pStyle w:val="aff2"/>
            </w:pPr>
            <w:r w:rsidRPr="00D630D1">
              <w:rPr>
                <w:rFonts w:hint="eastAsia"/>
              </w:rPr>
              <w:t>连续</w:t>
            </w:r>
          </w:p>
        </w:tc>
        <w:tc>
          <w:tcPr>
            <w:tcW w:w="1705" w:type="dxa"/>
            <w:vAlign w:val="center"/>
          </w:tcPr>
          <w:p w:rsidR="004D3E6E" w:rsidRPr="00D630D1" w:rsidRDefault="004D3E6E" w:rsidP="004D3E6E">
            <w:pPr>
              <w:pStyle w:val="aff2"/>
            </w:pPr>
            <w:r w:rsidRPr="00D630D1">
              <w:rPr>
                <w:rFonts w:hint="eastAsia"/>
              </w:rPr>
              <w:t>石油类</w:t>
            </w:r>
          </w:p>
        </w:tc>
        <w:tc>
          <w:tcPr>
            <w:tcW w:w="2521" w:type="dxa"/>
            <w:vAlign w:val="center"/>
          </w:tcPr>
          <w:p w:rsidR="004D3E6E" w:rsidRPr="00D630D1" w:rsidRDefault="004D3E6E" w:rsidP="0081740B">
            <w:pPr>
              <w:pStyle w:val="aff2"/>
            </w:pPr>
            <w:r w:rsidRPr="00D630D1">
              <w:t>井场内四周设排水边沟，井场雨水随四周排水边沟汇至排放口，排放口设环保检测池，初期雨水</w:t>
            </w:r>
            <w:r w:rsidR="0081740B" w:rsidRPr="00D630D1">
              <w:rPr>
                <w:rFonts w:hint="eastAsia"/>
              </w:rPr>
              <w:t>经</w:t>
            </w:r>
            <w:r w:rsidR="000C6323" w:rsidRPr="00D630D1">
              <w:rPr>
                <w:rFonts w:hint="eastAsia"/>
              </w:rPr>
              <w:t>清洁化操作平台</w:t>
            </w:r>
            <w:r w:rsidRPr="00D630D1">
              <w:t>处理达到毛开</w:t>
            </w:r>
            <w:r w:rsidRPr="00D630D1">
              <w:t>1</w:t>
            </w:r>
            <w:r w:rsidRPr="00D630D1">
              <w:t>井回注标准后回注。</w:t>
            </w:r>
          </w:p>
        </w:tc>
      </w:tr>
      <w:tr w:rsidR="004D3E6E" w:rsidRPr="00D630D1" w:rsidTr="00AD59E9">
        <w:trPr>
          <w:trHeight w:val="377"/>
          <w:jc w:val="center"/>
        </w:trPr>
        <w:tc>
          <w:tcPr>
            <w:tcW w:w="538" w:type="dxa"/>
            <w:vMerge/>
            <w:vAlign w:val="center"/>
          </w:tcPr>
          <w:p w:rsidR="004D3E6E" w:rsidRPr="00D630D1" w:rsidRDefault="004D3E6E" w:rsidP="00833289">
            <w:pPr>
              <w:pStyle w:val="aff2"/>
            </w:pPr>
          </w:p>
        </w:tc>
        <w:tc>
          <w:tcPr>
            <w:tcW w:w="1391" w:type="dxa"/>
            <w:vAlign w:val="center"/>
          </w:tcPr>
          <w:p w:rsidR="004D3E6E" w:rsidRPr="00D630D1" w:rsidRDefault="004D3E6E" w:rsidP="004D3E6E">
            <w:pPr>
              <w:pStyle w:val="aff2"/>
            </w:pPr>
            <w:r w:rsidRPr="00D630D1">
              <w:rPr>
                <w:rFonts w:hint="eastAsia"/>
              </w:rPr>
              <w:t>钻井废水</w:t>
            </w:r>
          </w:p>
        </w:tc>
        <w:tc>
          <w:tcPr>
            <w:tcW w:w="1558" w:type="dxa"/>
            <w:vAlign w:val="center"/>
          </w:tcPr>
          <w:p w:rsidR="004D3E6E" w:rsidRPr="00D630D1" w:rsidRDefault="00671AE7" w:rsidP="004D3E6E">
            <w:pPr>
              <w:pStyle w:val="aff2"/>
            </w:pPr>
            <w:bookmarkStart w:id="366" w:name="OLE_LINK291"/>
            <w:bookmarkStart w:id="367" w:name="OLE_LINK292"/>
            <w:r>
              <w:rPr>
                <w:rFonts w:hint="eastAsia"/>
              </w:rPr>
              <w:t>1873.7</w:t>
            </w:r>
            <w:r w:rsidR="004D3E6E" w:rsidRPr="00D630D1">
              <w:t>m</w:t>
            </w:r>
            <w:r w:rsidR="004D3E6E" w:rsidRPr="00D630D1">
              <w:rPr>
                <w:vertAlign w:val="superscript"/>
              </w:rPr>
              <w:t>3</w:t>
            </w:r>
            <w:bookmarkEnd w:id="366"/>
            <w:bookmarkEnd w:id="367"/>
          </w:p>
        </w:tc>
        <w:tc>
          <w:tcPr>
            <w:tcW w:w="1045" w:type="dxa"/>
            <w:vAlign w:val="center"/>
          </w:tcPr>
          <w:p w:rsidR="004D3E6E" w:rsidRPr="00D630D1" w:rsidRDefault="004D3E6E" w:rsidP="004D3E6E">
            <w:pPr>
              <w:pStyle w:val="aff2"/>
            </w:pPr>
            <w:bookmarkStart w:id="368" w:name="OLE_LINK293"/>
            <w:bookmarkStart w:id="369" w:name="OLE_LINK294"/>
            <w:r w:rsidRPr="00D630D1">
              <w:rPr>
                <w:rFonts w:hint="eastAsia"/>
              </w:rPr>
              <w:t>连续</w:t>
            </w:r>
            <w:bookmarkEnd w:id="368"/>
            <w:bookmarkEnd w:id="369"/>
          </w:p>
        </w:tc>
        <w:tc>
          <w:tcPr>
            <w:tcW w:w="1705" w:type="dxa"/>
            <w:vAlign w:val="center"/>
          </w:tcPr>
          <w:p w:rsidR="004D3E6E" w:rsidRPr="00D630D1" w:rsidRDefault="004D3E6E" w:rsidP="004D3E6E">
            <w:pPr>
              <w:pStyle w:val="aff2"/>
            </w:pPr>
            <w:bookmarkStart w:id="370" w:name="OLE_LINK295"/>
            <w:bookmarkStart w:id="371" w:name="OLE_LINK296"/>
            <w:r w:rsidRPr="00D630D1">
              <w:t>SS</w:t>
            </w:r>
            <w:r w:rsidRPr="00D630D1">
              <w:rPr>
                <w:rFonts w:hint="eastAsia"/>
              </w:rPr>
              <w:t>、石油类</w:t>
            </w:r>
            <w:bookmarkEnd w:id="370"/>
            <w:bookmarkEnd w:id="371"/>
          </w:p>
        </w:tc>
        <w:tc>
          <w:tcPr>
            <w:tcW w:w="2521" w:type="dxa"/>
            <w:vAlign w:val="center"/>
          </w:tcPr>
          <w:p w:rsidR="004D3E6E" w:rsidRPr="00D630D1" w:rsidRDefault="004D3E6E" w:rsidP="004D3E6E">
            <w:pPr>
              <w:pStyle w:val="aff2"/>
            </w:pPr>
            <w:bookmarkStart w:id="372" w:name="_Hlk105537152"/>
            <w:r w:rsidRPr="00D630D1">
              <w:t>钻井废水</w:t>
            </w:r>
            <w:r w:rsidR="000C6323" w:rsidRPr="00D630D1">
              <w:rPr>
                <w:rFonts w:hint="eastAsia"/>
              </w:rPr>
              <w:t>经清洁化操作平台</w:t>
            </w:r>
            <w:r w:rsidRPr="00D630D1">
              <w:t>预处理后达到毛开</w:t>
            </w:r>
            <w:r w:rsidRPr="00D630D1">
              <w:t>1</w:t>
            </w:r>
            <w:r w:rsidRPr="00D630D1">
              <w:t>井回注标准后，拉运至毛开</w:t>
            </w:r>
            <w:r w:rsidRPr="00D630D1">
              <w:t>1</w:t>
            </w:r>
            <w:r w:rsidRPr="00D630D1">
              <w:t>井回注</w:t>
            </w:r>
            <w:bookmarkEnd w:id="372"/>
          </w:p>
        </w:tc>
      </w:tr>
      <w:tr w:rsidR="004D3E6E" w:rsidRPr="00D630D1" w:rsidTr="00AD59E9">
        <w:trPr>
          <w:trHeight w:val="366"/>
          <w:jc w:val="center"/>
        </w:trPr>
        <w:tc>
          <w:tcPr>
            <w:tcW w:w="538" w:type="dxa"/>
            <w:vMerge/>
            <w:vAlign w:val="center"/>
          </w:tcPr>
          <w:p w:rsidR="004D3E6E" w:rsidRPr="00D630D1" w:rsidRDefault="004D3E6E" w:rsidP="00833289">
            <w:pPr>
              <w:pStyle w:val="aff2"/>
            </w:pPr>
          </w:p>
        </w:tc>
        <w:tc>
          <w:tcPr>
            <w:tcW w:w="1391" w:type="dxa"/>
            <w:vAlign w:val="center"/>
          </w:tcPr>
          <w:p w:rsidR="004D3E6E" w:rsidRPr="00D630D1" w:rsidRDefault="004D3E6E" w:rsidP="00833289">
            <w:pPr>
              <w:pStyle w:val="aff2"/>
            </w:pPr>
            <w:r w:rsidRPr="00D630D1">
              <w:rPr>
                <w:rFonts w:hint="eastAsia"/>
              </w:rPr>
              <w:t>压裂、洗井废水</w:t>
            </w:r>
          </w:p>
        </w:tc>
        <w:tc>
          <w:tcPr>
            <w:tcW w:w="1558" w:type="dxa"/>
            <w:vAlign w:val="center"/>
          </w:tcPr>
          <w:p w:rsidR="004D3E6E" w:rsidRPr="00D630D1" w:rsidRDefault="00671AE7" w:rsidP="00833289">
            <w:pPr>
              <w:pStyle w:val="aff2"/>
            </w:pPr>
            <w:bookmarkStart w:id="373" w:name="OLE_LINK13"/>
            <w:bookmarkStart w:id="374" w:name="OLE_LINK14"/>
            <w:r>
              <w:rPr>
                <w:rFonts w:hint="eastAsia"/>
              </w:rPr>
              <w:t>1680</w:t>
            </w:r>
            <w:r w:rsidR="004D3E6E" w:rsidRPr="00D630D1">
              <w:t>m</w:t>
            </w:r>
            <w:r w:rsidR="004D3E6E" w:rsidRPr="00D630D1">
              <w:rPr>
                <w:vertAlign w:val="superscript"/>
              </w:rPr>
              <w:t>3</w:t>
            </w:r>
            <w:bookmarkEnd w:id="373"/>
            <w:bookmarkEnd w:id="374"/>
          </w:p>
        </w:tc>
        <w:tc>
          <w:tcPr>
            <w:tcW w:w="1045" w:type="dxa"/>
            <w:vAlign w:val="center"/>
          </w:tcPr>
          <w:p w:rsidR="004D3E6E" w:rsidRPr="00D630D1" w:rsidRDefault="004D3E6E" w:rsidP="008D3FB5">
            <w:pPr>
              <w:pStyle w:val="aff2"/>
            </w:pPr>
            <w:bookmarkStart w:id="375" w:name="OLE_LINK301"/>
            <w:bookmarkStart w:id="376" w:name="OLE_LINK302"/>
            <w:r w:rsidRPr="00D630D1">
              <w:rPr>
                <w:rFonts w:hint="eastAsia"/>
              </w:rPr>
              <w:t>连续</w:t>
            </w:r>
            <w:bookmarkEnd w:id="375"/>
            <w:bookmarkEnd w:id="376"/>
          </w:p>
        </w:tc>
        <w:tc>
          <w:tcPr>
            <w:tcW w:w="1705" w:type="dxa"/>
            <w:vAlign w:val="center"/>
          </w:tcPr>
          <w:p w:rsidR="004D3E6E" w:rsidRPr="00D630D1" w:rsidRDefault="004D3E6E" w:rsidP="004D3E6E">
            <w:pPr>
              <w:pStyle w:val="aff2"/>
            </w:pPr>
            <w:r w:rsidRPr="00D630D1">
              <w:rPr>
                <w:rFonts w:hint="eastAsia"/>
              </w:rPr>
              <w:t>pH</w:t>
            </w:r>
            <w:r w:rsidRPr="00D630D1">
              <w:rPr>
                <w:rFonts w:hint="eastAsia"/>
              </w:rPr>
              <w:t>、</w:t>
            </w:r>
            <w:r w:rsidRPr="00D630D1">
              <w:rPr>
                <w:rFonts w:hint="eastAsia"/>
              </w:rPr>
              <w:t>COD</w:t>
            </w:r>
            <w:r w:rsidRPr="00D630D1">
              <w:rPr>
                <w:rFonts w:hint="eastAsia"/>
              </w:rPr>
              <w:t>、</w:t>
            </w:r>
            <w:r w:rsidRPr="00D630D1">
              <w:t>SS</w:t>
            </w:r>
            <w:r w:rsidRPr="00D630D1">
              <w:rPr>
                <w:rFonts w:hint="eastAsia"/>
              </w:rPr>
              <w:t>、石油类、挥发酚、氯离子</w:t>
            </w:r>
          </w:p>
        </w:tc>
        <w:tc>
          <w:tcPr>
            <w:tcW w:w="2521" w:type="dxa"/>
            <w:vAlign w:val="center"/>
          </w:tcPr>
          <w:p w:rsidR="004D3E6E" w:rsidRPr="00D630D1" w:rsidRDefault="00775840" w:rsidP="00833289">
            <w:pPr>
              <w:pStyle w:val="aff2"/>
            </w:pPr>
            <w:r w:rsidRPr="00D630D1">
              <w:rPr>
                <w:spacing w:val="-8"/>
                <w:szCs w:val="21"/>
              </w:rPr>
              <w:t>压裂废水和洗井废水</w:t>
            </w:r>
            <w:r w:rsidRPr="00D630D1">
              <w:rPr>
                <w:rFonts w:hint="eastAsia"/>
                <w:spacing w:val="-8"/>
                <w:szCs w:val="21"/>
              </w:rPr>
              <w:t>部分</w:t>
            </w:r>
            <w:r w:rsidRPr="00D630D1">
              <w:rPr>
                <w:spacing w:val="-8"/>
                <w:szCs w:val="21"/>
              </w:rPr>
              <w:t>暂存</w:t>
            </w:r>
            <w:r w:rsidRPr="00D630D1">
              <w:rPr>
                <w:rFonts w:hint="eastAsia"/>
                <w:spacing w:val="-8"/>
                <w:szCs w:val="21"/>
              </w:rPr>
              <w:t>于放喷池，剩余部分暂存于污水缓冲罐</w:t>
            </w:r>
            <w:r w:rsidRPr="00D630D1">
              <w:rPr>
                <w:spacing w:val="-8"/>
                <w:szCs w:val="21"/>
              </w:rPr>
              <w:t>，装车拉运至大湾</w:t>
            </w:r>
            <w:r w:rsidRPr="00D630D1">
              <w:rPr>
                <w:spacing w:val="-8"/>
                <w:szCs w:val="21"/>
              </w:rPr>
              <w:t>403</w:t>
            </w:r>
            <w:r w:rsidRPr="00D630D1">
              <w:rPr>
                <w:spacing w:val="-8"/>
                <w:szCs w:val="21"/>
              </w:rPr>
              <w:t>污水站处理达标后管输至毛开</w:t>
            </w:r>
            <w:r w:rsidRPr="00D630D1">
              <w:rPr>
                <w:spacing w:val="-8"/>
                <w:szCs w:val="21"/>
              </w:rPr>
              <w:t>1</w:t>
            </w:r>
            <w:r w:rsidRPr="00D630D1">
              <w:rPr>
                <w:spacing w:val="-8"/>
                <w:szCs w:val="21"/>
              </w:rPr>
              <w:t>井回注站回注</w:t>
            </w:r>
          </w:p>
        </w:tc>
      </w:tr>
      <w:tr w:rsidR="008369CC" w:rsidRPr="00D630D1" w:rsidTr="00AD59E9">
        <w:trPr>
          <w:trHeight w:val="177"/>
          <w:jc w:val="center"/>
        </w:trPr>
        <w:tc>
          <w:tcPr>
            <w:tcW w:w="538" w:type="dxa"/>
            <w:vMerge w:val="restart"/>
            <w:vAlign w:val="center"/>
          </w:tcPr>
          <w:p w:rsidR="008369CC" w:rsidRPr="00D630D1" w:rsidRDefault="008369CC" w:rsidP="00833289">
            <w:pPr>
              <w:pStyle w:val="aff2"/>
            </w:pPr>
            <w:r w:rsidRPr="00D630D1">
              <w:t>固废</w:t>
            </w:r>
          </w:p>
        </w:tc>
        <w:tc>
          <w:tcPr>
            <w:tcW w:w="1391" w:type="dxa"/>
            <w:vAlign w:val="center"/>
          </w:tcPr>
          <w:p w:rsidR="008369CC" w:rsidRPr="00D630D1" w:rsidRDefault="008369CC" w:rsidP="00833289">
            <w:pPr>
              <w:pStyle w:val="aff2"/>
            </w:pPr>
            <w:r w:rsidRPr="00D630D1">
              <w:t>生活垃圾</w:t>
            </w:r>
          </w:p>
        </w:tc>
        <w:tc>
          <w:tcPr>
            <w:tcW w:w="1558" w:type="dxa"/>
            <w:vAlign w:val="center"/>
          </w:tcPr>
          <w:p w:rsidR="008369CC" w:rsidRPr="00D630D1" w:rsidRDefault="008369CC" w:rsidP="00833289">
            <w:pPr>
              <w:pStyle w:val="aff2"/>
            </w:pPr>
            <w:r w:rsidRPr="00D630D1">
              <w:rPr>
                <w:rFonts w:hint="eastAsia"/>
              </w:rPr>
              <w:t>9.6</w:t>
            </w:r>
            <w:r w:rsidRPr="00D630D1">
              <w:t>t</w:t>
            </w:r>
          </w:p>
        </w:tc>
        <w:tc>
          <w:tcPr>
            <w:tcW w:w="1045" w:type="dxa"/>
            <w:vAlign w:val="center"/>
          </w:tcPr>
          <w:p w:rsidR="008369CC" w:rsidRPr="00D630D1" w:rsidRDefault="008369CC" w:rsidP="008D3FB5">
            <w:pPr>
              <w:pStyle w:val="aff2"/>
            </w:pPr>
            <w:r w:rsidRPr="00D630D1">
              <w:t>间断</w:t>
            </w:r>
          </w:p>
        </w:tc>
        <w:tc>
          <w:tcPr>
            <w:tcW w:w="1705" w:type="dxa"/>
            <w:vAlign w:val="center"/>
          </w:tcPr>
          <w:p w:rsidR="008369CC" w:rsidRPr="00D630D1" w:rsidRDefault="008369CC" w:rsidP="00833289">
            <w:pPr>
              <w:pStyle w:val="aff2"/>
            </w:pPr>
            <w:bookmarkStart w:id="377" w:name="OLE_LINK285"/>
            <w:bookmarkStart w:id="378" w:name="OLE_LINK286"/>
            <w:r w:rsidRPr="00D630D1">
              <w:t>/</w:t>
            </w:r>
            <w:bookmarkEnd w:id="377"/>
            <w:bookmarkEnd w:id="378"/>
          </w:p>
        </w:tc>
        <w:tc>
          <w:tcPr>
            <w:tcW w:w="2521" w:type="dxa"/>
            <w:vAlign w:val="center"/>
          </w:tcPr>
          <w:p w:rsidR="008369CC" w:rsidRPr="00D630D1" w:rsidRDefault="008369CC" w:rsidP="00833289">
            <w:pPr>
              <w:pStyle w:val="aff2"/>
            </w:pPr>
            <w:r w:rsidRPr="00D630D1">
              <w:t>当地环卫部门处理</w:t>
            </w:r>
          </w:p>
        </w:tc>
      </w:tr>
      <w:tr w:rsidR="008369CC" w:rsidRPr="00D630D1" w:rsidTr="00AD59E9">
        <w:trPr>
          <w:trHeight w:val="177"/>
          <w:jc w:val="center"/>
        </w:trPr>
        <w:tc>
          <w:tcPr>
            <w:tcW w:w="538" w:type="dxa"/>
            <w:vMerge/>
            <w:vAlign w:val="center"/>
          </w:tcPr>
          <w:p w:rsidR="008369CC" w:rsidRPr="00D630D1" w:rsidRDefault="008369CC" w:rsidP="00B60C73">
            <w:pPr>
              <w:pStyle w:val="aff2"/>
            </w:pPr>
          </w:p>
        </w:tc>
        <w:tc>
          <w:tcPr>
            <w:tcW w:w="1391" w:type="dxa"/>
            <w:vMerge w:val="restart"/>
            <w:vAlign w:val="center"/>
          </w:tcPr>
          <w:p w:rsidR="008369CC" w:rsidRPr="00D630D1" w:rsidRDefault="008369CC" w:rsidP="00B60C73">
            <w:pPr>
              <w:pStyle w:val="aff2"/>
            </w:pPr>
            <w:r w:rsidRPr="00D630D1">
              <w:t>施工废料</w:t>
            </w:r>
          </w:p>
        </w:tc>
        <w:tc>
          <w:tcPr>
            <w:tcW w:w="1558" w:type="dxa"/>
            <w:vAlign w:val="center"/>
          </w:tcPr>
          <w:p w:rsidR="008369CC" w:rsidRPr="00D630D1" w:rsidRDefault="008369CC" w:rsidP="004D3E6E">
            <w:pPr>
              <w:pStyle w:val="aff2"/>
            </w:pPr>
            <w:r w:rsidRPr="00D630D1">
              <w:rPr>
                <w:rFonts w:hint="eastAsia"/>
              </w:rPr>
              <w:t>0.14</w:t>
            </w:r>
            <w:r w:rsidRPr="00D630D1">
              <w:t>t</w:t>
            </w:r>
          </w:p>
        </w:tc>
        <w:tc>
          <w:tcPr>
            <w:tcW w:w="1045" w:type="dxa"/>
            <w:vAlign w:val="center"/>
          </w:tcPr>
          <w:p w:rsidR="008369CC" w:rsidRPr="00D630D1" w:rsidRDefault="008369CC" w:rsidP="00B60C73">
            <w:pPr>
              <w:pStyle w:val="aff2"/>
            </w:pPr>
            <w:r w:rsidRPr="00D630D1">
              <w:t>间断</w:t>
            </w:r>
          </w:p>
        </w:tc>
        <w:tc>
          <w:tcPr>
            <w:tcW w:w="1705" w:type="dxa"/>
            <w:vAlign w:val="center"/>
          </w:tcPr>
          <w:p w:rsidR="008369CC" w:rsidRPr="00D630D1" w:rsidRDefault="008369CC" w:rsidP="00B60C73">
            <w:pPr>
              <w:pStyle w:val="aff2"/>
            </w:pPr>
            <w:r w:rsidRPr="00D630D1">
              <w:t>铁屑、废焊条、废弃混凝土等</w:t>
            </w:r>
          </w:p>
        </w:tc>
        <w:tc>
          <w:tcPr>
            <w:tcW w:w="2521" w:type="dxa"/>
            <w:vAlign w:val="center"/>
          </w:tcPr>
          <w:p w:rsidR="008369CC" w:rsidRPr="00D630D1" w:rsidRDefault="008369CC" w:rsidP="00B60C73">
            <w:pPr>
              <w:pStyle w:val="aff2"/>
            </w:pPr>
            <w:r w:rsidRPr="00D630D1">
              <w:t>部分回收利用，剩余部分当地环卫部门处理</w:t>
            </w:r>
          </w:p>
        </w:tc>
      </w:tr>
      <w:tr w:rsidR="008369CC" w:rsidRPr="00D630D1" w:rsidTr="00AD59E9">
        <w:trPr>
          <w:trHeight w:val="177"/>
          <w:jc w:val="center"/>
        </w:trPr>
        <w:tc>
          <w:tcPr>
            <w:tcW w:w="538" w:type="dxa"/>
            <w:vMerge/>
            <w:vAlign w:val="center"/>
          </w:tcPr>
          <w:p w:rsidR="008369CC" w:rsidRPr="00D630D1" w:rsidRDefault="008369CC" w:rsidP="00B60C73">
            <w:pPr>
              <w:pStyle w:val="aff2"/>
            </w:pPr>
          </w:p>
        </w:tc>
        <w:tc>
          <w:tcPr>
            <w:tcW w:w="1391" w:type="dxa"/>
            <w:vMerge/>
            <w:vAlign w:val="center"/>
          </w:tcPr>
          <w:p w:rsidR="008369CC" w:rsidRPr="00D630D1" w:rsidRDefault="008369CC" w:rsidP="00B60C73">
            <w:pPr>
              <w:pStyle w:val="aff2"/>
            </w:pPr>
          </w:p>
        </w:tc>
        <w:tc>
          <w:tcPr>
            <w:tcW w:w="1558" w:type="dxa"/>
            <w:vAlign w:val="center"/>
          </w:tcPr>
          <w:p w:rsidR="008369CC" w:rsidRPr="00D630D1" w:rsidRDefault="008369CC" w:rsidP="00B60C73">
            <w:pPr>
              <w:pStyle w:val="aff2"/>
            </w:pPr>
            <w:r w:rsidRPr="00D630D1">
              <w:t>一定量</w:t>
            </w:r>
          </w:p>
        </w:tc>
        <w:tc>
          <w:tcPr>
            <w:tcW w:w="1045" w:type="dxa"/>
            <w:vAlign w:val="center"/>
          </w:tcPr>
          <w:p w:rsidR="008369CC" w:rsidRPr="00D630D1" w:rsidRDefault="008369CC" w:rsidP="00B60C73">
            <w:pPr>
              <w:pStyle w:val="aff2"/>
            </w:pPr>
            <w:bookmarkStart w:id="379" w:name="OLE_LINK63"/>
            <w:bookmarkStart w:id="380" w:name="OLE_LINK73"/>
            <w:r w:rsidRPr="00D630D1">
              <w:t>间断</w:t>
            </w:r>
            <w:bookmarkEnd w:id="379"/>
            <w:bookmarkEnd w:id="380"/>
          </w:p>
        </w:tc>
        <w:tc>
          <w:tcPr>
            <w:tcW w:w="1705" w:type="dxa"/>
            <w:vAlign w:val="center"/>
          </w:tcPr>
          <w:p w:rsidR="008369CC" w:rsidRPr="00D630D1" w:rsidRDefault="008369CC" w:rsidP="00B60C73">
            <w:pPr>
              <w:pStyle w:val="aff2"/>
            </w:pPr>
            <w:r w:rsidRPr="00D630D1">
              <w:t>接口处废弃防腐材料及少量废油漆桶</w:t>
            </w:r>
          </w:p>
        </w:tc>
        <w:tc>
          <w:tcPr>
            <w:tcW w:w="2521" w:type="dxa"/>
            <w:vAlign w:val="center"/>
          </w:tcPr>
          <w:p w:rsidR="008369CC" w:rsidRPr="00D630D1" w:rsidRDefault="008369CC" w:rsidP="00B60C73">
            <w:pPr>
              <w:pStyle w:val="aff2"/>
            </w:pPr>
            <w:r w:rsidRPr="00D630D1">
              <w:t>施工单位收集后交有资质单位处置</w:t>
            </w:r>
          </w:p>
        </w:tc>
      </w:tr>
      <w:tr w:rsidR="008369CC" w:rsidRPr="00D630D1" w:rsidTr="00AD59E9">
        <w:trPr>
          <w:trHeight w:val="177"/>
          <w:jc w:val="center"/>
        </w:trPr>
        <w:tc>
          <w:tcPr>
            <w:tcW w:w="538" w:type="dxa"/>
            <w:vMerge/>
            <w:vAlign w:val="center"/>
          </w:tcPr>
          <w:p w:rsidR="008369CC" w:rsidRPr="00D630D1" w:rsidRDefault="008369CC" w:rsidP="00B60C73">
            <w:pPr>
              <w:pStyle w:val="aff2"/>
            </w:pPr>
          </w:p>
        </w:tc>
        <w:tc>
          <w:tcPr>
            <w:tcW w:w="1391" w:type="dxa"/>
            <w:vAlign w:val="center"/>
          </w:tcPr>
          <w:p w:rsidR="008369CC" w:rsidRPr="00D630D1" w:rsidRDefault="00671AE7" w:rsidP="00B60C73">
            <w:pPr>
              <w:pStyle w:val="aff2"/>
            </w:pPr>
            <w:r>
              <w:rPr>
                <w:rFonts w:hint="eastAsia"/>
              </w:rPr>
              <w:t>水基</w:t>
            </w:r>
            <w:r w:rsidR="008369CC" w:rsidRPr="00D630D1">
              <w:rPr>
                <w:rFonts w:hint="eastAsia"/>
              </w:rPr>
              <w:t>岩屑</w:t>
            </w:r>
          </w:p>
        </w:tc>
        <w:tc>
          <w:tcPr>
            <w:tcW w:w="1558" w:type="dxa"/>
            <w:vAlign w:val="center"/>
          </w:tcPr>
          <w:p w:rsidR="008369CC" w:rsidRPr="00D630D1" w:rsidRDefault="00671AE7" w:rsidP="00B60C73">
            <w:pPr>
              <w:pStyle w:val="aff2"/>
            </w:pPr>
            <w:r w:rsidRPr="00671AE7">
              <w:t>2810.55</w:t>
            </w:r>
            <w:r w:rsidR="008369CC" w:rsidRPr="00D630D1">
              <w:t>m</w:t>
            </w:r>
            <w:r w:rsidR="008369CC" w:rsidRPr="00D630D1">
              <w:rPr>
                <w:vertAlign w:val="superscript"/>
              </w:rPr>
              <w:t>3</w:t>
            </w:r>
          </w:p>
        </w:tc>
        <w:tc>
          <w:tcPr>
            <w:tcW w:w="1045" w:type="dxa"/>
            <w:vAlign w:val="center"/>
          </w:tcPr>
          <w:p w:rsidR="008369CC" w:rsidRPr="00D630D1" w:rsidRDefault="008369CC" w:rsidP="00B60C73">
            <w:pPr>
              <w:pStyle w:val="aff2"/>
            </w:pPr>
            <w:r w:rsidRPr="00D630D1">
              <w:rPr>
                <w:rFonts w:hint="eastAsia"/>
              </w:rPr>
              <w:t>连续</w:t>
            </w:r>
          </w:p>
        </w:tc>
        <w:tc>
          <w:tcPr>
            <w:tcW w:w="1705" w:type="dxa"/>
            <w:vAlign w:val="center"/>
          </w:tcPr>
          <w:p w:rsidR="008369CC" w:rsidRPr="00D630D1" w:rsidRDefault="008369CC" w:rsidP="00B60C73">
            <w:pPr>
              <w:pStyle w:val="aff2"/>
            </w:pPr>
            <w:r w:rsidRPr="00D630D1">
              <w:t>/</w:t>
            </w:r>
          </w:p>
        </w:tc>
        <w:tc>
          <w:tcPr>
            <w:tcW w:w="2521" w:type="dxa"/>
            <w:vMerge w:val="restart"/>
            <w:vAlign w:val="center"/>
          </w:tcPr>
          <w:p w:rsidR="008369CC" w:rsidRPr="00D630D1" w:rsidRDefault="008369CC" w:rsidP="008369CC">
            <w:pPr>
              <w:pStyle w:val="aff2"/>
            </w:pPr>
            <w:r w:rsidRPr="00D630D1">
              <w:rPr>
                <w:rFonts w:hint="eastAsia"/>
              </w:rPr>
              <w:t>本项目采用清洁化操作平台，并采取泥浆不落地措施。</w:t>
            </w:r>
            <w:r w:rsidRPr="00D630D1">
              <w:rPr>
                <w:rFonts w:hint="eastAsia"/>
                <w:bCs/>
              </w:rPr>
              <w:t>就近交给依法取得生态环境部门关于利用和处置相关工业固体废物项目环评批复、具有处理处置相应固体废物能力并配套建设有废气、废水、固废等污染物治理设施的单位进行资源化利用。</w:t>
            </w:r>
          </w:p>
        </w:tc>
      </w:tr>
      <w:tr w:rsidR="008369CC" w:rsidRPr="00D630D1" w:rsidTr="00AD59E9">
        <w:trPr>
          <w:trHeight w:val="177"/>
          <w:jc w:val="center"/>
        </w:trPr>
        <w:tc>
          <w:tcPr>
            <w:tcW w:w="538" w:type="dxa"/>
            <w:vMerge/>
            <w:vAlign w:val="center"/>
          </w:tcPr>
          <w:p w:rsidR="008369CC" w:rsidRPr="00D630D1" w:rsidRDefault="008369CC" w:rsidP="00B60C73">
            <w:pPr>
              <w:pStyle w:val="aff2"/>
            </w:pPr>
          </w:p>
        </w:tc>
        <w:tc>
          <w:tcPr>
            <w:tcW w:w="1391" w:type="dxa"/>
            <w:vAlign w:val="center"/>
          </w:tcPr>
          <w:p w:rsidR="008369CC" w:rsidRPr="00D630D1" w:rsidRDefault="008369CC" w:rsidP="00B60C73">
            <w:pPr>
              <w:pStyle w:val="aff2"/>
            </w:pPr>
            <w:r w:rsidRPr="00D630D1">
              <w:rPr>
                <w:rFonts w:hint="eastAsia"/>
              </w:rPr>
              <w:t>废</w:t>
            </w:r>
            <w:r w:rsidR="00671AE7">
              <w:rPr>
                <w:rFonts w:hint="eastAsia"/>
              </w:rPr>
              <w:t>水基</w:t>
            </w:r>
            <w:r w:rsidRPr="00D630D1">
              <w:rPr>
                <w:rFonts w:hint="eastAsia"/>
              </w:rPr>
              <w:t>泥浆</w:t>
            </w:r>
          </w:p>
        </w:tc>
        <w:tc>
          <w:tcPr>
            <w:tcW w:w="1558" w:type="dxa"/>
            <w:vAlign w:val="center"/>
          </w:tcPr>
          <w:p w:rsidR="008369CC" w:rsidRPr="00D630D1" w:rsidRDefault="00671AE7" w:rsidP="00B60C73">
            <w:pPr>
              <w:pStyle w:val="aff2"/>
            </w:pPr>
            <w:bookmarkStart w:id="381" w:name="OLE_LINK53"/>
            <w:bookmarkStart w:id="382" w:name="OLE_LINK54"/>
            <w:r>
              <w:rPr>
                <w:rFonts w:hint="eastAsia"/>
              </w:rPr>
              <w:t>169.2</w:t>
            </w:r>
            <w:r w:rsidR="008369CC" w:rsidRPr="00D630D1">
              <w:rPr>
                <w:rFonts w:hint="eastAsia"/>
              </w:rPr>
              <w:t>m</w:t>
            </w:r>
            <w:r w:rsidR="008369CC" w:rsidRPr="00D630D1">
              <w:rPr>
                <w:rFonts w:hint="eastAsia"/>
                <w:vertAlign w:val="superscript"/>
              </w:rPr>
              <w:t>3</w:t>
            </w:r>
            <w:bookmarkEnd w:id="381"/>
            <w:bookmarkEnd w:id="382"/>
          </w:p>
        </w:tc>
        <w:tc>
          <w:tcPr>
            <w:tcW w:w="1045" w:type="dxa"/>
            <w:vAlign w:val="center"/>
          </w:tcPr>
          <w:p w:rsidR="008369CC" w:rsidRPr="00D630D1" w:rsidRDefault="008369CC" w:rsidP="00B60C73">
            <w:pPr>
              <w:pStyle w:val="aff2"/>
            </w:pPr>
            <w:r w:rsidRPr="00D630D1">
              <w:rPr>
                <w:rFonts w:hint="eastAsia"/>
              </w:rPr>
              <w:t>连续</w:t>
            </w:r>
          </w:p>
        </w:tc>
        <w:tc>
          <w:tcPr>
            <w:tcW w:w="1705" w:type="dxa"/>
            <w:vAlign w:val="center"/>
          </w:tcPr>
          <w:p w:rsidR="008369CC" w:rsidRPr="00D630D1" w:rsidRDefault="008369CC" w:rsidP="00B60C73">
            <w:pPr>
              <w:pStyle w:val="aff2"/>
            </w:pPr>
            <w:r w:rsidRPr="00D630D1">
              <w:t>/</w:t>
            </w:r>
          </w:p>
        </w:tc>
        <w:tc>
          <w:tcPr>
            <w:tcW w:w="2521" w:type="dxa"/>
            <w:vMerge/>
            <w:vAlign w:val="center"/>
          </w:tcPr>
          <w:p w:rsidR="008369CC" w:rsidRPr="00D630D1" w:rsidRDefault="008369CC" w:rsidP="00B60C73">
            <w:pPr>
              <w:pStyle w:val="aff2"/>
            </w:pPr>
          </w:p>
        </w:tc>
      </w:tr>
      <w:tr w:rsidR="00671AE7" w:rsidRPr="00D630D1" w:rsidTr="00AD59E9">
        <w:trPr>
          <w:trHeight w:val="177"/>
          <w:jc w:val="center"/>
        </w:trPr>
        <w:tc>
          <w:tcPr>
            <w:tcW w:w="538" w:type="dxa"/>
            <w:vMerge/>
            <w:vAlign w:val="center"/>
          </w:tcPr>
          <w:p w:rsidR="00671AE7" w:rsidRPr="00D630D1" w:rsidRDefault="00671AE7" w:rsidP="00B60C73">
            <w:pPr>
              <w:pStyle w:val="aff2"/>
            </w:pPr>
          </w:p>
        </w:tc>
        <w:tc>
          <w:tcPr>
            <w:tcW w:w="1391" w:type="dxa"/>
            <w:vAlign w:val="center"/>
          </w:tcPr>
          <w:p w:rsidR="00671AE7" w:rsidRPr="00D630D1" w:rsidRDefault="00671AE7" w:rsidP="006269A7">
            <w:pPr>
              <w:pStyle w:val="aff2"/>
            </w:pPr>
            <w:r>
              <w:rPr>
                <w:rFonts w:hint="eastAsia"/>
              </w:rPr>
              <w:t>油基</w:t>
            </w:r>
            <w:r w:rsidRPr="00D630D1">
              <w:rPr>
                <w:rFonts w:hint="eastAsia"/>
              </w:rPr>
              <w:t>岩屑</w:t>
            </w:r>
          </w:p>
        </w:tc>
        <w:tc>
          <w:tcPr>
            <w:tcW w:w="1558" w:type="dxa"/>
            <w:vAlign w:val="center"/>
          </w:tcPr>
          <w:p w:rsidR="00671AE7" w:rsidRPr="00D630D1" w:rsidRDefault="00671AE7" w:rsidP="006269A7">
            <w:pPr>
              <w:pStyle w:val="aff2"/>
            </w:pPr>
            <w:r>
              <w:rPr>
                <w:rFonts w:hint="eastAsia"/>
              </w:rPr>
              <w:t>936.85</w:t>
            </w:r>
            <w:r w:rsidRPr="00D630D1">
              <w:t>m</w:t>
            </w:r>
            <w:r w:rsidRPr="00D630D1">
              <w:rPr>
                <w:vertAlign w:val="superscript"/>
              </w:rPr>
              <w:t>3</w:t>
            </w:r>
          </w:p>
        </w:tc>
        <w:tc>
          <w:tcPr>
            <w:tcW w:w="1045" w:type="dxa"/>
            <w:vAlign w:val="center"/>
          </w:tcPr>
          <w:p w:rsidR="00671AE7" w:rsidRPr="00D630D1" w:rsidRDefault="00671AE7" w:rsidP="006269A7">
            <w:pPr>
              <w:pStyle w:val="aff2"/>
            </w:pPr>
            <w:r w:rsidRPr="00D630D1">
              <w:rPr>
                <w:rFonts w:hint="eastAsia"/>
              </w:rPr>
              <w:t>连续</w:t>
            </w:r>
          </w:p>
        </w:tc>
        <w:tc>
          <w:tcPr>
            <w:tcW w:w="1705" w:type="dxa"/>
            <w:vMerge w:val="restart"/>
            <w:vAlign w:val="center"/>
          </w:tcPr>
          <w:p w:rsidR="00671AE7" w:rsidRPr="00D630D1" w:rsidRDefault="00671AE7" w:rsidP="006269A7">
            <w:pPr>
              <w:pStyle w:val="aff2"/>
            </w:pPr>
            <w:r w:rsidRPr="00671AE7">
              <w:t>HW08</w:t>
            </w:r>
            <w:r w:rsidRPr="00671AE7">
              <w:t>废矿物油</w:t>
            </w:r>
            <w:r w:rsidRPr="00671AE7">
              <w:rPr>
                <w:rFonts w:hint="eastAsia"/>
              </w:rPr>
              <w:t>与含矿物油废物</w:t>
            </w:r>
          </w:p>
        </w:tc>
        <w:tc>
          <w:tcPr>
            <w:tcW w:w="2521" w:type="dxa"/>
            <w:vMerge w:val="restart"/>
            <w:vAlign w:val="center"/>
          </w:tcPr>
          <w:p w:rsidR="00671AE7" w:rsidRPr="00D630D1" w:rsidRDefault="00671AE7" w:rsidP="00B60C73">
            <w:pPr>
              <w:pStyle w:val="aff2"/>
            </w:pPr>
            <w:r w:rsidRPr="00D630D1">
              <w:rPr>
                <w:rFonts w:hint="eastAsia"/>
              </w:rPr>
              <w:t>本项目采用清洁化操作平台，并采取泥浆不落地措施</w:t>
            </w:r>
            <w:r>
              <w:rPr>
                <w:rFonts w:hint="eastAsia"/>
              </w:rPr>
              <w:t>，</w:t>
            </w:r>
            <w:r w:rsidRPr="00867A54">
              <w:rPr>
                <w:rFonts w:hint="eastAsia"/>
              </w:rPr>
              <w:t>存于危废暂存间，定期交由资质单位处置</w:t>
            </w:r>
            <w:r w:rsidRPr="00D630D1">
              <w:rPr>
                <w:rFonts w:hint="eastAsia"/>
              </w:rPr>
              <w:t>。</w:t>
            </w:r>
          </w:p>
        </w:tc>
      </w:tr>
      <w:tr w:rsidR="00671AE7" w:rsidRPr="00D630D1" w:rsidTr="00AD59E9">
        <w:trPr>
          <w:trHeight w:val="177"/>
          <w:jc w:val="center"/>
        </w:trPr>
        <w:tc>
          <w:tcPr>
            <w:tcW w:w="538" w:type="dxa"/>
            <w:vMerge/>
            <w:vAlign w:val="center"/>
          </w:tcPr>
          <w:p w:rsidR="00671AE7" w:rsidRPr="00D630D1" w:rsidRDefault="00671AE7" w:rsidP="00B60C73">
            <w:pPr>
              <w:pStyle w:val="aff2"/>
            </w:pPr>
          </w:p>
        </w:tc>
        <w:tc>
          <w:tcPr>
            <w:tcW w:w="1391" w:type="dxa"/>
            <w:vAlign w:val="center"/>
          </w:tcPr>
          <w:p w:rsidR="00671AE7" w:rsidRPr="00D630D1" w:rsidRDefault="00671AE7" w:rsidP="00671AE7">
            <w:pPr>
              <w:pStyle w:val="aff2"/>
            </w:pPr>
            <w:r w:rsidRPr="00D630D1">
              <w:rPr>
                <w:rFonts w:hint="eastAsia"/>
              </w:rPr>
              <w:t>废</w:t>
            </w:r>
            <w:r>
              <w:rPr>
                <w:rFonts w:hint="eastAsia"/>
              </w:rPr>
              <w:t>油基</w:t>
            </w:r>
            <w:r w:rsidRPr="00D630D1">
              <w:rPr>
                <w:rFonts w:hint="eastAsia"/>
              </w:rPr>
              <w:t>泥浆</w:t>
            </w:r>
          </w:p>
        </w:tc>
        <w:tc>
          <w:tcPr>
            <w:tcW w:w="1558" w:type="dxa"/>
            <w:vAlign w:val="center"/>
          </w:tcPr>
          <w:p w:rsidR="00671AE7" w:rsidRPr="00D630D1" w:rsidRDefault="00671AE7" w:rsidP="006269A7">
            <w:pPr>
              <w:pStyle w:val="aff2"/>
            </w:pPr>
            <w:r>
              <w:rPr>
                <w:rFonts w:hint="eastAsia"/>
              </w:rPr>
              <w:t>253.8</w:t>
            </w:r>
            <w:r w:rsidRPr="00D630D1">
              <w:rPr>
                <w:rFonts w:hint="eastAsia"/>
              </w:rPr>
              <w:t>m</w:t>
            </w:r>
            <w:r w:rsidRPr="00D630D1">
              <w:rPr>
                <w:rFonts w:hint="eastAsia"/>
                <w:vertAlign w:val="superscript"/>
              </w:rPr>
              <w:t>3</w:t>
            </w:r>
          </w:p>
        </w:tc>
        <w:tc>
          <w:tcPr>
            <w:tcW w:w="1045" w:type="dxa"/>
            <w:vAlign w:val="center"/>
          </w:tcPr>
          <w:p w:rsidR="00671AE7" w:rsidRPr="00D630D1" w:rsidRDefault="00671AE7" w:rsidP="006269A7">
            <w:pPr>
              <w:pStyle w:val="aff2"/>
            </w:pPr>
            <w:r w:rsidRPr="00D630D1">
              <w:rPr>
                <w:rFonts w:hint="eastAsia"/>
              </w:rPr>
              <w:t>连续</w:t>
            </w:r>
          </w:p>
        </w:tc>
        <w:tc>
          <w:tcPr>
            <w:tcW w:w="1705" w:type="dxa"/>
            <w:vMerge/>
            <w:vAlign w:val="center"/>
          </w:tcPr>
          <w:p w:rsidR="00671AE7" w:rsidRPr="00D630D1" w:rsidRDefault="00671AE7" w:rsidP="006269A7">
            <w:pPr>
              <w:pStyle w:val="aff2"/>
            </w:pPr>
          </w:p>
        </w:tc>
        <w:tc>
          <w:tcPr>
            <w:tcW w:w="2521" w:type="dxa"/>
            <w:vMerge/>
            <w:vAlign w:val="center"/>
          </w:tcPr>
          <w:p w:rsidR="00671AE7" w:rsidRPr="00D630D1" w:rsidRDefault="00671AE7" w:rsidP="00B60C73">
            <w:pPr>
              <w:pStyle w:val="aff2"/>
            </w:pPr>
          </w:p>
        </w:tc>
      </w:tr>
      <w:tr w:rsidR="00671AE7" w:rsidRPr="00D630D1" w:rsidTr="00AD59E9">
        <w:trPr>
          <w:trHeight w:val="177"/>
          <w:jc w:val="center"/>
        </w:trPr>
        <w:tc>
          <w:tcPr>
            <w:tcW w:w="538" w:type="dxa"/>
            <w:vMerge/>
            <w:vAlign w:val="center"/>
          </w:tcPr>
          <w:p w:rsidR="00671AE7" w:rsidRPr="00D630D1" w:rsidRDefault="00671AE7" w:rsidP="00B60C73">
            <w:pPr>
              <w:pStyle w:val="aff2"/>
            </w:pPr>
          </w:p>
        </w:tc>
        <w:tc>
          <w:tcPr>
            <w:tcW w:w="1391" w:type="dxa"/>
            <w:vAlign w:val="center"/>
          </w:tcPr>
          <w:p w:rsidR="00671AE7" w:rsidRPr="00D630D1" w:rsidRDefault="00671AE7" w:rsidP="00B60C73">
            <w:pPr>
              <w:pStyle w:val="aff2"/>
            </w:pPr>
            <w:r w:rsidRPr="00D630D1">
              <w:rPr>
                <w:rFonts w:hint="eastAsia"/>
              </w:rPr>
              <w:t>废油</w:t>
            </w:r>
          </w:p>
        </w:tc>
        <w:tc>
          <w:tcPr>
            <w:tcW w:w="1558" w:type="dxa"/>
            <w:vAlign w:val="center"/>
          </w:tcPr>
          <w:p w:rsidR="00671AE7" w:rsidRPr="00D630D1" w:rsidRDefault="00671AE7" w:rsidP="00B60C73">
            <w:pPr>
              <w:pStyle w:val="aff2"/>
            </w:pPr>
            <w:r>
              <w:rPr>
                <w:rFonts w:hint="eastAsia"/>
              </w:rPr>
              <w:t>3</w:t>
            </w:r>
            <w:r w:rsidRPr="00D630D1">
              <w:rPr>
                <w:rFonts w:hint="eastAsia"/>
              </w:rPr>
              <w:t>m</w:t>
            </w:r>
            <w:r w:rsidRPr="00D630D1">
              <w:rPr>
                <w:rFonts w:hint="eastAsia"/>
                <w:vertAlign w:val="superscript"/>
              </w:rPr>
              <w:t>3</w:t>
            </w:r>
          </w:p>
        </w:tc>
        <w:tc>
          <w:tcPr>
            <w:tcW w:w="1045" w:type="dxa"/>
            <w:vAlign w:val="center"/>
          </w:tcPr>
          <w:p w:rsidR="00671AE7" w:rsidRPr="00D630D1" w:rsidRDefault="00671AE7" w:rsidP="00B60C73">
            <w:pPr>
              <w:pStyle w:val="aff2"/>
            </w:pPr>
            <w:r w:rsidRPr="00D630D1">
              <w:t>间断</w:t>
            </w:r>
          </w:p>
        </w:tc>
        <w:tc>
          <w:tcPr>
            <w:tcW w:w="1705" w:type="dxa"/>
            <w:vAlign w:val="center"/>
          </w:tcPr>
          <w:p w:rsidR="00671AE7" w:rsidRPr="00D630D1" w:rsidRDefault="00671AE7" w:rsidP="00B60C73">
            <w:pPr>
              <w:pStyle w:val="aff2"/>
            </w:pPr>
            <w:r w:rsidRPr="00671AE7">
              <w:t>HW08</w:t>
            </w:r>
            <w:r w:rsidRPr="00671AE7">
              <w:t>废矿物油</w:t>
            </w:r>
            <w:r w:rsidRPr="00671AE7">
              <w:rPr>
                <w:rFonts w:hint="eastAsia"/>
              </w:rPr>
              <w:t>与含矿物油废物</w:t>
            </w:r>
          </w:p>
        </w:tc>
        <w:tc>
          <w:tcPr>
            <w:tcW w:w="2521" w:type="dxa"/>
            <w:vAlign w:val="center"/>
          </w:tcPr>
          <w:p w:rsidR="00671AE7" w:rsidRPr="00D630D1" w:rsidRDefault="00671AE7" w:rsidP="00C04B07">
            <w:pPr>
              <w:pStyle w:val="aff2"/>
            </w:pPr>
            <w:r w:rsidRPr="00D630D1">
              <w:rPr>
                <w:rFonts w:hint="eastAsia"/>
              </w:rPr>
              <w:t>暂存于危废暂存间，面积约</w:t>
            </w:r>
            <w:r w:rsidR="00C04B07">
              <w:rPr>
                <w:rFonts w:hint="eastAsia"/>
              </w:rPr>
              <w:t>10</w:t>
            </w:r>
            <w:r w:rsidRPr="00D630D1">
              <w:rPr>
                <w:rFonts w:hint="eastAsia"/>
              </w:rPr>
              <w:t>m</w:t>
            </w:r>
            <w:r w:rsidRPr="00D630D1">
              <w:rPr>
                <w:rFonts w:hint="eastAsia"/>
                <w:vertAlign w:val="superscript"/>
              </w:rPr>
              <w:t>2</w:t>
            </w:r>
            <w:r w:rsidRPr="00D630D1">
              <w:rPr>
                <w:rFonts w:hint="eastAsia"/>
              </w:rPr>
              <w:t>，暂存间地面采取四防措施（防风、防雨、防晒、防渗漏），并</w:t>
            </w:r>
            <w:r w:rsidRPr="00D630D1">
              <w:t>及时清运至企业</w:t>
            </w:r>
            <w:r w:rsidRPr="00D630D1">
              <w:rPr>
                <w:rFonts w:hint="eastAsia"/>
              </w:rPr>
              <w:t>净化厂</w:t>
            </w:r>
            <w:r w:rsidRPr="00D630D1">
              <w:t>危险废物贮存仓库（运距约</w:t>
            </w:r>
            <w:r w:rsidRPr="00D630D1">
              <w:rPr>
                <w:rFonts w:hint="eastAsia"/>
              </w:rPr>
              <w:t>2</w:t>
            </w:r>
            <w:r>
              <w:rPr>
                <w:rFonts w:hint="eastAsia"/>
              </w:rPr>
              <w:t>2</w:t>
            </w:r>
            <w:r w:rsidRPr="00D630D1">
              <w:t>km</w:t>
            </w:r>
            <w:r w:rsidRPr="00D630D1">
              <w:t>），定期委托有资质单位进行处理</w:t>
            </w:r>
          </w:p>
        </w:tc>
      </w:tr>
      <w:tr w:rsidR="00671AE7" w:rsidRPr="00D630D1" w:rsidTr="00AD59E9">
        <w:trPr>
          <w:trHeight w:val="68"/>
          <w:jc w:val="center"/>
        </w:trPr>
        <w:tc>
          <w:tcPr>
            <w:tcW w:w="538" w:type="dxa"/>
            <w:vMerge w:val="restart"/>
            <w:vAlign w:val="center"/>
          </w:tcPr>
          <w:p w:rsidR="00671AE7" w:rsidRPr="00D630D1" w:rsidRDefault="00671AE7" w:rsidP="00B60C73">
            <w:pPr>
              <w:pStyle w:val="aff2"/>
            </w:pPr>
            <w:r w:rsidRPr="00D630D1">
              <w:t>噪声</w:t>
            </w:r>
          </w:p>
        </w:tc>
        <w:tc>
          <w:tcPr>
            <w:tcW w:w="1391" w:type="dxa"/>
            <w:vAlign w:val="center"/>
          </w:tcPr>
          <w:p w:rsidR="00671AE7" w:rsidRPr="00D630D1" w:rsidRDefault="00671AE7" w:rsidP="008369CC">
            <w:pPr>
              <w:pStyle w:val="aff2"/>
            </w:pPr>
            <w:r w:rsidRPr="00D630D1">
              <w:rPr>
                <w:rFonts w:hint="eastAsia"/>
              </w:rPr>
              <w:t>管道</w:t>
            </w:r>
            <w:r w:rsidRPr="00D630D1">
              <w:t>施工机械、运输车辆</w:t>
            </w:r>
          </w:p>
        </w:tc>
        <w:tc>
          <w:tcPr>
            <w:tcW w:w="1558" w:type="dxa"/>
            <w:vAlign w:val="center"/>
          </w:tcPr>
          <w:p w:rsidR="00671AE7" w:rsidRPr="00D630D1" w:rsidRDefault="00671AE7" w:rsidP="00300933">
            <w:pPr>
              <w:pStyle w:val="aff2"/>
            </w:pPr>
            <w:r w:rsidRPr="00D630D1">
              <w:t>85</w:t>
            </w:r>
            <w:r w:rsidRPr="00D630D1">
              <w:t>～</w:t>
            </w:r>
            <w:r w:rsidRPr="00D630D1">
              <w:t>105dB</w:t>
            </w:r>
            <w:r w:rsidRPr="00D630D1">
              <w:rPr>
                <w:rFonts w:hint="eastAsia"/>
              </w:rPr>
              <w:t>（</w:t>
            </w:r>
            <w:r w:rsidRPr="00D630D1">
              <w:t>A</w:t>
            </w:r>
            <w:r w:rsidRPr="00D630D1">
              <w:rPr>
                <w:rFonts w:hint="eastAsia"/>
              </w:rPr>
              <w:t>）</w:t>
            </w:r>
          </w:p>
        </w:tc>
        <w:tc>
          <w:tcPr>
            <w:tcW w:w="1045" w:type="dxa"/>
            <w:vAlign w:val="center"/>
          </w:tcPr>
          <w:p w:rsidR="00671AE7" w:rsidRPr="00D630D1" w:rsidRDefault="00671AE7" w:rsidP="00B60C73">
            <w:pPr>
              <w:pStyle w:val="aff2"/>
            </w:pPr>
            <w:r w:rsidRPr="00D630D1">
              <w:t>间断</w:t>
            </w:r>
          </w:p>
        </w:tc>
        <w:tc>
          <w:tcPr>
            <w:tcW w:w="1705" w:type="dxa"/>
            <w:vAlign w:val="center"/>
          </w:tcPr>
          <w:p w:rsidR="00671AE7" w:rsidRPr="00D630D1" w:rsidRDefault="00671AE7" w:rsidP="00B60C73">
            <w:pPr>
              <w:pStyle w:val="aff2"/>
            </w:pPr>
            <w:bookmarkStart w:id="383" w:name="OLE_LINK119"/>
            <w:bookmarkStart w:id="384" w:name="OLE_LINK120"/>
            <w:r w:rsidRPr="00D630D1">
              <w:t>噪声</w:t>
            </w:r>
            <w:bookmarkEnd w:id="383"/>
            <w:bookmarkEnd w:id="384"/>
          </w:p>
        </w:tc>
        <w:tc>
          <w:tcPr>
            <w:tcW w:w="2521" w:type="dxa"/>
            <w:vAlign w:val="center"/>
          </w:tcPr>
          <w:p w:rsidR="00671AE7" w:rsidRPr="00D630D1" w:rsidRDefault="00671AE7" w:rsidP="00B60C73">
            <w:pPr>
              <w:pStyle w:val="aff2"/>
            </w:pPr>
            <w:r w:rsidRPr="00D630D1">
              <w:t>合理安排施工作业时间，合理布局施工现场；夜间原则上禁止施工，若遇特定工艺需连续作业需报相关部门同意后，方可开展夜间施工，同时做好夜间环境保护防护及应急措施；在施工沿线居民集中点设挡声板</w:t>
            </w:r>
          </w:p>
        </w:tc>
      </w:tr>
      <w:tr w:rsidR="00671AE7" w:rsidRPr="00D630D1" w:rsidTr="00AD59E9">
        <w:trPr>
          <w:trHeight w:val="68"/>
          <w:jc w:val="center"/>
        </w:trPr>
        <w:tc>
          <w:tcPr>
            <w:tcW w:w="538" w:type="dxa"/>
            <w:vMerge/>
            <w:vAlign w:val="center"/>
          </w:tcPr>
          <w:p w:rsidR="00671AE7" w:rsidRPr="00D630D1" w:rsidRDefault="00671AE7" w:rsidP="00B60C73">
            <w:pPr>
              <w:pStyle w:val="aff2"/>
            </w:pPr>
          </w:p>
        </w:tc>
        <w:tc>
          <w:tcPr>
            <w:tcW w:w="1391" w:type="dxa"/>
            <w:vAlign w:val="center"/>
          </w:tcPr>
          <w:p w:rsidR="00671AE7" w:rsidRPr="00D630D1" w:rsidRDefault="00671AE7" w:rsidP="00B60C73">
            <w:pPr>
              <w:pStyle w:val="aff2"/>
            </w:pPr>
            <w:r w:rsidRPr="00D630D1">
              <w:rPr>
                <w:rFonts w:hint="eastAsia"/>
              </w:rPr>
              <w:t>钻井、压裂、测试放喷</w:t>
            </w:r>
          </w:p>
        </w:tc>
        <w:tc>
          <w:tcPr>
            <w:tcW w:w="1558" w:type="dxa"/>
            <w:vAlign w:val="center"/>
          </w:tcPr>
          <w:p w:rsidR="00671AE7" w:rsidRPr="00D630D1" w:rsidRDefault="00671AE7" w:rsidP="00D93A24">
            <w:pPr>
              <w:pStyle w:val="aff2"/>
            </w:pPr>
            <w:r w:rsidRPr="00D630D1">
              <w:t>85</w:t>
            </w:r>
            <w:r w:rsidRPr="00D630D1">
              <w:t>～</w:t>
            </w:r>
            <w:r w:rsidRPr="00D630D1">
              <w:t>105dB</w:t>
            </w:r>
            <w:r w:rsidRPr="00D630D1">
              <w:rPr>
                <w:rFonts w:hint="eastAsia"/>
              </w:rPr>
              <w:t>（</w:t>
            </w:r>
            <w:r w:rsidRPr="00D630D1">
              <w:t>A</w:t>
            </w:r>
            <w:r w:rsidRPr="00D630D1">
              <w:rPr>
                <w:rFonts w:hint="eastAsia"/>
              </w:rPr>
              <w:t>）</w:t>
            </w:r>
          </w:p>
        </w:tc>
        <w:tc>
          <w:tcPr>
            <w:tcW w:w="1045" w:type="dxa"/>
            <w:vAlign w:val="center"/>
          </w:tcPr>
          <w:p w:rsidR="00671AE7" w:rsidRPr="00D630D1" w:rsidRDefault="00671AE7" w:rsidP="00D93A24">
            <w:pPr>
              <w:pStyle w:val="aff2"/>
            </w:pPr>
            <w:r w:rsidRPr="00D630D1">
              <w:rPr>
                <w:rFonts w:hint="eastAsia"/>
              </w:rPr>
              <w:t>连续</w:t>
            </w:r>
          </w:p>
        </w:tc>
        <w:tc>
          <w:tcPr>
            <w:tcW w:w="1705" w:type="dxa"/>
            <w:vAlign w:val="center"/>
          </w:tcPr>
          <w:p w:rsidR="00671AE7" w:rsidRPr="00D630D1" w:rsidRDefault="00671AE7" w:rsidP="00B60C73">
            <w:pPr>
              <w:pStyle w:val="aff2"/>
            </w:pPr>
            <w:r w:rsidRPr="00D630D1">
              <w:t>噪声</w:t>
            </w:r>
          </w:p>
        </w:tc>
        <w:tc>
          <w:tcPr>
            <w:tcW w:w="2521" w:type="dxa"/>
            <w:vAlign w:val="center"/>
          </w:tcPr>
          <w:p w:rsidR="00671AE7" w:rsidRPr="00D630D1" w:rsidRDefault="00671AE7" w:rsidP="00B60C73">
            <w:pPr>
              <w:pStyle w:val="aff2"/>
            </w:pPr>
            <w:r w:rsidRPr="00D630D1">
              <w:rPr>
                <w:rFonts w:hint="eastAsia"/>
              </w:rPr>
              <w:t>钻井施工采用网电</w:t>
            </w:r>
          </w:p>
        </w:tc>
      </w:tr>
    </w:tbl>
    <w:p w:rsidR="00117C3D" w:rsidRPr="00D630D1" w:rsidRDefault="00AF16EF" w:rsidP="00AF16EF">
      <w:pPr>
        <w:pStyle w:val="2"/>
        <w:spacing w:before="120"/>
        <w:rPr>
          <w:rFonts w:cs="Times New Roman"/>
        </w:rPr>
      </w:pPr>
      <w:bookmarkStart w:id="385" w:name="bookmark24"/>
      <w:bookmarkStart w:id="386" w:name="_Toc19815990"/>
      <w:bookmarkStart w:id="387" w:name="_Toc12288519"/>
      <w:bookmarkStart w:id="388" w:name="_Toc81515276"/>
      <w:bookmarkEnd w:id="385"/>
      <w:r w:rsidRPr="00D630D1">
        <w:rPr>
          <w:rFonts w:cs="Times New Roman"/>
        </w:rPr>
        <w:t>4</w:t>
      </w:r>
      <w:r w:rsidR="008B5B84" w:rsidRPr="00D630D1">
        <w:rPr>
          <w:rFonts w:cs="Times New Roman"/>
        </w:rPr>
        <w:t xml:space="preserve">.2 </w:t>
      </w:r>
      <w:r w:rsidR="008B5B84" w:rsidRPr="00D630D1">
        <w:rPr>
          <w:rFonts w:cs="Times New Roman"/>
        </w:rPr>
        <w:t>运营期</w:t>
      </w:r>
      <w:bookmarkEnd w:id="386"/>
      <w:bookmarkEnd w:id="387"/>
      <w:r w:rsidR="008B5B84" w:rsidRPr="00D630D1">
        <w:rPr>
          <w:rFonts w:cs="Times New Roman"/>
        </w:rPr>
        <w:t>工程分析</w:t>
      </w:r>
      <w:bookmarkEnd w:id="388"/>
    </w:p>
    <w:p w:rsidR="008524F9" w:rsidRPr="00D630D1" w:rsidRDefault="008524F9" w:rsidP="008524F9">
      <w:pPr>
        <w:pStyle w:val="3"/>
        <w:rPr>
          <w:rFonts w:eastAsia="宋体"/>
        </w:rPr>
      </w:pPr>
      <w:r w:rsidRPr="00D630D1">
        <w:rPr>
          <w:rFonts w:eastAsia="宋体"/>
        </w:rPr>
        <w:t xml:space="preserve">4.2.1 </w:t>
      </w:r>
      <w:r w:rsidRPr="00D630D1">
        <w:rPr>
          <w:rFonts w:eastAsia="宋体"/>
        </w:rPr>
        <w:t>营运期工艺流程</w:t>
      </w:r>
    </w:p>
    <w:p w:rsidR="008524F9" w:rsidRPr="00D630D1" w:rsidRDefault="001B2F69" w:rsidP="001B2F69">
      <w:pPr>
        <w:ind w:firstLine="480"/>
      </w:pPr>
      <w:r>
        <w:rPr>
          <w:noProof/>
        </w:rPr>
        <w:drawing>
          <wp:inline distT="0" distB="0" distL="0" distR="0">
            <wp:extent cx="4866217" cy="1830260"/>
            <wp:effectExtent l="19050" t="0" r="0" b="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54" cstate="print"/>
                    <a:srcRect/>
                    <a:stretch>
                      <a:fillRect/>
                    </a:stretch>
                  </pic:blipFill>
                  <pic:spPr bwMode="auto">
                    <a:xfrm>
                      <a:off x="0" y="0"/>
                      <a:ext cx="4872480" cy="1832616"/>
                    </a:xfrm>
                    <a:prstGeom prst="rect">
                      <a:avLst/>
                    </a:prstGeom>
                    <a:noFill/>
                    <a:ln w="9525">
                      <a:noFill/>
                      <a:miter lim="800000"/>
                      <a:headEnd/>
                      <a:tailEnd/>
                    </a:ln>
                  </pic:spPr>
                </pic:pic>
              </a:graphicData>
            </a:graphic>
          </wp:inline>
        </w:drawing>
      </w:r>
    </w:p>
    <w:p w:rsidR="00A565D0" w:rsidRPr="00D630D1" w:rsidRDefault="00A565D0" w:rsidP="00A565D0">
      <w:pPr>
        <w:pStyle w:val="10"/>
        <w:rPr>
          <w:rFonts w:cs="Times New Roman"/>
        </w:rPr>
      </w:pPr>
      <w:r w:rsidRPr="00D630D1">
        <w:rPr>
          <w:rFonts w:cs="Times New Roman"/>
        </w:rPr>
        <w:t>图</w:t>
      </w:r>
      <w:r w:rsidRPr="00D630D1">
        <w:rPr>
          <w:rFonts w:cs="Times New Roman"/>
          <w:bCs/>
        </w:rPr>
        <w:t xml:space="preserve">4.2-1  </w:t>
      </w:r>
      <w:r w:rsidRPr="00D630D1">
        <w:rPr>
          <w:rFonts w:cs="Times New Roman"/>
        </w:rPr>
        <w:t>本项目运营期工艺流程及产污节点图</w:t>
      </w:r>
    </w:p>
    <w:p w:rsidR="00C7238B" w:rsidRPr="00D630D1" w:rsidRDefault="00A565D0" w:rsidP="00A565D0">
      <w:pPr>
        <w:pStyle w:val="afa"/>
        <w:ind w:firstLine="482"/>
        <w:rPr>
          <w:b/>
          <w:bCs/>
        </w:rPr>
      </w:pPr>
      <w:r w:rsidRPr="00D630D1">
        <w:rPr>
          <w:b/>
          <w:bCs/>
        </w:rPr>
        <w:lastRenderedPageBreak/>
        <w:t>工艺流程描述：</w:t>
      </w:r>
    </w:p>
    <w:p w:rsidR="00C7238B" w:rsidRDefault="001B2F69" w:rsidP="001B2F69">
      <w:pPr>
        <w:pStyle w:val="afa"/>
        <w:ind w:firstLine="480"/>
        <w:rPr>
          <w:bCs/>
        </w:rPr>
      </w:pPr>
      <w:r w:rsidRPr="001B2F69">
        <w:rPr>
          <w:rFonts w:hint="eastAsia"/>
          <w:bCs/>
        </w:rPr>
        <w:t>本工程天然气输送工艺采用</w:t>
      </w:r>
      <w:r w:rsidRPr="001B2F69">
        <w:rPr>
          <w:bCs/>
        </w:rPr>
        <w:t>“</w:t>
      </w:r>
      <w:r w:rsidRPr="001B2F69">
        <w:rPr>
          <w:bCs/>
        </w:rPr>
        <w:t>全湿气加热保温</w:t>
      </w:r>
      <w:r>
        <w:rPr>
          <w:rFonts w:hint="eastAsia"/>
          <w:bCs/>
        </w:rPr>
        <w:t>混</w:t>
      </w:r>
      <w:r w:rsidRPr="001B2F69">
        <w:rPr>
          <w:bCs/>
        </w:rPr>
        <w:t>输工艺</w:t>
      </w:r>
      <w:r w:rsidRPr="001B2F69">
        <w:rPr>
          <w:bCs/>
        </w:rPr>
        <w:t>”</w:t>
      </w:r>
      <w:r>
        <w:rPr>
          <w:rFonts w:hint="eastAsia"/>
          <w:bCs/>
        </w:rPr>
        <w:t>，</w:t>
      </w:r>
      <w:r w:rsidRPr="001B2F69">
        <w:rPr>
          <w:rFonts w:hint="eastAsia"/>
        </w:rPr>
        <w:t xml:space="preserve"> </w:t>
      </w:r>
      <w:r w:rsidRPr="001B2F69">
        <w:rPr>
          <w:rFonts w:hint="eastAsia"/>
          <w:bCs/>
        </w:rPr>
        <w:t>最低温度高于水合物形成温度</w:t>
      </w:r>
      <w:r w:rsidRPr="001B2F69">
        <w:rPr>
          <w:rFonts w:hint="eastAsia"/>
          <w:bCs/>
        </w:rPr>
        <w:t xml:space="preserve"> 3~5</w:t>
      </w:r>
      <w:r w:rsidRPr="001B2F69">
        <w:rPr>
          <w:rFonts w:hint="eastAsia"/>
          <w:bCs/>
        </w:rPr>
        <w:t>℃。井口天然气经两级节流、两次加热，分离计量后就近接入拟建外输管道。两相分离器分离的油水混合物进入闪蒸罐，由闪蒸罐闪蒸分离出凝析油及气田水后，闪蒸气去水套加热炉燃气系统，凝析油进入油罐储存，定期外售，气田水排入站区污水</w:t>
      </w:r>
      <w:r>
        <w:rPr>
          <w:rFonts w:hint="eastAsia"/>
          <w:bCs/>
        </w:rPr>
        <w:t>缓冲</w:t>
      </w:r>
      <w:r w:rsidRPr="001B2F69">
        <w:rPr>
          <w:rFonts w:hint="eastAsia"/>
          <w:bCs/>
        </w:rPr>
        <w:t>罐暂存，暂存一定量后密闭罐车运至大湾</w:t>
      </w:r>
      <w:r w:rsidRPr="001B2F69">
        <w:rPr>
          <w:rFonts w:hint="eastAsia"/>
          <w:bCs/>
        </w:rPr>
        <w:t>403</w:t>
      </w:r>
      <w:r w:rsidRPr="001B2F69">
        <w:rPr>
          <w:rFonts w:hint="eastAsia"/>
          <w:bCs/>
        </w:rPr>
        <w:t>污水站处理达到《气田水回注方法》（</w:t>
      </w:r>
      <w:r w:rsidRPr="001B2F69">
        <w:rPr>
          <w:rFonts w:hint="eastAsia"/>
          <w:bCs/>
        </w:rPr>
        <w:t>SY/T 6596-2016</w:t>
      </w:r>
      <w:r w:rsidRPr="001B2F69">
        <w:rPr>
          <w:rFonts w:hint="eastAsia"/>
          <w:bCs/>
        </w:rPr>
        <w:t>）中注入水基本要求后管输至毛开</w:t>
      </w:r>
      <w:r w:rsidRPr="001B2F69">
        <w:rPr>
          <w:rFonts w:hint="eastAsia"/>
          <w:bCs/>
        </w:rPr>
        <w:t xml:space="preserve"> 1 </w:t>
      </w:r>
      <w:r>
        <w:rPr>
          <w:rFonts w:hint="eastAsia"/>
          <w:bCs/>
        </w:rPr>
        <w:t>井回注站回注处理，不外排</w:t>
      </w:r>
      <w:r w:rsidR="00C7238B" w:rsidRPr="00D630D1">
        <w:rPr>
          <w:rFonts w:hint="eastAsia"/>
          <w:bCs/>
        </w:rPr>
        <w:t>。</w:t>
      </w:r>
    </w:p>
    <w:p w:rsidR="00630B5B" w:rsidRPr="00630B5B" w:rsidRDefault="00630B5B" w:rsidP="00630B5B">
      <w:pPr>
        <w:pStyle w:val="afa"/>
        <w:ind w:firstLine="482"/>
        <w:rPr>
          <w:b/>
          <w:bCs/>
        </w:rPr>
      </w:pPr>
      <w:r w:rsidRPr="00630B5B">
        <w:rPr>
          <w:rFonts w:hint="eastAsia"/>
          <w:b/>
          <w:bCs/>
        </w:rPr>
        <w:t>采气运营产污环节</w:t>
      </w:r>
    </w:p>
    <w:p w:rsidR="00630B5B" w:rsidRDefault="00630B5B" w:rsidP="00630B5B">
      <w:pPr>
        <w:pStyle w:val="afa"/>
        <w:ind w:firstLine="480"/>
        <w:rPr>
          <w:bCs/>
        </w:rPr>
      </w:pPr>
      <w:r w:rsidRPr="00630B5B">
        <w:rPr>
          <w:rFonts w:hint="eastAsia"/>
          <w:bCs/>
        </w:rPr>
        <w:t>采气站正常生产时主要产生气田水，气田水为工艺装置分离器分离出的天然气中的游离水。采气站内水套炉以天然气（主要依托净化厂反输燃料气，部分使用闪蒸气）为燃料，会产生燃烧废气；采气站设备运行时产生设备噪声；</w:t>
      </w:r>
      <w:r>
        <w:rPr>
          <w:rFonts w:hint="eastAsia"/>
          <w:bCs/>
        </w:rPr>
        <w:t>采气站值守人员产生</w:t>
      </w:r>
      <w:r w:rsidRPr="00630B5B">
        <w:rPr>
          <w:rFonts w:hint="eastAsia"/>
          <w:bCs/>
        </w:rPr>
        <w:t>生活垃圾</w:t>
      </w:r>
      <w:r>
        <w:rPr>
          <w:rFonts w:hint="eastAsia"/>
          <w:bCs/>
        </w:rPr>
        <w:t>；</w:t>
      </w:r>
      <w:r w:rsidRPr="001B2F69">
        <w:rPr>
          <w:rFonts w:hint="eastAsia"/>
          <w:bCs/>
        </w:rPr>
        <w:t>闪蒸罐闪蒸分离出凝析油</w:t>
      </w:r>
      <w:r w:rsidRPr="00630B5B">
        <w:rPr>
          <w:rFonts w:hint="eastAsia"/>
          <w:bCs/>
        </w:rPr>
        <w:t>。</w:t>
      </w:r>
    </w:p>
    <w:p w:rsidR="00117C3D" w:rsidRPr="00630B5B" w:rsidRDefault="00AF16EF" w:rsidP="00630B5B">
      <w:pPr>
        <w:pStyle w:val="afa"/>
        <w:ind w:firstLineChars="0" w:firstLine="0"/>
        <w:rPr>
          <w:b/>
        </w:rPr>
      </w:pPr>
      <w:r w:rsidRPr="00630B5B">
        <w:rPr>
          <w:b/>
        </w:rPr>
        <w:t>4</w:t>
      </w:r>
      <w:r w:rsidR="008B5B84" w:rsidRPr="00630B5B">
        <w:rPr>
          <w:b/>
        </w:rPr>
        <w:t>.2.</w:t>
      </w:r>
      <w:r w:rsidR="006877EB" w:rsidRPr="00630B5B">
        <w:rPr>
          <w:b/>
        </w:rPr>
        <w:t>2</w:t>
      </w:r>
      <w:r w:rsidR="008B5B84" w:rsidRPr="00630B5B">
        <w:rPr>
          <w:b/>
        </w:rPr>
        <w:t xml:space="preserve"> </w:t>
      </w:r>
      <w:r w:rsidR="008B5B84" w:rsidRPr="00630B5B">
        <w:rPr>
          <w:b/>
        </w:rPr>
        <w:t>废气产生情况及治理措施</w:t>
      </w:r>
    </w:p>
    <w:p w:rsidR="00AF16EF" w:rsidRPr="00D630D1" w:rsidRDefault="00B634D4" w:rsidP="00AF16EF">
      <w:pPr>
        <w:pStyle w:val="afa"/>
        <w:ind w:firstLine="482"/>
        <w:rPr>
          <w:b/>
          <w:bCs/>
        </w:rPr>
      </w:pPr>
      <w:r w:rsidRPr="00D630D1">
        <w:rPr>
          <w:b/>
          <w:bCs/>
        </w:rPr>
        <w:t>1</w:t>
      </w:r>
      <w:r w:rsidRPr="00D630D1">
        <w:rPr>
          <w:b/>
          <w:bCs/>
        </w:rPr>
        <w:t>、</w:t>
      </w:r>
      <w:r w:rsidR="00AF16EF" w:rsidRPr="00D630D1">
        <w:rPr>
          <w:b/>
          <w:bCs/>
        </w:rPr>
        <w:t>正常工况</w:t>
      </w:r>
    </w:p>
    <w:p w:rsidR="00F617AC" w:rsidRPr="00D630D1" w:rsidRDefault="00F617AC" w:rsidP="00F617AC">
      <w:pPr>
        <w:pStyle w:val="afa"/>
        <w:ind w:firstLine="480"/>
      </w:pPr>
      <w:r w:rsidRPr="00D630D1">
        <w:t>根据本项目所提供的设计资料，本项目正常生产时，天然气处于完全密闭系统内，无废气产生和排放。主要废气为水套炉燃料燃烧产生的废气。</w:t>
      </w:r>
    </w:p>
    <w:p w:rsidR="00F617AC" w:rsidRPr="00D630D1" w:rsidRDefault="00FC4C2C" w:rsidP="00F617AC">
      <w:pPr>
        <w:pStyle w:val="afa"/>
        <w:ind w:firstLine="480"/>
      </w:pPr>
      <w:r w:rsidRPr="00D630D1">
        <w:rPr>
          <w:rFonts w:hint="eastAsia"/>
        </w:rPr>
        <w:t>新建</w:t>
      </w:r>
      <w:r w:rsidR="002C00AE">
        <w:t>普光</w:t>
      </w:r>
      <w:r w:rsidR="002C00AE">
        <w:t>12</w:t>
      </w:r>
      <w:r w:rsidR="002C00AE">
        <w:t>采气站</w:t>
      </w:r>
      <w:r w:rsidRPr="00D630D1">
        <w:t>为</w:t>
      </w:r>
      <w:r w:rsidR="007200A5">
        <w:rPr>
          <w:rFonts w:hint="eastAsia"/>
        </w:rPr>
        <w:t>有</w:t>
      </w:r>
      <w:r w:rsidR="009D52F7" w:rsidRPr="00D630D1">
        <w:rPr>
          <w:rFonts w:hint="eastAsia"/>
        </w:rPr>
        <w:t>人</w:t>
      </w:r>
      <w:r w:rsidRPr="00D630D1">
        <w:t>值守站</w:t>
      </w:r>
      <w:r w:rsidR="00F617AC" w:rsidRPr="00D630D1">
        <w:t>，正常工况下仅有</w:t>
      </w:r>
      <w:r w:rsidR="00630B5B">
        <w:t>12</w:t>
      </w:r>
      <w:r w:rsidR="00630B5B">
        <w:t>采气站</w:t>
      </w:r>
      <w:r w:rsidR="00F617AC" w:rsidRPr="00D630D1">
        <w:t>水套炉燃料燃烧产生的废气，该水套炉所使用的天然气来源于</w:t>
      </w:r>
      <w:r w:rsidR="00C61A0E" w:rsidRPr="00D630D1">
        <w:rPr>
          <w:rFonts w:hint="eastAsia"/>
        </w:rPr>
        <w:t>新建</w:t>
      </w:r>
      <w:r w:rsidR="00D8425D" w:rsidRPr="00D630D1">
        <w:t>燃气返输管线</w:t>
      </w:r>
      <w:r w:rsidR="00CE0EBC" w:rsidRPr="00D630D1">
        <w:t>输送的净化厂净化后天然气</w:t>
      </w:r>
      <w:r w:rsidR="00F617AC" w:rsidRPr="00D630D1">
        <w:t>，不含硫化氢，主要成分为甲烷，燃烧后其废气中主要污染物为</w:t>
      </w:r>
      <w:r w:rsidR="00F617AC" w:rsidRPr="00D630D1">
        <w:t>NO</w:t>
      </w:r>
      <w:r w:rsidR="00F617AC" w:rsidRPr="00D630D1">
        <w:rPr>
          <w:vertAlign w:val="subscript"/>
        </w:rPr>
        <w:t>X</w:t>
      </w:r>
      <w:r w:rsidR="00F617AC" w:rsidRPr="00D630D1">
        <w:t>。本项目所使用的水套炉设计最大燃烧量为</w:t>
      </w:r>
      <w:r w:rsidR="007679D9" w:rsidRPr="00D630D1">
        <w:t>7.5</w:t>
      </w:r>
      <w:r w:rsidR="00F617AC" w:rsidRPr="00D630D1">
        <w:t>m</w:t>
      </w:r>
      <w:r w:rsidR="00F617AC" w:rsidRPr="00D630D1">
        <w:rPr>
          <w:vertAlign w:val="superscript"/>
        </w:rPr>
        <w:t>3</w:t>
      </w:r>
      <w:r w:rsidR="00F617AC" w:rsidRPr="00D630D1">
        <w:t>/h</w:t>
      </w:r>
      <w:r w:rsidR="00F617AC" w:rsidRPr="00D630D1">
        <w:t>、</w:t>
      </w:r>
      <w:r w:rsidR="007679D9" w:rsidRPr="00D630D1">
        <w:t>180</w:t>
      </w:r>
      <w:r w:rsidR="00F617AC" w:rsidRPr="00D630D1">
        <w:t>m</w:t>
      </w:r>
      <w:r w:rsidR="00F617AC" w:rsidRPr="00D630D1">
        <w:rPr>
          <w:vertAlign w:val="superscript"/>
        </w:rPr>
        <w:t>3</w:t>
      </w:r>
      <w:r w:rsidR="00F617AC" w:rsidRPr="00D630D1">
        <w:t>/d</w:t>
      </w:r>
      <w:r w:rsidR="00F617AC" w:rsidRPr="00D630D1">
        <w:t>，水套炉主要用于给产出的天然气进行加热降粘，仅在冬季环境温度较低时使用，设计使用时间为</w:t>
      </w:r>
      <w:r w:rsidR="00F617AC" w:rsidRPr="00D630D1">
        <w:t>2</w:t>
      </w:r>
      <w:r w:rsidR="00F617AC" w:rsidRPr="00D630D1">
        <w:t>个月，</w:t>
      </w:r>
      <w:r w:rsidR="005649C2" w:rsidRPr="00D630D1">
        <w:t>项目设置</w:t>
      </w:r>
      <w:r w:rsidR="00630B5B">
        <w:rPr>
          <w:rFonts w:hint="eastAsia"/>
        </w:rPr>
        <w:t>2</w:t>
      </w:r>
      <w:r w:rsidR="00875654" w:rsidRPr="00D630D1">
        <w:t>台水套炉</w:t>
      </w:r>
      <w:r w:rsidR="00630B5B">
        <w:rPr>
          <w:rFonts w:hint="eastAsia"/>
        </w:rPr>
        <w:t>（</w:t>
      </w:r>
      <w:r w:rsidR="00630B5B">
        <w:rPr>
          <w:rFonts w:hint="eastAsia"/>
        </w:rPr>
        <w:t>1</w:t>
      </w:r>
      <w:r w:rsidR="00630B5B">
        <w:rPr>
          <w:rFonts w:hint="eastAsia"/>
        </w:rPr>
        <w:t>用</w:t>
      </w:r>
      <w:r w:rsidR="00630B5B">
        <w:rPr>
          <w:rFonts w:hint="eastAsia"/>
        </w:rPr>
        <w:t>1</w:t>
      </w:r>
      <w:r w:rsidR="00630B5B">
        <w:rPr>
          <w:rFonts w:hint="eastAsia"/>
        </w:rPr>
        <w:t>备）</w:t>
      </w:r>
      <w:r w:rsidR="00F617AC" w:rsidRPr="00D630D1">
        <w:t>。则天然气年用量为</w:t>
      </w:r>
      <w:r w:rsidR="005649C2" w:rsidRPr="00D630D1">
        <w:t>4.608</w:t>
      </w:r>
      <w:r w:rsidR="00F617AC" w:rsidRPr="00D630D1">
        <w:t>万</w:t>
      </w:r>
      <w:r w:rsidR="00F617AC" w:rsidRPr="00D630D1">
        <w:t>m</w:t>
      </w:r>
      <w:r w:rsidR="00F617AC" w:rsidRPr="00D630D1">
        <w:rPr>
          <w:vertAlign w:val="superscript"/>
        </w:rPr>
        <w:t>3</w:t>
      </w:r>
      <w:r w:rsidR="00F617AC" w:rsidRPr="00D630D1">
        <w:t>。本次评价采用《污染源源强核算技术指南锅炉》（</w:t>
      </w:r>
      <w:r w:rsidR="00F617AC" w:rsidRPr="00D630D1">
        <w:t>HJ991-2018</w:t>
      </w:r>
      <w:r w:rsidR="00F617AC" w:rsidRPr="00D630D1">
        <w:t>）中</w:t>
      </w:r>
      <w:r w:rsidR="00F617AC" w:rsidRPr="00D630D1">
        <w:t>5.4</w:t>
      </w:r>
      <w:r w:rsidR="00F617AC" w:rsidRPr="00D630D1">
        <w:t>条产污系数法核算水套炉燃烧废气中各污染物产生量，其中产污系数参见全国污染源普查工业污染源普查数据和</w:t>
      </w:r>
      <w:r w:rsidR="00F617AC" w:rsidRPr="00D630D1">
        <w:t>HJ953</w:t>
      </w:r>
      <w:r w:rsidR="00F617AC" w:rsidRPr="00D630D1">
        <w:t>。根据《第二次工业污染源产排污系数手册》（试用版），天然气燃烧按</w:t>
      </w:r>
      <w:r w:rsidR="00F617AC" w:rsidRPr="00D630D1">
        <w:t>NO</w:t>
      </w:r>
      <w:r w:rsidR="00F617AC" w:rsidRPr="00D630D1">
        <w:rPr>
          <w:vertAlign w:val="subscript"/>
        </w:rPr>
        <w:t>X</w:t>
      </w:r>
      <w:r w:rsidR="00F617AC" w:rsidRPr="00D630D1">
        <w:t>产污系数为</w:t>
      </w:r>
      <w:r w:rsidR="005649C2" w:rsidRPr="00D630D1">
        <w:t>31.74</w:t>
      </w:r>
      <w:r w:rsidR="00F617AC" w:rsidRPr="00D630D1">
        <w:t>kg/10</w:t>
      </w:r>
      <w:r w:rsidR="00F617AC" w:rsidRPr="00D630D1">
        <w:rPr>
          <w:vertAlign w:val="superscript"/>
        </w:rPr>
        <w:t>4</w:t>
      </w:r>
      <w:r w:rsidR="00F617AC" w:rsidRPr="00D630D1">
        <w:t>m</w:t>
      </w:r>
      <w:r w:rsidR="00F617AC" w:rsidRPr="00D630D1">
        <w:rPr>
          <w:vertAlign w:val="superscript"/>
        </w:rPr>
        <w:t>3</w:t>
      </w:r>
      <w:r w:rsidR="00F617AC" w:rsidRPr="00D630D1">
        <w:t>，烟气量为</w:t>
      </w:r>
      <w:r w:rsidR="007679D9" w:rsidRPr="00D630D1">
        <w:t>107753</w:t>
      </w:r>
      <w:r w:rsidR="00F617AC" w:rsidRPr="00D630D1">
        <w:t>Nm</w:t>
      </w:r>
      <w:r w:rsidR="00F617AC" w:rsidRPr="00D630D1">
        <w:rPr>
          <w:vertAlign w:val="superscript"/>
        </w:rPr>
        <w:t>3</w:t>
      </w:r>
      <w:r w:rsidR="00F617AC" w:rsidRPr="00D630D1">
        <w:t>烟气</w:t>
      </w:r>
      <w:r w:rsidR="00F617AC" w:rsidRPr="00D630D1">
        <w:t>/10</w:t>
      </w:r>
      <w:r w:rsidR="00F617AC" w:rsidRPr="00D630D1">
        <w:rPr>
          <w:vertAlign w:val="superscript"/>
        </w:rPr>
        <w:t>4</w:t>
      </w:r>
      <w:r w:rsidR="00F617AC" w:rsidRPr="00D630D1">
        <w:t>m</w:t>
      </w:r>
      <w:r w:rsidR="00F617AC" w:rsidRPr="00D630D1">
        <w:rPr>
          <w:vertAlign w:val="superscript"/>
        </w:rPr>
        <w:t>3</w:t>
      </w:r>
      <w:r w:rsidR="00F617AC" w:rsidRPr="00D630D1">
        <w:t>计算，则水套炉</w:t>
      </w:r>
      <w:r w:rsidR="00F617AC" w:rsidRPr="00D630D1">
        <w:t>NO</w:t>
      </w:r>
      <w:r w:rsidR="00F617AC" w:rsidRPr="00D630D1">
        <w:rPr>
          <w:vertAlign w:val="subscript"/>
        </w:rPr>
        <w:t>X</w:t>
      </w:r>
      <w:r w:rsidR="00F617AC" w:rsidRPr="00D630D1">
        <w:t>排放量为</w:t>
      </w:r>
      <w:r w:rsidR="007679D9" w:rsidRPr="00D630D1">
        <w:t>23.81</w:t>
      </w:r>
      <w:r w:rsidR="00F617AC" w:rsidRPr="00D630D1">
        <w:t>g/h</w:t>
      </w:r>
      <w:r w:rsidR="00F617AC" w:rsidRPr="00D630D1">
        <w:t>、</w:t>
      </w:r>
      <w:r w:rsidR="007679D9" w:rsidRPr="00D630D1">
        <w:t>0.57</w:t>
      </w:r>
      <w:r w:rsidR="00F617AC" w:rsidRPr="00D630D1">
        <w:t>kg/d</w:t>
      </w:r>
      <w:r w:rsidR="00F617AC" w:rsidRPr="00D630D1">
        <w:t>、</w:t>
      </w:r>
      <w:bookmarkStart w:id="389" w:name="OLE_LINK209"/>
      <w:bookmarkStart w:id="390" w:name="OLE_LINK210"/>
      <w:r w:rsidR="007679D9" w:rsidRPr="00D630D1">
        <w:t>35.56</w:t>
      </w:r>
      <w:bookmarkEnd w:id="389"/>
      <w:bookmarkEnd w:id="390"/>
      <w:r w:rsidR="00F617AC" w:rsidRPr="00D630D1">
        <w:t>kg/a</w:t>
      </w:r>
      <w:r w:rsidR="00F617AC" w:rsidRPr="00D630D1">
        <w:t>，排放浓度为</w:t>
      </w:r>
      <w:r w:rsidR="007679D9" w:rsidRPr="00D630D1">
        <w:t>147.5</w:t>
      </w:r>
      <w:r w:rsidR="00F617AC" w:rsidRPr="00D630D1">
        <w:t>mg/m</w:t>
      </w:r>
      <w:r w:rsidR="00F617AC" w:rsidRPr="00D630D1">
        <w:rPr>
          <w:vertAlign w:val="superscript"/>
        </w:rPr>
        <w:t>3</w:t>
      </w:r>
      <w:r w:rsidR="00F617AC" w:rsidRPr="00D630D1">
        <w:t>。</w:t>
      </w:r>
    </w:p>
    <w:p w:rsidR="005649C2" w:rsidRPr="00D630D1" w:rsidRDefault="005649C2" w:rsidP="005649C2">
      <w:pPr>
        <w:pStyle w:val="afa"/>
        <w:ind w:firstLine="482"/>
        <w:rPr>
          <w:b/>
          <w:bCs/>
        </w:rPr>
      </w:pPr>
      <w:r w:rsidRPr="00D630D1">
        <w:rPr>
          <w:b/>
          <w:bCs/>
        </w:rPr>
        <w:lastRenderedPageBreak/>
        <w:t>2</w:t>
      </w:r>
      <w:r w:rsidRPr="00D630D1">
        <w:rPr>
          <w:b/>
          <w:bCs/>
        </w:rPr>
        <w:t>、非正常工况</w:t>
      </w:r>
    </w:p>
    <w:p w:rsidR="005649C2" w:rsidRPr="00D630D1" w:rsidRDefault="005649C2" w:rsidP="005649C2">
      <w:pPr>
        <w:pStyle w:val="afa"/>
        <w:ind w:firstLine="480"/>
      </w:pPr>
      <w:r w:rsidRPr="00D630D1">
        <w:t>（</w:t>
      </w:r>
      <w:r w:rsidRPr="00D630D1">
        <w:t>1</w:t>
      </w:r>
      <w:r w:rsidRPr="00D630D1">
        <w:t>）站场检修</w:t>
      </w:r>
      <w:r w:rsidRPr="00D630D1">
        <w:t>/</w:t>
      </w:r>
      <w:r w:rsidRPr="00D630D1">
        <w:t>事故放</w:t>
      </w:r>
      <w:r w:rsidR="006030F3" w:rsidRPr="00D630D1">
        <w:rPr>
          <w:rFonts w:hint="eastAsia"/>
        </w:rPr>
        <w:t>空</w:t>
      </w:r>
      <w:r w:rsidRPr="00D630D1">
        <w:t>废气</w:t>
      </w:r>
    </w:p>
    <w:p w:rsidR="00E102DE" w:rsidRPr="00D630D1" w:rsidRDefault="005649C2" w:rsidP="00E102DE">
      <w:pPr>
        <w:pStyle w:val="afa"/>
        <w:ind w:firstLine="480"/>
        <w:rPr>
          <w:bCs/>
        </w:rPr>
      </w:pPr>
      <w:r w:rsidRPr="00D630D1">
        <w:t>项目装置检修时为保证检修过程的安全，需排空装置及管道内的残留天然气，残留天然气通过井场放空系统点火排放。本项目设备检修预计每年约</w:t>
      </w:r>
      <w:r w:rsidRPr="00D630D1">
        <w:t>1</w:t>
      </w:r>
      <w:r w:rsidRPr="00D630D1">
        <w:t>～</w:t>
      </w:r>
      <w:r w:rsidRPr="00D630D1">
        <w:t>2</w:t>
      </w:r>
      <w:r w:rsidRPr="00D630D1">
        <w:t>次，检修前可利用截断装置，将集气管道和站场设备切断，放空废气仅为站场设备内残留的原料气，放空量约为</w:t>
      </w:r>
      <w:r w:rsidRPr="00D630D1">
        <w:t>30m</w:t>
      </w:r>
      <w:r w:rsidRPr="00D630D1">
        <w:rPr>
          <w:vertAlign w:val="superscript"/>
        </w:rPr>
        <w:t>3</w:t>
      </w:r>
      <w:r w:rsidRPr="00D630D1">
        <w:t>/</w:t>
      </w:r>
      <w:r w:rsidRPr="00D630D1">
        <w:t>次</w:t>
      </w:r>
      <w:r w:rsidR="00E102DE" w:rsidRPr="00D630D1">
        <w:t>，</w:t>
      </w:r>
      <w:r w:rsidR="00E102DE" w:rsidRPr="00D630D1">
        <w:rPr>
          <w:bCs/>
        </w:rPr>
        <w:t>放空废气通过放空火炬点火燃烧，主要污染物为氮氧化物。</w:t>
      </w:r>
    </w:p>
    <w:p w:rsidR="00E102DE" w:rsidRPr="00D630D1" w:rsidRDefault="00E102DE" w:rsidP="00E102DE">
      <w:pPr>
        <w:pStyle w:val="afa"/>
        <w:ind w:firstLine="480"/>
        <w:rPr>
          <w:bCs/>
        </w:rPr>
      </w:pPr>
      <w:r w:rsidRPr="00D630D1">
        <w:rPr>
          <w:bCs/>
        </w:rPr>
        <w:t>根据《工业污染源产排污系数手册》，废气量产生系数为</w:t>
      </w:r>
      <w:r w:rsidRPr="00D630D1">
        <w:rPr>
          <w:bCs/>
        </w:rPr>
        <w:t>12.31</w:t>
      </w:r>
      <w:r w:rsidRPr="00D630D1">
        <w:rPr>
          <w:bCs/>
        </w:rPr>
        <w:t>万</w:t>
      </w:r>
      <w:r w:rsidRPr="00D630D1">
        <w:rPr>
          <w:bCs/>
        </w:rPr>
        <w:t>m</w:t>
      </w:r>
      <w:r w:rsidRPr="00D630D1">
        <w:rPr>
          <w:bCs/>
          <w:vertAlign w:val="superscript"/>
        </w:rPr>
        <w:t>3</w:t>
      </w:r>
      <w:r w:rsidRPr="00D630D1">
        <w:rPr>
          <w:bCs/>
        </w:rPr>
        <w:t>/</w:t>
      </w:r>
      <w:r w:rsidRPr="00D630D1">
        <w:rPr>
          <w:bCs/>
        </w:rPr>
        <w:t>万</w:t>
      </w:r>
      <w:r w:rsidRPr="00D630D1">
        <w:rPr>
          <w:bCs/>
        </w:rPr>
        <w:t>m</w:t>
      </w:r>
      <w:r w:rsidRPr="00D630D1">
        <w:rPr>
          <w:bCs/>
          <w:vertAlign w:val="superscript"/>
        </w:rPr>
        <w:t>3</w:t>
      </w:r>
      <w:r w:rsidRPr="00D630D1">
        <w:rPr>
          <w:bCs/>
        </w:rPr>
        <w:t>天然气，本项目放空废气量分别为</w:t>
      </w:r>
      <w:r w:rsidRPr="00D630D1">
        <w:rPr>
          <w:bCs/>
        </w:rPr>
        <w:t>369.3m</w:t>
      </w:r>
      <w:r w:rsidRPr="00D630D1">
        <w:rPr>
          <w:bCs/>
          <w:vertAlign w:val="superscript"/>
        </w:rPr>
        <w:t>3</w:t>
      </w:r>
      <w:r w:rsidRPr="00D630D1">
        <w:rPr>
          <w:bCs/>
        </w:rPr>
        <w:t>；天然气燃烧</w:t>
      </w:r>
      <w:r w:rsidRPr="00D630D1">
        <w:rPr>
          <w:bCs/>
        </w:rPr>
        <w:t>NOx</w:t>
      </w:r>
      <w:r w:rsidRPr="00D630D1">
        <w:rPr>
          <w:bCs/>
        </w:rPr>
        <w:t>产污系数为</w:t>
      </w:r>
      <w:r w:rsidRPr="00D630D1">
        <w:rPr>
          <w:bCs/>
        </w:rPr>
        <w:t>18.71kg/10</w:t>
      </w:r>
      <w:r w:rsidRPr="00D630D1">
        <w:rPr>
          <w:bCs/>
          <w:vertAlign w:val="superscript"/>
        </w:rPr>
        <w:t>4</w:t>
      </w:r>
      <w:r w:rsidRPr="00D630D1">
        <w:rPr>
          <w:bCs/>
        </w:rPr>
        <w:t>m</w:t>
      </w:r>
      <w:r w:rsidRPr="00D630D1">
        <w:rPr>
          <w:bCs/>
          <w:vertAlign w:val="superscript"/>
        </w:rPr>
        <w:t>3</w:t>
      </w:r>
      <w:r w:rsidRPr="00D630D1">
        <w:rPr>
          <w:bCs/>
        </w:rPr>
        <w:t>计算，</w:t>
      </w:r>
      <w:r w:rsidRPr="00D630D1">
        <w:rPr>
          <w:bCs/>
        </w:rPr>
        <w:t>NOx</w:t>
      </w:r>
      <w:r w:rsidRPr="00D630D1">
        <w:rPr>
          <w:bCs/>
        </w:rPr>
        <w:t>产生量分别为</w:t>
      </w:r>
      <w:r w:rsidRPr="00D630D1">
        <w:rPr>
          <w:bCs/>
        </w:rPr>
        <w:t>0.056kg</w:t>
      </w:r>
      <w:r w:rsidR="006269A7">
        <w:rPr>
          <w:rFonts w:hint="eastAsia"/>
          <w:bCs/>
        </w:rPr>
        <w:t>。</w:t>
      </w:r>
      <w:r w:rsidR="006269A7" w:rsidRPr="00D630D1">
        <w:rPr>
          <w:bCs/>
        </w:rPr>
        <w:t xml:space="preserve"> </w:t>
      </w:r>
    </w:p>
    <w:p w:rsidR="005649C2" w:rsidRPr="00D630D1" w:rsidRDefault="005649C2" w:rsidP="005649C2">
      <w:pPr>
        <w:pStyle w:val="afa"/>
        <w:ind w:firstLine="480"/>
      </w:pPr>
      <w:r w:rsidRPr="00D630D1">
        <w:t>（</w:t>
      </w:r>
      <w:r w:rsidRPr="00D630D1">
        <w:t>2</w:t>
      </w:r>
      <w:r w:rsidRPr="00D630D1">
        <w:t>）管线检修</w:t>
      </w:r>
      <w:r w:rsidRPr="00D630D1">
        <w:t>/</w:t>
      </w:r>
      <w:r w:rsidRPr="00D630D1">
        <w:t>事故放</w:t>
      </w:r>
      <w:r w:rsidR="006030F3" w:rsidRPr="00D630D1">
        <w:rPr>
          <w:rFonts w:hint="eastAsia"/>
        </w:rPr>
        <w:t>空</w:t>
      </w:r>
      <w:r w:rsidRPr="00D630D1">
        <w:t>废气</w:t>
      </w:r>
    </w:p>
    <w:p w:rsidR="00766EEB" w:rsidRPr="00D630D1" w:rsidRDefault="005649C2" w:rsidP="006C187A">
      <w:pPr>
        <w:pStyle w:val="afa"/>
        <w:ind w:firstLine="480"/>
      </w:pPr>
      <w:r w:rsidRPr="00D630D1">
        <w:t>项目管线检修</w:t>
      </w:r>
      <w:r w:rsidRPr="00D630D1">
        <w:t>/</w:t>
      </w:r>
      <w:r w:rsidRPr="00D630D1">
        <w:t>事故时为保证安全，需排</w:t>
      </w:r>
      <w:r w:rsidR="006C187A" w:rsidRPr="00D630D1">
        <w:t>尽</w:t>
      </w:r>
      <w:bookmarkStart w:id="391" w:name="OLE_LINK207"/>
      <w:bookmarkStart w:id="392" w:name="OLE_LINK208"/>
      <w:r w:rsidR="00DD3EA1">
        <w:rPr>
          <w:rFonts w:hint="eastAsia"/>
        </w:rPr>
        <w:t>普光</w:t>
      </w:r>
      <w:r w:rsidR="00DD3EA1">
        <w:rPr>
          <w:rFonts w:hint="eastAsia"/>
        </w:rPr>
        <w:t>12</w:t>
      </w:r>
      <w:r w:rsidR="00DD3EA1">
        <w:rPr>
          <w:rFonts w:hint="eastAsia"/>
        </w:rPr>
        <w:t>采气站</w:t>
      </w:r>
      <w:r w:rsidR="00C61A0E" w:rsidRPr="00D630D1">
        <w:rPr>
          <w:rFonts w:hint="eastAsia"/>
        </w:rPr>
        <w:t>~</w:t>
      </w:r>
      <w:r w:rsidR="00D57583">
        <w:rPr>
          <w:rFonts w:hint="eastAsia"/>
        </w:rPr>
        <w:t>普陆</w:t>
      </w:r>
      <w:r w:rsidR="00D57583">
        <w:rPr>
          <w:rFonts w:hint="eastAsia"/>
        </w:rPr>
        <w:t>3</w:t>
      </w:r>
      <w:r w:rsidR="00D57583">
        <w:rPr>
          <w:rFonts w:hint="eastAsia"/>
        </w:rPr>
        <w:t>集气站</w:t>
      </w:r>
      <w:r w:rsidR="00C61A0E" w:rsidRPr="00D630D1">
        <w:rPr>
          <w:rFonts w:hint="eastAsia"/>
        </w:rPr>
        <w:t>集气管道</w:t>
      </w:r>
      <w:bookmarkEnd w:id="391"/>
      <w:bookmarkEnd w:id="392"/>
      <w:r w:rsidR="00630B5B">
        <w:rPr>
          <w:rFonts w:hint="eastAsia"/>
        </w:rPr>
        <w:t>和</w:t>
      </w:r>
      <w:r w:rsidR="00630B5B" w:rsidRPr="00733954">
        <w:t>和普陆</w:t>
      </w:r>
      <w:r w:rsidR="00630B5B" w:rsidRPr="00733954">
        <w:t>3</w:t>
      </w:r>
      <w:r w:rsidR="00630B5B" w:rsidRPr="00733954">
        <w:t>集气站</w:t>
      </w:r>
      <w:r w:rsidR="00630B5B" w:rsidRPr="00733954">
        <w:rPr>
          <w:rFonts w:hint="eastAsia"/>
        </w:rPr>
        <w:t>-P105</w:t>
      </w:r>
      <w:r w:rsidR="00630B5B" w:rsidRPr="00733954">
        <w:t>集气站内的残留天然气</w:t>
      </w:r>
      <w:r w:rsidRPr="00D630D1">
        <w:t>，放空</w:t>
      </w:r>
      <w:r w:rsidR="00FC4C2C" w:rsidRPr="00D630D1">
        <w:rPr>
          <w:rFonts w:hint="eastAsia"/>
        </w:rPr>
        <w:t>经</w:t>
      </w:r>
      <w:r w:rsidR="00630B5B">
        <w:rPr>
          <w:rFonts w:hint="eastAsia"/>
        </w:rPr>
        <w:t>普光</w:t>
      </w:r>
      <w:r w:rsidR="00630B5B">
        <w:rPr>
          <w:rFonts w:hint="eastAsia"/>
        </w:rPr>
        <w:t>12</w:t>
      </w:r>
      <w:r w:rsidR="00630B5B">
        <w:rPr>
          <w:rFonts w:hint="eastAsia"/>
        </w:rPr>
        <w:t>采气站</w:t>
      </w:r>
      <w:r w:rsidRPr="00D630D1">
        <w:t>放空系统，据站场操作工艺，管线检修</w:t>
      </w:r>
      <w:r w:rsidRPr="00D630D1">
        <w:t>/</w:t>
      </w:r>
      <w:r w:rsidRPr="00D630D1">
        <w:t>事故时，关闭</w:t>
      </w:r>
      <w:r w:rsidR="00630B5B">
        <w:rPr>
          <w:rFonts w:hint="eastAsia"/>
        </w:rPr>
        <w:t>普光</w:t>
      </w:r>
      <w:r w:rsidR="00630B5B">
        <w:rPr>
          <w:rFonts w:hint="eastAsia"/>
        </w:rPr>
        <w:t>12</w:t>
      </w:r>
      <w:r w:rsidR="00630B5B">
        <w:rPr>
          <w:rFonts w:hint="eastAsia"/>
        </w:rPr>
        <w:t>采气站</w:t>
      </w:r>
      <w:r w:rsidRPr="00D630D1">
        <w:t>出站阀门，管道残留的天然气按管线长度为</w:t>
      </w:r>
      <w:r w:rsidR="00630B5B">
        <w:rPr>
          <w:rFonts w:hint="eastAsia"/>
        </w:rPr>
        <w:t>3.98</w:t>
      </w:r>
      <w:r w:rsidRPr="00D630D1">
        <w:t>km</w:t>
      </w:r>
      <w:r w:rsidR="00766EEB" w:rsidRPr="00D630D1">
        <w:t>。</w:t>
      </w:r>
    </w:p>
    <w:p w:rsidR="00766EEB" w:rsidRPr="00D630D1" w:rsidRDefault="00766EEB" w:rsidP="00766EEB">
      <w:pPr>
        <w:ind w:firstLine="480"/>
        <w:rPr>
          <w:rFonts w:ascii="Times New Roman" w:cs="Times New Roman"/>
        </w:rPr>
      </w:pPr>
      <w:r w:rsidRPr="00D630D1">
        <w:rPr>
          <w:rFonts w:ascii="Times New Roman" w:cs="Times New Roman"/>
        </w:rPr>
        <w:t>天然气最大在线量</w:t>
      </w:r>
      <w:r w:rsidRPr="00D630D1">
        <w:rPr>
          <w:rFonts w:ascii="Times New Roman" w:cs="Times New Roman"/>
        </w:rPr>
        <w:t>=</w:t>
      </w:r>
      <w:r w:rsidRPr="00D630D1">
        <w:rPr>
          <w:rFonts w:ascii="Times New Roman" w:cs="Times New Roman"/>
        </w:rPr>
        <w:t>天然气密度</w:t>
      </w:r>
      <w:r w:rsidRPr="00D630D1">
        <w:rPr>
          <w:rFonts w:ascii="Times New Roman" w:cs="Times New Roman"/>
        </w:rPr>
        <w:t>*</w:t>
      </w:r>
      <w:r w:rsidRPr="00D630D1">
        <w:rPr>
          <w:rFonts w:ascii="Times New Roman" w:cs="Times New Roman"/>
        </w:rPr>
        <w:t>截面积</w:t>
      </w:r>
      <w:r w:rsidRPr="00D630D1">
        <w:rPr>
          <w:rFonts w:ascii="Times New Roman" w:cs="Times New Roman"/>
        </w:rPr>
        <w:t>*</w:t>
      </w:r>
      <w:r w:rsidRPr="00D630D1">
        <w:rPr>
          <w:rFonts w:ascii="Times New Roman" w:cs="Times New Roman"/>
        </w:rPr>
        <w:t>管道长度</w:t>
      </w:r>
      <w:r w:rsidRPr="00D630D1">
        <w:rPr>
          <w:rFonts w:ascii="Times New Roman" w:cs="Times New Roman"/>
        </w:rPr>
        <w:t>*</w:t>
      </w:r>
      <w:r w:rsidRPr="00D630D1">
        <w:rPr>
          <w:rFonts w:ascii="Times New Roman" w:cs="Times New Roman"/>
        </w:rPr>
        <w:t>压力倍数（压力倍数</w:t>
      </w:r>
      <w:r w:rsidRPr="00D630D1">
        <w:rPr>
          <w:rFonts w:ascii="Times New Roman" w:cs="Times New Roman"/>
        </w:rPr>
        <w:t>=</w:t>
      </w:r>
      <w:r w:rsidRPr="00D630D1">
        <w:rPr>
          <w:rFonts w:ascii="Times New Roman" w:cs="Times New Roman"/>
        </w:rPr>
        <w:t>运行压力</w:t>
      </w:r>
      <w:r w:rsidRPr="00D630D1">
        <w:rPr>
          <w:rFonts w:ascii="Times New Roman" w:cs="Times New Roman"/>
        </w:rPr>
        <w:t>/</w:t>
      </w:r>
      <w:r w:rsidRPr="00D630D1">
        <w:rPr>
          <w:rFonts w:ascii="Times New Roman" w:cs="Times New Roman"/>
        </w:rPr>
        <w:t>大气压）</w:t>
      </w:r>
    </w:p>
    <w:p w:rsidR="00630B5B" w:rsidRDefault="00630B5B" w:rsidP="00630B5B">
      <w:pPr>
        <w:ind w:firstLine="480"/>
        <w:rPr>
          <w:rFonts w:ascii="Times New Roman" w:cs="Times New Roman"/>
        </w:rPr>
      </w:pPr>
      <w:r>
        <w:rPr>
          <w:rFonts w:ascii="Times New Roman" w:cs="Times New Roman"/>
        </w:rPr>
        <w:t>普光</w:t>
      </w:r>
      <w:r>
        <w:rPr>
          <w:rFonts w:ascii="Times New Roman" w:cs="Times New Roman"/>
        </w:rPr>
        <w:t>12</w:t>
      </w:r>
      <w:r>
        <w:rPr>
          <w:rFonts w:ascii="Times New Roman" w:cs="Times New Roman"/>
        </w:rPr>
        <w:t>采气站</w:t>
      </w:r>
      <w:r w:rsidRPr="00D630D1">
        <w:rPr>
          <w:rFonts w:ascii="Times New Roman" w:cs="Times New Roman"/>
        </w:rPr>
        <w:t>~</w:t>
      </w:r>
      <w:r>
        <w:rPr>
          <w:rFonts w:ascii="Times New Roman" w:cs="Times New Roman" w:hint="eastAsia"/>
        </w:rPr>
        <w:t>普陆</w:t>
      </w:r>
      <w:r>
        <w:rPr>
          <w:rFonts w:ascii="Times New Roman" w:cs="Times New Roman" w:hint="eastAsia"/>
        </w:rPr>
        <w:t>3</w:t>
      </w:r>
      <w:r>
        <w:rPr>
          <w:rFonts w:ascii="Times New Roman" w:cs="Times New Roman" w:hint="eastAsia"/>
        </w:rPr>
        <w:t>集气站</w:t>
      </w:r>
      <w:r w:rsidRPr="00D630D1">
        <w:rPr>
          <w:rFonts w:ascii="Times New Roman" w:cs="Times New Roman" w:hint="eastAsia"/>
        </w:rPr>
        <w:t>集气管道</w:t>
      </w:r>
      <w:r w:rsidRPr="00D630D1">
        <w:rPr>
          <w:rFonts w:ascii="Times New Roman" w:cs="Times New Roman"/>
        </w:rPr>
        <w:t>段：</w:t>
      </w:r>
      <w:r>
        <w:rPr>
          <w:rFonts w:ascii="Times New Roman" w:cs="Times New Roman"/>
        </w:rPr>
        <w:t>普光</w:t>
      </w:r>
      <w:r>
        <w:rPr>
          <w:rFonts w:ascii="Times New Roman" w:cs="Times New Roman"/>
        </w:rPr>
        <w:t>12</w:t>
      </w:r>
      <w:r>
        <w:rPr>
          <w:rFonts w:ascii="Times New Roman" w:cs="Times New Roman"/>
        </w:rPr>
        <w:t>采气站</w:t>
      </w:r>
      <w:r w:rsidRPr="00D630D1">
        <w:rPr>
          <w:rFonts w:ascii="Times New Roman" w:cs="Times New Roman"/>
        </w:rPr>
        <w:t>~</w:t>
      </w:r>
      <w:r>
        <w:rPr>
          <w:rFonts w:ascii="Times New Roman" w:cs="Times New Roman" w:hint="eastAsia"/>
        </w:rPr>
        <w:t>普陆</w:t>
      </w:r>
      <w:r>
        <w:rPr>
          <w:rFonts w:ascii="Times New Roman" w:cs="Times New Roman" w:hint="eastAsia"/>
        </w:rPr>
        <w:t>3</w:t>
      </w:r>
      <w:r>
        <w:rPr>
          <w:rFonts w:ascii="Times New Roman" w:cs="Times New Roman" w:hint="eastAsia"/>
        </w:rPr>
        <w:t>集气站</w:t>
      </w:r>
      <w:r w:rsidRPr="00D630D1">
        <w:rPr>
          <w:rFonts w:ascii="Times New Roman" w:cs="Times New Roman" w:hint="eastAsia"/>
        </w:rPr>
        <w:t>集气管道</w:t>
      </w:r>
      <w:r w:rsidRPr="00D630D1">
        <w:rPr>
          <w:rFonts w:ascii="Times New Roman" w:cs="Times New Roman"/>
        </w:rPr>
        <w:t>段天然气密度为</w:t>
      </w:r>
      <w:r w:rsidRPr="00D630D1">
        <w:rPr>
          <w:rFonts w:ascii="Times New Roman" w:cs="Times New Roman"/>
        </w:rPr>
        <w:t>0.7012kg/m</w:t>
      </w:r>
      <w:r w:rsidRPr="00D630D1">
        <w:rPr>
          <w:rFonts w:ascii="Times New Roman" w:cs="Times New Roman"/>
          <w:vertAlign w:val="superscript"/>
        </w:rPr>
        <w:t>3</w:t>
      </w:r>
      <w:r w:rsidRPr="00D630D1">
        <w:rPr>
          <w:rFonts w:ascii="Times New Roman" w:cs="Times New Roman"/>
        </w:rPr>
        <w:t>，截面积为</w:t>
      </w:r>
      <w:r w:rsidRPr="00D630D1">
        <w:rPr>
          <w:rFonts w:ascii="Times New Roman" w:cs="Times New Roman"/>
        </w:rPr>
        <w:t>0.0</w:t>
      </w:r>
      <w:r>
        <w:rPr>
          <w:rFonts w:ascii="Times New Roman" w:cs="Times New Roman" w:hint="eastAsia"/>
        </w:rPr>
        <w:t>314</w:t>
      </w:r>
      <w:r w:rsidRPr="00D630D1">
        <w:rPr>
          <w:rFonts w:ascii="Times New Roman" w:cs="Times New Roman"/>
        </w:rPr>
        <w:t>m</w:t>
      </w:r>
      <w:r w:rsidRPr="00D630D1">
        <w:rPr>
          <w:rFonts w:ascii="Times New Roman" w:cs="Times New Roman"/>
          <w:vertAlign w:val="superscript"/>
        </w:rPr>
        <w:t>2</w:t>
      </w:r>
      <w:r w:rsidRPr="00D630D1">
        <w:rPr>
          <w:rFonts w:ascii="Times New Roman" w:cs="Times New Roman"/>
        </w:rPr>
        <w:t>，酸气管道</w:t>
      </w:r>
      <w:r>
        <w:rPr>
          <w:rFonts w:ascii="Times New Roman" w:cs="Times New Roman" w:hint="eastAsia"/>
        </w:rPr>
        <w:t>总</w:t>
      </w:r>
      <w:r w:rsidRPr="00D630D1">
        <w:rPr>
          <w:rFonts w:ascii="Times New Roman" w:cs="Times New Roman"/>
        </w:rPr>
        <w:t>长</w:t>
      </w:r>
      <w:r w:rsidRPr="00D630D1">
        <w:rPr>
          <w:rFonts w:ascii="Times New Roman" w:cs="Times New Roman" w:hint="eastAsia"/>
        </w:rPr>
        <w:t>3</w:t>
      </w:r>
      <w:r w:rsidRPr="00D630D1">
        <w:rPr>
          <w:rFonts w:ascii="Times New Roman" w:cs="Times New Roman"/>
        </w:rPr>
        <w:t>km</w:t>
      </w:r>
      <w:r w:rsidRPr="00D630D1">
        <w:rPr>
          <w:rFonts w:ascii="Times New Roman" w:cs="Times New Roman"/>
        </w:rPr>
        <w:t>，压力倍数为</w:t>
      </w:r>
      <w:r w:rsidRPr="00D630D1">
        <w:rPr>
          <w:rFonts w:ascii="Times New Roman" w:cs="Times New Roman"/>
        </w:rPr>
        <w:t>90.8</w:t>
      </w:r>
      <w:r w:rsidRPr="00D630D1">
        <w:rPr>
          <w:rFonts w:ascii="Times New Roman" w:cs="Times New Roman"/>
        </w:rPr>
        <w:t>，</w:t>
      </w:r>
      <w:r w:rsidRPr="00D630D1">
        <w:rPr>
          <w:rFonts w:ascii="Times New Roman" w:cs="Times New Roman" w:hint="eastAsia"/>
        </w:rPr>
        <w:t>因此</w:t>
      </w:r>
      <w:r w:rsidRPr="00D630D1">
        <w:rPr>
          <w:rFonts w:ascii="Times New Roman" w:cs="Times New Roman"/>
        </w:rPr>
        <w:t>天然气最大在线量约为</w:t>
      </w:r>
      <w:r>
        <w:rPr>
          <w:rFonts w:ascii="Times New Roman" w:cs="Times New Roman" w:hint="eastAsia"/>
        </w:rPr>
        <w:t>5997.62</w:t>
      </w:r>
      <w:r w:rsidRPr="00D630D1">
        <w:rPr>
          <w:rFonts w:ascii="Times New Roman" w:cs="Times New Roman"/>
        </w:rPr>
        <w:t>kg</w:t>
      </w:r>
      <w:r w:rsidRPr="00D630D1">
        <w:rPr>
          <w:rFonts w:ascii="Times New Roman" w:cs="Times New Roman"/>
        </w:rPr>
        <w:t>。</w:t>
      </w:r>
    </w:p>
    <w:p w:rsidR="006269A7" w:rsidRDefault="00630B5B" w:rsidP="00630B5B">
      <w:pPr>
        <w:ind w:firstLine="480"/>
        <w:rPr>
          <w:rFonts w:ascii="Times New Roman" w:cs="Times New Roman"/>
        </w:rPr>
      </w:pPr>
      <w:r>
        <w:rPr>
          <w:rFonts w:ascii="Times New Roman" w:cs="Times New Roman" w:hint="eastAsia"/>
        </w:rPr>
        <w:t>普陆</w:t>
      </w:r>
      <w:r>
        <w:rPr>
          <w:rFonts w:ascii="Times New Roman" w:cs="Times New Roman" w:hint="eastAsia"/>
        </w:rPr>
        <w:t>3</w:t>
      </w:r>
      <w:r>
        <w:rPr>
          <w:rFonts w:ascii="Times New Roman" w:cs="Times New Roman" w:hint="eastAsia"/>
        </w:rPr>
        <w:t>集气站</w:t>
      </w:r>
      <w:r w:rsidRPr="00D630D1">
        <w:rPr>
          <w:rFonts w:ascii="Times New Roman" w:cs="Times New Roman"/>
        </w:rPr>
        <w:t>~</w:t>
      </w:r>
      <w:r>
        <w:rPr>
          <w:rFonts w:ascii="Times New Roman" w:cs="Times New Roman" w:hint="eastAsia"/>
        </w:rPr>
        <w:t>P105</w:t>
      </w:r>
      <w:r>
        <w:rPr>
          <w:rFonts w:ascii="Times New Roman" w:cs="Times New Roman" w:hint="eastAsia"/>
        </w:rPr>
        <w:t>集气站</w:t>
      </w:r>
      <w:r w:rsidRPr="00D630D1">
        <w:rPr>
          <w:rFonts w:ascii="Times New Roman" w:cs="Times New Roman" w:hint="eastAsia"/>
        </w:rPr>
        <w:t>集气管道</w:t>
      </w:r>
      <w:r>
        <w:rPr>
          <w:rFonts w:ascii="Times New Roman" w:cs="Times New Roman" w:hint="eastAsia"/>
        </w:rPr>
        <w:t>段</w:t>
      </w:r>
      <w:r w:rsidRPr="00D630D1">
        <w:rPr>
          <w:rFonts w:ascii="Times New Roman" w:cs="Times New Roman"/>
        </w:rPr>
        <w:t>：</w:t>
      </w:r>
      <w:r>
        <w:rPr>
          <w:rFonts w:ascii="Times New Roman" w:cs="Times New Roman" w:hint="eastAsia"/>
        </w:rPr>
        <w:t>普陆</w:t>
      </w:r>
      <w:r>
        <w:rPr>
          <w:rFonts w:ascii="Times New Roman" w:cs="Times New Roman" w:hint="eastAsia"/>
        </w:rPr>
        <w:t>3</w:t>
      </w:r>
      <w:r>
        <w:rPr>
          <w:rFonts w:ascii="Times New Roman" w:cs="Times New Roman" w:hint="eastAsia"/>
        </w:rPr>
        <w:t>集气站</w:t>
      </w:r>
      <w:r w:rsidRPr="00D630D1">
        <w:rPr>
          <w:rFonts w:ascii="Times New Roman" w:cs="Times New Roman"/>
        </w:rPr>
        <w:t>~</w:t>
      </w:r>
      <w:r>
        <w:rPr>
          <w:rFonts w:ascii="Times New Roman" w:cs="Times New Roman" w:hint="eastAsia"/>
        </w:rPr>
        <w:t>P105</w:t>
      </w:r>
      <w:r>
        <w:rPr>
          <w:rFonts w:ascii="Times New Roman" w:cs="Times New Roman" w:hint="eastAsia"/>
        </w:rPr>
        <w:t>集气站</w:t>
      </w:r>
      <w:r w:rsidRPr="00D630D1">
        <w:rPr>
          <w:rFonts w:ascii="Times New Roman" w:cs="Times New Roman" w:hint="eastAsia"/>
        </w:rPr>
        <w:t>集气管道</w:t>
      </w:r>
      <w:r w:rsidRPr="00D630D1">
        <w:rPr>
          <w:rFonts w:ascii="Times New Roman" w:cs="Times New Roman"/>
        </w:rPr>
        <w:t>段天然气密度为</w:t>
      </w:r>
      <w:r w:rsidRPr="00D630D1">
        <w:rPr>
          <w:rFonts w:ascii="Times New Roman" w:cs="Times New Roman"/>
        </w:rPr>
        <w:t>0.7012kg/m</w:t>
      </w:r>
      <w:r w:rsidRPr="00D630D1">
        <w:rPr>
          <w:rFonts w:ascii="Times New Roman" w:cs="Times New Roman"/>
          <w:vertAlign w:val="superscript"/>
        </w:rPr>
        <w:t>3</w:t>
      </w:r>
      <w:r w:rsidRPr="00D630D1">
        <w:rPr>
          <w:rFonts w:ascii="Times New Roman" w:cs="Times New Roman"/>
        </w:rPr>
        <w:t>，截面积为</w:t>
      </w:r>
      <w:r w:rsidRPr="00D630D1">
        <w:rPr>
          <w:rFonts w:ascii="Times New Roman" w:cs="Times New Roman"/>
        </w:rPr>
        <w:t>0.0</w:t>
      </w:r>
      <w:r>
        <w:rPr>
          <w:rFonts w:ascii="Times New Roman" w:cs="Times New Roman" w:hint="eastAsia"/>
        </w:rPr>
        <w:t>177</w:t>
      </w:r>
      <w:r w:rsidRPr="00D630D1">
        <w:rPr>
          <w:rFonts w:ascii="Times New Roman" w:cs="Times New Roman"/>
        </w:rPr>
        <w:t>m</w:t>
      </w:r>
      <w:r w:rsidRPr="00D630D1">
        <w:rPr>
          <w:rFonts w:ascii="Times New Roman" w:cs="Times New Roman"/>
          <w:vertAlign w:val="superscript"/>
        </w:rPr>
        <w:t>2</w:t>
      </w:r>
      <w:r w:rsidRPr="00D630D1">
        <w:rPr>
          <w:rFonts w:ascii="Times New Roman" w:cs="Times New Roman"/>
        </w:rPr>
        <w:t>，酸气管道</w:t>
      </w:r>
      <w:r>
        <w:rPr>
          <w:rFonts w:ascii="Times New Roman" w:cs="Times New Roman" w:hint="eastAsia"/>
        </w:rPr>
        <w:t>总</w:t>
      </w:r>
      <w:r w:rsidRPr="00D630D1">
        <w:rPr>
          <w:rFonts w:ascii="Times New Roman" w:cs="Times New Roman"/>
        </w:rPr>
        <w:t>长</w:t>
      </w:r>
      <w:r w:rsidRPr="00D630D1">
        <w:rPr>
          <w:rFonts w:ascii="Times New Roman" w:cs="Times New Roman" w:hint="eastAsia"/>
        </w:rPr>
        <w:t>0.</w:t>
      </w:r>
      <w:r>
        <w:rPr>
          <w:rFonts w:ascii="Times New Roman" w:cs="Times New Roman" w:hint="eastAsia"/>
        </w:rPr>
        <w:t>98</w:t>
      </w:r>
      <w:r w:rsidRPr="00D630D1">
        <w:rPr>
          <w:rFonts w:ascii="Times New Roman" w:cs="Times New Roman"/>
        </w:rPr>
        <w:t>km</w:t>
      </w:r>
      <w:r w:rsidRPr="00D630D1">
        <w:rPr>
          <w:rFonts w:ascii="Times New Roman" w:cs="Times New Roman"/>
        </w:rPr>
        <w:t>，压力倍数为</w:t>
      </w:r>
      <w:r w:rsidRPr="00D630D1">
        <w:rPr>
          <w:rFonts w:ascii="Times New Roman" w:cs="Times New Roman"/>
        </w:rPr>
        <w:t>90.8</w:t>
      </w:r>
      <w:r w:rsidRPr="00D630D1">
        <w:rPr>
          <w:rFonts w:ascii="Times New Roman" w:cs="Times New Roman"/>
        </w:rPr>
        <w:t>，</w:t>
      </w:r>
      <w:r w:rsidRPr="00D630D1">
        <w:rPr>
          <w:rFonts w:ascii="Times New Roman" w:cs="Times New Roman" w:hint="eastAsia"/>
        </w:rPr>
        <w:t>因此</w:t>
      </w:r>
      <w:r w:rsidRPr="00D630D1">
        <w:rPr>
          <w:rFonts w:ascii="Times New Roman" w:cs="Times New Roman"/>
        </w:rPr>
        <w:t>天然气最大在线量约为</w:t>
      </w:r>
      <w:r>
        <w:rPr>
          <w:rFonts w:ascii="Times New Roman" w:cs="Times New Roman" w:hint="eastAsia"/>
        </w:rPr>
        <w:t>1104.4</w:t>
      </w:r>
      <w:r w:rsidRPr="00D630D1">
        <w:rPr>
          <w:rFonts w:ascii="Times New Roman" w:cs="Times New Roman"/>
        </w:rPr>
        <w:t>kg</w:t>
      </w:r>
      <w:r w:rsidRPr="00D630D1">
        <w:rPr>
          <w:rFonts w:ascii="Times New Roman" w:cs="Times New Roman"/>
        </w:rPr>
        <w:t>。</w:t>
      </w:r>
    </w:p>
    <w:p w:rsidR="00766EEB" w:rsidRPr="00D630D1" w:rsidRDefault="006269A7" w:rsidP="00630B5B">
      <w:pPr>
        <w:ind w:firstLine="480"/>
        <w:rPr>
          <w:rFonts w:ascii="Times New Roman" w:cs="Times New Roman"/>
        </w:rPr>
      </w:pPr>
      <w:r>
        <w:rPr>
          <w:rFonts w:ascii="Times New Roman" w:cs="Times New Roman" w:hint="eastAsia"/>
        </w:rPr>
        <w:t>综上，</w:t>
      </w:r>
      <w:r w:rsidRPr="00D630D1">
        <w:rPr>
          <w:rFonts w:ascii="Times New Roman" w:cs="Times New Roman"/>
        </w:rPr>
        <w:t>天然气最大</w:t>
      </w:r>
      <w:r>
        <w:rPr>
          <w:rFonts w:ascii="Times New Roman" w:cs="Times New Roman" w:hint="eastAsia"/>
        </w:rPr>
        <w:t>总在线量为</w:t>
      </w:r>
      <w:r>
        <w:rPr>
          <w:rFonts w:ascii="Times New Roman" w:cs="Times New Roman" w:hint="eastAsia"/>
        </w:rPr>
        <w:t>7102.02</w:t>
      </w:r>
      <w:r w:rsidRPr="00D630D1">
        <w:rPr>
          <w:rFonts w:ascii="Times New Roman" w:cs="Times New Roman"/>
        </w:rPr>
        <w:t>kg</w:t>
      </w:r>
      <w:r>
        <w:rPr>
          <w:rFonts w:ascii="Times New Roman" w:cs="Times New Roman" w:hint="eastAsia"/>
        </w:rPr>
        <w:t>。</w:t>
      </w:r>
    </w:p>
    <w:p w:rsidR="000B2F07" w:rsidRPr="00D630D1" w:rsidRDefault="00766EEB" w:rsidP="000B2F07">
      <w:pPr>
        <w:pStyle w:val="afa"/>
        <w:ind w:firstLine="480"/>
        <w:rPr>
          <w:bCs/>
        </w:rPr>
      </w:pPr>
      <w:r w:rsidRPr="00D630D1">
        <w:t>根据项目设计资料，本工程每次放空持续时间约</w:t>
      </w:r>
      <w:r w:rsidRPr="00D630D1">
        <w:t>1h</w:t>
      </w:r>
      <w:r w:rsidRPr="00D630D1">
        <w:t>，放空废气通过</w:t>
      </w:r>
      <w:r w:rsidR="002C00AE">
        <w:t>普光</w:t>
      </w:r>
      <w:r w:rsidR="002C00AE">
        <w:t>12</w:t>
      </w:r>
      <w:r w:rsidR="002C00AE">
        <w:t>采气站</w:t>
      </w:r>
      <w:r w:rsidRPr="00D630D1">
        <w:t>放空火炬燃烧后排放，燃烧排放主要污染物为氮氧化物，</w:t>
      </w:r>
      <w:r w:rsidR="000B2F07" w:rsidRPr="00D630D1">
        <w:rPr>
          <w:bCs/>
        </w:rPr>
        <w:t>根据《工业污染源产排污系数手册》（</w:t>
      </w:r>
      <w:r w:rsidR="000B2F07" w:rsidRPr="00D630D1">
        <w:rPr>
          <w:bCs/>
        </w:rPr>
        <w:t>2010</w:t>
      </w:r>
      <w:r w:rsidR="000B2F07" w:rsidRPr="00D630D1">
        <w:rPr>
          <w:bCs/>
        </w:rPr>
        <w:t>年修订版），废气量产生系数为</w:t>
      </w:r>
      <w:r w:rsidR="000B2F07" w:rsidRPr="00D630D1">
        <w:rPr>
          <w:bCs/>
        </w:rPr>
        <w:t>12.31</w:t>
      </w:r>
      <w:r w:rsidR="000B2F07" w:rsidRPr="00D630D1">
        <w:rPr>
          <w:bCs/>
        </w:rPr>
        <w:t>万</w:t>
      </w:r>
      <w:r w:rsidR="000B2F07" w:rsidRPr="00D630D1">
        <w:rPr>
          <w:bCs/>
        </w:rPr>
        <w:t>m</w:t>
      </w:r>
      <w:r w:rsidR="000B2F07" w:rsidRPr="00D630D1">
        <w:rPr>
          <w:bCs/>
          <w:vertAlign w:val="superscript"/>
        </w:rPr>
        <w:t>3</w:t>
      </w:r>
      <w:r w:rsidR="000B2F07" w:rsidRPr="00D630D1">
        <w:rPr>
          <w:bCs/>
        </w:rPr>
        <w:t>/</w:t>
      </w:r>
      <w:r w:rsidR="000B2F07" w:rsidRPr="00D630D1">
        <w:rPr>
          <w:bCs/>
        </w:rPr>
        <w:t>万</w:t>
      </w:r>
      <w:r w:rsidR="000B2F07" w:rsidRPr="00D630D1">
        <w:rPr>
          <w:bCs/>
        </w:rPr>
        <w:t>m</w:t>
      </w:r>
      <w:r w:rsidR="000B2F07" w:rsidRPr="00D630D1">
        <w:rPr>
          <w:bCs/>
          <w:vertAlign w:val="superscript"/>
        </w:rPr>
        <w:t>3</w:t>
      </w:r>
      <w:r w:rsidR="000B2F07" w:rsidRPr="00D630D1">
        <w:rPr>
          <w:bCs/>
        </w:rPr>
        <w:t>天然气，本项目放空废气量分别为</w:t>
      </w:r>
      <w:r w:rsidR="006269A7">
        <w:rPr>
          <w:rFonts w:hint="eastAsia"/>
          <w:bCs/>
        </w:rPr>
        <w:t>12.47</w:t>
      </w:r>
      <w:r w:rsidR="000B2F07" w:rsidRPr="00D630D1">
        <w:rPr>
          <w:bCs/>
        </w:rPr>
        <w:t>万</w:t>
      </w:r>
      <w:r w:rsidR="000B2F07" w:rsidRPr="00D630D1">
        <w:rPr>
          <w:bCs/>
        </w:rPr>
        <w:t>m</w:t>
      </w:r>
      <w:r w:rsidR="000B2F07" w:rsidRPr="00D630D1">
        <w:rPr>
          <w:bCs/>
          <w:vertAlign w:val="superscript"/>
        </w:rPr>
        <w:t>3</w:t>
      </w:r>
      <w:r w:rsidR="000B2F07" w:rsidRPr="00D630D1">
        <w:rPr>
          <w:bCs/>
        </w:rPr>
        <w:t>；天然气燃烧</w:t>
      </w:r>
      <w:r w:rsidR="000B2F07" w:rsidRPr="00D630D1">
        <w:rPr>
          <w:bCs/>
        </w:rPr>
        <w:t>NOx</w:t>
      </w:r>
      <w:r w:rsidR="000B2F07" w:rsidRPr="00D630D1">
        <w:rPr>
          <w:bCs/>
        </w:rPr>
        <w:t>产污系数为</w:t>
      </w:r>
      <w:r w:rsidR="000B2F07" w:rsidRPr="00D630D1">
        <w:rPr>
          <w:bCs/>
        </w:rPr>
        <w:t>18.71kg/10</w:t>
      </w:r>
      <w:r w:rsidR="000B2F07" w:rsidRPr="00D630D1">
        <w:rPr>
          <w:bCs/>
          <w:vertAlign w:val="superscript"/>
        </w:rPr>
        <w:t>4</w:t>
      </w:r>
      <w:r w:rsidR="000B2F07" w:rsidRPr="00D630D1">
        <w:rPr>
          <w:bCs/>
        </w:rPr>
        <w:t>m</w:t>
      </w:r>
      <w:r w:rsidR="000B2F07" w:rsidRPr="00D630D1">
        <w:rPr>
          <w:bCs/>
          <w:vertAlign w:val="superscript"/>
        </w:rPr>
        <w:t>3</w:t>
      </w:r>
      <w:r w:rsidR="000B2F07" w:rsidRPr="00D630D1">
        <w:rPr>
          <w:bCs/>
        </w:rPr>
        <w:t>计算，</w:t>
      </w:r>
      <w:r w:rsidR="000B2F07" w:rsidRPr="00D630D1">
        <w:rPr>
          <w:bCs/>
        </w:rPr>
        <w:t>NOx</w:t>
      </w:r>
      <w:r w:rsidR="000B2F07" w:rsidRPr="00D630D1">
        <w:rPr>
          <w:bCs/>
        </w:rPr>
        <w:t>产生量分别为</w:t>
      </w:r>
      <w:r w:rsidR="006269A7">
        <w:rPr>
          <w:rFonts w:hint="eastAsia"/>
          <w:bCs/>
        </w:rPr>
        <w:t>18.84</w:t>
      </w:r>
      <w:r w:rsidR="000B2F07" w:rsidRPr="00D630D1">
        <w:rPr>
          <w:bCs/>
        </w:rPr>
        <w:t>kg</w:t>
      </w:r>
      <w:r w:rsidR="000B2F07" w:rsidRPr="00D630D1">
        <w:rPr>
          <w:bCs/>
        </w:rPr>
        <w:t>。</w:t>
      </w:r>
      <w:r w:rsidR="005D6B63" w:rsidRPr="00D630D1">
        <w:rPr>
          <w:rFonts w:hint="eastAsia"/>
          <w:bCs/>
        </w:rPr>
        <w:t>事故放空频率较低，并且</w:t>
      </w:r>
      <w:r w:rsidR="000B2F07" w:rsidRPr="00D630D1">
        <w:rPr>
          <w:bCs/>
        </w:rPr>
        <w:t>放空</w:t>
      </w:r>
      <w:r w:rsidR="000B2F07" w:rsidRPr="00D630D1">
        <w:rPr>
          <w:bCs/>
        </w:rPr>
        <w:lastRenderedPageBreak/>
        <w:t>废气经点火燃烧后排放，加之当地地势开阔，大气扩散条件良好，故放空废气不会对周边环境造成明显不利影响。</w:t>
      </w:r>
    </w:p>
    <w:p w:rsidR="00117C3D" w:rsidRPr="00D630D1" w:rsidRDefault="00AF16EF" w:rsidP="00AF16EF">
      <w:pPr>
        <w:pStyle w:val="3"/>
        <w:rPr>
          <w:rFonts w:eastAsia="宋体"/>
        </w:rPr>
      </w:pPr>
      <w:r w:rsidRPr="00D630D1">
        <w:rPr>
          <w:rFonts w:eastAsia="宋体"/>
        </w:rPr>
        <w:t>4</w:t>
      </w:r>
      <w:r w:rsidR="008B5B84" w:rsidRPr="00D630D1">
        <w:rPr>
          <w:rFonts w:eastAsia="宋体"/>
        </w:rPr>
        <w:t>.2.</w:t>
      </w:r>
      <w:r w:rsidR="00F617AC" w:rsidRPr="00D630D1">
        <w:rPr>
          <w:rFonts w:eastAsia="宋体"/>
        </w:rPr>
        <w:t>3</w:t>
      </w:r>
      <w:r w:rsidR="008B5B84" w:rsidRPr="00D630D1">
        <w:rPr>
          <w:rFonts w:eastAsia="宋体"/>
        </w:rPr>
        <w:t xml:space="preserve"> </w:t>
      </w:r>
      <w:r w:rsidR="008B5B84" w:rsidRPr="00D630D1">
        <w:rPr>
          <w:rFonts w:eastAsia="宋体"/>
        </w:rPr>
        <w:t>废水产生情况及治理措施</w:t>
      </w:r>
    </w:p>
    <w:p w:rsidR="00FF2E24" w:rsidRPr="00D630D1" w:rsidRDefault="00FF2E24" w:rsidP="00A274D8">
      <w:pPr>
        <w:pStyle w:val="afa"/>
        <w:ind w:firstLine="480"/>
      </w:pPr>
      <w:r w:rsidRPr="00D630D1">
        <w:rPr>
          <w:rFonts w:hint="eastAsia"/>
        </w:rPr>
        <w:t>开井前期采出气中含返排酸液，通过建设井口临时分酸分离器进行分离，分离出的酸液进入污水缓冲罐，</w:t>
      </w:r>
      <w:r w:rsidRPr="00D630D1">
        <w:t>拉运至大湾</w:t>
      </w:r>
      <w:r w:rsidRPr="00D630D1">
        <w:t>403</w:t>
      </w:r>
      <w:r w:rsidRPr="00D630D1">
        <w:t>污水站处理达标后管输至毛开</w:t>
      </w:r>
      <w:r w:rsidRPr="00D630D1">
        <w:t>1</w:t>
      </w:r>
      <w:r w:rsidRPr="00D630D1">
        <w:t>井回注站回注</w:t>
      </w:r>
      <w:r w:rsidRPr="00D630D1">
        <w:rPr>
          <w:rFonts w:hint="eastAsia"/>
        </w:rPr>
        <w:t>，</w:t>
      </w:r>
      <w:r w:rsidRPr="00D630D1">
        <w:t>此部分污水已在施工期进行了分析</w:t>
      </w:r>
      <w:r w:rsidRPr="00D630D1">
        <w:rPr>
          <w:rFonts w:hint="eastAsia"/>
        </w:rPr>
        <w:t>，</w:t>
      </w:r>
      <w:r w:rsidRPr="00D630D1">
        <w:t>因此运营期不再进行核算和分析</w:t>
      </w:r>
      <w:r w:rsidRPr="00D630D1">
        <w:rPr>
          <w:rFonts w:hint="eastAsia"/>
        </w:rPr>
        <w:t>。</w:t>
      </w:r>
    </w:p>
    <w:p w:rsidR="00117C3D" w:rsidRPr="00D630D1" w:rsidRDefault="00A274D8" w:rsidP="00A274D8">
      <w:pPr>
        <w:pStyle w:val="afa"/>
        <w:ind w:firstLine="480"/>
      </w:pPr>
      <w:r w:rsidRPr="00D630D1">
        <w:t>本项目集气管道采用埋地敷设方式，在正常运行过程中集气管道不会产生废水。</w:t>
      </w:r>
      <w:r w:rsidR="002C00AE">
        <w:t>普光</w:t>
      </w:r>
      <w:r w:rsidR="002C00AE">
        <w:t>12</w:t>
      </w:r>
      <w:r w:rsidR="002C00AE">
        <w:t>采气站</w:t>
      </w:r>
      <w:r w:rsidR="00FC4C2C" w:rsidRPr="00D630D1">
        <w:t>为</w:t>
      </w:r>
      <w:r w:rsidR="007200A5">
        <w:rPr>
          <w:rFonts w:hint="eastAsia"/>
        </w:rPr>
        <w:t>有</w:t>
      </w:r>
      <w:r w:rsidR="009D52F7" w:rsidRPr="00D630D1">
        <w:rPr>
          <w:rFonts w:hint="eastAsia"/>
        </w:rPr>
        <w:t>人</w:t>
      </w:r>
      <w:r w:rsidR="00FC4C2C" w:rsidRPr="00D630D1">
        <w:t>值守站</w:t>
      </w:r>
      <w:r w:rsidR="00747A0A" w:rsidRPr="00D630D1">
        <w:rPr>
          <w:rFonts w:hint="eastAsia"/>
        </w:rPr>
        <w:t>，</w:t>
      </w:r>
      <w:r w:rsidR="00951F11">
        <w:rPr>
          <w:rFonts w:hint="eastAsia"/>
        </w:rPr>
        <w:t>本项目设计</w:t>
      </w:r>
      <w:r w:rsidR="007200A5">
        <w:rPr>
          <w:rFonts w:hint="eastAsia"/>
        </w:rPr>
        <w:t>劳动定员</w:t>
      </w:r>
      <w:r w:rsidR="007200A5">
        <w:rPr>
          <w:rFonts w:hint="eastAsia"/>
        </w:rPr>
        <w:t>13</w:t>
      </w:r>
      <w:r w:rsidR="007200A5" w:rsidRPr="00D630D1">
        <w:rPr>
          <w:rFonts w:hint="eastAsia"/>
        </w:rPr>
        <w:t>人</w:t>
      </w:r>
      <w:r w:rsidRPr="00D630D1">
        <w:t>。</w:t>
      </w:r>
    </w:p>
    <w:p w:rsidR="00951F11" w:rsidRDefault="00951F11" w:rsidP="00951F11">
      <w:pPr>
        <w:pStyle w:val="afa"/>
        <w:ind w:firstLine="482"/>
        <w:rPr>
          <w:szCs w:val="22"/>
        </w:rPr>
      </w:pPr>
      <w:r w:rsidRPr="00733954">
        <w:rPr>
          <w:b/>
          <w:bCs/>
        </w:rPr>
        <w:t>1</w:t>
      </w:r>
      <w:r w:rsidRPr="00733954">
        <w:rPr>
          <w:b/>
          <w:bCs/>
        </w:rPr>
        <w:t>、气田水</w:t>
      </w:r>
    </w:p>
    <w:p w:rsidR="00F617AC" w:rsidRDefault="00006097" w:rsidP="00F617AC">
      <w:pPr>
        <w:pStyle w:val="afa"/>
        <w:ind w:firstLine="480"/>
      </w:pPr>
      <w:r w:rsidRPr="00D630D1">
        <w:rPr>
          <w:rFonts w:hint="eastAsia"/>
          <w:szCs w:val="22"/>
        </w:rPr>
        <w:t>类比普光气田工程实际情况，本项目</w:t>
      </w:r>
      <w:r w:rsidRPr="00D630D1">
        <w:rPr>
          <w:szCs w:val="22"/>
        </w:rPr>
        <w:t>气田水产生量为</w:t>
      </w:r>
      <w:r w:rsidRPr="00D630D1">
        <w:rPr>
          <w:rFonts w:hint="eastAsia"/>
          <w:szCs w:val="22"/>
        </w:rPr>
        <w:t>3</w:t>
      </w:r>
      <w:r w:rsidRPr="00D630D1">
        <w:rPr>
          <w:szCs w:val="22"/>
        </w:rPr>
        <w:t>m</w:t>
      </w:r>
      <w:r w:rsidRPr="00D630D1">
        <w:rPr>
          <w:szCs w:val="22"/>
          <w:vertAlign w:val="superscript"/>
        </w:rPr>
        <w:t>3</w:t>
      </w:r>
      <w:r w:rsidRPr="00D630D1">
        <w:rPr>
          <w:szCs w:val="22"/>
        </w:rPr>
        <w:t>/d</w:t>
      </w:r>
      <w:r w:rsidRPr="00D630D1">
        <w:rPr>
          <w:rFonts w:hint="eastAsia"/>
          <w:szCs w:val="22"/>
        </w:rPr>
        <w:t>，主要污染物浓度为石油类</w:t>
      </w:r>
      <w:r w:rsidRPr="00D630D1">
        <w:rPr>
          <w:szCs w:val="22"/>
        </w:rPr>
        <w:t>200mg/L</w:t>
      </w:r>
      <w:r w:rsidRPr="00D630D1">
        <w:rPr>
          <w:szCs w:val="22"/>
        </w:rPr>
        <w:t>，悬浮物</w:t>
      </w:r>
      <w:r w:rsidRPr="00D630D1">
        <w:rPr>
          <w:szCs w:val="22"/>
        </w:rPr>
        <w:t>300mg/L</w:t>
      </w:r>
      <w:r w:rsidRPr="00D630D1">
        <w:rPr>
          <w:szCs w:val="22"/>
        </w:rPr>
        <w:t>，</w:t>
      </w:r>
      <w:r w:rsidR="007200A5" w:rsidRPr="00D630D1">
        <w:t>本项目运营期产生的气田水</w:t>
      </w:r>
      <w:r w:rsidR="007200A5" w:rsidRPr="002C36C4">
        <w:rPr>
          <w:rFonts w:hint="eastAsia"/>
        </w:rPr>
        <w:t>暂存于污水缓冲罐</w:t>
      </w:r>
      <w:r w:rsidR="007200A5" w:rsidRPr="00D630D1">
        <w:t>，然后通过密闭罐车拉运至大湾</w:t>
      </w:r>
      <w:r w:rsidR="007200A5" w:rsidRPr="00D630D1">
        <w:t>403</w:t>
      </w:r>
      <w:r w:rsidR="007200A5" w:rsidRPr="00D630D1">
        <w:t>污水站处理达到《气田水回注方法》（</w:t>
      </w:r>
      <w:r w:rsidR="007200A5" w:rsidRPr="00D630D1">
        <w:t>SY/T 6596</w:t>
      </w:r>
      <w:r w:rsidR="007200A5" w:rsidRPr="00D630D1">
        <w:rPr>
          <w:rFonts w:hint="eastAsia"/>
        </w:rPr>
        <w:t>-</w:t>
      </w:r>
      <w:r w:rsidR="007200A5" w:rsidRPr="00D630D1">
        <w:t>2016</w:t>
      </w:r>
      <w:r w:rsidR="007200A5" w:rsidRPr="00D630D1">
        <w:t>）中注入水基本要求后管输至毛开</w:t>
      </w:r>
      <w:r w:rsidR="007200A5" w:rsidRPr="00D630D1">
        <w:t>1</w:t>
      </w:r>
      <w:r w:rsidR="007200A5" w:rsidRPr="00D630D1">
        <w:t>井回注站回注处理，不外排</w:t>
      </w:r>
      <w:r w:rsidR="00F617AC" w:rsidRPr="00D630D1">
        <w:t>。</w:t>
      </w:r>
    </w:p>
    <w:p w:rsidR="00951F11" w:rsidRPr="00733954" w:rsidRDefault="00951F11" w:rsidP="00951F11">
      <w:pPr>
        <w:pStyle w:val="afa"/>
        <w:ind w:firstLine="482"/>
        <w:rPr>
          <w:b/>
          <w:bCs/>
        </w:rPr>
      </w:pPr>
      <w:r w:rsidRPr="00733954">
        <w:rPr>
          <w:b/>
          <w:bCs/>
        </w:rPr>
        <w:t>2</w:t>
      </w:r>
      <w:r w:rsidRPr="00733954">
        <w:rPr>
          <w:b/>
          <w:bCs/>
        </w:rPr>
        <w:t>、生活污水</w:t>
      </w:r>
    </w:p>
    <w:p w:rsidR="00951F11" w:rsidRPr="00D630D1" w:rsidRDefault="00951F11" w:rsidP="00951F11">
      <w:pPr>
        <w:pStyle w:val="afa"/>
        <w:ind w:firstLine="480"/>
      </w:pPr>
      <w:r w:rsidRPr="00733954">
        <w:rPr>
          <w:lang w:val="zh-CN"/>
        </w:rPr>
        <w:t>项目设计劳动定员</w:t>
      </w:r>
      <w:r>
        <w:rPr>
          <w:rFonts w:hint="eastAsia"/>
        </w:rPr>
        <w:t>13</w:t>
      </w:r>
      <w:r w:rsidRPr="00733954">
        <w:t>人，在集气站内食宿，参照《四川省地方标准</w:t>
      </w:r>
      <w:r w:rsidRPr="00733954">
        <w:t>-</w:t>
      </w:r>
      <w:r w:rsidRPr="00733954">
        <w:t>用水定额》（</w:t>
      </w:r>
      <w:r w:rsidRPr="00733954">
        <w:t>DB51/T 2138-2016</w:t>
      </w:r>
      <w:r w:rsidRPr="00733954">
        <w:t>）中的用水定额标准，按</w:t>
      </w:r>
      <w:r w:rsidRPr="00733954">
        <w:t>120L/</w:t>
      </w:r>
      <w:r w:rsidRPr="00733954">
        <w:t>人</w:t>
      </w:r>
      <w:r w:rsidRPr="00733954">
        <w:t>·d</w:t>
      </w:r>
      <w:r w:rsidRPr="00733954">
        <w:t>计，每天生活用水量为</w:t>
      </w:r>
      <w:r>
        <w:rPr>
          <w:rFonts w:hint="eastAsia"/>
        </w:rPr>
        <w:t>1.56</w:t>
      </w:r>
      <w:r w:rsidRPr="00733954">
        <w:t>m</w:t>
      </w:r>
      <w:r w:rsidRPr="00733954">
        <w:rPr>
          <w:vertAlign w:val="superscript"/>
        </w:rPr>
        <w:t>3</w:t>
      </w:r>
      <w:r w:rsidRPr="00733954">
        <w:t>/d</w:t>
      </w:r>
      <w:r w:rsidRPr="00733954">
        <w:t>（</w:t>
      </w:r>
      <w:r>
        <w:rPr>
          <w:rFonts w:hint="eastAsia"/>
        </w:rPr>
        <w:t>569.4</w:t>
      </w:r>
      <w:r w:rsidRPr="00733954">
        <w:t>m</w:t>
      </w:r>
      <w:r w:rsidRPr="00733954">
        <w:rPr>
          <w:vertAlign w:val="superscript"/>
        </w:rPr>
        <w:t>3</w:t>
      </w:r>
      <w:r w:rsidRPr="00733954">
        <w:t>/a</w:t>
      </w:r>
      <w:r w:rsidRPr="00733954">
        <w:t>）；生活污水按用水量的</w:t>
      </w:r>
      <w:r w:rsidRPr="00733954">
        <w:t>90%</w:t>
      </w:r>
      <w:r w:rsidRPr="00733954">
        <w:t>计算，则生活污水产生量为</w:t>
      </w:r>
      <w:r>
        <w:rPr>
          <w:rFonts w:hint="eastAsia"/>
        </w:rPr>
        <w:t>1.404</w:t>
      </w:r>
      <w:r w:rsidRPr="00733954">
        <w:t>m³/d</w:t>
      </w:r>
      <w:r w:rsidRPr="00733954">
        <w:t>（</w:t>
      </w:r>
      <w:r>
        <w:rPr>
          <w:rFonts w:hint="eastAsia"/>
        </w:rPr>
        <w:t>512.46</w:t>
      </w:r>
      <w:r w:rsidRPr="00733954">
        <w:t>m³/a</w:t>
      </w:r>
      <w:r w:rsidRPr="00733954">
        <w:t>）。值班人员生活污水</w:t>
      </w:r>
      <w:r w:rsidRPr="00733954">
        <w:rPr>
          <w:rFonts w:hint="eastAsia"/>
        </w:rPr>
        <w:t>依托</w:t>
      </w:r>
      <w:r w:rsidRPr="00733954">
        <w:t>现有</w:t>
      </w:r>
      <w:r w:rsidRPr="00733954">
        <w:rPr>
          <w:rFonts w:hint="eastAsia"/>
        </w:rPr>
        <w:t>生态</w:t>
      </w:r>
      <w:r w:rsidRPr="00733954">
        <w:t>环保厕所收集后，用作周边农肥，不外排。</w:t>
      </w:r>
    </w:p>
    <w:p w:rsidR="00117C3D" w:rsidRPr="00D630D1" w:rsidRDefault="00635315" w:rsidP="00635315">
      <w:pPr>
        <w:pStyle w:val="3"/>
        <w:rPr>
          <w:rFonts w:eastAsia="宋体"/>
        </w:rPr>
      </w:pPr>
      <w:r w:rsidRPr="00D630D1">
        <w:rPr>
          <w:rFonts w:eastAsia="宋体"/>
        </w:rPr>
        <w:t>4</w:t>
      </w:r>
      <w:r w:rsidR="008B5B84" w:rsidRPr="00D630D1">
        <w:rPr>
          <w:rFonts w:eastAsia="宋体"/>
        </w:rPr>
        <w:t>.2.</w:t>
      </w:r>
      <w:r w:rsidR="00A274D8" w:rsidRPr="00D630D1">
        <w:rPr>
          <w:rFonts w:eastAsia="宋体"/>
        </w:rPr>
        <w:t>4</w:t>
      </w:r>
      <w:r w:rsidR="008B5B84" w:rsidRPr="00D630D1">
        <w:rPr>
          <w:rFonts w:eastAsia="宋体"/>
        </w:rPr>
        <w:t xml:space="preserve"> </w:t>
      </w:r>
      <w:r w:rsidR="008B5B84" w:rsidRPr="00D630D1">
        <w:rPr>
          <w:rFonts w:eastAsia="宋体"/>
        </w:rPr>
        <w:t>噪声产生情况及治理措施</w:t>
      </w:r>
    </w:p>
    <w:p w:rsidR="00635315" w:rsidRDefault="00A274D8" w:rsidP="00A274D8">
      <w:pPr>
        <w:pStyle w:val="afa"/>
        <w:ind w:firstLine="480"/>
      </w:pPr>
      <w:r w:rsidRPr="00D630D1">
        <w:t>本项目集气管道采用埋地敷设方式，在正常运行过程中集气管道不会产生噪声污染。站场噪声正常工况下主要产生于水套炉、节流阀等设备运行噪声和气流声；非正常工况下，站场噪声主要来源的于检修、事故时所产生的放空噪声。站场主要产噪设备及源强统计见下表。</w:t>
      </w:r>
    </w:p>
    <w:p w:rsidR="00A274D8" w:rsidRPr="00D630D1" w:rsidRDefault="00A274D8" w:rsidP="00A274D8">
      <w:pPr>
        <w:pStyle w:val="10"/>
        <w:rPr>
          <w:rFonts w:cs="Times New Roman"/>
        </w:rPr>
      </w:pPr>
      <w:r w:rsidRPr="00D630D1">
        <w:rPr>
          <w:rFonts w:cs="Times New Roman"/>
        </w:rPr>
        <w:t>表</w:t>
      </w:r>
      <w:r w:rsidRPr="00D630D1">
        <w:rPr>
          <w:rFonts w:cs="Times New Roman"/>
          <w:bCs/>
        </w:rPr>
        <w:t xml:space="preserve">4.2-1  </w:t>
      </w:r>
      <w:r w:rsidRPr="00D630D1">
        <w:rPr>
          <w:rFonts w:cs="Times New Roman"/>
        </w:rPr>
        <w:t>站场产噪设备及源强统计</w:t>
      </w:r>
    </w:p>
    <w:tbl>
      <w:tblPr>
        <w:tblW w:w="5000" w:type="pct"/>
        <w:jc w:val="center"/>
        <w:tblCellMar>
          <w:left w:w="0" w:type="dxa"/>
          <w:right w:w="0" w:type="dxa"/>
        </w:tblCellMar>
        <w:tblLook w:val="04A0"/>
      </w:tblPr>
      <w:tblGrid>
        <w:gridCol w:w="1276"/>
        <w:gridCol w:w="1560"/>
        <w:gridCol w:w="2126"/>
        <w:gridCol w:w="1701"/>
        <w:gridCol w:w="1643"/>
      </w:tblGrid>
      <w:tr w:rsidR="00A274D8" w:rsidRPr="00D630D1" w:rsidTr="00A274D8">
        <w:trPr>
          <w:trHeight w:val="16"/>
          <w:jc w:val="center"/>
        </w:trPr>
        <w:tc>
          <w:tcPr>
            <w:tcW w:w="768" w:type="pct"/>
            <w:tcBorders>
              <w:top w:val="single" w:sz="12" w:space="0" w:color="000000"/>
              <w:left w:val="nil"/>
              <w:bottom w:val="single" w:sz="4" w:space="0" w:color="000000"/>
              <w:right w:val="single" w:sz="4" w:space="0" w:color="000000"/>
            </w:tcBorders>
            <w:vAlign w:val="center"/>
          </w:tcPr>
          <w:p w:rsidR="00A274D8" w:rsidRPr="00D630D1" w:rsidRDefault="00A274D8" w:rsidP="00A274D8">
            <w:pPr>
              <w:pStyle w:val="aff2"/>
              <w:rPr>
                <w:b/>
                <w:bCs/>
              </w:rPr>
            </w:pPr>
            <w:r w:rsidRPr="00D630D1">
              <w:rPr>
                <w:b/>
                <w:bCs/>
              </w:rPr>
              <w:t>井站</w:t>
            </w:r>
          </w:p>
        </w:tc>
        <w:tc>
          <w:tcPr>
            <w:tcW w:w="939" w:type="pct"/>
            <w:tcBorders>
              <w:top w:val="single" w:sz="12" w:space="0" w:color="000000"/>
              <w:left w:val="single" w:sz="4" w:space="0" w:color="000000"/>
              <w:bottom w:val="single" w:sz="4" w:space="0" w:color="000000"/>
              <w:right w:val="single" w:sz="4" w:space="0" w:color="000000"/>
            </w:tcBorders>
            <w:vAlign w:val="center"/>
          </w:tcPr>
          <w:p w:rsidR="00A274D8" w:rsidRPr="00D630D1" w:rsidRDefault="00A274D8" w:rsidP="00A274D8">
            <w:pPr>
              <w:pStyle w:val="Default"/>
              <w:jc w:val="center"/>
              <w:rPr>
                <w:rFonts w:ascii="Times New Roman" w:hAnsi="Times New Roman" w:cs="Times New Roman"/>
                <w:b/>
                <w:bCs/>
                <w:color w:val="auto"/>
              </w:rPr>
            </w:pPr>
            <w:r w:rsidRPr="00D630D1">
              <w:rPr>
                <w:rFonts w:ascii="Times New Roman" w:hAnsi="Times New Roman" w:cs="Times New Roman"/>
                <w:b/>
                <w:bCs/>
                <w:color w:val="auto"/>
                <w:sz w:val="20"/>
                <w:szCs w:val="20"/>
              </w:rPr>
              <w:t>主要发声设备</w:t>
            </w:r>
          </w:p>
        </w:tc>
        <w:tc>
          <w:tcPr>
            <w:tcW w:w="1280" w:type="pct"/>
            <w:tcBorders>
              <w:top w:val="single" w:sz="12" w:space="0" w:color="000000"/>
              <w:left w:val="single" w:sz="4" w:space="0" w:color="000000"/>
              <w:bottom w:val="single" w:sz="4" w:space="0" w:color="000000"/>
              <w:right w:val="single" w:sz="4" w:space="0" w:color="000000"/>
            </w:tcBorders>
            <w:vAlign w:val="center"/>
          </w:tcPr>
          <w:p w:rsidR="00A274D8" w:rsidRPr="00D630D1" w:rsidRDefault="00A274D8" w:rsidP="00A274D8">
            <w:pPr>
              <w:pStyle w:val="Default"/>
              <w:jc w:val="center"/>
              <w:rPr>
                <w:rFonts w:ascii="Times New Roman" w:hAnsi="Times New Roman" w:cs="Times New Roman"/>
                <w:b/>
                <w:bCs/>
                <w:color w:val="auto"/>
              </w:rPr>
            </w:pPr>
            <w:r w:rsidRPr="00D630D1">
              <w:rPr>
                <w:rFonts w:ascii="Times New Roman" w:hAnsi="Times New Roman" w:cs="Times New Roman"/>
                <w:b/>
                <w:bCs/>
                <w:color w:val="auto"/>
                <w:sz w:val="20"/>
                <w:szCs w:val="20"/>
              </w:rPr>
              <w:t>声级（</w:t>
            </w:r>
            <w:r w:rsidRPr="00D630D1">
              <w:rPr>
                <w:rFonts w:ascii="Times New Roman" w:hAnsi="Times New Roman" w:cs="Times New Roman"/>
                <w:b/>
                <w:bCs/>
                <w:color w:val="auto"/>
                <w:sz w:val="20"/>
                <w:szCs w:val="20"/>
              </w:rPr>
              <w:t>dB</w:t>
            </w:r>
            <w:r w:rsidRPr="00D630D1">
              <w:rPr>
                <w:rFonts w:ascii="Times New Roman" w:hAnsi="Times New Roman" w:cs="Times New Roman"/>
                <w:b/>
                <w:bCs/>
                <w:color w:val="auto"/>
                <w:sz w:val="20"/>
                <w:szCs w:val="20"/>
              </w:rPr>
              <w:t>（</w:t>
            </w:r>
            <w:r w:rsidRPr="00D630D1">
              <w:rPr>
                <w:rFonts w:ascii="Times New Roman" w:hAnsi="Times New Roman" w:cs="Times New Roman"/>
                <w:b/>
                <w:bCs/>
                <w:color w:val="auto"/>
                <w:sz w:val="20"/>
                <w:szCs w:val="20"/>
              </w:rPr>
              <w:t>A</w:t>
            </w:r>
            <w:r w:rsidRPr="00D630D1">
              <w:rPr>
                <w:rFonts w:ascii="Times New Roman" w:hAnsi="Times New Roman" w:cs="Times New Roman"/>
                <w:b/>
                <w:bCs/>
                <w:color w:val="auto"/>
                <w:sz w:val="20"/>
                <w:szCs w:val="20"/>
              </w:rPr>
              <w:t>））</w:t>
            </w:r>
          </w:p>
        </w:tc>
        <w:tc>
          <w:tcPr>
            <w:tcW w:w="1024" w:type="pct"/>
            <w:tcBorders>
              <w:top w:val="single" w:sz="12" w:space="0" w:color="000000"/>
              <w:left w:val="single" w:sz="4" w:space="0" w:color="000000"/>
              <w:bottom w:val="single" w:sz="4" w:space="0" w:color="000000"/>
              <w:right w:val="single" w:sz="4" w:space="0" w:color="000000"/>
            </w:tcBorders>
            <w:vAlign w:val="center"/>
          </w:tcPr>
          <w:p w:rsidR="00A274D8" w:rsidRPr="00D630D1" w:rsidRDefault="00A274D8" w:rsidP="00A274D8">
            <w:pPr>
              <w:pStyle w:val="Default"/>
              <w:jc w:val="center"/>
              <w:rPr>
                <w:rFonts w:ascii="Times New Roman" w:hAnsi="Times New Roman" w:cs="Times New Roman"/>
                <w:b/>
                <w:bCs/>
                <w:color w:val="auto"/>
              </w:rPr>
            </w:pPr>
            <w:r w:rsidRPr="00D630D1">
              <w:rPr>
                <w:rFonts w:ascii="Times New Roman" w:hAnsi="Times New Roman" w:cs="Times New Roman"/>
                <w:b/>
                <w:bCs/>
                <w:color w:val="auto"/>
                <w:sz w:val="20"/>
                <w:szCs w:val="20"/>
              </w:rPr>
              <w:t>数量（台</w:t>
            </w:r>
            <w:r w:rsidRPr="00D630D1">
              <w:rPr>
                <w:rFonts w:ascii="Times New Roman" w:hAnsi="Times New Roman" w:cs="Times New Roman"/>
                <w:b/>
                <w:bCs/>
                <w:color w:val="auto"/>
                <w:sz w:val="20"/>
                <w:szCs w:val="20"/>
              </w:rPr>
              <w:t>/</w:t>
            </w:r>
            <w:r w:rsidRPr="00D630D1">
              <w:rPr>
                <w:rFonts w:ascii="Times New Roman" w:hAnsi="Times New Roman" w:cs="Times New Roman"/>
                <w:b/>
                <w:bCs/>
                <w:color w:val="auto"/>
                <w:sz w:val="20"/>
                <w:szCs w:val="20"/>
              </w:rPr>
              <w:t>套）</w:t>
            </w:r>
          </w:p>
        </w:tc>
        <w:tc>
          <w:tcPr>
            <w:tcW w:w="989" w:type="pct"/>
            <w:tcBorders>
              <w:top w:val="single" w:sz="12" w:space="0" w:color="000000"/>
              <w:left w:val="single" w:sz="4" w:space="0" w:color="000000"/>
              <w:bottom w:val="single" w:sz="4" w:space="0" w:color="000000"/>
              <w:right w:val="nil"/>
            </w:tcBorders>
            <w:vAlign w:val="center"/>
          </w:tcPr>
          <w:p w:rsidR="00A274D8" w:rsidRPr="00D630D1" w:rsidRDefault="00A274D8" w:rsidP="00A274D8">
            <w:pPr>
              <w:pStyle w:val="Default"/>
              <w:jc w:val="center"/>
              <w:rPr>
                <w:rFonts w:ascii="Times New Roman" w:hAnsi="Times New Roman" w:cs="Times New Roman"/>
                <w:b/>
                <w:bCs/>
                <w:color w:val="auto"/>
              </w:rPr>
            </w:pPr>
            <w:r w:rsidRPr="00D630D1">
              <w:rPr>
                <w:rFonts w:ascii="Times New Roman" w:hAnsi="Times New Roman" w:cs="Times New Roman"/>
                <w:b/>
                <w:bCs/>
                <w:color w:val="auto"/>
                <w:sz w:val="20"/>
                <w:szCs w:val="20"/>
              </w:rPr>
              <w:t>运行状态</w:t>
            </w:r>
          </w:p>
        </w:tc>
      </w:tr>
      <w:tr w:rsidR="00747A0A" w:rsidRPr="00D630D1" w:rsidTr="00A274D8">
        <w:trPr>
          <w:trHeight w:val="16"/>
          <w:jc w:val="center"/>
        </w:trPr>
        <w:tc>
          <w:tcPr>
            <w:tcW w:w="768" w:type="pct"/>
            <w:vMerge w:val="restart"/>
            <w:tcBorders>
              <w:top w:val="single" w:sz="4" w:space="0" w:color="000000"/>
              <w:left w:val="nil"/>
              <w:right w:val="single" w:sz="4" w:space="0" w:color="000000"/>
            </w:tcBorders>
            <w:vAlign w:val="center"/>
          </w:tcPr>
          <w:p w:rsidR="00747A0A" w:rsidRPr="00D630D1" w:rsidRDefault="006269A7" w:rsidP="006269A7">
            <w:pPr>
              <w:pStyle w:val="aff2"/>
            </w:pPr>
            <w:r>
              <w:rPr>
                <w:rFonts w:hint="eastAsia"/>
              </w:rPr>
              <w:t>普光</w:t>
            </w:r>
            <w:r>
              <w:rPr>
                <w:rFonts w:hint="eastAsia"/>
              </w:rPr>
              <w:t>12</w:t>
            </w:r>
            <w:r>
              <w:rPr>
                <w:rFonts w:hint="eastAsia"/>
              </w:rPr>
              <w:t>采</w:t>
            </w:r>
            <w:r w:rsidR="00D57583">
              <w:t>气站</w:t>
            </w:r>
          </w:p>
        </w:tc>
        <w:tc>
          <w:tcPr>
            <w:tcW w:w="939" w:type="pct"/>
            <w:tcBorders>
              <w:top w:val="single" w:sz="4" w:space="0" w:color="000000"/>
              <w:left w:val="single" w:sz="4" w:space="0" w:color="000000"/>
              <w:bottom w:val="single" w:sz="4" w:space="0" w:color="000000"/>
              <w:right w:val="single" w:sz="4" w:space="0" w:color="000000"/>
            </w:tcBorders>
            <w:vAlign w:val="center"/>
          </w:tcPr>
          <w:p w:rsidR="00747A0A" w:rsidRPr="00D630D1" w:rsidRDefault="00747A0A" w:rsidP="00A274D8">
            <w:pPr>
              <w:pStyle w:val="Default"/>
              <w:jc w:val="center"/>
              <w:rPr>
                <w:rFonts w:ascii="Times New Roman" w:hAnsi="Times New Roman" w:cs="Times New Roman"/>
                <w:color w:val="auto"/>
              </w:rPr>
            </w:pPr>
            <w:r w:rsidRPr="00D630D1">
              <w:rPr>
                <w:rFonts w:ascii="Times New Roman" w:hAnsi="Times New Roman" w:cs="Times New Roman"/>
                <w:color w:val="auto"/>
                <w:sz w:val="20"/>
                <w:szCs w:val="20"/>
              </w:rPr>
              <w:t>分离计量器</w:t>
            </w:r>
          </w:p>
        </w:tc>
        <w:tc>
          <w:tcPr>
            <w:tcW w:w="1280" w:type="pct"/>
            <w:tcBorders>
              <w:top w:val="single" w:sz="4" w:space="0" w:color="000000"/>
              <w:left w:val="single" w:sz="4" w:space="0" w:color="000000"/>
              <w:bottom w:val="single" w:sz="4" w:space="0" w:color="000000"/>
              <w:right w:val="single" w:sz="4" w:space="0" w:color="000000"/>
            </w:tcBorders>
            <w:vAlign w:val="center"/>
          </w:tcPr>
          <w:p w:rsidR="00747A0A" w:rsidRPr="00D630D1" w:rsidRDefault="00747A0A" w:rsidP="00A274D8">
            <w:pPr>
              <w:pStyle w:val="aff2"/>
            </w:pPr>
            <w:r w:rsidRPr="00D630D1">
              <w:t>62</w:t>
            </w:r>
          </w:p>
        </w:tc>
        <w:tc>
          <w:tcPr>
            <w:tcW w:w="1024" w:type="pct"/>
            <w:tcBorders>
              <w:top w:val="single" w:sz="4" w:space="0" w:color="000000"/>
              <w:left w:val="single" w:sz="4" w:space="0" w:color="000000"/>
              <w:bottom w:val="single" w:sz="4" w:space="0" w:color="000000"/>
              <w:right w:val="single" w:sz="4" w:space="0" w:color="000000"/>
            </w:tcBorders>
            <w:vAlign w:val="center"/>
          </w:tcPr>
          <w:p w:rsidR="00747A0A" w:rsidRPr="00D630D1" w:rsidRDefault="00747A0A" w:rsidP="00A274D8">
            <w:pPr>
              <w:pStyle w:val="aff2"/>
            </w:pPr>
            <w:r w:rsidRPr="00D630D1">
              <w:t>1</w:t>
            </w:r>
          </w:p>
        </w:tc>
        <w:tc>
          <w:tcPr>
            <w:tcW w:w="989" w:type="pct"/>
            <w:vMerge w:val="restart"/>
            <w:tcBorders>
              <w:top w:val="single" w:sz="4" w:space="0" w:color="000000"/>
              <w:left w:val="single" w:sz="4" w:space="0" w:color="000000"/>
              <w:right w:val="nil"/>
            </w:tcBorders>
            <w:vAlign w:val="center"/>
          </w:tcPr>
          <w:p w:rsidR="00747A0A" w:rsidRPr="00D630D1" w:rsidRDefault="00747A0A" w:rsidP="00A274D8">
            <w:pPr>
              <w:pStyle w:val="Default"/>
              <w:jc w:val="center"/>
              <w:rPr>
                <w:rFonts w:ascii="Times New Roman" w:hAnsi="Times New Roman" w:cs="Times New Roman"/>
                <w:color w:val="auto"/>
              </w:rPr>
            </w:pPr>
            <w:r w:rsidRPr="00D630D1">
              <w:rPr>
                <w:rFonts w:ascii="Times New Roman" w:hAnsi="Times New Roman" w:cs="Times New Roman"/>
                <w:color w:val="auto"/>
                <w:sz w:val="20"/>
                <w:szCs w:val="20"/>
              </w:rPr>
              <w:t>正常生产</w:t>
            </w:r>
          </w:p>
        </w:tc>
      </w:tr>
      <w:tr w:rsidR="00747A0A" w:rsidRPr="00D630D1" w:rsidTr="00A274D8">
        <w:trPr>
          <w:trHeight w:val="16"/>
          <w:jc w:val="center"/>
        </w:trPr>
        <w:tc>
          <w:tcPr>
            <w:tcW w:w="768" w:type="pct"/>
            <w:vMerge/>
            <w:tcBorders>
              <w:top w:val="single" w:sz="4" w:space="0" w:color="000000"/>
              <w:left w:val="nil"/>
              <w:right w:val="single" w:sz="4" w:space="0" w:color="000000"/>
            </w:tcBorders>
            <w:vAlign w:val="center"/>
          </w:tcPr>
          <w:p w:rsidR="00747A0A" w:rsidRPr="00D630D1" w:rsidRDefault="00747A0A" w:rsidP="00A274D8">
            <w:pPr>
              <w:pStyle w:val="aff2"/>
            </w:pPr>
          </w:p>
        </w:tc>
        <w:tc>
          <w:tcPr>
            <w:tcW w:w="939" w:type="pct"/>
            <w:tcBorders>
              <w:top w:val="single" w:sz="4" w:space="0" w:color="000000"/>
              <w:left w:val="single" w:sz="4" w:space="0" w:color="000000"/>
              <w:bottom w:val="single" w:sz="4" w:space="0" w:color="000000"/>
              <w:right w:val="single" w:sz="4" w:space="0" w:color="000000"/>
            </w:tcBorders>
            <w:vAlign w:val="center"/>
          </w:tcPr>
          <w:p w:rsidR="00747A0A" w:rsidRPr="00D630D1" w:rsidRDefault="00747A0A" w:rsidP="00A274D8">
            <w:pPr>
              <w:pStyle w:val="Default"/>
              <w:jc w:val="center"/>
              <w:rPr>
                <w:rFonts w:ascii="Times New Roman" w:hAnsi="Times New Roman" w:cs="Times New Roman"/>
                <w:color w:val="auto"/>
                <w:sz w:val="20"/>
                <w:szCs w:val="20"/>
              </w:rPr>
            </w:pPr>
            <w:r w:rsidRPr="00D630D1">
              <w:rPr>
                <w:rFonts w:ascii="Times New Roman" w:hAnsi="Times New Roman" w:cs="Times New Roman"/>
                <w:color w:val="auto"/>
                <w:sz w:val="20"/>
                <w:szCs w:val="20"/>
              </w:rPr>
              <w:t>水套炉</w:t>
            </w:r>
          </w:p>
        </w:tc>
        <w:tc>
          <w:tcPr>
            <w:tcW w:w="1280" w:type="pct"/>
            <w:tcBorders>
              <w:top w:val="single" w:sz="4" w:space="0" w:color="000000"/>
              <w:left w:val="single" w:sz="4" w:space="0" w:color="000000"/>
              <w:bottom w:val="single" w:sz="4" w:space="0" w:color="000000"/>
              <w:right w:val="single" w:sz="4" w:space="0" w:color="000000"/>
            </w:tcBorders>
            <w:vAlign w:val="center"/>
          </w:tcPr>
          <w:p w:rsidR="00747A0A" w:rsidRPr="00D630D1" w:rsidRDefault="00747A0A" w:rsidP="00A274D8">
            <w:pPr>
              <w:pStyle w:val="aff2"/>
            </w:pPr>
            <w:r w:rsidRPr="00D630D1">
              <w:t>67</w:t>
            </w:r>
          </w:p>
        </w:tc>
        <w:tc>
          <w:tcPr>
            <w:tcW w:w="1024" w:type="pct"/>
            <w:tcBorders>
              <w:top w:val="single" w:sz="4" w:space="0" w:color="000000"/>
              <w:left w:val="single" w:sz="4" w:space="0" w:color="000000"/>
              <w:bottom w:val="single" w:sz="4" w:space="0" w:color="000000"/>
              <w:right w:val="single" w:sz="4" w:space="0" w:color="000000"/>
            </w:tcBorders>
            <w:vAlign w:val="center"/>
          </w:tcPr>
          <w:p w:rsidR="00747A0A" w:rsidRPr="00D630D1" w:rsidRDefault="006269A7" w:rsidP="006269A7">
            <w:pPr>
              <w:pStyle w:val="aff2"/>
            </w:pPr>
            <w:r>
              <w:rPr>
                <w:rFonts w:hint="eastAsia"/>
              </w:rPr>
              <w:t>2</w:t>
            </w:r>
            <w:r>
              <w:rPr>
                <w:rFonts w:hint="eastAsia"/>
              </w:rPr>
              <w:t>（</w:t>
            </w:r>
            <w:r>
              <w:rPr>
                <w:rFonts w:hint="eastAsia"/>
              </w:rPr>
              <w:t>1</w:t>
            </w:r>
            <w:r>
              <w:rPr>
                <w:rFonts w:hint="eastAsia"/>
              </w:rPr>
              <w:t>用</w:t>
            </w:r>
            <w:r>
              <w:rPr>
                <w:rFonts w:hint="eastAsia"/>
              </w:rPr>
              <w:t>1</w:t>
            </w:r>
            <w:r>
              <w:rPr>
                <w:rFonts w:hint="eastAsia"/>
              </w:rPr>
              <w:t>备）</w:t>
            </w:r>
          </w:p>
        </w:tc>
        <w:tc>
          <w:tcPr>
            <w:tcW w:w="989" w:type="pct"/>
            <w:vMerge/>
            <w:tcBorders>
              <w:left w:val="single" w:sz="4" w:space="0" w:color="000000"/>
              <w:right w:val="nil"/>
            </w:tcBorders>
            <w:vAlign w:val="center"/>
          </w:tcPr>
          <w:p w:rsidR="00747A0A" w:rsidRPr="00D630D1" w:rsidRDefault="00747A0A" w:rsidP="00A274D8">
            <w:pPr>
              <w:pStyle w:val="Default"/>
              <w:jc w:val="center"/>
              <w:rPr>
                <w:rFonts w:ascii="Times New Roman" w:hAnsi="Times New Roman" w:cs="Times New Roman"/>
                <w:color w:val="auto"/>
                <w:sz w:val="20"/>
                <w:szCs w:val="20"/>
              </w:rPr>
            </w:pPr>
          </w:p>
        </w:tc>
      </w:tr>
      <w:tr w:rsidR="00747A0A" w:rsidRPr="00D630D1" w:rsidTr="00A274D8">
        <w:trPr>
          <w:trHeight w:val="16"/>
          <w:jc w:val="center"/>
        </w:trPr>
        <w:tc>
          <w:tcPr>
            <w:tcW w:w="768" w:type="pct"/>
            <w:vMerge/>
            <w:tcBorders>
              <w:top w:val="single" w:sz="4" w:space="0" w:color="000000"/>
              <w:left w:val="nil"/>
              <w:right w:val="single" w:sz="4" w:space="0" w:color="000000"/>
            </w:tcBorders>
            <w:vAlign w:val="center"/>
          </w:tcPr>
          <w:p w:rsidR="00747A0A" w:rsidRPr="00D630D1" w:rsidRDefault="00747A0A" w:rsidP="00843DBF">
            <w:pPr>
              <w:pStyle w:val="aff2"/>
            </w:pPr>
          </w:p>
        </w:tc>
        <w:tc>
          <w:tcPr>
            <w:tcW w:w="939" w:type="pct"/>
            <w:tcBorders>
              <w:top w:val="single" w:sz="4" w:space="0" w:color="000000"/>
              <w:left w:val="single" w:sz="4" w:space="0" w:color="000000"/>
              <w:bottom w:val="single" w:sz="4" w:space="0" w:color="000000"/>
              <w:right w:val="single" w:sz="4" w:space="0" w:color="000000"/>
            </w:tcBorders>
            <w:vAlign w:val="center"/>
          </w:tcPr>
          <w:p w:rsidR="00747A0A" w:rsidRPr="00D630D1" w:rsidRDefault="00747A0A" w:rsidP="00843DBF">
            <w:pPr>
              <w:pStyle w:val="Default"/>
              <w:jc w:val="center"/>
              <w:rPr>
                <w:rFonts w:ascii="Times New Roman" w:hAnsi="Times New Roman" w:cs="Times New Roman"/>
                <w:color w:val="auto"/>
                <w:sz w:val="20"/>
                <w:szCs w:val="20"/>
              </w:rPr>
            </w:pPr>
            <w:r w:rsidRPr="00D630D1">
              <w:rPr>
                <w:rFonts w:ascii="Times New Roman" w:hAnsi="Times New Roman" w:cs="Times New Roman"/>
                <w:color w:val="auto"/>
                <w:sz w:val="20"/>
                <w:szCs w:val="20"/>
              </w:rPr>
              <w:t>节流阀</w:t>
            </w:r>
          </w:p>
        </w:tc>
        <w:tc>
          <w:tcPr>
            <w:tcW w:w="1280" w:type="pct"/>
            <w:tcBorders>
              <w:top w:val="single" w:sz="4" w:space="0" w:color="000000"/>
              <w:left w:val="single" w:sz="4" w:space="0" w:color="000000"/>
              <w:bottom w:val="single" w:sz="4" w:space="0" w:color="000000"/>
              <w:right w:val="single" w:sz="4" w:space="0" w:color="000000"/>
            </w:tcBorders>
            <w:vAlign w:val="center"/>
          </w:tcPr>
          <w:p w:rsidR="00747A0A" w:rsidRPr="00D630D1" w:rsidRDefault="00747A0A" w:rsidP="00843DBF">
            <w:pPr>
              <w:pStyle w:val="aff2"/>
            </w:pPr>
            <w:r w:rsidRPr="00D630D1">
              <w:t>68</w:t>
            </w:r>
          </w:p>
        </w:tc>
        <w:tc>
          <w:tcPr>
            <w:tcW w:w="1024" w:type="pct"/>
            <w:tcBorders>
              <w:top w:val="single" w:sz="4" w:space="0" w:color="000000"/>
              <w:left w:val="single" w:sz="4" w:space="0" w:color="000000"/>
              <w:bottom w:val="single" w:sz="4" w:space="0" w:color="000000"/>
              <w:right w:val="single" w:sz="4" w:space="0" w:color="000000"/>
            </w:tcBorders>
            <w:vAlign w:val="center"/>
          </w:tcPr>
          <w:p w:rsidR="00747A0A" w:rsidRPr="00D630D1" w:rsidRDefault="00747A0A" w:rsidP="00843DBF">
            <w:pPr>
              <w:pStyle w:val="aff2"/>
            </w:pPr>
            <w:r w:rsidRPr="00D630D1">
              <w:t>1</w:t>
            </w:r>
          </w:p>
        </w:tc>
        <w:tc>
          <w:tcPr>
            <w:tcW w:w="989" w:type="pct"/>
            <w:vMerge/>
            <w:tcBorders>
              <w:left w:val="single" w:sz="4" w:space="0" w:color="000000"/>
              <w:right w:val="nil"/>
            </w:tcBorders>
            <w:vAlign w:val="center"/>
          </w:tcPr>
          <w:p w:rsidR="00747A0A" w:rsidRPr="00D630D1" w:rsidRDefault="00747A0A" w:rsidP="00843DBF">
            <w:pPr>
              <w:pStyle w:val="Default"/>
              <w:jc w:val="center"/>
              <w:rPr>
                <w:rFonts w:ascii="Times New Roman" w:hAnsi="Times New Roman" w:cs="Times New Roman"/>
                <w:color w:val="auto"/>
                <w:sz w:val="20"/>
                <w:szCs w:val="20"/>
              </w:rPr>
            </w:pPr>
          </w:p>
        </w:tc>
      </w:tr>
      <w:tr w:rsidR="00747A0A" w:rsidRPr="00D630D1" w:rsidTr="00747A0A">
        <w:trPr>
          <w:trHeight w:val="16"/>
          <w:jc w:val="center"/>
        </w:trPr>
        <w:tc>
          <w:tcPr>
            <w:tcW w:w="768" w:type="pct"/>
            <w:vMerge/>
            <w:tcBorders>
              <w:left w:val="nil"/>
              <w:bottom w:val="single" w:sz="12" w:space="0" w:color="000000"/>
              <w:right w:val="single" w:sz="4" w:space="0" w:color="000000"/>
            </w:tcBorders>
            <w:vAlign w:val="center"/>
          </w:tcPr>
          <w:p w:rsidR="00747A0A" w:rsidRPr="00D630D1" w:rsidRDefault="00747A0A" w:rsidP="00843DBF">
            <w:pPr>
              <w:pStyle w:val="aff2"/>
            </w:pPr>
          </w:p>
        </w:tc>
        <w:tc>
          <w:tcPr>
            <w:tcW w:w="939" w:type="pct"/>
            <w:tcBorders>
              <w:top w:val="single" w:sz="4" w:space="0" w:color="000000"/>
              <w:left w:val="single" w:sz="4" w:space="0" w:color="000000"/>
              <w:bottom w:val="single" w:sz="12" w:space="0" w:color="000000"/>
              <w:right w:val="single" w:sz="4" w:space="0" w:color="000000"/>
            </w:tcBorders>
            <w:vAlign w:val="center"/>
          </w:tcPr>
          <w:p w:rsidR="00747A0A" w:rsidRPr="00D630D1" w:rsidRDefault="00747A0A" w:rsidP="00843DBF">
            <w:pPr>
              <w:pStyle w:val="aff2"/>
            </w:pPr>
            <w:r w:rsidRPr="00D630D1">
              <w:t>放空系统</w:t>
            </w:r>
          </w:p>
        </w:tc>
        <w:tc>
          <w:tcPr>
            <w:tcW w:w="1280" w:type="pct"/>
            <w:tcBorders>
              <w:top w:val="single" w:sz="4" w:space="0" w:color="000000"/>
              <w:left w:val="single" w:sz="4" w:space="0" w:color="000000"/>
              <w:bottom w:val="single" w:sz="12" w:space="0" w:color="000000"/>
              <w:right w:val="single" w:sz="4" w:space="0" w:color="000000"/>
            </w:tcBorders>
            <w:vAlign w:val="center"/>
          </w:tcPr>
          <w:p w:rsidR="00747A0A" w:rsidRPr="00D630D1" w:rsidRDefault="00747A0A" w:rsidP="00843DBF">
            <w:pPr>
              <w:pStyle w:val="aff2"/>
            </w:pPr>
            <w:r w:rsidRPr="00D630D1">
              <w:t>90</w:t>
            </w:r>
          </w:p>
        </w:tc>
        <w:tc>
          <w:tcPr>
            <w:tcW w:w="1024" w:type="pct"/>
            <w:tcBorders>
              <w:top w:val="single" w:sz="4" w:space="0" w:color="000000"/>
              <w:left w:val="single" w:sz="4" w:space="0" w:color="000000"/>
              <w:bottom w:val="single" w:sz="12" w:space="0" w:color="000000"/>
              <w:right w:val="single" w:sz="4" w:space="0" w:color="000000"/>
            </w:tcBorders>
            <w:vAlign w:val="center"/>
          </w:tcPr>
          <w:p w:rsidR="00747A0A" w:rsidRPr="00D630D1" w:rsidRDefault="00747A0A" w:rsidP="00843DBF">
            <w:pPr>
              <w:pStyle w:val="aff2"/>
            </w:pPr>
            <w:r w:rsidRPr="00D630D1">
              <w:t>1</w:t>
            </w:r>
          </w:p>
        </w:tc>
        <w:tc>
          <w:tcPr>
            <w:tcW w:w="989" w:type="pct"/>
            <w:tcBorders>
              <w:top w:val="single" w:sz="4" w:space="0" w:color="000000"/>
              <w:left w:val="single" w:sz="4" w:space="0" w:color="000000"/>
              <w:bottom w:val="single" w:sz="12" w:space="0" w:color="000000"/>
              <w:right w:val="nil"/>
            </w:tcBorders>
            <w:vAlign w:val="center"/>
          </w:tcPr>
          <w:p w:rsidR="00747A0A" w:rsidRPr="00D630D1" w:rsidRDefault="00747A0A" w:rsidP="00843DBF">
            <w:pPr>
              <w:pStyle w:val="Default"/>
              <w:jc w:val="center"/>
              <w:rPr>
                <w:rFonts w:ascii="Times New Roman" w:hAnsi="Times New Roman" w:cs="Times New Roman"/>
                <w:color w:val="auto"/>
              </w:rPr>
            </w:pPr>
            <w:r w:rsidRPr="00D630D1">
              <w:rPr>
                <w:rFonts w:ascii="Times New Roman" w:hAnsi="Times New Roman" w:cs="Times New Roman"/>
                <w:color w:val="auto"/>
                <w:sz w:val="20"/>
                <w:szCs w:val="20"/>
              </w:rPr>
              <w:t>放空作业</w:t>
            </w:r>
          </w:p>
        </w:tc>
      </w:tr>
    </w:tbl>
    <w:p w:rsidR="00117C3D" w:rsidRPr="00D630D1" w:rsidRDefault="00635315" w:rsidP="00635315">
      <w:pPr>
        <w:pStyle w:val="3"/>
        <w:rPr>
          <w:rFonts w:eastAsia="宋体"/>
        </w:rPr>
      </w:pPr>
      <w:r w:rsidRPr="00D630D1">
        <w:rPr>
          <w:rFonts w:eastAsia="宋体"/>
        </w:rPr>
        <w:t>4</w:t>
      </w:r>
      <w:r w:rsidR="008B5B84" w:rsidRPr="00D630D1">
        <w:rPr>
          <w:rFonts w:eastAsia="宋体"/>
        </w:rPr>
        <w:t>.2.</w:t>
      </w:r>
      <w:r w:rsidR="00E32A5E" w:rsidRPr="00D630D1">
        <w:rPr>
          <w:rFonts w:eastAsia="宋体"/>
        </w:rPr>
        <w:t>5</w:t>
      </w:r>
      <w:r w:rsidR="008B5B84" w:rsidRPr="00D630D1">
        <w:rPr>
          <w:rFonts w:eastAsia="宋体"/>
        </w:rPr>
        <w:t xml:space="preserve"> </w:t>
      </w:r>
      <w:r w:rsidR="008B5B84" w:rsidRPr="00D630D1">
        <w:rPr>
          <w:rFonts w:eastAsia="宋体"/>
        </w:rPr>
        <w:t>固体废物产生情况及治理措施</w:t>
      </w:r>
    </w:p>
    <w:p w:rsidR="00E32A5E" w:rsidRPr="00D630D1" w:rsidRDefault="00E32A5E" w:rsidP="00E32A5E">
      <w:pPr>
        <w:pStyle w:val="afa"/>
        <w:ind w:firstLine="480"/>
      </w:pPr>
      <w:r w:rsidRPr="00D630D1">
        <w:t>本项目集气管道采用埋地敷设方式，在正常运行过程中集气管道不会产生固体废物。</w:t>
      </w:r>
    </w:p>
    <w:p w:rsidR="00E32A5E" w:rsidRDefault="00D22E1E" w:rsidP="00A274D8">
      <w:pPr>
        <w:pStyle w:val="afa"/>
        <w:ind w:firstLine="480"/>
      </w:pPr>
      <w:r w:rsidRPr="00D22E1E">
        <w:t>运营期</w:t>
      </w:r>
      <w:r>
        <w:rPr>
          <w:rFonts w:hint="eastAsia"/>
        </w:rPr>
        <w:t>普光</w:t>
      </w:r>
      <w:r>
        <w:rPr>
          <w:rFonts w:hint="eastAsia"/>
        </w:rPr>
        <w:t>12</w:t>
      </w:r>
      <w:r>
        <w:rPr>
          <w:rFonts w:hint="eastAsia"/>
        </w:rPr>
        <w:t>采</w:t>
      </w:r>
      <w:r w:rsidRPr="00D22E1E">
        <w:t>气站设有</w:t>
      </w:r>
      <w:r>
        <w:rPr>
          <w:rFonts w:hint="eastAsia"/>
        </w:rPr>
        <w:t>2</w:t>
      </w:r>
      <w:r w:rsidRPr="00D22E1E">
        <w:rPr>
          <w:rFonts w:hint="eastAsia"/>
        </w:rPr>
        <w:t>个</w:t>
      </w:r>
      <w:r w:rsidRPr="00D22E1E">
        <w:t>凝析油储存罐</w:t>
      </w:r>
      <w:r w:rsidRPr="00D22E1E">
        <w:rPr>
          <w:rFonts w:hint="eastAsia"/>
        </w:rPr>
        <w:t>（</w:t>
      </w:r>
      <w:r>
        <w:rPr>
          <w:rFonts w:hint="eastAsia"/>
        </w:rPr>
        <w:t>容积均为</w:t>
      </w:r>
      <w:r>
        <w:rPr>
          <w:rFonts w:hint="eastAsia"/>
        </w:rPr>
        <w:t>50m</w:t>
      </w:r>
      <w:r w:rsidRPr="00D22E1E">
        <w:rPr>
          <w:rFonts w:hint="eastAsia"/>
          <w:vertAlign w:val="superscript"/>
        </w:rPr>
        <w:t>3</w:t>
      </w:r>
      <w:r w:rsidRPr="00D22E1E">
        <w:rPr>
          <w:rFonts w:hint="eastAsia"/>
        </w:rPr>
        <w:t>），</w:t>
      </w:r>
      <w:r w:rsidRPr="001B2F69">
        <w:rPr>
          <w:rFonts w:hint="eastAsia"/>
          <w:bCs/>
        </w:rPr>
        <w:t>闪蒸罐闪蒸分离出凝析油</w:t>
      </w:r>
      <w:r w:rsidRPr="00D22E1E">
        <w:rPr>
          <w:rFonts w:hint="eastAsia"/>
          <w:bCs/>
        </w:rPr>
        <w:t>，</w:t>
      </w:r>
      <w:r>
        <w:rPr>
          <w:rFonts w:hint="eastAsia"/>
          <w:bCs/>
        </w:rPr>
        <w:t>根据气质</w:t>
      </w:r>
      <w:r w:rsidRPr="00D22E1E">
        <w:rPr>
          <w:rFonts w:hint="eastAsia"/>
          <w:bCs/>
        </w:rPr>
        <w:t>成分</w:t>
      </w:r>
      <w:r>
        <w:rPr>
          <w:rFonts w:hint="eastAsia"/>
          <w:bCs/>
        </w:rPr>
        <w:t>分析，天然气中凝析油占比为</w:t>
      </w:r>
      <w:r>
        <w:rPr>
          <w:rFonts w:hint="eastAsia"/>
          <w:bCs/>
        </w:rPr>
        <w:t>13.363%</w:t>
      </w:r>
      <w:r w:rsidRPr="00D22E1E">
        <w:rPr>
          <w:rFonts w:hint="eastAsia"/>
          <w:bCs/>
        </w:rPr>
        <w:t>，试采期（</w:t>
      </w:r>
      <w:r w:rsidRPr="00D22E1E">
        <w:rPr>
          <w:rFonts w:hint="eastAsia"/>
          <w:bCs/>
        </w:rPr>
        <w:t>2</w:t>
      </w:r>
      <w:r w:rsidRPr="00D22E1E">
        <w:rPr>
          <w:rFonts w:hint="eastAsia"/>
          <w:bCs/>
        </w:rPr>
        <w:t>年）天然气产量约为</w:t>
      </w:r>
      <w:r>
        <w:rPr>
          <w:rFonts w:hint="eastAsia"/>
          <w:bCs/>
        </w:rPr>
        <w:t>60</w:t>
      </w:r>
      <w:r>
        <w:rPr>
          <w:rFonts w:hint="eastAsia"/>
          <w:bCs/>
        </w:rPr>
        <w:t>万</w:t>
      </w:r>
      <w:r w:rsidRPr="00D22E1E">
        <w:rPr>
          <w:rFonts w:hint="eastAsia"/>
          <w:bCs/>
        </w:rPr>
        <w:t>m</w:t>
      </w:r>
      <w:r w:rsidRPr="00D22E1E">
        <w:rPr>
          <w:rFonts w:hint="eastAsia"/>
          <w:bCs/>
          <w:vertAlign w:val="superscript"/>
        </w:rPr>
        <w:t>3</w:t>
      </w:r>
      <w:r w:rsidRPr="00D22E1E">
        <w:rPr>
          <w:rFonts w:hint="eastAsia"/>
          <w:bCs/>
        </w:rPr>
        <w:t>/</w:t>
      </w:r>
      <w:r>
        <w:rPr>
          <w:rFonts w:hint="eastAsia"/>
          <w:bCs/>
        </w:rPr>
        <w:t>d</w:t>
      </w:r>
      <w:r w:rsidRPr="00D22E1E">
        <w:rPr>
          <w:rFonts w:hint="eastAsia"/>
          <w:bCs/>
        </w:rPr>
        <w:t>（折合</w:t>
      </w:r>
      <w:r>
        <w:rPr>
          <w:rFonts w:hint="eastAsia"/>
          <w:bCs/>
        </w:rPr>
        <w:t>21900</w:t>
      </w:r>
      <w:r w:rsidRPr="00D22E1E">
        <w:rPr>
          <w:rFonts w:hint="eastAsia"/>
          <w:bCs/>
        </w:rPr>
        <w:t>m</w:t>
      </w:r>
      <w:r w:rsidRPr="00D22E1E">
        <w:rPr>
          <w:rFonts w:hint="eastAsia"/>
          <w:bCs/>
          <w:vertAlign w:val="superscript"/>
        </w:rPr>
        <w:t>3</w:t>
      </w:r>
      <w:r w:rsidRPr="00D22E1E">
        <w:rPr>
          <w:rFonts w:hint="eastAsia"/>
          <w:bCs/>
        </w:rPr>
        <w:t>/a</w:t>
      </w:r>
      <w:r w:rsidRPr="00D22E1E">
        <w:rPr>
          <w:rFonts w:hint="eastAsia"/>
          <w:bCs/>
        </w:rPr>
        <w:t>），</w:t>
      </w:r>
      <w:r w:rsidRPr="00D22E1E">
        <w:rPr>
          <w:bCs/>
        </w:rPr>
        <w:t>天然气密度为</w:t>
      </w:r>
      <w:r w:rsidRPr="00D22E1E">
        <w:rPr>
          <w:bCs/>
        </w:rPr>
        <w:t>0.7012kg/m</w:t>
      </w:r>
      <w:r w:rsidRPr="00D22E1E">
        <w:rPr>
          <w:bCs/>
          <w:vertAlign w:val="superscript"/>
        </w:rPr>
        <w:t>3</w:t>
      </w:r>
      <w:r w:rsidRPr="00D22E1E">
        <w:rPr>
          <w:bCs/>
        </w:rPr>
        <w:t>，则</w:t>
      </w:r>
      <w:r w:rsidRPr="00D22E1E">
        <w:rPr>
          <w:rFonts w:hint="eastAsia"/>
          <w:bCs/>
        </w:rPr>
        <w:t>凝析油产生量约</w:t>
      </w:r>
      <w:r>
        <w:rPr>
          <w:rFonts w:hint="eastAsia"/>
          <w:bCs/>
        </w:rPr>
        <w:t>2052.06</w:t>
      </w:r>
      <w:r w:rsidRPr="00D22E1E">
        <w:rPr>
          <w:rFonts w:hint="eastAsia"/>
          <w:bCs/>
        </w:rPr>
        <w:t>t/a</w:t>
      </w:r>
      <w:r w:rsidRPr="00D22E1E">
        <w:rPr>
          <w:rFonts w:hint="eastAsia"/>
          <w:bCs/>
        </w:rPr>
        <w:t>，凝析油作为副产品外售</w:t>
      </w:r>
      <w:r w:rsidR="00A274D8" w:rsidRPr="00D630D1">
        <w:t>。</w:t>
      </w:r>
    </w:p>
    <w:p w:rsidR="00895B09" w:rsidRDefault="00895B09" w:rsidP="00A274D8">
      <w:pPr>
        <w:pStyle w:val="afa"/>
        <w:ind w:firstLine="480"/>
      </w:pPr>
      <w:r>
        <w:t>普光</w:t>
      </w:r>
      <w:r>
        <w:t>12</w:t>
      </w:r>
      <w:r>
        <w:t>采气站</w:t>
      </w:r>
      <w:r w:rsidRPr="00895B09">
        <w:t>设有清管收球筒，在清管作业时将在</w:t>
      </w:r>
      <w:r>
        <w:t>普光</w:t>
      </w:r>
      <w:r>
        <w:t>12</w:t>
      </w:r>
      <w:r>
        <w:t>采气站</w:t>
      </w:r>
      <w:r w:rsidRPr="00895B09">
        <w:t>产生少量的检修废渣和清管废渣，场站清管废渣按</w:t>
      </w:r>
      <w:r w:rsidRPr="00895B09">
        <w:t>1kg/</w:t>
      </w:r>
      <w:r w:rsidRPr="00895B09">
        <w:t>次考虑，每年清管</w:t>
      </w:r>
      <w:r w:rsidRPr="00895B09">
        <w:t>1</w:t>
      </w:r>
      <w:r w:rsidRPr="00895B09">
        <w:t>次，主要为铁屑，每年产生清管废渣</w:t>
      </w:r>
      <w:r w:rsidRPr="00895B09">
        <w:t>1kg/a</w:t>
      </w:r>
      <w:r w:rsidRPr="00895B09">
        <w:t>；</w:t>
      </w:r>
      <w:r>
        <w:t>普光</w:t>
      </w:r>
      <w:r>
        <w:t>12</w:t>
      </w:r>
      <w:r>
        <w:t>采气站</w:t>
      </w:r>
      <w:r w:rsidRPr="00895B09">
        <w:t>检修废渣按</w:t>
      </w:r>
      <w:r w:rsidRPr="00895B09">
        <w:t>1kg/</w:t>
      </w:r>
      <w:r w:rsidRPr="00895B09">
        <w:t>次考虑，每年检修</w:t>
      </w:r>
      <w:r w:rsidRPr="00895B09">
        <w:t>1</w:t>
      </w:r>
      <w:r w:rsidRPr="00895B09">
        <w:t>次，检修废渣主要为铁屑，每年产生检修废渣</w:t>
      </w:r>
      <w:r w:rsidRPr="00895B09">
        <w:t>1kg/a</w:t>
      </w:r>
      <w:r w:rsidRPr="00895B09">
        <w:t>。清管检修废渣主要为机械杂质等，其主要成分为氧化铁粉末，属一般固体废物，集中收集后交由检修作业单位集中处置。</w:t>
      </w:r>
    </w:p>
    <w:p w:rsidR="00895B09" w:rsidRDefault="00895B09" w:rsidP="00A274D8">
      <w:pPr>
        <w:pStyle w:val="afa"/>
        <w:ind w:firstLine="480"/>
      </w:pPr>
      <w:r>
        <w:t>普光</w:t>
      </w:r>
      <w:r>
        <w:t>12</w:t>
      </w:r>
      <w:r>
        <w:t>采气站</w:t>
      </w:r>
      <w:r w:rsidRPr="00D630D1">
        <w:t>为</w:t>
      </w:r>
      <w:r>
        <w:rPr>
          <w:rFonts w:hint="eastAsia"/>
        </w:rPr>
        <w:t>有人</w:t>
      </w:r>
      <w:r w:rsidRPr="00D630D1">
        <w:t>值守站，</w:t>
      </w:r>
      <w:r w:rsidRPr="00733954">
        <w:t>常年值班人员为</w:t>
      </w:r>
      <w:r>
        <w:rPr>
          <w:rFonts w:hint="eastAsia"/>
        </w:rPr>
        <w:t>13</w:t>
      </w:r>
      <w:r w:rsidRPr="00733954">
        <w:t>人</w:t>
      </w:r>
      <w:r w:rsidRPr="00D630D1">
        <w:rPr>
          <w:rFonts w:hint="eastAsia"/>
        </w:rPr>
        <w:t>，</w:t>
      </w:r>
      <w:r w:rsidRPr="00733954">
        <w:t>工作人员生活垃圾产生量按</w:t>
      </w:r>
      <w:r w:rsidRPr="00733954">
        <w:t>0.5kg/</w:t>
      </w:r>
      <w:r w:rsidRPr="00733954">
        <w:t>人</w:t>
      </w:r>
      <w:r w:rsidRPr="00733954">
        <w:t>.d</w:t>
      </w:r>
      <w:r w:rsidRPr="00733954">
        <w:t>计，项目劳动定员</w:t>
      </w:r>
      <w:r>
        <w:rPr>
          <w:rFonts w:hint="eastAsia"/>
        </w:rPr>
        <w:t>13</w:t>
      </w:r>
      <w:r w:rsidRPr="00733954">
        <w:t>人，则生产垃圾产生量为</w:t>
      </w:r>
      <w:r>
        <w:rPr>
          <w:rFonts w:hint="eastAsia"/>
        </w:rPr>
        <w:t>6.5</w:t>
      </w:r>
      <w:r w:rsidRPr="00733954">
        <w:t>kg/d</w:t>
      </w:r>
      <w:r w:rsidRPr="00733954">
        <w:t>（</w:t>
      </w:r>
      <w:r>
        <w:rPr>
          <w:rFonts w:hint="eastAsia"/>
        </w:rPr>
        <w:t>2.373</w:t>
      </w:r>
      <w:r w:rsidRPr="00733954">
        <w:t>t/a</w:t>
      </w:r>
      <w:r w:rsidRPr="00733954">
        <w:t>），用垃圾桶收集，委托当地环卫部门清运处置</w:t>
      </w:r>
      <w:r>
        <w:rPr>
          <w:rFonts w:hint="eastAsia"/>
        </w:rPr>
        <w:t>。</w:t>
      </w:r>
    </w:p>
    <w:p w:rsidR="00630B5B" w:rsidRPr="00D630D1" w:rsidRDefault="00630B5B" w:rsidP="00630B5B">
      <w:pPr>
        <w:pStyle w:val="2"/>
        <w:spacing w:before="120"/>
        <w:rPr>
          <w:rFonts w:cs="Times New Roman"/>
        </w:rPr>
      </w:pPr>
      <w:r w:rsidRPr="00D630D1">
        <w:rPr>
          <w:rFonts w:cs="Times New Roman"/>
        </w:rPr>
        <w:t>4.</w:t>
      </w:r>
      <w:r w:rsidR="004302B1">
        <w:rPr>
          <w:rFonts w:cs="Times New Roman" w:hint="eastAsia"/>
        </w:rPr>
        <w:t>3</w:t>
      </w:r>
      <w:r w:rsidRPr="00D630D1">
        <w:rPr>
          <w:rFonts w:cs="Times New Roman"/>
        </w:rPr>
        <w:t xml:space="preserve"> </w:t>
      </w:r>
      <w:r w:rsidR="00D22E1E">
        <w:rPr>
          <w:rFonts w:cs="Times New Roman" w:hint="eastAsia"/>
        </w:rPr>
        <w:t>退役</w:t>
      </w:r>
      <w:r w:rsidRPr="00D630D1">
        <w:rPr>
          <w:rFonts w:cs="Times New Roman"/>
        </w:rPr>
        <w:t>期工程分析</w:t>
      </w:r>
    </w:p>
    <w:p w:rsidR="00630B5B" w:rsidRDefault="00630B5B" w:rsidP="00630B5B">
      <w:pPr>
        <w:pStyle w:val="3"/>
        <w:rPr>
          <w:rFonts w:eastAsia="宋体"/>
        </w:rPr>
      </w:pPr>
      <w:r w:rsidRPr="00D630D1">
        <w:rPr>
          <w:rFonts w:eastAsia="宋体"/>
        </w:rPr>
        <w:t>4.</w:t>
      </w:r>
      <w:r w:rsidR="004302B1">
        <w:rPr>
          <w:rFonts w:eastAsia="宋体" w:hint="eastAsia"/>
        </w:rPr>
        <w:t>3</w:t>
      </w:r>
      <w:r w:rsidRPr="00D630D1">
        <w:rPr>
          <w:rFonts w:eastAsia="宋体"/>
        </w:rPr>
        <w:t xml:space="preserve">.1 </w:t>
      </w:r>
      <w:r w:rsidR="00D22E1E">
        <w:rPr>
          <w:rFonts w:eastAsia="宋体" w:hint="eastAsia"/>
        </w:rPr>
        <w:t>退役</w:t>
      </w:r>
      <w:r w:rsidRPr="00D630D1">
        <w:rPr>
          <w:rFonts w:eastAsia="宋体"/>
        </w:rPr>
        <w:t>期工艺流程</w:t>
      </w:r>
    </w:p>
    <w:p w:rsidR="00D22E1E" w:rsidRPr="00D22E1E" w:rsidRDefault="00D22E1E" w:rsidP="00D22E1E">
      <w:pPr>
        <w:pStyle w:val="afa"/>
        <w:ind w:firstLine="480"/>
        <w:rPr>
          <w:bCs/>
        </w:rPr>
      </w:pPr>
      <w:r w:rsidRPr="00D22E1E">
        <w:rPr>
          <w:rFonts w:hint="eastAsia"/>
          <w:bCs/>
        </w:rPr>
        <w:t>随着天然气开采的不断进行，其储量逐渐下降，最终导致天然气井进入退</w:t>
      </w:r>
    </w:p>
    <w:p w:rsidR="00D22E1E" w:rsidRPr="00D22E1E" w:rsidRDefault="00D22E1E" w:rsidP="00D22E1E">
      <w:pPr>
        <w:pStyle w:val="afa"/>
        <w:ind w:firstLineChars="0" w:firstLine="0"/>
        <w:rPr>
          <w:bCs/>
        </w:rPr>
      </w:pPr>
      <w:r w:rsidRPr="00D22E1E">
        <w:rPr>
          <w:rFonts w:hint="eastAsia"/>
          <w:bCs/>
        </w:rPr>
        <w:t>役期。退役期内，将进行井口封固和搬迁，除在井口周围设置围墙外，其余占</w:t>
      </w:r>
    </w:p>
    <w:p w:rsidR="00D22E1E" w:rsidRDefault="00D22E1E" w:rsidP="00D22E1E">
      <w:pPr>
        <w:pStyle w:val="afa"/>
        <w:ind w:firstLineChars="0" w:firstLine="0"/>
      </w:pPr>
      <w:r w:rsidRPr="00D22E1E">
        <w:rPr>
          <w:rFonts w:hint="eastAsia"/>
          <w:bCs/>
        </w:rPr>
        <w:t>地全部进行土地功能的恢复。与此同时，还要进行永久性占地等地表植被的恢复。退役期基本工艺流程如图</w:t>
      </w:r>
      <w:r>
        <w:rPr>
          <w:rFonts w:hint="eastAsia"/>
          <w:bCs/>
        </w:rPr>
        <w:t>4</w:t>
      </w:r>
      <w:r w:rsidRPr="00D22E1E">
        <w:rPr>
          <w:rFonts w:hint="eastAsia"/>
          <w:bCs/>
        </w:rPr>
        <w:t>.3-1</w:t>
      </w:r>
      <w:r w:rsidRPr="00D22E1E">
        <w:rPr>
          <w:rFonts w:hint="eastAsia"/>
          <w:bCs/>
        </w:rPr>
        <w:t>所示</w:t>
      </w:r>
      <w:r>
        <w:rPr>
          <w:rFonts w:hint="eastAsia"/>
          <w:bCs/>
        </w:rPr>
        <w:t>。</w:t>
      </w:r>
    </w:p>
    <w:p w:rsidR="00D22E1E" w:rsidRPr="00D22E1E" w:rsidRDefault="00D22E1E" w:rsidP="00D22E1E">
      <w:pPr>
        <w:ind w:firstLine="480"/>
      </w:pPr>
      <w:r>
        <w:rPr>
          <w:noProof/>
        </w:rPr>
        <w:drawing>
          <wp:inline distT="0" distB="0" distL="0" distR="0">
            <wp:extent cx="4756150" cy="1103363"/>
            <wp:effectExtent l="19050" t="0" r="635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cstate="print"/>
                    <a:srcRect/>
                    <a:stretch>
                      <a:fillRect/>
                    </a:stretch>
                  </pic:blipFill>
                  <pic:spPr bwMode="auto">
                    <a:xfrm>
                      <a:off x="0" y="0"/>
                      <a:ext cx="4752336" cy="1102478"/>
                    </a:xfrm>
                    <a:prstGeom prst="rect">
                      <a:avLst/>
                    </a:prstGeom>
                    <a:noFill/>
                    <a:ln w="9525">
                      <a:noFill/>
                      <a:miter lim="800000"/>
                      <a:headEnd/>
                      <a:tailEnd/>
                    </a:ln>
                  </pic:spPr>
                </pic:pic>
              </a:graphicData>
            </a:graphic>
          </wp:inline>
        </w:drawing>
      </w:r>
    </w:p>
    <w:p w:rsidR="00630B5B" w:rsidRPr="00D630D1" w:rsidRDefault="00630B5B" w:rsidP="00630B5B">
      <w:pPr>
        <w:pStyle w:val="10"/>
        <w:rPr>
          <w:rFonts w:cs="Times New Roman"/>
        </w:rPr>
      </w:pPr>
      <w:r w:rsidRPr="00D630D1">
        <w:rPr>
          <w:rFonts w:cs="Times New Roman"/>
        </w:rPr>
        <w:t>图</w:t>
      </w:r>
      <w:r w:rsidRPr="00D630D1">
        <w:rPr>
          <w:rFonts w:cs="Times New Roman"/>
          <w:bCs/>
        </w:rPr>
        <w:t xml:space="preserve">4.2-1  </w:t>
      </w:r>
      <w:r w:rsidRPr="00D630D1">
        <w:rPr>
          <w:rFonts w:cs="Times New Roman"/>
        </w:rPr>
        <w:t>本项目运营期工艺流程及产污节点图</w:t>
      </w:r>
    </w:p>
    <w:p w:rsidR="00D22E1E" w:rsidRDefault="00D22E1E" w:rsidP="00D22E1E">
      <w:pPr>
        <w:pStyle w:val="3"/>
        <w:rPr>
          <w:rFonts w:eastAsia="宋体"/>
        </w:rPr>
      </w:pPr>
      <w:r w:rsidRPr="00D630D1">
        <w:rPr>
          <w:rFonts w:eastAsia="宋体"/>
        </w:rPr>
        <w:lastRenderedPageBreak/>
        <w:t>4.</w:t>
      </w:r>
      <w:r w:rsidR="004302B1">
        <w:rPr>
          <w:rFonts w:eastAsia="宋体" w:hint="eastAsia"/>
        </w:rPr>
        <w:t>3</w:t>
      </w:r>
      <w:r w:rsidRPr="00D630D1">
        <w:rPr>
          <w:rFonts w:eastAsia="宋体"/>
        </w:rPr>
        <w:t>.</w:t>
      </w:r>
      <w:r>
        <w:rPr>
          <w:rFonts w:eastAsia="宋体" w:hint="eastAsia"/>
        </w:rPr>
        <w:t>2</w:t>
      </w:r>
      <w:r w:rsidRPr="00D630D1">
        <w:rPr>
          <w:rFonts w:eastAsia="宋体"/>
        </w:rPr>
        <w:t xml:space="preserve"> </w:t>
      </w:r>
      <w:r>
        <w:rPr>
          <w:rFonts w:eastAsia="宋体" w:hint="eastAsia"/>
        </w:rPr>
        <w:t>退役</w:t>
      </w:r>
      <w:r w:rsidRPr="00D630D1">
        <w:rPr>
          <w:rFonts w:eastAsia="宋体"/>
        </w:rPr>
        <w:t>期工艺流程</w:t>
      </w:r>
    </w:p>
    <w:p w:rsidR="00630B5B" w:rsidRPr="00D630D1" w:rsidRDefault="00D22E1E" w:rsidP="00D22E1E">
      <w:pPr>
        <w:pStyle w:val="afa"/>
        <w:ind w:firstLine="480"/>
      </w:pPr>
      <w:r w:rsidRPr="00D22E1E">
        <w:rPr>
          <w:rFonts w:hint="eastAsia"/>
          <w:bCs/>
        </w:rPr>
        <w:t>当气井开发接近尾声时，各种机械设备将停止使用，进驻其中的气田开发工作人员将陆续撤离站场，由此带来的大气污染物、生产废水、生活污水、噪声及固体废物等对环境的影响将会消失。退役期仅在井站恢复时会产生少量搬迁和生态恢复施工的噪声、粉尘、尾气和污水</w:t>
      </w:r>
      <w:r>
        <w:rPr>
          <w:rFonts w:hint="eastAsia"/>
          <w:bCs/>
        </w:rPr>
        <w:t>。</w:t>
      </w:r>
    </w:p>
    <w:p w:rsidR="00117C3D" w:rsidRPr="00D630D1" w:rsidRDefault="00943200" w:rsidP="00943200">
      <w:pPr>
        <w:pStyle w:val="2"/>
        <w:spacing w:before="120"/>
        <w:rPr>
          <w:rFonts w:cs="Times New Roman"/>
        </w:rPr>
      </w:pPr>
      <w:bookmarkStart w:id="393" w:name="_Toc19815993"/>
      <w:bookmarkStart w:id="394" w:name="_Toc12288523"/>
      <w:bookmarkStart w:id="395" w:name="_Toc81515277"/>
      <w:r w:rsidRPr="00D630D1">
        <w:rPr>
          <w:rFonts w:cs="Times New Roman"/>
        </w:rPr>
        <w:t>4</w:t>
      </w:r>
      <w:r w:rsidR="008B5B84" w:rsidRPr="00D630D1">
        <w:rPr>
          <w:rFonts w:cs="Times New Roman"/>
        </w:rPr>
        <w:t>.</w:t>
      </w:r>
      <w:r w:rsidR="004302B1">
        <w:rPr>
          <w:rFonts w:cs="Times New Roman" w:hint="eastAsia"/>
        </w:rPr>
        <w:t>4</w:t>
      </w:r>
      <w:r w:rsidR="008B5B84" w:rsidRPr="00D630D1">
        <w:rPr>
          <w:rFonts w:cs="Times New Roman"/>
        </w:rPr>
        <w:t xml:space="preserve"> </w:t>
      </w:r>
      <w:r w:rsidR="008B5B84" w:rsidRPr="00D630D1">
        <w:rPr>
          <w:rFonts w:cs="Times New Roman"/>
        </w:rPr>
        <w:t>项目清洁性分析</w:t>
      </w:r>
      <w:bookmarkEnd w:id="393"/>
      <w:bookmarkEnd w:id="394"/>
      <w:bookmarkEnd w:id="395"/>
    </w:p>
    <w:p w:rsidR="00E03624" w:rsidRPr="00D630D1" w:rsidRDefault="00E03624" w:rsidP="00E03624">
      <w:pPr>
        <w:pStyle w:val="3"/>
        <w:rPr>
          <w:rFonts w:eastAsia="宋体"/>
        </w:rPr>
      </w:pPr>
      <w:r w:rsidRPr="00D630D1">
        <w:rPr>
          <w:rFonts w:eastAsia="宋体"/>
        </w:rPr>
        <w:t>4.</w:t>
      </w:r>
      <w:r w:rsidR="004302B1">
        <w:rPr>
          <w:rFonts w:eastAsia="宋体" w:hint="eastAsia"/>
        </w:rPr>
        <w:t>4</w:t>
      </w:r>
      <w:r w:rsidRPr="00D630D1">
        <w:rPr>
          <w:rFonts w:eastAsia="宋体"/>
        </w:rPr>
        <w:t xml:space="preserve">.1 </w:t>
      </w:r>
      <w:r w:rsidRPr="00D630D1">
        <w:rPr>
          <w:rFonts w:eastAsia="宋体"/>
        </w:rPr>
        <w:t>清洁生产概述</w:t>
      </w:r>
    </w:p>
    <w:p w:rsidR="00E03624" w:rsidRPr="00D630D1" w:rsidRDefault="00E03624" w:rsidP="00E03624">
      <w:pPr>
        <w:pStyle w:val="afa"/>
        <w:ind w:firstLine="480"/>
      </w:pPr>
      <w:r w:rsidRPr="00D630D1">
        <w:t>本工程输送介质</w:t>
      </w:r>
      <w:r w:rsidRPr="00D630D1">
        <w:t>—</w:t>
      </w:r>
      <w:r w:rsidRPr="00D630D1">
        <w:t>天然气，本身就是一种清洁的能源，作为能源使用所产生的温室气体</w:t>
      </w:r>
      <w:r w:rsidRPr="00D630D1">
        <w:t>CO</w:t>
      </w:r>
      <w:r w:rsidRPr="00D630D1">
        <w:rPr>
          <w:vertAlign w:val="subscript"/>
        </w:rPr>
        <w:t>2</w:t>
      </w:r>
      <w:r w:rsidRPr="00D630D1">
        <w:t>的排放量比煤炭、原油、燃料油等少很多，对环境所产生的影响也相对较小，因而采用管道输送天然气，可以达到从源头上减轻环境污染的作用，符合国家节能减排的要求。</w:t>
      </w:r>
    </w:p>
    <w:p w:rsidR="00117C3D" w:rsidRPr="00D630D1" w:rsidRDefault="00E03624" w:rsidP="00E03624">
      <w:pPr>
        <w:pStyle w:val="afa"/>
        <w:ind w:firstLine="480"/>
      </w:pPr>
      <w:r w:rsidRPr="00D630D1">
        <w:t>输气管道运输的能耗和成本远小于铁路、公路运输，且不受地形、气候、运力紧张、季节的影响；损耗和成本、输送产品的质量也更有保证，同样符合国家清洁生产的相关要求。</w:t>
      </w:r>
    </w:p>
    <w:p w:rsidR="00117C3D" w:rsidRPr="00D630D1" w:rsidRDefault="00796BE9">
      <w:pPr>
        <w:pStyle w:val="3"/>
        <w:rPr>
          <w:rFonts w:eastAsia="宋体"/>
        </w:rPr>
      </w:pPr>
      <w:bookmarkStart w:id="396" w:name="_Toc12288524"/>
      <w:bookmarkStart w:id="397" w:name="_Toc19815994"/>
      <w:r w:rsidRPr="00D630D1">
        <w:rPr>
          <w:rFonts w:eastAsia="宋体"/>
        </w:rPr>
        <w:t>4</w:t>
      </w:r>
      <w:r w:rsidR="008B5B84" w:rsidRPr="00D630D1">
        <w:rPr>
          <w:rFonts w:eastAsia="宋体"/>
        </w:rPr>
        <w:t>.</w:t>
      </w:r>
      <w:r w:rsidR="004302B1">
        <w:rPr>
          <w:rFonts w:eastAsia="宋体" w:hint="eastAsia"/>
        </w:rPr>
        <w:t>4</w:t>
      </w:r>
      <w:r w:rsidR="008B5B84" w:rsidRPr="00D630D1">
        <w:rPr>
          <w:rFonts w:eastAsia="宋体"/>
        </w:rPr>
        <w:t>.</w:t>
      </w:r>
      <w:r w:rsidR="00E03624" w:rsidRPr="00D630D1">
        <w:rPr>
          <w:rFonts w:eastAsia="宋体"/>
        </w:rPr>
        <w:t>2</w:t>
      </w:r>
      <w:r w:rsidR="008B5B84" w:rsidRPr="00D630D1">
        <w:rPr>
          <w:rFonts w:eastAsia="宋体"/>
        </w:rPr>
        <w:t xml:space="preserve"> </w:t>
      </w:r>
      <w:bookmarkEnd w:id="396"/>
      <w:bookmarkEnd w:id="397"/>
      <w:r w:rsidR="00E03624" w:rsidRPr="00D630D1">
        <w:rPr>
          <w:rFonts w:eastAsia="宋体"/>
        </w:rPr>
        <w:t>本工程清洁生产概况</w:t>
      </w:r>
    </w:p>
    <w:p w:rsidR="00E03624" w:rsidRPr="00D630D1" w:rsidRDefault="00E03624" w:rsidP="00E03624">
      <w:pPr>
        <w:pStyle w:val="afa"/>
        <w:ind w:firstLine="480"/>
      </w:pPr>
      <w:r w:rsidRPr="00D630D1">
        <w:t>作为清洁燃料，天然气广泛用于民用燃料、工业燃料和发电。与煤相比，天然气不含灰份，其燃烧后产生的</w:t>
      </w:r>
      <w:r w:rsidRPr="00D630D1">
        <w:t>NOx</w:t>
      </w:r>
      <w:r w:rsidRPr="00D630D1">
        <w:t>仅为煤的</w:t>
      </w:r>
      <w:r w:rsidRPr="00D630D1">
        <w:t>19.2%</w:t>
      </w:r>
      <w:r w:rsidRPr="00D630D1">
        <w:t>，产生的</w:t>
      </w:r>
      <w:r w:rsidRPr="00D630D1">
        <w:t>CO</w:t>
      </w:r>
      <w:r w:rsidRPr="00D630D1">
        <w:rPr>
          <w:sz w:val="16"/>
          <w:szCs w:val="16"/>
        </w:rPr>
        <w:t>2</w:t>
      </w:r>
      <w:r w:rsidRPr="00D630D1">
        <w:t>仅为煤的</w:t>
      </w:r>
      <w:r w:rsidRPr="00D630D1">
        <w:t>42.1%</w:t>
      </w:r>
      <w:r w:rsidRPr="00D630D1">
        <w:t>，极大地降低了对环境空气的污染。</w:t>
      </w:r>
    </w:p>
    <w:p w:rsidR="00E03624" w:rsidRPr="00D630D1" w:rsidRDefault="00E03624" w:rsidP="00E03624">
      <w:pPr>
        <w:pStyle w:val="afa"/>
        <w:ind w:firstLine="480"/>
      </w:pPr>
      <w:r w:rsidRPr="00D630D1">
        <w:t>在输送工艺方面，优化工艺方案，减小能源消耗；采用节能设施，减少能耗；采用合理的防腐方式，保证管道运输的安全性；采用管道完整性管理，提高整体运营水平。</w:t>
      </w:r>
    </w:p>
    <w:p w:rsidR="00E03624" w:rsidRPr="00D630D1" w:rsidRDefault="00E03624" w:rsidP="00E03624">
      <w:pPr>
        <w:pStyle w:val="afa"/>
        <w:ind w:firstLine="480"/>
      </w:pPr>
      <w:r w:rsidRPr="00D630D1">
        <w:t>在生产设备和设施方面，使用世界上较为先进的</w:t>
      </w:r>
      <w:r w:rsidRPr="00D630D1">
        <w:t>SCADA</w:t>
      </w:r>
      <w:r w:rsidRPr="00D630D1">
        <w:t>自动控制系统，使输送介质的工艺条件实现由计算机自动控制，减少了由于人工控制而产生的生产损耗，可最大限度地减少由于事故引发的环境污染事故，减少事故停运及天然气损失，提高生产技术水平、操作效率和经济效率。</w:t>
      </w:r>
    </w:p>
    <w:p w:rsidR="00E03624" w:rsidRPr="00D630D1" w:rsidRDefault="00E03624" w:rsidP="00E03624">
      <w:pPr>
        <w:pStyle w:val="afa"/>
        <w:ind w:firstLine="480"/>
      </w:pPr>
      <w:r w:rsidRPr="00D630D1">
        <w:t>在施工期，采取加强施工管理，规范施工过程，实施环境监理；确定合理的施工带宽度，减少临时占地对环境的破坏；采用先进、合理的施工方式，减少对环境的污染和破坏；采取必要措施减少施工期扬尘对沿线居民的影响；减少施工营地建设，减少污染物排放；作好生态恢复，水土保持等工作。</w:t>
      </w:r>
    </w:p>
    <w:p w:rsidR="00E03624" w:rsidRPr="00D630D1" w:rsidRDefault="00E03624" w:rsidP="00E03624">
      <w:pPr>
        <w:pStyle w:val="afa"/>
        <w:ind w:firstLine="480"/>
      </w:pPr>
      <w:r w:rsidRPr="00D630D1">
        <w:lastRenderedPageBreak/>
        <w:t>在运营期，做好废气、噪声、固废的达标排放工作，尽可能选择低噪声设备，满足清洁生产的要求。</w:t>
      </w:r>
    </w:p>
    <w:p w:rsidR="00E03624" w:rsidRPr="00D630D1" w:rsidRDefault="00E03624" w:rsidP="00E03624">
      <w:pPr>
        <w:pStyle w:val="afa"/>
        <w:ind w:firstLine="480"/>
      </w:pPr>
      <w:r w:rsidRPr="00D630D1">
        <w:t>本项目的清洁生产目标，除在设计、施工、运营环节中通过实施一系列清洁生产技术措施实现外，在运营管理中，也将通过采取一系列的相关措施和制度，实现持续的清洁生产。</w:t>
      </w:r>
    </w:p>
    <w:p w:rsidR="00117C3D" w:rsidRPr="00D630D1" w:rsidRDefault="00796BE9">
      <w:pPr>
        <w:pStyle w:val="3"/>
        <w:rPr>
          <w:rFonts w:eastAsia="宋体"/>
        </w:rPr>
      </w:pPr>
      <w:bookmarkStart w:id="398" w:name="_Toc19815995"/>
      <w:bookmarkStart w:id="399" w:name="_Toc12288525"/>
      <w:r w:rsidRPr="00D630D1">
        <w:rPr>
          <w:rFonts w:eastAsia="宋体"/>
        </w:rPr>
        <w:t>4</w:t>
      </w:r>
      <w:r w:rsidR="008B5B84" w:rsidRPr="00D630D1">
        <w:rPr>
          <w:rFonts w:eastAsia="宋体"/>
        </w:rPr>
        <w:t>.</w:t>
      </w:r>
      <w:r w:rsidR="004302B1">
        <w:rPr>
          <w:rFonts w:eastAsia="宋体" w:hint="eastAsia"/>
        </w:rPr>
        <w:t>4</w:t>
      </w:r>
      <w:r w:rsidR="008B5B84" w:rsidRPr="00D630D1">
        <w:rPr>
          <w:rFonts w:eastAsia="宋体"/>
        </w:rPr>
        <w:t>.</w:t>
      </w:r>
      <w:r w:rsidR="00E03624" w:rsidRPr="00D630D1">
        <w:rPr>
          <w:rFonts w:eastAsia="宋体"/>
        </w:rPr>
        <w:t>3</w:t>
      </w:r>
      <w:r w:rsidR="008B5B84" w:rsidRPr="00D630D1">
        <w:rPr>
          <w:rFonts w:eastAsia="宋体"/>
        </w:rPr>
        <w:t xml:space="preserve"> </w:t>
      </w:r>
      <w:bookmarkEnd w:id="398"/>
      <w:bookmarkEnd w:id="399"/>
      <w:r w:rsidR="00E03624" w:rsidRPr="00D630D1">
        <w:rPr>
          <w:rFonts w:eastAsia="宋体"/>
        </w:rPr>
        <w:t>建议</w:t>
      </w:r>
    </w:p>
    <w:p w:rsidR="00E03624" w:rsidRPr="00D630D1" w:rsidRDefault="00E03624" w:rsidP="00E03624">
      <w:pPr>
        <w:pStyle w:val="a1"/>
        <w:ind w:firstLine="480"/>
        <w:rPr>
          <w:rFonts w:ascii="Times New Roman" w:cs="Times New Roman"/>
        </w:rPr>
      </w:pPr>
      <w:r w:rsidRPr="00D630D1">
        <w:rPr>
          <w:rFonts w:ascii="Times New Roman" w:cs="Times New Roman"/>
        </w:rPr>
        <w:t>本工程要提高清洁生产的水平，除了采取先进艺、技术和设备外</w:t>
      </w:r>
      <w:r w:rsidR="005B552D" w:rsidRPr="00D630D1">
        <w:rPr>
          <w:rFonts w:ascii="Times New Roman" w:cs="Times New Roman" w:hint="eastAsia"/>
        </w:rPr>
        <w:t>，</w:t>
      </w:r>
      <w:r w:rsidRPr="00D630D1">
        <w:rPr>
          <w:rFonts w:ascii="Times New Roman" w:cs="Times New Roman"/>
        </w:rPr>
        <w:t>还应从以下几个方面进行改：</w:t>
      </w:r>
    </w:p>
    <w:p w:rsidR="00E03624" w:rsidRPr="00D630D1" w:rsidRDefault="00E03624" w:rsidP="00E03624">
      <w:pPr>
        <w:pStyle w:val="a1"/>
        <w:ind w:firstLine="480"/>
        <w:rPr>
          <w:rFonts w:ascii="Times New Roman" w:cs="Times New Roman"/>
        </w:rPr>
      </w:pPr>
      <w:r w:rsidRPr="00D630D1">
        <w:rPr>
          <w:rFonts w:hAnsi="宋体" w:hint="eastAsia"/>
        </w:rPr>
        <w:t>①</w:t>
      </w:r>
      <w:r w:rsidRPr="00D630D1">
        <w:rPr>
          <w:rFonts w:ascii="Times New Roman" w:cs="Times New Roman"/>
        </w:rPr>
        <w:t>建立健全的清洁生产管理机构；</w:t>
      </w:r>
    </w:p>
    <w:p w:rsidR="00E03624" w:rsidRPr="00D630D1" w:rsidRDefault="00E03624" w:rsidP="00E03624">
      <w:pPr>
        <w:pStyle w:val="a1"/>
        <w:ind w:firstLine="480"/>
        <w:rPr>
          <w:rFonts w:ascii="Times New Roman" w:cs="Times New Roman"/>
        </w:rPr>
      </w:pPr>
      <w:r w:rsidRPr="00D630D1">
        <w:rPr>
          <w:rFonts w:hAnsi="宋体" w:hint="eastAsia"/>
        </w:rPr>
        <w:t>②</w:t>
      </w:r>
      <w:r w:rsidRPr="00D630D1">
        <w:rPr>
          <w:rFonts w:ascii="Times New Roman" w:cs="Times New Roman"/>
        </w:rPr>
        <w:t>从源头抓起，注意工艺流程的各个环节；</w:t>
      </w:r>
    </w:p>
    <w:p w:rsidR="00E03624" w:rsidRPr="00D630D1" w:rsidRDefault="00E03624" w:rsidP="00E03624">
      <w:pPr>
        <w:pStyle w:val="a1"/>
        <w:ind w:firstLine="480"/>
        <w:rPr>
          <w:rFonts w:ascii="Times New Roman" w:cs="Times New Roman"/>
        </w:rPr>
      </w:pPr>
      <w:r w:rsidRPr="00D630D1">
        <w:rPr>
          <w:rFonts w:hAnsi="宋体" w:hint="eastAsia"/>
        </w:rPr>
        <w:t>③</w:t>
      </w:r>
      <w:r w:rsidRPr="00D630D1">
        <w:rPr>
          <w:rFonts w:ascii="Times New Roman" w:cs="Times New Roman"/>
        </w:rPr>
        <w:t>提高管理水平，加强环保知识宣传与培训；</w:t>
      </w:r>
    </w:p>
    <w:p w:rsidR="00117C3D" w:rsidRPr="00D630D1" w:rsidRDefault="00E03624" w:rsidP="00E03624">
      <w:pPr>
        <w:pStyle w:val="a1"/>
        <w:ind w:firstLine="480"/>
        <w:rPr>
          <w:rFonts w:ascii="Times New Roman" w:cs="Times New Roman"/>
        </w:rPr>
      </w:pPr>
      <w:r w:rsidRPr="00D630D1">
        <w:rPr>
          <w:rFonts w:hAnsi="宋体" w:hint="eastAsia"/>
        </w:rPr>
        <w:t>④</w:t>
      </w:r>
      <w:r w:rsidRPr="00D630D1">
        <w:rPr>
          <w:rFonts w:ascii="Times New Roman" w:cs="Times New Roman"/>
        </w:rPr>
        <w:t>加强与外部的联系。</w:t>
      </w:r>
    </w:p>
    <w:p w:rsidR="00117C3D" w:rsidRPr="00D630D1" w:rsidRDefault="0099264C" w:rsidP="0099264C">
      <w:pPr>
        <w:pStyle w:val="2"/>
        <w:spacing w:before="120"/>
        <w:rPr>
          <w:rFonts w:cs="Times New Roman"/>
        </w:rPr>
      </w:pPr>
      <w:bookmarkStart w:id="400" w:name="_Toc19816001"/>
      <w:bookmarkStart w:id="401" w:name="_Toc12288536"/>
      <w:bookmarkStart w:id="402" w:name="_Toc81515278"/>
      <w:r w:rsidRPr="00D630D1">
        <w:rPr>
          <w:rFonts w:cs="Times New Roman"/>
        </w:rPr>
        <w:t>4</w:t>
      </w:r>
      <w:r w:rsidR="008B5B84" w:rsidRPr="00D630D1">
        <w:rPr>
          <w:rFonts w:cs="Times New Roman"/>
        </w:rPr>
        <w:t>.</w:t>
      </w:r>
      <w:r w:rsidR="004302B1">
        <w:rPr>
          <w:rFonts w:cs="Times New Roman" w:hint="eastAsia"/>
        </w:rPr>
        <w:t>5</w:t>
      </w:r>
      <w:r w:rsidR="008B5B84" w:rsidRPr="00D630D1">
        <w:rPr>
          <w:rFonts w:cs="Times New Roman"/>
        </w:rPr>
        <w:t xml:space="preserve"> </w:t>
      </w:r>
      <w:r w:rsidR="008B5B84" w:rsidRPr="00D630D1">
        <w:rPr>
          <w:rFonts w:cs="Times New Roman"/>
        </w:rPr>
        <w:t>总量控制</w:t>
      </w:r>
      <w:bookmarkEnd w:id="400"/>
      <w:bookmarkEnd w:id="401"/>
      <w:bookmarkEnd w:id="402"/>
    </w:p>
    <w:p w:rsidR="00E03624" w:rsidRPr="00D630D1" w:rsidRDefault="00E03624" w:rsidP="00E03624">
      <w:pPr>
        <w:pStyle w:val="afa"/>
        <w:ind w:firstLine="480"/>
      </w:pPr>
      <w:r w:rsidRPr="00D630D1">
        <w:t>工程投产后，正常运行时天然气处于密闭输送状态，一般无气体污染物外排；正常工况条件下，仅有水套炉燃料气（不含硫）燃烧产生的</w:t>
      </w:r>
      <w:r w:rsidRPr="00D630D1">
        <w:t>NO</w:t>
      </w:r>
      <w:r w:rsidRPr="00D630D1">
        <w:rPr>
          <w:sz w:val="16"/>
          <w:szCs w:val="16"/>
        </w:rPr>
        <w:t>X</w:t>
      </w:r>
      <w:r w:rsidRPr="00D630D1">
        <w:t>排放，其排放量为</w:t>
      </w:r>
      <w:r w:rsidRPr="00D630D1">
        <w:t>NO</w:t>
      </w:r>
      <w:r w:rsidRPr="00D630D1">
        <w:rPr>
          <w:sz w:val="16"/>
          <w:szCs w:val="16"/>
        </w:rPr>
        <w:t>X</w:t>
      </w:r>
      <w:r w:rsidRPr="00D630D1">
        <w:t>：</w:t>
      </w:r>
      <w:r w:rsidR="00D93A24" w:rsidRPr="00D630D1">
        <w:t>35.56</w:t>
      </w:r>
      <w:r w:rsidRPr="00D630D1">
        <w:t>kg/a</w:t>
      </w:r>
      <w:r w:rsidRPr="00D630D1">
        <w:t>；营运期</w:t>
      </w:r>
      <w:r w:rsidR="00DC2DF3" w:rsidRPr="00D630D1">
        <w:rPr>
          <w:rFonts w:hint="eastAsia"/>
        </w:rPr>
        <w:t>无</w:t>
      </w:r>
      <w:r w:rsidRPr="00D630D1">
        <w:t>生产废水和生活污水</w:t>
      </w:r>
      <w:r w:rsidR="00DC2DF3" w:rsidRPr="00D630D1">
        <w:rPr>
          <w:rFonts w:hint="eastAsia"/>
        </w:rPr>
        <w:t>外排</w:t>
      </w:r>
      <w:r w:rsidRPr="00D630D1">
        <w:t>。</w:t>
      </w:r>
    </w:p>
    <w:p w:rsidR="00117C3D" w:rsidRPr="00D630D1" w:rsidRDefault="00E03624" w:rsidP="00E03624">
      <w:pPr>
        <w:pStyle w:val="afa"/>
        <w:ind w:firstLine="480"/>
      </w:pPr>
      <w:r w:rsidRPr="00D630D1">
        <w:t>综上，项目的建设虽有</w:t>
      </w:r>
      <w:r w:rsidRPr="00D630D1">
        <w:t>NO</w:t>
      </w:r>
      <w:r w:rsidRPr="00D630D1">
        <w:rPr>
          <w:sz w:val="16"/>
          <w:szCs w:val="16"/>
        </w:rPr>
        <w:t>X</w:t>
      </w:r>
      <w:r w:rsidRPr="00D630D1">
        <w:t>产生，燃料气来自净化厂净化后天然气，不含硫化氢，且氮氧化物排放量很小，因此本次评价建议不设总量控制指标。</w:t>
      </w:r>
    </w:p>
    <w:p w:rsidR="00117C3D" w:rsidRPr="00D630D1" w:rsidRDefault="00117C3D">
      <w:pPr>
        <w:ind w:firstLine="480"/>
        <w:rPr>
          <w:rFonts w:ascii="Times New Roman" w:cs="Times New Roman"/>
        </w:rPr>
        <w:sectPr w:rsidR="00117C3D" w:rsidRPr="00D630D1" w:rsidSect="00BA4F10">
          <w:pgSz w:w="11906" w:h="16838"/>
          <w:pgMar w:top="1440" w:right="1800" w:bottom="1440" w:left="1800" w:header="851" w:footer="992" w:gutter="0"/>
          <w:cols w:space="425"/>
          <w:docGrid w:type="lines" w:linePitch="312"/>
        </w:sectPr>
      </w:pPr>
    </w:p>
    <w:p w:rsidR="00117C3D" w:rsidRPr="00D630D1" w:rsidRDefault="006B2EB5" w:rsidP="006B2EB5">
      <w:pPr>
        <w:pStyle w:val="1"/>
        <w:spacing w:before="0" w:beforeAutospacing="0" w:after="0" w:afterAutospacing="0"/>
        <w:rPr>
          <w:rFonts w:eastAsia="宋体"/>
        </w:rPr>
      </w:pPr>
      <w:bookmarkStart w:id="403" w:name="_Toc19816003"/>
      <w:bookmarkStart w:id="404" w:name="_Toc81515280"/>
      <w:r w:rsidRPr="00D630D1">
        <w:rPr>
          <w:rFonts w:eastAsia="宋体"/>
        </w:rPr>
        <w:lastRenderedPageBreak/>
        <w:t>5</w:t>
      </w:r>
      <w:r w:rsidR="008B5B84" w:rsidRPr="00D630D1">
        <w:rPr>
          <w:rFonts w:eastAsia="宋体"/>
        </w:rPr>
        <w:t xml:space="preserve"> </w:t>
      </w:r>
      <w:r w:rsidR="008B5B84" w:rsidRPr="00D630D1">
        <w:rPr>
          <w:rFonts w:eastAsia="宋体"/>
        </w:rPr>
        <w:t>环境质量现状调查与评价</w:t>
      </w:r>
      <w:bookmarkEnd w:id="403"/>
      <w:bookmarkEnd w:id="404"/>
    </w:p>
    <w:p w:rsidR="00117C3D" w:rsidRPr="00D630D1" w:rsidRDefault="006B2EB5" w:rsidP="006B2EB5">
      <w:pPr>
        <w:pStyle w:val="2"/>
        <w:spacing w:before="120"/>
        <w:rPr>
          <w:rFonts w:cs="Times New Roman"/>
        </w:rPr>
      </w:pPr>
      <w:bookmarkStart w:id="405" w:name="bookmark27"/>
      <w:bookmarkStart w:id="406" w:name="_Toc12288539"/>
      <w:bookmarkStart w:id="407" w:name="_Toc19816004"/>
      <w:bookmarkStart w:id="408" w:name="_Toc81515281"/>
      <w:bookmarkEnd w:id="405"/>
      <w:r w:rsidRPr="00D630D1">
        <w:rPr>
          <w:rFonts w:cs="Times New Roman"/>
        </w:rPr>
        <w:t>5</w:t>
      </w:r>
      <w:r w:rsidR="008B5B84" w:rsidRPr="00D630D1">
        <w:rPr>
          <w:rFonts w:cs="Times New Roman"/>
        </w:rPr>
        <w:t xml:space="preserve">.1 </w:t>
      </w:r>
      <w:r w:rsidR="008B5B84" w:rsidRPr="00D630D1">
        <w:rPr>
          <w:rFonts w:cs="Times New Roman"/>
        </w:rPr>
        <w:t>自然环境概况</w:t>
      </w:r>
      <w:bookmarkEnd w:id="406"/>
      <w:bookmarkEnd w:id="407"/>
      <w:bookmarkEnd w:id="408"/>
    </w:p>
    <w:p w:rsidR="00117C3D" w:rsidRPr="00D630D1" w:rsidRDefault="006B2EB5">
      <w:pPr>
        <w:pStyle w:val="3"/>
        <w:rPr>
          <w:rFonts w:eastAsia="宋体"/>
        </w:rPr>
      </w:pPr>
      <w:bookmarkStart w:id="409" w:name="_Toc19816005"/>
      <w:bookmarkStart w:id="410" w:name="_Toc12288540"/>
      <w:r w:rsidRPr="00D630D1">
        <w:rPr>
          <w:rFonts w:eastAsia="宋体"/>
        </w:rPr>
        <w:t>5</w:t>
      </w:r>
      <w:r w:rsidR="008B5B84" w:rsidRPr="00D630D1">
        <w:rPr>
          <w:rFonts w:eastAsia="宋体"/>
        </w:rPr>
        <w:t xml:space="preserve">.1.1 </w:t>
      </w:r>
      <w:r w:rsidR="008B5B84" w:rsidRPr="00D630D1">
        <w:rPr>
          <w:rFonts w:eastAsia="宋体"/>
        </w:rPr>
        <w:t>地理位置</w:t>
      </w:r>
      <w:bookmarkEnd w:id="409"/>
      <w:bookmarkEnd w:id="410"/>
    </w:p>
    <w:p w:rsidR="006F3CAC" w:rsidRPr="00D630D1" w:rsidRDefault="006F3CAC" w:rsidP="006F3CAC">
      <w:pPr>
        <w:pStyle w:val="afa"/>
        <w:ind w:firstLine="480"/>
      </w:pPr>
      <w:r w:rsidRPr="00D630D1">
        <w:t>宣汉县介于东经</w:t>
      </w:r>
      <w:r w:rsidRPr="00D630D1">
        <w:t>107°22′</w:t>
      </w:r>
      <w:r w:rsidRPr="00D630D1">
        <w:t>至</w:t>
      </w:r>
      <w:r w:rsidRPr="00D630D1">
        <w:t>108°32′</w:t>
      </w:r>
      <w:r w:rsidRPr="00D630D1">
        <w:t>和北纬</w:t>
      </w:r>
      <w:r w:rsidRPr="00D630D1">
        <w:t>31°06′</w:t>
      </w:r>
      <w:r w:rsidRPr="00D630D1">
        <w:t>～</w:t>
      </w:r>
      <w:r w:rsidRPr="00D630D1">
        <w:t>31°49′</w:t>
      </w:r>
      <w:r w:rsidRPr="00D630D1">
        <w:t>之间。东北与城口接壤，东与开县相邻，南连开江，西接达川、通川和平昌，北与万源交界，是北通陕西、东达湖北的要口。境内地形地貌复杂、山势逶迤，由东北向西南倾斜绵延，呈</w:t>
      </w:r>
      <w:r w:rsidRPr="00D630D1">
        <w:t>“</w:t>
      </w:r>
      <w:r w:rsidRPr="00D630D1">
        <w:t>七山一水两分田</w:t>
      </w:r>
      <w:r w:rsidRPr="00D630D1">
        <w:t>”</w:t>
      </w:r>
      <w:r w:rsidRPr="00D630D1">
        <w:t>总体地貌。县境东西最长</w:t>
      </w:r>
      <w:r w:rsidRPr="00D630D1">
        <w:t>110.6km</w:t>
      </w:r>
      <w:r w:rsidRPr="00D630D1">
        <w:t>，南北最</w:t>
      </w:r>
      <w:r w:rsidRPr="00D630D1">
        <w:t>78.8km</w:t>
      </w:r>
      <w:r w:rsidRPr="00D630D1">
        <w:t>，边界线总长</w:t>
      </w:r>
      <w:r w:rsidRPr="00D630D1">
        <w:t>590.6km</w:t>
      </w:r>
      <w:r w:rsidRPr="00D630D1">
        <w:t>。</w:t>
      </w:r>
    </w:p>
    <w:p w:rsidR="006B2EB5" w:rsidRPr="00D630D1" w:rsidRDefault="006F3CAC" w:rsidP="006F3CAC">
      <w:pPr>
        <w:pStyle w:val="afa"/>
        <w:ind w:firstLine="480"/>
        <w:rPr>
          <w:szCs w:val="24"/>
        </w:rPr>
      </w:pPr>
      <w:r w:rsidRPr="00D630D1">
        <w:t>本工程</w:t>
      </w:r>
      <w:r w:rsidR="00747A0A" w:rsidRPr="00D630D1">
        <w:rPr>
          <w:rFonts w:hint="eastAsia"/>
        </w:rPr>
        <w:t>新</w:t>
      </w:r>
      <w:r w:rsidRPr="00D630D1">
        <w:t>建</w:t>
      </w:r>
      <w:r w:rsidR="002C00AE">
        <w:t>普光</w:t>
      </w:r>
      <w:r w:rsidR="002C00AE">
        <w:t>12</w:t>
      </w:r>
      <w:r w:rsidR="002C00AE">
        <w:t>采气站</w:t>
      </w:r>
      <w:r w:rsidRPr="00D630D1">
        <w:t>位于四川省达州市</w:t>
      </w:r>
      <w:r w:rsidR="00867450" w:rsidRPr="00867450">
        <w:rPr>
          <w:rFonts w:hint="eastAsia"/>
        </w:rPr>
        <w:t>宣汉县老君乡境内</w:t>
      </w:r>
      <w:r w:rsidRPr="00D630D1">
        <w:t>，集气管线主要途径</w:t>
      </w:r>
      <w:r w:rsidR="001F1370" w:rsidRPr="00867450">
        <w:rPr>
          <w:rFonts w:hint="eastAsia"/>
        </w:rPr>
        <w:t>老君乡境内</w:t>
      </w:r>
      <w:r w:rsidR="001F1370">
        <w:rPr>
          <w:rFonts w:hint="eastAsia"/>
        </w:rPr>
        <w:t>和</w:t>
      </w:r>
      <w:r w:rsidR="00867450" w:rsidRPr="00867450">
        <w:rPr>
          <w:rFonts w:hint="eastAsia"/>
        </w:rPr>
        <w:t>普光镇境内</w:t>
      </w:r>
      <w:r w:rsidRPr="00D630D1">
        <w:t>。项目地理位置见附图</w:t>
      </w:r>
      <w:r w:rsidRPr="00D630D1">
        <w:t>1</w:t>
      </w:r>
      <w:r w:rsidRPr="00D630D1">
        <w:t>。</w:t>
      </w:r>
    </w:p>
    <w:p w:rsidR="00117C3D" w:rsidRPr="00D630D1" w:rsidRDefault="0015431B">
      <w:pPr>
        <w:pStyle w:val="3"/>
        <w:rPr>
          <w:rFonts w:eastAsia="宋体"/>
        </w:rPr>
      </w:pPr>
      <w:bookmarkStart w:id="411" w:name="_Toc19816006"/>
      <w:bookmarkStart w:id="412" w:name="_Toc12288541"/>
      <w:r w:rsidRPr="00D630D1">
        <w:rPr>
          <w:rFonts w:eastAsia="宋体"/>
        </w:rPr>
        <w:t>5</w:t>
      </w:r>
      <w:r w:rsidR="008B5B84" w:rsidRPr="00D630D1">
        <w:rPr>
          <w:rFonts w:eastAsia="宋体"/>
        </w:rPr>
        <w:t xml:space="preserve">.1.2 </w:t>
      </w:r>
      <w:r w:rsidR="008B5B84" w:rsidRPr="00D630D1">
        <w:rPr>
          <w:rFonts w:eastAsia="宋体"/>
        </w:rPr>
        <w:t>地貌类型</w:t>
      </w:r>
    </w:p>
    <w:p w:rsidR="0015431B" w:rsidRPr="00D630D1" w:rsidRDefault="006F3CAC" w:rsidP="00FB72EC">
      <w:pPr>
        <w:pStyle w:val="afa"/>
        <w:ind w:firstLine="480"/>
      </w:pPr>
      <w:r w:rsidRPr="00D630D1">
        <w:t>宣汉县按地形、地貌形态可分为</w:t>
      </w:r>
      <w:r w:rsidRPr="00D630D1">
        <w:t>3</w:t>
      </w:r>
      <w:r w:rsidRPr="00D630D1">
        <w:t>区：一、丘陵河谷区，约占县境内四川地貌区划中属米仓山大巴山中山区和盆北低山区、盆东平行岭谷区的一部分，以低山和低中山为主。低山、中山面积占全县总幅员的</w:t>
      </w:r>
      <w:r w:rsidRPr="00D630D1">
        <w:t>90.2%</w:t>
      </w:r>
      <w:r w:rsidRPr="00D630D1">
        <w:t>；二、低山区，约占</w:t>
      </w:r>
      <w:r w:rsidRPr="00D630D1">
        <w:t>25%</w:t>
      </w:r>
      <w:r w:rsidRPr="00D630D1">
        <w:t>；三、低中山区，约占</w:t>
      </w:r>
      <w:r w:rsidRPr="00D630D1">
        <w:t>65.2%</w:t>
      </w:r>
      <w:r w:rsidRPr="00D630D1">
        <w:t>，可分为平坝、台地或高阶台地、浅丘陵、深丘陵、低山。</w:t>
      </w:r>
    </w:p>
    <w:p w:rsidR="0015431B" w:rsidRPr="00D630D1" w:rsidRDefault="0015431B" w:rsidP="00FB72EC">
      <w:pPr>
        <w:pStyle w:val="afa"/>
        <w:ind w:firstLine="480"/>
      </w:pPr>
      <w:r w:rsidRPr="00D630D1">
        <w:t>拟建管线沿线地貌为剥蚀低山地貌，该工程大部分位于斜坡上，斜坡坡角约</w:t>
      </w:r>
      <w:r w:rsidRPr="00D630D1">
        <w:t>5</w:t>
      </w:r>
      <w:r w:rsidRPr="00D630D1">
        <w:t>～</w:t>
      </w:r>
      <w:r w:rsidR="006F3CAC" w:rsidRPr="00D630D1">
        <w:t>45</w:t>
      </w:r>
      <w:r w:rsidRPr="00D630D1">
        <w:t>°</w:t>
      </w:r>
      <w:r w:rsidRPr="00D630D1">
        <w:t>，场地地形总体较陡，总体地势管线</w:t>
      </w:r>
      <w:r w:rsidR="00FB72EC" w:rsidRPr="00D630D1">
        <w:t>南</w:t>
      </w:r>
      <w:r w:rsidRPr="00D630D1">
        <w:t>高</w:t>
      </w:r>
      <w:r w:rsidR="00FB72EC" w:rsidRPr="00D630D1">
        <w:t>北</w:t>
      </w:r>
      <w:r w:rsidRPr="00D630D1">
        <w:t>低，</w:t>
      </w:r>
      <w:r w:rsidR="00FB72EC" w:rsidRPr="00D630D1">
        <w:t>总体地势偏陡，相对高差</w:t>
      </w:r>
      <w:r w:rsidR="00FB72EC" w:rsidRPr="00D630D1">
        <w:t>20</w:t>
      </w:r>
      <w:r w:rsidR="00FB72EC" w:rsidRPr="00D630D1">
        <w:t>～</w:t>
      </w:r>
      <w:r w:rsidR="00FB72EC" w:rsidRPr="00D630D1">
        <w:t>600m</w:t>
      </w:r>
      <w:r w:rsidRPr="00D630D1">
        <w:t>。拟建管线沿线地形条件较复杂。</w:t>
      </w:r>
    </w:p>
    <w:p w:rsidR="00117C3D" w:rsidRPr="00D630D1" w:rsidRDefault="0015431B">
      <w:pPr>
        <w:pStyle w:val="3"/>
        <w:rPr>
          <w:rFonts w:eastAsia="宋体"/>
        </w:rPr>
      </w:pPr>
      <w:r w:rsidRPr="00D630D1">
        <w:rPr>
          <w:rFonts w:eastAsia="宋体"/>
        </w:rPr>
        <w:t>5</w:t>
      </w:r>
      <w:r w:rsidR="008B5B84" w:rsidRPr="00D630D1">
        <w:rPr>
          <w:rFonts w:eastAsia="宋体"/>
        </w:rPr>
        <w:t xml:space="preserve">.1.3 </w:t>
      </w:r>
      <w:r w:rsidR="008B5B84" w:rsidRPr="00D630D1">
        <w:rPr>
          <w:rFonts w:eastAsia="宋体"/>
        </w:rPr>
        <w:t>气候</w:t>
      </w:r>
      <w:bookmarkEnd w:id="411"/>
      <w:r w:rsidR="008B5B84" w:rsidRPr="00D630D1">
        <w:rPr>
          <w:rFonts w:eastAsia="宋体"/>
        </w:rPr>
        <w:t>气象</w:t>
      </w:r>
    </w:p>
    <w:p w:rsidR="00FB72EC" w:rsidRPr="00D630D1" w:rsidRDefault="00FB72EC" w:rsidP="00FB72EC">
      <w:pPr>
        <w:ind w:firstLine="480"/>
        <w:rPr>
          <w:rFonts w:ascii="Times New Roman" w:cs="Times New Roman"/>
        </w:rPr>
      </w:pPr>
      <w:r w:rsidRPr="00D630D1">
        <w:rPr>
          <w:rFonts w:ascii="Times New Roman" w:cs="Times New Roman"/>
        </w:rPr>
        <w:t>境内气象属中亚热带湿润季风气候区，由于地处四川盆地东北缘，北有秦岭、大巴山的天然屏障，因此气候温和，热量丰富，四季分明，雨量充沛，季风气候明显，立体气候突出。冬季属大陆性气候，常受西北冷空气影响，气候干冷；夏季属海洋性季风气候，常受东南及西南暖湿空气影响，湿热多雷雨。受海拔高度影响区内立体气候明显，海拔</w:t>
      </w:r>
      <w:r w:rsidRPr="00D630D1">
        <w:rPr>
          <w:rFonts w:ascii="Times New Roman" w:cs="Times New Roman"/>
        </w:rPr>
        <w:t>500m</w:t>
      </w:r>
      <w:r w:rsidRPr="00D630D1">
        <w:rPr>
          <w:rFonts w:ascii="Times New Roman" w:cs="Times New Roman"/>
        </w:rPr>
        <w:t>以下地区春早夏热，雨水集中，旱涝交错，多风雹，秋雨，冬暖霜雪少，属四川盆地亚热带气候；海拔</w:t>
      </w:r>
      <w:r w:rsidRPr="00D630D1">
        <w:rPr>
          <w:rFonts w:ascii="Times New Roman" w:cs="Times New Roman"/>
        </w:rPr>
        <w:t>800m</w:t>
      </w:r>
      <w:r w:rsidRPr="00D630D1">
        <w:rPr>
          <w:rFonts w:ascii="Times New Roman" w:cs="Times New Roman"/>
        </w:rPr>
        <w:t>以上地区春迟秋早，夏短冬长，具有盆缘同地温带气候特征。低山、高丘云雾较多，日照较浅丘平坝少。</w:t>
      </w:r>
    </w:p>
    <w:p w:rsidR="00FB72EC" w:rsidRPr="00D630D1" w:rsidRDefault="00FB72EC" w:rsidP="00FB72EC">
      <w:pPr>
        <w:ind w:firstLine="480"/>
        <w:rPr>
          <w:rFonts w:ascii="Times New Roman" w:cs="Times New Roman"/>
        </w:rPr>
      </w:pPr>
      <w:r w:rsidRPr="00D630D1">
        <w:rPr>
          <w:rFonts w:ascii="Times New Roman" w:cs="Times New Roman"/>
        </w:rPr>
        <w:lastRenderedPageBreak/>
        <w:t>灾害性天气主要有干旱，暴雨山洪，雷电，低温冷害，冰雹及大风等，其中暴雨山洪、大风等对管道及集气站建设构成一定危害。</w:t>
      </w:r>
    </w:p>
    <w:p w:rsidR="00FB72EC" w:rsidRPr="00D630D1" w:rsidRDefault="00FB72EC" w:rsidP="00FB72EC">
      <w:pPr>
        <w:ind w:firstLine="480"/>
        <w:rPr>
          <w:rFonts w:ascii="Times New Roman" w:cs="Times New Roman"/>
        </w:rPr>
      </w:pPr>
      <w:r w:rsidRPr="00D630D1">
        <w:rPr>
          <w:rFonts w:ascii="Times New Roman" w:cs="Times New Roman"/>
        </w:rPr>
        <w:t>宣汉县多年平均降水量</w:t>
      </w:r>
      <w:r w:rsidRPr="00D630D1">
        <w:rPr>
          <w:rFonts w:ascii="Times New Roman" w:cs="Times New Roman"/>
        </w:rPr>
        <w:t>1132.69mm</w:t>
      </w:r>
      <w:r w:rsidRPr="00D630D1">
        <w:rPr>
          <w:rFonts w:ascii="Times New Roman" w:cs="Times New Roman"/>
        </w:rPr>
        <w:t>，多年平均气温</w:t>
      </w:r>
      <w:r w:rsidRPr="00D630D1">
        <w:rPr>
          <w:rFonts w:ascii="Times New Roman" w:cs="Times New Roman"/>
        </w:rPr>
        <w:t>16.8℃</w:t>
      </w:r>
      <w:r w:rsidRPr="00D630D1">
        <w:rPr>
          <w:rFonts w:ascii="Times New Roman" w:cs="Times New Roman"/>
        </w:rPr>
        <w:t>，相对湿度</w:t>
      </w:r>
      <w:r w:rsidRPr="00D630D1">
        <w:rPr>
          <w:rFonts w:ascii="Times New Roman" w:cs="Times New Roman"/>
        </w:rPr>
        <w:t>75%</w:t>
      </w:r>
      <w:r w:rsidRPr="00D630D1">
        <w:rPr>
          <w:rFonts w:ascii="Times New Roman" w:cs="Times New Roman"/>
        </w:rPr>
        <w:t>，每年</w:t>
      </w:r>
      <w:r w:rsidRPr="00D630D1">
        <w:rPr>
          <w:rFonts w:ascii="Times New Roman" w:cs="Times New Roman"/>
        </w:rPr>
        <w:t>5~10</w:t>
      </w:r>
      <w:r w:rsidRPr="00D630D1">
        <w:rPr>
          <w:rFonts w:ascii="Times New Roman" w:cs="Times New Roman"/>
        </w:rPr>
        <w:t>月份为多雨季，降水量占全年总降水量约</w:t>
      </w:r>
      <w:r w:rsidRPr="00D630D1">
        <w:rPr>
          <w:rFonts w:ascii="Times New Roman" w:cs="Times New Roman"/>
        </w:rPr>
        <w:t>80%</w:t>
      </w:r>
      <w:r w:rsidRPr="00D630D1">
        <w:rPr>
          <w:rFonts w:ascii="Times New Roman" w:cs="Times New Roman"/>
        </w:rPr>
        <w:t>，</w:t>
      </w:r>
      <w:r w:rsidRPr="00D630D1">
        <w:rPr>
          <w:rFonts w:ascii="Times New Roman" w:cs="Times New Roman"/>
        </w:rPr>
        <w:t>3</w:t>
      </w:r>
      <w:r w:rsidRPr="00D630D1">
        <w:rPr>
          <w:rFonts w:ascii="Times New Roman" w:cs="Times New Roman"/>
        </w:rPr>
        <w:t>月份为旱季，降水量约占全年降水量</w:t>
      </w:r>
      <w:r w:rsidRPr="00D630D1">
        <w:rPr>
          <w:rFonts w:ascii="Times New Roman" w:cs="Times New Roman"/>
        </w:rPr>
        <w:t>8~12%</w:t>
      </w:r>
      <w:r w:rsidRPr="00D630D1">
        <w:rPr>
          <w:rFonts w:ascii="Times New Roman" w:cs="Times New Roman"/>
        </w:rPr>
        <w:t>，无霜期长达</w:t>
      </w:r>
      <w:r w:rsidRPr="00D630D1">
        <w:rPr>
          <w:rFonts w:ascii="Times New Roman" w:cs="Times New Roman"/>
        </w:rPr>
        <w:t>10</w:t>
      </w:r>
      <w:r w:rsidRPr="00D630D1">
        <w:rPr>
          <w:rFonts w:ascii="Times New Roman" w:cs="Times New Roman"/>
        </w:rPr>
        <w:t>个月，冬季多雾，雨季多暴雨，雨后往往形成洪流。</w:t>
      </w:r>
    </w:p>
    <w:p w:rsidR="00FB72EC" w:rsidRPr="00D630D1" w:rsidRDefault="00FB72EC" w:rsidP="00FB72EC">
      <w:pPr>
        <w:ind w:firstLine="480"/>
        <w:rPr>
          <w:rFonts w:ascii="Times New Roman" w:cs="Times New Roman"/>
        </w:rPr>
      </w:pPr>
      <w:r w:rsidRPr="00D630D1">
        <w:rPr>
          <w:rFonts w:ascii="Times New Roman" w:cs="Times New Roman"/>
        </w:rPr>
        <w:t>宣汉县主要气象要素见下表：</w:t>
      </w:r>
    </w:p>
    <w:p w:rsidR="00FB72EC" w:rsidRPr="00D630D1" w:rsidRDefault="00FB72EC" w:rsidP="00FB72EC">
      <w:pPr>
        <w:pStyle w:val="10"/>
        <w:rPr>
          <w:rFonts w:cs="Times New Roman"/>
        </w:rPr>
      </w:pPr>
      <w:r w:rsidRPr="00D630D1">
        <w:rPr>
          <w:rFonts w:cs="Times New Roman"/>
        </w:rPr>
        <w:t>表</w:t>
      </w:r>
      <w:r w:rsidRPr="00D630D1">
        <w:rPr>
          <w:rFonts w:cs="Times New Roman"/>
        </w:rPr>
        <w:t xml:space="preserve">5.1-1  </w:t>
      </w:r>
      <w:r w:rsidRPr="00D630D1">
        <w:rPr>
          <w:rFonts w:cs="Times New Roman"/>
        </w:rPr>
        <w:t>宣汉县主要气象资料一览表</w:t>
      </w:r>
    </w:p>
    <w:tbl>
      <w:tblPr>
        <w:tblW w:w="5157" w:type="pct"/>
        <w:jc w:val="center"/>
        <w:tblBorders>
          <w:top w:val="single" w:sz="12" w:space="0" w:color="auto"/>
          <w:bottom w:val="single" w:sz="12" w:space="0" w:color="auto"/>
          <w:insideH w:val="single" w:sz="4" w:space="0" w:color="auto"/>
          <w:insideV w:val="single" w:sz="4" w:space="0" w:color="auto"/>
        </w:tblBorders>
        <w:tblLook w:val="04A0"/>
      </w:tblPr>
      <w:tblGrid>
        <w:gridCol w:w="1281"/>
        <w:gridCol w:w="1901"/>
        <w:gridCol w:w="2669"/>
        <w:gridCol w:w="2939"/>
      </w:tblGrid>
      <w:tr w:rsidR="00831A9D" w:rsidRPr="00D630D1" w:rsidTr="00FB72EC">
        <w:trPr>
          <w:trHeight w:val="15"/>
          <w:jc w:val="center"/>
        </w:trPr>
        <w:tc>
          <w:tcPr>
            <w:tcW w:w="1809" w:type="pct"/>
            <w:gridSpan w:val="2"/>
            <w:tcBorders>
              <w:top w:val="single" w:sz="12" w:space="0" w:color="auto"/>
              <w:left w:val="nil"/>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气象要素</w:t>
            </w:r>
          </w:p>
        </w:tc>
        <w:tc>
          <w:tcPr>
            <w:tcW w:w="1518" w:type="pct"/>
            <w:tcBorders>
              <w:top w:val="single" w:sz="12"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单位</w:t>
            </w:r>
          </w:p>
        </w:tc>
        <w:tc>
          <w:tcPr>
            <w:tcW w:w="1672" w:type="pct"/>
            <w:tcBorders>
              <w:top w:val="single" w:sz="12"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数值</w:t>
            </w:r>
          </w:p>
        </w:tc>
      </w:tr>
      <w:tr w:rsidR="00831A9D" w:rsidRPr="00D630D1" w:rsidTr="00FB72EC">
        <w:trPr>
          <w:trHeight w:val="15"/>
          <w:jc w:val="center"/>
        </w:trPr>
        <w:tc>
          <w:tcPr>
            <w:tcW w:w="728" w:type="pct"/>
            <w:vMerge w:val="restart"/>
            <w:tcBorders>
              <w:top w:val="single" w:sz="4" w:space="0" w:color="auto"/>
              <w:left w:val="nil"/>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气温</w:t>
            </w:r>
          </w:p>
        </w:tc>
        <w:tc>
          <w:tcPr>
            <w:tcW w:w="1081" w:type="pct"/>
            <w:tcBorders>
              <w:top w:val="single" w:sz="4" w:space="0" w:color="auto"/>
              <w:left w:val="single" w:sz="4" w:space="0" w:color="auto"/>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年平均气温</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16.8</w:t>
            </w:r>
          </w:p>
        </w:tc>
      </w:tr>
      <w:tr w:rsidR="00831A9D" w:rsidRPr="00D630D1" w:rsidTr="00FB72EC">
        <w:trPr>
          <w:trHeight w:val="15"/>
          <w:jc w:val="center"/>
        </w:trPr>
        <w:tc>
          <w:tcPr>
            <w:tcW w:w="0" w:type="auto"/>
            <w:vMerge/>
            <w:tcBorders>
              <w:top w:val="single" w:sz="4" w:space="0" w:color="auto"/>
              <w:left w:val="nil"/>
              <w:bottom w:val="single" w:sz="4" w:space="0" w:color="auto"/>
              <w:right w:val="single" w:sz="4" w:space="0" w:color="auto"/>
            </w:tcBorders>
            <w:vAlign w:val="center"/>
          </w:tcPr>
          <w:p w:rsidR="00FB72EC" w:rsidRPr="00D630D1" w:rsidRDefault="00FB72EC" w:rsidP="00AA2CA8">
            <w:pPr>
              <w:widowControl/>
              <w:topLinePunct w:val="0"/>
              <w:adjustRightInd/>
              <w:spacing w:afterAutospacing="1" w:line="240" w:lineRule="auto"/>
              <w:ind w:firstLineChars="0" w:firstLine="0"/>
              <w:jc w:val="left"/>
              <w:rPr>
                <w:rFonts w:ascii="Times New Roman" w:cs="Times New Roman"/>
                <w:kern w:val="2"/>
                <w:sz w:val="21"/>
                <w:szCs w:val="21"/>
              </w:rPr>
            </w:pPr>
          </w:p>
        </w:tc>
        <w:tc>
          <w:tcPr>
            <w:tcW w:w="1081" w:type="pct"/>
            <w:tcBorders>
              <w:top w:val="single" w:sz="4" w:space="0" w:color="auto"/>
              <w:left w:val="single" w:sz="4" w:space="0" w:color="auto"/>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极端最高气温</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41.3</w:t>
            </w:r>
          </w:p>
        </w:tc>
      </w:tr>
      <w:tr w:rsidR="00831A9D" w:rsidRPr="00D630D1" w:rsidTr="00FB72EC">
        <w:trPr>
          <w:trHeight w:val="15"/>
          <w:jc w:val="center"/>
        </w:trPr>
        <w:tc>
          <w:tcPr>
            <w:tcW w:w="0" w:type="auto"/>
            <w:vMerge/>
            <w:tcBorders>
              <w:top w:val="single" w:sz="4" w:space="0" w:color="auto"/>
              <w:left w:val="nil"/>
              <w:bottom w:val="single" w:sz="4" w:space="0" w:color="auto"/>
              <w:right w:val="single" w:sz="4" w:space="0" w:color="auto"/>
            </w:tcBorders>
            <w:vAlign w:val="center"/>
          </w:tcPr>
          <w:p w:rsidR="00FB72EC" w:rsidRPr="00D630D1" w:rsidRDefault="00FB72EC" w:rsidP="00AA2CA8">
            <w:pPr>
              <w:widowControl/>
              <w:topLinePunct w:val="0"/>
              <w:adjustRightInd/>
              <w:spacing w:afterAutospacing="1" w:line="240" w:lineRule="auto"/>
              <w:ind w:firstLineChars="0" w:firstLine="0"/>
              <w:jc w:val="left"/>
              <w:rPr>
                <w:rFonts w:ascii="Times New Roman" w:cs="Times New Roman"/>
                <w:kern w:val="2"/>
                <w:sz w:val="21"/>
                <w:szCs w:val="21"/>
              </w:rPr>
            </w:pPr>
          </w:p>
        </w:tc>
        <w:tc>
          <w:tcPr>
            <w:tcW w:w="1081" w:type="pct"/>
            <w:tcBorders>
              <w:top w:val="single" w:sz="4" w:space="0" w:color="auto"/>
              <w:left w:val="single" w:sz="4" w:space="0" w:color="auto"/>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极端最低气温</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-2.3</w:t>
            </w:r>
          </w:p>
        </w:tc>
      </w:tr>
      <w:tr w:rsidR="00831A9D" w:rsidRPr="00D630D1" w:rsidTr="00FB72EC">
        <w:trPr>
          <w:trHeight w:val="15"/>
          <w:jc w:val="center"/>
        </w:trPr>
        <w:tc>
          <w:tcPr>
            <w:tcW w:w="728" w:type="pct"/>
            <w:vMerge w:val="restart"/>
            <w:tcBorders>
              <w:top w:val="single" w:sz="4" w:space="0" w:color="auto"/>
              <w:left w:val="nil"/>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年降水量</w:t>
            </w:r>
          </w:p>
        </w:tc>
        <w:tc>
          <w:tcPr>
            <w:tcW w:w="1081" w:type="pct"/>
            <w:tcBorders>
              <w:top w:val="single" w:sz="4" w:space="0" w:color="auto"/>
              <w:left w:val="single" w:sz="4" w:space="0" w:color="auto"/>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平均</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mm</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1132.69</w:t>
            </w:r>
          </w:p>
        </w:tc>
      </w:tr>
      <w:tr w:rsidR="00831A9D" w:rsidRPr="00D630D1" w:rsidTr="00FB72EC">
        <w:trPr>
          <w:trHeight w:val="15"/>
          <w:jc w:val="center"/>
        </w:trPr>
        <w:tc>
          <w:tcPr>
            <w:tcW w:w="0" w:type="auto"/>
            <w:vMerge/>
            <w:tcBorders>
              <w:top w:val="single" w:sz="4" w:space="0" w:color="auto"/>
              <w:left w:val="nil"/>
              <w:bottom w:val="single" w:sz="4" w:space="0" w:color="auto"/>
              <w:right w:val="single" w:sz="4" w:space="0" w:color="auto"/>
            </w:tcBorders>
            <w:vAlign w:val="center"/>
          </w:tcPr>
          <w:p w:rsidR="00FB72EC" w:rsidRPr="00D630D1" w:rsidRDefault="00FB72EC" w:rsidP="00AA2CA8">
            <w:pPr>
              <w:widowControl/>
              <w:topLinePunct w:val="0"/>
              <w:adjustRightInd/>
              <w:spacing w:afterAutospacing="1" w:line="240" w:lineRule="auto"/>
              <w:ind w:firstLineChars="0" w:firstLine="0"/>
              <w:jc w:val="left"/>
              <w:rPr>
                <w:rFonts w:ascii="Times New Roman" w:cs="Times New Roman"/>
                <w:kern w:val="2"/>
                <w:sz w:val="21"/>
                <w:szCs w:val="21"/>
              </w:rPr>
            </w:pPr>
          </w:p>
        </w:tc>
        <w:tc>
          <w:tcPr>
            <w:tcW w:w="1081" w:type="pct"/>
            <w:tcBorders>
              <w:top w:val="single" w:sz="4" w:space="0" w:color="auto"/>
              <w:left w:val="single" w:sz="4" w:space="0" w:color="auto"/>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最大</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mm</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1698</w:t>
            </w:r>
          </w:p>
        </w:tc>
      </w:tr>
      <w:tr w:rsidR="00831A9D" w:rsidRPr="00D630D1" w:rsidTr="00FB72EC">
        <w:trPr>
          <w:trHeight w:val="15"/>
          <w:jc w:val="center"/>
        </w:trPr>
        <w:tc>
          <w:tcPr>
            <w:tcW w:w="0" w:type="auto"/>
            <w:vMerge/>
            <w:tcBorders>
              <w:top w:val="single" w:sz="4" w:space="0" w:color="auto"/>
              <w:left w:val="nil"/>
              <w:bottom w:val="single" w:sz="4" w:space="0" w:color="auto"/>
              <w:right w:val="single" w:sz="4" w:space="0" w:color="auto"/>
            </w:tcBorders>
            <w:vAlign w:val="center"/>
          </w:tcPr>
          <w:p w:rsidR="00FB72EC" w:rsidRPr="00D630D1" w:rsidRDefault="00FB72EC" w:rsidP="00AA2CA8">
            <w:pPr>
              <w:widowControl/>
              <w:topLinePunct w:val="0"/>
              <w:adjustRightInd/>
              <w:spacing w:afterAutospacing="1" w:line="240" w:lineRule="auto"/>
              <w:ind w:firstLineChars="0" w:firstLine="0"/>
              <w:jc w:val="left"/>
              <w:rPr>
                <w:rFonts w:ascii="Times New Roman" w:cs="Times New Roman"/>
                <w:kern w:val="2"/>
                <w:sz w:val="21"/>
                <w:szCs w:val="21"/>
              </w:rPr>
            </w:pPr>
          </w:p>
        </w:tc>
        <w:tc>
          <w:tcPr>
            <w:tcW w:w="1081" w:type="pct"/>
            <w:tcBorders>
              <w:top w:val="single" w:sz="4" w:space="0" w:color="auto"/>
              <w:left w:val="single" w:sz="4" w:space="0" w:color="auto"/>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最小</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mm</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865.9</w:t>
            </w:r>
          </w:p>
        </w:tc>
      </w:tr>
      <w:tr w:rsidR="00831A9D" w:rsidRPr="00D630D1" w:rsidTr="00FB72EC">
        <w:trPr>
          <w:trHeight w:val="15"/>
          <w:jc w:val="center"/>
        </w:trPr>
        <w:tc>
          <w:tcPr>
            <w:tcW w:w="728" w:type="pct"/>
            <w:vMerge w:val="restart"/>
            <w:tcBorders>
              <w:top w:val="single" w:sz="4" w:space="0" w:color="auto"/>
              <w:left w:val="nil"/>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风速</w:t>
            </w:r>
          </w:p>
        </w:tc>
        <w:tc>
          <w:tcPr>
            <w:tcW w:w="1081" w:type="pct"/>
            <w:tcBorders>
              <w:top w:val="single" w:sz="4" w:space="0" w:color="auto"/>
              <w:left w:val="single" w:sz="4" w:space="0" w:color="auto"/>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平均</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m/s</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1.5</w:t>
            </w:r>
          </w:p>
        </w:tc>
      </w:tr>
      <w:tr w:rsidR="00831A9D" w:rsidRPr="00D630D1" w:rsidTr="00FB72EC">
        <w:trPr>
          <w:trHeight w:val="15"/>
          <w:jc w:val="center"/>
        </w:trPr>
        <w:tc>
          <w:tcPr>
            <w:tcW w:w="0" w:type="auto"/>
            <w:vMerge/>
            <w:tcBorders>
              <w:top w:val="single" w:sz="4" w:space="0" w:color="auto"/>
              <w:left w:val="nil"/>
              <w:bottom w:val="single" w:sz="4" w:space="0" w:color="auto"/>
              <w:right w:val="single" w:sz="4" w:space="0" w:color="auto"/>
            </w:tcBorders>
            <w:vAlign w:val="center"/>
          </w:tcPr>
          <w:p w:rsidR="00FB72EC" w:rsidRPr="00D630D1" w:rsidRDefault="00FB72EC" w:rsidP="00AA2CA8">
            <w:pPr>
              <w:widowControl/>
              <w:topLinePunct w:val="0"/>
              <w:adjustRightInd/>
              <w:spacing w:afterAutospacing="1" w:line="240" w:lineRule="auto"/>
              <w:ind w:firstLineChars="0" w:firstLine="0"/>
              <w:jc w:val="left"/>
              <w:rPr>
                <w:rFonts w:ascii="Times New Roman" w:cs="Times New Roman"/>
                <w:kern w:val="2"/>
                <w:sz w:val="21"/>
                <w:szCs w:val="21"/>
              </w:rPr>
            </w:pPr>
          </w:p>
        </w:tc>
        <w:tc>
          <w:tcPr>
            <w:tcW w:w="1081" w:type="pct"/>
            <w:tcBorders>
              <w:top w:val="single" w:sz="4" w:space="0" w:color="auto"/>
              <w:left w:val="single" w:sz="4" w:space="0" w:color="auto"/>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最大</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m/s</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32</w:t>
            </w:r>
          </w:p>
        </w:tc>
      </w:tr>
      <w:tr w:rsidR="00831A9D" w:rsidRPr="00D630D1" w:rsidTr="00FB72EC">
        <w:trPr>
          <w:trHeight w:val="15"/>
          <w:jc w:val="center"/>
        </w:trPr>
        <w:tc>
          <w:tcPr>
            <w:tcW w:w="0" w:type="auto"/>
            <w:vMerge/>
            <w:tcBorders>
              <w:top w:val="single" w:sz="4" w:space="0" w:color="auto"/>
              <w:left w:val="nil"/>
              <w:bottom w:val="single" w:sz="4" w:space="0" w:color="auto"/>
              <w:right w:val="single" w:sz="4" w:space="0" w:color="auto"/>
            </w:tcBorders>
            <w:vAlign w:val="center"/>
          </w:tcPr>
          <w:p w:rsidR="00FB72EC" w:rsidRPr="00D630D1" w:rsidRDefault="00FB72EC" w:rsidP="00AA2CA8">
            <w:pPr>
              <w:widowControl/>
              <w:topLinePunct w:val="0"/>
              <w:adjustRightInd/>
              <w:spacing w:afterAutospacing="1" w:line="240" w:lineRule="auto"/>
              <w:ind w:firstLineChars="0" w:firstLine="0"/>
              <w:jc w:val="left"/>
              <w:rPr>
                <w:rFonts w:ascii="Times New Roman" w:cs="Times New Roman"/>
                <w:kern w:val="2"/>
                <w:sz w:val="21"/>
                <w:szCs w:val="21"/>
              </w:rPr>
            </w:pPr>
          </w:p>
        </w:tc>
        <w:tc>
          <w:tcPr>
            <w:tcW w:w="1081" w:type="pct"/>
            <w:tcBorders>
              <w:top w:val="single" w:sz="4" w:space="0" w:color="auto"/>
              <w:left w:val="single" w:sz="4" w:space="0" w:color="auto"/>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主导风向</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m/s</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NE</w:t>
            </w:r>
          </w:p>
        </w:tc>
      </w:tr>
      <w:tr w:rsidR="00831A9D" w:rsidRPr="00D630D1" w:rsidTr="00FB72EC">
        <w:trPr>
          <w:trHeight w:val="15"/>
          <w:jc w:val="center"/>
        </w:trPr>
        <w:tc>
          <w:tcPr>
            <w:tcW w:w="728" w:type="pct"/>
            <w:vMerge w:val="restart"/>
            <w:tcBorders>
              <w:top w:val="single" w:sz="4" w:space="0" w:color="auto"/>
              <w:left w:val="nil"/>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多年平均地温</w:t>
            </w:r>
          </w:p>
        </w:tc>
        <w:tc>
          <w:tcPr>
            <w:tcW w:w="1081" w:type="pct"/>
            <w:tcBorders>
              <w:top w:val="single" w:sz="4" w:space="0" w:color="auto"/>
              <w:left w:val="single" w:sz="4" w:space="0" w:color="auto"/>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地面</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18.1</w:t>
            </w:r>
          </w:p>
        </w:tc>
      </w:tr>
      <w:tr w:rsidR="00831A9D" w:rsidRPr="00D630D1" w:rsidTr="00FB72EC">
        <w:trPr>
          <w:trHeight w:val="15"/>
          <w:jc w:val="center"/>
        </w:trPr>
        <w:tc>
          <w:tcPr>
            <w:tcW w:w="0" w:type="auto"/>
            <w:vMerge/>
            <w:tcBorders>
              <w:top w:val="single" w:sz="4" w:space="0" w:color="auto"/>
              <w:left w:val="nil"/>
              <w:bottom w:val="single" w:sz="4" w:space="0" w:color="auto"/>
              <w:right w:val="single" w:sz="4" w:space="0" w:color="auto"/>
            </w:tcBorders>
            <w:vAlign w:val="center"/>
          </w:tcPr>
          <w:p w:rsidR="00FB72EC" w:rsidRPr="00D630D1" w:rsidRDefault="00FB72EC" w:rsidP="00AA2CA8">
            <w:pPr>
              <w:widowControl/>
              <w:topLinePunct w:val="0"/>
              <w:adjustRightInd/>
              <w:spacing w:afterAutospacing="1" w:line="240" w:lineRule="auto"/>
              <w:ind w:firstLineChars="0" w:firstLine="0"/>
              <w:jc w:val="left"/>
              <w:rPr>
                <w:rFonts w:ascii="Times New Roman" w:cs="Times New Roman"/>
                <w:kern w:val="2"/>
                <w:sz w:val="21"/>
                <w:szCs w:val="21"/>
              </w:rPr>
            </w:pPr>
          </w:p>
        </w:tc>
        <w:tc>
          <w:tcPr>
            <w:tcW w:w="1081" w:type="pct"/>
            <w:tcBorders>
              <w:top w:val="single" w:sz="4" w:space="0" w:color="auto"/>
              <w:left w:val="single" w:sz="4" w:space="0" w:color="auto"/>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-0.2m</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20.2</w:t>
            </w:r>
          </w:p>
        </w:tc>
      </w:tr>
      <w:tr w:rsidR="00831A9D" w:rsidRPr="00D630D1" w:rsidTr="00FB72EC">
        <w:trPr>
          <w:trHeight w:val="15"/>
          <w:jc w:val="center"/>
        </w:trPr>
        <w:tc>
          <w:tcPr>
            <w:tcW w:w="1809" w:type="pct"/>
            <w:gridSpan w:val="2"/>
            <w:tcBorders>
              <w:top w:val="single" w:sz="4" w:space="0" w:color="auto"/>
              <w:left w:val="nil"/>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年平均日照时数</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h</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1596.3</w:t>
            </w:r>
          </w:p>
        </w:tc>
      </w:tr>
      <w:tr w:rsidR="00831A9D" w:rsidRPr="00D630D1" w:rsidTr="00FB72EC">
        <w:trPr>
          <w:trHeight w:val="15"/>
          <w:jc w:val="center"/>
        </w:trPr>
        <w:tc>
          <w:tcPr>
            <w:tcW w:w="1809" w:type="pct"/>
            <w:gridSpan w:val="2"/>
            <w:tcBorders>
              <w:top w:val="single" w:sz="4" w:space="0" w:color="auto"/>
              <w:left w:val="nil"/>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年平均蒸发量</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mm</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1215.9</w:t>
            </w:r>
          </w:p>
        </w:tc>
      </w:tr>
      <w:tr w:rsidR="00831A9D" w:rsidRPr="00D630D1" w:rsidTr="00FB72EC">
        <w:trPr>
          <w:trHeight w:val="15"/>
          <w:jc w:val="center"/>
        </w:trPr>
        <w:tc>
          <w:tcPr>
            <w:tcW w:w="1809" w:type="pct"/>
            <w:gridSpan w:val="2"/>
            <w:tcBorders>
              <w:top w:val="single" w:sz="4" w:space="0" w:color="auto"/>
              <w:left w:val="nil"/>
              <w:bottom w:val="single" w:sz="4"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年均无霜期</w:t>
            </w:r>
          </w:p>
        </w:tc>
        <w:tc>
          <w:tcPr>
            <w:tcW w:w="1518" w:type="pct"/>
            <w:tcBorders>
              <w:top w:val="single" w:sz="4" w:space="0" w:color="auto"/>
              <w:left w:val="single" w:sz="4" w:space="0" w:color="auto"/>
              <w:bottom w:val="single" w:sz="4"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d</w:t>
            </w:r>
          </w:p>
        </w:tc>
        <w:tc>
          <w:tcPr>
            <w:tcW w:w="1672" w:type="pct"/>
            <w:tcBorders>
              <w:top w:val="single" w:sz="4" w:space="0" w:color="auto"/>
              <w:left w:val="single" w:sz="4" w:space="0" w:color="auto"/>
              <w:bottom w:val="single" w:sz="4"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296</w:t>
            </w:r>
          </w:p>
        </w:tc>
      </w:tr>
      <w:tr w:rsidR="00831A9D" w:rsidRPr="00D630D1" w:rsidTr="00FB72EC">
        <w:trPr>
          <w:trHeight w:val="15"/>
          <w:jc w:val="center"/>
        </w:trPr>
        <w:tc>
          <w:tcPr>
            <w:tcW w:w="1809" w:type="pct"/>
            <w:gridSpan w:val="2"/>
            <w:tcBorders>
              <w:top w:val="single" w:sz="4" w:space="0" w:color="auto"/>
              <w:left w:val="nil"/>
              <w:bottom w:val="single" w:sz="12" w:space="0" w:color="auto"/>
              <w:right w:val="single" w:sz="4" w:space="0" w:color="auto"/>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相对湿度</w:t>
            </w:r>
          </w:p>
        </w:tc>
        <w:tc>
          <w:tcPr>
            <w:tcW w:w="1518" w:type="pct"/>
            <w:tcBorders>
              <w:top w:val="single" w:sz="4" w:space="0" w:color="auto"/>
              <w:left w:val="single" w:sz="4" w:space="0" w:color="auto"/>
              <w:bottom w:val="single" w:sz="12" w:space="0" w:color="auto"/>
              <w:right w:val="single" w:sz="4" w:space="0" w:color="auto"/>
            </w:tcBorders>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1672" w:type="pct"/>
            <w:tcBorders>
              <w:top w:val="single" w:sz="4" w:space="0" w:color="auto"/>
              <w:left w:val="single" w:sz="4" w:space="0" w:color="auto"/>
              <w:bottom w:val="single" w:sz="12" w:space="0" w:color="auto"/>
              <w:right w:val="nil"/>
            </w:tcBorders>
            <w:vAlign w:val="center"/>
          </w:tcPr>
          <w:p w:rsidR="00FB72EC" w:rsidRPr="00D630D1" w:rsidRDefault="00FB72EC" w:rsidP="00F96E37">
            <w:pPr>
              <w:topLinePunct w:val="0"/>
              <w:autoSpaceDE w:val="0"/>
              <w:autoSpaceDN w:val="0"/>
              <w:snapToGrid w:val="0"/>
              <w:spacing w:beforeLines="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77</w:t>
            </w:r>
          </w:p>
        </w:tc>
      </w:tr>
    </w:tbl>
    <w:p w:rsidR="00117C3D" w:rsidRPr="00D630D1" w:rsidRDefault="0015431B">
      <w:pPr>
        <w:pStyle w:val="3"/>
        <w:rPr>
          <w:rFonts w:eastAsia="宋体"/>
        </w:rPr>
      </w:pPr>
      <w:bookmarkStart w:id="413" w:name="_Toc19816009"/>
      <w:bookmarkStart w:id="414" w:name="_Toc19816007"/>
      <w:r w:rsidRPr="00D630D1">
        <w:rPr>
          <w:rFonts w:eastAsia="宋体"/>
        </w:rPr>
        <w:t>5</w:t>
      </w:r>
      <w:r w:rsidR="008B5B84" w:rsidRPr="00D630D1">
        <w:rPr>
          <w:rFonts w:eastAsia="宋体"/>
        </w:rPr>
        <w:t>.1.4</w:t>
      </w:r>
      <w:r w:rsidR="00C674D5" w:rsidRPr="00D630D1">
        <w:rPr>
          <w:rFonts w:eastAsia="宋体"/>
        </w:rPr>
        <w:t xml:space="preserve"> </w:t>
      </w:r>
      <w:r w:rsidR="008B5B84" w:rsidRPr="00D630D1">
        <w:rPr>
          <w:rFonts w:eastAsia="宋体"/>
        </w:rPr>
        <w:t>水文</w:t>
      </w:r>
      <w:bookmarkEnd w:id="413"/>
      <w:r w:rsidR="008B5B84" w:rsidRPr="00D630D1">
        <w:rPr>
          <w:rFonts w:eastAsia="宋体"/>
        </w:rPr>
        <w:t>与地质</w:t>
      </w:r>
    </w:p>
    <w:p w:rsidR="00117C3D" w:rsidRPr="00D630D1" w:rsidRDefault="0015431B" w:rsidP="0015431B">
      <w:pPr>
        <w:pStyle w:val="afa"/>
        <w:ind w:firstLine="482"/>
        <w:rPr>
          <w:rStyle w:val="ae"/>
          <w:spacing w:val="0"/>
          <w:position w:val="0"/>
          <w:sz w:val="24"/>
        </w:rPr>
      </w:pPr>
      <w:r w:rsidRPr="00D630D1">
        <w:rPr>
          <w:rStyle w:val="ae"/>
          <w:spacing w:val="0"/>
          <w:position w:val="0"/>
          <w:sz w:val="24"/>
        </w:rPr>
        <w:t>1</w:t>
      </w:r>
      <w:r w:rsidR="008B5B84" w:rsidRPr="00D630D1">
        <w:rPr>
          <w:rStyle w:val="ae"/>
          <w:spacing w:val="0"/>
          <w:position w:val="0"/>
          <w:sz w:val="24"/>
        </w:rPr>
        <w:t>、</w:t>
      </w:r>
      <w:r w:rsidR="00FB72EC" w:rsidRPr="00D630D1">
        <w:rPr>
          <w:rStyle w:val="ae"/>
          <w:spacing w:val="0"/>
          <w:position w:val="0"/>
          <w:sz w:val="24"/>
        </w:rPr>
        <w:t>地表水</w:t>
      </w:r>
    </w:p>
    <w:p w:rsidR="00FB72EC" w:rsidRPr="00D630D1" w:rsidRDefault="00FB72EC" w:rsidP="00FB72EC">
      <w:pPr>
        <w:pStyle w:val="afa"/>
        <w:ind w:firstLine="480"/>
      </w:pPr>
      <w:r w:rsidRPr="00D630D1">
        <w:t>达州市河流主要属长江支流的嘉陵江水系，发源于大巴山，由北而南呈树枝状分布。前河、中河、后河汇成州河后与巴河在渠县三汇镇汇合成渠江，南流</w:t>
      </w:r>
      <w:r w:rsidRPr="00D630D1">
        <w:t>300km</w:t>
      </w:r>
      <w:r w:rsidRPr="00D630D1">
        <w:t>入长江。境内流域面积在</w:t>
      </w:r>
      <w:r w:rsidRPr="00D630D1">
        <w:t>100km</w:t>
      </w:r>
      <w:r w:rsidRPr="00D630D1">
        <w:rPr>
          <w:vertAlign w:val="superscript"/>
        </w:rPr>
        <w:t>2</w:t>
      </w:r>
      <w:r w:rsidRPr="00D630D1">
        <w:t>以上的河流有</w:t>
      </w:r>
      <w:r w:rsidRPr="00D630D1">
        <w:t>53</w:t>
      </w:r>
      <w:r w:rsidRPr="00D630D1">
        <w:t>条，</w:t>
      </w:r>
      <w:r w:rsidRPr="00D630D1">
        <w:t>1000km</w:t>
      </w:r>
      <w:r w:rsidRPr="00D630D1">
        <w:rPr>
          <w:vertAlign w:val="superscript"/>
        </w:rPr>
        <w:t>2</w:t>
      </w:r>
      <w:r w:rsidRPr="00D630D1">
        <w:t>以上的干流有</w:t>
      </w:r>
      <w:r w:rsidRPr="00D630D1">
        <w:t>15</w:t>
      </w:r>
      <w:r w:rsidRPr="00D630D1">
        <w:t>条。共有通航河流</w:t>
      </w:r>
      <w:r w:rsidRPr="00D630D1">
        <w:t>9</w:t>
      </w:r>
      <w:r w:rsidRPr="00D630D1">
        <w:t>条，分别是渠江、州河、巴河、前河、后河、中河、铁溪河、清溪河、林岗溪，基本形成以渠江、州河、巴河这主干流的水路运输网络，流域覆盖达州市四个县（市）。各河流可通航里程不等，运载量在</w:t>
      </w:r>
      <w:r w:rsidRPr="00D630D1">
        <w:t>100t</w:t>
      </w:r>
      <w:r w:rsidRPr="00D630D1">
        <w:t>以下。本项目</w:t>
      </w:r>
      <w:r w:rsidR="005F0550" w:rsidRPr="00D630D1">
        <w:rPr>
          <w:rFonts w:hint="eastAsia"/>
        </w:rPr>
        <w:t>所在</w:t>
      </w:r>
      <w:r w:rsidRPr="00D630D1">
        <w:t>区域水系的后河、中河、白沙河均属渠江水系。</w:t>
      </w:r>
    </w:p>
    <w:p w:rsidR="00FB72EC" w:rsidRPr="00D630D1" w:rsidRDefault="00FB72EC" w:rsidP="00FB72EC">
      <w:pPr>
        <w:pStyle w:val="afa"/>
        <w:ind w:firstLine="480"/>
      </w:pPr>
      <w:r w:rsidRPr="00D630D1">
        <w:lastRenderedPageBreak/>
        <w:t>后河</w:t>
      </w:r>
      <w:r w:rsidR="00A706F0" w:rsidRPr="00D630D1">
        <w:t>：</w:t>
      </w:r>
      <w:r w:rsidRPr="00D630D1">
        <w:t>属渠江上游二级支流，发源于皮窝乡大横山白龙洞处，源头海拔高</w:t>
      </w:r>
      <w:r w:rsidRPr="00D630D1">
        <w:t>1480m</w:t>
      </w:r>
      <w:r w:rsidRPr="00D630D1">
        <w:t>，由北向南纵贯全县，流经皮窝、梨树、官渡、太平镇、红旗、石岗、青花、长坝、花楼、罗文等</w:t>
      </w:r>
      <w:r w:rsidRPr="00D630D1">
        <w:t>10</w:t>
      </w:r>
      <w:r w:rsidRPr="00D630D1">
        <w:t>个乡镇，在罗文大水涵出口，海拔高</w:t>
      </w:r>
      <w:r w:rsidRPr="00D630D1">
        <w:t>352m</w:t>
      </w:r>
      <w:r w:rsidRPr="00D630D1">
        <w:t>，至宣汉县普光寺与中河汇合，全长</w:t>
      </w:r>
      <w:r w:rsidRPr="00D630D1">
        <w:t>148km</w:t>
      </w:r>
      <w:r w:rsidRPr="00D630D1">
        <w:t>（境内</w:t>
      </w:r>
      <w:r w:rsidRPr="00D630D1">
        <w:t>104.3km</w:t>
      </w:r>
      <w:r w:rsidRPr="00D630D1">
        <w:t>，境外</w:t>
      </w:r>
      <w:r w:rsidRPr="00D630D1">
        <w:t>43.7km</w:t>
      </w:r>
      <w:r w:rsidRPr="00D630D1">
        <w:t>，控制集雨面积</w:t>
      </w:r>
      <w:r w:rsidRPr="00D630D1">
        <w:t>1394km</w:t>
      </w:r>
      <w:r w:rsidRPr="00D630D1">
        <w:rPr>
          <w:vertAlign w:val="superscript"/>
        </w:rPr>
        <w:t>2</w:t>
      </w:r>
      <w:r w:rsidRPr="00D630D1">
        <w:t>（境内</w:t>
      </w:r>
      <w:r w:rsidRPr="00D630D1">
        <w:t>972.3km</w:t>
      </w:r>
      <w:r w:rsidRPr="00D630D1">
        <w:rPr>
          <w:vertAlign w:val="superscript"/>
        </w:rPr>
        <w:t>2</w:t>
      </w:r>
      <w:r w:rsidRPr="00D630D1">
        <w:t>，境外</w:t>
      </w:r>
      <w:r w:rsidRPr="00D630D1">
        <w:t>421.7km</w:t>
      </w:r>
      <w:r w:rsidRPr="00D630D1">
        <w:rPr>
          <w:vertAlign w:val="superscript"/>
        </w:rPr>
        <w:t>2</w:t>
      </w:r>
      <w:r w:rsidRPr="00D630D1">
        <w:t>），自然落差</w:t>
      </w:r>
      <w:r w:rsidRPr="00D630D1">
        <w:t>1128m</w:t>
      </w:r>
      <w:r w:rsidRPr="00D630D1">
        <w:t>，平均比降</w:t>
      </w:r>
      <w:r w:rsidRPr="00D630D1">
        <w:t>10.8%</w:t>
      </w:r>
      <w:r w:rsidRPr="00D630D1">
        <w:t>，多年平均流量</w:t>
      </w:r>
      <w:r w:rsidRPr="00D630D1">
        <w:t>34.43m</w:t>
      </w:r>
      <w:r w:rsidRPr="00D630D1">
        <w:rPr>
          <w:vertAlign w:val="superscript"/>
        </w:rPr>
        <w:t>3</w:t>
      </w:r>
      <w:r w:rsidRPr="00D630D1">
        <w:t>/s</w:t>
      </w:r>
      <w:r w:rsidRPr="00D630D1">
        <w:t>。</w:t>
      </w:r>
    </w:p>
    <w:p w:rsidR="00117C3D" w:rsidRPr="00D630D1" w:rsidRDefault="0015431B">
      <w:pPr>
        <w:pStyle w:val="a1"/>
        <w:ind w:firstLine="482"/>
        <w:rPr>
          <w:rStyle w:val="af0"/>
          <w:rFonts w:cs="Times New Roman"/>
        </w:rPr>
      </w:pPr>
      <w:bookmarkStart w:id="415" w:name="_Toc19816012"/>
      <w:r w:rsidRPr="00D630D1">
        <w:rPr>
          <w:rStyle w:val="af0"/>
          <w:rFonts w:cs="Times New Roman"/>
        </w:rPr>
        <w:t>2</w:t>
      </w:r>
      <w:r w:rsidR="008B5B84" w:rsidRPr="00D630D1">
        <w:rPr>
          <w:rStyle w:val="af0"/>
          <w:rFonts w:cs="Times New Roman"/>
        </w:rPr>
        <w:t>、</w:t>
      </w:r>
      <w:bookmarkEnd w:id="415"/>
      <w:r w:rsidR="00A706F0" w:rsidRPr="00D630D1">
        <w:rPr>
          <w:rStyle w:val="af0"/>
          <w:rFonts w:cs="Times New Roman"/>
        </w:rPr>
        <w:t>地下水</w:t>
      </w:r>
    </w:p>
    <w:p w:rsidR="00A706F0" w:rsidRPr="00D630D1" w:rsidRDefault="00A706F0" w:rsidP="00A706F0">
      <w:pPr>
        <w:pStyle w:val="afa"/>
        <w:ind w:firstLine="480"/>
      </w:pPr>
      <w:r w:rsidRPr="00D630D1">
        <w:t>本工程建设区域内地下水类型可划分为两类：第四系松散堆积层孔隙水和基岩裂隙水。主要分布于剥蚀平台和沟谷</w:t>
      </w:r>
      <w:r w:rsidRPr="00D630D1">
        <w:t>-</w:t>
      </w:r>
      <w:r w:rsidRPr="00D630D1">
        <w:t>斜坡地带，含水层为侏罗系中统上沙溪庙组（</w:t>
      </w:r>
      <w:r w:rsidRPr="00D630D1">
        <w:t>J2s</w:t>
      </w:r>
      <w:r w:rsidRPr="00D630D1">
        <w:t>）风化泥质粉砂岩、细砂岩，水文地质条件较简单，地下水以风化带网状裂隙赋存、运移，地层富水性差、水量较小，水位埋深一般大于</w:t>
      </w:r>
      <w:r w:rsidRPr="00D630D1">
        <w:t>10m</w:t>
      </w:r>
      <w:r w:rsidRPr="00D630D1">
        <w:t>。</w:t>
      </w:r>
    </w:p>
    <w:p w:rsidR="00117C3D" w:rsidRPr="00D630D1" w:rsidRDefault="0015431B">
      <w:pPr>
        <w:pStyle w:val="3"/>
        <w:rPr>
          <w:rFonts w:eastAsia="宋体"/>
        </w:rPr>
      </w:pPr>
      <w:bookmarkStart w:id="416" w:name="_Toc19816008"/>
      <w:r w:rsidRPr="00D630D1">
        <w:rPr>
          <w:rFonts w:eastAsia="宋体"/>
        </w:rPr>
        <w:t>5</w:t>
      </w:r>
      <w:r w:rsidR="008B5B84" w:rsidRPr="00D630D1">
        <w:rPr>
          <w:rFonts w:eastAsia="宋体"/>
        </w:rPr>
        <w:t xml:space="preserve">.1.5 </w:t>
      </w:r>
      <w:bookmarkEnd w:id="416"/>
      <w:r w:rsidR="008B5B84" w:rsidRPr="00D630D1">
        <w:rPr>
          <w:rFonts w:eastAsia="宋体"/>
        </w:rPr>
        <w:t>地质</w:t>
      </w:r>
      <w:r w:rsidR="00C674D5" w:rsidRPr="00D630D1">
        <w:rPr>
          <w:rFonts w:eastAsia="宋体"/>
        </w:rPr>
        <w:t>构造与</w:t>
      </w:r>
      <w:r w:rsidR="008B5B84" w:rsidRPr="00D630D1">
        <w:rPr>
          <w:rFonts w:eastAsia="宋体"/>
        </w:rPr>
        <w:t>地震</w:t>
      </w:r>
    </w:p>
    <w:p w:rsidR="00C674D5" w:rsidRPr="00D630D1" w:rsidRDefault="00C674D5" w:rsidP="00C674D5">
      <w:pPr>
        <w:pStyle w:val="a1"/>
        <w:ind w:firstLine="482"/>
        <w:rPr>
          <w:rFonts w:ascii="Times New Roman" w:cs="Times New Roman"/>
          <w:b/>
          <w:bCs/>
        </w:rPr>
      </w:pPr>
      <w:r w:rsidRPr="00D630D1">
        <w:rPr>
          <w:rFonts w:ascii="Times New Roman" w:cs="Times New Roman"/>
          <w:b/>
          <w:bCs/>
        </w:rPr>
        <w:t>1</w:t>
      </w:r>
      <w:r w:rsidRPr="00D630D1">
        <w:rPr>
          <w:rFonts w:ascii="Times New Roman" w:cs="Times New Roman"/>
          <w:b/>
          <w:bCs/>
        </w:rPr>
        <w:t>、地质构造</w:t>
      </w:r>
    </w:p>
    <w:p w:rsidR="00A706F0" w:rsidRPr="00D630D1" w:rsidRDefault="00A706F0" w:rsidP="00A706F0">
      <w:pPr>
        <w:snapToGrid w:val="0"/>
        <w:spacing w:line="500" w:lineRule="exact"/>
        <w:ind w:firstLine="480"/>
        <w:rPr>
          <w:rFonts w:ascii="Times New Roman" w:cs="Times New Roman"/>
        </w:rPr>
      </w:pPr>
      <w:r w:rsidRPr="00D630D1">
        <w:rPr>
          <w:rFonts w:ascii="Times New Roman" w:cs="Times New Roman"/>
        </w:rPr>
        <w:t>宣汉县内地质构造的展布轮廊清楚，具有一定的方向和方位。断层走向和褶皱轴呈弧形展布，从西南向东北岩层倾角渐增，褶皱渐趋紧密，卷入地层渐老，褶皱的规模也由小到大，一般轴向长几公里至几十公里，并且多以复背斜形式出现。宣汉县境东北部的北西向构造有八台山</w:t>
      </w:r>
      <w:r w:rsidRPr="00D630D1">
        <w:rPr>
          <w:rFonts w:ascii="Times New Roman" w:cs="Times New Roman"/>
        </w:rPr>
        <w:t>-</w:t>
      </w:r>
      <w:r w:rsidRPr="00D630D1">
        <w:rPr>
          <w:rFonts w:ascii="Times New Roman" w:cs="Times New Roman"/>
        </w:rPr>
        <w:t>大宁厂向斜，渔沙</w:t>
      </w:r>
      <w:r w:rsidRPr="00D630D1">
        <w:rPr>
          <w:rFonts w:ascii="Times New Roman" w:cs="Times New Roman"/>
        </w:rPr>
        <w:t>-</w:t>
      </w:r>
      <w:r w:rsidRPr="00D630D1">
        <w:rPr>
          <w:rFonts w:ascii="Times New Roman" w:cs="Times New Roman"/>
        </w:rPr>
        <w:t>建楼冲断复背斜，满月冲断向斜，石塘坝</w:t>
      </w:r>
      <w:r w:rsidRPr="00D630D1">
        <w:rPr>
          <w:rFonts w:ascii="Times New Roman" w:cs="Times New Roman"/>
        </w:rPr>
        <w:t>-</w:t>
      </w:r>
      <w:r w:rsidRPr="00D630D1">
        <w:rPr>
          <w:rFonts w:ascii="Times New Roman" w:cs="Times New Roman"/>
        </w:rPr>
        <w:t>添子城复背斜，斜水园背斜等，这些构造的规模都较大，县境内只是其局部地段。其复背斜轴部最老地层为志留系徐家坪组砂岩、砂质页岩，两翼为二迭系和三迭系灰岩、白云质灰岩；向斜核部最新地层为三迭系嘉陵江组灰岩，褶皱紧闭，并伴随逆冲断层产生。县境西部的北西向构造规模最小，一般都在</w:t>
      </w:r>
      <w:r w:rsidRPr="00D630D1">
        <w:rPr>
          <w:rFonts w:ascii="Times New Roman" w:cs="Times New Roman"/>
        </w:rPr>
        <w:t>10</w:t>
      </w:r>
      <w:r w:rsidRPr="00D630D1">
        <w:rPr>
          <w:rFonts w:ascii="Times New Roman" w:cs="Times New Roman"/>
        </w:rPr>
        <w:t>公里以内。</w:t>
      </w:r>
    </w:p>
    <w:p w:rsidR="00C674D5" w:rsidRPr="00D630D1" w:rsidRDefault="00FB72EC" w:rsidP="00A706F0">
      <w:pPr>
        <w:snapToGrid w:val="0"/>
        <w:spacing w:line="500" w:lineRule="exact"/>
        <w:ind w:firstLine="480"/>
        <w:rPr>
          <w:rFonts w:ascii="Times New Roman" w:cs="Times New Roman"/>
        </w:rPr>
      </w:pPr>
      <w:r w:rsidRPr="00D630D1">
        <w:rPr>
          <w:rFonts w:ascii="Times New Roman" w:cs="Times New Roman"/>
        </w:rPr>
        <w:t>根据钻井揭示及地表露头，普光地区下古生界地层较完整，仅缺失志留系上统。上古生界缺失了泥盆系全部和石炭系大部，仅残留中石炭统黄龙组，二叠系保留较全。中生界三叠系、侏罗系保留较全，白垩系仅局部有少量残留，新生界基本缺失。</w:t>
      </w:r>
    </w:p>
    <w:p w:rsidR="00C674D5" w:rsidRPr="00D630D1" w:rsidRDefault="00C674D5" w:rsidP="00C674D5">
      <w:pPr>
        <w:snapToGrid w:val="0"/>
        <w:spacing w:line="500" w:lineRule="exact"/>
        <w:ind w:firstLine="482"/>
        <w:rPr>
          <w:rFonts w:ascii="Times New Roman" w:cs="Times New Roman"/>
          <w:b/>
          <w:bCs/>
        </w:rPr>
      </w:pPr>
      <w:r w:rsidRPr="00D630D1">
        <w:rPr>
          <w:rFonts w:ascii="Times New Roman" w:cs="Times New Roman"/>
          <w:b/>
          <w:bCs/>
        </w:rPr>
        <w:t>2</w:t>
      </w:r>
      <w:r w:rsidRPr="00D630D1">
        <w:rPr>
          <w:rFonts w:ascii="Times New Roman" w:cs="Times New Roman"/>
          <w:b/>
          <w:bCs/>
        </w:rPr>
        <w:t>、地震</w:t>
      </w:r>
    </w:p>
    <w:p w:rsidR="00A706F0" w:rsidRPr="00D630D1" w:rsidRDefault="00A706F0" w:rsidP="00A706F0">
      <w:pPr>
        <w:pStyle w:val="afa"/>
        <w:ind w:firstLine="480"/>
      </w:pPr>
      <w:r w:rsidRPr="00D630D1">
        <w:rPr>
          <w:rStyle w:val="ae"/>
          <w:b w:val="0"/>
          <w:bCs w:val="0"/>
          <w:spacing w:val="0"/>
          <w:position w:val="0"/>
          <w:sz w:val="24"/>
        </w:rPr>
        <w:t>根据《建筑抗震设计规范》（</w:t>
      </w:r>
      <w:r w:rsidRPr="00D630D1">
        <w:rPr>
          <w:rStyle w:val="ae"/>
          <w:b w:val="0"/>
          <w:bCs w:val="0"/>
          <w:spacing w:val="0"/>
          <w:position w:val="0"/>
          <w:sz w:val="24"/>
        </w:rPr>
        <w:t>GB50011-2010</w:t>
      </w:r>
      <w:r w:rsidRPr="00D630D1">
        <w:rPr>
          <w:rStyle w:val="ae"/>
          <w:b w:val="0"/>
          <w:bCs w:val="0"/>
          <w:spacing w:val="0"/>
          <w:position w:val="0"/>
          <w:sz w:val="24"/>
        </w:rPr>
        <w:t>），宣汉抗震设防烈度为</w:t>
      </w:r>
      <w:r w:rsidRPr="00D630D1">
        <w:rPr>
          <w:rStyle w:val="ae"/>
          <w:b w:val="0"/>
          <w:bCs w:val="0"/>
          <w:spacing w:val="0"/>
          <w:position w:val="0"/>
          <w:sz w:val="24"/>
        </w:rPr>
        <w:t>6</w:t>
      </w:r>
      <w:r w:rsidRPr="00D630D1">
        <w:rPr>
          <w:rStyle w:val="ae"/>
          <w:b w:val="0"/>
          <w:bCs w:val="0"/>
          <w:spacing w:val="0"/>
          <w:position w:val="0"/>
          <w:sz w:val="24"/>
        </w:rPr>
        <w:t>度，</w:t>
      </w:r>
      <w:r w:rsidRPr="00D630D1">
        <w:rPr>
          <w:rStyle w:val="ae"/>
          <w:b w:val="0"/>
          <w:bCs w:val="0"/>
          <w:spacing w:val="0"/>
          <w:position w:val="0"/>
          <w:sz w:val="24"/>
        </w:rPr>
        <w:lastRenderedPageBreak/>
        <w:t>设计基本地震加速度值为</w:t>
      </w:r>
      <w:r w:rsidRPr="00D630D1">
        <w:rPr>
          <w:rStyle w:val="ae"/>
          <w:b w:val="0"/>
          <w:bCs w:val="0"/>
          <w:spacing w:val="0"/>
          <w:position w:val="0"/>
          <w:sz w:val="24"/>
        </w:rPr>
        <w:t>0.05g</w:t>
      </w:r>
      <w:r w:rsidRPr="00D630D1">
        <w:rPr>
          <w:rStyle w:val="ae"/>
          <w:b w:val="0"/>
          <w:bCs w:val="0"/>
          <w:spacing w:val="0"/>
          <w:position w:val="0"/>
          <w:sz w:val="24"/>
        </w:rPr>
        <w:t>，属第一组，可不考虑地震液化问题。另查阅县志，整个宣汉县境尚无地震活动的记载。因此总体上区域稳定性良好，适宜工程修建。</w:t>
      </w:r>
    </w:p>
    <w:p w:rsidR="00117C3D" w:rsidRPr="00D630D1" w:rsidRDefault="0015431B">
      <w:pPr>
        <w:pStyle w:val="3"/>
        <w:rPr>
          <w:rFonts w:eastAsia="宋体"/>
        </w:rPr>
      </w:pPr>
      <w:bookmarkStart w:id="417" w:name="_Toc19816010"/>
      <w:bookmarkStart w:id="418" w:name="_Toc12288548"/>
      <w:bookmarkEnd w:id="412"/>
      <w:bookmarkEnd w:id="414"/>
      <w:r w:rsidRPr="00D630D1">
        <w:rPr>
          <w:rFonts w:eastAsia="宋体"/>
        </w:rPr>
        <w:t>5</w:t>
      </w:r>
      <w:r w:rsidR="008B5B84" w:rsidRPr="00D630D1">
        <w:rPr>
          <w:rFonts w:eastAsia="宋体"/>
        </w:rPr>
        <w:t xml:space="preserve">.1.6 </w:t>
      </w:r>
      <w:r w:rsidR="008B5B84" w:rsidRPr="00D630D1">
        <w:rPr>
          <w:rFonts w:eastAsia="宋体"/>
        </w:rPr>
        <w:t>土壤</w:t>
      </w:r>
    </w:p>
    <w:p w:rsidR="00A706F0" w:rsidRPr="00D630D1" w:rsidRDefault="00A706F0" w:rsidP="00A706F0">
      <w:pPr>
        <w:pStyle w:val="afa"/>
        <w:ind w:firstLine="480"/>
      </w:pPr>
      <w:r w:rsidRPr="00D630D1">
        <w:t>线路所经地面以冲洪积砂质粘土夹砾岩为主，次为残坡积和崩坡积之砂质粘土夹碎块石，局部有小卵石混杂其中。区内土壤多由灰岩和砂页岩发育而成的砾石土、砾质土为主。土壤质地与母岩和地形关系密切，一般由砂岩发育的多为沙质土；由砂页岩互层发育的多为壤质土；泥岩和灰岩发育的多为粘质土，陡坡地和二迭系以前母岩发育的多为砾石土和砾质土。土壤剖面各发生层的质地上下变化较小，仅少数土壤剖面物粘含量有随深度增加而增加的趋势。</w:t>
      </w:r>
    </w:p>
    <w:p w:rsidR="00A706F0" w:rsidRPr="00D630D1" w:rsidRDefault="00A706F0" w:rsidP="00A706F0">
      <w:pPr>
        <w:pStyle w:val="afa"/>
        <w:ind w:firstLine="480"/>
      </w:pPr>
      <w:r w:rsidRPr="00D630D1">
        <w:t>土壤以中性和微酸性为主，其次是微碱性，少数酸性。</w:t>
      </w:r>
      <w:r w:rsidRPr="00D630D1">
        <w:t>pH</w:t>
      </w:r>
      <w:r w:rsidRPr="00D630D1">
        <w:t>值在</w:t>
      </w:r>
      <w:r w:rsidRPr="00D630D1">
        <w:t>4.5</w:t>
      </w:r>
      <w:r w:rsidRPr="00D630D1">
        <w:t>～</w:t>
      </w:r>
      <w:r w:rsidRPr="00D630D1">
        <w:t>5.4</w:t>
      </w:r>
      <w:r w:rsidRPr="00D630D1">
        <w:t>之间的占</w:t>
      </w:r>
      <w:r w:rsidRPr="00D630D1">
        <w:t>6.4%</w:t>
      </w:r>
      <w:r w:rsidRPr="00D630D1">
        <w:t>；</w:t>
      </w:r>
      <w:r w:rsidRPr="00D630D1">
        <w:t>5.5</w:t>
      </w:r>
      <w:r w:rsidRPr="00D630D1">
        <w:t>～</w:t>
      </w:r>
      <w:r w:rsidRPr="00D630D1">
        <w:t>6.4</w:t>
      </w:r>
      <w:r w:rsidRPr="00D630D1">
        <w:t>之间的占</w:t>
      </w:r>
      <w:r w:rsidRPr="00D630D1">
        <w:t>34%</w:t>
      </w:r>
      <w:r w:rsidRPr="00D630D1">
        <w:t>；</w:t>
      </w:r>
      <w:r w:rsidRPr="00D630D1">
        <w:t>6.5</w:t>
      </w:r>
      <w:r w:rsidRPr="00D630D1">
        <w:t>～</w:t>
      </w:r>
      <w:r w:rsidRPr="00D630D1">
        <w:t>7.5</w:t>
      </w:r>
      <w:r w:rsidRPr="00D630D1">
        <w:t>之间的占</w:t>
      </w:r>
      <w:r w:rsidRPr="00D630D1">
        <w:t>34.2%</w:t>
      </w:r>
      <w:r w:rsidRPr="00D630D1">
        <w:t>；</w:t>
      </w:r>
      <w:r w:rsidRPr="00D630D1">
        <w:t>7.6</w:t>
      </w:r>
      <w:r w:rsidRPr="00D630D1">
        <w:t>～</w:t>
      </w:r>
      <w:r w:rsidRPr="00D630D1">
        <w:t>8.5</w:t>
      </w:r>
      <w:r w:rsidRPr="00D630D1">
        <w:t>之间的占</w:t>
      </w:r>
      <w:r w:rsidRPr="00D630D1">
        <w:t>25.3%</w:t>
      </w:r>
      <w:r w:rsidRPr="00D630D1">
        <w:t>。</w:t>
      </w:r>
    </w:p>
    <w:p w:rsidR="00A706F0" w:rsidRPr="00D630D1" w:rsidRDefault="00A706F0" w:rsidP="00A706F0">
      <w:pPr>
        <w:pStyle w:val="afa"/>
        <w:ind w:firstLine="480"/>
      </w:pPr>
      <w:r w:rsidRPr="00D630D1">
        <w:t>工程区域地层岩性较为单一，上部主要为第四系松散覆盖层，包括残坡积层、崩坡积层，下伏基岩为侏罗系中统沙溪庙组（</w:t>
      </w:r>
      <w:r w:rsidRPr="00D630D1">
        <w:t>J</w:t>
      </w:r>
      <w:r w:rsidRPr="00D630D1">
        <w:rPr>
          <w:vertAlign w:val="subscript"/>
        </w:rPr>
        <w:t>2</w:t>
      </w:r>
      <w:r w:rsidRPr="00D630D1">
        <w:t>S</w:t>
      </w:r>
      <w:r w:rsidRPr="00D630D1">
        <w:t>）。沿线出露地层由上至下分别为：</w:t>
      </w:r>
    </w:p>
    <w:p w:rsidR="00A706F0" w:rsidRPr="00D630D1" w:rsidRDefault="00A706F0" w:rsidP="00A706F0">
      <w:pPr>
        <w:pStyle w:val="afa"/>
        <w:ind w:firstLine="480"/>
      </w:pPr>
      <w:r w:rsidRPr="00D630D1">
        <w:t>1</w:t>
      </w:r>
      <w:r w:rsidRPr="00D630D1">
        <w:t>）第四系残坡积层：</w:t>
      </w:r>
    </w:p>
    <w:p w:rsidR="00A706F0" w:rsidRPr="00D630D1" w:rsidRDefault="00A706F0" w:rsidP="00A706F0">
      <w:pPr>
        <w:pStyle w:val="afa"/>
        <w:ind w:firstLine="480"/>
      </w:pPr>
      <w:r w:rsidRPr="00D630D1">
        <w:t>主要为砂土、砂质粘土、粘土，干燥，松散，分布很广。坡体及坡体上覆盖层厚度很薄，一般</w:t>
      </w:r>
      <w:r w:rsidRPr="00D630D1">
        <w:t>0.2</w:t>
      </w:r>
      <w:r w:rsidRPr="00D630D1">
        <w:t>～</w:t>
      </w:r>
      <w:r w:rsidRPr="00D630D1">
        <w:t>0.5m</w:t>
      </w:r>
      <w:r w:rsidRPr="00D630D1">
        <w:t>。沟谷中为砂质粘土、粘土。厚度较大，一般为</w:t>
      </w:r>
      <w:r w:rsidRPr="00D630D1">
        <w:t>1.0</w:t>
      </w:r>
      <w:r w:rsidRPr="00D630D1">
        <w:t>～</w:t>
      </w:r>
      <w:r w:rsidRPr="00D630D1">
        <w:t>2.5m</w:t>
      </w:r>
      <w:r w:rsidRPr="00D630D1">
        <w:t>左右，为可塑状。</w:t>
      </w:r>
    </w:p>
    <w:p w:rsidR="00A706F0" w:rsidRPr="00D630D1" w:rsidRDefault="00A706F0" w:rsidP="00A706F0">
      <w:pPr>
        <w:pStyle w:val="afa"/>
        <w:ind w:firstLine="480"/>
      </w:pPr>
      <w:r w:rsidRPr="00D630D1">
        <w:t>2</w:t>
      </w:r>
      <w:r w:rsidRPr="00D630D1">
        <w:t>）第四系崩坡积层：</w:t>
      </w:r>
    </w:p>
    <w:p w:rsidR="00A706F0" w:rsidRPr="00D630D1" w:rsidRDefault="00A706F0" w:rsidP="00A706F0">
      <w:pPr>
        <w:pStyle w:val="afa"/>
        <w:ind w:firstLine="480"/>
      </w:pPr>
      <w:r w:rsidRPr="00D630D1">
        <w:t>主要分布于陡坡下部，为含碎块石土，厚度一般为</w:t>
      </w:r>
      <w:r w:rsidRPr="00D630D1">
        <w:t>1.0</w:t>
      </w:r>
      <w:r w:rsidRPr="00D630D1">
        <w:t>～</w:t>
      </w:r>
      <w:r w:rsidRPr="00D630D1">
        <w:t>3.0m</w:t>
      </w:r>
      <w:r w:rsidRPr="00D630D1">
        <w:t>。碎块石成份主要为砂岩碎块石，另外可见巨大孤石。</w:t>
      </w:r>
    </w:p>
    <w:p w:rsidR="00A706F0" w:rsidRPr="00D630D1" w:rsidRDefault="00A706F0" w:rsidP="00A706F0">
      <w:pPr>
        <w:pStyle w:val="afa"/>
        <w:ind w:firstLine="480"/>
      </w:pPr>
      <w:r w:rsidRPr="00D630D1">
        <w:t>3</w:t>
      </w:r>
      <w:r w:rsidRPr="00D630D1">
        <w:t>）基岩</w:t>
      </w:r>
    </w:p>
    <w:p w:rsidR="00A706F0" w:rsidRPr="00D630D1" w:rsidRDefault="00A706F0" w:rsidP="00A706F0">
      <w:pPr>
        <w:pStyle w:val="afa"/>
        <w:ind w:firstLine="480"/>
      </w:pPr>
      <w:r w:rsidRPr="00D630D1">
        <w:t>侏罗系中统沙溪庙组为含钙质结核的紫红色砂质泥岩、粉砂岩、泥质粉砂岩与黄灰色块状长石岩屑石英砂岩不等厚互层。砂岩坚硬性脆，常形成陡坎陡崖，泥岩易风化剥落，多形成缓坡。</w:t>
      </w:r>
    </w:p>
    <w:p w:rsidR="00117C3D" w:rsidRPr="00D630D1" w:rsidRDefault="002016A1">
      <w:pPr>
        <w:pStyle w:val="3"/>
        <w:rPr>
          <w:rFonts w:eastAsia="宋体"/>
        </w:rPr>
      </w:pPr>
      <w:r w:rsidRPr="00D630D1">
        <w:rPr>
          <w:rFonts w:eastAsia="宋体"/>
        </w:rPr>
        <w:t>5</w:t>
      </w:r>
      <w:r w:rsidR="008B5B84" w:rsidRPr="00D630D1">
        <w:rPr>
          <w:rFonts w:eastAsia="宋体"/>
        </w:rPr>
        <w:t xml:space="preserve">.1.7 </w:t>
      </w:r>
      <w:r w:rsidRPr="00D630D1">
        <w:rPr>
          <w:rFonts w:eastAsia="宋体"/>
        </w:rPr>
        <w:t>自然资源</w:t>
      </w:r>
    </w:p>
    <w:p w:rsidR="002016A1" w:rsidRPr="00D630D1" w:rsidRDefault="002016A1" w:rsidP="002016A1">
      <w:pPr>
        <w:ind w:firstLine="482"/>
        <w:rPr>
          <w:rFonts w:ascii="Times New Roman" w:cs="Times New Roman"/>
          <w:b/>
          <w:bCs/>
        </w:rPr>
      </w:pPr>
      <w:r w:rsidRPr="00D630D1">
        <w:rPr>
          <w:rFonts w:ascii="Times New Roman" w:cs="Times New Roman"/>
          <w:b/>
          <w:bCs/>
        </w:rPr>
        <w:t>1</w:t>
      </w:r>
      <w:r w:rsidRPr="00D630D1">
        <w:rPr>
          <w:rFonts w:ascii="Times New Roman" w:cs="Times New Roman"/>
          <w:b/>
          <w:bCs/>
        </w:rPr>
        <w:t>、植物资源</w:t>
      </w:r>
    </w:p>
    <w:p w:rsidR="002016A1" w:rsidRPr="00D630D1" w:rsidRDefault="00A706F0" w:rsidP="002016A1">
      <w:pPr>
        <w:pStyle w:val="afa"/>
        <w:ind w:firstLine="480"/>
      </w:pPr>
      <w:r w:rsidRPr="00D630D1">
        <w:lastRenderedPageBreak/>
        <w:t>宣汉县</w:t>
      </w:r>
      <w:r w:rsidR="002016A1" w:rsidRPr="00D630D1">
        <w:t>自然地带性植物为亚热带常绿阔叶林，自然植被分布较为广泛，其群落结构和优势树种依山形地和土地利用现状而有所不同。境内有乔木、灌木、藤木、草木等各种植物</w:t>
      </w:r>
      <w:r w:rsidR="002016A1" w:rsidRPr="00D630D1">
        <w:t>700</w:t>
      </w:r>
      <w:r w:rsidR="002016A1" w:rsidRPr="00D630D1">
        <w:t>多种，乔木以马尾松为主，分布在县境内三低山区，杉木、柏木、栎类等马尾松林类散生分布，浅丘、平坝多为桉树、千丈、桤木、泡桐等，初步查清乔木树种有</w:t>
      </w:r>
      <w:r w:rsidR="002016A1" w:rsidRPr="00D630D1">
        <w:t>38</w:t>
      </w:r>
      <w:r w:rsidR="002016A1" w:rsidRPr="00D630D1">
        <w:t>个科、</w:t>
      </w:r>
      <w:r w:rsidR="002016A1" w:rsidRPr="00D630D1">
        <w:t>63</w:t>
      </w:r>
      <w:r w:rsidR="002016A1" w:rsidRPr="00D630D1">
        <w:t>个属、</w:t>
      </w:r>
      <w:r w:rsidR="002016A1" w:rsidRPr="00D630D1">
        <w:t>223</w:t>
      </w:r>
      <w:r w:rsidR="002016A1" w:rsidRPr="00D630D1">
        <w:t>个种；灌木主要有马桑、黄刺、杜鹊、水红子等</w:t>
      </w:r>
      <w:r w:rsidR="002016A1" w:rsidRPr="00D630D1">
        <w:t>14</w:t>
      </w:r>
      <w:r w:rsidR="002016A1" w:rsidRPr="00D630D1">
        <w:t>个种；竹类主要有慈竹、白夹竹、水竹、楠竹、斑竹等</w:t>
      </w:r>
      <w:r w:rsidR="002016A1" w:rsidRPr="00D630D1">
        <w:t>50</w:t>
      </w:r>
      <w:r w:rsidR="002016A1" w:rsidRPr="00D630D1">
        <w:t>多个竹种；草本有艾蒿、茅草、芭茅、苔藓、蕨类等；还有菌类低等植物。稀有植物有银杏、红豆、香樟、楠木、水杉等。</w:t>
      </w:r>
    </w:p>
    <w:p w:rsidR="00A706F0" w:rsidRPr="00D630D1" w:rsidRDefault="00A706F0" w:rsidP="002016A1">
      <w:pPr>
        <w:pStyle w:val="afa"/>
        <w:ind w:firstLine="480"/>
      </w:pPr>
      <w:r w:rsidRPr="00D630D1">
        <w:t>宣汉县截至</w:t>
      </w:r>
      <w:r w:rsidRPr="00D630D1">
        <w:t>2019</w:t>
      </w:r>
      <w:r w:rsidRPr="00D630D1">
        <w:t>年末，现有林业用地面积</w:t>
      </w:r>
      <w:r w:rsidRPr="00D630D1">
        <w:t>380</w:t>
      </w:r>
      <w:r w:rsidRPr="00D630D1">
        <w:t>万亩，森林面积</w:t>
      </w:r>
      <w:r w:rsidRPr="00D630D1">
        <w:t>350</w:t>
      </w:r>
      <w:r w:rsidRPr="00D630D1">
        <w:t>万亩，活立木储蓄量</w:t>
      </w:r>
      <w:r w:rsidRPr="00D630D1">
        <w:t>1267</w:t>
      </w:r>
      <w:r w:rsidRPr="00D630D1">
        <w:t>万立方米；宣汉县境内植被多样，野生植物</w:t>
      </w:r>
      <w:r w:rsidRPr="00D630D1">
        <w:t>3000</w:t>
      </w:r>
      <w:r w:rsidRPr="00D630D1">
        <w:t>余种，桫椤、崖柏、银杏、黄连、天麻、杜仲等国家重点保护植物达</w:t>
      </w:r>
      <w:r w:rsidRPr="00D630D1">
        <w:t>10</w:t>
      </w:r>
      <w:r w:rsidRPr="00D630D1">
        <w:t>余种。</w:t>
      </w:r>
      <w:r w:rsidRPr="00D630D1">
        <w:t>2016</w:t>
      </w:r>
      <w:r w:rsidRPr="00D630D1">
        <w:t>年完成造林面积</w:t>
      </w:r>
      <w:r w:rsidRPr="00D630D1">
        <w:t>800</w:t>
      </w:r>
      <w:r w:rsidRPr="00D630D1">
        <w:t>公顷，年末森林面积</w:t>
      </w:r>
      <w:r w:rsidRPr="00D630D1">
        <w:t>256797</w:t>
      </w:r>
      <w:r w:rsidRPr="00D630D1">
        <w:t>公顷，森林覆盖率达</w:t>
      </w:r>
      <w:r w:rsidRPr="00D630D1">
        <w:t>60.1%</w:t>
      </w:r>
      <w:r w:rsidRPr="00D630D1">
        <w:t>。</w:t>
      </w:r>
    </w:p>
    <w:p w:rsidR="002016A1" w:rsidRPr="00D630D1" w:rsidRDefault="002016A1" w:rsidP="002016A1">
      <w:pPr>
        <w:pStyle w:val="afa"/>
        <w:ind w:firstLine="482"/>
        <w:rPr>
          <w:b/>
          <w:bCs/>
        </w:rPr>
      </w:pPr>
      <w:r w:rsidRPr="00D630D1">
        <w:rPr>
          <w:b/>
          <w:bCs/>
        </w:rPr>
        <w:t>据调查，评价区域内无需特殊保护的珍稀濒危野生动植物及名木古树。</w:t>
      </w:r>
    </w:p>
    <w:p w:rsidR="002016A1" w:rsidRPr="00D630D1" w:rsidRDefault="002016A1" w:rsidP="002016A1">
      <w:pPr>
        <w:ind w:firstLine="482"/>
        <w:rPr>
          <w:rFonts w:ascii="Times New Roman" w:cs="Times New Roman"/>
          <w:b/>
          <w:bCs/>
        </w:rPr>
      </w:pPr>
      <w:r w:rsidRPr="00D630D1">
        <w:rPr>
          <w:rFonts w:ascii="Times New Roman" w:cs="Times New Roman"/>
          <w:b/>
          <w:bCs/>
        </w:rPr>
        <w:t>2</w:t>
      </w:r>
      <w:r w:rsidRPr="00D630D1">
        <w:rPr>
          <w:rFonts w:ascii="Times New Roman" w:cs="Times New Roman"/>
          <w:b/>
          <w:bCs/>
        </w:rPr>
        <w:t>、动物资源</w:t>
      </w:r>
    </w:p>
    <w:p w:rsidR="00A706F0" w:rsidRPr="00D630D1" w:rsidRDefault="00A706F0" w:rsidP="00A706F0">
      <w:pPr>
        <w:ind w:firstLine="480"/>
        <w:rPr>
          <w:rFonts w:ascii="Times New Roman" w:cs="Times New Roman"/>
        </w:rPr>
      </w:pPr>
      <w:r w:rsidRPr="00D630D1">
        <w:rPr>
          <w:rFonts w:ascii="Times New Roman" w:cs="Times New Roman"/>
        </w:rPr>
        <w:t>宣汉县野生动物较多，兽类有麂、刺猬、果子狸、狐狸、水獭、黄鼠狼、野兔、松鼠等；鸟类有鹭鸶、鹰、鹧鸪、燕子、野鸡、斑鸠、猫头鹰、喜鹊等；蛇虫类有乌梢蛇、螳螂、蜻蜓、蜜蜂、蝴蝶、蜘蛛、蚂蚁等；水生动物有鱼、虾、蚌、蟹、蛙等。</w:t>
      </w:r>
    </w:p>
    <w:p w:rsidR="002016A1" w:rsidRPr="00D630D1" w:rsidRDefault="00A706F0" w:rsidP="00A706F0">
      <w:pPr>
        <w:ind w:firstLine="480"/>
        <w:rPr>
          <w:rFonts w:ascii="Times New Roman" w:cs="Times New Roman"/>
          <w:b/>
          <w:bCs/>
        </w:rPr>
      </w:pPr>
      <w:r w:rsidRPr="00D630D1">
        <w:rPr>
          <w:rFonts w:ascii="Times New Roman" w:cs="Times New Roman"/>
        </w:rPr>
        <w:t>经现场踏勘，本项目评价范围内未发现国家保护的珍稀植物分布。本项目附近的野生动物主要是适合栖息于农田、居民点周边的种类，如农田常见的啮齿类、两栖类、爬行类和画眉、麻雀等常见鸟类，无大型陆生野生动物，也无国家保护的陆生珍稀野生动物。经调查访问和沿途观察，本项目所在区域的自然植被受人为活动影响不复存在，区域内无需保护的珍稀动、植物及古树名木。</w:t>
      </w:r>
    </w:p>
    <w:p w:rsidR="00117C3D" w:rsidRPr="00D630D1" w:rsidRDefault="002016A1">
      <w:pPr>
        <w:pStyle w:val="3"/>
        <w:rPr>
          <w:rFonts w:eastAsia="宋体"/>
        </w:rPr>
      </w:pPr>
      <w:r w:rsidRPr="00D630D1">
        <w:rPr>
          <w:rFonts w:eastAsia="宋体"/>
        </w:rPr>
        <w:t>5</w:t>
      </w:r>
      <w:r w:rsidR="008B5B84" w:rsidRPr="00D630D1">
        <w:rPr>
          <w:rFonts w:eastAsia="宋体"/>
        </w:rPr>
        <w:t>.1.</w:t>
      </w:r>
      <w:r w:rsidRPr="00D630D1">
        <w:rPr>
          <w:rFonts w:eastAsia="宋体"/>
        </w:rPr>
        <w:t>8</w:t>
      </w:r>
      <w:r w:rsidR="008B5B84" w:rsidRPr="00D630D1">
        <w:rPr>
          <w:rFonts w:eastAsia="宋体"/>
        </w:rPr>
        <w:t xml:space="preserve"> </w:t>
      </w:r>
      <w:r w:rsidR="008B5B84" w:rsidRPr="00D630D1">
        <w:rPr>
          <w:rFonts w:eastAsia="宋体"/>
        </w:rPr>
        <w:t>矿产资源</w:t>
      </w:r>
      <w:bookmarkEnd w:id="417"/>
    </w:p>
    <w:p w:rsidR="00A706F0" w:rsidRPr="00D630D1" w:rsidRDefault="00A706F0" w:rsidP="00A706F0">
      <w:pPr>
        <w:pStyle w:val="afa"/>
        <w:ind w:firstLine="480"/>
      </w:pPr>
      <w:r w:rsidRPr="00D630D1">
        <w:t>截至</w:t>
      </w:r>
      <w:r w:rsidRPr="00D630D1">
        <w:t>2018</w:t>
      </w:r>
      <w:r w:rsidRPr="00D630D1">
        <w:t>年，宣汉县共探测到的资源达</w:t>
      </w:r>
      <w:r w:rsidRPr="00D630D1">
        <w:t>28</w:t>
      </w:r>
      <w:r w:rsidRPr="00D630D1">
        <w:t>种，主要矿产资源概括为：一煤（煤炭），二气（石油、天然气），三土（粘土、高岭土、膨润土），五石（滑石、长石、大理石、石英石、石灰石），八矿（铁、砷、硅、硫磺、石膏、铝、卤钾、岩盐）。天然气预测储量高达</w:t>
      </w:r>
      <w:r w:rsidRPr="00D630D1">
        <w:t>1.5</w:t>
      </w:r>
      <w:r w:rsidRPr="00D630D1">
        <w:t>万亿立方米，居中国第</w:t>
      </w:r>
      <w:r w:rsidRPr="00D630D1">
        <w:t>2</w:t>
      </w:r>
      <w:r w:rsidRPr="00D630D1">
        <w:t>位，已探明开发储量达</w:t>
      </w:r>
      <w:r w:rsidRPr="00D630D1">
        <w:t>3000-6000</w:t>
      </w:r>
      <w:r w:rsidRPr="00D630D1">
        <w:t>亿立方米，系西南地区天然气气田中心、国家</w:t>
      </w:r>
      <w:r w:rsidRPr="00D630D1">
        <w:t>“</w:t>
      </w:r>
      <w:r w:rsidRPr="00D630D1">
        <w:t>西气东输工</w:t>
      </w:r>
      <w:r w:rsidRPr="00D630D1">
        <w:lastRenderedPageBreak/>
        <w:t>程</w:t>
      </w:r>
      <w:r w:rsidRPr="00D630D1">
        <w:t>”</w:t>
      </w:r>
      <w:r w:rsidRPr="00D630D1">
        <w:t>重要基地。原煤储量达</w:t>
      </w:r>
      <w:r w:rsidRPr="00D630D1">
        <w:t>1.6</w:t>
      </w:r>
      <w:r w:rsidRPr="00D630D1">
        <w:t>亿吨，发热量</w:t>
      </w:r>
      <w:r w:rsidRPr="00D630D1">
        <w:t>6000</w:t>
      </w:r>
      <w:r w:rsidRPr="00D630D1">
        <w:t>大卡以上。富钾卤水储量达</w:t>
      </w:r>
      <w:r w:rsidRPr="00D630D1">
        <w:t>1.3</w:t>
      </w:r>
      <w:r w:rsidRPr="00D630D1">
        <w:t>亿立方米，是国家盐化工业基地自贡黑卤的</w:t>
      </w:r>
      <w:r w:rsidRPr="00D630D1">
        <w:t>10</w:t>
      </w:r>
      <w:r w:rsidRPr="00D630D1">
        <w:t>倍。此外，还有大理石</w:t>
      </w:r>
      <w:r w:rsidRPr="00D630D1">
        <w:t>30</w:t>
      </w:r>
      <w:r w:rsidRPr="00D630D1">
        <w:t>亿立方米，石灰石</w:t>
      </w:r>
      <w:r w:rsidRPr="00D630D1">
        <w:t>30</w:t>
      </w:r>
      <w:r w:rsidRPr="00D630D1">
        <w:t>亿立方米，石英石</w:t>
      </w:r>
      <w:r w:rsidRPr="00D630D1">
        <w:t>3000</w:t>
      </w:r>
      <w:r w:rsidRPr="00D630D1">
        <w:t>万立方米，硫磺矿</w:t>
      </w:r>
      <w:r w:rsidRPr="00D630D1">
        <w:t>867</w:t>
      </w:r>
      <w:r w:rsidRPr="00D630D1">
        <w:t>万吨，铁矿</w:t>
      </w:r>
      <w:r w:rsidRPr="00D630D1">
        <w:t>1800</w:t>
      </w:r>
      <w:r w:rsidRPr="00D630D1">
        <w:t>万吨等。</w:t>
      </w:r>
    </w:p>
    <w:p w:rsidR="00117C3D" w:rsidRPr="00D630D1" w:rsidRDefault="009E2729" w:rsidP="009E2729">
      <w:pPr>
        <w:pStyle w:val="2"/>
        <w:spacing w:before="120"/>
        <w:rPr>
          <w:rFonts w:cs="Times New Roman"/>
        </w:rPr>
      </w:pPr>
      <w:bookmarkStart w:id="419" w:name="bookmark28"/>
      <w:bookmarkStart w:id="420" w:name="_Toc81515282"/>
      <w:bookmarkStart w:id="421" w:name="_Toc12288559"/>
      <w:bookmarkStart w:id="422" w:name="_Toc19816013"/>
      <w:bookmarkEnd w:id="418"/>
      <w:bookmarkEnd w:id="419"/>
      <w:r w:rsidRPr="00D630D1">
        <w:rPr>
          <w:rFonts w:cs="Times New Roman"/>
        </w:rPr>
        <w:t>5</w:t>
      </w:r>
      <w:r w:rsidR="008B5B84" w:rsidRPr="00D630D1">
        <w:rPr>
          <w:rFonts w:cs="Times New Roman"/>
        </w:rPr>
        <w:t xml:space="preserve">.2 </w:t>
      </w:r>
      <w:r w:rsidR="008B5B84" w:rsidRPr="00D630D1">
        <w:rPr>
          <w:rFonts w:cs="Times New Roman"/>
        </w:rPr>
        <w:t>生态环境调查与评价</w:t>
      </w:r>
      <w:bookmarkEnd w:id="420"/>
    </w:p>
    <w:p w:rsidR="00117C3D" w:rsidRPr="00D630D1" w:rsidRDefault="008B5B84" w:rsidP="00796EFD">
      <w:pPr>
        <w:pStyle w:val="afa"/>
        <w:ind w:firstLine="480"/>
      </w:pPr>
      <w:r w:rsidRPr="00D630D1">
        <w:t>生态现状调查是生态现状评价、影响预测的基础和依据，本次工程生态现状调查的主要内容包括：生态功能区划、主要生态问题、土地利用现状、基本农田现状、植被分布现状、土壤侵蚀现状、评价区野生动植物和沿线生态敏感区分布等生态背景和生态问题。区域的主要生态问题为水土流失问题。调查查明了水土流失的成因、空间分布和发生特点。</w:t>
      </w:r>
    </w:p>
    <w:p w:rsidR="00D01CD7" w:rsidRPr="00D630D1" w:rsidRDefault="00D01CD7" w:rsidP="00D01CD7">
      <w:pPr>
        <w:tabs>
          <w:tab w:val="left" w:pos="0"/>
        </w:tabs>
        <w:ind w:firstLine="480"/>
        <w:rPr>
          <w:rFonts w:ascii="Times New Roman" w:cs="Times New Roman"/>
        </w:rPr>
      </w:pPr>
      <w:r w:rsidRPr="00D630D1">
        <w:t>本项目生态影响评价等级为</w:t>
      </w:r>
      <w:r w:rsidRPr="00D630D1">
        <w:rPr>
          <w:rFonts w:hint="eastAsia"/>
        </w:rPr>
        <w:t>二</w:t>
      </w:r>
      <w:r w:rsidRPr="00D630D1">
        <w:t>级，</w:t>
      </w:r>
      <w:r w:rsidRPr="00D630D1">
        <w:rPr>
          <w:rFonts w:ascii="Times New Roman" w:cs="Times New Roman"/>
        </w:rPr>
        <w:t>根据《环境影响评价技术导则</w:t>
      </w:r>
      <w:r w:rsidRPr="00D630D1">
        <w:rPr>
          <w:rFonts w:ascii="Times New Roman" w:cs="Times New Roman"/>
        </w:rPr>
        <w:t xml:space="preserve"> </w:t>
      </w:r>
      <w:r w:rsidRPr="00D630D1">
        <w:rPr>
          <w:rFonts w:ascii="Times New Roman" w:cs="Times New Roman"/>
        </w:rPr>
        <w:t>生态影响》（</w:t>
      </w:r>
      <w:r w:rsidRPr="00D630D1">
        <w:rPr>
          <w:rFonts w:ascii="Times New Roman" w:cs="Times New Roman"/>
        </w:rPr>
        <w:t>HJ19-2022</w:t>
      </w:r>
      <w:r w:rsidRPr="00D630D1">
        <w:rPr>
          <w:rFonts w:ascii="Times New Roman" w:cs="Times New Roman"/>
        </w:rPr>
        <w:t>）、《环境影响评价技术导则</w:t>
      </w:r>
      <w:r w:rsidRPr="00D630D1">
        <w:rPr>
          <w:rFonts w:ascii="Times New Roman" w:cs="Times New Roman"/>
        </w:rPr>
        <w:t xml:space="preserve"> </w:t>
      </w:r>
      <w:r w:rsidRPr="00D630D1">
        <w:rPr>
          <w:rFonts w:ascii="Times New Roman" w:cs="Times New Roman"/>
        </w:rPr>
        <w:t>陆地石油天然气开发建设项目》（</w:t>
      </w:r>
      <w:r w:rsidRPr="00D630D1">
        <w:rPr>
          <w:rFonts w:ascii="Times New Roman" w:cs="Times New Roman"/>
        </w:rPr>
        <w:t>HJ/T349-2007</w:t>
      </w:r>
      <w:r w:rsidRPr="00D630D1">
        <w:rPr>
          <w:rFonts w:ascii="Times New Roman" w:cs="Times New Roman"/>
        </w:rPr>
        <w:t>）中关于评价范围的划分原则和本项目现场踏勘调查实际情况，确定本评价范围如下：</w:t>
      </w:r>
    </w:p>
    <w:p w:rsidR="00D01CD7" w:rsidRDefault="001F1370" w:rsidP="00D01CD7">
      <w:pPr>
        <w:pStyle w:val="afa"/>
        <w:ind w:firstLine="480"/>
        <w:rPr>
          <w:szCs w:val="24"/>
        </w:rPr>
      </w:pPr>
      <w:r>
        <w:rPr>
          <w:rFonts w:hint="eastAsia"/>
        </w:rPr>
        <w:t>外输管线</w:t>
      </w:r>
      <w:r>
        <w:rPr>
          <w:szCs w:val="24"/>
        </w:rPr>
        <w:t>两侧</w:t>
      </w:r>
      <w:r>
        <w:rPr>
          <w:szCs w:val="24"/>
        </w:rPr>
        <w:t>300m</w:t>
      </w:r>
      <w:r>
        <w:rPr>
          <w:rFonts w:hint="eastAsia"/>
          <w:szCs w:val="24"/>
        </w:rPr>
        <w:t>、</w:t>
      </w:r>
      <w:r>
        <w:rPr>
          <w:szCs w:val="24"/>
        </w:rPr>
        <w:t>站场</w:t>
      </w:r>
      <w:r>
        <w:rPr>
          <w:rFonts w:hint="eastAsia"/>
          <w:szCs w:val="24"/>
        </w:rPr>
        <w:t>（</w:t>
      </w:r>
      <w:r>
        <w:rPr>
          <w:szCs w:val="24"/>
        </w:rPr>
        <w:t>井场工程</w:t>
      </w:r>
      <w:r>
        <w:rPr>
          <w:rFonts w:hint="eastAsia"/>
          <w:szCs w:val="24"/>
        </w:rPr>
        <w:t>、</w:t>
      </w:r>
      <w:r>
        <w:rPr>
          <w:szCs w:val="24"/>
        </w:rPr>
        <w:t>放喷池</w:t>
      </w:r>
      <w:r>
        <w:rPr>
          <w:rFonts w:hint="eastAsia"/>
          <w:szCs w:val="24"/>
        </w:rPr>
        <w:t>、</w:t>
      </w:r>
      <w:r>
        <w:rPr>
          <w:szCs w:val="24"/>
        </w:rPr>
        <w:t>放喷通道</w:t>
      </w:r>
      <w:r>
        <w:rPr>
          <w:rFonts w:hint="eastAsia"/>
          <w:szCs w:val="24"/>
        </w:rPr>
        <w:t>、</w:t>
      </w:r>
      <w:r>
        <w:rPr>
          <w:szCs w:val="24"/>
        </w:rPr>
        <w:t>火炬区</w:t>
      </w:r>
      <w:r>
        <w:rPr>
          <w:rFonts w:hint="eastAsia"/>
          <w:szCs w:val="24"/>
        </w:rPr>
        <w:t>、</w:t>
      </w:r>
      <w:r>
        <w:rPr>
          <w:szCs w:val="24"/>
        </w:rPr>
        <w:t>巡检通道</w:t>
      </w:r>
      <w:r>
        <w:rPr>
          <w:rFonts w:hint="eastAsia"/>
          <w:szCs w:val="24"/>
        </w:rPr>
        <w:t>、</w:t>
      </w:r>
      <w:r>
        <w:rPr>
          <w:szCs w:val="24"/>
        </w:rPr>
        <w:t>生活区</w:t>
      </w:r>
      <w:r>
        <w:rPr>
          <w:rFonts w:hint="eastAsia"/>
          <w:szCs w:val="24"/>
        </w:rPr>
        <w:t>等）</w:t>
      </w:r>
      <w:r>
        <w:rPr>
          <w:szCs w:val="24"/>
        </w:rPr>
        <w:t>周边</w:t>
      </w:r>
      <w:r>
        <w:rPr>
          <w:szCs w:val="24"/>
        </w:rPr>
        <w:t>2000m</w:t>
      </w:r>
      <w:r>
        <w:rPr>
          <w:rFonts w:hint="eastAsia"/>
          <w:szCs w:val="24"/>
        </w:rPr>
        <w:t>，面积</w:t>
      </w:r>
      <w:r>
        <w:rPr>
          <w:rFonts w:hint="eastAsia"/>
          <w:szCs w:val="24"/>
        </w:rPr>
        <w:t>1366.73hm</w:t>
      </w:r>
      <w:r>
        <w:rPr>
          <w:rFonts w:hint="eastAsia"/>
          <w:szCs w:val="24"/>
          <w:vertAlign w:val="superscript"/>
        </w:rPr>
        <w:t>2</w:t>
      </w:r>
      <w:r w:rsidR="00D01CD7" w:rsidRPr="00D630D1">
        <w:rPr>
          <w:szCs w:val="24"/>
        </w:rPr>
        <w:t>。</w:t>
      </w:r>
    </w:p>
    <w:p w:rsidR="00A605E6" w:rsidRPr="00D630D1" w:rsidRDefault="00A605E6" w:rsidP="00D01CD7">
      <w:pPr>
        <w:pStyle w:val="afa"/>
        <w:ind w:firstLine="480"/>
      </w:pPr>
      <w:r w:rsidRPr="005556D5">
        <w:rPr>
          <w:rFonts w:eastAsiaTheme="minorEastAsia" w:hAnsiTheme="minorEastAsia"/>
        </w:rPr>
        <w:t>本项目涉及的</w:t>
      </w:r>
      <w:r w:rsidR="009A64D0">
        <w:rPr>
          <w:rFonts w:eastAsiaTheme="minorEastAsia" w:hAnsiTheme="minorEastAsia" w:hint="eastAsia"/>
        </w:rPr>
        <w:t>采气站和管线范围与普光气田</w:t>
      </w:r>
      <w:r w:rsidRPr="005556D5">
        <w:rPr>
          <w:rFonts w:eastAsiaTheme="minorEastAsia" w:hAnsiTheme="minorEastAsia"/>
        </w:rPr>
        <w:t>普陆</w:t>
      </w:r>
      <w:r w:rsidRPr="005556D5">
        <w:rPr>
          <w:rFonts w:eastAsiaTheme="minorEastAsia"/>
        </w:rPr>
        <w:t>3-1</w:t>
      </w:r>
      <w:r w:rsidRPr="005556D5">
        <w:rPr>
          <w:rFonts w:eastAsiaTheme="minorEastAsia" w:hAnsiTheme="minorEastAsia"/>
        </w:rPr>
        <w:t>井、普陆</w:t>
      </w:r>
      <w:r w:rsidRPr="005556D5">
        <w:rPr>
          <w:rFonts w:eastAsiaTheme="minorEastAsia"/>
        </w:rPr>
        <w:t>3-2</w:t>
      </w:r>
      <w:r w:rsidRPr="005556D5">
        <w:rPr>
          <w:rFonts w:eastAsiaTheme="minorEastAsia" w:hAnsiTheme="minorEastAsia"/>
        </w:rPr>
        <w:t>井钻井及试采工程一致，</w:t>
      </w:r>
      <w:r>
        <w:rPr>
          <w:rFonts w:eastAsiaTheme="minorEastAsia" w:hAnsiTheme="minorEastAsia" w:hint="eastAsia"/>
        </w:rPr>
        <w:t>即本次生态</w:t>
      </w:r>
      <w:r w:rsidRPr="005556D5">
        <w:rPr>
          <w:rFonts w:eastAsiaTheme="minorEastAsia" w:hAnsiTheme="minorEastAsia"/>
        </w:rPr>
        <w:t>评价范围</w:t>
      </w:r>
      <w:r>
        <w:rPr>
          <w:rFonts w:eastAsiaTheme="minorEastAsia" w:hAnsiTheme="minorEastAsia" w:hint="eastAsia"/>
        </w:rPr>
        <w:t>与</w:t>
      </w:r>
      <w:r w:rsidRPr="005556D5">
        <w:rPr>
          <w:rFonts w:eastAsiaTheme="minorEastAsia" w:hAnsiTheme="minorEastAsia"/>
        </w:rPr>
        <w:t>普光气田普陆</w:t>
      </w:r>
      <w:r w:rsidRPr="005556D5">
        <w:rPr>
          <w:rFonts w:eastAsiaTheme="minorEastAsia"/>
        </w:rPr>
        <w:t>3-1</w:t>
      </w:r>
      <w:r w:rsidRPr="005556D5">
        <w:rPr>
          <w:rFonts w:eastAsiaTheme="minorEastAsia" w:hAnsiTheme="minorEastAsia"/>
        </w:rPr>
        <w:t>井、普陆</w:t>
      </w:r>
      <w:r w:rsidRPr="005556D5">
        <w:rPr>
          <w:rFonts w:eastAsiaTheme="minorEastAsia"/>
        </w:rPr>
        <w:t>3-2</w:t>
      </w:r>
      <w:r w:rsidRPr="005556D5">
        <w:rPr>
          <w:rFonts w:eastAsiaTheme="minorEastAsia" w:hAnsiTheme="minorEastAsia"/>
        </w:rPr>
        <w:t>井钻井及试采工程</w:t>
      </w:r>
      <w:r>
        <w:rPr>
          <w:rFonts w:eastAsiaTheme="minorEastAsia" w:hAnsiTheme="minorEastAsia" w:hint="eastAsia"/>
        </w:rPr>
        <w:t>生态评价范围一致，</w:t>
      </w:r>
      <w:r w:rsidRPr="005556D5">
        <w:rPr>
          <w:rFonts w:eastAsiaTheme="minorEastAsia" w:hAnsiTheme="minorEastAsia"/>
        </w:rPr>
        <w:t>因此本次</w:t>
      </w:r>
      <w:r w:rsidR="009A64D0">
        <w:rPr>
          <w:rFonts w:eastAsiaTheme="minorEastAsia" w:hAnsiTheme="minorEastAsia" w:hint="eastAsia"/>
        </w:rPr>
        <w:t>生态环境</w:t>
      </w:r>
      <w:r w:rsidRPr="005556D5">
        <w:rPr>
          <w:rFonts w:eastAsiaTheme="minorEastAsia" w:hAnsiTheme="minorEastAsia"/>
        </w:rPr>
        <w:t>调查引用《普光气田普陆</w:t>
      </w:r>
      <w:r w:rsidRPr="005556D5">
        <w:rPr>
          <w:rFonts w:eastAsiaTheme="minorEastAsia"/>
        </w:rPr>
        <w:t>3-1</w:t>
      </w:r>
      <w:r w:rsidRPr="005556D5">
        <w:rPr>
          <w:rFonts w:eastAsiaTheme="minorEastAsia" w:hAnsiTheme="minorEastAsia"/>
        </w:rPr>
        <w:t>井、普陆</w:t>
      </w:r>
      <w:r w:rsidRPr="005556D5">
        <w:rPr>
          <w:rFonts w:eastAsiaTheme="minorEastAsia"/>
        </w:rPr>
        <w:t>3-2</w:t>
      </w:r>
      <w:r w:rsidRPr="005556D5">
        <w:rPr>
          <w:rFonts w:eastAsiaTheme="minorEastAsia" w:hAnsiTheme="minorEastAsia"/>
        </w:rPr>
        <w:t>井钻井及试采工程环境影响报告书》中</w:t>
      </w:r>
      <w:r w:rsidRPr="005556D5">
        <w:rPr>
          <w:rFonts w:hint="eastAsia"/>
        </w:rPr>
        <w:t>的生态</w:t>
      </w:r>
      <w:r w:rsidR="0048351B">
        <w:rPr>
          <w:rFonts w:hint="eastAsia"/>
        </w:rPr>
        <w:t>环境</w:t>
      </w:r>
      <w:r w:rsidRPr="005556D5">
        <w:rPr>
          <w:rFonts w:hint="eastAsia"/>
        </w:rPr>
        <w:t>调查结果进行分析。</w:t>
      </w:r>
    </w:p>
    <w:p w:rsidR="00117C3D" w:rsidRPr="00D630D1" w:rsidRDefault="006119E3">
      <w:pPr>
        <w:pStyle w:val="3"/>
        <w:rPr>
          <w:rFonts w:eastAsia="宋体"/>
        </w:rPr>
      </w:pPr>
      <w:bookmarkStart w:id="423" w:name="_Toc12288582"/>
      <w:r w:rsidRPr="00D630D1">
        <w:rPr>
          <w:rFonts w:eastAsia="宋体"/>
        </w:rPr>
        <w:t>5</w:t>
      </w:r>
      <w:r w:rsidR="008B5B84" w:rsidRPr="00D630D1">
        <w:rPr>
          <w:rFonts w:eastAsia="宋体"/>
        </w:rPr>
        <w:t>.2.</w:t>
      </w:r>
      <w:r w:rsidR="00A85C31" w:rsidRPr="00D630D1">
        <w:rPr>
          <w:rFonts w:eastAsia="宋体"/>
        </w:rPr>
        <w:t>1</w:t>
      </w:r>
      <w:r w:rsidR="008B5B84" w:rsidRPr="00D630D1">
        <w:rPr>
          <w:rFonts w:eastAsia="宋体"/>
        </w:rPr>
        <w:t xml:space="preserve"> </w:t>
      </w:r>
      <w:r w:rsidR="008B5B84" w:rsidRPr="00D630D1">
        <w:rPr>
          <w:rFonts w:eastAsia="宋体"/>
        </w:rPr>
        <w:t>生态系统类型及主要生态环境问题</w:t>
      </w:r>
    </w:p>
    <w:p w:rsidR="00F84AF8" w:rsidRPr="00D630D1" w:rsidRDefault="00F84AF8" w:rsidP="00F84AF8">
      <w:pPr>
        <w:pStyle w:val="afa"/>
        <w:ind w:firstLine="480"/>
      </w:pPr>
      <w:r w:rsidRPr="00D630D1">
        <w:t>拟建管道沿线经过宣汉县，根据《四川省生态功能区划》（</w:t>
      </w:r>
      <w:r w:rsidRPr="00D630D1">
        <w:t>2010</w:t>
      </w:r>
      <w:r w:rsidRPr="00D630D1">
        <w:t>版），管线穿越地区的生态功能区划见下表。</w:t>
      </w:r>
    </w:p>
    <w:p w:rsidR="00F84AF8" w:rsidRPr="00D630D1" w:rsidRDefault="00F84AF8" w:rsidP="00F84AF8">
      <w:pPr>
        <w:pStyle w:val="10"/>
        <w:rPr>
          <w:rFonts w:cs="Times New Roman"/>
        </w:rPr>
      </w:pPr>
      <w:r w:rsidRPr="00D630D1">
        <w:rPr>
          <w:rFonts w:cs="Times New Roman"/>
        </w:rPr>
        <w:t>表</w:t>
      </w:r>
      <w:r w:rsidRPr="00D630D1">
        <w:rPr>
          <w:rFonts w:cs="Times New Roman"/>
        </w:rPr>
        <w:t xml:space="preserve">5.2-1  </w:t>
      </w:r>
      <w:r w:rsidRPr="00D630D1">
        <w:rPr>
          <w:rFonts w:cs="Times New Roman"/>
        </w:rPr>
        <w:t>管线穿越的生态功能区</w:t>
      </w:r>
    </w:p>
    <w:tbl>
      <w:tblPr>
        <w:tblW w:w="5269" w:type="pct"/>
        <w:jc w:val="center"/>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tblPr>
      <w:tblGrid>
        <w:gridCol w:w="851"/>
        <w:gridCol w:w="1080"/>
        <w:gridCol w:w="1143"/>
        <w:gridCol w:w="1322"/>
        <w:gridCol w:w="1134"/>
        <w:gridCol w:w="3223"/>
      </w:tblGrid>
      <w:tr w:rsidR="00D26881" w:rsidRPr="00D630D1" w:rsidTr="00EF6C21">
        <w:trPr>
          <w:trHeight w:val="21"/>
          <w:jc w:val="center"/>
        </w:trPr>
        <w:tc>
          <w:tcPr>
            <w:tcW w:w="486" w:type="pct"/>
            <w:vAlign w:val="center"/>
          </w:tcPr>
          <w:p w:rsidR="00F84AF8" w:rsidRPr="00D630D1" w:rsidRDefault="00F84AF8" w:rsidP="00F84AF8">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生态区</w:t>
            </w:r>
          </w:p>
        </w:tc>
        <w:tc>
          <w:tcPr>
            <w:tcW w:w="617" w:type="pct"/>
            <w:vAlign w:val="center"/>
          </w:tcPr>
          <w:p w:rsidR="00F84AF8" w:rsidRPr="00D630D1" w:rsidRDefault="00F84AF8" w:rsidP="00F84AF8">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生态亚区</w:t>
            </w:r>
          </w:p>
        </w:tc>
        <w:tc>
          <w:tcPr>
            <w:tcW w:w="653" w:type="pct"/>
            <w:vAlign w:val="center"/>
          </w:tcPr>
          <w:p w:rsidR="00F84AF8" w:rsidRPr="00D630D1" w:rsidRDefault="00F84AF8" w:rsidP="00F84AF8">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生态功能区</w:t>
            </w:r>
          </w:p>
        </w:tc>
        <w:tc>
          <w:tcPr>
            <w:tcW w:w="755" w:type="pct"/>
            <w:vAlign w:val="center"/>
          </w:tcPr>
          <w:p w:rsidR="00F84AF8" w:rsidRPr="00D630D1" w:rsidRDefault="00F84AF8" w:rsidP="00F84AF8">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主要环境问题</w:t>
            </w:r>
          </w:p>
        </w:tc>
        <w:tc>
          <w:tcPr>
            <w:tcW w:w="648" w:type="pct"/>
            <w:vAlign w:val="center"/>
          </w:tcPr>
          <w:p w:rsidR="00F84AF8" w:rsidRPr="00D630D1" w:rsidRDefault="00F84AF8" w:rsidP="00F84AF8">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服务功能</w:t>
            </w:r>
          </w:p>
        </w:tc>
        <w:tc>
          <w:tcPr>
            <w:tcW w:w="1841" w:type="pct"/>
            <w:vAlign w:val="center"/>
          </w:tcPr>
          <w:p w:rsidR="00F84AF8" w:rsidRPr="00D630D1" w:rsidRDefault="00F84AF8" w:rsidP="00F84AF8">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保护与发展</w:t>
            </w:r>
          </w:p>
        </w:tc>
      </w:tr>
      <w:tr w:rsidR="00D26881" w:rsidRPr="00D630D1" w:rsidTr="00EF6C21">
        <w:trPr>
          <w:trHeight w:val="21"/>
          <w:jc w:val="center"/>
        </w:trPr>
        <w:tc>
          <w:tcPr>
            <w:tcW w:w="486" w:type="pct"/>
            <w:vAlign w:val="center"/>
          </w:tcPr>
          <w:p w:rsidR="00F84AF8" w:rsidRPr="00D630D1" w:rsidRDefault="00F84AF8" w:rsidP="00F84AF8">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I</w:t>
            </w:r>
            <w:r w:rsidRPr="00D630D1">
              <w:rPr>
                <w:rFonts w:ascii="Times New Roman" w:hAnsi="Times New Roman" w:cs="Times New Roman"/>
                <w:color w:val="auto"/>
                <w:sz w:val="21"/>
                <w:szCs w:val="21"/>
              </w:rPr>
              <w:t>四川盆地亚热带湿润气候生态区</w:t>
            </w:r>
          </w:p>
        </w:tc>
        <w:tc>
          <w:tcPr>
            <w:tcW w:w="617" w:type="pct"/>
            <w:vAlign w:val="center"/>
          </w:tcPr>
          <w:p w:rsidR="00F84AF8" w:rsidRPr="00D630D1" w:rsidRDefault="00F84AF8" w:rsidP="00F84AF8">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I-3</w:t>
            </w:r>
            <w:r w:rsidRPr="00D630D1">
              <w:rPr>
                <w:rFonts w:ascii="Times New Roman" w:hAnsi="Times New Roman" w:cs="Times New Roman"/>
                <w:color w:val="auto"/>
                <w:sz w:val="21"/>
                <w:szCs w:val="21"/>
              </w:rPr>
              <w:t>盆北秦巴山地常绿阔叶林</w:t>
            </w:r>
            <w:r w:rsidRPr="00D630D1">
              <w:rPr>
                <w:rFonts w:ascii="Times New Roman" w:hAnsi="Times New Roman" w:cs="Times New Roman"/>
                <w:color w:val="auto"/>
                <w:sz w:val="21"/>
                <w:szCs w:val="21"/>
              </w:rPr>
              <w:t>-</w:t>
            </w:r>
            <w:r w:rsidRPr="00D630D1">
              <w:rPr>
                <w:rFonts w:ascii="Times New Roman" w:hAnsi="Times New Roman" w:cs="Times New Roman"/>
                <w:color w:val="auto"/>
                <w:sz w:val="21"/>
                <w:szCs w:val="21"/>
              </w:rPr>
              <w:t>针阔混交林生态亚区</w:t>
            </w:r>
          </w:p>
        </w:tc>
        <w:tc>
          <w:tcPr>
            <w:tcW w:w="653" w:type="pct"/>
            <w:vAlign w:val="center"/>
          </w:tcPr>
          <w:p w:rsidR="00F84AF8" w:rsidRPr="00D630D1" w:rsidRDefault="00F84AF8" w:rsidP="00F84AF8">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I-3-2</w:t>
            </w:r>
            <w:r w:rsidRPr="00D630D1">
              <w:rPr>
                <w:rFonts w:ascii="Times New Roman" w:hAnsi="Times New Roman" w:cs="Times New Roman"/>
                <w:color w:val="auto"/>
                <w:sz w:val="21"/>
                <w:szCs w:val="21"/>
              </w:rPr>
              <w:t>大巴山水源涵养与土壤保持生态功能区</w:t>
            </w:r>
          </w:p>
        </w:tc>
        <w:tc>
          <w:tcPr>
            <w:tcW w:w="755" w:type="pct"/>
            <w:vAlign w:val="center"/>
          </w:tcPr>
          <w:p w:rsidR="00F84AF8" w:rsidRPr="00D630D1" w:rsidRDefault="00F84AF8" w:rsidP="00F84AF8">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多洪灾，滑坡崩塌强烈发育，水土流失严重</w:t>
            </w:r>
          </w:p>
        </w:tc>
        <w:tc>
          <w:tcPr>
            <w:tcW w:w="648" w:type="pct"/>
            <w:vAlign w:val="center"/>
          </w:tcPr>
          <w:p w:rsidR="00F84AF8" w:rsidRPr="00D630D1" w:rsidRDefault="00F84AF8" w:rsidP="00F84AF8">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水源涵养功能，土壤保持功能</w:t>
            </w:r>
          </w:p>
        </w:tc>
        <w:tc>
          <w:tcPr>
            <w:tcW w:w="1841" w:type="pct"/>
            <w:vAlign w:val="center"/>
          </w:tcPr>
          <w:p w:rsidR="00F84AF8" w:rsidRPr="00D630D1" w:rsidRDefault="00F84AF8" w:rsidP="00F84AF8">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保护森林植被和生物多样性，巩固长江上游防护林建设、天然林保护和退耕还林成果。合理开发和利用自然资源，发展特色农业，绿色和有机农产品。拓展生态农业产业链，培育新的经济增长点。规范和严格</w:t>
            </w:r>
            <w:r w:rsidRPr="00D630D1">
              <w:rPr>
                <w:rFonts w:ascii="Times New Roman" w:hAnsi="Times New Roman" w:cs="Times New Roman"/>
                <w:color w:val="auto"/>
                <w:sz w:val="21"/>
                <w:szCs w:val="21"/>
              </w:rPr>
              <w:lastRenderedPageBreak/>
              <w:t>管理矿产、水电、生物资源的开发，防止对生态环境和生态系统的不利影响</w:t>
            </w:r>
          </w:p>
        </w:tc>
      </w:tr>
    </w:tbl>
    <w:p w:rsidR="00F84AF8" w:rsidRPr="00D630D1" w:rsidRDefault="00F84AF8" w:rsidP="00F84AF8">
      <w:pPr>
        <w:pStyle w:val="afa"/>
        <w:ind w:firstLine="480"/>
      </w:pPr>
      <w:r w:rsidRPr="00D630D1">
        <w:lastRenderedPageBreak/>
        <w:t>本项目位于四川盆地亚热带湿润气候生态区，属于大巴山水源涵养与土壤保持生态功能区（</w:t>
      </w:r>
      <w:r w:rsidRPr="00D630D1">
        <w:t>I-3-2</w:t>
      </w:r>
      <w:r w:rsidRPr="00D630D1">
        <w:t>），该生态功能区的主导功能是水源涵养功能，土壤保持功能。面临的主要环境问题是多洪灾，滑坡崩塌强烈发育，水土流失严重。</w:t>
      </w:r>
    </w:p>
    <w:p w:rsidR="00F84AF8" w:rsidRPr="00D630D1" w:rsidRDefault="00F84AF8" w:rsidP="00F84AF8">
      <w:pPr>
        <w:pStyle w:val="3"/>
        <w:rPr>
          <w:rFonts w:eastAsia="宋体"/>
        </w:rPr>
      </w:pPr>
      <w:r w:rsidRPr="00D630D1">
        <w:rPr>
          <w:rFonts w:eastAsia="宋体"/>
        </w:rPr>
        <w:t>5.2.2</w:t>
      </w:r>
      <w:r w:rsidR="00D01CD7" w:rsidRPr="00D630D1">
        <w:rPr>
          <w:rFonts w:eastAsia="宋体" w:hint="eastAsia"/>
        </w:rPr>
        <w:t>生态环境现状调查方法</w:t>
      </w:r>
    </w:p>
    <w:p w:rsidR="00D01CD7" w:rsidRPr="00D630D1" w:rsidRDefault="00D01CD7" w:rsidP="00D01CD7">
      <w:pPr>
        <w:spacing w:line="480" w:lineRule="exact"/>
        <w:ind w:firstLineChars="196" w:firstLine="472"/>
        <w:rPr>
          <w:rFonts w:ascii="Times New Roman" w:cs="Times New Roman"/>
          <w:b/>
          <w:bCs/>
        </w:rPr>
      </w:pPr>
      <w:r w:rsidRPr="00D630D1">
        <w:rPr>
          <w:rFonts w:ascii="Times New Roman" w:cs="Times New Roman"/>
          <w:b/>
          <w:bCs/>
        </w:rPr>
        <w:t>1</w:t>
      </w:r>
      <w:r w:rsidRPr="00D630D1">
        <w:rPr>
          <w:rFonts w:ascii="Times New Roman" w:cs="Times New Roman"/>
          <w:b/>
          <w:bCs/>
        </w:rPr>
        <w:t>、基础资料收集</w:t>
      </w:r>
    </w:p>
    <w:p w:rsidR="00D01CD7" w:rsidRPr="00D630D1" w:rsidRDefault="00D01CD7" w:rsidP="00D01CD7">
      <w:pPr>
        <w:pStyle w:val="44"/>
        <w:spacing w:line="480" w:lineRule="exact"/>
        <w:ind w:left="0" w:firstLineChars="200" w:firstLine="480"/>
        <w:rPr>
          <w:rFonts w:ascii="Times New Roman" w:eastAsia="宋体" w:hAnsi="Times New Roman"/>
          <w:sz w:val="24"/>
          <w:szCs w:val="24"/>
        </w:rPr>
      </w:pPr>
      <w:r w:rsidRPr="00D630D1">
        <w:rPr>
          <w:rFonts w:ascii="Times New Roman" w:eastAsia="宋体" w:hAnsi="Times New Roman"/>
          <w:sz w:val="24"/>
          <w:szCs w:val="24"/>
        </w:rPr>
        <w:t>收集整理项目涉及区域现有生物资料，包括市志、统计年鉴以及林业、环保、水利、农业、国土资源等部门提供的相关资料，并且参考《中国植物志》、《中国高等植物图鉴》、《四川植物志》和《四川资源动物志》系列等专著。</w:t>
      </w:r>
    </w:p>
    <w:p w:rsidR="00D01CD7" w:rsidRPr="00D630D1" w:rsidRDefault="00D01CD7" w:rsidP="00D01CD7">
      <w:pPr>
        <w:spacing w:line="480" w:lineRule="exact"/>
        <w:ind w:firstLineChars="196" w:firstLine="472"/>
        <w:rPr>
          <w:rFonts w:ascii="Times New Roman" w:cs="Times New Roman"/>
          <w:b/>
          <w:bCs/>
        </w:rPr>
      </w:pPr>
      <w:r w:rsidRPr="00D630D1">
        <w:rPr>
          <w:rFonts w:ascii="Times New Roman" w:cs="Times New Roman"/>
          <w:b/>
          <w:bCs/>
        </w:rPr>
        <w:t>2</w:t>
      </w:r>
      <w:r w:rsidRPr="00D630D1">
        <w:rPr>
          <w:rFonts w:ascii="Times New Roman" w:cs="Times New Roman"/>
          <w:b/>
          <w:bCs/>
        </w:rPr>
        <w:t>、生物资源调查方法</w:t>
      </w:r>
    </w:p>
    <w:p w:rsidR="00D01CD7" w:rsidRPr="00D630D1" w:rsidRDefault="00D01CD7" w:rsidP="00D01CD7">
      <w:pPr>
        <w:spacing w:line="480" w:lineRule="exact"/>
        <w:ind w:firstLineChars="196" w:firstLine="472"/>
        <w:rPr>
          <w:rFonts w:ascii="Times New Roman" w:cs="Times New Roman"/>
          <w:b/>
          <w:bCs/>
        </w:rPr>
      </w:pPr>
      <w:r w:rsidRPr="00D630D1">
        <w:rPr>
          <w:rFonts w:ascii="Times New Roman" w:cs="Times New Roman"/>
          <w:b/>
          <w:bCs/>
        </w:rPr>
        <w:t>（</w:t>
      </w:r>
      <w:r w:rsidRPr="00D630D1">
        <w:rPr>
          <w:rFonts w:ascii="Times New Roman" w:cs="Times New Roman"/>
          <w:b/>
          <w:bCs/>
        </w:rPr>
        <w:t>1</w:t>
      </w:r>
      <w:r w:rsidRPr="00D630D1">
        <w:rPr>
          <w:rFonts w:ascii="Times New Roman" w:cs="Times New Roman"/>
          <w:b/>
          <w:bCs/>
        </w:rPr>
        <w:t>）野外生态信息数据的采集与处理</w:t>
      </w:r>
    </w:p>
    <w:p w:rsidR="00D01CD7" w:rsidRPr="00D630D1" w:rsidRDefault="00D01CD7" w:rsidP="00D01CD7">
      <w:pPr>
        <w:pStyle w:val="44"/>
        <w:spacing w:line="480" w:lineRule="exact"/>
        <w:ind w:left="0" w:firstLineChars="200" w:firstLine="480"/>
        <w:rPr>
          <w:rFonts w:ascii="Times New Roman" w:eastAsia="宋体" w:hAnsi="Times New Roman"/>
          <w:sz w:val="24"/>
          <w:szCs w:val="24"/>
        </w:rPr>
      </w:pPr>
      <w:r w:rsidRPr="00D630D1">
        <w:rPr>
          <w:rFonts w:ascii="Times New Roman" w:eastAsia="宋体" w:hAnsi="Times New Roman"/>
          <w:sz w:val="24"/>
        </w:rPr>
        <w:t>野外生态信息数据的采集主要借助</w:t>
      </w:r>
      <w:r w:rsidRPr="00D630D1">
        <w:rPr>
          <w:rFonts w:ascii="Times New Roman" w:eastAsia="宋体" w:hAnsi="Times New Roman"/>
          <w:sz w:val="24"/>
        </w:rPr>
        <w:t>HOLUX M-241</w:t>
      </w:r>
      <w:r w:rsidRPr="00D630D1">
        <w:rPr>
          <w:rFonts w:ascii="Times New Roman" w:eastAsia="宋体" w:hAnsi="Times New Roman"/>
          <w:sz w:val="24"/>
        </w:rPr>
        <w:t>蓝牙</w:t>
      </w:r>
      <w:r w:rsidRPr="00D630D1">
        <w:rPr>
          <w:rFonts w:ascii="Times New Roman" w:eastAsia="宋体" w:hAnsi="Times New Roman"/>
          <w:sz w:val="24"/>
        </w:rPr>
        <w:t>GPS</w:t>
      </w:r>
      <w:r w:rsidRPr="00D630D1">
        <w:rPr>
          <w:rFonts w:ascii="Times New Roman" w:eastAsia="宋体" w:hAnsi="Times New Roman"/>
          <w:sz w:val="24"/>
        </w:rPr>
        <w:t>记录器获取及尼康单反数码相机。</w:t>
      </w:r>
      <w:r w:rsidRPr="00D630D1">
        <w:rPr>
          <w:rFonts w:ascii="Times New Roman" w:eastAsia="宋体" w:hAnsi="Times New Roman"/>
          <w:sz w:val="24"/>
        </w:rPr>
        <w:t>HOLUX M-241</w:t>
      </w:r>
      <w:r w:rsidRPr="00D630D1">
        <w:rPr>
          <w:rFonts w:ascii="Times New Roman" w:eastAsia="宋体" w:hAnsi="Times New Roman"/>
          <w:sz w:val="24"/>
        </w:rPr>
        <w:t>蓝牙</w:t>
      </w:r>
      <w:r w:rsidRPr="00D630D1">
        <w:rPr>
          <w:rFonts w:ascii="Times New Roman" w:eastAsia="宋体" w:hAnsi="Times New Roman"/>
          <w:sz w:val="24"/>
        </w:rPr>
        <w:t>GPS</w:t>
      </w:r>
      <w:r w:rsidRPr="00D630D1">
        <w:rPr>
          <w:rFonts w:ascii="Times New Roman" w:eastAsia="宋体" w:hAnsi="Times New Roman"/>
          <w:sz w:val="24"/>
        </w:rPr>
        <w:t>纪录器可以记录高达</w:t>
      </w:r>
      <w:r w:rsidRPr="00D630D1">
        <w:rPr>
          <w:rFonts w:ascii="Times New Roman" w:eastAsia="宋体" w:hAnsi="Times New Roman"/>
          <w:sz w:val="24"/>
        </w:rPr>
        <w:t>13</w:t>
      </w:r>
      <w:r w:rsidRPr="00D630D1">
        <w:rPr>
          <w:rFonts w:ascii="Times New Roman" w:eastAsia="宋体" w:hAnsi="Times New Roman"/>
          <w:sz w:val="24"/>
        </w:rPr>
        <w:t>万个位置，每个位置都含有经度、纬度、时间和高度资料；野外生态考察中开机让记</w:t>
      </w:r>
      <w:r w:rsidRPr="00D630D1">
        <w:rPr>
          <w:rFonts w:ascii="Times New Roman" w:eastAsia="宋体" w:hAnsi="Times New Roman"/>
          <w:sz w:val="24"/>
          <w:szCs w:val="24"/>
        </w:rPr>
        <w:t>录器始终处于运行状态，每</w:t>
      </w:r>
      <w:r w:rsidRPr="00D630D1">
        <w:rPr>
          <w:rFonts w:ascii="Times New Roman" w:eastAsia="宋体" w:hAnsi="Times New Roman"/>
          <w:sz w:val="24"/>
          <w:szCs w:val="24"/>
        </w:rPr>
        <w:t>5</w:t>
      </w:r>
      <w:r w:rsidRPr="00D630D1">
        <w:rPr>
          <w:rFonts w:ascii="Times New Roman" w:eastAsia="宋体" w:hAnsi="Times New Roman"/>
          <w:sz w:val="24"/>
          <w:szCs w:val="24"/>
        </w:rPr>
        <w:t>秒自动存储一个</w:t>
      </w:r>
      <w:r w:rsidRPr="00D630D1">
        <w:rPr>
          <w:rFonts w:ascii="Times New Roman" w:eastAsia="宋体" w:hAnsi="Times New Roman"/>
          <w:sz w:val="24"/>
          <w:szCs w:val="24"/>
        </w:rPr>
        <w:t>GPS</w:t>
      </w:r>
      <w:r w:rsidRPr="00D630D1">
        <w:rPr>
          <w:rFonts w:ascii="Times New Roman" w:eastAsia="宋体" w:hAnsi="Times New Roman"/>
          <w:sz w:val="24"/>
          <w:szCs w:val="24"/>
        </w:rPr>
        <w:t>点位，以保证野外考察中生态信息采集的完整性，同时于不同生态系统及重要生态考察点上采集照片。</w:t>
      </w:r>
    </w:p>
    <w:p w:rsidR="00D01CD7" w:rsidRPr="00D630D1" w:rsidRDefault="00D01CD7" w:rsidP="00D01CD7">
      <w:pPr>
        <w:pStyle w:val="44"/>
        <w:spacing w:line="480" w:lineRule="exact"/>
        <w:ind w:left="0" w:firstLineChars="200" w:firstLine="480"/>
        <w:rPr>
          <w:rFonts w:ascii="Times New Roman" w:eastAsia="宋体" w:hAnsi="Times New Roman"/>
          <w:sz w:val="24"/>
          <w:szCs w:val="24"/>
        </w:rPr>
      </w:pPr>
      <w:r w:rsidRPr="00D630D1">
        <w:rPr>
          <w:rFonts w:ascii="Times New Roman" w:eastAsia="宋体" w:hAnsi="Times New Roman"/>
          <w:sz w:val="24"/>
          <w:szCs w:val="24"/>
        </w:rPr>
        <w:t>将野外采集的</w:t>
      </w:r>
      <w:r w:rsidRPr="00D630D1">
        <w:rPr>
          <w:rFonts w:ascii="Times New Roman" w:eastAsia="宋体" w:hAnsi="Times New Roman"/>
          <w:sz w:val="24"/>
          <w:szCs w:val="24"/>
        </w:rPr>
        <w:t>GPS</w:t>
      </w:r>
      <w:r w:rsidRPr="00D630D1">
        <w:rPr>
          <w:rFonts w:ascii="Times New Roman" w:eastAsia="宋体" w:hAnsi="Times New Roman"/>
          <w:sz w:val="24"/>
          <w:szCs w:val="24"/>
        </w:rPr>
        <w:t>轨迹及照片导入电脑，运用</w:t>
      </w:r>
      <w:r w:rsidRPr="00D630D1">
        <w:rPr>
          <w:rFonts w:ascii="Times New Roman" w:eastAsia="宋体" w:hAnsi="Times New Roman"/>
          <w:sz w:val="24"/>
          <w:szCs w:val="24"/>
        </w:rPr>
        <w:t>GPicSync</w:t>
      </w:r>
      <w:r w:rsidRPr="00D630D1">
        <w:rPr>
          <w:rFonts w:ascii="Times New Roman" w:eastAsia="宋体" w:hAnsi="Times New Roman"/>
          <w:sz w:val="24"/>
          <w:szCs w:val="24"/>
        </w:rPr>
        <w:t>软件将航迹文件中各个记录点的时间信息与照片中</w:t>
      </w:r>
      <w:r w:rsidRPr="00D630D1">
        <w:rPr>
          <w:rFonts w:ascii="Times New Roman" w:eastAsia="宋体" w:hAnsi="Times New Roman"/>
          <w:sz w:val="24"/>
          <w:szCs w:val="24"/>
        </w:rPr>
        <w:t>exif</w:t>
      </w:r>
      <w:r w:rsidRPr="00D630D1">
        <w:rPr>
          <w:rFonts w:ascii="Times New Roman" w:eastAsia="宋体" w:hAnsi="Times New Roman"/>
          <w:sz w:val="24"/>
          <w:szCs w:val="24"/>
        </w:rPr>
        <w:t>信息中的时间信息进行匹配，当某个记录点的时间与某张照片中的时间匹配时（匹配的精度可以任意设置，软件默认</w:t>
      </w:r>
      <w:r w:rsidRPr="00D630D1">
        <w:rPr>
          <w:rFonts w:ascii="Times New Roman" w:eastAsia="宋体" w:hAnsi="Times New Roman"/>
          <w:sz w:val="24"/>
          <w:szCs w:val="24"/>
        </w:rPr>
        <w:t>300</w:t>
      </w:r>
      <w:r w:rsidRPr="00D630D1">
        <w:rPr>
          <w:rFonts w:ascii="Times New Roman" w:eastAsia="宋体" w:hAnsi="Times New Roman"/>
          <w:sz w:val="24"/>
          <w:szCs w:val="24"/>
        </w:rPr>
        <w:t>秒），即认为航迹文件中这个点的坐标即为照片拍摄地点的坐标，并将这个坐标写入照片的</w:t>
      </w:r>
      <w:r w:rsidRPr="00D630D1">
        <w:rPr>
          <w:rFonts w:ascii="Times New Roman" w:eastAsia="宋体" w:hAnsi="Times New Roman"/>
          <w:sz w:val="24"/>
          <w:szCs w:val="24"/>
        </w:rPr>
        <w:t>exif</w:t>
      </w:r>
      <w:r w:rsidRPr="00D630D1">
        <w:rPr>
          <w:rFonts w:ascii="Times New Roman" w:eastAsia="宋体" w:hAnsi="Times New Roman"/>
          <w:sz w:val="24"/>
          <w:szCs w:val="24"/>
        </w:rPr>
        <w:t>信息中并形成</w:t>
      </w:r>
      <w:r w:rsidRPr="00D630D1">
        <w:rPr>
          <w:rFonts w:ascii="Times New Roman" w:eastAsia="宋体" w:hAnsi="Times New Roman"/>
          <w:sz w:val="24"/>
          <w:szCs w:val="24"/>
        </w:rPr>
        <w:t>kml</w:t>
      </w:r>
      <w:r w:rsidRPr="00D630D1">
        <w:rPr>
          <w:rFonts w:ascii="Times New Roman" w:eastAsia="宋体" w:hAnsi="Times New Roman"/>
          <w:sz w:val="24"/>
          <w:szCs w:val="24"/>
        </w:rPr>
        <w:t>格式文件。最后可在</w:t>
      </w:r>
      <w:r w:rsidRPr="00D630D1">
        <w:rPr>
          <w:rFonts w:ascii="Times New Roman" w:eastAsia="宋体" w:hAnsi="Times New Roman"/>
          <w:sz w:val="24"/>
          <w:szCs w:val="24"/>
        </w:rPr>
        <w:t>ArcGIS</w:t>
      </w:r>
      <w:r w:rsidRPr="00D630D1">
        <w:rPr>
          <w:rFonts w:ascii="Times New Roman" w:eastAsia="宋体" w:hAnsi="Times New Roman"/>
          <w:sz w:val="24"/>
          <w:szCs w:val="24"/>
        </w:rPr>
        <w:t>及</w:t>
      </w:r>
      <w:r w:rsidRPr="00D630D1">
        <w:rPr>
          <w:rFonts w:ascii="Times New Roman" w:eastAsia="宋体" w:hAnsi="Times New Roman"/>
          <w:sz w:val="24"/>
          <w:szCs w:val="24"/>
        </w:rPr>
        <w:t>Google earth</w:t>
      </w:r>
      <w:r w:rsidRPr="00D630D1">
        <w:rPr>
          <w:rFonts w:ascii="Times New Roman" w:eastAsia="宋体" w:hAnsi="Times New Roman"/>
          <w:sz w:val="24"/>
          <w:szCs w:val="24"/>
        </w:rPr>
        <w:t>中调取相应生态考察点照片并结合卫片判读考察点生态现状，同时也为土地利用、水土流失、植被类型等生态图件的编绘提供依据并校正相应图件。</w:t>
      </w:r>
    </w:p>
    <w:p w:rsidR="00D01CD7" w:rsidRPr="00D630D1" w:rsidRDefault="00D01CD7" w:rsidP="00D01CD7">
      <w:pPr>
        <w:pStyle w:val="44"/>
        <w:spacing w:line="480" w:lineRule="exact"/>
        <w:ind w:left="0" w:firstLineChars="196" w:firstLine="472"/>
        <w:rPr>
          <w:rFonts w:ascii="Times New Roman" w:eastAsia="宋体" w:hAnsi="Times New Roman"/>
          <w:b/>
          <w:bCs/>
          <w:sz w:val="24"/>
          <w:szCs w:val="24"/>
        </w:rPr>
      </w:pPr>
      <w:r w:rsidRPr="00D630D1">
        <w:rPr>
          <w:rFonts w:ascii="Times New Roman" w:eastAsia="宋体" w:hAnsi="Times New Roman"/>
          <w:b/>
          <w:bCs/>
          <w:sz w:val="24"/>
          <w:szCs w:val="24"/>
        </w:rPr>
        <w:t>（</w:t>
      </w:r>
      <w:r w:rsidRPr="00D630D1">
        <w:rPr>
          <w:rFonts w:ascii="Times New Roman" w:eastAsia="宋体" w:hAnsi="Times New Roman"/>
          <w:b/>
          <w:bCs/>
          <w:sz w:val="24"/>
          <w:szCs w:val="24"/>
        </w:rPr>
        <w:t>2</w:t>
      </w:r>
      <w:r w:rsidRPr="00D630D1">
        <w:rPr>
          <w:rFonts w:ascii="Times New Roman" w:eastAsia="宋体" w:hAnsi="Times New Roman"/>
          <w:b/>
          <w:bCs/>
          <w:sz w:val="24"/>
          <w:szCs w:val="24"/>
        </w:rPr>
        <w:t>）</w:t>
      </w:r>
      <w:r w:rsidRPr="00D630D1">
        <w:rPr>
          <w:rFonts w:ascii="Times New Roman" w:eastAsia="宋体" w:hAnsi="Times New Roman"/>
          <w:b/>
          <w:bCs/>
          <w:sz w:val="24"/>
          <w:szCs w:val="24"/>
        </w:rPr>
        <w:t>GPS</w:t>
      </w:r>
      <w:r w:rsidRPr="00D630D1">
        <w:rPr>
          <w:rFonts w:ascii="Times New Roman" w:eastAsia="宋体" w:hAnsi="Times New Roman"/>
          <w:b/>
          <w:bCs/>
          <w:sz w:val="24"/>
          <w:szCs w:val="24"/>
        </w:rPr>
        <w:t>地面类型及植被调查取样</w:t>
      </w:r>
    </w:p>
    <w:p w:rsidR="00D01CD7" w:rsidRPr="00D630D1" w:rsidRDefault="00D01CD7" w:rsidP="00D01CD7">
      <w:pPr>
        <w:pStyle w:val="44"/>
        <w:spacing w:line="480" w:lineRule="exact"/>
        <w:ind w:left="0" w:firstLineChars="200" w:firstLine="480"/>
        <w:rPr>
          <w:rFonts w:ascii="Times New Roman" w:eastAsia="宋体" w:hAnsi="Times New Roman"/>
          <w:sz w:val="24"/>
          <w:szCs w:val="24"/>
        </w:rPr>
      </w:pPr>
      <w:r w:rsidRPr="00D630D1">
        <w:rPr>
          <w:rFonts w:ascii="Times New Roman" w:eastAsia="宋体" w:hAnsi="Times New Roman"/>
          <w:sz w:val="24"/>
          <w:szCs w:val="24"/>
        </w:rPr>
        <w:lastRenderedPageBreak/>
        <w:t>GPS</w:t>
      </w:r>
      <w:r w:rsidRPr="00D630D1">
        <w:rPr>
          <w:rFonts w:ascii="Times New Roman" w:eastAsia="宋体" w:hAnsi="Times New Roman"/>
          <w:sz w:val="24"/>
          <w:szCs w:val="24"/>
        </w:rPr>
        <w:t>样点是卫星遥感影像判读各种景观类型的基础，根据室内判读的植被与土地利用类型图，现场核实判读的正误率，并对每个</w:t>
      </w:r>
      <w:r w:rsidRPr="00D630D1">
        <w:rPr>
          <w:rFonts w:ascii="Times New Roman" w:eastAsia="宋体" w:hAnsi="Times New Roman"/>
          <w:sz w:val="24"/>
          <w:szCs w:val="24"/>
        </w:rPr>
        <w:t>GPS</w:t>
      </w:r>
      <w:r w:rsidRPr="00D630D1">
        <w:rPr>
          <w:rFonts w:ascii="Times New Roman" w:eastAsia="宋体" w:hAnsi="Times New Roman"/>
          <w:sz w:val="24"/>
          <w:szCs w:val="24"/>
        </w:rPr>
        <w:t>取样点作如下记录：</w:t>
      </w:r>
    </w:p>
    <w:p w:rsidR="00D01CD7" w:rsidRPr="00D630D1" w:rsidRDefault="00D01CD7" w:rsidP="00D01CD7">
      <w:pPr>
        <w:pStyle w:val="44"/>
        <w:spacing w:line="480" w:lineRule="exact"/>
        <w:ind w:left="0" w:firstLineChars="200" w:firstLine="480"/>
        <w:rPr>
          <w:rFonts w:ascii="Times New Roman" w:eastAsia="宋体" w:hAnsi="Times New Roman"/>
          <w:sz w:val="24"/>
          <w:szCs w:val="24"/>
        </w:rPr>
      </w:pPr>
      <w:r w:rsidRPr="00D630D1">
        <w:rPr>
          <w:rFonts w:ascii="Times New Roman" w:eastAsia="宋体" w:hAnsi="Times New Roman"/>
          <w:sz w:val="24"/>
          <w:szCs w:val="24"/>
        </w:rPr>
        <w:t>1</w:t>
      </w:r>
      <w:r w:rsidRPr="00D630D1">
        <w:rPr>
          <w:rFonts w:ascii="Times New Roman" w:eastAsia="宋体" w:hAnsi="Times New Roman"/>
          <w:sz w:val="24"/>
          <w:szCs w:val="24"/>
        </w:rPr>
        <w:t>）</w:t>
      </w:r>
      <w:r w:rsidRPr="00D630D1">
        <w:rPr>
          <w:rFonts w:ascii="Times New Roman" w:eastAsia="宋体" w:hAnsi="Times New Roman"/>
          <w:sz w:val="24"/>
          <w:szCs w:val="24"/>
        </w:rPr>
        <w:t>GPS</w:t>
      </w:r>
      <w:r w:rsidRPr="00D630D1">
        <w:rPr>
          <w:rFonts w:ascii="Times New Roman" w:eastAsia="宋体" w:hAnsi="Times New Roman"/>
          <w:sz w:val="24"/>
          <w:szCs w:val="24"/>
        </w:rPr>
        <w:t>读出测点的海拔值和经纬度；</w:t>
      </w:r>
    </w:p>
    <w:p w:rsidR="00D01CD7" w:rsidRPr="00D630D1" w:rsidRDefault="00D01CD7" w:rsidP="00D01CD7">
      <w:pPr>
        <w:pStyle w:val="44"/>
        <w:spacing w:line="480" w:lineRule="exact"/>
        <w:ind w:left="0" w:firstLineChars="200" w:firstLine="480"/>
        <w:rPr>
          <w:rFonts w:ascii="Times New Roman" w:eastAsia="宋体" w:hAnsi="Times New Roman"/>
          <w:sz w:val="24"/>
          <w:szCs w:val="24"/>
        </w:rPr>
      </w:pPr>
      <w:r w:rsidRPr="00D630D1">
        <w:rPr>
          <w:rFonts w:ascii="Times New Roman" w:eastAsia="宋体" w:hAnsi="Times New Roman"/>
          <w:sz w:val="24"/>
          <w:szCs w:val="24"/>
        </w:rPr>
        <w:t>2</w:t>
      </w:r>
      <w:r w:rsidRPr="00D630D1">
        <w:rPr>
          <w:rFonts w:ascii="Times New Roman" w:eastAsia="宋体" w:hAnsi="Times New Roman"/>
          <w:sz w:val="24"/>
          <w:szCs w:val="24"/>
        </w:rPr>
        <w:t>）记录样点植被类型，以群系或群丛为单位，同时记录样点坡向、坡度；</w:t>
      </w:r>
    </w:p>
    <w:p w:rsidR="00D01CD7" w:rsidRPr="00D630D1" w:rsidRDefault="00D01CD7" w:rsidP="00D01CD7">
      <w:pPr>
        <w:pStyle w:val="44"/>
        <w:spacing w:line="480" w:lineRule="exact"/>
        <w:ind w:left="0" w:firstLineChars="200" w:firstLine="480"/>
        <w:rPr>
          <w:rFonts w:ascii="Times New Roman" w:eastAsia="宋体" w:hAnsi="Times New Roman"/>
          <w:sz w:val="24"/>
          <w:szCs w:val="24"/>
        </w:rPr>
      </w:pPr>
      <w:r w:rsidRPr="00D630D1">
        <w:rPr>
          <w:rFonts w:ascii="Times New Roman" w:eastAsia="宋体" w:hAnsi="Times New Roman"/>
          <w:sz w:val="24"/>
          <w:szCs w:val="24"/>
        </w:rPr>
        <w:t>3</w:t>
      </w:r>
      <w:r w:rsidRPr="00D630D1">
        <w:rPr>
          <w:rFonts w:ascii="Times New Roman" w:eastAsia="宋体" w:hAnsi="Times New Roman"/>
          <w:sz w:val="24"/>
          <w:szCs w:val="24"/>
        </w:rPr>
        <w:t>）记录样点优势植物以及观察动物活动的情况；</w:t>
      </w:r>
    </w:p>
    <w:p w:rsidR="00D01CD7" w:rsidRPr="00D630D1" w:rsidRDefault="00D01CD7" w:rsidP="00D01CD7">
      <w:pPr>
        <w:pStyle w:val="44"/>
        <w:spacing w:line="480" w:lineRule="exact"/>
        <w:ind w:left="0" w:firstLineChars="200" w:firstLine="480"/>
        <w:rPr>
          <w:rFonts w:ascii="Times New Roman" w:eastAsia="宋体" w:hAnsi="Times New Roman"/>
          <w:sz w:val="24"/>
          <w:szCs w:val="24"/>
        </w:rPr>
      </w:pPr>
      <w:r w:rsidRPr="00D630D1">
        <w:rPr>
          <w:rFonts w:ascii="Times New Roman" w:eastAsia="宋体" w:hAnsi="Times New Roman"/>
          <w:sz w:val="24"/>
          <w:szCs w:val="24"/>
        </w:rPr>
        <w:t>4</w:t>
      </w:r>
      <w:r w:rsidRPr="00D630D1">
        <w:rPr>
          <w:rFonts w:ascii="Times New Roman" w:eastAsia="宋体" w:hAnsi="Times New Roman"/>
          <w:sz w:val="24"/>
          <w:szCs w:val="24"/>
        </w:rPr>
        <w:t>）拍摄典型植被外貌与结构特征。</w:t>
      </w:r>
    </w:p>
    <w:p w:rsidR="00D01CD7" w:rsidRPr="00D630D1" w:rsidRDefault="00D01CD7" w:rsidP="00D01CD7">
      <w:pPr>
        <w:pStyle w:val="44"/>
        <w:spacing w:line="480" w:lineRule="exact"/>
        <w:ind w:left="0" w:firstLineChars="196" w:firstLine="472"/>
        <w:rPr>
          <w:rFonts w:ascii="Times New Roman" w:eastAsia="宋体" w:hAnsi="Times New Roman"/>
          <w:b/>
          <w:bCs/>
          <w:sz w:val="24"/>
          <w:szCs w:val="24"/>
        </w:rPr>
      </w:pPr>
      <w:r w:rsidRPr="00D630D1">
        <w:rPr>
          <w:rFonts w:ascii="Times New Roman" w:eastAsia="宋体" w:hAnsi="Times New Roman"/>
          <w:b/>
          <w:bCs/>
          <w:sz w:val="24"/>
          <w:szCs w:val="24"/>
        </w:rPr>
        <w:t>（</w:t>
      </w:r>
      <w:r w:rsidRPr="00D630D1">
        <w:rPr>
          <w:rFonts w:ascii="Times New Roman" w:eastAsia="宋体" w:hAnsi="Times New Roman"/>
          <w:b/>
          <w:bCs/>
          <w:sz w:val="24"/>
          <w:szCs w:val="24"/>
        </w:rPr>
        <w:t>3</w:t>
      </w:r>
      <w:r w:rsidRPr="00D630D1">
        <w:rPr>
          <w:rFonts w:ascii="Times New Roman" w:eastAsia="宋体" w:hAnsi="Times New Roman"/>
          <w:b/>
          <w:bCs/>
          <w:sz w:val="24"/>
          <w:szCs w:val="24"/>
        </w:rPr>
        <w:t>）陆生植被调查</w:t>
      </w:r>
    </w:p>
    <w:p w:rsidR="00D01CD7" w:rsidRPr="00D630D1" w:rsidRDefault="00D01CD7" w:rsidP="00D01CD7">
      <w:pPr>
        <w:pStyle w:val="44"/>
        <w:spacing w:line="480" w:lineRule="exact"/>
        <w:ind w:left="0" w:firstLineChars="200" w:firstLine="480"/>
        <w:rPr>
          <w:rFonts w:ascii="Times New Roman" w:eastAsia="宋体" w:hAnsi="Times New Roman"/>
          <w:sz w:val="24"/>
          <w:szCs w:val="24"/>
        </w:rPr>
      </w:pPr>
      <w:r w:rsidRPr="00D630D1">
        <w:rPr>
          <w:rFonts w:ascii="Times New Roman" w:eastAsia="宋体" w:hAnsi="Times New Roman"/>
          <w:sz w:val="24"/>
          <w:szCs w:val="24"/>
        </w:rPr>
        <w:t>在调查过程中，确定评价范围内的植物种类及资源状况、经济植物种类及资源状况、珍稀濒危植物的种类及生存状况等。实地调查采取路线调查与重点调查相结合的方法，对于没有原生植被的区域采取路线调查，在项目占地范围以及植被状况良好的区域实行重点调查；重点调查采取样方调查方法，记录评价范围内的常见植物种类，同时记录坡向、坡度、土壤、岩石类型等环境特征，拍摄典型植被外貌与结构特征；对保护植物、古树名木调查采取现场调查和民间查访相结合的方法进行；对有疑问的植物和珍稀濒危植物采集凭证标本并拍摄照片。</w:t>
      </w:r>
    </w:p>
    <w:p w:rsidR="00D01CD7" w:rsidRPr="00D630D1" w:rsidRDefault="00D01CD7" w:rsidP="00D01CD7">
      <w:pPr>
        <w:pStyle w:val="44"/>
        <w:spacing w:line="480" w:lineRule="exact"/>
        <w:ind w:left="0" w:firstLineChars="200" w:firstLine="480"/>
        <w:rPr>
          <w:rFonts w:ascii="Times New Roman" w:eastAsia="宋体" w:hAnsi="Times New Roman"/>
          <w:sz w:val="24"/>
          <w:szCs w:val="24"/>
        </w:rPr>
      </w:pPr>
      <w:r w:rsidRPr="00D630D1">
        <w:rPr>
          <w:rFonts w:ascii="Times New Roman" w:eastAsia="宋体" w:hAnsi="Times New Roman"/>
          <w:sz w:val="24"/>
          <w:szCs w:val="24"/>
        </w:rPr>
        <w:t>样方布点原则：</w:t>
      </w:r>
    </w:p>
    <w:p w:rsidR="00D01CD7" w:rsidRPr="00D630D1" w:rsidRDefault="00D01CD7" w:rsidP="00D01CD7">
      <w:pPr>
        <w:pStyle w:val="44"/>
        <w:spacing w:line="480" w:lineRule="exact"/>
        <w:ind w:left="0" w:firstLineChars="200" w:firstLine="480"/>
        <w:rPr>
          <w:rFonts w:ascii="Times New Roman" w:eastAsia="宋体" w:hAnsi="Times New Roman"/>
          <w:sz w:val="24"/>
          <w:szCs w:val="24"/>
        </w:rPr>
      </w:pPr>
      <w:r w:rsidRPr="00D630D1">
        <w:rPr>
          <w:rFonts w:ascii="Times New Roman" w:eastAsia="宋体" w:hAnsi="Times New Roman"/>
          <w:sz w:val="24"/>
          <w:szCs w:val="24"/>
        </w:rPr>
        <w:t>植被调查取样的目的是要通过样地的研究准确地推测评价范围植被的总体情况，所选取的样地要具有代表性，能通过尽可能少的抽样获得较为准确的评价范围内植被总体的特征。按照如下原则：</w:t>
      </w:r>
      <w:r w:rsidR="009913C3" w:rsidRPr="00D630D1">
        <w:rPr>
          <w:rFonts w:ascii="Times New Roman" w:eastAsia="宋体" w:hAnsi="Times New Roman"/>
          <w:sz w:val="24"/>
          <w:szCs w:val="24"/>
        </w:rPr>
        <w:fldChar w:fldCharType="begin"/>
      </w:r>
      <w:r w:rsidRPr="00D630D1">
        <w:rPr>
          <w:rFonts w:ascii="Times New Roman" w:eastAsia="宋体" w:hAnsi="Times New Roman"/>
          <w:sz w:val="24"/>
          <w:szCs w:val="24"/>
        </w:rPr>
        <w:instrText xml:space="preserve"> = 1 \* GB3 </w:instrText>
      </w:r>
      <w:r w:rsidR="009913C3" w:rsidRPr="00D630D1">
        <w:rPr>
          <w:rFonts w:ascii="Times New Roman" w:eastAsia="宋体" w:hAnsi="Times New Roman"/>
          <w:sz w:val="24"/>
          <w:szCs w:val="24"/>
        </w:rPr>
        <w:fldChar w:fldCharType="separate"/>
      </w:r>
      <w:r w:rsidRPr="00D630D1">
        <w:rPr>
          <w:rFonts w:ascii="Times New Roman" w:eastAsia="宋体" w:hAnsi="Times New Roman"/>
          <w:sz w:val="24"/>
          <w:szCs w:val="24"/>
          <w:lang w:val="zh-CN"/>
        </w:rPr>
        <w:t>①</w:t>
      </w:r>
      <w:r w:rsidR="009913C3" w:rsidRPr="00D630D1">
        <w:rPr>
          <w:rFonts w:ascii="Times New Roman" w:eastAsia="宋体" w:hAnsi="Times New Roman"/>
          <w:sz w:val="24"/>
          <w:szCs w:val="24"/>
        </w:rPr>
        <w:fldChar w:fldCharType="end"/>
      </w:r>
      <w:r w:rsidRPr="00D630D1">
        <w:rPr>
          <w:rFonts w:ascii="Times New Roman" w:eastAsia="宋体" w:hAnsi="Times New Roman"/>
          <w:sz w:val="24"/>
          <w:szCs w:val="24"/>
        </w:rPr>
        <w:t>尽量在对生态影响较大区域内设置样地，并考虑评价范围内布点的均匀性、不同植被类型的全面性等特点；</w:t>
      </w:r>
      <w:r w:rsidRPr="00D630D1">
        <w:rPr>
          <w:rFonts w:ascii="Times New Roman" w:eastAsia="宋体" w:hAnsi="Times New Roman"/>
          <w:sz w:val="24"/>
          <w:szCs w:val="24"/>
        </w:rPr>
        <w:t>②</w:t>
      </w:r>
      <w:r w:rsidRPr="00D630D1">
        <w:rPr>
          <w:rFonts w:ascii="Times New Roman" w:eastAsia="宋体" w:hAnsi="Times New Roman"/>
          <w:sz w:val="24"/>
          <w:szCs w:val="24"/>
        </w:rPr>
        <w:t>样方设置避免对同一种植被类型进行重复设点，特别是对植物变化较大的地段进行增加设点。</w:t>
      </w:r>
    </w:p>
    <w:p w:rsidR="00D01CD7" w:rsidRDefault="00D01CD7" w:rsidP="00D01CD7">
      <w:pPr>
        <w:pStyle w:val="44"/>
        <w:spacing w:line="480" w:lineRule="exact"/>
        <w:ind w:left="0" w:firstLineChars="200" w:firstLine="480"/>
        <w:rPr>
          <w:rFonts w:ascii="Times New Roman" w:eastAsia="宋体" w:hAnsi="Times New Roman"/>
          <w:sz w:val="24"/>
          <w:szCs w:val="24"/>
        </w:rPr>
      </w:pPr>
      <w:r w:rsidRPr="00D630D1">
        <w:rPr>
          <w:rFonts w:ascii="Times New Roman" w:eastAsia="宋体" w:hAnsi="Times New Roman"/>
          <w:sz w:val="24"/>
          <w:szCs w:val="24"/>
        </w:rPr>
        <w:t>样方调查方法：</w:t>
      </w:r>
    </w:p>
    <w:p w:rsidR="005556D5" w:rsidRPr="005556D5" w:rsidRDefault="001F1370" w:rsidP="00A605E6">
      <w:pPr>
        <w:pStyle w:val="affff3"/>
        <w:spacing w:line="360" w:lineRule="auto"/>
        <w:ind w:leftChars="0" w:left="0" w:firstLineChars="0" w:firstLine="0"/>
      </w:pPr>
      <w:r>
        <w:rPr>
          <w:rFonts w:hint="eastAsia"/>
        </w:rPr>
        <w:t xml:space="preserve">  </w:t>
      </w:r>
      <w:r w:rsidRPr="005556D5">
        <w:rPr>
          <w:rFonts w:ascii="Times New Roman" w:eastAsiaTheme="minorEastAsia" w:hAnsi="Times New Roman" w:cs="Times New Roman"/>
        </w:rPr>
        <w:t xml:space="preserve"> </w:t>
      </w:r>
      <w:r w:rsidR="005556D5" w:rsidRPr="005556D5">
        <w:t>根据评价范围内不同植被类型设置调查样地，并对典型样地进行拍照，对评价范围植被类型、农业生态环境、野生动植物资源进行较为详细的勘察。</w:t>
      </w:r>
    </w:p>
    <w:p w:rsidR="00D01CD7" w:rsidRDefault="005556D5" w:rsidP="005556D5">
      <w:pPr>
        <w:pStyle w:val="afa"/>
        <w:ind w:firstLine="480"/>
        <w:rPr>
          <w:szCs w:val="24"/>
          <w:lang w:val="zh-CN"/>
        </w:rPr>
      </w:pPr>
      <w:r w:rsidRPr="005556D5">
        <w:rPr>
          <w:kern w:val="2"/>
          <w:szCs w:val="24"/>
        </w:rPr>
        <w:t>乔木林</w:t>
      </w:r>
      <w:r w:rsidRPr="005556D5">
        <w:rPr>
          <w:rFonts w:hint="eastAsia"/>
          <w:kern w:val="2"/>
          <w:szCs w:val="24"/>
        </w:rPr>
        <w:t>样方</w:t>
      </w:r>
      <w:r w:rsidRPr="005556D5">
        <w:rPr>
          <w:kern w:val="2"/>
          <w:szCs w:val="24"/>
        </w:rPr>
        <w:t>面积为</w:t>
      </w:r>
      <w:r w:rsidRPr="005556D5">
        <w:rPr>
          <w:kern w:val="2"/>
          <w:szCs w:val="24"/>
        </w:rPr>
        <w:t>20×20m</w:t>
      </w:r>
      <w:r w:rsidRPr="005556D5">
        <w:rPr>
          <w:kern w:val="2"/>
          <w:szCs w:val="24"/>
        </w:rPr>
        <w:t>，灌草丛</w:t>
      </w:r>
      <w:r w:rsidRPr="005556D5">
        <w:rPr>
          <w:rFonts w:hint="eastAsia"/>
          <w:kern w:val="2"/>
          <w:szCs w:val="24"/>
        </w:rPr>
        <w:t>样方</w:t>
      </w:r>
      <w:r w:rsidRPr="005556D5">
        <w:rPr>
          <w:kern w:val="2"/>
          <w:szCs w:val="24"/>
        </w:rPr>
        <w:t>为</w:t>
      </w:r>
      <w:r w:rsidRPr="005556D5">
        <w:rPr>
          <w:kern w:val="2"/>
          <w:szCs w:val="24"/>
        </w:rPr>
        <w:t>5×5m</w:t>
      </w:r>
      <w:r w:rsidRPr="005556D5">
        <w:rPr>
          <w:kern w:val="2"/>
          <w:szCs w:val="24"/>
        </w:rPr>
        <w:t>，草丛</w:t>
      </w:r>
      <w:r w:rsidRPr="005556D5">
        <w:rPr>
          <w:rFonts w:hint="eastAsia"/>
          <w:kern w:val="2"/>
          <w:szCs w:val="24"/>
        </w:rPr>
        <w:t>样方</w:t>
      </w:r>
      <w:r w:rsidRPr="005556D5">
        <w:rPr>
          <w:kern w:val="2"/>
          <w:szCs w:val="24"/>
        </w:rPr>
        <w:t>设置为</w:t>
      </w:r>
      <w:r w:rsidRPr="005556D5">
        <w:rPr>
          <w:kern w:val="2"/>
          <w:szCs w:val="24"/>
        </w:rPr>
        <w:t>1×1m</w:t>
      </w:r>
      <w:r w:rsidRPr="005556D5">
        <w:rPr>
          <w:kern w:val="2"/>
          <w:szCs w:val="24"/>
        </w:rPr>
        <w:t>，</w:t>
      </w:r>
      <w:r w:rsidRPr="005556D5">
        <w:rPr>
          <w:kern w:val="2"/>
          <w:szCs w:val="24"/>
        </w:rPr>
        <w:lastRenderedPageBreak/>
        <w:t>根据实际情况可以略有改变。乔木林对乔木层进行全面调查，再设置小样方调查灌木层和草本层；灌草丛和草丛对样地内植物进行全面调查。本次调查</w:t>
      </w:r>
      <w:r w:rsidRPr="005556D5">
        <w:rPr>
          <w:rFonts w:hint="eastAsia"/>
          <w:kern w:val="2"/>
          <w:szCs w:val="24"/>
        </w:rPr>
        <w:t>根据群系分布特点</w:t>
      </w:r>
      <w:r w:rsidRPr="005556D5">
        <w:rPr>
          <w:kern w:val="2"/>
          <w:szCs w:val="24"/>
        </w:rPr>
        <w:t>共设置</w:t>
      </w:r>
      <w:r w:rsidRPr="005556D5">
        <w:rPr>
          <w:rFonts w:hint="eastAsia"/>
          <w:kern w:val="2"/>
          <w:szCs w:val="24"/>
        </w:rPr>
        <w:t>植被群落</w:t>
      </w:r>
      <w:r w:rsidRPr="005556D5">
        <w:rPr>
          <w:kern w:val="2"/>
          <w:szCs w:val="24"/>
        </w:rPr>
        <w:t>样地</w:t>
      </w:r>
      <w:r w:rsidRPr="005556D5">
        <w:rPr>
          <w:rFonts w:hint="eastAsia"/>
          <w:kern w:val="2"/>
          <w:szCs w:val="24"/>
        </w:rPr>
        <w:t>10</w:t>
      </w:r>
      <w:r w:rsidRPr="005556D5">
        <w:rPr>
          <w:kern w:val="2"/>
          <w:szCs w:val="24"/>
        </w:rPr>
        <w:t>个，</w:t>
      </w:r>
      <w:r w:rsidRPr="005556D5">
        <w:rPr>
          <w:rFonts w:hint="eastAsia"/>
          <w:kern w:val="2"/>
          <w:szCs w:val="24"/>
        </w:rPr>
        <w:t>每个样地设置样方</w:t>
      </w:r>
      <w:r w:rsidRPr="005556D5">
        <w:rPr>
          <w:rFonts w:hint="eastAsia"/>
          <w:kern w:val="2"/>
          <w:szCs w:val="24"/>
        </w:rPr>
        <w:t>3</w:t>
      </w:r>
      <w:r w:rsidRPr="005556D5">
        <w:rPr>
          <w:rFonts w:hint="eastAsia"/>
          <w:kern w:val="2"/>
          <w:szCs w:val="24"/>
        </w:rPr>
        <w:t>个，</w:t>
      </w:r>
      <w:r w:rsidRPr="005556D5">
        <w:rPr>
          <w:kern w:val="2"/>
          <w:szCs w:val="24"/>
        </w:rPr>
        <w:t>涵盖乔灌草多种地类，</w:t>
      </w:r>
      <w:r w:rsidRPr="005556D5">
        <w:rPr>
          <w:rFonts w:hint="eastAsia"/>
          <w:kern w:val="2"/>
          <w:szCs w:val="24"/>
        </w:rPr>
        <w:t>样地布点</w:t>
      </w:r>
      <w:r w:rsidRPr="005556D5">
        <w:rPr>
          <w:kern w:val="2"/>
          <w:szCs w:val="24"/>
        </w:rPr>
        <w:t>情况详见表</w:t>
      </w:r>
      <w:r w:rsidR="00D01CD7" w:rsidRPr="00D630D1">
        <w:rPr>
          <w:rFonts w:hint="eastAsia"/>
          <w:szCs w:val="24"/>
        </w:rPr>
        <w:t>5</w:t>
      </w:r>
      <w:r w:rsidR="00D01CD7" w:rsidRPr="00D630D1">
        <w:rPr>
          <w:szCs w:val="24"/>
        </w:rPr>
        <w:t>.</w:t>
      </w:r>
      <w:r w:rsidR="00D01CD7" w:rsidRPr="00D630D1">
        <w:rPr>
          <w:rFonts w:hint="eastAsia"/>
          <w:szCs w:val="24"/>
        </w:rPr>
        <w:t>2</w:t>
      </w:r>
      <w:r w:rsidR="00D01CD7" w:rsidRPr="00D630D1">
        <w:rPr>
          <w:szCs w:val="24"/>
        </w:rPr>
        <w:t>-2</w:t>
      </w:r>
      <w:r w:rsidR="00D01CD7" w:rsidRPr="00D630D1">
        <w:rPr>
          <w:szCs w:val="24"/>
          <w:lang w:val="zh-CN"/>
        </w:rPr>
        <w:t>。</w:t>
      </w:r>
    </w:p>
    <w:p w:rsidR="005556D5" w:rsidRDefault="005556D5" w:rsidP="005556D5">
      <w:pPr>
        <w:pStyle w:val="afa"/>
        <w:ind w:firstLine="480"/>
        <w:rPr>
          <w:szCs w:val="24"/>
          <w:lang w:val="zh-CN"/>
        </w:rPr>
      </w:pPr>
    </w:p>
    <w:p w:rsidR="005556D5" w:rsidRPr="00D630D1" w:rsidRDefault="005556D5" w:rsidP="005556D5">
      <w:pPr>
        <w:pStyle w:val="afa"/>
        <w:ind w:firstLine="480"/>
      </w:pPr>
    </w:p>
    <w:p w:rsidR="00D01CD7" w:rsidRDefault="00D01CD7" w:rsidP="00F96E37">
      <w:pPr>
        <w:topLinePunct w:val="0"/>
        <w:autoSpaceDE w:val="0"/>
        <w:autoSpaceDN w:val="0"/>
        <w:spacing w:beforeLines="50" w:line="240" w:lineRule="auto"/>
        <w:ind w:firstLineChars="0" w:firstLine="0"/>
        <w:jc w:val="center"/>
        <w:rPr>
          <w:rFonts w:ascii="Times New Roman" w:cs="Times New Roman"/>
          <w:b/>
          <w:sz w:val="21"/>
        </w:rPr>
      </w:pPr>
      <w:r w:rsidRPr="00D630D1">
        <w:rPr>
          <w:rFonts w:ascii="Times New Roman" w:cs="Times New Roman"/>
          <w:b/>
          <w:sz w:val="21"/>
        </w:rPr>
        <w:t>表</w:t>
      </w:r>
      <w:r w:rsidRPr="00D630D1">
        <w:rPr>
          <w:rFonts w:ascii="Times New Roman" w:cs="Times New Roman" w:hint="eastAsia"/>
          <w:b/>
          <w:sz w:val="21"/>
        </w:rPr>
        <w:t>5</w:t>
      </w:r>
      <w:r w:rsidRPr="00D630D1">
        <w:rPr>
          <w:rFonts w:ascii="Times New Roman" w:cs="Times New Roman"/>
          <w:b/>
          <w:sz w:val="21"/>
        </w:rPr>
        <w:t>.</w:t>
      </w:r>
      <w:r w:rsidRPr="00D630D1">
        <w:rPr>
          <w:rFonts w:ascii="Times New Roman" w:cs="Times New Roman" w:hint="eastAsia"/>
          <w:b/>
          <w:sz w:val="21"/>
        </w:rPr>
        <w:t>2</w:t>
      </w:r>
      <w:r w:rsidRPr="00D630D1">
        <w:rPr>
          <w:rFonts w:ascii="Times New Roman" w:cs="Times New Roman"/>
          <w:b/>
          <w:sz w:val="21"/>
        </w:rPr>
        <w:t xml:space="preserve">-2 </w:t>
      </w:r>
      <w:r w:rsidRPr="00D630D1">
        <w:rPr>
          <w:rFonts w:ascii="Times New Roman" w:cs="Times New Roman"/>
          <w:b/>
          <w:sz w:val="21"/>
        </w:rPr>
        <w:t>项目评价范围内植被群系样方调查点分布情况</w:t>
      </w:r>
    </w:p>
    <w:tbl>
      <w:tblPr>
        <w:tblStyle w:val="TableNormal"/>
        <w:tblW w:w="8546" w:type="dxa"/>
        <w:jc w:val="center"/>
        <w:tblInd w:w="0" w:type="dxa"/>
        <w:tblBorders>
          <w:top w:val="single" w:sz="12" w:space="0" w:color="000000"/>
          <w:bottom w:val="single" w:sz="12" w:space="0" w:color="000000"/>
          <w:insideH w:val="single" w:sz="2" w:space="0" w:color="000000"/>
          <w:insideV w:val="single" w:sz="4" w:space="0" w:color="000000"/>
        </w:tblBorders>
        <w:tblLayout w:type="fixed"/>
        <w:tblLook w:val="0000"/>
      </w:tblPr>
      <w:tblGrid>
        <w:gridCol w:w="750"/>
        <w:gridCol w:w="722"/>
        <w:gridCol w:w="1026"/>
        <w:gridCol w:w="1764"/>
        <w:gridCol w:w="1590"/>
        <w:gridCol w:w="880"/>
        <w:gridCol w:w="1814"/>
      </w:tblGrid>
      <w:tr w:rsidR="005556D5" w:rsidRPr="005556D5" w:rsidTr="005556D5">
        <w:trPr>
          <w:trHeight w:val="733"/>
          <w:jc w:val="center"/>
        </w:trPr>
        <w:tc>
          <w:tcPr>
            <w:tcW w:w="750" w:type="dxa"/>
            <w:textDirection w:val="tbRlV"/>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序号</w:t>
            </w:r>
          </w:p>
        </w:tc>
        <w:tc>
          <w:tcPr>
            <w:tcW w:w="722"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样方数</w:t>
            </w:r>
          </w:p>
        </w:tc>
        <w:tc>
          <w:tcPr>
            <w:tcW w:w="1026"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样方面积</w:t>
            </w:r>
          </w:p>
        </w:tc>
        <w:tc>
          <w:tcPr>
            <w:tcW w:w="176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经纬度</w:t>
            </w:r>
          </w:p>
        </w:tc>
        <w:tc>
          <w:tcPr>
            <w:tcW w:w="159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群落名称</w:t>
            </w:r>
          </w:p>
        </w:tc>
        <w:tc>
          <w:tcPr>
            <w:tcW w:w="88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关键种、建群种</w:t>
            </w:r>
          </w:p>
        </w:tc>
        <w:tc>
          <w:tcPr>
            <w:tcW w:w="181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优势种</w:t>
            </w:r>
          </w:p>
        </w:tc>
      </w:tr>
      <w:tr w:rsidR="005556D5" w:rsidRPr="005556D5" w:rsidTr="005556D5">
        <w:trPr>
          <w:trHeight w:val="504"/>
          <w:jc w:val="center"/>
        </w:trPr>
        <w:tc>
          <w:tcPr>
            <w:tcW w:w="75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样地</w:t>
            </w:r>
            <w:r w:rsidRPr="005556D5">
              <w:rPr>
                <w:rFonts w:ascii="Times New Roman" w:cs="Times New Roman"/>
                <w:bCs/>
                <w:sz w:val="21"/>
                <w:szCs w:val="21"/>
              </w:rPr>
              <w:t>1</w:t>
            </w:r>
          </w:p>
        </w:tc>
        <w:tc>
          <w:tcPr>
            <w:tcW w:w="722"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3</w:t>
            </w:r>
          </w:p>
        </w:tc>
        <w:tc>
          <w:tcPr>
            <w:tcW w:w="1026"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20</w:t>
            </w:r>
            <w:r w:rsidRPr="005556D5">
              <w:rPr>
                <w:rFonts w:ascii="Times New Roman" w:cs="Times New Roman"/>
                <w:bCs/>
                <w:sz w:val="21"/>
                <w:szCs w:val="21"/>
              </w:rPr>
              <w:t>m×</w:t>
            </w:r>
            <w:r w:rsidRPr="005556D5">
              <w:rPr>
                <w:rFonts w:ascii="Times New Roman" w:cs="Times New Roman" w:hint="eastAsia"/>
                <w:bCs/>
                <w:sz w:val="21"/>
                <w:szCs w:val="21"/>
              </w:rPr>
              <w:t>20</w:t>
            </w:r>
            <w:r w:rsidRPr="005556D5">
              <w:rPr>
                <w:rFonts w:ascii="Times New Roman" w:cs="Times New Roman"/>
                <w:bCs/>
                <w:sz w:val="21"/>
                <w:szCs w:val="21"/>
              </w:rPr>
              <w:t>m</w:t>
            </w:r>
          </w:p>
        </w:tc>
        <w:tc>
          <w:tcPr>
            <w:tcW w:w="176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107.8260,31.5301</w:t>
            </w:r>
          </w:p>
        </w:tc>
        <w:tc>
          <w:tcPr>
            <w:tcW w:w="159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马尾松群落</w:t>
            </w:r>
          </w:p>
        </w:tc>
        <w:tc>
          <w:tcPr>
            <w:tcW w:w="88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马尾松</w:t>
            </w:r>
          </w:p>
        </w:tc>
        <w:tc>
          <w:tcPr>
            <w:tcW w:w="181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马尾松</w:t>
            </w:r>
          </w:p>
        </w:tc>
      </w:tr>
      <w:tr w:rsidR="005556D5" w:rsidRPr="005556D5" w:rsidTr="005556D5">
        <w:trPr>
          <w:trHeight w:val="478"/>
          <w:jc w:val="center"/>
        </w:trPr>
        <w:tc>
          <w:tcPr>
            <w:tcW w:w="75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样地</w:t>
            </w:r>
            <w:r w:rsidRPr="005556D5">
              <w:rPr>
                <w:rFonts w:ascii="Times New Roman" w:cs="Times New Roman" w:hint="eastAsia"/>
                <w:bCs/>
                <w:sz w:val="21"/>
                <w:szCs w:val="21"/>
              </w:rPr>
              <w:t>2</w:t>
            </w:r>
          </w:p>
        </w:tc>
        <w:tc>
          <w:tcPr>
            <w:tcW w:w="722"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3</w:t>
            </w:r>
          </w:p>
        </w:tc>
        <w:tc>
          <w:tcPr>
            <w:tcW w:w="1026"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20</w:t>
            </w:r>
            <w:r w:rsidRPr="005556D5">
              <w:rPr>
                <w:rFonts w:ascii="Times New Roman" w:cs="Times New Roman"/>
                <w:bCs/>
                <w:sz w:val="21"/>
                <w:szCs w:val="21"/>
              </w:rPr>
              <w:t>m×</w:t>
            </w:r>
            <w:r w:rsidRPr="005556D5">
              <w:rPr>
                <w:rFonts w:ascii="Times New Roman" w:cs="Times New Roman" w:hint="eastAsia"/>
                <w:bCs/>
                <w:sz w:val="21"/>
                <w:szCs w:val="21"/>
              </w:rPr>
              <w:t>20</w:t>
            </w:r>
            <w:r w:rsidRPr="005556D5">
              <w:rPr>
                <w:rFonts w:ascii="Times New Roman" w:cs="Times New Roman"/>
                <w:bCs/>
                <w:sz w:val="21"/>
                <w:szCs w:val="21"/>
              </w:rPr>
              <w:t>m</w:t>
            </w:r>
          </w:p>
        </w:tc>
        <w:tc>
          <w:tcPr>
            <w:tcW w:w="176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107.8149,31.5495</w:t>
            </w:r>
          </w:p>
        </w:tc>
        <w:tc>
          <w:tcPr>
            <w:tcW w:w="159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柏木</w:t>
            </w:r>
            <w:r w:rsidRPr="005556D5">
              <w:rPr>
                <w:rFonts w:ascii="Times New Roman" w:cs="Times New Roman" w:hint="eastAsia"/>
                <w:bCs/>
                <w:sz w:val="21"/>
                <w:szCs w:val="21"/>
              </w:rPr>
              <w:t>群落</w:t>
            </w:r>
          </w:p>
        </w:tc>
        <w:tc>
          <w:tcPr>
            <w:tcW w:w="88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柏木</w:t>
            </w:r>
          </w:p>
        </w:tc>
        <w:tc>
          <w:tcPr>
            <w:tcW w:w="181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柏木</w:t>
            </w:r>
          </w:p>
        </w:tc>
      </w:tr>
      <w:tr w:rsidR="005556D5" w:rsidRPr="005556D5" w:rsidTr="005556D5">
        <w:trPr>
          <w:trHeight w:val="464"/>
          <w:jc w:val="center"/>
        </w:trPr>
        <w:tc>
          <w:tcPr>
            <w:tcW w:w="75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样地</w:t>
            </w:r>
            <w:r w:rsidRPr="005556D5">
              <w:rPr>
                <w:rFonts w:ascii="Times New Roman" w:cs="Times New Roman" w:hint="eastAsia"/>
                <w:bCs/>
                <w:sz w:val="21"/>
                <w:szCs w:val="21"/>
              </w:rPr>
              <w:t>3</w:t>
            </w:r>
          </w:p>
        </w:tc>
        <w:tc>
          <w:tcPr>
            <w:tcW w:w="722"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3</w:t>
            </w:r>
          </w:p>
        </w:tc>
        <w:tc>
          <w:tcPr>
            <w:tcW w:w="1026"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20</w:t>
            </w:r>
            <w:r w:rsidRPr="005556D5">
              <w:rPr>
                <w:rFonts w:ascii="Times New Roman" w:cs="Times New Roman"/>
                <w:bCs/>
                <w:sz w:val="21"/>
                <w:szCs w:val="21"/>
              </w:rPr>
              <w:t>m×</w:t>
            </w:r>
            <w:r w:rsidRPr="005556D5">
              <w:rPr>
                <w:rFonts w:ascii="Times New Roman" w:cs="Times New Roman" w:hint="eastAsia"/>
                <w:bCs/>
                <w:sz w:val="21"/>
                <w:szCs w:val="21"/>
              </w:rPr>
              <w:t>20</w:t>
            </w:r>
            <w:r w:rsidRPr="005556D5">
              <w:rPr>
                <w:rFonts w:ascii="Times New Roman" w:cs="Times New Roman"/>
                <w:bCs/>
                <w:sz w:val="21"/>
                <w:szCs w:val="21"/>
              </w:rPr>
              <w:t>m</w:t>
            </w:r>
          </w:p>
        </w:tc>
        <w:tc>
          <w:tcPr>
            <w:tcW w:w="176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107.8175,31.5321</w:t>
            </w:r>
          </w:p>
        </w:tc>
        <w:tc>
          <w:tcPr>
            <w:tcW w:w="159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杉木群落</w:t>
            </w:r>
          </w:p>
        </w:tc>
        <w:tc>
          <w:tcPr>
            <w:tcW w:w="88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杉木</w:t>
            </w:r>
          </w:p>
        </w:tc>
        <w:tc>
          <w:tcPr>
            <w:tcW w:w="181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杉木、</w:t>
            </w:r>
            <w:r w:rsidRPr="005556D5">
              <w:rPr>
                <w:rFonts w:ascii="Times New Roman" w:cs="Times New Roman"/>
                <w:bCs/>
                <w:sz w:val="21"/>
                <w:szCs w:val="21"/>
              </w:rPr>
              <w:t>马尾松</w:t>
            </w:r>
          </w:p>
        </w:tc>
      </w:tr>
      <w:tr w:rsidR="005556D5" w:rsidRPr="005556D5" w:rsidTr="005556D5">
        <w:trPr>
          <w:trHeight w:val="590"/>
          <w:jc w:val="center"/>
        </w:trPr>
        <w:tc>
          <w:tcPr>
            <w:tcW w:w="75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样地</w:t>
            </w:r>
            <w:r w:rsidRPr="005556D5">
              <w:rPr>
                <w:rFonts w:ascii="Times New Roman" w:cs="Times New Roman" w:hint="eastAsia"/>
                <w:bCs/>
                <w:sz w:val="21"/>
                <w:szCs w:val="21"/>
              </w:rPr>
              <w:t>4</w:t>
            </w:r>
          </w:p>
        </w:tc>
        <w:tc>
          <w:tcPr>
            <w:tcW w:w="722"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3</w:t>
            </w:r>
          </w:p>
        </w:tc>
        <w:tc>
          <w:tcPr>
            <w:tcW w:w="1026"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20</w:t>
            </w:r>
            <w:r w:rsidRPr="005556D5">
              <w:rPr>
                <w:rFonts w:ascii="Times New Roman" w:cs="Times New Roman"/>
                <w:bCs/>
                <w:sz w:val="21"/>
                <w:szCs w:val="21"/>
              </w:rPr>
              <w:t>m×</w:t>
            </w:r>
            <w:r w:rsidRPr="005556D5">
              <w:rPr>
                <w:rFonts w:ascii="Times New Roman" w:cs="Times New Roman" w:hint="eastAsia"/>
                <w:bCs/>
                <w:sz w:val="21"/>
                <w:szCs w:val="21"/>
              </w:rPr>
              <w:t>20</w:t>
            </w:r>
            <w:r w:rsidRPr="005556D5">
              <w:rPr>
                <w:rFonts w:ascii="Times New Roman" w:cs="Times New Roman"/>
                <w:bCs/>
                <w:sz w:val="21"/>
                <w:szCs w:val="21"/>
              </w:rPr>
              <w:t>m</w:t>
            </w:r>
          </w:p>
        </w:tc>
        <w:tc>
          <w:tcPr>
            <w:tcW w:w="176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107.8160,31.5360</w:t>
            </w:r>
          </w:p>
        </w:tc>
        <w:tc>
          <w:tcPr>
            <w:tcW w:w="159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麻栎、青冈群落</w:t>
            </w:r>
          </w:p>
        </w:tc>
        <w:tc>
          <w:tcPr>
            <w:tcW w:w="88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麻栎</w:t>
            </w:r>
          </w:p>
        </w:tc>
        <w:tc>
          <w:tcPr>
            <w:tcW w:w="181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麻栎、青冈、青冈</w:t>
            </w:r>
          </w:p>
        </w:tc>
      </w:tr>
      <w:tr w:rsidR="005556D5" w:rsidRPr="005556D5" w:rsidTr="005556D5">
        <w:trPr>
          <w:trHeight w:val="590"/>
          <w:jc w:val="center"/>
        </w:trPr>
        <w:tc>
          <w:tcPr>
            <w:tcW w:w="75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样地</w:t>
            </w:r>
            <w:r w:rsidRPr="005556D5">
              <w:rPr>
                <w:rFonts w:ascii="Times New Roman" w:cs="Times New Roman" w:hint="eastAsia"/>
                <w:bCs/>
                <w:sz w:val="21"/>
                <w:szCs w:val="21"/>
              </w:rPr>
              <w:t>5</w:t>
            </w:r>
          </w:p>
        </w:tc>
        <w:tc>
          <w:tcPr>
            <w:tcW w:w="722"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3</w:t>
            </w:r>
          </w:p>
        </w:tc>
        <w:tc>
          <w:tcPr>
            <w:tcW w:w="1026"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20</w:t>
            </w:r>
            <w:r w:rsidRPr="005556D5">
              <w:rPr>
                <w:rFonts w:ascii="Times New Roman" w:cs="Times New Roman"/>
                <w:bCs/>
                <w:sz w:val="21"/>
                <w:szCs w:val="21"/>
              </w:rPr>
              <w:t>m×</w:t>
            </w:r>
            <w:r w:rsidRPr="005556D5">
              <w:rPr>
                <w:rFonts w:ascii="Times New Roman" w:cs="Times New Roman" w:hint="eastAsia"/>
                <w:bCs/>
                <w:sz w:val="21"/>
                <w:szCs w:val="21"/>
              </w:rPr>
              <w:t>20</w:t>
            </w:r>
            <w:r w:rsidRPr="005556D5">
              <w:rPr>
                <w:rFonts w:ascii="Times New Roman" w:cs="Times New Roman"/>
                <w:bCs/>
                <w:sz w:val="21"/>
                <w:szCs w:val="21"/>
              </w:rPr>
              <w:t>m</w:t>
            </w:r>
          </w:p>
        </w:tc>
        <w:tc>
          <w:tcPr>
            <w:tcW w:w="176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107.8117,31.5301</w:t>
            </w:r>
          </w:p>
        </w:tc>
        <w:tc>
          <w:tcPr>
            <w:tcW w:w="159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麻栎</w:t>
            </w:r>
            <w:r w:rsidRPr="005556D5">
              <w:rPr>
                <w:rFonts w:ascii="Times New Roman" w:cs="Times New Roman" w:hint="eastAsia"/>
                <w:bCs/>
                <w:sz w:val="21"/>
                <w:szCs w:val="21"/>
              </w:rPr>
              <w:t>、</w:t>
            </w:r>
            <w:r w:rsidRPr="005556D5">
              <w:rPr>
                <w:rFonts w:ascii="Times New Roman" w:cs="Times New Roman"/>
                <w:bCs/>
                <w:sz w:val="21"/>
                <w:szCs w:val="21"/>
              </w:rPr>
              <w:t>柏木混交林群落</w:t>
            </w:r>
          </w:p>
        </w:tc>
        <w:tc>
          <w:tcPr>
            <w:tcW w:w="88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麻栎</w:t>
            </w:r>
          </w:p>
        </w:tc>
        <w:tc>
          <w:tcPr>
            <w:tcW w:w="181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麻栎、柏木、杉木</w:t>
            </w:r>
          </w:p>
        </w:tc>
      </w:tr>
      <w:tr w:rsidR="005556D5" w:rsidRPr="005556D5" w:rsidTr="005556D5">
        <w:trPr>
          <w:trHeight w:val="570"/>
          <w:jc w:val="center"/>
        </w:trPr>
        <w:tc>
          <w:tcPr>
            <w:tcW w:w="75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样地</w:t>
            </w:r>
            <w:r w:rsidRPr="005556D5">
              <w:rPr>
                <w:rFonts w:ascii="Times New Roman" w:cs="Times New Roman" w:hint="eastAsia"/>
                <w:bCs/>
                <w:sz w:val="21"/>
                <w:szCs w:val="21"/>
              </w:rPr>
              <w:t>6</w:t>
            </w:r>
          </w:p>
        </w:tc>
        <w:tc>
          <w:tcPr>
            <w:tcW w:w="722"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3</w:t>
            </w:r>
          </w:p>
        </w:tc>
        <w:tc>
          <w:tcPr>
            <w:tcW w:w="1026"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5</w:t>
            </w:r>
            <w:r w:rsidRPr="005556D5">
              <w:rPr>
                <w:rFonts w:ascii="Times New Roman" w:cs="Times New Roman"/>
                <w:bCs/>
                <w:sz w:val="21"/>
                <w:szCs w:val="21"/>
                <w:lang w:val="zh-CN"/>
              </w:rPr>
              <w:t>×</w:t>
            </w:r>
            <w:r w:rsidRPr="005556D5">
              <w:rPr>
                <w:rFonts w:ascii="Times New Roman" w:cs="Times New Roman"/>
                <w:bCs/>
                <w:sz w:val="21"/>
                <w:szCs w:val="21"/>
              </w:rPr>
              <w:t>5</w:t>
            </w:r>
            <w:r w:rsidRPr="005556D5">
              <w:rPr>
                <w:rFonts w:ascii="Times New Roman" w:cs="Times New Roman"/>
                <w:bCs/>
                <w:sz w:val="21"/>
                <w:szCs w:val="21"/>
                <w:lang w:val="zh-CN"/>
              </w:rPr>
              <w:t>m</w:t>
            </w:r>
          </w:p>
        </w:tc>
        <w:tc>
          <w:tcPr>
            <w:tcW w:w="176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107.8067,31.5357</w:t>
            </w:r>
          </w:p>
        </w:tc>
        <w:tc>
          <w:tcPr>
            <w:tcW w:w="159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槲栎灌丛</w:t>
            </w:r>
            <w:r w:rsidRPr="005556D5">
              <w:rPr>
                <w:rFonts w:ascii="Times New Roman" w:cs="Times New Roman" w:hint="eastAsia"/>
                <w:bCs/>
                <w:sz w:val="21"/>
                <w:szCs w:val="21"/>
              </w:rPr>
              <w:t>群落</w:t>
            </w:r>
          </w:p>
        </w:tc>
        <w:tc>
          <w:tcPr>
            <w:tcW w:w="88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槲栎</w:t>
            </w:r>
          </w:p>
        </w:tc>
        <w:tc>
          <w:tcPr>
            <w:tcW w:w="181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槲栎</w:t>
            </w:r>
            <w:r w:rsidRPr="005556D5">
              <w:rPr>
                <w:rFonts w:ascii="Times New Roman" w:cs="Times New Roman" w:hint="eastAsia"/>
                <w:bCs/>
                <w:sz w:val="21"/>
                <w:szCs w:val="21"/>
              </w:rPr>
              <w:t>、</w:t>
            </w:r>
            <w:r w:rsidRPr="005556D5">
              <w:rPr>
                <w:rFonts w:ascii="Times New Roman" w:cs="Times New Roman"/>
                <w:bCs/>
                <w:sz w:val="21"/>
                <w:szCs w:val="21"/>
              </w:rPr>
              <w:t>毛黄栌</w:t>
            </w:r>
          </w:p>
        </w:tc>
      </w:tr>
      <w:tr w:rsidR="005556D5" w:rsidRPr="005556D5" w:rsidTr="005556D5">
        <w:trPr>
          <w:trHeight w:val="570"/>
          <w:jc w:val="center"/>
        </w:trPr>
        <w:tc>
          <w:tcPr>
            <w:tcW w:w="75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样地</w:t>
            </w:r>
            <w:r w:rsidRPr="005556D5">
              <w:rPr>
                <w:rFonts w:ascii="Times New Roman" w:cs="Times New Roman" w:hint="eastAsia"/>
                <w:bCs/>
                <w:sz w:val="21"/>
                <w:szCs w:val="21"/>
              </w:rPr>
              <w:t>7</w:t>
            </w:r>
          </w:p>
        </w:tc>
        <w:tc>
          <w:tcPr>
            <w:tcW w:w="722"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3</w:t>
            </w:r>
          </w:p>
        </w:tc>
        <w:tc>
          <w:tcPr>
            <w:tcW w:w="1026"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5</w:t>
            </w:r>
            <w:r w:rsidRPr="005556D5">
              <w:rPr>
                <w:rFonts w:ascii="Times New Roman" w:cs="Times New Roman"/>
                <w:bCs/>
                <w:sz w:val="21"/>
                <w:szCs w:val="21"/>
                <w:lang w:val="zh-CN"/>
              </w:rPr>
              <w:t>×</w:t>
            </w:r>
            <w:r w:rsidRPr="005556D5">
              <w:rPr>
                <w:rFonts w:ascii="Times New Roman" w:cs="Times New Roman"/>
                <w:bCs/>
                <w:sz w:val="21"/>
                <w:szCs w:val="21"/>
              </w:rPr>
              <w:t>5</w:t>
            </w:r>
            <w:r w:rsidRPr="005556D5">
              <w:rPr>
                <w:rFonts w:ascii="Times New Roman" w:cs="Times New Roman"/>
                <w:bCs/>
                <w:sz w:val="21"/>
                <w:szCs w:val="21"/>
                <w:lang w:val="zh-CN"/>
              </w:rPr>
              <w:t>m</w:t>
            </w:r>
          </w:p>
        </w:tc>
        <w:tc>
          <w:tcPr>
            <w:tcW w:w="176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107.81186,31.5329</w:t>
            </w:r>
          </w:p>
        </w:tc>
        <w:tc>
          <w:tcPr>
            <w:tcW w:w="159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火棘灌丛群落</w:t>
            </w:r>
          </w:p>
        </w:tc>
        <w:tc>
          <w:tcPr>
            <w:tcW w:w="88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火棘</w:t>
            </w:r>
          </w:p>
        </w:tc>
        <w:tc>
          <w:tcPr>
            <w:tcW w:w="181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火棘、小果蔷薇</w:t>
            </w:r>
          </w:p>
        </w:tc>
      </w:tr>
      <w:tr w:rsidR="005556D5" w:rsidRPr="005556D5" w:rsidTr="005556D5">
        <w:trPr>
          <w:trHeight w:val="599"/>
          <w:jc w:val="center"/>
        </w:trPr>
        <w:tc>
          <w:tcPr>
            <w:tcW w:w="75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样地</w:t>
            </w:r>
            <w:r w:rsidRPr="005556D5">
              <w:rPr>
                <w:rFonts w:ascii="Times New Roman" w:cs="Times New Roman" w:hint="eastAsia"/>
                <w:bCs/>
                <w:sz w:val="21"/>
                <w:szCs w:val="21"/>
              </w:rPr>
              <w:t>8</w:t>
            </w:r>
          </w:p>
        </w:tc>
        <w:tc>
          <w:tcPr>
            <w:tcW w:w="722"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3</w:t>
            </w:r>
          </w:p>
        </w:tc>
        <w:tc>
          <w:tcPr>
            <w:tcW w:w="1026"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5</w:t>
            </w:r>
            <w:r w:rsidRPr="005556D5">
              <w:rPr>
                <w:rFonts w:ascii="Times New Roman" w:cs="Times New Roman"/>
                <w:bCs/>
                <w:sz w:val="21"/>
                <w:szCs w:val="21"/>
                <w:lang w:val="zh-CN"/>
              </w:rPr>
              <w:t>×</w:t>
            </w:r>
            <w:r w:rsidRPr="005556D5">
              <w:rPr>
                <w:rFonts w:ascii="Times New Roman" w:cs="Times New Roman"/>
                <w:bCs/>
                <w:sz w:val="21"/>
                <w:szCs w:val="21"/>
              </w:rPr>
              <w:t>5</w:t>
            </w:r>
            <w:r w:rsidRPr="005556D5">
              <w:rPr>
                <w:rFonts w:ascii="Times New Roman" w:cs="Times New Roman"/>
                <w:bCs/>
                <w:sz w:val="21"/>
                <w:szCs w:val="21"/>
                <w:lang w:val="zh-CN"/>
              </w:rPr>
              <w:t>m</w:t>
            </w:r>
          </w:p>
        </w:tc>
        <w:tc>
          <w:tcPr>
            <w:tcW w:w="176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107.813</w:t>
            </w:r>
            <w:r w:rsidRPr="005556D5">
              <w:rPr>
                <w:rFonts w:ascii="Times New Roman" w:cs="Times New Roman" w:hint="eastAsia"/>
                <w:bCs/>
                <w:sz w:val="21"/>
                <w:szCs w:val="21"/>
              </w:rPr>
              <w:t>6</w:t>
            </w:r>
            <w:r w:rsidRPr="005556D5">
              <w:rPr>
                <w:rFonts w:ascii="Times New Roman" w:cs="Times New Roman"/>
                <w:bCs/>
                <w:sz w:val="21"/>
                <w:szCs w:val="21"/>
              </w:rPr>
              <w:t>,31.5368</w:t>
            </w:r>
          </w:p>
        </w:tc>
        <w:tc>
          <w:tcPr>
            <w:tcW w:w="159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马桑、黄荆、火棘</w:t>
            </w:r>
            <w:r w:rsidRPr="005556D5">
              <w:rPr>
                <w:rFonts w:ascii="Times New Roman" w:cs="Times New Roman" w:hint="eastAsia"/>
                <w:bCs/>
                <w:sz w:val="21"/>
                <w:szCs w:val="21"/>
              </w:rPr>
              <w:t>群落</w:t>
            </w:r>
          </w:p>
        </w:tc>
        <w:tc>
          <w:tcPr>
            <w:tcW w:w="88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马桑</w:t>
            </w:r>
          </w:p>
        </w:tc>
        <w:tc>
          <w:tcPr>
            <w:tcW w:w="181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马桑、黄荆、火棘</w:t>
            </w:r>
          </w:p>
        </w:tc>
      </w:tr>
      <w:tr w:rsidR="005556D5" w:rsidRPr="005556D5" w:rsidTr="005556D5">
        <w:trPr>
          <w:trHeight w:val="653"/>
          <w:jc w:val="center"/>
        </w:trPr>
        <w:tc>
          <w:tcPr>
            <w:tcW w:w="75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样地</w:t>
            </w:r>
            <w:r w:rsidRPr="005556D5">
              <w:rPr>
                <w:rFonts w:ascii="Times New Roman" w:cs="Times New Roman" w:hint="eastAsia"/>
                <w:bCs/>
                <w:sz w:val="21"/>
                <w:szCs w:val="21"/>
              </w:rPr>
              <w:t>9</w:t>
            </w:r>
          </w:p>
        </w:tc>
        <w:tc>
          <w:tcPr>
            <w:tcW w:w="722"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3</w:t>
            </w:r>
          </w:p>
        </w:tc>
        <w:tc>
          <w:tcPr>
            <w:tcW w:w="1026"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1×1m</w:t>
            </w:r>
          </w:p>
        </w:tc>
        <w:tc>
          <w:tcPr>
            <w:tcW w:w="176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107.8217,31.5299</w:t>
            </w:r>
          </w:p>
        </w:tc>
        <w:tc>
          <w:tcPr>
            <w:tcW w:w="159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白茅、五节芒、野古草</w:t>
            </w:r>
            <w:r w:rsidRPr="005556D5">
              <w:rPr>
                <w:rFonts w:ascii="Times New Roman" w:cs="Times New Roman" w:hint="eastAsia"/>
                <w:bCs/>
                <w:sz w:val="21"/>
                <w:szCs w:val="21"/>
              </w:rPr>
              <w:t>群落</w:t>
            </w:r>
          </w:p>
        </w:tc>
        <w:tc>
          <w:tcPr>
            <w:tcW w:w="88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白茅</w:t>
            </w:r>
          </w:p>
        </w:tc>
        <w:tc>
          <w:tcPr>
            <w:tcW w:w="181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白茅、五节芒、野古草</w:t>
            </w:r>
          </w:p>
        </w:tc>
      </w:tr>
      <w:tr w:rsidR="005556D5" w:rsidRPr="005556D5" w:rsidTr="005556D5">
        <w:trPr>
          <w:trHeight w:val="594"/>
          <w:jc w:val="center"/>
        </w:trPr>
        <w:tc>
          <w:tcPr>
            <w:tcW w:w="75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样地</w:t>
            </w:r>
            <w:r w:rsidRPr="005556D5">
              <w:rPr>
                <w:rFonts w:ascii="Times New Roman" w:cs="Times New Roman" w:hint="eastAsia"/>
                <w:bCs/>
                <w:sz w:val="21"/>
                <w:szCs w:val="21"/>
              </w:rPr>
              <w:t>10</w:t>
            </w:r>
          </w:p>
        </w:tc>
        <w:tc>
          <w:tcPr>
            <w:tcW w:w="722"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hint="eastAsia"/>
                <w:bCs/>
                <w:sz w:val="21"/>
                <w:szCs w:val="21"/>
              </w:rPr>
              <w:t>3</w:t>
            </w:r>
          </w:p>
        </w:tc>
        <w:tc>
          <w:tcPr>
            <w:tcW w:w="1026"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1×1m</w:t>
            </w:r>
          </w:p>
        </w:tc>
        <w:tc>
          <w:tcPr>
            <w:tcW w:w="176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107.819</w:t>
            </w:r>
            <w:r w:rsidRPr="005556D5">
              <w:rPr>
                <w:rFonts w:ascii="Times New Roman" w:cs="Times New Roman" w:hint="eastAsia"/>
                <w:bCs/>
                <w:sz w:val="21"/>
                <w:szCs w:val="21"/>
              </w:rPr>
              <w:t>3</w:t>
            </w:r>
            <w:r w:rsidRPr="005556D5">
              <w:rPr>
                <w:rFonts w:ascii="Times New Roman" w:cs="Times New Roman"/>
                <w:bCs/>
                <w:sz w:val="21"/>
                <w:szCs w:val="21"/>
              </w:rPr>
              <w:t>,31.5314</w:t>
            </w:r>
          </w:p>
        </w:tc>
        <w:tc>
          <w:tcPr>
            <w:tcW w:w="159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芒、蕨、芒萁</w:t>
            </w:r>
            <w:r w:rsidRPr="005556D5">
              <w:rPr>
                <w:rFonts w:ascii="Times New Roman" w:cs="Times New Roman" w:hint="eastAsia"/>
                <w:bCs/>
                <w:sz w:val="21"/>
                <w:szCs w:val="21"/>
              </w:rPr>
              <w:t>群落</w:t>
            </w:r>
          </w:p>
        </w:tc>
        <w:tc>
          <w:tcPr>
            <w:tcW w:w="880"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芒</w:t>
            </w:r>
          </w:p>
        </w:tc>
        <w:tc>
          <w:tcPr>
            <w:tcW w:w="1814" w:type="dxa"/>
            <w:vAlign w:val="center"/>
          </w:tcPr>
          <w:p w:rsidR="005556D5" w:rsidRPr="005556D5" w:rsidRDefault="005556D5" w:rsidP="005556D5">
            <w:pPr>
              <w:topLinePunct w:val="0"/>
              <w:spacing w:line="240" w:lineRule="auto"/>
              <w:ind w:firstLineChars="0" w:firstLine="0"/>
              <w:jc w:val="center"/>
              <w:textAlignment w:val="baseline"/>
              <w:rPr>
                <w:rFonts w:ascii="Times New Roman" w:cs="Times New Roman"/>
                <w:bCs/>
                <w:sz w:val="21"/>
                <w:szCs w:val="21"/>
              </w:rPr>
            </w:pPr>
            <w:r w:rsidRPr="005556D5">
              <w:rPr>
                <w:rFonts w:ascii="Times New Roman" w:cs="Times New Roman"/>
                <w:bCs/>
                <w:sz w:val="21"/>
                <w:szCs w:val="21"/>
              </w:rPr>
              <w:t>芒、蕨、芒萁</w:t>
            </w:r>
          </w:p>
        </w:tc>
      </w:tr>
    </w:tbl>
    <w:p w:rsidR="001D4A49" w:rsidRPr="00D630D1" w:rsidRDefault="001D4A49" w:rsidP="001D4A49">
      <w:pPr>
        <w:topLinePunct w:val="0"/>
        <w:adjustRightInd/>
        <w:spacing w:line="480" w:lineRule="exact"/>
        <w:ind w:firstLine="482"/>
        <w:rPr>
          <w:rFonts w:ascii="Times New Roman" w:cs="Times New Roman"/>
          <w:b/>
          <w:bCs/>
          <w:kern w:val="2"/>
        </w:rPr>
      </w:pPr>
      <w:r w:rsidRPr="00D630D1">
        <w:rPr>
          <w:rFonts w:ascii="Times New Roman" w:cs="Times New Roman"/>
          <w:b/>
          <w:bCs/>
          <w:kern w:val="2"/>
        </w:rPr>
        <w:t>（</w:t>
      </w:r>
      <w:r w:rsidRPr="00D630D1">
        <w:rPr>
          <w:rFonts w:ascii="Times New Roman" w:cs="Times New Roman"/>
          <w:b/>
          <w:bCs/>
          <w:kern w:val="2"/>
        </w:rPr>
        <w:t>4</w:t>
      </w:r>
      <w:r w:rsidRPr="00D630D1">
        <w:rPr>
          <w:rFonts w:ascii="Times New Roman" w:cs="Times New Roman"/>
          <w:b/>
          <w:bCs/>
          <w:kern w:val="2"/>
        </w:rPr>
        <w:t>）景观生态和生态系统类型调查</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以能够获得的近期卫星影像图为工作用图，采用路线调查法和主要景观地段重点观测相结合，区划记录评价范围不同自然景观类型、范围、特征及生态系统类型，以此分析生态系统服务功能。</w:t>
      </w:r>
    </w:p>
    <w:p w:rsidR="001D4A49" w:rsidRPr="00D630D1" w:rsidRDefault="001D4A49" w:rsidP="001D4A49">
      <w:pPr>
        <w:topLinePunct w:val="0"/>
        <w:adjustRightInd/>
        <w:spacing w:line="480" w:lineRule="exact"/>
        <w:ind w:firstLine="482"/>
        <w:rPr>
          <w:rFonts w:ascii="Times New Roman" w:cs="Times New Roman"/>
          <w:b/>
          <w:bCs/>
          <w:kern w:val="2"/>
        </w:rPr>
      </w:pPr>
      <w:r w:rsidRPr="00D630D1">
        <w:rPr>
          <w:rFonts w:ascii="Times New Roman" w:cs="Times New Roman"/>
          <w:b/>
          <w:bCs/>
          <w:kern w:val="2"/>
        </w:rPr>
        <w:t>（</w:t>
      </w:r>
      <w:r w:rsidRPr="00D630D1">
        <w:rPr>
          <w:rFonts w:ascii="Times New Roman" w:cs="Times New Roman"/>
          <w:b/>
          <w:bCs/>
          <w:kern w:val="2"/>
        </w:rPr>
        <w:t>5</w:t>
      </w:r>
      <w:r w:rsidRPr="00D630D1">
        <w:rPr>
          <w:rFonts w:ascii="Times New Roman" w:cs="Times New Roman"/>
          <w:b/>
          <w:bCs/>
          <w:kern w:val="2"/>
        </w:rPr>
        <w:t>）陆生野生动物调查</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野生动物调查采用野外实地调查、访问、查阅相关文献资料等</w:t>
      </w:r>
      <w:r w:rsidRPr="00D630D1">
        <w:rPr>
          <w:rFonts w:ascii="Times New Roman" w:cs="Times New Roman"/>
          <w:spacing w:val="-2"/>
          <w:kern w:val="2"/>
        </w:rPr>
        <w:t>三种方式</w:t>
      </w:r>
      <w:r w:rsidRPr="00D630D1">
        <w:rPr>
          <w:rFonts w:ascii="Times New Roman" w:cs="Times New Roman"/>
          <w:kern w:val="2"/>
        </w:rPr>
        <w:t>进行，记录到种。</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资料检索法：主要收集、查阅项目区域相关</w:t>
      </w:r>
      <w:r w:rsidRPr="00D630D1">
        <w:rPr>
          <w:rFonts w:ascii="Times New Roman" w:cs="Times New Roman"/>
          <w:spacing w:val="-2"/>
          <w:kern w:val="2"/>
        </w:rPr>
        <w:t>科学研究和野外调查资料</w:t>
      </w:r>
      <w:r w:rsidRPr="00D630D1">
        <w:rPr>
          <w:rFonts w:ascii="Times New Roman" w:cs="Times New Roman"/>
          <w:kern w:val="2"/>
        </w:rPr>
        <w:t>以及其</w:t>
      </w:r>
      <w:r w:rsidRPr="00D630D1">
        <w:rPr>
          <w:rFonts w:ascii="Times New Roman" w:cs="Times New Roman"/>
          <w:kern w:val="2"/>
        </w:rPr>
        <w:lastRenderedPageBreak/>
        <w:t>它专家、学者发表的涉及项目区域的学术论文。应用这些文献资料时，尤其是在动物物种多样性方面，属当时调查获得的资料，直接引用或应用；属查阅资料获得的信息</w:t>
      </w:r>
      <w:r w:rsidRPr="00D630D1">
        <w:rPr>
          <w:rFonts w:ascii="Times New Roman" w:cs="Times New Roman"/>
          <w:spacing w:val="-2"/>
          <w:kern w:val="2"/>
        </w:rPr>
        <w:t>，</w:t>
      </w:r>
      <w:r w:rsidRPr="00D630D1">
        <w:rPr>
          <w:rFonts w:ascii="Times New Roman" w:cs="Times New Roman"/>
          <w:kern w:val="2"/>
        </w:rPr>
        <w:t>如有其它文献资料佐证的也应用，否则，不应用。</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访谈法：通过对当地林业及野生动物保护工作者、有野外经验的农民等进行访问和调查，与当地林业部门和林场的管理人员的有关同志进行交谈，了解当地动物的种类分布、数量情况。访谈时，先让访谈对象列举在当地见过哪些动物，再请其初步描述动物的形态特征和生活习性，最后提供动物图片供其辨认以确定具体种类。访谈时，调查人员避免诱导性提问，尽可能获得客观信息。调查人员对访谈对象提供的信息进行综合分析，确定物种的有无情况。访谈法可以快速了解野生动物在调查范围内的种类、分布情况及大致数量等信息，是对野外调查的重要补充，有利于了解整个评价区的动物资源状况。</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野外实地调查方法：主要为样线法，辅以样方法进行，具体如下：</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1</w:t>
      </w:r>
      <w:r w:rsidRPr="00D630D1">
        <w:rPr>
          <w:rFonts w:ascii="Times New Roman" w:cs="Times New Roman"/>
          <w:kern w:val="2"/>
        </w:rPr>
        <w:t>）兽类</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在评价区内采用样线法进行调查，现场记录遇见的动物，并对粪便、毛发、脚印和其它痕迹进行采样及识别。小型兽类调查采用设置样方法，并在样方内用铗日法进行调查；调查主要哺乳动物的种类时，则以现地调查结合座谈访问为主，并参考《四川兽类原色图鉴》进行确认，同时结合文献资料进行整理和分析。</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2</w:t>
      </w:r>
      <w:r w:rsidRPr="00D630D1">
        <w:rPr>
          <w:rFonts w:ascii="Times New Roman" w:cs="Times New Roman"/>
          <w:kern w:val="2"/>
        </w:rPr>
        <w:t>）鸟类</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在评价区内用样线法统计调查鸟类鸣声、羽毛和个体等行经，同时结合文献资料确定其种类组成及其种群数量。此外对珍稀鸟类或大型鸟类则进行访问调查，并参考《四川鸟类原色图鉴》进行确认，同时结合文献资料进行整理和分析。</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3</w:t>
      </w:r>
      <w:r w:rsidRPr="00D630D1">
        <w:rPr>
          <w:rFonts w:ascii="Times New Roman" w:cs="Times New Roman"/>
          <w:kern w:val="2"/>
        </w:rPr>
        <w:t>）两栖、爬行类</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两栖、爬行动物行动慢，活动范围小，对水环境的依赖性强，采用沿评价区附近溪河布设样线，辅以足够数量的样方于傍晚进行调查，依据看到的动物实体或痕迹并结合访问、文献资料进行分析整理，并参考《四川两栖类原色图鉴》、《四川爬行类动物原色图鉴》确定其种类。</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综合实地调查、访问调查和资料查阅，通过分析归纳和总结，得出项目区及其周边地区动物物种、种群数量和分布资料，为评价和保护提供科学依据。</w:t>
      </w:r>
    </w:p>
    <w:p w:rsidR="001D4A49" w:rsidRPr="00D630D1" w:rsidRDefault="001D4A49" w:rsidP="001D4A49">
      <w:pPr>
        <w:topLinePunct w:val="0"/>
        <w:adjustRightInd/>
        <w:spacing w:line="480" w:lineRule="exact"/>
        <w:ind w:firstLine="482"/>
        <w:rPr>
          <w:rFonts w:ascii="Times New Roman" w:cs="Times New Roman"/>
          <w:b/>
          <w:bCs/>
          <w:kern w:val="2"/>
        </w:rPr>
      </w:pPr>
      <w:r w:rsidRPr="00D630D1">
        <w:rPr>
          <w:rFonts w:ascii="Times New Roman" w:cs="Times New Roman"/>
          <w:b/>
          <w:bCs/>
          <w:kern w:val="2"/>
        </w:rPr>
        <w:lastRenderedPageBreak/>
        <w:t>3</w:t>
      </w:r>
      <w:r w:rsidRPr="00D630D1">
        <w:rPr>
          <w:rFonts w:ascii="Times New Roman" w:cs="Times New Roman"/>
          <w:b/>
          <w:bCs/>
          <w:kern w:val="2"/>
        </w:rPr>
        <w:t>、生态制图</w:t>
      </w:r>
    </w:p>
    <w:p w:rsidR="001D4A49" w:rsidRPr="00D630D1" w:rsidRDefault="001D4A49" w:rsidP="001D4A49">
      <w:pPr>
        <w:topLinePunct w:val="0"/>
        <w:adjustRightInd/>
        <w:spacing w:line="480" w:lineRule="exact"/>
        <w:ind w:firstLine="480"/>
        <w:rPr>
          <w:rFonts w:ascii="Times New Roman" w:cs="Times New Roman"/>
          <w:kern w:val="2"/>
        </w:rPr>
      </w:pPr>
      <w:r w:rsidRPr="00D630D1">
        <w:rPr>
          <w:rFonts w:ascii="Times New Roman" w:cs="Times New Roman"/>
          <w:kern w:val="2"/>
        </w:rPr>
        <w:t>在现场调查和群系样地调查的基础上，采用</w:t>
      </w:r>
      <w:r w:rsidRPr="00D630D1">
        <w:rPr>
          <w:rFonts w:ascii="Times New Roman" w:cs="Times New Roman"/>
          <w:kern w:val="2"/>
        </w:rPr>
        <w:t>GPS</w:t>
      </w:r>
      <w:r w:rsidRPr="00D630D1">
        <w:rPr>
          <w:rFonts w:ascii="Times New Roman" w:cs="Times New Roman"/>
          <w:kern w:val="2"/>
        </w:rPr>
        <w:t>、</w:t>
      </w:r>
      <w:r w:rsidRPr="00D630D1">
        <w:rPr>
          <w:rFonts w:ascii="Times New Roman" w:cs="Times New Roman"/>
          <w:kern w:val="2"/>
        </w:rPr>
        <w:t>RS</w:t>
      </w:r>
      <w:r w:rsidRPr="00D630D1">
        <w:rPr>
          <w:rFonts w:ascii="Times New Roman" w:cs="Times New Roman"/>
          <w:kern w:val="2"/>
        </w:rPr>
        <w:t>和</w:t>
      </w:r>
      <w:r w:rsidRPr="00D630D1">
        <w:rPr>
          <w:rFonts w:ascii="Times New Roman" w:cs="Times New Roman"/>
          <w:kern w:val="2"/>
        </w:rPr>
        <w:t>GIS</w:t>
      </w:r>
      <w:r w:rsidRPr="00D630D1">
        <w:rPr>
          <w:rFonts w:ascii="Times New Roman" w:cs="Times New Roman"/>
          <w:kern w:val="2"/>
        </w:rPr>
        <w:t>相结合的空间信息技术，进行地面类型的数字化判读，统计评价范围内各植被类型、面积、土地利用现状类型及数量。完成数字化的植被类型图和土地利用现状图及土壤侵蚀图，进行景观质量和生态环境质量的定性和定量评价。</w:t>
      </w:r>
    </w:p>
    <w:p w:rsidR="001D4A49" w:rsidRPr="00D630D1" w:rsidRDefault="001D4A49" w:rsidP="001D4A49">
      <w:pPr>
        <w:pStyle w:val="afa"/>
        <w:ind w:firstLine="480"/>
      </w:pPr>
      <w:r w:rsidRPr="00D630D1">
        <w:rPr>
          <w:kern w:val="2"/>
          <w:szCs w:val="24"/>
        </w:rPr>
        <w:t>本次研究选用国产资源卫星</w:t>
      </w:r>
      <w:r w:rsidRPr="00D630D1">
        <w:rPr>
          <w:kern w:val="2"/>
          <w:szCs w:val="24"/>
        </w:rPr>
        <w:t>zy-3</w:t>
      </w:r>
      <w:r w:rsidRPr="00D630D1">
        <w:rPr>
          <w:kern w:val="2"/>
          <w:szCs w:val="24"/>
        </w:rPr>
        <w:t>卫片，融合后地面精度为</w:t>
      </w:r>
      <w:r w:rsidRPr="00D630D1">
        <w:rPr>
          <w:kern w:val="2"/>
          <w:szCs w:val="24"/>
        </w:rPr>
        <w:t>2.1m</w:t>
      </w:r>
      <w:r w:rsidRPr="00D630D1">
        <w:rPr>
          <w:kern w:val="2"/>
          <w:szCs w:val="24"/>
        </w:rPr>
        <w:t>，采用地表植被特征的</w:t>
      </w:r>
      <w:r w:rsidRPr="00D630D1">
        <w:rPr>
          <w:kern w:val="2"/>
          <w:szCs w:val="24"/>
        </w:rPr>
        <w:t>“</w:t>
      </w:r>
      <w:r w:rsidRPr="00D630D1">
        <w:rPr>
          <w:kern w:val="2"/>
          <w:szCs w:val="24"/>
        </w:rPr>
        <w:t>近红外、红外、绿</w:t>
      </w:r>
      <w:r w:rsidRPr="00D630D1">
        <w:rPr>
          <w:kern w:val="2"/>
          <w:szCs w:val="24"/>
        </w:rPr>
        <w:t>”</w:t>
      </w:r>
      <w:r w:rsidRPr="00D630D1">
        <w:rPr>
          <w:kern w:val="2"/>
          <w:szCs w:val="24"/>
        </w:rPr>
        <w:t>三个波段，其中植被影响主要反映为红色。植被类型不同，色彩和色调都发生相应变化，因此可区分出植被亚型以上的植被类型以及农田、居民用地等地面类型。同时也参考了美国</w:t>
      </w:r>
      <w:r w:rsidRPr="00D630D1">
        <w:rPr>
          <w:kern w:val="2"/>
          <w:szCs w:val="24"/>
        </w:rPr>
        <w:t>wordview</w:t>
      </w:r>
      <w:r w:rsidRPr="00D630D1">
        <w:rPr>
          <w:kern w:val="2"/>
          <w:szCs w:val="24"/>
        </w:rPr>
        <w:t>卫片作为参考，分辨率</w:t>
      </w:r>
      <w:r w:rsidRPr="00D630D1">
        <w:rPr>
          <w:kern w:val="2"/>
          <w:szCs w:val="24"/>
        </w:rPr>
        <w:t>1.24</w:t>
      </w:r>
      <w:r w:rsidRPr="00D630D1">
        <w:rPr>
          <w:kern w:val="2"/>
          <w:szCs w:val="24"/>
        </w:rPr>
        <w:t>米能较好地满足调查需求，但是，植被类型的确定需结合不同植被类型分布的生态学特征，不能单纯依靠色彩进行划分，对监督分类产生的植被初图，结合路线调查记录和等高线、坡度、坡向等信息，对植被图进行目视解译校正，得到符合精度的植被图。在植被图的基础上，进一步合并有关地面类型，得到土地利用类型图。</w:t>
      </w:r>
    </w:p>
    <w:p w:rsidR="001D4A49" w:rsidRPr="00D630D1" w:rsidRDefault="001D4A49" w:rsidP="00213A2B">
      <w:pPr>
        <w:pStyle w:val="afa"/>
        <w:ind w:firstLine="480"/>
      </w:pPr>
      <w:r w:rsidRPr="00D630D1">
        <w:rPr>
          <w:szCs w:val="24"/>
        </w:rPr>
        <w:t>评价范围内植被概况见表</w:t>
      </w:r>
      <w:r w:rsidRPr="00D630D1">
        <w:rPr>
          <w:rFonts w:hint="eastAsia"/>
          <w:szCs w:val="24"/>
        </w:rPr>
        <w:t>5</w:t>
      </w:r>
      <w:r w:rsidRPr="00D630D1">
        <w:rPr>
          <w:szCs w:val="24"/>
        </w:rPr>
        <w:t>.</w:t>
      </w:r>
      <w:r w:rsidRPr="00D630D1">
        <w:rPr>
          <w:rFonts w:hint="eastAsia"/>
          <w:szCs w:val="24"/>
        </w:rPr>
        <w:t>2</w:t>
      </w:r>
      <w:r w:rsidRPr="00D630D1">
        <w:rPr>
          <w:szCs w:val="24"/>
        </w:rPr>
        <w:t>-3</w:t>
      </w:r>
      <w:r w:rsidRPr="00D630D1">
        <w:rPr>
          <w:szCs w:val="24"/>
        </w:rPr>
        <w:t>及《附图</w:t>
      </w:r>
      <w:r w:rsidRPr="00D630D1">
        <w:rPr>
          <w:szCs w:val="24"/>
        </w:rPr>
        <w:t xml:space="preserve"> </w:t>
      </w:r>
      <w:r w:rsidRPr="00D630D1">
        <w:rPr>
          <w:szCs w:val="24"/>
        </w:rPr>
        <w:t>评价区植被类型图》。</w:t>
      </w:r>
    </w:p>
    <w:p w:rsidR="001D4A49" w:rsidRDefault="001D4A49" w:rsidP="001D4A49">
      <w:pPr>
        <w:topLinePunct w:val="0"/>
        <w:adjustRightInd/>
        <w:spacing w:line="500" w:lineRule="exact"/>
        <w:ind w:left="60" w:right="100" w:firstLineChars="0" w:firstLine="482"/>
        <w:jc w:val="center"/>
        <w:rPr>
          <w:rFonts w:ascii="Times New Roman" w:cs="Times New Roman"/>
          <w:b/>
          <w:kern w:val="2"/>
          <w:sz w:val="21"/>
          <w:szCs w:val="20"/>
        </w:rPr>
      </w:pPr>
      <w:r w:rsidRPr="00D630D1">
        <w:rPr>
          <w:rFonts w:ascii="Times New Roman" w:cs="Times New Roman"/>
          <w:b/>
          <w:kern w:val="2"/>
          <w:sz w:val="21"/>
          <w:szCs w:val="20"/>
        </w:rPr>
        <w:t>表</w:t>
      </w:r>
      <w:r w:rsidRPr="00D630D1">
        <w:rPr>
          <w:rFonts w:ascii="Times New Roman" w:cs="Times New Roman"/>
          <w:b/>
          <w:kern w:val="2"/>
          <w:sz w:val="21"/>
          <w:szCs w:val="20"/>
        </w:rPr>
        <w:t xml:space="preserve">4.3-3 </w:t>
      </w:r>
      <w:r w:rsidRPr="00D630D1">
        <w:rPr>
          <w:rFonts w:ascii="Times New Roman" w:cs="Times New Roman"/>
          <w:b/>
          <w:kern w:val="2"/>
          <w:sz w:val="21"/>
          <w:szCs w:val="20"/>
        </w:rPr>
        <w:t>评价范围内主要植被类型面积统计表</w:t>
      </w:r>
    </w:p>
    <w:tbl>
      <w:tblPr>
        <w:tblW w:w="0" w:type="auto"/>
        <w:jc w:val="center"/>
        <w:tblBorders>
          <w:top w:val="single" w:sz="12" w:space="0" w:color="auto"/>
          <w:bottom w:val="single" w:sz="12" w:space="0" w:color="auto"/>
          <w:insideH w:val="single" w:sz="4" w:space="0" w:color="auto"/>
          <w:insideV w:val="single" w:sz="4" w:space="0" w:color="auto"/>
        </w:tblBorders>
        <w:tblLook w:val="0000"/>
      </w:tblPr>
      <w:tblGrid>
        <w:gridCol w:w="6196"/>
        <w:gridCol w:w="1165"/>
        <w:gridCol w:w="1161"/>
      </w:tblGrid>
      <w:tr w:rsidR="005556D5" w:rsidRPr="005556D5" w:rsidTr="005556D5">
        <w:trPr>
          <w:trHeight w:hRule="exact" w:val="477"/>
          <w:jc w:val="center"/>
        </w:trPr>
        <w:tc>
          <w:tcPr>
            <w:tcW w:w="0" w:type="auto"/>
            <w:vAlign w:val="center"/>
          </w:tcPr>
          <w:p w:rsidR="005556D5" w:rsidRPr="005556D5" w:rsidRDefault="005556D5" w:rsidP="005556D5">
            <w:pPr>
              <w:widowControl/>
              <w:topLinePunct w:val="0"/>
              <w:adjustRightInd/>
              <w:spacing w:line="240" w:lineRule="auto"/>
              <w:ind w:firstLineChars="0" w:firstLine="0"/>
              <w:jc w:val="center"/>
              <w:rPr>
                <w:rFonts w:ascii="Times New Roman" w:cs="Times New Roman"/>
                <w:sz w:val="21"/>
                <w:szCs w:val="21"/>
              </w:rPr>
            </w:pPr>
            <w:r w:rsidRPr="005556D5">
              <w:rPr>
                <w:rFonts w:ascii="Times New Roman" w:cs="Times New Roman"/>
                <w:sz w:val="21"/>
                <w:szCs w:val="21"/>
              </w:rPr>
              <w:t>植被类型</w:t>
            </w:r>
          </w:p>
        </w:tc>
        <w:tc>
          <w:tcPr>
            <w:tcW w:w="0" w:type="auto"/>
            <w:vAlign w:val="center"/>
          </w:tcPr>
          <w:p w:rsidR="005556D5" w:rsidRPr="00D630D1" w:rsidRDefault="005556D5" w:rsidP="00D1611E">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w:t>
            </w:r>
            <w:r w:rsidRPr="00D630D1">
              <w:rPr>
                <w:rFonts w:ascii="Times New Roman" w:cs="Times New Roman"/>
                <w:sz w:val="21"/>
                <w:szCs w:val="21"/>
              </w:rPr>
              <w:t>面积</w:t>
            </w:r>
            <w:r w:rsidRPr="00D630D1">
              <w:rPr>
                <w:rFonts w:ascii="Times New Roman" w:cs="Times New Roman"/>
                <w:sz w:val="21"/>
                <w:szCs w:val="21"/>
              </w:rPr>
              <w:t>hm</w:t>
            </w:r>
            <w:r w:rsidRPr="00D630D1">
              <w:rPr>
                <w:rFonts w:ascii="Times New Roman" w:cs="Times New Roman"/>
                <w:sz w:val="21"/>
                <w:szCs w:val="21"/>
                <w:vertAlign w:val="superscript"/>
              </w:rPr>
              <w:t>2</w:t>
            </w:r>
            <w:r w:rsidRPr="00D630D1">
              <w:rPr>
                <w:rFonts w:ascii="Times New Roman" w:cs="Times New Roman" w:hint="eastAsia"/>
                <w:sz w:val="21"/>
                <w:szCs w:val="21"/>
              </w:rPr>
              <w:t>）</w:t>
            </w:r>
          </w:p>
        </w:tc>
        <w:tc>
          <w:tcPr>
            <w:tcW w:w="0" w:type="auto"/>
            <w:vAlign w:val="center"/>
          </w:tcPr>
          <w:p w:rsidR="005556D5" w:rsidRPr="00D630D1" w:rsidRDefault="005556D5" w:rsidP="00D1611E">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cs="Times New Roman"/>
                <w:sz w:val="21"/>
                <w:szCs w:val="21"/>
              </w:rPr>
              <w:t>百分比</w:t>
            </w:r>
            <w:r w:rsidRPr="00D630D1">
              <w:rPr>
                <w:rFonts w:ascii="Times New Roman" w:cs="Times New Roman" w:hint="eastAsia"/>
                <w:sz w:val="21"/>
                <w:szCs w:val="21"/>
              </w:rPr>
              <w:t>（</w:t>
            </w:r>
            <w:r w:rsidRPr="00D630D1">
              <w:rPr>
                <w:rFonts w:ascii="Times New Roman" w:cs="Times New Roman"/>
                <w:sz w:val="21"/>
                <w:szCs w:val="21"/>
              </w:rPr>
              <w:t>%</w:t>
            </w:r>
            <w:r w:rsidRPr="00D630D1">
              <w:rPr>
                <w:rFonts w:ascii="Times New Roman" w:cs="Times New Roman" w:hint="eastAsia"/>
                <w:sz w:val="21"/>
                <w:szCs w:val="21"/>
              </w:rPr>
              <w:t>）</w:t>
            </w:r>
          </w:p>
        </w:tc>
      </w:tr>
      <w:tr w:rsidR="005556D5" w:rsidRPr="005556D5" w:rsidTr="005556D5">
        <w:trPr>
          <w:trHeight w:hRule="exact" w:val="397"/>
          <w:jc w:val="center"/>
        </w:trPr>
        <w:tc>
          <w:tcPr>
            <w:tcW w:w="0" w:type="auto"/>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以马尾松、杉木、柏木为主的</w:t>
            </w:r>
            <w:r w:rsidRPr="005556D5">
              <w:rPr>
                <w:rFonts w:ascii="Times New Roman" w:cs="Times New Roman"/>
                <w:kern w:val="2"/>
                <w:sz w:val="21"/>
                <w:szCs w:val="21"/>
              </w:rPr>
              <w:t>针叶林植被</w:t>
            </w:r>
          </w:p>
        </w:tc>
        <w:tc>
          <w:tcPr>
            <w:tcW w:w="1165"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98.40 </w:t>
            </w:r>
          </w:p>
        </w:tc>
        <w:tc>
          <w:tcPr>
            <w:tcW w:w="1161"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7.20 </w:t>
            </w:r>
          </w:p>
        </w:tc>
      </w:tr>
      <w:tr w:rsidR="005556D5" w:rsidRPr="005556D5" w:rsidTr="005556D5">
        <w:trPr>
          <w:trHeight w:hRule="exact" w:val="658"/>
          <w:jc w:val="center"/>
        </w:trPr>
        <w:tc>
          <w:tcPr>
            <w:tcW w:w="0" w:type="auto"/>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以麻栎、青冈、枫香、响叶杨等为主的</w:t>
            </w:r>
            <w:r w:rsidRPr="005556D5">
              <w:rPr>
                <w:rFonts w:ascii="Times New Roman" w:cs="Times New Roman"/>
                <w:kern w:val="2"/>
                <w:sz w:val="21"/>
                <w:szCs w:val="21"/>
              </w:rPr>
              <w:t>阔叶林植被</w:t>
            </w:r>
          </w:p>
        </w:tc>
        <w:tc>
          <w:tcPr>
            <w:tcW w:w="1165"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769.96 </w:t>
            </w:r>
          </w:p>
        </w:tc>
        <w:tc>
          <w:tcPr>
            <w:tcW w:w="1161"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56.34 </w:t>
            </w:r>
          </w:p>
        </w:tc>
      </w:tr>
      <w:tr w:rsidR="005556D5" w:rsidRPr="005556D5" w:rsidTr="005556D5">
        <w:trPr>
          <w:trHeight w:hRule="exact" w:val="714"/>
          <w:jc w:val="center"/>
        </w:trPr>
        <w:tc>
          <w:tcPr>
            <w:tcW w:w="0" w:type="auto"/>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kern w:val="2"/>
                <w:sz w:val="21"/>
                <w:szCs w:val="21"/>
              </w:rPr>
              <w:t>以</w:t>
            </w:r>
            <w:r w:rsidRPr="005556D5">
              <w:rPr>
                <w:rFonts w:ascii="Times New Roman" w:cs="Times New Roman" w:hint="eastAsia"/>
                <w:kern w:val="2"/>
                <w:sz w:val="21"/>
                <w:szCs w:val="21"/>
              </w:rPr>
              <w:t>马桑、黄荆、火棘、荚蒾、盐肤木</w:t>
            </w:r>
            <w:r w:rsidRPr="005556D5">
              <w:rPr>
                <w:rFonts w:ascii="Times New Roman" w:cs="Times New Roman"/>
                <w:kern w:val="2"/>
                <w:sz w:val="21"/>
                <w:szCs w:val="21"/>
              </w:rPr>
              <w:t>为主的灌丛植被</w:t>
            </w:r>
          </w:p>
        </w:tc>
        <w:tc>
          <w:tcPr>
            <w:tcW w:w="1165"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36.38 </w:t>
            </w:r>
          </w:p>
        </w:tc>
        <w:tc>
          <w:tcPr>
            <w:tcW w:w="1161"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2.66 </w:t>
            </w:r>
          </w:p>
        </w:tc>
      </w:tr>
      <w:tr w:rsidR="005556D5" w:rsidRPr="005556D5" w:rsidTr="005556D5">
        <w:trPr>
          <w:trHeight w:hRule="exact" w:val="745"/>
          <w:jc w:val="center"/>
        </w:trPr>
        <w:tc>
          <w:tcPr>
            <w:tcW w:w="0" w:type="auto"/>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kern w:val="2"/>
                <w:sz w:val="21"/>
                <w:szCs w:val="21"/>
              </w:rPr>
              <w:t>以</w:t>
            </w:r>
            <w:r w:rsidRPr="005556D5">
              <w:rPr>
                <w:rFonts w:ascii="Times New Roman" w:cs="Times New Roman" w:hint="eastAsia"/>
                <w:kern w:val="2"/>
                <w:sz w:val="21"/>
                <w:szCs w:val="21"/>
              </w:rPr>
              <w:t>白茅、五节芒、芒、芒萁、蕨</w:t>
            </w:r>
            <w:r w:rsidRPr="005556D5">
              <w:rPr>
                <w:rFonts w:ascii="Times New Roman" w:cs="Times New Roman"/>
                <w:kern w:val="2"/>
                <w:sz w:val="21"/>
                <w:szCs w:val="21"/>
              </w:rPr>
              <w:t>等为主的草丛植被</w:t>
            </w:r>
          </w:p>
        </w:tc>
        <w:tc>
          <w:tcPr>
            <w:tcW w:w="1165"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16.01 </w:t>
            </w:r>
          </w:p>
        </w:tc>
        <w:tc>
          <w:tcPr>
            <w:tcW w:w="1161"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1.17 </w:t>
            </w:r>
          </w:p>
        </w:tc>
      </w:tr>
      <w:tr w:rsidR="005556D5" w:rsidRPr="005556D5" w:rsidTr="005556D5">
        <w:trPr>
          <w:trHeight w:hRule="exact" w:val="397"/>
          <w:jc w:val="center"/>
        </w:trPr>
        <w:tc>
          <w:tcPr>
            <w:tcW w:w="0" w:type="auto"/>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水稻</w:t>
            </w:r>
            <w:r w:rsidRPr="005556D5">
              <w:rPr>
                <w:rFonts w:ascii="Times New Roman" w:cs="Times New Roman"/>
                <w:kern w:val="2"/>
                <w:sz w:val="21"/>
                <w:szCs w:val="21"/>
              </w:rPr>
              <w:t>为主的水田作物植被</w:t>
            </w:r>
          </w:p>
        </w:tc>
        <w:tc>
          <w:tcPr>
            <w:tcW w:w="1165"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179.83 </w:t>
            </w:r>
          </w:p>
        </w:tc>
        <w:tc>
          <w:tcPr>
            <w:tcW w:w="1161"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13.16 </w:t>
            </w:r>
          </w:p>
        </w:tc>
      </w:tr>
      <w:tr w:rsidR="005556D5" w:rsidRPr="005556D5" w:rsidTr="005556D5">
        <w:trPr>
          <w:trHeight w:hRule="exact" w:val="730"/>
          <w:jc w:val="center"/>
        </w:trPr>
        <w:tc>
          <w:tcPr>
            <w:tcW w:w="0" w:type="auto"/>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玉米、红苕、棉花、花生、小麦、马铃薯、豌豆</w:t>
            </w:r>
            <w:r w:rsidRPr="005556D5">
              <w:rPr>
                <w:rFonts w:ascii="Times New Roman" w:cs="Times New Roman"/>
                <w:kern w:val="2"/>
                <w:sz w:val="21"/>
                <w:szCs w:val="21"/>
              </w:rPr>
              <w:t>为主的旱地作物植被</w:t>
            </w:r>
          </w:p>
        </w:tc>
        <w:tc>
          <w:tcPr>
            <w:tcW w:w="1165"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207.98 </w:t>
            </w:r>
          </w:p>
        </w:tc>
        <w:tc>
          <w:tcPr>
            <w:tcW w:w="1161"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15.22 </w:t>
            </w:r>
          </w:p>
        </w:tc>
      </w:tr>
      <w:tr w:rsidR="005556D5" w:rsidRPr="005556D5" w:rsidTr="005556D5">
        <w:trPr>
          <w:trHeight w:hRule="exact" w:val="397"/>
          <w:jc w:val="center"/>
        </w:trPr>
        <w:tc>
          <w:tcPr>
            <w:tcW w:w="0" w:type="auto"/>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kern w:val="2"/>
                <w:sz w:val="21"/>
                <w:szCs w:val="21"/>
              </w:rPr>
              <w:t>无植被</w:t>
            </w:r>
          </w:p>
        </w:tc>
        <w:tc>
          <w:tcPr>
            <w:tcW w:w="1165"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58.16 </w:t>
            </w:r>
          </w:p>
        </w:tc>
        <w:tc>
          <w:tcPr>
            <w:tcW w:w="1161"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4.26 </w:t>
            </w:r>
          </w:p>
        </w:tc>
      </w:tr>
      <w:tr w:rsidR="005556D5" w:rsidRPr="005556D5" w:rsidTr="005556D5">
        <w:trPr>
          <w:trHeight w:hRule="exact" w:val="397"/>
          <w:jc w:val="center"/>
        </w:trPr>
        <w:tc>
          <w:tcPr>
            <w:tcW w:w="0" w:type="auto"/>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kern w:val="2"/>
                <w:sz w:val="21"/>
                <w:szCs w:val="21"/>
              </w:rPr>
              <w:t>合计</w:t>
            </w:r>
          </w:p>
        </w:tc>
        <w:tc>
          <w:tcPr>
            <w:tcW w:w="1165"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1366.73 </w:t>
            </w:r>
          </w:p>
        </w:tc>
        <w:tc>
          <w:tcPr>
            <w:tcW w:w="1161" w:type="dxa"/>
            <w:vAlign w:val="center"/>
          </w:tcPr>
          <w:p w:rsidR="005556D5" w:rsidRPr="005556D5" w:rsidRDefault="005556D5" w:rsidP="005556D5">
            <w:pPr>
              <w:topLinePunct w:val="0"/>
              <w:adjustRightInd/>
              <w:spacing w:line="240" w:lineRule="auto"/>
              <w:ind w:firstLineChars="0" w:firstLine="0"/>
              <w:jc w:val="center"/>
              <w:rPr>
                <w:rFonts w:ascii="Times New Roman" w:cs="Times New Roman"/>
                <w:kern w:val="2"/>
                <w:sz w:val="21"/>
                <w:szCs w:val="21"/>
              </w:rPr>
            </w:pPr>
            <w:r w:rsidRPr="005556D5">
              <w:rPr>
                <w:rFonts w:ascii="Times New Roman" w:cs="Times New Roman" w:hint="eastAsia"/>
                <w:kern w:val="2"/>
                <w:sz w:val="21"/>
                <w:szCs w:val="21"/>
              </w:rPr>
              <w:t xml:space="preserve">100.00 </w:t>
            </w:r>
          </w:p>
        </w:tc>
      </w:tr>
    </w:tbl>
    <w:p w:rsidR="001D4A49" w:rsidRPr="00D630D1" w:rsidRDefault="00C70FB8" w:rsidP="00C70FB8">
      <w:pPr>
        <w:pStyle w:val="afa"/>
        <w:ind w:firstLine="480"/>
      </w:pPr>
      <w:r w:rsidRPr="00D630D1">
        <w:t>由表</w:t>
      </w:r>
      <w:r w:rsidRPr="00D630D1">
        <w:rPr>
          <w:rFonts w:hint="eastAsia"/>
        </w:rPr>
        <w:t>5</w:t>
      </w:r>
      <w:r w:rsidRPr="00D630D1">
        <w:t>.</w:t>
      </w:r>
      <w:r w:rsidRPr="00D630D1">
        <w:rPr>
          <w:rFonts w:hint="eastAsia"/>
        </w:rPr>
        <w:t>2</w:t>
      </w:r>
      <w:r w:rsidRPr="00D630D1">
        <w:t>-3</w:t>
      </w:r>
      <w:r w:rsidRPr="00D630D1">
        <w:t>可看出，</w:t>
      </w:r>
      <w:r w:rsidR="005556D5">
        <w:t>本次评价范围内</w:t>
      </w:r>
      <w:r w:rsidR="005556D5">
        <w:rPr>
          <w:rFonts w:hint="eastAsia"/>
        </w:rPr>
        <w:t>以麻栎、青冈、枫香、响叶杨等为主的</w:t>
      </w:r>
      <w:r w:rsidR="005556D5">
        <w:t>阔叶林植被占比最大，占评价面积的</w:t>
      </w:r>
      <w:r w:rsidR="005556D5">
        <w:rPr>
          <w:rFonts w:hint="eastAsia"/>
        </w:rPr>
        <w:t>56.34</w:t>
      </w:r>
      <w:r w:rsidR="005556D5">
        <w:t>%</w:t>
      </w:r>
      <w:r w:rsidR="005556D5">
        <w:t>，</w:t>
      </w:r>
      <w:r w:rsidR="005556D5">
        <w:rPr>
          <w:rFonts w:hint="eastAsia"/>
        </w:rPr>
        <w:t>其次为玉米、红苕、棉花、花生、</w:t>
      </w:r>
      <w:r w:rsidR="005556D5">
        <w:rPr>
          <w:rFonts w:hint="eastAsia"/>
        </w:rPr>
        <w:lastRenderedPageBreak/>
        <w:t>小麦、马铃薯、豌豆</w:t>
      </w:r>
      <w:r w:rsidR="005556D5">
        <w:t>为主的旱地作物植被</w:t>
      </w:r>
      <w:r w:rsidR="005556D5">
        <w:rPr>
          <w:rFonts w:hint="eastAsia"/>
        </w:rPr>
        <w:t>，</w:t>
      </w:r>
      <w:r w:rsidR="005556D5">
        <w:t>占评价面积的</w:t>
      </w:r>
      <w:r w:rsidR="005556D5">
        <w:rPr>
          <w:rFonts w:hint="eastAsia"/>
        </w:rPr>
        <w:t>15.22</w:t>
      </w:r>
      <w:r w:rsidR="005556D5">
        <w:t>%</w:t>
      </w:r>
      <w:r w:rsidR="005556D5">
        <w:rPr>
          <w:rFonts w:hint="eastAsia"/>
        </w:rPr>
        <w:t>，以马尾松、杉木、柏木为主的</w:t>
      </w:r>
      <w:r w:rsidR="005556D5">
        <w:t>针叶林植被，占评价面积的</w:t>
      </w:r>
      <w:r w:rsidR="005556D5">
        <w:rPr>
          <w:rFonts w:hint="eastAsia"/>
        </w:rPr>
        <w:t>7.20</w:t>
      </w:r>
      <w:r w:rsidR="005556D5">
        <w:t>%</w:t>
      </w:r>
      <w:r w:rsidR="005556D5">
        <w:t>，其他植被类型所占比例均低于</w:t>
      </w:r>
      <w:r w:rsidR="005556D5">
        <w:rPr>
          <w:rFonts w:hint="eastAsia"/>
        </w:rPr>
        <w:t>5</w:t>
      </w:r>
      <w:r w:rsidR="005556D5">
        <w:t>%</w:t>
      </w:r>
      <w:r w:rsidR="005556D5">
        <w:t>，综上，本项目评价范围</w:t>
      </w:r>
      <w:r w:rsidR="005556D5">
        <w:rPr>
          <w:rFonts w:hint="eastAsia"/>
        </w:rPr>
        <w:t>植被类型</w:t>
      </w:r>
      <w:r w:rsidR="005556D5">
        <w:t>主要</w:t>
      </w:r>
      <w:r w:rsidR="005556D5">
        <w:rPr>
          <w:rFonts w:hint="eastAsia"/>
        </w:rPr>
        <w:t>以阔叶林植被、旱地植被</w:t>
      </w:r>
      <w:r w:rsidR="005556D5">
        <w:t>占优</w:t>
      </w:r>
      <w:r w:rsidRPr="00D630D1">
        <w:t>。</w:t>
      </w:r>
    </w:p>
    <w:p w:rsidR="000D3DA5" w:rsidRPr="00D630D1" w:rsidRDefault="000D3DA5" w:rsidP="000D3DA5">
      <w:pPr>
        <w:pStyle w:val="afa"/>
        <w:ind w:firstLineChars="196" w:firstLine="472"/>
        <w:rPr>
          <w:b/>
          <w:bCs/>
        </w:rPr>
      </w:pPr>
      <w:r w:rsidRPr="00D630D1">
        <w:rPr>
          <w:rFonts w:hint="eastAsia"/>
          <w:b/>
          <w:bCs/>
        </w:rPr>
        <w:t>（</w:t>
      </w:r>
      <w:r w:rsidRPr="00D630D1">
        <w:rPr>
          <w:rFonts w:hint="eastAsia"/>
          <w:b/>
          <w:bCs/>
        </w:rPr>
        <w:t>2</w:t>
      </w:r>
      <w:r w:rsidRPr="00D630D1">
        <w:rPr>
          <w:rFonts w:hint="eastAsia"/>
          <w:b/>
          <w:bCs/>
        </w:rPr>
        <w:t>）</w:t>
      </w:r>
      <w:r w:rsidRPr="00D630D1">
        <w:rPr>
          <w:b/>
          <w:bCs/>
        </w:rPr>
        <w:t>评价范围土地利用现状</w:t>
      </w:r>
    </w:p>
    <w:p w:rsidR="00C70FB8" w:rsidRPr="00D630D1" w:rsidRDefault="000D3DA5" w:rsidP="000D3DA5">
      <w:pPr>
        <w:pStyle w:val="afa"/>
        <w:ind w:firstLine="480"/>
      </w:pPr>
      <w:r w:rsidRPr="00D630D1">
        <w:t>评价范围内土地利用概况见表</w:t>
      </w:r>
      <w:r w:rsidRPr="00D630D1">
        <w:rPr>
          <w:rFonts w:hint="eastAsia"/>
        </w:rPr>
        <w:t>5</w:t>
      </w:r>
      <w:r w:rsidRPr="00D630D1">
        <w:t>.</w:t>
      </w:r>
      <w:r w:rsidRPr="00D630D1">
        <w:rPr>
          <w:rFonts w:hint="eastAsia"/>
        </w:rPr>
        <w:t>2</w:t>
      </w:r>
      <w:r w:rsidRPr="00D630D1">
        <w:t>-4</w:t>
      </w:r>
      <w:r w:rsidRPr="00D630D1">
        <w:t>及《附图</w:t>
      </w:r>
      <w:r w:rsidRPr="00D630D1">
        <w:t xml:space="preserve"> </w:t>
      </w:r>
      <w:r w:rsidRPr="00D630D1">
        <w:t>评价区土地利用现状图》。</w:t>
      </w:r>
    </w:p>
    <w:p w:rsidR="000D3DA5" w:rsidRDefault="000D3DA5" w:rsidP="000D3DA5">
      <w:pPr>
        <w:topLinePunct w:val="0"/>
        <w:adjustRightInd/>
        <w:spacing w:line="500" w:lineRule="exact"/>
        <w:ind w:left="60" w:right="100" w:firstLineChars="0" w:firstLine="482"/>
        <w:jc w:val="center"/>
        <w:rPr>
          <w:rFonts w:ascii="Times New Roman" w:cs="Times New Roman"/>
          <w:b/>
          <w:kern w:val="2"/>
          <w:sz w:val="21"/>
          <w:szCs w:val="20"/>
        </w:rPr>
      </w:pPr>
      <w:r w:rsidRPr="00D630D1">
        <w:rPr>
          <w:rFonts w:ascii="Times New Roman" w:cs="Times New Roman"/>
          <w:b/>
          <w:kern w:val="2"/>
          <w:sz w:val="21"/>
          <w:szCs w:val="20"/>
        </w:rPr>
        <w:t>表</w:t>
      </w:r>
      <w:r w:rsidR="00CA529F" w:rsidRPr="00D630D1">
        <w:rPr>
          <w:rFonts w:ascii="Times New Roman" w:cs="Times New Roman" w:hint="eastAsia"/>
          <w:b/>
          <w:kern w:val="2"/>
          <w:sz w:val="21"/>
          <w:szCs w:val="20"/>
        </w:rPr>
        <w:t>5</w:t>
      </w:r>
      <w:r w:rsidRPr="00D630D1">
        <w:rPr>
          <w:rFonts w:ascii="Times New Roman" w:cs="Times New Roman"/>
          <w:b/>
          <w:kern w:val="2"/>
          <w:sz w:val="21"/>
          <w:szCs w:val="20"/>
        </w:rPr>
        <w:t>.</w:t>
      </w:r>
      <w:r w:rsidR="00CA529F" w:rsidRPr="00D630D1">
        <w:rPr>
          <w:rFonts w:ascii="Times New Roman" w:cs="Times New Roman" w:hint="eastAsia"/>
          <w:b/>
          <w:kern w:val="2"/>
          <w:sz w:val="21"/>
          <w:szCs w:val="20"/>
        </w:rPr>
        <w:t>2</w:t>
      </w:r>
      <w:r w:rsidRPr="00D630D1">
        <w:rPr>
          <w:rFonts w:ascii="Times New Roman" w:cs="Times New Roman"/>
          <w:b/>
          <w:kern w:val="2"/>
          <w:sz w:val="21"/>
          <w:szCs w:val="20"/>
        </w:rPr>
        <w:t xml:space="preserve">-4 </w:t>
      </w:r>
      <w:r w:rsidRPr="00D630D1">
        <w:rPr>
          <w:rFonts w:ascii="Times New Roman" w:cs="Times New Roman"/>
          <w:b/>
          <w:kern w:val="2"/>
          <w:sz w:val="21"/>
          <w:szCs w:val="20"/>
        </w:rPr>
        <w:t>本次评价范围内土地利用现状情况</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2827"/>
        <w:gridCol w:w="2889"/>
        <w:gridCol w:w="2806"/>
      </w:tblGrid>
      <w:tr w:rsidR="005556D5" w:rsidTr="005556D5">
        <w:trPr>
          <w:trHeight w:hRule="exact" w:val="340"/>
          <w:jc w:val="center"/>
        </w:trPr>
        <w:tc>
          <w:tcPr>
            <w:tcW w:w="2827" w:type="dxa"/>
            <w:tcBorders>
              <w:top w:val="single" w:sz="12"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sz w:val="21"/>
                <w:szCs w:val="21"/>
              </w:rPr>
              <w:t>土地利用类型</w:t>
            </w:r>
          </w:p>
        </w:tc>
        <w:tc>
          <w:tcPr>
            <w:tcW w:w="2889" w:type="dxa"/>
            <w:tcBorders>
              <w:top w:val="single" w:sz="12" w:space="0" w:color="auto"/>
              <w:left w:val="single" w:sz="4" w:space="0" w:color="auto"/>
              <w:bottom w:val="single" w:sz="4" w:space="0" w:color="auto"/>
              <w:right w:val="single" w:sz="4" w:space="0" w:color="auto"/>
            </w:tcBorders>
            <w:vAlign w:val="center"/>
          </w:tcPr>
          <w:p w:rsidR="005556D5" w:rsidRPr="00D630D1" w:rsidRDefault="005556D5" w:rsidP="00D1611E">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cs="Times New Roman" w:hint="eastAsia"/>
                <w:sz w:val="21"/>
                <w:szCs w:val="21"/>
              </w:rPr>
              <w:t>（</w:t>
            </w:r>
            <w:r w:rsidRPr="00D630D1">
              <w:rPr>
                <w:rFonts w:ascii="Times New Roman" w:cs="Times New Roman"/>
                <w:sz w:val="21"/>
                <w:szCs w:val="21"/>
              </w:rPr>
              <w:t>面积</w:t>
            </w:r>
            <w:r w:rsidRPr="00D630D1">
              <w:rPr>
                <w:rFonts w:ascii="Times New Roman" w:cs="Times New Roman"/>
                <w:sz w:val="21"/>
                <w:szCs w:val="21"/>
              </w:rPr>
              <w:t>hm</w:t>
            </w:r>
            <w:r w:rsidRPr="00D630D1">
              <w:rPr>
                <w:rFonts w:ascii="Times New Roman" w:cs="Times New Roman"/>
                <w:sz w:val="21"/>
                <w:szCs w:val="21"/>
                <w:vertAlign w:val="superscript"/>
              </w:rPr>
              <w:t>2</w:t>
            </w:r>
            <w:r w:rsidRPr="00D630D1">
              <w:rPr>
                <w:rFonts w:ascii="Times New Roman" w:cs="Times New Roman" w:hint="eastAsia"/>
                <w:sz w:val="21"/>
                <w:szCs w:val="21"/>
              </w:rPr>
              <w:t>）</w:t>
            </w:r>
          </w:p>
        </w:tc>
        <w:tc>
          <w:tcPr>
            <w:tcW w:w="2806" w:type="dxa"/>
            <w:tcBorders>
              <w:top w:val="single" w:sz="12" w:space="0" w:color="auto"/>
              <w:left w:val="single" w:sz="4" w:space="0" w:color="auto"/>
              <w:bottom w:val="single" w:sz="4" w:space="0" w:color="auto"/>
            </w:tcBorders>
            <w:vAlign w:val="center"/>
          </w:tcPr>
          <w:p w:rsidR="005556D5" w:rsidRPr="00D630D1" w:rsidRDefault="005556D5" w:rsidP="00D1611E">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cs="Times New Roman"/>
                <w:sz w:val="21"/>
                <w:szCs w:val="21"/>
              </w:rPr>
              <w:t>百分比</w:t>
            </w:r>
            <w:r w:rsidRPr="00D630D1">
              <w:rPr>
                <w:rFonts w:ascii="Times New Roman" w:cs="Times New Roman" w:hint="eastAsia"/>
                <w:sz w:val="21"/>
                <w:szCs w:val="21"/>
              </w:rPr>
              <w:t>（</w:t>
            </w:r>
            <w:r w:rsidRPr="00D630D1">
              <w:rPr>
                <w:rFonts w:ascii="Times New Roman" w:cs="Times New Roman"/>
                <w:sz w:val="21"/>
                <w:szCs w:val="21"/>
              </w:rPr>
              <w:t>%</w:t>
            </w:r>
            <w:r w:rsidRPr="00D630D1">
              <w:rPr>
                <w:rFonts w:ascii="Times New Roman" w:cs="Times New Roman" w:hint="eastAsia"/>
                <w:sz w:val="21"/>
                <w:szCs w:val="21"/>
              </w:rPr>
              <w:t>）</w:t>
            </w:r>
          </w:p>
        </w:tc>
      </w:tr>
      <w:tr w:rsidR="005556D5" w:rsidTr="005556D5">
        <w:trPr>
          <w:trHeight w:hRule="exact" w:val="340"/>
          <w:jc w:val="center"/>
        </w:trPr>
        <w:tc>
          <w:tcPr>
            <w:tcW w:w="2827" w:type="dxa"/>
            <w:tcBorders>
              <w:top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水田</w:t>
            </w:r>
          </w:p>
        </w:tc>
        <w:tc>
          <w:tcPr>
            <w:tcW w:w="2889" w:type="dxa"/>
            <w:tcBorders>
              <w:top w:val="single" w:sz="4" w:space="0" w:color="auto"/>
              <w:left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179.83 </w:t>
            </w:r>
          </w:p>
        </w:tc>
        <w:tc>
          <w:tcPr>
            <w:tcW w:w="2806" w:type="dxa"/>
            <w:tcBorders>
              <w:top w:val="single" w:sz="4" w:space="0" w:color="auto"/>
              <w:left w:val="single" w:sz="4" w:space="0" w:color="auto"/>
              <w:bottom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13.16 </w:t>
            </w:r>
          </w:p>
        </w:tc>
      </w:tr>
      <w:tr w:rsidR="005556D5" w:rsidTr="005556D5">
        <w:trPr>
          <w:trHeight w:hRule="exact" w:val="340"/>
          <w:jc w:val="center"/>
        </w:trPr>
        <w:tc>
          <w:tcPr>
            <w:tcW w:w="2827" w:type="dxa"/>
            <w:tcBorders>
              <w:top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旱地</w:t>
            </w:r>
          </w:p>
        </w:tc>
        <w:tc>
          <w:tcPr>
            <w:tcW w:w="2889" w:type="dxa"/>
            <w:tcBorders>
              <w:top w:val="single" w:sz="4" w:space="0" w:color="auto"/>
              <w:left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207.98 </w:t>
            </w:r>
          </w:p>
        </w:tc>
        <w:tc>
          <w:tcPr>
            <w:tcW w:w="2806" w:type="dxa"/>
            <w:tcBorders>
              <w:top w:val="single" w:sz="4" w:space="0" w:color="auto"/>
              <w:left w:val="single" w:sz="4" w:space="0" w:color="auto"/>
              <w:bottom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15.22 </w:t>
            </w:r>
          </w:p>
        </w:tc>
      </w:tr>
      <w:tr w:rsidR="005556D5" w:rsidTr="005556D5">
        <w:trPr>
          <w:trHeight w:hRule="exact" w:val="340"/>
          <w:jc w:val="center"/>
        </w:trPr>
        <w:tc>
          <w:tcPr>
            <w:tcW w:w="2827" w:type="dxa"/>
            <w:tcBorders>
              <w:top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乔木林地</w:t>
            </w:r>
          </w:p>
        </w:tc>
        <w:tc>
          <w:tcPr>
            <w:tcW w:w="2889" w:type="dxa"/>
            <w:tcBorders>
              <w:top w:val="single" w:sz="4" w:space="0" w:color="auto"/>
              <w:left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868.37 </w:t>
            </w:r>
          </w:p>
        </w:tc>
        <w:tc>
          <w:tcPr>
            <w:tcW w:w="2806" w:type="dxa"/>
            <w:tcBorders>
              <w:top w:val="single" w:sz="4" w:space="0" w:color="auto"/>
              <w:left w:val="single" w:sz="4" w:space="0" w:color="auto"/>
              <w:bottom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63.54 </w:t>
            </w:r>
          </w:p>
        </w:tc>
      </w:tr>
      <w:tr w:rsidR="005556D5" w:rsidTr="005556D5">
        <w:trPr>
          <w:trHeight w:hRule="exact" w:val="340"/>
          <w:jc w:val="center"/>
        </w:trPr>
        <w:tc>
          <w:tcPr>
            <w:tcW w:w="2827" w:type="dxa"/>
            <w:tcBorders>
              <w:top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灌木林地</w:t>
            </w:r>
          </w:p>
        </w:tc>
        <w:tc>
          <w:tcPr>
            <w:tcW w:w="2889" w:type="dxa"/>
            <w:tcBorders>
              <w:top w:val="single" w:sz="4" w:space="0" w:color="auto"/>
              <w:left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36.38 </w:t>
            </w:r>
          </w:p>
        </w:tc>
        <w:tc>
          <w:tcPr>
            <w:tcW w:w="2806" w:type="dxa"/>
            <w:tcBorders>
              <w:top w:val="single" w:sz="4" w:space="0" w:color="auto"/>
              <w:left w:val="single" w:sz="4" w:space="0" w:color="auto"/>
              <w:bottom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2.66 </w:t>
            </w:r>
          </w:p>
        </w:tc>
      </w:tr>
      <w:tr w:rsidR="005556D5" w:rsidTr="005556D5">
        <w:trPr>
          <w:trHeight w:hRule="exact" w:val="340"/>
          <w:jc w:val="center"/>
        </w:trPr>
        <w:tc>
          <w:tcPr>
            <w:tcW w:w="2827" w:type="dxa"/>
            <w:tcBorders>
              <w:top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其他草地</w:t>
            </w:r>
          </w:p>
        </w:tc>
        <w:tc>
          <w:tcPr>
            <w:tcW w:w="2889" w:type="dxa"/>
            <w:tcBorders>
              <w:top w:val="single" w:sz="4" w:space="0" w:color="auto"/>
              <w:left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16.01 </w:t>
            </w:r>
          </w:p>
        </w:tc>
        <w:tc>
          <w:tcPr>
            <w:tcW w:w="2806" w:type="dxa"/>
            <w:tcBorders>
              <w:top w:val="single" w:sz="4" w:space="0" w:color="auto"/>
              <w:left w:val="single" w:sz="4" w:space="0" w:color="auto"/>
              <w:bottom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1.17 </w:t>
            </w:r>
          </w:p>
        </w:tc>
      </w:tr>
      <w:tr w:rsidR="005556D5" w:rsidTr="005556D5">
        <w:trPr>
          <w:trHeight w:hRule="exact" w:val="340"/>
          <w:jc w:val="center"/>
        </w:trPr>
        <w:tc>
          <w:tcPr>
            <w:tcW w:w="2827" w:type="dxa"/>
            <w:tcBorders>
              <w:top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河流水面</w:t>
            </w:r>
          </w:p>
        </w:tc>
        <w:tc>
          <w:tcPr>
            <w:tcW w:w="2889" w:type="dxa"/>
            <w:tcBorders>
              <w:top w:val="single" w:sz="4" w:space="0" w:color="auto"/>
              <w:left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1.95 </w:t>
            </w:r>
          </w:p>
        </w:tc>
        <w:tc>
          <w:tcPr>
            <w:tcW w:w="2806" w:type="dxa"/>
            <w:tcBorders>
              <w:top w:val="single" w:sz="4" w:space="0" w:color="auto"/>
              <w:left w:val="single" w:sz="4" w:space="0" w:color="auto"/>
              <w:bottom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0.14 </w:t>
            </w:r>
          </w:p>
        </w:tc>
      </w:tr>
      <w:tr w:rsidR="005556D5" w:rsidTr="005556D5">
        <w:trPr>
          <w:trHeight w:hRule="exact" w:val="340"/>
          <w:jc w:val="center"/>
        </w:trPr>
        <w:tc>
          <w:tcPr>
            <w:tcW w:w="2827" w:type="dxa"/>
            <w:tcBorders>
              <w:top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坑塘水面</w:t>
            </w:r>
          </w:p>
        </w:tc>
        <w:tc>
          <w:tcPr>
            <w:tcW w:w="2889" w:type="dxa"/>
            <w:tcBorders>
              <w:top w:val="single" w:sz="4" w:space="0" w:color="auto"/>
              <w:left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2.96 </w:t>
            </w:r>
          </w:p>
        </w:tc>
        <w:tc>
          <w:tcPr>
            <w:tcW w:w="2806" w:type="dxa"/>
            <w:tcBorders>
              <w:top w:val="single" w:sz="4" w:space="0" w:color="auto"/>
              <w:left w:val="single" w:sz="4" w:space="0" w:color="auto"/>
              <w:bottom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0.22 </w:t>
            </w:r>
          </w:p>
        </w:tc>
      </w:tr>
      <w:tr w:rsidR="005556D5" w:rsidTr="005556D5">
        <w:trPr>
          <w:trHeight w:hRule="exact" w:val="340"/>
          <w:jc w:val="center"/>
        </w:trPr>
        <w:tc>
          <w:tcPr>
            <w:tcW w:w="2827" w:type="dxa"/>
            <w:tcBorders>
              <w:top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住宅用地</w:t>
            </w:r>
          </w:p>
        </w:tc>
        <w:tc>
          <w:tcPr>
            <w:tcW w:w="2889" w:type="dxa"/>
            <w:tcBorders>
              <w:top w:val="single" w:sz="4" w:space="0" w:color="auto"/>
              <w:left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32.65 </w:t>
            </w:r>
          </w:p>
        </w:tc>
        <w:tc>
          <w:tcPr>
            <w:tcW w:w="2806" w:type="dxa"/>
            <w:tcBorders>
              <w:top w:val="single" w:sz="4" w:space="0" w:color="auto"/>
              <w:left w:val="single" w:sz="4" w:space="0" w:color="auto"/>
              <w:bottom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2.39 </w:t>
            </w:r>
          </w:p>
        </w:tc>
      </w:tr>
      <w:tr w:rsidR="005556D5" w:rsidTr="005556D5">
        <w:trPr>
          <w:trHeight w:hRule="exact" w:val="340"/>
          <w:jc w:val="center"/>
        </w:trPr>
        <w:tc>
          <w:tcPr>
            <w:tcW w:w="2827" w:type="dxa"/>
            <w:tcBorders>
              <w:top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公路用地</w:t>
            </w:r>
          </w:p>
        </w:tc>
        <w:tc>
          <w:tcPr>
            <w:tcW w:w="2889" w:type="dxa"/>
            <w:tcBorders>
              <w:top w:val="single" w:sz="4" w:space="0" w:color="auto"/>
              <w:left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14.72 </w:t>
            </w:r>
          </w:p>
        </w:tc>
        <w:tc>
          <w:tcPr>
            <w:tcW w:w="2806" w:type="dxa"/>
            <w:tcBorders>
              <w:top w:val="single" w:sz="4" w:space="0" w:color="auto"/>
              <w:left w:val="single" w:sz="4" w:space="0" w:color="auto"/>
              <w:bottom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1.08 </w:t>
            </w:r>
          </w:p>
        </w:tc>
      </w:tr>
      <w:tr w:rsidR="005556D5" w:rsidTr="005556D5">
        <w:trPr>
          <w:trHeight w:hRule="exact" w:val="340"/>
          <w:jc w:val="center"/>
        </w:trPr>
        <w:tc>
          <w:tcPr>
            <w:tcW w:w="2827" w:type="dxa"/>
            <w:tcBorders>
              <w:top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工业用地</w:t>
            </w:r>
          </w:p>
        </w:tc>
        <w:tc>
          <w:tcPr>
            <w:tcW w:w="2889" w:type="dxa"/>
            <w:tcBorders>
              <w:top w:val="single" w:sz="4" w:space="0" w:color="auto"/>
              <w:left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5.88 </w:t>
            </w:r>
          </w:p>
        </w:tc>
        <w:tc>
          <w:tcPr>
            <w:tcW w:w="2806" w:type="dxa"/>
            <w:tcBorders>
              <w:top w:val="single" w:sz="4" w:space="0" w:color="auto"/>
              <w:left w:val="single" w:sz="4" w:space="0" w:color="auto"/>
              <w:bottom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0.43 </w:t>
            </w:r>
          </w:p>
        </w:tc>
      </w:tr>
      <w:tr w:rsidR="005556D5" w:rsidTr="005556D5">
        <w:trPr>
          <w:trHeight w:hRule="exact" w:val="340"/>
          <w:jc w:val="center"/>
        </w:trPr>
        <w:tc>
          <w:tcPr>
            <w:tcW w:w="2827" w:type="dxa"/>
            <w:tcBorders>
              <w:top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合计</w:t>
            </w:r>
          </w:p>
        </w:tc>
        <w:tc>
          <w:tcPr>
            <w:tcW w:w="2889" w:type="dxa"/>
            <w:tcBorders>
              <w:top w:val="single" w:sz="4" w:space="0" w:color="auto"/>
              <w:left w:val="single" w:sz="4" w:space="0" w:color="auto"/>
              <w:bottom w:val="single" w:sz="4" w:space="0" w:color="auto"/>
              <w:right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1366.73 </w:t>
            </w:r>
          </w:p>
        </w:tc>
        <w:tc>
          <w:tcPr>
            <w:tcW w:w="2806" w:type="dxa"/>
            <w:tcBorders>
              <w:top w:val="single" w:sz="4" w:space="0" w:color="auto"/>
              <w:left w:val="single" w:sz="4" w:space="0" w:color="auto"/>
              <w:bottom w:val="single" w:sz="4" w:space="0" w:color="auto"/>
            </w:tcBorders>
            <w:vAlign w:val="center"/>
          </w:tcPr>
          <w:p w:rsidR="005556D5" w:rsidRDefault="005556D5" w:rsidP="005556D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 xml:space="preserve">100.00 </w:t>
            </w:r>
          </w:p>
        </w:tc>
      </w:tr>
    </w:tbl>
    <w:p w:rsidR="000D3DA5" w:rsidRPr="00D630D1" w:rsidRDefault="00CA529F" w:rsidP="00CA529F">
      <w:pPr>
        <w:pStyle w:val="afa"/>
        <w:ind w:firstLine="480"/>
        <w:rPr>
          <w:szCs w:val="24"/>
        </w:rPr>
      </w:pPr>
      <w:r w:rsidRPr="00D630D1">
        <w:rPr>
          <w:szCs w:val="24"/>
        </w:rPr>
        <w:t>由表</w:t>
      </w:r>
      <w:r w:rsidR="005556D5">
        <w:rPr>
          <w:rFonts w:hint="eastAsia"/>
          <w:szCs w:val="24"/>
        </w:rPr>
        <w:t>5</w:t>
      </w:r>
      <w:r w:rsidRPr="00D630D1">
        <w:rPr>
          <w:szCs w:val="24"/>
        </w:rPr>
        <w:t>.</w:t>
      </w:r>
      <w:r w:rsidRPr="00D630D1">
        <w:rPr>
          <w:rFonts w:hint="eastAsia"/>
          <w:szCs w:val="24"/>
        </w:rPr>
        <w:t>2</w:t>
      </w:r>
      <w:r w:rsidRPr="00D630D1">
        <w:rPr>
          <w:szCs w:val="24"/>
        </w:rPr>
        <w:t>-4</w:t>
      </w:r>
      <w:r w:rsidRPr="00D630D1">
        <w:rPr>
          <w:szCs w:val="24"/>
        </w:rPr>
        <w:t>看出，</w:t>
      </w:r>
      <w:r w:rsidR="005556D5">
        <w:rPr>
          <w:szCs w:val="24"/>
        </w:rPr>
        <w:t>本次评价范围内乔木林地</w:t>
      </w:r>
      <w:r w:rsidR="005556D5">
        <w:rPr>
          <w:rFonts w:hint="eastAsia"/>
          <w:szCs w:val="24"/>
        </w:rPr>
        <w:t>868.37</w:t>
      </w:r>
      <w:r w:rsidR="005556D5">
        <w:rPr>
          <w:szCs w:val="24"/>
        </w:rPr>
        <w:t>hm</w:t>
      </w:r>
      <w:r w:rsidR="005556D5">
        <w:rPr>
          <w:szCs w:val="24"/>
          <w:vertAlign w:val="superscript"/>
        </w:rPr>
        <w:t>2</w:t>
      </w:r>
      <w:r w:rsidR="005556D5">
        <w:rPr>
          <w:szCs w:val="24"/>
        </w:rPr>
        <w:t>，占评价范围的</w:t>
      </w:r>
      <w:r w:rsidR="005556D5">
        <w:rPr>
          <w:rFonts w:hint="eastAsia"/>
          <w:szCs w:val="24"/>
        </w:rPr>
        <w:t>63.54</w:t>
      </w:r>
      <w:r w:rsidR="005556D5">
        <w:rPr>
          <w:szCs w:val="24"/>
        </w:rPr>
        <w:t>%</w:t>
      </w:r>
      <w:r w:rsidR="005556D5">
        <w:rPr>
          <w:szCs w:val="24"/>
        </w:rPr>
        <w:t>，</w:t>
      </w:r>
      <w:r w:rsidR="005556D5">
        <w:rPr>
          <w:rFonts w:hint="eastAsia"/>
          <w:szCs w:val="24"/>
        </w:rPr>
        <w:t>旱地</w:t>
      </w:r>
      <w:r w:rsidR="005556D5">
        <w:rPr>
          <w:rFonts w:hint="eastAsia"/>
          <w:szCs w:val="24"/>
        </w:rPr>
        <w:t>207.98</w:t>
      </w:r>
      <w:r w:rsidR="005556D5">
        <w:rPr>
          <w:szCs w:val="24"/>
        </w:rPr>
        <w:t>hm</w:t>
      </w:r>
      <w:r w:rsidR="005556D5">
        <w:rPr>
          <w:szCs w:val="24"/>
          <w:vertAlign w:val="superscript"/>
        </w:rPr>
        <w:t>2</w:t>
      </w:r>
      <w:r w:rsidR="005556D5">
        <w:rPr>
          <w:szCs w:val="24"/>
        </w:rPr>
        <w:t>，占评价范围的</w:t>
      </w:r>
      <w:r w:rsidR="005556D5">
        <w:rPr>
          <w:rFonts w:hint="eastAsia"/>
          <w:szCs w:val="24"/>
        </w:rPr>
        <w:t>15.22</w:t>
      </w:r>
      <w:r w:rsidR="005556D5">
        <w:rPr>
          <w:szCs w:val="24"/>
        </w:rPr>
        <w:t>%</w:t>
      </w:r>
      <w:r w:rsidR="005556D5">
        <w:rPr>
          <w:rFonts w:hint="eastAsia"/>
          <w:szCs w:val="24"/>
        </w:rPr>
        <w:t>，水田</w:t>
      </w:r>
      <w:r w:rsidR="005556D5">
        <w:rPr>
          <w:rFonts w:hint="eastAsia"/>
          <w:szCs w:val="24"/>
        </w:rPr>
        <w:t>179.83</w:t>
      </w:r>
      <w:r w:rsidR="005556D5">
        <w:rPr>
          <w:szCs w:val="24"/>
        </w:rPr>
        <w:t>hm</w:t>
      </w:r>
      <w:r w:rsidR="005556D5">
        <w:rPr>
          <w:szCs w:val="24"/>
          <w:vertAlign w:val="superscript"/>
        </w:rPr>
        <w:t>2</w:t>
      </w:r>
      <w:r w:rsidR="005556D5">
        <w:rPr>
          <w:szCs w:val="24"/>
        </w:rPr>
        <w:t>，占评价范围的</w:t>
      </w:r>
      <w:r w:rsidR="005556D5">
        <w:rPr>
          <w:rFonts w:hint="eastAsia"/>
          <w:szCs w:val="24"/>
        </w:rPr>
        <w:t>13.16</w:t>
      </w:r>
      <w:r w:rsidR="005556D5">
        <w:rPr>
          <w:szCs w:val="24"/>
        </w:rPr>
        <w:t>%</w:t>
      </w:r>
      <w:r w:rsidR="005556D5">
        <w:rPr>
          <w:rFonts w:hint="eastAsia"/>
          <w:szCs w:val="24"/>
        </w:rPr>
        <w:t>，其余地类均低于</w:t>
      </w:r>
      <w:r w:rsidR="005556D5">
        <w:rPr>
          <w:rFonts w:hint="eastAsia"/>
          <w:szCs w:val="24"/>
        </w:rPr>
        <w:t>5%</w:t>
      </w:r>
      <w:r w:rsidR="005556D5">
        <w:rPr>
          <w:szCs w:val="24"/>
        </w:rPr>
        <w:t>。综上，本次评价范围内土地类型以乔木林地和</w:t>
      </w:r>
      <w:r w:rsidR="005556D5">
        <w:rPr>
          <w:rFonts w:hint="eastAsia"/>
          <w:szCs w:val="24"/>
        </w:rPr>
        <w:t>旱地</w:t>
      </w:r>
      <w:r w:rsidR="005556D5">
        <w:rPr>
          <w:szCs w:val="24"/>
        </w:rPr>
        <w:t>为主</w:t>
      </w:r>
      <w:r w:rsidRPr="00D630D1">
        <w:rPr>
          <w:szCs w:val="24"/>
        </w:rPr>
        <w:t>。</w:t>
      </w:r>
    </w:p>
    <w:p w:rsidR="00CA529F" w:rsidRPr="00D630D1" w:rsidRDefault="00CA529F" w:rsidP="00F96E37">
      <w:pPr>
        <w:topLinePunct w:val="0"/>
        <w:snapToGrid w:val="0"/>
        <w:spacing w:beforeLines="50"/>
        <w:ind w:firstLine="482"/>
        <w:rPr>
          <w:rFonts w:ascii="Times New Roman" w:cs="Times New Roman"/>
          <w:b/>
          <w:bCs/>
          <w:kern w:val="2"/>
        </w:rPr>
      </w:pPr>
      <w:r w:rsidRPr="00D630D1">
        <w:rPr>
          <w:rFonts w:ascii="Times New Roman" w:cs="Times New Roman"/>
          <w:b/>
          <w:bCs/>
          <w:kern w:val="2"/>
        </w:rPr>
        <w:t>（</w:t>
      </w:r>
      <w:r w:rsidRPr="00D630D1">
        <w:rPr>
          <w:rFonts w:ascii="Times New Roman" w:cs="Times New Roman"/>
          <w:b/>
          <w:bCs/>
          <w:kern w:val="2"/>
        </w:rPr>
        <w:t>3</w:t>
      </w:r>
      <w:r w:rsidRPr="00D630D1">
        <w:rPr>
          <w:rFonts w:ascii="Times New Roman" w:cs="Times New Roman"/>
          <w:b/>
          <w:bCs/>
          <w:kern w:val="2"/>
        </w:rPr>
        <w:t>）</w:t>
      </w:r>
      <w:bookmarkStart w:id="424" w:name="_Toc296319726"/>
      <w:r w:rsidRPr="00D630D1">
        <w:rPr>
          <w:rFonts w:ascii="Times New Roman" w:cs="Times New Roman"/>
          <w:b/>
          <w:bCs/>
          <w:kern w:val="2"/>
        </w:rPr>
        <w:t>评价范围土壤侵蚀特点</w:t>
      </w:r>
      <w:bookmarkEnd w:id="424"/>
    </w:p>
    <w:p w:rsidR="00CA529F" w:rsidRPr="00D630D1" w:rsidRDefault="00CA529F" w:rsidP="00F96E37">
      <w:pPr>
        <w:topLinePunct w:val="0"/>
        <w:snapToGrid w:val="0"/>
        <w:spacing w:beforeLines="50"/>
        <w:ind w:firstLine="480"/>
        <w:rPr>
          <w:rFonts w:ascii="Times New Roman" w:cs="Times New Roman"/>
          <w:kern w:val="2"/>
        </w:rPr>
      </w:pPr>
      <w:r w:rsidRPr="00D630D1">
        <w:rPr>
          <w:rFonts w:ascii="Times New Roman" w:cs="Times New Roman"/>
          <w:kern w:val="2"/>
        </w:rPr>
        <w:t>1</w:t>
      </w:r>
      <w:r w:rsidRPr="00D630D1">
        <w:rPr>
          <w:rFonts w:ascii="Times New Roman" w:cs="Times New Roman"/>
          <w:kern w:val="2"/>
        </w:rPr>
        <w:t>）土壤侵蚀强度分类与遥感影像特征</w:t>
      </w:r>
    </w:p>
    <w:p w:rsidR="00CA529F" w:rsidRPr="00D630D1" w:rsidRDefault="00CA529F" w:rsidP="00CA529F">
      <w:pPr>
        <w:pStyle w:val="afa"/>
        <w:ind w:firstLine="480"/>
      </w:pPr>
      <w:r w:rsidRPr="00D630D1">
        <w:rPr>
          <w:kern w:val="2"/>
          <w:szCs w:val="24"/>
        </w:rPr>
        <w:t>参照《生态环境状况评价技术规范》（</w:t>
      </w:r>
      <w:r w:rsidRPr="00D630D1">
        <w:rPr>
          <w:kern w:val="2"/>
          <w:szCs w:val="24"/>
        </w:rPr>
        <w:t>HJ192-2015</w:t>
      </w:r>
      <w:r w:rsidRPr="00D630D1">
        <w:rPr>
          <w:kern w:val="2"/>
          <w:szCs w:val="24"/>
        </w:rPr>
        <w:t>，</w:t>
      </w:r>
      <w:r w:rsidRPr="00D630D1">
        <w:rPr>
          <w:kern w:val="2"/>
          <w:szCs w:val="24"/>
        </w:rPr>
        <w:t>2015-03-13</w:t>
      </w:r>
      <w:r w:rsidRPr="00D630D1">
        <w:rPr>
          <w:kern w:val="2"/>
          <w:szCs w:val="24"/>
        </w:rPr>
        <w:t>）、《土壤侵蚀分类分级标准》（</w:t>
      </w:r>
      <w:r w:rsidRPr="00D630D1">
        <w:rPr>
          <w:kern w:val="2"/>
          <w:szCs w:val="24"/>
        </w:rPr>
        <w:t>SL190-2007</w:t>
      </w:r>
      <w:r w:rsidRPr="00D630D1">
        <w:rPr>
          <w:kern w:val="2"/>
          <w:szCs w:val="24"/>
        </w:rPr>
        <w:t>，</w:t>
      </w:r>
      <w:r w:rsidRPr="00D630D1">
        <w:rPr>
          <w:kern w:val="2"/>
          <w:szCs w:val="24"/>
        </w:rPr>
        <w:t>2008-01-04</w:t>
      </w:r>
      <w:r w:rsidRPr="00D630D1">
        <w:rPr>
          <w:kern w:val="2"/>
          <w:szCs w:val="24"/>
        </w:rPr>
        <w:t>）中侵蚀强度分级参考指标（表</w:t>
      </w:r>
      <w:r w:rsidR="008D1781" w:rsidRPr="00D630D1">
        <w:rPr>
          <w:rFonts w:hint="eastAsia"/>
          <w:kern w:val="2"/>
          <w:szCs w:val="24"/>
        </w:rPr>
        <w:t>5</w:t>
      </w:r>
      <w:r w:rsidRPr="00D630D1">
        <w:rPr>
          <w:kern w:val="2"/>
          <w:szCs w:val="24"/>
        </w:rPr>
        <w:t>.</w:t>
      </w:r>
      <w:r w:rsidR="008D1781" w:rsidRPr="00D630D1">
        <w:rPr>
          <w:rFonts w:hint="eastAsia"/>
          <w:kern w:val="2"/>
          <w:szCs w:val="24"/>
        </w:rPr>
        <w:t>2</w:t>
      </w:r>
      <w:r w:rsidRPr="00D630D1">
        <w:rPr>
          <w:kern w:val="2"/>
          <w:szCs w:val="24"/>
        </w:rPr>
        <w:t>-5</w:t>
      </w:r>
      <w:r w:rsidRPr="00D630D1">
        <w:rPr>
          <w:kern w:val="2"/>
          <w:szCs w:val="24"/>
        </w:rPr>
        <w:t>），以气候、地表物质组成、植被覆盖度、土地利用现状、水土保持措施及地形因素中的沟谷密度、坡度等因素为划分依据，将评价范围内土壤侵蚀划分为</w:t>
      </w:r>
      <w:r w:rsidRPr="00D630D1">
        <w:rPr>
          <w:kern w:val="2"/>
          <w:szCs w:val="24"/>
        </w:rPr>
        <w:t>4</w:t>
      </w:r>
      <w:r w:rsidRPr="00D630D1">
        <w:rPr>
          <w:kern w:val="2"/>
          <w:szCs w:val="24"/>
        </w:rPr>
        <w:t>个等级。评价范围土壤侵蚀现状见表</w:t>
      </w:r>
      <w:r w:rsidR="008D1781" w:rsidRPr="00D630D1">
        <w:rPr>
          <w:rFonts w:hint="eastAsia"/>
          <w:kern w:val="2"/>
          <w:szCs w:val="24"/>
        </w:rPr>
        <w:t>5</w:t>
      </w:r>
      <w:r w:rsidRPr="00D630D1">
        <w:rPr>
          <w:kern w:val="2"/>
          <w:szCs w:val="24"/>
        </w:rPr>
        <w:t>.</w:t>
      </w:r>
      <w:r w:rsidR="008D1781" w:rsidRPr="00D630D1">
        <w:rPr>
          <w:rFonts w:hint="eastAsia"/>
          <w:kern w:val="2"/>
          <w:szCs w:val="24"/>
        </w:rPr>
        <w:t>2</w:t>
      </w:r>
      <w:r w:rsidRPr="00D630D1">
        <w:rPr>
          <w:kern w:val="2"/>
          <w:szCs w:val="24"/>
        </w:rPr>
        <w:t>-6</w:t>
      </w:r>
      <w:r w:rsidRPr="00D630D1">
        <w:rPr>
          <w:kern w:val="2"/>
          <w:szCs w:val="24"/>
        </w:rPr>
        <w:t>及《附图</w:t>
      </w:r>
      <w:r w:rsidRPr="00D630D1">
        <w:rPr>
          <w:kern w:val="2"/>
          <w:szCs w:val="24"/>
        </w:rPr>
        <w:t xml:space="preserve"> </w:t>
      </w:r>
      <w:r w:rsidRPr="00D630D1">
        <w:rPr>
          <w:kern w:val="2"/>
          <w:szCs w:val="24"/>
        </w:rPr>
        <w:t>评价区土壤侵蚀图》。</w:t>
      </w:r>
    </w:p>
    <w:p w:rsidR="008D1781" w:rsidRPr="00D630D1" w:rsidRDefault="008D1781" w:rsidP="008D1781">
      <w:pPr>
        <w:spacing w:line="500" w:lineRule="exact"/>
        <w:ind w:left="60" w:right="100" w:firstLine="482"/>
        <w:jc w:val="center"/>
        <w:rPr>
          <w:rFonts w:ascii="Times New Roman" w:cs="Times New Roman"/>
          <w:b/>
          <w:szCs w:val="20"/>
        </w:rPr>
      </w:pPr>
      <w:r w:rsidRPr="00D630D1">
        <w:rPr>
          <w:rFonts w:ascii="Times New Roman" w:cs="Times New Roman"/>
          <w:b/>
          <w:szCs w:val="20"/>
        </w:rPr>
        <w:t>表</w:t>
      </w:r>
      <w:r w:rsidRPr="00D630D1">
        <w:rPr>
          <w:rFonts w:ascii="Times New Roman" w:cs="Times New Roman" w:hint="eastAsia"/>
          <w:b/>
          <w:szCs w:val="20"/>
        </w:rPr>
        <w:t>5</w:t>
      </w:r>
      <w:r w:rsidRPr="00D630D1">
        <w:rPr>
          <w:rFonts w:ascii="Times New Roman" w:cs="Times New Roman"/>
          <w:b/>
          <w:szCs w:val="20"/>
        </w:rPr>
        <w:t>.</w:t>
      </w:r>
      <w:r w:rsidRPr="00D630D1">
        <w:rPr>
          <w:rFonts w:ascii="Times New Roman" w:cs="Times New Roman" w:hint="eastAsia"/>
          <w:b/>
          <w:szCs w:val="20"/>
        </w:rPr>
        <w:t>2</w:t>
      </w:r>
      <w:r w:rsidRPr="00D630D1">
        <w:rPr>
          <w:rFonts w:ascii="Times New Roman" w:cs="Times New Roman"/>
          <w:b/>
          <w:szCs w:val="20"/>
        </w:rPr>
        <w:t xml:space="preserve">-5 </w:t>
      </w:r>
      <w:r w:rsidRPr="00D630D1">
        <w:rPr>
          <w:rFonts w:ascii="Times New Roman" w:cs="Times New Roman"/>
          <w:b/>
          <w:szCs w:val="20"/>
        </w:rPr>
        <w:t>土壤侵蚀强度分级指标</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4221"/>
        <w:gridCol w:w="4301"/>
      </w:tblGrid>
      <w:tr w:rsidR="008D1781" w:rsidRPr="00D630D1" w:rsidTr="008D1781">
        <w:trPr>
          <w:trHeight w:hRule="exact" w:val="397"/>
          <w:jc w:val="center"/>
        </w:trPr>
        <w:tc>
          <w:tcPr>
            <w:tcW w:w="3177" w:type="dxa"/>
            <w:vAlign w:val="center"/>
          </w:tcPr>
          <w:p w:rsidR="008D1781" w:rsidRPr="00D630D1" w:rsidRDefault="008D1781" w:rsidP="008D1781">
            <w:pPr>
              <w:pStyle w:val="a7"/>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侵蚀等级</w:t>
            </w:r>
          </w:p>
        </w:tc>
        <w:tc>
          <w:tcPr>
            <w:tcW w:w="3237" w:type="dxa"/>
            <w:vAlign w:val="center"/>
          </w:tcPr>
          <w:p w:rsidR="008D1781" w:rsidRPr="00D630D1" w:rsidRDefault="008D1781" w:rsidP="008D1781">
            <w:pPr>
              <w:pStyle w:val="a7"/>
              <w:spacing w:line="240" w:lineRule="auto"/>
              <w:ind w:firstLine="422"/>
              <w:jc w:val="center"/>
              <w:rPr>
                <w:rFonts w:ascii="Times New Roman" w:cs="Times New Roman"/>
                <w:b/>
                <w:sz w:val="21"/>
                <w:szCs w:val="21"/>
              </w:rPr>
            </w:pPr>
            <w:r w:rsidRPr="00D630D1">
              <w:rPr>
                <w:rFonts w:ascii="Times New Roman" w:cs="Times New Roman"/>
                <w:b/>
                <w:sz w:val="21"/>
                <w:szCs w:val="21"/>
              </w:rPr>
              <w:t>侵蚀模数（</w:t>
            </w:r>
            <w:r w:rsidRPr="00D630D1">
              <w:rPr>
                <w:rFonts w:ascii="Times New Roman" w:cs="Times New Roman"/>
                <w:b/>
                <w:sz w:val="21"/>
                <w:szCs w:val="21"/>
              </w:rPr>
              <w:t>t/km</w:t>
            </w:r>
            <w:r w:rsidRPr="00D630D1">
              <w:rPr>
                <w:rFonts w:ascii="Times New Roman" w:cs="Times New Roman"/>
                <w:b/>
                <w:sz w:val="21"/>
                <w:szCs w:val="21"/>
                <w:vertAlign w:val="superscript"/>
              </w:rPr>
              <w:t>2</w:t>
            </w:r>
            <w:r w:rsidRPr="00D630D1">
              <w:rPr>
                <w:rFonts w:ascii="Times New Roman" w:cs="Times New Roman"/>
                <w:b/>
                <w:sz w:val="21"/>
                <w:szCs w:val="21"/>
              </w:rPr>
              <w:t>.a</w:t>
            </w:r>
            <w:r w:rsidRPr="00D630D1">
              <w:rPr>
                <w:rFonts w:ascii="Times New Roman" w:cs="Times New Roman"/>
                <w:b/>
                <w:sz w:val="21"/>
                <w:szCs w:val="21"/>
              </w:rPr>
              <w:t>）</w:t>
            </w:r>
          </w:p>
        </w:tc>
      </w:tr>
      <w:tr w:rsidR="008D1781" w:rsidRPr="00D630D1" w:rsidTr="008D1781">
        <w:trPr>
          <w:trHeight w:hRule="exact" w:val="397"/>
          <w:jc w:val="center"/>
        </w:trPr>
        <w:tc>
          <w:tcPr>
            <w:tcW w:w="3177" w:type="dxa"/>
            <w:vAlign w:val="center"/>
          </w:tcPr>
          <w:p w:rsidR="008D1781" w:rsidRPr="00D630D1" w:rsidRDefault="008D1781" w:rsidP="008D1781">
            <w:pPr>
              <w:pStyle w:val="afff9"/>
              <w:jc w:val="center"/>
              <w:rPr>
                <w:rFonts w:ascii="Times New Roman" w:hAnsi="Times New Roman"/>
                <w:sz w:val="21"/>
              </w:rPr>
            </w:pPr>
            <w:r w:rsidRPr="00D630D1">
              <w:rPr>
                <w:rFonts w:ascii="Times New Roman" w:hAnsi="Times New Roman"/>
                <w:sz w:val="21"/>
              </w:rPr>
              <w:t>微度侵蚀</w:t>
            </w:r>
          </w:p>
        </w:tc>
        <w:tc>
          <w:tcPr>
            <w:tcW w:w="3237" w:type="dxa"/>
            <w:vAlign w:val="center"/>
          </w:tcPr>
          <w:p w:rsidR="008D1781" w:rsidRPr="00D630D1" w:rsidRDefault="008D1781" w:rsidP="008D1781">
            <w:pPr>
              <w:spacing w:line="240" w:lineRule="auto"/>
              <w:ind w:firstLine="420"/>
              <w:jc w:val="center"/>
              <w:rPr>
                <w:rFonts w:ascii="Times New Roman" w:cs="Times New Roman"/>
                <w:sz w:val="21"/>
                <w:szCs w:val="21"/>
              </w:rPr>
            </w:pPr>
            <w:r w:rsidRPr="00D630D1">
              <w:rPr>
                <w:rFonts w:ascii="Times New Roman" w:cs="Times New Roman"/>
                <w:sz w:val="21"/>
                <w:szCs w:val="21"/>
              </w:rPr>
              <w:t>＜</w:t>
            </w:r>
            <w:r w:rsidRPr="00D630D1">
              <w:rPr>
                <w:rFonts w:ascii="Times New Roman" w:cs="Times New Roman"/>
                <w:sz w:val="21"/>
                <w:szCs w:val="21"/>
              </w:rPr>
              <w:t>500</w:t>
            </w:r>
          </w:p>
        </w:tc>
      </w:tr>
      <w:tr w:rsidR="008D1781" w:rsidRPr="00D630D1" w:rsidTr="008D1781">
        <w:trPr>
          <w:trHeight w:hRule="exact" w:val="397"/>
          <w:jc w:val="center"/>
        </w:trPr>
        <w:tc>
          <w:tcPr>
            <w:tcW w:w="3177" w:type="dxa"/>
            <w:vAlign w:val="center"/>
          </w:tcPr>
          <w:p w:rsidR="008D1781" w:rsidRPr="00D630D1" w:rsidRDefault="008D1781" w:rsidP="008D1781">
            <w:pPr>
              <w:pStyle w:val="afff9"/>
              <w:jc w:val="center"/>
              <w:rPr>
                <w:rFonts w:ascii="Times New Roman" w:hAnsi="Times New Roman"/>
                <w:sz w:val="21"/>
              </w:rPr>
            </w:pPr>
            <w:r w:rsidRPr="00D630D1">
              <w:rPr>
                <w:rFonts w:ascii="Times New Roman" w:hAnsi="Times New Roman"/>
                <w:sz w:val="21"/>
              </w:rPr>
              <w:t>轻度侵蚀</w:t>
            </w:r>
          </w:p>
        </w:tc>
        <w:tc>
          <w:tcPr>
            <w:tcW w:w="3237" w:type="dxa"/>
            <w:vAlign w:val="center"/>
          </w:tcPr>
          <w:p w:rsidR="008D1781" w:rsidRPr="00D630D1" w:rsidRDefault="008D1781" w:rsidP="008D1781">
            <w:pPr>
              <w:spacing w:line="240" w:lineRule="auto"/>
              <w:ind w:firstLine="420"/>
              <w:jc w:val="center"/>
              <w:rPr>
                <w:rFonts w:ascii="Times New Roman" w:cs="Times New Roman"/>
                <w:sz w:val="21"/>
                <w:szCs w:val="21"/>
              </w:rPr>
            </w:pPr>
            <w:r w:rsidRPr="00D630D1">
              <w:rPr>
                <w:rFonts w:ascii="Times New Roman" w:cs="Times New Roman"/>
                <w:sz w:val="21"/>
                <w:szCs w:val="21"/>
              </w:rPr>
              <w:t>500</w:t>
            </w:r>
            <w:r w:rsidRPr="00D630D1">
              <w:rPr>
                <w:rFonts w:ascii="Times New Roman" w:cs="Times New Roman"/>
                <w:sz w:val="21"/>
                <w:szCs w:val="21"/>
              </w:rPr>
              <w:t>～</w:t>
            </w:r>
            <w:r w:rsidRPr="00D630D1">
              <w:rPr>
                <w:rFonts w:ascii="Times New Roman" w:cs="Times New Roman"/>
                <w:sz w:val="21"/>
                <w:szCs w:val="21"/>
              </w:rPr>
              <w:t>2500</w:t>
            </w:r>
          </w:p>
        </w:tc>
      </w:tr>
      <w:tr w:rsidR="008D1781" w:rsidRPr="00D630D1" w:rsidTr="008D1781">
        <w:trPr>
          <w:trHeight w:hRule="exact" w:val="397"/>
          <w:jc w:val="center"/>
        </w:trPr>
        <w:tc>
          <w:tcPr>
            <w:tcW w:w="3177" w:type="dxa"/>
            <w:vAlign w:val="center"/>
          </w:tcPr>
          <w:p w:rsidR="008D1781" w:rsidRPr="00D630D1" w:rsidRDefault="008D1781" w:rsidP="008D1781">
            <w:pPr>
              <w:pStyle w:val="afff9"/>
              <w:jc w:val="center"/>
              <w:rPr>
                <w:rFonts w:ascii="Times New Roman" w:hAnsi="Times New Roman"/>
                <w:sz w:val="21"/>
              </w:rPr>
            </w:pPr>
            <w:r w:rsidRPr="00D630D1">
              <w:rPr>
                <w:rFonts w:ascii="Times New Roman" w:hAnsi="Times New Roman"/>
                <w:sz w:val="21"/>
              </w:rPr>
              <w:lastRenderedPageBreak/>
              <w:t>中度侵蚀</w:t>
            </w:r>
          </w:p>
        </w:tc>
        <w:tc>
          <w:tcPr>
            <w:tcW w:w="3237" w:type="dxa"/>
            <w:vAlign w:val="center"/>
          </w:tcPr>
          <w:p w:rsidR="008D1781" w:rsidRPr="00D630D1" w:rsidRDefault="008D1781" w:rsidP="008D1781">
            <w:pPr>
              <w:spacing w:line="240" w:lineRule="auto"/>
              <w:ind w:firstLine="420"/>
              <w:jc w:val="center"/>
              <w:rPr>
                <w:rFonts w:ascii="Times New Roman" w:cs="Times New Roman"/>
                <w:sz w:val="21"/>
                <w:szCs w:val="21"/>
              </w:rPr>
            </w:pPr>
            <w:r w:rsidRPr="00D630D1">
              <w:rPr>
                <w:rFonts w:ascii="Times New Roman" w:cs="Times New Roman"/>
                <w:sz w:val="21"/>
                <w:szCs w:val="21"/>
              </w:rPr>
              <w:t>2500</w:t>
            </w:r>
            <w:r w:rsidRPr="00D630D1">
              <w:rPr>
                <w:rFonts w:ascii="Times New Roman" w:cs="Times New Roman"/>
                <w:sz w:val="21"/>
                <w:szCs w:val="21"/>
              </w:rPr>
              <w:t>～</w:t>
            </w:r>
            <w:r w:rsidRPr="00D630D1">
              <w:rPr>
                <w:rFonts w:ascii="Times New Roman" w:cs="Times New Roman"/>
                <w:sz w:val="21"/>
                <w:szCs w:val="21"/>
              </w:rPr>
              <w:t>5000</w:t>
            </w:r>
          </w:p>
        </w:tc>
      </w:tr>
      <w:tr w:rsidR="008D1781" w:rsidRPr="00D630D1" w:rsidTr="008D1781">
        <w:trPr>
          <w:trHeight w:hRule="exact" w:val="397"/>
          <w:jc w:val="center"/>
        </w:trPr>
        <w:tc>
          <w:tcPr>
            <w:tcW w:w="3177" w:type="dxa"/>
            <w:vAlign w:val="center"/>
          </w:tcPr>
          <w:p w:rsidR="008D1781" w:rsidRPr="00D630D1" w:rsidRDefault="008D1781" w:rsidP="008D1781">
            <w:pPr>
              <w:pStyle w:val="afff9"/>
              <w:jc w:val="center"/>
              <w:rPr>
                <w:rFonts w:ascii="Times New Roman" w:hAnsi="Times New Roman"/>
                <w:sz w:val="21"/>
              </w:rPr>
            </w:pPr>
            <w:r w:rsidRPr="00D630D1">
              <w:rPr>
                <w:rFonts w:ascii="Times New Roman" w:hAnsi="Times New Roman"/>
                <w:sz w:val="21"/>
              </w:rPr>
              <w:t>强度侵蚀</w:t>
            </w:r>
          </w:p>
        </w:tc>
        <w:tc>
          <w:tcPr>
            <w:tcW w:w="3237" w:type="dxa"/>
            <w:vAlign w:val="center"/>
          </w:tcPr>
          <w:p w:rsidR="008D1781" w:rsidRPr="00D630D1" w:rsidRDefault="008D1781" w:rsidP="008D1781">
            <w:pPr>
              <w:spacing w:line="240" w:lineRule="auto"/>
              <w:ind w:firstLine="420"/>
              <w:jc w:val="center"/>
              <w:rPr>
                <w:rFonts w:ascii="Times New Roman" w:cs="Times New Roman"/>
                <w:sz w:val="21"/>
                <w:szCs w:val="21"/>
              </w:rPr>
            </w:pPr>
            <w:r w:rsidRPr="00D630D1">
              <w:rPr>
                <w:rFonts w:ascii="Times New Roman" w:cs="Times New Roman"/>
                <w:sz w:val="21"/>
                <w:szCs w:val="21"/>
              </w:rPr>
              <w:t>5000</w:t>
            </w:r>
            <w:r w:rsidRPr="00D630D1">
              <w:rPr>
                <w:rFonts w:ascii="Times New Roman" w:cs="Times New Roman"/>
                <w:sz w:val="21"/>
                <w:szCs w:val="21"/>
              </w:rPr>
              <w:t>～</w:t>
            </w:r>
            <w:r w:rsidRPr="00D630D1">
              <w:rPr>
                <w:rFonts w:ascii="Times New Roman" w:cs="Times New Roman"/>
                <w:sz w:val="21"/>
                <w:szCs w:val="21"/>
              </w:rPr>
              <w:t>8000</w:t>
            </w:r>
          </w:p>
        </w:tc>
      </w:tr>
      <w:tr w:rsidR="008D1781" w:rsidRPr="00D630D1" w:rsidTr="008D1781">
        <w:trPr>
          <w:trHeight w:hRule="exact" w:val="397"/>
          <w:jc w:val="center"/>
        </w:trPr>
        <w:tc>
          <w:tcPr>
            <w:tcW w:w="3177" w:type="dxa"/>
            <w:vAlign w:val="center"/>
          </w:tcPr>
          <w:p w:rsidR="008D1781" w:rsidRPr="00D630D1" w:rsidRDefault="008D1781" w:rsidP="008D1781">
            <w:pPr>
              <w:pStyle w:val="afff9"/>
              <w:jc w:val="center"/>
              <w:rPr>
                <w:rFonts w:ascii="Times New Roman" w:hAnsi="Times New Roman"/>
                <w:sz w:val="21"/>
              </w:rPr>
            </w:pPr>
            <w:r w:rsidRPr="00D630D1">
              <w:rPr>
                <w:rFonts w:ascii="Times New Roman" w:hAnsi="Times New Roman"/>
                <w:sz w:val="21"/>
              </w:rPr>
              <w:t>极强度侵蚀</w:t>
            </w:r>
          </w:p>
        </w:tc>
        <w:tc>
          <w:tcPr>
            <w:tcW w:w="3237" w:type="dxa"/>
            <w:vAlign w:val="center"/>
          </w:tcPr>
          <w:p w:rsidR="008D1781" w:rsidRPr="00D630D1" w:rsidRDefault="008D1781" w:rsidP="008D1781">
            <w:pPr>
              <w:spacing w:line="240" w:lineRule="auto"/>
              <w:ind w:firstLine="420"/>
              <w:jc w:val="center"/>
              <w:rPr>
                <w:rFonts w:ascii="Times New Roman" w:cs="Times New Roman"/>
                <w:sz w:val="21"/>
                <w:szCs w:val="21"/>
              </w:rPr>
            </w:pPr>
            <w:r w:rsidRPr="00D630D1">
              <w:rPr>
                <w:rFonts w:ascii="Times New Roman" w:cs="Times New Roman"/>
                <w:sz w:val="21"/>
                <w:szCs w:val="21"/>
              </w:rPr>
              <w:t>8000</w:t>
            </w:r>
            <w:r w:rsidRPr="00D630D1">
              <w:rPr>
                <w:rFonts w:ascii="Times New Roman" w:cs="Times New Roman"/>
                <w:sz w:val="21"/>
                <w:szCs w:val="21"/>
              </w:rPr>
              <w:t>～</w:t>
            </w:r>
            <w:r w:rsidRPr="00D630D1">
              <w:rPr>
                <w:rFonts w:ascii="Times New Roman" w:cs="Times New Roman"/>
                <w:sz w:val="21"/>
                <w:szCs w:val="21"/>
              </w:rPr>
              <w:t>15000</w:t>
            </w:r>
          </w:p>
        </w:tc>
      </w:tr>
      <w:tr w:rsidR="008D1781" w:rsidRPr="00D630D1" w:rsidTr="008D1781">
        <w:trPr>
          <w:trHeight w:hRule="exact" w:val="397"/>
          <w:jc w:val="center"/>
        </w:trPr>
        <w:tc>
          <w:tcPr>
            <w:tcW w:w="3177" w:type="dxa"/>
            <w:vAlign w:val="center"/>
          </w:tcPr>
          <w:p w:rsidR="008D1781" w:rsidRPr="00D630D1" w:rsidRDefault="008D1781" w:rsidP="008D1781">
            <w:pPr>
              <w:pStyle w:val="afff9"/>
              <w:jc w:val="center"/>
              <w:rPr>
                <w:rFonts w:ascii="Times New Roman" w:hAnsi="Times New Roman"/>
                <w:sz w:val="21"/>
              </w:rPr>
            </w:pPr>
            <w:r w:rsidRPr="00D630D1">
              <w:rPr>
                <w:rFonts w:ascii="Times New Roman" w:hAnsi="Times New Roman"/>
                <w:sz w:val="21"/>
              </w:rPr>
              <w:t>剧烈侵蚀</w:t>
            </w:r>
          </w:p>
        </w:tc>
        <w:tc>
          <w:tcPr>
            <w:tcW w:w="3237" w:type="dxa"/>
            <w:vAlign w:val="center"/>
          </w:tcPr>
          <w:p w:rsidR="008D1781" w:rsidRPr="00D630D1" w:rsidRDefault="008D1781" w:rsidP="008D1781">
            <w:pPr>
              <w:spacing w:line="240" w:lineRule="auto"/>
              <w:ind w:firstLine="420"/>
              <w:jc w:val="center"/>
              <w:rPr>
                <w:rFonts w:ascii="Times New Roman" w:cs="Times New Roman"/>
                <w:sz w:val="21"/>
                <w:szCs w:val="21"/>
              </w:rPr>
            </w:pPr>
            <w:r w:rsidRPr="00D630D1">
              <w:rPr>
                <w:rFonts w:ascii="Times New Roman" w:cs="Times New Roman"/>
                <w:sz w:val="21"/>
                <w:szCs w:val="21"/>
              </w:rPr>
              <w:t>＞</w:t>
            </w:r>
            <w:r w:rsidRPr="00D630D1">
              <w:rPr>
                <w:rFonts w:ascii="Times New Roman" w:cs="Times New Roman"/>
                <w:sz w:val="21"/>
                <w:szCs w:val="21"/>
              </w:rPr>
              <w:t>15000</w:t>
            </w:r>
          </w:p>
        </w:tc>
      </w:tr>
    </w:tbl>
    <w:p w:rsidR="008D1781" w:rsidRPr="00D630D1" w:rsidRDefault="008D1781" w:rsidP="008D1781">
      <w:pPr>
        <w:spacing w:line="500" w:lineRule="exact"/>
        <w:ind w:left="60" w:right="100" w:firstLine="482"/>
        <w:jc w:val="center"/>
        <w:rPr>
          <w:rFonts w:ascii="Times New Roman" w:cs="Times New Roman"/>
          <w:b/>
          <w:szCs w:val="20"/>
        </w:rPr>
      </w:pPr>
      <w:r w:rsidRPr="00D630D1">
        <w:rPr>
          <w:rFonts w:ascii="Times New Roman" w:cs="Times New Roman"/>
          <w:b/>
          <w:szCs w:val="20"/>
        </w:rPr>
        <w:t>表</w:t>
      </w:r>
      <w:r w:rsidRPr="00D630D1">
        <w:rPr>
          <w:rFonts w:ascii="Times New Roman" w:cs="Times New Roman" w:hint="eastAsia"/>
          <w:b/>
          <w:szCs w:val="20"/>
        </w:rPr>
        <w:t>5</w:t>
      </w:r>
      <w:r w:rsidRPr="00D630D1">
        <w:rPr>
          <w:rFonts w:ascii="Times New Roman" w:cs="Times New Roman"/>
          <w:b/>
          <w:szCs w:val="20"/>
        </w:rPr>
        <w:t>.</w:t>
      </w:r>
      <w:r w:rsidRPr="00D630D1">
        <w:rPr>
          <w:rFonts w:ascii="Times New Roman" w:cs="Times New Roman" w:hint="eastAsia"/>
          <w:b/>
          <w:szCs w:val="20"/>
        </w:rPr>
        <w:t>2</w:t>
      </w:r>
      <w:r w:rsidRPr="00D630D1">
        <w:rPr>
          <w:rFonts w:ascii="Times New Roman" w:cs="Times New Roman"/>
          <w:b/>
          <w:szCs w:val="20"/>
        </w:rPr>
        <w:t xml:space="preserve">-6 </w:t>
      </w:r>
      <w:r w:rsidRPr="00D630D1">
        <w:rPr>
          <w:rFonts w:ascii="Times New Roman" w:cs="Times New Roman"/>
          <w:b/>
          <w:szCs w:val="20"/>
        </w:rPr>
        <w:t>评价范围内土壤侵蚀状况表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2897"/>
        <w:gridCol w:w="2824"/>
        <w:gridCol w:w="2801"/>
      </w:tblGrid>
      <w:tr w:rsidR="008D1781" w:rsidRPr="00D630D1" w:rsidTr="008D1781">
        <w:trPr>
          <w:trHeight w:hRule="exact" w:val="397"/>
          <w:jc w:val="center"/>
        </w:trPr>
        <w:tc>
          <w:tcPr>
            <w:tcW w:w="2897" w:type="dxa"/>
            <w:vAlign w:val="center"/>
          </w:tcPr>
          <w:p w:rsidR="008D1781" w:rsidRPr="00D630D1" w:rsidRDefault="008D1781" w:rsidP="008D1781">
            <w:pPr>
              <w:widowControl/>
              <w:ind w:firstLine="422"/>
              <w:jc w:val="center"/>
              <w:rPr>
                <w:rFonts w:ascii="Times New Roman" w:cs="Times New Roman"/>
                <w:b/>
                <w:sz w:val="21"/>
                <w:szCs w:val="21"/>
              </w:rPr>
            </w:pPr>
            <w:r w:rsidRPr="00D630D1">
              <w:rPr>
                <w:rFonts w:ascii="Times New Roman" w:cs="Times New Roman"/>
                <w:b/>
                <w:sz w:val="21"/>
                <w:szCs w:val="21"/>
              </w:rPr>
              <w:t>土壤侵蚀强度</w:t>
            </w:r>
          </w:p>
        </w:tc>
        <w:tc>
          <w:tcPr>
            <w:tcW w:w="2824" w:type="dxa"/>
            <w:vAlign w:val="center"/>
          </w:tcPr>
          <w:p w:rsidR="008D1781" w:rsidRPr="00D630D1" w:rsidRDefault="008D1781" w:rsidP="008D1781">
            <w:pPr>
              <w:widowControl/>
              <w:ind w:firstLine="422"/>
              <w:jc w:val="center"/>
              <w:rPr>
                <w:rFonts w:ascii="Times New Roman" w:cs="Times New Roman"/>
                <w:b/>
                <w:sz w:val="21"/>
                <w:szCs w:val="21"/>
              </w:rPr>
            </w:pPr>
            <w:r w:rsidRPr="00D630D1">
              <w:rPr>
                <w:rFonts w:ascii="Times New Roman" w:cs="Times New Roman"/>
                <w:b/>
                <w:sz w:val="21"/>
                <w:szCs w:val="21"/>
              </w:rPr>
              <w:t>面积（</w:t>
            </w:r>
            <w:r w:rsidRPr="00D630D1">
              <w:rPr>
                <w:rFonts w:ascii="Times New Roman" w:cs="Times New Roman"/>
                <w:b/>
                <w:sz w:val="21"/>
                <w:szCs w:val="21"/>
              </w:rPr>
              <w:t>hm</w:t>
            </w:r>
            <w:r w:rsidRPr="00D630D1">
              <w:rPr>
                <w:rFonts w:ascii="Times New Roman" w:cs="Times New Roman"/>
                <w:b/>
                <w:sz w:val="21"/>
                <w:szCs w:val="21"/>
                <w:vertAlign w:val="superscript"/>
              </w:rPr>
              <w:t>2</w:t>
            </w:r>
            <w:r w:rsidRPr="00D630D1">
              <w:rPr>
                <w:rFonts w:ascii="Times New Roman" w:cs="Times New Roman"/>
                <w:b/>
                <w:sz w:val="21"/>
                <w:szCs w:val="21"/>
              </w:rPr>
              <w:t>）</w:t>
            </w:r>
          </w:p>
        </w:tc>
        <w:tc>
          <w:tcPr>
            <w:tcW w:w="2801" w:type="dxa"/>
            <w:vAlign w:val="center"/>
          </w:tcPr>
          <w:p w:rsidR="008D1781" w:rsidRPr="00D630D1" w:rsidRDefault="008D1781" w:rsidP="008D1781">
            <w:pPr>
              <w:widowControl/>
              <w:ind w:firstLine="422"/>
              <w:jc w:val="center"/>
              <w:rPr>
                <w:rFonts w:ascii="Times New Roman" w:cs="Times New Roman"/>
                <w:b/>
                <w:sz w:val="21"/>
                <w:szCs w:val="21"/>
              </w:rPr>
            </w:pPr>
            <w:r w:rsidRPr="00D630D1">
              <w:rPr>
                <w:rFonts w:ascii="Times New Roman" w:cs="Times New Roman"/>
                <w:b/>
                <w:sz w:val="21"/>
                <w:szCs w:val="21"/>
              </w:rPr>
              <w:t>百分比（</w:t>
            </w:r>
            <w:r w:rsidRPr="00D630D1">
              <w:rPr>
                <w:rFonts w:ascii="Times New Roman" w:cs="Times New Roman"/>
                <w:b/>
                <w:sz w:val="21"/>
                <w:szCs w:val="21"/>
              </w:rPr>
              <w:t>%</w:t>
            </w:r>
            <w:r w:rsidRPr="00D630D1">
              <w:rPr>
                <w:rFonts w:ascii="Times New Roman" w:cs="Times New Roman"/>
                <w:b/>
                <w:sz w:val="21"/>
                <w:szCs w:val="21"/>
              </w:rPr>
              <w:t>）</w:t>
            </w:r>
          </w:p>
        </w:tc>
      </w:tr>
      <w:tr w:rsidR="005556D5" w:rsidRPr="00D630D1" w:rsidTr="008D1781">
        <w:trPr>
          <w:trHeight w:hRule="exact" w:val="397"/>
          <w:jc w:val="center"/>
        </w:trPr>
        <w:tc>
          <w:tcPr>
            <w:tcW w:w="2897" w:type="dxa"/>
            <w:vAlign w:val="center"/>
          </w:tcPr>
          <w:p w:rsidR="005556D5" w:rsidRPr="00D630D1" w:rsidRDefault="005556D5" w:rsidP="008D1781">
            <w:pPr>
              <w:widowControl/>
              <w:ind w:firstLine="420"/>
              <w:jc w:val="center"/>
              <w:textAlignment w:val="center"/>
              <w:rPr>
                <w:rFonts w:ascii="Times New Roman" w:cs="Times New Roman"/>
                <w:sz w:val="21"/>
                <w:szCs w:val="21"/>
              </w:rPr>
            </w:pPr>
            <w:r w:rsidRPr="00D630D1">
              <w:rPr>
                <w:rFonts w:ascii="Times New Roman" w:cs="Times New Roman"/>
                <w:sz w:val="21"/>
                <w:szCs w:val="21"/>
              </w:rPr>
              <w:t>微度侵蚀</w:t>
            </w:r>
          </w:p>
        </w:tc>
        <w:tc>
          <w:tcPr>
            <w:tcW w:w="2824" w:type="dxa"/>
            <w:vAlign w:val="center"/>
          </w:tcPr>
          <w:p w:rsidR="005556D5" w:rsidRDefault="005556D5" w:rsidP="005556D5">
            <w:pPr>
              <w:widowControl/>
              <w:ind w:firstLineChars="0" w:firstLine="0"/>
              <w:jc w:val="center"/>
              <w:textAlignment w:val="center"/>
              <w:rPr>
                <w:rFonts w:ascii="Times New Roman" w:cs="Times New Roman"/>
                <w:sz w:val="21"/>
                <w:szCs w:val="21"/>
              </w:rPr>
            </w:pPr>
            <w:r>
              <w:rPr>
                <w:rFonts w:ascii="Times New Roman" w:cs="Times New Roman" w:hint="eastAsia"/>
                <w:sz w:val="21"/>
                <w:szCs w:val="21"/>
              </w:rPr>
              <w:t>1113.70</w:t>
            </w:r>
          </w:p>
        </w:tc>
        <w:tc>
          <w:tcPr>
            <w:tcW w:w="2801" w:type="dxa"/>
            <w:vAlign w:val="center"/>
          </w:tcPr>
          <w:p w:rsidR="005556D5" w:rsidRDefault="005556D5" w:rsidP="005556D5">
            <w:pPr>
              <w:widowControl/>
              <w:ind w:firstLineChars="0" w:firstLine="0"/>
              <w:jc w:val="center"/>
              <w:textAlignment w:val="center"/>
              <w:rPr>
                <w:rFonts w:ascii="Times New Roman" w:cs="Times New Roman"/>
                <w:sz w:val="21"/>
                <w:szCs w:val="21"/>
              </w:rPr>
            </w:pPr>
            <w:r>
              <w:rPr>
                <w:rFonts w:ascii="Times New Roman" w:cs="Times New Roman" w:hint="eastAsia"/>
                <w:sz w:val="21"/>
                <w:szCs w:val="21"/>
              </w:rPr>
              <w:t>81.49</w:t>
            </w:r>
          </w:p>
        </w:tc>
      </w:tr>
      <w:tr w:rsidR="005556D5" w:rsidRPr="00D630D1" w:rsidTr="008D1781">
        <w:trPr>
          <w:trHeight w:hRule="exact" w:val="397"/>
          <w:jc w:val="center"/>
        </w:trPr>
        <w:tc>
          <w:tcPr>
            <w:tcW w:w="2897" w:type="dxa"/>
            <w:vAlign w:val="center"/>
          </w:tcPr>
          <w:p w:rsidR="005556D5" w:rsidRPr="00D630D1" w:rsidRDefault="005556D5" w:rsidP="008D1781">
            <w:pPr>
              <w:widowControl/>
              <w:ind w:firstLine="420"/>
              <w:jc w:val="center"/>
              <w:textAlignment w:val="center"/>
              <w:rPr>
                <w:rFonts w:ascii="Times New Roman" w:cs="Times New Roman"/>
                <w:sz w:val="21"/>
                <w:szCs w:val="21"/>
              </w:rPr>
            </w:pPr>
            <w:r w:rsidRPr="00D630D1">
              <w:rPr>
                <w:rFonts w:ascii="Times New Roman" w:cs="Times New Roman"/>
                <w:sz w:val="21"/>
                <w:szCs w:val="21"/>
              </w:rPr>
              <w:t>轻度侵蚀</w:t>
            </w:r>
          </w:p>
        </w:tc>
        <w:tc>
          <w:tcPr>
            <w:tcW w:w="2824" w:type="dxa"/>
            <w:vAlign w:val="center"/>
          </w:tcPr>
          <w:p w:rsidR="005556D5" w:rsidRDefault="005556D5" w:rsidP="005556D5">
            <w:pPr>
              <w:widowControl/>
              <w:ind w:firstLineChars="0" w:firstLine="0"/>
              <w:jc w:val="center"/>
              <w:textAlignment w:val="center"/>
              <w:rPr>
                <w:rFonts w:ascii="Times New Roman" w:cs="Times New Roman"/>
                <w:sz w:val="21"/>
                <w:szCs w:val="21"/>
              </w:rPr>
            </w:pPr>
            <w:r>
              <w:rPr>
                <w:rFonts w:ascii="Times New Roman" w:cs="Times New Roman" w:hint="eastAsia"/>
                <w:sz w:val="21"/>
                <w:szCs w:val="21"/>
              </w:rPr>
              <w:t>219.88</w:t>
            </w:r>
          </w:p>
        </w:tc>
        <w:tc>
          <w:tcPr>
            <w:tcW w:w="2801" w:type="dxa"/>
            <w:vAlign w:val="center"/>
          </w:tcPr>
          <w:p w:rsidR="005556D5" w:rsidRDefault="005556D5" w:rsidP="005556D5">
            <w:pPr>
              <w:widowControl/>
              <w:ind w:firstLineChars="0" w:firstLine="0"/>
              <w:jc w:val="center"/>
              <w:textAlignment w:val="center"/>
              <w:rPr>
                <w:rFonts w:ascii="Times New Roman" w:cs="Times New Roman"/>
                <w:sz w:val="21"/>
                <w:szCs w:val="21"/>
              </w:rPr>
            </w:pPr>
            <w:r>
              <w:rPr>
                <w:rFonts w:ascii="Times New Roman" w:cs="Times New Roman" w:hint="eastAsia"/>
                <w:sz w:val="21"/>
                <w:szCs w:val="21"/>
              </w:rPr>
              <w:t>16.09</w:t>
            </w:r>
          </w:p>
        </w:tc>
      </w:tr>
      <w:tr w:rsidR="005556D5" w:rsidRPr="00D630D1" w:rsidTr="008D1781">
        <w:trPr>
          <w:trHeight w:hRule="exact" w:val="397"/>
          <w:jc w:val="center"/>
        </w:trPr>
        <w:tc>
          <w:tcPr>
            <w:tcW w:w="2897" w:type="dxa"/>
            <w:vAlign w:val="center"/>
          </w:tcPr>
          <w:p w:rsidR="005556D5" w:rsidRPr="00D630D1" w:rsidRDefault="005556D5" w:rsidP="008D1781">
            <w:pPr>
              <w:widowControl/>
              <w:ind w:firstLine="420"/>
              <w:jc w:val="center"/>
              <w:textAlignment w:val="center"/>
              <w:rPr>
                <w:rFonts w:ascii="Times New Roman" w:cs="Times New Roman"/>
                <w:sz w:val="21"/>
                <w:szCs w:val="21"/>
              </w:rPr>
            </w:pPr>
            <w:r w:rsidRPr="00D630D1">
              <w:rPr>
                <w:rFonts w:ascii="Times New Roman" w:cs="Times New Roman"/>
                <w:sz w:val="21"/>
                <w:szCs w:val="21"/>
              </w:rPr>
              <w:t>中度侵蚀</w:t>
            </w:r>
          </w:p>
        </w:tc>
        <w:tc>
          <w:tcPr>
            <w:tcW w:w="2824" w:type="dxa"/>
            <w:vAlign w:val="center"/>
          </w:tcPr>
          <w:p w:rsidR="005556D5" w:rsidRDefault="005556D5" w:rsidP="005556D5">
            <w:pPr>
              <w:widowControl/>
              <w:ind w:firstLineChars="0" w:firstLine="0"/>
              <w:jc w:val="center"/>
              <w:textAlignment w:val="center"/>
              <w:rPr>
                <w:rFonts w:ascii="Times New Roman" w:cs="Times New Roman"/>
                <w:sz w:val="21"/>
                <w:szCs w:val="21"/>
              </w:rPr>
            </w:pPr>
            <w:r>
              <w:rPr>
                <w:rFonts w:ascii="Times New Roman" w:cs="Times New Roman" w:hint="eastAsia"/>
                <w:sz w:val="21"/>
                <w:szCs w:val="21"/>
              </w:rPr>
              <w:t>26.38</w:t>
            </w:r>
          </w:p>
        </w:tc>
        <w:tc>
          <w:tcPr>
            <w:tcW w:w="2801" w:type="dxa"/>
            <w:vAlign w:val="center"/>
          </w:tcPr>
          <w:p w:rsidR="005556D5" w:rsidRDefault="005556D5" w:rsidP="005556D5">
            <w:pPr>
              <w:widowControl/>
              <w:ind w:firstLineChars="0" w:firstLine="0"/>
              <w:jc w:val="center"/>
              <w:textAlignment w:val="center"/>
              <w:rPr>
                <w:rFonts w:ascii="Times New Roman" w:cs="Times New Roman"/>
                <w:sz w:val="21"/>
                <w:szCs w:val="21"/>
              </w:rPr>
            </w:pPr>
            <w:r>
              <w:rPr>
                <w:rFonts w:ascii="Times New Roman" w:cs="Times New Roman" w:hint="eastAsia"/>
                <w:sz w:val="21"/>
                <w:szCs w:val="21"/>
              </w:rPr>
              <w:t>1.93</w:t>
            </w:r>
          </w:p>
        </w:tc>
      </w:tr>
      <w:tr w:rsidR="005556D5" w:rsidRPr="00D630D1" w:rsidTr="008D1781">
        <w:trPr>
          <w:trHeight w:hRule="exact" w:val="397"/>
          <w:jc w:val="center"/>
        </w:trPr>
        <w:tc>
          <w:tcPr>
            <w:tcW w:w="2897" w:type="dxa"/>
            <w:vAlign w:val="bottom"/>
          </w:tcPr>
          <w:p w:rsidR="005556D5" w:rsidRPr="00D630D1" w:rsidRDefault="005556D5" w:rsidP="008D1781">
            <w:pPr>
              <w:widowControl/>
              <w:ind w:firstLine="420"/>
              <w:jc w:val="center"/>
              <w:textAlignment w:val="bottom"/>
              <w:rPr>
                <w:rFonts w:ascii="Times New Roman" w:cs="Times New Roman"/>
                <w:sz w:val="21"/>
                <w:szCs w:val="21"/>
              </w:rPr>
            </w:pPr>
            <w:r w:rsidRPr="00D630D1">
              <w:rPr>
                <w:rFonts w:ascii="Times New Roman" w:cs="Times New Roman"/>
                <w:sz w:val="21"/>
                <w:szCs w:val="21"/>
              </w:rPr>
              <w:t>强烈侵蚀</w:t>
            </w:r>
          </w:p>
        </w:tc>
        <w:tc>
          <w:tcPr>
            <w:tcW w:w="2824" w:type="dxa"/>
            <w:vAlign w:val="center"/>
          </w:tcPr>
          <w:p w:rsidR="005556D5" w:rsidRDefault="005556D5" w:rsidP="005556D5">
            <w:pPr>
              <w:widowControl/>
              <w:ind w:firstLineChars="0" w:firstLine="0"/>
              <w:jc w:val="center"/>
              <w:textAlignment w:val="center"/>
              <w:rPr>
                <w:rFonts w:ascii="Times New Roman" w:cs="Times New Roman"/>
                <w:sz w:val="21"/>
                <w:szCs w:val="21"/>
              </w:rPr>
            </w:pPr>
            <w:r>
              <w:rPr>
                <w:rFonts w:ascii="Times New Roman" w:cs="Times New Roman" w:hint="eastAsia"/>
                <w:sz w:val="21"/>
                <w:szCs w:val="21"/>
              </w:rPr>
              <w:t>6.77</w:t>
            </w:r>
          </w:p>
        </w:tc>
        <w:tc>
          <w:tcPr>
            <w:tcW w:w="2801" w:type="dxa"/>
            <w:vAlign w:val="center"/>
          </w:tcPr>
          <w:p w:rsidR="005556D5" w:rsidRDefault="005556D5" w:rsidP="005556D5">
            <w:pPr>
              <w:widowControl/>
              <w:ind w:firstLineChars="0" w:firstLine="0"/>
              <w:jc w:val="center"/>
              <w:textAlignment w:val="center"/>
              <w:rPr>
                <w:rFonts w:ascii="Times New Roman" w:cs="Times New Roman"/>
                <w:sz w:val="21"/>
                <w:szCs w:val="21"/>
              </w:rPr>
            </w:pPr>
            <w:r>
              <w:rPr>
                <w:rFonts w:ascii="Times New Roman" w:cs="Times New Roman" w:hint="eastAsia"/>
                <w:sz w:val="21"/>
                <w:szCs w:val="21"/>
              </w:rPr>
              <w:t>0.50</w:t>
            </w:r>
          </w:p>
        </w:tc>
      </w:tr>
      <w:tr w:rsidR="005556D5" w:rsidRPr="00D630D1" w:rsidTr="008D1781">
        <w:trPr>
          <w:trHeight w:hRule="exact" w:val="397"/>
          <w:jc w:val="center"/>
        </w:trPr>
        <w:tc>
          <w:tcPr>
            <w:tcW w:w="2897" w:type="dxa"/>
            <w:vAlign w:val="bottom"/>
          </w:tcPr>
          <w:p w:rsidR="005556D5" w:rsidRPr="00D630D1" w:rsidRDefault="005556D5" w:rsidP="008D1781">
            <w:pPr>
              <w:widowControl/>
              <w:ind w:firstLine="420"/>
              <w:jc w:val="center"/>
              <w:textAlignment w:val="bottom"/>
              <w:rPr>
                <w:rFonts w:ascii="Times New Roman" w:cs="Times New Roman"/>
                <w:sz w:val="21"/>
                <w:szCs w:val="21"/>
              </w:rPr>
            </w:pPr>
            <w:r w:rsidRPr="00D630D1">
              <w:rPr>
                <w:rFonts w:ascii="Times New Roman" w:cs="Times New Roman"/>
                <w:sz w:val="21"/>
                <w:szCs w:val="21"/>
              </w:rPr>
              <w:t>合计</w:t>
            </w:r>
          </w:p>
        </w:tc>
        <w:tc>
          <w:tcPr>
            <w:tcW w:w="2824" w:type="dxa"/>
            <w:vAlign w:val="center"/>
          </w:tcPr>
          <w:p w:rsidR="005556D5" w:rsidRDefault="005556D5" w:rsidP="005556D5">
            <w:pPr>
              <w:widowControl/>
              <w:ind w:firstLineChars="0" w:firstLine="0"/>
              <w:jc w:val="center"/>
              <w:textAlignment w:val="center"/>
              <w:rPr>
                <w:rFonts w:ascii="Times New Roman" w:cs="Times New Roman"/>
                <w:sz w:val="21"/>
                <w:szCs w:val="21"/>
              </w:rPr>
            </w:pPr>
            <w:r>
              <w:rPr>
                <w:rFonts w:ascii="Times New Roman" w:cs="Times New Roman" w:hint="eastAsia"/>
                <w:sz w:val="21"/>
                <w:szCs w:val="21"/>
              </w:rPr>
              <w:t>1366.73</w:t>
            </w:r>
          </w:p>
        </w:tc>
        <w:tc>
          <w:tcPr>
            <w:tcW w:w="2801" w:type="dxa"/>
            <w:vAlign w:val="center"/>
          </w:tcPr>
          <w:p w:rsidR="005556D5" w:rsidRDefault="005556D5" w:rsidP="005556D5">
            <w:pPr>
              <w:widowControl/>
              <w:ind w:firstLineChars="0" w:firstLine="0"/>
              <w:jc w:val="center"/>
              <w:textAlignment w:val="center"/>
              <w:rPr>
                <w:rFonts w:ascii="Times New Roman" w:cs="Times New Roman"/>
                <w:sz w:val="21"/>
                <w:szCs w:val="21"/>
              </w:rPr>
            </w:pPr>
            <w:r>
              <w:rPr>
                <w:rFonts w:ascii="Times New Roman" w:cs="Times New Roman" w:hint="eastAsia"/>
                <w:sz w:val="21"/>
                <w:szCs w:val="21"/>
              </w:rPr>
              <w:t>100.00</w:t>
            </w:r>
          </w:p>
        </w:tc>
      </w:tr>
    </w:tbl>
    <w:p w:rsidR="008D1781" w:rsidRPr="00D630D1" w:rsidRDefault="008D1781" w:rsidP="008D1781">
      <w:pPr>
        <w:snapToGrid w:val="0"/>
        <w:ind w:firstLine="480"/>
        <w:rPr>
          <w:rFonts w:ascii="Times New Roman" w:cs="Times New Roman"/>
        </w:rPr>
      </w:pPr>
      <w:r w:rsidRPr="00D630D1">
        <w:rPr>
          <w:rFonts w:ascii="Times New Roman" w:cs="Times New Roman"/>
        </w:rPr>
        <w:t>从表</w:t>
      </w:r>
      <w:r w:rsidRPr="00D630D1">
        <w:rPr>
          <w:rFonts w:ascii="Times New Roman" w:cs="Times New Roman" w:hint="eastAsia"/>
        </w:rPr>
        <w:t>5</w:t>
      </w:r>
      <w:r w:rsidRPr="00D630D1">
        <w:rPr>
          <w:rFonts w:ascii="Times New Roman" w:cs="Times New Roman"/>
        </w:rPr>
        <w:t>.</w:t>
      </w:r>
      <w:r w:rsidRPr="00D630D1">
        <w:rPr>
          <w:rFonts w:ascii="Times New Roman" w:cs="Times New Roman" w:hint="eastAsia"/>
        </w:rPr>
        <w:t>2</w:t>
      </w:r>
      <w:r w:rsidRPr="00D630D1">
        <w:rPr>
          <w:rFonts w:ascii="Times New Roman" w:cs="Times New Roman"/>
        </w:rPr>
        <w:t>-6</w:t>
      </w:r>
      <w:r w:rsidRPr="00D630D1">
        <w:rPr>
          <w:rFonts w:ascii="Times New Roman" w:cs="Times New Roman"/>
        </w:rPr>
        <w:t>可看出，本次评价范围内以微度侵蚀为主，其次为轻度侵蚀及中度侵蚀。</w:t>
      </w:r>
    </w:p>
    <w:p w:rsidR="008D1781" w:rsidRPr="00D630D1" w:rsidRDefault="008D1781" w:rsidP="008D1781">
      <w:pPr>
        <w:snapToGrid w:val="0"/>
        <w:ind w:firstLine="480"/>
        <w:rPr>
          <w:rFonts w:ascii="Times New Roman" w:cs="Times New Roman"/>
        </w:rPr>
      </w:pPr>
      <w:r w:rsidRPr="00D630D1">
        <w:rPr>
          <w:rFonts w:ascii="Times New Roman" w:cs="Times New Roman"/>
        </w:rPr>
        <w:t>评价范围内土壤侵蚀主要原因包含自然因素和人为因素，其中：</w:t>
      </w:r>
    </w:p>
    <w:p w:rsidR="008D1781" w:rsidRPr="00D630D1" w:rsidRDefault="008D1781" w:rsidP="008D1781">
      <w:pPr>
        <w:snapToGrid w:val="0"/>
        <w:ind w:firstLine="480"/>
        <w:rPr>
          <w:rFonts w:ascii="Times New Roman" w:cs="Times New Roman"/>
        </w:rPr>
      </w:pPr>
      <w:r w:rsidRPr="00D630D1">
        <w:rPr>
          <w:rFonts w:ascii="Times New Roman" w:cs="Times New Roman"/>
        </w:rPr>
        <w:t>1</w:t>
      </w:r>
      <w:r w:rsidRPr="00D630D1">
        <w:rPr>
          <w:rFonts w:ascii="Times New Roman" w:cs="Times New Roman"/>
        </w:rPr>
        <w:t>）自然因素</w:t>
      </w:r>
    </w:p>
    <w:p w:rsidR="008D1781" w:rsidRPr="00D630D1" w:rsidRDefault="008D1781" w:rsidP="008D1781">
      <w:pPr>
        <w:snapToGrid w:val="0"/>
        <w:ind w:firstLine="480"/>
        <w:rPr>
          <w:rFonts w:ascii="Times New Roman" w:cs="Times New Roman"/>
        </w:rPr>
      </w:pPr>
      <w:r w:rsidRPr="00D630D1">
        <w:rPr>
          <w:rFonts w:ascii="Times New Roman" w:cs="Times New Roman"/>
        </w:rPr>
        <w:t>造成水土流失的自然因素主要有降雨、地形地貌、植被、地质、土壤等因素。</w:t>
      </w:r>
    </w:p>
    <w:p w:rsidR="008D1781" w:rsidRPr="00D630D1" w:rsidRDefault="008D1781" w:rsidP="008D1781">
      <w:pPr>
        <w:snapToGrid w:val="0"/>
        <w:ind w:firstLine="480"/>
        <w:rPr>
          <w:rFonts w:ascii="Times New Roman" w:cs="Times New Roman"/>
        </w:rPr>
      </w:pPr>
      <w:r w:rsidRPr="00D630D1">
        <w:rPr>
          <w:rFonts w:ascii="Times New Roman" w:cs="Times New Roman"/>
        </w:rPr>
        <w:t>降雨：降雨历时短，强度大，年平均降水量</w:t>
      </w:r>
      <w:r w:rsidRPr="00D630D1">
        <w:rPr>
          <w:rFonts w:ascii="Times New Roman" w:cs="Times New Roman"/>
        </w:rPr>
        <w:t>1132.69mm</w:t>
      </w:r>
      <w:r w:rsidRPr="00D630D1">
        <w:rPr>
          <w:rFonts w:ascii="Times New Roman" w:cs="Times New Roman"/>
        </w:rPr>
        <w:t>。</w:t>
      </w:r>
    </w:p>
    <w:p w:rsidR="008D1781" w:rsidRPr="00D630D1" w:rsidRDefault="008D1781" w:rsidP="008D1781">
      <w:pPr>
        <w:snapToGrid w:val="0"/>
        <w:ind w:firstLine="480"/>
        <w:rPr>
          <w:rFonts w:ascii="Times New Roman" w:cs="Times New Roman"/>
        </w:rPr>
      </w:pPr>
      <w:r w:rsidRPr="00D630D1">
        <w:rPr>
          <w:rFonts w:ascii="Times New Roman" w:cs="Times New Roman"/>
        </w:rPr>
        <w:t>地形地貌：评价范围周围以中低山为主，坡面长，地面径流汇集速度快，冲刷力强，加剧水土流失。</w:t>
      </w:r>
    </w:p>
    <w:p w:rsidR="008D1781" w:rsidRPr="00D630D1" w:rsidRDefault="008D1781" w:rsidP="008D1781">
      <w:pPr>
        <w:snapToGrid w:val="0"/>
        <w:ind w:firstLine="480"/>
        <w:rPr>
          <w:rFonts w:ascii="Times New Roman" w:cs="Times New Roman"/>
        </w:rPr>
      </w:pPr>
      <w:r w:rsidRPr="00D630D1">
        <w:rPr>
          <w:rFonts w:ascii="Times New Roman" w:cs="Times New Roman"/>
        </w:rPr>
        <w:t>2</w:t>
      </w:r>
      <w:r w:rsidRPr="00D630D1">
        <w:rPr>
          <w:rFonts w:ascii="Times New Roman" w:cs="Times New Roman"/>
        </w:rPr>
        <w:t>）人为因素</w:t>
      </w:r>
    </w:p>
    <w:p w:rsidR="008D1781" w:rsidRPr="00D630D1" w:rsidRDefault="008D1781" w:rsidP="008D1781">
      <w:pPr>
        <w:snapToGrid w:val="0"/>
        <w:ind w:firstLine="480"/>
        <w:rPr>
          <w:rFonts w:ascii="Times New Roman" w:cs="Times New Roman"/>
        </w:rPr>
      </w:pPr>
      <w:r w:rsidRPr="00D630D1">
        <w:rPr>
          <w:rFonts w:ascii="Times New Roman" w:cs="Times New Roman"/>
        </w:rPr>
        <w:t>由于种种历史原因，一些群众对水土保持工作认识不足，只顾眼前经济利益，不顾长远生态效益，毁林开荒、乱砍滥伐等现象依然存在，重开发、轻治理，在开发建设和生产活动中无论是单位或个人都忽视水土保持措施，造成新的水土流失和破坏。</w:t>
      </w:r>
    </w:p>
    <w:p w:rsidR="008D1781" w:rsidRPr="00D630D1" w:rsidRDefault="008D1781" w:rsidP="00F96E37">
      <w:pPr>
        <w:numPr>
          <w:ilvl w:val="0"/>
          <w:numId w:val="22"/>
        </w:numPr>
        <w:topLinePunct w:val="0"/>
        <w:snapToGrid w:val="0"/>
        <w:spacing w:beforeLines="50"/>
        <w:ind w:firstLine="482"/>
        <w:rPr>
          <w:rFonts w:ascii="Times New Roman" w:cs="Times New Roman"/>
          <w:b/>
          <w:bCs/>
        </w:rPr>
      </w:pPr>
      <w:r w:rsidRPr="00D630D1">
        <w:rPr>
          <w:rFonts w:ascii="Times New Roman" w:cs="Times New Roman"/>
          <w:b/>
          <w:bCs/>
        </w:rPr>
        <w:t>植被覆盖度分布特征</w:t>
      </w:r>
    </w:p>
    <w:p w:rsidR="00C70FB8" w:rsidRPr="00D630D1" w:rsidRDefault="008D1781" w:rsidP="008D1781">
      <w:pPr>
        <w:pStyle w:val="afa"/>
        <w:ind w:firstLine="480"/>
      </w:pPr>
      <w:r w:rsidRPr="00D630D1">
        <w:t>根据遥感解译结果，参照《生态环境状况评价技术规范》（</w:t>
      </w:r>
      <w:r w:rsidRPr="00D630D1">
        <w:t>HJ192-2015</w:t>
      </w:r>
      <w:r w:rsidRPr="00D630D1">
        <w:t>，</w:t>
      </w:r>
      <w:r w:rsidRPr="00D630D1">
        <w:t>2015-03-13</w:t>
      </w:r>
      <w:r w:rsidRPr="00D630D1">
        <w:t>）、《土壤侵蚀分类分级标准》（</w:t>
      </w:r>
      <w:r w:rsidRPr="00D630D1">
        <w:t>SL190-2007</w:t>
      </w:r>
      <w:r w:rsidRPr="00D630D1">
        <w:t>，</w:t>
      </w:r>
      <w:r w:rsidRPr="00D630D1">
        <w:t>2008-01-04</w:t>
      </w:r>
      <w:r w:rsidRPr="00D630D1">
        <w:t>），评价区植被覆盖度划分为高覆盖度（</w:t>
      </w:r>
      <w:r w:rsidRPr="00D630D1">
        <w:t>&gt;70%</w:t>
      </w:r>
      <w:r w:rsidRPr="00D630D1">
        <w:t>）、中高覆盖度（</w:t>
      </w:r>
      <w:r w:rsidRPr="00D630D1">
        <w:t>50%</w:t>
      </w:r>
      <w:r w:rsidRPr="00D630D1">
        <w:t>～</w:t>
      </w:r>
      <w:r w:rsidRPr="00D630D1">
        <w:t>70%</w:t>
      </w:r>
      <w:r w:rsidRPr="00D630D1">
        <w:t>）、中覆盖度（</w:t>
      </w:r>
      <w:r w:rsidRPr="00D630D1">
        <w:t>30%</w:t>
      </w:r>
      <w:r w:rsidRPr="00D630D1">
        <w:t>～</w:t>
      </w:r>
      <w:r w:rsidRPr="00D630D1">
        <w:t>50%</w:t>
      </w:r>
      <w:r w:rsidRPr="00D630D1">
        <w:t>）</w:t>
      </w:r>
      <w:r w:rsidRPr="00D630D1">
        <w:rPr>
          <w:rFonts w:hint="eastAsia"/>
        </w:rPr>
        <w:t>三</w:t>
      </w:r>
      <w:r w:rsidRPr="00D630D1">
        <w:t>个级别，栽培植被不分等级</w:t>
      </w:r>
      <w:bookmarkStart w:id="425" w:name="_Toc25682918"/>
      <w:r w:rsidRPr="00D630D1">
        <w:t>，植被覆盖度分布特征及解译结果</w:t>
      </w:r>
      <w:bookmarkEnd w:id="425"/>
      <w:r w:rsidRPr="00D630D1">
        <w:t>见下表。</w:t>
      </w:r>
    </w:p>
    <w:p w:rsidR="008D1781" w:rsidRPr="00D630D1" w:rsidRDefault="008D1781" w:rsidP="00F96E37">
      <w:pPr>
        <w:topLinePunct w:val="0"/>
        <w:autoSpaceDE w:val="0"/>
        <w:autoSpaceDN w:val="0"/>
        <w:spacing w:beforeLines="50" w:line="240" w:lineRule="auto"/>
        <w:ind w:firstLineChars="0" w:firstLine="0"/>
        <w:jc w:val="center"/>
        <w:rPr>
          <w:rFonts w:ascii="Times New Roman" w:cs="Times New Roman"/>
          <w:b/>
          <w:sz w:val="21"/>
        </w:rPr>
      </w:pPr>
      <w:r w:rsidRPr="00D630D1">
        <w:rPr>
          <w:rFonts w:ascii="Times New Roman" w:cs="Times New Roman"/>
          <w:b/>
          <w:sz w:val="21"/>
        </w:rPr>
        <w:lastRenderedPageBreak/>
        <w:t>表</w:t>
      </w:r>
      <w:r w:rsidRPr="00D630D1">
        <w:rPr>
          <w:rFonts w:ascii="Times New Roman" w:cs="Times New Roman" w:hint="eastAsia"/>
          <w:b/>
          <w:sz w:val="21"/>
        </w:rPr>
        <w:t>5</w:t>
      </w:r>
      <w:r w:rsidRPr="00D630D1">
        <w:rPr>
          <w:rFonts w:ascii="Times New Roman" w:cs="Times New Roman"/>
          <w:b/>
          <w:sz w:val="21"/>
        </w:rPr>
        <w:t>.</w:t>
      </w:r>
      <w:r w:rsidRPr="00D630D1">
        <w:rPr>
          <w:rFonts w:ascii="Times New Roman" w:cs="Times New Roman" w:hint="eastAsia"/>
          <w:b/>
          <w:sz w:val="21"/>
        </w:rPr>
        <w:t>2</w:t>
      </w:r>
      <w:r w:rsidRPr="00D630D1">
        <w:rPr>
          <w:rFonts w:ascii="Times New Roman" w:cs="Times New Roman"/>
          <w:b/>
          <w:sz w:val="21"/>
        </w:rPr>
        <w:t xml:space="preserve">-7 </w:t>
      </w:r>
      <w:r w:rsidRPr="00D630D1">
        <w:rPr>
          <w:rFonts w:ascii="Times New Roman" w:cs="Times New Roman"/>
          <w:b/>
          <w:sz w:val="21"/>
        </w:rPr>
        <w:t>植被覆盖度分布面积统计表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4012"/>
        <w:gridCol w:w="2934"/>
        <w:gridCol w:w="1576"/>
      </w:tblGrid>
      <w:tr w:rsidR="008D1781" w:rsidRPr="00D630D1" w:rsidTr="008D1781">
        <w:trPr>
          <w:trHeight w:hRule="exact" w:val="397"/>
          <w:jc w:val="center"/>
        </w:trPr>
        <w:tc>
          <w:tcPr>
            <w:tcW w:w="4012" w:type="dxa"/>
            <w:vMerge w:val="restart"/>
            <w:shd w:val="clear" w:color="auto" w:fill="auto"/>
            <w:noWrap/>
            <w:vAlign w:val="center"/>
          </w:tcPr>
          <w:p w:rsidR="008D1781" w:rsidRPr="00D630D1" w:rsidRDefault="008D1781" w:rsidP="008D1781">
            <w:pPr>
              <w:topLinePunct w:val="0"/>
              <w:snapToGrid w:val="0"/>
              <w:spacing w:line="26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植被覆盖度类型</w:t>
            </w:r>
          </w:p>
        </w:tc>
        <w:tc>
          <w:tcPr>
            <w:tcW w:w="4510" w:type="dxa"/>
            <w:gridSpan w:val="2"/>
            <w:shd w:val="clear" w:color="000000" w:fill="FFFFFF"/>
            <w:noWrap/>
            <w:vAlign w:val="center"/>
          </w:tcPr>
          <w:p w:rsidR="008D1781" w:rsidRPr="00D630D1" w:rsidRDefault="008D1781" w:rsidP="008D1781">
            <w:pPr>
              <w:topLinePunct w:val="0"/>
              <w:snapToGrid w:val="0"/>
              <w:spacing w:line="26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评价区范围</w:t>
            </w:r>
          </w:p>
        </w:tc>
      </w:tr>
      <w:tr w:rsidR="008D1781" w:rsidRPr="00D630D1" w:rsidTr="008D1781">
        <w:trPr>
          <w:trHeight w:hRule="exact" w:val="397"/>
          <w:jc w:val="center"/>
        </w:trPr>
        <w:tc>
          <w:tcPr>
            <w:tcW w:w="4012" w:type="dxa"/>
            <w:vMerge/>
            <w:shd w:val="clear" w:color="auto" w:fill="auto"/>
            <w:vAlign w:val="center"/>
          </w:tcPr>
          <w:p w:rsidR="008D1781" w:rsidRPr="00D630D1" w:rsidRDefault="008D1781" w:rsidP="008D1781">
            <w:pPr>
              <w:topLinePunct w:val="0"/>
              <w:snapToGrid w:val="0"/>
              <w:spacing w:line="260" w:lineRule="exact"/>
              <w:ind w:firstLineChars="0" w:firstLine="0"/>
              <w:jc w:val="center"/>
              <w:rPr>
                <w:rFonts w:ascii="Times New Roman" w:cs="Times New Roman"/>
                <w:kern w:val="2"/>
                <w:sz w:val="21"/>
                <w:szCs w:val="21"/>
              </w:rPr>
            </w:pPr>
          </w:p>
        </w:tc>
        <w:tc>
          <w:tcPr>
            <w:tcW w:w="2934" w:type="dxa"/>
            <w:shd w:val="clear" w:color="000000" w:fill="FFFFFF"/>
            <w:noWrap/>
            <w:vAlign w:val="center"/>
          </w:tcPr>
          <w:p w:rsidR="008D1781" w:rsidRPr="00D630D1" w:rsidRDefault="008D1781" w:rsidP="008D1781">
            <w:pPr>
              <w:topLinePunct w:val="0"/>
              <w:snapToGrid w:val="0"/>
              <w:spacing w:line="26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面积（</w:t>
            </w:r>
            <w:r w:rsidRPr="00D630D1">
              <w:rPr>
                <w:rFonts w:ascii="Times New Roman" w:cs="Times New Roman" w:hint="eastAsia"/>
                <w:kern w:val="2"/>
                <w:sz w:val="21"/>
                <w:szCs w:val="21"/>
              </w:rPr>
              <w:t>hm</w:t>
            </w:r>
            <w:r w:rsidRPr="00D630D1">
              <w:rPr>
                <w:rFonts w:ascii="Times New Roman" w:cs="Times New Roman"/>
                <w:kern w:val="2"/>
                <w:sz w:val="21"/>
                <w:szCs w:val="21"/>
                <w:vertAlign w:val="superscript"/>
              </w:rPr>
              <w:t>2</w:t>
            </w:r>
            <w:r w:rsidRPr="00D630D1">
              <w:rPr>
                <w:rFonts w:ascii="Times New Roman" w:cs="Times New Roman"/>
                <w:kern w:val="2"/>
                <w:sz w:val="21"/>
                <w:szCs w:val="21"/>
              </w:rPr>
              <w:t>）</w:t>
            </w:r>
          </w:p>
        </w:tc>
        <w:tc>
          <w:tcPr>
            <w:tcW w:w="1576" w:type="dxa"/>
            <w:shd w:val="clear" w:color="000000" w:fill="FFFFFF"/>
            <w:noWrap/>
            <w:vAlign w:val="center"/>
          </w:tcPr>
          <w:p w:rsidR="008D1781" w:rsidRPr="00D630D1" w:rsidRDefault="008D1781" w:rsidP="008D1781">
            <w:pPr>
              <w:topLinePunct w:val="0"/>
              <w:snapToGrid w:val="0"/>
              <w:spacing w:line="26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占比（</w:t>
            </w:r>
            <w:r w:rsidRPr="00D630D1">
              <w:rPr>
                <w:rFonts w:ascii="Times New Roman" w:cs="Times New Roman"/>
                <w:kern w:val="2"/>
                <w:sz w:val="21"/>
                <w:szCs w:val="21"/>
              </w:rPr>
              <w:t>%</w:t>
            </w:r>
            <w:r w:rsidRPr="00D630D1">
              <w:rPr>
                <w:rFonts w:ascii="Times New Roman" w:cs="Times New Roman"/>
                <w:kern w:val="2"/>
                <w:sz w:val="21"/>
                <w:szCs w:val="21"/>
              </w:rPr>
              <w:t>）</w:t>
            </w:r>
          </w:p>
        </w:tc>
      </w:tr>
      <w:tr w:rsidR="005556D5" w:rsidRPr="00D630D1" w:rsidTr="008D1781">
        <w:trPr>
          <w:trHeight w:hRule="exact" w:val="397"/>
          <w:jc w:val="center"/>
        </w:trPr>
        <w:tc>
          <w:tcPr>
            <w:tcW w:w="4012" w:type="dxa"/>
            <w:shd w:val="clear" w:color="auto" w:fill="FFFFFF"/>
            <w:noWrap/>
            <w:vAlign w:val="center"/>
          </w:tcPr>
          <w:p w:rsidR="005556D5" w:rsidRPr="00D630D1" w:rsidRDefault="005556D5" w:rsidP="008D1781">
            <w:pPr>
              <w:topLinePunct w:val="0"/>
              <w:snapToGrid w:val="0"/>
              <w:spacing w:line="26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高覆盖度植被</w:t>
            </w:r>
          </w:p>
        </w:tc>
        <w:tc>
          <w:tcPr>
            <w:tcW w:w="2934" w:type="dxa"/>
            <w:shd w:val="clear" w:color="auto" w:fill="FFFFFF"/>
            <w:noWrap/>
            <w:vAlign w:val="center"/>
          </w:tcPr>
          <w:p w:rsidR="005556D5" w:rsidRDefault="005556D5" w:rsidP="005556D5">
            <w:pPr>
              <w:snapToGrid w:val="0"/>
              <w:spacing w:line="260" w:lineRule="exact"/>
              <w:ind w:firstLineChars="0" w:firstLine="0"/>
              <w:jc w:val="center"/>
              <w:rPr>
                <w:rFonts w:ascii="Times New Roman" w:cs="Times New Roman"/>
                <w:sz w:val="21"/>
                <w:szCs w:val="21"/>
              </w:rPr>
            </w:pPr>
            <w:r>
              <w:rPr>
                <w:rFonts w:ascii="Times New Roman" w:cs="Times New Roman" w:hint="eastAsia"/>
                <w:sz w:val="21"/>
                <w:szCs w:val="21"/>
              </w:rPr>
              <w:t>868.37</w:t>
            </w:r>
          </w:p>
        </w:tc>
        <w:tc>
          <w:tcPr>
            <w:tcW w:w="1576" w:type="dxa"/>
            <w:shd w:val="clear" w:color="auto" w:fill="FFFFFF"/>
            <w:noWrap/>
            <w:vAlign w:val="center"/>
          </w:tcPr>
          <w:p w:rsidR="005556D5" w:rsidRDefault="005556D5" w:rsidP="005556D5">
            <w:pPr>
              <w:snapToGrid w:val="0"/>
              <w:spacing w:line="260" w:lineRule="exact"/>
              <w:ind w:firstLineChars="0" w:firstLine="0"/>
              <w:jc w:val="center"/>
              <w:rPr>
                <w:rFonts w:ascii="Times New Roman" w:cs="Times New Roman"/>
                <w:sz w:val="21"/>
                <w:szCs w:val="21"/>
              </w:rPr>
            </w:pPr>
            <w:r>
              <w:rPr>
                <w:rFonts w:ascii="Times New Roman" w:cs="Times New Roman" w:hint="eastAsia"/>
                <w:sz w:val="21"/>
                <w:szCs w:val="21"/>
              </w:rPr>
              <w:t>63.54</w:t>
            </w:r>
          </w:p>
        </w:tc>
      </w:tr>
      <w:tr w:rsidR="005556D5" w:rsidRPr="00D630D1" w:rsidTr="008D1781">
        <w:trPr>
          <w:trHeight w:hRule="exact" w:val="397"/>
          <w:jc w:val="center"/>
        </w:trPr>
        <w:tc>
          <w:tcPr>
            <w:tcW w:w="4012" w:type="dxa"/>
            <w:shd w:val="clear" w:color="auto" w:fill="FFFFFF"/>
            <w:noWrap/>
            <w:vAlign w:val="center"/>
          </w:tcPr>
          <w:p w:rsidR="005556D5" w:rsidRPr="00D630D1" w:rsidRDefault="005556D5" w:rsidP="008D1781">
            <w:pPr>
              <w:topLinePunct w:val="0"/>
              <w:snapToGrid w:val="0"/>
              <w:spacing w:line="26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中高覆盖度植被</w:t>
            </w:r>
          </w:p>
        </w:tc>
        <w:tc>
          <w:tcPr>
            <w:tcW w:w="2934" w:type="dxa"/>
            <w:shd w:val="clear" w:color="auto" w:fill="FFFFFF"/>
            <w:noWrap/>
            <w:vAlign w:val="center"/>
          </w:tcPr>
          <w:p w:rsidR="005556D5" w:rsidRDefault="005556D5" w:rsidP="005556D5">
            <w:pPr>
              <w:snapToGrid w:val="0"/>
              <w:spacing w:line="260" w:lineRule="exact"/>
              <w:ind w:firstLineChars="0" w:firstLine="0"/>
              <w:jc w:val="center"/>
              <w:rPr>
                <w:rFonts w:ascii="Times New Roman" w:cs="Times New Roman"/>
                <w:sz w:val="21"/>
                <w:szCs w:val="21"/>
              </w:rPr>
            </w:pPr>
            <w:r>
              <w:rPr>
                <w:rFonts w:ascii="Times New Roman" w:cs="Times New Roman" w:hint="eastAsia"/>
                <w:sz w:val="21"/>
                <w:szCs w:val="21"/>
              </w:rPr>
              <w:t>36.38</w:t>
            </w:r>
          </w:p>
        </w:tc>
        <w:tc>
          <w:tcPr>
            <w:tcW w:w="1576" w:type="dxa"/>
            <w:shd w:val="clear" w:color="auto" w:fill="FFFFFF"/>
            <w:noWrap/>
            <w:vAlign w:val="center"/>
          </w:tcPr>
          <w:p w:rsidR="005556D5" w:rsidRDefault="005556D5" w:rsidP="005556D5">
            <w:pPr>
              <w:snapToGrid w:val="0"/>
              <w:spacing w:line="260" w:lineRule="exact"/>
              <w:ind w:firstLineChars="0" w:firstLine="0"/>
              <w:jc w:val="center"/>
              <w:rPr>
                <w:rFonts w:ascii="Times New Roman" w:cs="Times New Roman"/>
                <w:sz w:val="21"/>
                <w:szCs w:val="21"/>
              </w:rPr>
            </w:pPr>
            <w:r>
              <w:rPr>
                <w:rFonts w:ascii="Times New Roman" w:cs="Times New Roman" w:hint="eastAsia"/>
                <w:sz w:val="21"/>
                <w:szCs w:val="21"/>
              </w:rPr>
              <w:t>2.66</w:t>
            </w:r>
          </w:p>
        </w:tc>
      </w:tr>
      <w:tr w:rsidR="005556D5" w:rsidRPr="00D630D1" w:rsidTr="008D1781">
        <w:trPr>
          <w:trHeight w:hRule="exact" w:val="397"/>
          <w:jc w:val="center"/>
        </w:trPr>
        <w:tc>
          <w:tcPr>
            <w:tcW w:w="4012" w:type="dxa"/>
            <w:shd w:val="clear" w:color="auto" w:fill="FFFFFF"/>
            <w:noWrap/>
            <w:vAlign w:val="center"/>
          </w:tcPr>
          <w:p w:rsidR="005556D5" w:rsidRPr="00D630D1" w:rsidRDefault="005556D5" w:rsidP="008D1781">
            <w:pPr>
              <w:topLinePunct w:val="0"/>
              <w:snapToGrid w:val="0"/>
              <w:spacing w:line="26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中覆盖度植被</w:t>
            </w:r>
          </w:p>
        </w:tc>
        <w:tc>
          <w:tcPr>
            <w:tcW w:w="2934" w:type="dxa"/>
            <w:shd w:val="clear" w:color="auto" w:fill="FFFFFF"/>
            <w:noWrap/>
            <w:vAlign w:val="center"/>
          </w:tcPr>
          <w:p w:rsidR="005556D5" w:rsidRDefault="005556D5" w:rsidP="005556D5">
            <w:pPr>
              <w:snapToGrid w:val="0"/>
              <w:spacing w:line="260" w:lineRule="exact"/>
              <w:ind w:firstLineChars="0" w:firstLine="0"/>
              <w:jc w:val="center"/>
              <w:rPr>
                <w:rFonts w:ascii="Times New Roman" w:cs="Times New Roman"/>
                <w:sz w:val="21"/>
                <w:szCs w:val="21"/>
              </w:rPr>
            </w:pPr>
            <w:r>
              <w:rPr>
                <w:rFonts w:ascii="Times New Roman" w:cs="Times New Roman" w:hint="eastAsia"/>
                <w:sz w:val="21"/>
                <w:szCs w:val="21"/>
              </w:rPr>
              <w:t>16.01</w:t>
            </w:r>
          </w:p>
        </w:tc>
        <w:tc>
          <w:tcPr>
            <w:tcW w:w="1576" w:type="dxa"/>
            <w:shd w:val="clear" w:color="auto" w:fill="FFFFFF"/>
            <w:noWrap/>
            <w:vAlign w:val="center"/>
          </w:tcPr>
          <w:p w:rsidR="005556D5" w:rsidRDefault="005556D5" w:rsidP="005556D5">
            <w:pPr>
              <w:snapToGrid w:val="0"/>
              <w:spacing w:line="260" w:lineRule="exact"/>
              <w:ind w:firstLineChars="0" w:firstLine="0"/>
              <w:jc w:val="center"/>
              <w:rPr>
                <w:rFonts w:ascii="Times New Roman" w:cs="Times New Roman"/>
                <w:sz w:val="21"/>
                <w:szCs w:val="21"/>
              </w:rPr>
            </w:pPr>
            <w:r>
              <w:rPr>
                <w:rFonts w:ascii="Times New Roman" w:cs="Times New Roman" w:hint="eastAsia"/>
                <w:sz w:val="21"/>
                <w:szCs w:val="21"/>
              </w:rPr>
              <w:t>1.17</w:t>
            </w:r>
          </w:p>
        </w:tc>
      </w:tr>
      <w:tr w:rsidR="005556D5" w:rsidRPr="00D630D1" w:rsidTr="008D1781">
        <w:trPr>
          <w:trHeight w:hRule="exact" w:val="397"/>
          <w:jc w:val="center"/>
        </w:trPr>
        <w:tc>
          <w:tcPr>
            <w:tcW w:w="4012" w:type="dxa"/>
            <w:shd w:val="clear" w:color="auto" w:fill="FFFFFF"/>
            <w:noWrap/>
            <w:vAlign w:val="center"/>
          </w:tcPr>
          <w:p w:rsidR="005556D5" w:rsidRPr="00D630D1" w:rsidRDefault="005556D5" w:rsidP="008D1781">
            <w:pPr>
              <w:topLinePunct w:val="0"/>
              <w:snapToGrid w:val="0"/>
              <w:spacing w:line="26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栽培植被</w:t>
            </w:r>
          </w:p>
        </w:tc>
        <w:tc>
          <w:tcPr>
            <w:tcW w:w="2934" w:type="dxa"/>
            <w:shd w:val="clear" w:color="auto" w:fill="FFFFFF"/>
            <w:noWrap/>
            <w:vAlign w:val="center"/>
          </w:tcPr>
          <w:p w:rsidR="005556D5" w:rsidRDefault="005556D5" w:rsidP="005556D5">
            <w:pPr>
              <w:snapToGrid w:val="0"/>
              <w:spacing w:line="260" w:lineRule="exact"/>
              <w:ind w:firstLineChars="0" w:firstLine="0"/>
              <w:jc w:val="center"/>
              <w:rPr>
                <w:rFonts w:ascii="Times New Roman" w:cs="Times New Roman"/>
                <w:sz w:val="21"/>
                <w:szCs w:val="21"/>
              </w:rPr>
            </w:pPr>
            <w:r>
              <w:rPr>
                <w:rFonts w:ascii="Times New Roman" w:cs="Times New Roman" w:hint="eastAsia"/>
                <w:sz w:val="21"/>
                <w:szCs w:val="21"/>
              </w:rPr>
              <w:t>387.81</w:t>
            </w:r>
          </w:p>
        </w:tc>
        <w:tc>
          <w:tcPr>
            <w:tcW w:w="1576" w:type="dxa"/>
            <w:shd w:val="clear" w:color="auto" w:fill="FFFFFF"/>
            <w:noWrap/>
            <w:vAlign w:val="center"/>
          </w:tcPr>
          <w:p w:rsidR="005556D5" w:rsidRDefault="005556D5" w:rsidP="005556D5">
            <w:pPr>
              <w:snapToGrid w:val="0"/>
              <w:spacing w:line="260" w:lineRule="exact"/>
              <w:ind w:firstLineChars="0" w:firstLine="0"/>
              <w:jc w:val="center"/>
              <w:rPr>
                <w:rFonts w:ascii="Times New Roman" w:cs="Times New Roman"/>
                <w:sz w:val="21"/>
                <w:szCs w:val="21"/>
              </w:rPr>
            </w:pPr>
            <w:r>
              <w:rPr>
                <w:rFonts w:ascii="Times New Roman" w:cs="Times New Roman" w:hint="eastAsia"/>
                <w:sz w:val="21"/>
                <w:szCs w:val="21"/>
              </w:rPr>
              <w:t>28.38</w:t>
            </w:r>
          </w:p>
        </w:tc>
      </w:tr>
      <w:tr w:rsidR="005556D5" w:rsidRPr="00D630D1" w:rsidTr="008D1781">
        <w:trPr>
          <w:trHeight w:hRule="exact" w:val="397"/>
          <w:jc w:val="center"/>
        </w:trPr>
        <w:tc>
          <w:tcPr>
            <w:tcW w:w="4012" w:type="dxa"/>
            <w:shd w:val="clear" w:color="auto" w:fill="FFFFFF"/>
            <w:noWrap/>
            <w:vAlign w:val="center"/>
          </w:tcPr>
          <w:p w:rsidR="005556D5" w:rsidRPr="00D630D1" w:rsidRDefault="005556D5" w:rsidP="008D1781">
            <w:pPr>
              <w:topLinePunct w:val="0"/>
              <w:snapToGrid w:val="0"/>
              <w:spacing w:line="26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无植被</w:t>
            </w:r>
          </w:p>
        </w:tc>
        <w:tc>
          <w:tcPr>
            <w:tcW w:w="2934" w:type="dxa"/>
            <w:shd w:val="clear" w:color="auto" w:fill="FFFFFF"/>
            <w:noWrap/>
            <w:vAlign w:val="center"/>
          </w:tcPr>
          <w:p w:rsidR="005556D5" w:rsidRDefault="005556D5" w:rsidP="005556D5">
            <w:pPr>
              <w:snapToGrid w:val="0"/>
              <w:spacing w:line="260" w:lineRule="exact"/>
              <w:ind w:firstLineChars="0" w:firstLine="0"/>
              <w:jc w:val="center"/>
              <w:rPr>
                <w:rFonts w:ascii="Times New Roman" w:cs="Times New Roman"/>
                <w:sz w:val="21"/>
                <w:szCs w:val="21"/>
              </w:rPr>
            </w:pPr>
            <w:r>
              <w:rPr>
                <w:rFonts w:ascii="Times New Roman" w:cs="Times New Roman" w:hint="eastAsia"/>
                <w:sz w:val="21"/>
                <w:szCs w:val="21"/>
              </w:rPr>
              <w:t>58.16</w:t>
            </w:r>
          </w:p>
        </w:tc>
        <w:tc>
          <w:tcPr>
            <w:tcW w:w="1576" w:type="dxa"/>
            <w:shd w:val="clear" w:color="auto" w:fill="FFFFFF"/>
            <w:noWrap/>
            <w:vAlign w:val="center"/>
          </w:tcPr>
          <w:p w:rsidR="005556D5" w:rsidRDefault="005556D5" w:rsidP="005556D5">
            <w:pPr>
              <w:snapToGrid w:val="0"/>
              <w:spacing w:line="260" w:lineRule="exact"/>
              <w:ind w:firstLineChars="0" w:firstLine="0"/>
              <w:jc w:val="center"/>
              <w:rPr>
                <w:rFonts w:ascii="Times New Roman" w:cs="Times New Roman"/>
                <w:sz w:val="21"/>
                <w:szCs w:val="21"/>
              </w:rPr>
            </w:pPr>
            <w:r>
              <w:rPr>
                <w:rFonts w:ascii="Times New Roman" w:cs="Times New Roman" w:hint="eastAsia"/>
                <w:sz w:val="21"/>
                <w:szCs w:val="21"/>
              </w:rPr>
              <w:t>4.26</w:t>
            </w:r>
          </w:p>
        </w:tc>
      </w:tr>
      <w:tr w:rsidR="005556D5" w:rsidRPr="00D630D1" w:rsidTr="008D1781">
        <w:trPr>
          <w:trHeight w:hRule="exact" w:val="397"/>
          <w:jc w:val="center"/>
        </w:trPr>
        <w:tc>
          <w:tcPr>
            <w:tcW w:w="4012" w:type="dxa"/>
            <w:shd w:val="clear" w:color="auto" w:fill="FFFFFF"/>
            <w:noWrap/>
            <w:vAlign w:val="center"/>
          </w:tcPr>
          <w:p w:rsidR="005556D5" w:rsidRPr="00D630D1" w:rsidRDefault="005556D5" w:rsidP="008D1781">
            <w:pPr>
              <w:topLinePunct w:val="0"/>
              <w:snapToGrid w:val="0"/>
              <w:spacing w:line="26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总计</w:t>
            </w:r>
          </w:p>
        </w:tc>
        <w:tc>
          <w:tcPr>
            <w:tcW w:w="2934" w:type="dxa"/>
            <w:shd w:val="clear" w:color="auto" w:fill="FFFFFF"/>
            <w:noWrap/>
            <w:vAlign w:val="center"/>
          </w:tcPr>
          <w:p w:rsidR="005556D5" w:rsidRDefault="005556D5" w:rsidP="005556D5">
            <w:pPr>
              <w:snapToGrid w:val="0"/>
              <w:spacing w:line="260" w:lineRule="exact"/>
              <w:ind w:firstLineChars="0" w:firstLine="0"/>
              <w:jc w:val="center"/>
              <w:rPr>
                <w:rFonts w:ascii="Times New Roman" w:cs="Times New Roman"/>
                <w:sz w:val="21"/>
                <w:szCs w:val="21"/>
              </w:rPr>
            </w:pPr>
            <w:r>
              <w:rPr>
                <w:rFonts w:ascii="Times New Roman" w:cs="Times New Roman" w:hint="eastAsia"/>
                <w:sz w:val="21"/>
                <w:szCs w:val="21"/>
              </w:rPr>
              <w:t>1366.73</w:t>
            </w:r>
          </w:p>
        </w:tc>
        <w:tc>
          <w:tcPr>
            <w:tcW w:w="1576" w:type="dxa"/>
            <w:shd w:val="clear" w:color="auto" w:fill="FFFFFF"/>
            <w:noWrap/>
            <w:vAlign w:val="center"/>
          </w:tcPr>
          <w:p w:rsidR="005556D5" w:rsidRDefault="005556D5" w:rsidP="005556D5">
            <w:pPr>
              <w:snapToGrid w:val="0"/>
              <w:spacing w:line="260" w:lineRule="exact"/>
              <w:ind w:firstLineChars="0" w:firstLine="0"/>
              <w:jc w:val="center"/>
              <w:rPr>
                <w:rFonts w:ascii="Times New Roman" w:cs="Times New Roman"/>
                <w:sz w:val="21"/>
                <w:szCs w:val="21"/>
              </w:rPr>
            </w:pPr>
            <w:r>
              <w:rPr>
                <w:rFonts w:ascii="Times New Roman" w:cs="Times New Roman" w:hint="eastAsia"/>
                <w:sz w:val="21"/>
                <w:szCs w:val="21"/>
              </w:rPr>
              <w:t>100.00</w:t>
            </w:r>
          </w:p>
        </w:tc>
      </w:tr>
    </w:tbl>
    <w:p w:rsidR="008D1781" w:rsidRPr="00D630D1" w:rsidRDefault="008D1781" w:rsidP="008D1781">
      <w:pPr>
        <w:pStyle w:val="afa"/>
        <w:ind w:firstLine="480"/>
      </w:pPr>
      <w:r w:rsidRPr="00D630D1">
        <w:rPr>
          <w:rFonts w:hint="eastAsia"/>
        </w:rPr>
        <w:t>项目区属中亚热带湿润季风气候区，植被区划处于</w:t>
      </w:r>
      <w:r w:rsidRPr="00D630D1">
        <w:t>亚热带常绿阔叶林区域</w:t>
      </w:r>
      <w:r w:rsidRPr="00D630D1">
        <w:rPr>
          <w:rFonts w:hint="eastAsia"/>
        </w:rPr>
        <w:t>，水热条件较好，植被总体覆盖度较高。</w:t>
      </w:r>
      <w:r w:rsidRPr="00D630D1">
        <w:t>从解译结果看，评价区范围内，高覆盖度植被主要分布</w:t>
      </w:r>
      <w:r w:rsidRPr="00D630D1">
        <w:rPr>
          <w:rFonts w:hint="eastAsia"/>
        </w:rPr>
        <w:t>在针叶林及阔叶林区</w:t>
      </w:r>
      <w:r w:rsidRPr="00D630D1">
        <w:t>，</w:t>
      </w:r>
      <w:r w:rsidRPr="00D630D1">
        <w:rPr>
          <w:rFonts w:hint="eastAsia"/>
        </w:rPr>
        <w:t>群落多为乔灌草三层，综合覆盖度较高；</w:t>
      </w:r>
      <w:r w:rsidRPr="00D630D1">
        <w:t>中高覆盖度植被</w:t>
      </w:r>
      <w:r w:rsidRPr="00D630D1">
        <w:rPr>
          <w:rFonts w:hint="eastAsia"/>
        </w:rPr>
        <w:t>主要为稀疏乔木林及灌丛植被分布区，群落结构多为灌草两层；中覆盖度多为草丛植被分布区。</w:t>
      </w:r>
    </w:p>
    <w:p w:rsidR="00117C3D" w:rsidRPr="00D630D1" w:rsidRDefault="00B4166C">
      <w:pPr>
        <w:pStyle w:val="3"/>
        <w:rPr>
          <w:rFonts w:eastAsia="宋体"/>
        </w:rPr>
      </w:pPr>
      <w:r w:rsidRPr="00D630D1">
        <w:rPr>
          <w:rFonts w:eastAsia="宋体"/>
        </w:rPr>
        <w:t>5</w:t>
      </w:r>
      <w:r w:rsidR="008B5B84" w:rsidRPr="00D630D1">
        <w:rPr>
          <w:rFonts w:eastAsia="宋体"/>
        </w:rPr>
        <w:t>.2.</w:t>
      </w:r>
      <w:r w:rsidR="00F84AF8" w:rsidRPr="00D630D1">
        <w:rPr>
          <w:rFonts w:eastAsia="宋体"/>
        </w:rPr>
        <w:t>3</w:t>
      </w:r>
      <w:r w:rsidR="008D1781" w:rsidRPr="00D630D1">
        <w:rPr>
          <w:rFonts w:eastAsia="宋体"/>
          <w:bCs/>
        </w:rPr>
        <w:t>项目区域植被</w:t>
      </w:r>
      <w:r w:rsidR="008D1781" w:rsidRPr="00D630D1">
        <w:rPr>
          <w:rFonts w:eastAsia="宋体"/>
        </w:rPr>
        <w:t>植被概况</w:t>
      </w:r>
      <w:bookmarkEnd w:id="423"/>
    </w:p>
    <w:p w:rsidR="005556D5" w:rsidRDefault="005556D5" w:rsidP="005556D5">
      <w:pPr>
        <w:snapToGrid w:val="0"/>
        <w:ind w:firstLine="480"/>
        <w:rPr>
          <w:rFonts w:ascii="Times New Roman" w:cs="Times New Roman"/>
        </w:rPr>
      </w:pPr>
      <w:r>
        <w:rPr>
          <w:rFonts w:ascii="Times New Roman" w:cs="Times New Roman"/>
        </w:rPr>
        <w:t>项目区域位于四川省达州市宣汉县。根据《四川植被》中关于四川省内植被区划的描述，项目所在区域属</w:t>
      </w:r>
      <w:r>
        <w:rPr>
          <w:rFonts w:ascii="Times New Roman" w:cs="Times New Roman"/>
        </w:rPr>
        <w:t>IA3(6)</w:t>
      </w:r>
      <w:r>
        <w:rPr>
          <w:rFonts w:ascii="Times New Roman" w:cs="Times New Roman"/>
        </w:rPr>
        <w:t>川北深丘植被小区。</w:t>
      </w:r>
    </w:p>
    <w:p w:rsidR="005556D5" w:rsidRDefault="005556D5" w:rsidP="005556D5">
      <w:pPr>
        <w:snapToGrid w:val="0"/>
        <w:ind w:firstLine="480"/>
        <w:rPr>
          <w:rFonts w:ascii="Times New Roman" w:cs="Times New Roman"/>
        </w:rPr>
      </w:pPr>
      <w:r>
        <w:rPr>
          <w:rFonts w:ascii="Times New Roman" w:cs="Times New Roman"/>
        </w:rPr>
        <w:t>该小区位于盆地中部北侧，是大巴山地区向盆地内部方山丘陵过渡的地带，境内主要属单斜丘陵，海拔高度一般为</w:t>
      </w:r>
      <w:r>
        <w:rPr>
          <w:rFonts w:ascii="Times New Roman" w:cs="Times New Roman"/>
        </w:rPr>
        <w:t>800m</w:t>
      </w:r>
      <w:r>
        <w:rPr>
          <w:rFonts w:ascii="Times New Roman" w:cs="Times New Roman"/>
        </w:rPr>
        <w:t>，相对高度</w:t>
      </w:r>
      <w:r>
        <w:rPr>
          <w:rFonts w:ascii="Times New Roman" w:cs="Times New Roman"/>
        </w:rPr>
        <w:t>100~200m</w:t>
      </w:r>
      <w:r>
        <w:rPr>
          <w:rFonts w:ascii="Times New Roman" w:cs="Times New Roman"/>
        </w:rPr>
        <w:t>，地层多属白垩纪紫色砂岩与页岩互层，在此母质上发育的为紫色土，海拔</w:t>
      </w:r>
      <w:r>
        <w:rPr>
          <w:rFonts w:ascii="Times New Roman" w:cs="Times New Roman"/>
        </w:rPr>
        <w:t>1000m</w:t>
      </w:r>
      <w:r>
        <w:rPr>
          <w:rFonts w:ascii="Times New Roman" w:cs="Times New Roman"/>
        </w:rPr>
        <w:t>以上地区以黄壤为主。年平均温</w:t>
      </w:r>
      <w:r>
        <w:rPr>
          <w:rFonts w:ascii="Times New Roman" w:cs="Times New Roman"/>
        </w:rPr>
        <w:t>16~17</w:t>
      </w:r>
      <w:r>
        <w:rPr>
          <w:rFonts w:hAnsi="宋体" w:hint="eastAsia"/>
        </w:rPr>
        <w:t>℃</w:t>
      </w:r>
      <w:r>
        <w:rPr>
          <w:rFonts w:ascii="Times New Roman" w:cs="Times New Roman"/>
        </w:rPr>
        <w:t>，</w:t>
      </w:r>
      <w:r>
        <w:rPr>
          <w:rFonts w:ascii="Times New Roman" w:cs="Times New Roman"/>
        </w:rPr>
        <w:t>1</w:t>
      </w:r>
      <w:r>
        <w:rPr>
          <w:rFonts w:ascii="Times New Roman" w:cs="Times New Roman"/>
        </w:rPr>
        <w:t>月平均温</w:t>
      </w:r>
      <w:r>
        <w:rPr>
          <w:rFonts w:ascii="Times New Roman" w:cs="Times New Roman"/>
        </w:rPr>
        <w:t>5~6</w:t>
      </w:r>
      <w:r>
        <w:rPr>
          <w:rFonts w:hAnsi="宋体" w:hint="eastAsia"/>
        </w:rPr>
        <w:t>℃</w:t>
      </w:r>
      <w:r>
        <w:rPr>
          <w:rFonts w:ascii="Times New Roman" w:cs="Times New Roman"/>
        </w:rPr>
        <w:t>，比川中方山丘陵区气温低，而年温差较大。年降水量在</w:t>
      </w:r>
      <w:r>
        <w:rPr>
          <w:rFonts w:ascii="Times New Roman" w:cs="Times New Roman"/>
        </w:rPr>
        <w:t>1000</w:t>
      </w:r>
      <w:r>
        <w:rPr>
          <w:rFonts w:ascii="Times New Roman" w:cs="Times New Roman"/>
        </w:rPr>
        <w:t>毫米以上，比川中方山丘陵区多，但季节分配不均匀，雾日较少，无霜期约为</w:t>
      </w:r>
      <w:r>
        <w:rPr>
          <w:rFonts w:ascii="Times New Roman" w:cs="Times New Roman"/>
        </w:rPr>
        <w:t>290</w:t>
      </w:r>
      <w:r>
        <w:rPr>
          <w:rFonts w:ascii="Times New Roman" w:cs="Times New Roman"/>
        </w:rPr>
        <w:t>天，有春早秋千、日照时数较多的特点。</w:t>
      </w:r>
    </w:p>
    <w:p w:rsidR="005556D5" w:rsidRDefault="005556D5" w:rsidP="005556D5">
      <w:pPr>
        <w:snapToGrid w:val="0"/>
        <w:ind w:firstLine="480"/>
        <w:rPr>
          <w:rFonts w:ascii="Times New Roman" w:cs="Times New Roman"/>
        </w:rPr>
      </w:pPr>
      <w:r>
        <w:rPr>
          <w:rFonts w:ascii="Times New Roman" w:cs="Times New Roman"/>
        </w:rPr>
        <w:t>自然植被主要为马尾松林、柏木林、栎类灌丛、亚热带草丛及其各种过渡类型。在个别海拔</w:t>
      </w:r>
      <w:r>
        <w:rPr>
          <w:rFonts w:ascii="Times New Roman" w:cs="Times New Roman"/>
        </w:rPr>
        <w:t>1200m</w:t>
      </w:r>
      <w:r>
        <w:rPr>
          <w:rFonts w:ascii="Times New Roman" w:cs="Times New Roman"/>
        </w:rPr>
        <w:t>左右的地方有石栎林、刺叶栎林、青㭎林。马尾松林多分布在深丘顶部砂页岩发育的黄壤地段上，灌木有米饭花、映山红、米碎花、铁仔，而在干燥生境下，则以映山红、火棘、栎类为主。柏木林多分布在深丘下部的紫色页岩地段上，形成疏林，混有化香、黄连木、油桐。栎类灌丛多分布在山项，由</w:t>
      </w:r>
      <w:r>
        <w:rPr>
          <w:rFonts w:ascii="Times New Roman" w:cs="Times New Roman" w:hint="eastAsia"/>
        </w:rPr>
        <w:t>麻栎、青冈</w:t>
      </w:r>
      <w:r>
        <w:rPr>
          <w:rFonts w:ascii="Times New Roman" w:cs="Times New Roman"/>
        </w:rPr>
        <w:t>、烟管荚蓬、火棘、蔷薇、盐肤木、映山红、铁仔、毛黄栌组成，为马尾松林和落叶栎林砍伐后形成的灌丛类型。柏木林再度砍伐后形成以黄茅、白茅、香茅为主的亚热带草丛，并散生着黄荆、牡荆、马桑、铁仔、短柄枹</w:t>
      </w:r>
      <w:r>
        <w:rPr>
          <w:rFonts w:ascii="Times New Roman" w:cs="Times New Roman"/>
        </w:rPr>
        <w:lastRenderedPageBreak/>
        <w:t>栎等植物。另外，本小区各地还有黑壳楠、红果钓樟、云南樟、宜昌润楠、山合欢、灯台树等植物。</w:t>
      </w:r>
    </w:p>
    <w:p w:rsidR="008D1781" w:rsidRPr="00D630D1" w:rsidRDefault="005556D5" w:rsidP="005556D5">
      <w:pPr>
        <w:topLinePunct w:val="0"/>
        <w:snapToGrid w:val="0"/>
        <w:ind w:firstLine="480"/>
        <w:rPr>
          <w:rFonts w:ascii="Times New Roman" w:cs="Times New Roman"/>
          <w:kern w:val="2"/>
        </w:rPr>
      </w:pPr>
      <w:r>
        <w:rPr>
          <w:rFonts w:ascii="Times New Roman" w:cs="Times New Roman"/>
        </w:rPr>
        <w:t>栽培植被中大春作物本田以中稻为主，早地以</w:t>
      </w:r>
      <w:r>
        <w:rPr>
          <w:rFonts w:ascii="Times New Roman" w:cs="Times New Roman" w:hint="eastAsia"/>
        </w:rPr>
        <w:t>玉米、红苕、棉花、花生、小麦、马铃薯、豌豆</w:t>
      </w:r>
      <w:r>
        <w:rPr>
          <w:rFonts w:ascii="Times New Roman" w:cs="Times New Roman"/>
        </w:rPr>
        <w:t>为主，小春作物以小麦、豌豆为主，深丘上部种有马铃薯，多为一年二熟类型。由于地势较高，雨量分配不均匀，伏旱严重，农业布局必须因地制宜。有水利保证的田应栽水稻，主攻中稻，没有水利保证的田，种植旱粮，实行小麦、玉米、红苕连续套种。这样可以提高复种指数，做到高产稳产。在</w:t>
      </w:r>
      <w:r>
        <w:rPr>
          <w:rFonts w:ascii="Times New Roman" w:cs="Times New Roman"/>
        </w:rPr>
        <w:t>“</w:t>
      </w:r>
      <w:r>
        <w:rPr>
          <w:rFonts w:ascii="Times New Roman" w:cs="Times New Roman"/>
        </w:rPr>
        <w:t>以粮为纲，全面发展</w:t>
      </w:r>
      <w:r>
        <w:rPr>
          <w:rFonts w:ascii="Times New Roman" w:cs="Times New Roman"/>
        </w:rPr>
        <w:t>”</w:t>
      </w:r>
      <w:r>
        <w:rPr>
          <w:rFonts w:ascii="Times New Roman" w:cs="Times New Roman"/>
        </w:rPr>
        <w:t>方针指导下，要因地制宜地发展棉花、花生等经济作物。经济林水中梨、核桃产量大、质量好、栽培历史长，如苍溪雪梨和薄壳核桃都很著名，宜于大量发展。另外桑、油桐也是本小区重要经济林木，发展潜力很大。丘陵荒山要开展植树造林，种植黄荆、马桑、紫穗槐、马尾松、柏木等，增加植被覆盖率</w:t>
      </w:r>
      <w:r w:rsidR="008D1781" w:rsidRPr="00D630D1">
        <w:rPr>
          <w:rFonts w:ascii="Times New Roman" w:cs="Times New Roman"/>
          <w:kern w:val="2"/>
        </w:rPr>
        <w:t>。</w:t>
      </w:r>
    </w:p>
    <w:p w:rsidR="008D1781" w:rsidRPr="00D630D1" w:rsidRDefault="008D1781" w:rsidP="008D1781">
      <w:pPr>
        <w:topLinePunct w:val="0"/>
        <w:snapToGrid w:val="0"/>
        <w:ind w:firstLine="482"/>
        <w:rPr>
          <w:rFonts w:ascii="Times New Roman" w:cs="Times New Roman"/>
          <w:b/>
          <w:bCs/>
          <w:kern w:val="2"/>
        </w:rPr>
      </w:pPr>
      <w:r w:rsidRPr="00D630D1">
        <w:rPr>
          <w:rFonts w:ascii="Times New Roman" w:cs="Times New Roman"/>
          <w:b/>
          <w:bCs/>
          <w:kern w:val="2"/>
        </w:rPr>
        <w:t>（</w:t>
      </w:r>
      <w:r w:rsidRPr="00D630D1">
        <w:rPr>
          <w:rFonts w:ascii="Times New Roman" w:cs="Times New Roman"/>
          <w:b/>
          <w:bCs/>
          <w:kern w:val="2"/>
        </w:rPr>
        <w:t>2</w:t>
      </w:r>
      <w:r w:rsidRPr="00D630D1">
        <w:rPr>
          <w:rFonts w:ascii="Times New Roman" w:cs="Times New Roman"/>
          <w:b/>
          <w:bCs/>
          <w:kern w:val="2"/>
        </w:rPr>
        <w:t>）维管束植物组成情况</w:t>
      </w:r>
    </w:p>
    <w:p w:rsidR="008D1781" w:rsidRPr="00D630D1" w:rsidRDefault="008D1781" w:rsidP="008D1781">
      <w:pPr>
        <w:pStyle w:val="afa"/>
        <w:ind w:firstLine="480"/>
      </w:pPr>
      <w:r w:rsidRPr="00D630D1">
        <w:rPr>
          <w:kern w:val="2"/>
          <w:szCs w:val="24"/>
        </w:rPr>
        <w:t>经过野外调查，结合标本鉴定和历史资料的查阅，项目区域内维管植物有</w:t>
      </w:r>
      <w:r w:rsidRPr="00D630D1">
        <w:rPr>
          <w:kern w:val="2"/>
          <w:szCs w:val="24"/>
        </w:rPr>
        <w:t>139</w:t>
      </w:r>
      <w:r w:rsidRPr="00D630D1">
        <w:rPr>
          <w:kern w:val="2"/>
          <w:szCs w:val="24"/>
        </w:rPr>
        <w:t>科</w:t>
      </w:r>
      <w:r w:rsidRPr="00D630D1">
        <w:rPr>
          <w:kern w:val="2"/>
          <w:szCs w:val="24"/>
        </w:rPr>
        <w:t>524</w:t>
      </w:r>
      <w:r w:rsidRPr="00D630D1">
        <w:rPr>
          <w:kern w:val="2"/>
          <w:szCs w:val="24"/>
        </w:rPr>
        <w:t>属</w:t>
      </w:r>
      <w:r w:rsidRPr="00D630D1">
        <w:rPr>
          <w:kern w:val="2"/>
          <w:szCs w:val="24"/>
        </w:rPr>
        <w:t>925</w:t>
      </w:r>
      <w:r w:rsidRPr="00D630D1">
        <w:rPr>
          <w:kern w:val="2"/>
          <w:szCs w:val="24"/>
        </w:rPr>
        <w:t>种：其中蕨类植物</w:t>
      </w:r>
      <w:r w:rsidRPr="00D630D1">
        <w:rPr>
          <w:kern w:val="2"/>
          <w:szCs w:val="24"/>
        </w:rPr>
        <w:t>9</w:t>
      </w:r>
      <w:r w:rsidRPr="00D630D1">
        <w:rPr>
          <w:kern w:val="2"/>
          <w:szCs w:val="24"/>
        </w:rPr>
        <w:t>科</w:t>
      </w:r>
      <w:r w:rsidRPr="00D630D1">
        <w:rPr>
          <w:kern w:val="2"/>
          <w:szCs w:val="24"/>
        </w:rPr>
        <w:t>18</w:t>
      </w:r>
      <w:r w:rsidRPr="00D630D1">
        <w:rPr>
          <w:kern w:val="2"/>
          <w:szCs w:val="24"/>
        </w:rPr>
        <w:t>属</w:t>
      </w:r>
      <w:r w:rsidRPr="00D630D1">
        <w:rPr>
          <w:kern w:val="2"/>
          <w:szCs w:val="24"/>
        </w:rPr>
        <w:t>31</w:t>
      </w:r>
      <w:r w:rsidRPr="00D630D1">
        <w:rPr>
          <w:kern w:val="2"/>
          <w:szCs w:val="24"/>
        </w:rPr>
        <w:t>种，裸子植物</w:t>
      </w:r>
      <w:r w:rsidRPr="00D630D1">
        <w:rPr>
          <w:kern w:val="2"/>
          <w:szCs w:val="24"/>
        </w:rPr>
        <w:t>5</w:t>
      </w:r>
      <w:r w:rsidRPr="00D630D1">
        <w:rPr>
          <w:kern w:val="2"/>
          <w:szCs w:val="24"/>
        </w:rPr>
        <w:t>科</w:t>
      </w:r>
      <w:r w:rsidRPr="00D630D1">
        <w:rPr>
          <w:kern w:val="2"/>
          <w:szCs w:val="24"/>
        </w:rPr>
        <w:t>7</w:t>
      </w:r>
      <w:r w:rsidRPr="00D630D1">
        <w:rPr>
          <w:kern w:val="2"/>
          <w:szCs w:val="24"/>
        </w:rPr>
        <w:t>属</w:t>
      </w:r>
      <w:r w:rsidRPr="00D630D1">
        <w:rPr>
          <w:kern w:val="2"/>
          <w:szCs w:val="24"/>
        </w:rPr>
        <w:t>9</w:t>
      </w:r>
      <w:r w:rsidRPr="00D630D1">
        <w:rPr>
          <w:kern w:val="2"/>
          <w:szCs w:val="24"/>
        </w:rPr>
        <w:t>种，被子植物</w:t>
      </w:r>
      <w:r w:rsidRPr="00D630D1">
        <w:rPr>
          <w:kern w:val="2"/>
          <w:szCs w:val="24"/>
        </w:rPr>
        <w:t>125</w:t>
      </w:r>
      <w:r w:rsidRPr="00D630D1">
        <w:rPr>
          <w:kern w:val="2"/>
          <w:szCs w:val="24"/>
        </w:rPr>
        <w:t>科</w:t>
      </w:r>
      <w:r w:rsidRPr="00D630D1">
        <w:rPr>
          <w:kern w:val="2"/>
          <w:szCs w:val="24"/>
        </w:rPr>
        <w:t>499</w:t>
      </w:r>
      <w:r w:rsidRPr="00D630D1">
        <w:rPr>
          <w:kern w:val="2"/>
          <w:szCs w:val="24"/>
        </w:rPr>
        <w:t>属</w:t>
      </w:r>
      <w:r w:rsidRPr="00D630D1">
        <w:rPr>
          <w:kern w:val="2"/>
          <w:szCs w:val="24"/>
        </w:rPr>
        <w:t>885</w:t>
      </w:r>
      <w:r w:rsidRPr="00D630D1">
        <w:rPr>
          <w:kern w:val="2"/>
          <w:szCs w:val="24"/>
        </w:rPr>
        <w:t>种</w:t>
      </w:r>
      <w:r w:rsidRPr="00D630D1">
        <w:rPr>
          <w:rFonts w:hint="eastAsia"/>
          <w:kern w:val="2"/>
          <w:szCs w:val="24"/>
        </w:rPr>
        <w:t>（</w:t>
      </w:r>
      <w:r w:rsidRPr="00D630D1">
        <w:rPr>
          <w:kern w:val="2"/>
          <w:szCs w:val="24"/>
        </w:rPr>
        <w:t>蕨类植物采用秦仁昌</w:t>
      </w:r>
      <w:r w:rsidRPr="00D630D1">
        <w:rPr>
          <w:kern w:val="2"/>
          <w:szCs w:val="24"/>
        </w:rPr>
        <w:t>1978</w:t>
      </w:r>
      <w:r w:rsidRPr="00D630D1">
        <w:rPr>
          <w:kern w:val="2"/>
          <w:szCs w:val="24"/>
        </w:rPr>
        <w:t>系统，裸子植物采用郑万均</w:t>
      </w:r>
      <w:r w:rsidRPr="00D630D1">
        <w:rPr>
          <w:kern w:val="2"/>
          <w:szCs w:val="24"/>
        </w:rPr>
        <w:t>1961</w:t>
      </w:r>
      <w:r w:rsidRPr="00D630D1">
        <w:rPr>
          <w:kern w:val="2"/>
          <w:szCs w:val="24"/>
        </w:rPr>
        <w:t>系统，被子植物采用克朗奎斯特</w:t>
      </w:r>
      <w:r w:rsidRPr="00D630D1">
        <w:rPr>
          <w:kern w:val="2"/>
          <w:szCs w:val="24"/>
        </w:rPr>
        <w:t>1981</w:t>
      </w:r>
      <w:r w:rsidRPr="00D630D1">
        <w:rPr>
          <w:kern w:val="2"/>
          <w:szCs w:val="24"/>
        </w:rPr>
        <w:t>系统</w:t>
      </w:r>
      <w:r w:rsidRPr="00D630D1">
        <w:rPr>
          <w:rFonts w:hint="eastAsia"/>
          <w:kern w:val="2"/>
          <w:szCs w:val="24"/>
        </w:rPr>
        <w:t>）</w:t>
      </w:r>
      <w:r w:rsidRPr="00D630D1">
        <w:rPr>
          <w:kern w:val="2"/>
          <w:szCs w:val="24"/>
        </w:rPr>
        <w:t>。</w:t>
      </w:r>
    </w:p>
    <w:p w:rsidR="008D1781" w:rsidRPr="00D630D1" w:rsidRDefault="008D1781" w:rsidP="008D1781">
      <w:pPr>
        <w:topLinePunct w:val="0"/>
        <w:autoSpaceDE w:val="0"/>
        <w:autoSpaceDN w:val="0"/>
        <w:spacing w:line="240" w:lineRule="auto"/>
        <w:ind w:firstLineChars="0" w:firstLine="0"/>
        <w:jc w:val="center"/>
        <w:rPr>
          <w:rFonts w:ascii="Times New Roman" w:cs="Times New Roman"/>
          <w:b/>
          <w:sz w:val="21"/>
        </w:rPr>
      </w:pPr>
      <w:r w:rsidRPr="00D630D1">
        <w:rPr>
          <w:rFonts w:ascii="Times New Roman" w:cs="Times New Roman"/>
          <w:b/>
          <w:sz w:val="21"/>
        </w:rPr>
        <w:t>表</w:t>
      </w:r>
      <w:r w:rsidRPr="00D630D1">
        <w:rPr>
          <w:rFonts w:ascii="Times New Roman" w:cs="Times New Roman" w:hint="eastAsia"/>
          <w:b/>
          <w:sz w:val="21"/>
        </w:rPr>
        <w:t>5</w:t>
      </w:r>
      <w:r w:rsidRPr="00D630D1">
        <w:rPr>
          <w:rFonts w:ascii="Times New Roman" w:cs="Times New Roman"/>
          <w:b/>
          <w:sz w:val="21"/>
        </w:rPr>
        <w:t>.</w:t>
      </w:r>
      <w:r w:rsidRPr="00D630D1">
        <w:rPr>
          <w:rFonts w:ascii="Times New Roman" w:cs="Times New Roman" w:hint="eastAsia"/>
          <w:b/>
          <w:sz w:val="21"/>
        </w:rPr>
        <w:t>2</w:t>
      </w:r>
      <w:r w:rsidRPr="00D630D1">
        <w:rPr>
          <w:rFonts w:ascii="Times New Roman" w:cs="Times New Roman"/>
          <w:b/>
          <w:sz w:val="21"/>
        </w:rPr>
        <w:t xml:space="preserve">-8 </w:t>
      </w:r>
      <w:r w:rsidRPr="00D630D1">
        <w:rPr>
          <w:rFonts w:ascii="Times New Roman" w:cs="Times New Roman"/>
          <w:b/>
          <w:sz w:val="21"/>
        </w:rPr>
        <w:t>评价区维管植物科属种统计表</w:t>
      </w:r>
    </w:p>
    <w:p w:rsidR="008D1781" w:rsidRPr="00D630D1" w:rsidRDefault="008D1781" w:rsidP="008D1781">
      <w:pPr>
        <w:topLinePunct w:val="0"/>
        <w:adjustRightInd/>
        <w:spacing w:line="129" w:lineRule="exact"/>
        <w:ind w:firstLineChars="0" w:firstLine="0"/>
        <w:rPr>
          <w:rFonts w:ascii="Times New Roman" w:cs="Times New Roman"/>
          <w:kern w:val="2"/>
          <w:sz w:val="21"/>
        </w:rPr>
      </w:pPr>
    </w:p>
    <w:tbl>
      <w:tblPr>
        <w:tblW w:w="5000" w:type="pct"/>
        <w:jc w:val="center"/>
        <w:tblBorders>
          <w:top w:val="single" w:sz="12" w:space="0" w:color="000000"/>
          <w:bottom w:val="single" w:sz="12" w:space="0" w:color="000000"/>
          <w:insideH w:val="single" w:sz="2" w:space="0" w:color="000000"/>
          <w:insideV w:val="single" w:sz="2" w:space="0" w:color="000000"/>
        </w:tblBorders>
        <w:tblLayout w:type="fixed"/>
        <w:tblCellMar>
          <w:left w:w="0" w:type="dxa"/>
          <w:right w:w="0" w:type="dxa"/>
        </w:tblCellMar>
        <w:tblLook w:val="0000"/>
      </w:tblPr>
      <w:tblGrid>
        <w:gridCol w:w="726"/>
        <w:gridCol w:w="1125"/>
        <w:gridCol w:w="898"/>
        <w:gridCol w:w="1255"/>
        <w:gridCol w:w="889"/>
        <w:gridCol w:w="1288"/>
        <w:gridCol w:w="889"/>
        <w:gridCol w:w="1236"/>
      </w:tblGrid>
      <w:tr w:rsidR="008D1781" w:rsidRPr="00D630D1" w:rsidTr="002871C9">
        <w:trPr>
          <w:trHeight w:val="280"/>
          <w:jc w:val="center"/>
        </w:trPr>
        <w:tc>
          <w:tcPr>
            <w:tcW w:w="1808" w:type="dxa"/>
            <w:gridSpan w:val="2"/>
          </w:tcPr>
          <w:p w:rsidR="008D1781" w:rsidRPr="00D630D1" w:rsidRDefault="008D1781" w:rsidP="008D1781">
            <w:pPr>
              <w:topLinePunct w:val="0"/>
              <w:adjustRightInd/>
              <w:spacing w:before="34" w:line="216" w:lineRule="auto"/>
              <w:ind w:left="870" w:firstLineChars="0" w:firstLine="0"/>
              <w:rPr>
                <w:rFonts w:ascii="Times New Roman" w:cs="Times New Roman"/>
                <w:kern w:val="2"/>
                <w:sz w:val="21"/>
                <w:szCs w:val="21"/>
              </w:rPr>
            </w:pPr>
            <w:r w:rsidRPr="00D630D1">
              <w:rPr>
                <w:rFonts w:ascii="Times New Roman" w:cs="Times New Roman"/>
                <w:spacing w:val="-8"/>
                <w:kern w:val="2"/>
                <w:sz w:val="21"/>
                <w:szCs w:val="21"/>
              </w:rPr>
              <w:t>门类</w:t>
            </w:r>
          </w:p>
        </w:tc>
        <w:tc>
          <w:tcPr>
            <w:tcW w:w="877" w:type="dxa"/>
          </w:tcPr>
          <w:p w:rsidR="008D1781" w:rsidRPr="00D630D1" w:rsidRDefault="008D1781" w:rsidP="008D1781">
            <w:pPr>
              <w:topLinePunct w:val="0"/>
              <w:adjustRightInd/>
              <w:spacing w:before="34" w:line="216" w:lineRule="auto"/>
              <w:ind w:left="202" w:firstLineChars="0" w:firstLine="0"/>
              <w:rPr>
                <w:rFonts w:ascii="Times New Roman" w:cs="Times New Roman"/>
                <w:kern w:val="2"/>
                <w:sz w:val="21"/>
                <w:szCs w:val="21"/>
              </w:rPr>
            </w:pPr>
            <w:r w:rsidRPr="00D630D1">
              <w:rPr>
                <w:rFonts w:ascii="Times New Roman" w:cs="Times New Roman"/>
                <w:spacing w:val="-3"/>
                <w:kern w:val="2"/>
                <w:sz w:val="21"/>
                <w:szCs w:val="21"/>
              </w:rPr>
              <w:t>科</w:t>
            </w:r>
            <w:r w:rsidRPr="00D630D1">
              <w:rPr>
                <w:rFonts w:ascii="Times New Roman" w:cs="Times New Roman"/>
                <w:spacing w:val="-2"/>
                <w:kern w:val="2"/>
                <w:sz w:val="21"/>
                <w:szCs w:val="21"/>
              </w:rPr>
              <w:t>数</w:t>
            </w:r>
          </w:p>
        </w:tc>
        <w:tc>
          <w:tcPr>
            <w:tcW w:w="1226" w:type="dxa"/>
          </w:tcPr>
          <w:p w:rsidR="008D1781" w:rsidRPr="00D630D1" w:rsidRDefault="008D1781" w:rsidP="008D1781">
            <w:pPr>
              <w:topLinePunct w:val="0"/>
              <w:adjustRightInd/>
              <w:spacing w:before="34" w:line="216" w:lineRule="auto"/>
              <w:ind w:left="146" w:firstLineChars="0" w:firstLine="0"/>
              <w:rPr>
                <w:rFonts w:ascii="Times New Roman" w:cs="Times New Roman"/>
                <w:kern w:val="2"/>
                <w:sz w:val="21"/>
                <w:szCs w:val="21"/>
              </w:rPr>
            </w:pPr>
            <w:r w:rsidRPr="00D630D1">
              <w:rPr>
                <w:rFonts w:ascii="Times New Roman" w:cs="Times New Roman"/>
                <w:spacing w:val="14"/>
                <w:kern w:val="2"/>
                <w:sz w:val="21"/>
                <w:szCs w:val="21"/>
              </w:rPr>
              <w:t>占</w:t>
            </w:r>
            <w:r w:rsidRPr="00D630D1">
              <w:rPr>
                <w:rFonts w:ascii="Times New Roman" w:cs="Times New Roman"/>
                <w:spacing w:val="12"/>
                <w:kern w:val="2"/>
                <w:sz w:val="21"/>
                <w:szCs w:val="21"/>
              </w:rPr>
              <w:t>比</w:t>
            </w:r>
            <w:r w:rsidRPr="00D630D1">
              <w:rPr>
                <w:rFonts w:ascii="Times New Roman" w:cs="Times New Roman"/>
                <w:spacing w:val="12"/>
                <w:kern w:val="2"/>
                <w:sz w:val="21"/>
                <w:szCs w:val="21"/>
              </w:rPr>
              <w:t>(</w:t>
            </w:r>
            <w:r w:rsidRPr="00D630D1">
              <w:rPr>
                <w:rFonts w:ascii="Times New Roman" w:eastAsia="Times New Roman" w:cs="Times New Roman"/>
                <w:spacing w:val="12"/>
                <w:kern w:val="2"/>
                <w:sz w:val="21"/>
                <w:szCs w:val="21"/>
              </w:rPr>
              <w:t>%</w:t>
            </w:r>
            <w:r w:rsidRPr="00D630D1">
              <w:rPr>
                <w:rFonts w:ascii="Times New Roman" w:cs="Times New Roman"/>
                <w:spacing w:val="12"/>
                <w:kern w:val="2"/>
                <w:sz w:val="21"/>
                <w:szCs w:val="21"/>
              </w:rPr>
              <w:t>)</w:t>
            </w:r>
          </w:p>
        </w:tc>
        <w:tc>
          <w:tcPr>
            <w:tcW w:w="868" w:type="dxa"/>
          </w:tcPr>
          <w:p w:rsidR="008D1781" w:rsidRPr="00D630D1" w:rsidRDefault="008D1781" w:rsidP="008D1781">
            <w:pPr>
              <w:topLinePunct w:val="0"/>
              <w:adjustRightInd/>
              <w:spacing w:before="34" w:line="216" w:lineRule="auto"/>
              <w:ind w:left="202" w:firstLineChars="0" w:firstLine="0"/>
              <w:rPr>
                <w:rFonts w:ascii="Times New Roman" w:cs="Times New Roman"/>
                <w:kern w:val="2"/>
                <w:sz w:val="21"/>
                <w:szCs w:val="21"/>
              </w:rPr>
            </w:pPr>
            <w:r w:rsidRPr="00D630D1">
              <w:rPr>
                <w:rFonts w:ascii="Times New Roman" w:cs="Times New Roman"/>
                <w:spacing w:val="-3"/>
                <w:kern w:val="2"/>
                <w:sz w:val="21"/>
                <w:szCs w:val="21"/>
              </w:rPr>
              <w:t>属</w:t>
            </w:r>
            <w:r w:rsidRPr="00D630D1">
              <w:rPr>
                <w:rFonts w:ascii="Times New Roman" w:cs="Times New Roman"/>
                <w:spacing w:val="-2"/>
                <w:kern w:val="2"/>
                <w:sz w:val="21"/>
                <w:szCs w:val="21"/>
              </w:rPr>
              <w:t>数</w:t>
            </w:r>
          </w:p>
        </w:tc>
        <w:tc>
          <w:tcPr>
            <w:tcW w:w="1258" w:type="dxa"/>
          </w:tcPr>
          <w:p w:rsidR="008D1781" w:rsidRPr="00D630D1" w:rsidRDefault="008D1781" w:rsidP="008D1781">
            <w:pPr>
              <w:topLinePunct w:val="0"/>
              <w:adjustRightInd/>
              <w:spacing w:before="34" w:line="216" w:lineRule="auto"/>
              <w:ind w:left="148" w:firstLineChars="0" w:firstLine="0"/>
              <w:rPr>
                <w:rFonts w:ascii="Times New Roman" w:cs="Times New Roman"/>
                <w:kern w:val="2"/>
                <w:sz w:val="21"/>
                <w:szCs w:val="21"/>
              </w:rPr>
            </w:pPr>
            <w:r w:rsidRPr="00D630D1">
              <w:rPr>
                <w:rFonts w:ascii="Times New Roman" w:cs="Times New Roman"/>
                <w:spacing w:val="14"/>
                <w:kern w:val="2"/>
                <w:sz w:val="21"/>
                <w:szCs w:val="21"/>
              </w:rPr>
              <w:t>占</w:t>
            </w:r>
            <w:r w:rsidRPr="00D630D1">
              <w:rPr>
                <w:rFonts w:ascii="Times New Roman" w:cs="Times New Roman"/>
                <w:spacing w:val="12"/>
                <w:kern w:val="2"/>
                <w:sz w:val="21"/>
                <w:szCs w:val="21"/>
              </w:rPr>
              <w:t>比</w:t>
            </w:r>
            <w:r w:rsidRPr="00D630D1">
              <w:rPr>
                <w:rFonts w:ascii="Times New Roman" w:cs="Times New Roman"/>
                <w:spacing w:val="12"/>
                <w:kern w:val="2"/>
                <w:sz w:val="21"/>
                <w:szCs w:val="21"/>
              </w:rPr>
              <w:t>(</w:t>
            </w:r>
            <w:r w:rsidRPr="00D630D1">
              <w:rPr>
                <w:rFonts w:ascii="Times New Roman" w:eastAsia="Times New Roman" w:cs="Times New Roman"/>
                <w:spacing w:val="12"/>
                <w:kern w:val="2"/>
                <w:sz w:val="21"/>
                <w:szCs w:val="21"/>
              </w:rPr>
              <w:t>%</w:t>
            </w:r>
            <w:r w:rsidRPr="00D630D1">
              <w:rPr>
                <w:rFonts w:ascii="Times New Roman" w:cs="Times New Roman"/>
                <w:spacing w:val="12"/>
                <w:kern w:val="2"/>
                <w:sz w:val="21"/>
                <w:szCs w:val="21"/>
              </w:rPr>
              <w:t>)</w:t>
            </w:r>
          </w:p>
        </w:tc>
        <w:tc>
          <w:tcPr>
            <w:tcW w:w="868" w:type="dxa"/>
          </w:tcPr>
          <w:p w:rsidR="008D1781" w:rsidRPr="00D630D1" w:rsidRDefault="008D1781" w:rsidP="008D1781">
            <w:pPr>
              <w:topLinePunct w:val="0"/>
              <w:adjustRightInd/>
              <w:spacing w:before="34" w:line="216" w:lineRule="auto"/>
              <w:ind w:left="201" w:firstLineChars="0" w:firstLine="0"/>
              <w:rPr>
                <w:rFonts w:ascii="Times New Roman" w:cs="Times New Roman"/>
                <w:kern w:val="2"/>
                <w:sz w:val="21"/>
                <w:szCs w:val="21"/>
              </w:rPr>
            </w:pPr>
            <w:r w:rsidRPr="00D630D1">
              <w:rPr>
                <w:rFonts w:ascii="Times New Roman" w:cs="Times New Roman"/>
                <w:spacing w:val="-3"/>
                <w:kern w:val="2"/>
                <w:sz w:val="21"/>
                <w:szCs w:val="21"/>
              </w:rPr>
              <w:t>种</w:t>
            </w:r>
            <w:r w:rsidRPr="00D630D1">
              <w:rPr>
                <w:rFonts w:ascii="Times New Roman" w:cs="Times New Roman"/>
                <w:spacing w:val="-2"/>
                <w:kern w:val="2"/>
                <w:sz w:val="21"/>
                <w:szCs w:val="21"/>
              </w:rPr>
              <w:t>数</w:t>
            </w:r>
          </w:p>
        </w:tc>
        <w:tc>
          <w:tcPr>
            <w:tcW w:w="1207" w:type="dxa"/>
          </w:tcPr>
          <w:p w:rsidR="008D1781" w:rsidRPr="00D630D1" w:rsidRDefault="008D1781" w:rsidP="008D1781">
            <w:pPr>
              <w:topLinePunct w:val="0"/>
              <w:adjustRightInd/>
              <w:spacing w:before="34" w:line="216" w:lineRule="auto"/>
              <w:ind w:left="149" w:firstLineChars="0" w:firstLine="0"/>
              <w:rPr>
                <w:rFonts w:ascii="Times New Roman" w:cs="Times New Roman"/>
                <w:kern w:val="2"/>
                <w:sz w:val="21"/>
                <w:szCs w:val="21"/>
              </w:rPr>
            </w:pPr>
            <w:r w:rsidRPr="00D630D1">
              <w:rPr>
                <w:rFonts w:ascii="Times New Roman" w:cs="Times New Roman"/>
                <w:spacing w:val="14"/>
                <w:kern w:val="2"/>
                <w:sz w:val="21"/>
                <w:szCs w:val="21"/>
              </w:rPr>
              <w:t>占</w:t>
            </w:r>
            <w:r w:rsidRPr="00D630D1">
              <w:rPr>
                <w:rFonts w:ascii="Times New Roman" w:cs="Times New Roman"/>
                <w:spacing w:val="12"/>
                <w:kern w:val="2"/>
                <w:sz w:val="21"/>
                <w:szCs w:val="21"/>
              </w:rPr>
              <w:t>比</w:t>
            </w:r>
            <w:r w:rsidRPr="00D630D1">
              <w:rPr>
                <w:rFonts w:ascii="Times New Roman" w:cs="Times New Roman"/>
                <w:spacing w:val="12"/>
                <w:kern w:val="2"/>
                <w:sz w:val="21"/>
                <w:szCs w:val="21"/>
              </w:rPr>
              <w:t>(</w:t>
            </w:r>
            <w:r w:rsidRPr="00D630D1">
              <w:rPr>
                <w:rFonts w:ascii="Times New Roman" w:eastAsia="Times New Roman" w:cs="Times New Roman"/>
                <w:spacing w:val="12"/>
                <w:kern w:val="2"/>
                <w:sz w:val="21"/>
                <w:szCs w:val="21"/>
              </w:rPr>
              <w:t>%</w:t>
            </w:r>
            <w:r w:rsidRPr="00D630D1">
              <w:rPr>
                <w:rFonts w:ascii="Times New Roman" w:cs="Times New Roman"/>
                <w:spacing w:val="12"/>
                <w:kern w:val="2"/>
                <w:sz w:val="21"/>
                <w:szCs w:val="21"/>
              </w:rPr>
              <w:t>)</w:t>
            </w:r>
          </w:p>
        </w:tc>
      </w:tr>
      <w:tr w:rsidR="008D1781" w:rsidRPr="00D630D1" w:rsidTr="002871C9">
        <w:trPr>
          <w:trHeight w:val="277"/>
          <w:jc w:val="center"/>
        </w:trPr>
        <w:tc>
          <w:tcPr>
            <w:tcW w:w="1808" w:type="dxa"/>
            <w:gridSpan w:val="2"/>
          </w:tcPr>
          <w:p w:rsidR="008D1781" w:rsidRPr="00D630D1" w:rsidRDefault="008D1781" w:rsidP="008D1781">
            <w:pPr>
              <w:topLinePunct w:val="0"/>
              <w:adjustRightInd/>
              <w:spacing w:before="32" w:line="215" w:lineRule="auto"/>
              <w:ind w:left="637" w:firstLineChars="0" w:firstLine="0"/>
              <w:rPr>
                <w:rFonts w:ascii="Times New Roman" w:cs="Times New Roman"/>
                <w:kern w:val="2"/>
                <w:sz w:val="21"/>
                <w:szCs w:val="21"/>
              </w:rPr>
            </w:pPr>
            <w:r w:rsidRPr="00D630D1">
              <w:rPr>
                <w:rFonts w:ascii="Times New Roman" w:cs="Times New Roman"/>
                <w:spacing w:val="-2"/>
                <w:kern w:val="2"/>
                <w:sz w:val="21"/>
                <w:szCs w:val="21"/>
              </w:rPr>
              <w:t>蕨类植</w:t>
            </w:r>
            <w:r w:rsidRPr="00D630D1">
              <w:rPr>
                <w:rFonts w:ascii="Times New Roman" w:cs="Times New Roman"/>
                <w:spacing w:val="-1"/>
                <w:kern w:val="2"/>
                <w:sz w:val="21"/>
                <w:szCs w:val="21"/>
              </w:rPr>
              <w:t>物</w:t>
            </w:r>
          </w:p>
        </w:tc>
        <w:tc>
          <w:tcPr>
            <w:tcW w:w="877" w:type="dxa"/>
          </w:tcPr>
          <w:p w:rsidR="008D1781" w:rsidRPr="00D630D1" w:rsidRDefault="008D1781" w:rsidP="008D1781">
            <w:pPr>
              <w:topLinePunct w:val="0"/>
              <w:adjustRightInd/>
              <w:spacing w:before="69" w:line="186" w:lineRule="auto"/>
              <w:ind w:left="361" w:firstLineChars="0" w:firstLine="0"/>
              <w:rPr>
                <w:rFonts w:ascii="Times New Roman" w:eastAsia="Times New Roman" w:cs="Times New Roman"/>
                <w:kern w:val="2"/>
                <w:sz w:val="21"/>
                <w:szCs w:val="21"/>
              </w:rPr>
            </w:pPr>
            <w:r w:rsidRPr="00D630D1">
              <w:rPr>
                <w:rFonts w:ascii="Times New Roman" w:eastAsia="Times New Roman" w:cs="Times New Roman"/>
                <w:kern w:val="2"/>
                <w:sz w:val="21"/>
                <w:szCs w:val="21"/>
              </w:rPr>
              <w:t>9</w:t>
            </w:r>
          </w:p>
        </w:tc>
        <w:tc>
          <w:tcPr>
            <w:tcW w:w="1226" w:type="dxa"/>
          </w:tcPr>
          <w:p w:rsidR="008D1781" w:rsidRPr="00D630D1" w:rsidRDefault="008D1781" w:rsidP="008D1781">
            <w:pPr>
              <w:topLinePunct w:val="0"/>
              <w:adjustRightInd/>
              <w:spacing w:before="69" w:line="186" w:lineRule="auto"/>
              <w:ind w:left="405" w:firstLineChars="0" w:firstLine="0"/>
              <w:rPr>
                <w:rFonts w:ascii="Times New Roman" w:eastAsia="Times New Roman" w:cs="Times New Roman"/>
                <w:kern w:val="2"/>
                <w:sz w:val="21"/>
                <w:szCs w:val="21"/>
              </w:rPr>
            </w:pPr>
            <w:r w:rsidRPr="00D630D1">
              <w:rPr>
                <w:rFonts w:ascii="Times New Roman" w:eastAsia="Times New Roman" w:cs="Times New Roman"/>
                <w:spacing w:val="-3"/>
                <w:kern w:val="2"/>
                <w:sz w:val="21"/>
                <w:szCs w:val="21"/>
              </w:rPr>
              <w:t>6</w:t>
            </w:r>
            <w:r w:rsidRPr="00D630D1">
              <w:rPr>
                <w:rFonts w:ascii="Times New Roman" w:eastAsia="Times New Roman" w:cs="Times New Roman"/>
                <w:spacing w:val="-2"/>
                <w:kern w:val="2"/>
                <w:sz w:val="21"/>
                <w:szCs w:val="21"/>
              </w:rPr>
              <w:t>.47</w:t>
            </w:r>
          </w:p>
        </w:tc>
        <w:tc>
          <w:tcPr>
            <w:tcW w:w="868" w:type="dxa"/>
          </w:tcPr>
          <w:p w:rsidR="008D1781" w:rsidRPr="00D630D1" w:rsidRDefault="008D1781" w:rsidP="008D1781">
            <w:pPr>
              <w:topLinePunct w:val="0"/>
              <w:adjustRightInd/>
              <w:spacing w:before="69" w:line="186" w:lineRule="auto"/>
              <w:ind w:left="321" w:firstLineChars="0" w:firstLine="0"/>
              <w:rPr>
                <w:rFonts w:ascii="Times New Roman" w:eastAsia="Times New Roman" w:cs="Times New Roman"/>
                <w:kern w:val="2"/>
                <w:sz w:val="21"/>
                <w:szCs w:val="21"/>
              </w:rPr>
            </w:pPr>
            <w:r w:rsidRPr="00D630D1">
              <w:rPr>
                <w:rFonts w:ascii="Times New Roman" w:eastAsia="Times New Roman" w:cs="Times New Roman"/>
                <w:spacing w:val="-6"/>
                <w:kern w:val="2"/>
                <w:sz w:val="21"/>
                <w:szCs w:val="21"/>
              </w:rPr>
              <w:t>18</w:t>
            </w:r>
          </w:p>
        </w:tc>
        <w:tc>
          <w:tcPr>
            <w:tcW w:w="1258" w:type="dxa"/>
          </w:tcPr>
          <w:p w:rsidR="008D1781" w:rsidRPr="00D630D1" w:rsidRDefault="008D1781" w:rsidP="008D1781">
            <w:pPr>
              <w:topLinePunct w:val="0"/>
              <w:adjustRightInd/>
              <w:spacing w:before="69" w:line="186" w:lineRule="auto"/>
              <w:ind w:left="423"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3.44</w:t>
            </w:r>
          </w:p>
        </w:tc>
        <w:tc>
          <w:tcPr>
            <w:tcW w:w="868" w:type="dxa"/>
          </w:tcPr>
          <w:p w:rsidR="008D1781" w:rsidRPr="00D630D1" w:rsidRDefault="008D1781" w:rsidP="008D1781">
            <w:pPr>
              <w:topLinePunct w:val="0"/>
              <w:adjustRightInd/>
              <w:spacing w:before="69" w:line="186" w:lineRule="auto"/>
              <w:ind w:left="306" w:firstLineChars="0" w:firstLine="0"/>
              <w:rPr>
                <w:rFonts w:ascii="Times New Roman" w:eastAsia="Times New Roman" w:cs="Times New Roman"/>
                <w:kern w:val="2"/>
                <w:sz w:val="21"/>
                <w:szCs w:val="21"/>
              </w:rPr>
            </w:pPr>
            <w:r w:rsidRPr="00D630D1">
              <w:rPr>
                <w:rFonts w:ascii="Times New Roman" w:eastAsia="Times New Roman" w:cs="Times New Roman"/>
                <w:spacing w:val="-3"/>
                <w:kern w:val="2"/>
                <w:sz w:val="21"/>
                <w:szCs w:val="21"/>
              </w:rPr>
              <w:t>3</w:t>
            </w:r>
            <w:r w:rsidRPr="00D630D1">
              <w:rPr>
                <w:rFonts w:ascii="Times New Roman" w:eastAsia="Times New Roman" w:cs="Times New Roman"/>
                <w:spacing w:val="-2"/>
                <w:kern w:val="2"/>
                <w:sz w:val="21"/>
                <w:szCs w:val="21"/>
              </w:rPr>
              <w:t>1</w:t>
            </w:r>
          </w:p>
        </w:tc>
        <w:tc>
          <w:tcPr>
            <w:tcW w:w="1207" w:type="dxa"/>
          </w:tcPr>
          <w:p w:rsidR="008D1781" w:rsidRPr="00D630D1" w:rsidRDefault="008D1781" w:rsidP="008D1781">
            <w:pPr>
              <w:topLinePunct w:val="0"/>
              <w:adjustRightInd/>
              <w:spacing w:before="69" w:line="186" w:lineRule="auto"/>
              <w:ind w:left="396"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3.35</w:t>
            </w:r>
          </w:p>
        </w:tc>
      </w:tr>
      <w:tr w:rsidR="008D1781" w:rsidRPr="00D630D1" w:rsidTr="002871C9">
        <w:trPr>
          <w:trHeight w:val="276"/>
          <w:jc w:val="center"/>
        </w:trPr>
        <w:tc>
          <w:tcPr>
            <w:tcW w:w="709" w:type="dxa"/>
            <w:vMerge w:val="restart"/>
          </w:tcPr>
          <w:p w:rsidR="008D1781" w:rsidRPr="00D630D1" w:rsidRDefault="008D1781" w:rsidP="008D1781">
            <w:pPr>
              <w:topLinePunct w:val="0"/>
              <w:adjustRightInd/>
              <w:spacing w:before="37" w:line="239" w:lineRule="auto"/>
              <w:ind w:left="216" w:firstLineChars="0" w:firstLine="0"/>
              <w:rPr>
                <w:rFonts w:ascii="Times New Roman" w:cs="Times New Roman"/>
                <w:kern w:val="2"/>
                <w:sz w:val="21"/>
                <w:szCs w:val="21"/>
              </w:rPr>
            </w:pPr>
            <w:r w:rsidRPr="00D630D1">
              <w:rPr>
                <w:rFonts w:ascii="Times New Roman" w:cs="Times New Roman"/>
                <w:spacing w:val="-3"/>
                <w:kern w:val="2"/>
                <w:sz w:val="21"/>
                <w:szCs w:val="21"/>
              </w:rPr>
              <w:t>种</w:t>
            </w:r>
            <w:r w:rsidRPr="00D630D1">
              <w:rPr>
                <w:rFonts w:ascii="Times New Roman" w:cs="Times New Roman"/>
                <w:spacing w:val="-2"/>
                <w:kern w:val="2"/>
                <w:sz w:val="21"/>
                <w:szCs w:val="21"/>
              </w:rPr>
              <w:t>子</w:t>
            </w:r>
          </w:p>
          <w:p w:rsidR="008D1781" w:rsidRPr="00D630D1" w:rsidRDefault="008D1781" w:rsidP="008D1781">
            <w:pPr>
              <w:topLinePunct w:val="0"/>
              <w:adjustRightInd/>
              <w:spacing w:line="217" w:lineRule="auto"/>
              <w:ind w:left="217" w:firstLineChars="0" w:firstLine="0"/>
              <w:rPr>
                <w:rFonts w:ascii="Times New Roman" w:cs="Times New Roman"/>
                <w:kern w:val="2"/>
                <w:sz w:val="21"/>
                <w:szCs w:val="21"/>
              </w:rPr>
            </w:pPr>
            <w:r w:rsidRPr="00D630D1">
              <w:rPr>
                <w:rFonts w:ascii="Times New Roman" w:cs="Times New Roman"/>
                <w:spacing w:val="-3"/>
                <w:kern w:val="2"/>
                <w:sz w:val="21"/>
                <w:szCs w:val="21"/>
              </w:rPr>
              <w:t>植</w:t>
            </w:r>
            <w:r w:rsidRPr="00D630D1">
              <w:rPr>
                <w:rFonts w:ascii="Times New Roman" w:cs="Times New Roman"/>
                <w:spacing w:val="-2"/>
                <w:kern w:val="2"/>
                <w:sz w:val="21"/>
                <w:szCs w:val="21"/>
              </w:rPr>
              <w:t>物</w:t>
            </w:r>
          </w:p>
        </w:tc>
        <w:tc>
          <w:tcPr>
            <w:tcW w:w="1099" w:type="dxa"/>
          </w:tcPr>
          <w:p w:rsidR="008D1781" w:rsidRPr="00D630D1" w:rsidRDefault="008D1781" w:rsidP="008D1781">
            <w:pPr>
              <w:topLinePunct w:val="0"/>
              <w:adjustRightInd/>
              <w:spacing w:before="32" w:line="214" w:lineRule="auto"/>
              <w:ind w:left="183" w:firstLineChars="0" w:firstLine="0"/>
              <w:rPr>
                <w:rFonts w:ascii="Times New Roman" w:cs="Times New Roman"/>
                <w:kern w:val="2"/>
                <w:sz w:val="21"/>
                <w:szCs w:val="21"/>
              </w:rPr>
            </w:pPr>
            <w:r w:rsidRPr="00D630D1">
              <w:rPr>
                <w:rFonts w:ascii="Times New Roman" w:cs="Times New Roman"/>
                <w:spacing w:val="-2"/>
                <w:kern w:val="2"/>
                <w:sz w:val="21"/>
                <w:szCs w:val="21"/>
              </w:rPr>
              <w:t>裸子植</w:t>
            </w:r>
            <w:r w:rsidRPr="00D630D1">
              <w:rPr>
                <w:rFonts w:ascii="Times New Roman" w:cs="Times New Roman"/>
                <w:spacing w:val="-1"/>
                <w:kern w:val="2"/>
                <w:sz w:val="21"/>
                <w:szCs w:val="21"/>
              </w:rPr>
              <w:t>物</w:t>
            </w:r>
          </w:p>
        </w:tc>
        <w:tc>
          <w:tcPr>
            <w:tcW w:w="877" w:type="dxa"/>
          </w:tcPr>
          <w:p w:rsidR="008D1781" w:rsidRPr="00D630D1" w:rsidRDefault="008D1781" w:rsidP="008D1781">
            <w:pPr>
              <w:topLinePunct w:val="0"/>
              <w:adjustRightInd/>
              <w:spacing w:before="73" w:line="183" w:lineRule="auto"/>
              <w:ind w:left="363" w:firstLineChars="0" w:firstLine="0"/>
              <w:rPr>
                <w:rFonts w:ascii="Times New Roman" w:eastAsia="Times New Roman" w:cs="Times New Roman"/>
                <w:kern w:val="2"/>
                <w:sz w:val="21"/>
                <w:szCs w:val="21"/>
              </w:rPr>
            </w:pPr>
            <w:r w:rsidRPr="00D630D1">
              <w:rPr>
                <w:rFonts w:ascii="Times New Roman" w:eastAsia="Times New Roman" w:cs="Times New Roman"/>
                <w:kern w:val="2"/>
                <w:sz w:val="21"/>
                <w:szCs w:val="21"/>
              </w:rPr>
              <w:t>5</w:t>
            </w:r>
          </w:p>
        </w:tc>
        <w:tc>
          <w:tcPr>
            <w:tcW w:w="1226" w:type="dxa"/>
          </w:tcPr>
          <w:p w:rsidR="008D1781" w:rsidRPr="00D630D1" w:rsidRDefault="008D1781" w:rsidP="008D1781">
            <w:pPr>
              <w:topLinePunct w:val="0"/>
              <w:adjustRightInd/>
              <w:spacing w:before="70" w:line="186" w:lineRule="auto"/>
              <w:ind w:left="405"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3.60</w:t>
            </w:r>
          </w:p>
        </w:tc>
        <w:tc>
          <w:tcPr>
            <w:tcW w:w="868" w:type="dxa"/>
          </w:tcPr>
          <w:p w:rsidR="008D1781" w:rsidRPr="00D630D1" w:rsidRDefault="008D1781" w:rsidP="008D1781">
            <w:pPr>
              <w:topLinePunct w:val="0"/>
              <w:adjustRightInd/>
              <w:spacing w:before="73" w:line="183" w:lineRule="auto"/>
              <w:ind w:left="357" w:firstLineChars="0" w:firstLine="0"/>
              <w:rPr>
                <w:rFonts w:ascii="Times New Roman" w:eastAsia="Times New Roman" w:cs="Times New Roman"/>
                <w:kern w:val="2"/>
                <w:sz w:val="21"/>
                <w:szCs w:val="21"/>
              </w:rPr>
            </w:pPr>
            <w:r w:rsidRPr="00D630D1">
              <w:rPr>
                <w:rFonts w:ascii="Times New Roman" w:eastAsia="Times New Roman" w:cs="Times New Roman"/>
                <w:kern w:val="2"/>
                <w:sz w:val="21"/>
                <w:szCs w:val="21"/>
              </w:rPr>
              <w:t>7</w:t>
            </w:r>
          </w:p>
        </w:tc>
        <w:tc>
          <w:tcPr>
            <w:tcW w:w="1258" w:type="dxa"/>
          </w:tcPr>
          <w:p w:rsidR="008D1781" w:rsidRPr="00D630D1" w:rsidRDefault="008D1781" w:rsidP="008D1781">
            <w:pPr>
              <w:topLinePunct w:val="0"/>
              <w:adjustRightInd/>
              <w:spacing w:before="70" w:line="186" w:lineRule="auto"/>
              <w:ind w:left="439" w:firstLineChars="0" w:firstLine="0"/>
              <w:rPr>
                <w:rFonts w:ascii="Times New Roman" w:eastAsia="Times New Roman" w:cs="Times New Roman"/>
                <w:kern w:val="2"/>
                <w:sz w:val="21"/>
                <w:szCs w:val="21"/>
              </w:rPr>
            </w:pPr>
            <w:r w:rsidRPr="00D630D1">
              <w:rPr>
                <w:rFonts w:ascii="Times New Roman" w:eastAsia="Times New Roman" w:cs="Times New Roman"/>
                <w:spacing w:val="-6"/>
                <w:kern w:val="2"/>
                <w:sz w:val="21"/>
                <w:szCs w:val="21"/>
              </w:rPr>
              <w:t>1.34</w:t>
            </w:r>
          </w:p>
        </w:tc>
        <w:tc>
          <w:tcPr>
            <w:tcW w:w="868" w:type="dxa"/>
          </w:tcPr>
          <w:p w:rsidR="008D1781" w:rsidRPr="00D630D1" w:rsidRDefault="008D1781" w:rsidP="008D1781">
            <w:pPr>
              <w:topLinePunct w:val="0"/>
              <w:adjustRightInd/>
              <w:spacing w:before="70" w:line="186" w:lineRule="auto"/>
              <w:ind w:left="359" w:firstLineChars="0" w:firstLine="0"/>
              <w:rPr>
                <w:rFonts w:ascii="Times New Roman" w:eastAsia="Times New Roman" w:cs="Times New Roman"/>
                <w:kern w:val="2"/>
                <w:sz w:val="21"/>
                <w:szCs w:val="21"/>
              </w:rPr>
            </w:pPr>
            <w:r w:rsidRPr="00D630D1">
              <w:rPr>
                <w:rFonts w:ascii="Times New Roman" w:eastAsia="Times New Roman" w:cs="Times New Roman"/>
                <w:kern w:val="2"/>
                <w:sz w:val="21"/>
                <w:szCs w:val="21"/>
              </w:rPr>
              <w:t>9</w:t>
            </w:r>
          </w:p>
        </w:tc>
        <w:tc>
          <w:tcPr>
            <w:tcW w:w="1207" w:type="dxa"/>
          </w:tcPr>
          <w:p w:rsidR="008D1781" w:rsidRPr="00D630D1" w:rsidRDefault="008D1781" w:rsidP="008D1781">
            <w:pPr>
              <w:topLinePunct w:val="0"/>
              <w:adjustRightInd/>
              <w:spacing w:before="70" w:line="186" w:lineRule="auto"/>
              <w:ind w:left="395"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0.9</w:t>
            </w:r>
            <w:r w:rsidRPr="00D630D1">
              <w:rPr>
                <w:rFonts w:ascii="Times New Roman" w:eastAsia="Times New Roman" w:cs="Times New Roman"/>
                <w:spacing w:val="-1"/>
                <w:kern w:val="2"/>
                <w:sz w:val="21"/>
                <w:szCs w:val="21"/>
              </w:rPr>
              <w:t>7</w:t>
            </w:r>
          </w:p>
        </w:tc>
      </w:tr>
      <w:tr w:rsidR="008D1781" w:rsidRPr="00D630D1" w:rsidTr="002871C9">
        <w:trPr>
          <w:trHeight w:val="276"/>
          <w:jc w:val="center"/>
        </w:trPr>
        <w:tc>
          <w:tcPr>
            <w:tcW w:w="709" w:type="dxa"/>
            <w:vMerge/>
          </w:tcPr>
          <w:p w:rsidR="008D1781" w:rsidRPr="00D630D1" w:rsidRDefault="008D1781" w:rsidP="008D1781">
            <w:pPr>
              <w:topLinePunct w:val="0"/>
              <w:adjustRightInd/>
              <w:spacing w:line="240" w:lineRule="auto"/>
              <w:ind w:firstLineChars="0" w:firstLine="0"/>
              <w:rPr>
                <w:rFonts w:ascii="Times New Roman" w:cs="Times New Roman"/>
                <w:kern w:val="2"/>
                <w:sz w:val="21"/>
              </w:rPr>
            </w:pPr>
          </w:p>
        </w:tc>
        <w:tc>
          <w:tcPr>
            <w:tcW w:w="1099" w:type="dxa"/>
          </w:tcPr>
          <w:p w:rsidR="008D1781" w:rsidRPr="00D630D1" w:rsidRDefault="008D1781" w:rsidP="008D1781">
            <w:pPr>
              <w:topLinePunct w:val="0"/>
              <w:adjustRightInd/>
              <w:spacing w:before="33" w:line="213" w:lineRule="auto"/>
              <w:ind w:left="183" w:firstLineChars="0" w:firstLine="0"/>
              <w:rPr>
                <w:rFonts w:ascii="Times New Roman" w:cs="Times New Roman"/>
                <w:kern w:val="2"/>
                <w:sz w:val="21"/>
                <w:szCs w:val="21"/>
              </w:rPr>
            </w:pPr>
            <w:r w:rsidRPr="00D630D1">
              <w:rPr>
                <w:rFonts w:ascii="Times New Roman" w:cs="Times New Roman"/>
                <w:spacing w:val="-2"/>
                <w:kern w:val="2"/>
                <w:sz w:val="21"/>
                <w:szCs w:val="21"/>
              </w:rPr>
              <w:t>被子植</w:t>
            </w:r>
            <w:r w:rsidRPr="00D630D1">
              <w:rPr>
                <w:rFonts w:ascii="Times New Roman" w:cs="Times New Roman"/>
                <w:spacing w:val="-1"/>
                <w:kern w:val="2"/>
                <w:sz w:val="21"/>
                <w:szCs w:val="21"/>
              </w:rPr>
              <w:t>物</w:t>
            </w:r>
          </w:p>
        </w:tc>
        <w:tc>
          <w:tcPr>
            <w:tcW w:w="877" w:type="dxa"/>
          </w:tcPr>
          <w:p w:rsidR="008D1781" w:rsidRPr="00D630D1" w:rsidRDefault="008D1781" w:rsidP="008D1781">
            <w:pPr>
              <w:topLinePunct w:val="0"/>
              <w:adjustRightInd/>
              <w:spacing w:before="71" w:line="186" w:lineRule="auto"/>
              <w:ind w:left="271" w:firstLineChars="0" w:firstLine="0"/>
              <w:rPr>
                <w:rFonts w:ascii="Times New Roman" w:eastAsia="Times New Roman" w:cs="Times New Roman"/>
                <w:kern w:val="2"/>
                <w:sz w:val="21"/>
                <w:szCs w:val="21"/>
              </w:rPr>
            </w:pPr>
            <w:r w:rsidRPr="00D630D1">
              <w:rPr>
                <w:rFonts w:ascii="Times New Roman" w:eastAsia="Times New Roman" w:cs="Times New Roman"/>
                <w:spacing w:val="-7"/>
                <w:kern w:val="2"/>
                <w:sz w:val="21"/>
                <w:szCs w:val="21"/>
              </w:rPr>
              <w:t>1</w:t>
            </w:r>
            <w:r w:rsidRPr="00D630D1">
              <w:rPr>
                <w:rFonts w:ascii="Times New Roman" w:eastAsia="Times New Roman" w:cs="Times New Roman"/>
                <w:spacing w:val="-5"/>
                <w:kern w:val="2"/>
                <w:sz w:val="21"/>
                <w:szCs w:val="21"/>
              </w:rPr>
              <w:t>25</w:t>
            </w:r>
          </w:p>
        </w:tc>
        <w:tc>
          <w:tcPr>
            <w:tcW w:w="1226" w:type="dxa"/>
          </w:tcPr>
          <w:p w:rsidR="008D1781" w:rsidRPr="00D630D1" w:rsidRDefault="008D1781" w:rsidP="008D1781">
            <w:pPr>
              <w:topLinePunct w:val="0"/>
              <w:adjustRightInd/>
              <w:spacing w:before="71" w:line="186" w:lineRule="auto"/>
              <w:ind w:left="356" w:firstLineChars="0" w:firstLine="0"/>
              <w:rPr>
                <w:rFonts w:ascii="Times New Roman" w:eastAsia="Times New Roman" w:cs="Times New Roman"/>
                <w:kern w:val="2"/>
                <w:sz w:val="21"/>
                <w:szCs w:val="21"/>
              </w:rPr>
            </w:pPr>
            <w:r w:rsidRPr="00D630D1">
              <w:rPr>
                <w:rFonts w:ascii="Times New Roman" w:eastAsia="Times New Roman" w:cs="Times New Roman"/>
                <w:spacing w:val="-4"/>
                <w:kern w:val="2"/>
                <w:sz w:val="21"/>
                <w:szCs w:val="21"/>
              </w:rPr>
              <w:t>8</w:t>
            </w:r>
            <w:r w:rsidRPr="00D630D1">
              <w:rPr>
                <w:rFonts w:ascii="Times New Roman" w:eastAsia="Times New Roman" w:cs="Times New Roman"/>
                <w:spacing w:val="-3"/>
                <w:kern w:val="2"/>
                <w:sz w:val="21"/>
                <w:szCs w:val="21"/>
              </w:rPr>
              <w:t>9</w:t>
            </w:r>
            <w:r w:rsidRPr="00D630D1">
              <w:rPr>
                <w:rFonts w:ascii="Times New Roman" w:eastAsia="Times New Roman" w:cs="Times New Roman"/>
                <w:spacing w:val="-2"/>
                <w:kern w:val="2"/>
                <w:sz w:val="21"/>
                <w:szCs w:val="21"/>
              </w:rPr>
              <w:t>.93</w:t>
            </w:r>
          </w:p>
        </w:tc>
        <w:tc>
          <w:tcPr>
            <w:tcW w:w="868" w:type="dxa"/>
          </w:tcPr>
          <w:p w:rsidR="008D1781" w:rsidRPr="00D630D1" w:rsidRDefault="008D1781" w:rsidP="008D1781">
            <w:pPr>
              <w:topLinePunct w:val="0"/>
              <w:adjustRightInd/>
              <w:spacing w:before="71" w:line="186" w:lineRule="auto"/>
              <w:ind w:left="248" w:firstLineChars="0" w:firstLine="0"/>
              <w:rPr>
                <w:rFonts w:ascii="Times New Roman" w:eastAsia="Times New Roman" w:cs="Times New Roman"/>
                <w:kern w:val="2"/>
                <w:sz w:val="21"/>
                <w:szCs w:val="21"/>
              </w:rPr>
            </w:pPr>
            <w:r w:rsidRPr="00D630D1">
              <w:rPr>
                <w:rFonts w:ascii="Times New Roman" w:eastAsia="Times New Roman" w:cs="Times New Roman"/>
                <w:spacing w:val="-1"/>
                <w:kern w:val="2"/>
                <w:sz w:val="21"/>
                <w:szCs w:val="21"/>
              </w:rPr>
              <w:t>499</w:t>
            </w:r>
          </w:p>
        </w:tc>
        <w:tc>
          <w:tcPr>
            <w:tcW w:w="1258" w:type="dxa"/>
          </w:tcPr>
          <w:p w:rsidR="008D1781" w:rsidRPr="00D630D1" w:rsidRDefault="008D1781" w:rsidP="008D1781">
            <w:pPr>
              <w:topLinePunct w:val="0"/>
              <w:adjustRightInd/>
              <w:spacing w:before="71" w:line="186" w:lineRule="auto"/>
              <w:ind w:left="370"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95.</w:t>
            </w:r>
            <w:r w:rsidRPr="00D630D1">
              <w:rPr>
                <w:rFonts w:ascii="Times New Roman" w:eastAsia="Times New Roman" w:cs="Times New Roman"/>
                <w:spacing w:val="-1"/>
                <w:kern w:val="2"/>
                <w:sz w:val="21"/>
                <w:szCs w:val="21"/>
              </w:rPr>
              <w:t>22</w:t>
            </w:r>
          </w:p>
        </w:tc>
        <w:tc>
          <w:tcPr>
            <w:tcW w:w="868" w:type="dxa"/>
          </w:tcPr>
          <w:p w:rsidR="008D1781" w:rsidRPr="00D630D1" w:rsidRDefault="008D1781" w:rsidP="008D1781">
            <w:pPr>
              <w:topLinePunct w:val="0"/>
              <w:adjustRightInd/>
              <w:spacing w:before="71" w:line="186" w:lineRule="auto"/>
              <w:ind w:left="259" w:firstLineChars="0" w:firstLine="0"/>
              <w:rPr>
                <w:rFonts w:ascii="Times New Roman" w:eastAsia="Times New Roman" w:cs="Times New Roman"/>
                <w:kern w:val="2"/>
                <w:sz w:val="21"/>
                <w:szCs w:val="21"/>
              </w:rPr>
            </w:pPr>
            <w:r w:rsidRPr="00D630D1">
              <w:rPr>
                <w:rFonts w:ascii="Times New Roman" w:eastAsia="Times New Roman" w:cs="Times New Roman"/>
                <w:spacing w:val="-3"/>
                <w:kern w:val="2"/>
                <w:sz w:val="21"/>
                <w:szCs w:val="21"/>
              </w:rPr>
              <w:t>885</w:t>
            </w:r>
          </w:p>
        </w:tc>
        <w:tc>
          <w:tcPr>
            <w:tcW w:w="1207" w:type="dxa"/>
          </w:tcPr>
          <w:p w:rsidR="008D1781" w:rsidRPr="00D630D1" w:rsidRDefault="008D1781" w:rsidP="008D1781">
            <w:pPr>
              <w:topLinePunct w:val="0"/>
              <w:adjustRightInd/>
              <w:spacing w:before="71" w:line="186" w:lineRule="auto"/>
              <w:ind w:left="343"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95.</w:t>
            </w:r>
            <w:r w:rsidRPr="00D630D1">
              <w:rPr>
                <w:rFonts w:ascii="Times New Roman" w:eastAsia="Times New Roman" w:cs="Times New Roman"/>
                <w:spacing w:val="-1"/>
                <w:kern w:val="2"/>
                <w:sz w:val="21"/>
                <w:szCs w:val="21"/>
              </w:rPr>
              <w:t>68</w:t>
            </w:r>
          </w:p>
        </w:tc>
      </w:tr>
      <w:tr w:rsidR="008D1781" w:rsidRPr="00D630D1" w:rsidTr="002871C9">
        <w:trPr>
          <w:trHeight w:val="282"/>
          <w:jc w:val="center"/>
        </w:trPr>
        <w:tc>
          <w:tcPr>
            <w:tcW w:w="1808" w:type="dxa"/>
            <w:gridSpan w:val="2"/>
          </w:tcPr>
          <w:p w:rsidR="008D1781" w:rsidRPr="00D630D1" w:rsidRDefault="008D1781" w:rsidP="008D1781">
            <w:pPr>
              <w:topLinePunct w:val="0"/>
              <w:adjustRightInd/>
              <w:spacing w:before="34" w:line="218" w:lineRule="auto"/>
              <w:ind w:left="848" w:firstLineChars="0" w:firstLine="0"/>
              <w:rPr>
                <w:rFonts w:ascii="Times New Roman" w:cs="Times New Roman"/>
                <w:kern w:val="2"/>
                <w:sz w:val="21"/>
                <w:szCs w:val="21"/>
              </w:rPr>
            </w:pPr>
            <w:r w:rsidRPr="00D630D1">
              <w:rPr>
                <w:rFonts w:ascii="Times New Roman" w:cs="Times New Roman"/>
                <w:spacing w:val="-3"/>
                <w:kern w:val="2"/>
                <w:sz w:val="21"/>
                <w:szCs w:val="21"/>
              </w:rPr>
              <w:t>合</w:t>
            </w:r>
            <w:r w:rsidRPr="00D630D1">
              <w:rPr>
                <w:rFonts w:ascii="Times New Roman" w:cs="Times New Roman"/>
                <w:spacing w:val="-2"/>
                <w:kern w:val="2"/>
                <w:sz w:val="21"/>
                <w:szCs w:val="21"/>
              </w:rPr>
              <w:t>计</w:t>
            </w:r>
          </w:p>
        </w:tc>
        <w:tc>
          <w:tcPr>
            <w:tcW w:w="877" w:type="dxa"/>
          </w:tcPr>
          <w:p w:rsidR="008D1781" w:rsidRPr="00D630D1" w:rsidRDefault="008D1781" w:rsidP="008D1781">
            <w:pPr>
              <w:topLinePunct w:val="0"/>
              <w:adjustRightInd/>
              <w:spacing w:before="72" w:line="186" w:lineRule="auto"/>
              <w:ind w:left="271" w:firstLineChars="0" w:firstLine="0"/>
              <w:rPr>
                <w:rFonts w:ascii="Times New Roman" w:eastAsia="Times New Roman" w:cs="Times New Roman"/>
                <w:kern w:val="2"/>
                <w:sz w:val="21"/>
                <w:szCs w:val="21"/>
              </w:rPr>
            </w:pPr>
            <w:r w:rsidRPr="00D630D1">
              <w:rPr>
                <w:rFonts w:ascii="Times New Roman" w:eastAsia="Times New Roman" w:cs="Times New Roman"/>
                <w:spacing w:val="-7"/>
                <w:kern w:val="2"/>
                <w:sz w:val="21"/>
                <w:szCs w:val="21"/>
              </w:rPr>
              <w:t>1</w:t>
            </w:r>
            <w:r w:rsidRPr="00D630D1">
              <w:rPr>
                <w:rFonts w:ascii="Times New Roman" w:eastAsia="Times New Roman" w:cs="Times New Roman"/>
                <w:spacing w:val="-5"/>
                <w:kern w:val="2"/>
                <w:sz w:val="21"/>
                <w:szCs w:val="21"/>
              </w:rPr>
              <w:t>39</w:t>
            </w:r>
          </w:p>
        </w:tc>
        <w:tc>
          <w:tcPr>
            <w:tcW w:w="1226" w:type="dxa"/>
          </w:tcPr>
          <w:p w:rsidR="008D1781" w:rsidRPr="00D630D1" w:rsidRDefault="008D1781" w:rsidP="008D1781">
            <w:pPr>
              <w:topLinePunct w:val="0"/>
              <w:adjustRightInd/>
              <w:spacing w:before="72" w:line="186" w:lineRule="auto"/>
              <w:ind w:left="368" w:firstLineChars="0" w:firstLine="0"/>
              <w:rPr>
                <w:rFonts w:ascii="Times New Roman" w:eastAsia="Times New Roman" w:cs="Times New Roman"/>
                <w:kern w:val="2"/>
                <w:sz w:val="21"/>
                <w:szCs w:val="21"/>
              </w:rPr>
            </w:pPr>
            <w:r w:rsidRPr="00D630D1">
              <w:rPr>
                <w:rFonts w:ascii="Times New Roman" w:eastAsia="Times New Roman" w:cs="Times New Roman"/>
                <w:spacing w:val="-8"/>
                <w:kern w:val="2"/>
                <w:sz w:val="21"/>
                <w:szCs w:val="21"/>
              </w:rPr>
              <w:t>1</w:t>
            </w:r>
            <w:r w:rsidRPr="00D630D1">
              <w:rPr>
                <w:rFonts w:ascii="Times New Roman" w:eastAsia="Times New Roman" w:cs="Times New Roman"/>
                <w:spacing w:val="-4"/>
                <w:kern w:val="2"/>
                <w:sz w:val="21"/>
                <w:szCs w:val="21"/>
              </w:rPr>
              <w:t>00.0</w:t>
            </w:r>
          </w:p>
        </w:tc>
        <w:tc>
          <w:tcPr>
            <w:tcW w:w="868" w:type="dxa"/>
          </w:tcPr>
          <w:p w:rsidR="008D1781" w:rsidRPr="00D630D1" w:rsidRDefault="008D1781" w:rsidP="008D1781">
            <w:pPr>
              <w:topLinePunct w:val="0"/>
              <w:adjustRightInd/>
              <w:spacing w:before="72" w:line="186" w:lineRule="auto"/>
              <w:ind w:left="255" w:firstLineChars="0" w:firstLine="0"/>
              <w:rPr>
                <w:rFonts w:ascii="Times New Roman" w:eastAsia="Times New Roman" w:cs="Times New Roman"/>
                <w:kern w:val="2"/>
                <w:sz w:val="21"/>
                <w:szCs w:val="21"/>
              </w:rPr>
            </w:pPr>
            <w:r w:rsidRPr="00D630D1">
              <w:rPr>
                <w:rFonts w:ascii="Times New Roman" w:eastAsia="Times New Roman" w:cs="Times New Roman"/>
                <w:spacing w:val="-3"/>
                <w:kern w:val="2"/>
                <w:sz w:val="21"/>
                <w:szCs w:val="21"/>
              </w:rPr>
              <w:t>5</w:t>
            </w:r>
            <w:r w:rsidRPr="00D630D1">
              <w:rPr>
                <w:rFonts w:ascii="Times New Roman" w:eastAsia="Times New Roman" w:cs="Times New Roman"/>
                <w:spacing w:val="-2"/>
                <w:kern w:val="2"/>
                <w:sz w:val="21"/>
                <w:szCs w:val="21"/>
              </w:rPr>
              <w:t>24</w:t>
            </w:r>
          </w:p>
        </w:tc>
        <w:tc>
          <w:tcPr>
            <w:tcW w:w="1258" w:type="dxa"/>
          </w:tcPr>
          <w:p w:rsidR="008D1781" w:rsidRPr="00D630D1" w:rsidRDefault="008D1781" w:rsidP="008D1781">
            <w:pPr>
              <w:topLinePunct w:val="0"/>
              <w:adjustRightInd/>
              <w:spacing w:before="72" w:line="186" w:lineRule="auto"/>
              <w:ind w:left="386" w:firstLineChars="0" w:firstLine="0"/>
              <w:rPr>
                <w:rFonts w:ascii="Times New Roman" w:eastAsia="Times New Roman" w:cs="Times New Roman"/>
                <w:kern w:val="2"/>
                <w:sz w:val="21"/>
                <w:szCs w:val="21"/>
              </w:rPr>
            </w:pPr>
            <w:r w:rsidRPr="00D630D1">
              <w:rPr>
                <w:rFonts w:ascii="Times New Roman" w:eastAsia="Times New Roman" w:cs="Times New Roman"/>
                <w:spacing w:val="-8"/>
                <w:kern w:val="2"/>
                <w:sz w:val="21"/>
                <w:szCs w:val="21"/>
              </w:rPr>
              <w:t>1</w:t>
            </w:r>
            <w:r w:rsidRPr="00D630D1">
              <w:rPr>
                <w:rFonts w:ascii="Times New Roman" w:eastAsia="Times New Roman" w:cs="Times New Roman"/>
                <w:spacing w:val="-4"/>
                <w:kern w:val="2"/>
                <w:sz w:val="21"/>
                <w:szCs w:val="21"/>
              </w:rPr>
              <w:t>00.0</w:t>
            </w:r>
          </w:p>
        </w:tc>
        <w:tc>
          <w:tcPr>
            <w:tcW w:w="868" w:type="dxa"/>
          </w:tcPr>
          <w:p w:rsidR="008D1781" w:rsidRPr="00D630D1" w:rsidRDefault="008D1781" w:rsidP="008D1781">
            <w:pPr>
              <w:topLinePunct w:val="0"/>
              <w:adjustRightInd/>
              <w:spacing w:before="72" w:line="186" w:lineRule="auto"/>
              <w:ind w:left="254"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925</w:t>
            </w:r>
          </w:p>
        </w:tc>
        <w:tc>
          <w:tcPr>
            <w:tcW w:w="1207" w:type="dxa"/>
          </w:tcPr>
          <w:p w:rsidR="008D1781" w:rsidRPr="00D630D1" w:rsidRDefault="008D1781" w:rsidP="008D1781">
            <w:pPr>
              <w:topLinePunct w:val="0"/>
              <w:adjustRightInd/>
              <w:spacing w:before="72" w:line="186" w:lineRule="auto"/>
              <w:ind w:left="359" w:firstLineChars="0" w:firstLine="0"/>
              <w:rPr>
                <w:rFonts w:ascii="Times New Roman" w:eastAsia="Times New Roman" w:cs="Times New Roman"/>
                <w:kern w:val="2"/>
                <w:sz w:val="21"/>
                <w:szCs w:val="21"/>
              </w:rPr>
            </w:pPr>
            <w:r w:rsidRPr="00D630D1">
              <w:rPr>
                <w:rFonts w:ascii="Times New Roman" w:eastAsia="Times New Roman" w:cs="Times New Roman"/>
                <w:spacing w:val="-8"/>
                <w:kern w:val="2"/>
                <w:sz w:val="21"/>
                <w:szCs w:val="21"/>
              </w:rPr>
              <w:t>1</w:t>
            </w:r>
            <w:r w:rsidRPr="00D630D1">
              <w:rPr>
                <w:rFonts w:ascii="Times New Roman" w:eastAsia="Times New Roman" w:cs="Times New Roman"/>
                <w:spacing w:val="-4"/>
                <w:kern w:val="2"/>
                <w:sz w:val="21"/>
                <w:szCs w:val="21"/>
              </w:rPr>
              <w:t>00.0</w:t>
            </w:r>
          </w:p>
        </w:tc>
      </w:tr>
    </w:tbl>
    <w:p w:rsidR="008D1781" w:rsidRPr="00D630D1" w:rsidRDefault="002871C9" w:rsidP="002871C9">
      <w:pPr>
        <w:pStyle w:val="afa"/>
        <w:ind w:firstLineChars="0" w:firstLine="0"/>
      </w:pPr>
      <w:r w:rsidRPr="00D630D1">
        <w:rPr>
          <w:rFonts w:hint="eastAsia"/>
        </w:rPr>
        <w:t xml:space="preserve">    </w:t>
      </w:r>
      <w:r w:rsidRPr="00D630D1">
        <w:t>项目区域维管植物组成以被子植物为优势，分别占评价区维管植物科属种总数的</w:t>
      </w:r>
      <w:r w:rsidRPr="00D630D1">
        <w:t>89.93%</w:t>
      </w:r>
      <w:r w:rsidRPr="00D630D1">
        <w:t>、</w:t>
      </w:r>
      <w:r w:rsidRPr="00D630D1">
        <w:t>95.22%</w:t>
      </w:r>
      <w:r w:rsidRPr="00D630D1">
        <w:t>和</w:t>
      </w:r>
      <w:r w:rsidRPr="00D630D1">
        <w:t>95.68%</w:t>
      </w:r>
      <w:r w:rsidRPr="00D630D1">
        <w:t>。常见的优势物种有马尾松</w:t>
      </w:r>
      <w:r w:rsidRPr="00D630D1">
        <w:rPr>
          <w:i/>
          <w:iCs/>
        </w:rPr>
        <w:t>P.massoniana</w:t>
      </w:r>
      <w:r w:rsidRPr="00D630D1">
        <w:t>、杉木</w:t>
      </w:r>
      <w:r w:rsidRPr="00D630D1">
        <w:t>Cunninghamia</w:t>
      </w:r>
      <w:r w:rsidRPr="00D630D1">
        <w:rPr>
          <w:rFonts w:hint="eastAsia"/>
        </w:rPr>
        <w:t xml:space="preserve"> </w:t>
      </w:r>
      <w:r w:rsidRPr="00D630D1">
        <w:rPr>
          <w:i/>
          <w:iCs/>
        </w:rPr>
        <w:t>lanceolata</w:t>
      </w:r>
      <w:r w:rsidRPr="00D630D1">
        <w:t xml:space="preserve"> </w:t>
      </w:r>
      <w:r w:rsidRPr="00D630D1">
        <w:rPr>
          <w:i/>
          <w:iCs/>
        </w:rPr>
        <w:t>(Lamb.)Hook.</w:t>
      </w:r>
      <w:r w:rsidRPr="00D630D1">
        <w:t>、柏木</w:t>
      </w:r>
      <w:r w:rsidRPr="00D630D1">
        <w:rPr>
          <w:i/>
          <w:iCs/>
        </w:rPr>
        <w:t>Cupressus</w:t>
      </w:r>
      <w:r w:rsidRPr="00D630D1">
        <w:t xml:space="preserve"> </w:t>
      </w:r>
      <w:r w:rsidRPr="00D630D1">
        <w:rPr>
          <w:i/>
          <w:iCs/>
        </w:rPr>
        <w:t>funebris</w:t>
      </w:r>
      <w:r w:rsidRPr="00D630D1">
        <w:t xml:space="preserve"> </w:t>
      </w:r>
      <w:r w:rsidRPr="00D630D1">
        <w:rPr>
          <w:i/>
          <w:iCs/>
        </w:rPr>
        <w:t>Endl.</w:t>
      </w:r>
      <w:r w:rsidRPr="00D630D1">
        <w:rPr>
          <w:i/>
          <w:iCs/>
        </w:rPr>
        <w:t>、</w:t>
      </w:r>
      <w:r w:rsidRPr="00D630D1">
        <w:t>蔷薇</w:t>
      </w:r>
      <w:r w:rsidRPr="00D630D1">
        <w:rPr>
          <w:i/>
          <w:iCs/>
        </w:rPr>
        <w:t>Rosa</w:t>
      </w:r>
      <w:r w:rsidRPr="00D630D1">
        <w:t xml:space="preserve"> </w:t>
      </w:r>
      <w:r w:rsidRPr="00D630D1">
        <w:rPr>
          <w:i/>
          <w:iCs/>
        </w:rPr>
        <w:t>sp.</w:t>
      </w:r>
      <w:r w:rsidRPr="00D630D1">
        <w:t>、白茅</w:t>
      </w:r>
      <w:r w:rsidRPr="00D630D1">
        <w:rPr>
          <w:i/>
          <w:iCs/>
        </w:rPr>
        <w:t>mperata</w:t>
      </w:r>
      <w:r w:rsidRPr="00D630D1">
        <w:t xml:space="preserve"> </w:t>
      </w:r>
      <w:r w:rsidRPr="00D630D1">
        <w:rPr>
          <w:i/>
          <w:iCs/>
        </w:rPr>
        <w:t>cylindric</w:t>
      </w:r>
      <w:r w:rsidRPr="00D630D1">
        <w:t>等。</w:t>
      </w:r>
    </w:p>
    <w:p w:rsidR="002871C9" w:rsidRPr="00D630D1" w:rsidRDefault="002871C9" w:rsidP="002871C9">
      <w:pPr>
        <w:topLinePunct w:val="0"/>
        <w:snapToGrid w:val="0"/>
        <w:ind w:firstLineChars="0" w:firstLine="0"/>
        <w:rPr>
          <w:rFonts w:ascii="Times New Roman" w:cs="Times New Roman"/>
          <w:b/>
          <w:bCs/>
          <w:kern w:val="2"/>
        </w:rPr>
      </w:pPr>
      <w:r w:rsidRPr="00D630D1">
        <w:rPr>
          <w:rFonts w:ascii="Times New Roman" w:cs="Times New Roman"/>
          <w:b/>
          <w:bCs/>
          <w:kern w:val="2"/>
        </w:rPr>
        <w:t>（</w:t>
      </w:r>
      <w:r w:rsidRPr="00D630D1">
        <w:rPr>
          <w:rFonts w:ascii="Times New Roman" w:cs="Times New Roman" w:hint="eastAsia"/>
          <w:b/>
          <w:bCs/>
          <w:kern w:val="2"/>
        </w:rPr>
        <w:t>3</w:t>
      </w:r>
      <w:r w:rsidRPr="00D630D1">
        <w:rPr>
          <w:rFonts w:ascii="Times New Roman" w:cs="Times New Roman"/>
          <w:b/>
          <w:bCs/>
          <w:kern w:val="2"/>
        </w:rPr>
        <w:t>）种子植物按属分类</w:t>
      </w:r>
    </w:p>
    <w:p w:rsidR="008D1781" w:rsidRPr="00D630D1" w:rsidRDefault="002871C9" w:rsidP="002871C9">
      <w:pPr>
        <w:pStyle w:val="afa"/>
        <w:ind w:firstLine="540"/>
        <w:rPr>
          <w:spacing w:val="15"/>
          <w:kern w:val="2"/>
          <w:szCs w:val="24"/>
        </w:rPr>
      </w:pPr>
      <w:r w:rsidRPr="00D630D1">
        <w:rPr>
          <w:spacing w:val="15"/>
          <w:kern w:val="2"/>
          <w:szCs w:val="24"/>
        </w:rPr>
        <w:t>根据吴征镒对中国种子植物属的分布区类型划分方案，对</w:t>
      </w:r>
      <w:r w:rsidRPr="00D630D1">
        <w:rPr>
          <w:rFonts w:hint="eastAsia"/>
          <w:spacing w:val="15"/>
          <w:kern w:val="2"/>
          <w:szCs w:val="24"/>
        </w:rPr>
        <w:t>项目区域</w:t>
      </w:r>
      <w:r w:rsidRPr="00D630D1">
        <w:rPr>
          <w:spacing w:val="15"/>
          <w:kern w:val="2"/>
          <w:szCs w:val="24"/>
        </w:rPr>
        <w:t>种子植物属进行归类统计，见表</w:t>
      </w:r>
      <w:r w:rsidRPr="00D630D1">
        <w:rPr>
          <w:rFonts w:hint="eastAsia"/>
          <w:spacing w:val="15"/>
          <w:kern w:val="2"/>
          <w:szCs w:val="24"/>
        </w:rPr>
        <w:t>5</w:t>
      </w:r>
      <w:r w:rsidRPr="00D630D1">
        <w:rPr>
          <w:spacing w:val="15"/>
          <w:kern w:val="2"/>
          <w:szCs w:val="24"/>
        </w:rPr>
        <w:t>.</w:t>
      </w:r>
      <w:r w:rsidRPr="00D630D1">
        <w:rPr>
          <w:rFonts w:hint="eastAsia"/>
          <w:spacing w:val="15"/>
          <w:kern w:val="2"/>
          <w:szCs w:val="24"/>
        </w:rPr>
        <w:t>2</w:t>
      </w:r>
      <w:r w:rsidRPr="00D630D1">
        <w:rPr>
          <w:spacing w:val="15"/>
          <w:kern w:val="2"/>
          <w:szCs w:val="24"/>
        </w:rPr>
        <w:t>-9</w:t>
      </w:r>
      <w:r w:rsidRPr="00D630D1">
        <w:rPr>
          <w:spacing w:val="15"/>
          <w:kern w:val="2"/>
          <w:szCs w:val="24"/>
        </w:rPr>
        <w:t>。</w:t>
      </w:r>
    </w:p>
    <w:tbl>
      <w:tblPr>
        <w:tblW w:w="5000" w:type="pct"/>
        <w:jc w:val="center"/>
        <w:tblBorders>
          <w:top w:val="single" w:sz="12" w:space="0" w:color="000000"/>
          <w:bottom w:val="single" w:sz="12" w:space="0" w:color="000000"/>
          <w:insideH w:val="single" w:sz="2" w:space="0" w:color="000000"/>
          <w:insideV w:val="single" w:sz="2" w:space="0" w:color="000000"/>
        </w:tblBorders>
        <w:tblLayout w:type="fixed"/>
        <w:tblCellMar>
          <w:left w:w="0" w:type="dxa"/>
          <w:right w:w="0" w:type="dxa"/>
        </w:tblCellMar>
        <w:tblLook w:val="0000"/>
      </w:tblPr>
      <w:tblGrid>
        <w:gridCol w:w="4174"/>
        <w:gridCol w:w="1590"/>
        <w:gridCol w:w="2542"/>
      </w:tblGrid>
      <w:tr w:rsidR="002871C9" w:rsidRPr="00D630D1" w:rsidTr="002871C9">
        <w:trPr>
          <w:trHeight w:val="309"/>
          <w:jc w:val="center"/>
        </w:trPr>
        <w:tc>
          <w:tcPr>
            <w:tcW w:w="4174" w:type="dxa"/>
          </w:tcPr>
          <w:p w:rsidR="002871C9" w:rsidRPr="00D630D1" w:rsidRDefault="002871C9" w:rsidP="002871C9">
            <w:pPr>
              <w:topLinePunct w:val="0"/>
              <w:adjustRightInd/>
              <w:spacing w:before="56" w:line="217" w:lineRule="auto"/>
              <w:ind w:left="1116" w:firstLineChars="0" w:firstLine="0"/>
              <w:rPr>
                <w:rFonts w:ascii="Times New Roman" w:cs="Times New Roman"/>
                <w:kern w:val="2"/>
                <w:sz w:val="21"/>
                <w:szCs w:val="21"/>
              </w:rPr>
            </w:pPr>
            <w:r w:rsidRPr="00D630D1">
              <w:rPr>
                <w:rFonts w:ascii="Times New Roman" w:cs="Times New Roman"/>
                <w:spacing w:val="-2"/>
                <w:kern w:val="2"/>
                <w:sz w:val="21"/>
                <w:szCs w:val="21"/>
              </w:rPr>
              <w:lastRenderedPageBreak/>
              <w:t>分</w:t>
            </w:r>
            <w:r w:rsidRPr="00D630D1">
              <w:rPr>
                <w:rFonts w:ascii="Times New Roman" w:cs="Times New Roman"/>
                <w:spacing w:val="-1"/>
                <w:kern w:val="2"/>
                <w:sz w:val="21"/>
                <w:szCs w:val="21"/>
              </w:rPr>
              <w:t>布区类型及其变型</w:t>
            </w:r>
          </w:p>
        </w:tc>
        <w:tc>
          <w:tcPr>
            <w:tcW w:w="1590" w:type="dxa"/>
          </w:tcPr>
          <w:p w:rsidR="002871C9" w:rsidRPr="00D630D1" w:rsidRDefault="002871C9" w:rsidP="002871C9">
            <w:pPr>
              <w:topLinePunct w:val="0"/>
              <w:adjustRightInd/>
              <w:spacing w:before="55" w:line="220" w:lineRule="auto"/>
              <w:ind w:left="559" w:firstLineChars="0" w:firstLine="0"/>
              <w:rPr>
                <w:rFonts w:ascii="Times New Roman" w:cs="Times New Roman"/>
                <w:kern w:val="2"/>
                <w:sz w:val="21"/>
                <w:szCs w:val="21"/>
              </w:rPr>
            </w:pPr>
            <w:r w:rsidRPr="00D630D1">
              <w:rPr>
                <w:rFonts w:ascii="Times New Roman" w:cs="Times New Roman"/>
                <w:spacing w:val="-3"/>
                <w:kern w:val="2"/>
                <w:sz w:val="21"/>
                <w:szCs w:val="21"/>
              </w:rPr>
              <w:t>属</w:t>
            </w:r>
            <w:r w:rsidRPr="00D630D1">
              <w:rPr>
                <w:rFonts w:ascii="Times New Roman" w:cs="Times New Roman"/>
                <w:spacing w:val="-2"/>
                <w:kern w:val="2"/>
                <w:sz w:val="21"/>
                <w:szCs w:val="21"/>
              </w:rPr>
              <w:t>数</w:t>
            </w:r>
          </w:p>
        </w:tc>
        <w:tc>
          <w:tcPr>
            <w:tcW w:w="2542" w:type="dxa"/>
          </w:tcPr>
          <w:p w:rsidR="002871C9" w:rsidRPr="00D630D1" w:rsidRDefault="002871C9" w:rsidP="002871C9">
            <w:pPr>
              <w:topLinePunct w:val="0"/>
              <w:adjustRightInd/>
              <w:spacing w:before="55" w:line="223" w:lineRule="auto"/>
              <w:ind w:left="473" w:firstLineChars="0" w:firstLine="0"/>
              <w:rPr>
                <w:rFonts w:ascii="Times New Roman" w:cs="Times New Roman"/>
                <w:kern w:val="2"/>
                <w:sz w:val="21"/>
                <w:szCs w:val="21"/>
              </w:rPr>
            </w:pPr>
            <w:r w:rsidRPr="00D630D1">
              <w:rPr>
                <w:rFonts w:ascii="Times New Roman" w:cs="Times New Roman"/>
                <w:spacing w:val="-1"/>
                <w:kern w:val="2"/>
                <w:sz w:val="21"/>
                <w:szCs w:val="21"/>
              </w:rPr>
              <w:t>所占比例</w:t>
            </w:r>
            <w:r w:rsidRPr="00D630D1">
              <w:rPr>
                <w:rFonts w:ascii="Times New Roman" w:eastAsia="Times New Roman" w:cs="Times New Roman"/>
                <w:spacing w:val="-1"/>
                <w:kern w:val="2"/>
                <w:sz w:val="21"/>
                <w:szCs w:val="21"/>
              </w:rPr>
              <w:t>%</w:t>
            </w:r>
            <w:r w:rsidRPr="00D630D1">
              <w:rPr>
                <w:rFonts w:asciiTheme="minorEastAsia" w:eastAsiaTheme="minorEastAsia" w:hAnsiTheme="minorEastAsia" w:cs="Times New Roman" w:hint="eastAsia"/>
                <w:spacing w:val="-1"/>
                <w:kern w:val="2"/>
                <w:sz w:val="21"/>
                <w:szCs w:val="21"/>
              </w:rPr>
              <w:t>（</w:t>
            </w:r>
            <w:r w:rsidRPr="00D630D1">
              <w:rPr>
                <w:rFonts w:ascii="Times New Roman" w:eastAsia="Times New Roman" w:cs="Times New Roman"/>
                <w:kern w:val="2"/>
                <w:sz w:val="21"/>
                <w:szCs w:val="21"/>
              </w:rPr>
              <w:t>*</w:t>
            </w:r>
            <w:r w:rsidRPr="00D630D1">
              <w:rPr>
                <w:rFonts w:asciiTheme="minorEastAsia" w:eastAsiaTheme="minorEastAsia" w:hAnsiTheme="minorEastAsia" w:cs="Times New Roman" w:hint="eastAsia"/>
                <w:spacing w:val="-1"/>
                <w:kern w:val="2"/>
                <w:sz w:val="21"/>
                <w:szCs w:val="21"/>
              </w:rPr>
              <w:t>）</w:t>
            </w:r>
          </w:p>
        </w:tc>
      </w:tr>
      <w:tr w:rsidR="002871C9" w:rsidRPr="00D630D1" w:rsidTr="002871C9">
        <w:trPr>
          <w:trHeight w:val="292"/>
          <w:jc w:val="center"/>
        </w:trPr>
        <w:tc>
          <w:tcPr>
            <w:tcW w:w="4174" w:type="dxa"/>
          </w:tcPr>
          <w:p w:rsidR="002871C9" w:rsidRPr="00D630D1" w:rsidRDefault="002871C9" w:rsidP="002871C9">
            <w:pPr>
              <w:topLinePunct w:val="0"/>
              <w:adjustRightInd/>
              <w:spacing w:before="45" w:line="217" w:lineRule="auto"/>
              <w:ind w:left="1523" w:firstLineChars="0" w:firstLine="0"/>
              <w:rPr>
                <w:rFonts w:ascii="Times New Roman" w:cs="Times New Roman"/>
                <w:kern w:val="2"/>
                <w:sz w:val="21"/>
                <w:szCs w:val="21"/>
              </w:rPr>
            </w:pPr>
            <w:r w:rsidRPr="00D630D1">
              <w:rPr>
                <w:rFonts w:ascii="Times New Roman" w:eastAsia="Times New Roman" w:cs="Times New Roman"/>
                <w:spacing w:val="-4"/>
                <w:kern w:val="2"/>
                <w:sz w:val="21"/>
                <w:szCs w:val="21"/>
              </w:rPr>
              <w:t>1.</w:t>
            </w:r>
            <w:r w:rsidRPr="00D630D1">
              <w:rPr>
                <w:rFonts w:ascii="Times New Roman" w:cs="Times New Roman"/>
                <w:spacing w:val="-2"/>
                <w:kern w:val="2"/>
                <w:sz w:val="21"/>
                <w:szCs w:val="21"/>
              </w:rPr>
              <w:t>世界分布</w:t>
            </w:r>
          </w:p>
        </w:tc>
        <w:tc>
          <w:tcPr>
            <w:tcW w:w="1590" w:type="dxa"/>
          </w:tcPr>
          <w:p w:rsidR="002871C9" w:rsidRPr="00D630D1" w:rsidRDefault="002871C9" w:rsidP="002871C9">
            <w:pPr>
              <w:topLinePunct w:val="0"/>
              <w:adjustRightInd/>
              <w:spacing w:before="68" w:line="186" w:lineRule="auto"/>
              <w:ind w:left="658" w:firstLineChars="0" w:firstLine="0"/>
              <w:rPr>
                <w:rFonts w:ascii="Times New Roman" w:eastAsia="Times New Roman" w:cs="Times New Roman"/>
                <w:kern w:val="2"/>
                <w:sz w:val="21"/>
                <w:szCs w:val="21"/>
              </w:rPr>
            </w:pPr>
            <w:r w:rsidRPr="00D630D1">
              <w:rPr>
                <w:rFonts w:ascii="Times New Roman" w:eastAsia="Times New Roman" w:cs="Times New Roman"/>
                <w:spacing w:val="-1"/>
                <w:kern w:val="2"/>
                <w:sz w:val="21"/>
                <w:szCs w:val="21"/>
              </w:rPr>
              <w:t>43</w:t>
            </w:r>
          </w:p>
        </w:tc>
        <w:tc>
          <w:tcPr>
            <w:tcW w:w="2542" w:type="dxa"/>
          </w:tcPr>
          <w:p w:rsidR="002871C9" w:rsidRPr="00D630D1" w:rsidRDefault="002871C9" w:rsidP="002871C9">
            <w:pPr>
              <w:topLinePunct w:val="0"/>
              <w:adjustRightInd/>
              <w:spacing w:before="68" w:line="186" w:lineRule="auto"/>
              <w:ind w:left="1064" w:firstLineChars="0" w:firstLine="0"/>
              <w:rPr>
                <w:rFonts w:ascii="Times New Roman" w:eastAsia="Times New Roman" w:cs="Times New Roman"/>
                <w:kern w:val="2"/>
                <w:sz w:val="21"/>
                <w:szCs w:val="21"/>
              </w:rPr>
            </w:pPr>
            <w:r w:rsidRPr="00D630D1">
              <w:rPr>
                <w:rFonts w:ascii="Times New Roman" w:eastAsia="Times New Roman" w:cs="Times New Roman"/>
                <w:spacing w:val="-4"/>
                <w:kern w:val="2"/>
                <w:sz w:val="21"/>
                <w:szCs w:val="21"/>
              </w:rPr>
              <w:t>8</w:t>
            </w:r>
            <w:r w:rsidRPr="00D630D1">
              <w:rPr>
                <w:rFonts w:ascii="Times New Roman" w:eastAsia="Times New Roman" w:cs="Times New Roman"/>
                <w:spacing w:val="-3"/>
                <w:kern w:val="2"/>
                <w:sz w:val="21"/>
                <w:szCs w:val="21"/>
              </w:rPr>
              <w:t>.55</w:t>
            </w:r>
          </w:p>
        </w:tc>
      </w:tr>
      <w:tr w:rsidR="002871C9" w:rsidRPr="00D630D1" w:rsidTr="002871C9">
        <w:trPr>
          <w:trHeight w:val="304"/>
          <w:jc w:val="center"/>
        </w:trPr>
        <w:tc>
          <w:tcPr>
            <w:tcW w:w="4174" w:type="dxa"/>
          </w:tcPr>
          <w:p w:rsidR="002871C9" w:rsidRPr="00D630D1" w:rsidRDefault="002871C9" w:rsidP="002871C9">
            <w:pPr>
              <w:topLinePunct w:val="0"/>
              <w:adjustRightInd/>
              <w:spacing w:before="51" w:line="220" w:lineRule="auto"/>
              <w:ind w:left="1607" w:firstLineChars="0" w:firstLine="0"/>
              <w:rPr>
                <w:rFonts w:ascii="Times New Roman" w:cs="Times New Roman"/>
                <w:kern w:val="2"/>
                <w:sz w:val="21"/>
                <w:szCs w:val="21"/>
              </w:rPr>
            </w:pPr>
            <w:r w:rsidRPr="00D630D1">
              <w:rPr>
                <w:rFonts w:ascii="Times New Roman" w:eastAsia="Times New Roman" w:cs="Times New Roman"/>
                <w:spacing w:val="-1"/>
                <w:kern w:val="2"/>
                <w:sz w:val="21"/>
                <w:szCs w:val="21"/>
              </w:rPr>
              <w:t>2</w:t>
            </w:r>
            <w:r w:rsidRPr="00D630D1">
              <w:rPr>
                <w:rFonts w:ascii="Times New Roman" w:eastAsia="Times New Roman" w:cs="Times New Roman"/>
                <w:kern w:val="2"/>
                <w:sz w:val="21"/>
                <w:szCs w:val="21"/>
              </w:rPr>
              <w:t>.</w:t>
            </w:r>
            <w:r w:rsidRPr="00D630D1">
              <w:rPr>
                <w:rFonts w:ascii="Times New Roman" w:cs="Times New Roman"/>
                <w:kern w:val="2"/>
                <w:sz w:val="21"/>
                <w:szCs w:val="21"/>
              </w:rPr>
              <w:t>泛热带</w:t>
            </w:r>
          </w:p>
        </w:tc>
        <w:tc>
          <w:tcPr>
            <w:tcW w:w="1590" w:type="dxa"/>
          </w:tcPr>
          <w:p w:rsidR="002871C9" w:rsidRPr="00D630D1" w:rsidRDefault="002871C9" w:rsidP="002871C9">
            <w:pPr>
              <w:topLinePunct w:val="0"/>
              <w:adjustRightInd/>
              <w:spacing w:before="68" w:line="186" w:lineRule="auto"/>
              <w:ind w:left="668" w:firstLineChars="0" w:firstLine="0"/>
              <w:rPr>
                <w:rFonts w:ascii="Times New Roman" w:eastAsia="Times New Roman" w:cs="Times New Roman"/>
                <w:kern w:val="2"/>
                <w:sz w:val="21"/>
                <w:szCs w:val="21"/>
              </w:rPr>
            </w:pPr>
            <w:r w:rsidRPr="00D630D1">
              <w:rPr>
                <w:rFonts w:ascii="Times New Roman" w:eastAsia="Times New Roman" w:cs="Times New Roman"/>
                <w:spacing w:val="-4"/>
                <w:kern w:val="2"/>
                <w:sz w:val="21"/>
                <w:szCs w:val="21"/>
              </w:rPr>
              <w:t>8</w:t>
            </w:r>
            <w:r w:rsidRPr="00D630D1">
              <w:rPr>
                <w:rFonts w:ascii="Times New Roman" w:eastAsia="Times New Roman" w:cs="Times New Roman"/>
                <w:spacing w:val="-3"/>
                <w:kern w:val="2"/>
                <w:sz w:val="21"/>
                <w:szCs w:val="21"/>
              </w:rPr>
              <w:t>0</w:t>
            </w:r>
          </w:p>
        </w:tc>
        <w:tc>
          <w:tcPr>
            <w:tcW w:w="2542" w:type="dxa"/>
          </w:tcPr>
          <w:p w:rsidR="002871C9" w:rsidRPr="00D630D1" w:rsidRDefault="002871C9" w:rsidP="002871C9">
            <w:pPr>
              <w:topLinePunct w:val="0"/>
              <w:adjustRightInd/>
              <w:spacing w:before="68" w:line="186" w:lineRule="auto"/>
              <w:ind w:left="1023" w:firstLineChars="0" w:firstLine="0"/>
              <w:rPr>
                <w:rFonts w:ascii="Times New Roman" w:eastAsia="Times New Roman" w:cs="Times New Roman"/>
                <w:kern w:val="2"/>
                <w:sz w:val="21"/>
                <w:szCs w:val="21"/>
              </w:rPr>
            </w:pPr>
            <w:r w:rsidRPr="00D630D1">
              <w:rPr>
                <w:rFonts w:ascii="Times New Roman" w:eastAsia="Times New Roman" w:cs="Times New Roman"/>
                <w:spacing w:val="-8"/>
                <w:kern w:val="2"/>
                <w:sz w:val="21"/>
                <w:szCs w:val="21"/>
              </w:rPr>
              <w:t>1</w:t>
            </w:r>
            <w:r w:rsidRPr="00D630D1">
              <w:rPr>
                <w:rFonts w:ascii="Times New Roman" w:eastAsia="Times New Roman" w:cs="Times New Roman"/>
                <w:spacing w:val="-4"/>
                <w:kern w:val="2"/>
                <w:sz w:val="21"/>
                <w:szCs w:val="21"/>
              </w:rPr>
              <w:t>5.81</w:t>
            </w:r>
          </w:p>
        </w:tc>
      </w:tr>
      <w:tr w:rsidR="002871C9" w:rsidRPr="00D630D1" w:rsidTr="002871C9">
        <w:trPr>
          <w:trHeight w:val="306"/>
          <w:jc w:val="center"/>
        </w:trPr>
        <w:tc>
          <w:tcPr>
            <w:tcW w:w="4174" w:type="dxa"/>
          </w:tcPr>
          <w:p w:rsidR="002871C9" w:rsidRPr="00D630D1" w:rsidRDefault="002871C9" w:rsidP="002871C9">
            <w:pPr>
              <w:topLinePunct w:val="0"/>
              <w:adjustRightInd/>
              <w:spacing w:before="53" w:line="219" w:lineRule="auto"/>
              <w:ind w:left="614" w:firstLineChars="0" w:firstLine="0"/>
              <w:rPr>
                <w:rFonts w:ascii="Times New Roman" w:cs="Times New Roman"/>
                <w:kern w:val="2"/>
                <w:sz w:val="21"/>
                <w:szCs w:val="21"/>
              </w:rPr>
            </w:pPr>
            <w:r w:rsidRPr="00D630D1">
              <w:rPr>
                <w:rFonts w:ascii="Times New Roman" w:eastAsia="Times New Roman" w:cs="Times New Roman"/>
                <w:spacing w:val="-1"/>
                <w:kern w:val="2"/>
                <w:sz w:val="21"/>
                <w:szCs w:val="21"/>
              </w:rPr>
              <w:t>3.</w:t>
            </w:r>
            <w:r w:rsidRPr="00D630D1">
              <w:rPr>
                <w:rFonts w:ascii="Times New Roman" w:cs="Times New Roman"/>
                <w:spacing w:val="-1"/>
                <w:kern w:val="2"/>
                <w:sz w:val="21"/>
                <w:szCs w:val="21"/>
              </w:rPr>
              <w:t>热带亚洲和热带</w:t>
            </w:r>
            <w:r w:rsidRPr="00D630D1">
              <w:rPr>
                <w:rFonts w:ascii="Times New Roman" w:cs="Times New Roman"/>
                <w:kern w:val="2"/>
                <w:sz w:val="21"/>
                <w:szCs w:val="21"/>
              </w:rPr>
              <w:t>美洲间断分布</w:t>
            </w:r>
          </w:p>
        </w:tc>
        <w:tc>
          <w:tcPr>
            <w:tcW w:w="1590" w:type="dxa"/>
          </w:tcPr>
          <w:p w:rsidR="002871C9" w:rsidRPr="00D630D1" w:rsidRDefault="002871C9" w:rsidP="002871C9">
            <w:pPr>
              <w:topLinePunct w:val="0"/>
              <w:adjustRightInd/>
              <w:spacing w:before="69" w:line="186" w:lineRule="auto"/>
              <w:ind w:left="679" w:firstLineChars="0" w:firstLine="0"/>
              <w:rPr>
                <w:rFonts w:ascii="Times New Roman" w:eastAsia="Times New Roman" w:cs="Times New Roman"/>
                <w:kern w:val="2"/>
                <w:sz w:val="21"/>
                <w:szCs w:val="21"/>
              </w:rPr>
            </w:pPr>
            <w:r w:rsidRPr="00D630D1">
              <w:rPr>
                <w:rFonts w:ascii="Times New Roman" w:eastAsia="Times New Roman" w:cs="Times New Roman"/>
                <w:spacing w:val="-6"/>
                <w:kern w:val="2"/>
                <w:sz w:val="21"/>
                <w:szCs w:val="21"/>
              </w:rPr>
              <w:t>18</w:t>
            </w:r>
          </w:p>
        </w:tc>
        <w:tc>
          <w:tcPr>
            <w:tcW w:w="2542" w:type="dxa"/>
          </w:tcPr>
          <w:p w:rsidR="002871C9" w:rsidRPr="00D630D1" w:rsidRDefault="002871C9" w:rsidP="002871C9">
            <w:pPr>
              <w:topLinePunct w:val="0"/>
              <w:adjustRightInd/>
              <w:spacing w:before="69" w:line="186" w:lineRule="auto"/>
              <w:ind w:left="1060"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3.58</w:t>
            </w:r>
          </w:p>
        </w:tc>
      </w:tr>
      <w:tr w:rsidR="002871C9" w:rsidRPr="00D630D1" w:rsidTr="002871C9">
        <w:trPr>
          <w:trHeight w:val="304"/>
          <w:jc w:val="center"/>
        </w:trPr>
        <w:tc>
          <w:tcPr>
            <w:tcW w:w="4174" w:type="dxa"/>
          </w:tcPr>
          <w:p w:rsidR="002871C9" w:rsidRPr="00D630D1" w:rsidRDefault="002871C9" w:rsidP="002871C9">
            <w:pPr>
              <w:topLinePunct w:val="0"/>
              <w:adjustRightInd/>
              <w:spacing w:before="52" w:line="219" w:lineRule="auto"/>
              <w:ind w:left="1239" w:firstLineChars="0" w:firstLine="0"/>
              <w:rPr>
                <w:rFonts w:ascii="Times New Roman" w:cs="Times New Roman"/>
                <w:kern w:val="2"/>
                <w:sz w:val="21"/>
                <w:szCs w:val="21"/>
              </w:rPr>
            </w:pPr>
            <w:r w:rsidRPr="00D630D1">
              <w:rPr>
                <w:rFonts w:ascii="Times New Roman" w:eastAsia="Times New Roman" w:cs="Times New Roman"/>
                <w:spacing w:val="-1"/>
                <w:kern w:val="2"/>
                <w:sz w:val="21"/>
                <w:szCs w:val="21"/>
              </w:rPr>
              <w:t>4.</w:t>
            </w:r>
            <w:r w:rsidRPr="00D630D1">
              <w:rPr>
                <w:rFonts w:ascii="Times New Roman" w:cs="Times New Roman"/>
                <w:spacing w:val="-1"/>
                <w:kern w:val="2"/>
                <w:sz w:val="21"/>
                <w:szCs w:val="21"/>
              </w:rPr>
              <w:t>旧世</w:t>
            </w:r>
            <w:r w:rsidRPr="00D630D1">
              <w:rPr>
                <w:rFonts w:ascii="Times New Roman" w:cs="Times New Roman"/>
                <w:kern w:val="2"/>
                <w:sz w:val="21"/>
                <w:szCs w:val="21"/>
              </w:rPr>
              <w:t>界热带分布</w:t>
            </w:r>
          </w:p>
        </w:tc>
        <w:tc>
          <w:tcPr>
            <w:tcW w:w="1590" w:type="dxa"/>
          </w:tcPr>
          <w:p w:rsidR="002871C9" w:rsidRPr="00D630D1" w:rsidRDefault="002871C9" w:rsidP="002871C9">
            <w:pPr>
              <w:topLinePunct w:val="0"/>
              <w:adjustRightInd/>
              <w:spacing w:before="69" w:line="186" w:lineRule="auto"/>
              <w:ind w:left="679" w:firstLineChars="0" w:firstLine="0"/>
              <w:rPr>
                <w:rFonts w:ascii="Times New Roman" w:eastAsia="Times New Roman" w:cs="Times New Roman"/>
                <w:kern w:val="2"/>
                <w:sz w:val="21"/>
                <w:szCs w:val="21"/>
              </w:rPr>
            </w:pPr>
            <w:r w:rsidRPr="00D630D1">
              <w:rPr>
                <w:rFonts w:ascii="Times New Roman" w:eastAsia="Times New Roman" w:cs="Times New Roman"/>
                <w:spacing w:val="-6"/>
                <w:kern w:val="2"/>
                <w:sz w:val="21"/>
                <w:szCs w:val="21"/>
              </w:rPr>
              <w:t>18</w:t>
            </w:r>
          </w:p>
        </w:tc>
        <w:tc>
          <w:tcPr>
            <w:tcW w:w="2542" w:type="dxa"/>
          </w:tcPr>
          <w:p w:rsidR="002871C9" w:rsidRPr="00D630D1" w:rsidRDefault="002871C9" w:rsidP="002871C9">
            <w:pPr>
              <w:topLinePunct w:val="0"/>
              <w:adjustRightInd/>
              <w:spacing w:before="69" w:line="186" w:lineRule="auto"/>
              <w:ind w:left="1060"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3.56</w:t>
            </w:r>
          </w:p>
        </w:tc>
      </w:tr>
      <w:tr w:rsidR="002871C9" w:rsidRPr="00D630D1" w:rsidTr="002871C9">
        <w:trPr>
          <w:trHeight w:val="304"/>
          <w:jc w:val="center"/>
        </w:trPr>
        <w:tc>
          <w:tcPr>
            <w:tcW w:w="4174" w:type="dxa"/>
          </w:tcPr>
          <w:p w:rsidR="002871C9" w:rsidRPr="00D630D1" w:rsidRDefault="002871C9" w:rsidP="002871C9">
            <w:pPr>
              <w:topLinePunct w:val="0"/>
              <w:adjustRightInd/>
              <w:spacing w:before="52" w:line="219" w:lineRule="auto"/>
              <w:ind w:left="721" w:firstLineChars="0" w:firstLine="0"/>
              <w:rPr>
                <w:rFonts w:ascii="Times New Roman" w:cs="Times New Roman"/>
                <w:kern w:val="2"/>
                <w:sz w:val="21"/>
                <w:szCs w:val="21"/>
              </w:rPr>
            </w:pPr>
            <w:r w:rsidRPr="00D630D1">
              <w:rPr>
                <w:rFonts w:ascii="Times New Roman" w:eastAsia="Times New Roman" w:cs="Times New Roman"/>
                <w:spacing w:val="-1"/>
                <w:kern w:val="2"/>
                <w:sz w:val="21"/>
                <w:szCs w:val="21"/>
              </w:rPr>
              <w:t>5.</w:t>
            </w:r>
            <w:r w:rsidRPr="00D630D1">
              <w:rPr>
                <w:rFonts w:ascii="Times New Roman" w:cs="Times New Roman"/>
                <w:spacing w:val="-1"/>
                <w:kern w:val="2"/>
                <w:sz w:val="21"/>
                <w:szCs w:val="21"/>
              </w:rPr>
              <w:t>热带亚洲至热带大洋</w:t>
            </w:r>
            <w:r w:rsidRPr="00D630D1">
              <w:rPr>
                <w:rFonts w:ascii="Times New Roman" w:cs="Times New Roman"/>
                <w:kern w:val="2"/>
                <w:sz w:val="21"/>
                <w:szCs w:val="21"/>
              </w:rPr>
              <w:t>洲分布</w:t>
            </w:r>
          </w:p>
        </w:tc>
        <w:tc>
          <w:tcPr>
            <w:tcW w:w="1590" w:type="dxa"/>
          </w:tcPr>
          <w:p w:rsidR="002871C9" w:rsidRPr="00D630D1" w:rsidRDefault="002871C9" w:rsidP="002871C9">
            <w:pPr>
              <w:topLinePunct w:val="0"/>
              <w:adjustRightInd/>
              <w:spacing w:before="70" w:line="186" w:lineRule="auto"/>
              <w:ind w:left="679" w:firstLineChars="0" w:firstLine="0"/>
              <w:rPr>
                <w:rFonts w:ascii="Times New Roman" w:eastAsia="Times New Roman" w:cs="Times New Roman"/>
                <w:kern w:val="2"/>
                <w:sz w:val="21"/>
                <w:szCs w:val="21"/>
              </w:rPr>
            </w:pPr>
            <w:r w:rsidRPr="00D630D1">
              <w:rPr>
                <w:rFonts w:ascii="Times New Roman" w:eastAsia="Times New Roman" w:cs="Times New Roman"/>
                <w:spacing w:val="-6"/>
                <w:kern w:val="2"/>
                <w:sz w:val="21"/>
                <w:szCs w:val="21"/>
              </w:rPr>
              <w:t>14</w:t>
            </w:r>
          </w:p>
        </w:tc>
        <w:tc>
          <w:tcPr>
            <w:tcW w:w="2542" w:type="dxa"/>
          </w:tcPr>
          <w:p w:rsidR="002871C9" w:rsidRPr="00D630D1" w:rsidRDefault="002871C9" w:rsidP="002871C9">
            <w:pPr>
              <w:topLinePunct w:val="0"/>
              <w:adjustRightInd/>
              <w:spacing w:before="69" w:line="186" w:lineRule="auto"/>
              <w:ind w:left="1056" w:firstLineChars="0" w:firstLine="0"/>
              <w:rPr>
                <w:rFonts w:ascii="Times New Roman" w:eastAsia="Times New Roman" w:cs="Times New Roman"/>
                <w:kern w:val="2"/>
                <w:sz w:val="21"/>
                <w:szCs w:val="21"/>
              </w:rPr>
            </w:pPr>
            <w:r w:rsidRPr="00D630D1">
              <w:rPr>
                <w:rFonts w:ascii="Times New Roman" w:eastAsia="Times New Roman" w:cs="Times New Roman"/>
                <w:spacing w:val="-1"/>
                <w:kern w:val="2"/>
                <w:sz w:val="21"/>
                <w:szCs w:val="21"/>
              </w:rPr>
              <w:t>2.77</w:t>
            </w:r>
          </w:p>
        </w:tc>
      </w:tr>
      <w:tr w:rsidR="002871C9" w:rsidRPr="00D630D1" w:rsidTr="002871C9">
        <w:trPr>
          <w:trHeight w:val="306"/>
          <w:jc w:val="center"/>
        </w:trPr>
        <w:tc>
          <w:tcPr>
            <w:tcW w:w="4174" w:type="dxa"/>
          </w:tcPr>
          <w:p w:rsidR="002871C9" w:rsidRPr="00D630D1" w:rsidRDefault="002871C9" w:rsidP="002871C9">
            <w:pPr>
              <w:topLinePunct w:val="0"/>
              <w:adjustRightInd/>
              <w:spacing w:before="54" w:line="219" w:lineRule="auto"/>
              <w:ind w:left="825" w:firstLineChars="0" w:firstLine="0"/>
              <w:rPr>
                <w:rFonts w:ascii="Times New Roman" w:cs="Times New Roman"/>
                <w:kern w:val="2"/>
                <w:sz w:val="21"/>
                <w:szCs w:val="21"/>
              </w:rPr>
            </w:pPr>
            <w:r w:rsidRPr="00D630D1">
              <w:rPr>
                <w:rFonts w:ascii="Times New Roman" w:eastAsia="Times New Roman" w:cs="Times New Roman"/>
                <w:spacing w:val="-1"/>
                <w:kern w:val="2"/>
                <w:sz w:val="21"/>
                <w:szCs w:val="21"/>
              </w:rPr>
              <w:t>6.</w:t>
            </w:r>
            <w:r w:rsidRPr="00D630D1">
              <w:rPr>
                <w:rFonts w:ascii="Times New Roman" w:cs="Times New Roman"/>
                <w:spacing w:val="-1"/>
                <w:kern w:val="2"/>
                <w:sz w:val="21"/>
                <w:szCs w:val="21"/>
              </w:rPr>
              <w:t>热带亚洲至热带非</w:t>
            </w:r>
            <w:r w:rsidRPr="00D630D1">
              <w:rPr>
                <w:rFonts w:ascii="Times New Roman" w:cs="Times New Roman"/>
                <w:kern w:val="2"/>
                <w:sz w:val="21"/>
                <w:szCs w:val="21"/>
              </w:rPr>
              <w:t>洲分布</w:t>
            </w:r>
          </w:p>
        </w:tc>
        <w:tc>
          <w:tcPr>
            <w:tcW w:w="1590" w:type="dxa"/>
          </w:tcPr>
          <w:p w:rsidR="002871C9" w:rsidRPr="00D630D1" w:rsidRDefault="002871C9" w:rsidP="002871C9">
            <w:pPr>
              <w:topLinePunct w:val="0"/>
              <w:adjustRightInd/>
              <w:spacing w:before="70" w:line="186" w:lineRule="auto"/>
              <w:ind w:left="659" w:firstLineChars="0" w:firstLine="0"/>
              <w:rPr>
                <w:rFonts w:ascii="Times New Roman" w:eastAsia="Times New Roman" w:cs="Times New Roman"/>
                <w:kern w:val="2"/>
                <w:sz w:val="21"/>
                <w:szCs w:val="21"/>
              </w:rPr>
            </w:pPr>
            <w:r w:rsidRPr="00D630D1">
              <w:rPr>
                <w:rFonts w:ascii="Times New Roman" w:eastAsia="Times New Roman" w:cs="Times New Roman"/>
                <w:spacing w:val="-1"/>
                <w:kern w:val="2"/>
                <w:sz w:val="21"/>
                <w:szCs w:val="21"/>
              </w:rPr>
              <w:t>25</w:t>
            </w:r>
          </w:p>
        </w:tc>
        <w:tc>
          <w:tcPr>
            <w:tcW w:w="2542" w:type="dxa"/>
          </w:tcPr>
          <w:p w:rsidR="002871C9" w:rsidRPr="00D630D1" w:rsidRDefault="002871C9" w:rsidP="002871C9">
            <w:pPr>
              <w:topLinePunct w:val="0"/>
              <w:adjustRightInd/>
              <w:spacing w:before="70" w:line="186" w:lineRule="auto"/>
              <w:ind w:left="1060"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3.89</w:t>
            </w:r>
          </w:p>
        </w:tc>
      </w:tr>
      <w:tr w:rsidR="002871C9" w:rsidRPr="00D630D1" w:rsidTr="002871C9">
        <w:trPr>
          <w:trHeight w:val="304"/>
          <w:jc w:val="center"/>
        </w:trPr>
        <w:tc>
          <w:tcPr>
            <w:tcW w:w="4174" w:type="dxa"/>
          </w:tcPr>
          <w:p w:rsidR="002871C9" w:rsidRPr="00D630D1" w:rsidRDefault="002871C9" w:rsidP="002871C9">
            <w:pPr>
              <w:topLinePunct w:val="0"/>
              <w:adjustRightInd/>
              <w:spacing w:before="52" w:line="220" w:lineRule="auto"/>
              <w:ind w:left="684" w:firstLineChars="0" w:firstLine="0"/>
              <w:rPr>
                <w:rFonts w:ascii="Times New Roman" w:cs="Times New Roman"/>
                <w:kern w:val="2"/>
                <w:sz w:val="21"/>
                <w:szCs w:val="21"/>
              </w:rPr>
            </w:pPr>
            <w:r w:rsidRPr="00D630D1">
              <w:rPr>
                <w:rFonts w:ascii="Times New Roman" w:eastAsia="Times New Roman" w:cs="Times New Roman"/>
                <w:spacing w:val="10"/>
                <w:kern w:val="2"/>
                <w:sz w:val="21"/>
                <w:szCs w:val="21"/>
              </w:rPr>
              <w:t>7.</w:t>
            </w:r>
            <w:r w:rsidRPr="00D630D1">
              <w:rPr>
                <w:rFonts w:ascii="Times New Roman" w:cs="Times New Roman"/>
                <w:spacing w:val="5"/>
                <w:kern w:val="2"/>
                <w:sz w:val="21"/>
                <w:szCs w:val="21"/>
              </w:rPr>
              <w:t>热带亚洲</w:t>
            </w:r>
            <w:r w:rsidRPr="00D630D1">
              <w:rPr>
                <w:rFonts w:ascii="Times New Roman" w:cs="Times New Roman" w:hint="eastAsia"/>
                <w:spacing w:val="5"/>
                <w:kern w:val="2"/>
                <w:sz w:val="21"/>
                <w:szCs w:val="21"/>
              </w:rPr>
              <w:t>（</w:t>
            </w:r>
            <w:r w:rsidRPr="00D630D1">
              <w:rPr>
                <w:rFonts w:ascii="Times New Roman" w:cs="Times New Roman"/>
                <w:spacing w:val="5"/>
                <w:kern w:val="2"/>
                <w:sz w:val="21"/>
                <w:szCs w:val="21"/>
              </w:rPr>
              <w:t>印度</w:t>
            </w:r>
            <w:r w:rsidRPr="00D630D1">
              <w:rPr>
                <w:rFonts w:ascii="Times New Roman" w:eastAsia="Times New Roman" w:cs="Times New Roman"/>
                <w:spacing w:val="5"/>
                <w:kern w:val="2"/>
                <w:sz w:val="21"/>
                <w:szCs w:val="21"/>
              </w:rPr>
              <w:t>-</w:t>
            </w:r>
            <w:r w:rsidRPr="00D630D1">
              <w:rPr>
                <w:rFonts w:ascii="Times New Roman" w:cs="Times New Roman"/>
                <w:spacing w:val="5"/>
                <w:kern w:val="2"/>
                <w:sz w:val="21"/>
                <w:szCs w:val="21"/>
              </w:rPr>
              <w:t>马来西亚</w:t>
            </w:r>
            <w:r w:rsidRPr="00D630D1">
              <w:rPr>
                <w:rFonts w:ascii="Times New Roman" w:cs="Times New Roman" w:hint="eastAsia"/>
                <w:spacing w:val="5"/>
                <w:kern w:val="2"/>
                <w:sz w:val="21"/>
                <w:szCs w:val="21"/>
              </w:rPr>
              <w:t>）</w:t>
            </w:r>
          </w:p>
        </w:tc>
        <w:tc>
          <w:tcPr>
            <w:tcW w:w="1590" w:type="dxa"/>
          </w:tcPr>
          <w:p w:rsidR="002871C9" w:rsidRPr="00D630D1" w:rsidRDefault="002871C9" w:rsidP="002871C9">
            <w:pPr>
              <w:topLinePunct w:val="0"/>
              <w:adjustRightInd/>
              <w:spacing w:before="70" w:line="186" w:lineRule="auto"/>
              <w:ind w:left="658" w:firstLineChars="0" w:firstLine="0"/>
              <w:rPr>
                <w:rFonts w:ascii="Times New Roman" w:eastAsia="Times New Roman" w:cs="Times New Roman"/>
                <w:kern w:val="2"/>
                <w:sz w:val="21"/>
                <w:szCs w:val="21"/>
              </w:rPr>
            </w:pPr>
            <w:r w:rsidRPr="00D630D1">
              <w:rPr>
                <w:rFonts w:ascii="Times New Roman" w:eastAsia="Times New Roman" w:cs="Times New Roman"/>
                <w:spacing w:val="-1"/>
                <w:kern w:val="2"/>
                <w:sz w:val="21"/>
                <w:szCs w:val="21"/>
              </w:rPr>
              <w:t>44</w:t>
            </w:r>
          </w:p>
        </w:tc>
        <w:tc>
          <w:tcPr>
            <w:tcW w:w="2542" w:type="dxa"/>
          </w:tcPr>
          <w:p w:rsidR="002871C9" w:rsidRPr="00D630D1" w:rsidRDefault="002871C9" w:rsidP="002871C9">
            <w:pPr>
              <w:topLinePunct w:val="0"/>
              <w:adjustRightInd/>
              <w:spacing w:before="70" w:line="186" w:lineRule="auto"/>
              <w:ind w:left="1059"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7.51</w:t>
            </w:r>
          </w:p>
        </w:tc>
      </w:tr>
      <w:tr w:rsidR="002871C9" w:rsidRPr="00D630D1" w:rsidTr="002871C9">
        <w:trPr>
          <w:trHeight w:val="304"/>
          <w:jc w:val="center"/>
        </w:trPr>
        <w:tc>
          <w:tcPr>
            <w:tcW w:w="4174" w:type="dxa"/>
          </w:tcPr>
          <w:p w:rsidR="002871C9" w:rsidRPr="00D630D1" w:rsidRDefault="002871C9" w:rsidP="002871C9">
            <w:pPr>
              <w:topLinePunct w:val="0"/>
              <w:adjustRightInd/>
              <w:spacing w:before="53" w:line="220" w:lineRule="auto"/>
              <w:ind w:left="1616" w:firstLineChars="0" w:firstLine="0"/>
              <w:rPr>
                <w:rFonts w:ascii="Times New Roman" w:cs="Times New Roman"/>
                <w:kern w:val="2"/>
                <w:sz w:val="21"/>
                <w:szCs w:val="21"/>
              </w:rPr>
            </w:pPr>
            <w:r w:rsidRPr="00D630D1">
              <w:rPr>
                <w:rFonts w:ascii="Times New Roman" w:eastAsia="Times New Roman" w:cs="Times New Roman"/>
                <w:spacing w:val="-2"/>
                <w:kern w:val="2"/>
                <w:sz w:val="21"/>
                <w:szCs w:val="21"/>
              </w:rPr>
              <w:t>8</w:t>
            </w:r>
            <w:r w:rsidRPr="00D630D1">
              <w:rPr>
                <w:rFonts w:ascii="Times New Roman" w:eastAsia="Times New Roman" w:cs="Times New Roman"/>
                <w:spacing w:val="-1"/>
                <w:kern w:val="2"/>
                <w:sz w:val="21"/>
                <w:szCs w:val="21"/>
              </w:rPr>
              <w:t>.</w:t>
            </w:r>
            <w:r w:rsidRPr="00D630D1">
              <w:rPr>
                <w:rFonts w:ascii="Times New Roman" w:cs="Times New Roman"/>
                <w:spacing w:val="-1"/>
                <w:kern w:val="2"/>
                <w:sz w:val="21"/>
                <w:szCs w:val="21"/>
              </w:rPr>
              <w:t>北温带</w:t>
            </w:r>
          </w:p>
        </w:tc>
        <w:tc>
          <w:tcPr>
            <w:tcW w:w="1590" w:type="dxa"/>
          </w:tcPr>
          <w:p w:rsidR="002871C9" w:rsidRPr="00D630D1" w:rsidRDefault="002871C9" w:rsidP="002871C9">
            <w:pPr>
              <w:topLinePunct w:val="0"/>
              <w:adjustRightInd/>
              <w:spacing w:before="70" w:line="186" w:lineRule="auto"/>
              <w:ind w:left="663"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98</w:t>
            </w:r>
          </w:p>
        </w:tc>
        <w:tc>
          <w:tcPr>
            <w:tcW w:w="2542" w:type="dxa"/>
          </w:tcPr>
          <w:p w:rsidR="002871C9" w:rsidRPr="00D630D1" w:rsidRDefault="002871C9" w:rsidP="002871C9">
            <w:pPr>
              <w:topLinePunct w:val="0"/>
              <w:adjustRightInd/>
              <w:spacing w:before="70" w:line="186" w:lineRule="auto"/>
              <w:ind w:left="1023" w:firstLineChars="0" w:firstLine="0"/>
              <w:rPr>
                <w:rFonts w:ascii="Times New Roman" w:eastAsia="Times New Roman" w:cs="Times New Roman"/>
                <w:kern w:val="2"/>
                <w:sz w:val="21"/>
                <w:szCs w:val="21"/>
              </w:rPr>
            </w:pPr>
            <w:r w:rsidRPr="00D630D1">
              <w:rPr>
                <w:rFonts w:ascii="Times New Roman" w:eastAsia="Times New Roman" w:cs="Times New Roman"/>
                <w:spacing w:val="-8"/>
                <w:kern w:val="2"/>
                <w:sz w:val="21"/>
                <w:szCs w:val="21"/>
              </w:rPr>
              <w:t>1</w:t>
            </w:r>
            <w:r w:rsidRPr="00D630D1">
              <w:rPr>
                <w:rFonts w:ascii="Times New Roman" w:eastAsia="Times New Roman" w:cs="Times New Roman"/>
                <w:spacing w:val="-4"/>
                <w:kern w:val="2"/>
                <w:sz w:val="21"/>
                <w:szCs w:val="21"/>
              </w:rPr>
              <w:t>9.37</w:t>
            </w:r>
          </w:p>
        </w:tc>
      </w:tr>
      <w:tr w:rsidR="002871C9" w:rsidRPr="00D630D1" w:rsidTr="002871C9">
        <w:trPr>
          <w:trHeight w:val="306"/>
          <w:jc w:val="center"/>
        </w:trPr>
        <w:tc>
          <w:tcPr>
            <w:tcW w:w="4174" w:type="dxa"/>
          </w:tcPr>
          <w:p w:rsidR="002871C9" w:rsidRPr="00D630D1" w:rsidRDefault="002871C9" w:rsidP="002871C9">
            <w:pPr>
              <w:topLinePunct w:val="0"/>
              <w:adjustRightInd/>
              <w:spacing w:before="55" w:line="219" w:lineRule="auto"/>
              <w:ind w:left="930" w:firstLineChars="0" w:firstLine="0"/>
              <w:rPr>
                <w:rFonts w:ascii="Times New Roman" w:cs="Times New Roman"/>
                <w:kern w:val="2"/>
                <w:sz w:val="21"/>
                <w:szCs w:val="21"/>
              </w:rPr>
            </w:pPr>
            <w:r w:rsidRPr="00D630D1">
              <w:rPr>
                <w:rFonts w:ascii="Times New Roman" w:eastAsia="Times New Roman" w:cs="Times New Roman"/>
                <w:spacing w:val="-1"/>
                <w:kern w:val="2"/>
                <w:sz w:val="21"/>
                <w:szCs w:val="21"/>
              </w:rPr>
              <w:t>9.</w:t>
            </w:r>
            <w:r w:rsidRPr="00D630D1">
              <w:rPr>
                <w:rFonts w:ascii="Times New Roman" w:cs="Times New Roman"/>
                <w:spacing w:val="-1"/>
                <w:kern w:val="2"/>
                <w:sz w:val="21"/>
                <w:szCs w:val="21"/>
              </w:rPr>
              <w:t>东亚和北美洲间</w:t>
            </w:r>
            <w:r w:rsidRPr="00D630D1">
              <w:rPr>
                <w:rFonts w:ascii="Times New Roman" w:cs="Times New Roman"/>
                <w:kern w:val="2"/>
                <w:sz w:val="21"/>
                <w:szCs w:val="21"/>
              </w:rPr>
              <w:t>断分布</w:t>
            </w:r>
          </w:p>
        </w:tc>
        <w:tc>
          <w:tcPr>
            <w:tcW w:w="1590" w:type="dxa"/>
          </w:tcPr>
          <w:p w:rsidR="002871C9" w:rsidRPr="00D630D1" w:rsidRDefault="002871C9" w:rsidP="002871C9">
            <w:pPr>
              <w:topLinePunct w:val="0"/>
              <w:adjustRightInd/>
              <w:spacing w:before="71" w:line="186" w:lineRule="auto"/>
              <w:ind w:left="663" w:firstLineChars="0" w:firstLine="0"/>
              <w:rPr>
                <w:rFonts w:ascii="Times New Roman" w:eastAsia="Times New Roman" w:cs="Times New Roman"/>
                <w:kern w:val="2"/>
                <w:sz w:val="21"/>
                <w:szCs w:val="21"/>
              </w:rPr>
            </w:pPr>
            <w:r w:rsidRPr="00D630D1">
              <w:rPr>
                <w:rFonts w:ascii="Times New Roman" w:eastAsia="Times New Roman" w:cs="Times New Roman"/>
                <w:spacing w:val="-3"/>
                <w:kern w:val="2"/>
                <w:sz w:val="21"/>
                <w:szCs w:val="21"/>
              </w:rPr>
              <w:t>3</w:t>
            </w:r>
            <w:r w:rsidRPr="00D630D1">
              <w:rPr>
                <w:rFonts w:ascii="Times New Roman" w:eastAsia="Times New Roman" w:cs="Times New Roman"/>
                <w:spacing w:val="-2"/>
                <w:kern w:val="2"/>
                <w:sz w:val="21"/>
                <w:szCs w:val="21"/>
              </w:rPr>
              <w:t>3</w:t>
            </w:r>
          </w:p>
        </w:tc>
        <w:tc>
          <w:tcPr>
            <w:tcW w:w="2542" w:type="dxa"/>
          </w:tcPr>
          <w:p w:rsidR="002871C9" w:rsidRPr="00D630D1" w:rsidRDefault="002871C9" w:rsidP="002871C9">
            <w:pPr>
              <w:topLinePunct w:val="0"/>
              <w:adjustRightInd/>
              <w:spacing w:before="71" w:line="186" w:lineRule="auto"/>
              <w:ind w:left="1061" w:firstLineChars="0" w:firstLine="0"/>
              <w:rPr>
                <w:rFonts w:ascii="Times New Roman" w:eastAsia="Times New Roman" w:cs="Times New Roman"/>
                <w:kern w:val="2"/>
                <w:sz w:val="21"/>
                <w:szCs w:val="21"/>
              </w:rPr>
            </w:pPr>
            <w:r w:rsidRPr="00D630D1">
              <w:rPr>
                <w:rFonts w:ascii="Times New Roman" w:eastAsia="Times New Roman" w:cs="Times New Roman"/>
                <w:spacing w:val="-3"/>
                <w:kern w:val="2"/>
                <w:sz w:val="21"/>
                <w:szCs w:val="21"/>
              </w:rPr>
              <w:t>6</w:t>
            </w:r>
            <w:r w:rsidRPr="00D630D1">
              <w:rPr>
                <w:rFonts w:ascii="Times New Roman" w:eastAsia="Times New Roman" w:cs="Times New Roman"/>
                <w:spacing w:val="-2"/>
                <w:kern w:val="2"/>
                <w:sz w:val="21"/>
                <w:szCs w:val="21"/>
              </w:rPr>
              <w:t>.52</w:t>
            </w:r>
          </w:p>
        </w:tc>
      </w:tr>
      <w:tr w:rsidR="002871C9" w:rsidRPr="00D630D1" w:rsidTr="002871C9">
        <w:trPr>
          <w:trHeight w:val="304"/>
          <w:jc w:val="center"/>
        </w:trPr>
        <w:tc>
          <w:tcPr>
            <w:tcW w:w="4174" w:type="dxa"/>
          </w:tcPr>
          <w:p w:rsidR="002871C9" w:rsidRPr="00D630D1" w:rsidRDefault="002871C9" w:rsidP="002871C9">
            <w:pPr>
              <w:topLinePunct w:val="0"/>
              <w:adjustRightInd/>
              <w:spacing w:before="54" w:line="219" w:lineRule="auto"/>
              <w:ind w:left="1366" w:firstLineChars="0" w:firstLine="0"/>
              <w:rPr>
                <w:rFonts w:ascii="Times New Roman" w:cs="Times New Roman"/>
                <w:kern w:val="2"/>
                <w:sz w:val="21"/>
                <w:szCs w:val="21"/>
              </w:rPr>
            </w:pPr>
            <w:r w:rsidRPr="00D630D1">
              <w:rPr>
                <w:rFonts w:ascii="Times New Roman" w:eastAsia="Times New Roman" w:cs="Times New Roman"/>
                <w:spacing w:val="-4"/>
                <w:kern w:val="2"/>
                <w:sz w:val="21"/>
                <w:szCs w:val="21"/>
              </w:rPr>
              <w:t>10</w:t>
            </w:r>
            <w:r w:rsidRPr="00D630D1">
              <w:rPr>
                <w:rFonts w:ascii="Times New Roman" w:eastAsia="Times New Roman" w:cs="Times New Roman"/>
                <w:spacing w:val="-2"/>
                <w:kern w:val="2"/>
                <w:sz w:val="21"/>
                <w:szCs w:val="21"/>
              </w:rPr>
              <w:t>.</w:t>
            </w:r>
            <w:r w:rsidRPr="00D630D1">
              <w:rPr>
                <w:rFonts w:ascii="Times New Roman" w:cs="Times New Roman"/>
                <w:spacing w:val="-2"/>
                <w:kern w:val="2"/>
                <w:sz w:val="21"/>
                <w:szCs w:val="21"/>
              </w:rPr>
              <w:t>旧世界温带</w:t>
            </w:r>
          </w:p>
        </w:tc>
        <w:tc>
          <w:tcPr>
            <w:tcW w:w="1590" w:type="dxa"/>
          </w:tcPr>
          <w:p w:rsidR="002871C9" w:rsidRPr="00D630D1" w:rsidRDefault="002871C9" w:rsidP="002871C9">
            <w:pPr>
              <w:topLinePunct w:val="0"/>
              <w:adjustRightInd/>
              <w:spacing w:before="71" w:line="186" w:lineRule="auto"/>
              <w:ind w:left="663" w:firstLineChars="0" w:firstLine="0"/>
              <w:rPr>
                <w:rFonts w:ascii="Times New Roman" w:eastAsia="Times New Roman" w:cs="Times New Roman"/>
                <w:kern w:val="2"/>
                <w:sz w:val="21"/>
                <w:szCs w:val="21"/>
              </w:rPr>
            </w:pPr>
            <w:r w:rsidRPr="00D630D1">
              <w:rPr>
                <w:rFonts w:ascii="Times New Roman" w:eastAsia="Times New Roman" w:cs="Times New Roman"/>
                <w:spacing w:val="-3"/>
                <w:kern w:val="2"/>
                <w:sz w:val="21"/>
                <w:szCs w:val="21"/>
              </w:rPr>
              <w:t>3</w:t>
            </w:r>
            <w:r w:rsidRPr="00D630D1">
              <w:rPr>
                <w:rFonts w:ascii="Times New Roman" w:eastAsia="Times New Roman" w:cs="Times New Roman"/>
                <w:spacing w:val="-2"/>
                <w:kern w:val="2"/>
                <w:sz w:val="21"/>
                <w:szCs w:val="21"/>
              </w:rPr>
              <w:t>7</w:t>
            </w:r>
          </w:p>
        </w:tc>
        <w:tc>
          <w:tcPr>
            <w:tcW w:w="2542" w:type="dxa"/>
          </w:tcPr>
          <w:p w:rsidR="002871C9" w:rsidRPr="00D630D1" w:rsidRDefault="002871C9" w:rsidP="002871C9">
            <w:pPr>
              <w:topLinePunct w:val="0"/>
              <w:adjustRightInd/>
              <w:spacing w:before="71" w:line="186" w:lineRule="auto"/>
              <w:ind w:left="1059"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7.31</w:t>
            </w:r>
          </w:p>
        </w:tc>
      </w:tr>
      <w:tr w:rsidR="002871C9" w:rsidRPr="00D630D1" w:rsidTr="002871C9">
        <w:trPr>
          <w:trHeight w:val="304"/>
          <w:jc w:val="center"/>
        </w:trPr>
        <w:tc>
          <w:tcPr>
            <w:tcW w:w="4174" w:type="dxa"/>
          </w:tcPr>
          <w:p w:rsidR="002871C9" w:rsidRPr="00D630D1" w:rsidRDefault="002871C9" w:rsidP="002871C9">
            <w:pPr>
              <w:topLinePunct w:val="0"/>
              <w:adjustRightInd/>
              <w:spacing w:before="54" w:line="219" w:lineRule="auto"/>
              <w:ind w:left="1264" w:firstLineChars="0" w:firstLine="0"/>
              <w:rPr>
                <w:rFonts w:ascii="Times New Roman" w:cs="Times New Roman"/>
                <w:kern w:val="2"/>
                <w:sz w:val="21"/>
                <w:szCs w:val="21"/>
              </w:rPr>
            </w:pPr>
            <w:r w:rsidRPr="00D630D1">
              <w:rPr>
                <w:rFonts w:ascii="Times New Roman" w:eastAsia="Times New Roman" w:cs="Times New Roman"/>
                <w:spacing w:val="-3"/>
                <w:kern w:val="2"/>
                <w:sz w:val="21"/>
                <w:szCs w:val="21"/>
              </w:rPr>
              <w:t>11.</w:t>
            </w:r>
            <w:r w:rsidRPr="00D630D1">
              <w:rPr>
                <w:rFonts w:ascii="Times New Roman" w:cs="Times New Roman"/>
                <w:spacing w:val="-3"/>
                <w:kern w:val="2"/>
                <w:sz w:val="21"/>
                <w:szCs w:val="21"/>
              </w:rPr>
              <w:t>温带亚洲分</w:t>
            </w:r>
            <w:r w:rsidRPr="00D630D1">
              <w:rPr>
                <w:rFonts w:ascii="Times New Roman" w:cs="Times New Roman"/>
                <w:spacing w:val="-2"/>
                <w:kern w:val="2"/>
                <w:sz w:val="21"/>
                <w:szCs w:val="21"/>
              </w:rPr>
              <w:t>布</w:t>
            </w:r>
          </w:p>
        </w:tc>
        <w:tc>
          <w:tcPr>
            <w:tcW w:w="1590" w:type="dxa"/>
          </w:tcPr>
          <w:p w:rsidR="002871C9" w:rsidRPr="00D630D1" w:rsidRDefault="002871C9" w:rsidP="002871C9">
            <w:pPr>
              <w:topLinePunct w:val="0"/>
              <w:adjustRightInd/>
              <w:spacing w:before="71" w:line="186" w:lineRule="auto"/>
              <w:ind w:left="716" w:firstLineChars="0" w:firstLine="0"/>
              <w:rPr>
                <w:rFonts w:ascii="Times New Roman" w:eastAsia="Times New Roman" w:cs="Times New Roman"/>
                <w:kern w:val="2"/>
                <w:sz w:val="21"/>
                <w:szCs w:val="21"/>
              </w:rPr>
            </w:pPr>
            <w:r w:rsidRPr="00D630D1">
              <w:rPr>
                <w:rFonts w:ascii="Times New Roman" w:eastAsia="Times New Roman" w:cs="Times New Roman"/>
                <w:kern w:val="2"/>
                <w:sz w:val="21"/>
                <w:szCs w:val="21"/>
              </w:rPr>
              <w:t>9</w:t>
            </w:r>
          </w:p>
        </w:tc>
        <w:tc>
          <w:tcPr>
            <w:tcW w:w="2542" w:type="dxa"/>
          </w:tcPr>
          <w:p w:rsidR="002871C9" w:rsidRPr="00D630D1" w:rsidRDefault="002871C9" w:rsidP="002871C9">
            <w:pPr>
              <w:topLinePunct w:val="0"/>
              <w:adjustRightInd/>
              <w:spacing w:before="71" w:line="186" w:lineRule="auto"/>
              <w:ind w:left="1076" w:firstLineChars="0" w:firstLine="0"/>
              <w:rPr>
                <w:rFonts w:ascii="Times New Roman" w:eastAsia="Times New Roman" w:cs="Times New Roman"/>
                <w:kern w:val="2"/>
                <w:sz w:val="21"/>
                <w:szCs w:val="21"/>
              </w:rPr>
            </w:pPr>
            <w:r w:rsidRPr="00D630D1">
              <w:rPr>
                <w:rFonts w:ascii="Times New Roman" w:eastAsia="Times New Roman" w:cs="Times New Roman"/>
                <w:spacing w:val="-6"/>
                <w:kern w:val="2"/>
                <w:sz w:val="21"/>
                <w:szCs w:val="21"/>
              </w:rPr>
              <w:t>1.87</w:t>
            </w:r>
          </w:p>
        </w:tc>
      </w:tr>
      <w:tr w:rsidR="002871C9" w:rsidRPr="00D630D1" w:rsidTr="002871C9">
        <w:trPr>
          <w:trHeight w:val="306"/>
          <w:jc w:val="center"/>
        </w:trPr>
        <w:tc>
          <w:tcPr>
            <w:tcW w:w="4174" w:type="dxa"/>
          </w:tcPr>
          <w:p w:rsidR="002871C9" w:rsidRPr="00D630D1" w:rsidRDefault="002871C9" w:rsidP="002871C9">
            <w:pPr>
              <w:topLinePunct w:val="0"/>
              <w:adjustRightInd/>
              <w:spacing w:before="56" w:line="219" w:lineRule="auto"/>
              <w:ind w:left="630" w:firstLineChars="0" w:firstLine="0"/>
              <w:rPr>
                <w:rFonts w:ascii="Times New Roman" w:cs="Times New Roman"/>
                <w:kern w:val="2"/>
                <w:sz w:val="21"/>
                <w:szCs w:val="21"/>
              </w:rPr>
            </w:pPr>
            <w:r w:rsidRPr="00D630D1">
              <w:rPr>
                <w:rFonts w:ascii="Times New Roman" w:eastAsia="Times New Roman" w:cs="Times New Roman"/>
                <w:spacing w:val="-3"/>
                <w:kern w:val="2"/>
                <w:sz w:val="21"/>
                <w:szCs w:val="21"/>
              </w:rPr>
              <w:t>1</w:t>
            </w:r>
            <w:r w:rsidRPr="00D630D1">
              <w:rPr>
                <w:rFonts w:ascii="Times New Roman" w:eastAsia="Times New Roman" w:cs="Times New Roman"/>
                <w:spacing w:val="-2"/>
                <w:kern w:val="2"/>
                <w:sz w:val="21"/>
                <w:szCs w:val="21"/>
              </w:rPr>
              <w:t>2.</w:t>
            </w:r>
            <w:r w:rsidRPr="00D630D1">
              <w:rPr>
                <w:rFonts w:ascii="Times New Roman" w:cs="Times New Roman"/>
                <w:spacing w:val="-2"/>
                <w:kern w:val="2"/>
                <w:sz w:val="21"/>
                <w:szCs w:val="21"/>
              </w:rPr>
              <w:t>地中海区、西亚至中亚分布</w:t>
            </w:r>
          </w:p>
        </w:tc>
        <w:tc>
          <w:tcPr>
            <w:tcW w:w="1590" w:type="dxa"/>
          </w:tcPr>
          <w:p w:rsidR="002871C9" w:rsidRPr="00D630D1" w:rsidRDefault="002871C9" w:rsidP="002871C9">
            <w:pPr>
              <w:topLinePunct w:val="0"/>
              <w:adjustRightInd/>
              <w:spacing w:before="75" w:line="183" w:lineRule="auto"/>
              <w:ind w:left="715" w:firstLineChars="0" w:firstLine="0"/>
              <w:rPr>
                <w:rFonts w:ascii="Times New Roman" w:eastAsia="Times New Roman" w:cs="Times New Roman"/>
                <w:kern w:val="2"/>
                <w:sz w:val="21"/>
                <w:szCs w:val="21"/>
              </w:rPr>
            </w:pPr>
            <w:r w:rsidRPr="00D630D1">
              <w:rPr>
                <w:rFonts w:ascii="Times New Roman" w:eastAsia="Times New Roman" w:cs="Times New Roman"/>
                <w:kern w:val="2"/>
                <w:sz w:val="21"/>
                <w:szCs w:val="21"/>
              </w:rPr>
              <w:t>7</w:t>
            </w:r>
          </w:p>
        </w:tc>
        <w:tc>
          <w:tcPr>
            <w:tcW w:w="2542" w:type="dxa"/>
          </w:tcPr>
          <w:p w:rsidR="002871C9" w:rsidRPr="00D630D1" w:rsidRDefault="002871C9" w:rsidP="002871C9">
            <w:pPr>
              <w:topLinePunct w:val="0"/>
              <w:adjustRightInd/>
              <w:spacing w:before="72" w:line="186" w:lineRule="auto"/>
              <w:ind w:left="1076" w:firstLineChars="0" w:firstLine="0"/>
              <w:rPr>
                <w:rFonts w:ascii="Times New Roman" w:eastAsia="Times New Roman" w:cs="Times New Roman"/>
                <w:kern w:val="2"/>
                <w:sz w:val="21"/>
                <w:szCs w:val="21"/>
              </w:rPr>
            </w:pPr>
            <w:r w:rsidRPr="00D630D1">
              <w:rPr>
                <w:rFonts w:ascii="Times New Roman" w:eastAsia="Times New Roman" w:cs="Times New Roman"/>
                <w:spacing w:val="-6"/>
                <w:kern w:val="2"/>
                <w:sz w:val="21"/>
                <w:szCs w:val="21"/>
              </w:rPr>
              <w:t>1.38</w:t>
            </w:r>
          </w:p>
        </w:tc>
      </w:tr>
      <w:tr w:rsidR="002871C9" w:rsidRPr="00D630D1" w:rsidTr="002871C9">
        <w:trPr>
          <w:trHeight w:val="304"/>
          <w:jc w:val="center"/>
        </w:trPr>
        <w:tc>
          <w:tcPr>
            <w:tcW w:w="4174" w:type="dxa"/>
          </w:tcPr>
          <w:p w:rsidR="002871C9" w:rsidRPr="00D630D1" w:rsidRDefault="002871C9" w:rsidP="002871C9">
            <w:pPr>
              <w:topLinePunct w:val="0"/>
              <w:adjustRightInd/>
              <w:spacing w:before="54" w:line="219" w:lineRule="auto"/>
              <w:ind w:left="1523" w:firstLineChars="0" w:firstLine="0"/>
              <w:rPr>
                <w:rFonts w:ascii="Times New Roman" w:cs="Times New Roman"/>
                <w:kern w:val="2"/>
                <w:sz w:val="21"/>
                <w:szCs w:val="21"/>
              </w:rPr>
            </w:pPr>
            <w:r w:rsidRPr="00D630D1">
              <w:rPr>
                <w:rFonts w:ascii="Times New Roman" w:eastAsia="Times New Roman" w:cs="Times New Roman"/>
                <w:spacing w:val="-6"/>
                <w:kern w:val="2"/>
                <w:sz w:val="21"/>
                <w:szCs w:val="21"/>
              </w:rPr>
              <w:t>1</w:t>
            </w:r>
            <w:r w:rsidRPr="00D630D1">
              <w:rPr>
                <w:rFonts w:ascii="Times New Roman" w:eastAsia="Times New Roman" w:cs="Times New Roman"/>
                <w:spacing w:val="-3"/>
                <w:kern w:val="2"/>
                <w:sz w:val="21"/>
                <w:szCs w:val="21"/>
              </w:rPr>
              <w:t>3.</w:t>
            </w:r>
            <w:r w:rsidRPr="00D630D1">
              <w:rPr>
                <w:rFonts w:ascii="Times New Roman" w:cs="Times New Roman"/>
                <w:spacing w:val="-3"/>
                <w:kern w:val="2"/>
                <w:sz w:val="21"/>
                <w:szCs w:val="21"/>
              </w:rPr>
              <w:t>中亚分布</w:t>
            </w:r>
          </w:p>
        </w:tc>
        <w:tc>
          <w:tcPr>
            <w:tcW w:w="1590" w:type="dxa"/>
          </w:tcPr>
          <w:p w:rsidR="002871C9" w:rsidRPr="00D630D1" w:rsidRDefault="002871C9" w:rsidP="002871C9">
            <w:pPr>
              <w:topLinePunct w:val="0"/>
              <w:adjustRightInd/>
              <w:spacing w:before="72" w:line="186" w:lineRule="auto"/>
              <w:ind w:left="732" w:firstLineChars="0" w:firstLine="0"/>
              <w:rPr>
                <w:rFonts w:ascii="Times New Roman" w:eastAsia="Times New Roman" w:cs="Times New Roman"/>
                <w:kern w:val="2"/>
                <w:sz w:val="21"/>
                <w:szCs w:val="21"/>
              </w:rPr>
            </w:pPr>
            <w:r w:rsidRPr="00D630D1">
              <w:rPr>
                <w:rFonts w:ascii="Times New Roman" w:eastAsia="Times New Roman" w:cs="Times New Roman"/>
                <w:kern w:val="2"/>
                <w:sz w:val="21"/>
                <w:szCs w:val="21"/>
              </w:rPr>
              <w:t>1</w:t>
            </w:r>
          </w:p>
        </w:tc>
        <w:tc>
          <w:tcPr>
            <w:tcW w:w="2542" w:type="dxa"/>
          </w:tcPr>
          <w:p w:rsidR="002871C9" w:rsidRPr="00D630D1" w:rsidRDefault="002871C9" w:rsidP="002871C9">
            <w:pPr>
              <w:topLinePunct w:val="0"/>
              <w:adjustRightInd/>
              <w:spacing w:before="72" w:line="186" w:lineRule="auto"/>
              <w:ind w:left="1059"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0.1</w:t>
            </w:r>
            <w:r w:rsidRPr="00D630D1">
              <w:rPr>
                <w:rFonts w:ascii="Times New Roman" w:eastAsia="Times New Roman" w:cs="Times New Roman"/>
                <w:spacing w:val="-1"/>
                <w:kern w:val="2"/>
                <w:sz w:val="21"/>
                <w:szCs w:val="21"/>
              </w:rPr>
              <w:t>6</w:t>
            </w:r>
          </w:p>
        </w:tc>
      </w:tr>
      <w:tr w:rsidR="002871C9" w:rsidRPr="00D630D1" w:rsidTr="002871C9">
        <w:trPr>
          <w:trHeight w:val="305"/>
          <w:jc w:val="center"/>
        </w:trPr>
        <w:tc>
          <w:tcPr>
            <w:tcW w:w="4174" w:type="dxa"/>
          </w:tcPr>
          <w:p w:rsidR="002871C9" w:rsidRPr="00D630D1" w:rsidRDefault="002871C9" w:rsidP="002871C9">
            <w:pPr>
              <w:topLinePunct w:val="0"/>
              <w:adjustRightInd/>
              <w:spacing w:before="55" w:line="219" w:lineRule="auto"/>
              <w:ind w:left="1523" w:firstLineChars="0" w:firstLine="0"/>
              <w:rPr>
                <w:rFonts w:ascii="Times New Roman" w:cs="Times New Roman"/>
                <w:kern w:val="2"/>
                <w:sz w:val="21"/>
                <w:szCs w:val="21"/>
              </w:rPr>
            </w:pPr>
            <w:r w:rsidRPr="00D630D1">
              <w:rPr>
                <w:rFonts w:ascii="Times New Roman" w:eastAsia="Times New Roman" w:cs="Times New Roman"/>
                <w:spacing w:val="-6"/>
                <w:kern w:val="2"/>
                <w:sz w:val="21"/>
                <w:szCs w:val="21"/>
              </w:rPr>
              <w:t>1</w:t>
            </w:r>
            <w:r w:rsidRPr="00D630D1">
              <w:rPr>
                <w:rFonts w:ascii="Times New Roman" w:eastAsia="Times New Roman" w:cs="Times New Roman"/>
                <w:spacing w:val="-3"/>
                <w:kern w:val="2"/>
                <w:sz w:val="21"/>
                <w:szCs w:val="21"/>
              </w:rPr>
              <w:t>4.</w:t>
            </w:r>
            <w:r w:rsidRPr="00D630D1">
              <w:rPr>
                <w:rFonts w:ascii="Times New Roman" w:cs="Times New Roman"/>
                <w:spacing w:val="-3"/>
                <w:kern w:val="2"/>
                <w:sz w:val="21"/>
                <w:szCs w:val="21"/>
              </w:rPr>
              <w:t>东亚分布</w:t>
            </w:r>
          </w:p>
        </w:tc>
        <w:tc>
          <w:tcPr>
            <w:tcW w:w="1590" w:type="dxa"/>
          </w:tcPr>
          <w:p w:rsidR="002871C9" w:rsidRPr="00D630D1" w:rsidRDefault="002871C9" w:rsidP="002871C9">
            <w:pPr>
              <w:topLinePunct w:val="0"/>
              <w:adjustRightInd/>
              <w:spacing w:before="73" w:line="186" w:lineRule="auto"/>
              <w:ind w:left="662" w:firstLineChars="0" w:firstLine="0"/>
              <w:rPr>
                <w:rFonts w:ascii="Times New Roman" w:eastAsia="Times New Roman" w:cs="Times New Roman"/>
                <w:kern w:val="2"/>
                <w:sz w:val="21"/>
                <w:szCs w:val="21"/>
              </w:rPr>
            </w:pPr>
            <w:r w:rsidRPr="00D630D1">
              <w:rPr>
                <w:rFonts w:ascii="Times New Roman" w:eastAsia="Times New Roman" w:cs="Times New Roman"/>
                <w:spacing w:val="-2"/>
                <w:kern w:val="2"/>
                <w:sz w:val="21"/>
                <w:szCs w:val="21"/>
              </w:rPr>
              <w:t>72</w:t>
            </w:r>
          </w:p>
        </w:tc>
        <w:tc>
          <w:tcPr>
            <w:tcW w:w="2542" w:type="dxa"/>
          </w:tcPr>
          <w:p w:rsidR="002871C9" w:rsidRPr="00D630D1" w:rsidRDefault="002871C9" w:rsidP="002871C9">
            <w:pPr>
              <w:topLinePunct w:val="0"/>
              <w:adjustRightInd/>
              <w:spacing w:before="73" w:line="186" w:lineRule="auto"/>
              <w:ind w:left="1023" w:firstLineChars="0" w:firstLine="0"/>
              <w:rPr>
                <w:rFonts w:ascii="Times New Roman" w:eastAsia="Times New Roman" w:cs="Times New Roman"/>
                <w:kern w:val="2"/>
                <w:sz w:val="21"/>
                <w:szCs w:val="21"/>
              </w:rPr>
            </w:pPr>
            <w:r w:rsidRPr="00D630D1">
              <w:rPr>
                <w:rFonts w:ascii="Times New Roman" w:eastAsia="Times New Roman" w:cs="Times New Roman"/>
                <w:spacing w:val="-8"/>
                <w:kern w:val="2"/>
                <w:sz w:val="21"/>
                <w:szCs w:val="21"/>
              </w:rPr>
              <w:t>1</w:t>
            </w:r>
            <w:r w:rsidRPr="00D630D1">
              <w:rPr>
                <w:rFonts w:ascii="Times New Roman" w:eastAsia="Times New Roman" w:cs="Times New Roman"/>
                <w:spacing w:val="-4"/>
                <w:kern w:val="2"/>
                <w:sz w:val="21"/>
                <w:szCs w:val="21"/>
              </w:rPr>
              <w:t>4.23</w:t>
            </w:r>
          </w:p>
        </w:tc>
      </w:tr>
      <w:tr w:rsidR="002871C9" w:rsidRPr="00D630D1" w:rsidTr="002871C9">
        <w:trPr>
          <w:trHeight w:val="306"/>
          <w:jc w:val="center"/>
        </w:trPr>
        <w:tc>
          <w:tcPr>
            <w:tcW w:w="4174" w:type="dxa"/>
          </w:tcPr>
          <w:p w:rsidR="002871C9" w:rsidRPr="00D630D1" w:rsidRDefault="002871C9" w:rsidP="002871C9">
            <w:pPr>
              <w:topLinePunct w:val="0"/>
              <w:adjustRightInd/>
              <w:spacing w:before="56" w:line="219" w:lineRule="auto"/>
              <w:ind w:left="1523" w:firstLineChars="0" w:firstLine="0"/>
              <w:rPr>
                <w:rFonts w:ascii="Times New Roman" w:cs="Times New Roman"/>
                <w:kern w:val="2"/>
                <w:sz w:val="21"/>
                <w:szCs w:val="21"/>
              </w:rPr>
            </w:pPr>
            <w:r w:rsidRPr="00D630D1">
              <w:rPr>
                <w:rFonts w:ascii="Times New Roman" w:eastAsia="Times New Roman" w:cs="Times New Roman"/>
                <w:spacing w:val="-6"/>
                <w:kern w:val="2"/>
                <w:sz w:val="21"/>
                <w:szCs w:val="21"/>
              </w:rPr>
              <w:t>1</w:t>
            </w:r>
            <w:r w:rsidRPr="00D630D1">
              <w:rPr>
                <w:rFonts w:ascii="Times New Roman" w:eastAsia="Times New Roman" w:cs="Times New Roman"/>
                <w:spacing w:val="-3"/>
                <w:kern w:val="2"/>
                <w:sz w:val="21"/>
                <w:szCs w:val="21"/>
              </w:rPr>
              <w:t>5.</w:t>
            </w:r>
            <w:r w:rsidRPr="00D630D1">
              <w:rPr>
                <w:rFonts w:ascii="Times New Roman" w:cs="Times New Roman"/>
                <w:spacing w:val="-3"/>
                <w:kern w:val="2"/>
                <w:sz w:val="21"/>
                <w:szCs w:val="21"/>
              </w:rPr>
              <w:t>中国特有</w:t>
            </w:r>
          </w:p>
        </w:tc>
        <w:tc>
          <w:tcPr>
            <w:tcW w:w="1590" w:type="dxa"/>
          </w:tcPr>
          <w:p w:rsidR="002871C9" w:rsidRPr="00D630D1" w:rsidRDefault="002871C9" w:rsidP="002871C9">
            <w:pPr>
              <w:topLinePunct w:val="0"/>
              <w:adjustRightInd/>
              <w:spacing w:before="72" w:line="186" w:lineRule="auto"/>
              <w:ind w:left="717" w:firstLineChars="0" w:firstLine="0"/>
              <w:rPr>
                <w:rFonts w:ascii="Times New Roman" w:eastAsia="Times New Roman" w:cs="Times New Roman"/>
                <w:kern w:val="2"/>
                <w:sz w:val="21"/>
                <w:szCs w:val="21"/>
              </w:rPr>
            </w:pPr>
            <w:r w:rsidRPr="00D630D1">
              <w:rPr>
                <w:rFonts w:ascii="Times New Roman" w:eastAsia="Times New Roman" w:cs="Times New Roman"/>
                <w:kern w:val="2"/>
                <w:sz w:val="21"/>
                <w:szCs w:val="21"/>
              </w:rPr>
              <w:t>6</w:t>
            </w:r>
          </w:p>
        </w:tc>
        <w:tc>
          <w:tcPr>
            <w:tcW w:w="2542" w:type="dxa"/>
          </w:tcPr>
          <w:p w:rsidR="002871C9" w:rsidRPr="00D630D1" w:rsidRDefault="002871C9" w:rsidP="002871C9">
            <w:pPr>
              <w:topLinePunct w:val="0"/>
              <w:adjustRightInd/>
              <w:spacing w:before="72" w:line="186" w:lineRule="auto"/>
              <w:ind w:left="1076" w:firstLineChars="0" w:firstLine="0"/>
              <w:rPr>
                <w:rFonts w:ascii="Times New Roman" w:eastAsia="Times New Roman" w:cs="Times New Roman"/>
                <w:kern w:val="2"/>
                <w:sz w:val="21"/>
                <w:szCs w:val="21"/>
              </w:rPr>
            </w:pPr>
            <w:r w:rsidRPr="00D630D1">
              <w:rPr>
                <w:rFonts w:ascii="Times New Roman" w:eastAsia="Times New Roman" w:cs="Times New Roman"/>
                <w:spacing w:val="-6"/>
                <w:kern w:val="2"/>
                <w:sz w:val="21"/>
                <w:szCs w:val="21"/>
              </w:rPr>
              <w:t>1.19</w:t>
            </w:r>
          </w:p>
        </w:tc>
      </w:tr>
      <w:tr w:rsidR="002871C9" w:rsidRPr="00D630D1" w:rsidTr="002871C9">
        <w:trPr>
          <w:trHeight w:val="309"/>
          <w:jc w:val="center"/>
        </w:trPr>
        <w:tc>
          <w:tcPr>
            <w:tcW w:w="4174" w:type="dxa"/>
          </w:tcPr>
          <w:p w:rsidR="002871C9" w:rsidRPr="00D630D1" w:rsidRDefault="002871C9" w:rsidP="002871C9">
            <w:pPr>
              <w:topLinePunct w:val="0"/>
              <w:adjustRightInd/>
              <w:spacing w:before="55" w:line="221" w:lineRule="auto"/>
              <w:ind w:left="1691" w:firstLineChars="0" w:firstLine="0"/>
              <w:rPr>
                <w:rFonts w:ascii="Times New Roman" w:cs="Times New Roman"/>
                <w:kern w:val="2"/>
                <w:sz w:val="21"/>
                <w:szCs w:val="21"/>
              </w:rPr>
            </w:pPr>
            <w:r w:rsidRPr="00D630D1">
              <w:rPr>
                <w:rFonts w:ascii="Times New Roman" w:cs="Times New Roman"/>
                <w:spacing w:val="-1"/>
                <w:kern w:val="2"/>
                <w:sz w:val="21"/>
                <w:szCs w:val="21"/>
              </w:rPr>
              <w:t>合</w:t>
            </w:r>
            <w:r w:rsidRPr="00D630D1">
              <w:rPr>
                <w:rFonts w:ascii="Times New Roman" w:cs="Times New Roman"/>
                <w:kern w:val="2"/>
                <w:sz w:val="21"/>
                <w:szCs w:val="21"/>
              </w:rPr>
              <w:t>计</w:t>
            </w:r>
          </w:p>
        </w:tc>
        <w:tc>
          <w:tcPr>
            <w:tcW w:w="1590" w:type="dxa"/>
          </w:tcPr>
          <w:p w:rsidR="002871C9" w:rsidRPr="00D630D1" w:rsidRDefault="002871C9" w:rsidP="002871C9">
            <w:pPr>
              <w:topLinePunct w:val="0"/>
              <w:adjustRightInd/>
              <w:spacing w:before="72" w:line="186" w:lineRule="auto"/>
              <w:ind w:left="612" w:firstLineChars="0" w:firstLine="0"/>
              <w:rPr>
                <w:rFonts w:ascii="Times New Roman" w:eastAsia="Times New Roman" w:cs="Times New Roman"/>
                <w:kern w:val="2"/>
                <w:sz w:val="21"/>
                <w:szCs w:val="21"/>
              </w:rPr>
            </w:pPr>
            <w:r w:rsidRPr="00D630D1">
              <w:rPr>
                <w:rFonts w:ascii="Times New Roman" w:eastAsia="Times New Roman" w:cs="Times New Roman"/>
                <w:spacing w:val="-3"/>
                <w:kern w:val="2"/>
                <w:sz w:val="21"/>
                <w:szCs w:val="21"/>
              </w:rPr>
              <w:t>5</w:t>
            </w:r>
            <w:r w:rsidRPr="00D630D1">
              <w:rPr>
                <w:rFonts w:ascii="Times New Roman" w:eastAsia="Times New Roman" w:cs="Times New Roman"/>
                <w:spacing w:val="-2"/>
                <w:kern w:val="2"/>
                <w:sz w:val="21"/>
                <w:szCs w:val="21"/>
              </w:rPr>
              <w:t>06</w:t>
            </w:r>
          </w:p>
        </w:tc>
        <w:tc>
          <w:tcPr>
            <w:tcW w:w="2542" w:type="dxa"/>
          </w:tcPr>
          <w:p w:rsidR="002871C9" w:rsidRPr="00D630D1" w:rsidRDefault="002871C9" w:rsidP="002871C9">
            <w:pPr>
              <w:topLinePunct w:val="0"/>
              <w:adjustRightInd/>
              <w:spacing w:before="72" w:line="186" w:lineRule="auto"/>
              <w:ind w:firstLineChars="0" w:firstLine="0"/>
              <w:jc w:val="center"/>
              <w:rPr>
                <w:rFonts w:ascii="Times New Roman" w:eastAsiaTheme="minorEastAsia" w:cs="Times New Roman"/>
                <w:kern w:val="2"/>
                <w:sz w:val="21"/>
                <w:szCs w:val="21"/>
              </w:rPr>
            </w:pPr>
            <w:r w:rsidRPr="00D630D1">
              <w:rPr>
                <w:rFonts w:ascii="Times New Roman" w:eastAsia="Times New Roman" w:cs="Times New Roman"/>
                <w:spacing w:val="-4"/>
                <w:kern w:val="2"/>
                <w:sz w:val="21"/>
                <w:szCs w:val="21"/>
              </w:rPr>
              <w:t>100</w:t>
            </w:r>
          </w:p>
        </w:tc>
      </w:tr>
    </w:tbl>
    <w:p w:rsidR="002871C9" w:rsidRPr="00D630D1" w:rsidRDefault="002871C9" w:rsidP="002871C9">
      <w:pPr>
        <w:topLinePunct w:val="0"/>
        <w:adjustRightInd/>
        <w:spacing w:before="29" w:line="233" w:lineRule="auto"/>
        <w:ind w:left="458" w:firstLineChars="0" w:firstLine="0"/>
        <w:rPr>
          <w:rFonts w:ascii="Times New Roman" w:cs="Times New Roman"/>
          <w:kern w:val="2"/>
          <w:sz w:val="21"/>
          <w:szCs w:val="21"/>
        </w:rPr>
      </w:pPr>
      <w:r w:rsidRPr="00D630D1">
        <w:rPr>
          <w:rFonts w:ascii="Times New Roman" w:cs="Times New Roman"/>
          <w:spacing w:val="-23"/>
          <w:kern w:val="2"/>
          <w:sz w:val="21"/>
          <w:szCs w:val="21"/>
        </w:rPr>
        <w:t>注</w:t>
      </w:r>
      <w:r w:rsidRPr="00D630D1">
        <w:rPr>
          <w:rFonts w:ascii="Times New Roman" w:cs="Times New Roman" w:hint="eastAsia"/>
          <w:spacing w:val="-23"/>
          <w:kern w:val="2"/>
          <w:sz w:val="21"/>
          <w:szCs w:val="21"/>
        </w:rPr>
        <w:t>：</w:t>
      </w:r>
      <w:r w:rsidRPr="00D630D1">
        <w:rPr>
          <w:rFonts w:ascii="Times New Roman" w:cs="Times New Roman" w:hint="eastAsia"/>
          <w:spacing w:val="-14"/>
          <w:kern w:val="2"/>
          <w:sz w:val="21"/>
          <w:szCs w:val="21"/>
        </w:rPr>
        <w:t>“</w:t>
      </w:r>
      <w:r w:rsidRPr="00D630D1">
        <w:rPr>
          <w:rFonts w:ascii="Times New Roman" w:cs="Times New Roman" w:hint="eastAsia"/>
          <w:spacing w:val="-14"/>
          <w:kern w:val="2"/>
          <w:sz w:val="21"/>
          <w:szCs w:val="21"/>
        </w:rPr>
        <w:t>*</w:t>
      </w:r>
      <w:r w:rsidRPr="00D630D1">
        <w:rPr>
          <w:rFonts w:ascii="Times New Roman" w:cs="Times New Roman" w:hint="eastAsia"/>
          <w:spacing w:val="-14"/>
          <w:kern w:val="2"/>
          <w:sz w:val="21"/>
          <w:szCs w:val="21"/>
        </w:rPr>
        <w:t>”</w:t>
      </w:r>
      <w:r w:rsidRPr="00D630D1">
        <w:rPr>
          <w:rFonts w:ascii="Times New Roman" w:cs="Times New Roman"/>
          <w:spacing w:val="-14"/>
          <w:kern w:val="2"/>
          <w:sz w:val="21"/>
          <w:szCs w:val="21"/>
        </w:rPr>
        <w:t>不含世界广布类型</w:t>
      </w:r>
    </w:p>
    <w:p w:rsidR="002871C9" w:rsidRPr="00D630D1" w:rsidRDefault="002871C9" w:rsidP="002871C9">
      <w:pPr>
        <w:pStyle w:val="afa"/>
        <w:ind w:firstLine="500"/>
        <w:rPr>
          <w:spacing w:val="15"/>
          <w:kern w:val="2"/>
          <w:szCs w:val="24"/>
        </w:rPr>
      </w:pPr>
      <w:r w:rsidRPr="00D630D1">
        <w:rPr>
          <w:spacing w:val="5"/>
          <w:kern w:val="2"/>
          <w:szCs w:val="24"/>
        </w:rPr>
        <w:t>上表的统计结果来看，</w:t>
      </w:r>
      <w:r w:rsidRPr="00D630D1">
        <w:rPr>
          <w:rFonts w:hint="eastAsia"/>
          <w:spacing w:val="5"/>
          <w:kern w:val="2"/>
          <w:szCs w:val="24"/>
        </w:rPr>
        <w:t>项目区域</w:t>
      </w:r>
      <w:r w:rsidRPr="00D630D1">
        <w:rPr>
          <w:spacing w:val="5"/>
          <w:kern w:val="2"/>
          <w:szCs w:val="24"/>
        </w:rPr>
        <w:t>热带分布区类型属</w:t>
      </w:r>
      <w:r w:rsidRPr="00D630D1">
        <w:rPr>
          <w:rFonts w:hint="eastAsia"/>
          <w:spacing w:val="5"/>
          <w:kern w:val="2"/>
          <w:szCs w:val="24"/>
        </w:rPr>
        <w:t>（</w:t>
      </w:r>
      <w:r w:rsidRPr="00D630D1">
        <w:rPr>
          <w:rFonts w:eastAsia="Times New Roman"/>
          <w:spacing w:val="5"/>
          <w:kern w:val="2"/>
          <w:szCs w:val="24"/>
        </w:rPr>
        <w:t>2-7</w:t>
      </w:r>
      <w:r w:rsidRPr="00D630D1">
        <w:rPr>
          <w:rFonts w:hint="eastAsia"/>
          <w:spacing w:val="5"/>
          <w:kern w:val="2"/>
          <w:szCs w:val="24"/>
        </w:rPr>
        <w:t>）</w:t>
      </w:r>
      <w:r w:rsidRPr="00D630D1">
        <w:rPr>
          <w:spacing w:val="5"/>
          <w:kern w:val="2"/>
          <w:szCs w:val="24"/>
        </w:rPr>
        <w:t>含有</w:t>
      </w:r>
      <w:r w:rsidRPr="00D630D1">
        <w:rPr>
          <w:rFonts w:eastAsia="Times New Roman"/>
          <w:spacing w:val="5"/>
          <w:kern w:val="2"/>
          <w:szCs w:val="24"/>
        </w:rPr>
        <w:t>199</w:t>
      </w:r>
      <w:r w:rsidRPr="00D630D1">
        <w:rPr>
          <w:spacing w:val="5"/>
          <w:kern w:val="2"/>
          <w:szCs w:val="24"/>
        </w:rPr>
        <w:t>属，占</w:t>
      </w:r>
      <w:r w:rsidRPr="00D630D1">
        <w:rPr>
          <w:rFonts w:hint="eastAsia"/>
          <w:spacing w:val="4"/>
          <w:kern w:val="2"/>
          <w:szCs w:val="24"/>
        </w:rPr>
        <w:t>项目区域</w:t>
      </w:r>
      <w:r w:rsidRPr="00D630D1">
        <w:rPr>
          <w:spacing w:val="-1"/>
          <w:kern w:val="2"/>
          <w:szCs w:val="24"/>
        </w:rPr>
        <w:t>非世界分布种子植物总属数的</w:t>
      </w:r>
      <w:r w:rsidRPr="00D630D1">
        <w:rPr>
          <w:rFonts w:eastAsia="Times New Roman"/>
          <w:spacing w:val="-1"/>
          <w:kern w:val="2"/>
          <w:szCs w:val="24"/>
        </w:rPr>
        <w:t>39.35%</w:t>
      </w:r>
      <w:r w:rsidRPr="00D630D1">
        <w:rPr>
          <w:spacing w:val="-1"/>
          <w:kern w:val="2"/>
          <w:szCs w:val="24"/>
        </w:rPr>
        <w:t>，具有代表性的属</w:t>
      </w:r>
      <w:r w:rsidRPr="00D630D1">
        <w:rPr>
          <w:kern w:val="2"/>
          <w:szCs w:val="24"/>
        </w:rPr>
        <w:t>有冬青属</w:t>
      </w:r>
      <w:r w:rsidRPr="00D630D1">
        <w:rPr>
          <w:rFonts w:eastAsia="Times New Roman"/>
          <w:i/>
          <w:iCs/>
          <w:kern w:val="2"/>
          <w:szCs w:val="24"/>
        </w:rPr>
        <w:t>Ilex</w:t>
      </w:r>
      <w:r w:rsidRPr="00D630D1">
        <w:rPr>
          <w:kern w:val="2"/>
          <w:szCs w:val="24"/>
        </w:rPr>
        <w:t>、柃木属</w:t>
      </w:r>
      <w:r w:rsidRPr="00D630D1">
        <w:rPr>
          <w:rFonts w:eastAsia="Times New Roman"/>
          <w:i/>
          <w:iCs/>
          <w:spacing w:val="-4"/>
          <w:kern w:val="2"/>
          <w:szCs w:val="24"/>
        </w:rPr>
        <w:t>Eurya</w:t>
      </w:r>
      <w:r w:rsidRPr="00D630D1">
        <w:rPr>
          <w:spacing w:val="-4"/>
          <w:kern w:val="2"/>
          <w:szCs w:val="24"/>
        </w:rPr>
        <w:t>、凤仙花属</w:t>
      </w:r>
      <w:r w:rsidRPr="00D630D1">
        <w:rPr>
          <w:rFonts w:eastAsia="Times New Roman"/>
          <w:i/>
          <w:iCs/>
          <w:spacing w:val="-4"/>
          <w:kern w:val="2"/>
          <w:szCs w:val="24"/>
        </w:rPr>
        <w:t>Impatiens</w:t>
      </w:r>
      <w:r w:rsidRPr="00D630D1">
        <w:rPr>
          <w:spacing w:val="-4"/>
          <w:kern w:val="2"/>
          <w:szCs w:val="24"/>
        </w:rPr>
        <w:t>、醉鱼草属</w:t>
      </w:r>
      <w:r w:rsidRPr="00D630D1">
        <w:rPr>
          <w:rFonts w:eastAsia="Times New Roman"/>
          <w:i/>
          <w:iCs/>
          <w:spacing w:val="-4"/>
          <w:kern w:val="2"/>
          <w:szCs w:val="24"/>
        </w:rPr>
        <w:t>Buddl</w:t>
      </w:r>
      <w:r w:rsidRPr="00D630D1">
        <w:rPr>
          <w:rFonts w:eastAsia="Times New Roman"/>
          <w:i/>
          <w:iCs/>
          <w:spacing w:val="-2"/>
          <w:kern w:val="2"/>
          <w:szCs w:val="24"/>
        </w:rPr>
        <w:t>e</w:t>
      </w:r>
      <w:r w:rsidRPr="00D630D1">
        <w:rPr>
          <w:rFonts w:eastAsia="Times New Roman"/>
          <w:i/>
          <w:iCs/>
          <w:kern w:val="2"/>
          <w:szCs w:val="24"/>
        </w:rPr>
        <w:t>ja</w:t>
      </w:r>
      <w:r w:rsidRPr="00D630D1">
        <w:rPr>
          <w:spacing w:val="-4"/>
          <w:kern w:val="2"/>
          <w:szCs w:val="24"/>
        </w:rPr>
        <w:t>等；温带分布区类型</w:t>
      </w:r>
      <w:r w:rsidRPr="00D630D1">
        <w:rPr>
          <w:rFonts w:hint="eastAsia"/>
          <w:spacing w:val="-4"/>
          <w:kern w:val="2"/>
          <w:szCs w:val="24"/>
        </w:rPr>
        <w:t>（</w:t>
      </w:r>
      <w:r w:rsidRPr="00D630D1">
        <w:rPr>
          <w:rFonts w:eastAsia="Times New Roman"/>
          <w:spacing w:val="-4"/>
          <w:kern w:val="2"/>
          <w:szCs w:val="24"/>
        </w:rPr>
        <w:t>8-14</w:t>
      </w:r>
      <w:r w:rsidRPr="00D630D1">
        <w:rPr>
          <w:rFonts w:hint="eastAsia"/>
          <w:spacing w:val="-4"/>
          <w:kern w:val="2"/>
          <w:szCs w:val="24"/>
        </w:rPr>
        <w:t>）</w:t>
      </w:r>
      <w:r w:rsidRPr="00D630D1">
        <w:rPr>
          <w:spacing w:val="-4"/>
          <w:kern w:val="2"/>
          <w:szCs w:val="24"/>
        </w:rPr>
        <w:t>含有</w:t>
      </w:r>
      <w:r w:rsidRPr="00D630D1">
        <w:rPr>
          <w:rFonts w:eastAsia="Times New Roman"/>
          <w:spacing w:val="1"/>
          <w:kern w:val="2"/>
          <w:szCs w:val="24"/>
        </w:rPr>
        <w:t>257</w:t>
      </w:r>
      <w:r w:rsidRPr="00D630D1">
        <w:rPr>
          <w:spacing w:val="1"/>
          <w:kern w:val="2"/>
          <w:szCs w:val="24"/>
        </w:rPr>
        <w:t>属，占评价区非世界分布种子植物</w:t>
      </w:r>
      <w:r w:rsidRPr="00D630D1">
        <w:rPr>
          <w:kern w:val="2"/>
          <w:szCs w:val="24"/>
        </w:rPr>
        <w:t>总属数的</w:t>
      </w:r>
      <w:r w:rsidRPr="00D630D1">
        <w:rPr>
          <w:rFonts w:eastAsia="Times New Roman"/>
          <w:kern w:val="2"/>
          <w:szCs w:val="24"/>
        </w:rPr>
        <w:t>50.84%</w:t>
      </w:r>
      <w:r w:rsidRPr="00D630D1">
        <w:rPr>
          <w:kern w:val="2"/>
          <w:szCs w:val="24"/>
        </w:rPr>
        <w:t>，具有代表性的有胡颓子</w:t>
      </w:r>
      <w:r w:rsidRPr="00D630D1">
        <w:rPr>
          <w:spacing w:val="-8"/>
          <w:kern w:val="2"/>
          <w:szCs w:val="24"/>
        </w:rPr>
        <w:t>属</w:t>
      </w:r>
      <w:r w:rsidRPr="00D630D1">
        <w:rPr>
          <w:rFonts w:eastAsia="Times New Roman"/>
          <w:i/>
          <w:iCs/>
          <w:spacing w:val="-4"/>
          <w:kern w:val="2"/>
          <w:szCs w:val="24"/>
        </w:rPr>
        <w:t>Elaeagnus</w:t>
      </w:r>
      <w:r w:rsidRPr="00D630D1">
        <w:rPr>
          <w:spacing w:val="-8"/>
          <w:kern w:val="2"/>
          <w:szCs w:val="24"/>
        </w:rPr>
        <w:t>、胡桃属</w:t>
      </w:r>
      <w:r w:rsidRPr="00D630D1">
        <w:rPr>
          <w:rFonts w:eastAsia="Times New Roman"/>
          <w:i/>
          <w:iCs/>
          <w:spacing w:val="-4"/>
          <w:kern w:val="2"/>
          <w:szCs w:val="24"/>
        </w:rPr>
        <w:t>Juglans</w:t>
      </w:r>
      <w:r w:rsidRPr="00D630D1">
        <w:rPr>
          <w:spacing w:val="-8"/>
          <w:kern w:val="2"/>
          <w:szCs w:val="24"/>
        </w:rPr>
        <w:t>、</w:t>
      </w:r>
      <w:r w:rsidRPr="00D630D1">
        <w:rPr>
          <w:spacing w:val="-7"/>
          <w:kern w:val="2"/>
          <w:szCs w:val="24"/>
        </w:rPr>
        <w:t>报</w:t>
      </w:r>
      <w:r w:rsidRPr="00D630D1">
        <w:rPr>
          <w:spacing w:val="-4"/>
          <w:kern w:val="2"/>
          <w:szCs w:val="24"/>
        </w:rPr>
        <w:t>春花属</w:t>
      </w:r>
      <w:r w:rsidRPr="00D630D1">
        <w:rPr>
          <w:rFonts w:eastAsia="Times New Roman"/>
          <w:i/>
          <w:iCs/>
          <w:spacing w:val="-4"/>
          <w:kern w:val="2"/>
          <w:szCs w:val="24"/>
        </w:rPr>
        <w:t>Primula</w:t>
      </w:r>
      <w:r w:rsidRPr="00D630D1">
        <w:rPr>
          <w:spacing w:val="-4"/>
          <w:kern w:val="2"/>
          <w:szCs w:val="24"/>
        </w:rPr>
        <w:t>、杜鹃属</w:t>
      </w:r>
      <w:r w:rsidRPr="00D630D1">
        <w:rPr>
          <w:rFonts w:eastAsia="Times New Roman"/>
          <w:i/>
          <w:iCs/>
          <w:spacing w:val="-4"/>
          <w:kern w:val="2"/>
          <w:szCs w:val="24"/>
        </w:rPr>
        <w:t>Rhododendron</w:t>
      </w:r>
      <w:r w:rsidRPr="00D630D1">
        <w:rPr>
          <w:spacing w:val="-4"/>
          <w:kern w:val="2"/>
          <w:szCs w:val="24"/>
        </w:rPr>
        <w:t>、胡枝子</w:t>
      </w:r>
      <w:r w:rsidRPr="00D630D1">
        <w:rPr>
          <w:spacing w:val="-10"/>
          <w:kern w:val="2"/>
          <w:szCs w:val="24"/>
        </w:rPr>
        <w:t>属</w:t>
      </w:r>
      <w:r w:rsidRPr="00D630D1">
        <w:rPr>
          <w:rFonts w:eastAsia="Times New Roman"/>
          <w:i/>
          <w:iCs/>
          <w:spacing w:val="-10"/>
          <w:kern w:val="2"/>
          <w:szCs w:val="24"/>
        </w:rPr>
        <w:t>Lespedeza</w:t>
      </w:r>
      <w:r w:rsidRPr="00D630D1">
        <w:rPr>
          <w:spacing w:val="-10"/>
          <w:kern w:val="2"/>
          <w:szCs w:val="24"/>
        </w:rPr>
        <w:t>、接骨木属</w:t>
      </w:r>
      <w:r w:rsidRPr="00D630D1">
        <w:rPr>
          <w:rFonts w:eastAsia="Times New Roman"/>
          <w:i/>
          <w:iCs/>
          <w:spacing w:val="-10"/>
          <w:kern w:val="2"/>
          <w:szCs w:val="24"/>
        </w:rPr>
        <w:t>Sambucus</w:t>
      </w:r>
      <w:r w:rsidRPr="00D630D1">
        <w:rPr>
          <w:spacing w:val="-10"/>
          <w:kern w:val="2"/>
          <w:szCs w:val="24"/>
        </w:rPr>
        <w:t>、楤木属</w:t>
      </w:r>
      <w:r w:rsidRPr="00D630D1">
        <w:rPr>
          <w:rFonts w:eastAsia="Times New Roman"/>
          <w:i/>
          <w:iCs/>
          <w:spacing w:val="-10"/>
          <w:kern w:val="2"/>
          <w:szCs w:val="24"/>
        </w:rPr>
        <w:t>Aralia</w:t>
      </w:r>
      <w:r w:rsidRPr="00D630D1">
        <w:rPr>
          <w:spacing w:val="-10"/>
          <w:kern w:val="2"/>
          <w:szCs w:val="24"/>
        </w:rPr>
        <w:t>、马桑属</w:t>
      </w:r>
      <w:r w:rsidRPr="00D630D1">
        <w:rPr>
          <w:rFonts w:eastAsia="Times New Roman"/>
          <w:i/>
          <w:iCs/>
          <w:spacing w:val="-10"/>
          <w:kern w:val="2"/>
          <w:szCs w:val="24"/>
        </w:rPr>
        <w:t>Coriaria</w:t>
      </w:r>
      <w:r w:rsidRPr="00D630D1">
        <w:rPr>
          <w:spacing w:val="-10"/>
          <w:kern w:val="2"/>
          <w:szCs w:val="24"/>
        </w:rPr>
        <w:t>、荚蒾属</w:t>
      </w:r>
      <w:r w:rsidRPr="00D630D1">
        <w:rPr>
          <w:rFonts w:eastAsia="Times New Roman"/>
          <w:i/>
          <w:iCs/>
          <w:spacing w:val="-10"/>
          <w:kern w:val="2"/>
          <w:szCs w:val="24"/>
        </w:rPr>
        <w:t>Viburnu</w:t>
      </w:r>
      <w:r w:rsidRPr="00D630D1">
        <w:rPr>
          <w:rFonts w:eastAsia="Times New Roman"/>
          <w:i/>
          <w:iCs/>
          <w:spacing w:val="-1"/>
          <w:kern w:val="2"/>
          <w:szCs w:val="24"/>
        </w:rPr>
        <w:t>m</w:t>
      </w:r>
      <w:r w:rsidRPr="00D630D1">
        <w:rPr>
          <w:spacing w:val="-10"/>
          <w:kern w:val="2"/>
          <w:szCs w:val="24"/>
        </w:rPr>
        <w:t>、</w:t>
      </w:r>
      <w:r w:rsidRPr="00D630D1">
        <w:rPr>
          <w:spacing w:val="-6"/>
          <w:kern w:val="2"/>
          <w:szCs w:val="24"/>
        </w:rPr>
        <w:t>栎属</w:t>
      </w:r>
      <w:r w:rsidRPr="00D630D1">
        <w:rPr>
          <w:rFonts w:eastAsia="Times New Roman"/>
          <w:i/>
          <w:iCs/>
          <w:spacing w:val="-3"/>
          <w:kern w:val="2"/>
          <w:szCs w:val="24"/>
        </w:rPr>
        <w:t>Quercus</w:t>
      </w:r>
      <w:r w:rsidRPr="00D630D1">
        <w:rPr>
          <w:spacing w:val="-6"/>
          <w:kern w:val="2"/>
          <w:szCs w:val="24"/>
        </w:rPr>
        <w:t>、蔷薇属</w:t>
      </w:r>
      <w:r w:rsidRPr="00D630D1">
        <w:rPr>
          <w:rFonts w:eastAsia="Times New Roman"/>
          <w:i/>
          <w:iCs/>
          <w:spacing w:val="-3"/>
          <w:kern w:val="2"/>
          <w:szCs w:val="24"/>
        </w:rPr>
        <w:t>Rosa</w:t>
      </w:r>
      <w:r w:rsidRPr="00D630D1">
        <w:rPr>
          <w:spacing w:val="-6"/>
          <w:kern w:val="2"/>
          <w:szCs w:val="24"/>
        </w:rPr>
        <w:t>、忍冬属</w:t>
      </w:r>
      <w:r w:rsidRPr="00D630D1">
        <w:rPr>
          <w:rFonts w:eastAsia="Times New Roman"/>
          <w:i/>
          <w:iCs/>
          <w:spacing w:val="-3"/>
          <w:kern w:val="2"/>
          <w:szCs w:val="24"/>
        </w:rPr>
        <w:t>Lonicera</w:t>
      </w:r>
      <w:r w:rsidRPr="00D630D1">
        <w:rPr>
          <w:spacing w:val="-4"/>
          <w:kern w:val="2"/>
          <w:szCs w:val="24"/>
        </w:rPr>
        <w:t>、</w:t>
      </w:r>
      <w:r w:rsidRPr="00D630D1">
        <w:rPr>
          <w:spacing w:val="-3"/>
          <w:kern w:val="2"/>
          <w:szCs w:val="24"/>
        </w:rPr>
        <w:t>香青属</w:t>
      </w:r>
      <w:r w:rsidRPr="00D630D1">
        <w:rPr>
          <w:rFonts w:eastAsia="Times New Roman"/>
          <w:i/>
          <w:iCs/>
          <w:spacing w:val="-3"/>
          <w:kern w:val="2"/>
          <w:szCs w:val="24"/>
        </w:rPr>
        <w:t>Anaphalis</w:t>
      </w:r>
      <w:r w:rsidRPr="00D630D1">
        <w:rPr>
          <w:spacing w:val="-3"/>
          <w:kern w:val="2"/>
          <w:szCs w:val="24"/>
        </w:rPr>
        <w:t>等；中国特有植</w:t>
      </w:r>
      <w:r w:rsidRPr="00D630D1">
        <w:rPr>
          <w:spacing w:val="-16"/>
          <w:kern w:val="2"/>
          <w:szCs w:val="24"/>
        </w:rPr>
        <w:t>物</w:t>
      </w:r>
      <w:r w:rsidRPr="00D630D1">
        <w:rPr>
          <w:spacing w:val="-9"/>
          <w:kern w:val="2"/>
          <w:szCs w:val="24"/>
        </w:rPr>
        <w:t>属</w:t>
      </w:r>
      <w:r w:rsidRPr="00D630D1">
        <w:rPr>
          <w:rFonts w:eastAsia="Times New Roman"/>
          <w:spacing w:val="-8"/>
          <w:kern w:val="2"/>
          <w:szCs w:val="24"/>
        </w:rPr>
        <w:t>6</w:t>
      </w:r>
      <w:r w:rsidRPr="00D630D1">
        <w:rPr>
          <w:spacing w:val="-8"/>
          <w:kern w:val="2"/>
          <w:szCs w:val="24"/>
        </w:rPr>
        <w:t>属，占</w:t>
      </w:r>
      <w:r w:rsidRPr="00D630D1">
        <w:rPr>
          <w:rFonts w:eastAsia="Times New Roman"/>
          <w:spacing w:val="-8"/>
          <w:kern w:val="2"/>
          <w:szCs w:val="24"/>
        </w:rPr>
        <w:t>1.19%</w:t>
      </w:r>
      <w:r w:rsidRPr="00D630D1">
        <w:rPr>
          <w:spacing w:val="-8"/>
          <w:kern w:val="2"/>
          <w:szCs w:val="24"/>
        </w:rPr>
        <w:t>，分别是喜树属</w:t>
      </w:r>
      <w:r w:rsidRPr="00D630D1">
        <w:rPr>
          <w:rFonts w:eastAsia="Times New Roman"/>
          <w:i/>
          <w:iCs/>
          <w:spacing w:val="-8"/>
          <w:kern w:val="2"/>
          <w:szCs w:val="24"/>
        </w:rPr>
        <w:t>Camptotheca</w:t>
      </w:r>
      <w:r w:rsidRPr="00D630D1">
        <w:rPr>
          <w:spacing w:val="-8"/>
          <w:kern w:val="2"/>
          <w:szCs w:val="24"/>
        </w:rPr>
        <w:t>、杉木属</w:t>
      </w:r>
      <w:r w:rsidRPr="00D630D1">
        <w:rPr>
          <w:rFonts w:eastAsia="Times New Roman"/>
          <w:i/>
          <w:iCs/>
          <w:spacing w:val="-8"/>
          <w:kern w:val="2"/>
          <w:szCs w:val="24"/>
        </w:rPr>
        <w:t>Cunninghamia</w:t>
      </w:r>
      <w:r w:rsidRPr="00D630D1">
        <w:rPr>
          <w:spacing w:val="-8"/>
          <w:kern w:val="2"/>
          <w:szCs w:val="24"/>
        </w:rPr>
        <w:t>、银杏属</w:t>
      </w:r>
      <w:r w:rsidRPr="00D630D1">
        <w:rPr>
          <w:rFonts w:eastAsia="Times New Roman"/>
          <w:i/>
          <w:iCs/>
          <w:spacing w:val="-2"/>
          <w:kern w:val="2"/>
          <w:szCs w:val="24"/>
        </w:rPr>
        <w:t>Ginkgo</w:t>
      </w:r>
      <w:r w:rsidRPr="00D630D1">
        <w:rPr>
          <w:spacing w:val="-2"/>
          <w:kern w:val="2"/>
          <w:szCs w:val="24"/>
        </w:rPr>
        <w:t>、水杉属</w:t>
      </w:r>
      <w:r w:rsidRPr="00D630D1">
        <w:rPr>
          <w:rFonts w:eastAsia="Times New Roman"/>
          <w:i/>
          <w:iCs/>
          <w:spacing w:val="-2"/>
          <w:kern w:val="2"/>
          <w:szCs w:val="24"/>
        </w:rPr>
        <w:t>Metasequoia</w:t>
      </w:r>
      <w:r w:rsidRPr="00D630D1">
        <w:rPr>
          <w:spacing w:val="-2"/>
          <w:kern w:val="2"/>
          <w:szCs w:val="24"/>
        </w:rPr>
        <w:t>、慈竹属</w:t>
      </w:r>
      <w:r w:rsidRPr="00D630D1">
        <w:rPr>
          <w:rFonts w:eastAsia="Times New Roman"/>
          <w:i/>
          <w:iCs/>
          <w:spacing w:val="-2"/>
          <w:kern w:val="2"/>
          <w:szCs w:val="24"/>
        </w:rPr>
        <w:t>Neos</w:t>
      </w:r>
      <w:r w:rsidRPr="00D630D1">
        <w:rPr>
          <w:rFonts w:eastAsia="Times New Roman"/>
          <w:i/>
          <w:iCs/>
          <w:spacing w:val="-1"/>
          <w:kern w:val="2"/>
          <w:szCs w:val="24"/>
        </w:rPr>
        <w:t>inocalamus</w:t>
      </w:r>
      <w:r w:rsidRPr="00D630D1">
        <w:rPr>
          <w:spacing w:val="-2"/>
          <w:kern w:val="2"/>
          <w:szCs w:val="24"/>
        </w:rPr>
        <w:t>、通脱木属</w:t>
      </w:r>
      <w:r w:rsidRPr="00D630D1">
        <w:rPr>
          <w:rFonts w:eastAsia="Times New Roman"/>
          <w:i/>
          <w:iCs/>
          <w:spacing w:val="-1"/>
          <w:kern w:val="2"/>
          <w:szCs w:val="24"/>
        </w:rPr>
        <w:t>Tetrapanax</w:t>
      </w:r>
      <w:r w:rsidRPr="00D630D1">
        <w:rPr>
          <w:spacing w:val="-2"/>
          <w:kern w:val="2"/>
          <w:szCs w:val="24"/>
        </w:rPr>
        <w:t>。从</w:t>
      </w:r>
      <w:r w:rsidRPr="00D630D1">
        <w:rPr>
          <w:spacing w:val="3"/>
          <w:kern w:val="2"/>
          <w:szCs w:val="24"/>
        </w:rPr>
        <w:t>属的分布区类型来看，</w:t>
      </w:r>
      <w:r w:rsidRPr="00D630D1">
        <w:rPr>
          <w:rFonts w:hint="eastAsia"/>
          <w:spacing w:val="3"/>
          <w:kern w:val="2"/>
          <w:szCs w:val="24"/>
        </w:rPr>
        <w:t>区域</w:t>
      </w:r>
      <w:r w:rsidRPr="00D630D1">
        <w:rPr>
          <w:spacing w:val="3"/>
          <w:kern w:val="2"/>
          <w:szCs w:val="24"/>
        </w:rPr>
        <w:t>内种子植物区系成分以北温带分布、东亚分布、</w:t>
      </w:r>
      <w:r w:rsidRPr="00D630D1">
        <w:rPr>
          <w:spacing w:val="1"/>
          <w:kern w:val="2"/>
          <w:szCs w:val="24"/>
        </w:rPr>
        <w:t>泛</w:t>
      </w:r>
      <w:r w:rsidRPr="00D630D1">
        <w:rPr>
          <w:spacing w:val="3"/>
          <w:kern w:val="2"/>
          <w:szCs w:val="24"/>
        </w:rPr>
        <w:t>热带分布、东亚和北美洲间断分布、旧世界温带所代表的温带成分为主，同时</w:t>
      </w:r>
      <w:r w:rsidRPr="00D630D1">
        <w:rPr>
          <w:spacing w:val="1"/>
          <w:kern w:val="2"/>
          <w:szCs w:val="24"/>
        </w:rPr>
        <w:t>热</w:t>
      </w:r>
      <w:r w:rsidRPr="00D630D1">
        <w:rPr>
          <w:spacing w:val="3"/>
          <w:kern w:val="2"/>
          <w:szCs w:val="24"/>
        </w:rPr>
        <w:t>带成分也有近四分之一的比例，反映出</w:t>
      </w:r>
      <w:r w:rsidRPr="00D630D1">
        <w:rPr>
          <w:rFonts w:hint="eastAsia"/>
          <w:spacing w:val="3"/>
          <w:kern w:val="2"/>
          <w:szCs w:val="24"/>
        </w:rPr>
        <w:t>项目区域</w:t>
      </w:r>
      <w:r w:rsidRPr="00D630D1">
        <w:rPr>
          <w:spacing w:val="3"/>
          <w:kern w:val="2"/>
          <w:szCs w:val="24"/>
        </w:rPr>
        <w:t>种子植物在属级水平上区系性质</w:t>
      </w:r>
      <w:r w:rsidRPr="00D630D1">
        <w:rPr>
          <w:spacing w:val="1"/>
          <w:kern w:val="2"/>
          <w:szCs w:val="24"/>
        </w:rPr>
        <w:t>的</w:t>
      </w:r>
      <w:r w:rsidRPr="00D630D1">
        <w:rPr>
          <w:spacing w:val="3"/>
          <w:kern w:val="2"/>
          <w:szCs w:val="24"/>
        </w:rPr>
        <w:t>复杂性，种子植物温带分布属显著多于其他区系成分，因此</w:t>
      </w:r>
      <w:r w:rsidRPr="00D630D1">
        <w:rPr>
          <w:rFonts w:hint="eastAsia"/>
          <w:spacing w:val="3"/>
          <w:kern w:val="2"/>
          <w:szCs w:val="24"/>
        </w:rPr>
        <w:t>项目区域</w:t>
      </w:r>
      <w:r w:rsidRPr="00D630D1">
        <w:rPr>
          <w:spacing w:val="3"/>
          <w:kern w:val="2"/>
          <w:szCs w:val="24"/>
        </w:rPr>
        <w:t>种子植物带</w:t>
      </w:r>
      <w:r w:rsidRPr="00D630D1">
        <w:rPr>
          <w:spacing w:val="1"/>
          <w:kern w:val="2"/>
          <w:szCs w:val="24"/>
        </w:rPr>
        <w:t>有</w:t>
      </w:r>
      <w:r w:rsidRPr="00D630D1">
        <w:rPr>
          <w:spacing w:val="-6"/>
          <w:kern w:val="2"/>
          <w:szCs w:val="24"/>
        </w:rPr>
        <w:t>极其明显的温带</w:t>
      </w:r>
      <w:r w:rsidRPr="00D630D1">
        <w:rPr>
          <w:spacing w:val="-4"/>
          <w:kern w:val="2"/>
          <w:szCs w:val="24"/>
        </w:rPr>
        <w:t>成</w:t>
      </w:r>
      <w:r w:rsidRPr="00D630D1">
        <w:rPr>
          <w:spacing w:val="-3"/>
          <w:kern w:val="2"/>
          <w:szCs w:val="24"/>
        </w:rPr>
        <w:t>分性质，这与</w:t>
      </w:r>
      <w:r w:rsidRPr="00D630D1">
        <w:rPr>
          <w:rFonts w:hint="eastAsia"/>
          <w:spacing w:val="-3"/>
          <w:kern w:val="2"/>
          <w:szCs w:val="24"/>
        </w:rPr>
        <w:t>项目区域</w:t>
      </w:r>
      <w:r w:rsidRPr="00D630D1">
        <w:rPr>
          <w:spacing w:val="-3"/>
          <w:kern w:val="2"/>
          <w:szCs w:val="24"/>
        </w:rPr>
        <w:t>所处的</w:t>
      </w:r>
      <w:r w:rsidRPr="00D630D1">
        <w:rPr>
          <w:rFonts w:hint="eastAsia"/>
          <w:spacing w:val="-3"/>
          <w:kern w:val="2"/>
          <w:szCs w:val="24"/>
        </w:rPr>
        <w:t>“</w:t>
      </w:r>
      <w:r w:rsidRPr="00D630D1">
        <w:rPr>
          <w:spacing w:val="-3"/>
          <w:kern w:val="2"/>
          <w:szCs w:val="24"/>
        </w:rPr>
        <w:t>亚热带常绿阔叶</w:t>
      </w:r>
      <w:r w:rsidRPr="00D630D1">
        <w:rPr>
          <w:spacing w:val="-3"/>
          <w:kern w:val="2"/>
          <w:szCs w:val="24"/>
        </w:rPr>
        <w:lastRenderedPageBreak/>
        <w:t>林区域</w:t>
      </w:r>
      <w:r w:rsidRPr="00D630D1">
        <w:rPr>
          <w:rFonts w:eastAsia="Times New Roman"/>
          <w:spacing w:val="-3"/>
          <w:kern w:val="2"/>
          <w:szCs w:val="24"/>
        </w:rPr>
        <w:t>—</w:t>
      </w:r>
      <w:r w:rsidRPr="00D630D1">
        <w:rPr>
          <w:spacing w:val="-3"/>
          <w:kern w:val="2"/>
          <w:szCs w:val="24"/>
        </w:rPr>
        <w:t>川东盆地</w:t>
      </w:r>
      <w:r w:rsidRPr="00D630D1">
        <w:rPr>
          <w:spacing w:val="8"/>
          <w:kern w:val="2"/>
          <w:szCs w:val="24"/>
        </w:rPr>
        <w:t>及川</w:t>
      </w:r>
      <w:r w:rsidRPr="00D630D1">
        <w:rPr>
          <w:spacing w:val="5"/>
          <w:kern w:val="2"/>
          <w:szCs w:val="24"/>
        </w:rPr>
        <w:t>西</w:t>
      </w:r>
      <w:r w:rsidRPr="00D630D1">
        <w:rPr>
          <w:spacing w:val="4"/>
          <w:kern w:val="2"/>
          <w:szCs w:val="24"/>
        </w:rPr>
        <w:t>南山地常绿阔叶林地带</w:t>
      </w:r>
      <w:r w:rsidRPr="00D630D1">
        <w:rPr>
          <w:rFonts w:hint="eastAsia"/>
          <w:spacing w:val="4"/>
          <w:kern w:val="2"/>
          <w:szCs w:val="24"/>
        </w:rPr>
        <w:t>（</w:t>
      </w:r>
      <w:r w:rsidRPr="00D630D1">
        <w:rPr>
          <w:spacing w:val="4"/>
          <w:kern w:val="2"/>
          <w:szCs w:val="24"/>
        </w:rPr>
        <w:t>东部常绿阔叶林亚区域</w:t>
      </w:r>
      <w:r w:rsidRPr="00D630D1">
        <w:rPr>
          <w:rFonts w:hint="eastAsia"/>
          <w:spacing w:val="4"/>
          <w:kern w:val="2"/>
          <w:szCs w:val="24"/>
        </w:rPr>
        <w:t>）</w:t>
      </w:r>
      <w:r w:rsidRPr="00D630D1">
        <w:rPr>
          <w:rFonts w:eastAsia="Times New Roman"/>
          <w:spacing w:val="4"/>
          <w:kern w:val="2"/>
          <w:szCs w:val="24"/>
        </w:rPr>
        <w:t>—</w:t>
      </w:r>
      <w:r w:rsidRPr="00D630D1">
        <w:rPr>
          <w:spacing w:val="4"/>
          <w:kern w:val="2"/>
          <w:szCs w:val="24"/>
        </w:rPr>
        <w:t>川东盆地偏湿性常绿</w:t>
      </w:r>
      <w:r w:rsidRPr="00D630D1">
        <w:rPr>
          <w:spacing w:val="11"/>
          <w:kern w:val="2"/>
          <w:szCs w:val="24"/>
        </w:rPr>
        <w:t>阔</w:t>
      </w:r>
      <w:r w:rsidRPr="00D630D1">
        <w:rPr>
          <w:spacing w:val="6"/>
          <w:kern w:val="2"/>
          <w:szCs w:val="24"/>
        </w:rPr>
        <w:t>叶林亚带</w:t>
      </w:r>
      <w:r w:rsidRPr="00D630D1">
        <w:rPr>
          <w:rFonts w:eastAsia="Times New Roman"/>
          <w:spacing w:val="6"/>
          <w:kern w:val="2"/>
          <w:szCs w:val="24"/>
        </w:rPr>
        <w:t>—</w:t>
      </w:r>
      <w:r w:rsidRPr="00D630D1">
        <w:rPr>
          <w:spacing w:val="6"/>
          <w:kern w:val="2"/>
          <w:szCs w:val="24"/>
        </w:rPr>
        <w:t>盆边北部中山植被地区</w:t>
      </w:r>
      <w:r w:rsidRPr="00D630D1">
        <w:rPr>
          <w:rFonts w:hint="eastAsia"/>
          <w:spacing w:val="6"/>
          <w:kern w:val="2"/>
          <w:szCs w:val="24"/>
        </w:rPr>
        <w:t>（</w:t>
      </w:r>
      <w:r w:rsidRPr="00D630D1">
        <w:rPr>
          <w:spacing w:val="6"/>
          <w:kern w:val="2"/>
          <w:szCs w:val="24"/>
        </w:rPr>
        <w:t>北亚热带常绿、落叶阔叶混交林地带</w:t>
      </w:r>
      <w:r w:rsidRPr="00D630D1">
        <w:rPr>
          <w:rFonts w:hint="eastAsia"/>
          <w:spacing w:val="6"/>
          <w:kern w:val="2"/>
          <w:szCs w:val="24"/>
        </w:rPr>
        <w:t>）</w:t>
      </w:r>
      <w:r w:rsidRPr="00D630D1">
        <w:rPr>
          <w:rFonts w:eastAsia="Times New Roman"/>
          <w:spacing w:val="6"/>
          <w:kern w:val="2"/>
          <w:szCs w:val="24"/>
        </w:rPr>
        <w:t>—</w:t>
      </w:r>
      <w:r w:rsidRPr="00D630D1">
        <w:rPr>
          <w:spacing w:val="4"/>
          <w:kern w:val="2"/>
          <w:szCs w:val="24"/>
        </w:rPr>
        <w:t>大</w:t>
      </w:r>
      <w:r w:rsidRPr="00D630D1">
        <w:rPr>
          <w:spacing w:val="3"/>
          <w:kern w:val="2"/>
          <w:szCs w:val="24"/>
        </w:rPr>
        <w:t>巴山植被小区</w:t>
      </w:r>
      <w:r w:rsidRPr="00D630D1">
        <w:rPr>
          <w:rFonts w:hint="eastAsia"/>
          <w:spacing w:val="3"/>
          <w:kern w:val="2"/>
          <w:szCs w:val="24"/>
        </w:rPr>
        <w:t>（</w:t>
      </w:r>
      <w:r w:rsidRPr="00D630D1">
        <w:rPr>
          <w:spacing w:val="3"/>
          <w:kern w:val="2"/>
          <w:szCs w:val="24"/>
        </w:rPr>
        <w:t>秦、巴山地丘陵，栎类林、巴山松、</w:t>
      </w:r>
      <w:r w:rsidRPr="00D630D1">
        <w:rPr>
          <w:rFonts w:hint="eastAsia"/>
          <w:spacing w:val="3"/>
          <w:kern w:val="2"/>
          <w:szCs w:val="24"/>
        </w:rPr>
        <w:t>马尾松</w:t>
      </w:r>
      <w:r w:rsidRPr="00D630D1">
        <w:rPr>
          <w:spacing w:val="3"/>
          <w:kern w:val="2"/>
          <w:szCs w:val="24"/>
        </w:rPr>
        <w:t>林区</w:t>
      </w:r>
      <w:r w:rsidRPr="00D630D1">
        <w:rPr>
          <w:rFonts w:hint="eastAsia"/>
          <w:spacing w:val="3"/>
          <w:kern w:val="2"/>
          <w:szCs w:val="24"/>
        </w:rPr>
        <w:t>）</w:t>
      </w:r>
      <w:r w:rsidRPr="00D630D1">
        <w:rPr>
          <w:rFonts w:hint="eastAsia"/>
          <w:spacing w:val="-3"/>
          <w:kern w:val="2"/>
          <w:szCs w:val="24"/>
        </w:rPr>
        <w:t>”</w:t>
      </w:r>
      <w:r w:rsidRPr="00D630D1">
        <w:rPr>
          <w:spacing w:val="3"/>
          <w:kern w:val="2"/>
          <w:szCs w:val="24"/>
        </w:rPr>
        <w:t>气候条件相</w:t>
      </w:r>
      <w:r w:rsidRPr="00D630D1">
        <w:rPr>
          <w:spacing w:val="-12"/>
          <w:kern w:val="2"/>
          <w:szCs w:val="24"/>
        </w:rPr>
        <w:t>符</w:t>
      </w:r>
      <w:r w:rsidRPr="00D630D1">
        <w:rPr>
          <w:spacing w:val="-10"/>
          <w:kern w:val="2"/>
          <w:szCs w:val="24"/>
        </w:rPr>
        <w:t>。</w:t>
      </w:r>
    </w:p>
    <w:p w:rsidR="00117C3D" w:rsidRPr="00D630D1" w:rsidRDefault="00DA27EB">
      <w:pPr>
        <w:pStyle w:val="3"/>
        <w:rPr>
          <w:rFonts w:eastAsia="宋体"/>
        </w:rPr>
      </w:pPr>
      <w:bookmarkStart w:id="426" w:name="_Toc12288585"/>
      <w:r w:rsidRPr="00D630D1">
        <w:rPr>
          <w:rFonts w:eastAsia="宋体"/>
        </w:rPr>
        <w:t>5</w:t>
      </w:r>
      <w:r w:rsidR="008B5B84" w:rsidRPr="00D630D1">
        <w:rPr>
          <w:rFonts w:eastAsia="宋体"/>
        </w:rPr>
        <w:t>.2.</w:t>
      </w:r>
      <w:r w:rsidR="00EF6C21" w:rsidRPr="00D630D1">
        <w:rPr>
          <w:rFonts w:eastAsia="宋体"/>
        </w:rPr>
        <w:t>4</w:t>
      </w:r>
      <w:r w:rsidR="002871C9" w:rsidRPr="00D630D1">
        <w:rPr>
          <w:rFonts w:eastAsia="宋体"/>
          <w:bCs/>
          <w:szCs w:val="24"/>
        </w:rPr>
        <w:t>评价范围陆生植被现状调查</w:t>
      </w:r>
      <w:bookmarkEnd w:id="426"/>
    </w:p>
    <w:p w:rsidR="002871C9" w:rsidRPr="00D630D1" w:rsidRDefault="002871C9" w:rsidP="002871C9">
      <w:pPr>
        <w:topLinePunct w:val="0"/>
        <w:snapToGrid w:val="0"/>
        <w:ind w:firstLine="482"/>
        <w:rPr>
          <w:rFonts w:ascii="Times New Roman" w:cs="Times New Roman"/>
          <w:b/>
          <w:bCs/>
          <w:kern w:val="2"/>
        </w:rPr>
      </w:pPr>
      <w:r w:rsidRPr="00D630D1">
        <w:rPr>
          <w:rFonts w:ascii="Times New Roman" w:cs="Times New Roman"/>
          <w:b/>
          <w:bCs/>
          <w:kern w:val="2"/>
        </w:rPr>
        <w:t>1</w:t>
      </w:r>
      <w:r w:rsidRPr="00D630D1">
        <w:rPr>
          <w:rFonts w:ascii="Times New Roman" w:cs="Times New Roman"/>
          <w:b/>
          <w:bCs/>
          <w:kern w:val="2"/>
        </w:rPr>
        <w:t>、评价范围内植被概况</w:t>
      </w:r>
    </w:p>
    <w:p w:rsidR="002871C9" w:rsidRPr="00D630D1" w:rsidRDefault="002871C9" w:rsidP="002871C9">
      <w:pPr>
        <w:topLinePunct w:val="0"/>
        <w:snapToGrid w:val="0"/>
        <w:ind w:firstLine="472"/>
        <w:rPr>
          <w:rFonts w:ascii="Times New Roman" w:cs="Times New Roman"/>
          <w:spacing w:val="-2"/>
          <w:kern w:val="2"/>
        </w:rPr>
      </w:pPr>
      <w:r w:rsidRPr="00D630D1">
        <w:rPr>
          <w:rFonts w:ascii="Times New Roman" w:cs="Times New Roman"/>
          <w:spacing w:val="-2"/>
          <w:kern w:val="2"/>
        </w:rPr>
        <w:t>现场调查情况，评价区地带性植物为亚热带常绿阔叶林，植被覆盖度较高，亚热带针叶林、阔叶林植被，亚热带灌丛、热性草丛植被较常见，有明显的热带特征，评价区内天然植被和人工栽植植被均广泛分布。</w:t>
      </w:r>
    </w:p>
    <w:p w:rsidR="002871C9" w:rsidRPr="00D630D1" w:rsidRDefault="002871C9" w:rsidP="005556D5">
      <w:pPr>
        <w:topLinePunct w:val="0"/>
        <w:adjustRightInd/>
        <w:snapToGrid w:val="0"/>
        <w:ind w:firstLineChars="196" w:firstLine="472"/>
        <w:rPr>
          <w:rFonts w:ascii="Times New Roman" w:cs="Times New Roman"/>
          <w:b/>
          <w:bCs/>
          <w:kern w:val="2"/>
        </w:rPr>
      </w:pPr>
      <w:r w:rsidRPr="00D630D1">
        <w:rPr>
          <w:rFonts w:ascii="Times New Roman" w:cs="Times New Roman" w:hint="eastAsia"/>
          <w:b/>
          <w:bCs/>
          <w:kern w:val="2"/>
        </w:rPr>
        <w:t>2</w:t>
      </w:r>
      <w:r w:rsidRPr="00D630D1">
        <w:rPr>
          <w:rFonts w:ascii="Times New Roman" w:cs="Times New Roman" w:hint="eastAsia"/>
          <w:b/>
          <w:bCs/>
          <w:kern w:val="2"/>
        </w:rPr>
        <w:t>、</w:t>
      </w:r>
      <w:r w:rsidRPr="00D630D1">
        <w:rPr>
          <w:rFonts w:ascii="Times New Roman" w:cs="Times New Roman"/>
          <w:b/>
          <w:bCs/>
          <w:kern w:val="2"/>
        </w:rPr>
        <w:t>植物群落结构及演替规律</w:t>
      </w:r>
    </w:p>
    <w:p w:rsidR="002871C9" w:rsidRPr="00D630D1" w:rsidRDefault="002871C9" w:rsidP="005556D5">
      <w:pPr>
        <w:topLinePunct w:val="0"/>
        <w:snapToGrid w:val="0"/>
        <w:ind w:firstLine="480"/>
        <w:rPr>
          <w:rFonts w:ascii="Times New Roman" w:cs="Times New Roman"/>
          <w:kern w:val="2"/>
        </w:rPr>
      </w:pPr>
      <w:r w:rsidRPr="00D630D1">
        <w:rPr>
          <w:rFonts w:ascii="Times New Roman" w:cs="Times New Roman"/>
          <w:kern w:val="2"/>
        </w:rPr>
        <w:t>评价区植物群落主要为乔木、灌木、草本为主的结构特征，其中乔木群落结构多为乔灌草三层植被，灌木群落结构多为灌草双层植被，草本群落则多为草丛单层植被。群落自然演替规律总体呈现草本</w:t>
      </w:r>
      <w:r w:rsidRPr="00D630D1">
        <w:rPr>
          <w:rFonts w:ascii="Times New Roman" w:cs="Times New Roman"/>
          <w:kern w:val="2"/>
        </w:rPr>
        <w:t>-</w:t>
      </w:r>
      <w:r w:rsidRPr="00D630D1">
        <w:rPr>
          <w:rFonts w:ascii="Times New Roman" w:cs="Times New Roman"/>
          <w:kern w:val="2"/>
        </w:rPr>
        <w:t>灌丛</w:t>
      </w:r>
      <w:r w:rsidRPr="00D630D1">
        <w:rPr>
          <w:rFonts w:ascii="Times New Roman" w:cs="Times New Roman"/>
          <w:kern w:val="2"/>
        </w:rPr>
        <w:t>-</w:t>
      </w:r>
      <w:r w:rsidRPr="00D630D1">
        <w:rPr>
          <w:rFonts w:ascii="Times New Roman" w:cs="Times New Roman"/>
          <w:kern w:val="2"/>
        </w:rPr>
        <w:t>乔木方向演替。同时，随着近年退耕还林等人为活动影响，还存在草本</w:t>
      </w:r>
      <w:r w:rsidRPr="00D630D1">
        <w:rPr>
          <w:rFonts w:ascii="Times New Roman" w:cs="Times New Roman"/>
          <w:kern w:val="2"/>
        </w:rPr>
        <w:t>-</w:t>
      </w:r>
      <w:r w:rsidRPr="00D630D1">
        <w:rPr>
          <w:rFonts w:ascii="Times New Roman" w:cs="Times New Roman"/>
          <w:kern w:val="2"/>
        </w:rPr>
        <w:t>园地、草本</w:t>
      </w:r>
      <w:r w:rsidRPr="00D630D1">
        <w:rPr>
          <w:rFonts w:ascii="Times New Roman" w:cs="Times New Roman"/>
          <w:kern w:val="2"/>
        </w:rPr>
        <w:t>-</w:t>
      </w:r>
      <w:r w:rsidRPr="00D630D1">
        <w:rPr>
          <w:rFonts w:ascii="Times New Roman" w:cs="Times New Roman"/>
          <w:kern w:val="2"/>
        </w:rPr>
        <w:t>乔木、灌丛</w:t>
      </w:r>
      <w:r w:rsidRPr="00D630D1">
        <w:rPr>
          <w:rFonts w:ascii="Times New Roman" w:cs="Times New Roman"/>
          <w:kern w:val="2"/>
        </w:rPr>
        <w:t>-</w:t>
      </w:r>
      <w:r w:rsidRPr="00D630D1">
        <w:rPr>
          <w:rFonts w:ascii="Times New Roman" w:cs="Times New Roman"/>
          <w:kern w:val="2"/>
        </w:rPr>
        <w:t>乔木、旱地</w:t>
      </w:r>
      <w:r w:rsidRPr="00D630D1">
        <w:rPr>
          <w:rFonts w:ascii="Times New Roman" w:cs="Times New Roman"/>
          <w:kern w:val="2"/>
        </w:rPr>
        <w:t>-</w:t>
      </w:r>
      <w:r w:rsidRPr="00D630D1">
        <w:rPr>
          <w:rFonts w:ascii="Times New Roman" w:cs="Times New Roman"/>
          <w:kern w:val="2"/>
        </w:rPr>
        <w:t>园地、旱地</w:t>
      </w:r>
      <w:r w:rsidRPr="00D630D1">
        <w:rPr>
          <w:rFonts w:ascii="Times New Roman" w:cs="Times New Roman"/>
          <w:kern w:val="2"/>
        </w:rPr>
        <w:t>-</w:t>
      </w:r>
      <w:r w:rsidRPr="00D630D1">
        <w:rPr>
          <w:rFonts w:ascii="Times New Roman" w:cs="Times New Roman"/>
          <w:kern w:val="2"/>
        </w:rPr>
        <w:t>乔木等结构演替，总之，项目区植物群落总体朝向生物多样性更加复杂、生产力和生物量更加丰富、生态系统结构更加稳定的方向演变。</w:t>
      </w:r>
    </w:p>
    <w:p w:rsidR="002871C9" w:rsidRPr="00D630D1" w:rsidRDefault="002871C9" w:rsidP="002871C9">
      <w:pPr>
        <w:topLinePunct w:val="0"/>
        <w:snapToGrid w:val="0"/>
        <w:ind w:firstLine="482"/>
        <w:rPr>
          <w:rFonts w:ascii="Times New Roman" w:cs="Times New Roman"/>
          <w:b/>
          <w:bCs/>
          <w:kern w:val="2"/>
        </w:rPr>
      </w:pPr>
      <w:r w:rsidRPr="00D630D1">
        <w:rPr>
          <w:rFonts w:ascii="Times New Roman" w:cs="Times New Roman"/>
          <w:b/>
          <w:bCs/>
          <w:kern w:val="2"/>
        </w:rPr>
        <w:t>3</w:t>
      </w:r>
      <w:r w:rsidRPr="00D630D1">
        <w:rPr>
          <w:rFonts w:ascii="Times New Roman" w:cs="Times New Roman"/>
          <w:b/>
          <w:bCs/>
          <w:kern w:val="2"/>
        </w:rPr>
        <w:t>、项目评价范围内主要植被类型</w:t>
      </w:r>
    </w:p>
    <w:p w:rsidR="00EF6C21" w:rsidRPr="00D630D1" w:rsidRDefault="002871C9" w:rsidP="002871C9">
      <w:pPr>
        <w:pStyle w:val="afa"/>
        <w:ind w:firstLine="480"/>
        <w:rPr>
          <w:kern w:val="2"/>
          <w:szCs w:val="24"/>
        </w:rPr>
      </w:pPr>
      <w:r w:rsidRPr="00D630D1">
        <w:rPr>
          <w:kern w:val="2"/>
          <w:szCs w:val="24"/>
        </w:rPr>
        <w:t>采用实地踏勘和样方调查相结合的方法对评价范围内植被进行实地调查，结合卫星影像解译成果，参考现有的资料和文献，根据各类群落的特征，按照吴征镒等《中国植物志》、《四川植物志》中对四川的自然、人工植被的分类系统，划分出评价区域内不同的植被类型，形成植被分类系统。</w:t>
      </w:r>
      <w:r w:rsidR="005556D5">
        <w:t>评价区自然植被涉及</w:t>
      </w:r>
      <w:r w:rsidR="005556D5">
        <w:rPr>
          <w:rFonts w:hint="eastAsia"/>
        </w:rPr>
        <w:t>3</w:t>
      </w:r>
      <w:r w:rsidR="005556D5">
        <w:t>种植被型组，</w:t>
      </w:r>
      <w:r w:rsidR="005556D5">
        <w:t>5</w:t>
      </w:r>
      <w:r w:rsidR="005556D5">
        <w:t>种植被型和</w:t>
      </w:r>
      <w:r w:rsidR="005556D5">
        <w:rPr>
          <w:rFonts w:hint="eastAsia"/>
        </w:rPr>
        <w:t>11</w:t>
      </w:r>
      <w:r w:rsidR="005556D5">
        <w:t>种群系</w:t>
      </w:r>
      <w:r w:rsidRPr="00D630D1">
        <w:rPr>
          <w:kern w:val="2"/>
          <w:szCs w:val="24"/>
        </w:rPr>
        <w:t>，自然植被分类见表</w:t>
      </w:r>
      <w:r w:rsidRPr="00D630D1">
        <w:rPr>
          <w:rFonts w:hint="eastAsia"/>
          <w:kern w:val="2"/>
          <w:szCs w:val="24"/>
        </w:rPr>
        <w:t>5</w:t>
      </w:r>
      <w:r w:rsidRPr="00D630D1">
        <w:rPr>
          <w:kern w:val="2"/>
          <w:szCs w:val="24"/>
        </w:rPr>
        <w:t>.</w:t>
      </w:r>
      <w:r w:rsidRPr="00D630D1">
        <w:rPr>
          <w:rFonts w:hint="eastAsia"/>
          <w:kern w:val="2"/>
          <w:szCs w:val="24"/>
        </w:rPr>
        <w:t>2</w:t>
      </w:r>
      <w:r w:rsidRPr="00D630D1">
        <w:rPr>
          <w:kern w:val="2"/>
          <w:szCs w:val="24"/>
        </w:rPr>
        <w:t>-</w:t>
      </w:r>
      <w:r w:rsidRPr="00D630D1">
        <w:rPr>
          <w:rFonts w:hint="eastAsia"/>
          <w:kern w:val="2"/>
          <w:szCs w:val="24"/>
        </w:rPr>
        <w:t>10</w:t>
      </w:r>
      <w:r w:rsidRPr="00D630D1">
        <w:rPr>
          <w:kern w:val="2"/>
          <w:szCs w:val="24"/>
        </w:rPr>
        <w:t>。</w:t>
      </w:r>
    </w:p>
    <w:p w:rsidR="002871C9" w:rsidRDefault="002871C9" w:rsidP="00F96E37">
      <w:pPr>
        <w:topLinePunct w:val="0"/>
        <w:autoSpaceDE w:val="0"/>
        <w:autoSpaceDN w:val="0"/>
        <w:spacing w:beforeLines="50" w:line="240" w:lineRule="auto"/>
        <w:ind w:firstLineChars="0" w:firstLine="0"/>
        <w:jc w:val="center"/>
        <w:rPr>
          <w:rFonts w:ascii="Times New Roman" w:cs="Times New Roman"/>
          <w:b/>
          <w:sz w:val="21"/>
        </w:rPr>
      </w:pPr>
      <w:r w:rsidRPr="00D630D1">
        <w:rPr>
          <w:rFonts w:ascii="Times New Roman" w:cs="Times New Roman"/>
          <w:b/>
          <w:sz w:val="21"/>
        </w:rPr>
        <w:t>表</w:t>
      </w:r>
      <w:r w:rsidR="006F3D85" w:rsidRPr="00D630D1">
        <w:rPr>
          <w:rFonts w:ascii="Times New Roman" w:cs="Times New Roman" w:hint="eastAsia"/>
          <w:b/>
          <w:sz w:val="21"/>
        </w:rPr>
        <w:t>5</w:t>
      </w:r>
      <w:r w:rsidRPr="00D630D1">
        <w:rPr>
          <w:rFonts w:ascii="Times New Roman" w:cs="Times New Roman" w:hint="eastAsia"/>
          <w:b/>
          <w:sz w:val="21"/>
        </w:rPr>
        <w:t>.</w:t>
      </w:r>
      <w:r w:rsidR="006F3D85" w:rsidRPr="00D630D1">
        <w:rPr>
          <w:rFonts w:ascii="Times New Roman" w:cs="Times New Roman" w:hint="eastAsia"/>
          <w:b/>
          <w:sz w:val="21"/>
        </w:rPr>
        <w:t>2</w:t>
      </w:r>
      <w:r w:rsidRPr="00D630D1">
        <w:rPr>
          <w:rFonts w:ascii="Times New Roman" w:cs="Times New Roman"/>
          <w:b/>
          <w:sz w:val="21"/>
        </w:rPr>
        <w:t>-1</w:t>
      </w:r>
      <w:r w:rsidRPr="00D630D1">
        <w:rPr>
          <w:rFonts w:ascii="Times New Roman" w:cs="Times New Roman" w:hint="eastAsia"/>
          <w:b/>
          <w:sz w:val="21"/>
        </w:rPr>
        <w:t>0</w:t>
      </w:r>
      <w:r w:rsidRPr="00D630D1">
        <w:rPr>
          <w:rFonts w:ascii="Times New Roman" w:cs="Times New Roman"/>
          <w:b/>
          <w:sz w:val="21"/>
        </w:rPr>
        <w:t xml:space="preserve"> </w:t>
      </w:r>
      <w:r w:rsidRPr="00D630D1">
        <w:rPr>
          <w:rFonts w:ascii="Times New Roman" w:cs="Times New Roman"/>
          <w:b/>
          <w:sz w:val="21"/>
        </w:rPr>
        <w:t>工程评价区植被分类系统</w:t>
      </w:r>
    </w:p>
    <w:tbl>
      <w:tblPr>
        <w:tblStyle w:val="TableNormal"/>
        <w:tblW w:w="801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4"/>
        <w:gridCol w:w="866"/>
        <w:gridCol w:w="776"/>
        <w:gridCol w:w="1897"/>
        <w:gridCol w:w="4103"/>
      </w:tblGrid>
      <w:tr w:rsidR="005556D5" w:rsidRPr="005556D5" w:rsidTr="005556D5">
        <w:trPr>
          <w:trHeight w:val="300"/>
          <w:jc w:val="center"/>
        </w:trPr>
        <w:tc>
          <w:tcPr>
            <w:tcW w:w="374" w:type="dxa"/>
            <w:vMerge w:val="restart"/>
            <w:tcBorders>
              <w:top w:val="single" w:sz="12" w:space="0" w:color="auto"/>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自然植被</w:t>
            </w:r>
          </w:p>
        </w:tc>
        <w:tc>
          <w:tcPr>
            <w:tcW w:w="866" w:type="dxa"/>
            <w:tcBorders>
              <w:top w:val="single" w:sz="12" w:space="0" w:color="auto"/>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植被型组</w:t>
            </w:r>
          </w:p>
        </w:tc>
        <w:tc>
          <w:tcPr>
            <w:tcW w:w="776" w:type="dxa"/>
            <w:tcBorders>
              <w:top w:val="single" w:sz="12" w:space="0" w:color="auto"/>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植被型</w:t>
            </w:r>
          </w:p>
        </w:tc>
        <w:tc>
          <w:tcPr>
            <w:tcW w:w="1897" w:type="dxa"/>
            <w:tcBorders>
              <w:top w:val="single" w:sz="12" w:space="0" w:color="auto"/>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kern w:val="2"/>
                <w:sz w:val="21"/>
                <w:szCs w:val="21"/>
              </w:rPr>
            </w:pPr>
            <w:r w:rsidRPr="005556D5">
              <w:rPr>
                <w:rFonts w:ascii="Times New Roman" w:cs="Times New Roman"/>
                <w:spacing w:val="-3"/>
                <w:kern w:val="2"/>
                <w:sz w:val="21"/>
                <w:szCs w:val="21"/>
              </w:rPr>
              <w:t>群</w:t>
            </w:r>
            <w:r w:rsidRPr="005556D5">
              <w:rPr>
                <w:rFonts w:ascii="Times New Roman" w:cs="Times New Roman"/>
                <w:spacing w:val="-2"/>
                <w:kern w:val="2"/>
                <w:sz w:val="21"/>
                <w:szCs w:val="21"/>
              </w:rPr>
              <w:t>系</w:t>
            </w:r>
          </w:p>
        </w:tc>
        <w:tc>
          <w:tcPr>
            <w:tcW w:w="4103" w:type="dxa"/>
            <w:tcBorders>
              <w:top w:val="single" w:sz="12" w:space="0" w:color="auto"/>
              <w:right w:val="nil"/>
            </w:tcBorders>
            <w:vAlign w:val="center"/>
          </w:tcPr>
          <w:p w:rsidR="005556D5" w:rsidRPr="005556D5" w:rsidRDefault="005556D5" w:rsidP="005556D5">
            <w:pPr>
              <w:topLinePunct w:val="0"/>
              <w:adjustRightInd/>
              <w:spacing w:before="53" w:line="217" w:lineRule="auto"/>
              <w:ind w:left="1176" w:firstLineChars="0" w:firstLine="0"/>
              <w:rPr>
                <w:rFonts w:ascii="Times New Roman" w:cs="Times New Roman"/>
                <w:kern w:val="2"/>
                <w:sz w:val="21"/>
                <w:szCs w:val="21"/>
              </w:rPr>
            </w:pPr>
            <w:r w:rsidRPr="005556D5">
              <w:rPr>
                <w:rFonts w:ascii="Times New Roman" w:cs="Times New Roman"/>
                <w:spacing w:val="-2"/>
                <w:kern w:val="2"/>
                <w:sz w:val="21"/>
                <w:szCs w:val="21"/>
              </w:rPr>
              <w:t>群系</w:t>
            </w:r>
            <w:r w:rsidRPr="005556D5">
              <w:rPr>
                <w:rFonts w:ascii="Times New Roman" w:cs="Times New Roman"/>
                <w:spacing w:val="-1"/>
                <w:kern w:val="2"/>
                <w:sz w:val="21"/>
                <w:szCs w:val="21"/>
              </w:rPr>
              <w:t>拉丁名</w:t>
            </w:r>
          </w:p>
        </w:tc>
      </w:tr>
      <w:tr w:rsidR="005556D5" w:rsidRPr="005556D5" w:rsidTr="005556D5">
        <w:trPr>
          <w:trHeight w:val="294"/>
          <w:jc w:val="center"/>
        </w:trPr>
        <w:tc>
          <w:tcPr>
            <w:tcW w:w="374" w:type="dxa"/>
            <w:vMerge/>
            <w:tcBorders>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866" w:type="dxa"/>
            <w:vMerge w:val="restart"/>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针叶林</w:t>
            </w:r>
          </w:p>
        </w:tc>
        <w:tc>
          <w:tcPr>
            <w:tcW w:w="776" w:type="dxa"/>
            <w:vMerge w:val="restart"/>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暖性针叶林</w:t>
            </w:r>
          </w:p>
        </w:tc>
        <w:tc>
          <w:tcPr>
            <w:tcW w:w="1897" w:type="dxa"/>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马尾松林</w:t>
            </w:r>
          </w:p>
        </w:tc>
        <w:tc>
          <w:tcPr>
            <w:tcW w:w="4103" w:type="dxa"/>
            <w:tcBorders>
              <w:right w:val="nil"/>
            </w:tcBorders>
            <w:vAlign w:val="center"/>
          </w:tcPr>
          <w:p w:rsidR="005556D5" w:rsidRPr="005556D5" w:rsidRDefault="005556D5" w:rsidP="005556D5">
            <w:pPr>
              <w:topLinePunct w:val="0"/>
              <w:adjustRightInd/>
              <w:spacing w:before="83" w:line="211" w:lineRule="auto"/>
              <w:ind w:left="650" w:firstLineChars="0" w:firstLine="0"/>
              <w:rPr>
                <w:rFonts w:ascii="Times New Roman" w:eastAsia="Times New Roman" w:cs="Times New Roman"/>
                <w:kern w:val="2"/>
                <w:sz w:val="21"/>
                <w:szCs w:val="21"/>
              </w:rPr>
            </w:pPr>
            <w:r w:rsidRPr="005556D5">
              <w:rPr>
                <w:rFonts w:ascii="Times New Roman" w:eastAsia="Times New Roman" w:cs="Times New Roman"/>
                <w:spacing w:val="-1"/>
                <w:kern w:val="2"/>
                <w:sz w:val="21"/>
                <w:szCs w:val="21"/>
              </w:rPr>
              <w:t>F</w:t>
            </w:r>
            <w:r w:rsidRPr="005556D5">
              <w:rPr>
                <w:rFonts w:ascii="Times New Roman" w:eastAsia="Times New Roman" w:cs="Times New Roman"/>
                <w:kern w:val="2"/>
                <w:sz w:val="21"/>
                <w:szCs w:val="21"/>
              </w:rPr>
              <w:t>orm</w:t>
            </w:r>
            <w:r w:rsidRPr="005556D5">
              <w:rPr>
                <w:rFonts w:ascii="Times New Roman" w:eastAsia="Times New Roman" w:cs="Times New Roman"/>
                <w:spacing w:val="-1"/>
                <w:kern w:val="2"/>
                <w:sz w:val="21"/>
                <w:szCs w:val="21"/>
              </w:rPr>
              <w:t xml:space="preserve">. </w:t>
            </w:r>
            <w:r w:rsidRPr="005556D5">
              <w:rPr>
                <w:rFonts w:ascii="Times New Roman" w:eastAsia="Times New Roman" w:cs="Times New Roman"/>
                <w:i/>
                <w:iCs/>
                <w:kern w:val="2"/>
                <w:sz w:val="21"/>
                <w:szCs w:val="21"/>
              </w:rPr>
              <w:t>Pinus</w:t>
            </w:r>
            <w:r w:rsidRPr="005556D5">
              <w:rPr>
                <w:rFonts w:ascii="Times New Roman" w:eastAsia="Times New Roman" w:cs="Times New Roman"/>
                <w:spacing w:val="-1"/>
                <w:kern w:val="2"/>
                <w:sz w:val="21"/>
                <w:szCs w:val="21"/>
              </w:rPr>
              <w:t xml:space="preserve"> </w:t>
            </w:r>
            <w:r w:rsidRPr="005556D5">
              <w:rPr>
                <w:rFonts w:ascii="Times New Roman" w:eastAsia="Times New Roman" w:cs="Times New Roman"/>
                <w:i/>
                <w:iCs/>
                <w:kern w:val="2"/>
                <w:sz w:val="21"/>
                <w:szCs w:val="21"/>
              </w:rPr>
              <w:t>massoniana</w:t>
            </w:r>
          </w:p>
        </w:tc>
      </w:tr>
      <w:tr w:rsidR="005556D5" w:rsidRPr="005556D5" w:rsidTr="005556D5">
        <w:trPr>
          <w:trHeight w:val="295"/>
          <w:jc w:val="center"/>
        </w:trPr>
        <w:tc>
          <w:tcPr>
            <w:tcW w:w="374" w:type="dxa"/>
            <w:vMerge/>
            <w:tcBorders>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86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77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1897" w:type="dxa"/>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杉木林</w:t>
            </w:r>
          </w:p>
        </w:tc>
        <w:tc>
          <w:tcPr>
            <w:tcW w:w="4103" w:type="dxa"/>
            <w:tcBorders>
              <w:right w:val="nil"/>
            </w:tcBorders>
            <w:vAlign w:val="center"/>
          </w:tcPr>
          <w:p w:rsidR="005556D5" w:rsidRPr="005556D5" w:rsidRDefault="005556D5" w:rsidP="005556D5">
            <w:pPr>
              <w:topLinePunct w:val="0"/>
              <w:adjustRightInd/>
              <w:spacing w:before="83" w:line="190" w:lineRule="auto"/>
              <w:ind w:left="322" w:firstLineChars="0" w:firstLine="0"/>
              <w:rPr>
                <w:rFonts w:ascii="Times New Roman" w:eastAsia="Times New Roman" w:cs="Times New Roman"/>
                <w:kern w:val="2"/>
                <w:sz w:val="21"/>
                <w:szCs w:val="21"/>
              </w:rPr>
            </w:pPr>
            <w:r w:rsidRPr="005556D5">
              <w:rPr>
                <w:rFonts w:ascii="Times New Roman" w:eastAsia="Times New Roman" w:cs="Times New Roman"/>
                <w:kern w:val="2"/>
                <w:sz w:val="21"/>
                <w:szCs w:val="21"/>
              </w:rPr>
              <w:t>Form</w:t>
            </w:r>
            <w:r w:rsidRPr="005556D5">
              <w:rPr>
                <w:rFonts w:ascii="Times New Roman" w:eastAsia="Times New Roman" w:cs="Times New Roman"/>
                <w:spacing w:val="-1"/>
                <w:kern w:val="2"/>
                <w:sz w:val="21"/>
                <w:szCs w:val="21"/>
              </w:rPr>
              <w:t>.</w:t>
            </w:r>
            <w:r w:rsidRPr="005556D5">
              <w:rPr>
                <w:rFonts w:ascii="Times New Roman" w:eastAsia="Times New Roman" w:cs="Times New Roman"/>
                <w:kern w:val="2"/>
                <w:sz w:val="21"/>
                <w:szCs w:val="21"/>
              </w:rPr>
              <w:t xml:space="preserve"> </w:t>
            </w:r>
            <w:r w:rsidRPr="005556D5">
              <w:rPr>
                <w:rFonts w:ascii="Times New Roman" w:eastAsia="Times New Roman" w:cs="Times New Roman"/>
                <w:i/>
                <w:iCs/>
                <w:kern w:val="2"/>
                <w:sz w:val="21"/>
                <w:szCs w:val="21"/>
              </w:rPr>
              <w:t>Cunninghamia</w:t>
            </w:r>
            <w:r w:rsidRPr="005556D5">
              <w:rPr>
                <w:rFonts w:ascii="Times New Roman" w:eastAsia="Times New Roman" w:cs="Times New Roman"/>
                <w:kern w:val="2"/>
                <w:sz w:val="21"/>
                <w:szCs w:val="21"/>
              </w:rPr>
              <w:t xml:space="preserve"> </w:t>
            </w:r>
            <w:r w:rsidRPr="005556D5">
              <w:rPr>
                <w:rFonts w:ascii="Times New Roman" w:eastAsia="Times New Roman" w:cs="Times New Roman"/>
                <w:i/>
                <w:iCs/>
                <w:kern w:val="2"/>
                <w:sz w:val="21"/>
                <w:szCs w:val="21"/>
              </w:rPr>
              <w:t>lanceolata</w:t>
            </w:r>
          </w:p>
        </w:tc>
      </w:tr>
      <w:tr w:rsidR="005556D5" w:rsidRPr="005556D5" w:rsidTr="005556D5">
        <w:trPr>
          <w:trHeight w:val="296"/>
          <w:jc w:val="center"/>
        </w:trPr>
        <w:tc>
          <w:tcPr>
            <w:tcW w:w="374" w:type="dxa"/>
            <w:vMerge/>
            <w:tcBorders>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86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77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1897" w:type="dxa"/>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柏木林</w:t>
            </w:r>
          </w:p>
        </w:tc>
        <w:tc>
          <w:tcPr>
            <w:tcW w:w="4103" w:type="dxa"/>
            <w:tcBorders>
              <w:right w:val="nil"/>
            </w:tcBorders>
            <w:vAlign w:val="center"/>
          </w:tcPr>
          <w:p w:rsidR="005556D5" w:rsidRPr="005556D5" w:rsidRDefault="005556D5" w:rsidP="005556D5">
            <w:pPr>
              <w:topLinePunct w:val="0"/>
              <w:adjustRightInd/>
              <w:spacing w:before="84" w:line="190" w:lineRule="auto"/>
              <w:ind w:left="639" w:firstLineChars="0" w:firstLine="0"/>
              <w:rPr>
                <w:rFonts w:ascii="Times New Roman" w:eastAsia="Times New Roman" w:cs="Times New Roman"/>
                <w:kern w:val="2"/>
                <w:sz w:val="21"/>
                <w:szCs w:val="21"/>
              </w:rPr>
            </w:pPr>
            <w:r w:rsidRPr="005556D5">
              <w:rPr>
                <w:rFonts w:ascii="Times New Roman" w:eastAsia="Times New Roman" w:cs="Times New Roman"/>
                <w:kern w:val="2"/>
                <w:sz w:val="21"/>
                <w:szCs w:val="21"/>
              </w:rPr>
              <w:t>Form</w:t>
            </w:r>
            <w:r w:rsidRPr="005556D5">
              <w:rPr>
                <w:rFonts w:ascii="Times New Roman" w:eastAsia="Times New Roman" w:cs="Times New Roman"/>
                <w:spacing w:val="41"/>
                <w:kern w:val="2"/>
                <w:sz w:val="21"/>
                <w:szCs w:val="21"/>
              </w:rPr>
              <w:t>.</w:t>
            </w:r>
            <w:r w:rsidRPr="005556D5">
              <w:rPr>
                <w:rFonts w:ascii="Times New Roman" w:eastAsia="Times New Roman" w:cs="Times New Roman"/>
                <w:i/>
                <w:iCs/>
                <w:kern w:val="2"/>
                <w:sz w:val="21"/>
                <w:szCs w:val="21"/>
              </w:rPr>
              <w:t>Cupressusfunebris</w:t>
            </w:r>
          </w:p>
        </w:tc>
      </w:tr>
      <w:tr w:rsidR="005556D5" w:rsidRPr="005556D5" w:rsidTr="005556D5">
        <w:trPr>
          <w:trHeight w:val="441"/>
          <w:jc w:val="center"/>
        </w:trPr>
        <w:tc>
          <w:tcPr>
            <w:tcW w:w="374" w:type="dxa"/>
            <w:vMerge/>
            <w:tcBorders>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866" w:type="dxa"/>
            <w:vMerge w:val="restart"/>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阔叶林</w:t>
            </w:r>
          </w:p>
        </w:tc>
        <w:tc>
          <w:tcPr>
            <w:tcW w:w="776" w:type="dxa"/>
            <w:vMerge w:val="restart"/>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落叶阔叶林</w:t>
            </w:r>
          </w:p>
        </w:tc>
        <w:tc>
          <w:tcPr>
            <w:tcW w:w="1897" w:type="dxa"/>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hint="eastAsia"/>
                <w:spacing w:val="-4"/>
                <w:kern w:val="2"/>
                <w:sz w:val="21"/>
                <w:szCs w:val="21"/>
              </w:rPr>
              <w:t>麻栎、青冈</w:t>
            </w:r>
            <w:r w:rsidRPr="005556D5">
              <w:rPr>
                <w:rFonts w:ascii="Times New Roman" w:cs="Times New Roman"/>
                <w:spacing w:val="-4"/>
                <w:kern w:val="2"/>
                <w:sz w:val="21"/>
                <w:szCs w:val="21"/>
              </w:rPr>
              <w:t>群系</w:t>
            </w:r>
          </w:p>
        </w:tc>
        <w:tc>
          <w:tcPr>
            <w:tcW w:w="4103" w:type="dxa"/>
            <w:tcBorders>
              <w:right w:val="nil"/>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i/>
                <w:iCs/>
                <w:spacing w:val="-4"/>
                <w:kern w:val="2"/>
                <w:sz w:val="21"/>
                <w:szCs w:val="21"/>
              </w:rPr>
            </w:pPr>
            <w:r w:rsidRPr="005556D5">
              <w:rPr>
                <w:rFonts w:ascii="Times New Roman" w:cs="Times New Roman"/>
                <w:spacing w:val="-4"/>
                <w:kern w:val="2"/>
                <w:sz w:val="21"/>
                <w:szCs w:val="21"/>
              </w:rPr>
              <w:t>Form.</w:t>
            </w:r>
            <w:r w:rsidRPr="005556D5">
              <w:rPr>
                <w:rFonts w:ascii="Times New Roman" w:cs="Times New Roman"/>
                <w:i/>
                <w:iCs/>
                <w:spacing w:val="-4"/>
                <w:kern w:val="2"/>
                <w:sz w:val="21"/>
                <w:szCs w:val="21"/>
              </w:rPr>
              <w:t>Quercus</w:t>
            </w:r>
            <w:r w:rsidRPr="005556D5">
              <w:rPr>
                <w:rFonts w:ascii="Times New Roman" w:cs="Times New Roman" w:hint="eastAsia"/>
                <w:i/>
                <w:iCs/>
                <w:spacing w:val="-4"/>
                <w:kern w:val="2"/>
                <w:sz w:val="21"/>
                <w:szCs w:val="21"/>
              </w:rPr>
              <w:t xml:space="preserve"> </w:t>
            </w:r>
            <w:r w:rsidRPr="005556D5">
              <w:rPr>
                <w:rFonts w:ascii="Times New Roman" w:cs="Times New Roman"/>
                <w:i/>
                <w:iCs/>
                <w:spacing w:val="-4"/>
                <w:kern w:val="2"/>
                <w:sz w:val="21"/>
                <w:szCs w:val="21"/>
              </w:rPr>
              <w:t xml:space="preserve">acutissima Carruth.+Quercus variabilis </w:t>
            </w:r>
            <w:r w:rsidRPr="005556D5">
              <w:rPr>
                <w:rFonts w:ascii="Times New Roman" w:cs="Times New Roman"/>
                <w:spacing w:val="-4"/>
                <w:kern w:val="2"/>
                <w:sz w:val="21"/>
                <w:szCs w:val="21"/>
              </w:rPr>
              <w:t>Bl.</w:t>
            </w:r>
          </w:p>
        </w:tc>
      </w:tr>
      <w:tr w:rsidR="005556D5" w:rsidRPr="005556D5" w:rsidTr="005556D5">
        <w:trPr>
          <w:trHeight w:val="441"/>
          <w:jc w:val="center"/>
        </w:trPr>
        <w:tc>
          <w:tcPr>
            <w:tcW w:w="374" w:type="dxa"/>
            <w:vMerge/>
            <w:tcBorders>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86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77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1897" w:type="dxa"/>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bCs/>
                <w:sz w:val="21"/>
                <w:szCs w:val="21"/>
              </w:rPr>
              <w:t>麻栎</w:t>
            </w:r>
            <w:r w:rsidRPr="005556D5">
              <w:rPr>
                <w:rFonts w:ascii="Times New Roman" w:cs="Times New Roman" w:hint="eastAsia"/>
                <w:bCs/>
                <w:sz w:val="21"/>
                <w:szCs w:val="21"/>
              </w:rPr>
              <w:t>、</w:t>
            </w:r>
            <w:r w:rsidRPr="005556D5">
              <w:rPr>
                <w:rFonts w:ascii="Times New Roman" w:cs="Times New Roman"/>
                <w:bCs/>
                <w:sz w:val="21"/>
                <w:szCs w:val="21"/>
              </w:rPr>
              <w:t>柏木混交林群落</w:t>
            </w:r>
          </w:p>
        </w:tc>
        <w:tc>
          <w:tcPr>
            <w:tcW w:w="4103" w:type="dxa"/>
            <w:tcBorders>
              <w:right w:val="nil"/>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Form.</w:t>
            </w:r>
            <w:r w:rsidRPr="005556D5">
              <w:rPr>
                <w:rFonts w:ascii="Times New Roman" w:cs="Times New Roman"/>
                <w:i/>
                <w:iCs/>
                <w:spacing w:val="-4"/>
                <w:kern w:val="2"/>
                <w:sz w:val="21"/>
                <w:szCs w:val="21"/>
              </w:rPr>
              <w:t>Quercus</w:t>
            </w:r>
            <w:r w:rsidRPr="005556D5">
              <w:rPr>
                <w:rFonts w:ascii="Times New Roman" w:cs="Times New Roman" w:hint="eastAsia"/>
                <w:i/>
                <w:iCs/>
                <w:spacing w:val="-4"/>
                <w:kern w:val="2"/>
                <w:sz w:val="21"/>
                <w:szCs w:val="21"/>
              </w:rPr>
              <w:t xml:space="preserve"> </w:t>
            </w:r>
            <w:r w:rsidRPr="005556D5">
              <w:rPr>
                <w:rFonts w:ascii="Times New Roman" w:cs="Times New Roman"/>
                <w:i/>
                <w:iCs/>
                <w:spacing w:val="-4"/>
                <w:kern w:val="2"/>
                <w:sz w:val="21"/>
                <w:szCs w:val="21"/>
              </w:rPr>
              <w:t>acutissima Carruth.+</w:t>
            </w:r>
            <w:r w:rsidRPr="005556D5">
              <w:rPr>
                <w:rFonts w:ascii="Times New Roman" w:eastAsia="Times New Roman" w:cs="Times New Roman"/>
                <w:i/>
                <w:iCs/>
                <w:kern w:val="2"/>
                <w:sz w:val="21"/>
                <w:szCs w:val="21"/>
              </w:rPr>
              <w:t>Cupressusfunebris</w:t>
            </w:r>
          </w:p>
        </w:tc>
      </w:tr>
      <w:tr w:rsidR="005556D5" w:rsidRPr="005556D5" w:rsidTr="005556D5">
        <w:trPr>
          <w:trHeight w:val="295"/>
          <w:jc w:val="center"/>
        </w:trPr>
        <w:tc>
          <w:tcPr>
            <w:tcW w:w="374" w:type="dxa"/>
            <w:vMerge/>
            <w:tcBorders>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866" w:type="dxa"/>
            <w:vMerge w:val="restart"/>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灌丛和灌</w:t>
            </w:r>
            <w:r w:rsidRPr="005556D5">
              <w:rPr>
                <w:rFonts w:ascii="Times New Roman" w:cs="Times New Roman"/>
                <w:spacing w:val="-4"/>
                <w:kern w:val="2"/>
                <w:sz w:val="21"/>
                <w:szCs w:val="21"/>
              </w:rPr>
              <w:t xml:space="preserve"> </w:t>
            </w:r>
            <w:r w:rsidRPr="005556D5">
              <w:rPr>
                <w:rFonts w:ascii="Times New Roman" w:cs="Times New Roman"/>
                <w:spacing w:val="-4"/>
                <w:kern w:val="2"/>
                <w:sz w:val="21"/>
                <w:szCs w:val="21"/>
              </w:rPr>
              <w:t>草丛</w:t>
            </w:r>
          </w:p>
        </w:tc>
        <w:tc>
          <w:tcPr>
            <w:tcW w:w="776" w:type="dxa"/>
            <w:vMerge w:val="restart"/>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阔叶灌丛</w:t>
            </w:r>
          </w:p>
        </w:tc>
        <w:tc>
          <w:tcPr>
            <w:tcW w:w="1897" w:type="dxa"/>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槲栎灌丛群系</w:t>
            </w:r>
          </w:p>
        </w:tc>
        <w:tc>
          <w:tcPr>
            <w:tcW w:w="4103" w:type="dxa"/>
            <w:tcBorders>
              <w:right w:val="nil"/>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i/>
                <w:iCs/>
                <w:spacing w:val="-4"/>
                <w:kern w:val="2"/>
                <w:sz w:val="21"/>
                <w:szCs w:val="21"/>
              </w:rPr>
            </w:pPr>
            <w:r w:rsidRPr="005556D5">
              <w:rPr>
                <w:rFonts w:ascii="Times New Roman" w:cs="Times New Roman"/>
                <w:kern w:val="2"/>
              </w:rPr>
              <w:t>Form.</w:t>
            </w:r>
            <w:r w:rsidRPr="005556D5">
              <w:rPr>
                <w:rFonts w:ascii="Times New Roman" w:cs="Times New Roman"/>
                <w:i/>
                <w:iCs/>
                <w:kern w:val="2"/>
              </w:rPr>
              <w:t>Quercus aliena</w:t>
            </w:r>
          </w:p>
        </w:tc>
      </w:tr>
      <w:tr w:rsidR="005556D5" w:rsidRPr="005556D5" w:rsidTr="005556D5">
        <w:trPr>
          <w:trHeight w:val="295"/>
          <w:jc w:val="center"/>
        </w:trPr>
        <w:tc>
          <w:tcPr>
            <w:tcW w:w="374" w:type="dxa"/>
            <w:vMerge/>
            <w:tcBorders>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86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77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1897" w:type="dxa"/>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bCs/>
                <w:sz w:val="21"/>
                <w:szCs w:val="21"/>
              </w:rPr>
              <w:t>火棘灌丛群落</w:t>
            </w:r>
          </w:p>
        </w:tc>
        <w:tc>
          <w:tcPr>
            <w:tcW w:w="4103" w:type="dxa"/>
            <w:tcBorders>
              <w:right w:val="nil"/>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kern w:val="2"/>
              </w:rPr>
              <w:t>Form.</w:t>
            </w:r>
            <w:r w:rsidRPr="005556D5">
              <w:rPr>
                <w:rFonts w:ascii="Times New Roman" w:cs="Times New Roman"/>
                <w:i/>
                <w:iCs/>
                <w:spacing w:val="-4"/>
                <w:kern w:val="2"/>
                <w:sz w:val="21"/>
                <w:szCs w:val="21"/>
              </w:rPr>
              <w:t>Pyracantha fortuneana</w:t>
            </w:r>
          </w:p>
        </w:tc>
      </w:tr>
      <w:tr w:rsidR="005556D5" w:rsidRPr="005556D5" w:rsidTr="005556D5">
        <w:trPr>
          <w:trHeight w:val="295"/>
          <w:jc w:val="center"/>
        </w:trPr>
        <w:tc>
          <w:tcPr>
            <w:tcW w:w="374" w:type="dxa"/>
            <w:vMerge/>
            <w:tcBorders>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86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77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1897" w:type="dxa"/>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马桑、黄荆、火棘</w:t>
            </w:r>
            <w:r w:rsidRPr="005556D5">
              <w:rPr>
                <w:rFonts w:ascii="Times New Roman" w:cs="Times New Roman" w:hint="eastAsia"/>
                <w:spacing w:val="-4"/>
                <w:kern w:val="2"/>
                <w:sz w:val="21"/>
                <w:szCs w:val="21"/>
              </w:rPr>
              <w:t>灌丛</w:t>
            </w:r>
            <w:r w:rsidRPr="005556D5">
              <w:rPr>
                <w:rFonts w:ascii="Times New Roman" w:cs="Times New Roman"/>
                <w:spacing w:val="-4"/>
                <w:kern w:val="2"/>
                <w:sz w:val="21"/>
                <w:szCs w:val="21"/>
              </w:rPr>
              <w:t>群系</w:t>
            </w:r>
          </w:p>
        </w:tc>
        <w:tc>
          <w:tcPr>
            <w:tcW w:w="4103" w:type="dxa"/>
            <w:tcBorders>
              <w:right w:val="nil"/>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i/>
                <w:iCs/>
                <w:spacing w:val="-4"/>
                <w:kern w:val="2"/>
                <w:sz w:val="21"/>
                <w:szCs w:val="21"/>
              </w:rPr>
            </w:pPr>
            <w:r w:rsidRPr="005556D5">
              <w:rPr>
                <w:rFonts w:ascii="Times New Roman" w:cs="Times New Roman"/>
                <w:spacing w:val="-4"/>
                <w:kern w:val="2"/>
                <w:sz w:val="21"/>
                <w:szCs w:val="21"/>
              </w:rPr>
              <w:t>Form.</w:t>
            </w:r>
            <w:r w:rsidRPr="005556D5">
              <w:rPr>
                <w:rFonts w:ascii="Times New Roman" w:cs="Times New Roman"/>
                <w:i/>
                <w:iCs/>
                <w:spacing w:val="-4"/>
                <w:kern w:val="2"/>
                <w:sz w:val="21"/>
                <w:szCs w:val="21"/>
              </w:rPr>
              <w:t>Coriaria nepalensis+Vitex negundo+Pyracantha fortuneana</w:t>
            </w:r>
          </w:p>
        </w:tc>
      </w:tr>
      <w:tr w:rsidR="005556D5" w:rsidRPr="005556D5" w:rsidTr="005556D5">
        <w:trPr>
          <w:trHeight w:val="296"/>
          <w:jc w:val="center"/>
        </w:trPr>
        <w:tc>
          <w:tcPr>
            <w:tcW w:w="374" w:type="dxa"/>
            <w:vMerge/>
            <w:tcBorders>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86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776" w:type="dxa"/>
            <w:vMerge w:val="restart"/>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草丛</w:t>
            </w:r>
          </w:p>
        </w:tc>
        <w:tc>
          <w:tcPr>
            <w:tcW w:w="1897" w:type="dxa"/>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白茅、五节芒、野古草</w:t>
            </w:r>
            <w:r w:rsidRPr="005556D5">
              <w:rPr>
                <w:rFonts w:ascii="Times New Roman" w:cs="Times New Roman" w:hint="eastAsia"/>
                <w:spacing w:val="-4"/>
                <w:kern w:val="2"/>
                <w:sz w:val="21"/>
                <w:szCs w:val="21"/>
              </w:rPr>
              <w:t>草丛</w:t>
            </w:r>
            <w:r w:rsidRPr="005556D5">
              <w:rPr>
                <w:rFonts w:ascii="Times New Roman" w:cs="Times New Roman"/>
                <w:spacing w:val="-4"/>
                <w:kern w:val="2"/>
                <w:sz w:val="21"/>
                <w:szCs w:val="21"/>
              </w:rPr>
              <w:t>群系</w:t>
            </w:r>
          </w:p>
        </w:tc>
        <w:tc>
          <w:tcPr>
            <w:tcW w:w="4103" w:type="dxa"/>
            <w:tcBorders>
              <w:right w:val="nil"/>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i/>
                <w:iCs/>
                <w:spacing w:val="-4"/>
                <w:kern w:val="2"/>
                <w:sz w:val="21"/>
                <w:szCs w:val="21"/>
              </w:rPr>
            </w:pPr>
            <w:r w:rsidRPr="005556D5">
              <w:rPr>
                <w:rFonts w:ascii="Times New Roman" w:cs="Times New Roman"/>
                <w:spacing w:val="-4"/>
                <w:kern w:val="2"/>
                <w:sz w:val="21"/>
                <w:szCs w:val="21"/>
              </w:rPr>
              <w:t>Form.</w:t>
            </w:r>
            <w:r w:rsidRPr="005556D5">
              <w:rPr>
                <w:rFonts w:ascii="Times New Roman" w:cs="Times New Roman"/>
                <w:i/>
                <w:iCs/>
                <w:spacing w:val="-4"/>
                <w:kern w:val="2"/>
                <w:sz w:val="21"/>
                <w:szCs w:val="21"/>
              </w:rPr>
              <w:t>Imperata</w:t>
            </w:r>
            <w:r w:rsidRPr="005556D5">
              <w:rPr>
                <w:rFonts w:ascii="Times New Roman" w:cs="Times New Roman" w:hint="eastAsia"/>
                <w:i/>
                <w:iCs/>
                <w:spacing w:val="-4"/>
                <w:kern w:val="2"/>
                <w:sz w:val="21"/>
                <w:szCs w:val="21"/>
              </w:rPr>
              <w:t xml:space="preserve"> </w:t>
            </w:r>
            <w:r w:rsidRPr="005556D5">
              <w:rPr>
                <w:rFonts w:ascii="Times New Roman" w:cs="Times New Roman"/>
                <w:i/>
                <w:iCs/>
                <w:spacing w:val="-4"/>
                <w:kern w:val="2"/>
                <w:sz w:val="21"/>
                <w:szCs w:val="21"/>
              </w:rPr>
              <w:t>cylindrica.+ Miscanthus floridulus+Arundinella anomala</w:t>
            </w:r>
          </w:p>
        </w:tc>
      </w:tr>
      <w:tr w:rsidR="005556D5" w:rsidRPr="005556D5" w:rsidTr="005556D5">
        <w:trPr>
          <w:trHeight w:val="296"/>
          <w:jc w:val="center"/>
        </w:trPr>
        <w:tc>
          <w:tcPr>
            <w:tcW w:w="374" w:type="dxa"/>
            <w:vMerge/>
            <w:tcBorders>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86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77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1897" w:type="dxa"/>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芒、蕨、芒萁</w:t>
            </w:r>
            <w:r w:rsidRPr="005556D5">
              <w:rPr>
                <w:rFonts w:ascii="Times New Roman" w:cs="Times New Roman" w:hint="eastAsia"/>
                <w:spacing w:val="-4"/>
                <w:kern w:val="2"/>
                <w:sz w:val="21"/>
                <w:szCs w:val="21"/>
              </w:rPr>
              <w:t>草丛</w:t>
            </w:r>
            <w:r w:rsidRPr="005556D5">
              <w:rPr>
                <w:rFonts w:ascii="Times New Roman" w:cs="Times New Roman"/>
                <w:spacing w:val="-4"/>
                <w:kern w:val="2"/>
                <w:sz w:val="21"/>
                <w:szCs w:val="21"/>
              </w:rPr>
              <w:t>群系</w:t>
            </w:r>
          </w:p>
        </w:tc>
        <w:tc>
          <w:tcPr>
            <w:tcW w:w="4103" w:type="dxa"/>
            <w:tcBorders>
              <w:right w:val="nil"/>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i/>
                <w:iCs/>
                <w:spacing w:val="-4"/>
                <w:kern w:val="2"/>
                <w:sz w:val="21"/>
                <w:szCs w:val="21"/>
              </w:rPr>
            </w:pPr>
            <w:r w:rsidRPr="005556D5">
              <w:rPr>
                <w:rFonts w:ascii="Times New Roman" w:cs="Times New Roman"/>
                <w:spacing w:val="-4"/>
                <w:kern w:val="2"/>
                <w:sz w:val="21"/>
                <w:szCs w:val="21"/>
              </w:rPr>
              <w:t>Form.</w:t>
            </w:r>
            <w:r w:rsidRPr="005556D5">
              <w:rPr>
                <w:rFonts w:ascii="Times New Roman" w:cs="Times New Roman"/>
                <w:i/>
                <w:iCs/>
                <w:spacing w:val="-4"/>
                <w:kern w:val="2"/>
                <w:sz w:val="21"/>
                <w:szCs w:val="21"/>
              </w:rPr>
              <w:t>Miscanthus</w:t>
            </w:r>
            <w:r w:rsidRPr="005556D5">
              <w:rPr>
                <w:rFonts w:ascii="Times New Roman" w:cs="Times New Roman" w:hint="eastAsia"/>
                <w:i/>
                <w:iCs/>
                <w:spacing w:val="-4"/>
                <w:kern w:val="2"/>
                <w:sz w:val="21"/>
                <w:szCs w:val="21"/>
              </w:rPr>
              <w:t xml:space="preserve"> </w:t>
            </w:r>
            <w:r w:rsidRPr="005556D5">
              <w:rPr>
                <w:rFonts w:ascii="Times New Roman" w:cs="Times New Roman"/>
                <w:i/>
                <w:iCs/>
                <w:spacing w:val="-4"/>
                <w:kern w:val="2"/>
                <w:sz w:val="21"/>
                <w:szCs w:val="21"/>
              </w:rPr>
              <w:t>sinensis+P.Aquilinum+Dicranopteris dichotoma</w:t>
            </w:r>
            <w:r w:rsidRPr="005556D5">
              <w:rPr>
                <w:rFonts w:ascii="Times New Roman" w:cs="Times New Roman"/>
                <w:spacing w:val="-4"/>
                <w:kern w:val="2"/>
                <w:sz w:val="21"/>
                <w:szCs w:val="21"/>
              </w:rPr>
              <w:t>(Thunb.)Bernh.</w:t>
            </w:r>
          </w:p>
        </w:tc>
      </w:tr>
      <w:tr w:rsidR="005556D5" w:rsidRPr="005556D5" w:rsidTr="005556D5">
        <w:trPr>
          <w:trHeight w:val="296"/>
          <w:jc w:val="center"/>
        </w:trPr>
        <w:tc>
          <w:tcPr>
            <w:tcW w:w="374" w:type="dxa"/>
            <w:vMerge/>
            <w:tcBorders>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86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776" w:type="dxa"/>
            <w:vMerge/>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1897" w:type="dxa"/>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p>
        </w:tc>
        <w:tc>
          <w:tcPr>
            <w:tcW w:w="4103" w:type="dxa"/>
            <w:tcBorders>
              <w:right w:val="nil"/>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i/>
                <w:iCs/>
                <w:spacing w:val="-4"/>
                <w:kern w:val="2"/>
                <w:sz w:val="21"/>
                <w:szCs w:val="21"/>
              </w:rPr>
            </w:pPr>
          </w:p>
        </w:tc>
      </w:tr>
      <w:tr w:rsidR="005556D5" w:rsidRPr="005556D5" w:rsidTr="005556D5">
        <w:trPr>
          <w:trHeight w:val="373"/>
          <w:jc w:val="center"/>
        </w:trPr>
        <w:tc>
          <w:tcPr>
            <w:tcW w:w="374" w:type="dxa"/>
            <w:vMerge w:val="restart"/>
            <w:tcBorders>
              <w:left w:val="nil"/>
            </w:tcBorders>
            <w:textDirection w:val="tbRlV"/>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人工植被</w:t>
            </w:r>
          </w:p>
        </w:tc>
        <w:tc>
          <w:tcPr>
            <w:tcW w:w="7642" w:type="dxa"/>
            <w:gridSpan w:val="4"/>
            <w:tcBorders>
              <w:right w:val="nil"/>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1</w:t>
            </w:r>
            <w:r w:rsidRPr="005556D5">
              <w:rPr>
                <w:rFonts w:ascii="Times New Roman" w:cs="Times New Roman"/>
                <w:spacing w:val="-4"/>
                <w:kern w:val="2"/>
                <w:sz w:val="21"/>
                <w:szCs w:val="21"/>
              </w:rPr>
              <w:t>、一年两熟水田作物组合型</w:t>
            </w:r>
          </w:p>
        </w:tc>
      </w:tr>
      <w:tr w:rsidR="005556D5" w:rsidRPr="005556D5" w:rsidTr="005556D5">
        <w:trPr>
          <w:trHeight w:val="378"/>
          <w:jc w:val="center"/>
        </w:trPr>
        <w:tc>
          <w:tcPr>
            <w:tcW w:w="374" w:type="dxa"/>
            <w:vMerge/>
            <w:tcBorders>
              <w:left w:val="nil"/>
            </w:tcBorders>
            <w:textDirection w:val="tbRlV"/>
            <w:vAlign w:val="center"/>
          </w:tcPr>
          <w:p w:rsidR="005556D5" w:rsidRPr="005556D5" w:rsidRDefault="005556D5" w:rsidP="005556D5">
            <w:pPr>
              <w:topLinePunct w:val="0"/>
              <w:adjustRightInd/>
              <w:spacing w:line="240" w:lineRule="auto"/>
              <w:ind w:firstLineChars="0" w:firstLine="0"/>
              <w:rPr>
                <w:rFonts w:ascii="Times New Roman" w:cs="Times New Roman"/>
                <w:kern w:val="2"/>
                <w:sz w:val="21"/>
              </w:rPr>
            </w:pPr>
          </w:p>
        </w:tc>
        <w:tc>
          <w:tcPr>
            <w:tcW w:w="7642" w:type="dxa"/>
            <w:gridSpan w:val="4"/>
            <w:tcBorders>
              <w:right w:val="nil"/>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spacing w:val="-4"/>
                <w:kern w:val="2"/>
                <w:sz w:val="21"/>
                <w:szCs w:val="21"/>
              </w:rPr>
            </w:pPr>
            <w:r w:rsidRPr="005556D5">
              <w:rPr>
                <w:rFonts w:ascii="Times New Roman" w:cs="Times New Roman"/>
                <w:spacing w:val="-4"/>
                <w:kern w:val="2"/>
                <w:sz w:val="21"/>
                <w:szCs w:val="21"/>
              </w:rPr>
              <w:t>2</w:t>
            </w:r>
            <w:r w:rsidRPr="005556D5">
              <w:rPr>
                <w:rFonts w:ascii="Times New Roman" w:cs="Times New Roman"/>
                <w:spacing w:val="-4"/>
                <w:kern w:val="2"/>
                <w:sz w:val="21"/>
                <w:szCs w:val="21"/>
              </w:rPr>
              <w:t>、一年两熟旱地作物组合型</w:t>
            </w:r>
          </w:p>
        </w:tc>
      </w:tr>
      <w:tr w:rsidR="005556D5" w:rsidRPr="005556D5" w:rsidTr="005556D5">
        <w:trPr>
          <w:trHeight w:val="426"/>
          <w:jc w:val="center"/>
        </w:trPr>
        <w:tc>
          <w:tcPr>
            <w:tcW w:w="374" w:type="dxa"/>
            <w:vMerge/>
            <w:tcBorders>
              <w:left w:val="nil"/>
              <w:bottom w:val="single" w:sz="12" w:space="0" w:color="auto"/>
            </w:tcBorders>
            <w:textDirection w:val="tbRlV"/>
            <w:vAlign w:val="center"/>
          </w:tcPr>
          <w:p w:rsidR="005556D5" w:rsidRPr="005556D5" w:rsidRDefault="005556D5" w:rsidP="005556D5">
            <w:pPr>
              <w:topLinePunct w:val="0"/>
              <w:adjustRightInd/>
              <w:spacing w:line="240" w:lineRule="auto"/>
              <w:ind w:firstLineChars="0" w:firstLine="0"/>
              <w:rPr>
                <w:rFonts w:ascii="Times New Roman" w:cs="Times New Roman"/>
                <w:kern w:val="2"/>
                <w:sz w:val="21"/>
              </w:rPr>
            </w:pPr>
          </w:p>
        </w:tc>
        <w:tc>
          <w:tcPr>
            <w:tcW w:w="7642" w:type="dxa"/>
            <w:gridSpan w:val="4"/>
            <w:tcBorders>
              <w:bottom w:val="single" w:sz="12" w:space="0" w:color="auto"/>
              <w:right w:val="nil"/>
            </w:tcBorders>
            <w:vAlign w:val="center"/>
          </w:tcPr>
          <w:p w:rsidR="005556D5" w:rsidRPr="005556D5" w:rsidRDefault="005556D5" w:rsidP="005556D5">
            <w:pPr>
              <w:topLinePunct w:val="0"/>
              <w:adjustRightInd/>
              <w:spacing w:before="51" w:line="214" w:lineRule="auto"/>
              <w:ind w:firstLineChars="0" w:firstLine="0"/>
              <w:jc w:val="center"/>
              <w:rPr>
                <w:rFonts w:ascii="Times New Roman" w:cs="Times New Roman"/>
                <w:kern w:val="2"/>
                <w:sz w:val="21"/>
              </w:rPr>
            </w:pPr>
            <w:r w:rsidRPr="005556D5">
              <w:rPr>
                <w:rFonts w:ascii="Times New Roman" w:cs="Times New Roman"/>
                <w:kern w:val="2"/>
                <w:sz w:val="21"/>
              </w:rPr>
              <w:t>3</w:t>
            </w:r>
            <w:r w:rsidRPr="005556D5">
              <w:rPr>
                <w:rFonts w:ascii="Times New Roman" w:cs="Times New Roman"/>
                <w:kern w:val="2"/>
                <w:sz w:val="21"/>
              </w:rPr>
              <w:t>、</w:t>
            </w:r>
            <w:r w:rsidRPr="005556D5">
              <w:rPr>
                <w:rFonts w:ascii="Times New Roman" w:cs="Times New Roman" w:hint="eastAsia"/>
                <w:kern w:val="2"/>
                <w:sz w:val="21"/>
              </w:rPr>
              <w:t>经果林</w:t>
            </w:r>
            <w:r w:rsidRPr="005556D5">
              <w:rPr>
                <w:rFonts w:ascii="Times New Roman" w:cs="Times New Roman"/>
                <w:kern w:val="2"/>
                <w:sz w:val="21"/>
              </w:rPr>
              <w:t>植被</w:t>
            </w:r>
            <w:r w:rsidRPr="005556D5">
              <w:rPr>
                <w:rFonts w:ascii="Times New Roman" w:cs="Times New Roman"/>
                <w:kern w:val="2"/>
                <w:sz w:val="21"/>
              </w:rPr>
              <w:t>(</w:t>
            </w:r>
            <w:r w:rsidRPr="005556D5">
              <w:rPr>
                <w:rFonts w:ascii="Times New Roman" w:cs="Times New Roman"/>
                <w:kern w:val="2"/>
                <w:sz w:val="21"/>
              </w:rPr>
              <w:t>苹果、川梨、枇杷、桃、木瓜、樱桃、李、核桃、柑橘、柚子等</w:t>
            </w:r>
            <w:r w:rsidRPr="005556D5">
              <w:rPr>
                <w:rFonts w:ascii="Times New Roman" w:cs="Times New Roman"/>
                <w:kern w:val="2"/>
                <w:sz w:val="21"/>
              </w:rPr>
              <w:t>)</w:t>
            </w:r>
          </w:p>
        </w:tc>
      </w:tr>
    </w:tbl>
    <w:p w:rsidR="002871C9" w:rsidRPr="00D630D1" w:rsidRDefault="002871C9" w:rsidP="00F96E37">
      <w:pPr>
        <w:topLinePunct w:val="0"/>
        <w:adjustRightInd/>
        <w:spacing w:beforeLines="50"/>
        <w:ind w:firstLine="482"/>
        <w:rPr>
          <w:rFonts w:ascii="Times New Roman" w:cs="Times New Roman"/>
          <w:b/>
          <w:kern w:val="2"/>
        </w:rPr>
      </w:pPr>
      <w:r w:rsidRPr="00D630D1">
        <w:rPr>
          <w:rFonts w:ascii="Times New Roman" w:cs="Times New Roman" w:hint="eastAsia"/>
          <w:b/>
          <w:kern w:val="2"/>
        </w:rPr>
        <w:t>Ⅰ</w:t>
      </w:r>
      <w:r w:rsidRPr="00D630D1">
        <w:rPr>
          <w:rFonts w:ascii="Times New Roman" w:cs="Times New Roman"/>
          <w:b/>
          <w:kern w:val="2"/>
        </w:rPr>
        <w:t>森林植被</w:t>
      </w:r>
    </w:p>
    <w:p w:rsidR="005556D5" w:rsidRDefault="005556D5" w:rsidP="00D1611E">
      <w:pPr>
        <w:topLinePunct w:val="0"/>
        <w:ind w:firstLineChars="174" w:firstLine="470"/>
        <w:rPr>
          <w:rFonts w:ascii="Times New Roman" w:cs="Times New Roman"/>
        </w:rPr>
      </w:pPr>
      <w:r>
        <w:rPr>
          <w:rFonts w:hAnsi="宋体" w:hint="eastAsia"/>
          <w:spacing w:val="15"/>
        </w:rPr>
        <w:t>①</w:t>
      </w:r>
      <w:r>
        <w:rPr>
          <w:rFonts w:ascii="Times New Roman" w:cs="Times New Roman"/>
          <w:spacing w:val="9"/>
        </w:rPr>
        <w:t>马尾松林</w:t>
      </w:r>
      <w:r>
        <w:rPr>
          <w:rFonts w:ascii="Times New Roman" w:cs="Times New Roman"/>
          <w:spacing w:val="9"/>
        </w:rPr>
        <w:t>(</w:t>
      </w:r>
      <w:r>
        <w:rPr>
          <w:rFonts w:ascii="Times New Roman" w:eastAsia="Times New Roman" w:cs="Times New Roman"/>
        </w:rPr>
        <w:t>Form</w:t>
      </w:r>
      <w:r>
        <w:rPr>
          <w:rFonts w:ascii="Times New Roman" w:eastAsia="Times New Roman" w:cs="Times New Roman"/>
          <w:spacing w:val="9"/>
        </w:rPr>
        <w:t>.</w:t>
      </w:r>
      <w:r>
        <w:rPr>
          <w:rFonts w:ascii="Times New Roman" w:eastAsia="Times New Roman" w:cs="Times New Roman"/>
          <w:i/>
          <w:iCs/>
        </w:rPr>
        <w:t>P</w:t>
      </w:r>
      <w:r>
        <w:rPr>
          <w:rFonts w:ascii="Times New Roman" w:eastAsia="Times New Roman" w:cs="Times New Roman"/>
          <w:i/>
          <w:iCs/>
          <w:spacing w:val="9"/>
        </w:rPr>
        <w:t>.</w:t>
      </w:r>
      <w:r>
        <w:rPr>
          <w:rFonts w:ascii="Times New Roman" w:eastAsia="Times New Roman" w:cs="Times New Roman"/>
          <w:i/>
          <w:iCs/>
        </w:rPr>
        <w:t>massoniana</w:t>
      </w:r>
      <w:r>
        <w:rPr>
          <w:rFonts w:ascii="Times New Roman" w:cs="Times New Roman"/>
          <w:spacing w:val="9"/>
        </w:rPr>
        <w:t>)</w:t>
      </w:r>
    </w:p>
    <w:p w:rsidR="005556D5" w:rsidRDefault="005556D5" w:rsidP="005556D5">
      <w:pPr>
        <w:topLinePunct w:val="0"/>
        <w:snapToGrid w:val="0"/>
        <w:ind w:firstLine="448"/>
        <w:rPr>
          <w:rFonts w:ascii="Times New Roman" w:cs="Times New Roman"/>
        </w:rPr>
      </w:pPr>
      <w:r>
        <w:rPr>
          <w:rFonts w:ascii="Times New Roman" w:cs="Times New Roman"/>
          <w:spacing w:val="-8"/>
        </w:rPr>
        <w:t>评</w:t>
      </w:r>
      <w:r>
        <w:rPr>
          <w:rFonts w:ascii="Times New Roman" w:cs="Times New Roman"/>
          <w:spacing w:val="-4"/>
        </w:rPr>
        <w:t>价区的</w:t>
      </w:r>
      <w:r>
        <w:rPr>
          <w:rFonts w:ascii="Times New Roman" w:cs="Times New Roman"/>
        </w:rPr>
        <w:t>马尾</w:t>
      </w:r>
      <w:r>
        <w:rPr>
          <w:rFonts w:ascii="Times New Roman" w:cs="Times New Roman"/>
          <w:spacing w:val="-4"/>
        </w:rPr>
        <w:t>松</w:t>
      </w:r>
      <w:r>
        <w:rPr>
          <w:rFonts w:ascii="Times New Roman" w:cs="Times New Roman"/>
          <w:spacing w:val="-4"/>
        </w:rPr>
        <w:t>(</w:t>
      </w:r>
      <w:r>
        <w:rPr>
          <w:rFonts w:ascii="Times New Roman" w:eastAsia="Times New Roman" w:cs="Times New Roman"/>
          <w:i/>
          <w:iCs/>
          <w:spacing w:val="-4"/>
        </w:rPr>
        <w:t>P.massoniana</w:t>
      </w:r>
      <w:r>
        <w:rPr>
          <w:rFonts w:ascii="Times New Roman" w:cs="Times New Roman"/>
          <w:spacing w:val="-4"/>
        </w:rPr>
        <w:t>)</w:t>
      </w:r>
      <w:r>
        <w:rPr>
          <w:rFonts w:ascii="Times New Roman" w:cs="Times New Roman"/>
          <w:spacing w:val="-4"/>
        </w:rPr>
        <w:t>林为人工起源，多呈块状或片状分布在评价</w:t>
      </w:r>
      <w:r>
        <w:rPr>
          <w:rFonts w:ascii="Times New Roman" w:cs="Times New Roman"/>
          <w:spacing w:val="3"/>
        </w:rPr>
        <w:t>区所在山体中、上部</w:t>
      </w:r>
      <w:r>
        <w:rPr>
          <w:rFonts w:hAnsi="宋体"/>
          <w:spacing w:val="-5"/>
        </w:rPr>
        <w:t>砂页岩发育的黄壤地段上</w:t>
      </w:r>
      <w:r>
        <w:rPr>
          <w:rFonts w:ascii="Times New Roman" w:cs="Times New Roman"/>
          <w:spacing w:val="3"/>
        </w:rPr>
        <w:t>，在评价区广泛分布。群落外貌呈翠绿色，林冠整齐，层</w:t>
      </w:r>
      <w:r>
        <w:rPr>
          <w:rFonts w:ascii="Times New Roman" w:cs="Times New Roman"/>
        </w:rPr>
        <w:t>次</w:t>
      </w:r>
      <w:r>
        <w:rPr>
          <w:rFonts w:ascii="Times New Roman" w:cs="Times New Roman"/>
          <w:spacing w:val="-20"/>
        </w:rPr>
        <w:t>分</w:t>
      </w:r>
      <w:r>
        <w:rPr>
          <w:rFonts w:ascii="Times New Roman" w:cs="Times New Roman"/>
          <w:spacing w:val="-16"/>
        </w:rPr>
        <w:t>明</w:t>
      </w:r>
      <w:r>
        <w:rPr>
          <w:rFonts w:ascii="Times New Roman" w:cs="Times New Roman"/>
          <w:spacing w:val="-10"/>
        </w:rPr>
        <w:t>。主要以纯林为主，乔灌层次分明。乔木层较少，主要有杉木</w:t>
      </w:r>
      <w:r>
        <w:rPr>
          <w:rFonts w:ascii="Times New Roman" w:cs="Times New Roman"/>
          <w:spacing w:val="-4"/>
        </w:rPr>
        <w:t>、</w:t>
      </w:r>
      <w:r>
        <w:rPr>
          <w:rFonts w:ascii="Times New Roman" w:cs="Times New Roman"/>
          <w:spacing w:val="-3"/>
        </w:rPr>
        <w:t>枫香、栓皮栎、麻栎等。灌木层种类较多，</w:t>
      </w:r>
      <w:r>
        <w:rPr>
          <w:rFonts w:ascii="Times New Roman" w:cs="Times New Roman"/>
          <w:spacing w:val="14"/>
        </w:rPr>
        <w:t>常见</w:t>
      </w:r>
      <w:r>
        <w:rPr>
          <w:rFonts w:ascii="Times New Roman" w:cs="Times New Roman"/>
          <w:spacing w:val="12"/>
        </w:rPr>
        <w:t>为</w:t>
      </w:r>
      <w:r>
        <w:rPr>
          <w:rFonts w:ascii="Times New Roman" w:cs="Times New Roman"/>
          <w:spacing w:val="7"/>
        </w:rPr>
        <w:t>多种</w:t>
      </w:r>
      <w:r>
        <w:rPr>
          <w:rFonts w:hAnsi="宋体"/>
          <w:spacing w:val="-5"/>
        </w:rPr>
        <w:t>米饭花、映山红、米碎花、铁仔</w:t>
      </w:r>
      <w:r>
        <w:rPr>
          <w:rFonts w:hAnsi="宋体" w:hint="eastAsia"/>
          <w:spacing w:val="-5"/>
        </w:rPr>
        <w:t>、</w:t>
      </w:r>
      <w:r>
        <w:rPr>
          <w:rFonts w:ascii="Times New Roman" w:cs="Times New Roman"/>
          <w:spacing w:val="7"/>
        </w:rPr>
        <w:t>柃</w:t>
      </w:r>
      <w:r>
        <w:rPr>
          <w:rFonts w:ascii="Times New Roman" w:cs="Times New Roman"/>
        </w:rPr>
        <w:t>木、杜鹃、鹅掌</w:t>
      </w:r>
      <w:r>
        <w:rPr>
          <w:rFonts w:ascii="Times New Roman" w:cs="Times New Roman"/>
          <w:spacing w:val="7"/>
        </w:rPr>
        <w:t>柴、山矾</w:t>
      </w:r>
      <w:r>
        <w:rPr>
          <w:rFonts w:ascii="Times New Roman" w:cs="Times New Roman"/>
          <w:spacing w:val="7"/>
        </w:rPr>
        <w:t>(</w:t>
      </w:r>
      <w:r>
        <w:rPr>
          <w:rFonts w:ascii="Times New Roman" w:eastAsia="Times New Roman" w:cs="Times New Roman"/>
          <w:i/>
          <w:iCs/>
        </w:rPr>
        <w:t>Symplocos</w:t>
      </w:r>
      <w:r>
        <w:rPr>
          <w:rFonts w:ascii="Times New Roman" w:eastAsia="Times New Roman" w:cs="Times New Roman"/>
          <w:spacing w:val="7"/>
        </w:rPr>
        <w:t xml:space="preserve"> </w:t>
      </w:r>
      <w:r>
        <w:rPr>
          <w:rFonts w:ascii="Times New Roman" w:eastAsia="Times New Roman" w:cs="Times New Roman"/>
          <w:i/>
          <w:iCs/>
        </w:rPr>
        <w:t>spp</w:t>
      </w:r>
      <w:r>
        <w:rPr>
          <w:rFonts w:ascii="Times New Roman" w:eastAsia="Times New Roman" w:cs="Times New Roman"/>
          <w:i/>
          <w:iCs/>
          <w:spacing w:val="7"/>
        </w:rPr>
        <w:t>.</w:t>
      </w:r>
      <w:r>
        <w:rPr>
          <w:rFonts w:ascii="Times New Roman" w:cs="Times New Roman"/>
          <w:spacing w:val="7"/>
        </w:rPr>
        <w:t>)</w:t>
      </w:r>
      <w:r>
        <w:rPr>
          <w:rFonts w:ascii="Times New Roman" w:cs="Times New Roman"/>
          <w:spacing w:val="7"/>
        </w:rPr>
        <w:t>、木莓、川莓、悬钩子</w:t>
      </w:r>
      <w:r>
        <w:rPr>
          <w:rFonts w:ascii="Times New Roman" w:cs="Times New Roman"/>
          <w:spacing w:val="30"/>
        </w:rPr>
        <w:t>(</w:t>
      </w:r>
      <w:r>
        <w:rPr>
          <w:rFonts w:ascii="Times New Roman" w:eastAsia="Times New Roman" w:cs="Times New Roman"/>
          <w:i/>
          <w:iCs/>
        </w:rPr>
        <w:t>Rubus</w:t>
      </w:r>
      <w:r>
        <w:rPr>
          <w:rFonts w:ascii="Times New Roman" w:eastAsia="Times New Roman" w:cs="Times New Roman"/>
          <w:spacing w:val="17"/>
        </w:rPr>
        <w:t xml:space="preserve"> </w:t>
      </w:r>
      <w:r>
        <w:rPr>
          <w:rFonts w:ascii="Times New Roman" w:eastAsia="Times New Roman" w:cs="Times New Roman"/>
          <w:i/>
          <w:iCs/>
        </w:rPr>
        <w:t>spp</w:t>
      </w:r>
      <w:r>
        <w:rPr>
          <w:rFonts w:ascii="Times New Roman" w:cs="Times New Roman"/>
          <w:spacing w:val="15"/>
        </w:rPr>
        <w:t>)</w:t>
      </w:r>
      <w:r>
        <w:rPr>
          <w:rFonts w:ascii="Times New Roman" w:cs="Times New Roman"/>
          <w:spacing w:val="15"/>
        </w:rPr>
        <w:t>、火棘、马桑等。草本层主要有芒萁</w:t>
      </w:r>
      <w:r>
        <w:rPr>
          <w:rFonts w:ascii="Times New Roman" w:cs="Times New Roman"/>
          <w:spacing w:val="15"/>
        </w:rPr>
        <w:t>(</w:t>
      </w:r>
      <w:r>
        <w:rPr>
          <w:rFonts w:ascii="Times New Roman" w:eastAsia="Times New Roman" w:cs="Times New Roman"/>
          <w:i/>
          <w:iCs/>
        </w:rPr>
        <w:t>Dicranopteris</w:t>
      </w:r>
      <w:r>
        <w:rPr>
          <w:rFonts w:ascii="Times New Roman" w:eastAsia="Times New Roman" w:cs="Times New Roman"/>
          <w:spacing w:val="15"/>
        </w:rPr>
        <w:t xml:space="preserve"> </w:t>
      </w:r>
      <w:r>
        <w:rPr>
          <w:rFonts w:ascii="Times New Roman" w:eastAsia="Times New Roman" w:cs="Times New Roman"/>
          <w:i/>
          <w:iCs/>
        </w:rPr>
        <w:t>dichotoma</w:t>
      </w:r>
      <w:r>
        <w:rPr>
          <w:rFonts w:ascii="Times New Roman" w:cs="Times New Roman"/>
          <w:spacing w:val="15"/>
        </w:rPr>
        <w:t>)</w:t>
      </w:r>
      <w:r>
        <w:rPr>
          <w:rFonts w:ascii="Times New Roman" w:cs="Times New Roman"/>
          <w:spacing w:val="15"/>
        </w:rPr>
        <w:t>、</w:t>
      </w:r>
      <w:r>
        <w:rPr>
          <w:rFonts w:ascii="Times New Roman" w:cs="Times New Roman"/>
          <w:spacing w:val="27"/>
        </w:rPr>
        <w:t>芒</w:t>
      </w:r>
      <w:r>
        <w:rPr>
          <w:rFonts w:ascii="Times New Roman" w:cs="Times New Roman"/>
          <w:spacing w:val="24"/>
        </w:rPr>
        <w:t>、苔草、麦冬</w:t>
      </w:r>
      <w:r>
        <w:rPr>
          <w:rFonts w:ascii="Times New Roman" w:cs="Times New Roman"/>
          <w:spacing w:val="24"/>
        </w:rPr>
        <w:t>(</w:t>
      </w:r>
      <w:r>
        <w:rPr>
          <w:rFonts w:ascii="Times New Roman" w:cs="Times New Roman"/>
        </w:rPr>
        <w:t xml:space="preserve">Ophiopogon </w:t>
      </w:r>
      <w:r>
        <w:rPr>
          <w:rFonts w:ascii="Times New Roman" w:eastAsia="Times New Roman" w:cs="Times New Roman"/>
          <w:i/>
          <w:iCs/>
        </w:rPr>
        <w:t>japonicus</w:t>
      </w:r>
      <w:r>
        <w:rPr>
          <w:rFonts w:ascii="Times New Roman" w:cs="Times New Roman"/>
          <w:spacing w:val="24"/>
        </w:rPr>
        <w:t>)</w:t>
      </w:r>
      <w:r>
        <w:rPr>
          <w:rFonts w:ascii="Times New Roman" w:cs="Times New Roman"/>
          <w:spacing w:val="24"/>
        </w:rPr>
        <w:t>、翠云草</w:t>
      </w:r>
      <w:r>
        <w:rPr>
          <w:rFonts w:ascii="Times New Roman" w:cs="Times New Roman"/>
          <w:spacing w:val="24"/>
        </w:rPr>
        <w:t>(</w:t>
      </w:r>
      <w:r>
        <w:rPr>
          <w:rFonts w:ascii="Times New Roman" w:eastAsia="Times New Roman" w:cs="Times New Roman"/>
          <w:i/>
          <w:iCs/>
        </w:rPr>
        <w:t>Selaginella</w:t>
      </w:r>
      <w:r>
        <w:rPr>
          <w:rFonts w:ascii="Times New Roman" w:eastAsia="Times New Roman" w:cs="Times New Roman"/>
          <w:spacing w:val="24"/>
        </w:rPr>
        <w:t xml:space="preserve"> </w:t>
      </w:r>
      <w:r>
        <w:rPr>
          <w:rFonts w:ascii="Times New Roman" w:eastAsia="Times New Roman" w:cs="Times New Roman"/>
          <w:i/>
          <w:iCs/>
        </w:rPr>
        <w:t>uncinata</w:t>
      </w:r>
      <w:r>
        <w:rPr>
          <w:rFonts w:ascii="Times New Roman" w:cs="Times New Roman"/>
          <w:spacing w:val="24"/>
        </w:rPr>
        <w:t>)</w:t>
      </w:r>
      <w:r>
        <w:rPr>
          <w:rFonts w:ascii="Times New Roman" w:cs="Times New Roman"/>
          <w:spacing w:val="24"/>
        </w:rPr>
        <w:t>、蒿</w:t>
      </w:r>
      <w:r>
        <w:rPr>
          <w:rFonts w:ascii="Times New Roman" w:cs="Times New Roman"/>
          <w:spacing w:val="-11"/>
        </w:rPr>
        <w:t>等</w:t>
      </w:r>
      <w:r>
        <w:rPr>
          <w:rFonts w:ascii="Times New Roman" w:cs="Times New Roman"/>
          <w:spacing w:val="-9"/>
        </w:rPr>
        <w:t>。</w:t>
      </w:r>
    </w:p>
    <w:p w:rsidR="005556D5" w:rsidRDefault="005556D5" w:rsidP="005556D5">
      <w:pPr>
        <w:topLinePunct w:val="0"/>
        <w:snapToGrid w:val="0"/>
        <w:ind w:firstLine="528"/>
        <w:rPr>
          <w:rFonts w:ascii="Times New Roman" w:cs="Times New Roman"/>
        </w:rPr>
      </w:pPr>
      <w:r>
        <w:rPr>
          <w:rFonts w:hAnsi="宋体" w:hint="eastAsia"/>
          <w:spacing w:val="12"/>
        </w:rPr>
        <w:t>②</w:t>
      </w:r>
      <w:r>
        <w:rPr>
          <w:rFonts w:ascii="Times New Roman" w:cs="Times New Roman"/>
          <w:spacing w:val="12"/>
        </w:rPr>
        <w:t>杉</w:t>
      </w:r>
      <w:r>
        <w:rPr>
          <w:rFonts w:ascii="Times New Roman" w:cs="Times New Roman"/>
          <w:spacing w:val="7"/>
        </w:rPr>
        <w:t>木</w:t>
      </w:r>
      <w:r>
        <w:rPr>
          <w:rFonts w:ascii="Times New Roman" w:cs="Times New Roman"/>
          <w:spacing w:val="6"/>
        </w:rPr>
        <w:t>林</w:t>
      </w:r>
      <w:r>
        <w:rPr>
          <w:rFonts w:ascii="Times New Roman" w:cs="Times New Roman"/>
          <w:spacing w:val="6"/>
        </w:rPr>
        <w:t>(</w:t>
      </w:r>
      <w:r>
        <w:rPr>
          <w:rFonts w:ascii="Times New Roman" w:eastAsia="Times New Roman" w:cs="Times New Roman"/>
        </w:rPr>
        <w:t>Form</w:t>
      </w:r>
      <w:r>
        <w:rPr>
          <w:rFonts w:ascii="Times New Roman" w:eastAsia="Times New Roman" w:cs="Times New Roman"/>
          <w:spacing w:val="6"/>
        </w:rPr>
        <w:t>.</w:t>
      </w:r>
      <w:r>
        <w:rPr>
          <w:rFonts w:ascii="Times New Roman" w:eastAsia="Times New Roman" w:cs="Times New Roman"/>
          <w:i/>
          <w:iCs/>
        </w:rPr>
        <w:t>Cunninghamia</w:t>
      </w:r>
      <w:r>
        <w:rPr>
          <w:rFonts w:ascii="Times New Roman" w:eastAsia="Times New Roman" w:cs="Times New Roman"/>
          <w:spacing w:val="6"/>
        </w:rPr>
        <w:t xml:space="preserve"> </w:t>
      </w:r>
      <w:r>
        <w:rPr>
          <w:rFonts w:ascii="Times New Roman" w:eastAsia="Times New Roman" w:cs="Times New Roman"/>
          <w:i/>
          <w:iCs/>
        </w:rPr>
        <w:t>lanceolata</w:t>
      </w:r>
      <w:r>
        <w:rPr>
          <w:rFonts w:ascii="Times New Roman" w:cs="Times New Roman"/>
          <w:spacing w:val="6"/>
        </w:rPr>
        <w:t>(</w:t>
      </w:r>
      <w:r>
        <w:rPr>
          <w:rFonts w:ascii="Times New Roman" w:eastAsia="Times New Roman" w:cs="Times New Roman"/>
        </w:rPr>
        <w:t>Lamb</w:t>
      </w:r>
      <w:r>
        <w:rPr>
          <w:rFonts w:ascii="Times New Roman" w:eastAsia="Times New Roman" w:cs="Times New Roman"/>
          <w:spacing w:val="6"/>
        </w:rPr>
        <w:t>.</w:t>
      </w:r>
      <w:r>
        <w:rPr>
          <w:rFonts w:ascii="Times New Roman" w:cs="Times New Roman"/>
          <w:spacing w:val="6"/>
        </w:rPr>
        <w:t>)</w:t>
      </w:r>
      <w:r>
        <w:rPr>
          <w:rFonts w:ascii="Times New Roman" w:eastAsia="Times New Roman" w:cs="Times New Roman"/>
        </w:rPr>
        <w:t>Hook</w:t>
      </w:r>
      <w:r>
        <w:rPr>
          <w:rFonts w:ascii="Times New Roman" w:eastAsia="Times New Roman" w:cs="Times New Roman"/>
          <w:spacing w:val="6"/>
        </w:rPr>
        <w:t>.</w:t>
      </w:r>
      <w:r>
        <w:rPr>
          <w:rFonts w:ascii="Times New Roman" w:cs="Times New Roman"/>
          <w:spacing w:val="6"/>
        </w:rPr>
        <w:t>)</w:t>
      </w:r>
    </w:p>
    <w:p w:rsidR="005556D5" w:rsidRDefault="005556D5" w:rsidP="005556D5">
      <w:pPr>
        <w:topLinePunct w:val="0"/>
        <w:snapToGrid w:val="0"/>
        <w:ind w:firstLine="512"/>
        <w:rPr>
          <w:rFonts w:ascii="Times New Roman" w:cs="Times New Roman"/>
          <w:spacing w:val="12"/>
        </w:rPr>
      </w:pPr>
      <w:r>
        <w:rPr>
          <w:rFonts w:ascii="Times New Roman" w:cs="Times New Roman"/>
          <w:spacing w:val="8"/>
        </w:rPr>
        <w:t>杉木</w:t>
      </w:r>
      <w:r>
        <w:rPr>
          <w:rFonts w:ascii="Times New Roman" w:cs="Times New Roman"/>
          <w:spacing w:val="8"/>
        </w:rPr>
        <w:t>(</w:t>
      </w:r>
      <w:r>
        <w:rPr>
          <w:rFonts w:ascii="Times New Roman" w:eastAsia="Times New Roman" w:cs="Times New Roman"/>
          <w:i/>
          <w:iCs/>
        </w:rPr>
        <w:t>Cunninghamia</w:t>
      </w:r>
      <w:r>
        <w:rPr>
          <w:rFonts w:ascii="Times New Roman" w:eastAsia="Times New Roman" w:cs="Times New Roman"/>
          <w:spacing w:val="5"/>
        </w:rPr>
        <w:t xml:space="preserve"> </w:t>
      </w:r>
      <w:r>
        <w:rPr>
          <w:rFonts w:ascii="Times New Roman" w:eastAsia="Times New Roman" w:cs="Times New Roman"/>
          <w:i/>
          <w:iCs/>
        </w:rPr>
        <w:t>lanceolata</w:t>
      </w:r>
      <w:r>
        <w:rPr>
          <w:rFonts w:ascii="Times New Roman" w:cs="Times New Roman"/>
          <w:i/>
          <w:iCs/>
          <w:spacing w:val="4"/>
          <w:sz w:val="25"/>
          <w:szCs w:val="25"/>
        </w:rPr>
        <w:t>(</w:t>
      </w:r>
      <w:r>
        <w:rPr>
          <w:rFonts w:ascii="Times New Roman" w:eastAsia="Times New Roman" w:cs="Times New Roman"/>
          <w:i/>
          <w:iCs/>
        </w:rPr>
        <w:t>Lamb</w:t>
      </w:r>
      <w:r>
        <w:rPr>
          <w:rFonts w:ascii="Times New Roman" w:eastAsia="Times New Roman" w:cs="Times New Roman"/>
          <w:i/>
          <w:iCs/>
          <w:spacing w:val="4"/>
        </w:rPr>
        <w:t>.</w:t>
      </w:r>
      <w:r>
        <w:rPr>
          <w:rFonts w:ascii="Times New Roman" w:cs="Times New Roman"/>
          <w:i/>
          <w:iCs/>
          <w:spacing w:val="4"/>
          <w:sz w:val="25"/>
          <w:szCs w:val="25"/>
        </w:rPr>
        <w:t>)</w:t>
      </w:r>
      <w:r>
        <w:rPr>
          <w:rFonts w:ascii="Times New Roman" w:eastAsia="Times New Roman" w:cs="Times New Roman"/>
          <w:i/>
          <w:iCs/>
        </w:rPr>
        <w:t>Hook</w:t>
      </w:r>
      <w:r>
        <w:rPr>
          <w:rFonts w:ascii="Times New Roman" w:eastAsia="Times New Roman" w:cs="Times New Roman"/>
          <w:i/>
          <w:iCs/>
          <w:spacing w:val="4"/>
        </w:rPr>
        <w:t>.</w:t>
      </w:r>
      <w:r>
        <w:rPr>
          <w:rFonts w:ascii="Times New Roman" w:cs="Times New Roman"/>
          <w:spacing w:val="4"/>
        </w:rPr>
        <w:t>)</w:t>
      </w:r>
      <w:r>
        <w:rPr>
          <w:rFonts w:ascii="Times New Roman" w:cs="Times New Roman"/>
          <w:spacing w:val="4"/>
        </w:rPr>
        <w:t>林在评价区内</w:t>
      </w:r>
      <w:r>
        <w:rPr>
          <w:rFonts w:ascii="Times New Roman" w:cs="Times New Roman"/>
        </w:rPr>
        <w:t>分布较为广泛，多为人工林，胸径</w:t>
      </w:r>
      <w:r>
        <w:rPr>
          <w:rFonts w:ascii="Times New Roman" w:eastAsia="Times New Roman" w:cs="Times New Roman"/>
        </w:rPr>
        <w:t>10</w:t>
      </w:r>
      <w:r>
        <w:rPr>
          <w:rFonts w:ascii="Times New Roman" w:cs="Times New Roman"/>
        </w:rPr>
        <w:t>~</w:t>
      </w:r>
      <w:r>
        <w:rPr>
          <w:rFonts w:ascii="Times New Roman" w:eastAsia="Times New Roman" w:cs="Times New Roman"/>
        </w:rPr>
        <w:t>25cm</w:t>
      </w:r>
      <w:r>
        <w:rPr>
          <w:rFonts w:ascii="Times New Roman" w:cs="Times New Roman"/>
        </w:rPr>
        <w:t>，伴生有</w:t>
      </w:r>
      <w:r>
        <w:rPr>
          <w:rFonts w:ascii="Times New Roman" w:cs="Times New Roman" w:hint="eastAsia"/>
          <w:spacing w:val="4"/>
        </w:rPr>
        <w:t>马尾松</w:t>
      </w:r>
      <w:r>
        <w:rPr>
          <w:rFonts w:ascii="Times New Roman" w:cs="Times New Roman"/>
          <w:spacing w:val="4"/>
        </w:rPr>
        <w:t>、</w:t>
      </w:r>
      <w:r>
        <w:rPr>
          <w:rFonts w:ascii="Times New Roman" w:cs="Times New Roman" w:hint="eastAsia"/>
          <w:spacing w:val="4"/>
        </w:rPr>
        <w:t>青冈、</w:t>
      </w:r>
      <w:r>
        <w:rPr>
          <w:rFonts w:ascii="Times New Roman" w:cs="Times New Roman"/>
          <w:spacing w:val="4"/>
        </w:rPr>
        <w:t>栎类等。灌木层主要有</w:t>
      </w:r>
      <w:r>
        <w:rPr>
          <w:rFonts w:hAnsi="宋体"/>
          <w:spacing w:val="-5"/>
        </w:rPr>
        <w:t>米饭花、映山红、米碎花、铁仔</w:t>
      </w:r>
      <w:r>
        <w:rPr>
          <w:rFonts w:hAnsi="宋体" w:hint="eastAsia"/>
          <w:spacing w:val="-5"/>
        </w:rPr>
        <w:t>、</w:t>
      </w:r>
      <w:r>
        <w:rPr>
          <w:rFonts w:ascii="Times New Roman" w:cs="Times New Roman"/>
          <w:spacing w:val="4"/>
        </w:rPr>
        <w:t>胡颓子</w:t>
      </w:r>
      <w:r>
        <w:rPr>
          <w:rFonts w:ascii="Times New Roman" w:cs="Times New Roman"/>
          <w:spacing w:val="4"/>
        </w:rPr>
        <w:t>(</w:t>
      </w:r>
      <w:r>
        <w:rPr>
          <w:rFonts w:ascii="Times New Roman" w:eastAsia="Times New Roman" w:cs="Times New Roman"/>
          <w:i/>
          <w:iCs/>
        </w:rPr>
        <w:t>Elaeagnus</w:t>
      </w:r>
      <w:r>
        <w:rPr>
          <w:rFonts w:ascii="Times New Roman" w:eastAsia="Times New Roman" w:cs="Times New Roman"/>
          <w:spacing w:val="4"/>
        </w:rPr>
        <w:t xml:space="preserve"> </w:t>
      </w:r>
      <w:r>
        <w:rPr>
          <w:rFonts w:ascii="Times New Roman" w:eastAsia="Times New Roman" w:cs="Times New Roman"/>
          <w:i/>
          <w:iCs/>
        </w:rPr>
        <w:t>spp</w:t>
      </w:r>
      <w:r>
        <w:rPr>
          <w:rFonts w:ascii="Times New Roman" w:eastAsia="Times New Roman" w:cs="Times New Roman"/>
          <w:i/>
          <w:iCs/>
          <w:spacing w:val="4"/>
        </w:rPr>
        <w:t>.</w:t>
      </w:r>
      <w:r>
        <w:rPr>
          <w:rFonts w:ascii="Times New Roman" w:cs="Times New Roman"/>
          <w:spacing w:val="4"/>
        </w:rPr>
        <w:t>)</w:t>
      </w:r>
      <w:r>
        <w:rPr>
          <w:rFonts w:ascii="Times New Roman" w:cs="Times New Roman"/>
          <w:spacing w:val="4"/>
        </w:rPr>
        <w:t>、</w:t>
      </w:r>
      <w:r>
        <w:rPr>
          <w:rFonts w:ascii="Times New Roman" w:cs="Times New Roman"/>
          <w:spacing w:val="26"/>
        </w:rPr>
        <w:t>木</w:t>
      </w:r>
      <w:r>
        <w:rPr>
          <w:rFonts w:ascii="Times New Roman" w:cs="Times New Roman"/>
          <w:spacing w:val="19"/>
        </w:rPr>
        <w:t>姜</w:t>
      </w:r>
      <w:r>
        <w:rPr>
          <w:rFonts w:ascii="Times New Roman" w:cs="Times New Roman"/>
          <w:spacing w:val="13"/>
        </w:rPr>
        <w:t>子</w:t>
      </w:r>
      <w:r>
        <w:rPr>
          <w:rFonts w:ascii="Times New Roman" w:cs="Times New Roman"/>
          <w:spacing w:val="13"/>
        </w:rPr>
        <w:t>(</w:t>
      </w:r>
      <w:r>
        <w:rPr>
          <w:rFonts w:ascii="Times New Roman" w:eastAsia="Times New Roman" w:cs="Times New Roman"/>
          <w:i/>
          <w:iCs/>
        </w:rPr>
        <w:t>Litsea</w:t>
      </w:r>
      <w:r>
        <w:rPr>
          <w:rFonts w:ascii="Times New Roman" w:eastAsia="Times New Roman" w:cs="Times New Roman"/>
          <w:spacing w:val="13"/>
        </w:rPr>
        <w:t xml:space="preserve"> </w:t>
      </w:r>
      <w:r>
        <w:rPr>
          <w:rFonts w:ascii="Times New Roman" w:cs="Times New Roman"/>
        </w:rPr>
        <w:t>cubeba</w:t>
      </w:r>
      <w:r>
        <w:rPr>
          <w:rFonts w:ascii="Times New Roman" w:cs="Times New Roman"/>
          <w:spacing w:val="13"/>
        </w:rPr>
        <w:t>)</w:t>
      </w:r>
      <w:r>
        <w:rPr>
          <w:rFonts w:ascii="Times New Roman" w:cs="Times New Roman"/>
          <w:spacing w:val="13"/>
        </w:rPr>
        <w:t>、荚蒾</w:t>
      </w:r>
      <w:r>
        <w:rPr>
          <w:rFonts w:ascii="Times New Roman" w:cs="Times New Roman"/>
          <w:spacing w:val="13"/>
        </w:rPr>
        <w:t>(</w:t>
      </w:r>
      <w:r>
        <w:rPr>
          <w:rFonts w:ascii="Times New Roman" w:eastAsia="Times New Roman" w:cs="Times New Roman"/>
          <w:i/>
          <w:iCs/>
        </w:rPr>
        <w:t>Viburnum</w:t>
      </w:r>
      <w:r>
        <w:rPr>
          <w:rFonts w:ascii="Times New Roman" w:eastAsia="Times New Roman" w:cs="Times New Roman"/>
          <w:spacing w:val="13"/>
        </w:rPr>
        <w:t xml:space="preserve"> </w:t>
      </w:r>
      <w:r>
        <w:rPr>
          <w:rFonts w:ascii="Times New Roman" w:eastAsia="Times New Roman" w:cs="Times New Roman"/>
          <w:i/>
          <w:iCs/>
        </w:rPr>
        <w:t>spp</w:t>
      </w:r>
      <w:r>
        <w:rPr>
          <w:rFonts w:ascii="Times New Roman" w:cs="Times New Roman"/>
          <w:spacing w:val="13"/>
        </w:rPr>
        <w:t>)</w:t>
      </w:r>
      <w:r>
        <w:rPr>
          <w:rFonts w:ascii="Times New Roman" w:cs="Times New Roman"/>
          <w:spacing w:val="13"/>
        </w:rPr>
        <w:t>、杜茎山、盐肤木</w:t>
      </w:r>
      <w:r>
        <w:rPr>
          <w:rFonts w:ascii="Times New Roman" w:cs="Times New Roman"/>
          <w:spacing w:val="11"/>
        </w:rPr>
        <w:t>等</w:t>
      </w:r>
      <w:r>
        <w:rPr>
          <w:rFonts w:ascii="Times New Roman" w:cs="Times New Roman"/>
          <w:spacing w:val="9"/>
        </w:rPr>
        <w:t>，草本层主要有翠云草</w:t>
      </w:r>
      <w:r>
        <w:rPr>
          <w:rFonts w:ascii="Times New Roman" w:cs="Times New Roman"/>
          <w:spacing w:val="9"/>
        </w:rPr>
        <w:t>(</w:t>
      </w:r>
      <w:r>
        <w:rPr>
          <w:rFonts w:ascii="Times New Roman" w:eastAsia="Times New Roman" w:cs="Times New Roman"/>
          <w:i/>
          <w:iCs/>
        </w:rPr>
        <w:t>Selaginella</w:t>
      </w:r>
      <w:r>
        <w:rPr>
          <w:rFonts w:ascii="Times New Roman" w:eastAsia="Times New Roman" w:cs="Times New Roman"/>
          <w:spacing w:val="9"/>
        </w:rPr>
        <w:t xml:space="preserve"> </w:t>
      </w:r>
      <w:r>
        <w:rPr>
          <w:rFonts w:ascii="Times New Roman" w:eastAsia="Times New Roman" w:cs="Times New Roman"/>
          <w:i/>
          <w:iCs/>
        </w:rPr>
        <w:t>uncinata</w:t>
      </w:r>
      <w:r>
        <w:rPr>
          <w:rFonts w:ascii="Times New Roman" w:cs="Times New Roman"/>
          <w:spacing w:val="9"/>
        </w:rPr>
        <w:t>)</w:t>
      </w:r>
      <w:r>
        <w:rPr>
          <w:rFonts w:ascii="Times New Roman" w:cs="Times New Roman"/>
          <w:spacing w:val="9"/>
        </w:rPr>
        <w:t>、白车轴草、飞蓬、里白、荩</w:t>
      </w:r>
      <w:r>
        <w:rPr>
          <w:rFonts w:ascii="Times New Roman" w:cs="Times New Roman"/>
          <w:spacing w:val="24"/>
        </w:rPr>
        <w:t>草</w:t>
      </w:r>
      <w:r>
        <w:rPr>
          <w:rFonts w:ascii="Times New Roman" w:cs="Times New Roman"/>
          <w:spacing w:val="15"/>
        </w:rPr>
        <w:t>等</w:t>
      </w:r>
      <w:r>
        <w:rPr>
          <w:rFonts w:ascii="Times New Roman" w:cs="Times New Roman"/>
          <w:spacing w:val="12"/>
        </w:rPr>
        <w:t>。层间有菝葜</w:t>
      </w:r>
      <w:r>
        <w:rPr>
          <w:rFonts w:ascii="Times New Roman" w:cs="Times New Roman"/>
          <w:spacing w:val="12"/>
        </w:rPr>
        <w:t>(</w:t>
      </w:r>
      <w:r>
        <w:rPr>
          <w:rFonts w:ascii="Times New Roman" w:eastAsia="Times New Roman" w:cs="Times New Roman"/>
          <w:i/>
          <w:iCs/>
        </w:rPr>
        <w:t>Smilax</w:t>
      </w:r>
      <w:r>
        <w:rPr>
          <w:rFonts w:ascii="Times New Roman" w:eastAsia="Times New Roman" w:cs="Times New Roman"/>
          <w:spacing w:val="12"/>
        </w:rPr>
        <w:t xml:space="preserve"> </w:t>
      </w:r>
      <w:r>
        <w:rPr>
          <w:rFonts w:ascii="Times New Roman" w:eastAsia="Times New Roman" w:cs="Times New Roman"/>
          <w:i/>
          <w:iCs/>
        </w:rPr>
        <w:t>spp</w:t>
      </w:r>
      <w:r>
        <w:rPr>
          <w:rFonts w:ascii="Times New Roman" w:cs="Times New Roman"/>
          <w:spacing w:val="12"/>
        </w:rPr>
        <w:t>)</w:t>
      </w:r>
      <w:r>
        <w:rPr>
          <w:rFonts w:ascii="Times New Roman" w:cs="Times New Roman"/>
          <w:spacing w:val="12"/>
        </w:rPr>
        <w:t>、蛇葡萄</w:t>
      </w:r>
      <w:r>
        <w:rPr>
          <w:rFonts w:ascii="Times New Roman" w:cs="Times New Roman"/>
          <w:spacing w:val="12"/>
        </w:rPr>
        <w:t>(</w:t>
      </w:r>
      <w:r>
        <w:rPr>
          <w:rFonts w:ascii="Times New Roman" w:eastAsia="Times New Roman" w:cs="Times New Roman"/>
          <w:i/>
          <w:iCs/>
        </w:rPr>
        <w:t>Ampelopsis</w:t>
      </w:r>
      <w:r>
        <w:rPr>
          <w:rFonts w:ascii="Times New Roman" w:eastAsia="Times New Roman" w:cs="Times New Roman"/>
          <w:spacing w:val="12"/>
        </w:rPr>
        <w:t xml:space="preserve"> </w:t>
      </w:r>
      <w:r>
        <w:rPr>
          <w:rFonts w:ascii="Times New Roman" w:eastAsia="Times New Roman" w:cs="Times New Roman"/>
          <w:i/>
          <w:iCs/>
        </w:rPr>
        <w:t>spp</w:t>
      </w:r>
      <w:r>
        <w:rPr>
          <w:rFonts w:ascii="Times New Roman" w:cs="Times New Roman"/>
          <w:spacing w:val="12"/>
        </w:rPr>
        <w:t>)</w:t>
      </w:r>
      <w:r>
        <w:rPr>
          <w:rFonts w:ascii="Times New Roman" w:cs="Times New Roman"/>
          <w:spacing w:val="12"/>
        </w:rPr>
        <w:t>等藤本植物。</w:t>
      </w:r>
    </w:p>
    <w:p w:rsidR="005556D5" w:rsidRDefault="005556D5" w:rsidP="005556D5">
      <w:pPr>
        <w:topLinePunct w:val="0"/>
        <w:adjustRightInd/>
        <w:ind w:firstLine="480"/>
        <w:rPr>
          <w:rFonts w:ascii="Times New Roman" w:cs="Times New Roman"/>
        </w:rPr>
      </w:pPr>
      <w:r>
        <w:rPr>
          <w:rFonts w:hAnsi="宋体" w:hint="eastAsia"/>
        </w:rPr>
        <w:t>③</w:t>
      </w:r>
      <w:r>
        <w:rPr>
          <w:rFonts w:ascii="Times New Roman" w:cs="Times New Roman"/>
        </w:rPr>
        <w:t>柏木</w:t>
      </w:r>
      <w:r>
        <w:rPr>
          <w:rFonts w:ascii="Times New Roman" w:cs="Times New Roman" w:hint="eastAsia"/>
        </w:rPr>
        <w:t>林</w:t>
      </w:r>
      <w:r>
        <w:rPr>
          <w:rFonts w:ascii="Times New Roman" w:cs="Times New Roman"/>
        </w:rPr>
        <w:t>(Form.</w:t>
      </w:r>
      <w:r>
        <w:rPr>
          <w:rFonts w:ascii="Times New Roman" w:cs="Times New Roman"/>
          <w:i/>
          <w:iCs/>
        </w:rPr>
        <w:t xml:space="preserve">Cupressus funebris </w:t>
      </w:r>
      <w:r>
        <w:rPr>
          <w:rFonts w:ascii="Times New Roman" w:cs="Times New Roman"/>
        </w:rPr>
        <w:t>Endl.)</w:t>
      </w:r>
    </w:p>
    <w:p w:rsidR="005556D5" w:rsidRDefault="005556D5" w:rsidP="005556D5">
      <w:pPr>
        <w:topLinePunct w:val="0"/>
        <w:snapToGrid w:val="0"/>
        <w:ind w:firstLine="480"/>
        <w:rPr>
          <w:rFonts w:ascii="Times New Roman" w:cs="Times New Roman"/>
        </w:rPr>
      </w:pPr>
      <w:r>
        <w:rPr>
          <w:rFonts w:ascii="Times New Roman" w:cs="Times New Roman"/>
        </w:rPr>
        <w:t>柏木对土壤的适应性较强，喜肥沃、湿润、深厚、排水良好的土壤，能耐干</w:t>
      </w:r>
      <w:r>
        <w:rPr>
          <w:rFonts w:ascii="Times New Roman" w:cs="Times New Roman"/>
        </w:rPr>
        <w:lastRenderedPageBreak/>
        <w:t>旱瘠薄，亦能稍耐水湿。中性、微酸性及钙质土均能生长。特别在土层浅薄的钙质紫色土和黑色石灰土上其它乔木不易生长的地区，柏木却生长良好。在土壤瘠簿干旱和基岩裸露地区，常呈疏林状态，酸性黄壤及红壤上虽能生长，但生长极缓慢。</w:t>
      </w:r>
    </w:p>
    <w:p w:rsidR="005556D5" w:rsidRDefault="005556D5" w:rsidP="005556D5">
      <w:pPr>
        <w:topLinePunct w:val="0"/>
        <w:snapToGrid w:val="0"/>
        <w:ind w:firstLine="480"/>
        <w:rPr>
          <w:rFonts w:ascii="Times New Roman" w:cs="Times New Roman"/>
        </w:rPr>
      </w:pPr>
      <w:r>
        <w:rPr>
          <w:rFonts w:ascii="Times New Roman" w:cs="Times New Roman"/>
        </w:rPr>
        <w:t>该类型在评价区广泛分布，多为人工栽种的用材林，柏木群落外貌整齐，生境岩石多有裸露，风化较为严重。乔木层主要为柏树，高</w:t>
      </w:r>
      <w:r>
        <w:rPr>
          <w:rFonts w:ascii="Times New Roman" w:cs="Times New Roman"/>
        </w:rPr>
        <w:t>7</w:t>
      </w:r>
      <w:r>
        <w:rPr>
          <w:rFonts w:ascii="Times New Roman" w:cs="Times New Roman"/>
        </w:rPr>
        <w:t>～</w:t>
      </w:r>
      <w:r>
        <w:rPr>
          <w:rFonts w:ascii="Times New Roman" w:cs="Times New Roman"/>
        </w:rPr>
        <w:t>9m</w:t>
      </w:r>
      <w:r>
        <w:rPr>
          <w:rFonts w:ascii="Times New Roman" w:cs="Times New Roman"/>
        </w:rPr>
        <w:t>不等，胸径</w:t>
      </w:r>
      <w:r>
        <w:rPr>
          <w:rFonts w:ascii="Times New Roman" w:cs="Times New Roman"/>
        </w:rPr>
        <w:t>8</w:t>
      </w:r>
      <w:r>
        <w:rPr>
          <w:rFonts w:ascii="Times New Roman" w:cs="Times New Roman"/>
        </w:rPr>
        <w:t>～</w:t>
      </w:r>
      <w:r>
        <w:rPr>
          <w:rFonts w:ascii="Times New Roman" w:cs="Times New Roman"/>
        </w:rPr>
        <w:t>25cm</w:t>
      </w:r>
      <w:r>
        <w:rPr>
          <w:rFonts w:ascii="Times New Roman" w:cs="Times New Roman"/>
        </w:rPr>
        <w:t>。除柏木外，乔木层中常混生有枫香、响叶杨等阔叶树种，但其优势程度低于柏木，且多为幼树。灌木、草本层种类不多，有</w:t>
      </w:r>
      <w:r>
        <w:rPr>
          <w:rFonts w:hAnsi="宋体"/>
          <w:spacing w:val="2"/>
        </w:rPr>
        <w:t>化香、黄连木</w:t>
      </w:r>
      <w:r>
        <w:rPr>
          <w:rFonts w:hAnsi="宋体" w:hint="eastAsia"/>
          <w:spacing w:val="2"/>
        </w:rPr>
        <w:t>、</w:t>
      </w:r>
      <w:r>
        <w:rPr>
          <w:rFonts w:hAnsi="宋体"/>
          <w:spacing w:val="2"/>
        </w:rPr>
        <w:t>黄荆、牡荆、马桑、铁仔、短柄枹栎</w:t>
      </w:r>
      <w:r>
        <w:rPr>
          <w:rFonts w:hAnsi="宋体" w:hint="eastAsia"/>
          <w:spacing w:val="2"/>
        </w:rPr>
        <w:t>、</w:t>
      </w:r>
      <w:r>
        <w:rPr>
          <w:rFonts w:ascii="Times New Roman" w:cs="Times New Roman"/>
        </w:rPr>
        <w:t>火棘、悬钩子、八角金盘、山胡椒等</w:t>
      </w:r>
      <w:r>
        <w:rPr>
          <w:rFonts w:ascii="Times New Roman" w:cs="Times New Roman" w:hint="eastAsia"/>
        </w:rPr>
        <w:t>，草本有</w:t>
      </w:r>
      <w:r>
        <w:rPr>
          <w:rFonts w:hAnsi="宋体"/>
          <w:spacing w:val="1"/>
        </w:rPr>
        <w:t>以黄茅、</w:t>
      </w:r>
      <w:r>
        <w:rPr>
          <w:rFonts w:hAnsi="宋体"/>
          <w:spacing w:val="4"/>
        </w:rPr>
        <w:t>白茅、香茅为主的亚</w:t>
      </w:r>
      <w:r>
        <w:rPr>
          <w:rFonts w:hAnsi="宋体"/>
          <w:spacing w:val="3"/>
        </w:rPr>
        <w:t>热</w:t>
      </w:r>
      <w:r>
        <w:rPr>
          <w:rFonts w:hAnsi="宋体"/>
          <w:spacing w:val="2"/>
        </w:rPr>
        <w:t>带草丛</w:t>
      </w:r>
      <w:r>
        <w:rPr>
          <w:rFonts w:ascii="Times New Roman" w:cs="Times New Roman"/>
        </w:rPr>
        <w:t>。</w:t>
      </w:r>
    </w:p>
    <w:p w:rsidR="005556D5" w:rsidRDefault="005556D5" w:rsidP="005556D5">
      <w:pPr>
        <w:topLinePunct w:val="0"/>
        <w:adjustRightInd/>
        <w:ind w:firstLine="528"/>
        <w:rPr>
          <w:rFonts w:ascii="Times New Roman" w:cs="Times New Roman"/>
        </w:rPr>
      </w:pPr>
      <w:r>
        <w:rPr>
          <w:rFonts w:hAnsi="宋体" w:hint="eastAsia"/>
          <w:spacing w:val="12"/>
        </w:rPr>
        <w:t>④</w:t>
      </w:r>
      <w:r>
        <w:rPr>
          <w:rFonts w:hAnsi="宋体" w:hint="eastAsia"/>
          <w:spacing w:val="-4"/>
        </w:rPr>
        <w:t>麻栎、青冈</w:t>
      </w:r>
      <w:r>
        <w:rPr>
          <w:rFonts w:ascii="Times New Roman" w:cs="Times New Roman"/>
        </w:rPr>
        <w:t>群系</w:t>
      </w:r>
      <w:r>
        <w:rPr>
          <w:rFonts w:ascii="Times New Roman" w:cs="Times New Roman"/>
        </w:rPr>
        <w:t>(Form.</w:t>
      </w:r>
      <w:r>
        <w:rPr>
          <w:rFonts w:ascii="Times New Roman" w:eastAsia="Times New Roman" w:cs="Times New Roman"/>
          <w:i/>
          <w:iCs/>
        </w:rPr>
        <w:t xml:space="preserve">Quercus acutissima </w:t>
      </w:r>
      <w:r>
        <w:rPr>
          <w:rFonts w:ascii="Times New Roman" w:cs="Times New Roman"/>
        </w:rPr>
        <w:t>Carruth.</w:t>
      </w:r>
      <w:r>
        <w:rPr>
          <w:rFonts w:ascii="Times New Roman" w:cs="Times New Roman"/>
          <w:i/>
          <w:iCs/>
        </w:rPr>
        <w:t>+</w:t>
      </w:r>
      <w:r>
        <w:rPr>
          <w:rFonts w:ascii="Times New Roman" w:eastAsia="Times New Roman" w:cs="Times New Roman"/>
          <w:i/>
          <w:iCs/>
        </w:rPr>
        <w:t xml:space="preserve">Quercus variabilis </w:t>
      </w:r>
      <w:r>
        <w:rPr>
          <w:rFonts w:ascii="Times New Roman" w:cs="Times New Roman"/>
        </w:rPr>
        <w:t>Bl.)</w:t>
      </w:r>
    </w:p>
    <w:p w:rsidR="005556D5" w:rsidRDefault="005556D5" w:rsidP="005556D5">
      <w:pPr>
        <w:topLinePunct w:val="0"/>
        <w:adjustRightInd/>
        <w:ind w:firstLine="480"/>
        <w:rPr>
          <w:rFonts w:ascii="Times New Roman" w:cs="Times New Roman"/>
        </w:rPr>
      </w:pPr>
      <w:r>
        <w:rPr>
          <w:rFonts w:ascii="Times New Roman" w:cs="Times New Roman"/>
        </w:rPr>
        <w:t>该植被类型是评价区及周边房前屋后分布较广的植被类型，多为人工栽培，是一个生态幅度较大的森林类型，在不同气候类型的影响下，该植被类型生长发育都较好，表现出较强的适应性。这种较强的适应性，也表现在对林地的地形、岩石及土壤等环境无严格的选择上，常混生有枫香、响叶杨等</w:t>
      </w:r>
      <w:r>
        <w:rPr>
          <w:rFonts w:ascii="Times New Roman" w:cs="Times New Roman" w:hint="eastAsia"/>
        </w:rPr>
        <w:t>混生</w:t>
      </w:r>
      <w:r>
        <w:rPr>
          <w:rFonts w:ascii="Times New Roman" w:cs="Times New Roman"/>
        </w:rPr>
        <w:t>，林内平均胸径</w:t>
      </w:r>
      <w:r>
        <w:rPr>
          <w:rFonts w:ascii="Times New Roman" w:cs="Times New Roman"/>
        </w:rPr>
        <w:t>25</w:t>
      </w:r>
      <w:r>
        <w:rPr>
          <w:rFonts w:ascii="Times New Roman" w:cs="Times New Roman"/>
        </w:rPr>
        <w:t>厘米，树高介于</w:t>
      </w:r>
      <w:r>
        <w:rPr>
          <w:rFonts w:ascii="Times New Roman" w:cs="Times New Roman"/>
        </w:rPr>
        <w:t>10-20</w:t>
      </w:r>
      <w:r>
        <w:rPr>
          <w:rFonts w:ascii="Times New Roman" w:cs="Times New Roman"/>
        </w:rPr>
        <w:t>米。常受到人类活动地影响，林下灌木极少。林下</w:t>
      </w:r>
      <w:r>
        <w:rPr>
          <w:rFonts w:ascii="Times New Roman" w:cs="Times New Roman" w:hint="eastAsia"/>
        </w:rPr>
        <w:t>灌木主要为</w:t>
      </w:r>
      <w:r>
        <w:rPr>
          <w:rFonts w:hAnsi="宋体"/>
          <w:spacing w:val="-2"/>
        </w:rPr>
        <w:t>烟管荚蓬、火棘、蔷薇、盐肤木、映山红、铁仔、毛黄栌</w:t>
      </w:r>
      <w:r>
        <w:rPr>
          <w:rFonts w:ascii="Times New Roman" w:cs="Times New Roman"/>
        </w:rPr>
        <w:t>等分布。</w:t>
      </w:r>
    </w:p>
    <w:p w:rsidR="005556D5" w:rsidRDefault="005556D5" w:rsidP="005556D5">
      <w:pPr>
        <w:topLinePunct w:val="0"/>
        <w:adjustRightInd/>
        <w:ind w:firstLine="480"/>
        <w:rPr>
          <w:rFonts w:ascii="Times New Roman" w:cs="Times New Roman"/>
        </w:rPr>
      </w:pPr>
      <w:r>
        <w:rPr>
          <w:rFonts w:ascii="Times New Roman" w:cs="Times New Roman"/>
        </w:rPr>
        <w:t>草本植物稍多，主要种类有狗牙根（</w:t>
      </w:r>
      <w:r>
        <w:rPr>
          <w:rFonts w:ascii="Times New Roman" w:cs="Times New Roman"/>
          <w:i/>
          <w:iCs/>
        </w:rPr>
        <w:t>Cynodon dactylon</w:t>
      </w:r>
      <w:r>
        <w:rPr>
          <w:rFonts w:ascii="Times New Roman" w:cs="Times New Roman"/>
        </w:rPr>
        <w:t>）、马唐（</w:t>
      </w:r>
      <w:r>
        <w:rPr>
          <w:rFonts w:ascii="Times New Roman" w:cs="Times New Roman"/>
          <w:i/>
          <w:iCs/>
        </w:rPr>
        <w:t>Digitaria sanguinalis</w:t>
      </w:r>
      <w:r>
        <w:rPr>
          <w:rFonts w:ascii="Times New Roman" w:cs="Times New Roman"/>
        </w:rPr>
        <w:t>）、酢浆草（</w:t>
      </w:r>
      <w:r>
        <w:rPr>
          <w:rFonts w:ascii="Times New Roman" w:cs="Times New Roman"/>
          <w:i/>
          <w:iCs/>
        </w:rPr>
        <w:t>Oxalis corniculata</w:t>
      </w:r>
      <w:r>
        <w:rPr>
          <w:rFonts w:ascii="Times New Roman" w:cs="Times New Roman"/>
        </w:rPr>
        <w:t>）、堇菜（</w:t>
      </w:r>
      <w:r>
        <w:rPr>
          <w:rFonts w:ascii="Times New Roman" w:cs="Times New Roman"/>
          <w:i/>
          <w:iCs/>
        </w:rPr>
        <w:t>Viola spp.</w:t>
      </w:r>
      <w:r>
        <w:rPr>
          <w:rFonts w:ascii="Times New Roman" w:cs="Times New Roman"/>
        </w:rPr>
        <w:t>）、车前（</w:t>
      </w:r>
      <w:r>
        <w:rPr>
          <w:rFonts w:ascii="Times New Roman" w:cs="Times New Roman"/>
          <w:i/>
          <w:iCs/>
        </w:rPr>
        <w:t>Plantgo asiatica</w:t>
      </w:r>
      <w:r>
        <w:rPr>
          <w:rFonts w:ascii="Times New Roman" w:cs="Times New Roman"/>
        </w:rPr>
        <w:t>）、欧夏枯草（</w:t>
      </w:r>
      <w:r>
        <w:rPr>
          <w:rFonts w:ascii="Times New Roman" w:cs="Times New Roman"/>
          <w:i/>
          <w:iCs/>
        </w:rPr>
        <w:t>Prunella vulgaris</w:t>
      </w:r>
      <w:r>
        <w:rPr>
          <w:rFonts w:ascii="Times New Roman" w:cs="Times New Roman"/>
        </w:rPr>
        <w:t>）、龙牙草（</w:t>
      </w:r>
      <w:r>
        <w:rPr>
          <w:rFonts w:ascii="Times New Roman" w:cs="Times New Roman"/>
          <w:i/>
          <w:iCs/>
        </w:rPr>
        <w:t>Agrimonia pilosa</w:t>
      </w:r>
      <w:r>
        <w:rPr>
          <w:rFonts w:ascii="Times New Roman" w:cs="Times New Roman"/>
        </w:rPr>
        <w:t>）、蕺菜（</w:t>
      </w:r>
      <w:r>
        <w:rPr>
          <w:rFonts w:ascii="Times New Roman" w:cs="Times New Roman"/>
          <w:i/>
          <w:iCs/>
        </w:rPr>
        <w:t>Houttuynia cordata</w:t>
      </w:r>
      <w:r>
        <w:rPr>
          <w:rFonts w:ascii="Times New Roman" w:cs="Times New Roman"/>
        </w:rPr>
        <w:t>）、紫花地丁</w:t>
      </w:r>
      <w:r>
        <w:rPr>
          <w:rFonts w:ascii="Times New Roman" w:cs="Times New Roman"/>
        </w:rPr>
        <w:t>(</w:t>
      </w:r>
      <w:r>
        <w:rPr>
          <w:rFonts w:ascii="Times New Roman" w:cs="Times New Roman"/>
          <w:i/>
          <w:iCs/>
        </w:rPr>
        <w:t>Viola philippica</w:t>
      </w:r>
      <w:r>
        <w:rPr>
          <w:rFonts w:ascii="Times New Roman" w:cs="Times New Roman"/>
        </w:rPr>
        <w:t>)</w:t>
      </w:r>
      <w:r>
        <w:rPr>
          <w:rFonts w:ascii="Times New Roman" w:cs="Times New Roman"/>
        </w:rPr>
        <w:t>、风轮菜</w:t>
      </w:r>
      <w:r>
        <w:rPr>
          <w:rFonts w:ascii="Times New Roman" w:cs="Times New Roman"/>
        </w:rPr>
        <w:t>(</w:t>
      </w:r>
      <w:r>
        <w:rPr>
          <w:rFonts w:ascii="Times New Roman" w:cs="Times New Roman"/>
          <w:i/>
          <w:iCs/>
        </w:rPr>
        <w:t>Clinopodium chinensis</w:t>
      </w:r>
      <w:r>
        <w:rPr>
          <w:rFonts w:ascii="Times New Roman" w:cs="Times New Roman"/>
        </w:rPr>
        <w:t>)</w:t>
      </w:r>
      <w:r>
        <w:rPr>
          <w:rFonts w:ascii="Times New Roman" w:cs="Times New Roman"/>
        </w:rPr>
        <w:t>、茅叶荩草</w:t>
      </w:r>
      <w:r>
        <w:rPr>
          <w:rFonts w:ascii="Times New Roman" w:cs="Times New Roman"/>
        </w:rPr>
        <w:t>(</w:t>
      </w:r>
      <w:r>
        <w:rPr>
          <w:rFonts w:ascii="Times New Roman" w:cs="Times New Roman"/>
          <w:i/>
        </w:rPr>
        <w:t>Arthr</w:t>
      </w:r>
      <w:r>
        <w:rPr>
          <w:rFonts w:ascii="Times New Roman" w:cs="Times New Roman"/>
          <w:i/>
          <w:iCs/>
        </w:rPr>
        <w:t>axon lanc</w:t>
      </w:r>
      <w:r>
        <w:rPr>
          <w:rFonts w:ascii="Times New Roman" w:cs="Times New Roman"/>
          <w:i/>
        </w:rPr>
        <w:t>eoltus</w:t>
      </w:r>
      <w:r>
        <w:rPr>
          <w:rFonts w:ascii="Times New Roman" w:cs="Times New Roman"/>
        </w:rPr>
        <w:t>)</w:t>
      </w:r>
      <w:r>
        <w:rPr>
          <w:rFonts w:ascii="Times New Roman" w:cs="Times New Roman"/>
        </w:rPr>
        <w:t>、阿拉伯婆婆纳</w:t>
      </w:r>
      <w:r>
        <w:rPr>
          <w:rFonts w:ascii="Times New Roman" w:cs="Times New Roman"/>
        </w:rPr>
        <w:t>(</w:t>
      </w:r>
      <w:r>
        <w:rPr>
          <w:rFonts w:ascii="Times New Roman" w:cs="Times New Roman"/>
          <w:i/>
        </w:rPr>
        <w:t>Veronica persica</w:t>
      </w:r>
      <w:r>
        <w:rPr>
          <w:rFonts w:ascii="Times New Roman" w:cs="Times New Roman"/>
        </w:rPr>
        <w:t>)</w:t>
      </w:r>
      <w:r>
        <w:rPr>
          <w:rFonts w:ascii="Times New Roman" w:cs="Times New Roman"/>
        </w:rPr>
        <w:t>、日本金星蕨</w:t>
      </w:r>
      <w:r>
        <w:rPr>
          <w:rFonts w:ascii="Times New Roman" w:cs="Times New Roman"/>
        </w:rPr>
        <w:t>(</w:t>
      </w:r>
      <w:r>
        <w:rPr>
          <w:rFonts w:ascii="Times New Roman" w:cs="Times New Roman"/>
          <w:i/>
        </w:rPr>
        <w:t>Parathel</w:t>
      </w:r>
      <w:r>
        <w:rPr>
          <w:rFonts w:ascii="Times New Roman" w:cs="Times New Roman"/>
          <w:i/>
          <w:iCs/>
        </w:rPr>
        <w:t>ypteris japo</w:t>
      </w:r>
      <w:r>
        <w:rPr>
          <w:rFonts w:ascii="Times New Roman" w:cs="Times New Roman"/>
          <w:i/>
        </w:rPr>
        <w:t>nica</w:t>
      </w:r>
      <w:r>
        <w:rPr>
          <w:rFonts w:ascii="Times New Roman" w:cs="Times New Roman"/>
        </w:rPr>
        <w:t>)</w:t>
      </w:r>
      <w:r>
        <w:rPr>
          <w:rFonts w:ascii="Times New Roman" w:cs="Times New Roman"/>
        </w:rPr>
        <w:t>、问荆</w:t>
      </w:r>
      <w:r>
        <w:rPr>
          <w:rFonts w:ascii="Times New Roman" w:cs="Times New Roman"/>
        </w:rPr>
        <w:t>(</w:t>
      </w:r>
      <w:r>
        <w:rPr>
          <w:rFonts w:ascii="Times New Roman" w:cs="Times New Roman"/>
          <w:i/>
        </w:rPr>
        <w:t>Equ</w:t>
      </w:r>
      <w:r>
        <w:rPr>
          <w:rFonts w:ascii="Times New Roman" w:cs="Times New Roman"/>
          <w:i/>
          <w:iCs/>
        </w:rPr>
        <w:t>isetum arven</w:t>
      </w:r>
      <w:r>
        <w:rPr>
          <w:rFonts w:ascii="Times New Roman" w:cs="Times New Roman"/>
          <w:i/>
        </w:rPr>
        <w:t>se</w:t>
      </w:r>
      <w:r>
        <w:rPr>
          <w:rFonts w:ascii="Times New Roman" w:cs="Times New Roman"/>
        </w:rPr>
        <w:t>)</w:t>
      </w:r>
      <w:r>
        <w:rPr>
          <w:rFonts w:ascii="Times New Roman" w:cs="Times New Roman"/>
        </w:rPr>
        <w:t>、马鞭草</w:t>
      </w:r>
      <w:r>
        <w:rPr>
          <w:rFonts w:ascii="Times New Roman" w:cs="Times New Roman"/>
        </w:rPr>
        <w:t>(</w:t>
      </w:r>
      <w:r>
        <w:rPr>
          <w:rFonts w:ascii="Times New Roman" w:cs="Times New Roman"/>
          <w:i/>
        </w:rPr>
        <w:t>Verbena officinalis</w:t>
      </w:r>
      <w:r>
        <w:rPr>
          <w:rFonts w:ascii="Times New Roman" w:cs="Times New Roman"/>
        </w:rPr>
        <w:t>)</w:t>
      </w:r>
      <w:r>
        <w:rPr>
          <w:rFonts w:ascii="Times New Roman" w:cs="Times New Roman"/>
        </w:rPr>
        <w:t>、狗牙根</w:t>
      </w:r>
      <w:r>
        <w:rPr>
          <w:rFonts w:ascii="Times New Roman" w:cs="Times New Roman"/>
        </w:rPr>
        <w:t>(</w:t>
      </w:r>
      <w:r>
        <w:rPr>
          <w:rFonts w:ascii="Times New Roman" w:cs="Times New Roman"/>
          <w:i/>
        </w:rPr>
        <w:t>Cynodondactylon</w:t>
      </w:r>
      <w:r>
        <w:rPr>
          <w:rFonts w:ascii="Times New Roman" w:cs="Times New Roman"/>
        </w:rPr>
        <w:t>)</w:t>
      </w:r>
      <w:r>
        <w:rPr>
          <w:rFonts w:ascii="Times New Roman" w:cs="Times New Roman"/>
        </w:rPr>
        <w:t>、稗</w:t>
      </w:r>
      <w:r>
        <w:rPr>
          <w:rFonts w:ascii="Times New Roman" w:cs="Times New Roman"/>
        </w:rPr>
        <w:t>(</w:t>
      </w:r>
      <w:r>
        <w:rPr>
          <w:rFonts w:ascii="Times New Roman" w:cs="Times New Roman"/>
          <w:i/>
        </w:rPr>
        <w:t>Echinoc</w:t>
      </w:r>
      <w:r>
        <w:rPr>
          <w:rFonts w:ascii="Times New Roman" w:cs="Times New Roman"/>
          <w:i/>
          <w:iCs/>
        </w:rPr>
        <w:t>hloa crusgal</w:t>
      </w:r>
      <w:r>
        <w:rPr>
          <w:rFonts w:ascii="Times New Roman" w:cs="Times New Roman"/>
          <w:i/>
        </w:rPr>
        <w:t>li</w:t>
      </w:r>
      <w:r>
        <w:rPr>
          <w:rFonts w:ascii="Times New Roman" w:cs="Times New Roman"/>
        </w:rPr>
        <w:t>)</w:t>
      </w:r>
      <w:r>
        <w:rPr>
          <w:rFonts w:ascii="Times New Roman" w:cs="Times New Roman"/>
        </w:rPr>
        <w:t>、球米草</w:t>
      </w:r>
      <w:r>
        <w:rPr>
          <w:rFonts w:ascii="Times New Roman" w:cs="Times New Roman"/>
        </w:rPr>
        <w:t>(</w:t>
      </w:r>
      <w:r>
        <w:rPr>
          <w:rFonts w:ascii="Times New Roman" w:cs="Times New Roman"/>
          <w:i/>
        </w:rPr>
        <w:t>Oplismehus compositus</w:t>
      </w:r>
      <w:r>
        <w:rPr>
          <w:rFonts w:ascii="Times New Roman" w:cs="Times New Roman"/>
        </w:rPr>
        <w:t>)</w:t>
      </w:r>
      <w:r>
        <w:rPr>
          <w:rFonts w:ascii="Times New Roman" w:cs="Times New Roman"/>
        </w:rPr>
        <w:t>、蜈蚣草</w:t>
      </w:r>
      <w:r>
        <w:rPr>
          <w:rFonts w:ascii="Times New Roman" w:cs="Times New Roman"/>
        </w:rPr>
        <w:t>(</w:t>
      </w:r>
      <w:r>
        <w:rPr>
          <w:rFonts w:ascii="Times New Roman" w:cs="Times New Roman"/>
          <w:i/>
        </w:rPr>
        <w:t>Pteris vittata</w:t>
      </w:r>
      <w:r>
        <w:rPr>
          <w:rFonts w:ascii="Times New Roman" w:cs="Times New Roman"/>
        </w:rPr>
        <w:t>)</w:t>
      </w:r>
      <w:r>
        <w:rPr>
          <w:rFonts w:ascii="Times New Roman" w:cs="Times New Roman"/>
        </w:rPr>
        <w:t>、三叶鬼针草</w:t>
      </w:r>
      <w:r>
        <w:rPr>
          <w:rFonts w:ascii="Times New Roman" w:cs="Times New Roman"/>
        </w:rPr>
        <w:t>(</w:t>
      </w:r>
      <w:r>
        <w:rPr>
          <w:rFonts w:ascii="Times New Roman" w:cs="Times New Roman"/>
          <w:i/>
        </w:rPr>
        <w:t>Bidens pilosa</w:t>
      </w:r>
      <w:r>
        <w:rPr>
          <w:rFonts w:ascii="Times New Roman" w:cs="Times New Roman"/>
        </w:rPr>
        <w:t>)</w:t>
      </w:r>
      <w:r>
        <w:rPr>
          <w:rFonts w:ascii="Times New Roman" w:cs="Times New Roman"/>
        </w:rPr>
        <w:t>、野艾蒿</w:t>
      </w:r>
      <w:r>
        <w:rPr>
          <w:rFonts w:ascii="Times New Roman" w:cs="Times New Roman"/>
        </w:rPr>
        <w:t>(</w:t>
      </w:r>
      <w:r>
        <w:rPr>
          <w:rFonts w:ascii="Times New Roman" w:cs="Times New Roman"/>
          <w:i/>
        </w:rPr>
        <w:t>Artemisia lavandulaefolia</w:t>
      </w:r>
      <w:r>
        <w:rPr>
          <w:rFonts w:ascii="Times New Roman" w:cs="Times New Roman"/>
        </w:rPr>
        <w:t>)</w:t>
      </w:r>
      <w:r>
        <w:rPr>
          <w:rFonts w:ascii="Times New Roman" w:cs="Times New Roman"/>
        </w:rPr>
        <w:t>等。</w:t>
      </w:r>
    </w:p>
    <w:p w:rsidR="005556D5" w:rsidRDefault="005556D5" w:rsidP="005556D5">
      <w:pPr>
        <w:topLinePunct w:val="0"/>
        <w:spacing w:before="2"/>
        <w:ind w:left="34" w:right="105" w:firstLine="480"/>
        <w:rPr>
          <w:rFonts w:ascii="Times New Roman" w:cs="Times New Roman"/>
        </w:rPr>
      </w:pPr>
      <w:r>
        <w:rPr>
          <w:rFonts w:hAnsi="宋体" w:hint="eastAsia"/>
        </w:rPr>
        <w:t>⑤</w:t>
      </w:r>
      <w:r>
        <w:rPr>
          <w:rFonts w:ascii="Times New Roman" w:cs="Times New Roman"/>
          <w:spacing w:val="-4"/>
        </w:rPr>
        <w:t>麻栎</w:t>
      </w:r>
      <w:r>
        <w:rPr>
          <w:rFonts w:ascii="Times New Roman" w:eastAsia="Times New Roman" w:cs="Times New Roman"/>
          <w:spacing w:val="12"/>
        </w:rPr>
        <w:t>-</w:t>
      </w:r>
      <w:r>
        <w:rPr>
          <w:rFonts w:ascii="Times New Roman" w:cs="Times New Roman"/>
          <w:spacing w:val="12"/>
        </w:rPr>
        <w:t>柏木混交林</w:t>
      </w:r>
      <w:r>
        <w:rPr>
          <w:rFonts w:ascii="Times New Roman" w:cs="Times New Roman"/>
          <w:spacing w:val="12"/>
        </w:rPr>
        <w:t>(</w:t>
      </w:r>
      <w:r>
        <w:rPr>
          <w:rFonts w:ascii="Times New Roman" w:eastAsia="Times New Roman" w:cs="Times New Roman"/>
        </w:rPr>
        <w:t>Form</w:t>
      </w:r>
      <w:r>
        <w:rPr>
          <w:rFonts w:ascii="Times New Roman" w:eastAsia="Times New Roman" w:cs="Times New Roman"/>
          <w:spacing w:val="12"/>
        </w:rPr>
        <w:t>.</w:t>
      </w:r>
      <w:r>
        <w:rPr>
          <w:rFonts w:ascii="Times New Roman" w:eastAsia="Times New Roman" w:cs="Times New Roman"/>
          <w:i/>
          <w:iCs/>
        </w:rPr>
        <w:t>Quercus acutissima</w:t>
      </w:r>
      <w:r>
        <w:rPr>
          <w:rStyle w:val="af0"/>
          <w:rFonts w:cs="Times New Roman"/>
          <w:i/>
          <w:iCs w:val="0"/>
          <w:sz w:val="21"/>
          <w:szCs w:val="21"/>
          <w:shd w:val="clear" w:color="auto" w:fill="FFFFFF"/>
        </w:rPr>
        <w:t xml:space="preserve"> </w:t>
      </w:r>
      <w:r>
        <w:rPr>
          <w:rFonts w:ascii="Times New Roman" w:eastAsia="Times New Roman" w:cs="Times New Roman"/>
          <w:spacing w:val="-1"/>
        </w:rPr>
        <w:t>Carruth.</w:t>
      </w:r>
      <w:r>
        <w:rPr>
          <w:rFonts w:ascii="Times New Roman" w:eastAsia="Times New Roman" w:cs="Times New Roman"/>
          <w:i/>
          <w:iCs/>
          <w:spacing w:val="12"/>
        </w:rPr>
        <w:t>+</w:t>
      </w:r>
      <w:r>
        <w:rPr>
          <w:rFonts w:ascii="Times New Roman" w:eastAsia="Times New Roman" w:cs="Times New Roman"/>
          <w:i/>
          <w:iCs/>
        </w:rPr>
        <w:t>Cupressus</w:t>
      </w:r>
      <w:r>
        <w:rPr>
          <w:rFonts w:ascii="Times New Roman" w:eastAsia="Times New Roman" w:cs="Times New Roman"/>
          <w:spacing w:val="10"/>
        </w:rPr>
        <w:t xml:space="preserve"> </w:t>
      </w:r>
      <w:r>
        <w:rPr>
          <w:rFonts w:ascii="Times New Roman" w:eastAsia="Times New Roman" w:cs="Times New Roman"/>
          <w:i/>
          <w:iCs/>
        </w:rPr>
        <w:t>funebris</w:t>
      </w:r>
      <w:r>
        <w:rPr>
          <w:rFonts w:ascii="Times New Roman" w:eastAsia="Times New Roman" w:cs="Times New Roman"/>
        </w:rPr>
        <w:t xml:space="preserve"> </w:t>
      </w:r>
      <w:r>
        <w:rPr>
          <w:rFonts w:ascii="Times New Roman" w:eastAsia="Times New Roman" w:cs="Times New Roman"/>
          <w:spacing w:val="-1"/>
        </w:rPr>
        <w:t>Endl.</w:t>
      </w:r>
      <w:r>
        <w:rPr>
          <w:rFonts w:ascii="Times New Roman" w:cs="Times New Roman"/>
          <w:spacing w:val="-1"/>
        </w:rPr>
        <w:t>)</w:t>
      </w:r>
    </w:p>
    <w:p w:rsidR="005556D5" w:rsidRDefault="005556D5" w:rsidP="005556D5">
      <w:pPr>
        <w:topLinePunct w:val="0"/>
        <w:snapToGrid w:val="0"/>
        <w:ind w:firstLine="524"/>
        <w:rPr>
          <w:rFonts w:ascii="Times New Roman" w:cs="Times New Roman"/>
          <w:spacing w:val="-5"/>
        </w:rPr>
      </w:pPr>
      <w:r>
        <w:rPr>
          <w:rFonts w:ascii="Times New Roman" w:cs="Times New Roman"/>
          <w:spacing w:val="11"/>
        </w:rPr>
        <w:t>评</w:t>
      </w:r>
      <w:r>
        <w:rPr>
          <w:rFonts w:ascii="Times New Roman" w:cs="Times New Roman"/>
          <w:spacing w:val="9"/>
        </w:rPr>
        <w:t>价区域内的</w:t>
      </w:r>
      <w:r>
        <w:rPr>
          <w:rFonts w:ascii="Times New Roman" w:cs="Times New Roman"/>
          <w:spacing w:val="-4"/>
        </w:rPr>
        <w:t>麻栎</w:t>
      </w:r>
      <w:r>
        <w:rPr>
          <w:rFonts w:ascii="Times New Roman" w:cs="Times New Roman"/>
          <w:spacing w:val="9"/>
        </w:rPr>
        <w:t>和柏木混交</w:t>
      </w:r>
      <w:r>
        <w:rPr>
          <w:rFonts w:ascii="Times New Roman" w:cs="Times New Roman"/>
          <w:spacing w:val="9"/>
        </w:rPr>
        <w:t>(</w:t>
      </w:r>
      <w:r>
        <w:rPr>
          <w:rFonts w:ascii="Times New Roman" w:eastAsia="Times New Roman" w:cs="Times New Roman"/>
          <w:i/>
          <w:iCs/>
        </w:rPr>
        <w:t xml:space="preserve">Quercus acutissima </w:t>
      </w:r>
      <w:r>
        <w:rPr>
          <w:rFonts w:ascii="Times New Roman" w:eastAsia="Times New Roman" w:cs="Times New Roman"/>
        </w:rPr>
        <w:t>Carruth.</w:t>
      </w:r>
      <w:r>
        <w:rPr>
          <w:rFonts w:ascii="Times New Roman" w:eastAsia="Times New Roman" w:cs="Times New Roman"/>
          <w:i/>
          <w:iCs/>
          <w:spacing w:val="9"/>
        </w:rPr>
        <w:t>+</w:t>
      </w:r>
      <w:r>
        <w:rPr>
          <w:rFonts w:ascii="Times New Roman" w:eastAsia="Times New Roman" w:cs="Times New Roman"/>
          <w:i/>
          <w:iCs/>
        </w:rPr>
        <w:t>Cupressus</w:t>
      </w:r>
      <w:r>
        <w:rPr>
          <w:rFonts w:ascii="Times New Roman" w:eastAsia="Times New Roman" w:cs="Times New Roman"/>
          <w:spacing w:val="9"/>
        </w:rPr>
        <w:t xml:space="preserve"> </w:t>
      </w:r>
      <w:r>
        <w:rPr>
          <w:rFonts w:ascii="Times New Roman" w:eastAsia="Times New Roman" w:cs="Times New Roman"/>
          <w:i/>
          <w:iCs/>
        </w:rPr>
        <w:lastRenderedPageBreak/>
        <w:t>funebris</w:t>
      </w:r>
      <w:r>
        <w:rPr>
          <w:rFonts w:ascii="Times New Roman" w:cs="Times New Roman"/>
        </w:rPr>
        <w:t xml:space="preserve"> </w:t>
      </w:r>
      <w:r>
        <w:rPr>
          <w:rFonts w:ascii="Times New Roman" w:eastAsia="Times New Roman" w:cs="Times New Roman"/>
        </w:rPr>
        <w:t>Endl</w:t>
      </w:r>
      <w:r>
        <w:rPr>
          <w:rFonts w:ascii="Times New Roman" w:eastAsia="Times New Roman" w:cs="Times New Roman"/>
          <w:spacing w:val="4"/>
        </w:rPr>
        <w:t>.</w:t>
      </w:r>
      <w:r>
        <w:rPr>
          <w:rFonts w:ascii="Times New Roman" w:cs="Times New Roman"/>
          <w:spacing w:val="4"/>
        </w:rPr>
        <w:t>)</w:t>
      </w:r>
      <w:r>
        <w:rPr>
          <w:rFonts w:ascii="Times New Roman" w:cs="Times New Roman"/>
          <w:spacing w:val="4"/>
        </w:rPr>
        <w:t>林多为人工林，分布</w:t>
      </w:r>
      <w:r>
        <w:rPr>
          <w:rFonts w:ascii="Times New Roman" w:cs="Times New Roman"/>
          <w:spacing w:val="2"/>
        </w:rPr>
        <w:t>在土层深厚、肥沃、湿润的山谷、山坡下部或中部、</w:t>
      </w:r>
      <w:r>
        <w:rPr>
          <w:rFonts w:ascii="Times New Roman" w:cs="Times New Roman"/>
          <w:spacing w:val="6"/>
        </w:rPr>
        <w:t>道</w:t>
      </w:r>
      <w:r>
        <w:rPr>
          <w:rFonts w:ascii="Times New Roman" w:cs="Times New Roman"/>
          <w:spacing w:val="5"/>
        </w:rPr>
        <w:t>路</w:t>
      </w:r>
      <w:r>
        <w:rPr>
          <w:rFonts w:ascii="Times New Roman" w:cs="Times New Roman"/>
          <w:spacing w:val="3"/>
        </w:rPr>
        <w:t>两旁以及河流两岸，能适应酸性、中性和微碱性土壤，喜温暖气候和深厚湿</w:t>
      </w:r>
      <w:r>
        <w:rPr>
          <w:rFonts w:ascii="Times New Roman" w:cs="Times New Roman"/>
          <w:spacing w:val="-9"/>
        </w:rPr>
        <w:t>润</w:t>
      </w:r>
      <w:r>
        <w:rPr>
          <w:rFonts w:ascii="Times New Roman" w:cs="Times New Roman"/>
          <w:spacing w:val="-8"/>
        </w:rPr>
        <w:t>、肥沃土壤，在干脊</w:t>
      </w:r>
      <w:r>
        <w:rPr>
          <w:rFonts w:ascii="Times New Roman" w:cs="Times New Roman"/>
        </w:rPr>
        <w:t>荒地</w:t>
      </w:r>
      <w:r>
        <w:rPr>
          <w:rFonts w:ascii="Times New Roman" w:cs="Times New Roman"/>
          <w:spacing w:val="-8"/>
        </w:rPr>
        <w:t>荒山地也能生长。一般垂直分布于海拔</w:t>
      </w:r>
      <w:r>
        <w:rPr>
          <w:rFonts w:ascii="Times New Roman" w:eastAsia="Times New Roman" w:cs="Times New Roman"/>
          <w:spacing w:val="-8"/>
        </w:rPr>
        <w:t>200-1200m</w:t>
      </w:r>
      <w:r>
        <w:rPr>
          <w:rFonts w:ascii="Times New Roman" w:cs="Times New Roman"/>
          <w:spacing w:val="-8"/>
        </w:rPr>
        <w:t>。根</w:t>
      </w:r>
      <w:r>
        <w:rPr>
          <w:rFonts w:ascii="Times New Roman" w:cs="Times New Roman"/>
          <w:spacing w:val="2"/>
        </w:rPr>
        <w:t>系发达，结实量大。一般高度为</w:t>
      </w:r>
      <w:r>
        <w:rPr>
          <w:rFonts w:ascii="Times New Roman" w:eastAsia="Times New Roman" w:cs="Times New Roman"/>
          <w:spacing w:val="2"/>
        </w:rPr>
        <w:t>12</w:t>
      </w:r>
      <w:r>
        <w:rPr>
          <w:rFonts w:ascii="Times New Roman" w:eastAsia="Times New Roman" w:cs="Times New Roman"/>
        </w:rPr>
        <w:t>m</w:t>
      </w:r>
      <w:r>
        <w:rPr>
          <w:rFonts w:ascii="Times New Roman" w:cs="Times New Roman"/>
          <w:spacing w:val="2"/>
        </w:rPr>
        <w:t>，胸</w:t>
      </w:r>
      <w:r>
        <w:rPr>
          <w:rFonts w:ascii="Times New Roman" w:cs="Times New Roman"/>
          <w:spacing w:val="1"/>
        </w:rPr>
        <w:t>径</w:t>
      </w:r>
      <w:r>
        <w:rPr>
          <w:rFonts w:ascii="Times New Roman" w:eastAsia="Times New Roman" w:cs="Times New Roman"/>
          <w:spacing w:val="1"/>
        </w:rPr>
        <w:t>20</w:t>
      </w:r>
      <w:r>
        <w:rPr>
          <w:rFonts w:ascii="Times New Roman" w:cs="Times New Roman"/>
          <w:spacing w:val="1"/>
        </w:rPr>
        <w:t>~</w:t>
      </w:r>
      <w:r>
        <w:rPr>
          <w:rFonts w:ascii="Times New Roman" w:eastAsia="Times New Roman" w:cs="Times New Roman"/>
          <w:spacing w:val="1"/>
        </w:rPr>
        <w:t>25</w:t>
      </w:r>
      <w:r>
        <w:rPr>
          <w:rFonts w:ascii="Times New Roman" w:eastAsia="Times New Roman" w:cs="Times New Roman"/>
        </w:rPr>
        <w:t>cm</w:t>
      </w:r>
      <w:r>
        <w:rPr>
          <w:rFonts w:ascii="Times New Roman" w:cs="Times New Roman"/>
          <w:spacing w:val="1"/>
        </w:rPr>
        <w:t>，盖度</w:t>
      </w:r>
      <w:r>
        <w:rPr>
          <w:rFonts w:ascii="Times New Roman" w:eastAsia="Times New Roman" w:cs="Times New Roman"/>
          <w:spacing w:val="1"/>
        </w:rPr>
        <w:t>60%</w:t>
      </w:r>
      <w:r>
        <w:rPr>
          <w:rFonts w:ascii="Times New Roman" w:cs="Times New Roman"/>
          <w:spacing w:val="1"/>
        </w:rPr>
        <w:t>~</w:t>
      </w:r>
      <w:r>
        <w:rPr>
          <w:rFonts w:ascii="Times New Roman" w:eastAsia="Times New Roman" w:cs="Times New Roman"/>
          <w:spacing w:val="1"/>
        </w:rPr>
        <w:t>80%</w:t>
      </w:r>
      <w:r>
        <w:rPr>
          <w:rFonts w:ascii="Times New Roman" w:cs="Times New Roman"/>
          <w:spacing w:val="1"/>
        </w:rPr>
        <w:t>。</w:t>
      </w:r>
      <w:r>
        <w:rPr>
          <w:rFonts w:ascii="Times New Roman" w:cs="Times New Roman"/>
        </w:rPr>
        <w:t>常混生有枫香、响叶杨等阔叶树种</w:t>
      </w:r>
      <w:r>
        <w:rPr>
          <w:rFonts w:ascii="Times New Roman" w:cs="Times New Roman" w:hint="eastAsia"/>
        </w:rPr>
        <w:t>，</w:t>
      </w:r>
      <w:r>
        <w:rPr>
          <w:rFonts w:ascii="Times New Roman" w:cs="Times New Roman"/>
          <w:spacing w:val="1"/>
        </w:rPr>
        <w:t>除了建</w:t>
      </w:r>
      <w:r>
        <w:rPr>
          <w:rFonts w:ascii="Times New Roman" w:cs="Times New Roman"/>
          <w:spacing w:val="-6"/>
        </w:rPr>
        <w:t>群种外，灌木层主要</w:t>
      </w:r>
      <w:r>
        <w:rPr>
          <w:rFonts w:ascii="Times New Roman" w:cs="Times New Roman"/>
          <w:spacing w:val="-3"/>
        </w:rPr>
        <w:t>有</w:t>
      </w:r>
      <w:r>
        <w:rPr>
          <w:rFonts w:ascii="Times New Roman" w:cs="Times New Roman"/>
          <w:spacing w:val="2"/>
        </w:rPr>
        <w:t>化香、黄连木、油桐、</w:t>
      </w:r>
      <w:r>
        <w:rPr>
          <w:rFonts w:ascii="Times New Roman" w:cs="Times New Roman"/>
          <w:spacing w:val="-3"/>
        </w:rPr>
        <w:t>鹅掌柴</w:t>
      </w:r>
      <w:r>
        <w:rPr>
          <w:rFonts w:ascii="Times New Roman" w:cs="Times New Roman"/>
          <w:spacing w:val="-3"/>
        </w:rPr>
        <w:t>(</w:t>
      </w:r>
      <w:r>
        <w:rPr>
          <w:rFonts w:ascii="Times New Roman" w:eastAsia="Times New Roman" w:cs="Times New Roman"/>
          <w:i/>
          <w:iCs/>
          <w:spacing w:val="-3"/>
        </w:rPr>
        <w:t>Schefflera</w:t>
      </w:r>
      <w:r>
        <w:rPr>
          <w:rFonts w:ascii="Times New Roman" w:eastAsia="Times New Roman" w:cs="Times New Roman"/>
          <w:spacing w:val="-3"/>
        </w:rPr>
        <w:t xml:space="preserve"> </w:t>
      </w:r>
      <w:r>
        <w:rPr>
          <w:rFonts w:ascii="Times New Roman" w:eastAsia="Times New Roman" w:cs="Times New Roman"/>
          <w:i/>
          <w:iCs/>
          <w:spacing w:val="-3"/>
        </w:rPr>
        <w:t>delavayi</w:t>
      </w:r>
      <w:r>
        <w:rPr>
          <w:rFonts w:ascii="Times New Roman" w:cs="Times New Roman"/>
          <w:spacing w:val="-3"/>
        </w:rPr>
        <w:t>)</w:t>
      </w:r>
      <w:r>
        <w:rPr>
          <w:rFonts w:ascii="Times New Roman" w:cs="Times New Roman"/>
          <w:spacing w:val="-3"/>
        </w:rPr>
        <w:t>、柃木</w:t>
      </w:r>
      <w:r>
        <w:rPr>
          <w:rFonts w:ascii="Times New Roman" w:cs="Times New Roman"/>
          <w:spacing w:val="-3"/>
        </w:rPr>
        <w:t>(</w:t>
      </w:r>
      <w:r>
        <w:rPr>
          <w:rFonts w:ascii="Times New Roman" w:eastAsia="Times New Roman" w:cs="Times New Roman"/>
          <w:i/>
          <w:iCs/>
          <w:spacing w:val="-3"/>
        </w:rPr>
        <w:t>Eurya</w:t>
      </w:r>
      <w:r>
        <w:rPr>
          <w:rFonts w:ascii="Times New Roman" w:eastAsia="Times New Roman" w:cs="Times New Roman"/>
          <w:spacing w:val="-3"/>
        </w:rPr>
        <w:t xml:space="preserve"> </w:t>
      </w:r>
      <w:r>
        <w:rPr>
          <w:rFonts w:ascii="Times New Roman" w:eastAsia="Times New Roman" w:cs="Times New Roman"/>
          <w:i/>
          <w:iCs/>
          <w:spacing w:val="-3"/>
        </w:rPr>
        <w:t>spp</w:t>
      </w:r>
      <w:r>
        <w:rPr>
          <w:rFonts w:ascii="Times New Roman" w:cs="Times New Roman"/>
          <w:spacing w:val="-3"/>
        </w:rPr>
        <w:t>)</w:t>
      </w:r>
      <w:r>
        <w:rPr>
          <w:rFonts w:ascii="Times New Roman" w:cs="Times New Roman"/>
          <w:spacing w:val="-3"/>
        </w:rPr>
        <w:t>、楤木</w:t>
      </w:r>
      <w:r>
        <w:rPr>
          <w:rFonts w:ascii="Times New Roman" w:cs="Times New Roman"/>
          <w:spacing w:val="-3"/>
        </w:rPr>
        <w:t>(</w:t>
      </w:r>
      <w:r>
        <w:rPr>
          <w:rFonts w:ascii="Times New Roman" w:eastAsia="Times New Roman" w:cs="Times New Roman"/>
          <w:i/>
          <w:iCs/>
          <w:spacing w:val="-3"/>
        </w:rPr>
        <w:t>Aralia</w:t>
      </w:r>
      <w:r>
        <w:rPr>
          <w:rFonts w:ascii="Times New Roman" w:eastAsia="Times New Roman" w:cs="Times New Roman"/>
        </w:rPr>
        <w:t xml:space="preserve"> </w:t>
      </w:r>
      <w:r>
        <w:rPr>
          <w:rFonts w:ascii="Times New Roman" w:eastAsia="Times New Roman" w:cs="Times New Roman"/>
          <w:i/>
          <w:iCs/>
          <w:spacing w:val="-4"/>
        </w:rPr>
        <w:t>elata</w:t>
      </w:r>
      <w:r>
        <w:rPr>
          <w:rFonts w:ascii="Times New Roman" w:cs="Times New Roman"/>
          <w:spacing w:val="-8"/>
        </w:rPr>
        <w:t>)</w:t>
      </w:r>
      <w:r>
        <w:rPr>
          <w:rFonts w:ascii="Times New Roman" w:cs="Times New Roman"/>
          <w:spacing w:val="-8"/>
        </w:rPr>
        <w:t>、木</w:t>
      </w:r>
      <w:r>
        <w:rPr>
          <w:rFonts w:ascii="Times New Roman" w:cs="Times New Roman"/>
          <w:spacing w:val="-4"/>
        </w:rPr>
        <w:t>姜子</w:t>
      </w:r>
      <w:r>
        <w:rPr>
          <w:rFonts w:ascii="Times New Roman" w:cs="Times New Roman"/>
          <w:spacing w:val="-4"/>
        </w:rPr>
        <w:t>(</w:t>
      </w:r>
      <w:r>
        <w:rPr>
          <w:rFonts w:ascii="Times New Roman" w:eastAsia="Times New Roman" w:cs="Times New Roman"/>
          <w:i/>
          <w:iCs/>
          <w:spacing w:val="-4"/>
        </w:rPr>
        <w:t>Litsea</w:t>
      </w:r>
      <w:r>
        <w:rPr>
          <w:rFonts w:ascii="Times New Roman" w:eastAsia="Times New Roman" w:cs="Times New Roman"/>
          <w:spacing w:val="-4"/>
        </w:rPr>
        <w:t xml:space="preserve"> </w:t>
      </w:r>
      <w:r>
        <w:rPr>
          <w:rFonts w:ascii="Times New Roman" w:eastAsia="Times New Roman" w:cs="Times New Roman"/>
          <w:i/>
          <w:iCs/>
          <w:spacing w:val="-4"/>
        </w:rPr>
        <w:t>cubeba</w:t>
      </w:r>
      <w:r>
        <w:rPr>
          <w:rFonts w:ascii="Times New Roman" w:cs="Times New Roman"/>
          <w:spacing w:val="-4"/>
        </w:rPr>
        <w:t>)</w:t>
      </w:r>
      <w:r>
        <w:rPr>
          <w:rFonts w:ascii="Times New Roman" w:cs="Times New Roman"/>
          <w:spacing w:val="-4"/>
        </w:rPr>
        <w:t>、荚蒾</w:t>
      </w:r>
      <w:r>
        <w:rPr>
          <w:rFonts w:ascii="Times New Roman" w:cs="Times New Roman"/>
          <w:spacing w:val="-4"/>
        </w:rPr>
        <w:t>(</w:t>
      </w:r>
      <w:r>
        <w:rPr>
          <w:rFonts w:ascii="Times New Roman" w:eastAsia="Times New Roman" w:cs="Times New Roman"/>
          <w:i/>
          <w:iCs/>
          <w:spacing w:val="-4"/>
        </w:rPr>
        <w:t>Viburnum</w:t>
      </w:r>
      <w:r>
        <w:rPr>
          <w:rFonts w:ascii="Times New Roman" w:eastAsia="Times New Roman" w:cs="Times New Roman"/>
          <w:spacing w:val="-4"/>
        </w:rPr>
        <w:t xml:space="preserve"> </w:t>
      </w:r>
      <w:r>
        <w:rPr>
          <w:rFonts w:ascii="Times New Roman" w:eastAsia="Times New Roman" w:cs="Times New Roman"/>
          <w:i/>
          <w:iCs/>
          <w:spacing w:val="-4"/>
        </w:rPr>
        <w:t>spp</w:t>
      </w:r>
      <w:r>
        <w:rPr>
          <w:rFonts w:ascii="Times New Roman" w:cs="Times New Roman"/>
          <w:spacing w:val="-4"/>
        </w:rPr>
        <w:t>)</w:t>
      </w:r>
      <w:r>
        <w:rPr>
          <w:rFonts w:ascii="Times New Roman" w:cs="Times New Roman"/>
          <w:spacing w:val="-4"/>
        </w:rPr>
        <w:t>、杜茎山</w:t>
      </w:r>
      <w:r>
        <w:rPr>
          <w:rFonts w:ascii="Times New Roman" w:cs="Times New Roman"/>
          <w:spacing w:val="-4"/>
        </w:rPr>
        <w:t>(</w:t>
      </w:r>
      <w:r>
        <w:rPr>
          <w:rFonts w:ascii="Times New Roman" w:eastAsia="Times New Roman" w:cs="Times New Roman"/>
          <w:i/>
          <w:iCs/>
          <w:spacing w:val="-4"/>
        </w:rPr>
        <w:t>Maesa</w:t>
      </w:r>
      <w:r>
        <w:rPr>
          <w:rFonts w:ascii="Times New Roman" w:eastAsia="Times New Roman" w:cs="Times New Roman"/>
          <w:spacing w:val="-4"/>
        </w:rPr>
        <w:t xml:space="preserve"> </w:t>
      </w:r>
      <w:r>
        <w:rPr>
          <w:rFonts w:ascii="Times New Roman" w:eastAsia="Times New Roman" w:cs="Times New Roman"/>
          <w:i/>
          <w:iCs/>
          <w:spacing w:val="-4"/>
        </w:rPr>
        <w:t>hupehensis</w:t>
      </w:r>
      <w:r>
        <w:rPr>
          <w:rFonts w:ascii="Times New Roman" w:cs="Times New Roman"/>
          <w:spacing w:val="-4"/>
        </w:rPr>
        <w:t>)</w:t>
      </w:r>
      <w:r>
        <w:rPr>
          <w:rFonts w:ascii="Times New Roman" w:cs="Times New Roman"/>
          <w:spacing w:val="1"/>
        </w:rPr>
        <w:t>等。草本层主要有黄茅、</w:t>
      </w:r>
      <w:r>
        <w:rPr>
          <w:rFonts w:ascii="Times New Roman" w:cs="Times New Roman"/>
          <w:spacing w:val="4"/>
        </w:rPr>
        <w:t>白茅、香茅、</w:t>
      </w:r>
      <w:r>
        <w:rPr>
          <w:rFonts w:ascii="Times New Roman" w:cs="Times New Roman"/>
          <w:spacing w:val="1"/>
        </w:rPr>
        <w:t>翠</w:t>
      </w:r>
      <w:r>
        <w:rPr>
          <w:rFonts w:ascii="Times New Roman" w:cs="Times New Roman"/>
        </w:rPr>
        <w:t>云草</w:t>
      </w:r>
      <w:r>
        <w:rPr>
          <w:rFonts w:ascii="Times New Roman" w:cs="Times New Roman"/>
        </w:rPr>
        <w:t>(</w:t>
      </w:r>
      <w:r>
        <w:rPr>
          <w:rFonts w:ascii="Times New Roman" w:eastAsia="Times New Roman" w:cs="Times New Roman"/>
          <w:i/>
          <w:iCs/>
        </w:rPr>
        <w:t>Selaginella</w:t>
      </w:r>
      <w:r>
        <w:rPr>
          <w:rFonts w:ascii="Times New Roman" w:eastAsia="Times New Roman" w:cs="Times New Roman"/>
        </w:rPr>
        <w:t xml:space="preserve"> </w:t>
      </w:r>
      <w:r>
        <w:rPr>
          <w:rFonts w:ascii="Times New Roman" w:eastAsia="Times New Roman" w:cs="Times New Roman"/>
          <w:i/>
          <w:iCs/>
        </w:rPr>
        <w:t>uncinata</w:t>
      </w:r>
      <w:r>
        <w:rPr>
          <w:rFonts w:ascii="Times New Roman" w:cs="Times New Roman"/>
        </w:rPr>
        <w:t>)</w:t>
      </w:r>
      <w:r>
        <w:rPr>
          <w:rFonts w:ascii="Times New Roman" w:cs="Times New Roman"/>
        </w:rPr>
        <w:t>、里白</w:t>
      </w:r>
      <w:r>
        <w:rPr>
          <w:rFonts w:ascii="Times New Roman" w:cs="Times New Roman"/>
        </w:rPr>
        <w:t>(</w:t>
      </w:r>
      <w:r>
        <w:rPr>
          <w:rFonts w:ascii="Times New Roman" w:eastAsia="Times New Roman" w:cs="Times New Roman"/>
          <w:i/>
          <w:iCs/>
        </w:rPr>
        <w:t>Diplopterygium</w:t>
      </w:r>
      <w:r>
        <w:rPr>
          <w:rFonts w:ascii="Times New Roman" w:eastAsia="Times New Roman" w:cs="Times New Roman"/>
        </w:rPr>
        <w:t xml:space="preserve"> </w:t>
      </w:r>
      <w:r>
        <w:rPr>
          <w:rFonts w:ascii="Times New Roman" w:eastAsia="Times New Roman" w:cs="Times New Roman"/>
          <w:i/>
          <w:iCs/>
        </w:rPr>
        <w:t>glaucum</w:t>
      </w:r>
      <w:r>
        <w:rPr>
          <w:rFonts w:ascii="Times New Roman" w:cs="Times New Roman"/>
        </w:rPr>
        <w:t>)</w:t>
      </w:r>
      <w:r>
        <w:rPr>
          <w:rFonts w:ascii="Times New Roman" w:cs="Times New Roman"/>
        </w:rPr>
        <w:t>、</w:t>
      </w:r>
      <w:r>
        <w:rPr>
          <w:rFonts w:ascii="Times New Roman" w:cs="Times New Roman"/>
          <w:spacing w:val="-8"/>
        </w:rPr>
        <w:t>荩</w:t>
      </w:r>
      <w:r>
        <w:rPr>
          <w:rFonts w:ascii="Times New Roman" w:cs="Times New Roman"/>
          <w:spacing w:val="-5"/>
        </w:rPr>
        <w:t>草等。</w:t>
      </w:r>
    </w:p>
    <w:p w:rsidR="005556D5" w:rsidRDefault="005556D5" w:rsidP="00F96E37">
      <w:pPr>
        <w:topLinePunct w:val="0"/>
        <w:adjustRightInd/>
        <w:spacing w:beforeLines="50"/>
        <w:ind w:firstLine="482"/>
        <w:rPr>
          <w:rFonts w:ascii="Times New Roman" w:cs="Times New Roman"/>
          <w:b/>
        </w:rPr>
      </w:pPr>
      <w:r>
        <w:rPr>
          <w:rFonts w:hAnsi="宋体" w:hint="eastAsia"/>
          <w:b/>
        </w:rPr>
        <w:t>Ⅱ</w:t>
      </w:r>
      <w:r>
        <w:rPr>
          <w:rFonts w:ascii="Times New Roman" w:cs="Times New Roman"/>
          <w:b/>
        </w:rPr>
        <w:t xml:space="preserve"> </w:t>
      </w:r>
      <w:r>
        <w:rPr>
          <w:rFonts w:ascii="Times New Roman" w:cs="Times New Roman"/>
          <w:b/>
        </w:rPr>
        <w:t>灌丛植被</w:t>
      </w:r>
    </w:p>
    <w:p w:rsidR="005556D5" w:rsidRDefault="005556D5" w:rsidP="005556D5">
      <w:pPr>
        <w:topLinePunct w:val="0"/>
        <w:adjustRightInd/>
        <w:ind w:left="60" w:right="100" w:firstLine="512"/>
        <w:rPr>
          <w:rFonts w:ascii="Times New Roman" w:cs="Times New Roman"/>
        </w:rPr>
      </w:pPr>
      <w:r>
        <w:rPr>
          <w:rFonts w:hAnsi="宋体" w:hint="eastAsia"/>
          <w:spacing w:val="8"/>
        </w:rPr>
        <w:t>①</w:t>
      </w:r>
      <w:r>
        <w:rPr>
          <w:rFonts w:ascii="Times New Roman" w:cs="Times New Roman"/>
        </w:rPr>
        <w:t>槲栎灌丛（</w:t>
      </w:r>
      <w:r>
        <w:rPr>
          <w:rFonts w:ascii="Times New Roman" w:cs="Times New Roman"/>
        </w:rPr>
        <w:t>Form.</w:t>
      </w:r>
      <w:r>
        <w:rPr>
          <w:rFonts w:ascii="Times New Roman" w:cs="Times New Roman"/>
          <w:i/>
          <w:iCs/>
        </w:rPr>
        <w:t>Quercus aliena</w:t>
      </w:r>
      <w:r>
        <w:rPr>
          <w:rFonts w:ascii="Times New Roman" w:cs="Times New Roman"/>
        </w:rPr>
        <w:t>）</w:t>
      </w:r>
    </w:p>
    <w:p w:rsidR="005556D5" w:rsidRDefault="005556D5" w:rsidP="005556D5">
      <w:pPr>
        <w:topLinePunct w:val="0"/>
        <w:adjustRightInd/>
        <w:ind w:left="60" w:right="100" w:firstLine="480"/>
        <w:rPr>
          <w:rFonts w:ascii="Times New Roman" w:cs="Times New Roman"/>
        </w:rPr>
      </w:pPr>
      <w:r>
        <w:rPr>
          <w:rFonts w:ascii="Times New Roman" w:cs="Times New Roman"/>
        </w:rPr>
        <w:t>槲栎灌丛在评价区内分布于</w:t>
      </w:r>
      <w:r>
        <w:rPr>
          <w:rFonts w:ascii="Times New Roman" w:cs="Times New Roman" w:hint="eastAsia"/>
        </w:rPr>
        <w:t>青冈</w:t>
      </w:r>
      <w:r>
        <w:rPr>
          <w:rFonts w:ascii="Times New Roman" w:cs="Times New Roman"/>
        </w:rPr>
        <w:t>麻栎林向灌草丛过渡的地带，其中以槲栎（</w:t>
      </w:r>
      <w:r>
        <w:rPr>
          <w:rFonts w:ascii="Times New Roman" w:cs="Times New Roman"/>
          <w:i/>
          <w:iCs/>
        </w:rPr>
        <w:t>Quercus aliena</w:t>
      </w:r>
      <w:r>
        <w:rPr>
          <w:rFonts w:ascii="Times New Roman" w:cs="Times New Roman"/>
        </w:rPr>
        <w:t>）和毛黄栌（</w:t>
      </w:r>
      <w:r>
        <w:rPr>
          <w:rFonts w:ascii="Times New Roman" w:cs="Times New Roman"/>
          <w:i/>
          <w:iCs/>
        </w:rPr>
        <w:t>Cotinus coggygria var.pubescens</w:t>
      </w:r>
      <w:r>
        <w:rPr>
          <w:rFonts w:ascii="Times New Roman" w:cs="Times New Roman"/>
        </w:rPr>
        <w:t>）分布量居多、盖度居大，该灌丛平均高度为</w:t>
      </w:r>
      <w:r>
        <w:rPr>
          <w:rFonts w:ascii="Times New Roman" w:cs="Times New Roman"/>
        </w:rPr>
        <w:t>2m-3m</w:t>
      </w:r>
      <w:r>
        <w:rPr>
          <w:rFonts w:ascii="Times New Roman" w:cs="Times New Roman"/>
        </w:rPr>
        <w:t>，灌丛下草本层生长稀疏，盖度通常低于</w:t>
      </w:r>
      <w:r>
        <w:rPr>
          <w:rFonts w:ascii="Times New Roman" w:cs="Times New Roman"/>
        </w:rPr>
        <w:t>10%</w:t>
      </w:r>
      <w:r>
        <w:rPr>
          <w:rFonts w:ascii="Times New Roman" w:cs="Times New Roman"/>
        </w:rPr>
        <w:t>，数量较多的草本植物有栗褐苔草（</w:t>
      </w:r>
      <w:r>
        <w:rPr>
          <w:rFonts w:ascii="Times New Roman" w:cs="Times New Roman"/>
          <w:i/>
          <w:iCs/>
        </w:rPr>
        <w:t>Carex brunnea Thunb.</w:t>
      </w:r>
      <w:r>
        <w:rPr>
          <w:rFonts w:ascii="Times New Roman" w:cs="Times New Roman"/>
        </w:rPr>
        <w:t>）、披针叶苔草（</w:t>
      </w:r>
      <w:r>
        <w:rPr>
          <w:rFonts w:ascii="Times New Roman" w:cs="Times New Roman"/>
          <w:i/>
          <w:iCs/>
        </w:rPr>
        <w:t>Carex lanceolata</w:t>
      </w:r>
      <w:r>
        <w:rPr>
          <w:rFonts w:ascii="Times New Roman" w:cs="Times New Roman"/>
          <w:i/>
          <w:iCs/>
        </w:rPr>
        <w:tab/>
        <w:t>Boott</w:t>
      </w:r>
      <w:r>
        <w:rPr>
          <w:rFonts w:ascii="Times New Roman" w:cs="Times New Roman"/>
        </w:rPr>
        <w:t>）、黄茅（</w:t>
      </w:r>
      <w:r>
        <w:rPr>
          <w:rFonts w:ascii="Times New Roman" w:cs="Times New Roman"/>
          <w:i/>
          <w:iCs/>
        </w:rPr>
        <w:t>Heteropogon</w:t>
      </w:r>
      <w:r>
        <w:rPr>
          <w:rFonts w:ascii="Times New Roman" w:cs="Times New Roman"/>
          <w:i/>
          <w:iCs/>
        </w:rPr>
        <w:tab/>
        <w:t>contortus</w:t>
      </w:r>
      <w:r>
        <w:rPr>
          <w:rFonts w:ascii="Times New Roman" w:cs="Times New Roman"/>
        </w:rPr>
        <w:t>）、画眉草（</w:t>
      </w:r>
      <w:r>
        <w:rPr>
          <w:rFonts w:ascii="Times New Roman" w:cs="Times New Roman"/>
          <w:i/>
          <w:iCs/>
        </w:rPr>
        <w:t>Eragrostis pilosa(L.)Beauv.</w:t>
      </w:r>
      <w:r>
        <w:rPr>
          <w:rFonts w:ascii="Times New Roman" w:cs="Times New Roman"/>
        </w:rPr>
        <w:t>）等。</w:t>
      </w:r>
    </w:p>
    <w:p w:rsidR="005556D5" w:rsidRDefault="005556D5" w:rsidP="005556D5">
      <w:pPr>
        <w:pStyle w:val="affff0"/>
        <w:spacing w:line="360" w:lineRule="auto"/>
        <w:ind w:leftChars="203" w:left="487" w:firstLineChars="0" w:firstLine="0"/>
        <w:rPr>
          <w:rFonts w:eastAsia="宋体"/>
          <w:sz w:val="24"/>
          <w:szCs w:val="24"/>
        </w:rPr>
      </w:pPr>
      <w:r>
        <w:rPr>
          <w:rFonts w:ascii="宋体" w:eastAsia="宋体" w:hAnsi="宋体" w:cs="宋体" w:hint="eastAsia"/>
          <w:sz w:val="24"/>
          <w:szCs w:val="24"/>
        </w:rPr>
        <w:t>②</w:t>
      </w:r>
      <w:r>
        <w:rPr>
          <w:rFonts w:eastAsia="宋体"/>
          <w:bCs/>
          <w:kern w:val="0"/>
          <w:sz w:val="24"/>
          <w:szCs w:val="24"/>
        </w:rPr>
        <w:t>火棘灌丛</w:t>
      </w:r>
      <w:r>
        <w:rPr>
          <w:rFonts w:eastAsia="宋体"/>
          <w:sz w:val="24"/>
          <w:szCs w:val="24"/>
        </w:rPr>
        <w:t>（</w:t>
      </w:r>
      <w:r>
        <w:rPr>
          <w:rFonts w:eastAsia="宋体"/>
          <w:sz w:val="24"/>
          <w:szCs w:val="24"/>
        </w:rPr>
        <w:t>Form.</w:t>
      </w:r>
      <w:r>
        <w:rPr>
          <w:rFonts w:eastAsia="宋体"/>
          <w:i/>
          <w:iCs/>
          <w:sz w:val="24"/>
          <w:szCs w:val="24"/>
        </w:rPr>
        <w:t>Pyracantha fortuneana</w:t>
      </w:r>
      <w:r>
        <w:rPr>
          <w:rFonts w:eastAsia="宋体"/>
          <w:sz w:val="24"/>
          <w:szCs w:val="24"/>
        </w:rPr>
        <w:t>）</w:t>
      </w:r>
    </w:p>
    <w:p w:rsidR="005556D5" w:rsidRDefault="005556D5" w:rsidP="005556D5">
      <w:pPr>
        <w:pStyle w:val="sun"/>
        <w:snapToGrid w:val="0"/>
        <w:ind w:firstLine="480"/>
      </w:pPr>
      <w:r>
        <w:rPr>
          <w:rFonts w:hint="eastAsia"/>
        </w:rPr>
        <w:t>此群落在评价区分布面积不大，但往往容易形成单一优势种的群落，群落高约</w:t>
      </w:r>
      <w:r>
        <w:rPr>
          <w:rFonts w:hint="eastAsia"/>
        </w:rPr>
        <w:t>2.8m</w:t>
      </w:r>
      <w:r>
        <w:rPr>
          <w:rFonts w:hint="eastAsia"/>
        </w:rPr>
        <w:t>，盖度</w:t>
      </w:r>
      <w:r>
        <w:rPr>
          <w:rFonts w:hint="eastAsia"/>
        </w:rPr>
        <w:t>85%</w:t>
      </w:r>
      <w:r>
        <w:rPr>
          <w:rFonts w:hint="eastAsia"/>
        </w:rPr>
        <w:t>左右。群落内物种多样性程度较低，群落可分灌木层和草本层两层。</w:t>
      </w:r>
    </w:p>
    <w:p w:rsidR="005556D5" w:rsidRDefault="005556D5" w:rsidP="005556D5">
      <w:pPr>
        <w:pStyle w:val="sun"/>
        <w:snapToGrid w:val="0"/>
        <w:ind w:firstLine="480"/>
        <w:rPr>
          <w:rFonts w:hAnsi="宋体"/>
          <w:szCs w:val="21"/>
        </w:rPr>
      </w:pPr>
      <w:r>
        <w:rPr>
          <w:rFonts w:hAnsi="宋体"/>
          <w:szCs w:val="21"/>
        </w:rPr>
        <w:t>群落的种类组成较为复杂，除火棘、小果蔷薇外，常见的种类还有金樱子、野蔷薇、粉枝莓、球核荚迷、烟管荚迷、鼠李、盐肤木、竹叶椒、岩椒、马桑、算盘子、川云实、南天竹等。在人为活动影响较为频繁，原生植被破坏严重的地段，如石山弃荒地、岩溶区土边路旁等处，则以多种悬钩子占优势，常见的种类有悬钩子、山莓、棠叶悬钩子、毛萼莓、高粱泡、乌泡子等等。局部地段也有由圆果化香、盐肤木、白栎等组成的萌生灌丛。草本层发育不良，高低参差不齐，局部地段较好，亦有的地区因岩石裸露而缺失。常见的种类有蕨、黑鳞耳蕨、贯众、镰狗脊、江南星蕨、庐山石韦、沿阶草、白茅、孔颖草、芒、野古草、扭黄</w:t>
      </w:r>
      <w:r>
        <w:rPr>
          <w:rFonts w:hAnsi="宋体"/>
          <w:szCs w:val="21"/>
        </w:rPr>
        <w:lastRenderedPageBreak/>
        <w:t>茅、地瓜藤等。由于多受人为活动的影响，故也有一些田间杂草混生，如：马唐、荩草、青蒿、马料草等。</w:t>
      </w:r>
    </w:p>
    <w:p w:rsidR="005556D5" w:rsidRDefault="005556D5" w:rsidP="005556D5">
      <w:pPr>
        <w:topLinePunct w:val="0"/>
        <w:adjustRightInd/>
        <w:ind w:firstLine="528"/>
        <w:rPr>
          <w:rFonts w:ascii="Times New Roman" w:cs="Times New Roman"/>
        </w:rPr>
      </w:pPr>
      <w:r>
        <w:rPr>
          <w:rFonts w:hAnsi="宋体" w:hint="eastAsia"/>
          <w:spacing w:val="12"/>
        </w:rPr>
        <w:t>④</w:t>
      </w:r>
      <w:r>
        <w:rPr>
          <w:rFonts w:ascii="Times New Roman" w:cs="Times New Roman"/>
        </w:rPr>
        <w:t>马桑、黄荆、火棘群系（</w:t>
      </w:r>
      <w:r>
        <w:rPr>
          <w:rFonts w:ascii="Times New Roman" w:cs="Times New Roman"/>
        </w:rPr>
        <w:t>Form.</w:t>
      </w:r>
      <w:r>
        <w:rPr>
          <w:rFonts w:ascii="Times New Roman" w:cs="Times New Roman"/>
          <w:i/>
          <w:iCs/>
        </w:rPr>
        <w:t>Coriaria nepalensis+Vitex negundo+Pyracantha fortuneana</w:t>
      </w:r>
      <w:r>
        <w:rPr>
          <w:rFonts w:ascii="Times New Roman" w:cs="Times New Roman"/>
        </w:rPr>
        <w:t>）</w:t>
      </w:r>
    </w:p>
    <w:p w:rsidR="005556D5" w:rsidRDefault="005556D5" w:rsidP="005556D5">
      <w:pPr>
        <w:topLinePunct w:val="0"/>
        <w:adjustRightInd/>
        <w:ind w:firstLine="480"/>
        <w:rPr>
          <w:rFonts w:ascii="Times New Roman" w:cs="Times New Roman"/>
        </w:rPr>
      </w:pPr>
      <w:r>
        <w:rPr>
          <w:rFonts w:ascii="Times New Roman" w:cs="Times New Roman"/>
        </w:rPr>
        <w:t>该群落多在林缘及砍伐迹地上出现，受人类活动干扰影响极大，群落结构不稳定，易向阔叶林演替。马桑、黄荆、火棘灌丛在评价区一些人类活动干扰较大的支沟内及居民点周围较为典型。</w:t>
      </w:r>
    </w:p>
    <w:p w:rsidR="005556D5" w:rsidRDefault="005556D5" w:rsidP="005556D5">
      <w:pPr>
        <w:topLinePunct w:val="0"/>
        <w:adjustRightInd/>
        <w:ind w:firstLine="480"/>
        <w:rPr>
          <w:rFonts w:ascii="Times New Roman" w:cs="Times New Roman"/>
        </w:rPr>
      </w:pPr>
      <w:r>
        <w:rPr>
          <w:rFonts w:ascii="Times New Roman" w:cs="Times New Roman"/>
        </w:rPr>
        <w:t>群落灌木层组成种类较为庞杂，总盖度达</w:t>
      </w:r>
      <w:r>
        <w:rPr>
          <w:rFonts w:ascii="Times New Roman" w:cs="Times New Roman"/>
        </w:rPr>
        <w:t>60%</w:t>
      </w:r>
      <w:r>
        <w:rPr>
          <w:rFonts w:ascii="Times New Roman" w:cs="Times New Roman"/>
        </w:rPr>
        <w:t>以上，以马桑、黄荆、火棘为优势种，平均高度</w:t>
      </w:r>
      <w:r>
        <w:rPr>
          <w:rFonts w:ascii="Times New Roman" w:cs="Times New Roman"/>
        </w:rPr>
        <w:t>2.5m</w:t>
      </w:r>
      <w:r>
        <w:rPr>
          <w:rFonts w:ascii="Times New Roman" w:cs="Times New Roman"/>
        </w:rPr>
        <w:t>。其他灌木种类有盐肤木、野桐（</w:t>
      </w:r>
      <w:r>
        <w:rPr>
          <w:rFonts w:ascii="Times New Roman" w:cs="Times New Roman"/>
          <w:i/>
          <w:iCs/>
        </w:rPr>
        <w:t>Mallotus japonicus var. floccosus</w:t>
      </w:r>
      <w:r>
        <w:rPr>
          <w:rFonts w:ascii="Times New Roman" w:cs="Times New Roman"/>
        </w:rPr>
        <w:t>）、川莓、山合欢、多种悬钩子、美丽胡枝子（</w:t>
      </w:r>
      <w:r>
        <w:rPr>
          <w:rFonts w:ascii="Times New Roman" w:cs="Times New Roman"/>
          <w:i/>
          <w:iCs/>
        </w:rPr>
        <w:t>Lespedeza formosa</w:t>
      </w:r>
      <w:r>
        <w:rPr>
          <w:rFonts w:ascii="Times New Roman" w:cs="Times New Roman"/>
        </w:rPr>
        <w:t>）、山胡椒（</w:t>
      </w:r>
      <w:r>
        <w:rPr>
          <w:rFonts w:ascii="Times New Roman" w:cs="Times New Roman"/>
          <w:i/>
          <w:iCs/>
        </w:rPr>
        <w:t>Lindera sp.</w:t>
      </w:r>
      <w:r>
        <w:rPr>
          <w:rFonts w:ascii="Times New Roman" w:cs="Times New Roman"/>
        </w:rPr>
        <w:t>）等多种灌木类型。</w:t>
      </w:r>
    </w:p>
    <w:p w:rsidR="005556D5" w:rsidRDefault="005556D5" w:rsidP="005556D5">
      <w:pPr>
        <w:topLinePunct w:val="0"/>
        <w:adjustRightInd/>
        <w:ind w:firstLine="480"/>
        <w:rPr>
          <w:rFonts w:ascii="Times New Roman" w:cs="Times New Roman"/>
        </w:rPr>
      </w:pPr>
      <w:r>
        <w:rPr>
          <w:rFonts w:ascii="Times New Roman" w:cs="Times New Roman"/>
        </w:rPr>
        <w:t>草本植物生长茂盛，分层明显。芒居于草本层第</w:t>
      </w:r>
      <w:r>
        <w:rPr>
          <w:rFonts w:ascii="Times New Roman" w:cs="Times New Roman" w:hint="eastAsia"/>
        </w:rPr>
        <w:t>Ⅰ</w:t>
      </w:r>
      <w:r>
        <w:rPr>
          <w:rFonts w:ascii="Times New Roman" w:cs="Times New Roman"/>
        </w:rPr>
        <w:t>亚层植物，高度约</w:t>
      </w:r>
      <w:r>
        <w:rPr>
          <w:rFonts w:ascii="Times New Roman" w:cs="Times New Roman"/>
        </w:rPr>
        <w:t>1.2m</w:t>
      </w:r>
      <w:r>
        <w:rPr>
          <w:rFonts w:ascii="Times New Roman" w:cs="Times New Roman"/>
        </w:rPr>
        <w:t>。狗哇花（</w:t>
      </w:r>
      <w:r>
        <w:rPr>
          <w:rFonts w:ascii="Times New Roman" w:cs="Times New Roman"/>
          <w:i/>
          <w:iCs/>
        </w:rPr>
        <w:t>Heteropappus hispidus</w:t>
      </w:r>
      <w:r>
        <w:rPr>
          <w:rFonts w:ascii="Times New Roman" w:cs="Times New Roman"/>
        </w:rPr>
        <w:t>）、千里光（</w:t>
      </w:r>
      <w:r>
        <w:rPr>
          <w:rFonts w:ascii="Times New Roman" w:cs="Times New Roman"/>
          <w:i/>
          <w:iCs/>
        </w:rPr>
        <w:t xml:space="preserve">Senecio scandens </w:t>
      </w:r>
      <w:r>
        <w:rPr>
          <w:rFonts w:ascii="Times New Roman" w:cs="Times New Roman"/>
        </w:rPr>
        <w:t>Buch.-Ham. ex D.Don</w:t>
      </w:r>
      <w:r>
        <w:rPr>
          <w:rFonts w:ascii="Times New Roman" w:cs="Times New Roman"/>
        </w:rPr>
        <w:t>）、糙苏（</w:t>
      </w:r>
      <w:r>
        <w:rPr>
          <w:rFonts w:ascii="Times New Roman" w:cs="Times New Roman"/>
          <w:i/>
          <w:iCs/>
        </w:rPr>
        <w:t>Phlomis umbros</w:t>
      </w:r>
      <w:r>
        <w:rPr>
          <w:rFonts w:ascii="Times New Roman" w:cs="Times New Roman"/>
        </w:rPr>
        <w:t>a</w:t>
      </w:r>
      <w:r>
        <w:rPr>
          <w:rFonts w:ascii="Times New Roman" w:cs="Times New Roman"/>
        </w:rPr>
        <w:t>）、白茅（</w:t>
      </w:r>
      <w:r>
        <w:rPr>
          <w:rFonts w:ascii="Times New Roman" w:cs="Times New Roman"/>
          <w:i/>
          <w:iCs/>
        </w:rPr>
        <w:t>Imperata cylindrica (Linn.)Beauv.</w:t>
      </w:r>
      <w:r>
        <w:rPr>
          <w:rFonts w:ascii="Times New Roman" w:cs="Times New Roman"/>
        </w:rPr>
        <w:t>）等居于第</w:t>
      </w:r>
      <w:r>
        <w:rPr>
          <w:rFonts w:hAnsi="宋体" w:hint="eastAsia"/>
        </w:rPr>
        <w:t>Ⅱ</w:t>
      </w:r>
      <w:r>
        <w:rPr>
          <w:rFonts w:ascii="Times New Roman" w:cs="Times New Roman"/>
        </w:rPr>
        <w:t>亚层，高度</w:t>
      </w:r>
      <w:r>
        <w:rPr>
          <w:rFonts w:ascii="Times New Roman" w:cs="Times New Roman"/>
        </w:rPr>
        <w:t>30~60cm</w:t>
      </w:r>
      <w:r>
        <w:rPr>
          <w:rFonts w:ascii="Times New Roman" w:cs="Times New Roman"/>
        </w:rPr>
        <w:t>，车前（</w:t>
      </w:r>
      <w:r>
        <w:rPr>
          <w:rFonts w:ascii="Times New Roman" w:cs="Times New Roman"/>
          <w:i/>
          <w:iCs/>
        </w:rPr>
        <w:t xml:space="preserve">Plantago asiatica </w:t>
      </w:r>
      <w:r>
        <w:rPr>
          <w:rFonts w:ascii="Times New Roman" w:cs="Times New Roman"/>
        </w:rPr>
        <w:t>L.</w:t>
      </w:r>
      <w:r>
        <w:rPr>
          <w:rFonts w:ascii="Times New Roman" w:cs="Times New Roman"/>
        </w:rPr>
        <w:t>）、聚花过路黄（</w:t>
      </w:r>
      <w:r>
        <w:rPr>
          <w:rFonts w:ascii="Times New Roman" w:cs="Times New Roman"/>
          <w:i/>
          <w:iCs/>
        </w:rPr>
        <w:t>Lysimachia congestiflora Hemsl.</w:t>
      </w:r>
      <w:r>
        <w:rPr>
          <w:rFonts w:ascii="Times New Roman" w:cs="Times New Roman"/>
        </w:rPr>
        <w:t>）、蕺菜（</w:t>
      </w:r>
      <w:r>
        <w:rPr>
          <w:rFonts w:ascii="Times New Roman" w:cs="Times New Roman"/>
          <w:i/>
          <w:iCs/>
        </w:rPr>
        <w:t xml:space="preserve">Houttuynia cordata </w:t>
      </w:r>
      <w:r>
        <w:rPr>
          <w:rFonts w:ascii="Times New Roman" w:cs="Times New Roman"/>
        </w:rPr>
        <w:t>Thunb</w:t>
      </w:r>
      <w:r>
        <w:rPr>
          <w:rFonts w:ascii="Times New Roman" w:cs="Times New Roman"/>
        </w:rPr>
        <w:t>）、草莓（</w:t>
      </w:r>
      <w:r>
        <w:rPr>
          <w:rFonts w:ascii="Times New Roman" w:cs="Times New Roman"/>
          <w:i/>
          <w:iCs/>
        </w:rPr>
        <w:t xml:space="preserve">Fragaria ananassa </w:t>
      </w:r>
      <w:r>
        <w:rPr>
          <w:rFonts w:ascii="Times New Roman" w:cs="Times New Roman"/>
        </w:rPr>
        <w:t>Duch.</w:t>
      </w:r>
      <w:r>
        <w:rPr>
          <w:rFonts w:ascii="Times New Roman" w:cs="Times New Roman"/>
        </w:rPr>
        <w:t>）、葎草（</w:t>
      </w:r>
      <w:r>
        <w:rPr>
          <w:rFonts w:ascii="Times New Roman" w:cs="Times New Roman"/>
          <w:i/>
          <w:iCs/>
        </w:rPr>
        <w:t>Humulus scandens</w:t>
      </w:r>
      <w:r>
        <w:rPr>
          <w:rFonts w:ascii="Times New Roman" w:cs="Times New Roman"/>
        </w:rPr>
        <w:t>）等居于第</w:t>
      </w:r>
      <w:r>
        <w:rPr>
          <w:rFonts w:hAnsi="宋体" w:hint="eastAsia"/>
        </w:rPr>
        <w:t>Ⅲ</w:t>
      </w:r>
      <w:r>
        <w:rPr>
          <w:rFonts w:ascii="Times New Roman" w:cs="Times New Roman"/>
        </w:rPr>
        <w:t>亚层，高度在</w:t>
      </w:r>
      <w:r>
        <w:rPr>
          <w:rFonts w:ascii="Times New Roman" w:cs="Times New Roman"/>
        </w:rPr>
        <w:t>20cm</w:t>
      </w:r>
      <w:r>
        <w:rPr>
          <w:rFonts w:ascii="Times New Roman" w:cs="Times New Roman"/>
        </w:rPr>
        <w:t>以下。另外还有多种蕨类植物如毛蕨（</w:t>
      </w:r>
      <w:r>
        <w:rPr>
          <w:rFonts w:ascii="Times New Roman" w:cs="Times New Roman"/>
          <w:i/>
          <w:iCs/>
        </w:rPr>
        <w:t xml:space="preserve">Cyclosorus interruptus </w:t>
      </w:r>
      <w:r>
        <w:rPr>
          <w:rFonts w:ascii="Times New Roman" w:cs="Times New Roman"/>
        </w:rPr>
        <w:t>(Willd.) H. Ito</w:t>
      </w:r>
      <w:r>
        <w:rPr>
          <w:rFonts w:ascii="Times New Roman" w:cs="Times New Roman"/>
        </w:rPr>
        <w:t>）、铁角蕨（</w:t>
      </w:r>
      <w:r>
        <w:rPr>
          <w:rFonts w:ascii="Times New Roman" w:cs="Times New Roman"/>
          <w:i/>
          <w:iCs/>
        </w:rPr>
        <w:t>Asplenium trichomanes</w:t>
      </w:r>
      <w:r>
        <w:rPr>
          <w:rFonts w:ascii="Times New Roman" w:cs="Times New Roman"/>
        </w:rPr>
        <w:t>）在草本层生长。</w:t>
      </w:r>
    </w:p>
    <w:p w:rsidR="005556D5" w:rsidRDefault="005556D5" w:rsidP="00F96E37">
      <w:pPr>
        <w:topLinePunct w:val="0"/>
        <w:adjustRightInd/>
        <w:spacing w:beforeLines="50"/>
        <w:ind w:firstLine="482"/>
        <w:rPr>
          <w:rFonts w:ascii="Times New Roman" w:cs="Times New Roman"/>
          <w:b/>
        </w:rPr>
      </w:pPr>
      <w:r>
        <w:rPr>
          <w:rFonts w:hAnsi="宋体" w:hint="eastAsia"/>
          <w:b/>
        </w:rPr>
        <w:t>Ⅲ</w:t>
      </w:r>
      <w:r>
        <w:rPr>
          <w:rFonts w:ascii="Times New Roman" w:cs="Times New Roman"/>
          <w:b/>
        </w:rPr>
        <w:t>草丛植被</w:t>
      </w:r>
    </w:p>
    <w:p w:rsidR="005556D5" w:rsidRDefault="005556D5" w:rsidP="005556D5">
      <w:pPr>
        <w:topLinePunct w:val="0"/>
        <w:snapToGrid w:val="0"/>
        <w:ind w:firstLine="544"/>
        <w:rPr>
          <w:rFonts w:ascii="Times New Roman" w:cs="Times New Roman"/>
        </w:rPr>
      </w:pPr>
      <w:r>
        <w:rPr>
          <w:rFonts w:hAnsi="宋体" w:hint="eastAsia"/>
          <w:spacing w:val="16"/>
        </w:rPr>
        <w:t>①</w:t>
      </w:r>
      <w:r>
        <w:rPr>
          <w:rFonts w:ascii="Times New Roman" w:cs="Times New Roman"/>
        </w:rPr>
        <w:t>白茅、五节芒、斑茅群系（</w:t>
      </w:r>
      <w:r>
        <w:rPr>
          <w:rFonts w:ascii="Times New Roman" w:cs="Times New Roman"/>
        </w:rPr>
        <w:t>Form.</w:t>
      </w:r>
      <w:r>
        <w:rPr>
          <w:rFonts w:ascii="Times New Roman" w:cs="Times New Roman"/>
          <w:i/>
          <w:iCs/>
          <w:spacing w:val="-4"/>
        </w:rPr>
        <w:t>Imperata</w:t>
      </w:r>
      <w:r>
        <w:rPr>
          <w:rFonts w:ascii="Times New Roman" w:cs="Times New Roman" w:hint="eastAsia"/>
          <w:i/>
          <w:iCs/>
          <w:spacing w:val="-4"/>
        </w:rPr>
        <w:t xml:space="preserve"> </w:t>
      </w:r>
      <w:r>
        <w:rPr>
          <w:rFonts w:ascii="Times New Roman" w:cs="Times New Roman"/>
          <w:i/>
          <w:iCs/>
          <w:spacing w:val="-4"/>
        </w:rPr>
        <w:t>cylindrica.+ Miscanthus floridulus+Arundinella anomala</w:t>
      </w:r>
      <w:r>
        <w:rPr>
          <w:rFonts w:ascii="Times New Roman" w:cs="Times New Roman"/>
        </w:rPr>
        <w:t>）</w:t>
      </w:r>
    </w:p>
    <w:p w:rsidR="005556D5" w:rsidRDefault="005556D5" w:rsidP="005556D5">
      <w:pPr>
        <w:topLinePunct w:val="0"/>
        <w:ind w:firstLine="480"/>
        <w:rPr>
          <w:rFonts w:ascii="Times New Roman" w:cs="Times New Roman"/>
        </w:rPr>
      </w:pPr>
      <w:r>
        <w:rPr>
          <w:rFonts w:ascii="Times New Roman" w:cs="Times New Roman"/>
        </w:rPr>
        <w:t>白茅占优势所组成的灌草丛，在我国分布范围较广，主要在热带和亚热带，向北可以分布到华北地区，这是一类最常见的阳性禾草，常布满于撂荒地及火烧后的林地。</w:t>
      </w:r>
    </w:p>
    <w:p w:rsidR="005556D5" w:rsidRDefault="005556D5" w:rsidP="005556D5">
      <w:pPr>
        <w:topLinePunct w:val="0"/>
        <w:ind w:firstLine="480"/>
        <w:rPr>
          <w:rFonts w:ascii="Times New Roman" w:cs="Times New Roman"/>
        </w:rPr>
      </w:pPr>
      <w:r>
        <w:rPr>
          <w:rFonts w:ascii="Times New Roman" w:cs="Times New Roman"/>
        </w:rPr>
        <w:t>白茅灌草丛可出现在河谷、盆地、河漫滩上的阶地、山地、丘陵及海滩地带。在四川各地分布十分广泛。由于白茅的生活力很强，因而可以在不同的生境条件下出现。白茅对土壤的酸碱度要求亦不大严格，因此在石灰岩为基岩发育的石灰土或砂页岩等发育的酸性土上都有分布。在撂荒地上，首先遇到的就是白茅草丛，</w:t>
      </w:r>
      <w:r>
        <w:rPr>
          <w:rFonts w:ascii="Times New Roman" w:cs="Times New Roman"/>
        </w:rPr>
        <w:lastRenderedPageBreak/>
        <w:t>在一些地段上，白茅生长密集，地下茎很发达，相互交织成网，其他植物很难侵入，可以形成几乎是纯白茅的草丛。</w:t>
      </w:r>
    </w:p>
    <w:p w:rsidR="005556D5" w:rsidRDefault="005556D5" w:rsidP="005556D5">
      <w:pPr>
        <w:topLinePunct w:val="0"/>
        <w:ind w:firstLine="480"/>
        <w:rPr>
          <w:rFonts w:ascii="Times New Roman" w:cs="Times New Roman"/>
        </w:rPr>
      </w:pPr>
      <w:r>
        <w:rPr>
          <w:rFonts w:ascii="Times New Roman" w:cs="Times New Roman"/>
        </w:rPr>
        <w:t>评价范围及周边白茅草本层的高度为</w:t>
      </w:r>
      <w:r>
        <w:rPr>
          <w:rFonts w:ascii="Times New Roman" w:cs="Times New Roman"/>
        </w:rPr>
        <w:t>60—80</w:t>
      </w:r>
      <w:r>
        <w:rPr>
          <w:rFonts w:ascii="Times New Roman" w:cs="Times New Roman"/>
        </w:rPr>
        <w:t>厘米，层覆盖度在</w:t>
      </w:r>
      <w:r>
        <w:rPr>
          <w:rFonts w:ascii="Times New Roman" w:cs="Times New Roman"/>
        </w:rPr>
        <w:t>70—90%</w:t>
      </w:r>
      <w:r>
        <w:rPr>
          <w:rFonts w:ascii="Times New Roman" w:cs="Times New Roman"/>
        </w:rPr>
        <w:t>之间。其伴生植物有五节芒、斑茅、婆婆针、飞蓬、蛇莓、夏枯草、蛇含委陵草、鸡眼草</w:t>
      </w:r>
      <w:r>
        <w:rPr>
          <w:rFonts w:ascii="Times New Roman" w:cs="Times New Roman" w:hint="eastAsia"/>
        </w:rPr>
        <w:t>、</w:t>
      </w:r>
      <w:r>
        <w:rPr>
          <w:rFonts w:ascii="Times New Roman" w:cs="Times New Roman"/>
        </w:rPr>
        <w:t>芒、黄背草、铁扫帚、歪头菜、贯叶连翘等，在群落中散生有少数灌木，如美丽胡枝子、山豆花、肖梵天花及麻栎、白栎幼树等。</w:t>
      </w:r>
    </w:p>
    <w:p w:rsidR="005556D5" w:rsidRDefault="005556D5" w:rsidP="005556D5">
      <w:pPr>
        <w:topLinePunct w:val="0"/>
        <w:ind w:firstLine="480"/>
        <w:rPr>
          <w:rFonts w:ascii="Times New Roman" w:cs="Times New Roman"/>
        </w:rPr>
      </w:pPr>
      <w:r>
        <w:rPr>
          <w:rFonts w:hAnsi="宋体" w:hint="eastAsia"/>
        </w:rPr>
        <w:t>②</w:t>
      </w:r>
      <w:r>
        <w:rPr>
          <w:rFonts w:ascii="Times New Roman" w:cs="Times New Roman"/>
        </w:rPr>
        <w:t>芒、蕨、芒萁群系（</w:t>
      </w:r>
      <w:r>
        <w:rPr>
          <w:rFonts w:ascii="Times New Roman" w:cs="Times New Roman"/>
        </w:rPr>
        <w:t>Form.</w:t>
      </w:r>
      <w:r>
        <w:rPr>
          <w:rFonts w:ascii="Times New Roman" w:cs="Times New Roman"/>
          <w:i/>
          <w:szCs w:val="21"/>
        </w:rPr>
        <w:t>Miscanthus sinensis</w:t>
      </w:r>
      <w:r>
        <w:rPr>
          <w:rFonts w:ascii="Times New Roman" w:cs="Times New Roman"/>
          <w:i/>
          <w:iCs/>
        </w:rPr>
        <w:t>+</w:t>
      </w:r>
      <w:r>
        <w:rPr>
          <w:rFonts w:ascii="Times New Roman" w:cs="Times New Roman"/>
          <w:i/>
          <w:iCs/>
          <w:szCs w:val="21"/>
        </w:rPr>
        <w:t>P.Aquilinum</w:t>
      </w:r>
      <w:r>
        <w:rPr>
          <w:rFonts w:ascii="Times New Roman" w:cs="Times New Roman"/>
          <w:i/>
          <w:iCs/>
        </w:rPr>
        <w:t>+</w:t>
      </w:r>
      <w:r>
        <w:rPr>
          <w:rFonts w:ascii="Times New Roman" w:cs="Times New Roman"/>
          <w:i/>
          <w:iCs/>
          <w:szCs w:val="21"/>
        </w:rPr>
        <w:t>Dicranopteris dichotoma(Thunb.)Bernh.</w:t>
      </w:r>
      <w:r>
        <w:rPr>
          <w:rFonts w:ascii="Times New Roman" w:cs="Times New Roman"/>
        </w:rPr>
        <w:t>）</w:t>
      </w:r>
    </w:p>
    <w:p w:rsidR="005556D5" w:rsidRDefault="005556D5" w:rsidP="005556D5">
      <w:pPr>
        <w:topLinePunct w:val="0"/>
        <w:ind w:firstLine="480"/>
        <w:rPr>
          <w:rFonts w:ascii="Times New Roman" w:cs="Times New Roman"/>
        </w:rPr>
      </w:pPr>
      <w:r>
        <w:rPr>
          <w:rFonts w:ascii="Times New Roman" w:cs="Times New Roman"/>
        </w:rPr>
        <w:t>本灌草丛在评价区内分布广泛，在大部分酸性土地区均有分布，本群落为植被受到严重破坏，乔木、灌木很难恢复的情况下形成的一类灌草丛，尤其是在强度火烧山后出现。群落的特征主要由蕨类和禾本草为主的草本植物组成，灌木稀少。常见的草本植物有芒、蕨、铁芒萁、牛尾蒿、狗脊、荩草、石松等种类，禾本草主要有四脉金茅、野古草、白茅、雀稗、芒、荻等。其他草本植物有珍珠菜，毛果一枝黄花、三脉紫菀、鸡眼草及野棉花等。</w:t>
      </w:r>
    </w:p>
    <w:p w:rsidR="005556D5" w:rsidRDefault="005556D5" w:rsidP="00F96E37">
      <w:pPr>
        <w:topLinePunct w:val="0"/>
        <w:adjustRightInd/>
        <w:spacing w:beforeLines="50"/>
        <w:ind w:firstLine="482"/>
        <w:rPr>
          <w:rFonts w:ascii="Times New Roman" w:cs="Times New Roman"/>
          <w:b/>
        </w:rPr>
      </w:pPr>
      <w:r>
        <w:rPr>
          <w:rFonts w:hAnsi="宋体" w:hint="eastAsia"/>
          <w:b/>
        </w:rPr>
        <w:t>Ⅳ</w:t>
      </w:r>
      <w:r>
        <w:rPr>
          <w:rFonts w:ascii="Times New Roman" w:cs="Times New Roman"/>
          <w:b/>
        </w:rPr>
        <w:t>栽培植被</w:t>
      </w:r>
    </w:p>
    <w:p w:rsidR="005556D5" w:rsidRDefault="005556D5" w:rsidP="005556D5">
      <w:pPr>
        <w:topLinePunct w:val="0"/>
        <w:adjustRightInd/>
        <w:ind w:firstLine="480"/>
        <w:rPr>
          <w:rFonts w:ascii="Times New Roman" w:cs="Times New Roman"/>
        </w:rPr>
      </w:pPr>
      <w:r>
        <w:rPr>
          <w:rFonts w:ascii="Times New Roman" w:cs="Times New Roman"/>
        </w:rPr>
        <w:t>栽培植被指人类在自然环境中，根据人类生产、生活的需要，通过人为的经营、管理措施而培育形成的植被类型。在评价区域，栽培植被主要为以农业技术措施为主培育形成的农田植被以及具有一定经济效益的经济林木。现分别就各类栽培植被分析如下：</w:t>
      </w:r>
    </w:p>
    <w:p w:rsidR="005556D5" w:rsidRDefault="005556D5" w:rsidP="005556D5">
      <w:pPr>
        <w:topLinePunct w:val="0"/>
        <w:adjustRightInd/>
        <w:ind w:firstLine="480"/>
        <w:rPr>
          <w:rFonts w:ascii="Times New Roman" w:cs="Times New Roman"/>
        </w:rPr>
      </w:pPr>
      <w:r>
        <w:rPr>
          <w:rFonts w:ascii="Times New Roman" w:cs="Times New Roman" w:hint="eastAsia"/>
        </w:rPr>
        <w:t>（</w:t>
      </w:r>
      <w:r>
        <w:rPr>
          <w:rFonts w:ascii="Times New Roman" w:cs="Times New Roman" w:hint="eastAsia"/>
        </w:rPr>
        <w:t>1</w:t>
      </w:r>
      <w:r>
        <w:rPr>
          <w:rFonts w:ascii="Times New Roman" w:cs="Times New Roman" w:hint="eastAsia"/>
        </w:rPr>
        <w:t>）</w:t>
      </w:r>
      <w:r>
        <w:rPr>
          <w:rFonts w:ascii="Times New Roman" w:cs="Times New Roman"/>
        </w:rPr>
        <w:t>农田植被</w:t>
      </w:r>
    </w:p>
    <w:p w:rsidR="005556D5" w:rsidRDefault="005556D5" w:rsidP="005556D5">
      <w:pPr>
        <w:topLinePunct w:val="0"/>
        <w:adjustRightInd/>
        <w:ind w:firstLine="480"/>
        <w:rPr>
          <w:rFonts w:ascii="Times New Roman" w:cs="Times New Roman"/>
          <w:lang w:val="de-DE"/>
        </w:rPr>
      </w:pPr>
      <w:r>
        <w:rPr>
          <w:rFonts w:hAnsi="宋体" w:hint="eastAsia"/>
          <w:lang w:val="de-DE"/>
        </w:rPr>
        <w:t>①</w:t>
      </w:r>
      <w:r>
        <w:rPr>
          <w:rFonts w:ascii="Times New Roman" w:cs="Times New Roman"/>
          <w:lang w:val="de-DE"/>
        </w:rPr>
        <w:t>一年两熟水稻作物</w:t>
      </w:r>
    </w:p>
    <w:p w:rsidR="005556D5" w:rsidRDefault="005556D5" w:rsidP="005556D5">
      <w:pPr>
        <w:topLinePunct w:val="0"/>
        <w:adjustRightInd/>
        <w:ind w:firstLine="480"/>
        <w:rPr>
          <w:rFonts w:ascii="Times New Roman" w:cs="Times New Roman"/>
        </w:rPr>
      </w:pPr>
      <w:r>
        <w:rPr>
          <w:rFonts w:ascii="Times New Roman" w:cs="Times New Roman"/>
        </w:rPr>
        <w:t>属于草本类型大田农作物型水田作物亚型，此类型对水利灌溉要求较高，主要分布在丘谷、河流两旁等地区。在水利条件好的地区水稻收割后可种植一季油菜、豆类等，而在部分地区，由于灌溉达不到要求只种植一季水稻。</w:t>
      </w:r>
    </w:p>
    <w:p w:rsidR="005556D5" w:rsidRDefault="005556D5" w:rsidP="005556D5">
      <w:pPr>
        <w:topLinePunct w:val="0"/>
        <w:adjustRightInd/>
        <w:ind w:firstLine="480"/>
        <w:rPr>
          <w:rFonts w:ascii="Times New Roman" w:cs="Times New Roman"/>
          <w:lang w:val="de-DE"/>
        </w:rPr>
      </w:pPr>
      <w:r>
        <w:rPr>
          <w:rFonts w:hAnsi="宋体" w:hint="eastAsia"/>
          <w:lang w:val="de-DE"/>
        </w:rPr>
        <w:t>②</w:t>
      </w:r>
      <w:r>
        <w:rPr>
          <w:rFonts w:ascii="Times New Roman" w:cs="Times New Roman"/>
          <w:lang w:val="de-DE"/>
        </w:rPr>
        <w:t>一年</w:t>
      </w:r>
      <w:r>
        <w:rPr>
          <w:rFonts w:ascii="Times New Roman" w:cs="Times New Roman"/>
        </w:rPr>
        <w:t>两</w:t>
      </w:r>
      <w:r>
        <w:rPr>
          <w:rFonts w:ascii="Times New Roman" w:cs="Times New Roman"/>
          <w:lang w:val="de-DE"/>
        </w:rPr>
        <w:t>作为主的蔬菜组合</w:t>
      </w:r>
    </w:p>
    <w:p w:rsidR="005556D5" w:rsidRDefault="005556D5" w:rsidP="005556D5">
      <w:pPr>
        <w:topLinePunct w:val="0"/>
        <w:adjustRightInd/>
        <w:ind w:firstLine="480"/>
        <w:rPr>
          <w:rFonts w:ascii="Times New Roman" w:cs="Times New Roman"/>
        </w:rPr>
      </w:pPr>
      <w:r>
        <w:rPr>
          <w:rFonts w:ascii="Times New Roman" w:cs="Times New Roman"/>
        </w:rPr>
        <w:t>属于草本类型蔬菜作物型旱地作物亚型，本组合型广泛分布于亚热带范围内，对灌溉要求不是很严格，本地组成蔬菜作物的建群种，有白菜、卷心菜、花椰菜、芥菜、等白菜类，大头菜、萝卜、胡萝卜、洋葱、蒜、姜等根茎类、鳞茎类蔬菜，韭菜、葱、蒜、苋菜、芹菜、菠菜、莴笋等绿叶蔬菜，马铃薯、芋头等薯类，茄</w:t>
      </w:r>
      <w:r>
        <w:rPr>
          <w:rFonts w:ascii="Times New Roman" w:cs="Times New Roman"/>
        </w:rPr>
        <w:lastRenderedPageBreak/>
        <w:t>子、辣椒等茄果类，黄瓜、菜瓜、冬瓜、南瓜、葫芦、苦瓜、丝瓜等瓜类，豇豆、豌豆、蚕豆、大豆、菜豆等豆类，以及花生、油菜等油料作物。</w:t>
      </w:r>
    </w:p>
    <w:p w:rsidR="005556D5" w:rsidRDefault="005556D5" w:rsidP="005556D5">
      <w:pPr>
        <w:topLinePunct w:val="0"/>
        <w:adjustRightInd/>
        <w:ind w:firstLine="480"/>
        <w:rPr>
          <w:rFonts w:ascii="Times New Roman" w:cs="Times New Roman"/>
          <w:lang w:val="de-DE"/>
        </w:rPr>
      </w:pPr>
      <w:r>
        <w:rPr>
          <w:rFonts w:hAnsi="宋体" w:hint="eastAsia"/>
          <w:lang w:val="de-DE"/>
        </w:rPr>
        <w:t>③</w:t>
      </w:r>
      <w:r>
        <w:rPr>
          <w:rFonts w:ascii="Times New Roman" w:cs="Times New Roman"/>
          <w:lang w:val="de-DE"/>
        </w:rPr>
        <w:t>以</w:t>
      </w:r>
      <w:r>
        <w:rPr>
          <w:rFonts w:ascii="Times New Roman" w:cs="Times New Roman" w:hint="eastAsia"/>
          <w:spacing w:val="2"/>
        </w:rPr>
        <w:t>玉米、红苕、棉花、花生、小麦、马铃薯、豌豆</w:t>
      </w:r>
      <w:r>
        <w:rPr>
          <w:rFonts w:ascii="Times New Roman" w:cs="Times New Roman"/>
          <w:lang w:val="de-DE"/>
        </w:rPr>
        <w:t>为主的作物组合</w:t>
      </w:r>
    </w:p>
    <w:p w:rsidR="005556D5" w:rsidRDefault="005556D5" w:rsidP="005556D5">
      <w:pPr>
        <w:topLinePunct w:val="0"/>
        <w:adjustRightInd/>
        <w:ind w:firstLine="480"/>
        <w:rPr>
          <w:rFonts w:ascii="Times New Roman" w:cs="Times New Roman"/>
        </w:rPr>
      </w:pPr>
      <w:r>
        <w:rPr>
          <w:rFonts w:ascii="Times New Roman" w:cs="Times New Roman"/>
        </w:rPr>
        <w:t>属于草本类型大田农作物型旱地作物亚型，广泛分布于四川盆地边缘的丘陵地区。</w:t>
      </w:r>
      <w:r>
        <w:rPr>
          <w:rFonts w:ascii="Times New Roman" w:cs="Times New Roman"/>
          <w:spacing w:val="2"/>
        </w:rPr>
        <w:t>小春作物以小麦、豌豆为主，深丘上</w:t>
      </w:r>
      <w:r>
        <w:rPr>
          <w:rFonts w:ascii="Times New Roman" w:cs="Times New Roman"/>
          <w:spacing w:val="-2"/>
        </w:rPr>
        <w:t>部种有马铃薯，多为一年两熟类型</w:t>
      </w:r>
      <w:r>
        <w:rPr>
          <w:rFonts w:ascii="Times New Roman" w:cs="Times New Roman" w:hint="eastAsia"/>
          <w:spacing w:val="-2"/>
        </w:rPr>
        <w:t>，</w:t>
      </w:r>
      <w:r>
        <w:rPr>
          <w:rFonts w:ascii="Times New Roman" w:cs="Times New Roman"/>
        </w:rPr>
        <w:t>调查区域内局部灌溉条件较差的地方实行这种作物组合。</w:t>
      </w:r>
    </w:p>
    <w:p w:rsidR="005556D5" w:rsidRDefault="005556D5" w:rsidP="005556D5">
      <w:pPr>
        <w:topLinePunct w:val="0"/>
        <w:adjustRightInd/>
        <w:ind w:firstLine="480"/>
        <w:rPr>
          <w:rFonts w:ascii="Times New Roman" w:cs="Times New Roman"/>
        </w:rPr>
      </w:pPr>
      <w:r>
        <w:rPr>
          <w:rFonts w:ascii="Times New Roman" w:cs="Times New Roman" w:hint="eastAsia"/>
        </w:rPr>
        <w:t>（</w:t>
      </w:r>
      <w:r>
        <w:rPr>
          <w:rFonts w:ascii="Times New Roman" w:cs="Times New Roman" w:hint="eastAsia"/>
        </w:rPr>
        <w:t>2</w:t>
      </w:r>
      <w:r>
        <w:rPr>
          <w:rFonts w:ascii="Times New Roman" w:cs="Times New Roman" w:hint="eastAsia"/>
        </w:rPr>
        <w:t>）</w:t>
      </w:r>
      <w:r>
        <w:rPr>
          <w:rFonts w:ascii="Times New Roman" w:cs="Times New Roman"/>
        </w:rPr>
        <w:t>经济林木</w:t>
      </w:r>
    </w:p>
    <w:p w:rsidR="005556D5" w:rsidRDefault="005556D5" w:rsidP="005556D5">
      <w:pPr>
        <w:topLinePunct w:val="0"/>
        <w:adjustRightInd/>
        <w:ind w:firstLine="480"/>
        <w:rPr>
          <w:rFonts w:ascii="Times New Roman" w:cs="Times New Roman"/>
        </w:rPr>
      </w:pPr>
      <w:r>
        <w:rPr>
          <w:rFonts w:ascii="Times New Roman" w:cs="Times New Roman"/>
        </w:rPr>
        <w:t>常见种植的种类有苹果</w:t>
      </w:r>
      <w:r>
        <w:rPr>
          <w:rFonts w:ascii="Times New Roman" w:cs="Times New Roman"/>
        </w:rPr>
        <w:t>(</w:t>
      </w:r>
      <w:r>
        <w:rPr>
          <w:rFonts w:ascii="Times New Roman" w:cs="Times New Roman"/>
          <w:i/>
        </w:rPr>
        <w:t>Malus pumila</w:t>
      </w:r>
      <w:r>
        <w:rPr>
          <w:rFonts w:ascii="Times New Roman" w:cs="Times New Roman"/>
        </w:rPr>
        <w:t>)</w:t>
      </w:r>
      <w:r>
        <w:rPr>
          <w:rFonts w:ascii="Times New Roman" w:cs="Times New Roman"/>
        </w:rPr>
        <w:t>、</w:t>
      </w:r>
      <w:r>
        <w:rPr>
          <w:rFonts w:ascii="Times New Roman" w:cs="Times New Roman"/>
          <w:spacing w:val="5"/>
        </w:rPr>
        <w:t>川梨</w:t>
      </w:r>
      <w:r>
        <w:rPr>
          <w:rFonts w:ascii="Times New Roman" w:cs="Times New Roman"/>
          <w:spacing w:val="5"/>
        </w:rPr>
        <w:t>(</w:t>
      </w:r>
      <w:r>
        <w:rPr>
          <w:rFonts w:ascii="Times New Roman" w:eastAsia="Times New Roman" w:cs="Times New Roman"/>
          <w:i/>
          <w:iCs/>
        </w:rPr>
        <w:t>Pyrus</w:t>
      </w:r>
      <w:r>
        <w:rPr>
          <w:rFonts w:ascii="Times New Roman" w:eastAsia="Times New Roman" w:cs="Times New Roman"/>
          <w:spacing w:val="5"/>
        </w:rPr>
        <w:t xml:space="preserve"> </w:t>
      </w:r>
      <w:r>
        <w:rPr>
          <w:rFonts w:ascii="Times New Roman" w:eastAsia="Times New Roman" w:cs="Times New Roman"/>
          <w:i/>
          <w:iCs/>
        </w:rPr>
        <w:t>pashia</w:t>
      </w:r>
      <w:r>
        <w:rPr>
          <w:rFonts w:ascii="Times New Roman" w:cs="Times New Roman"/>
          <w:spacing w:val="5"/>
        </w:rPr>
        <w:t>)</w:t>
      </w:r>
      <w:r>
        <w:rPr>
          <w:rFonts w:ascii="Times New Roman" w:cs="Times New Roman"/>
          <w:spacing w:val="5"/>
        </w:rPr>
        <w:t>、枇杷</w:t>
      </w:r>
      <w:r>
        <w:rPr>
          <w:rFonts w:ascii="Times New Roman" w:cs="Times New Roman"/>
          <w:spacing w:val="5"/>
        </w:rPr>
        <w:t>(</w:t>
      </w:r>
      <w:r>
        <w:rPr>
          <w:rFonts w:ascii="Times New Roman" w:eastAsia="Times New Roman" w:cs="Times New Roman"/>
          <w:i/>
          <w:iCs/>
        </w:rPr>
        <w:t>Eriobotryajaponica</w:t>
      </w:r>
      <w:r>
        <w:rPr>
          <w:rFonts w:ascii="Times New Roman" w:cs="Times New Roman"/>
          <w:spacing w:val="5"/>
        </w:rPr>
        <w:t>)</w:t>
      </w:r>
      <w:r>
        <w:rPr>
          <w:rFonts w:ascii="Times New Roman" w:cs="Times New Roman"/>
          <w:spacing w:val="5"/>
        </w:rPr>
        <w:t>、桃</w:t>
      </w:r>
      <w:r>
        <w:rPr>
          <w:rFonts w:ascii="Times New Roman" w:cs="Times New Roman"/>
          <w:spacing w:val="5"/>
        </w:rPr>
        <w:t>(</w:t>
      </w:r>
      <w:r>
        <w:rPr>
          <w:rFonts w:ascii="Times New Roman" w:eastAsia="Times New Roman" w:cs="Times New Roman"/>
          <w:i/>
          <w:iCs/>
        </w:rPr>
        <w:t>Amygdalus</w:t>
      </w:r>
      <w:r>
        <w:rPr>
          <w:rFonts w:ascii="Times New Roman" w:eastAsia="Times New Roman" w:cs="Times New Roman"/>
        </w:rPr>
        <w:t xml:space="preserve"> </w:t>
      </w:r>
      <w:r>
        <w:rPr>
          <w:rFonts w:ascii="Times New Roman" w:eastAsia="Times New Roman" w:cs="Times New Roman"/>
          <w:i/>
          <w:iCs/>
        </w:rPr>
        <w:t>persica</w:t>
      </w:r>
      <w:r>
        <w:rPr>
          <w:rFonts w:ascii="Times New Roman" w:cs="Times New Roman"/>
          <w:spacing w:val="27"/>
        </w:rPr>
        <w:t>)</w:t>
      </w:r>
      <w:r>
        <w:rPr>
          <w:rFonts w:ascii="Times New Roman" w:cs="Times New Roman"/>
          <w:spacing w:val="25"/>
        </w:rPr>
        <w:t>、木瓜</w:t>
      </w:r>
      <w:r>
        <w:rPr>
          <w:rFonts w:ascii="Times New Roman" w:cs="Times New Roman"/>
          <w:spacing w:val="25"/>
        </w:rPr>
        <w:t>(</w:t>
      </w:r>
      <w:r>
        <w:rPr>
          <w:rFonts w:ascii="Times New Roman" w:eastAsia="Times New Roman" w:cs="Times New Roman"/>
          <w:i/>
          <w:iCs/>
        </w:rPr>
        <w:t>ChaenomelessinensisKoehne</w:t>
      </w:r>
      <w:r>
        <w:rPr>
          <w:rFonts w:ascii="Times New Roman" w:cs="Times New Roman"/>
          <w:spacing w:val="25"/>
        </w:rPr>
        <w:t>)</w:t>
      </w:r>
      <w:r>
        <w:rPr>
          <w:rFonts w:ascii="Times New Roman" w:cs="Times New Roman"/>
        </w:rPr>
        <w:t>、樱桃</w:t>
      </w:r>
      <w:r>
        <w:rPr>
          <w:rFonts w:ascii="Times New Roman" w:cs="Times New Roman"/>
        </w:rPr>
        <w:t>(</w:t>
      </w:r>
      <w:r>
        <w:rPr>
          <w:rFonts w:ascii="Times New Roman" w:cs="Times New Roman"/>
          <w:i/>
        </w:rPr>
        <w:t>Cerasus pseudocerasus</w:t>
      </w:r>
      <w:r>
        <w:rPr>
          <w:rFonts w:ascii="Times New Roman" w:cs="Times New Roman"/>
        </w:rPr>
        <w:t>)</w:t>
      </w:r>
      <w:r>
        <w:rPr>
          <w:rFonts w:ascii="Times New Roman" w:cs="Times New Roman"/>
        </w:rPr>
        <w:t>、李</w:t>
      </w:r>
      <w:r>
        <w:rPr>
          <w:rFonts w:ascii="Times New Roman" w:cs="Times New Roman"/>
        </w:rPr>
        <w:t>(</w:t>
      </w:r>
      <w:r>
        <w:rPr>
          <w:rFonts w:ascii="Times New Roman" w:cs="Times New Roman"/>
          <w:i/>
        </w:rPr>
        <w:t>Prunus salicina</w:t>
      </w:r>
      <w:r>
        <w:rPr>
          <w:rFonts w:ascii="Times New Roman" w:cs="Times New Roman"/>
        </w:rPr>
        <w:t>)</w:t>
      </w:r>
      <w:r>
        <w:rPr>
          <w:rFonts w:ascii="Times New Roman" w:cs="Times New Roman"/>
        </w:rPr>
        <w:t>、核桃</w:t>
      </w:r>
      <w:r>
        <w:rPr>
          <w:rFonts w:ascii="Times New Roman" w:cs="Times New Roman"/>
        </w:rPr>
        <w:t>(</w:t>
      </w:r>
      <w:r>
        <w:rPr>
          <w:rFonts w:ascii="Times New Roman" w:cs="Times New Roman"/>
          <w:i/>
        </w:rPr>
        <w:t>Juglans regia</w:t>
      </w:r>
      <w:r>
        <w:rPr>
          <w:rFonts w:ascii="Times New Roman" w:cs="Times New Roman"/>
        </w:rPr>
        <w:t>)</w:t>
      </w:r>
      <w:r>
        <w:rPr>
          <w:rFonts w:ascii="Times New Roman" w:cs="Times New Roman"/>
        </w:rPr>
        <w:t>、柑橘</w:t>
      </w:r>
      <w:r>
        <w:rPr>
          <w:rFonts w:ascii="Times New Roman" w:cs="Times New Roman"/>
        </w:rPr>
        <w:t>(</w:t>
      </w:r>
      <w:r>
        <w:rPr>
          <w:rFonts w:ascii="Times New Roman" w:cs="Times New Roman"/>
          <w:i/>
        </w:rPr>
        <w:t>Citrus reticulata</w:t>
      </w:r>
      <w:r>
        <w:rPr>
          <w:rFonts w:ascii="Times New Roman" w:cs="Times New Roman"/>
        </w:rPr>
        <w:t>)</w:t>
      </w:r>
      <w:r>
        <w:rPr>
          <w:rFonts w:ascii="Times New Roman" w:cs="Times New Roman"/>
        </w:rPr>
        <w:t>、柚子</w:t>
      </w:r>
      <w:r>
        <w:rPr>
          <w:rFonts w:ascii="Times New Roman" w:cs="Times New Roman"/>
        </w:rPr>
        <w:t>(</w:t>
      </w:r>
      <w:r>
        <w:rPr>
          <w:rFonts w:ascii="Times New Roman" w:cs="Times New Roman"/>
          <w:i/>
        </w:rPr>
        <w:t>Citrus grandis</w:t>
      </w:r>
      <w:r>
        <w:rPr>
          <w:rFonts w:ascii="Times New Roman" w:cs="Times New Roman"/>
        </w:rPr>
        <w:t>)</w:t>
      </w:r>
      <w:r>
        <w:rPr>
          <w:rFonts w:ascii="Times New Roman" w:cs="Times New Roman"/>
        </w:rPr>
        <w:t>等经济果树。</w:t>
      </w:r>
    </w:p>
    <w:p w:rsidR="002871C9" w:rsidRDefault="005556D5" w:rsidP="005556D5">
      <w:pPr>
        <w:pStyle w:val="afa"/>
        <w:ind w:firstLine="480"/>
        <w:rPr>
          <w:kern w:val="2"/>
          <w:szCs w:val="24"/>
        </w:rPr>
      </w:pPr>
      <w:r>
        <w:rPr>
          <w:szCs w:val="24"/>
        </w:rPr>
        <w:t>与栽培植被共存的还有各种农田杂草及田间灌草丛，它们在农闲，轮作间歇期，或者农田管理不善时，成为栽培植被的主要替代者，此时即为杂草丛生的农田外貌，杂草以禾本科、菊科、莎草科、豆科、蓼科、唇形科植物为主。常见种类有蜈蚣草、三叶鬼针草、艾蒿、土牛膝、打破碗花花、猪殃殃、反枝苋、问荆、繁缕、蒲公英、土牛膝、毛茛、雀稗、光头稗、狗牙根、牛鞭草、空心莲子草、白花碎米荠、醴肠等</w:t>
      </w:r>
      <w:r w:rsidR="002871C9" w:rsidRPr="00D630D1">
        <w:rPr>
          <w:kern w:val="2"/>
          <w:szCs w:val="24"/>
        </w:rPr>
        <w:t>。</w:t>
      </w:r>
    </w:p>
    <w:p w:rsidR="00D1611E" w:rsidRDefault="00D1611E" w:rsidP="00D1611E">
      <w:pPr>
        <w:snapToGrid w:val="0"/>
        <w:ind w:firstLine="480"/>
        <w:rPr>
          <w:rFonts w:ascii="Times New Roman" w:cs="Times New Roman"/>
        </w:rPr>
      </w:pPr>
      <w:r>
        <w:rPr>
          <w:rFonts w:ascii="Times New Roman" w:cs="Times New Roman"/>
        </w:rPr>
        <w:t>项目评价范围陆生植被调查及样方现场照片见图</w:t>
      </w:r>
      <w:r>
        <w:rPr>
          <w:rFonts w:ascii="Times New Roman" w:cs="Times New Roman" w:hint="eastAsia"/>
        </w:rPr>
        <w:t>5</w:t>
      </w:r>
      <w:r>
        <w:rPr>
          <w:rFonts w:ascii="Times New Roman" w:cs="Times New Roman"/>
        </w:rPr>
        <w:t>.</w:t>
      </w:r>
      <w:r>
        <w:rPr>
          <w:rFonts w:ascii="Times New Roman" w:cs="Times New Roman" w:hint="eastAsia"/>
        </w:rPr>
        <w:t>2</w:t>
      </w:r>
      <w:r>
        <w:rPr>
          <w:rFonts w:ascii="Times New Roman" w:cs="Times New Roman"/>
        </w:rPr>
        <w:t>-</w:t>
      </w:r>
      <w:r>
        <w:rPr>
          <w:rFonts w:ascii="Times New Roman" w:cs="Times New Roman" w:hint="eastAsia"/>
        </w:rPr>
        <w:t>1</w:t>
      </w:r>
      <w:r>
        <w:rPr>
          <w:rFonts w:ascii="Times New Roman" w:cs="Times New Roman"/>
        </w:rPr>
        <w:t>。</w:t>
      </w:r>
    </w:p>
    <w:tbl>
      <w:tblPr>
        <w:tblStyle w:val="ad"/>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69"/>
        <w:gridCol w:w="4412"/>
      </w:tblGrid>
      <w:tr w:rsidR="00D1611E" w:rsidTr="00D1611E">
        <w:trPr>
          <w:jc w:val="center"/>
        </w:trPr>
        <w:tc>
          <w:tcPr>
            <w:tcW w:w="4369" w:type="dxa"/>
          </w:tcPr>
          <w:p w:rsidR="00D1611E" w:rsidRDefault="00D1611E" w:rsidP="00D1611E">
            <w:pPr>
              <w:pStyle w:val="Default"/>
              <w:rPr>
                <w:rFonts w:ascii="Times New Roman" w:hAnsi="Times New Roman" w:cs="Times New Roman"/>
                <w:color w:val="auto"/>
              </w:rPr>
            </w:pPr>
            <w:r>
              <w:rPr>
                <w:noProof/>
                <w:color w:val="auto"/>
              </w:rPr>
              <w:drawing>
                <wp:inline distT="0" distB="0" distL="0" distR="0">
                  <wp:extent cx="2633345" cy="2032000"/>
                  <wp:effectExtent l="19050" t="0" r="0" b="0"/>
                  <wp:docPr id="69"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pic:cNvPicPr>
                            <a:picLocks noChangeAspect="1" noChangeArrowheads="1"/>
                          </pic:cNvPicPr>
                        </pic:nvPicPr>
                        <pic:blipFill>
                          <a:blip r:embed="rId56" cstate="print"/>
                          <a:srcRect/>
                          <a:stretch>
                            <a:fillRect/>
                          </a:stretch>
                        </pic:blipFill>
                        <pic:spPr bwMode="auto">
                          <a:xfrm>
                            <a:off x="0" y="0"/>
                            <a:ext cx="2633345" cy="2032000"/>
                          </a:xfrm>
                          <a:prstGeom prst="rect">
                            <a:avLst/>
                          </a:prstGeom>
                          <a:noFill/>
                          <a:ln w="9525" cmpd="sng">
                            <a:noFill/>
                            <a:miter lim="800000"/>
                            <a:headEnd/>
                            <a:tailEnd/>
                          </a:ln>
                        </pic:spPr>
                      </pic:pic>
                    </a:graphicData>
                  </a:graphic>
                </wp:inline>
              </w:drawing>
            </w:r>
          </w:p>
        </w:tc>
        <w:tc>
          <w:tcPr>
            <w:tcW w:w="4412" w:type="dxa"/>
          </w:tcPr>
          <w:p w:rsidR="00D1611E" w:rsidRDefault="00D1611E" w:rsidP="00D1611E">
            <w:pPr>
              <w:pStyle w:val="Default"/>
              <w:rPr>
                <w:rFonts w:ascii="Times New Roman" w:hAnsi="Times New Roman" w:cs="Times New Roman"/>
                <w:color w:val="auto"/>
              </w:rPr>
            </w:pPr>
            <w:r>
              <w:rPr>
                <w:noProof/>
                <w:color w:val="auto"/>
              </w:rPr>
              <w:drawing>
                <wp:inline distT="0" distB="0" distL="0" distR="0">
                  <wp:extent cx="2658745" cy="2006600"/>
                  <wp:effectExtent l="19050" t="0" r="8255" b="0"/>
                  <wp:docPr id="68"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6"/>
                          <pic:cNvPicPr>
                            <a:picLocks noChangeAspect="1" noChangeArrowheads="1"/>
                          </pic:cNvPicPr>
                        </pic:nvPicPr>
                        <pic:blipFill>
                          <a:blip r:embed="rId57" cstate="print"/>
                          <a:srcRect/>
                          <a:stretch>
                            <a:fillRect/>
                          </a:stretch>
                        </pic:blipFill>
                        <pic:spPr bwMode="auto">
                          <a:xfrm>
                            <a:off x="0" y="0"/>
                            <a:ext cx="2658745" cy="2006600"/>
                          </a:xfrm>
                          <a:prstGeom prst="rect">
                            <a:avLst/>
                          </a:prstGeom>
                          <a:noFill/>
                          <a:ln w="9525" cmpd="sng">
                            <a:noFill/>
                            <a:miter lim="800000"/>
                            <a:headEnd/>
                            <a:tailEnd/>
                          </a:ln>
                        </pic:spPr>
                      </pic:pic>
                    </a:graphicData>
                  </a:graphic>
                </wp:inline>
              </w:drawing>
            </w:r>
          </w:p>
        </w:tc>
      </w:tr>
      <w:tr w:rsidR="00D1611E" w:rsidTr="00D1611E">
        <w:trPr>
          <w:jc w:val="center"/>
        </w:trPr>
        <w:tc>
          <w:tcPr>
            <w:tcW w:w="4369" w:type="dxa"/>
          </w:tcPr>
          <w:p w:rsidR="00D1611E" w:rsidRDefault="00D1611E" w:rsidP="00D1611E">
            <w:pPr>
              <w:pStyle w:val="Default"/>
              <w:jc w:val="center"/>
              <w:rPr>
                <w:rFonts w:ascii="Times New Roman" w:hAnsi="Times New Roman" w:cs="Times New Roman"/>
                <w:color w:val="auto"/>
                <w:sz w:val="21"/>
                <w:szCs w:val="21"/>
              </w:rPr>
            </w:pPr>
            <w:r>
              <w:rPr>
                <w:rFonts w:hAnsi="宋体" w:hint="eastAsia"/>
                <w:color w:val="auto"/>
                <w:sz w:val="21"/>
                <w:szCs w:val="21"/>
              </w:rPr>
              <w:t>马尾松群落</w:t>
            </w:r>
          </w:p>
        </w:tc>
        <w:tc>
          <w:tcPr>
            <w:tcW w:w="4412" w:type="dxa"/>
          </w:tcPr>
          <w:p w:rsidR="00D1611E" w:rsidRDefault="00D1611E" w:rsidP="00D1611E">
            <w:pPr>
              <w:pStyle w:val="Default"/>
              <w:jc w:val="center"/>
              <w:rPr>
                <w:rFonts w:ascii="Times New Roman" w:hAnsi="Times New Roman" w:cs="Times New Roman"/>
                <w:color w:val="auto"/>
                <w:sz w:val="21"/>
                <w:szCs w:val="21"/>
              </w:rPr>
            </w:pPr>
            <w:r>
              <w:rPr>
                <w:rFonts w:hAnsi="宋体" w:hint="eastAsia"/>
                <w:color w:val="auto"/>
                <w:sz w:val="21"/>
                <w:szCs w:val="21"/>
              </w:rPr>
              <w:t>马尾松群落</w:t>
            </w:r>
          </w:p>
        </w:tc>
      </w:tr>
      <w:tr w:rsidR="00D1611E" w:rsidTr="00D1611E">
        <w:trPr>
          <w:jc w:val="center"/>
        </w:trPr>
        <w:tc>
          <w:tcPr>
            <w:tcW w:w="4369" w:type="dxa"/>
          </w:tcPr>
          <w:p w:rsidR="00D1611E" w:rsidRDefault="00D1611E" w:rsidP="00D1611E">
            <w:pPr>
              <w:pStyle w:val="Default"/>
              <w:rPr>
                <w:rFonts w:ascii="Times New Roman" w:hAnsi="Times New Roman" w:cs="Times New Roman"/>
                <w:color w:val="auto"/>
              </w:rPr>
            </w:pPr>
            <w:r>
              <w:rPr>
                <w:noProof/>
                <w:color w:val="auto"/>
              </w:rPr>
              <w:lastRenderedPageBreak/>
              <w:drawing>
                <wp:inline distT="0" distB="0" distL="0" distR="0">
                  <wp:extent cx="2633345" cy="1887855"/>
                  <wp:effectExtent l="19050" t="0" r="0" b="0"/>
                  <wp:docPr id="6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
                          <pic:cNvPicPr>
                            <a:picLocks noChangeAspect="1" noChangeArrowheads="1"/>
                          </pic:cNvPicPr>
                        </pic:nvPicPr>
                        <pic:blipFill>
                          <a:blip r:embed="rId58" cstate="print"/>
                          <a:srcRect/>
                          <a:stretch>
                            <a:fillRect/>
                          </a:stretch>
                        </pic:blipFill>
                        <pic:spPr bwMode="auto">
                          <a:xfrm>
                            <a:off x="0" y="0"/>
                            <a:ext cx="2633345" cy="1887855"/>
                          </a:xfrm>
                          <a:prstGeom prst="rect">
                            <a:avLst/>
                          </a:prstGeom>
                          <a:noFill/>
                          <a:ln w="9525" cmpd="sng">
                            <a:noFill/>
                            <a:miter lim="800000"/>
                            <a:headEnd/>
                            <a:tailEnd/>
                          </a:ln>
                        </pic:spPr>
                      </pic:pic>
                    </a:graphicData>
                  </a:graphic>
                </wp:inline>
              </w:drawing>
            </w:r>
          </w:p>
        </w:tc>
        <w:tc>
          <w:tcPr>
            <w:tcW w:w="4412" w:type="dxa"/>
          </w:tcPr>
          <w:p w:rsidR="00D1611E" w:rsidRDefault="00D1611E" w:rsidP="00D1611E">
            <w:pPr>
              <w:pStyle w:val="Default"/>
              <w:rPr>
                <w:rFonts w:ascii="Times New Roman" w:hAnsi="Times New Roman" w:cs="Times New Roman"/>
                <w:color w:val="auto"/>
              </w:rPr>
            </w:pPr>
            <w:r>
              <w:rPr>
                <w:noProof/>
                <w:color w:val="auto"/>
              </w:rPr>
              <w:drawing>
                <wp:inline distT="0" distB="0" distL="0" distR="0">
                  <wp:extent cx="2658745" cy="1854200"/>
                  <wp:effectExtent l="19050" t="0" r="8255" b="0"/>
                  <wp:docPr id="5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4"/>
                          <pic:cNvPicPr>
                            <a:picLocks noChangeAspect="1" noChangeArrowheads="1"/>
                          </pic:cNvPicPr>
                        </pic:nvPicPr>
                        <pic:blipFill>
                          <a:blip r:embed="rId59" cstate="print"/>
                          <a:srcRect/>
                          <a:stretch>
                            <a:fillRect/>
                          </a:stretch>
                        </pic:blipFill>
                        <pic:spPr bwMode="auto">
                          <a:xfrm>
                            <a:off x="0" y="0"/>
                            <a:ext cx="2658745" cy="1854200"/>
                          </a:xfrm>
                          <a:prstGeom prst="rect">
                            <a:avLst/>
                          </a:prstGeom>
                          <a:noFill/>
                          <a:ln w="9525" cmpd="sng">
                            <a:noFill/>
                            <a:miter lim="800000"/>
                            <a:headEnd/>
                            <a:tailEnd/>
                          </a:ln>
                          <a:effectLst/>
                        </pic:spPr>
                      </pic:pic>
                    </a:graphicData>
                  </a:graphic>
                </wp:inline>
              </w:drawing>
            </w:r>
          </w:p>
        </w:tc>
      </w:tr>
      <w:tr w:rsidR="00D1611E" w:rsidTr="00D1611E">
        <w:trPr>
          <w:jc w:val="center"/>
        </w:trPr>
        <w:tc>
          <w:tcPr>
            <w:tcW w:w="4369"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马尾松样方调查</w:t>
            </w:r>
          </w:p>
        </w:tc>
        <w:tc>
          <w:tcPr>
            <w:tcW w:w="4412"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马尾松样方调查</w:t>
            </w:r>
          </w:p>
        </w:tc>
      </w:tr>
      <w:tr w:rsidR="00D1611E" w:rsidTr="00D1611E">
        <w:trPr>
          <w:jc w:val="center"/>
        </w:trPr>
        <w:tc>
          <w:tcPr>
            <w:tcW w:w="4369" w:type="dxa"/>
          </w:tcPr>
          <w:p w:rsidR="00D1611E" w:rsidRDefault="00D1611E" w:rsidP="00D1611E">
            <w:pPr>
              <w:pStyle w:val="Default"/>
              <w:rPr>
                <w:rFonts w:ascii="Times New Roman" w:hAnsi="Times New Roman" w:cs="Times New Roman"/>
                <w:color w:val="auto"/>
              </w:rPr>
            </w:pPr>
            <w:r>
              <w:rPr>
                <w:noProof/>
                <w:color w:val="auto"/>
              </w:rPr>
              <w:drawing>
                <wp:inline distT="0" distB="0" distL="0" distR="0">
                  <wp:extent cx="2633345" cy="1989455"/>
                  <wp:effectExtent l="19050" t="0" r="0" b="0"/>
                  <wp:docPr id="53"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pic:cNvPicPr>
                            <a:picLocks noChangeAspect="1" noChangeArrowheads="1"/>
                          </pic:cNvPicPr>
                        </pic:nvPicPr>
                        <pic:blipFill>
                          <a:blip r:embed="rId60" cstate="print"/>
                          <a:srcRect/>
                          <a:stretch>
                            <a:fillRect/>
                          </a:stretch>
                        </pic:blipFill>
                        <pic:spPr bwMode="auto">
                          <a:xfrm>
                            <a:off x="0" y="0"/>
                            <a:ext cx="2633345" cy="1989455"/>
                          </a:xfrm>
                          <a:prstGeom prst="rect">
                            <a:avLst/>
                          </a:prstGeom>
                          <a:noFill/>
                          <a:ln w="9525" cmpd="sng">
                            <a:noFill/>
                            <a:miter lim="800000"/>
                            <a:headEnd/>
                            <a:tailEnd/>
                          </a:ln>
                          <a:effectLst/>
                        </pic:spPr>
                      </pic:pic>
                    </a:graphicData>
                  </a:graphic>
                </wp:inline>
              </w:drawing>
            </w:r>
          </w:p>
        </w:tc>
        <w:tc>
          <w:tcPr>
            <w:tcW w:w="4412" w:type="dxa"/>
          </w:tcPr>
          <w:p w:rsidR="00D1611E" w:rsidRDefault="00D1611E" w:rsidP="00D1611E">
            <w:pPr>
              <w:pStyle w:val="Default"/>
              <w:rPr>
                <w:rFonts w:ascii="Times New Roman" w:hAnsi="Times New Roman" w:cs="Times New Roman"/>
                <w:color w:val="auto"/>
              </w:rPr>
            </w:pPr>
            <w:r>
              <w:rPr>
                <w:noProof/>
                <w:color w:val="auto"/>
              </w:rPr>
              <w:drawing>
                <wp:inline distT="0" distB="0" distL="0" distR="0">
                  <wp:extent cx="2649855" cy="2014855"/>
                  <wp:effectExtent l="19050" t="0" r="0" b="0"/>
                  <wp:docPr id="5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pic:cNvPicPr>
                            <a:picLocks noChangeAspect="1" noChangeArrowheads="1"/>
                          </pic:cNvPicPr>
                        </pic:nvPicPr>
                        <pic:blipFill>
                          <a:blip r:embed="rId61" cstate="print"/>
                          <a:srcRect/>
                          <a:stretch>
                            <a:fillRect/>
                          </a:stretch>
                        </pic:blipFill>
                        <pic:spPr bwMode="auto">
                          <a:xfrm>
                            <a:off x="0" y="0"/>
                            <a:ext cx="2649855" cy="2014855"/>
                          </a:xfrm>
                          <a:prstGeom prst="rect">
                            <a:avLst/>
                          </a:prstGeom>
                          <a:noFill/>
                          <a:ln w="9525" cmpd="sng">
                            <a:noFill/>
                            <a:miter lim="800000"/>
                            <a:headEnd/>
                            <a:tailEnd/>
                          </a:ln>
                        </pic:spPr>
                      </pic:pic>
                    </a:graphicData>
                  </a:graphic>
                </wp:inline>
              </w:drawing>
            </w:r>
          </w:p>
        </w:tc>
      </w:tr>
      <w:tr w:rsidR="00D1611E" w:rsidTr="00D1611E">
        <w:trPr>
          <w:jc w:val="center"/>
        </w:trPr>
        <w:tc>
          <w:tcPr>
            <w:tcW w:w="4369"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马尾松样方调查</w:t>
            </w:r>
          </w:p>
        </w:tc>
        <w:tc>
          <w:tcPr>
            <w:tcW w:w="4412"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马尾松样方调查</w:t>
            </w:r>
          </w:p>
        </w:tc>
      </w:tr>
      <w:tr w:rsidR="00D1611E" w:rsidTr="00D1611E">
        <w:trPr>
          <w:jc w:val="center"/>
        </w:trPr>
        <w:tc>
          <w:tcPr>
            <w:tcW w:w="4369" w:type="dxa"/>
          </w:tcPr>
          <w:p w:rsidR="00D1611E" w:rsidRDefault="00D1611E" w:rsidP="00D1611E">
            <w:pPr>
              <w:pStyle w:val="Default"/>
              <w:rPr>
                <w:color w:val="auto"/>
              </w:rPr>
            </w:pPr>
            <w:r>
              <w:rPr>
                <w:noProof/>
                <w:color w:val="auto"/>
              </w:rPr>
              <w:drawing>
                <wp:inline distT="0" distB="0" distL="0" distR="0">
                  <wp:extent cx="2633345" cy="1989455"/>
                  <wp:effectExtent l="19050" t="0" r="0" b="0"/>
                  <wp:docPr id="50"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8"/>
                          <pic:cNvPicPr>
                            <a:picLocks noChangeAspect="1" noChangeArrowheads="1"/>
                          </pic:cNvPicPr>
                        </pic:nvPicPr>
                        <pic:blipFill>
                          <a:blip r:embed="rId62" cstate="print"/>
                          <a:srcRect/>
                          <a:stretch>
                            <a:fillRect/>
                          </a:stretch>
                        </pic:blipFill>
                        <pic:spPr bwMode="auto">
                          <a:xfrm>
                            <a:off x="0" y="0"/>
                            <a:ext cx="2633345" cy="1989455"/>
                          </a:xfrm>
                          <a:prstGeom prst="rect">
                            <a:avLst/>
                          </a:prstGeom>
                          <a:noFill/>
                          <a:ln w="9525" cmpd="sng">
                            <a:noFill/>
                            <a:miter lim="800000"/>
                            <a:headEnd/>
                            <a:tailEnd/>
                          </a:ln>
                        </pic:spPr>
                      </pic:pic>
                    </a:graphicData>
                  </a:graphic>
                </wp:inline>
              </w:drawing>
            </w:r>
          </w:p>
        </w:tc>
        <w:tc>
          <w:tcPr>
            <w:tcW w:w="4412" w:type="dxa"/>
          </w:tcPr>
          <w:p w:rsidR="00D1611E" w:rsidRDefault="00D1611E" w:rsidP="00D1611E">
            <w:pPr>
              <w:pStyle w:val="Default"/>
              <w:rPr>
                <w:color w:val="auto"/>
              </w:rPr>
            </w:pPr>
            <w:r>
              <w:rPr>
                <w:noProof/>
                <w:color w:val="auto"/>
              </w:rPr>
              <w:drawing>
                <wp:inline distT="0" distB="0" distL="0" distR="0">
                  <wp:extent cx="2658745" cy="2023745"/>
                  <wp:effectExtent l="19050" t="0" r="8255" b="0"/>
                  <wp:docPr id="49"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2"/>
                          <pic:cNvPicPr>
                            <a:picLocks noChangeAspect="1" noChangeArrowheads="1"/>
                          </pic:cNvPicPr>
                        </pic:nvPicPr>
                        <pic:blipFill>
                          <a:blip r:embed="rId63" cstate="print"/>
                          <a:srcRect/>
                          <a:stretch>
                            <a:fillRect/>
                          </a:stretch>
                        </pic:blipFill>
                        <pic:spPr bwMode="auto">
                          <a:xfrm>
                            <a:off x="0" y="0"/>
                            <a:ext cx="2658745" cy="2023745"/>
                          </a:xfrm>
                          <a:prstGeom prst="rect">
                            <a:avLst/>
                          </a:prstGeom>
                          <a:noFill/>
                          <a:ln w="9525" cmpd="sng">
                            <a:noFill/>
                            <a:miter lim="800000"/>
                            <a:headEnd/>
                            <a:tailEnd/>
                          </a:ln>
                        </pic:spPr>
                      </pic:pic>
                    </a:graphicData>
                  </a:graphic>
                </wp:inline>
              </w:drawing>
            </w:r>
          </w:p>
        </w:tc>
      </w:tr>
      <w:tr w:rsidR="00D1611E" w:rsidTr="00D1611E">
        <w:trPr>
          <w:jc w:val="center"/>
        </w:trPr>
        <w:tc>
          <w:tcPr>
            <w:tcW w:w="4369"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杉木群落</w:t>
            </w:r>
          </w:p>
        </w:tc>
        <w:tc>
          <w:tcPr>
            <w:tcW w:w="4412"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杉木样方调查</w:t>
            </w:r>
          </w:p>
        </w:tc>
      </w:tr>
      <w:tr w:rsidR="00D1611E" w:rsidTr="00D1611E">
        <w:trPr>
          <w:jc w:val="center"/>
        </w:trPr>
        <w:tc>
          <w:tcPr>
            <w:tcW w:w="4369" w:type="dxa"/>
          </w:tcPr>
          <w:p w:rsidR="00D1611E" w:rsidRDefault="00D1611E" w:rsidP="00D1611E">
            <w:pPr>
              <w:pStyle w:val="Default"/>
              <w:rPr>
                <w:color w:val="auto"/>
              </w:rPr>
            </w:pPr>
            <w:r>
              <w:rPr>
                <w:noProof/>
                <w:color w:val="auto"/>
              </w:rPr>
              <w:lastRenderedPageBreak/>
              <w:drawing>
                <wp:inline distT="0" distB="0" distL="0" distR="0">
                  <wp:extent cx="2658745" cy="1947545"/>
                  <wp:effectExtent l="19050" t="0" r="8255" b="0"/>
                  <wp:docPr id="48"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7"/>
                          <pic:cNvPicPr>
                            <a:picLocks noChangeAspect="1" noChangeArrowheads="1"/>
                          </pic:cNvPicPr>
                        </pic:nvPicPr>
                        <pic:blipFill>
                          <a:blip r:embed="rId64" cstate="print"/>
                          <a:srcRect/>
                          <a:stretch>
                            <a:fillRect/>
                          </a:stretch>
                        </pic:blipFill>
                        <pic:spPr bwMode="auto">
                          <a:xfrm>
                            <a:off x="0" y="0"/>
                            <a:ext cx="2658745" cy="1947545"/>
                          </a:xfrm>
                          <a:prstGeom prst="rect">
                            <a:avLst/>
                          </a:prstGeom>
                          <a:noFill/>
                          <a:ln w="9525" cmpd="sng">
                            <a:noFill/>
                            <a:miter lim="800000"/>
                            <a:headEnd/>
                            <a:tailEnd/>
                          </a:ln>
                          <a:effectLst/>
                        </pic:spPr>
                      </pic:pic>
                    </a:graphicData>
                  </a:graphic>
                </wp:inline>
              </w:drawing>
            </w:r>
          </w:p>
        </w:tc>
        <w:tc>
          <w:tcPr>
            <w:tcW w:w="4412" w:type="dxa"/>
          </w:tcPr>
          <w:p w:rsidR="00D1611E" w:rsidRDefault="00D1611E" w:rsidP="00D1611E">
            <w:pPr>
              <w:pStyle w:val="Default"/>
              <w:rPr>
                <w:color w:val="auto"/>
              </w:rPr>
            </w:pPr>
            <w:r>
              <w:rPr>
                <w:noProof/>
                <w:color w:val="auto"/>
              </w:rPr>
              <w:drawing>
                <wp:inline distT="0" distB="0" distL="0" distR="0">
                  <wp:extent cx="2658745" cy="1972945"/>
                  <wp:effectExtent l="19050" t="0" r="8255" b="0"/>
                  <wp:docPr id="47"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pic:cNvPicPr>
                            <a:picLocks noChangeAspect="1" noChangeArrowheads="1"/>
                          </pic:cNvPicPr>
                        </pic:nvPicPr>
                        <pic:blipFill>
                          <a:blip r:embed="rId65" cstate="print"/>
                          <a:srcRect/>
                          <a:stretch>
                            <a:fillRect/>
                          </a:stretch>
                        </pic:blipFill>
                        <pic:spPr bwMode="auto">
                          <a:xfrm>
                            <a:off x="0" y="0"/>
                            <a:ext cx="2658745" cy="1972945"/>
                          </a:xfrm>
                          <a:prstGeom prst="rect">
                            <a:avLst/>
                          </a:prstGeom>
                          <a:noFill/>
                          <a:ln w="9525" cmpd="sng">
                            <a:noFill/>
                            <a:miter lim="800000"/>
                            <a:headEnd/>
                            <a:tailEnd/>
                          </a:ln>
                          <a:effectLst/>
                        </pic:spPr>
                      </pic:pic>
                    </a:graphicData>
                  </a:graphic>
                </wp:inline>
              </w:drawing>
            </w:r>
          </w:p>
        </w:tc>
      </w:tr>
      <w:tr w:rsidR="00D1611E" w:rsidTr="00D1611E">
        <w:trPr>
          <w:jc w:val="center"/>
        </w:trPr>
        <w:tc>
          <w:tcPr>
            <w:tcW w:w="4369"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杉木群落</w:t>
            </w:r>
          </w:p>
        </w:tc>
        <w:tc>
          <w:tcPr>
            <w:tcW w:w="4412"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柏木群落</w:t>
            </w:r>
          </w:p>
        </w:tc>
      </w:tr>
      <w:tr w:rsidR="00D1611E" w:rsidTr="00D1611E">
        <w:trPr>
          <w:jc w:val="center"/>
        </w:trPr>
        <w:tc>
          <w:tcPr>
            <w:tcW w:w="4369" w:type="dxa"/>
          </w:tcPr>
          <w:p w:rsidR="00D1611E" w:rsidRDefault="00D1611E" w:rsidP="00D1611E">
            <w:pPr>
              <w:pStyle w:val="Default"/>
              <w:jc w:val="center"/>
              <w:rPr>
                <w:color w:val="auto"/>
              </w:rPr>
            </w:pPr>
            <w:r>
              <w:rPr>
                <w:noProof/>
                <w:color w:val="auto"/>
              </w:rPr>
              <w:drawing>
                <wp:inline distT="0" distB="0" distL="0" distR="0">
                  <wp:extent cx="2633345" cy="2209800"/>
                  <wp:effectExtent l="19050" t="0" r="0" b="0"/>
                  <wp:docPr id="4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
                          <pic:cNvPicPr>
                            <a:picLocks noChangeAspect="1" noChangeArrowheads="1"/>
                          </pic:cNvPicPr>
                        </pic:nvPicPr>
                        <pic:blipFill>
                          <a:blip r:embed="rId66" cstate="print"/>
                          <a:srcRect/>
                          <a:stretch>
                            <a:fillRect/>
                          </a:stretch>
                        </pic:blipFill>
                        <pic:spPr bwMode="auto">
                          <a:xfrm>
                            <a:off x="0" y="0"/>
                            <a:ext cx="2633345" cy="2209800"/>
                          </a:xfrm>
                          <a:prstGeom prst="rect">
                            <a:avLst/>
                          </a:prstGeom>
                          <a:noFill/>
                          <a:ln w="9525" cmpd="sng">
                            <a:noFill/>
                            <a:miter lim="800000"/>
                            <a:headEnd/>
                            <a:tailEnd/>
                          </a:ln>
                        </pic:spPr>
                      </pic:pic>
                    </a:graphicData>
                  </a:graphic>
                </wp:inline>
              </w:drawing>
            </w:r>
          </w:p>
        </w:tc>
        <w:tc>
          <w:tcPr>
            <w:tcW w:w="4412" w:type="dxa"/>
          </w:tcPr>
          <w:p w:rsidR="00D1611E" w:rsidRDefault="00D1611E" w:rsidP="00D1611E">
            <w:pPr>
              <w:pStyle w:val="Default"/>
              <w:rPr>
                <w:color w:val="auto"/>
              </w:rPr>
            </w:pPr>
            <w:r>
              <w:rPr>
                <w:noProof/>
                <w:color w:val="auto"/>
              </w:rPr>
              <w:drawing>
                <wp:inline distT="0" distB="0" distL="0" distR="0">
                  <wp:extent cx="2658745" cy="2133600"/>
                  <wp:effectExtent l="19050" t="0" r="8255" b="0"/>
                  <wp:docPr id="45"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9"/>
                          <pic:cNvPicPr>
                            <a:picLocks noChangeAspect="1" noChangeArrowheads="1"/>
                          </pic:cNvPicPr>
                        </pic:nvPicPr>
                        <pic:blipFill>
                          <a:blip r:embed="rId67" cstate="print"/>
                          <a:srcRect/>
                          <a:stretch>
                            <a:fillRect/>
                          </a:stretch>
                        </pic:blipFill>
                        <pic:spPr bwMode="auto">
                          <a:xfrm>
                            <a:off x="0" y="0"/>
                            <a:ext cx="2658745" cy="2133600"/>
                          </a:xfrm>
                          <a:prstGeom prst="rect">
                            <a:avLst/>
                          </a:prstGeom>
                          <a:noFill/>
                          <a:ln w="9525" cmpd="sng">
                            <a:noFill/>
                            <a:miter lim="800000"/>
                            <a:headEnd/>
                            <a:tailEnd/>
                          </a:ln>
                          <a:effectLst/>
                        </pic:spPr>
                      </pic:pic>
                    </a:graphicData>
                  </a:graphic>
                </wp:inline>
              </w:drawing>
            </w:r>
          </w:p>
        </w:tc>
      </w:tr>
      <w:tr w:rsidR="00D1611E" w:rsidTr="00D1611E">
        <w:trPr>
          <w:jc w:val="center"/>
        </w:trPr>
        <w:tc>
          <w:tcPr>
            <w:tcW w:w="4369"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柏木样方调查</w:t>
            </w:r>
          </w:p>
        </w:tc>
        <w:tc>
          <w:tcPr>
            <w:tcW w:w="4412"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柏木样方调查</w:t>
            </w:r>
          </w:p>
        </w:tc>
      </w:tr>
      <w:tr w:rsidR="00D1611E" w:rsidTr="00D1611E">
        <w:trPr>
          <w:jc w:val="center"/>
        </w:trPr>
        <w:tc>
          <w:tcPr>
            <w:tcW w:w="4369" w:type="dxa"/>
          </w:tcPr>
          <w:p w:rsidR="00D1611E" w:rsidRDefault="00D1611E" w:rsidP="00D1611E">
            <w:pPr>
              <w:pStyle w:val="Default"/>
              <w:jc w:val="center"/>
              <w:rPr>
                <w:rFonts w:hAnsi="Times New Roman"/>
                <w:color w:val="auto"/>
                <w:sz w:val="21"/>
                <w:szCs w:val="21"/>
              </w:rPr>
            </w:pPr>
            <w:r>
              <w:rPr>
                <w:noProof/>
                <w:color w:val="auto"/>
              </w:rPr>
              <w:drawing>
                <wp:inline distT="0" distB="0" distL="0" distR="0">
                  <wp:extent cx="2633345" cy="2006600"/>
                  <wp:effectExtent l="19050" t="0" r="0" b="0"/>
                  <wp:docPr id="44"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0"/>
                          <pic:cNvPicPr>
                            <a:picLocks noChangeAspect="1" noChangeArrowheads="1"/>
                          </pic:cNvPicPr>
                        </pic:nvPicPr>
                        <pic:blipFill>
                          <a:blip r:embed="rId68" cstate="print"/>
                          <a:srcRect/>
                          <a:stretch>
                            <a:fillRect/>
                          </a:stretch>
                        </pic:blipFill>
                        <pic:spPr bwMode="auto">
                          <a:xfrm>
                            <a:off x="0" y="0"/>
                            <a:ext cx="2633345" cy="2006600"/>
                          </a:xfrm>
                          <a:prstGeom prst="rect">
                            <a:avLst/>
                          </a:prstGeom>
                          <a:noFill/>
                          <a:ln w="9525" cmpd="sng">
                            <a:noFill/>
                            <a:miter lim="800000"/>
                            <a:headEnd/>
                            <a:tailEnd/>
                          </a:ln>
                        </pic:spPr>
                      </pic:pic>
                    </a:graphicData>
                  </a:graphic>
                </wp:inline>
              </w:drawing>
            </w:r>
          </w:p>
        </w:tc>
        <w:tc>
          <w:tcPr>
            <w:tcW w:w="4412" w:type="dxa"/>
          </w:tcPr>
          <w:p w:rsidR="00D1611E" w:rsidRDefault="00D1611E" w:rsidP="00D1611E">
            <w:pPr>
              <w:pStyle w:val="Default"/>
              <w:jc w:val="center"/>
              <w:rPr>
                <w:rFonts w:hAnsi="Times New Roman"/>
                <w:color w:val="auto"/>
                <w:sz w:val="21"/>
                <w:szCs w:val="21"/>
              </w:rPr>
            </w:pPr>
            <w:r>
              <w:rPr>
                <w:noProof/>
                <w:color w:val="auto"/>
              </w:rPr>
              <w:drawing>
                <wp:inline distT="0" distB="0" distL="0" distR="0">
                  <wp:extent cx="2658745" cy="1913255"/>
                  <wp:effectExtent l="19050" t="0" r="8255" b="0"/>
                  <wp:docPr id="3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2"/>
                          <pic:cNvPicPr>
                            <a:picLocks noChangeAspect="1" noChangeArrowheads="1"/>
                          </pic:cNvPicPr>
                        </pic:nvPicPr>
                        <pic:blipFill>
                          <a:blip r:embed="rId69" cstate="print"/>
                          <a:srcRect/>
                          <a:stretch>
                            <a:fillRect/>
                          </a:stretch>
                        </pic:blipFill>
                        <pic:spPr bwMode="auto">
                          <a:xfrm>
                            <a:off x="0" y="0"/>
                            <a:ext cx="2658745" cy="1913255"/>
                          </a:xfrm>
                          <a:prstGeom prst="rect">
                            <a:avLst/>
                          </a:prstGeom>
                          <a:noFill/>
                          <a:ln w="9525" cmpd="sng">
                            <a:noFill/>
                            <a:miter lim="800000"/>
                            <a:headEnd/>
                            <a:tailEnd/>
                          </a:ln>
                          <a:effectLst/>
                        </pic:spPr>
                      </pic:pic>
                    </a:graphicData>
                  </a:graphic>
                </wp:inline>
              </w:drawing>
            </w:r>
          </w:p>
        </w:tc>
      </w:tr>
      <w:tr w:rsidR="00D1611E" w:rsidTr="00D1611E">
        <w:trPr>
          <w:jc w:val="center"/>
        </w:trPr>
        <w:tc>
          <w:tcPr>
            <w:tcW w:w="4369"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柏木样方调查</w:t>
            </w:r>
          </w:p>
        </w:tc>
        <w:tc>
          <w:tcPr>
            <w:tcW w:w="4412"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麻栎、青冈样方调查</w:t>
            </w:r>
          </w:p>
        </w:tc>
      </w:tr>
      <w:tr w:rsidR="00D1611E" w:rsidTr="00D1611E">
        <w:trPr>
          <w:jc w:val="center"/>
        </w:trPr>
        <w:tc>
          <w:tcPr>
            <w:tcW w:w="4369" w:type="dxa"/>
          </w:tcPr>
          <w:p w:rsidR="00D1611E" w:rsidRDefault="00D1611E" w:rsidP="00D1611E">
            <w:pPr>
              <w:pStyle w:val="Default"/>
              <w:jc w:val="center"/>
              <w:rPr>
                <w:color w:val="auto"/>
              </w:rPr>
            </w:pPr>
            <w:r>
              <w:rPr>
                <w:noProof/>
                <w:color w:val="auto"/>
              </w:rPr>
              <w:lastRenderedPageBreak/>
              <w:drawing>
                <wp:inline distT="0" distB="0" distL="0" distR="0">
                  <wp:extent cx="2633345" cy="2116455"/>
                  <wp:effectExtent l="19050" t="0" r="0" b="0"/>
                  <wp:docPr id="34"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3"/>
                          <pic:cNvPicPr>
                            <a:picLocks noChangeAspect="1" noChangeArrowheads="1"/>
                          </pic:cNvPicPr>
                        </pic:nvPicPr>
                        <pic:blipFill>
                          <a:blip r:embed="rId70" cstate="print"/>
                          <a:srcRect/>
                          <a:stretch>
                            <a:fillRect/>
                          </a:stretch>
                        </pic:blipFill>
                        <pic:spPr bwMode="auto">
                          <a:xfrm>
                            <a:off x="0" y="0"/>
                            <a:ext cx="2633345" cy="2116455"/>
                          </a:xfrm>
                          <a:prstGeom prst="rect">
                            <a:avLst/>
                          </a:prstGeom>
                          <a:noFill/>
                          <a:ln w="9525" cmpd="sng">
                            <a:noFill/>
                            <a:miter lim="800000"/>
                            <a:headEnd/>
                            <a:tailEnd/>
                          </a:ln>
                        </pic:spPr>
                      </pic:pic>
                    </a:graphicData>
                  </a:graphic>
                </wp:inline>
              </w:drawing>
            </w:r>
          </w:p>
        </w:tc>
        <w:tc>
          <w:tcPr>
            <w:tcW w:w="4412" w:type="dxa"/>
          </w:tcPr>
          <w:p w:rsidR="00D1611E" w:rsidRDefault="00D1611E" w:rsidP="00D1611E">
            <w:pPr>
              <w:pStyle w:val="Default"/>
              <w:rPr>
                <w:color w:val="auto"/>
              </w:rPr>
            </w:pPr>
            <w:r>
              <w:rPr>
                <w:noProof/>
                <w:color w:val="auto"/>
              </w:rPr>
              <w:drawing>
                <wp:inline distT="0" distB="0" distL="0" distR="0">
                  <wp:extent cx="2658745" cy="2082800"/>
                  <wp:effectExtent l="19050" t="0" r="8255" b="0"/>
                  <wp:docPr id="30"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5"/>
                          <pic:cNvPicPr>
                            <a:picLocks noChangeAspect="1" noChangeArrowheads="1"/>
                          </pic:cNvPicPr>
                        </pic:nvPicPr>
                        <pic:blipFill>
                          <a:blip r:embed="rId71" cstate="print"/>
                          <a:srcRect/>
                          <a:stretch>
                            <a:fillRect/>
                          </a:stretch>
                        </pic:blipFill>
                        <pic:spPr bwMode="auto">
                          <a:xfrm>
                            <a:off x="0" y="0"/>
                            <a:ext cx="2658745" cy="2082800"/>
                          </a:xfrm>
                          <a:prstGeom prst="rect">
                            <a:avLst/>
                          </a:prstGeom>
                          <a:noFill/>
                          <a:ln w="9525" cmpd="sng">
                            <a:noFill/>
                            <a:miter lim="800000"/>
                            <a:headEnd/>
                            <a:tailEnd/>
                          </a:ln>
                          <a:effectLst/>
                        </pic:spPr>
                      </pic:pic>
                    </a:graphicData>
                  </a:graphic>
                </wp:inline>
              </w:drawing>
            </w:r>
          </w:p>
        </w:tc>
      </w:tr>
      <w:tr w:rsidR="00D1611E" w:rsidTr="00D1611E">
        <w:trPr>
          <w:jc w:val="center"/>
        </w:trPr>
        <w:tc>
          <w:tcPr>
            <w:tcW w:w="4369"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麻栎、青冈</w:t>
            </w:r>
            <w:r>
              <w:rPr>
                <w:rFonts w:hAnsi="Times New Roman"/>
                <w:color w:val="auto"/>
                <w:sz w:val="21"/>
                <w:szCs w:val="21"/>
              </w:rPr>
              <w:t>群系</w:t>
            </w:r>
          </w:p>
        </w:tc>
        <w:tc>
          <w:tcPr>
            <w:tcW w:w="4412"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麻栎、青冈样方调查</w:t>
            </w:r>
          </w:p>
        </w:tc>
      </w:tr>
      <w:tr w:rsidR="00D1611E" w:rsidTr="00D1611E">
        <w:trPr>
          <w:jc w:val="center"/>
        </w:trPr>
        <w:tc>
          <w:tcPr>
            <w:tcW w:w="4369" w:type="dxa"/>
          </w:tcPr>
          <w:p w:rsidR="00D1611E" w:rsidRDefault="00D1611E" w:rsidP="00D1611E">
            <w:pPr>
              <w:pStyle w:val="Default"/>
              <w:jc w:val="center"/>
              <w:rPr>
                <w:color w:val="auto"/>
              </w:rPr>
            </w:pPr>
            <w:r>
              <w:rPr>
                <w:noProof/>
                <w:color w:val="auto"/>
              </w:rPr>
              <w:drawing>
                <wp:inline distT="0" distB="0" distL="0" distR="0">
                  <wp:extent cx="2633345" cy="2006600"/>
                  <wp:effectExtent l="19050" t="0" r="0" b="0"/>
                  <wp:docPr id="2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pic:cNvPicPr>
                            <a:picLocks noChangeAspect="1" noChangeArrowheads="1"/>
                          </pic:cNvPicPr>
                        </pic:nvPicPr>
                        <pic:blipFill>
                          <a:blip r:embed="rId72" cstate="print"/>
                          <a:srcRect/>
                          <a:stretch>
                            <a:fillRect/>
                          </a:stretch>
                        </pic:blipFill>
                        <pic:spPr bwMode="auto">
                          <a:xfrm>
                            <a:off x="0" y="0"/>
                            <a:ext cx="2633345" cy="2006600"/>
                          </a:xfrm>
                          <a:prstGeom prst="rect">
                            <a:avLst/>
                          </a:prstGeom>
                          <a:noFill/>
                          <a:ln w="9525" cmpd="sng">
                            <a:noFill/>
                            <a:miter lim="800000"/>
                            <a:headEnd/>
                            <a:tailEnd/>
                          </a:ln>
                          <a:effectLst/>
                        </pic:spPr>
                      </pic:pic>
                    </a:graphicData>
                  </a:graphic>
                </wp:inline>
              </w:drawing>
            </w:r>
          </w:p>
        </w:tc>
        <w:tc>
          <w:tcPr>
            <w:tcW w:w="4412" w:type="dxa"/>
          </w:tcPr>
          <w:p w:rsidR="00D1611E" w:rsidRDefault="00D1611E" w:rsidP="00D1611E">
            <w:pPr>
              <w:pStyle w:val="Default"/>
              <w:rPr>
                <w:color w:val="auto"/>
              </w:rPr>
            </w:pPr>
            <w:r>
              <w:rPr>
                <w:noProof/>
                <w:color w:val="auto"/>
              </w:rPr>
              <w:drawing>
                <wp:inline distT="0" distB="0" distL="0" distR="0">
                  <wp:extent cx="2709545" cy="1989455"/>
                  <wp:effectExtent l="19050" t="0" r="0" b="0"/>
                  <wp:docPr id="3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4"/>
                          <pic:cNvPicPr>
                            <a:picLocks noChangeAspect="1" noChangeArrowheads="1"/>
                          </pic:cNvPicPr>
                        </pic:nvPicPr>
                        <pic:blipFill>
                          <a:blip r:embed="rId73" cstate="print"/>
                          <a:srcRect/>
                          <a:stretch>
                            <a:fillRect/>
                          </a:stretch>
                        </pic:blipFill>
                        <pic:spPr bwMode="auto">
                          <a:xfrm>
                            <a:off x="0" y="0"/>
                            <a:ext cx="2709545" cy="1989455"/>
                          </a:xfrm>
                          <a:prstGeom prst="rect">
                            <a:avLst/>
                          </a:prstGeom>
                          <a:noFill/>
                          <a:ln w="9525" cmpd="sng">
                            <a:noFill/>
                            <a:miter lim="800000"/>
                            <a:headEnd/>
                            <a:tailEnd/>
                          </a:ln>
                          <a:effectLst/>
                        </pic:spPr>
                      </pic:pic>
                    </a:graphicData>
                  </a:graphic>
                </wp:inline>
              </w:drawing>
            </w:r>
          </w:p>
        </w:tc>
      </w:tr>
      <w:tr w:rsidR="00D1611E" w:rsidTr="00D1611E">
        <w:trPr>
          <w:jc w:val="center"/>
        </w:trPr>
        <w:tc>
          <w:tcPr>
            <w:tcW w:w="4369" w:type="dxa"/>
          </w:tcPr>
          <w:p w:rsidR="00D1611E" w:rsidRDefault="00D1611E" w:rsidP="00D1611E">
            <w:pPr>
              <w:pStyle w:val="Default"/>
              <w:jc w:val="center"/>
              <w:rPr>
                <w:rFonts w:hAnsi="Times New Roman"/>
                <w:color w:val="auto"/>
                <w:sz w:val="21"/>
                <w:szCs w:val="21"/>
              </w:rPr>
            </w:pPr>
            <w:r>
              <w:rPr>
                <w:rFonts w:hAnsi="Times New Roman"/>
                <w:color w:val="auto"/>
                <w:sz w:val="21"/>
                <w:szCs w:val="21"/>
              </w:rPr>
              <w:t>麻栎</w:t>
            </w:r>
            <w:r>
              <w:rPr>
                <w:rFonts w:hAnsi="Times New Roman" w:hint="eastAsia"/>
                <w:color w:val="auto"/>
                <w:sz w:val="21"/>
                <w:szCs w:val="21"/>
              </w:rPr>
              <w:t>、</w:t>
            </w:r>
            <w:r>
              <w:rPr>
                <w:rFonts w:hAnsi="Times New Roman"/>
                <w:color w:val="auto"/>
                <w:sz w:val="21"/>
                <w:szCs w:val="21"/>
              </w:rPr>
              <w:t>柏木混交林</w:t>
            </w:r>
            <w:r>
              <w:rPr>
                <w:rFonts w:hAnsi="Times New Roman" w:hint="eastAsia"/>
                <w:color w:val="auto"/>
                <w:sz w:val="21"/>
                <w:szCs w:val="21"/>
              </w:rPr>
              <w:t>样方调查</w:t>
            </w:r>
          </w:p>
        </w:tc>
        <w:tc>
          <w:tcPr>
            <w:tcW w:w="4412"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麻栎、青冈</w:t>
            </w:r>
            <w:r>
              <w:rPr>
                <w:rFonts w:hAnsi="Times New Roman"/>
                <w:color w:val="auto"/>
                <w:sz w:val="21"/>
                <w:szCs w:val="21"/>
              </w:rPr>
              <w:t>群系</w:t>
            </w:r>
          </w:p>
        </w:tc>
      </w:tr>
      <w:tr w:rsidR="00D1611E" w:rsidTr="00D1611E">
        <w:trPr>
          <w:jc w:val="center"/>
        </w:trPr>
        <w:tc>
          <w:tcPr>
            <w:tcW w:w="4369" w:type="dxa"/>
          </w:tcPr>
          <w:p w:rsidR="00D1611E" w:rsidRDefault="00D1611E" w:rsidP="00D1611E">
            <w:pPr>
              <w:pStyle w:val="Default"/>
              <w:jc w:val="center"/>
              <w:rPr>
                <w:rFonts w:ascii="Times New Roman" w:hAnsi="Times New Roman" w:cs="Times New Roman"/>
                <w:color w:val="auto"/>
                <w:spacing w:val="-4"/>
                <w:sz w:val="21"/>
                <w:szCs w:val="21"/>
              </w:rPr>
            </w:pPr>
            <w:r>
              <w:rPr>
                <w:noProof/>
                <w:color w:val="auto"/>
              </w:rPr>
              <w:drawing>
                <wp:inline distT="0" distB="0" distL="0" distR="0">
                  <wp:extent cx="2633345" cy="1955800"/>
                  <wp:effectExtent l="19050" t="0" r="0" b="0"/>
                  <wp:docPr id="38"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6"/>
                          <pic:cNvPicPr>
                            <a:picLocks noChangeAspect="1" noChangeArrowheads="1"/>
                          </pic:cNvPicPr>
                        </pic:nvPicPr>
                        <pic:blipFill>
                          <a:blip r:embed="rId74" cstate="print"/>
                          <a:srcRect/>
                          <a:stretch>
                            <a:fillRect/>
                          </a:stretch>
                        </pic:blipFill>
                        <pic:spPr bwMode="auto">
                          <a:xfrm>
                            <a:off x="0" y="0"/>
                            <a:ext cx="2633345" cy="1955800"/>
                          </a:xfrm>
                          <a:prstGeom prst="rect">
                            <a:avLst/>
                          </a:prstGeom>
                          <a:noFill/>
                          <a:ln w="9525" cmpd="sng">
                            <a:noFill/>
                            <a:miter lim="800000"/>
                            <a:headEnd/>
                            <a:tailEnd/>
                          </a:ln>
                        </pic:spPr>
                      </pic:pic>
                    </a:graphicData>
                  </a:graphic>
                </wp:inline>
              </w:drawing>
            </w:r>
          </w:p>
        </w:tc>
        <w:tc>
          <w:tcPr>
            <w:tcW w:w="4412" w:type="dxa"/>
          </w:tcPr>
          <w:p w:rsidR="00D1611E" w:rsidRDefault="00D1611E" w:rsidP="00D1611E">
            <w:pPr>
              <w:pStyle w:val="Default"/>
              <w:jc w:val="center"/>
              <w:rPr>
                <w:rFonts w:ascii="Times New Roman" w:hAnsi="Times New Roman" w:cs="Times New Roman"/>
                <w:color w:val="auto"/>
                <w:spacing w:val="-4"/>
                <w:sz w:val="21"/>
                <w:szCs w:val="21"/>
              </w:rPr>
            </w:pPr>
            <w:r>
              <w:rPr>
                <w:noProof/>
                <w:color w:val="auto"/>
              </w:rPr>
              <w:drawing>
                <wp:inline distT="0" distB="0" distL="0" distR="0">
                  <wp:extent cx="2649855" cy="1998345"/>
                  <wp:effectExtent l="19050" t="0" r="0" b="0"/>
                  <wp:docPr id="23"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8"/>
                          <pic:cNvPicPr>
                            <a:picLocks noChangeAspect="1" noChangeArrowheads="1"/>
                          </pic:cNvPicPr>
                        </pic:nvPicPr>
                        <pic:blipFill>
                          <a:blip r:embed="rId75" cstate="print"/>
                          <a:srcRect/>
                          <a:stretch>
                            <a:fillRect/>
                          </a:stretch>
                        </pic:blipFill>
                        <pic:spPr bwMode="auto">
                          <a:xfrm>
                            <a:off x="0" y="0"/>
                            <a:ext cx="2649855" cy="1998345"/>
                          </a:xfrm>
                          <a:prstGeom prst="rect">
                            <a:avLst/>
                          </a:prstGeom>
                          <a:noFill/>
                          <a:ln w="9525" cmpd="sng">
                            <a:noFill/>
                            <a:miter lim="800000"/>
                            <a:headEnd/>
                            <a:tailEnd/>
                          </a:ln>
                        </pic:spPr>
                      </pic:pic>
                    </a:graphicData>
                  </a:graphic>
                </wp:inline>
              </w:drawing>
            </w:r>
          </w:p>
        </w:tc>
      </w:tr>
      <w:tr w:rsidR="00D1611E" w:rsidTr="00D1611E">
        <w:trPr>
          <w:jc w:val="center"/>
        </w:trPr>
        <w:tc>
          <w:tcPr>
            <w:tcW w:w="4369" w:type="dxa"/>
          </w:tcPr>
          <w:p w:rsidR="00D1611E" w:rsidRDefault="00D1611E" w:rsidP="00D1611E">
            <w:pPr>
              <w:pStyle w:val="Default"/>
              <w:jc w:val="center"/>
              <w:rPr>
                <w:rFonts w:hAnsi="Times New Roman"/>
                <w:color w:val="auto"/>
                <w:sz w:val="21"/>
                <w:szCs w:val="21"/>
              </w:rPr>
            </w:pPr>
            <w:r>
              <w:rPr>
                <w:rFonts w:hAnsi="Times New Roman"/>
                <w:color w:val="auto"/>
                <w:sz w:val="21"/>
                <w:szCs w:val="21"/>
              </w:rPr>
              <w:t>灌丛群系</w:t>
            </w:r>
            <w:r>
              <w:rPr>
                <w:rFonts w:hAnsi="Times New Roman" w:hint="eastAsia"/>
                <w:color w:val="auto"/>
                <w:sz w:val="21"/>
                <w:szCs w:val="21"/>
              </w:rPr>
              <w:t>样方调查</w:t>
            </w:r>
          </w:p>
        </w:tc>
        <w:tc>
          <w:tcPr>
            <w:tcW w:w="4412" w:type="dxa"/>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灌丛</w:t>
            </w:r>
            <w:r>
              <w:rPr>
                <w:rFonts w:hAnsi="Times New Roman"/>
                <w:color w:val="auto"/>
                <w:sz w:val="21"/>
                <w:szCs w:val="21"/>
              </w:rPr>
              <w:t>群系</w:t>
            </w:r>
          </w:p>
        </w:tc>
      </w:tr>
      <w:tr w:rsidR="00D1611E" w:rsidTr="00D1611E">
        <w:trPr>
          <w:jc w:val="center"/>
        </w:trPr>
        <w:tc>
          <w:tcPr>
            <w:tcW w:w="4369" w:type="dxa"/>
          </w:tcPr>
          <w:p w:rsidR="00D1611E" w:rsidRDefault="00D1611E" w:rsidP="00D1611E">
            <w:pPr>
              <w:pStyle w:val="Default"/>
              <w:jc w:val="center"/>
              <w:rPr>
                <w:color w:val="auto"/>
              </w:rPr>
            </w:pPr>
            <w:r>
              <w:rPr>
                <w:noProof/>
                <w:color w:val="auto"/>
              </w:rPr>
              <w:lastRenderedPageBreak/>
              <w:drawing>
                <wp:inline distT="0" distB="0" distL="0" distR="0">
                  <wp:extent cx="2624455" cy="2006600"/>
                  <wp:effectExtent l="19050" t="0" r="4445" b="0"/>
                  <wp:docPr id="9"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2"/>
                          <pic:cNvPicPr>
                            <a:picLocks noChangeAspect="1" noChangeArrowheads="1"/>
                          </pic:cNvPicPr>
                        </pic:nvPicPr>
                        <pic:blipFill>
                          <a:blip r:embed="rId76" cstate="print"/>
                          <a:srcRect/>
                          <a:stretch>
                            <a:fillRect/>
                          </a:stretch>
                        </pic:blipFill>
                        <pic:spPr bwMode="auto">
                          <a:xfrm>
                            <a:off x="0" y="0"/>
                            <a:ext cx="2624455" cy="2006600"/>
                          </a:xfrm>
                          <a:prstGeom prst="rect">
                            <a:avLst/>
                          </a:prstGeom>
                          <a:noFill/>
                          <a:ln w="9525" cmpd="sng">
                            <a:noFill/>
                            <a:miter lim="800000"/>
                            <a:headEnd/>
                            <a:tailEnd/>
                          </a:ln>
                          <a:effectLst/>
                        </pic:spPr>
                      </pic:pic>
                    </a:graphicData>
                  </a:graphic>
                </wp:inline>
              </w:drawing>
            </w:r>
          </w:p>
        </w:tc>
        <w:tc>
          <w:tcPr>
            <w:tcW w:w="4412" w:type="dxa"/>
          </w:tcPr>
          <w:p w:rsidR="00D1611E" w:rsidRDefault="00D1611E" w:rsidP="00D1611E">
            <w:pPr>
              <w:pStyle w:val="Default"/>
              <w:jc w:val="center"/>
              <w:rPr>
                <w:color w:val="auto"/>
              </w:rPr>
            </w:pPr>
            <w:r>
              <w:rPr>
                <w:noProof/>
                <w:color w:val="auto"/>
              </w:rPr>
              <w:drawing>
                <wp:inline distT="0" distB="0" distL="0" distR="0">
                  <wp:extent cx="2667000" cy="2065655"/>
                  <wp:effectExtent l="19050" t="0" r="0" b="0"/>
                  <wp:docPr id="4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
                          <pic:cNvPicPr>
                            <a:picLocks noChangeAspect="1" noChangeArrowheads="1"/>
                          </pic:cNvPicPr>
                        </pic:nvPicPr>
                        <pic:blipFill>
                          <a:blip r:embed="rId77" cstate="print"/>
                          <a:srcRect/>
                          <a:stretch>
                            <a:fillRect/>
                          </a:stretch>
                        </pic:blipFill>
                        <pic:spPr bwMode="auto">
                          <a:xfrm>
                            <a:off x="0" y="0"/>
                            <a:ext cx="2667000" cy="2065655"/>
                          </a:xfrm>
                          <a:prstGeom prst="rect">
                            <a:avLst/>
                          </a:prstGeom>
                          <a:noFill/>
                          <a:ln w="9525" cmpd="sng">
                            <a:noFill/>
                            <a:miter lim="800000"/>
                            <a:headEnd/>
                            <a:tailEnd/>
                          </a:ln>
                          <a:effectLst/>
                        </pic:spPr>
                      </pic:pic>
                    </a:graphicData>
                  </a:graphic>
                </wp:inline>
              </w:drawing>
            </w:r>
          </w:p>
        </w:tc>
      </w:tr>
      <w:tr w:rsidR="00D1611E" w:rsidTr="00D1611E">
        <w:trPr>
          <w:jc w:val="center"/>
        </w:trPr>
        <w:tc>
          <w:tcPr>
            <w:tcW w:w="4369" w:type="dxa"/>
          </w:tcPr>
          <w:p w:rsidR="00D1611E" w:rsidRDefault="00D1611E" w:rsidP="00D1611E">
            <w:pPr>
              <w:pStyle w:val="Default"/>
              <w:jc w:val="center"/>
              <w:rPr>
                <w:rFonts w:hAnsi="Times New Roman"/>
                <w:color w:val="auto"/>
                <w:sz w:val="21"/>
                <w:szCs w:val="21"/>
              </w:rPr>
            </w:pPr>
            <w:r>
              <w:rPr>
                <w:rFonts w:hAnsi="Times New Roman"/>
                <w:color w:val="auto"/>
                <w:sz w:val="21"/>
                <w:szCs w:val="21"/>
              </w:rPr>
              <w:t>马桑、黄荆、火棘</w:t>
            </w:r>
            <w:r>
              <w:rPr>
                <w:rFonts w:hAnsi="Times New Roman" w:hint="eastAsia"/>
                <w:color w:val="auto"/>
                <w:sz w:val="21"/>
                <w:szCs w:val="21"/>
              </w:rPr>
              <w:t>灌丛</w:t>
            </w:r>
            <w:r>
              <w:rPr>
                <w:rFonts w:hAnsi="Times New Roman"/>
                <w:color w:val="auto"/>
                <w:sz w:val="21"/>
                <w:szCs w:val="21"/>
              </w:rPr>
              <w:t>群系</w:t>
            </w:r>
            <w:r>
              <w:rPr>
                <w:rFonts w:hAnsi="Times New Roman" w:hint="eastAsia"/>
                <w:color w:val="auto"/>
                <w:sz w:val="21"/>
                <w:szCs w:val="21"/>
              </w:rPr>
              <w:t>样方调查</w:t>
            </w:r>
          </w:p>
        </w:tc>
        <w:tc>
          <w:tcPr>
            <w:tcW w:w="4412" w:type="dxa"/>
          </w:tcPr>
          <w:p w:rsidR="00D1611E" w:rsidRDefault="00D1611E" w:rsidP="00D1611E">
            <w:pPr>
              <w:pStyle w:val="Default"/>
              <w:jc w:val="center"/>
              <w:rPr>
                <w:rFonts w:hAnsi="Times New Roman"/>
                <w:color w:val="auto"/>
                <w:sz w:val="21"/>
                <w:szCs w:val="21"/>
              </w:rPr>
            </w:pPr>
            <w:r>
              <w:rPr>
                <w:rFonts w:hAnsi="Times New Roman"/>
                <w:color w:val="auto"/>
                <w:sz w:val="21"/>
                <w:szCs w:val="21"/>
              </w:rPr>
              <w:t>马桑、黄荆、火棘</w:t>
            </w:r>
            <w:r>
              <w:rPr>
                <w:rFonts w:hAnsi="Times New Roman" w:hint="eastAsia"/>
                <w:color w:val="auto"/>
                <w:sz w:val="21"/>
                <w:szCs w:val="21"/>
              </w:rPr>
              <w:t>灌丛</w:t>
            </w:r>
            <w:r>
              <w:rPr>
                <w:rFonts w:hAnsi="Times New Roman"/>
                <w:color w:val="auto"/>
                <w:sz w:val="21"/>
                <w:szCs w:val="21"/>
              </w:rPr>
              <w:t>群系</w:t>
            </w:r>
          </w:p>
        </w:tc>
      </w:tr>
      <w:tr w:rsidR="00D1611E" w:rsidTr="00D1611E">
        <w:trPr>
          <w:jc w:val="center"/>
        </w:trPr>
        <w:tc>
          <w:tcPr>
            <w:tcW w:w="4369" w:type="dxa"/>
          </w:tcPr>
          <w:p w:rsidR="00D1611E" w:rsidRDefault="00D1611E" w:rsidP="00D1611E">
            <w:pPr>
              <w:pStyle w:val="Default"/>
              <w:jc w:val="center"/>
              <w:rPr>
                <w:rFonts w:hAnsi="Times New Roman"/>
                <w:color w:val="auto"/>
                <w:sz w:val="21"/>
                <w:szCs w:val="21"/>
              </w:rPr>
            </w:pPr>
            <w:r>
              <w:rPr>
                <w:noProof/>
                <w:color w:val="auto"/>
              </w:rPr>
              <w:drawing>
                <wp:inline distT="0" distB="0" distL="0" distR="0">
                  <wp:extent cx="2624455" cy="1871345"/>
                  <wp:effectExtent l="19050" t="0" r="4445" b="0"/>
                  <wp:docPr id="6"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0"/>
                          <pic:cNvPicPr>
                            <a:picLocks noChangeAspect="1" noChangeArrowheads="1"/>
                          </pic:cNvPicPr>
                        </pic:nvPicPr>
                        <pic:blipFill>
                          <a:blip r:embed="rId78" cstate="print"/>
                          <a:srcRect/>
                          <a:stretch>
                            <a:fillRect/>
                          </a:stretch>
                        </pic:blipFill>
                        <pic:spPr bwMode="auto">
                          <a:xfrm>
                            <a:off x="0" y="0"/>
                            <a:ext cx="2624455" cy="1871345"/>
                          </a:xfrm>
                          <a:prstGeom prst="rect">
                            <a:avLst/>
                          </a:prstGeom>
                          <a:noFill/>
                          <a:ln w="9525" cmpd="sng">
                            <a:noFill/>
                            <a:miter lim="800000"/>
                            <a:headEnd/>
                            <a:tailEnd/>
                          </a:ln>
                        </pic:spPr>
                      </pic:pic>
                    </a:graphicData>
                  </a:graphic>
                </wp:inline>
              </w:drawing>
            </w:r>
          </w:p>
        </w:tc>
        <w:tc>
          <w:tcPr>
            <w:tcW w:w="4412" w:type="dxa"/>
          </w:tcPr>
          <w:p w:rsidR="00D1611E" w:rsidRDefault="00D1611E" w:rsidP="00D1611E">
            <w:pPr>
              <w:pStyle w:val="Default"/>
              <w:jc w:val="center"/>
              <w:rPr>
                <w:rFonts w:hAnsi="Times New Roman"/>
                <w:color w:val="auto"/>
                <w:sz w:val="21"/>
                <w:szCs w:val="21"/>
              </w:rPr>
            </w:pPr>
            <w:r>
              <w:rPr>
                <w:noProof/>
                <w:color w:val="auto"/>
              </w:rPr>
              <w:drawing>
                <wp:inline distT="0" distB="0" distL="0" distR="0">
                  <wp:extent cx="2658745" cy="1896745"/>
                  <wp:effectExtent l="19050" t="0" r="8255" b="0"/>
                  <wp:docPr id="43"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1"/>
                          <pic:cNvPicPr>
                            <a:picLocks noChangeAspect="1" noChangeArrowheads="1"/>
                          </pic:cNvPicPr>
                        </pic:nvPicPr>
                        <pic:blipFill>
                          <a:blip r:embed="rId79" cstate="print"/>
                          <a:srcRect/>
                          <a:stretch>
                            <a:fillRect/>
                          </a:stretch>
                        </pic:blipFill>
                        <pic:spPr bwMode="auto">
                          <a:xfrm>
                            <a:off x="0" y="0"/>
                            <a:ext cx="2658745" cy="1896745"/>
                          </a:xfrm>
                          <a:prstGeom prst="rect">
                            <a:avLst/>
                          </a:prstGeom>
                          <a:noFill/>
                          <a:ln w="9525" cmpd="sng">
                            <a:noFill/>
                            <a:miter lim="800000"/>
                            <a:headEnd/>
                            <a:tailEnd/>
                          </a:ln>
                          <a:effectLst/>
                        </pic:spPr>
                      </pic:pic>
                    </a:graphicData>
                  </a:graphic>
                </wp:inline>
              </w:drawing>
            </w:r>
          </w:p>
        </w:tc>
      </w:tr>
      <w:tr w:rsidR="00D1611E" w:rsidTr="00D1611E">
        <w:trPr>
          <w:jc w:val="center"/>
        </w:trPr>
        <w:tc>
          <w:tcPr>
            <w:tcW w:w="8781" w:type="dxa"/>
            <w:gridSpan w:val="2"/>
          </w:tcPr>
          <w:p w:rsidR="00D1611E" w:rsidRDefault="00D1611E" w:rsidP="00D1611E">
            <w:pPr>
              <w:pStyle w:val="Default"/>
              <w:jc w:val="center"/>
              <w:rPr>
                <w:rFonts w:hAnsi="Times New Roman"/>
                <w:color w:val="auto"/>
                <w:sz w:val="21"/>
                <w:szCs w:val="21"/>
              </w:rPr>
            </w:pPr>
            <w:r>
              <w:rPr>
                <w:rFonts w:hAnsi="Times New Roman" w:hint="eastAsia"/>
                <w:color w:val="auto"/>
                <w:sz w:val="21"/>
                <w:szCs w:val="21"/>
              </w:rPr>
              <w:t>白茅、五节芒、斑茅</w:t>
            </w:r>
            <w:r>
              <w:rPr>
                <w:rFonts w:hAnsi="Times New Roman"/>
                <w:color w:val="auto"/>
                <w:sz w:val="21"/>
                <w:szCs w:val="21"/>
              </w:rPr>
              <w:t>群系</w:t>
            </w:r>
            <w:r>
              <w:rPr>
                <w:rFonts w:hAnsi="Times New Roman" w:hint="eastAsia"/>
                <w:color w:val="auto"/>
                <w:sz w:val="21"/>
                <w:szCs w:val="21"/>
              </w:rPr>
              <w:t>样方调查</w:t>
            </w:r>
          </w:p>
        </w:tc>
      </w:tr>
    </w:tbl>
    <w:p w:rsidR="00D1611E" w:rsidRPr="00D630D1" w:rsidRDefault="00D1611E" w:rsidP="00D1611E">
      <w:pPr>
        <w:pStyle w:val="afa"/>
        <w:ind w:firstLineChars="0" w:firstLine="0"/>
        <w:jc w:val="center"/>
        <w:rPr>
          <w:kern w:val="2"/>
          <w:szCs w:val="24"/>
        </w:rPr>
      </w:pPr>
      <w:r>
        <w:rPr>
          <w:b/>
        </w:rPr>
        <w:t>图</w:t>
      </w:r>
      <w:r>
        <w:rPr>
          <w:rFonts w:hint="eastAsia"/>
          <w:b/>
        </w:rPr>
        <w:t>5</w:t>
      </w:r>
      <w:r>
        <w:rPr>
          <w:b/>
        </w:rPr>
        <w:t>.</w:t>
      </w:r>
      <w:r>
        <w:rPr>
          <w:rFonts w:hint="eastAsia"/>
          <w:b/>
        </w:rPr>
        <w:t>2</w:t>
      </w:r>
      <w:r>
        <w:rPr>
          <w:b/>
        </w:rPr>
        <w:t>-</w:t>
      </w:r>
      <w:r>
        <w:rPr>
          <w:rFonts w:hint="eastAsia"/>
          <w:b/>
        </w:rPr>
        <w:t>1</w:t>
      </w:r>
      <w:r>
        <w:rPr>
          <w:b/>
        </w:rPr>
        <w:t xml:space="preserve"> </w:t>
      </w:r>
      <w:r>
        <w:rPr>
          <w:b/>
        </w:rPr>
        <w:t>陆生植被调查照片</w:t>
      </w:r>
    </w:p>
    <w:p w:rsidR="00BD5448" w:rsidRPr="00D630D1" w:rsidRDefault="00521C82" w:rsidP="00521C82">
      <w:pPr>
        <w:pStyle w:val="afa"/>
        <w:ind w:firstLineChars="0" w:firstLine="0"/>
      </w:pPr>
      <w:r w:rsidRPr="00D630D1">
        <w:rPr>
          <w:spacing w:val="-9"/>
          <w:szCs w:val="24"/>
        </w:rPr>
        <w:t>评价范围陆生植被样方记录表如下：</w:t>
      </w:r>
    </w:p>
    <w:p w:rsidR="00521C82" w:rsidRDefault="00521C82" w:rsidP="00521C82">
      <w:pPr>
        <w:topLinePunct w:val="0"/>
        <w:adjustRightInd/>
        <w:spacing w:line="500" w:lineRule="exact"/>
        <w:ind w:left="60" w:right="100" w:firstLineChars="0" w:firstLine="482"/>
        <w:jc w:val="center"/>
        <w:rPr>
          <w:rFonts w:ascii="Times New Roman" w:cs="Times New Roman"/>
          <w:b/>
          <w:kern w:val="2"/>
          <w:sz w:val="21"/>
          <w:szCs w:val="20"/>
        </w:rPr>
      </w:pPr>
      <w:r w:rsidRPr="00D630D1">
        <w:rPr>
          <w:rFonts w:ascii="Times New Roman" w:cs="Times New Roman"/>
          <w:b/>
          <w:kern w:val="2"/>
          <w:sz w:val="21"/>
          <w:szCs w:val="20"/>
        </w:rPr>
        <w:t>样方</w:t>
      </w:r>
      <w:r w:rsidRPr="00D630D1">
        <w:rPr>
          <w:rFonts w:ascii="Times New Roman" w:cs="Times New Roman"/>
          <w:b/>
          <w:kern w:val="2"/>
          <w:sz w:val="21"/>
          <w:szCs w:val="20"/>
        </w:rPr>
        <w:t>1</w:t>
      </w:r>
      <w:r w:rsidRPr="00D630D1">
        <w:rPr>
          <w:rFonts w:ascii="Times New Roman" w:cs="Times New Roman" w:hint="eastAsia"/>
          <w:b/>
          <w:kern w:val="2"/>
          <w:sz w:val="21"/>
          <w:szCs w:val="20"/>
        </w:rPr>
        <w:t xml:space="preserve"> </w:t>
      </w:r>
      <w:r w:rsidRPr="00D630D1">
        <w:rPr>
          <w:rFonts w:ascii="Times New Roman" w:cs="Times New Roman" w:hint="eastAsia"/>
          <w:b/>
          <w:kern w:val="2"/>
          <w:sz w:val="21"/>
          <w:szCs w:val="20"/>
        </w:rPr>
        <w:t>马尾松群落样方表</w:t>
      </w:r>
    </w:p>
    <w:tbl>
      <w:tblPr>
        <w:tblW w:w="942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570"/>
        <w:gridCol w:w="3928"/>
        <w:gridCol w:w="703"/>
        <w:gridCol w:w="481"/>
        <w:gridCol w:w="621"/>
        <w:gridCol w:w="648"/>
        <w:gridCol w:w="550"/>
        <w:gridCol w:w="523"/>
        <w:gridCol w:w="659"/>
        <w:gridCol w:w="743"/>
      </w:tblGrid>
      <w:tr w:rsidR="00D1611E" w:rsidRPr="00D1611E" w:rsidTr="00D1611E">
        <w:trPr>
          <w:trHeight w:val="755"/>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坐标</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107.8260,31.5301</w:t>
            </w:r>
          </w:p>
        </w:tc>
        <w:tc>
          <w:tcPr>
            <w:tcW w:w="70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海拔</w:t>
            </w:r>
            <w:r w:rsidRPr="00D1611E">
              <w:rPr>
                <w:rFonts w:ascii="Times New Roman" w:cs="Times New Roman"/>
                <w:bCs/>
                <w:kern w:val="2"/>
                <w:sz w:val="21"/>
                <w:szCs w:val="21"/>
              </w:rPr>
              <w:t>(m)</w:t>
            </w:r>
          </w:p>
        </w:tc>
        <w:tc>
          <w:tcPr>
            <w:tcW w:w="481"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1014</w:t>
            </w:r>
          </w:p>
        </w:tc>
        <w:tc>
          <w:tcPr>
            <w:tcW w:w="621"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土壤类型</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sz w:val="21"/>
                <w:szCs w:val="21"/>
              </w:rPr>
            </w:pPr>
            <w:r w:rsidRPr="00D1611E">
              <w:rPr>
                <w:rFonts w:ascii="Times New Roman" w:cs="Times New Roman" w:hint="eastAsia"/>
                <w:bCs/>
                <w:sz w:val="21"/>
                <w:szCs w:val="21"/>
              </w:rPr>
              <w:t>壤土</w:t>
            </w:r>
          </w:p>
        </w:tc>
        <w:tc>
          <w:tcPr>
            <w:tcW w:w="55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坡度</w:t>
            </w:r>
          </w:p>
        </w:tc>
        <w:tc>
          <w:tcPr>
            <w:tcW w:w="52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坡向</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S</w:t>
            </w:r>
          </w:p>
        </w:tc>
      </w:tr>
      <w:tr w:rsidR="00D1611E" w:rsidRPr="00D1611E" w:rsidTr="00D1611E">
        <w:trPr>
          <w:trHeight w:val="308"/>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中文名</w:t>
            </w:r>
            <w:r w:rsidRPr="00D1611E">
              <w:rPr>
                <w:rFonts w:ascii="Times New Roman" w:cs="Times New Roman" w:hint="eastAsia"/>
                <w:bCs/>
                <w:kern w:val="2"/>
                <w:sz w:val="21"/>
                <w:szCs w:val="21"/>
              </w:rPr>
              <w:t>（</w:t>
            </w:r>
            <w:r w:rsidRPr="00D1611E">
              <w:rPr>
                <w:rFonts w:ascii="Times New Roman" w:cs="Times New Roman"/>
                <w:bCs/>
                <w:kern w:val="2"/>
                <w:sz w:val="21"/>
                <w:szCs w:val="21"/>
              </w:rPr>
              <w:t>拉丁名</w:t>
            </w:r>
            <w:r w:rsidRPr="00D1611E">
              <w:rPr>
                <w:rFonts w:ascii="Times New Roman" w:cs="Times New Roman" w:hint="eastAsia"/>
                <w:bCs/>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平均高度</w:t>
            </w:r>
            <w:r w:rsidRPr="00D1611E">
              <w:rPr>
                <w:rFonts w:ascii="Times New Roman" w:cs="Times New Roman"/>
                <w:bCs/>
                <w:kern w:val="2"/>
                <w:sz w:val="21"/>
                <w:szCs w:val="21"/>
              </w:rPr>
              <w:t>m</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株数</w:t>
            </w:r>
            <w:r w:rsidRPr="00D1611E">
              <w:rPr>
                <w:rFonts w:ascii="Times New Roman" w:cs="Times New Roman"/>
                <w:bCs/>
                <w:kern w:val="2"/>
                <w:sz w:val="21"/>
                <w:szCs w:val="21"/>
              </w:rPr>
              <w:t>/</w:t>
            </w:r>
            <w:r w:rsidRPr="00D1611E">
              <w:rPr>
                <w:rFonts w:ascii="Times New Roman" w:cs="Times New Roman"/>
                <w:bCs/>
                <w:kern w:val="2"/>
                <w:sz w:val="21"/>
                <w:szCs w:val="21"/>
              </w:rPr>
              <w:t>多度</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平均胸径</w:t>
            </w:r>
            <w:r w:rsidRPr="00D1611E">
              <w:rPr>
                <w:rFonts w:ascii="Times New Roman" w:cs="Times New Roman"/>
                <w:bCs/>
                <w:kern w:val="2"/>
                <w:sz w:val="21"/>
                <w:szCs w:val="21"/>
              </w:rPr>
              <w:t>cm</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w:t>
            </w:r>
          </w:p>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冠幅</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茂盛</w:t>
            </w:r>
          </w:p>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度</w:t>
            </w:r>
          </w:p>
        </w:tc>
      </w:tr>
      <w:tr w:rsidR="00D1611E" w:rsidRPr="00D1611E" w:rsidTr="00D1611E">
        <w:trPr>
          <w:trHeight w:val="308"/>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乔木层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马尾松（</w:t>
            </w:r>
            <w:r w:rsidRPr="00D1611E">
              <w:rPr>
                <w:rFonts w:ascii="Times New Roman" w:cs="Times New Roman"/>
                <w:i/>
                <w:iCs/>
                <w:kern w:val="2"/>
                <w:sz w:val="21"/>
                <w:szCs w:val="21"/>
              </w:rPr>
              <w:t>Pinus massoniana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14</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24</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23</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4</w:t>
            </w:r>
            <w:r w:rsidRPr="00D1611E">
              <w:rPr>
                <w:rFonts w:ascii="Times New Roman" w:cs="Times New Roman"/>
                <w:bCs/>
                <w:kern w:val="2"/>
                <w:sz w:val="21"/>
                <w:szCs w:val="21"/>
              </w:rPr>
              <w:t>*</w:t>
            </w:r>
            <w:r w:rsidRPr="00D1611E">
              <w:rPr>
                <w:rFonts w:ascii="Times New Roman" w:cs="Times New Roman" w:hint="eastAsia"/>
                <w:bCs/>
                <w:kern w:val="2"/>
                <w:sz w:val="21"/>
                <w:szCs w:val="21"/>
              </w:rPr>
              <w:t>4</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灌木层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铁仔（</w:t>
            </w:r>
            <w:r w:rsidRPr="00D1611E">
              <w:rPr>
                <w:rFonts w:ascii="Times New Roman" w:cs="Times New Roman"/>
                <w:i/>
                <w:iCs/>
                <w:kern w:val="2"/>
                <w:sz w:val="21"/>
                <w:szCs w:val="21"/>
              </w:rPr>
              <w:t>Myrsine africana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2.0</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12</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w:t>
            </w:r>
            <w:r w:rsidRPr="00D1611E">
              <w:rPr>
                <w:rFonts w:ascii="Times New Roman" w:cs="Times New Roman" w:hint="eastAsia"/>
                <w:bCs/>
                <w:kern w:val="2"/>
                <w:sz w:val="21"/>
                <w:szCs w:val="21"/>
              </w:rPr>
              <w:t>6</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小果蔷薇（</w:t>
            </w:r>
            <w:r w:rsidRPr="00D1611E">
              <w:rPr>
                <w:rFonts w:ascii="Times New Roman" w:cs="Times New Roman"/>
                <w:i/>
                <w:iCs/>
                <w:kern w:val="2"/>
                <w:sz w:val="21"/>
                <w:szCs w:val="21"/>
              </w:rPr>
              <w:t>Rosa cymosa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11</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w:t>
            </w:r>
            <w:r w:rsidRPr="00D1611E">
              <w:rPr>
                <w:rFonts w:ascii="Times New Roman" w:cs="Times New Roman" w:hint="eastAsia"/>
                <w:bCs/>
                <w:kern w:val="2"/>
                <w:sz w:val="21"/>
                <w:szCs w:val="21"/>
              </w:rPr>
              <w:t>8</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乌泡子（</w:t>
            </w:r>
            <w:r w:rsidRPr="00D1611E">
              <w:rPr>
                <w:rFonts w:ascii="Times New Roman" w:cs="Times New Roman"/>
                <w:i/>
                <w:iCs/>
                <w:kern w:val="2"/>
                <w:sz w:val="21"/>
                <w:szCs w:val="21"/>
              </w:rPr>
              <w:t>Rubus parkeri</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w:t>
            </w:r>
            <w:r w:rsidRPr="00D1611E">
              <w:rPr>
                <w:rFonts w:ascii="Times New Roman" w:cs="Times New Roman" w:hint="eastAsia"/>
                <w:bCs/>
                <w:kern w:val="2"/>
                <w:sz w:val="21"/>
                <w:szCs w:val="21"/>
              </w:rPr>
              <w:t>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8</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金山荚蒾（</w:t>
            </w:r>
            <w:r w:rsidRPr="00D1611E">
              <w:rPr>
                <w:rFonts w:ascii="Times New Roman" w:cs="Times New Roman"/>
                <w:i/>
                <w:iCs/>
                <w:kern w:val="2"/>
                <w:sz w:val="21"/>
                <w:szCs w:val="21"/>
              </w:rPr>
              <w:t>Viburnum chinshanense</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w:t>
            </w:r>
            <w:r w:rsidRPr="00D1611E">
              <w:rPr>
                <w:rFonts w:ascii="Times New Roman" w:cs="Times New Roman" w:hint="eastAsia"/>
                <w:bCs/>
                <w:kern w:val="2"/>
                <w:sz w:val="21"/>
                <w:szCs w:val="21"/>
              </w:rPr>
              <w:t>4</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4</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w:t>
            </w:r>
            <w:r w:rsidRPr="00D1611E">
              <w:rPr>
                <w:rFonts w:ascii="Times New Roman" w:cs="Times New Roman" w:hint="eastAsia"/>
                <w:bCs/>
                <w:kern w:val="2"/>
                <w:sz w:val="21"/>
                <w:szCs w:val="21"/>
              </w:rPr>
              <w:t>2</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w:t>
            </w:r>
          </w:p>
        </w:tc>
      </w:tr>
      <w:tr w:rsidR="00D1611E" w:rsidRPr="00D1611E" w:rsidTr="00D1611E">
        <w:trPr>
          <w:trHeight w:val="308"/>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草本</w:t>
            </w:r>
            <w:r w:rsidRPr="00D1611E">
              <w:rPr>
                <w:rFonts w:ascii="Times New Roman" w:cs="Times New Roman"/>
                <w:bCs/>
                <w:kern w:val="2"/>
                <w:sz w:val="21"/>
                <w:szCs w:val="21"/>
              </w:rPr>
              <w:lastRenderedPageBreak/>
              <w:t>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lastRenderedPageBreak/>
              <w:t>白茅</w:t>
            </w:r>
            <w:r w:rsidRPr="00D1611E">
              <w:rPr>
                <w:rFonts w:ascii="Times New Roman" w:cs="Times New Roman"/>
                <w:bCs/>
                <w:i/>
                <w:iCs/>
                <w:kern w:val="2"/>
                <w:sz w:val="21"/>
                <w:szCs w:val="21"/>
              </w:rPr>
              <w:t>Imperata cylindrica.</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w:t>
            </w:r>
            <w:r w:rsidRPr="00D1611E">
              <w:rPr>
                <w:rFonts w:ascii="Times New Roman" w:cs="Times New Roman" w:hint="eastAsia"/>
                <w:bCs/>
                <w:kern w:val="2"/>
                <w:sz w:val="21"/>
                <w:szCs w:val="21"/>
              </w:rPr>
              <w:t>6</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Soc</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五节芒</w:t>
            </w:r>
            <w:r w:rsidRPr="00D1611E">
              <w:rPr>
                <w:rFonts w:ascii="Times New Roman" w:cs="Times New Roman"/>
                <w:bCs/>
                <w:i/>
                <w:iCs/>
                <w:kern w:val="2"/>
                <w:sz w:val="21"/>
                <w:szCs w:val="21"/>
              </w:rPr>
              <w:t>Miscanthus floridulus</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0.4</w:t>
            </w:r>
            <w:r w:rsidRPr="00D1611E">
              <w:rPr>
                <w:rFonts w:ascii="Times New Roman" w:cs="Times New Roman" w:hint="eastAsia"/>
                <w:bCs/>
                <w:kern w:val="2"/>
                <w:sz w:val="21"/>
                <w:szCs w:val="21"/>
              </w:rPr>
              <w:t>0</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Cop</w:t>
            </w:r>
            <w:r w:rsidRPr="00D1611E">
              <w:rPr>
                <w:rFonts w:ascii="Times New Roman" w:cs="Times New Roman"/>
                <w:bCs/>
                <w:kern w:val="2"/>
                <w:sz w:val="21"/>
                <w:szCs w:val="21"/>
                <w:vertAlign w:val="subscript"/>
              </w:rPr>
              <w:t>1</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芒</w:t>
            </w:r>
            <w:r w:rsidRPr="00D1611E">
              <w:rPr>
                <w:rFonts w:ascii="Times New Roman" w:cs="Times New Roman"/>
                <w:bCs/>
                <w:i/>
                <w:iCs/>
                <w:kern w:val="2"/>
                <w:sz w:val="21"/>
                <w:szCs w:val="21"/>
              </w:rPr>
              <w:t>Miscanthus sinensis</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0.25</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Sp.</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bl>
    <w:p w:rsidR="00521C82" w:rsidRDefault="00521C82" w:rsidP="00521C82">
      <w:pPr>
        <w:topLinePunct w:val="0"/>
        <w:adjustRightInd/>
        <w:spacing w:line="500" w:lineRule="exact"/>
        <w:ind w:left="60" w:right="100" w:firstLineChars="0" w:firstLine="482"/>
        <w:jc w:val="center"/>
        <w:rPr>
          <w:rFonts w:ascii="Times New Roman" w:cs="Times New Roman"/>
          <w:b/>
          <w:kern w:val="2"/>
          <w:sz w:val="21"/>
          <w:szCs w:val="20"/>
        </w:rPr>
      </w:pPr>
      <w:r w:rsidRPr="00D630D1">
        <w:rPr>
          <w:rFonts w:ascii="Times New Roman" w:cs="Times New Roman"/>
          <w:b/>
          <w:kern w:val="2"/>
          <w:sz w:val="21"/>
          <w:szCs w:val="20"/>
        </w:rPr>
        <w:lastRenderedPageBreak/>
        <w:t>样方</w:t>
      </w:r>
      <w:r w:rsidRPr="00D630D1">
        <w:rPr>
          <w:rFonts w:ascii="Times New Roman" w:cs="Times New Roman" w:hint="eastAsia"/>
          <w:b/>
          <w:kern w:val="2"/>
          <w:sz w:val="21"/>
          <w:szCs w:val="20"/>
        </w:rPr>
        <w:t xml:space="preserve">2 </w:t>
      </w:r>
      <w:r w:rsidRPr="00D630D1">
        <w:rPr>
          <w:rFonts w:ascii="Times New Roman" w:cs="Times New Roman"/>
          <w:b/>
          <w:kern w:val="2"/>
          <w:sz w:val="21"/>
          <w:szCs w:val="20"/>
        </w:rPr>
        <w:t>柏木</w:t>
      </w:r>
      <w:r w:rsidRPr="00D630D1">
        <w:rPr>
          <w:rFonts w:ascii="Times New Roman" w:cs="Times New Roman" w:hint="eastAsia"/>
          <w:b/>
          <w:kern w:val="2"/>
          <w:sz w:val="21"/>
          <w:szCs w:val="20"/>
        </w:rPr>
        <w:t>群落样方表</w:t>
      </w:r>
    </w:p>
    <w:tbl>
      <w:tblPr>
        <w:tblW w:w="942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570"/>
        <w:gridCol w:w="3928"/>
        <w:gridCol w:w="703"/>
        <w:gridCol w:w="481"/>
        <w:gridCol w:w="621"/>
        <w:gridCol w:w="648"/>
        <w:gridCol w:w="550"/>
        <w:gridCol w:w="523"/>
        <w:gridCol w:w="659"/>
        <w:gridCol w:w="743"/>
      </w:tblGrid>
      <w:tr w:rsidR="00D1611E" w:rsidRPr="00D1611E" w:rsidTr="00D1611E">
        <w:trPr>
          <w:trHeight w:val="755"/>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坐标</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107.8149,31.5495</w:t>
            </w:r>
          </w:p>
        </w:tc>
        <w:tc>
          <w:tcPr>
            <w:tcW w:w="70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海拔</w:t>
            </w:r>
            <w:r w:rsidRPr="00D1611E">
              <w:rPr>
                <w:rFonts w:ascii="Times New Roman" w:cs="Times New Roman"/>
                <w:bCs/>
                <w:kern w:val="2"/>
                <w:sz w:val="21"/>
                <w:szCs w:val="21"/>
              </w:rPr>
              <w:t>(m)</w:t>
            </w:r>
          </w:p>
        </w:tc>
        <w:tc>
          <w:tcPr>
            <w:tcW w:w="481"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784</w:t>
            </w:r>
          </w:p>
        </w:tc>
        <w:tc>
          <w:tcPr>
            <w:tcW w:w="621"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土壤类型</w:t>
            </w:r>
          </w:p>
        </w:tc>
        <w:tc>
          <w:tcPr>
            <w:tcW w:w="648" w:type="dxa"/>
            <w:vAlign w:val="center"/>
          </w:tcPr>
          <w:p w:rsidR="00D1611E" w:rsidRPr="00D1611E" w:rsidRDefault="00D1611E" w:rsidP="00D1611E">
            <w:pPr>
              <w:topLinePunct w:val="0"/>
              <w:adjustRightInd/>
              <w:spacing w:line="240" w:lineRule="auto"/>
              <w:ind w:firstLineChars="0" w:firstLine="0"/>
              <w:rPr>
                <w:rFonts w:ascii="Times New Roman" w:cs="Times New Roman"/>
                <w:bCs/>
                <w:kern w:val="2"/>
                <w:sz w:val="21"/>
                <w:szCs w:val="21"/>
              </w:rPr>
            </w:pPr>
            <w:r w:rsidRPr="00D1611E">
              <w:rPr>
                <w:rFonts w:ascii="Times New Roman" w:cs="Times New Roman" w:hint="eastAsia"/>
                <w:bCs/>
                <w:kern w:val="2"/>
                <w:sz w:val="21"/>
                <w:szCs w:val="21"/>
              </w:rPr>
              <w:t>碱性土</w:t>
            </w:r>
          </w:p>
        </w:tc>
        <w:tc>
          <w:tcPr>
            <w:tcW w:w="55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坡度</w:t>
            </w:r>
          </w:p>
        </w:tc>
        <w:tc>
          <w:tcPr>
            <w:tcW w:w="52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坡向</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N</w:t>
            </w:r>
          </w:p>
        </w:tc>
      </w:tr>
      <w:tr w:rsidR="00D1611E" w:rsidRPr="00D1611E" w:rsidTr="00D1611E">
        <w:trPr>
          <w:trHeight w:val="308"/>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中文名</w:t>
            </w:r>
            <w:r w:rsidRPr="00D1611E">
              <w:rPr>
                <w:rFonts w:ascii="Times New Roman" w:cs="Times New Roman" w:hint="eastAsia"/>
                <w:bCs/>
                <w:kern w:val="2"/>
                <w:sz w:val="21"/>
                <w:szCs w:val="21"/>
              </w:rPr>
              <w:t>（</w:t>
            </w:r>
            <w:r w:rsidRPr="00D1611E">
              <w:rPr>
                <w:rFonts w:ascii="Times New Roman" w:cs="Times New Roman"/>
                <w:bCs/>
                <w:kern w:val="2"/>
                <w:sz w:val="21"/>
                <w:szCs w:val="21"/>
              </w:rPr>
              <w:t>拉丁名</w:t>
            </w:r>
            <w:r w:rsidRPr="00D1611E">
              <w:rPr>
                <w:rFonts w:ascii="Times New Roman" w:cs="Times New Roman" w:hint="eastAsia"/>
                <w:bCs/>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平均高度</w:t>
            </w:r>
            <w:r w:rsidRPr="00D1611E">
              <w:rPr>
                <w:rFonts w:ascii="Times New Roman" w:cs="Times New Roman"/>
                <w:bCs/>
                <w:kern w:val="2"/>
                <w:sz w:val="21"/>
                <w:szCs w:val="21"/>
              </w:rPr>
              <w:t>m</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株数</w:t>
            </w:r>
            <w:r w:rsidRPr="00D1611E">
              <w:rPr>
                <w:rFonts w:ascii="Times New Roman" w:cs="Times New Roman"/>
                <w:bCs/>
                <w:kern w:val="2"/>
                <w:sz w:val="21"/>
                <w:szCs w:val="21"/>
              </w:rPr>
              <w:t>/</w:t>
            </w:r>
            <w:r w:rsidRPr="00D1611E">
              <w:rPr>
                <w:rFonts w:ascii="Times New Roman" w:cs="Times New Roman"/>
                <w:bCs/>
                <w:kern w:val="2"/>
                <w:sz w:val="21"/>
                <w:szCs w:val="21"/>
              </w:rPr>
              <w:t>多度</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平均胸径</w:t>
            </w:r>
            <w:r w:rsidRPr="00D1611E">
              <w:rPr>
                <w:rFonts w:ascii="Times New Roman" w:cs="Times New Roman"/>
                <w:bCs/>
                <w:kern w:val="2"/>
                <w:sz w:val="21"/>
                <w:szCs w:val="21"/>
              </w:rPr>
              <w:t>cm</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w:t>
            </w:r>
          </w:p>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冠幅</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茂盛</w:t>
            </w:r>
          </w:p>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度</w:t>
            </w:r>
          </w:p>
        </w:tc>
      </w:tr>
      <w:tr w:rsidR="00D1611E" w:rsidRPr="00D1611E" w:rsidTr="00D1611E">
        <w:trPr>
          <w:trHeight w:val="308"/>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乔木层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柏木（</w:t>
            </w:r>
            <w:r w:rsidRPr="00D1611E">
              <w:rPr>
                <w:rFonts w:ascii="Times New Roman" w:cs="Times New Roman"/>
                <w:i/>
                <w:kern w:val="2"/>
                <w:sz w:val="21"/>
                <w:szCs w:val="21"/>
              </w:rPr>
              <w:t>Form. Cupressus funebris</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9</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24</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4</w:t>
            </w:r>
            <w:r w:rsidRPr="00D1611E">
              <w:rPr>
                <w:rFonts w:ascii="Times New Roman" w:cs="Times New Roman"/>
                <w:bCs/>
                <w:kern w:val="2"/>
                <w:sz w:val="21"/>
                <w:szCs w:val="21"/>
              </w:rPr>
              <w:t>*</w:t>
            </w:r>
            <w:r w:rsidRPr="00D1611E">
              <w:rPr>
                <w:rFonts w:ascii="Times New Roman" w:cs="Times New Roman" w:hint="eastAsia"/>
                <w:bCs/>
                <w:kern w:val="2"/>
                <w:sz w:val="21"/>
                <w:szCs w:val="21"/>
              </w:rPr>
              <w:t>3</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灌木层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白栎（</w:t>
            </w:r>
            <w:r w:rsidRPr="00D1611E">
              <w:rPr>
                <w:rFonts w:ascii="Times New Roman" w:cs="Times New Roman"/>
                <w:i/>
                <w:iCs/>
                <w:kern w:val="2"/>
                <w:sz w:val="21"/>
                <w:szCs w:val="21"/>
              </w:rPr>
              <w:t>Quercus fabri</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w:t>
            </w:r>
            <w:r w:rsidRPr="00D1611E">
              <w:rPr>
                <w:rFonts w:ascii="Times New Roman" w:cs="Times New Roman" w:hint="eastAsia"/>
                <w:bCs/>
                <w:kern w:val="2"/>
                <w:sz w:val="21"/>
                <w:szCs w:val="21"/>
              </w:rPr>
              <w:t>4</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9</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盐肤木（</w:t>
            </w:r>
            <w:r w:rsidRPr="00D1611E">
              <w:rPr>
                <w:rFonts w:ascii="Times New Roman" w:cs="Times New Roman"/>
                <w:i/>
                <w:iCs/>
                <w:kern w:val="2"/>
                <w:sz w:val="21"/>
                <w:szCs w:val="21"/>
              </w:rPr>
              <w:t>Rhus chinensis</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7</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7</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马桑（</w:t>
            </w:r>
            <w:r w:rsidRPr="00D1611E">
              <w:rPr>
                <w:rFonts w:ascii="Times New Roman" w:cs="Times New Roman"/>
                <w:i/>
                <w:iCs/>
                <w:kern w:val="2"/>
                <w:sz w:val="21"/>
                <w:szCs w:val="21"/>
              </w:rPr>
              <w:t>Coriaria nepalensis</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w:t>
            </w:r>
            <w:r w:rsidRPr="00D1611E">
              <w:rPr>
                <w:rFonts w:ascii="Times New Roman" w:cs="Times New Roman" w:hint="eastAsia"/>
                <w:bCs/>
                <w:kern w:val="2"/>
                <w:sz w:val="21"/>
                <w:szCs w:val="21"/>
              </w:rPr>
              <w:t>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8</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胡枝子</w:t>
            </w:r>
            <w:r w:rsidRPr="00D1611E">
              <w:rPr>
                <w:rFonts w:ascii="Times New Roman" w:cs="Times New Roman"/>
                <w:i/>
                <w:iCs/>
                <w:kern w:val="2"/>
                <w:sz w:val="21"/>
                <w:szCs w:val="21"/>
              </w:rPr>
              <w:t>（</w:t>
            </w:r>
            <w:r w:rsidRPr="00D1611E">
              <w:rPr>
                <w:rFonts w:ascii="Times New Roman" w:cs="Times New Roman"/>
                <w:i/>
                <w:iCs/>
                <w:kern w:val="2"/>
                <w:sz w:val="21"/>
                <w:szCs w:val="21"/>
              </w:rPr>
              <w:t>Lespedeza bicolour</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8</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2.0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铁仔（</w:t>
            </w:r>
            <w:r w:rsidRPr="00D1611E">
              <w:rPr>
                <w:rFonts w:ascii="Times New Roman" w:cs="Times New Roman"/>
                <w:i/>
                <w:iCs/>
                <w:kern w:val="2"/>
                <w:sz w:val="21"/>
                <w:szCs w:val="21"/>
              </w:rPr>
              <w:t>Myrsine africana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3</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草本层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黄花蒿（</w:t>
            </w:r>
            <w:r w:rsidRPr="00D1611E">
              <w:rPr>
                <w:rFonts w:ascii="Times New Roman" w:cs="Times New Roman"/>
                <w:i/>
                <w:iCs/>
                <w:kern w:val="2"/>
                <w:sz w:val="21"/>
                <w:szCs w:val="21"/>
              </w:rPr>
              <w:t>Artemisia annua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0.95</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Soc</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白茅</w:t>
            </w:r>
            <w:r w:rsidRPr="00D1611E">
              <w:rPr>
                <w:rFonts w:ascii="Times New Roman" w:cs="Times New Roman"/>
                <w:bCs/>
                <w:i/>
                <w:iCs/>
                <w:kern w:val="2"/>
                <w:sz w:val="21"/>
                <w:szCs w:val="21"/>
              </w:rPr>
              <w:t>Imperata cylindrica.</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0.55</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Soc</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五节芒</w:t>
            </w:r>
            <w:r w:rsidRPr="00D1611E">
              <w:rPr>
                <w:rFonts w:ascii="Times New Roman" w:cs="Times New Roman"/>
                <w:bCs/>
                <w:i/>
                <w:iCs/>
                <w:kern w:val="2"/>
                <w:sz w:val="21"/>
                <w:szCs w:val="21"/>
              </w:rPr>
              <w:t>Miscanthus floridulus</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0.45</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Cop</w:t>
            </w:r>
            <w:r w:rsidRPr="00D1611E">
              <w:rPr>
                <w:rFonts w:ascii="Times New Roman" w:cs="Times New Roman"/>
                <w:bCs/>
                <w:kern w:val="2"/>
                <w:sz w:val="21"/>
                <w:szCs w:val="21"/>
                <w:vertAlign w:val="subscript"/>
              </w:rPr>
              <w:t>1</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芒</w:t>
            </w:r>
            <w:r w:rsidRPr="00D1611E">
              <w:rPr>
                <w:rFonts w:ascii="Times New Roman" w:cs="Times New Roman"/>
                <w:bCs/>
                <w:i/>
                <w:iCs/>
                <w:kern w:val="2"/>
                <w:sz w:val="21"/>
                <w:szCs w:val="21"/>
              </w:rPr>
              <w:t>Miscanthus sinensis</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0.25</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Sp.</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rPr>
                <w:rFonts w:ascii="Times New Roman" w:cs="Times New Roman"/>
                <w:bCs/>
                <w:kern w:val="2"/>
                <w:sz w:val="21"/>
                <w:szCs w:val="21"/>
              </w:rPr>
            </w:pPr>
            <w:r w:rsidRPr="00D1611E">
              <w:rPr>
                <w:rFonts w:ascii="Times New Roman" w:cs="Times New Roman"/>
                <w:kern w:val="2"/>
                <w:sz w:val="21"/>
                <w:szCs w:val="21"/>
              </w:rPr>
              <w:t>三褶脉紫菀（</w:t>
            </w:r>
            <w:r w:rsidRPr="00D1611E">
              <w:rPr>
                <w:rFonts w:ascii="Times New Roman" w:cs="Times New Roman"/>
                <w:i/>
                <w:iCs/>
                <w:kern w:val="2"/>
                <w:sz w:val="21"/>
                <w:szCs w:val="21"/>
              </w:rPr>
              <w:t>Aster ageratoides</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0.6</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S</w:t>
            </w:r>
            <w:r w:rsidRPr="00D1611E">
              <w:rPr>
                <w:rFonts w:ascii="Times New Roman" w:cs="Times New Roman" w:hint="eastAsia"/>
                <w:bCs/>
                <w:kern w:val="2"/>
                <w:sz w:val="21"/>
                <w:szCs w:val="21"/>
              </w:rPr>
              <w:t>p</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bl>
    <w:p w:rsidR="00D1611E" w:rsidRPr="00D630D1" w:rsidRDefault="00D1611E" w:rsidP="00D1611E">
      <w:pPr>
        <w:topLinePunct w:val="0"/>
        <w:adjustRightInd/>
        <w:spacing w:line="500" w:lineRule="exact"/>
        <w:ind w:left="60" w:right="100" w:firstLineChars="0" w:firstLine="482"/>
        <w:jc w:val="center"/>
        <w:rPr>
          <w:rFonts w:ascii="Times New Roman" w:cs="Times New Roman"/>
          <w:b/>
          <w:kern w:val="2"/>
          <w:sz w:val="21"/>
          <w:szCs w:val="20"/>
        </w:rPr>
      </w:pPr>
      <w:r w:rsidRPr="00D630D1">
        <w:rPr>
          <w:rFonts w:ascii="Times New Roman" w:cs="Times New Roman"/>
          <w:b/>
          <w:kern w:val="2"/>
          <w:sz w:val="21"/>
          <w:szCs w:val="20"/>
        </w:rPr>
        <w:t>样方</w:t>
      </w:r>
      <w:r w:rsidRPr="00D630D1">
        <w:rPr>
          <w:rFonts w:ascii="Times New Roman" w:cs="Times New Roman" w:hint="eastAsia"/>
          <w:b/>
          <w:kern w:val="2"/>
          <w:sz w:val="21"/>
          <w:szCs w:val="20"/>
        </w:rPr>
        <w:t>3</w:t>
      </w:r>
      <w:r>
        <w:rPr>
          <w:rFonts w:ascii="Times New Roman" w:cs="Times New Roman" w:hint="eastAsia"/>
          <w:b/>
          <w:szCs w:val="20"/>
        </w:rPr>
        <w:t>杉木群落样方表</w:t>
      </w:r>
    </w:p>
    <w:tbl>
      <w:tblPr>
        <w:tblW w:w="942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570"/>
        <w:gridCol w:w="3928"/>
        <w:gridCol w:w="703"/>
        <w:gridCol w:w="611"/>
        <w:gridCol w:w="491"/>
        <w:gridCol w:w="648"/>
        <w:gridCol w:w="550"/>
        <w:gridCol w:w="523"/>
        <w:gridCol w:w="659"/>
        <w:gridCol w:w="743"/>
      </w:tblGrid>
      <w:tr w:rsidR="00D1611E" w:rsidRPr="00D1611E" w:rsidTr="00D1611E">
        <w:trPr>
          <w:trHeight w:val="755"/>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坐标</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107.8175,31.5321</w:t>
            </w:r>
          </w:p>
        </w:tc>
        <w:tc>
          <w:tcPr>
            <w:tcW w:w="70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海拔</w:t>
            </w:r>
            <w:r w:rsidRPr="00D1611E">
              <w:rPr>
                <w:rFonts w:ascii="Times New Roman" w:cs="Times New Roman"/>
                <w:bCs/>
                <w:kern w:val="2"/>
                <w:sz w:val="21"/>
                <w:szCs w:val="21"/>
              </w:rPr>
              <w:t>(m)</w:t>
            </w:r>
          </w:p>
        </w:tc>
        <w:tc>
          <w:tcPr>
            <w:tcW w:w="611"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937</w:t>
            </w:r>
          </w:p>
        </w:tc>
        <w:tc>
          <w:tcPr>
            <w:tcW w:w="491"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sz w:val="21"/>
                <w:szCs w:val="21"/>
              </w:rPr>
            </w:pPr>
            <w:r w:rsidRPr="00D1611E">
              <w:rPr>
                <w:rFonts w:ascii="Times New Roman" w:cs="Times New Roman"/>
                <w:bCs/>
                <w:sz w:val="21"/>
                <w:szCs w:val="21"/>
              </w:rPr>
              <w:t>土壤类型</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sz w:val="21"/>
                <w:szCs w:val="21"/>
              </w:rPr>
            </w:pPr>
            <w:r w:rsidRPr="00D1611E">
              <w:rPr>
                <w:rFonts w:ascii="Times New Roman" w:cs="Times New Roman" w:hint="eastAsia"/>
                <w:bCs/>
                <w:sz w:val="21"/>
                <w:szCs w:val="21"/>
              </w:rPr>
              <w:t>壤土</w:t>
            </w:r>
          </w:p>
        </w:tc>
        <w:tc>
          <w:tcPr>
            <w:tcW w:w="55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坡度</w:t>
            </w:r>
          </w:p>
        </w:tc>
        <w:tc>
          <w:tcPr>
            <w:tcW w:w="52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坡向</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S</w:t>
            </w:r>
          </w:p>
        </w:tc>
      </w:tr>
      <w:tr w:rsidR="00D1611E" w:rsidRPr="00D1611E" w:rsidTr="00D1611E">
        <w:trPr>
          <w:trHeight w:val="308"/>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中文名</w:t>
            </w:r>
            <w:r w:rsidRPr="00D1611E">
              <w:rPr>
                <w:rFonts w:ascii="Times New Roman" w:cs="Times New Roman" w:hint="eastAsia"/>
                <w:bCs/>
                <w:kern w:val="2"/>
                <w:sz w:val="21"/>
                <w:szCs w:val="21"/>
              </w:rPr>
              <w:t>（</w:t>
            </w:r>
            <w:r w:rsidRPr="00D1611E">
              <w:rPr>
                <w:rFonts w:ascii="Times New Roman" w:cs="Times New Roman"/>
                <w:bCs/>
                <w:kern w:val="2"/>
                <w:sz w:val="21"/>
                <w:szCs w:val="21"/>
              </w:rPr>
              <w:t>拉丁名</w:t>
            </w:r>
            <w:r w:rsidRPr="00D1611E">
              <w:rPr>
                <w:rFonts w:ascii="Times New Roman" w:cs="Times New Roman" w:hint="eastAsia"/>
                <w:bCs/>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平均高度</w:t>
            </w:r>
            <w:r w:rsidRPr="00D1611E">
              <w:rPr>
                <w:rFonts w:ascii="Times New Roman" w:cs="Times New Roman"/>
                <w:bCs/>
                <w:kern w:val="2"/>
                <w:sz w:val="21"/>
                <w:szCs w:val="21"/>
              </w:rPr>
              <w:t>m</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株数</w:t>
            </w:r>
            <w:r w:rsidRPr="00D1611E">
              <w:rPr>
                <w:rFonts w:ascii="Times New Roman" w:cs="Times New Roman"/>
                <w:bCs/>
                <w:kern w:val="2"/>
                <w:sz w:val="21"/>
                <w:szCs w:val="21"/>
              </w:rPr>
              <w:t>/</w:t>
            </w:r>
            <w:r w:rsidRPr="00D1611E">
              <w:rPr>
                <w:rFonts w:ascii="Times New Roman" w:cs="Times New Roman"/>
                <w:bCs/>
                <w:kern w:val="2"/>
                <w:sz w:val="21"/>
                <w:szCs w:val="21"/>
              </w:rPr>
              <w:t>多度</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平均胸径</w:t>
            </w:r>
            <w:r w:rsidRPr="00D1611E">
              <w:rPr>
                <w:rFonts w:ascii="Times New Roman" w:cs="Times New Roman"/>
                <w:bCs/>
                <w:kern w:val="2"/>
                <w:sz w:val="21"/>
                <w:szCs w:val="21"/>
              </w:rPr>
              <w:t>cm</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w:t>
            </w:r>
          </w:p>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冠幅</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茂盛</w:t>
            </w:r>
          </w:p>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度</w:t>
            </w:r>
          </w:p>
        </w:tc>
      </w:tr>
      <w:tr w:rsidR="00D1611E" w:rsidRPr="00D1611E" w:rsidTr="00D1611E">
        <w:trPr>
          <w:trHeight w:val="308"/>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乔木层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杉木（</w:t>
            </w:r>
            <w:r w:rsidRPr="00D1611E">
              <w:rPr>
                <w:rFonts w:ascii="Times New Roman" w:cs="Times New Roman"/>
                <w:i/>
                <w:iCs/>
                <w:kern w:val="2"/>
                <w:sz w:val="21"/>
                <w:szCs w:val="21"/>
              </w:rPr>
              <w:t>Cunninghamia lanceolata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11</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20</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24</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5</w:t>
            </w:r>
            <w:r w:rsidRPr="00D1611E">
              <w:rPr>
                <w:rFonts w:ascii="Times New Roman" w:cs="Times New Roman"/>
                <w:bCs/>
                <w:kern w:val="2"/>
                <w:sz w:val="21"/>
                <w:szCs w:val="21"/>
              </w:rPr>
              <w:t>*4</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马尾松（</w:t>
            </w:r>
            <w:r w:rsidRPr="00D1611E">
              <w:rPr>
                <w:rFonts w:ascii="Times New Roman" w:cs="Times New Roman"/>
                <w:i/>
                <w:iCs/>
                <w:kern w:val="2"/>
                <w:sz w:val="21"/>
                <w:szCs w:val="21"/>
              </w:rPr>
              <w:t>Pinus massoniana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10</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4</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23</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5</w:t>
            </w:r>
            <w:r w:rsidRPr="00D1611E">
              <w:rPr>
                <w:rFonts w:ascii="Times New Roman" w:cs="Times New Roman"/>
                <w:bCs/>
                <w:kern w:val="2"/>
                <w:sz w:val="21"/>
                <w:szCs w:val="21"/>
              </w:rPr>
              <w:t>*</w:t>
            </w:r>
            <w:r w:rsidRPr="00D1611E">
              <w:rPr>
                <w:rFonts w:ascii="Times New Roman" w:cs="Times New Roman" w:hint="eastAsia"/>
                <w:bCs/>
                <w:kern w:val="2"/>
                <w:sz w:val="21"/>
                <w:szCs w:val="21"/>
              </w:rPr>
              <w:t>5</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灌木层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胡枝子</w:t>
            </w:r>
            <w:r w:rsidRPr="00D1611E">
              <w:rPr>
                <w:rFonts w:ascii="Times New Roman" w:cs="Times New Roman" w:hint="eastAsia"/>
                <w:kern w:val="2"/>
                <w:sz w:val="21"/>
                <w:szCs w:val="21"/>
              </w:rPr>
              <w:t>（</w:t>
            </w:r>
            <w:r w:rsidRPr="00D1611E">
              <w:rPr>
                <w:rFonts w:ascii="Times New Roman" w:cs="Times New Roman"/>
                <w:i/>
                <w:iCs/>
                <w:kern w:val="2"/>
                <w:sz w:val="21"/>
                <w:szCs w:val="21"/>
              </w:rPr>
              <w:t>Lespedeza bicolor Turcz.</w:t>
            </w:r>
            <w:r w:rsidRPr="00D1611E">
              <w:rPr>
                <w:rFonts w:ascii="Times New Roman" w:cs="Times New Roman" w:hint="eastAsia"/>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w:t>
            </w:r>
            <w:r w:rsidRPr="00D1611E">
              <w:rPr>
                <w:rFonts w:ascii="Times New Roman" w:cs="Times New Roman"/>
                <w:bCs/>
                <w:kern w:val="2"/>
                <w:sz w:val="21"/>
                <w:szCs w:val="21"/>
              </w:rPr>
              <w:t>3</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截叶铁扫帚（</w:t>
            </w:r>
            <w:r w:rsidRPr="00D1611E">
              <w:rPr>
                <w:rFonts w:ascii="Times New Roman" w:cs="Times New Roman"/>
                <w:i/>
                <w:iCs/>
                <w:kern w:val="2"/>
                <w:sz w:val="21"/>
                <w:szCs w:val="21"/>
              </w:rPr>
              <w:t>Lespedeza cuneata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8</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乌泡子（</w:t>
            </w:r>
            <w:r w:rsidRPr="00D1611E">
              <w:rPr>
                <w:rFonts w:ascii="Times New Roman" w:cs="Times New Roman"/>
                <w:i/>
                <w:iCs/>
                <w:kern w:val="2"/>
                <w:sz w:val="21"/>
                <w:szCs w:val="21"/>
              </w:rPr>
              <w:t>Rubus parkeri</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1.3</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7</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高粱泡（</w:t>
            </w:r>
            <w:r w:rsidRPr="00D1611E">
              <w:rPr>
                <w:rFonts w:ascii="Times New Roman" w:cs="Times New Roman"/>
                <w:i/>
                <w:iCs/>
                <w:kern w:val="2"/>
                <w:sz w:val="21"/>
                <w:szCs w:val="21"/>
              </w:rPr>
              <w:t>Rubus lambertianus</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3</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2.0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草本层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聚花过路黄</w:t>
            </w:r>
            <w:r w:rsidRPr="00D1611E">
              <w:rPr>
                <w:rFonts w:ascii="Times New Roman" w:cs="Times New Roman"/>
                <w:i/>
                <w:iCs/>
                <w:kern w:val="2"/>
                <w:sz w:val="21"/>
                <w:szCs w:val="21"/>
              </w:rPr>
              <w:t>Lysimachia congestiflora Hemsl.</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0.25</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Cop</w:t>
            </w:r>
            <w:r w:rsidRPr="00D1611E">
              <w:rPr>
                <w:rFonts w:ascii="Times New Roman" w:cs="Times New Roman"/>
                <w:bCs/>
                <w:kern w:val="2"/>
                <w:sz w:val="21"/>
                <w:szCs w:val="21"/>
                <w:vertAlign w:val="subscript"/>
              </w:rPr>
              <w:t>1</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蕺菜</w:t>
            </w:r>
            <w:r w:rsidRPr="00D1611E">
              <w:rPr>
                <w:rFonts w:ascii="Times New Roman" w:cs="Times New Roman"/>
                <w:i/>
                <w:iCs/>
                <w:kern w:val="2"/>
                <w:sz w:val="21"/>
                <w:szCs w:val="21"/>
              </w:rPr>
              <w:t>Houttuynia cordata Thunb</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0.6</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Sol.</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芒萁（</w:t>
            </w:r>
            <w:r w:rsidRPr="00D1611E">
              <w:rPr>
                <w:rFonts w:ascii="Times New Roman" w:cs="Times New Roman"/>
                <w:i/>
                <w:iCs/>
                <w:kern w:val="2"/>
                <w:sz w:val="21"/>
                <w:szCs w:val="21"/>
              </w:rPr>
              <w:t>Dicranopteris dichotoma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0.4</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Sol.</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单芽狗脊（</w:t>
            </w:r>
            <w:r w:rsidRPr="00D1611E">
              <w:rPr>
                <w:rFonts w:ascii="Times New Roman" w:cs="Times New Roman"/>
                <w:i/>
                <w:iCs/>
                <w:kern w:val="2"/>
                <w:sz w:val="21"/>
                <w:szCs w:val="21"/>
              </w:rPr>
              <w:t>Woodwardia unigemmata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0.8</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S</w:t>
            </w:r>
            <w:r w:rsidRPr="00D1611E">
              <w:rPr>
                <w:rFonts w:ascii="Times New Roman" w:cs="Times New Roman" w:hint="eastAsia"/>
                <w:bCs/>
                <w:kern w:val="2"/>
                <w:sz w:val="21"/>
                <w:szCs w:val="21"/>
              </w:rPr>
              <w:t>p</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251"/>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rPr>
                <w:rFonts w:ascii="Times New Roman" w:cs="Times New Roman"/>
                <w:bCs/>
                <w:kern w:val="2"/>
                <w:sz w:val="21"/>
                <w:szCs w:val="21"/>
              </w:rPr>
            </w:pPr>
            <w:r w:rsidRPr="00D1611E">
              <w:rPr>
                <w:rFonts w:ascii="Times New Roman" w:cs="Times New Roman"/>
                <w:kern w:val="2"/>
                <w:sz w:val="21"/>
                <w:szCs w:val="21"/>
              </w:rPr>
              <w:t>里白（</w:t>
            </w:r>
            <w:r w:rsidRPr="00D1611E">
              <w:rPr>
                <w:rFonts w:ascii="Times New Roman" w:cs="Times New Roman"/>
                <w:i/>
                <w:iCs/>
                <w:kern w:val="2"/>
                <w:sz w:val="21"/>
                <w:szCs w:val="21"/>
              </w:rPr>
              <w:t>Hicriopteris glauca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0.6</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Un.</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bl>
    <w:p w:rsidR="00521C82" w:rsidRDefault="00521C82" w:rsidP="00521C82">
      <w:pPr>
        <w:topLinePunct w:val="0"/>
        <w:adjustRightInd/>
        <w:spacing w:line="500" w:lineRule="exact"/>
        <w:ind w:left="60" w:right="100" w:firstLineChars="0" w:firstLine="482"/>
        <w:jc w:val="center"/>
        <w:rPr>
          <w:rFonts w:ascii="Times New Roman" w:cs="Times New Roman"/>
          <w:b/>
          <w:kern w:val="2"/>
          <w:sz w:val="21"/>
          <w:szCs w:val="20"/>
        </w:rPr>
      </w:pPr>
      <w:r w:rsidRPr="00D630D1">
        <w:rPr>
          <w:rFonts w:ascii="Times New Roman" w:cs="Times New Roman"/>
          <w:b/>
          <w:kern w:val="2"/>
          <w:sz w:val="21"/>
          <w:szCs w:val="20"/>
        </w:rPr>
        <w:t>样方</w:t>
      </w:r>
      <w:r w:rsidR="00D1611E">
        <w:rPr>
          <w:rFonts w:ascii="Times New Roman" w:cs="Times New Roman" w:hint="eastAsia"/>
          <w:b/>
          <w:kern w:val="2"/>
          <w:sz w:val="21"/>
          <w:szCs w:val="20"/>
        </w:rPr>
        <w:t>4</w:t>
      </w:r>
      <w:r w:rsidRPr="00D630D1">
        <w:rPr>
          <w:rFonts w:ascii="Times New Roman" w:cs="Times New Roman" w:hint="eastAsia"/>
          <w:b/>
          <w:kern w:val="2"/>
          <w:sz w:val="21"/>
          <w:szCs w:val="20"/>
        </w:rPr>
        <w:t xml:space="preserve"> </w:t>
      </w:r>
      <w:r w:rsidRPr="00D630D1">
        <w:rPr>
          <w:rFonts w:ascii="Times New Roman" w:cs="Times New Roman"/>
          <w:b/>
          <w:kern w:val="2"/>
          <w:sz w:val="21"/>
          <w:szCs w:val="20"/>
        </w:rPr>
        <w:t>麻栎、</w:t>
      </w:r>
      <w:r w:rsidRPr="00D630D1">
        <w:rPr>
          <w:rFonts w:ascii="Times New Roman" w:cs="Times New Roman" w:hint="eastAsia"/>
          <w:b/>
          <w:kern w:val="2"/>
          <w:sz w:val="21"/>
          <w:szCs w:val="20"/>
        </w:rPr>
        <w:t>青冈、</w:t>
      </w:r>
      <w:r w:rsidRPr="00D630D1">
        <w:rPr>
          <w:rFonts w:ascii="Times New Roman" w:cs="Times New Roman"/>
          <w:b/>
          <w:kern w:val="2"/>
          <w:sz w:val="21"/>
          <w:szCs w:val="20"/>
        </w:rPr>
        <w:t>栓皮栎</w:t>
      </w:r>
      <w:r w:rsidRPr="00D630D1">
        <w:rPr>
          <w:rFonts w:ascii="Times New Roman" w:cs="Times New Roman" w:hint="eastAsia"/>
          <w:b/>
          <w:kern w:val="2"/>
          <w:sz w:val="21"/>
          <w:szCs w:val="20"/>
        </w:rPr>
        <w:t>群落样方表</w:t>
      </w:r>
    </w:p>
    <w:tbl>
      <w:tblPr>
        <w:tblW w:w="942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570"/>
        <w:gridCol w:w="3928"/>
        <w:gridCol w:w="703"/>
        <w:gridCol w:w="481"/>
        <w:gridCol w:w="621"/>
        <w:gridCol w:w="648"/>
        <w:gridCol w:w="550"/>
        <w:gridCol w:w="523"/>
        <w:gridCol w:w="659"/>
        <w:gridCol w:w="743"/>
      </w:tblGrid>
      <w:tr w:rsidR="00D1611E" w:rsidRPr="00D1611E" w:rsidTr="00D1611E">
        <w:trPr>
          <w:trHeight w:val="755"/>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坐标</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107.8160,31.5360</w:t>
            </w:r>
          </w:p>
        </w:tc>
        <w:tc>
          <w:tcPr>
            <w:tcW w:w="70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海拔</w:t>
            </w:r>
            <w:r w:rsidRPr="00D1611E">
              <w:rPr>
                <w:rFonts w:ascii="Times New Roman" w:cs="Times New Roman"/>
                <w:bCs/>
                <w:kern w:val="2"/>
                <w:sz w:val="21"/>
                <w:szCs w:val="21"/>
              </w:rPr>
              <w:t>(m)</w:t>
            </w:r>
          </w:p>
        </w:tc>
        <w:tc>
          <w:tcPr>
            <w:tcW w:w="481"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829</w:t>
            </w:r>
          </w:p>
        </w:tc>
        <w:tc>
          <w:tcPr>
            <w:tcW w:w="621"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土壤类型</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sz w:val="21"/>
                <w:szCs w:val="21"/>
              </w:rPr>
            </w:pPr>
            <w:r w:rsidRPr="00D1611E">
              <w:rPr>
                <w:rFonts w:ascii="Times New Roman" w:cs="Times New Roman"/>
                <w:bCs/>
                <w:sz w:val="21"/>
                <w:szCs w:val="21"/>
              </w:rPr>
              <w:t>壤土</w:t>
            </w:r>
          </w:p>
        </w:tc>
        <w:tc>
          <w:tcPr>
            <w:tcW w:w="55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坡度</w:t>
            </w:r>
          </w:p>
        </w:tc>
        <w:tc>
          <w:tcPr>
            <w:tcW w:w="52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坡向</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NE</w:t>
            </w:r>
          </w:p>
        </w:tc>
      </w:tr>
      <w:tr w:rsidR="00D1611E" w:rsidRPr="00D1611E" w:rsidTr="00D1611E">
        <w:trPr>
          <w:trHeight w:val="308"/>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中文名（拉丁名）</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平均高度</w:t>
            </w:r>
            <w:r w:rsidRPr="00D1611E">
              <w:rPr>
                <w:rFonts w:ascii="Times New Roman" w:cs="Times New Roman"/>
                <w:bCs/>
                <w:kern w:val="2"/>
                <w:sz w:val="21"/>
                <w:szCs w:val="21"/>
              </w:rPr>
              <w:t>m</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株数</w:t>
            </w:r>
            <w:r w:rsidRPr="00D1611E">
              <w:rPr>
                <w:rFonts w:ascii="Times New Roman" w:cs="Times New Roman"/>
                <w:bCs/>
                <w:kern w:val="2"/>
                <w:sz w:val="21"/>
                <w:szCs w:val="21"/>
              </w:rPr>
              <w:t>/</w:t>
            </w:r>
            <w:r w:rsidRPr="00D1611E">
              <w:rPr>
                <w:rFonts w:ascii="Times New Roman" w:cs="Times New Roman"/>
                <w:bCs/>
                <w:kern w:val="2"/>
                <w:sz w:val="21"/>
                <w:szCs w:val="21"/>
              </w:rPr>
              <w:t>多度</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平均胸径</w:t>
            </w:r>
            <w:r w:rsidRPr="00D1611E">
              <w:rPr>
                <w:rFonts w:ascii="Times New Roman" w:cs="Times New Roman"/>
                <w:bCs/>
                <w:kern w:val="2"/>
                <w:sz w:val="21"/>
                <w:szCs w:val="21"/>
              </w:rPr>
              <w:t>cm</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w:t>
            </w:r>
          </w:p>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冠幅</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茂盛</w:t>
            </w:r>
          </w:p>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度</w:t>
            </w:r>
          </w:p>
        </w:tc>
      </w:tr>
      <w:tr w:rsidR="00D1611E" w:rsidRPr="00D1611E" w:rsidTr="00D1611E">
        <w:trPr>
          <w:trHeight w:val="90"/>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乔木层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kern w:val="2"/>
                <w:sz w:val="21"/>
                <w:szCs w:val="21"/>
              </w:rPr>
            </w:pPr>
            <w:r w:rsidRPr="00D1611E">
              <w:rPr>
                <w:rFonts w:ascii="Times New Roman" w:cs="Times New Roman"/>
                <w:kern w:val="2"/>
                <w:sz w:val="21"/>
                <w:szCs w:val="21"/>
              </w:rPr>
              <w:t>麻栎（</w:t>
            </w:r>
            <w:r w:rsidRPr="00D1611E">
              <w:rPr>
                <w:rFonts w:ascii="Times New Roman" w:cs="Times New Roman"/>
                <w:i/>
                <w:iCs/>
                <w:kern w:val="2"/>
                <w:sz w:val="21"/>
                <w:szCs w:val="21"/>
              </w:rPr>
              <w:t>Quercus acutissima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hint="eastAsia"/>
                <w:bCs/>
                <w:kern w:val="2"/>
                <w:sz w:val="21"/>
                <w:szCs w:val="21"/>
              </w:rPr>
              <w:t>9</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19</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5</w:t>
            </w:r>
            <w:r w:rsidRPr="00D1611E">
              <w:rPr>
                <w:rFonts w:ascii="Times New Roman" w:cs="Times New Roman"/>
                <w:bCs/>
                <w:kern w:val="2"/>
                <w:sz w:val="21"/>
                <w:szCs w:val="21"/>
              </w:rPr>
              <w:t>*4</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kern w:val="2"/>
                <w:sz w:val="21"/>
                <w:szCs w:val="21"/>
              </w:rPr>
            </w:pPr>
            <w:r w:rsidRPr="00D1611E">
              <w:rPr>
                <w:rFonts w:ascii="Times New Roman" w:cs="Times New Roman"/>
                <w:kern w:val="2"/>
                <w:sz w:val="21"/>
                <w:szCs w:val="21"/>
              </w:rPr>
              <w:t>青冈（</w:t>
            </w:r>
            <w:r w:rsidRPr="00D1611E">
              <w:rPr>
                <w:rFonts w:ascii="Times New Roman" w:cs="Times New Roman"/>
                <w:i/>
                <w:iCs/>
                <w:kern w:val="2"/>
                <w:sz w:val="21"/>
                <w:szCs w:val="21"/>
              </w:rPr>
              <w:t>TCyclobalanopsis glauca(Thunb.)Oerst</w:t>
            </w:r>
            <w:r w:rsidRPr="00D1611E">
              <w:rPr>
                <w:rFonts w:ascii="Times New Roman" w:cs="Times New Roman"/>
                <w:kern w:val="2"/>
                <w:sz w:val="21"/>
                <w:szCs w:val="21"/>
              </w:rPr>
              <w:t>.</w:t>
            </w:r>
            <w:r w:rsidRPr="00D1611E">
              <w:rPr>
                <w:rFonts w:ascii="Times New Roman" w:cs="Times New Roman"/>
                <w:i/>
                <w:iCs/>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hint="eastAsia"/>
                <w:bCs/>
                <w:kern w:val="2"/>
                <w:sz w:val="21"/>
                <w:szCs w:val="21"/>
              </w:rPr>
              <w:t>9</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8</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22</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4*4</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kern w:val="2"/>
                <w:sz w:val="21"/>
                <w:szCs w:val="21"/>
              </w:rPr>
            </w:pPr>
            <w:r w:rsidRPr="00D1611E">
              <w:rPr>
                <w:rFonts w:ascii="Times New Roman" w:cs="Times New Roman" w:hint="eastAsia"/>
                <w:kern w:val="2"/>
                <w:sz w:val="21"/>
                <w:szCs w:val="21"/>
              </w:rPr>
              <w:t>枫香（</w:t>
            </w:r>
            <w:r w:rsidRPr="00D1611E">
              <w:rPr>
                <w:rFonts w:ascii="Times New Roman" w:cs="Times New Roman"/>
                <w:i/>
                <w:iCs/>
                <w:kern w:val="2"/>
                <w:sz w:val="21"/>
                <w:szCs w:val="21"/>
              </w:rPr>
              <w:t>Liquidambar formosana Hance</w:t>
            </w:r>
            <w:r w:rsidRPr="00D1611E">
              <w:rPr>
                <w:rFonts w:ascii="Times New Roman" w:cs="Times New Roman" w:hint="eastAsia"/>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hint="eastAsia"/>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6</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21</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6</w:t>
            </w:r>
            <w:r w:rsidRPr="00D1611E">
              <w:rPr>
                <w:rFonts w:ascii="Times New Roman" w:cs="Times New Roman"/>
                <w:bCs/>
                <w:kern w:val="2"/>
                <w:sz w:val="21"/>
                <w:szCs w:val="21"/>
              </w:rPr>
              <w:t>*</w:t>
            </w:r>
            <w:r w:rsidRPr="00D1611E">
              <w:rPr>
                <w:rFonts w:ascii="Times New Roman" w:cs="Times New Roman" w:hint="eastAsia"/>
                <w:bCs/>
                <w:kern w:val="2"/>
                <w:sz w:val="21"/>
                <w:szCs w:val="21"/>
              </w:rPr>
              <w:t>6</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utoSpaceDE w:val="0"/>
              <w:autoSpaceDN w:val="0"/>
              <w:spacing w:line="240" w:lineRule="auto"/>
              <w:ind w:firstLineChars="0" w:firstLine="0"/>
              <w:jc w:val="left"/>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kern w:val="2"/>
                <w:sz w:val="21"/>
                <w:szCs w:val="21"/>
              </w:rPr>
            </w:pPr>
            <w:r w:rsidRPr="00D1611E">
              <w:rPr>
                <w:rFonts w:ascii="Times New Roman" w:cs="Times New Roman" w:hint="eastAsia"/>
                <w:kern w:val="2"/>
                <w:sz w:val="21"/>
                <w:szCs w:val="21"/>
              </w:rPr>
              <w:t>响叶杨</w:t>
            </w:r>
            <w:r w:rsidRPr="00D1611E">
              <w:rPr>
                <w:rFonts w:ascii="Times New Roman" w:cs="Times New Roman"/>
                <w:kern w:val="2"/>
                <w:sz w:val="21"/>
                <w:szCs w:val="21"/>
              </w:rPr>
              <w:t>（</w:t>
            </w:r>
            <w:r w:rsidRPr="00D1611E">
              <w:rPr>
                <w:rFonts w:ascii="Times New Roman" w:cs="Times New Roman"/>
                <w:i/>
                <w:iCs/>
                <w:kern w:val="2"/>
                <w:sz w:val="21"/>
                <w:szCs w:val="21"/>
              </w:rPr>
              <w:t>Populus adenopodaMaxim.</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hint="eastAsia"/>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4</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22</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5</w:t>
            </w:r>
            <w:r w:rsidRPr="00D1611E">
              <w:rPr>
                <w:rFonts w:ascii="Times New Roman" w:cs="Times New Roman"/>
                <w:bCs/>
                <w:kern w:val="2"/>
                <w:sz w:val="21"/>
                <w:szCs w:val="21"/>
              </w:rPr>
              <w:t>*</w:t>
            </w:r>
            <w:r w:rsidRPr="00D1611E">
              <w:rPr>
                <w:rFonts w:ascii="Times New Roman" w:cs="Times New Roman" w:hint="eastAsia"/>
                <w:bCs/>
                <w:kern w:val="2"/>
                <w:sz w:val="21"/>
                <w:szCs w:val="21"/>
              </w:rPr>
              <w:t>6</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灌木层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马桑</w:t>
            </w:r>
            <w:r w:rsidRPr="00D1611E">
              <w:rPr>
                <w:rFonts w:ascii="Times New Roman" w:cs="Times New Roman"/>
                <w:kern w:val="2"/>
                <w:sz w:val="21"/>
                <w:szCs w:val="21"/>
              </w:rPr>
              <w:t>(</w:t>
            </w:r>
            <w:r w:rsidRPr="00D1611E">
              <w:rPr>
                <w:rFonts w:ascii="Times New Roman" w:cs="Times New Roman"/>
                <w:i/>
                <w:iCs/>
                <w:kern w:val="2"/>
                <w:sz w:val="21"/>
                <w:szCs w:val="21"/>
              </w:rPr>
              <w:t>Coriaria nepalensis</w:t>
            </w:r>
            <w:r w:rsidRPr="00D1611E">
              <w:rPr>
                <w:rFonts w:ascii="Times New Roman" w:cs="Times New Roman"/>
                <w:kern w:val="2"/>
                <w:sz w:val="21"/>
                <w:szCs w:val="21"/>
              </w:rPr>
              <w:t>)</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6</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铁仔（</w:t>
            </w:r>
            <w:r w:rsidRPr="00D1611E">
              <w:rPr>
                <w:rFonts w:ascii="Times New Roman" w:cs="Times New Roman"/>
                <w:i/>
                <w:iCs/>
                <w:kern w:val="2"/>
                <w:sz w:val="21"/>
                <w:szCs w:val="21"/>
              </w:rPr>
              <w:t>Myrsine africana Linn.</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1.4</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9</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棕榈</w:t>
            </w:r>
            <w:r w:rsidRPr="00D1611E">
              <w:rPr>
                <w:rFonts w:ascii="Times New Roman" w:cs="Times New Roman"/>
                <w:kern w:val="2"/>
                <w:sz w:val="21"/>
                <w:szCs w:val="21"/>
              </w:rPr>
              <w:t>(</w:t>
            </w:r>
            <w:r w:rsidRPr="00D1611E">
              <w:rPr>
                <w:rFonts w:ascii="Times New Roman" w:cs="Times New Roman"/>
                <w:i/>
                <w:iCs/>
                <w:kern w:val="2"/>
                <w:sz w:val="21"/>
                <w:szCs w:val="21"/>
              </w:rPr>
              <w:t>Trachycarpus fortunei</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1.3</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10</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刺红珠</w:t>
            </w:r>
            <w:r w:rsidRPr="00D1611E">
              <w:rPr>
                <w:rFonts w:ascii="Times New Roman" w:cs="Times New Roman"/>
                <w:kern w:val="2"/>
                <w:sz w:val="21"/>
                <w:szCs w:val="21"/>
              </w:rPr>
              <w:t>(</w:t>
            </w:r>
            <w:r w:rsidRPr="00D1611E">
              <w:rPr>
                <w:rFonts w:ascii="Times New Roman" w:cs="Times New Roman"/>
                <w:i/>
                <w:iCs/>
                <w:kern w:val="2"/>
                <w:sz w:val="21"/>
                <w:szCs w:val="21"/>
              </w:rPr>
              <w:t>Berberis dictyophylla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5</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2.0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豪猪刺</w:t>
            </w:r>
            <w:r w:rsidRPr="00D1611E">
              <w:rPr>
                <w:rFonts w:ascii="Times New Roman" w:cs="Times New Roman"/>
                <w:kern w:val="2"/>
                <w:sz w:val="21"/>
                <w:szCs w:val="21"/>
              </w:rPr>
              <w:t>(</w:t>
            </w:r>
            <w:r w:rsidRPr="00D1611E">
              <w:rPr>
                <w:rFonts w:ascii="Times New Roman" w:cs="Times New Roman"/>
                <w:i/>
                <w:iCs/>
                <w:kern w:val="2"/>
                <w:sz w:val="21"/>
                <w:szCs w:val="21"/>
              </w:rPr>
              <w:t>Berberis julianae</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3</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kern w:val="2"/>
                <w:sz w:val="21"/>
                <w:szCs w:val="21"/>
              </w:rPr>
            </w:pPr>
            <w:r w:rsidRPr="00D1611E">
              <w:rPr>
                <w:rFonts w:ascii="Times New Roman" w:cs="Times New Roman"/>
                <w:kern w:val="2"/>
                <w:sz w:val="21"/>
                <w:szCs w:val="21"/>
              </w:rPr>
              <w:t>盐肤木（</w:t>
            </w:r>
            <w:r w:rsidRPr="00D1611E">
              <w:rPr>
                <w:rFonts w:ascii="Times New Roman" w:cs="Times New Roman"/>
                <w:i/>
                <w:iCs/>
                <w:kern w:val="2"/>
                <w:sz w:val="21"/>
                <w:szCs w:val="21"/>
              </w:rPr>
              <w:t>Rhus chinensis</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1.4</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2</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
                <w:bCs/>
                <w:kern w:val="2"/>
                <w:sz w:val="21"/>
                <w:szCs w:val="21"/>
              </w:rPr>
            </w:pPr>
            <w:r w:rsidRPr="00D1611E">
              <w:rPr>
                <w:rFonts w:ascii="Times New Roman" w:cs="Times New Roman"/>
                <w:kern w:val="2"/>
                <w:sz w:val="21"/>
                <w:szCs w:val="21"/>
              </w:rPr>
              <w:t>胡颓子（</w:t>
            </w:r>
            <w:r w:rsidRPr="00D1611E">
              <w:rPr>
                <w:rFonts w:ascii="Times New Roman" w:cs="Times New Roman"/>
                <w:i/>
                <w:iCs/>
                <w:kern w:val="2"/>
                <w:sz w:val="21"/>
                <w:szCs w:val="21"/>
              </w:rPr>
              <w:t>Elaeagnus pungens Thunb.</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3</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草本层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蒿（</w:t>
            </w:r>
            <w:r w:rsidRPr="00D1611E">
              <w:rPr>
                <w:rFonts w:ascii="Times New Roman" w:cs="Times New Roman"/>
                <w:i/>
                <w:iCs/>
                <w:kern w:val="2"/>
                <w:sz w:val="21"/>
                <w:szCs w:val="21"/>
              </w:rPr>
              <w:t>Artemisia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0.95</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Cop</w:t>
            </w:r>
            <w:r w:rsidRPr="00D1611E">
              <w:rPr>
                <w:rFonts w:ascii="Times New Roman" w:cs="Times New Roman"/>
                <w:bCs/>
                <w:kern w:val="2"/>
                <w:sz w:val="21"/>
                <w:szCs w:val="21"/>
                <w:vertAlign w:val="subscript"/>
              </w:rPr>
              <w:t>2</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白茅（</w:t>
            </w:r>
            <w:r w:rsidRPr="00D1611E">
              <w:rPr>
                <w:rFonts w:ascii="Times New Roman" w:cs="Times New Roman"/>
                <w:i/>
                <w:iCs/>
                <w:kern w:val="2"/>
                <w:sz w:val="21"/>
                <w:szCs w:val="21"/>
              </w:rPr>
              <w:t>Imperata cylindrica (L.) Beauv.</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0.85</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Cop</w:t>
            </w:r>
            <w:r w:rsidRPr="00D1611E">
              <w:rPr>
                <w:rFonts w:ascii="Times New Roman" w:cs="Times New Roman"/>
                <w:bCs/>
                <w:kern w:val="2"/>
                <w:sz w:val="21"/>
                <w:szCs w:val="21"/>
                <w:vertAlign w:val="subscript"/>
              </w:rPr>
              <w:t>2</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芒萁</w:t>
            </w:r>
            <w:r w:rsidRPr="00D1611E">
              <w:rPr>
                <w:rFonts w:ascii="Times New Roman" w:cs="Times New Roman"/>
                <w:kern w:val="2"/>
                <w:sz w:val="21"/>
                <w:szCs w:val="21"/>
              </w:rPr>
              <w:t>(</w:t>
            </w:r>
            <w:r w:rsidRPr="00D1611E">
              <w:rPr>
                <w:rFonts w:ascii="Times New Roman" w:cs="Times New Roman"/>
                <w:i/>
                <w:iCs/>
                <w:kern w:val="2"/>
                <w:sz w:val="21"/>
                <w:szCs w:val="21"/>
              </w:rPr>
              <w:t>Dicranopteris dichotoma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0.4</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Cop</w:t>
            </w:r>
            <w:r w:rsidRPr="00D1611E">
              <w:rPr>
                <w:rFonts w:ascii="Times New Roman" w:cs="Times New Roman"/>
                <w:bCs/>
                <w:kern w:val="2"/>
                <w:sz w:val="21"/>
                <w:szCs w:val="21"/>
                <w:vertAlign w:val="subscript"/>
              </w:rPr>
              <w:t>1</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野青茅（</w:t>
            </w:r>
            <w:r w:rsidRPr="00D1611E">
              <w:rPr>
                <w:rFonts w:ascii="Times New Roman" w:cs="Times New Roman"/>
                <w:i/>
                <w:iCs/>
                <w:kern w:val="2"/>
                <w:sz w:val="21"/>
                <w:szCs w:val="21"/>
              </w:rPr>
              <w:t>Deyeuxia arundinacea (L.) Beauv.</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0.8</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Sol.</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苔草（</w:t>
            </w:r>
            <w:r w:rsidRPr="00D1611E">
              <w:rPr>
                <w:rFonts w:ascii="Times New Roman" w:cs="Times New Roman"/>
                <w:i/>
                <w:iCs/>
                <w:kern w:val="2"/>
                <w:sz w:val="21"/>
                <w:szCs w:val="21"/>
              </w:rPr>
              <w:t>Carex tristachya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0.6</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Un.</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荩草（</w:t>
            </w:r>
            <w:r w:rsidRPr="00D1611E">
              <w:rPr>
                <w:rFonts w:ascii="Times New Roman" w:cs="Times New Roman"/>
                <w:i/>
                <w:iCs/>
                <w:kern w:val="2"/>
                <w:sz w:val="21"/>
                <w:szCs w:val="21"/>
              </w:rPr>
              <w:t>Gramineae </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Un.</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层外</w:t>
            </w:r>
          </w:p>
        </w:tc>
        <w:tc>
          <w:tcPr>
            <w:tcW w:w="8856" w:type="dxa"/>
            <w:gridSpan w:val="9"/>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托柄菝葜</w:t>
            </w:r>
            <w:r w:rsidRPr="00D1611E">
              <w:rPr>
                <w:rFonts w:ascii="Times New Roman" w:cs="Times New Roman"/>
                <w:kern w:val="2"/>
                <w:sz w:val="21"/>
                <w:szCs w:val="21"/>
              </w:rPr>
              <w:t>(</w:t>
            </w:r>
            <w:r w:rsidRPr="00D1611E">
              <w:rPr>
                <w:rFonts w:ascii="Times New Roman" w:cs="Times New Roman"/>
                <w:i/>
                <w:iCs/>
                <w:kern w:val="2"/>
                <w:sz w:val="21"/>
                <w:szCs w:val="21"/>
              </w:rPr>
              <w:t>Smilax discotis</w:t>
            </w:r>
            <w:r w:rsidRPr="00D1611E">
              <w:rPr>
                <w:rFonts w:ascii="Times New Roman" w:cs="Times New Roman"/>
                <w:kern w:val="2"/>
                <w:sz w:val="21"/>
                <w:szCs w:val="21"/>
              </w:rPr>
              <w:t>)</w:t>
            </w:r>
            <w:r w:rsidRPr="00D1611E">
              <w:rPr>
                <w:rFonts w:ascii="Times New Roman" w:cs="Times New Roman"/>
                <w:kern w:val="2"/>
                <w:sz w:val="21"/>
                <w:szCs w:val="21"/>
              </w:rPr>
              <w:t>、鞘柄菝葜</w:t>
            </w:r>
            <w:r w:rsidRPr="00D1611E">
              <w:rPr>
                <w:rFonts w:ascii="Times New Roman" w:cs="Times New Roman"/>
                <w:kern w:val="2"/>
                <w:sz w:val="21"/>
                <w:szCs w:val="21"/>
              </w:rPr>
              <w:t>(Smilax stans)</w:t>
            </w:r>
            <w:r w:rsidRPr="00D1611E">
              <w:rPr>
                <w:rFonts w:ascii="Times New Roman" w:cs="Times New Roman"/>
                <w:kern w:val="2"/>
                <w:sz w:val="21"/>
                <w:szCs w:val="21"/>
              </w:rPr>
              <w:t>、三叶木通</w:t>
            </w:r>
            <w:r w:rsidRPr="00D1611E">
              <w:rPr>
                <w:rFonts w:ascii="Times New Roman" w:cs="Times New Roman"/>
                <w:kern w:val="2"/>
                <w:sz w:val="21"/>
                <w:szCs w:val="21"/>
              </w:rPr>
              <w:t>(</w:t>
            </w:r>
            <w:r w:rsidRPr="00D1611E">
              <w:rPr>
                <w:rFonts w:ascii="Times New Roman" w:cs="Times New Roman"/>
                <w:i/>
                <w:iCs/>
                <w:kern w:val="2"/>
                <w:sz w:val="21"/>
                <w:szCs w:val="21"/>
              </w:rPr>
              <w:t>Akebia trifoliata</w:t>
            </w:r>
            <w:r w:rsidRPr="00D1611E">
              <w:rPr>
                <w:rFonts w:ascii="Times New Roman" w:cs="Times New Roman"/>
                <w:kern w:val="2"/>
                <w:sz w:val="21"/>
                <w:szCs w:val="21"/>
              </w:rPr>
              <w:t>)</w:t>
            </w:r>
            <w:r w:rsidRPr="00D1611E">
              <w:rPr>
                <w:rFonts w:ascii="Times New Roman" w:cs="Times New Roman"/>
                <w:kern w:val="2"/>
                <w:sz w:val="21"/>
                <w:szCs w:val="21"/>
              </w:rPr>
              <w:t>、三裂蛇葡萄</w:t>
            </w:r>
            <w:r w:rsidRPr="00D1611E">
              <w:rPr>
                <w:rFonts w:ascii="Times New Roman" w:cs="Times New Roman"/>
                <w:kern w:val="2"/>
                <w:sz w:val="21"/>
                <w:szCs w:val="21"/>
              </w:rPr>
              <w:t>(</w:t>
            </w:r>
            <w:r w:rsidRPr="00D1611E">
              <w:rPr>
                <w:rFonts w:ascii="Times New Roman" w:cs="Times New Roman"/>
                <w:i/>
                <w:iCs/>
                <w:kern w:val="2"/>
                <w:sz w:val="21"/>
                <w:szCs w:val="21"/>
              </w:rPr>
              <w:t>Ampelopsis delavayana</w:t>
            </w:r>
            <w:r w:rsidRPr="00D1611E">
              <w:rPr>
                <w:rFonts w:ascii="Times New Roman" w:cs="Times New Roman"/>
                <w:kern w:val="2"/>
                <w:sz w:val="21"/>
                <w:szCs w:val="21"/>
              </w:rPr>
              <w:t>)</w:t>
            </w:r>
            <w:r w:rsidRPr="00D1611E">
              <w:rPr>
                <w:rFonts w:ascii="Times New Roman" w:cs="Times New Roman"/>
                <w:kern w:val="2"/>
                <w:sz w:val="21"/>
                <w:szCs w:val="21"/>
              </w:rPr>
              <w:t>、爬山虎</w:t>
            </w:r>
            <w:r w:rsidRPr="00D1611E">
              <w:rPr>
                <w:rFonts w:ascii="Times New Roman" w:cs="Times New Roman"/>
                <w:kern w:val="2"/>
                <w:sz w:val="21"/>
                <w:szCs w:val="21"/>
              </w:rPr>
              <w:t>(</w:t>
            </w:r>
            <w:r w:rsidRPr="00D1611E">
              <w:rPr>
                <w:rFonts w:ascii="Times New Roman" w:cs="Times New Roman"/>
                <w:i/>
                <w:iCs/>
                <w:kern w:val="2"/>
                <w:sz w:val="21"/>
                <w:szCs w:val="21"/>
              </w:rPr>
              <w:t>Parthenocissus tricuspidata</w:t>
            </w:r>
            <w:r w:rsidRPr="00D1611E">
              <w:rPr>
                <w:rFonts w:ascii="Times New Roman" w:cs="Times New Roman"/>
                <w:kern w:val="2"/>
                <w:sz w:val="21"/>
                <w:szCs w:val="21"/>
              </w:rPr>
              <w:t>)</w:t>
            </w:r>
          </w:p>
        </w:tc>
      </w:tr>
    </w:tbl>
    <w:p w:rsidR="00D1611E" w:rsidRDefault="00D1611E" w:rsidP="00D1611E">
      <w:pPr>
        <w:topLinePunct w:val="0"/>
        <w:adjustRightInd/>
        <w:spacing w:line="500" w:lineRule="exact"/>
        <w:ind w:left="60" w:right="100" w:firstLineChars="0" w:firstLine="482"/>
        <w:jc w:val="center"/>
        <w:rPr>
          <w:rFonts w:ascii="Times New Roman" w:cs="Times New Roman"/>
          <w:b/>
          <w:szCs w:val="20"/>
        </w:rPr>
      </w:pPr>
      <w:r w:rsidRPr="00D630D1">
        <w:rPr>
          <w:rFonts w:ascii="Times New Roman" w:cs="Times New Roman"/>
          <w:b/>
          <w:kern w:val="2"/>
          <w:sz w:val="21"/>
          <w:szCs w:val="20"/>
        </w:rPr>
        <w:t>样方</w:t>
      </w:r>
      <w:r>
        <w:rPr>
          <w:rFonts w:ascii="Times New Roman" w:cs="Times New Roman" w:hint="eastAsia"/>
          <w:b/>
          <w:kern w:val="2"/>
          <w:sz w:val="21"/>
          <w:szCs w:val="20"/>
        </w:rPr>
        <w:t>5</w:t>
      </w:r>
      <w:r>
        <w:rPr>
          <w:rFonts w:ascii="Times New Roman" w:cs="Times New Roman"/>
          <w:b/>
          <w:szCs w:val="20"/>
        </w:rPr>
        <w:t>麻栎</w:t>
      </w:r>
      <w:r>
        <w:rPr>
          <w:rFonts w:ascii="Times New Roman" w:cs="Times New Roman"/>
          <w:b/>
          <w:szCs w:val="20"/>
        </w:rPr>
        <w:t>-</w:t>
      </w:r>
      <w:r>
        <w:rPr>
          <w:rFonts w:ascii="Times New Roman" w:cs="Times New Roman"/>
          <w:b/>
          <w:szCs w:val="20"/>
        </w:rPr>
        <w:t>柏木混交林群落样地表</w:t>
      </w:r>
    </w:p>
    <w:tbl>
      <w:tblPr>
        <w:tblW w:w="942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570"/>
        <w:gridCol w:w="3928"/>
        <w:gridCol w:w="703"/>
        <w:gridCol w:w="481"/>
        <w:gridCol w:w="621"/>
        <w:gridCol w:w="648"/>
        <w:gridCol w:w="550"/>
        <w:gridCol w:w="523"/>
        <w:gridCol w:w="659"/>
        <w:gridCol w:w="743"/>
      </w:tblGrid>
      <w:tr w:rsidR="00D1611E" w:rsidRPr="00D1611E" w:rsidTr="00D1611E">
        <w:trPr>
          <w:trHeight w:val="755"/>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坐标</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107.8117,31.5301</w:t>
            </w:r>
          </w:p>
        </w:tc>
        <w:tc>
          <w:tcPr>
            <w:tcW w:w="70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海拔</w:t>
            </w:r>
            <w:r w:rsidRPr="00D1611E">
              <w:rPr>
                <w:rFonts w:ascii="Times New Roman" w:cs="Times New Roman"/>
                <w:bCs/>
                <w:kern w:val="2"/>
                <w:sz w:val="21"/>
                <w:szCs w:val="21"/>
              </w:rPr>
              <w:t>(m)</w:t>
            </w:r>
          </w:p>
        </w:tc>
        <w:tc>
          <w:tcPr>
            <w:tcW w:w="481"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813</w:t>
            </w:r>
          </w:p>
        </w:tc>
        <w:tc>
          <w:tcPr>
            <w:tcW w:w="621"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土壤类型</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sz w:val="21"/>
                <w:szCs w:val="21"/>
              </w:rPr>
            </w:pPr>
            <w:r w:rsidRPr="00D1611E">
              <w:rPr>
                <w:rFonts w:ascii="Times New Roman" w:cs="Times New Roman"/>
                <w:bCs/>
                <w:sz w:val="21"/>
                <w:szCs w:val="21"/>
              </w:rPr>
              <w:t>壤土</w:t>
            </w:r>
          </w:p>
        </w:tc>
        <w:tc>
          <w:tcPr>
            <w:tcW w:w="55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坡度</w:t>
            </w:r>
          </w:p>
        </w:tc>
        <w:tc>
          <w:tcPr>
            <w:tcW w:w="52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sz w:val="21"/>
                <w:szCs w:val="21"/>
              </w:rPr>
              <w:t>坡向</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NE</w:t>
            </w:r>
          </w:p>
        </w:tc>
      </w:tr>
      <w:tr w:rsidR="00D1611E" w:rsidRPr="00D1611E" w:rsidTr="00D1611E">
        <w:trPr>
          <w:trHeight w:val="308"/>
          <w:jc w:val="center"/>
        </w:trPr>
        <w:tc>
          <w:tcPr>
            <w:tcW w:w="570"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中文名（拉丁名）</w:t>
            </w:r>
          </w:p>
        </w:tc>
        <w:tc>
          <w:tcPr>
            <w:tcW w:w="1805" w:type="dxa"/>
            <w:gridSpan w:val="3"/>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平均高度</w:t>
            </w:r>
            <w:r w:rsidRPr="00D1611E">
              <w:rPr>
                <w:rFonts w:ascii="Times New Roman" w:cs="Times New Roman"/>
                <w:bCs/>
                <w:kern w:val="2"/>
                <w:sz w:val="21"/>
                <w:szCs w:val="21"/>
              </w:rPr>
              <w:t>m</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株数</w:t>
            </w:r>
            <w:r w:rsidRPr="00D1611E">
              <w:rPr>
                <w:rFonts w:ascii="Times New Roman" w:cs="Times New Roman"/>
                <w:bCs/>
                <w:kern w:val="2"/>
                <w:sz w:val="21"/>
                <w:szCs w:val="21"/>
              </w:rPr>
              <w:t>/</w:t>
            </w:r>
            <w:r w:rsidRPr="00D1611E">
              <w:rPr>
                <w:rFonts w:ascii="Times New Roman" w:cs="Times New Roman"/>
                <w:bCs/>
                <w:kern w:val="2"/>
                <w:sz w:val="21"/>
                <w:szCs w:val="21"/>
              </w:rPr>
              <w:t>多度</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平均胸径</w:t>
            </w:r>
            <w:r w:rsidRPr="00D1611E">
              <w:rPr>
                <w:rFonts w:ascii="Times New Roman" w:cs="Times New Roman"/>
                <w:bCs/>
                <w:kern w:val="2"/>
                <w:sz w:val="21"/>
                <w:szCs w:val="21"/>
              </w:rPr>
              <w:t>cm</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平均</w:t>
            </w:r>
          </w:p>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冠幅</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茂盛</w:t>
            </w:r>
          </w:p>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度</w:t>
            </w:r>
          </w:p>
        </w:tc>
      </w:tr>
      <w:tr w:rsidR="00D1611E" w:rsidRPr="00D1611E" w:rsidTr="00D1611E">
        <w:trPr>
          <w:trHeight w:val="308"/>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乔木</w:t>
            </w:r>
            <w:r w:rsidRPr="00D1611E">
              <w:rPr>
                <w:rFonts w:ascii="Times New Roman" w:cs="Times New Roman"/>
                <w:bCs/>
                <w:kern w:val="2"/>
                <w:sz w:val="21"/>
                <w:szCs w:val="21"/>
              </w:rPr>
              <w:lastRenderedPageBreak/>
              <w:t>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lastRenderedPageBreak/>
              <w:t>麻栎（</w:t>
            </w:r>
            <w:r w:rsidRPr="00D1611E">
              <w:rPr>
                <w:rFonts w:ascii="Times New Roman" w:cs="Times New Roman"/>
                <w:i/>
                <w:iCs/>
                <w:kern w:val="2"/>
                <w:sz w:val="21"/>
                <w:szCs w:val="21"/>
              </w:rPr>
              <w:t>Quercus acutissima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hint="eastAsia"/>
                <w:bCs/>
                <w:kern w:val="2"/>
                <w:sz w:val="21"/>
                <w:szCs w:val="21"/>
              </w:rPr>
              <w:t>9</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25</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22</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5</w:t>
            </w:r>
            <w:r w:rsidRPr="00D1611E">
              <w:rPr>
                <w:rFonts w:ascii="Times New Roman" w:cs="Times New Roman"/>
                <w:bCs/>
                <w:kern w:val="2"/>
                <w:sz w:val="21"/>
                <w:szCs w:val="21"/>
              </w:rPr>
              <w:t>*4</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utoSpaceDE w:val="0"/>
              <w:autoSpaceDN w:val="0"/>
              <w:spacing w:line="240" w:lineRule="auto"/>
              <w:ind w:firstLineChars="0" w:firstLine="0"/>
              <w:jc w:val="left"/>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kern w:val="2"/>
                <w:sz w:val="21"/>
                <w:szCs w:val="21"/>
              </w:rPr>
            </w:pPr>
            <w:r w:rsidRPr="00D1611E">
              <w:rPr>
                <w:rFonts w:ascii="Times New Roman" w:cs="Times New Roman"/>
                <w:kern w:val="2"/>
                <w:sz w:val="21"/>
                <w:szCs w:val="21"/>
              </w:rPr>
              <w:t>柏木（</w:t>
            </w:r>
            <w:r w:rsidRPr="00D1611E">
              <w:rPr>
                <w:rFonts w:ascii="Times New Roman" w:cs="Times New Roman"/>
                <w:i/>
                <w:iCs/>
                <w:kern w:val="2"/>
                <w:sz w:val="21"/>
                <w:szCs w:val="21"/>
              </w:rPr>
              <w:t>Cupressus funebris</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hint="eastAsia"/>
                <w:bCs/>
                <w:kern w:val="2"/>
                <w:sz w:val="21"/>
                <w:szCs w:val="21"/>
              </w:rPr>
              <w:t>10</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9</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14</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2*</w:t>
            </w:r>
            <w:r w:rsidRPr="00D1611E">
              <w:rPr>
                <w:rFonts w:ascii="Times New Roman" w:cs="Times New Roman" w:hint="eastAsia"/>
                <w:bCs/>
                <w:kern w:val="2"/>
                <w:sz w:val="21"/>
                <w:szCs w:val="21"/>
              </w:rPr>
              <w:t>2</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utoSpaceDE w:val="0"/>
              <w:autoSpaceDN w:val="0"/>
              <w:spacing w:line="240" w:lineRule="auto"/>
              <w:ind w:firstLineChars="0" w:firstLine="0"/>
              <w:jc w:val="left"/>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kern w:val="2"/>
                <w:sz w:val="21"/>
                <w:szCs w:val="21"/>
              </w:rPr>
            </w:pPr>
            <w:r w:rsidRPr="00D1611E">
              <w:rPr>
                <w:rFonts w:ascii="Times New Roman" w:cs="Times New Roman" w:hint="eastAsia"/>
                <w:kern w:val="2"/>
                <w:sz w:val="21"/>
                <w:szCs w:val="21"/>
              </w:rPr>
              <w:t>枫香（</w:t>
            </w:r>
            <w:r w:rsidRPr="00D1611E">
              <w:rPr>
                <w:rFonts w:ascii="Times New Roman" w:cs="Times New Roman"/>
                <w:i/>
                <w:iCs/>
                <w:kern w:val="2"/>
                <w:sz w:val="21"/>
                <w:szCs w:val="21"/>
              </w:rPr>
              <w:t>Liquidambar formosana Hance</w:t>
            </w:r>
            <w:r w:rsidRPr="00D1611E">
              <w:rPr>
                <w:rFonts w:ascii="Times New Roman" w:cs="Times New Roman" w:hint="eastAsia"/>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hint="eastAsia"/>
                <w:bCs/>
                <w:kern w:val="2"/>
                <w:sz w:val="21"/>
                <w:szCs w:val="21"/>
              </w:rPr>
              <w:t>11</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5</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6</w:t>
            </w:r>
            <w:r w:rsidRPr="00D1611E">
              <w:rPr>
                <w:rFonts w:ascii="Times New Roman" w:cs="Times New Roman"/>
                <w:bCs/>
                <w:kern w:val="2"/>
                <w:sz w:val="21"/>
                <w:szCs w:val="21"/>
              </w:rPr>
              <w:t>*</w:t>
            </w:r>
            <w:r w:rsidRPr="00D1611E">
              <w:rPr>
                <w:rFonts w:ascii="Times New Roman" w:cs="Times New Roman" w:hint="eastAsia"/>
                <w:bCs/>
                <w:kern w:val="2"/>
                <w:sz w:val="21"/>
                <w:szCs w:val="21"/>
              </w:rPr>
              <w:t>6</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utoSpaceDE w:val="0"/>
              <w:autoSpaceDN w:val="0"/>
              <w:spacing w:line="240" w:lineRule="auto"/>
              <w:ind w:firstLineChars="0" w:firstLine="0"/>
              <w:jc w:val="left"/>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kern w:val="2"/>
                <w:sz w:val="21"/>
                <w:szCs w:val="21"/>
              </w:rPr>
            </w:pPr>
            <w:r w:rsidRPr="00D1611E">
              <w:rPr>
                <w:rFonts w:ascii="Times New Roman" w:cs="Times New Roman" w:hint="eastAsia"/>
                <w:kern w:val="2"/>
                <w:sz w:val="21"/>
                <w:szCs w:val="21"/>
              </w:rPr>
              <w:t>响叶杨</w:t>
            </w:r>
            <w:r w:rsidRPr="00D1611E">
              <w:rPr>
                <w:rFonts w:ascii="Times New Roman" w:cs="Times New Roman"/>
                <w:kern w:val="2"/>
                <w:sz w:val="21"/>
                <w:szCs w:val="21"/>
              </w:rPr>
              <w:t>（</w:t>
            </w:r>
            <w:r w:rsidRPr="00D1611E">
              <w:rPr>
                <w:rFonts w:ascii="Times New Roman" w:cs="Times New Roman"/>
                <w:i/>
                <w:iCs/>
                <w:kern w:val="2"/>
                <w:sz w:val="21"/>
                <w:szCs w:val="21"/>
              </w:rPr>
              <w:t>Populus adenopodaMaxim.</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hint="eastAsia"/>
                <w:bCs/>
                <w:kern w:val="2"/>
                <w:sz w:val="21"/>
                <w:szCs w:val="21"/>
              </w:rPr>
              <w:t>13</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3</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21</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hint="eastAsia"/>
                <w:bCs/>
                <w:kern w:val="2"/>
                <w:sz w:val="21"/>
                <w:szCs w:val="21"/>
              </w:rPr>
              <w:t>5</w:t>
            </w:r>
            <w:r w:rsidRPr="00D1611E">
              <w:rPr>
                <w:rFonts w:ascii="Times New Roman" w:cs="Times New Roman"/>
                <w:bCs/>
                <w:kern w:val="2"/>
                <w:sz w:val="21"/>
                <w:szCs w:val="21"/>
              </w:rPr>
              <w:t>*</w:t>
            </w:r>
            <w:r w:rsidRPr="00D1611E">
              <w:rPr>
                <w:rFonts w:ascii="Times New Roman" w:cs="Times New Roman" w:hint="eastAsia"/>
                <w:bCs/>
                <w:kern w:val="2"/>
                <w:sz w:val="21"/>
                <w:szCs w:val="21"/>
              </w:rPr>
              <w:t>6</w:t>
            </w: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灌木层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马桑</w:t>
            </w:r>
            <w:r w:rsidRPr="00D1611E">
              <w:rPr>
                <w:rFonts w:ascii="Times New Roman" w:cs="Times New Roman"/>
                <w:kern w:val="2"/>
                <w:sz w:val="21"/>
                <w:szCs w:val="21"/>
              </w:rPr>
              <w:t>(</w:t>
            </w:r>
            <w:r w:rsidRPr="00D1611E">
              <w:rPr>
                <w:rFonts w:ascii="Times New Roman" w:cs="Times New Roman"/>
                <w:i/>
                <w:iCs/>
                <w:kern w:val="2"/>
                <w:sz w:val="21"/>
                <w:szCs w:val="21"/>
              </w:rPr>
              <w:t>Coriaria nepalensis</w:t>
            </w:r>
            <w:r w:rsidRPr="00D1611E">
              <w:rPr>
                <w:rFonts w:ascii="Times New Roman" w:cs="Times New Roman"/>
                <w:kern w:val="2"/>
                <w:sz w:val="21"/>
                <w:szCs w:val="21"/>
              </w:rPr>
              <w:t>)</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w:t>
            </w:r>
            <w:r w:rsidRPr="00D1611E">
              <w:rPr>
                <w:rFonts w:ascii="Times New Roman" w:cs="Times New Roman" w:hint="eastAsia"/>
                <w:bCs/>
                <w:kern w:val="2"/>
                <w:sz w:val="21"/>
                <w:szCs w:val="21"/>
              </w:rPr>
              <w:t>5</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6</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铁仔（</w:t>
            </w:r>
            <w:r w:rsidRPr="00D1611E">
              <w:rPr>
                <w:rFonts w:ascii="Times New Roman" w:cs="Times New Roman"/>
                <w:i/>
                <w:iCs/>
                <w:kern w:val="2"/>
                <w:sz w:val="21"/>
                <w:szCs w:val="21"/>
              </w:rPr>
              <w:t>Myrsine africana Linn.</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w:t>
            </w:r>
            <w:r w:rsidRPr="00D1611E">
              <w:rPr>
                <w:rFonts w:ascii="Times New Roman" w:cs="Times New Roman" w:hint="eastAsia"/>
                <w:bCs/>
                <w:kern w:val="2"/>
                <w:sz w:val="21"/>
                <w:szCs w:val="21"/>
              </w:rPr>
              <w:t>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7</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棕榈</w:t>
            </w:r>
            <w:r w:rsidRPr="00D1611E">
              <w:rPr>
                <w:rFonts w:ascii="Times New Roman" w:cs="Times New Roman"/>
                <w:kern w:val="2"/>
                <w:sz w:val="21"/>
                <w:szCs w:val="21"/>
              </w:rPr>
              <w:t>(</w:t>
            </w:r>
            <w:r w:rsidRPr="00D1611E">
              <w:rPr>
                <w:rFonts w:ascii="Times New Roman" w:cs="Times New Roman"/>
                <w:i/>
                <w:iCs/>
                <w:kern w:val="2"/>
                <w:sz w:val="21"/>
                <w:szCs w:val="21"/>
              </w:rPr>
              <w:t>Trachycarpus fortunei</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1.3</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5</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刺红珠</w:t>
            </w:r>
            <w:r w:rsidRPr="00D1611E">
              <w:rPr>
                <w:rFonts w:ascii="Times New Roman" w:cs="Times New Roman"/>
                <w:kern w:val="2"/>
                <w:sz w:val="21"/>
                <w:szCs w:val="21"/>
              </w:rPr>
              <w:t>(</w:t>
            </w:r>
            <w:r w:rsidRPr="00D1611E">
              <w:rPr>
                <w:rFonts w:ascii="Times New Roman" w:cs="Times New Roman"/>
                <w:i/>
                <w:iCs/>
                <w:kern w:val="2"/>
                <w:sz w:val="21"/>
                <w:szCs w:val="21"/>
              </w:rPr>
              <w:t>Berberis dictyophylla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5</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2.0</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豪猪刺</w:t>
            </w:r>
            <w:r w:rsidRPr="00D1611E">
              <w:rPr>
                <w:rFonts w:ascii="Times New Roman" w:cs="Times New Roman"/>
                <w:kern w:val="2"/>
                <w:sz w:val="21"/>
                <w:szCs w:val="21"/>
              </w:rPr>
              <w:t>(</w:t>
            </w:r>
            <w:r w:rsidRPr="00D1611E">
              <w:rPr>
                <w:rFonts w:ascii="Times New Roman" w:cs="Times New Roman"/>
                <w:i/>
                <w:iCs/>
                <w:kern w:val="2"/>
                <w:sz w:val="21"/>
                <w:szCs w:val="21"/>
              </w:rPr>
              <w:t>Berberis julianae</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3</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kern w:val="2"/>
                <w:sz w:val="21"/>
                <w:szCs w:val="21"/>
              </w:rPr>
            </w:pPr>
            <w:r w:rsidRPr="00D1611E">
              <w:rPr>
                <w:rFonts w:ascii="Times New Roman" w:cs="Times New Roman"/>
                <w:kern w:val="2"/>
                <w:sz w:val="21"/>
                <w:szCs w:val="21"/>
              </w:rPr>
              <w:t>盐肤木（</w:t>
            </w:r>
            <w:r w:rsidRPr="00D1611E">
              <w:rPr>
                <w:rFonts w:ascii="Times New Roman" w:cs="Times New Roman"/>
                <w:i/>
                <w:iCs/>
                <w:kern w:val="2"/>
                <w:sz w:val="21"/>
                <w:szCs w:val="21"/>
              </w:rPr>
              <w:t>Rhus chinensis</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1.4</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2</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中</w:t>
            </w: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
                <w:bCs/>
                <w:kern w:val="2"/>
                <w:sz w:val="21"/>
                <w:szCs w:val="21"/>
              </w:rPr>
            </w:pPr>
            <w:r w:rsidRPr="00D1611E">
              <w:rPr>
                <w:rFonts w:ascii="Times New Roman" w:cs="Times New Roman"/>
                <w:kern w:val="2"/>
                <w:sz w:val="21"/>
                <w:szCs w:val="21"/>
              </w:rPr>
              <w:t>胡颓子（</w:t>
            </w:r>
            <w:r w:rsidRPr="00D1611E">
              <w:rPr>
                <w:rFonts w:ascii="Times New Roman" w:cs="Times New Roman"/>
                <w:i/>
                <w:iCs/>
                <w:kern w:val="2"/>
                <w:sz w:val="21"/>
                <w:szCs w:val="21"/>
              </w:rPr>
              <w:t>Elaeagnus pungens Thunb.</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3</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1.5</w:t>
            </w: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盛</w:t>
            </w:r>
          </w:p>
        </w:tc>
      </w:tr>
      <w:tr w:rsidR="00D1611E" w:rsidRPr="00D1611E" w:rsidTr="00D1611E">
        <w:trPr>
          <w:trHeight w:val="308"/>
          <w:jc w:val="center"/>
        </w:trPr>
        <w:tc>
          <w:tcPr>
            <w:tcW w:w="570" w:type="dxa"/>
            <w:vMerge w:val="restart"/>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草本层</w:t>
            </w: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蒿（</w:t>
            </w:r>
            <w:r w:rsidRPr="00D1611E">
              <w:rPr>
                <w:rFonts w:ascii="Times New Roman" w:cs="Times New Roman"/>
                <w:i/>
                <w:iCs/>
                <w:kern w:val="2"/>
                <w:sz w:val="21"/>
                <w:szCs w:val="21"/>
              </w:rPr>
              <w:t>Artemisia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0.95</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Cop</w:t>
            </w:r>
            <w:r w:rsidRPr="00D1611E">
              <w:rPr>
                <w:rFonts w:ascii="Times New Roman" w:cs="Times New Roman"/>
                <w:bCs/>
                <w:kern w:val="2"/>
                <w:sz w:val="21"/>
                <w:szCs w:val="21"/>
                <w:vertAlign w:val="subscript"/>
              </w:rPr>
              <w:t>2</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白茅（</w:t>
            </w:r>
            <w:r w:rsidRPr="00D1611E">
              <w:rPr>
                <w:rFonts w:ascii="Times New Roman" w:cs="Times New Roman"/>
                <w:i/>
                <w:iCs/>
                <w:kern w:val="2"/>
                <w:sz w:val="21"/>
                <w:szCs w:val="21"/>
              </w:rPr>
              <w:t>Imperata cylindrica (L.) Beauv.</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0.85</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Cop</w:t>
            </w:r>
            <w:r w:rsidRPr="00D1611E">
              <w:rPr>
                <w:rFonts w:ascii="Times New Roman" w:cs="Times New Roman"/>
                <w:bCs/>
                <w:kern w:val="2"/>
                <w:sz w:val="21"/>
                <w:szCs w:val="21"/>
                <w:vertAlign w:val="subscript"/>
              </w:rPr>
              <w:t>2</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芒萁</w:t>
            </w:r>
            <w:r w:rsidRPr="00D1611E">
              <w:rPr>
                <w:rFonts w:ascii="Times New Roman" w:cs="Times New Roman"/>
                <w:kern w:val="2"/>
                <w:sz w:val="21"/>
                <w:szCs w:val="21"/>
              </w:rPr>
              <w:t>(</w:t>
            </w:r>
            <w:r w:rsidRPr="00D1611E">
              <w:rPr>
                <w:rFonts w:ascii="Times New Roman" w:cs="Times New Roman"/>
                <w:i/>
                <w:iCs/>
                <w:kern w:val="2"/>
                <w:sz w:val="21"/>
                <w:szCs w:val="21"/>
              </w:rPr>
              <w:t>Dicranopteris dichotoma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0.4</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Cop</w:t>
            </w:r>
            <w:r w:rsidRPr="00D1611E">
              <w:rPr>
                <w:rFonts w:ascii="Times New Roman" w:cs="Times New Roman"/>
                <w:bCs/>
                <w:kern w:val="2"/>
                <w:sz w:val="21"/>
                <w:szCs w:val="21"/>
                <w:vertAlign w:val="subscript"/>
              </w:rPr>
              <w:t>1</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野青茅（</w:t>
            </w:r>
            <w:r w:rsidRPr="00D1611E">
              <w:rPr>
                <w:rFonts w:ascii="Times New Roman" w:cs="Times New Roman"/>
                <w:i/>
                <w:iCs/>
                <w:kern w:val="2"/>
                <w:sz w:val="21"/>
                <w:szCs w:val="21"/>
              </w:rPr>
              <w:t>Deyeuxia arundinacea (L.) Beauv.</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0.8</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Sol.</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苔草（</w:t>
            </w:r>
            <w:r w:rsidRPr="00D1611E">
              <w:rPr>
                <w:rFonts w:ascii="Times New Roman" w:cs="Times New Roman"/>
                <w:i/>
                <w:iCs/>
                <w:kern w:val="2"/>
                <w:sz w:val="21"/>
                <w:szCs w:val="21"/>
              </w:rPr>
              <w:t>Carex tristachya</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0.6</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Un.</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r w:rsidR="00D1611E" w:rsidRPr="00D1611E" w:rsidTr="00D1611E">
        <w:trPr>
          <w:trHeight w:val="308"/>
          <w:jc w:val="center"/>
        </w:trPr>
        <w:tc>
          <w:tcPr>
            <w:tcW w:w="570" w:type="dxa"/>
            <w:vMerge/>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kern w:val="2"/>
                <w:sz w:val="21"/>
                <w:szCs w:val="21"/>
              </w:rPr>
              <w:t>荩草（</w:t>
            </w:r>
            <w:r w:rsidRPr="00D1611E">
              <w:rPr>
                <w:rFonts w:ascii="Times New Roman" w:cs="Times New Roman"/>
                <w:i/>
                <w:iCs/>
                <w:kern w:val="2"/>
                <w:sz w:val="21"/>
                <w:szCs w:val="21"/>
              </w:rPr>
              <w:t>Gramineae </w:t>
            </w:r>
            <w:r w:rsidRPr="00D1611E">
              <w:rPr>
                <w:rFonts w:ascii="Times New Roman" w:cs="Times New Roman"/>
                <w:kern w:val="2"/>
                <w:sz w:val="21"/>
                <w:szCs w:val="21"/>
              </w:rPr>
              <w:t>）</w:t>
            </w:r>
          </w:p>
        </w:tc>
        <w:tc>
          <w:tcPr>
            <w:tcW w:w="1805" w:type="dxa"/>
            <w:gridSpan w:val="3"/>
            <w:vAlign w:val="center"/>
          </w:tcPr>
          <w:p w:rsidR="00D1611E" w:rsidRPr="00D1611E" w:rsidRDefault="00D1611E" w:rsidP="00D1611E">
            <w:pPr>
              <w:topLinePunct w:val="0"/>
              <w:adjustRightInd/>
              <w:spacing w:line="240" w:lineRule="auto"/>
              <w:ind w:firstLineChars="0" w:firstLine="360"/>
              <w:rPr>
                <w:rFonts w:ascii="Times New Roman" w:cs="Times New Roman"/>
                <w:bCs/>
                <w:kern w:val="2"/>
                <w:sz w:val="21"/>
                <w:szCs w:val="21"/>
              </w:rPr>
            </w:pPr>
            <w:r w:rsidRPr="00D1611E">
              <w:rPr>
                <w:rFonts w:ascii="Times New Roman" w:cs="Times New Roman"/>
                <w:bCs/>
                <w:kern w:val="2"/>
                <w:sz w:val="21"/>
                <w:szCs w:val="21"/>
              </w:rPr>
              <w:t>1.2</w:t>
            </w:r>
          </w:p>
        </w:tc>
        <w:tc>
          <w:tcPr>
            <w:tcW w:w="648"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r w:rsidRPr="00D1611E">
              <w:rPr>
                <w:rFonts w:ascii="Times New Roman" w:cs="Times New Roman"/>
                <w:bCs/>
                <w:kern w:val="2"/>
                <w:sz w:val="21"/>
                <w:szCs w:val="21"/>
              </w:rPr>
              <w:t>Un.</w:t>
            </w:r>
          </w:p>
        </w:tc>
        <w:tc>
          <w:tcPr>
            <w:tcW w:w="1073" w:type="dxa"/>
            <w:gridSpan w:val="2"/>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D1611E" w:rsidRPr="00D1611E" w:rsidRDefault="00D1611E" w:rsidP="00D1611E">
            <w:pPr>
              <w:topLinePunct w:val="0"/>
              <w:adjustRightInd/>
              <w:spacing w:line="240" w:lineRule="auto"/>
              <w:ind w:firstLineChars="0" w:firstLine="0"/>
              <w:jc w:val="center"/>
              <w:rPr>
                <w:rFonts w:ascii="Times New Roman" w:cs="Times New Roman"/>
                <w:bCs/>
                <w:kern w:val="2"/>
                <w:sz w:val="21"/>
                <w:szCs w:val="21"/>
              </w:rPr>
            </w:pPr>
          </w:p>
        </w:tc>
      </w:tr>
    </w:tbl>
    <w:p w:rsidR="00521C82" w:rsidRDefault="00521C82" w:rsidP="00521C82">
      <w:pPr>
        <w:topLinePunct w:val="0"/>
        <w:adjustRightInd/>
        <w:spacing w:line="500" w:lineRule="exact"/>
        <w:ind w:left="60" w:right="100" w:firstLineChars="0" w:firstLine="482"/>
        <w:jc w:val="center"/>
        <w:rPr>
          <w:rFonts w:ascii="Times New Roman" w:cs="Times New Roman"/>
          <w:b/>
          <w:kern w:val="2"/>
          <w:sz w:val="21"/>
          <w:szCs w:val="20"/>
        </w:rPr>
      </w:pPr>
      <w:r w:rsidRPr="00D630D1">
        <w:rPr>
          <w:rFonts w:ascii="Times New Roman" w:cs="Times New Roman"/>
          <w:b/>
          <w:kern w:val="2"/>
          <w:sz w:val="21"/>
          <w:szCs w:val="20"/>
        </w:rPr>
        <w:t>样方</w:t>
      </w:r>
      <w:r w:rsidR="002F0C6A">
        <w:rPr>
          <w:rFonts w:ascii="Times New Roman" w:cs="Times New Roman" w:hint="eastAsia"/>
          <w:b/>
          <w:kern w:val="2"/>
          <w:sz w:val="21"/>
          <w:szCs w:val="20"/>
        </w:rPr>
        <w:t>6</w:t>
      </w:r>
      <w:r w:rsidRPr="00D630D1">
        <w:rPr>
          <w:rFonts w:ascii="Times New Roman" w:cs="Times New Roman" w:hint="eastAsia"/>
          <w:b/>
          <w:kern w:val="2"/>
          <w:sz w:val="21"/>
          <w:szCs w:val="20"/>
        </w:rPr>
        <w:t xml:space="preserve"> </w:t>
      </w:r>
      <w:r w:rsidRPr="00D630D1">
        <w:rPr>
          <w:rFonts w:ascii="Times New Roman" w:cs="Times New Roman"/>
          <w:b/>
          <w:kern w:val="2"/>
          <w:sz w:val="21"/>
          <w:szCs w:val="20"/>
        </w:rPr>
        <w:t>槲栎灌丛</w:t>
      </w:r>
      <w:r w:rsidRPr="00D630D1">
        <w:rPr>
          <w:rFonts w:ascii="Times New Roman" w:cs="Times New Roman" w:hint="eastAsia"/>
          <w:b/>
          <w:kern w:val="2"/>
          <w:sz w:val="21"/>
          <w:szCs w:val="20"/>
        </w:rPr>
        <w:t>群落样方表</w:t>
      </w:r>
    </w:p>
    <w:tbl>
      <w:tblPr>
        <w:tblW w:w="942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570"/>
        <w:gridCol w:w="3928"/>
        <w:gridCol w:w="703"/>
        <w:gridCol w:w="481"/>
        <w:gridCol w:w="621"/>
        <w:gridCol w:w="648"/>
        <w:gridCol w:w="550"/>
        <w:gridCol w:w="523"/>
        <w:gridCol w:w="659"/>
        <w:gridCol w:w="743"/>
      </w:tblGrid>
      <w:tr w:rsidR="002F0C6A" w:rsidRPr="002F0C6A" w:rsidTr="002F0C6A">
        <w:trPr>
          <w:trHeight w:val="755"/>
          <w:jc w:val="center"/>
        </w:trPr>
        <w:tc>
          <w:tcPr>
            <w:tcW w:w="57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坐标</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107.8067,31.5357</w:t>
            </w:r>
          </w:p>
        </w:tc>
        <w:tc>
          <w:tcPr>
            <w:tcW w:w="70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海拔</w:t>
            </w:r>
            <w:r w:rsidRPr="002F0C6A">
              <w:rPr>
                <w:rFonts w:ascii="Times New Roman" w:cs="Times New Roman"/>
                <w:bCs/>
                <w:kern w:val="2"/>
                <w:sz w:val="21"/>
                <w:szCs w:val="21"/>
              </w:rPr>
              <w:t>(m)</w:t>
            </w:r>
          </w:p>
        </w:tc>
        <w:tc>
          <w:tcPr>
            <w:tcW w:w="481"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771</w:t>
            </w:r>
          </w:p>
        </w:tc>
        <w:tc>
          <w:tcPr>
            <w:tcW w:w="621"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土壤类型</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sz w:val="21"/>
                <w:szCs w:val="21"/>
              </w:rPr>
            </w:pPr>
            <w:r w:rsidRPr="002F0C6A">
              <w:rPr>
                <w:rFonts w:ascii="Times New Roman" w:cs="Times New Roman" w:hint="eastAsia"/>
                <w:bCs/>
                <w:sz w:val="21"/>
                <w:szCs w:val="21"/>
              </w:rPr>
              <w:t>酸性土</w:t>
            </w:r>
          </w:p>
        </w:tc>
        <w:tc>
          <w:tcPr>
            <w:tcW w:w="55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坡度</w:t>
            </w:r>
          </w:p>
        </w:tc>
        <w:tc>
          <w:tcPr>
            <w:tcW w:w="52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5</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坡向</w:t>
            </w: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NE</w:t>
            </w:r>
          </w:p>
        </w:tc>
      </w:tr>
      <w:tr w:rsidR="002F0C6A" w:rsidRPr="002F0C6A" w:rsidTr="002F0C6A">
        <w:trPr>
          <w:trHeight w:val="308"/>
          <w:jc w:val="center"/>
        </w:trPr>
        <w:tc>
          <w:tcPr>
            <w:tcW w:w="57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中文名</w:t>
            </w:r>
            <w:r w:rsidRPr="002F0C6A">
              <w:rPr>
                <w:rFonts w:ascii="Times New Roman" w:cs="Times New Roman" w:hint="eastAsia"/>
                <w:bCs/>
                <w:kern w:val="2"/>
                <w:sz w:val="21"/>
                <w:szCs w:val="21"/>
              </w:rPr>
              <w:t>（</w:t>
            </w:r>
            <w:r w:rsidRPr="002F0C6A">
              <w:rPr>
                <w:rFonts w:ascii="Times New Roman" w:cs="Times New Roman"/>
                <w:bCs/>
                <w:kern w:val="2"/>
                <w:sz w:val="21"/>
                <w:szCs w:val="21"/>
              </w:rPr>
              <w:t>拉丁名</w:t>
            </w:r>
            <w:r w:rsidRPr="002F0C6A">
              <w:rPr>
                <w:rFonts w:ascii="Times New Roman" w:cs="Times New Roman" w:hint="eastAsia"/>
                <w:bCs/>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平均高度</w:t>
            </w:r>
            <w:r w:rsidRPr="002F0C6A">
              <w:rPr>
                <w:rFonts w:ascii="Times New Roman" w:cs="Times New Roman"/>
                <w:bCs/>
                <w:kern w:val="2"/>
                <w:sz w:val="21"/>
                <w:szCs w:val="21"/>
              </w:rPr>
              <w:t>m</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株数</w:t>
            </w:r>
            <w:r w:rsidRPr="002F0C6A">
              <w:rPr>
                <w:rFonts w:ascii="Times New Roman" w:cs="Times New Roman"/>
                <w:bCs/>
                <w:kern w:val="2"/>
                <w:sz w:val="21"/>
                <w:szCs w:val="21"/>
              </w:rPr>
              <w:t>/</w:t>
            </w:r>
            <w:r w:rsidRPr="002F0C6A">
              <w:rPr>
                <w:rFonts w:ascii="Times New Roman" w:cs="Times New Roman"/>
                <w:bCs/>
                <w:kern w:val="2"/>
                <w:sz w:val="21"/>
                <w:szCs w:val="21"/>
              </w:rPr>
              <w:t>多度</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平均胸径</w:t>
            </w:r>
            <w:r w:rsidRPr="002F0C6A">
              <w:rPr>
                <w:rFonts w:ascii="Times New Roman" w:cs="Times New Roman"/>
                <w:bCs/>
                <w:kern w:val="2"/>
                <w:sz w:val="21"/>
                <w:szCs w:val="21"/>
              </w:rPr>
              <w:t>cm</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w:t>
            </w:r>
          </w:p>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冠幅</w:t>
            </w: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茂盛</w:t>
            </w:r>
          </w:p>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度</w:t>
            </w:r>
          </w:p>
        </w:tc>
      </w:tr>
      <w:tr w:rsidR="002F0C6A" w:rsidRPr="002F0C6A" w:rsidTr="002F0C6A">
        <w:trPr>
          <w:trHeight w:val="308"/>
          <w:jc w:val="center"/>
        </w:trPr>
        <w:tc>
          <w:tcPr>
            <w:tcW w:w="570" w:type="dxa"/>
            <w:vMerge w:val="restart"/>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灌木层</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
                <w:kern w:val="2"/>
                <w:sz w:val="21"/>
                <w:szCs w:val="21"/>
              </w:rPr>
            </w:pPr>
            <w:r w:rsidRPr="002F0C6A">
              <w:rPr>
                <w:rFonts w:ascii="Times New Roman" w:cs="Times New Roman"/>
                <w:kern w:val="2"/>
                <w:sz w:val="21"/>
                <w:szCs w:val="21"/>
              </w:rPr>
              <w:t>槲栎（</w:t>
            </w:r>
            <w:r w:rsidRPr="002F0C6A">
              <w:rPr>
                <w:rFonts w:ascii="Times New Roman" w:cs="Times New Roman"/>
                <w:i/>
                <w:iCs/>
                <w:kern w:val="2"/>
                <w:sz w:val="21"/>
                <w:szCs w:val="21"/>
              </w:rPr>
              <w:t>Quercus aliena</w:t>
            </w:r>
            <w:r w:rsidRPr="002F0C6A">
              <w:rPr>
                <w:rFonts w:ascii="Times New Roman" w:cs="Times New Roman"/>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2.5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12</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3.5</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盛</w:t>
            </w: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毛黄栌（</w:t>
            </w:r>
            <w:r w:rsidRPr="002F0C6A">
              <w:rPr>
                <w:rFonts w:ascii="Times New Roman" w:cs="Times New Roman"/>
                <w:i/>
                <w:iCs/>
                <w:kern w:val="2"/>
                <w:sz w:val="21"/>
                <w:szCs w:val="21"/>
              </w:rPr>
              <w:t>Cotinus coggygria var.pubescens</w:t>
            </w:r>
            <w:r w:rsidRPr="002F0C6A">
              <w:rPr>
                <w:rFonts w:ascii="Times New Roman" w:cs="Times New Roman"/>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2.0</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4</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2.5</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中</w:t>
            </w:r>
          </w:p>
        </w:tc>
      </w:tr>
      <w:tr w:rsidR="002F0C6A" w:rsidRPr="002F0C6A" w:rsidTr="002F0C6A">
        <w:trPr>
          <w:trHeight w:val="308"/>
          <w:jc w:val="center"/>
        </w:trPr>
        <w:tc>
          <w:tcPr>
            <w:tcW w:w="570" w:type="dxa"/>
            <w:vMerge w:val="restart"/>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草本层</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栗褐苔草（</w:t>
            </w:r>
            <w:r w:rsidRPr="002F0C6A">
              <w:rPr>
                <w:rFonts w:ascii="Times New Roman" w:cs="Times New Roman"/>
                <w:i/>
                <w:iCs/>
                <w:kern w:val="2"/>
                <w:sz w:val="21"/>
                <w:szCs w:val="21"/>
              </w:rPr>
              <w:t>Carex brunnea Thunb.</w:t>
            </w:r>
            <w:r w:rsidRPr="002F0C6A">
              <w:rPr>
                <w:rFonts w:ascii="Times New Roman" w:cs="Times New Roman"/>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w:t>
            </w:r>
            <w:r w:rsidRPr="002F0C6A">
              <w:rPr>
                <w:rFonts w:ascii="Times New Roman" w:cs="Times New Roman" w:hint="eastAsia"/>
                <w:bCs/>
                <w:kern w:val="2"/>
                <w:sz w:val="21"/>
                <w:szCs w:val="21"/>
              </w:rPr>
              <w:t>8</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Soc</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披针叶苔草（</w:t>
            </w:r>
            <w:r w:rsidRPr="002F0C6A">
              <w:rPr>
                <w:rFonts w:ascii="Times New Roman" w:cs="Times New Roman"/>
                <w:i/>
                <w:iCs/>
                <w:kern w:val="2"/>
                <w:sz w:val="21"/>
                <w:szCs w:val="21"/>
              </w:rPr>
              <w:t>Carex lanceolata</w:t>
            </w:r>
            <w:r w:rsidRPr="002F0C6A">
              <w:rPr>
                <w:rFonts w:ascii="Times New Roman" w:cs="Times New Roman"/>
                <w:i/>
                <w:iCs/>
                <w:kern w:val="2"/>
                <w:sz w:val="21"/>
                <w:szCs w:val="21"/>
              </w:rPr>
              <w:tab/>
              <w:t>Boott</w:t>
            </w:r>
            <w:r w:rsidRPr="002F0C6A">
              <w:rPr>
                <w:rFonts w:ascii="Times New Roman" w:cs="Times New Roman"/>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w:t>
            </w:r>
            <w:r w:rsidRPr="002F0C6A">
              <w:rPr>
                <w:rFonts w:ascii="Times New Roman" w:cs="Times New Roman" w:hint="eastAsia"/>
                <w:bCs/>
                <w:kern w:val="2"/>
                <w:sz w:val="21"/>
                <w:szCs w:val="21"/>
              </w:rPr>
              <w:t>6</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Cop</w:t>
            </w:r>
            <w:r w:rsidRPr="002F0C6A">
              <w:rPr>
                <w:rFonts w:ascii="Times New Roman" w:cs="Times New Roman" w:hint="eastAsia"/>
                <w:bCs/>
                <w:kern w:val="2"/>
                <w:sz w:val="21"/>
                <w:szCs w:val="21"/>
                <w:vertAlign w:val="subscript"/>
              </w:rPr>
              <w:t>2</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90"/>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黄茅（</w:t>
            </w:r>
            <w:r w:rsidRPr="002F0C6A">
              <w:rPr>
                <w:rFonts w:ascii="Times New Roman" w:cs="Times New Roman"/>
                <w:i/>
                <w:iCs/>
                <w:kern w:val="2"/>
                <w:sz w:val="21"/>
                <w:szCs w:val="21"/>
              </w:rPr>
              <w:t>Heteropogon</w:t>
            </w:r>
            <w:r w:rsidRPr="002F0C6A">
              <w:rPr>
                <w:rFonts w:ascii="Times New Roman" w:cs="Times New Roman"/>
                <w:i/>
                <w:iCs/>
                <w:kern w:val="2"/>
                <w:sz w:val="21"/>
                <w:szCs w:val="21"/>
              </w:rPr>
              <w:tab/>
              <w:t>contortus</w:t>
            </w:r>
            <w:r w:rsidRPr="002F0C6A">
              <w:rPr>
                <w:rFonts w:ascii="Times New Roman" w:cs="Times New Roman"/>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0.5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S</w:t>
            </w:r>
            <w:r w:rsidRPr="002F0C6A">
              <w:rPr>
                <w:rFonts w:ascii="Times New Roman" w:cs="Times New Roman" w:hint="eastAsia"/>
                <w:bCs/>
                <w:kern w:val="2"/>
                <w:sz w:val="21"/>
                <w:szCs w:val="21"/>
              </w:rPr>
              <w:t>p</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画眉草（</w:t>
            </w:r>
            <w:r w:rsidRPr="002F0C6A">
              <w:rPr>
                <w:rFonts w:ascii="Times New Roman" w:cs="Times New Roman"/>
                <w:i/>
                <w:iCs/>
                <w:kern w:val="2"/>
                <w:sz w:val="21"/>
                <w:szCs w:val="21"/>
              </w:rPr>
              <w:t>Eragrostis pilosa(L.)Beauv.</w:t>
            </w:r>
            <w:r w:rsidRPr="002F0C6A">
              <w:rPr>
                <w:rFonts w:ascii="Times New Roman" w:cs="Times New Roman"/>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Sol.</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bl>
    <w:p w:rsidR="002F0C6A" w:rsidRPr="00D630D1" w:rsidRDefault="002F0C6A" w:rsidP="002F0C6A">
      <w:pPr>
        <w:topLinePunct w:val="0"/>
        <w:adjustRightInd/>
        <w:spacing w:line="500" w:lineRule="exact"/>
        <w:ind w:left="60" w:right="100" w:firstLineChars="0" w:firstLine="482"/>
        <w:jc w:val="center"/>
        <w:rPr>
          <w:rFonts w:ascii="Times New Roman" w:cs="Times New Roman"/>
          <w:b/>
          <w:kern w:val="2"/>
          <w:sz w:val="21"/>
          <w:szCs w:val="20"/>
        </w:rPr>
      </w:pPr>
      <w:r w:rsidRPr="00D630D1">
        <w:rPr>
          <w:rFonts w:ascii="Times New Roman" w:cs="Times New Roman"/>
          <w:b/>
          <w:kern w:val="2"/>
          <w:sz w:val="21"/>
          <w:szCs w:val="20"/>
        </w:rPr>
        <w:t>样方</w:t>
      </w:r>
      <w:r>
        <w:rPr>
          <w:rFonts w:ascii="Times New Roman" w:cs="Times New Roman" w:hint="eastAsia"/>
          <w:b/>
          <w:kern w:val="2"/>
          <w:sz w:val="21"/>
          <w:szCs w:val="20"/>
        </w:rPr>
        <w:t>7</w:t>
      </w:r>
      <w:r w:rsidRPr="00D630D1">
        <w:rPr>
          <w:rFonts w:ascii="Times New Roman" w:cs="Times New Roman" w:hint="eastAsia"/>
          <w:b/>
          <w:kern w:val="2"/>
          <w:sz w:val="21"/>
          <w:szCs w:val="20"/>
        </w:rPr>
        <w:t xml:space="preserve">  </w:t>
      </w:r>
      <w:r>
        <w:rPr>
          <w:rFonts w:hint="eastAsia"/>
          <w:b/>
          <w:szCs w:val="20"/>
        </w:rPr>
        <w:t>火棘</w:t>
      </w:r>
      <w:r>
        <w:rPr>
          <w:b/>
          <w:szCs w:val="20"/>
        </w:rPr>
        <w:t>灌丛</w:t>
      </w:r>
      <w:r>
        <w:rPr>
          <w:rFonts w:hint="eastAsia"/>
          <w:b/>
          <w:szCs w:val="20"/>
        </w:rPr>
        <w:t>群落样方表</w:t>
      </w:r>
    </w:p>
    <w:tbl>
      <w:tblPr>
        <w:tblW w:w="942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570"/>
        <w:gridCol w:w="3928"/>
        <w:gridCol w:w="703"/>
        <w:gridCol w:w="481"/>
        <w:gridCol w:w="621"/>
        <w:gridCol w:w="648"/>
        <w:gridCol w:w="550"/>
        <w:gridCol w:w="523"/>
        <w:gridCol w:w="659"/>
        <w:gridCol w:w="743"/>
      </w:tblGrid>
      <w:tr w:rsidR="002F0C6A" w:rsidRPr="002F0C6A" w:rsidTr="002F0C6A">
        <w:trPr>
          <w:trHeight w:val="755"/>
          <w:jc w:val="center"/>
        </w:trPr>
        <w:tc>
          <w:tcPr>
            <w:tcW w:w="57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坐标</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107.81186,31.5329</w:t>
            </w:r>
          </w:p>
        </w:tc>
        <w:tc>
          <w:tcPr>
            <w:tcW w:w="70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海拔</w:t>
            </w:r>
            <w:r w:rsidRPr="002F0C6A">
              <w:rPr>
                <w:rFonts w:ascii="Times New Roman" w:cs="Times New Roman"/>
                <w:bCs/>
                <w:kern w:val="2"/>
                <w:sz w:val="21"/>
                <w:szCs w:val="21"/>
              </w:rPr>
              <w:t>(m)</w:t>
            </w:r>
          </w:p>
        </w:tc>
        <w:tc>
          <w:tcPr>
            <w:tcW w:w="481"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815</w:t>
            </w:r>
          </w:p>
        </w:tc>
        <w:tc>
          <w:tcPr>
            <w:tcW w:w="621"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sz w:val="21"/>
                <w:szCs w:val="21"/>
              </w:rPr>
            </w:pPr>
            <w:r w:rsidRPr="002F0C6A">
              <w:rPr>
                <w:rFonts w:ascii="Times New Roman" w:cs="Times New Roman"/>
                <w:bCs/>
                <w:sz w:val="21"/>
                <w:szCs w:val="21"/>
              </w:rPr>
              <w:t>土壤类型</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sz w:val="21"/>
                <w:szCs w:val="21"/>
              </w:rPr>
            </w:pPr>
            <w:r w:rsidRPr="002F0C6A">
              <w:rPr>
                <w:rFonts w:ascii="Times New Roman" w:cs="Times New Roman" w:hint="eastAsia"/>
                <w:bCs/>
                <w:sz w:val="21"/>
                <w:szCs w:val="21"/>
              </w:rPr>
              <w:t>碱性土</w:t>
            </w:r>
          </w:p>
        </w:tc>
        <w:tc>
          <w:tcPr>
            <w:tcW w:w="55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坡度</w:t>
            </w:r>
          </w:p>
        </w:tc>
        <w:tc>
          <w:tcPr>
            <w:tcW w:w="52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15</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坡向</w:t>
            </w: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E</w:t>
            </w:r>
            <w:r w:rsidRPr="002F0C6A">
              <w:rPr>
                <w:rFonts w:ascii="Times New Roman" w:cs="Times New Roman"/>
                <w:bCs/>
                <w:kern w:val="2"/>
                <w:sz w:val="21"/>
                <w:szCs w:val="21"/>
              </w:rPr>
              <w:t>S</w:t>
            </w:r>
          </w:p>
        </w:tc>
      </w:tr>
      <w:tr w:rsidR="002F0C6A" w:rsidRPr="002F0C6A" w:rsidTr="002F0C6A">
        <w:trPr>
          <w:trHeight w:val="308"/>
          <w:jc w:val="center"/>
        </w:trPr>
        <w:tc>
          <w:tcPr>
            <w:tcW w:w="57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中文名</w:t>
            </w:r>
            <w:r w:rsidRPr="002F0C6A">
              <w:rPr>
                <w:rFonts w:ascii="Times New Roman" w:cs="Times New Roman" w:hint="eastAsia"/>
                <w:bCs/>
                <w:kern w:val="2"/>
                <w:sz w:val="21"/>
                <w:szCs w:val="21"/>
              </w:rPr>
              <w:t>（</w:t>
            </w:r>
            <w:r w:rsidRPr="002F0C6A">
              <w:rPr>
                <w:rFonts w:ascii="Times New Roman" w:cs="Times New Roman"/>
                <w:bCs/>
                <w:kern w:val="2"/>
                <w:sz w:val="21"/>
                <w:szCs w:val="21"/>
              </w:rPr>
              <w:t>拉丁名</w:t>
            </w:r>
            <w:r w:rsidRPr="002F0C6A">
              <w:rPr>
                <w:rFonts w:ascii="Times New Roman" w:cs="Times New Roman" w:hint="eastAsia"/>
                <w:bCs/>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平均高度</w:t>
            </w:r>
            <w:r w:rsidRPr="002F0C6A">
              <w:rPr>
                <w:rFonts w:ascii="Times New Roman" w:cs="Times New Roman"/>
                <w:bCs/>
                <w:kern w:val="2"/>
                <w:sz w:val="21"/>
                <w:szCs w:val="21"/>
              </w:rPr>
              <w:t>m</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株数</w:t>
            </w:r>
            <w:r w:rsidRPr="002F0C6A">
              <w:rPr>
                <w:rFonts w:ascii="Times New Roman" w:cs="Times New Roman"/>
                <w:bCs/>
                <w:kern w:val="2"/>
                <w:sz w:val="21"/>
                <w:szCs w:val="21"/>
              </w:rPr>
              <w:t>/</w:t>
            </w:r>
            <w:r w:rsidRPr="002F0C6A">
              <w:rPr>
                <w:rFonts w:ascii="Times New Roman" w:cs="Times New Roman"/>
                <w:bCs/>
                <w:kern w:val="2"/>
                <w:sz w:val="21"/>
                <w:szCs w:val="21"/>
              </w:rPr>
              <w:t>多度</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平均胸径</w:t>
            </w:r>
            <w:r w:rsidRPr="002F0C6A">
              <w:rPr>
                <w:rFonts w:ascii="Times New Roman" w:cs="Times New Roman"/>
                <w:bCs/>
                <w:kern w:val="2"/>
                <w:sz w:val="21"/>
                <w:szCs w:val="21"/>
              </w:rPr>
              <w:t>cm</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w:t>
            </w:r>
          </w:p>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冠幅</w:t>
            </w: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茂盛</w:t>
            </w:r>
          </w:p>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度</w:t>
            </w:r>
          </w:p>
        </w:tc>
      </w:tr>
      <w:tr w:rsidR="002F0C6A" w:rsidRPr="002F0C6A" w:rsidTr="002F0C6A">
        <w:trPr>
          <w:trHeight w:val="308"/>
          <w:jc w:val="center"/>
        </w:trPr>
        <w:tc>
          <w:tcPr>
            <w:tcW w:w="570" w:type="dxa"/>
            <w:vMerge w:val="restart"/>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灌木</w:t>
            </w:r>
            <w:r w:rsidRPr="002F0C6A">
              <w:rPr>
                <w:rFonts w:ascii="Times New Roman" w:cs="Times New Roman"/>
                <w:bCs/>
                <w:kern w:val="2"/>
                <w:sz w:val="21"/>
                <w:szCs w:val="21"/>
              </w:rPr>
              <w:lastRenderedPageBreak/>
              <w:t>层</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
                <w:kern w:val="2"/>
                <w:sz w:val="21"/>
                <w:szCs w:val="21"/>
              </w:rPr>
            </w:pPr>
            <w:r w:rsidRPr="002F0C6A">
              <w:rPr>
                <w:rFonts w:ascii="Times New Roman" w:cs="Times New Roman"/>
                <w:bCs/>
                <w:sz w:val="21"/>
                <w:szCs w:val="21"/>
              </w:rPr>
              <w:lastRenderedPageBreak/>
              <w:t>火棘</w:t>
            </w:r>
            <w:r w:rsidRPr="002F0C6A">
              <w:rPr>
                <w:rFonts w:ascii="Times New Roman" w:cs="Times New Roman"/>
                <w:i/>
                <w:iCs/>
                <w:kern w:val="2"/>
                <w:sz w:val="21"/>
                <w:szCs w:val="21"/>
              </w:rPr>
              <w:t>Pyracantha fortuneana</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w:t>
            </w:r>
            <w:r w:rsidRPr="002F0C6A">
              <w:rPr>
                <w:rFonts w:ascii="Times New Roman" w:cs="Times New Roman" w:hint="eastAsia"/>
                <w:bCs/>
                <w:kern w:val="2"/>
                <w:sz w:val="21"/>
                <w:szCs w:val="21"/>
              </w:rPr>
              <w:t>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18</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w:t>
            </w:r>
            <w:r w:rsidRPr="002F0C6A">
              <w:rPr>
                <w:rFonts w:ascii="Times New Roman" w:cs="Times New Roman" w:hint="eastAsia"/>
                <w:bCs/>
                <w:kern w:val="2"/>
                <w:sz w:val="21"/>
                <w:szCs w:val="21"/>
              </w:rPr>
              <w:t>4</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盛</w:t>
            </w: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盐肤木（</w:t>
            </w:r>
            <w:r w:rsidRPr="002F0C6A">
              <w:rPr>
                <w:rFonts w:ascii="Times New Roman" w:cs="Times New Roman"/>
                <w:i/>
                <w:iCs/>
                <w:kern w:val="2"/>
                <w:sz w:val="21"/>
                <w:szCs w:val="21"/>
              </w:rPr>
              <w:t>Rhus chinensis</w:t>
            </w:r>
            <w:r w:rsidRPr="002F0C6A">
              <w:rPr>
                <w:rFonts w:ascii="Times New Roman" w:cs="Times New Roman"/>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2</w:t>
            </w:r>
            <w:r w:rsidRPr="002F0C6A">
              <w:rPr>
                <w:rFonts w:ascii="Times New Roman" w:cs="Times New Roman"/>
                <w:bCs/>
                <w:kern w:val="2"/>
                <w:sz w:val="21"/>
                <w:szCs w:val="21"/>
              </w:rPr>
              <w:t>.4</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3</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2</w:t>
            </w:r>
            <w:r w:rsidRPr="002F0C6A">
              <w:rPr>
                <w:rFonts w:ascii="Times New Roman" w:cs="Times New Roman"/>
                <w:bCs/>
                <w:kern w:val="2"/>
                <w:sz w:val="21"/>
                <w:szCs w:val="21"/>
              </w:rPr>
              <w:t>.5</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盛</w:t>
            </w: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金山荚蒾（</w:t>
            </w:r>
            <w:r w:rsidRPr="002F0C6A">
              <w:rPr>
                <w:rFonts w:ascii="Times New Roman" w:cs="Times New Roman"/>
                <w:i/>
                <w:iCs/>
                <w:kern w:val="2"/>
                <w:sz w:val="21"/>
                <w:szCs w:val="21"/>
              </w:rPr>
              <w:t>Viburnum chinshanense</w:t>
            </w:r>
            <w:r w:rsidRPr="002F0C6A">
              <w:rPr>
                <w:rFonts w:ascii="Times New Roman" w:cs="Times New Roman"/>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w:t>
            </w:r>
            <w:r w:rsidRPr="002F0C6A">
              <w:rPr>
                <w:rFonts w:ascii="Times New Roman" w:cs="Times New Roman" w:hint="eastAsia"/>
                <w:bCs/>
                <w:kern w:val="2"/>
                <w:sz w:val="21"/>
                <w:szCs w:val="21"/>
              </w:rPr>
              <w:t>0</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1</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1.0</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盛</w:t>
            </w:r>
          </w:p>
        </w:tc>
      </w:tr>
      <w:tr w:rsidR="002F0C6A" w:rsidRPr="002F0C6A" w:rsidTr="002F0C6A">
        <w:trPr>
          <w:trHeight w:val="308"/>
          <w:jc w:val="center"/>
        </w:trPr>
        <w:tc>
          <w:tcPr>
            <w:tcW w:w="570" w:type="dxa"/>
            <w:vMerge w:val="restart"/>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lastRenderedPageBreak/>
              <w:t>草本层</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垂穗鹅观草（</w:t>
            </w:r>
            <w:r w:rsidRPr="002F0C6A">
              <w:rPr>
                <w:rFonts w:ascii="Times New Roman" w:cs="Times New Roman"/>
                <w:i/>
                <w:iCs/>
                <w:kern w:val="2"/>
                <w:sz w:val="21"/>
                <w:szCs w:val="21"/>
              </w:rPr>
              <w:t>Roegneria nutans</w:t>
            </w:r>
            <w:r w:rsidRPr="002F0C6A">
              <w:rPr>
                <w:rFonts w:ascii="Times New Roman" w:cs="Times New Roman"/>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0.95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Soc</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早熟禾（</w:t>
            </w:r>
            <w:r w:rsidRPr="002F0C6A">
              <w:rPr>
                <w:rFonts w:ascii="Times New Roman" w:cs="Times New Roman"/>
                <w:i/>
                <w:iCs/>
                <w:kern w:val="2"/>
                <w:sz w:val="21"/>
                <w:szCs w:val="21"/>
              </w:rPr>
              <w:t>Poa annua</w:t>
            </w:r>
            <w:r w:rsidRPr="002F0C6A">
              <w:rPr>
                <w:rFonts w:ascii="Times New Roman" w:cs="Times New Roman"/>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0.85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S</w:t>
            </w:r>
            <w:r w:rsidRPr="002F0C6A">
              <w:rPr>
                <w:rFonts w:ascii="Times New Roman" w:cs="Times New Roman" w:hint="eastAsia"/>
                <w:bCs/>
                <w:kern w:val="2"/>
                <w:sz w:val="21"/>
                <w:szCs w:val="21"/>
              </w:rPr>
              <w:t>p</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芒草</w:t>
            </w:r>
            <w:r w:rsidRPr="002F0C6A">
              <w:rPr>
                <w:rFonts w:ascii="Times New Roman" w:cs="Times New Roman" w:hint="eastAsia"/>
                <w:kern w:val="2"/>
                <w:sz w:val="21"/>
                <w:szCs w:val="21"/>
              </w:rPr>
              <w:t>（</w:t>
            </w:r>
            <w:r w:rsidRPr="002F0C6A">
              <w:rPr>
                <w:rFonts w:ascii="Arial" w:hAnsi="Arial" w:cs="Arial"/>
                <w:kern w:val="2"/>
                <w:sz w:val="21"/>
                <w:szCs w:val="21"/>
                <w:shd w:val="clear" w:color="auto" w:fill="FFFFFF"/>
              </w:rPr>
              <w:t>Miscanthus</w:t>
            </w:r>
            <w:r w:rsidRPr="002F0C6A">
              <w:rPr>
                <w:rFonts w:ascii="Times New Roman" w:cs="Times New Roman" w:hint="eastAsia"/>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0.4</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S</w:t>
            </w:r>
            <w:r w:rsidRPr="002F0C6A">
              <w:rPr>
                <w:rFonts w:ascii="Times New Roman" w:cs="Times New Roman" w:hint="eastAsia"/>
                <w:bCs/>
                <w:kern w:val="2"/>
                <w:sz w:val="21"/>
                <w:szCs w:val="21"/>
              </w:rPr>
              <w:t>p</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bl>
    <w:p w:rsidR="00521C82" w:rsidRPr="00D630D1" w:rsidRDefault="00521C82" w:rsidP="00521C82">
      <w:pPr>
        <w:topLinePunct w:val="0"/>
        <w:adjustRightInd/>
        <w:spacing w:line="500" w:lineRule="exact"/>
        <w:ind w:left="60" w:right="100" w:firstLineChars="0" w:firstLine="482"/>
        <w:jc w:val="center"/>
        <w:rPr>
          <w:rFonts w:ascii="Times New Roman" w:cs="Times New Roman"/>
          <w:b/>
          <w:kern w:val="2"/>
          <w:sz w:val="21"/>
          <w:szCs w:val="20"/>
        </w:rPr>
      </w:pPr>
      <w:r w:rsidRPr="00D630D1">
        <w:rPr>
          <w:rFonts w:ascii="Times New Roman" w:cs="Times New Roman"/>
          <w:b/>
          <w:kern w:val="2"/>
          <w:sz w:val="21"/>
          <w:szCs w:val="20"/>
        </w:rPr>
        <w:t>样方</w:t>
      </w:r>
      <w:r w:rsidR="002F0C6A">
        <w:rPr>
          <w:rFonts w:ascii="Times New Roman" w:cs="Times New Roman" w:hint="eastAsia"/>
          <w:b/>
          <w:kern w:val="2"/>
          <w:sz w:val="21"/>
          <w:szCs w:val="20"/>
        </w:rPr>
        <w:t>8</w:t>
      </w:r>
      <w:r w:rsidRPr="00D630D1">
        <w:rPr>
          <w:rFonts w:ascii="Times New Roman" w:cs="Times New Roman" w:hint="eastAsia"/>
          <w:b/>
          <w:kern w:val="2"/>
          <w:sz w:val="21"/>
          <w:szCs w:val="20"/>
        </w:rPr>
        <w:t xml:space="preserve"> </w:t>
      </w:r>
      <w:r w:rsidRPr="00D630D1">
        <w:rPr>
          <w:rFonts w:ascii="Times New Roman" w:cs="Times New Roman"/>
          <w:b/>
          <w:kern w:val="2"/>
          <w:sz w:val="21"/>
          <w:szCs w:val="20"/>
        </w:rPr>
        <w:t>马桑、黄荆、火棘</w:t>
      </w:r>
      <w:r w:rsidRPr="00D630D1">
        <w:rPr>
          <w:rFonts w:ascii="Times New Roman" w:cs="Times New Roman" w:hint="eastAsia"/>
          <w:b/>
          <w:kern w:val="2"/>
          <w:sz w:val="21"/>
          <w:szCs w:val="20"/>
        </w:rPr>
        <w:t>群落样方表</w:t>
      </w:r>
    </w:p>
    <w:tbl>
      <w:tblPr>
        <w:tblW w:w="942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570"/>
        <w:gridCol w:w="3928"/>
        <w:gridCol w:w="703"/>
        <w:gridCol w:w="481"/>
        <w:gridCol w:w="621"/>
        <w:gridCol w:w="648"/>
        <w:gridCol w:w="550"/>
        <w:gridCol w:w="523"/>
        <w:gridCol w:w="659"/>
        <w:gridCol w:w="743"/>
      </w:tblGrid>
      <w:tr w:rsidR="002F0C6A" w:rsidRPr="002F0C6A" w:rsidTr="002F0C6A">
        <w:trPr>
          <w:trHeight w:val="755"/>
          <w:jc w:val="center"/>
        </w:trPr>
        <w:tc>
          <w:tcPr>
            <w:tcW w:w="57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坐标</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107.813</w:t>
            </w:r>
            <w:r w:rsidRPr="002F0C6A">
              <w:rPr>
                <w:rFonts w:ascii="Times New Roman" w:cs="Times New Roman" w:hint="eastAsia"/>
                <w:bCs/>
                <w:kern w:val="2"/>
                <w:sz w:val="21"/>
                <w:szCs w:val="21"/>
              </w:rPr>
              <w:t>6</w:t>
            </w:r>
            <w:r w:rsidRPr="002F0C6A">
              <w:rPr>
                <w:rFonts w:ascii="Times New Roman" w:cs="Times New Roman"/>
                <w:bCs/>
                <w:kern w:val="2"/>
                <w:sz w:val="21"/>
                <w:szCs w:val="21"/>
              </w:rPr>
              <w:t>,31.5368</w:t>
            </w:r>
          </w:p>
        </w:tc>
        <w:tc>
          <w:tcPr>
            <w:tcW w:w="70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海拔</w:t>
            </w:r>
            <w:r w:rsidRPr="002F0C6A">
              <w:rPr>
                <w:rFonts w:ascii="Times New Roman" w:cs="Times New Roman"/>
                <w:bCs/>
                <w:kern w:val="2"/>
                <w:sz w:val="21"/>
                <w:szCs w:val="21"/>
              </w:rPr>
              <w:t>(m)</w:t>
            </w:r>
          </w:p>
        </w:tc>
        <w:tc>
          <w:tcPr>
            <w:tcW w:w="481"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797</w:t>
            </w:r>
          </w:p>
        </w:tc>
        <w:tc>
          <w:tcPr>
            <w:tcW w:w="621"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土壤类型</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sz w:val="21"/>
                <w:szCs w:val="21"/>
              </w:rPr>
            </w:pPr>
            <w:r w:rsidRPr="002F0C6A">
              <w:rPr>
                <w:rFonts w:ascii="Times New Roman" w:cs="Times New Roman" w:hint="eastAsia"/>
                <w:bCs/>
                <w:sz w:val="21"/>
                <w:szCs w:val="21"/>
              </w:rPr>
              <w:t>壤土</w:t>
            </w:r>
          </w:p>
        </w:tc>
        <w:tc>
          <w:tcPr>
            <w:tcW w:w="55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坡度</w:t>
            </w:r>
          </w:p>
        </w:tc>
        <w:tc>
          <w:tcPr>
            <w:tcW w:w="52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5</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坡向</w:t>
            </w: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NE</w:t>
            </w:r>
          </w:p>
        </w:tc>
      </w:tr>
      <w:tr w:rsidR="002F0C6A" w:rsidRPr="002F0C6A" w:rsidTr="002F0C6A">
        <w:trPr>
          <w:trHeight w:val="308"/>
          <w:jc w:val="center"/>
        </w:trPr>
        <w:tc>
          <w:tcPr>
            <w:tcW w:w="57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中文名</w:t>
            </w:r>
            <w:r w:rsidRPr="002F0C6A">
              <w:rPr>
                <w:rFonts w:ascii="Times New Roman" w:cs="Times New Roman" w:hint="eastAsia"/>
                <w:bCs/>
                <w:kern w:val="2"/>
                <w:sz w:val="21"/>
                <w:szCs w:val="21"/>
              </w:rPr>
              <w:t>（</w:t>
            </w:r>
            <w:r w:rsidRPr="002F0C6A">
              <w:rPr>
                <w:rFonts w:ascii="Times New Roman" w:cs="Times New Roman"/>
                <w:bCs/>
                <w:kern w:val="2"/>
                <w:sz w:val="21"/>
                <w:szCs w:val="21"/>
              </w:rPr>
              <w:t>拉丁名</w:t>
            </w:r>
            <w:r w:rsidRPr="002F0C6A">
              <w:rPr>
                <w:rFonts w:ascii="Times New Roman" w:cs="Times New Roman" w:hint="eastAsia"/>
                <w:bCs/>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平均高度</w:t>
            </w:r>
            <w:r w:rsidRPr="002F0C6A">
              <w:rPr>
                <w:rFonts w:ascii="Times New Roman" w:cs="Times New Roman"/>
                <w:bCs/>
                <w:kern w:val="2"/>
                <w:sz w:val="21"/>
                <w:szCs w:val="21"/>
              </w:rPr>
              <w:t>m</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株数</w:t>
            </w:r>
            <w:r w:rsidRPr="002F0C6A">
              <w:rPr>
                <w:rFonts w:ascii="Times New Roman" w:cs="Times New Roman"/>
                <w:bCs/>
                <w:kern w:val="2"/>
                <w:sz w:val="21"/>
                <w:szCs w:val="21"/>
              </w:rPr>
              <w:t>/</w:t>
            </w:r>
            <w:r w:rsidRPr="002F0C6A">
              <w:rPr>
                <w:rFonts w:ascii="Times New Roman" w:cs="Times New Roman"/>
                <w:bCs/>
                <w:kern w:val="2"/>
                <w:sz w:val="21"/>
                <w:szCs w:val="21"/>
              </w:rPr>
              <w:t>多度</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平均胸径</w:t>
            </w:r>
            <w:r w:rsidRPr="002F0C6A">
              <w:rPr>
                <w:rFonts w:ascii="Times New Roman" w:cs="Times New Roman"/>
                <w:bCs/>
                <w:kern w:val="2"/>
                <w:sz w:val="21"/>
                <w:szCs w:val="21"/>
              </w:rPr>
              <w:t>cm</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w:t>
            </w:r>
          </w:p>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冠幅</w:t>
            </w: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茂盛</w:t>
            </w:r>
          </w:p>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度</w:t>
            </w:r>
          </w:p>
        </w:tc>
      </w:tr>
      <w:tr w:rsidR="002F0C6A" w:rsidRPr="002F0C6A" w:rsidTr="002F0C6A">
        <w:trPr>
          <w:trHeight w:val="308"/>
          <w:jc w:val="center"/>
        </w:trPr>
        <w:tc>
          <w:tcPr>
            <w:tcW w:w="570" w:type="dxa"/>
            <w:vMerge w:val="restart"/>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灌木层</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马桑</w:t>
            </w:r>
            <w:r w:rsidRPr="002F0C6A">
              <w:rPr>
                <w:rFonts w:ascii="Times New Roman" w:cs="Times New Roman"/>
                <w:i/>
                <w:iCs/>
                <w:kern w:val="2"/>
                <w:sz w:val="21"/>
                <w:szCs w:val="21"/>
              </w:rPr>
              <w:t>Coriaria nepalensis</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2.5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15</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1.0</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中</w:t>
            </w: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sz w:val="21"/>
                <w:szCs w:val="21"/>
              </w:rPr>
            </w:pPr>
            <w:r w:rsidRPr="002F0C6A">
              <w:rPr>
                <w:rFonts w:ascii="Times New Roman" w:cs="Times New Roman"/>
                <w:bCs/>
                <w:sz w:val="21"/>
                <w:szCs w:val="21"/>
              </w:rPr>
              <w:t>黄荆</w:t>
            </w:r>
            <w:r w:rsidRPr="002F0C6A">
              <w:rPr>
                <w:rFonts w:ascii="Times New Roman" w:cs="Times New Roman"/>
                <w:i/>
                <w:iCs/>
                <w:kern w:val="2"/>
                <w:sz w:val="21"/>
                <w:szCs w:val="21"/>
              </w:rPr>
              <w:t>Vitex negundo</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1.8</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8</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1.0</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火棘</w:t>
            </w:r>
            <w:r w:rsidRPr="002F0C6A">
              <w:rPr>
                <w:rFonts w:ascii="Times New Roman" w:cs="Times New Roman"/>
                <w:i/>
                <w:iCs/>
                <w:kern w:val="2"/>
                <w:sz w:val="21"/>
                <w:szCs w:val="21"/>
              </w:rPr>
              <w:t>Pyracantha fortuneana</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1.5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6</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1.5</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盛</w:t>
            </w: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美丽胡枝子</w:t>
            </w:r>
            <w:r w:rsidRPr="002F0C6A">
              <w:rPr>
                <w:rFonts w:ascii="Times New Roman" w:cs="Times New Roman"/>
                <w:i/>
                <w:iCs/>
                <w:kern w:val="2"/>
                <w:sz w:val="21"/>
                <w:szCs w:val="21"/>
              </w:rPr>
              <w:t>Lespedeza formosa</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1.2</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2</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2.0</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盛</w:t>
            </w: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kern w:val="2"/>
                <w:sz w:val="21"/>
                <w:szCs w:val="21"/>
              </w:rPr>
            </w:pPr>
            <w:r w:rsidRPr="002F0C6A">
              <w:rPr>
                <w:rFonts w:ascii="Times New Roman" w:cs="Times New Roman"/>
                <w:kern w:val="2"/>
                <w:sz w:val="21"/>
                <w:szCs w:val="21"/>
              </w:rPr>
              <w:t>山胡椒</w:t>
            </w:r>
            <w:r w:rsidRPr="002F0C6A">
              <w:rPr>
                <w:rFonts w:ascii="Times New Roman" w:cs="Times New Roman"/>
                <w:i/>
                <w:iCs/>
                <w:kern w:val="2"/>
                <w:sz w:val="21"/>
                <w:szCs w:val="21"/>
              </w:rPr>
              <w:t>Lindera sp.</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1.1</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2</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1.0</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中</w:t>
            </w:r>
          </w:p>
        </w:tc>
      </w:tr>
      <w:tr w:rsidR="002F0C6A" w:rsidRPr="002F0C6A" w:rsidTr="002F0C6A">
        <w:trPr>
          <w:trHeight w:val="308"/>
          <w:jc w:val="center"/>
        </w:trPr>
        <w:tc>
          <w:tcPr>
            <w:tcW w:w="570" w:type="dxa"/>
            <w:vMerge w:val="restart"/>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草本层</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聚花过路黄</w:t>
            </w:r>
            <w:r w:rsidRPr="002F0C6A">
              <w:rPr>
                <w:rFonts w:ascii="Times New Roman" w:cs="Times New Roman"/>
                <w:i/>
                <w:iCs/>
                <w:kern w:val="2"/>
                <w:sz w:val="21"/>
                <w:szCs w:val="21"/>
              </w:rPr>
              <w:t>Lysimachia congestiflora Hemsl.</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0.25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Sol.</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蕺菜</w:t>
            </w:r>
            <w:r w:rsidRPr="002F0C6A">
              <w:rPr>
                <w:rFonts w:ascii="Times New Roman" w:cs="Times New Roman"/>
                <w:i/>
                <w:iCs/>
                <w:kern w:val="2"/>
                <w:sz w:val="21"/>
                <w:szCs w:val="21"/>
              </w:rPr>
              <w:t>Houttuynia cordata Thunb</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0.6</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S</w:t>
            </w:r>
            <w:r w:rsidRPr="002F0C6A">
              <w:rPr>
                <w:rFonts w:ascii="Times New Roman" w:cs="Times New Roman" w:hint="eastAsia"/>
                <w:bCs/>
                <w:kern w:val="2"/>
                <w:sz w:val="21"/>
                <w:szCs w:val="21"/>
              </w:rPr>
              <w:t>p</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草莓</w:t>
            </w:r>
            <w:r w:rsidRPr="002F0C6A">
              <w:rPr>
                <w:rFonts w:ascii="Times New Roman" w:cs="Times New Roman"/>
                <w:i/>
                <w:iCs/>
                <w:kern w:val="2"/>
                <w:sz w:val="21"/>
                <w:szCs w:val="21"/>
              </w:rPr>
              <w:t>Fragaria ananassa Duch.</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0.4</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S</w:t>
            </w:r>
            <w:r w:rsidRPr="002F0C6A">
              <w:rPr>
                <w:rFonts w:ascii="Times New Roman" w:cs="Times New Roman" w:hint="eastAsia"/>
                <w:bCs/>
                <w:kern w:val="2"/>
                <w:sz w:val="21"/>
                <w:szCs w:val="21"/>
              </w:rPr>
              <w:t>p</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葎草</w:t>
            </w:r>
            <w:r w:rsidRPr="002F0C6A">
              <w:rPr>
                <w:rFonts w:ascii="Times New Roman" w:cs="Times New Roman"/>
                <w:i/>
                <w:iCs/>
                <w:kern w:val="2"/>
                <w:sz w:val="21"/>
                <w:szCs w:val="21"/>
              </w:rPr>
              <w:t>Humulus scandens</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0.4</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Un.</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毛蕨</w:t>
            </w:r>
            <w:r w:rsidRPr="002F0C6A">
              <w:rPr>
                <w:rFonts w:ascii="Times New Roman" w:cs="Times New Roman"/>
                <w:i/>
                <w:iCs/>
                <w:kern w:val="2"/>
                <w:sz w:val="21"/>
                <w:szCs w:val="21"/>
              </w:rPr>
              <w:t>Cyclosorus interruptus (Willd.) H. Ito</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0.25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Un.</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bl>
    <w:p w:rsidR="00521C82" w:rsidRPr="00D630D1" w:rsidRDefault="00521C82" w:rsidP="00521C82">
      <w:pPr>
        <w:topLinePunct w:val="0"/>
        <w:adjustRightInd/>
        <w:spacing w:line="500" w:lineRule="exact"/>
        <w:ind w:left="60" w:right="100" w:firstLineChars="0" w:firstLine="482"/>
        <w:jc w:val="center"/>
        <w:rPr>
          <w:rFonts w:ascii="Times New Roman" w:cs="Times New Roman"/>
          <w:b/>
          <w:kern w:val="2"/>
          <w:sz w:val="21"/>
          <w:szCs w:val="20"/>
        </w:rPr>
      </w:pPr>
      <w:r w:rsidRPr="00D630D1">
        <w:rPr>
          <w:rFonts w:ascii="Times New Roman" w:cs="Times New Roman"/>
          <w:b/>
          <w:kern w:val="2"/>
          <w:sz w:val="21"/>
          <w:szCs w:val="20"/>
        </w:rPr>
        <w:t>样方</w:t>
      </w:r>
      <w:r w:rsidR="002F0C6A">
        <w:rPr>
          <w:rFonts w:ascii="Times New Roman" w:cs="Times New Roman" w:hint="eastAsia"/>
          <w:b/>
          <w:kern w:val="2"/>
          <w:sz w:val="21"/>
          <w:szCs w:val="20"/>
        </w:rPr>
        <w:t xml:space="preserve">9 </w:t>
      </w:r>
      <w:r w:rsidR="002F0C6A">
        <w:rPr>
          <w:b/>
          <w:szCs w:val="20"/>
        </w:rPr>
        <w:t>白茅、五节芒、野古草</w:t>
      </w:r>
      <w:r w:rsidR="002F0C6A">
        <w:rPr>
          <w:rFonts w:hint="eastAsia"/>
          <w:b/>
          <w:szCs w:val="20"/>
        </w:rPr>
        <w:t>群落样方表</w:t>
      </w:r>
    </w:p>
    <w:tbl>
      <w:tblPr>
        <w:tblW w:w="942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570"/>
        <w:gridCol w:w="3928"/>
        <w:gridCol w:w="703"/>
        <w:gridCol w:w="481"/>
        <w:gridCol w:w="621"/>
        <w:gridCol w:w="648"/>
        <w:gridCol w:w="550"/>
        <w:gridCol w:w="523"/>
        <w:gridCol w:w="659"/>
        <w:gridCol w:w="743"/>
      </w:tblGrid>
      <w:tr w:rsidR="002F0C6A" w:rsidRPr="002F0C6A" w:rsidTr="002F0C6A">
        <w:trPr>
          <w:trHeight w:val="755"/>
          <w:jc w:val="center"/>
        </w:trPr>
        <w:tc>
          <w:tcPr>
            <w:tcW w:w="57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坐标</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107.8217,31.5299</w:t>
            </w:r>
          </w:p>
        </w:tc>
        <w:tc>
          <w:tcPr>
            <w:tcW w:w="70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海拔</w:t>
            </w:r>
            <w:r w:rsidRPr="002F0C6A">
              <w:rPr>
                <w:rFonts w:ascii="Times New Roman" w:cs="Times New Roman"/>
                <w:bCs/>
                <w:kern w:val="2"/>
                <w:sz w:val="21"/>
                <w:szCs w:val="21"/>
              </w:rPr>
              <w:t>(m)</w:t>
            </w:r>
          </w:p>
        </w:tc>
        <w:tc>
          <w:tcPr>
            <w:tcW w:w="481"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974</w:t>
            </w:r>
          </w:p>
        </w:tc>
        <w:tc>
          <w:tcPr>
            <w:tcW w:w="621"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土壤类型</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sz w:val="21"/>
                <w:szCs w:val="21"/>
              </w:rPr>
            </w:pPr>
            <w:r w:rsidRPr="002F0C6A">
              <w:rPr>
                <w:rFonts w:ascii="Times New Roman" w:cs="Times New Roman" w:hint="eastAsia"/>
                <w:bCs/>
                <w:sz w:val="21"/>
                <w:szCs w:val="21"/>
              </w:rPr>
              <w:t>壤土</w:t>
            </w:r>
          </w:p>
        </w:tc>
        <w:tc>
          <w:tcPr>
            <w:tcW w:w="55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坡度</w:t>
            </w:r>
          </w:p>
        </w:tc>
        <w:tc>
          <w:tcPr>
            <w:tcW w:w="52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25</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坡向</w:t>
            </w: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S</w:t>
            </w:r>
          </w:p>
        </w:tc>
      </w:tr>
      <w:tr w:rsidR="002F0C6A" w:rsidRPr="002F0C6A" w:rsidTr="002F0C6A">
        <w:trPr>
          <w:trHeight w:val="308"/>
          <w:jc w:val="center"/>
        </w:trPr>
        <w:tc>
          <w:tcPr>
            <w:tcW w:w="57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中文名</w:t>
            </w:r>
            <w:r w:rsidRPr="002F0C6A">
              <w:rPr>
                <w:rFonts w:ascii="Times New Roman" w:cs="Times New Roman" w:hint="eastAsia"/>
                <w:bCs/>
                <w:kern w:val="2"/>
                <w:sz w:val="21"/>
                <w:szCs w:val="21"/>
              </w:rPr>
              <w:t>（</w:t>
            </w:r>
            <w:r w:rsidRPr="002F0C6A">
              <w:rPr>
                <w:rFonts w:ascii="Times New Roman" w:cs="Times New Roman"/>
                <w:bCs/>
                <w:kern w:val="2"/>
                <w:sz w:val="21"/>
                <w:szCs w:val="21"/>
              </w:rPr>
              <w:t>拉丁名</w:t>
            </w:r>
            <w:r w:rsidRPr="002F0C6A">
              <w:rPr>
                <w:rFonts w:ascii="Times New Roman" w:cs="Times New Roman" w:hint="eastAsia"/>
                <w:bCs/>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平均高度</w:t>
            </w:r>
            <w:r w:rsidRPr="002F0C6A">
              <w:rPr>
                <w:rFonts w:ascii="Times New Roman" w:cs="Times New Roman"/>
                <w:bCs/>
                <w:kern w:val="2"/>
                <w:sz w:val="21"/>
                <w:szCs w:val="21"/>
              </w:rPr>
              <w:t>m</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株数</w:t>
            </w:r>
            <w:r w:rsidRPr="002F0C6A">
              <w:rPr>
                <w:rFonts w:ascii="Times New Roman" w:cs="Times New Roman"/>
                <w:bCs/>
                <w:kern w:val="2"/>
                <w:sz w:val="21"/>
                <w:szCs w:val="21"/>
              </w:rPr>
              <w:t>/</w:t>
            </w:r>
            <w:r w:rsidRPr="002F0C6A">
              <w:rPr>
                <w:rFonts w:ascii="Times New Roman" w:cs="Times New Roman"/>
                <w:bCs/>
                <w:kern w:val="2"/>
                <w:sz w:val="21"/>
                <w:szCs w:val="21"/>
              </w:rPr>
              <w:t>多度</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平均胸径</w:t>
            </w:r>
            <w:r w:rsidRPr="002F0C6A">
              <w:rPr>
                <w:rFonts w:ascii="Times New Roman" w:cs="Times New Roman"/>
                <w:bCs/>
                <w:kern w:val="2"/>
                <w:sz w:val="21"/>
                <w:szCs w:val="21"/>
              </w:rPr>
              <w:t>cm</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w:t>
            </w:r>
          </w:p>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冠幅</w:t>
            </w: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茂盛</w:t>
            </w:r>
          </w:p>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度</w:t>
            </w:r>
          </w:p>
        </w:tc>
      </w:tr>
      <w:tr w:rsidR="002F0C6A" w:rsidRPr="002F0C6A" w:rsidTr="002F0C6A">
        <w:trPr>
          <w:trHeight w:val="308"/>
          <w:jc w:val="center"/>
        </w:trPr>
        <w:tc>
          <w:tcPr>
            <w:tcW w:w="570" w:type="dxa"/>
            <w:vMerge w:val="restart"/>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草本层</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白茅</w:t>
            </w:r>
            <w:r w:rsidRPr="002F0C6A">
              <w:rPr>
                <w:rFonts w:ascii="Times New Roman" w:cs="Times New Roman"/>
                <w:bCs/>
                <w:i/>
                <w:iCs/>
                <w:kern w:val="2"/>
                <w:sz w:val="21"/>
                <w:szCs w:val="21"/>
              </w:rPr>
              <w:t>Imperata cylindrica.</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w:t>
            </w:r>
            <w:r w:rsidRPr="002F0C6A">
              <w:rPr>
                <w:rFonts w:ascii="Times New Roman" w:cs="Times New Roman" w:hint="eastAsia"/>
                <w:bCs/>
                <w:kern w:val="2"/>
                <w:sz w:val="21"/>
                <w:szCs w:val="21"/>
              </w:rPr>
              <w:t>8</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Soc</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五节芒</w:t>
            </w:r>
            <w:r w:rsidRPr="002F0C6A">
              <w:rPr>
                <w:rFonts w:ascii="Times New Roman" w:cs="Times New Roman"/>
                <w:bCs/>
                <w:i/>
                <w:iCs/>
                <w:kern w:val="2"/>
                <w:sz w:val="21"/>
                <w:szCs w:val="21"/>
              </w:rPr>
              <w:t>Miscanthus floridulus</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w:t>
            </w:r>
            <w:r w:rsidRPr="002F0C6A">
              <w:rPr>
                <w:rFonts w:ascii="Times New Roman" w:cs="Times New Roman" w:hint="eastAsia"/>
                <w:bCs/>
                <w:kern w:val="2"/>
                <w:sz w:val="21"/>
                <w:szCs w:val="21"/>
              </w:rPr>
              <w:t>40</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Cop</w:t>
            </w:r>
            <w:r w:rsidRPr="002F0C6A">
              <w:rPr>
                <w:rFonts w:ascii="Times New Roman" w:cs="Times New Roman"/>
                <w:bCs/>
                <w:kern w:val="2"/>
                <w:sz w:val="21"/>
                <w:szCs w:val="21"/>
                <w:vertAlign w:val="subscript"/>
              </w:rPr>
              <w:t>1</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野古草</w:t>
            </w:r>
            <w:r w:rsidRPr="002F0C6A">
              <w:rPr>
                <w:rFonts w:ascii="Times New Roman" w:cs="Times New Roman"/>
                <w:bCs/>
                <w:i/>
                <w:iCs/>
                <w:kern w:val="2"/>
                <w:sz w:val="21"/>
                <w:szCs w:val="21"/>
              </w:rPr>
              <w:t>Arundinella anomala</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w:t>
            </w:r>
            <w:r w:rsidRPr="002F0C6A">
              <w:rPr>
                <w:rFonts w:ascii="Times New Roman" w:cs="Times New Roman" w:hint="eastAsia"/>
                <w:bCs/>
                <w:kern w:val="2"/>
                <w:sz w:val="21"/>
                <w:szCs w:val="21"/>
              </w:rPr>
              <w:t>55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Cop</w:t>
            </w:r>
            <w:r w:rsidRPr="002F0C6A">
              <w:rPr>
                <w:rFonts w:ascii="Times New Roman" w:cs="Times New Roman"/>
                <w:bCs/>
                <w:kern w:val="2"/>
                <w:sz w:val="21"/>
                <w:szCs w:val="21"/>
                <w:vertAlign w:val="subscript"/>
              </w:rPr>
              <w:t>1</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黄背草</w:t>
            </w:r>
            <w:r w:rsidRPr="002F0C6A">
              <w:rPr>
                <w:rFonts w:ascii="Times New Roman" w:cs="Times New Roman"/>
                <w:bCs/>
                <w:i/>
                <w:iCs/>
                <w:kern w:val="2"/>
                <w:sz w:val="21"/>
                <w:szCs w:val="21"/>
              </w:rPr>
              <w:t>Themeda triandra Forsk. Var. Japonica</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w:t>
            </w:r>
            <w:r w:rsidRPr="002F0C6A">
              <w:rPr>
                <w:rFonts w:ascii="Times New Roman" w:cs="Times New Roman" w:hint="eastAsia"/>
                <w:bCs/>
                <w:kern w:val="2"/>
                <w:sz w:val="21"/>
                <w:szCs w:val="21"/>
              </w:rPr>
              <w:t>6</w:t>
            </w:r>
            <w:r w:rsidRPr="002F0C6A">
              <w:rPr>
                <w:rFonts w:ascii="Times New Roman" w:cs="Times New Roman"/>
                <w:bCs/>
                <w:kern w:val="2"/>
                <w:sz w:val="21"/>
                <w:szCs w:val="21"/>
              </w:rPr>
              <w:t>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Sol.</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26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kern w:val="2"/>
                <w:sz w:val="21"/>
                <w:szCs w:val="21"/>
              </w:rPr>
            </w:pPr>
            <w:r w:rsidRPr="002F0C6A">
              <w:rPr>
                <w:rFonts w:ascii="Times New Roman" w:cs="Times New Roman"/>
                <w:kern w:val="2"/>
                <w:sz w:val="21"/>
                <w:szCs w:val="21"/>
              </w:rPr>
              <w:t>聚花过路黄</w:t>
            </w:r>
            <w:r w:rsidRPr="002F0C6A">
              <w:rPr>
                <w:rFonts w:ascii="Times New Roman" w:cs="Times New Roman"/>
                <w:i/>
                <w:iCs/>
                <w:kern w:val="2"/>
                <w:sz w:val="21"/>
                <w:szCs w:val="21"/>
              </w:rPr>
              <w:t>Lysimachia congestiflora Hemsl.</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w:t>
            </w:r>
            <w:r w:rsidRPr="002F0C6A">
              <w:rPr>
                <w:rFonts w:ascii="Times New Roman" w:cs="Times New Roman" w:hint="eastAsia"/>
                <w:bCs/>
                <w:kern w:val="2"/>
                <w:sz w:val="21"/>
                <w:szCs w:val="21"/>
              </w:rPr>
              <w:t>40</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Sol.</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kern w:val="2"/>
                <w:sz w:val="21"/>
                <w:szCs w:val="21"/>
              </w:rPr>
            </w:pPr>
            <w:r w:rsidRPr="002F0C6A">
              <w:rPr>
                <w:rFonts w:ascii="Times New Roman" w:cs="Times New Roman"/>
                <w:kern w:val="2"/>
                <w:sz w:val="21"/>
                <w:szCs w:val="21"/>
              </w:rPr>
              <w:t>蕺菜</w:t>
            </w:r>
            <w:r w:rsidRPr="002F0C6A">
              <w:rPr>
                <w:rFonts w:ascii="Times New Roman" w:cs="Times New Roman"/>
                <w:i/>
                <w:iCs/>
                <w:kern w:val="2"/>
                <w:sz w:val="21"/>
                <w:szCs w:val="21"/>
              </w:rPr>
              <w:t>Houttuynia cordata Thunb</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w:t>
            </w:r>
            <w:r w:rsidRPr="002F0C6A">
              <w:rPr>
                <w:rFonts w:ascii="Times New Roman" w:cs="Times New Roman" w:hint="eastAsia"/>
                <w:bCs/>
                <w:kern w:val="2"/>
                <w:sz w:val="21"/>
                <w:szCs w:val="21"/>
              </w:rPr>
              <w:t>4</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Un.</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kern w:val="2"/>
                <w:sz w:val="21"/>
                <w:szCs w:val="21"/>
              </w:rPr>
            </w:pPr>
            <w:r w:rsidRPr="002F0C6A">
              <w:rPr>
                <w:rFonts w:ascii="Times New Roman" w:cs="Times New Roman"/>
                <w:bCs/>
                <w:kern w:val="2"/>
                <w:sz w:val="21"/>
                <w:szCs w:val="21"/>
              </w:rPr>
              <w:t>斑茅</w:t>
            </w:r>
            <w:r w:rsidRPr="002F0C6A">
              <w:rPr>
                <w:rFonts w:ascii="Times New Roman" w:cs="Times New Roman"/>
                <w:bCs/>
                <w:i/>
                <w:iCs/>
                <w:kern w:val="2"/>
                <w:sz w:val="21"/>
                <w:szCs w:val="21"/>
              </w:rPr>
              <w:t>Saccharum arundinaceum</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0.</w:t>
            </w:r>
            <w:r w:rsidRPr="002F0C6A">
              <w:rPr>
                <w:rFonts w:ascii="Times New Roman" w:cs="Times New Roman" w:hint="eastAsia"/>
                <w:bCs/>
                <w:kern w:val="2"/>
                <w:sz w:val="21"/>
                <w:szCs w:val="21"/>
              </w:rPr>
              <w:t>50</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Un.</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bl>
    <w:p w:rsidR="00521C82" w:rsidRDefault="00521C82" w:rsidP="00521C82">
      <w:pPr>
        <w:topLinePunct w:val="0"/>
        <w:adjustRightInd/>
        <w:ind w:firstLine="422"/>
        <w:jc w:val="center"/>
        <w:rPr>
          <w:rFonts w:ascii="Times New Roman" w:cs="Times New Roman"/>
          <w:b/>
          <w:bCs/>
          <w:kern w:val="2"/>
          <w:sz w:val="21"/>
          <w:szCs w:val="21"/>
        </w:rPr>
      </w:pPr>
      <w:r w:rsidRPr="00D630D1">
        <w:rPr>
          <w:rFonts w:ascii="Times New Roman" w:cs="Times New Roman"/>
          <w:b/>
          <w:kern w:val="2"/>
          <w:sz w:val="21"/>
          <w:szCs w:val="20"/>
        </w:rPr>
        <w:t>样方</w:t>
      </w:r>
      <w:r w:rsidR="002F0C6A">
        <w:rPr>
          <w:rFonts w:ascii="Times New Roman" w:cs="Times New Roman" w:hint="eastAsia"/>
          <w:b/>
          <w:kern w:val="2"/>
          <w:sz w:val="21"/>
          <w:szCs w:val="20"/>
        </w:rPr>
        <w:t>10</w:t>
      </w:r>
      <w:r w:rsidRPr="00D630D1">
        <w:rPr>
          <w:rFonts w:ascii="Times New Roman" w:cs="Times New Roman"/>
          <w:b/>
          <w:bCs/>
          <w:kern w:val="2"/>
          <w:sz w:val="21"/>
          <w:szCs w:val="21"/>
        </w:rPr>
        <w:t xml:space="preserve"> </w:t>
      </w:r>
      <w:r w:rsidRPr="00D630D1">
        <w:rPr>
          <w:rFonts w:ascii="Times New Roman" w:cs="Times New Roman"/>
          <w:b/>
          <w:bCs/>
          <w:kern w:val="2"/>
          <w:sz w:val="21"/>
          <w:szCs w:val="21"/>
        </w:rPr>
        <w:t>芒、蕨、芒萁</w:t>
      </w:r>
      <w:r w:rsidRPr="00D630D1">
        <w:rPr>
          <w:rFonts w:ascii="Times New Roman" w:cs="Times New Roman" w:hint="eastAsia"/>
          <w:b/>
          <w:bCs/>
          <w:kern w:val="2"/>
          <w:sz w:val="21"/>
          <w:szCs w:val="21"/>
        </w:rPr>
        <w:t>群落样方表</w:t>
      </w:r>
    </w:p>
    <w:tbl>
      <w:tblPr>
        <w:tblW w:w="942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570"/>
        <w:gridCol w:w="3928"/>
        <w:gridCol w:w="703"/>
        <w:gridCol w:w="481"/>
        <w:gridCol w:w="621"/>
        <w:gridCol w:w="648"/>
        <w:gridCol w:w="550"/>
        <w:gridCol w:w="523"/>
        <w:gridCol w:w="659"/>
        <w:gridCol w:w="743"/>
      </w:tblGrid>
      <w:tr w:rsidR="002F0C6A" w:rsidRPr="002F0C6A" w:rsidTr="002F0C6A">
        <w:trPr>
          <w:trHeight w:val="755"/>
          <w:jc w:val="center"/>
        </w:trPr>
        <w:tc>
          <w:tcPr>
            <w:tcW w:w="57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lastRenderedPageBreak/>
              <w:t>坐标</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107.819</w:t>
            </w:r>
            <w:r w:rsidRPr="002F0C6A">
              <w:rPr>
                <w:rFonts w:ascii="Times New Roman" w:cs="Times New Roman" w:hint="eastAsia"/>
                <w:bCs/>
                <w:kern w:val="2"/>
                <w:sz w:val="21"/>
                <w:szCs w:val="21"/>
              </w:rPr>
              <w:t>3</w:t>
            </w:r>
            <w:r w:rsidRPr="002F0C6A">
              <w:rPr>
                <w:rFonts w:ascii="Times New Roman" w:cs="Times New Roman"/>
                <w:bCs/>
                <w:kern w:val="2"/>
                <w:sz w:val="21"/>
                <w:szCs w:val="21"/>
              </w:rPr>
              <w:t>,31.5314</w:t>
            </w:r>
          </w:p>
        </w:tc>
        <w:tc>
          <w:tcPr>
            <w:tcW w:w="70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海拔</w:t>
            </w:r>
            <w:r w:rsidRPr="002F0C6A">
              <w:rPr>
                <w:rFonts w:ascii="Times New Roman" w:cs="Times New Roman"/>
                <w:bCs/>
                <w:kern w:val="2"/>
                <w:sz w:val="21"/>
                <w:szCs w:val="21"/>
              </w:rPr>
              <w:t>(m)</w:t>
            </w:r>
          </w:p>
        </w:tc>
        <w:tc>
          <w:tcPr>
            <w:tcW w:w="481"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953</w:t>
            </w:r>
          </w:p>
        </w:tc>
        <w:tc>
          <w:tcPr>
            <w:tcW w:w="621"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土壤类型</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sz w:val="21"/>
                <w:szCs w:val="21"/>
              </w:rPr>
            </w:pPr>
            <w:r w:rsidRPr="002F0C6A">
              <w:rPr>
                <w:rFonts w:ascii="Times New Roman" w:cs="Times New Roman" w:hint="eastAsia"/>
                <w:bCs/>
                <w:sz w:val="21"/>
                <w:szCs w:val="21"/>
              </w:rPr>
              <w:t>壤土</w:t>
            </w:r>
          </w:p>
        </w:tc>
        <w:tc>
          <w:tcPr>
            <w:tcW w:w="55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坡度</w:t>
            </w:r>
          </w:p>
        </w:tc>
        <w:tc>
          <w:tcPr>
            <w:tcW w:w="52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5</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sz w:val="21"/>
                <w:szCs w:val="21"/>
              </w:rPr>
              <w:t>坡向</w:t>
            </w: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bCs/>
                <w:kern w:val="2"/>
                <w:sz w:val="21"/>
                <w:szCs w:val="21"/>
              </w:rPr>
              <w:t>SW</w:t>
            </w:r>
          </w:p>
        </w:tc>
      </w:tr>
      <w:tr w:rsidR="002F0C6A" w:rsidRPr="002F0C6A" w:rsidTr="002F0C6A">
        <w:trPr>
          <w:trHeight w:val="308"/>
          <w:jc w:val="center"/>
        </w:trPr>
        <w:tc>
          <w:tcPr>
            <w:tcW w:w="57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中文名</w:t>
            </w:r>
            <w:r w:rsidRPr="002F0C6A">
              <w:rPr>
                <w:rFonts w:ascii="Times New Roman" w:cs="Times New Roman" w:hint="eastAsia"/>
                <w:bCs/>
                <w:kern w:val="2"/>
                <w:sz w:val="21"/>
                <w:szCs w:val="21"/>
              </w:rPr>
              <w:t>（</w:t>
            </w:r>
            <w:r w:rsidRPr="002F0C6A">
              <w:rPr>
                <w:rFonts w:ascii="Times New Roman" w:cs="Times New Roman"/>
                <w:bCs/>
                <w:kern w:val="2"/>
                <w:sz w:val="21"/>
                <w:szCs w:val="21"/>
              </w:rPr>
              <w:t>拉丁名</w:t>
            </w:r>
            <w:r w:rsidRPr="002F0C6A">
              <w:rPr>
                <w:rFonts w:ascii="Times New Roman" w:cs="Times New Roman" w:hint="eastAsia"/>
                <w:bCs/>
                <w:kern w:val="2"/>
                <w:sz w:val="21"/>
                <w:szCs w:val="21"/>
              </w:rPr>
              <w:t>）</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平均高度</w:t>
            </w:r>
            <w:r w:rsidRPr="002F0C6A">
              <w:rPr>
                <w:rFonts w:ascii="Times New Roman" w:cs="Times New Roman"/>
                <w:bCs/>
                <w:kern w:val="2"/>
                <w:sz w:val="21"/>
                <w:szCs w:val="21"/>
              </w:rPr>
              <w:t>m</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株数</w:t>
            </w:r>
            <w:r w:rsidRPr="002F0C6A">
              <w:rPr>
                <w:rFonts w:ascii="Times New Roman" w:cs="Times New Roman"/>
                <w:bCs/>
                <w:kern w:val="2"/>
                <w:sz w:val="21"/>
                <w:szCs w:val="21"/>
              </w:rPr>
              <w:t>/</w:t>
            </w:r>
            <w:r w:rsidRPr="002F0C6A">
              <w:rPr>
                <w:rFonts w:ascii="Times New Roman" w:cs="Times New Roman"/>
                <w:bCs/>
                <w:kern w:val="2"/>
                <w:sz w:val="21"/>
                <w:szCs w:val="21"/>
              </w:rPr>
              <w:t>多度</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平均胸径</w:t>
            </w:r>
            <w:r w:rsidRPr="002F0C6A">
              <w:rPr>
                <w:rFonts w:ascii="Times New Roman" w:cs="Times New Roman"/>
                <w:bCs/>
                <w:kern w:val="2"/>
                <w:sz w:val="21"/>
                <w:szCs w:val="21"/>
              </w:rPr>
              <w:t>cm</w:t>
            </w: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平均</w:t>
            </w:r>
          </w:p>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冠幅</w:t>
            </w: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茂盛</w:t>
            </w:r>
          </w:p>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度</w:t>
            </w:r>
          </w:p>
        </w:tc>
      </w:tr>
      <w:tr w:rsidR="002F0C6A" w:rsidRPr="002F0C6A" w:rsidTr="002F0C6A">
        <w:trPr>
          <w:trHeight w:val="308"/>
          <w:jc w:val="center"/>
        </w:trPr>
        <w:tc>
          <w:tcPr>
            <w:tcW w:w="570" w:type="dxa"/>
            <w:vMerge w:val="restart"/>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草本层</w:t>
            </w: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芒</w:t>
            </w:r>
            <w:r w:rsidRPr="002F0C6A">
              <w:rPr>
                <w:rFonts w:ascii="Times New Roman" w:cs="Times New Roman"/>
                <w:i/>
                <w:kern w:val="2"/>
                <w:sz w:val="21"/>
                <w:szCs w:val="21"/>
              </w:rPr>
              <w:t>Miscanthus sinensis</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hint="eastAsia"/>
                <w:kern w:val="2"/>
                <w:sz w:val="21"/>
                <w:szCs w:val="21"/>
              </w:rPr>
              <w:t>1.20</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Soc</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蕨</w:t>
            </w:r>
            <w:r w:rsidRPr="002F0C6A">
              <w:rPr>
                <w:rFonts w:ascii="Times New Roman" w:cs="Times New Roman"/>
                <w:i/>
                <w:iCs/>
                <w:kern w:val="2"/>
                <w:sz w:val="21"/>
                <w:szCs w:val="21"/>
              </w:rPr>
              <w:t>P.Aquilinum</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0.5</w:t>
            </w:r>
            <w:r w:rsidRPr="002F0C6A">
              <w:rPr>
                <w:rFonts w:ascii="Times New Roman" w:cs="Times New Roman" w:hint="eastAsia"/>
                <w:kern w:val="2"/>
                <w:sz w:val="21"/>
                <w:szCs w:val="21"/>
              </w:rPr>
              <w:t>0</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Cop</w:t>
            </w:r>
            <w:r w:rsidRPr="002F0C6A">
              <w:rPr>
                <w:rFonts w:ascii="Times New Roman" w:cs="Times New Roman"/>
                <w:bCs/>
                <w:kern w:val="2"/>
                <w:sz w:val="21"/>
                <w:szCs w:val="21"/>
                <w:vertAlign w:val="subscript"/>
              </w:rPr>
              <w:t>1</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牛尾蒿</w:t>
            </w:r>
            <w:r w:rsidRPr="002F0C6A">
              <w:rPr>
                <w:rFonts w:ascii="Times New Roman" w:cs="Times New Roman"/>
                <w:i/>
                <w:iCs/>
                <w:kern w:val="2"/>
                <w:sz w:val="21"/>
                <w:szCs w:val="21"/>
              </w:rPr>
              <w:t>Artemisia dubia Wall. ex Bess.</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0.4</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Sol.</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芒萁</w:t>
            </w:r>
            <w:r w:rsidRPr="002F0C6A">
              <w:rPr>
                <w:rFonts w:ascii="Times New Roman" w:cs="Times New Roman"/>
                <w:i/>
                <w:iCs/>
                <w:kern w:val="2"/>
                <w:sz w:val="21"/>
                <w:szCs w:val="21"/>
              </w:rPr>
              <w:t>Dicranopteris dichotoma(Thunb.)Bernh.</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0.4</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Sol.</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r w:rsidR="002F0C6A" w:rsidRPr="002F0C6A" w:rsidTr="002F0C6A">
        <w:trPr>
          <w:trHeight w:val="308"/>
          <w:jc w:val="center"/>
        </w:trPr>
        <w:tc>
          <w:tcPr>
            <w:tcW w:w="570"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荩草</w:t>
            </w:r>
            <w:r w:rsidRPr="002F0C6A">
              <w:rPr>
                <w:rFonts w:ascii="Times New Roman" w:cs="Times New Roman"/>
                <w:i/>
                <w:iCs/>
                <w:kern w:val="2"/>
                <w:sz w:val="21"/>
                <w:szCs w:val="21"/>
              </w:rPr>
              <w:t>Arthraxon hispidus (Thunb.) Makino</w:t>
            </w:r>
          </w:p>
        </w:tc>
        <w:tc>
          <w:tcPr>
            <w:tcW w:w="1805"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kern w:val="2"/>
                <w:sz w:val="21"/>
                <w:szCs w:val="21"/>
              </w:rPr>
              <w:t>0.25</w:t>
            </w:r>
          </w:p>
        </w:tc>
        <w:tc>
          <w:tcPr>
            <w:tcW w:w="648"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r w:rsidRPr="002F0C6A">
              <w:rPr>
                <w:rFonts w:ascii="Times New Roman" w:cs="Times New Roman"/>
                <w:bCs/>
                <w:kern w:val="2"/>
                <w:sz w:val="21"/>
                <w:szCs w:val="21"/>
              </w:rPr>
              <w:t>S</w:t>
            </w:r>
            <w:r w:rsidRPr="002F0C6A">
              <w:rPr>
                <w:rFonts w:ascii="Times New Roman" w:cs="Times New Roman" w:hint="eastAsia"/>
                <w:bCs/>
                <w:kern w:val="2"/>
                <w:sz w:val="21"/>
                <w:szCs w:val="21"/>
              </w:rPr>
              <w:t>p</w:t>
            </w:r>
          </w:p>
        </w:tc>
        <w:tc>
          <w:tcPr>
            <w:tcW w:w="1073" w:type="dxa"/>
            <w:gridSpan w:val="2"/>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bCs/>
                <w:kern w:val="2"/>
                <w:sz w:val="21"/>
                <w:szCs w:val="21"/>
              </w:rPr>
            </w:pPr>
          </w:p>
        </w:tc>
      </w:tr>
    </w:tbl>
    <w:p w:rsidR="002F0C6A" w:rsidRDefault="002F0C6A" w:rsidP="00521C82">
      <w:pPr>
        <w:topLinePunct w:val="0"/>
        <w:adjustRightInd/>
        <w:ind w:firstLine="422"/>
        <w:jc w:val="center"/>
        <w:rPr>
          <w:rFonts w:ascii="Times New Roman" w:cs="Times New Roman"/>
          <w:b/>
          <w:bCs/>
          <w:kern w:val="2"/>
          <w:sz w:val="21"/>
          <w:szCs w:val="21"/>
        </w:rPr>
      </w:pPr>
    </w:p>
    <w:p w:rsidR="002F0C6A" w:rsidRPr="00D630D1" w:rsidRDefault="002F0C6A" w:rsidP="00521C82">
      <w:pPr>
        <w:topLinePunct w:val="0"/>
        <w:adjustRightInd/>
        <w:ind w:firstLine="422"/>
        <w:jc w:val="center"/>
        <w:rPr>
          <w:rFonts w:ascii="Times New Roman" w:cs="Times New Roman"/>
          <w:b/>
          <w:bCs/>
          <w:kern w:val="2"/>
          <w:sz w:val="21"/>
          <w:szCs w:val="21"/>
        </w:rPr>
      </w:pPr>
    </w:p>
    <w:tbl>
      <w:tblPr>
        <w:tblW w:w="942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570"/>
        <w:gridCol w:w="3928"/>
        <w:gridCol w:w="703"/>
        <w:gridCol w:w="481"/>
        <w:gridCol w:w="621"/>
        <w:gridCol w:w="648"/>
        <w:gridCol w:w="550"/>
        <w:gridCol w:w="523"/>
        <w:gridCol w:w="659"/>
        <w:gridCol w:w="743"/>
      </w:tblGrid>
      <w:tr w:rsidR="00521C82" w:rsidRPr="00D630D1" w:rsidTr="006F3D85">
        <w:trPr>
          <w:trHeight w:val="755"/>
          <w:jc w:val="center"/>
        </w:trPr>
        <w:tc>
          <w:tcPr>
            <w:tcW w:w="570"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sz w:val="21"/>
                <w:szCs w:val="21"/>
              </w:rPr>
              <w:t>坐标</w:t>
            </w:r>
          </w:p>
        </w:tc>
        <w:tc>
          <w:tcPr>
            <w:tcW w:w="3928" w:type="dxa"/>
            <w:vAlign w:val="center"/>
          </w:tcPr>
          <w:p w:rsidR="00521C82" w:rsidRPr="00D630D1" w:rsidRDefault="006F3D85"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kern w:val="2"/>
                <w:sz w:val="21"/>
                <w:szCs w:val="21"/>
              </w:rPr>
              <w:t>107.4658</w:t>
            </w:r>
            <w:r w:rsidRPr="00D630D1">
              <w:rPr>
                <w:rFonts w:ascii="Times New Roman" w:cs="Times New Roman" w:hint="eastAsia"/>
                <w:bCs/>
                <w:kern w:val="2"/>
                <w:sz w:val="21"/>
                <w:szCs w:val="21"/>
              </w:rPr>
              <w:t>，</w:t>
            </w:r>
            <w:r w:rsidRPr="00D630D1">
              <w:rPr>
                <w:rFonts w:ascii="Times New Roman" w:cs="Times New Roman"/>
                <w:bCs/>
                <w:kern w:val="2"/>
                <w:sz w:val="21"/>
                <w:szCs w:val="21"/>
              </w:rPr>
              <w:t>31.3639</w:t>
            </w:r>
          </w:p>
        </w:tc>
        <w:tc>
          <w:tcPr>
            <w:tcW w:w="703" w:type="dxa"/>
            <w:vAlign w:val="center"/>
          </w:tcPr>
          <w:p w:rsidR="00521C82" w:rsidRPr="00D630D1" w:rsidRDefault="006F3D85" w:rsidP="006F3D85">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kern w:val="2"/>
                <w:sz w:val="21"/>
                <w:szCs w:val="21"/>
              </w:rPr>
              <w:t>海拔</w:t>
            </w:r>
            <w:r w:rsidRPr="00D630D1">
              <w:rPr>
                <w:rFonts w:ascii="Times New Roman" w:cs="Times New Roman" w:hint="eastAsia"/>
                <w:bCs/>
                <w:kern w:val="2"/>
                <w:sz w:val="21"/>
                <w:szCs w:val="21"/>
              </w:rPr>
              <w:t>（</w:t>
            </w:r>
            <w:r w:rsidRPr="00D630D1">
              <w:rPr>
                <w:rFonts w:ascii="Times New Roman" w:cs="Times New Roman"/>
                <w:bCs/>
                <w:kern w:val="2"/>
                <w:sz w:val="21"/>
                <w:szCs w:val="21"/>
              </w:rPr>
              <w:t>m</w:t>
            </w:r>
            <w:r w:rsidRPr="00D630D1">
              <w:rPr>
                <w:rFonts w:ascii="Times New Roman" w:cs="Times New Roman" w:hint="eastAsia"/>
                <w:bCs/>
                <w:kern w:val="2"/>
                <w:sz w:val="21"/>
                <w:szCs w:val="21"/>
              </w:rPr>
              <w:t>）</w:t>
            </w:r>
          </w:p>
        </w:tc>
        <w:tc>
          <w:tcPr>
            <w:tcW w:w="481" w:type="dxa"/>
            <w:vAlign w:val="center"/>
          </w:tcPr>
          <w:p w:rsidR="00521C82" w:rsidRPr="00D630D1" w:rsidRDefault="006F3D85" w:rsidP="006F3D85">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hint="eastAsia"/>
                <w:bCs/>
                <w:kern w:val="2"/>
                <w:sz w:val="21"/>
                <w:szCs w:val="21"/>
              </w:rPr>
              <w:t>513</w:t>
            </w:r>
          </w:p>
        </w:tc>
        <w:tc>
          <w:tcPr>
            <w:tcW w:w="621"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sz w:val="21"/>
                <w:szCs w:val="21"/>
              </w:rPr>
              <w:t>土壤类型</w:t>
            </w:r>
          </w:p>
        </w:tc>
        <w:tc>
          <w:tcPr>
            <w:tcW w:w="64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sz w:val="21"/>
                <w:szCs w:val="21"/>
              </w:rPr>
            </w:pPr>
            <w:r w:rsidRPr="00D630D1">
              <w:rPr>
                <w:rFonts w:ascii="Times New Roman" w:cs="Times New Roman" w:hint="eastAsia"/>
                <w:bCs/>
                <w:sz w:val="21"/>
                <w:szCs w:val="21"/>
              </w:rPr>
              <w:t>壤土</w:t>
            </w:r>
          </w:p>
        </w:tc>
        <w:tc>
          <w:tcPr>
            <w:tcW w:w="550"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sz w:val="21"/>
                <w:szCs w:val="21"/>
              </w:rPr>
              <w:t>坡度</w:t>
            </w:r>
          </w:p>
        </w:tc>
        <w:tc>
          <w:tcPr>
            <w:tcW w:w="523"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hint="eastAsia"/>
                <w:bCs/>
                <w:kern w:val="2"/>
                <w:sz w:val="21"/>
                <w:szCs w:val="21"/>
              </w:rPr>
              <w:t>5</w:t>
            </w:r>
          </w:p>
        </w:tc>
        <w:tc>
          <w:tcPr>
            <w:tcW w:w="659"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sz w:val="21"/>
                <w:szCs w:val="21"/>
              </w:rPr>
              <w:t>坡向</w:t>
            </w:r>
          </w:p>
        </w:tc>
        <w:tc>
          <w:tcPr>
            <w:tcW w:w="743"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hint="eastAsia"/>
                <w:bCs/>
                <w:kern w:val="2"/>
                <w:sz w:val="21"/>
                <w:szCs w:val="21"/>
              </w:rPr>
              <w:t>ES</w:t>
            </w:r>
          </w:p>
        </w:tc>
      </w:tr>
      <w:tr w:rsidR="00521C82" w:rsidRPr="00D630D1" w:rsidTr="006F3D85">
        <w:trPr>
          <w:trHeight w:val="308"/>
          <w:jc w:val="center"/>
        </w:trPr>
        <w:tc>
          <w:tcPr>
            <w:tcW w:w="570"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kern w:val="2"/>
                <w:sz w:val="21"/>
                <w:szCs w:val="21"/>
              </w:rPr>
              <w:t>中文名</w:t>
            </w:r>
            <w:r w:rsidRPr="00D630D1">
              <w:rPr>
                <w:rFonts w:ascii="Times New Roman" w:cs="Times New Roman" w:hint="eastAsia"/>
                <w:bCs/>
                <w:kern w:val="2"/>
                <w:sz w:val="21"/>
                <w:szCs w:val="21"/>
              </w:rPr>
              <w:t>（</w:t>
            </w:r>
            <w:r w:rsidRPr="00D630D1">
              <w:rPr>
                <w:rFonts w:ascii="Times New Roman" w:cs="Times New Roman"/>
                <w:bCs/>
                <w:kern w:val="2"/>
                <w:sz w:val="21"/>
                <w:szCs w:val="21"/>
              </w:rPr>
              <w:t>拉丁名</w:t>
            </w:r>
            <w:r w:rsidRPr="00D630D1">
              <w:rPr>
                <w:rFonts w:ascii="Times New Roman" w:cs="Times New Roman" w:hint="eastAsia"/>
                <w:bCs/>
                <w:kern w:val="2"/>
                <w:sz w:val="21"/>
                <w:szCs w:val="21"/>
              </w:rPr>
              <w:t>）</w:t>
            </w:r>
          </w:p>
        </w:tc>
        <w:tc>
          <w:tcPr>
            <w:tcW w:w="1805" w:type="dxa"/>
            <w:gridSpan w:val="3"/>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kern w:val="2"/>
                <w:sz w:val="21"/>
                <w:szCs w:val="21"/>
              </w:rPr>
              <w:t>平均高度</w:t>
            </w:r>
            <w:r w:rsidRPr="00D630D1">
              <w:rPr>
                <w:rFonts w:ascii="Times New Roman" w:cs="Times New Roman"/>
                <w:bCs/>
                <w:kern w:val="2"/>
                <w:sz w:val="21"/>
                <w:szCs w:val="21"/>
              </w:rPr>
              <w:t>m</w:t>
            </w:r>
          </w:p>
        </w:tc>
        <w:tc>
          <w:tcPr>
            <w:tcW w:w="64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kern w:val="2"/>
                <w:sz w:val="21"/>
                <w:szCs w:val="21"/>
              </w:rPr>
              <w:t>株数</w:t>
            </w:r>
            <w:r w:rsidRPr="00D630D1">
              <w:rPr>
                <w:rFonts w:ascii="Times New Roman" w:cs="Times New Roman"/>
                <w:bCs/>
                <w:kern w:val="2"/>
                <w:sz w:val="21"/>
                <w:szCs w:val="21"/>
              </w:rPr>
              <w:t>/</w:t>
            </w:r>
            <w:r w:rsidRPr="00D630D1">
              <w:rPr>
                <w:rFonts w:ascii="Times New Roman" w:cs="Times New Roman"/>
                <w:bCs/>
                <w:kern w:val="2"/>
                <w:sz w:val="21"/>
                <w:szCs w:val="21"/>
              </w:rPr>
              <w:t>多度</w:t>
            </w:r>
          </w:p>
        </w:tc>
        <w:tc>
          <w:tcPr>
            <w:tcW w:w="1073" w:type="dxa"/>
            <w:gridSpan w:val="2"/>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kern w:val="2"/>
                <w:sz w:val="21"/>
                <w:szCs w:val="21"/>
              </w:rPr>
              <w:t>平均胸径</w:t>
            </w:r>
            <w:r w:rsidRPr="00D630D1">
              <w:rPr>
                <w:rFonts w:ascii="Times New Roman" w:cs="Times New Roman"/>
                <w:bCs/>
                <w:kern w:val="2"/>
                <w:sz w:val="21"/>
                <w:szCs w:val="21"/>
              </w:rPr>
              <w:t>cm</w:t>
            </w:r>
          </w:p>
        </w:tc>
        <w:tc>
          <w:tcPr>
            <w:tcW w:w="659"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kern w:val="2"/>
                <w:sz w:val="21"/>
                <w:szCs w:val="21"/>
              </w:rPr>
              <w:t>平均</w:t>
            </w:r>
          </w:p>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kern w:val="2"/>
                <w:sz w:val="21"/>
                <w:szCs w:val="21"/>
              </w:rPr>
              <w:t>冠幅</w:t>
            </w:r>
          </w:p>
        </w:tc>
        <w:tc>
          <w:tcPr>
            <w:tcW w:w="743"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kern w:val="2"/>
                <w:sz w:val="21"/>
                <w:szCs w:val="21"/>
              </w:rPr>
              <w:t>茂盛</w:t>
            </w:r>
          </w:p>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kern w:val="2"/>
                <w:sz w:val="21"/>
                <w:szCs w:val="21"/>
              </w:rPr>
              <w:t>度</w:t>
            </w:r>
          </w:p>
        </w:tc>
      </w:tr>
      <w:tr w:rsidR="00521C82" w:rsidRPr="00D630D1" w:rsidTr="006F3D85">
        <w:trPr>
          <w:trHeight w:val="308"/>
          <w:jc w:val="center"/>
        </w:trPr>
        <w:tc>
          <w:tcPr>
            <w:tcW w:w="570" w:type="dxa"/>
            <w:vMerge w:val="restart"/>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kern w:val="2"/>
                <w:sz w:val="21"/>
                <w:szCs w:val="21"/>
              </w:rPr>
              <w:t>草本层</w:t>
            </w:r>
          </w:p>
        </w:tc>
        <w:tc>
          <w:tcPr>
            <w:tcW w:w="392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bCs/>
                <w:kern w:val="2"/>
                <w:sz w:val="21"/>
                <w:szCs w:val="21"/>
              </w:rPr>
              <w:t>芒</w:t>
            </w:r>
            <w:r w:rsidRPr="00D630D1">
              <w:rPr>
                <w:rFonts w:ascii="Times New Roman" w:cs="Times New Roman"/>
                <w:i/>
                <w:kern w:val="2"/>
                <w:sz w:val="21"/>
                <w:szCs w:val="21"/>
              </w:rPr>
              <w:t>Miscanthus sinensis</w:t>
            </w:r>
          </w:p>
        </w:tc>
        <w:tc>
          <w:tcPr>
            <w:tcW w:w="1805" w:type="dxa"/>
            <w:gridSpan w:val="3"/>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0.85</w:t>
            </w:r>
          </w:p>
        </w:tc>
        <w:tc>
          <w:tcPr>
            <w:tcW w:w="64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Cop</w:t>
            </w:r>
            <w:r w:rsidRPr="00D630D1">
              <w:rPr>
                <w:rFonts w:ascii="Times New Roman" w:cs="Times New Roman"/>
                <w:kern w:val="2"/>
                <w:sz w:val="21"/>
                <w:szCs w:val="21"/>
                <w:vertAlign w:val="subscript"/>
              </w:rPr>
              <w:t>1</w:t>
            </w:r>
          </w:p>
        </w:tc>
        <w:tc>
          <w:tcPr>
            <w:tcW w:w="1073" w:type="dxa"/>
            <w:gridSpan w:val="2"/>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r>
      <w:tr w:rsidR="00521C82" w:rsidRPr="00D630D1" w:rsidTr="006F3D85">
        <w:trPr>
          <w:trHeight w:val="308"/>
          <w:jc w:val="center"/>
        </w:trPr>
        <w:tc>
          <w:tcPr>
            <w:tcW w:w="570" w:type="dxa"/>
            <w:vMerge/>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蕨</w:t>
            </w:r>
            <w:r w:rsidRPr="00D630D1">
              <w:rPr>
                <w:rFonts w:ascii="Times New Roman" w:cs="Times New Roman"/>
                <w:i/>
                <w:iCs/>
                <w:kern w:val="2"/>
                <w:sz w:val="21"/>
                <w:szCs w:val="21"/>
              </w:rPr>
              <w:t>P.Aquilinum</w:t>
            </w:r>
          </w:p>
        </w:tc>
        <w:tc>
          <w:tcPr>
            <w:tcW w:w="1805" w:type="dxa"/>
            <w:gridSpan w:val="3"/>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0.55</w:t>
            </w:r>
          </w:p>
        </w:tc>
        <w:tc>
          <w:tcPr>
            <w:tcW w:w="64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Sp.</w:t>
            </w:r>
          </w:p>
        </w:tc>
        <w:tc>
          <w:tcPr>
            <w:tcW w:w="1073" w:type="dxa"/>
            <w:gridSpan w:val="2"/>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r>
      <w:tr w:rsidR="00521C82" w:rsidRPr="00D630D1" w:rsidTr="006F3D85">
        <w:trPr>
          <w:trHeight w:val="308"/>
          <w:jc w:val="center"/>
        </w:trPr>
        <w:tc>
          <w:tcPr>
            <w:tcW w:w="570" w:type="dxa"/>
            <w:vMerge/>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牛尾蒿</w:t>
            </w:r>
            <w:r w:rsidRPr="00D630D1">
              <w:rPr>
                <w:rFonts w:ascii="Times New Roman" w:cs="Times New Roman"/>
                <w:i/>
                <w:iCs/>
                <w:kern w:val="2"/>
                <w:sz w:val="21"/>
                <w:szCs w:val="21"/>
              </w:rPr>
              <w:t>Artemisia dubia Wall. ex Bess.</w:t>
            </w:r>
          </w:p>
        </w:tc>
        <w:tc>
          <w:tcPr>
            <w:tcW w:w="1805" w:type="dxa"/>
            <w:gridSpan w:val="3"/>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0.4</w:t>
            </w:r>
          </w:p>
        </w:tc>
        <w:tc>
          <w:tcPr>
            <w:tcW w:w="64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Sol.</w:t>
            </w:r>
          </w:p>
        </w:tc>
        <w:tc>
          <w:tcPr>
            <w:tcW w:w="1073" w:type="dxa"/>
            <w:gridSpan w:val="2"/>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r>
      <w:tr w:rsidR="00521C82" w:rsidRPr="00D630D1" w:rsidTr="006F3D85">
        <w:trPr>
          <w:trHeight w:val="308"/>
          <w:jc w:val="center"/>
        </w:trPr>
        <w:tc>
          <w:tcPr>
            <w:tcW w:w="570" w:type="dxa"/>
            <w:vMerge/>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芒萁</w:t>
            </w:r>
            <w:r w:rsidRPr="00D630D1">
              <w:rPr>
                <w:rFonts w:ascii="Times New Roman" w:cs="Times New Roman"/>
                <w:i/>
                <w:iCs/>
                <w:kern w:val="2"/>
                <w:sz w:val="21"/>
                <w:szCs w:val="21"/>
              </w:rPr>
              <w:t>Dicranopteris dichotoma(Thunb.)Bernh.</w:t>
            </w:r>
          </w:p>
        </w:tc>
        <w:tc>
          <w:tcPr>
            <w:tcW w:w="1805" w:type="dxa"/>
            <w:gridSpan w:val="3"/>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0.4</w:t>
            </w:r>
          </w:p>
        </w:tc>
        <w:tc>
          <w:tcPr>
            <w:tcW w:w="64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Sol.</w:t>
            </w:r>
          </w:p>
        </w:tc>
        <w:tc>
          <w:tcPr>
            <w:tcW w:w="1073" w:type="dxa"/>
            <w:gridSpan w:val="2"/>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r>
      <w:tr w:rsidR="00521C82" w:rsidRPr="00D630D1" w:rsidTr="006F3D85">
        <w:trPr>
          <w:trHeight w:val="308"/>
          <w:jc w:val="center"/>
        </w:trPr>
        <w:tc>
          <w:tcPr>
            <w:tcW w:w="570" w:type="dxa"/>
            <w:vMerge/>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392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荩草</w:t>
            </w:r>
            <w:r w:rsidRPr="00D630D1">
              <w:rPr>
                <w:rFonts w:ascii="Times New Roman" w:cs="Times New Roman"/>
                <w:i/>
                <w:iCs/>
                <w:kern w:val="2"/>
                <w:sz w:val="21"/>
                <w:szCs w:val="21"/>
              </w:rPr>
              <w:t>Arthraxon hispidus (Thunb.) Makino</w:t>
            </w:r>
          </w:p>
        </w:tc>
        <w:tc>
          <w:tcPr>
            <w:tcW w:w="1805" w:type="dxa"/>
            <w:gridSpan w:val="3"/>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0.25</w:t>
            </w:r>
          </w:p>
        </w:tc>
        <w:tc>
          <w:tcPr>
            <w:tcW w:w="648"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r w:rsidRPr="00D630D1">
              <w:rPr>
                <w:rFonts w:ascii="Times New Roman" w:cs="Times New Roman"/>
                <w:kern w:val="2"/>
                <w:sz w:val="21"/>
                <w:szCs w:val="21"/>
              </w:rPr>
              <w:t>Sol.</w:t>
            </w:r>
          </w:p>
        </w:tc>
        <w:tc>
          <w:tcPr>
            <w:tcW w:w="1073" w:type="dxa"/>
            <w:gridSpan w:val="2"/>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659"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c>
          <w:tcPr>
            <w:tcW w:w="743" w:type="dxa"/>
            <w:vAlign w:val="center"/>
          </w:tcPr>
          <w:p w:rsidR="00521C82" w:rsidRPr="00D630D1" w:rsidRDefault="00521C82" w:rsidP="00521C82">
            <w:pPr>
              <w:topLinePunct w:val="0"/>
              <w:adjustRightInd/>
              <w:spacing w:line="240" w:lineRule="auto"/>
              <w:ind w:firstLineChars="0" w:firstLine="0"/>
              <w:jc w:val="center"/>
              <w:rPr>
                <w:rFonts w:ascii="Times New Roman" w:cs="Times New Roman"/>
                <w:bCs/>
                <w:kern w:val="2"/>
                <w:sz w:val="21"/>
                <w:szCs w:val="21"/>
              </w:rPr>
            </w:pPr>
          </w:p>
        </w:tc>
      </w:tr>
    </w:tbl>
    <w:p w:rsidR="006F3D85" w:rsidRPr="00D630D1" w:rsidRDefault="006F3D85" w:rsidP="00F96E37">
      <w:pPr>
        <w:topLinePunct w:val="0"/>
        <w:snapToGrid w:val="0"/>
        <w:spacing w:beforeLines="50"/>
        <w:ind w:firstLine="482"/>
        <w:rPr>
          <w:rFonts w:ascii="Times New Roman" w:cs="Times New Roman"/>
          <w:b/>
          <w:bCs/>
          <w:kern w:val="2"/>
          <w:lang w:val="de-DE"/>
        </w:rPr>
      </w:pPr>
      <w:r w:rsidRPr="00D630D1">
        <w:rPr>
          <w:rFonts w:ascii="Times New Roman" w:cs="Times New Roman" w:hint="eastAsia"/>
          <w:b/>
          <w:bCs/>
          <w:kern w:val="2"/>
        </w:rPr>
        <w:t>4</w:t>
      </w:r>
      <w:r w:rsidRPr="00D630D1">
        <w:rPr>
          <w:rFonts w:ascii="Times New Roman" w:cs="Times New Roman"/>
          <w:b/>
          <w:bCs/>
          <w:kern w:val="2"/>
        </w:rPr>
        <w:t>、项目评价范围</w:t>
      </w:r>
      <w:r w:rsidRPr="00D630D1">
        <w:rPr>
          <w:rFonts w:ascii="Times New Roman" w:cs="Times New Roman"/>
          <w:b/>
          <w:bCs/>
          <w:kern w:val="2"/>
          <w:lang w:val="de-DE"/>
        </w:rPr>
        <w:t>植被的基本特征</w:t>
      </w:r>
    </w:p>
    <w:p w:rsidR="006F3D85" w:rsidRPr="00D630D1" w:rsidRDefault="006F3D85" w:rsidP="006F3D85">
      <w:pPr>
        <w:topLinePunct w:val="0"/>
        <w:adjustRightInd/>
        <w:spacing w:line="480" w:lineRule="exact"/>
        <w:ind w:firstLine="480"/>
        <w:rPr>
          <w:rFonts w:ascii="Times New Roman" w:cs="Times New Roman"/>
          <w:kern w:val="2"/>
          <w:lang w:val="de-DE"/>
        </w:rPr>
      </w:pPr>
      <w:r w:rsidRPr="00D630D1">
        <w:rPr>
          <w:rFonts w:ascii="Times New Roman" w:cs="Times New Roman"/>
          <w:kern w:val="2"/>
          <w:lang w:val="de-DE"/>
        </w:rPr>
        <w:t>根据对评价范围进行的植被考察和若干重点地区代表类型的样方调查，可知区域内植被具有以下特征：</w:t>
      </w:r>
    </w:p>
    <w:p w:rsidR="006F3D85" w:rsidRPr="00D630D1" w:rsidRDefault="006F3D85" w:rsidP="006F3D85">
      <w:pPr>
        <w:topLinePunct w:val="0"/>
        <w:adjustRightInd/>
        <w:spacing w:line="480" w:lineRule="exact"/>
        <w:ind w:firstLine="480"/>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1</w:t>
      </w:r>
      <w:r w:rsidRPr="00D630D1">
        <w:rPr>
          <w:rFonts w:ascii="Times New Roman" w:cs="Times New Roman" w:hint="eastAsia"/>
          <w:kern w:val="2"/>
        </w:rPr>
        <w:t>）</w:t>
      </w:r>
      <w:r w:rsidRPr="00D630D1">
        <w:rPr>
          <w:rFonts w:ascii="Times New Roman" w:cs="Times New Roman"/>
          <w:kern w:val="2"/>
        </w:rPr>
        <w:t>植被次生性明显</w:t>
      </w:r>
    </w:p>
    <w:p w:rsidR="002F0C6A" w:rsidRPr="002F0C6A" w:rsidRDefault="002F0C6A" w:rsidP="002F0C6A">
      <w:pPr>
        <w:topLinePunct w:val="0"/>
        <w:adjustRightInd/>
        <w:spacing w:line="480" w:lineRule="exact"/>
        <w:ind w:firstLine="480"/>
        <w:rPr>
          <w:rFonts w:ascii="Times New Roman" w:cs="Times New Roman"/>
          <w:kern w:val="2"/>
        </w:rPr>
      </w:pPr>
      <w:r w:rsidRPr="002F0C6A">
        <w:rPr>
          <w:rFonts w:ascii="Times New Roman" w:cs="Times New Roman"/>
          <w:kern w:val="2"/>
        </w:rPr>
        <w:t>评价范围在植被带谱上应为常绿阔叶林类型，但现有的常绿阔叶林面积很少，只有在人烟稀少、田头地角有残存的常绿阔叶林。评价区山体中上部经过近年来的人工造林和封山育林等工程，许多地方已经蔚然成林，多为山地针叶林带或者针叶阔叶混交林带，主要是</w:t>
      </w:r>
      <w:r w:rsidRPr="002F0C6A">
        <w:rPr>
          <w:rFonts w:ascii="Times New Roman" w:cs="Times New Roman" w:hint="eastAsia"/>
          <w:kern w:val="2"/>
        </w:rPr>
        <w:t>以马尾松、杉木、柏木为主的</w:t>
      </w:r>
      <w:r w:rsidRPr="002F0C6A">
        <w:rPr>
          <w:rFonts w:ascii="Times New Roman" w:cs="Times New Roman"/>
          <w:kern w:val="2"/>
        </w:rPr>
        <w:t>针叶林植被，</w:t>
      </w:r>
      <w:r w:rsidRPr="002F0C6A">
        <w:rPr>
          <w:rFonts w:ascii="Times New Roman" w:cs="Times New Roman" w:hint="eastAsia"/>
          <w:kern w:val="2"/>
        </w:rPr>
        <w:t>以麻栎、青冈、枫香、响叶杨等为主的</w:t>
      </w:r>
      <w:r w:rsidRPr="002F0C6A">
        <w:rPr>
          <w:rFonts w:ascii="Times New Roman" w:cs="Times New Roman"/>
          <w:kern w:val="2"/>
        </w:rPr>
        <w:t>阔叶林植被带，其群落结构大多具备有乔木、灌木、</w:t>
      </w:r>
      <w:r w:rsidRPr="002F0C6A">
        <w:rPr>
          <w:rFonts w:ascii="Times New Roman" w:cs="Times New Roman"/>
          <w:kern w:val="2"/>
        </w:rPr>
        <w:lastRenderedPageBreak/>
        <w:t>草本、地衣层，覆盖度基本保持在</w:t>
      </w:r>
      <w:r w:rsidRPr="002F0C6A">
        <w:rPr>
          <w:rFonts w:ascii="Times New Roman" w:cs="Times New Roman"/>
          <w:kern w:val="2"/>
        </w:rPr>
        <w:t>70%</w:t>
      </w:r>
      <w:r w:rsidRPr="002F0C6A">
        <w:rPr>
          <w:rFonts w:ascii="Times New Roman" w:cs="Times New Roman"/>
          <w:kern w:val="2"/>
        </w:rPr>
        <w:t>左右。次生灌丛则以盐肤木、黄荆、火棘、马桑、胡枝子、荚蒾、杨桐、蛇莓、算盘子、南天竹为主要的优势群落，草本优势种群主要是</w:t>
      </w:r>
      <w:r w:rsidRPr="002F0C6A">
        <w:rPr>
          <w:rFonts w:ascii="Times New Roman" w:cs="Times New Roman" w:hint="eastAsia"/>
          <w:kern w:val="2"/>
        </w:rPr>
        <w:t>白茅、五节芒、斑茅、婆婆针、飞蓬、蛇莓、夏枯草、蛇含委陵草、鸡眼草</w:t>
      </w:r>
      <w:r w:rsidRPr="002F0C6A">
        <w:rPr>
          <w:rFonts w:ascii="Times New Roman" w:cs="Times New Roman"/>
          <w:kern w:val="2"/>
        </w:rPr>
        <w:t>、芒萁、车轴草。在评价区海拔</w:t>
      </w:r>
      <w:r w:rsidRPr="002F0C6A">
        <w:rPr>
          <w:rFonts w:ascii="Times New Roman" w:cs="Times New Roman"/>
          <w:kern w:val="2"/>
        </w:rPr>
        <w:t>400m</w:t>
      </w:r>
      <w:r w:rsidRPr="002F0C6A">
        <w:rPr>
          <w:rFonts w:ascii="Times New Roman" w:cs="Times New Roman"/>
          <w:kern w:val="2"/>
        </w:rPr>
        <w:t>以下、坡度较缓的地带均已毁林开荒种植粮食作物，导致水土流失，自然条件发生变化，农业植被或者荒芜逐渐代替自然植被。</w:t>
      </w:r>
    </w:p>
    <w:p w:rsidR="006F3D85" w:rsidRPr="00D630D1" w:rsidRDefault="002F0C6A" w:rsidP="002F0C6A">
      <w:pPr>
        <w:topLinePunct w:val="0"/>
        <w:adjustRightInd/>
        <w:spacing w:line="480" w:lineRule="exact"/>
        <w:ind w:firstLine="480"/>
        <w:rPr>
          <w:rFonts w:ascii="Times New Roman" w:cs="Times New Roman"/>
          <w:kern w:val="2"/>
          <w:lang w:val="de-DE"/>
        </w:rPr>
      </w:pPr>
      <w:r w:rsidRPr="002F0C6A">
        <w:rPr>
          <w:rFonts w:ascii="Times New Roman" w:cs="Times New Roman"/>
          <w:kern w:val="2"/>
          <w:lang w:val="de-DE"/>
        </w:rPr>
        <w:t>地带性常绿阔叶林的消失，使蕴藏其中的大部分珍稀动植物失去生存繁衍的环境，同时，植被的明显次生性，大面积人工种植的针叶林、落叶阔叶林以及次生的灌丛及灌草丛在评价区域的广泛分布，致使区内植被的生态效应的有效性、生物物种的多样性及植被生物量的丰富程度都受到一定的影响</w:t>
      </w:r>
      <w:r w:rsidR="006F3D85" w:rsidRPr="00D630D1">
        <w:rPr>
          <w:rFonts w:ascii="Times New Roman" w:cs="Times New Roman"/>
          <w:kern w:val="2"/>
          <w:lang w:val="de-DE"/>
        </w:rPr>
        <w:t>。</w:t>
      </w:r>
    </w:p>
    <w:p w:rsidR="006F3D85" w:rsidRPr="00D630D1" w:rsidRDefault="006F3D85" w:rsidP="006F3D85">
      <w:pPr>
        <w:topLinePunct w:val="0"/>
        <w:adjustRightInd/>
        <w:spacing w:line="480" w:lineRule="exact"/>
        <w:ind w:firstLine="480"/>
        <w:rPr>
          <w:rFonts w:ascii="Times New Roman" w:cs="Times New Roman"/>
          <w:kern w:val="2"/>
          <w:lang w:val="de-DE"/>
        </w:rPr>
      </w:pPr>
      <w:r w:rsidRPr="00D630D1">
        <w:rPr>
          <w:rFonts w:ascii="Times New Roman" w:cs="Times New Roman"/>
          <w:kern w:val="2"/>
          <w:lang w:val="de-DE"/>
        </w:rPr>
        <w:t>（</w:t>
      </w:r>
      <w:r w:rsidRPr="00D630D1">
        <w:rPr>
          <w:rFonts w:ascii="Times New Roman" w:cs="Times New Roman"/>
          <w:kern w:val="2"/>
        </w:rPr>
        <w:t>2</w:t>
      </w:r>
      <w:r w:rsidRPr="00D630D1">
        <w:rPr>
          <w:rFonts w:ascii="Times New Roman" w:cs="Times New Roman"/>
          <w:kern w:val="2"/>
          <w:lang w:val="de-DE"/>
        </w:rPr>
        <w:t>）森林植被覆盖率较低，质量欠佳且分布不均</w:t>
      </w:r>
    </w:p>
    <w:p w:rsidR="006F3D85" w:rsidRPr="00D630D1" w:rsidRDefault="002F0C6A" w:rsidP="006F3D85">
      <w:pPr>
        <w:topLinePunct w:val="0"/>
        <w:adjustRightInd/>
        <w:spacing w:line="480" w:lineRule="exact"/>
        <w:ind w:firstLine="480"/>
        <w:rPr>
          <w:rFonts w:ascii="Times New Roman" w:cs="Times New Roman"/>
          <w:kern w:val="2"/>
          <w:lang w:val="de-DE"/>
        </w:rPr>
      </w:pPr>
      <w:r>
        <w:rPr>
          <w:lang w:val="de-DE"/>
        </w:rPr>
        <w:t>评价范围的森林植被分布较为广泛，但多为</w:t>
      </w:r>
      <w:r>
        <w:rPr>
          <w:rFonts w:hint="eastAsia"/>
          <w:lang w:val="de-DE"/>
        </w:rPr>
        <w:t>人工培育</w:t>
      </w:r>
      <w:r>
        <w:rPr>
          <w:lang w:val="de-DE"/>
        </w:rPr>
        <w:t>中幼龄林，因此森林蓄积量较低，森林群落的结构简单，郁闭度相对较低，生物量及生产力亦较低，因此，森林植被的生态效应较差。项目建设过程中，施工方应千方百计注意保护现有森林植被，并在项目开发的同时，采取有效措施促进森林植被的恢复，加强人工封闭或人工促进措施，做好封山育林工作，使灌丛植被尽快地向森林植被演替</w:t>
      </w:r>
      <w:r w:rsidR="006F3D85" w:rsidRPr="00D630D1">
        <w:rPr>
          <w:rFonts w:ascii="Times New Roman" w:cs="Times New Roman"/>
          <w:kern w:val="2"/>
          <w:lang w:val="de-DE"/>
        </w:rPr>
        <w:t>。</w:t>
      </w:r>
    </w:p>
    <w:p w:rsidR="006F3D85" w:rsidRPr="00D630D1" w:rsidRDefault="006F3D85" w:rsidP="006F3D85">
      <w:pPr>
        <w:topLinePunct w:val="0"/>
        <w:adjustRightInd/>
        <w:spacing w:line="480" w:lineRule="exact"/>
        <w:ind w:firstLine="480"/>
        <w:rPr>
          <w:rFonts w:ascii="Times New Roman" w:cs="Times New Roman"/>
          <w:kern w:val="2"/>
          <w:lang w:val="de-DE"/>
        </w:rPr>
      </w:pPr>
      <w:r w:rsidRPr="00D630D1">
        <w:rPr>
          <w:rFonts w:ascii="Times New Roman" w:cs="Times New Roman"/>
          <w:kern w:val="2"/>
          <w:lang w:val="de-DE"/>
        </w:rPr>
        <w:t>（</w:t>
      </w:r>
      <w:r w:rsidRPr="00D630D1">
        <w:rPr>
          <w:rFonts w:ascii="Times New Roman" w:cs="Times New Roman"/>
          <w:kern w:val="2"/>
        </w:rPr>
        <w:t>3</w:t>
      </w:r>
      <w:r w:rsidRPr="00D630D1">
        <w:rPr>
          <w:rFonts w:ascii="Times New Roman" w:cs="Times New Roman"/>
          <w:kern w:val="2"/>
          <w:lang w:val="de-DE"/>
        </w:rPr>
        <w:t>）人工植被分布广泛，尤其旱地植被占明显优势</w:t>
      </w:r>
    </w:p>
    <w:p w:rsidR="00BD5448" w:rsidRPr="00D630D1" w:rsidRDefault="002F0C6A" w:rsidP="006F3D85">
      <w:pPr>
        <w:pStyle w:val="afa"/>
        <w:ind w:firstLine="480"/>
        <w:rPr>
          <w:kern w:val="2"/>
          <w:szCs w:val="24"/>
        </w:rPr>
      </w:pPr>
      <w:r>
        <w:rPr>
          <w:lang w:val="de-DE"/>
        </w:rPr>
        <w:t>评价范围地处</w:t>
      </w:r>
      <w:r>
        <w:rPr>
          <w:rFonts w:hint="eastAsia"/>
          <w:lang w:val="de-DE"/>
        </w:rPr>
        <w:t>川西</w:t>
      </w:r>
      <w:r>
        <w:rPr>
          <w:lang w:val="de-DE"/>
        </w:rPr>
        <w:t>中低山区域，土地负荷极大。目前评价范围内有农田植被</w:t>
      </w:r>
      <w:r>
        <w:rPr>
          <w:rFonts w:hint="eastAsia"/>
        </w:rPr>
        <w:t>387.81</w:t>
      </w:r>
      <w:r>
        <w:rPr>
          <w:lang w:val="de-DE"/>
        </w:rPr>
        <w:t>hm²</w:t>
      </w:r>
      <w:r>
        <w:rPr>
          <w:lang w:val="de-DE"/>
        </w:rPr>
        <w:t>，约占评价区内土地总面积的</w:t>
      </w:r>
      <w:r>
        <w:rPr>
          <w:rFonts w:hint="eastAsia"/>
        </w:rPr>
        <w:t>28.38</w:t>
      </w:r>
      <w:r>
        <w:rPr>
          <w:lang w:val="de-DE"/>
        </w:rPr>
        <w:t>%</w:t>
      </w:r>
      <w:r>
        <w:rPr>
          <w:lang w:val="de-DE"/>
        </w:rPr>
        <w:t>，即垦殖指数达</w:t>
      </w:r>
      <w:r>
        <w:rPr>
          <w:rFonts w:hint="eastAsia"/>
        </w:rPr>
        <w:t>28.38</w:t>
      </w:r>
      <w:r>
        <w:rPr>
          <w:lang w:val="de-DE"/>
        </w:rPr>
        <w:t>%</w:t>
      </w:r>
      <w:r>
        <w:rPr>
          <w:lang w:val="de-DE"/>
        </w:rPr>
        <w:t>。大面积的农田植被对于解决区内人口的粮食、蔬菜等起到了重要作用，但是由于不少旱地是在河谷斜坡和丘陵山地的斜坡面上开垦出来的，这种坡耕旱地在人类长期的翻耕种植下，会加速土壤的侵蚀，使山区生态环境进一步退化</w:t>
      </w:r>
      <w:r w:rsidR="006F3D85" w:rsidRPr="00D630D1">
        <w:rPr>
          <w:kern w:val="2"/>
          <w:szCs w:val="24"/>
          <w:lang w:val="de-DE"/>
        </w:rPr>
        <w:t>。</w:t>
      </w:r>
    </w:p>
    <w:p w:rsidR="00EF6C21" w:rsidRPr="00D630D1" w:rsidRDefault="00EF6C21" w:rsidP="00EF6C21">
      <w:pPr>
        <w:pStyle w:val="3"/>
        <w:rPr>
          <w:rFonts w:eastAsia="宋体"/>
        </w:rPr>
      </w:pPr>
      <w:r w:rsidRPr="00D630D1">
        <w:rPr>
          <w:rFonts w:eastAsia="宋体"/>
        </w:rPr>
        <w:t>5.2.5</w:t>
      </w:r>
      <w:r w:rsidR="006F3D85" w:rsidRPr="00D630D1">
        <w:rPr>
          <w:rFonts w:eastAsia="宋体"/>
          <w:bCs/>
        </w:rPr>
        <w:t>评价范围植被生产力和</w:t>
      </w:r>
      <w:r w:rsidR="006F3D85" w:rsidRPr="00D630D1">
        <w:rPr>
          <w:rFonts w:eastAsia="宋体"/>
          <w:bCs/>
          <w:lang w:val="de-DE"/>
        </w:rPr>
        <w:t>生物量分析</w:t>
      </w:r>
    </w:p>
    <w:p w:rsidR="006F3D85" w:rsidRPr="00D630D1" w:rsidRDefault="006F3D85" w:rsidP="006F3D85">
      <w:pPr>
        <w:topLinePunct w:val="0"/>
        <w:adjustRightInd/>
        <w:spacing w:line="480" w:lineRule="exact"/>
        <w:ind w:firstLine="482"/>
        <w:rPr>
          <w:rFonts w:ascii="Times New Roman" w:cs="Times New Roman"/>
          <w:b/>
          <w:bCs/>
          <w:kern w:val="2"/>
          <w:lang w:val="de-DE"/>
        </w:rPr>
      </w:pPr>
      <w:r w:rsidRPr="00D630D1">
        <w:rPr>
          <w:rFonts w:ascii="Times New Roman" w:cs="Times New Roman"/>
          <w:b/>
          <w:bCs/>
          <w:kern w:val="2"/>
          <w:lang w:val="de-DE"/>
        </w:rPr>
        <w:t>（</w:t>
      </w:r>
      <w:r w:rsidRPr="00D630D1">
        <w:rPr>
          <w:rFonts w:ascii="Times New Roman" w:cs="Times New Roman"/>
          <w:b/>
          <w:bCs/>
          <w:kern w:val="2"/>
        </w:rPr>
        <w:t>1</w:t>
      </w:r>
      <w:r w:rsidRPr="00D630D1">
        <w:rPr>
          <w:rFonts w:ascii="Times New Roman" w:cs="Times New Roman"/>
          <w:b/>
          <w:bCs/>
          <w:kern w:val="2"/>
          <w:lang w:val="de-DE"/>
        </w:rPr>
        <w:t>）土地自然生产力估算</w:t>
      </w:r>
    </w:p>
    <w:p w:rsidR="006F3D85" w:rsidRPr="00D630D1" w:rsidRDefault="006F3D85" w:rsidP="006F3D85">
      <w:pPr>
        <w:topLinePunct w:val="0"/>
        <w:adjustRightInd/>
        <w:spacing w:line="480" w:lineRule="exact"/>
        <w:ind w:firstLine="480"/>
        <w:rPr>
          <w:rFonts w:ascii="Times New Roman" w:cs="Times New Roman"/>
          <w:kern w:val="2"/>
          <w:lang w:val="de-DE"/>
        </w:rPr>
      </w:pPr>
      <w:r w:rsidRPr="00D630D1">
        <w:rPr>
          <w:rFonts w:ascii="Times New Roman" w:cs="Times New Roman"/>
          <w:kern w:val="2"/>
          <w:lang w:val="de-DE"/>
        </w:rPr>
        <w:t>采用</w:t>
      </w:r>
      <w:r w:rsidRPr="00D630D1">
        <w:rPr>
          <w:rFonts w:ascii="Times New Roman" w:cs="Times New Roman"/>
          <w:kern w:val="2"/>
          <w:lang w:val="de-DE"/>
        </w:rPr>
        <w:t>H.lieth</w:t>
      </w:r>
      <w:r w:rsidRPr="00D630D1">
        <w:rPr>
          <w:rFonts w:ascii="Times New Roman" w:cs="Times New Roman"/>
          <w:kern w:val="2"/>
          <w:lang w:val="de-DE"/>
        </w:rPr>
        <w:t>生物生产力经验公式计算项目区域土地自然生产力：</w:t>
      </w:r>
    </w:p>
    <w:p w:rsidR="006F3D85" w:rsidRPr="00D630D1" w:rsidRDefault="006F3D85" w:rsidP="006F3D85">
      <w:pPr>
        <w:topLinePunct w:val="0"/>
        <w:adjustRightInd/>
        <w:spacing w:line="240" w:lineRule="auto"/>
        <w:ind w:firstLineChars="0" w:firstLine="0"/>
        <w:rPr>
          <w:rFonts w:ascii="Times New Roman" w:cs="Times New Roman"/>
          <w:kern w:val="2"/>
          <w:sz w:val="21"/>
        </w:rPr>
      </w:pPr>
      <w:r w:rsidRPr="00D630D1">
        <w:rPr>
          <w:rFonts w:ascii="Times New Roman" w:cs="Times New Roman"/>
          <w:kern w:val="2"/>
          <w:position w:val="-26"/>
          <w:sz w:val="21"/>
        </w:rPr>
        <w:object w:dxaOrig="2141" w:dyaOrig="659">
          <v:shape id="Object 81" o:spid="_x0000_i1026" type="#_x0000_t75" style="width:130.5pt;height:36pt;mso-position-horizontal-relative:page;mso-position-vertical-relative:page" o:ole="">
            <v:imagedata r:id="rId80" o:title=""/>
          </v:shape>
          <o:OLEObject Type="Embed" ProgID="Equation.3" ShapeID="Object 81" DrawAspect="Content" ObjectID="_1723238840" r:id="rId81"/>
        </w:object>
      </w:r>
    </w:p>
    <w:p w:rsidR="006F3D85" w:rsidRPr="00D630D1" w:rsidRDefault="006F3D85" w:rsidP="006F3D85">
      <w:pPr>
        <w:topLinePunct w:val="0"/>
        <w:adjustRightInd/>
        <w:spacing w:line="240" w:lineRule="auto"/>
        <w:ind w:firstLineChars="0" w:firstLine="0"/>
        <w:rPr>
          <w:rFonts w:ascii="Times New Roman" w:cs="Times New Roman"/>
          <w:kern w:val="2"/>
          <w:sz w:val="21"/>
        </w:rPr>
      </w:pPr>
      <w:r w:rsidRPr="00D630D1">
        <w:rPr>
          <w:rFonts w:ascii="Times New Roman" w:cs="Times New Roman"/>
          <w:kern w:val="2"/>
          <w:position w:val="-10"/>
          <w:sz w:val="21"/>
        </w:rPr>
        <w:object w:dxaOrig="2361" w:dyaOrig="359">
          <v:shape id="Object 50" o:spid="_x0000_i1027" type="#_x0000_t75" style="width:148.5pt;height:21.6pt;mso-position-horizontal-relative:page;mso-position-vertical-relative:page" o:ole="">
            <v:imagedata r:id="rId82" o:title=""/>
          </v:shape>
          <o:OLEObject Type="Embed" ProgID="Equation.3" ShapeID="Object 50" DrawAspect="Content" ObjectID="_1723238841" r:id="rId83"/>
        </w:object>
      </w:r>
    </w:p>
    <w:p w:rsidR="006F3D85" w:rsidRPr="00D630D1" w:rsidRDefault="006F3D85" w:rsidP="006F3D85">
      <w:pPr>
        <w:topLinePunct w:val="0"/>
        <w:adjustRightInd/>
        <w:spacing w:line="480" w:lineRule="exact"/>
        <w:ind w:firstLineChars="0" w:firstLine="0"/>
        <w:rPr>
          <w:rFonts w:ascii="Times New Roman" w:cs="Times New Roman"/>
          <w:kern w:val="2"/>
        </w:rPr>
      </w:pPr>
      <w:r w:rsidRPr="00D630D1">
        <w:rPr>
          <w:rFonts w:ascii="Times New Roman" w:cs="Times New Roman"/>
          <w:kern w:val="2"/>
          <w:lang w:val="de-DE"/>
        </w:rPr>
        <w:lastRenderedPageBreak/>
        <w:t>式中：</w:t>
      </w:r>
      <w:r w:rsidRPr="00D630D1">
        <w:rPr>
          <w:rFonts w:ascii="Times New Roman" w:cs="Times New Roman"/>
          <w:kern w:val="2"/>
          <w:lang w:val="de-DE"/>
        </w:rPr>
        <w:t>Y1——</w:t>
      </w:r>
      <w:r w:rsidRPr="00D630D1">
        <w:rPr>
          <w:rFonts w:ascii="Times New Roman" w:cs="Times New Roman"/>
          <w:kern w:val="2"/>
          <w:lang w:val="de-DE"/>
        </w:rPr>
        <w:t>根据年均温度（</w:t>
      </w:r>
      <w:r w:rsidRPr="00D630D1">
        <w:rPr>
          <w:rFonts w:ascii="Times New Roman" w:cs="Times New Roman"/>
          <w:kern w:val="2"/>
          <w:lang w:val="de-DE"/>
        </w:rPr>
        <w:t>t</w:t>
      </w:r>
      <w:r w:rsidRPr="00D630D1">
        <w:rPr>
          <w:rFonts w:ascii="Times New Roman" w:cs="Times New Roman"/>
          <w:kern w:val="2"/>
          <w:lang w:val="de-DE"/>
        </w:rPr>
        <w:t>）估算的热量</w:t>
      </w:r>
      <w:r w:rsidRPr="00D630D1">
        <w:rPr>
          <w:rFonts w:ascii="Times New Roman" w:cs="Times New Roman"/>
          <w:kern w:val="2"/>
        </w:rPr>
        <w:t>生产力（</w:t>
      </w:r>
      <w:r w:rsidRPr="00D630D1">
        <w:rPr>
          <w:rFonts w:ascii="Times New Roman" w:cs="Times New Roman"/>
          <w:kern w:val="2"/>
        </w:rPr>
        <w:t>g/m</w:t>
      </w:r>
      <w:r w:rsidRPr="00D630D1">
        <w:rPr>
          <w:rFonts w:ascii="Times New Roman" w:cs="Times New Roman"/>
          <w:kern w:val="2"/>
          <w:vertAlign w:val="superscript"/>
        </w:rPr>
        <w:t>2</w:t>
      </w:r>
      <w:r w:rsidRPr="00D630D1">
        <w:rPr>
          <w:rFonts w:ascii="Times New Roman" w:cs="Times New Roman"/>
          <w:kern w:val="2"/>
        </w:rPr>
        <w:t>·a</w:t>
      </w:r>
      <w:r w:rsidRPr="00D630D1">
        <w:rPr>
          <w:rFonts w:ascii="Times New Roman" w:cs="Times New Roman"/>
          <w:kern w:val="2"/>
        </w:rPr>
        <w:t>）；</w:t>
      </w:r>
    </w:p>
    <w:p w:rsidR="006F3D85" w:rsidRPr="00D630D1" w:rsidRDefault="006F3D85" w:rsidP="006F3D85">
      <w:pPr>
        <w:topLinePunct w:val="0"/>
        <w:adjustRightInd/>
        <w:spacing w:line="480" w:lineRule="exact"/>
        <w:ind w:firstLineChars="300" w:firstLine="720"/>
        <w:rPr>
          <w:rFonts w:ascii="Times New Roman" w:cs="Times New Roman"/>
          <w:kern w:val="2"/>
        </w:rPr>
      </w:pPr>
      <w:bookmarkStart w:id="427" w:name="_Toc295312489"/>
      <w:r w:rsidRPr="00D630D1">
        <w:rPr>
          <w:rFonts w:ascii="Times New Roman" w:cs="Times New Roman"/>
          <w:i/>
          <w:kern w:val="2"/>
        </w:rPr>
        <w:t>Y</w:t>
      </w:r>
      <w:r w:rsidRPr="00D630D1">
        <w:rPr>
          <w:rFonts w:ascii="Times New Roman" w:cs="Times New Roman"/>
          <w:kern w:val="2"/>
          <w:vertAlign w:val="subscript"/>
        </w:rPr>
        <w:t>2</w:t>
      </w:r>
      <w:r w:rsidRPr="00D630D1">
        <w:rPr>
          <w:rFonts w:ascii="Times New Roman" w:cs="Times New Roman"/>
          <w:kern w:val="2"/>
        </w:rPr>
        <w:t>——</w:t>
      </w:r>
      <w:r w:rsidRPr="00D630D1">
        <w:rPr>
          <w:rFonts w:ascii="Times New Roman" w:cs="Times New Roman"/>
          <w:kern w:val="2"/>
        </w:rPr>
        <w:t>根据年降水量（</w:t>
      </w:r>
      <w:r w:rsidRPr="00D630D1">
        <w:rPr>
          <w:rFonts w:ascii="Times New Roman" w:cs="Times New Roman"/>
          <w:i/>
          <w:kern w:val="2"/>
        </w:rPr>
        <w:t>p</w:t>
      </w:r>
      <w:r w:rsidRPr="00D630D1">
        <w:rPr>
          <w:rFonts w:ascii="Times New Roman" w:cs="Times New Roman"/>
          <w:kern w:val="2"/>
        </w:rPr>
        <w:t>，</w:t>
      </w:r>
      <w:r w:rsidRPr="00D630D1">
        <w:rPr>
          <w:rFonts w:ascii="Times New Roman" w:cs="Times New Roman"/>
          <w:kern w:val="2"/>
        </w:rPr>
        <w:t>mm</w:t>
      </w:r>
      <w:r w:rsidRPr="00D630D1">
        <w:rPr>
          <w:rFonts w:ascii="Times New Roman" w:cs="Times New Roman"/>
          <w:kern w:val="2"/>
        </w:rPr>
        <w:t>）估算的水分生产力（</w:t>
      </w:r>
      <w:r w:rsidRPr="00D630D1">
        <w:rPr>
          <w:rFonts w:ascii="Times New Roman" w:cs="Times New Roman"/>
          <w:kern w:val="2"/>
        </w:rPr>
        <w:t>g/m</w:t>
      </w:r>
      <w:r w:rsidRPr="00D630D1">
        <w:rPr>
          <w:rFonts w:ascii="Times New Roman" w:cs="Times New Roman"/>
          <w:kern w:val="2"/>
          <w:vertAlign w:val="superscript"/>
        </w:rPr>
        <w:t>2</w:t>
      </w:r>
      <w:r w:rsidRPr="00D630D1">
        <w:rPr>
          <w:rFonts w:ascii="Times New Roman" w:cs="Times New Roman"/>
          <w:kern w:val="2"/>
        </w:rPr>
        <w:t>·a</w:t>
      </w:r>
      <w:r w:rsidRPr="00D630D1">
        <w:rPr>
          <w:rFonts w:ascii="Times New Roman" w:cs="Times New Roman"/>
          <w:kern w:val="2"/>
        </w:rPr>
        <w:t>）。</w:t>
      </w:r>
      <w:bookmarkEnd w:id="427"/>
    </w:p>
    <w:p w:rsidR="006F3D85" w:rsidRPr="00D630D1" w:rsidRDefault="006F3D85" w:rsidP="006F3D85">
      <w:pPr>
        <w:pStyle w:val="afa"/>
        <w:ind w:firstLine="480"/>
        <w:rPr>
          <w:kern w:val="2"/>
          <w:szCs w:val="24"/>
          <w:lang w:val="de-DE"/>
        </w:rPr>
      </w:pPr>
      <w:r w:rsidRPr="00D630D1">
        <w:rPr>
          <w:kern w:val="2"/>
          <w:szCs w:val="24"/>
          <w:lang w:val="de-DE"/>
        </w:rPr>
        <w:t>评价范围地貌类型以中低山为主，区内气候在垂直及水平方向的变化都较小，土地自然生产力计算结果如下表所示：</w:t>
      </w:r>
    </w:p>
    <w:p w:rsidR="006F3D85" w:rsidRPr="00D630D1" w:rsidRDefault="006F3D85" w:rsidP="00F96E37">
      <w:pPr>
        <w:topLinePunct w:val="0"/>
        <w:autoSpaceDE w:val="0"/>
        <w:autoSpaceDN w:val="0"/>
        <w:spacing w:beforeLines="50" w:line="240" w:lineRule="auto"/>
        <w:ind w:firstLineChars="0" w:firstLine="0"/>
        <w:jc w:val="center"/>
        <w:rPr>
          <w:rFonts w:ascii="Times New Roman" w:cs="Times New Roman"/>
          <w:b/>
          <w:sz w:val="21"/>
        </w:rPr>
      </w:pPr>
      <w:r w:rsidRPr="00D630D1">
        <w:rPr>
          <w:rFonts w:ascii="Times New Roman" w:cs="Times New Roman"/>
          <w:b/>
          <w:sz w:val="21"/>
        </w:rPr>
        <w:t>表</w:t>
      </w:r>
      <w:r w:rsidRPr="00D630D1">
        <w:rPr>
          <w:rFonts w:ascii="Times New Roman" w:cs="Times New Roman" w:hint="eastAsia"/>
          <w:b/>
          <w:sz w:val="21"/>
        </w:rPr>
        <w:t>5.2</w:t>
      </w:r>
      <w:r w:rsidRPr="00D630D1">
        <w:rPr>
          <w:rFonts w:ascii="Times New Roman" w:cs="Times New Roman"/>
          <w:b/>
          <w:sz w:val="21"/>
        </w:rPr>
        <w:t>-</w:t>
      </w:r>
      <w:r w:rsidRPr="00D630D1">
        <w:rPr>
          <w:rFonts w:ascii="Times New Roman" w:cs="Times New Roman" w:hint="eastAsia"/>
          <w:b/>
          <w:sz w:val="21"/>
        </w:rPr>
        <w:t>11</w:t>
      </w:r>
      <w:r w:rsidRPr="00D630D1">
        <w:rPr>
          <w:rFonts w:ascii="Times New Roman" w:cs="Times New Roman"/>
          <w:b/>
          <w:sz w:val="21"/>
        </w:rPr>
        <w:t xml:space="preserve"> </w:t>
      </w:r>
      <w:r w:rsidRPr="00D630D1">
        <w:rPr>
          <w:rFonts w:ascii="Times New Roman" w:cs="Times New Roman"/>
          <w:b/>
          <w:sz w:val="21"/>
        </w:rPr>
        <w:t>评价范围土地自然生产力计算表</w:t>
      </w:r>
    </w:p>
    <w:tbl>
      <w:tblPr>
        <w:tblW w:w="5000" w:type="pct"/>
        <w:jc w:val="center"/>
        <w:tblBorders>
          <w:top w:val="single" w:sz="12" w:space="0" w:color="auto"/>
          <w:bottom w:val="single" w:sz="12" w:space="0" w:color="auto"/>
          <w:insideH w:val="single" w:sz="4" w:space="0" w:color="auto"/>
          <w:insideV w:val="single" w:sz="4" w:space="0" w:color="auto"/>
        </w:tblBorders>
        <w:tblCellMar>
          <w:left w:w="30" w:type="dxa"/>
          <w:right w:w="30" w:type="dxa"/>
        </w:tblCellMar>
        <w:tblLook w:val="0000"/>
      </w:tblPr>
      <w:tblGrid>
        <w:gridCol w:w="1144"/>
        <w:gridCol w:w="1806"/>
        <w:gridCol w:w="1806"/>
        <w:gridCol w:w="1805"/>
        <w:gridCol w:w="1805"/>
      </w:tblGrid>
      <w:tr w:rsidR="006F3D85" w:rsidRPr="00D630D1" w:rsidTr="006F3D85">
        <w:trPr>
          <w:trHeight w:val="855"/>
          <w:jc w:val="center"/>
        </w:trPr>
        <w:tc>
          <w:tcPr>
            <w:tcW w:w="683" w:type="pct"/>
            <w:vAlign w:val="center"/>
          </w:tcPr>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区域</w:t>
            </w:r>
          </w:p>
        </w:tc>
        <w:tc>
          <w:tcPr>
            <w:tcW w:w="1079" w:type="pct"/>
            <w:vAlign w:val="center"/>
          </w:tcPr>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多年平均气温</w:t>
            </w:r>
          </w:p>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w:t>
            </w:r>
            <w:r w:rsidRPr="00D630D1">
              <w:rPr>
                <w:rFonts w:ascii="Times New Roman" w:cs="Times New Roman"/>
                <w:kern w:val="2"/>
                <w:sz w:val="21"/>
                <w:szCs w:val="21"/>
              </w:rPr>
              <w:t>）</w:t>
            </w:r>
          </w:p>
        </w:tc>
        <w:tc>
          <w:tcPr>
            <w:tcW w:w="1079" w:type="pct"/>
            <w:vAlign w:val="center"/>
          </w:tcPr>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多年平均降水量</w:t>
            </w:r>
          </w:p>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mm</w:t>
            </w:r>
            <w:r w:rsidRPr="00D630D1">
              <w:rPr>
                <w:rFonts w:ascii="Times New Roman" w:cs="Times New Roman"/>
                <w:kern w:val="2"/>
                <w:sz w:val="21"/>
                <w:szCs w:val="21"/>
              </w:rPr>
              <w:t>）</w:t>
            </w:r>
          </w:p>
        </w:tc>
        <w:tc>
          <w:tcPr>
            <w:tcW w:w="1079" w:type="pct"/>
            <w:vAlign w:val="center"/>
          </w:tcPr>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热量生产力</w:t>
            </w:r>
          </w:p>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g/m</w:t>
            </w:r>
            <w:r w:rsidRPr="00D630D1">
              <w:rPr>
                <w:rFonts w:ascii="Times New Roman" w:cs="Times New Roman"/>
                <w:kern w:val="2"/>
                <w:sz w:val="21"/>
                <w:szCs w:val="21"/>
                <w:vertAlign w:val="superscript"/>
              </w:rPr>
              <w:t>2</w:t>
            </w:r>
            <w:r w:rsidRPr="00D630D1">
              <w:rPr>
                <w:rFonts w:ascii="Times New Roman" w:cs="Times New Roman"/>
                <w:kern w:val="2"/>
                <w:sz w:val="21"/>
                <w:szCs w:val="21"/>
              </w:rPr>
              <w:t>·a</w:t>
            </w:r>
            <w:r w:rsidRPr="00D630D1">
              <w:rPr>
                <w:rFonts w:ascii="Times New Roman" w:cs="Times New Roman"/>
                <w:kern w:val="2"/>
                <w:sz w:val="21"/>
                <w:szCs w:val="21"/>
              </w:rPr>
              <w:t>）</w:t>
            </w:r>
          </w:p>
        </w:tc>
        <w:tc>
          <w:tcPr>
            <w:tcW w:w="1079" w:type="pct"/>
            <w:vAlign w:val="center"/>
          </w:tcPr>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水分生产力</w:t>
            </w:r>
          </w:p>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g/m</w:t>
            </w:r>
            <w:r w:rsidRPr="00D630D1">
              <w:rPr>
                <w:rFonts w:ascii="Times New Roman" w:cs="Times New Roman"/>
                <w:kern w:val="2"/>
                <w:sz w:val="21"/>
                <w:szCs w:val="21"/>
                <w:vertAlign w:val="superscript"/>
              </w:rPr>
              <w:t>2</w:t>
            </w:r>
            <w:r w:rsidRPr="00D630D1">
              <w:rPr>
                <w:rFonts w:ascii="Times New Roman" w:cs="Times New Roman"/>
                <w:kern w:val="2"/>
                <w:sz w:val="21"/>
                <w:szCs w:val="21"/>
              </w:rPr>
              <w:t>·a</w:t>
            </w:r>
            <w:r w:rsidRPr="00D630D1">
              <w:rPr>
                <w:rFonts w:ascii="Times New Roman" w:cs="Times New Roman"/>
                <w:kern w:val="2"/>
                <w:sz w:val="21"/>
                <w:szCs w:val="21"/>
              </w:rPr>
              <w:t>）</w:t>
            </w:r>
          </w:p>
        </w:tc>
      </w:tr>
      <w:tr w:rsidR="006F3D85" w:rsidRPr="00D630D1" w:rsidTr="006F3D85">
        <w:trPr>
          <w:trHeight w:val="476"/>
          <w:jc w:val="center"/>
        </w:trPr>
        <w:tc>
          <w:tcPr>
            <w:tcW w:w="683" w:type="pct"/>
            <w:vAlign w:val="center"/>
          </w:tcPr>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宣汉县</w:t>
            </w:r>
          </w:p>
        </w:tc>
        <w:tc>
          <w:tcPr>
            <w:tcW w:w="1079" w:type="pct"/>
            <w:vAlign w:val="center"/>
          </w:tcPr>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16.8</w:t>
            </w:r>
          </w:p>
        </w:tc>
        <w:tc>
          <w:tcPr>
            <w:tcW w:w="1079" w:type="pct"/>
            <w:vAlign w:val="center"/>
          </w:tcPr>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1132.69</w:t>
            </w:r>
          </w:p>
        </w:tc>
        <w:tc>
          <w:tcPr>
            <w:tcW w:w="1079" w:type="pct"/>
            <w:vAlign w:val="center"/>
          </w:tcPr>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1994.03</w:t>
            </w:r>
          </w:p>
        </w:tc>
        <w:tc>
          <w:tcPr>
            <w:tcW w:w="1079" w:type="pct"/>
            <w:vAlign w:val="center"/>
          </w:tcPr>
          <w:p w:rsidR="006F3D85" w:rsidRPr="00D630D1" w:rsidRDefault="006F3D85" w:rsidP="006F3D85">
            <w:pPr>
              <w:topLinePunct w:val="0"/>
              <w:adjustRightInd/>
              <w:spacing w:before="20" w:line="240" w:lineRule="auto"/>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1585.88</w:t>
            </w:r>
          </w:p>
        </w:tc>
      </w:tr>
    </w:tbl>
    <w:p w:rsidR="006F3D85" w:rsidRPr="00D630D1" w:rsidRDefault="006F3D85" w:rsidP="006F3D85">
      <w:pPr>
        <w:topLinePunct w:val="0"/>
        <w:adjustRightInd/>
        <w:spacing w:line="480" w:lineRule="exact"/>
        <w:ind w:firstLineChars="300" w:firstLine="720"/>
        <w:rPr>
          <w:rFonts w:ascii="Times New Roman" w:cs="Times New Roman"/>
          <w:kern w:val="2"/>
        </w:rPr>
      </w:pPr>
      <w:r w:rsidRPr="00D630D1">
        <w:rPr>
          <w:rFonts w:ascii="Times New Roman" w:cs="Times New Roman"/>
          <w:kern w:val="2"/>
        </w:rPr>
        <w:t>从表</w:t>
      </w:r>
      <w:r w:rsidRPr="00D630D1">
        <w:rPr>
          <w:rFonts w:ascii="Times New Roman" w:cs="Times New Roman" w:hint="eastAsia"/>
          <w:kern w:val="2"/>
        </w:rPr>
        <w:t>5.2</w:t>
      </w:r>
      <w:r w:rsidRPr="00D630D1">
        <w:rPr>
          <w:rFonts w:ascii="Times New Roman" w:cs="Times New Roman"/>
          <w:kern w:val="2"/>
        </w:rPr>
        <w:t>-1</w:t>
      </w:r>
      <w:r w:rsidRPr="00D630D1">
        <w:rPr>
          <w:rFonts w:ascii="Times New Roman" w:cs="Times New Roman" w:hint="eastAsia"/>
          <w:kern w:val="2"/>
        </w:rPr>
        <w:t>1</w:t>
      </w:r>
      <w:r w:rsidRPr="00D630D1">
        <w:rPr>
          <w:rFonts w:ascii="Times New Roman" w:cs="Times New Roman"/>
          <w:kern w:val="2"/>
        </w:rPr>
        <w:t>可以看出，项目区域热量条件充足，水分条件不足，土地自然生产力受水分条件限制，根据项目区域降水量计算得出土地自然生产力为</w:t>
      </w:r>
      <w:r w:rsidRPr="00D630D1">
        <w:rPr>
          <w:rFonts w:ascii="Times New Roman" w:cs="Times New Roman" w:hint="eastAsia"/>
          <w:kern w:val="2"/>
        </w:rPr>
        <w:t>1585.88</w:t>
      </w:r>
      <w:r w:rsidRPr="00D630D1">
        <w:rPr>
          <w:rFonts w:ascii="Times New Roman" w:cs="Times New Roman"/>
          <w:kern w:val="2"/>
        </w:rPr>
        <w:t>gc/m</w:t>
      </w:r>
      <w:r w:rsidRPr="00D630D1">
        <w:rPr>
          <w:rFonts w:ascii="Times New Roman" w:cs="Times New Roman"/>
          <w:kern w:val="2"/>
          <w:vertAlign w:val="superscript"/>
        </w:rPr>
        <w:t>2</w:t>
      </w:r>
      <w:r w:rsidRPr="00D630D1">
        <w:rPr>
          <w:rFonts w:ascii="Times New Roman" w:cs="Times New Roman"/>
          <w:kern w:val="2"/>
        </w:rPr>
        <w:t>·a</w:t>
      </w:r>
      <w:r w:rsidRPr="00D630D1">
        <w:rPr>
          <w:rFonts w:ascii="Times New Roman" w:cs="Times New Roman"/>
          <w:kern w:val="2"/>
        </w:rPr>
        <w:t>。</w:t>
      </w:r>
    </w:p>
    <w:p w:rsidR="006F3D85" w:rsidRPr="00D630D1" w:rsidRDefault="006F3D85" w:rsidP="006F3D85">
      <w:pPr>
        <w:topLinePunct w:val="0"/>
        <w:adjustRightInd/>
        <w:spacing w:line="480" w:lineRule="exact"/>
        <w:ind w:firstLine="482"/>
        <w:rPr>
          <w:rFonts w:ascii="Times New Roman" w:cs="Times New Roman"/>
          <w:b/>
          <w:bCs/>
          <w:kern w:val="2"/>
          <w:lang w:val="de-DE"/>
        </w:rPr>
      </w:pPr>
      <w:r w:rsidRPr="00D630D1">
        <w:rPr>
          <w:rFonts w:ascii="Times New Roman" w:cs="Times New Roman"/>
          <w:b/>
          <w:bCs/>
          <w:kern w:val="2"/>
          <w:lang w:val="de-DE"/>
        </w:rPr>
        <w:t>（</w:t>
      </w:r>
      <w:r w:rsidRPr="00D630D1">
        <w:rPr>
          <w:rFonts w:ascii="Times New Roman" w:cs="Times New Roman"/>
          <w:b/>
          <w:bCs/>
          <w:kern w:val="2"/>
        </w:rPr>
        <w:t>2</w:t>
      </w:r>
      <w:r w:rsidRPr="00D630D1">
        <w:rPr>
          <w:rFonts w:ascii="Times New Roman" w:cs="Times New Roman"/>
          <w:b/>
          <w:bCs/>
          <w:kern w:val="2"/>
          <w:lang w:val="de-DE"/>
        </w:rPr>
        <w:t>）植被生产力现状评价</w:t>
      </w:r>
    </w:p>
    <w:p w:rsidR="006F3D85" w:rsidRPr="00D630D1" w:rsidRDefault="006F3D85" w:rsidP="006F3D85">
      <w:pPr>
        <w:topLinePunct w:val="0"/>
        <w:adjustRightInd/>
        <w:spacing w:line="480" w:lineRule="exact"/>
        <w:ind w:firstLineChars="0" w:firstLine="480"/>
        <w:jc w:val="left"/>
        <w:rPr>
          <w:rFonts w:ascii="Times New Roman" w:cs="Times New Roman"/>
          <w:kern w:val="2"/>
        </w:rPr>
      </w:pPr>
      <w:r w:rsidRPr="00D630D1">
        <w:rPr>
          <w:rFonts w:ascii="Times New Roman" w:cs="Times New Roman"/>
          <w:kern w:val="2"/>
        </w:rPr>
        <w:t>植被既是重要的自然资源，又是自然条件（如地质、地貌、气候、土壤等）和人类开发利用资源状况的综合反映，植被作为陆地生物圈的主体，在生态系统中的作用也日益受到重视，尤其是对生态系统变化及稳定起决定性作用。植被净初级生产力（</w:t>
      </w:r>
      <w:r w:rsidRPr="00D630D1">
        <w:rPr>
          <w:rFonts w:ascii="Times New Roman" w:cs="Times New Roman"/>
          <w:kern w:val="2"/>
        </w:rPr>
        <w:t>NPP</w:t>
      </w:r>
      <w:r w:rsidRPr="00D630D1">
        <w:rPr>
          <w:rFonts w:ascii="Times New Roman" w:cs="Times New Roman"/>
          <w:kern w:val="2"/>
        </w:rPr>
        <w:t>）指绿色植物在单位时间和单位面积上所积累的有机干物质总量，它不仅是表征植物活动的重要变量，而且是判定生态系统碳汇和调节生态过程的主要因子，它直接反映植物群落在自然环境条件下的生产能力，也是生态现状质量评价的重要参数。在对评价区进行自然体系生产力评价中，数据主要来源于卫片解译，实地勘察、收集的现状资料（包括项目所在区域生态环境调查成果，各类环境信息图件及统计资料等），并采用了国内关于自然生态系统生产力和植被生物量的研究成果进行分析。</w:t>
      </w:r>
    </w:p>
    <w:p w:rsidR="006F3D85" w:rsidRPr="00D630D1" w:rsidRDefault="006F3D85" w:rsidP="006F3D85">
      <w:pPr>
        <w:topLinePunct w:val="0"/>
        <w:adjustRightInd/>
        <w:spacing w:line="480" w:lineRule="exact"/>
        <w:ind w:firstLineChars="0" w:firstLine="480"/>
        <w:jc w:val="left"/>
        <w:rPr>
          <w:rFonts w:ascii="Times New Roman" w:cs="Times New Roman"/>
          <w:b/>
          <w:bCs/>
          <w:kern w:val="2"/>
        </w:rPr>
      </w:pPr>
      <w:r w:rsidRPr="00D630D1">
        <w:rPr>
          <w:rFonts w:ascii="Times New Roman" w:cs="Times New Roman"/>
          <w:kern w:val="2"/>
        </w:rPr>
        <w:t>评价范围植调查是通过实地勘察、卫片解译、室内分析并结合收集的资料经综合分析而完成。卫片信息的提取过程如下：对选取的卫片数据，利用</w:t>
      </w:r>
      <w:r w:rsidRPr="00D630D1">
        <w:rPr>
          <w:rFonts w:ascii="Times New Roman" w:cs="Times New Roman"/>
          <w:kern w:val="2"/>
        </w:rPr>
        <w:t>3S</w:t>
      </w:r>
      <w:r w:rsidRPr="00D630D1">
        <w:rPr>
          <w:rFonts w:ascii="Times New Roman" w:cs="Times New Roman"/>
          <w:kern w:val="2"/>
        </w:rPr>
        <w:t>技术进行解译，并经几何精校正、图象增强、进行融合，根据各类环境信息数据及相关图像处理软件进行综合分析，得到评价区内生态环境研究所需的相关数据和生态图件。</w:t>
      </w:r>
    </w:p>
    <w:p w:rsidR="006F3D85" w:rsidRPr="00D630D1" w:rsidRDefault="006F3D85" w:rsidP="006F3D85">
      <w:pPr>
        <w:topLinePunct w:val="0"/>
        <w:adjustRightInd/>
        <w:spacing w:line="480" w:lineRule="exact"/>
        <w:ind w:firstLineChars="0" w:firstLine="480"/>
        <w:jc w:val="left"/>
        <w:rPr>
          <w:rFonts w:ascii="Times New Roman" w:cs="Times New Roman"/>
          <w:kern w:val="2"/>
        </w:rPr>
      </w:pPr>
      <w:r w:rsidRPr="00D630D1">
        <w:rPr>
          <w:rFonts w:ascii="Times New Roman" w:cs="Times New Roman"/>
          <w:kern w:val="2"/>
        </w:rPr>
        <w:t>根据调查和卫片解译，结合生态评价范围地表植被覆盖现状和植被立地情况，</w:t>
      </w:r>
      <w:r w:rsidRPr="00D630D1">
        <w:rPr>
          <w:rFonts w:ascii="Times New Roman" w:cs="Times New Roman"/>
          <w:kern w:val="2"/>
        </w:rPr>
        <w:lastRenderedPageBreak/>
        <w:t>可将评价范围植被类型划分为以下</w:t>
      </w:r>
      <w:r w:rsidRPr="00D630D1">
        <w:rPr>
          <w:rFonts w:ascii="Times New Roman" w:cs="Times New Roman"/>
          <w:kern w:val="2"/>
        </w:rPr>
        <w:t>5</w:t>
      </w:r>
      <w:r w:rsidRPr="00D630D1">
        <w:rPr>
          <w:rFonts w:ascii="Times New Roman" w:cs="Times New Roman"/>
          <w:kern w:val="2"/>
        </w:rPr>
        <w:t>类：</w:t>
      </w:r>
    </w:p>
    <w:p w:rsidR="002F0C6A" w:rsidRPr="002F0C6A" w:rsidRDefault="002F0C6A" w:rsidP="002F0C6A">
      <w:pPr>
        <w:topLinePunct w:val="0"/>
        <w:adjustRightInd/>
        <w:spacing w:line="480" w:lineRule="exact"/>
        <w:ind w:firstLineChars="224" w:firstLine="538"/>
        <w:jc w:val="left"/>
        <w:rPr>
          <w:rFonts w:ascii="Times New Roman" w:cs="Times New Roman"/>
          <w:kern w:val="2"/>
        </w:rPr>
      </w:pPr>
      <w:r w:rsidRPr="002F0C6A">
        <w:rPr>
          <w:rFonts w:hAnsi="宋体" w:cs="Times New Roman"/>
          <w:kern w:val="2"/>
        </w:rPr>
        <w:t>①</w:t>
      </w:r>
      <w:r w:rsidRPr="002F0C6A">
        <w:rPr>
          <w:rFonts w:ascii="Times New Roman" w:hAnsi="宋体" w:cs="Times New Roman"/>
          <w:kern w:val="2"/>
        </w:rPr>
        <w:t>针叶林植被：主要是马尾松、杉木、柏木为主的针叶植被，评价范围内此植被类型广泛分布，在中东部成片分布，面积为</w:t>
      </w:r>
      <w:r w:rsidRPr="002F0C6A">
        <w:rPr>
          <w:rFonts w:ascii="Times New Roman" w:cs="Times New Roman"/>
          <w:kern w:val="2"/>
        </w:rPr>
        <w:t>98.40hm</w:t>
      </w:r>
      <w:r w:rsidRPr="002F0C6A">
        <w:rPr>
          <w:rFonts w:ascii="Times New Roman" w:cs="Times New Roman"/>
          <w:kern w:val="2"/>
          <w:vertAlign w:val="superscript"/>
        </w:rPr>
        <w:t>2</w:t>
      </w:r>
      <w:r w:rsidRPr="002F0C6A">
        <w:rPr>
          <w:rFonts w:ascii="Times New Roman" w:hAnsi="宋体" w:cs="Times New Roman"/>
          <w:kern w:val="2"/>
        </w:rPr>
        <w:t>，占评价范围面积的</w:t>
      </w:r>
      <w:r w:rsidRPr="002F0C6A">
        <w:rPr>
          <w:rFonts w:ascii="Times New Roman" w:cs="Times New Roman"/>
          <w:kern w:val="2"/>
        </w:rPr>
        <w:t>7.20%</w:t>
      </w:r>
      <w:r w:rsidRPr="002F0C6A">
        <w:rPr>
          <w:rFonts w:ascii="Times New Roman" w:hAnsi="宋体" w:cs="Times New Roman"/>
          <w:kern w:val="2"/>
        </w:rPr>
        <w:t>，平均净初级生产力（常绿针叶林）为</w:t>
      </w:r>
      <w:r w:rsidRPr="002F0C6A">
        <w:rPr>
          <w:rFonts w:ascii="Times New Roman" w:cs="Times New Roman"/>
          <w:kern w:val="2"/>
        </w:rPr>
        <w:t>367.1gC/</w:t>
      </w:r>
      <w:r w:rsidRPr="002F0C6A">
        <w:rPr>
          <w:rFonts w:ascii="Times New Roman" w:hAnsi="宋体" w:cs="Times New Roman"/>
          <w:kern w:val="2"/>
        </w:rPr>
        <w:t>（</w:t>
      </w:r>
      <w:r w:rsidRPr="002F0C6A">
        <w:rPr>
          <w:rFonts w:ascii="Times New Roman" w:cs="Times New Roman"/>
          <w:kern w:val="2"/>
        </w:rPr>
        <w:t>m</w:t>
      </w:r>
      <w:r w:rsidRPr="002F0C6A">
        <w:rPr>
          <w:rFonts w:ascii="Times New Roman" w:cs="Times New Roman"/>
          <w:kern w:val="2"/>
          <w:vertAlign w:val="superscript"/>
        </w:rPr>
        <w:t>2</w:t>
      </w:r>
      <w:r w:rsidRPr="002F0C6A">
        <w:rPr>
          <w:rFonts w:ascii="Times New Roman" w:cs="Times New Roman"/>
          <w:kern w:val="2"/>
        </w:rPr>
        <w:t>.a</w:t>
      </w:r>
      <w:r w:rsidRPr="002F0C6A">
        <w:rPr>
          <w:rFonts w:ascii="Times New Roman" w:hAnsi="宋体" w:cs="Times New Roman"/>
          <w:kern w:val="2"/>
        </w:rPr>
        <w:t>）。</w:t>
      </w:r>
    </w:p>
    <w:p w:rsidR="002F0C6A" w:rsidRPr="002F0C6A" w:rsidRDefault="002F0C6A" w:rsidP="002F0C6A">
      <w:pPr>
        <w:topLinePunct w:val="0"/>
        <w:adjustRightInd/>
        <w:spacing w:line="480" w:lineRule="exact"/>
        <w:ind w:firstLineChars="224" w:firstLine="538"/>
        <w:jc w:val="left"/>
        <w:rPr>
          <w:rFonts w:ascii="Times New Roman" w:cs="Times New Roman"/>
          <w:kern w:val="2"/>
        </w:rPr>
      </w:pPr>
      <w:r w:rsidRPr="002F0C6A">
        <w:rPr>
          <w:rFonts w:hAnsi="宋体" w:cs="Times New Roman"/>
          <w:kern w:val="2"/>
        </w:rPr>
        <w:t>②</w:t>
      </w:r>
      <w:r w:rsidRPr="002F0C6A">
        <w:rPr>
          <w:rFonts w:ascii="Times New Roman" w:hAnsi="宋体" w:cs="Times New Roman"/>
          <w:kern w:val="2"/>
        </w:rPr>
        <w:t>阔叶林植被：主要有麻栎、青冈、枫香、响叶杨等阔叶树种，此植被类型在评价范围西部、西南部成片分布，面积</w:t>
      </w:r>
      <w:r w:rsidRPr="002F0C6A">
        <w:rPr>
          <w:rFonts w:ascii="Times New Roman" w:cs="Times New Roman"/>
          <w:kern w:val="2"/>
        </w:rPr>
        <w:t>769.96hm</w:t>
      </w:r>
      <w:r w:rsidRPr="002F0C6A">
        <w:rPr>
          <w:rFonts w:ascii="Times New Roman" w:cs="Times New Roman"/>
          <w:kern w:val="2"/>
          <w:vertAlign w:val="superscript"/>
        </w:rPr>
        <w:t>2</w:t>
      </w:r>
      <w:r w:rsidRPr="002F0C6A">
        <w:rPr>
          <w:rFonts w:ascii="Times New Roman" w:hAnsi="宋体" w:cs="Times New Roman"/>
          <w:kern w:val="2"/>
        </w:rPr>
        <w:t>，占评价范围面积的</w:t>
      </w:r>
      <w:r w:rsidRPr="002F0C6A">
        <w:rPr>
          <w:rFonts w:ascii="Times New Roman" w:cs="Times New Roman"/>
          <w:kern w:val="2"/>
        </w:rPr>
        <w:t>56.34%</w:t>
      </w:r>
      <w:r w:rsidRPr="002F0C6A">
        <w:rPr>
          <w:rFonts w:ascii="Times New Roman" w:hAnsi="宋体" w:cs="Times New Roman"/>
          <w:kern w:val="2"/>
        </w:rPr>
        <w:t>，平均净初级生产力（落叶阔叶林）</w:t>
      </w:r>
      <w:r w:rsidRPr="002F0C6A">
        <w:rPr>
          <w:rFonts w:ascii="Times New Roman" w:cs="Times New Roman"/>
          <w:kern w:val="2"/>
        </w:rPr>
        <w:t>642.9gC/</w:t>
      </w:r>
      <w:r w:rsidRPr="002F0C6A">
        <w:rPr>
          <w:rFonts w:ascii="Times New Roman" w:hAnsi="宋体" w:cs="Times New Roman"/>
          <w:kern w:val="2"/>
        </w:rPr>
        <w:t>（</w:t>
      </w:r>
      <w:r w:rsidRPr="002F0C6A">
        <w:rPr>
          <w:rFonts w:ascii="Times New Roman" w:cs="Times New Roman"/>
          <w:kern w:val="2"/>
        </w:rPr>
        <w:t>m</w:t>
      </w:r>
      <w:r w:rsidRPr="002F0C6A">
        <w:rPr>
          <w:rFonts w:ascii="Times New Roman" w:cs="Times New Roman"/>
          <w:kern w:val="2"/>
          <w:vertAlign w:val="superscript"/>
        </w:rPr>
        <w:t>2</w:t>
      </w:r>
      <w:r w:rsidRPr="002F0C6A">
        <w:rPr>
          <w:rFonts w:ascii="Times New Roman" w:cs="Times New Roman"/>
          <w:kern w:val="2"/>
        </w:rPr>
        <w:t>.a</w:t>
      </w:r>
      <w:r w:rsidRPr="002F0C6A">
        <w:rPr>
          <w:rFonts w:ascii="Times New Roman" w:hAnsi="宋体" w:cs="Times New Roman"/>
          <w:kern w:val="2"/>
        </w:rPr>
        <w:t>）。</w:t>
      </w:r>
    </w:p>
    <w:p w:rsidR="002F0C6A" w:rsidRPr="002F0C6A" w:rsidRDefault="002F0C6A" w:rsidP="002F0C6A">
      <w:pPr>
        <w:topLinePunct w:val="0"/>
        <w:adjustRightInd/>
        <w:spacing w:line="480" w:lineRule="exact"/>
        <w:ind w:firstLineChars="224" w:firstLine="538"/>
        <w:jc w:val="left"/>
        <w:rPr>
          <w:rFonts w:ascii="Times New Roman" w:cs="Times New Roman"/>
          <w:kern w:val="2"/>
        </w:rPr>
      </w:pPr>
      <w:r w:rsidRPr="002F0C6A">
        <w:rPr>
          <w:rFonts w:hAnsi="宋体" w:cs="Times New Roman"/>
          <w:kern w:val="2"/>
        </w:rPr>
        <w:t>③</w:t>
      </w:r>
      <w:r w:rsidRPr="002F0C6A">
        <w:rPr>
          <w:rFonts w:ascii="Times New Roman" w:hAnsi="宋体" w:cs="Times New Roman"/>
          <w:kern w:val="2"/>
        </w:rPr>
        <w:t>灌丛植被：代表植物有槲栎、马桑、黄荆、火棘、荚蒾、盐肤木等。主要分布在林下、林缘、山脚、路边、农田两旁，对保护农田和水土保持起到很重要的作用，此植被类型面积为</w:t>
      </w:r>
      <w:r w:rsidRPr="002F0C6A">
        <w:rPr>
          <w:rFonts w:ascii="Times New Roman" w:cs="Times New Roman"/>
          <w:kern w:val="2"/>
        </w:rPr>
        <w:t>36.38hm</w:t>
      </w:r>
      <w:r w:rsidRPr="002F0C6A">
        <w:rPr>
          <w:rFonts w:ascii="Times New Roman" w:cs="Times New Roman"/>
          <w:kern w:val="2"/>
          <w:vertAlign w:val="superscript"/>
        </w:rPr>
        <w:t>2</w:t>
      </w:r>
      <w:r w:rsidRPr="002F0C6A">
        <w:rPr>
          <w:rFonts w:ascii="Times New Roman" w:hAnsi="宋体" w:cs="Times New Roman"/>
          <w:kern w:val="2"/>
        </w:rPr>
        <w:t>，占评价范围总面积的</w:t>
      </w:r>
      <w:r w:rsidRPr="002F0C6A">
        <w:rPr>
          <w:rFonts w:ascii="Times New Roman" w:cs="Times New Roman"/>
          <w:kern w:val="2"/>
        </w:rPr>
        <w:t>2.66%</w:t>
      </w:r>
      <w:r w:rsidRPr="002F0C6A">
        <w:rPr>
          <w:rFonts w:ascii="Times New Roman" w:hAnsi="宋体" w:cs="Times New Roman"/>
          <w:kern w:val="2"/>
        </w:rPr>
        <w:t>，平均净初级生产力为（灌木）</w:t>
      </w:r>
      <w:r w:rsidRPr="002F0C6A">
        <w:rPr>
          <w:rFonts w:ascii="Times New Roman" w:cs="Times New Roman"/>
          <w:kern w:val="2"/>
        </w:rPr>
        <w:t>367.7gC/</w:t>
      </w:r>
      <w:r w:rsidRPr="002F0C6A">
        <w:rPr>
          <w:rFonts w:ascii="Times New Roman" w:hAnsi="宋体" w:cs="Times New Roman"/>
          <w:kern w:val="2"/>
        </w:rPr>
        <w:t>（</w:t>
      </w:r>
      <w:r w:rsidRPr="002F0C6A">
        <w:rPr>
          <w:rFonts w:ascii="Times New Roman" w:cs="Times New Roman"/>
          <w:kern w:val="2"/>
        </w:rPr>
        <w:t>m</w:t>
      </w:r>
      <w:r w:rsidRPr="002F0C6A">
        <w:rPr>
          <w:rFonts w:ascii="Times New Roman" w:cs="Times New Roman"/>
          <w:kern w:val="2"/>
          <w:vertAlign w:val="superscript"/>
        </w:rPr>
        <w:t>2</w:t>
      </w:r>
      <w:r w:rsidRPr="002F0C6A">
        <w:rPr>
          <w:rFonts w:ascii="Times New Roman" w:cs="Times New Roman"/>
          <w:kern w:val="2"/>
        </w:rPr>
        <w:t>.a</w:t>
      </w:r>
      <w:r w:rsidRPr="002F0C6A">
        <w:rPr>
          <w:rFonts w:ascii="Times New Roman" w:hAnsi="宋体" w:cs="Times New Roman"/>
          <w:kern w:val="2"/>
        </w:rPr>
        <w:t>）。</w:t>
      </w:r>
    </w:p>
    <w:p w:rsidR="002F0C6A" w:rsidRPr="002F0C6A" w:rsidRDefault="002F0C6A" w:rsidP="002F0C6A">
      <w:pPr>
        <w:topLinePunct w:val="0"/>
        <w:adjustRightInd/>
        <w:spacing w:line="480" w:lineRule="exact"/>
        <w:ind w:firstLineChars="224" w:firstLine="538"/>
        <w:jc w:val="left"/>
        <w:rPr>
          <w:rFonts w:ascii="Times New Roman" w:cs="Times New Roman"/>
          <w:kern w:val="2"/>
        </w:rPr>
      </w:pPr>
      <w:r w:rsidRPr="002F0C6A">
        <w:rPr>
          <w:rFonts w:hAnsi="宋体" w:cs="Times New Roman"/>
          <w:kern w:val="2"/>
        </w:rPr>
        <w:t>④</w:t>
      </w:r>
      <w:r w:rsidRPr="002F0C6A">
        <w:rPr>
          <w:rFonts w:ascii="Times New Roman" w:hAnsi="宋体" w:cs="Times New Roman"/>
          <w:kern w:val="2"/>
        </w:rPr>
        <w:t>草丛植被：代表植物有白茅、五节芒、芒、芒萁、斑茅、蕨等。主要分布在分布的林下、林缘、路边、农田两旁，此植被类型面积为</w:t>
      </w:r>
      <w:r w:rsidRPr="002F0C6A">
        <w:rPr>
          <w:rFonts w:ascii="Times New Roman" w:cs="Times New Roman"/>
          <w:kern w:val="2"/>
        </w:rPr>
        <w:t>16.01hm</w:t>
      </w:r>
      <w:r w:rsidRPr="002F0C6A">
        <w:rPr>
          <w:rFonts w:ascii="Times New Roman" w:cs="Times New Roman"/>
          <w:kern w:val="2"/>
          <w:vertAlign w:val="superscript"/>
        </w:rPr>
        <w:t>2</w:t>
      </w:r>
      <w:r w:rsidRPr="002F0C6A">
        <w:rPr>
          <w:rFonts w:ascii="Times New Roman" w:hAnsi="宋体" w:cs="Times New Roman"/>
          <w:kern w:val="2"/>
        </w:rPr>
        <w:t>，占评价范围总面积的</w:t>
      </w:r>
      <w:r w:rsidRPr="002F0C6A">
        <w:rPr>
          <w:rFonts w:ascii="Times New Roman" w:cs="Times New Roman"/>
          <w:kern w:val="2"/>
        </w:rPr>
        <w:t>1.17%</w:t>
      </w:r>
      <w:r w:rsidRPr="002F0C6A">
        <w:rPr>
          <w:rFonts w:ascii="Times New Roman" w:hAnsi="宋体" w:cs="Times New Roman"/>
          <w:kern w:val="2"/>
        </w:rPr>
        <w:t>，平均净初级生产力（坡面草地）为</w:t>
      </w:r>
      <w:r w:rsidRPr="002F0C6A">
        <w:rPr>
          <w:rFonts w:ascii="Times New Roman" w:cs="Times New Roman"/>
          <w:kern w:val="2"/>
        </w:rPr>
        <w:t>507.4gC/(m</w:t>
      </w:r>
      <w:r w:rsidRPr="002F0C6A">
        <w:rPr>
          <w:rFonts w:ascii="Times New Roman" w:cs="Times New Roman"/>
          <w:kern w:val="2"/>
          <w:vertAlign w:val="superscript"/>
        </w:rPr>
        <w:t>2</w:t>
      </w:r>
      <w:r w:rsidRPr="002F0C6A">
        <w:rPr>
          <w:rFonts w:ascii="Times New Roman" w:cs="Times New Roman"/>
          <w:kern w:val="2"/>
        </w:rPr>
        <w:t>.a)</w:t>
      </w:r>
      <w:r w:rsidRPr="002F0C6A">
        <w:rPr>
          <w:rFonts w:ascii="Times New Roman" w:hAnsi="宋体" w:cs="Times New Roman"/>
          <w:kern w:val="2"/>
        </w:rPr>
        <w:t>。</w:t>
      </w:r>
    </w:p>
    <w:p w:rsidR="006F3D85" w:rsidRPr="00D630D1" w:rsidRDefault="002F0C6A" w:rsidP="002F0C6A">
      <w:pPr>
        <w:topLinePunct w:val="0"/>
        <w:adjustRightInd/>
        <w:spacing w:line="480" w:lineRule="exact"/>
        <w:ind w:firstLineChars="224" w:firstLine="538"/>
        <w:jc w:val="left"/>
        <w:rPr>
          <w:rFonts w:ascii="Times New Roman" w:cs="Times New Roman"/>
          <w:kern w:val="2"/>
        </w:rPr>
      </w:pPr>
      <w:r w:rsidRPr="002F0C6A">
        <w:rPr>
          <w:rFonts w:hAnsi="宋体" w:cs="Times New Roman"/>
          <w:kern w:val="2"/>
        </w:rPr>
        <w:t>⑤</w:t>
      </w:r>
      <w:r w:rsidRPr="002F0C6A">
        <w:rPr>
          <w:rFonts w:ascii="Times New Roman" w:hAnsi="宋体" w:cs="Times New Roman"/>
          <w:kern w:val="2"/>
        </w:rPr>
        <w:t>农作物植被：该地区的农作物主要有水稻、玉米、红苕、棉花、花生、小麦、马铃薯、豌豆等，主要分布在山谷、河谷两侧等低海拔区；农作物植被面积</w:t>
      </w:r>
      <w:r w:rsidRPr="002F0C6A">
        <w:rPr>
          <w:rFonts w:ascii="Times New Roman" w:cs="Times New Roman"/>
          <w:kern w:val="2"/>
        </w:rPr>
        <w:t>387.81hm</w:t>
      </w:r>
      <w:r w:rsidRPr="002F0C6A">
        <w:rPr>
          <w:rFonts w:ascii="Times New Roman" w:cs="Times New Roman"/>
          <w:kern w:val="2"/>
          <w:vertAlign w:val="superscript"/>
        </w:rPr>
        <w:t>2</w:t>
      </w:r>
      <w:r w:rsidRPr="002F0C6A">
        <w:rPr>
          <w:rFonts w:ascii="Times New Roman" w:hAnsi="宋体" w:cs="Times New Roman"/>
          <w:kern w:val="2"/>
        </w:rPr>
        <w:t>，占评价范围面积的</w:t>
      </w:r>
      <w:r w:rsidRPr="002F0C6A">
        <w:rPr>
          <w:rFonts w:ascii="Times New Roman" w:cs="Times New Roman"/>
          <w:kern w:val="2"/>
        </w:rPr>
        <w:t>28.38%</w:t>
      </w:r>
      <w:r w:rsidRPr="002F0C6A">
        <w:rPr>
          <w:rFonts w:ascii="Times New Roman" w:hAnsi="宋体" w:cs="Times New Roman"/>
          <w:kern w:val="2"/>
        </w:rPr>
        <w:t>，平均净初级生产力</w:t>
      </w:r>
      <w:r w:rsidRPr="002F0C6A">
        <w:rPr>
          <w:rFonts w:ascii="Times New Roman" w:cs="Times New Roman"/>
          <w:kern w:val="2"/>
        </w:rPr>
        <w:t>426.5gC/</w:t>
      </w:r>
      <w:r w:rsidRPr="002F0C6A">
        <w:rPr>
          <w:rFonts w:ascii="Times New Roman" w:hAnsi="宋体" w:cs="Times New Roman"/>
          <w:kern w:val="2"/>
        </w:rPr>
        <w:t>（</w:t>
      </w:r>
      <w:r w:rsidRPr="002F0C6A">
        <w:rPr>
          <w:rFonts w:ascii="Times New Roman" w:cs="Times New Roman"/>
          <w:kern w:val="2"/>
        </w:rPr>
        <w:t>m</w:t>
      </w:r>
      <w:r w:rsidRPr="002F0C6A">
        <w:rPr>
          <w:rFonts w:ascii="Times New Roman" w:cs="Times New Roman"/>
          <w:kern w:val="2"/>
          <w:vertAlign w:val="superscript"/>
        </w:rPr>
        <w:t>2</w:t>
      </w:r>
      <w:r w:rsidRPr="002F0C6A">
        <w:rPr>
          <w:rFonts w:ascii="Times New Roman" w:cs="Times New Roman"/>
          <w:kern w:val="2"/>
        </w:rPr>
        <w:t>.a</w:t>
      </w:r>
      <w:r w:rsidRPr="002F0C6A">
        <w:rPr>
          <w:rFonts w:ascii="Times New Roman" w:hAnsi="宋体" w:cs="Times New Roman"/>
          <w:kern w:val="2"/>
        </w:rPr>
        <w:t>）</w:t>
      </w:r>
      <w:r w:rsidR="006F3D85" w:rsidRPr="00D630D1">
        <w:rPr>
          <w:rFonts w:ascii="Times New Roman" w:cs="Times New Roman"/>
          <w:kern w:val="2"/>
        </w:rPr>
        <w:t>。</w:t>
      </w:r>
    </w:p>
    <w:p w:rsidR="006F3D85" w:rsidRPr="00D630D1" w:rsidRDefault="006F3D85" w:rsidP="006F3D85">
      <w:pPr>
        <w:pStyle w:val="afa"/>
        <w:ind w:firstLineChars="0" w:firstLine="0"/>
        <w:rPr>
          <w:kern w:val="2"/>
          <w:szCs w:val="24"/>
          <w:lang w:val="de-DE"/>
        </w:rPr>
      </w:pPr>
      <w:r w:rsidRPr="00D630D1">
        <w:rPr>
          <w:szCs w:val="24"/>
        </w:rPr>
        <w:t>评价范围内各植被类型净生产力情况见下表。</w:t>
      </w:r>
    </w:p>
    <w:p w:rsidR="006F3D85" w:rsidRDefault="006F3D85" w:rsidP="00F96E37">
      <w:pPr>
        <w:topLinePunct w:val="0"/>
        <w:autoSpaceDE w:val="0"/>
        <w:autoSpaceDN w:val="0"/>
        <w:spacing w:beforeLines="50" w:line="240" w:lineRule="auto"/>
        <w:ind w:firstLineChars="0" w:firstLine="0"/>
        <w:jc w:val="center"/>
        <w:rPr>
          <w:rFonts w:ascii="Times New Roman" w:cs="Times New Roman"/>
          <w:b/>
          <w:sz w:val="21"/>
        </w:rPr>
      </w:pPr>
      <w:r w:rsidRPr="00D630D1">
        <w:rPr>
          <w:rFonts w:ascii="Times New Roman" w:cs="Times New Roman"/>
          <w:b/>
          <w:sz w:val="21"/>
        </w:rPr>
        <w:t>表</w:t>
      </w:r>
      <w:r w:rsidRPr="00D630D1">
        <w:rPr>
          <w:rFonts w:ascii="Times New Roman" w:cs="Times New Roman" w:hint="eastAsia"/>
          <w:b/>
          <w:sz w:val="21"/>
        </w:rPr>
        <w:t>5.2</w:t>
      </w:r>
      <w:r w:rsidRPr="00D630D1">
        <w:rPr>
          <w:rFonts w:ascii="Times New Roman" w:cs="Times New Roman"/>
          <w:b/>
          <w:sz w:val="21"/>
        </w:rPr>
        <w:t>-</w:t>
      </w:r>
      <w:r w:rsidRPr="00D630D1">
        <w:rPr>
          <w:rFonts w:ascii="Times New Roman" w:cs="Times New Roman" w:hint="eastAsia"/>
          <w:b/>
          <w:sz w:val="21"/>
        </w:rPr>
        <w:t>12</w:t>
      </w:r>
      <w:r w:rsidRPr="00D630D1">
        <w:rPr>
          <w:rFonts w:ascii="Times New Roman" w:cs="Times New Roman"/>
          <w:b/>
          <w:sz w:val="21"/>
        </w:rPr>
        <w:t xml:space="preserve"> </w:t>
      </w:r>
      <w:r w:rsidRPr="00D630D1">
        <w:rPr>
          <w:rFonts w:ascii="Times New Roman" w:cs="Times New Roman"/>
          <w:b/>
          <w:sz w:val="21"/>
        </w:rPr>
        <w:t>评价范围植被自然生产力情况表</w:t>
      </w:r>
    </w:p>
    <w:tbl>
      <w:tblPr>
        <w:tblStyle w:val="47"/>
        <w:tblW w:w="4996" w:type="pct"/>
        <w:jc w:val="center"/>
        <w:tblBorders>
          <w:top w:val="single" w:sz="12" w:space="0" w:color="auto"/>
          <w:left w:val="none" w:sz="0" w:space="0" w:color="auto"/>
          <w:bottom w:val="single" w:sz="12" w:space="0" w:color="auto"/>
          <w:right w:val="none" w:sz="0" w:space="0" w:color="auto"/>
        </w:tblBorders>
        <w:tblLayout w:type="fixed"/>
        <w:tblLook w:val="0000"/>
      </w:tblPr>
      <w:tblGrid>
        <w:gridCol w:w="936"/>
        <w:gridCol w:w="2126"/>
        <w:gridCol w:w="950"/>
        <w:gridCol w:w="855"/>
        <w:gridCol w:w="1231"/>
        <w:gridCol w:w="1201"/>
        <w:gridCol w:w="1216"/>
      </w:tblGrid>
      <w:tr w:rsidR="002F0C6A" w:rsidRPr="002F0C6A" w:rsidTr="002F0C6A">
        <w:trPr>
          <w:jc w:val="center"/>
        </w:trPr>
        <w:tc>
          <w:tcPr>
            <w:tcW w:w="549"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植被</w:t>
            </w:r>
          </w:p>
          <w:p w:rsidR="002F0C6A" w:rsidRPr="002F0C6A" w:rsidRDefault="002F0C6A" w:rsidP="002F0C6A">
            <w:pPr>
              <w:topLinePunct w:val="0"/>
              <w:adjustRightInd/>
              <w:snapToGrid w:val="0"/>
              <w:spacing w:line="240" w:lineRule="auto"/>
              <w:ind w:firstLineChars="0" w:firstLine="0"/>
              <w:rPr>
                <w:rFonts w:ascii="Times New Roman" w:cs="Times New Roman"/>
                <w:sz w:val="21"/>
                <w:szCs w:val="21"/>
              </w:rPr>
            </w:pPr>
            <w:r w:rsidRPr="002F0C6A">
              <w:rPr>
                <w:rFonts w:ascii="Times New Roman" w:cs="Times New Roman"/>
                <w:snapToGrid w:val="0"/>
                <w:sz w:val="21"/>
                <w:szCs w:val="21"/>
              </w:rPr>
              <w:t>类型</w:t>
            </w:r>
          </w:p>
        </w:tc>
        <w:tc>
          <w:tcPr>
            <w:tcW w:w="1247"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z w:val="21"/>
                <w:szCs w:val="21"/>
              </w:rPr>
            </w:pPr>
            <w:r w:rsidRPr="002F0C6A">
              <w:rPr>
                <w:rFonts w:ascii="Times New Roman" w:cs="Times New Roman"/>
                <w:snapToGrid w:val="0"/>
                <w:sz w:val="21"/>
                <w:szCs w:val="21"/>
              </w:rPr>
              <w:t>代表植物</w:t>
            </w:r>
          </w:p>
        </w:tc>
        <w:tc>
          <w:tcPr>
            <w:tcW w:w="557"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z w:val="21"/>
                <w:szCs w:val="21"/>
              </w:rPr>
            </w:pPr>
            <w:r w:rsidRPr="002F0C6A">
              <w:rPr>
                <w:rFonts w:ascii="Times New Roman" w:cs="Times New Roman"/>
                <w:snapToGrid w:val="0"/>
                <w:sz w:val="21"/>
                <w:szCs w:val="21"/>
              </w:rPr>
              <w:t>面积（</w:t>
            </w:r>
            <w:r w:rsidRPr="002F0C6A">
              <w:rPr>
                <w:rFonts w:ascii="Times New Roman" w:cs="Times New Roman" w:hint="eastAsia"/>
                <w:snapToGrid w:val="0"/>
                <w:sz w:val="21"/>
                <w:szCs w:val="21"/>
              </w:rPr>
              <w:t>hm</w:t>
            </w:r>
            <w:r w:rsidRPr="002F0C6A">
              <w:rPr>
                <w:rFonts w:ascii="Times New Roman" w:cs="Times New Roman"/>
                <w:snapToGrid w:val="0"/>
                <w:sz w:val="21"/>
                <w:szCs w:val="21"/>
                <w:vertAlign w:val="superscript"/>
              </w:rPr>
              <w:t>2</w:t>
            </w:r>
            <w:r w:rsidRPr="002F0C6A">
              <w:rPr>
                <w:rFonts w:ascii="Times New Roman" w:cs="Times New Roman"/>
                <w:snapToGrid w:val="0"/>
                <w:sz w:val="21"/>
                <w:szCs w:val="21"/>
              </w:rPr>
              <w:t>）</w:t>
            </w:r>
          </w:p>
        </w:tc>
        <w:tc>
          <w:tcPr>
            <w:tcW w:w="502"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z w:val="21"/>
                <w:szCs w:val="21"/>
              </w:rPr>
            </w:pPr>
            <w:r w:rsidRPr="002F0C6A">
              <w:rPr>
                <w:rFonts w:ascii="Times New Roman" w:cs="Times New Roman"/>
                <w:snapToGrid w:val="0"/>
                <w:sz w:val="21"/>
                <w:szCs w:val="21"/>
              </w:rPr>
              <w:t>占评价范围（</w:t>
            </w:r>
            <w:r w:rsidRPr="002F0C6A">
              <w:rPr>
                <w:rFonts w:ascii="Times New Roman" w:cs="Times New Roman"/>
                <w:snapToGrid w:val="0"/>
                <w:sz w:val="21"/>
                <w:szCs w:val="21"/>
              </w:rPr>
              <w:t>%</w:t>
            </w:r>
            <w:r w:rsidRPr="002F0C6A">
              <w:rPr>
                <w:rFonts w:ascii="Times New Roman" w:cs="Times New Roman"/>
                <w:snapToGrid w:val="0"/>
                <w:sz w:val="21"/>
                <w:szCs w:val="21"/>
              </w:rPr>
              <w:t>）</w:t>
            </w:r>
          </w:p>
        </w:tc>
        <w:tc>
          <w:tcPr>
            <w:tcW w:w="723"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z w:val="21"/>
                <w:szCs w:val="21"/>
              </w:rPr>
            </w:pPr>
            <w:r w:rsidRPr="002F0C6A">
              <w:rPr>
                <w:rFonts w:ascii="Times New Roman" w:cs="Times New Roman"/>
                <w:snapToGrid w:val="0"/>
                <w:sz w:val="21"/>
                <w:szCs w:val="21"/>
              </w:rPr>
              <w:t>平均净生产力</w:t>
            </w:r>
            <w:r w:rsidRPr="002F0C6A">
              <w:rPr>
                <w:rFonts w:ascii="Times New Roman" w:cs="Times New Roman"/>
                <w:snapToGrid w:val="0"/>
                <w:sz w:val="21"/>
                <w:szCs w:val="21"/>
              </w:rPr>
              <w:t>[</w:t>
            </w:r>
            <w:r w:rsidRPr="002F0C6A">
              <w:rPr>
                <w:rFonts w:ascii="Times New Roman" w:cs="Times New Roman"/>
              </w:rPr>
              <w:t>gC/</w:t>
            </w:r>
            <w:r w:rsidRPr="002F0C6A">
              <w:rPr>
                <w:rFonts w:ascii="Times New Roman" w:cs="Times New Roman"/>
              </w:rPr>
              <w:t>（</w:t>
            </w:r>
            <w:r w:rsidRPr="002F0C6A">
              <w:rPr>
                <w:rFonts w:ascii="Times New Roman" w:cs="Times New Roman"/>
              </w:rPr>
              <w:t>m</w:t>
            </w:r>
            <w:r w:rsidRPr="002F0C6A">
              <w:rPr>
                <w:rFonts w:ascii="Times New Roman" w:cs="Times New Roman"/>
                <w:vertAlign w:val="superscript"/>
              </w:rPr>
              <w:t>2</w:t>
            </w:r>
            <w:r w:rsidRPr="002F0C6A">
              <w:rPr>
                <w:rFonts w:ascii="Times New Roman" w:cs="Times New Roman"/>
              </w:rPr>
              <w:t>.a</w:t>
            </w:r>
            <w:r w:rsidRPr="002F0C6A">
              <w:rPr>
                <w:rFonts w:ascii="Times New Roman" w:cs="Times New Roman"/>
              </w:rPr>
              <w:t>）</w:t>
            </w:r>
            <w:r w:rsidRPr="002F0C6A">
              <w:rPr>
                <w:rFonts w:ascii="Times New Roman" w:cs="Times New Roman"/>
                <w:snapToGrid w:val="0"/>
                <w:sz w:val="21"/>
                <w:szCs w:val="21"/>
              </w:rPr>
              <w:t>]</w:t>
            </w:r>
          </w:p>
        </w:tc>
        <w:tc>
          <w:tcPr>
            <w:tcW w:w="705"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总生产力</w:t>
            </w:r>
            <w:r w:rsidRPr="002F0C6A">
              <w:rPr>
                <w:rFonts w:ascii="Times New Roman" w:cs="Times New Roman"/>
                <w:snapToGrid w:val="0"/>
                <w:sz w:val="21"/>
                <w:szCs w:val="21"/>
              </w:rPr>
              <w:t>[tC/</w:t>
            </w:r>
            <w:r w:rsidRPr="002F0C6A">
              <w:rPr>
                <w:rFonts w:ascii="Times New Roman" w:cs="Times New Roman"/>
                <w:snapToGrid w:val="0"/>
                <w:sz w:val="21"/>
                <w:szCs w:val="21"/>
              </w:rPr>
              <w:t>（</w:t>
            </w:r>
            <w:r w:rsidRPr="002F0C6A">
              <w:rPr>
                <w:rFonts w:ascii="Times New Roman" w:cs="Times New Roman"/>
                <w:snapToGrid w:val="0"/>
                <w:sz w:val="21"/>
                <w:szCs w:val="21"/>
              </w:rPr>
              <w:t>a</w:t>
            </w:r>
            <w:r w:rsidRPr="002F0C6A">
              <w:rPr>
                <w:rFonts w:ascii="Times New Roman" w:cs="Times New Roman"/>
                <w:snapToGrid w:val="0"/>
                <w:sz w:val="21"/>
                <w:szCs w:val="21"/>
              </w:rPr>
              <w:t>）</w:t>
            </w:r>
            <w:r w:rsidRPr="002F0C6A">
              <w:rPr>
                <w:rFonts w:ascii="Times New Roman" w:cs="Times New Roman"/>
                <w:snapToGrid w:val="0"/>
                <w:sz w:val="21"/>
                <w:szCs w:val="21"/>
              </w:rPr>
              <w:t>]</w:t>
            </w:r>
          </w:p>
        </w:tc>
        <w:tc>
          <w:tcPr>
            <w:tcW w:w="714"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生产力比重</w:t>
            </w:r>
          </w:p>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w:t>
            </w:r>
            <w:r w:rsidRPr="002F0C6A">
              <w:rPr>
                <w:rFonts w:ascii="Times New Roman" w:cs="Times New Roman"/>
                <w:snapToGrid w:val="0"/>
                <w:sz w:val="21"/>
                <w:szCs w:val="21"/>
              </w:rPr>
              <w:t>%</w:t>
            </w:r>
            <w:r w:rsidRPr="002F0C6A">
              <w:rPr>
                <w:rFonts w:ascii="Times New Roman" w:cs="Times New Roman"/>
                <w:snapToGrid w:val="0"/>
                <w:sz w:val="21"/>
                <w:szCs w:val="21"/>
              </w:rPr>
              <w:t>）</w:t>
            </w:r>
          </w:p>
        </w:tc>
      </w:tr>
      <w:tr w:rsidR="002F0C6A" w:rsidRPr="002F0C6A" w:rsidTr="002F0C6A">
        <w:trPr>
          <w:trHeight w:val="90"/>
          <w:jc w:val="center"/>
        </w:trPr>
        <w:tc>
          <w:tcPr>
            <w:tcW w:w="549"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z w:val="21"/>
                <w:szCs w:val="21"/>
              </w:rPr>
            </w:pPr>
            <w:r w:rsidRPr="002F0C6A">
              <w:rPr>
                <w:rFonts w:ascii="Times New Roman" w:cs="Times New Roman"/>
                <w:snapToGrid w:val="0"/>
                <w:sz w:val="21"/>
                <w:szCs w:val="21"/>
              </w:rPr>
              <w:t>针叶林植被</w:t>
            </w:r>
          </w:p>
        </w:tc>
        <w:tc>
          <w:tcPr>
            <w:tcW w:w="1247"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hint="eastAsia"/>
                <w:snapToGrid w:val="0"/>
                <w:sz w:val="21"/>
                <w:szCs w:val="21"/>
              </w:rPr>
              <w:t>马尾松、杉木、柏木</w:t>
            </w:r>
          </w:p>
        </w:tc>
        <w:tc>
          <w:tcPr>
            <w:tcW w:w="997"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98.4</w:t>
            </w:r>
          </w:p>
        </w:tc>
        <w:tc>
          <w:tcPr>
            <w:tcW w:w="89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7.20 </w:t>
            </w:r>
          </w:p>
        </w:tc>
        <w:tc>
          <w:tcPr>
            <w:tcW w:w="1293"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367.1</w:t>
            </w:r>
          </w:p>
        </w:tc>
        <w:tc>
          <w:tcPr>
            <w:tcW w:w="1262"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361.23 </w:t>
            </w:r>
          </w:p>
        </w:tc>
        <w:tc>
          <w:tcPr>
            <w:tcW w:w="127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5.06 </w:t>
            </w:r>
          </w:p>
        </w:tc>
      </w:tr>
      <w:tr w:rsidR="002F0C6A" w:rsidRPr="002F0C6A" w:rsidTr="002F0C6A">
        <w:trPr>
          <w:trHeight w:val="602"/>
          <w:jc w:val="center"/>
        </w:trPr>
        <w:tc>
          <w:tcPr>
            <w:tcW w:w="549"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阔叶林植被</w:t>
            </w:r>
          </w:p>
        </w:tc>
        <w:tc>
          <w:tcPr>
            <w:tcW w:w="1247"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hint="eastAsia"/>
                <w:snapToGrid w:val="0"/>
                <w:sz w:val="21"/>
                <w:szCs w:val="21"/>
              </w:rPr>
              <w:t>麻栎、青冈、枫香、响叶杨</w:t>
            </w:r>
          </w:p>
        </w:tc>
        <w:tc>
          <w:tcPr>
            <w:tcW w:w="997"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769.96</w:t>
            </w:r>
          </w:p>
        </w:tc>
        <w:tc>
          <w:tcPr>
            <w:tcW w:w="89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56.34 </w:t>
            </w:r>
          </w:p>
        </w:tc>
        <w:tc>
          <w:tcPr>
            <w:tcW w:w="1293"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642.9</w:t>
            </w:r>
          </w:p>
        </w:tc>
        <w:tc>
          <w:tcPr>
            <w:tcW w:w="1262"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4950.07 </w:t>
            </w:r>
          </w:p>
        </w:tc>
        <w:tc>
          <w:tcPr>
            <w:tcW w:w="127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69.37 </w:t>
            </w:r>
          </w:p>
        </w:tc>
      </w:tr>
      <w:tr w:rsidR="002F0C6A" w:rsidRPr="002F0C6A" w:rsidTr="002F0C6A">
        <w:trPr>
          <w:trHeight w:val="331"/>
          <w:jc w:val="center"/>
        </w:trPr>
        <w:tc>
          <w:tcPr>
            <w:tcW w:w="549"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灌丛植被</w:t>
            </w:r>
          </w:p>
        </w:tc>
        <w:tc>
          <w:tcPr>
            <w:tcW w:w="1247"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hint="eastAsia"/>
                <w:snapToGrid w:val="0"/>
                <w:sz w:val="21"/>
                <w:szCs w:val="21"/>
              </w:rPr>
              <w:t>槲栎、马桑、黄荆、火棘、荚蒾、盐肤木</w:t>
            </w:r>
          </w:p>
        </w:tc>
        <w:tc>
          <w:tcPr>
            <w:tcW w:w="997"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36.38</w:t>
            </w:r>
          </w:p>
        </w:tc>
        <w:tc>
          <w:tcPr>
            <w:tcW w:w="89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2.66 </w:t>
            </w:r>
          </w:p>
        </w:tc>
        <w:tc>
          <w:tcPr>
            <w:tcW w:w="1293"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367.7</w:t>
            </w:r>
          </w:p>
        </w:tc>
        <w:tc>
          <w:tcPr>
            <w:tcW w:w="1262"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133.77 </w:t>
            </w:r>
          </w:p>
        </w:tc>
        <w:tc>
          <w:tcPr>
            <w:tcW w:w="127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1.87 </w:t>
            </w:r>
          </w:p>
        </w:tc>
      </w:tr>
      <w:tr w:rsidR="002F0C6A" w:rsidRPr="002F0C6A" w:rsidTr="002F0C6A">
        <w:trPr>
          <w:trHeight w:val="708"/>
          <w:jc w:val="center"/>
        </w:trPr>
        <w:tc>
          <w:tcPr>
            <w:tcW w:w="549"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草丛植被</w:t>
            </w:r>
          </w:p>
        </w:tc>
        <w:tc>
          <w:tcPr>
            <w:tcW w:w="1247"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hint="eastAsia"/>
                <w:snapToGrid w:val="0"/>
                <w:sz w:val="21"/>
                <w:szCs w:val="21"/>
              </w:rPr>
              <w:t>白茅、五节芒、芒、芒萁、斑茅、蕨</w:t>
            </w:r>
          </w:p>
        </w:tc>
        <w:tc>
          <w:tcPr>
            <w:tcW w:w="997"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16.01</w:t>
            </w:r>
          </w:p>
        </w:tc>
        <w:tc>
          <w:tcPr>
            <w:tcW w:w="89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1.17 </w:t>
            </w:r>
          </w:p>
        </w:tc>
        <w:tc>
          <w:tcPr>
            <w:tcW w:w="1293"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226.2</w:t>
            </w:r>
          </w:p>
        </w:tc>
        <w:tc>
          <w:tcPr>
            <w:tcW w:w="1262"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36.21 </w:t>
            </w:r>
          </w:p>
        </w:tc>
        <w:tc>
          <w:tcPr>
            <w:tcW w:w="127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0.51 </w:t>
            </w:r>
          </w:p>
        </w:tc>
      </w:tr>
      <w:tr w:rsidR="002F0C6A" w:rsidRPr="002F0C6A" w:rsidTr="002F0C6A">
        <w:trPr>
          <w:trHeight w:val="629"/>
          <w:jc w:val="center"/>
        </w:trPr>
        <w:tc>
          <w:tcPr>
            <w:tcW w:w="549"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z w:val="21"/>
                <w:szCs w:val="21"/>
              </w:rPr>
            </w:pPr>
            <w:r w:rsidRPr="002F0C6A">
              <w:rPr>
                <w:rFonts w:ascii="Times New Roman" w:cs="Times New Roman"/>
                <w:snapToGrid w:val="0"/>
                <w:sz w:val="21"/>
                <w:szCs w:val="21"/>
              </w:rPr>
              <w:t>农作物植被</w:t>
            </w:r>
          </w:p>
        </w:tc>
        <w:tc>
          <w:tcPr>
            <w:tcW w:w="1247"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hint="eastAsia"/>
                <w:snapToGrid w:val="0"/>
                <w:sz w:val="21"/>
                <w:szCs w:val="21"/>
              </w:rPr>
              <w:t>水稻、玉米、红苕、棉花、花生、小麦、马铃薯、豌豆</w:t>
            </w:r>
          </w:p>
        </w:tc>
        <w:tc>
          <w:tcPr>
            <w:tcW w:w="997"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387.81</w:t>
            </w:r>
          </w:p>
        </w:tc>
        <w:tc>
          <w:tcPr>
            <w:tcW w:w="89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28.38 </w:t>
            </w:r>
          </w:p>
        </w:tc>
        <w:tc>
          <w:tcPr>
            <w:tcW w:w="1293"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426.5</w:t>
            </w:r>
          </w:p>
        </w:tc>
        <w:tc>
          <w:tcPr>
            <w:tcW w:w="1262"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1654.01 </w:t>
            </w:r>
          </w:p>
        </w:tc>
        <w:tc>
          <w:tcPr>
            <w:tcW w:w="127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23.18 </w:t>
            </w:r>
          </w:p>
        </w:tc>
      </w:tr>
      <w:tr w:rsidR="002F0C6A" w:rsidRPr="002F0C6A" w:rsidTr="002F0C6A">
        <w:trPr>
          <w:trHeight w:val="90"/>
          <w:jc w:val="center"/>
        </w:trPr>
        <w:tc>
          <w:tcPr>
            <w:tcW w:w="549"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z w:val="21"/>
                <w:szCs w:val="21"/>
              </w:rPr>
            </w:pPr>
            <w:r w:rsidRPr="002F0C6A">
              <w:rPr>
                <w:rFonts w:ascii="Times New Roman" w:cs="Times New Roman"/>
                <w:sz w:val="21"/>
                <w:szCs w:val="21"/>
              </w:rPr>
              <w:t>无植被</w:t>
            </w:r>
          </w:p>
        </w:tc>
        <w:tc>
          <w:tcPr>
            <w:tcW w:w="1247"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w:t>
            </w:r>
          </w:p>
        </w:tc>
        <w:tc>
          <w:tcPr>
            <w:tcW w:w="997"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58.16</w:t>
            </w:r>
          </w:p>
        </w:tc>
        <w:tc>
          <w:tcPr>
            <w:tcW w:w="89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4.26 </w:t>
            </w:r>
          </w:p>
        </w:tc>
        <w:tc>
          <w:tcPr>
            <w:tcW w:w="1293"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w:t>
            </w:r>
          </w:p>
        </w:tc>
        <w:tc>
          <w:tcPr>
            <w:tcW w:w="1262"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0.00 </w:t>
            </w:r>
          </w:p>
        </w:tc>
        <w:tc>
          <w:tcPr>
            <w:tcW w:w="127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0.00 </w:t>
            </w:r>
          </w:p>
        </w:tc>
      </w:tr>
      <w:tr w:rsidR="002F0C6A" w:rsidRPr="002F0C6A" w:rsidTr="002F0C6A">
        <w:trPr>
          <w:jc w:val="center"/>
        </w:trPr>
        <w:tc>
          <w:tcPr>
            <w:tcW w:w="549"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z w:val="21"/>
                <w:szCs w:val="21"/>
              </w:rPr>
            </w:pPr>
            <w:r w:rsidRPr="002F0C6A">
              <w:rPr>
                <w:rFonts w:ascii="Times New Roman" w:cs="Times New Roman"/>
                <w:sz w:val="21"/>
                <w:szCs w:val="21"/>
              </w:rPr>
              <w:lastRenderedPageBreak/>
              <w:t>合计</w:t>
            </w:r>
          </w:p>
        </w:tc>
        <w:tc>
          <w:tcPr>
            <w:tcW w:w="1247"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w:t>
            </w:r>
          </w:p>
        </w:tc>
        <w:tc>
          <w:tcPr>
            <w:tcW w:w="997"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1366.72 </w:t>
            </w:r>
          </w:p>
        </w:tc>
        <w:tc>
          <w:tcPr>
            <w:tcW w:w="89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100</w:t>
            </w:r>
          </w:p>
        </w:tc>
        <w:tc>
          <w:tcPr>
            <w:tcW w:w="1293"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w:t>
            </w:r>
          </w:p>
        </w:tc>
        <w:tc>
          <w:tcPr>
            <w:tcW w:w="1262"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7135.29 </w:t>
            </w:r>
          </w:p>
        </w:tc>
        <w:tc>
          <w:tcPr>
            <w:tcW w:w="1278" w:type="dxa"/>
            <w:vAlign w:val="center"/>
          </w:tcPr>
          <w:p w:rsidR="002F0C6A" w:rsidRPr="002F0C6A" w:rsidRDefault="002F0C6A" w:rsidP="002F0C6A">
            <w:pPr>
              <w:widowControl/>
              <w:topLinePunct w:val="0"/>
              <w:adjustRightInd/>
              <w:spacing w:line="240" w:lineRule="auto"/>
              <w:ind w:firstLineChars="0" w:firstLine="0"/>
              <w:textAlignment w:val="center"/>
              <w:rPr>
                <w:rFonts w:ascii="Times New Roman" w:cs="Times New Roman"/>
                <w:snapToGrid w:val="0"/>
                <w:sz w:val="21"/>
                <w:szCs w:val="21"/>
              </w:rPr>
            </w:pPr>
            <w:r w:rsidRPr="002F0C6A">
              <w:rPr>
                <w:rFonts w:ascii="Times New Roman" w:cs="Times New Roman"/>
                <w:snapToGrid w:val="0"/>
                <w:sz w:val="21"/>
                <w:szCs w:val="21"/>
              </w:rPr>
              <w:t xml:space="preserve">100.00 </w:t>
            </w:r>
          </w:p>
        </w:tc>
      </w:tr>
      <w:tr w:rsidR="002F0C6A" w:rsidRPr="002F0C6A" w:rsidTr="002F0C6A">
        <w:trPr>
          <w:jc w:val="center"/>
        </w:trPr>
        <w:tc>
          <w:tcPr>
            <w:tcW w:w="549"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z w:val="21"/>
                <w:szCs w:val="21"/>
              </w:rPr>
            </w:pPr>
            <w:r w:rsidRPr="002F0C6A">
              <w:rPr>
                <w:rFonts w:ascii="Times New Roman" w:cs="Times New Roman"/>
                <w:snapToGrid w:val="0"/>
                <w:sz w:val="21"/>
                <w:szCs w:val="21"/>
              </w:rPr>
              <w:t>平均</w:t>
            </w:r>
          </w:p>
        </w:tc>
        <w:tc>
          <w:tcPr>
            <w:tcW w:w="1247"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w:t>
            </w:r>
          </w:p>
        </w:tc>
        <w:tc>
          <w:tcPr>
            <w:tcW w:w="997" w:type="dxa"/>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w:t>
            </w:r>
          </w:p>
        </w:tc>
        <w:tc>
          <w:tcPr>
            <w:tcW w:w="898" w:type="dxa"/>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w:t>
            </w:r>
          </w:p>
        </w:tc>
        <w:tc>
          <w:tcPr>
            <w:tcW w:w="1293" w:type="dxa"/>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hint="eastAsia"/>
                <w:snapToGrid w:val="0"/>
                <w:sz w:val="21"/>
                <w:szCs w:val="21"/>
              </w:rPr>
              <w:t>522.07</w:t>
            </w:r>
          </w:p>
        </w:tc>
        <w:tc>
          <w:tcPr>
            <w:tcW w:w="1262" w:type="dxa"/>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p>
        </w:tc>
        <w:tc>
          <w:tcPr>
            <w:tcW w:w="1278" w:type="dxa"/>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p>
        </w:tc>
      </w:tr>
      <w:tr w:rsidR="002F0C6A" w:rsidRPr="002F0C6A" w:rsidTr="002F0C6A">
        <w:trPr>
          <w:jc w:val="center"/>
        </w:trPr>
        <w:tc>
          <w:tcPr>
            <w:tcW w:w="549"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z w:val="21"/>
                <w:szCs w:val="21"/>
              </w:rPr>
            </w:pPr>
            <w:r w:rsidRPr="002F0C6A">
              <w:rPr>
                <w:rFonts w:ascii="Times New Roman" w:cs="Times New Roman"/>
                <w:snapToGrid w:val="0"/>
                <w:sz w:val="21"/>
                <w:szCs w:val="21"/>
              </w:rPr>
              <w:t>参考标准</w:t>
            </w:r>
          </w:p>
        </w:tc>
        <w:tc>
          <w:tcPr>
            <w:tcW w:w="1247" w:type="pct"/>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w:t>
            </w:r>
          </w:p>
        </w:tc>
        <w:tc>
          <w:tcPr>
            <w:tcW w:w="997" w:type="dxa"/>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w:t>
            </w:r>
          </w:p>
        </w:tc>
        <w:tc>
          <w:tcPr>
            <w:tcW w:w="898" w:type="dxa"/>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w:t>
            </w:r>
          </w:p>
        </w:tc>
        <w:tc>
          <w:tcPr>
            <w:tcW w:w="1293" w:type="dxa"/>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684</w:t>
            </w:r>
          </w:p>
        </w:tc>
        <w:tc>
          <w:tcPr>
            <w:tcW w:w="1262" w:type="dxa"/>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w:t>
            </w:r>
          </w:p>
        </w:tc>
        <w:tc>
          <w:tcPr>
            <w:tcW w:w="1278" w:type="dxa"/>
            <w:vAlign w:val="center"/>
          </w:tcPr>
          <w:p w:rsidR="002F0C6A" w:rsidRPr="002F0C6A" w:rsidRDefault="002F0C6A" w:rsidP="002F0C6A">
            <w:pPr>
              <w:topLinePunct w:val="0"/>
              <w:adjustRightInd/>
              <w:snapToGrid w:val="0"/>
              <w:spacing w:line="240" w:lineRule="auto"/>
              <w:ind w:firstLineChars="0" w:firstLine="0"/>
              <w:rPr>
                <w:rFonts w:ascii="Times New Roman" w:cs="Times New Roman"/>
                <w:snapToGrid w:val="0"/>
                <w:sz w:val="21"/>
                <w:szCs w:val="21"/>
              </w:rPr>
            </w:pPr>
            <w:r w:rsidRPr="002F0C6A">
              <w:rPr>
                <w:rFonts w:ascii="Times New Roman" w:cs="Times New Roman"/>
                <w:snapToGrid w:val="0"/>
                <w:sz w:val="21"/>
                <w:szCs w:val="21"/>
              </w:rPr>
              <w:t>-</w:t>
            </w:r>
          </w:p>
        </w:tc>
      </w:tr>
    </w:tbl>
    <w:p w:rsidR="0079614C" w:rsidRPr="00D630D1" w:rsidRDefault="0079614C" w:rsidP="0079614C">
      <w:pPr>
        <w:topLinePunct w:val="0"/>
        <w:adjustRightInd/>
        <w:spacing w:line="240" w:lineRule="auto"/>
        <w:ind w:firstLineChars="0" w:firstLine="363"/>
        <w:jc w:val="left"/>
        <w:rPr>
          <w:rFonts w:ascii="Times New Roman" w:cs="Times New Roman"/>
          <w:kern w:val="2"/>
          <w:sz w:val="21"/>
          <w:szCs w:val="21"/>
        </w:rPr>
      </w:pPr>
      <w:r w:rsidRPr="00D630D1">
        <w:rPr>
          <w:rFonts w:ascii="Times New Roman" w:cs="Times New Roman"/>
          <w:kern w:val="2"/>
          <w:sz w:val="21"/>
          <w:szCs w:val="21"/>
        </w:rPr>
        <w:t>注：表中平均生产力值来源于《中国陆地植被净初级生产力遥感估算》等文献，参考标准采用全国</w:t>
      </w:r>
      <w:r w:rsidRPr="00D630D1">
        <w:rPr>
          <w:rFonts w:ascii="Times New Roman" w:cs="Times New Roman"/>
          <w:kern w:val="2"/>
          <w:sz w:val="21"/>
          <w:szCs w:val="21"/>
        </w:rPr>
        <w:t>1989-1993</w:t>
      </w:r>
      <w:r w:rsidRPr="00D630D1">
        <w:rPr>
          <w:rFonts w:ascii="Times New Roman" w:cs="Times New Roman"/>
          <w:kern w:val="2"/>
          <w:sz w:val="21"/>
          <w:szCs w:val="21"/>
        </w:rPr>
        <w:t>中国陆地生态系统平均</w:t>
      </w:r>
      <w:r w:rsidRPr="00D630D1">
        <w:rPr>
          <w:rFonts w:ascii="Times New Roman" w:cs="Times New Roman"/>
          <w:kern w:val="2"/>
          <w:sz w:val="21"/>
          <w:szCs w:val="21"/>
        </w:rPr>
        <w:t>NPP</w:t>
      </w:r>
      <w:r w:rsidRPr="00D630D1">
        <w:rPr>
          <w:rFonts w:ascii="Times New Roman" w:cs="Times New Roman"/>
          <w:kern w:val="2"/>
          <w:sz w:val="21"/>
          <w:szCs w:val="21"/>
        </w:rPr>
        <w:t>值</w:t>
      </w:r>
    </w:p>
    <w:p w:rsidR="006F3D85" w:rsidRPr="00D630D1" w:rsidRDefault="0079614C" w:rsidP="0079614C">
      <w:pPr>
        <w:pStyle w:val="afa"/>
        <w:ind w:firstLine="480"/>
        <w:rPr>
          <w:kern w:val="2"/>
          <w:szCs w:val="24"/>
          <w:lang w:val="de-DE"/>
        </w:rPr>
      </w:pPr>
      <w:r w:rsidRPr="00D630D1">
        <w:rPr>
          <w:kern w:val="2"/>
          <w:szCs w:val="24"/>
        </w:rPr>
        <w:t>从表</w:t>
      </w:r>
      <w:r w:rsidRPr="00D630D1">
        <w:rPr>
          <w:rFonts w:hint="eastAsia"/>
          <w:kern w:val="2"/>
          <w:szCs w:val="24"/>
        </w:rPr>
        <w:t>5.2</w:t>
      </w:r>
      <w:r w:rsidRPr="00D630D1">
        <w:rPr>
          <w:kern w:val="2"/>
          <w:szCs w:val="24"/>
        </w:rPr>
        <w:t>-</w:t>
      </w:r>
      <w:r w:rsidRPr="00D630D1">
        <w:rPr>
          <w:rFonts w:hint="eastAsia"/>
          <w:kern w:val="2"/>
          <w:szCs w:val="24"/>
        </w:rPr>
        <w:t>12</w:t>
      </w:r>
      <w:r w:rsidRPr="00D630D1">
        <w:rPr>
          <w:kern w:val="2"/>
          <w:szCs w:val="24"/>
        </w:rPr>
        <w:t>中可以看出，</w:t>
      </w:r>
      <w:r w:rsidR="002F0C6A" w:rsidRPr="002F0C6A">
        <w:rPr>
          <w:kern w:val="2"/>
          <w:szCs w:val="24"/>
        </w:rPr>
        <w:t>评价范围总生产力</w:t>
      </w:r>
      <w:r w:rsidR="002F0C6A" w:rsidRPr="002F0C6A">
        <w:rPr>
          <w:rFonts w:hint="eastAsia"/>
          <w:kern w:val="2"/>
          <w:szCs w:val="24"/>
        </w:rPr>
        <w:t>7135.29</w:t>
      </w:r>
      <w:r w:rsidR="002F0C6A" w:rsidRPr="002F0C6A">
        <w:rPr>
          <w:kern w:val="2"/>
          <w:szCs w:val="24"/>
        </w:rPr>
        <w:t>tC/</w:t>
      </w:r>
      <w:r w:rsidR="002F0C6A" w:rsidRPr="002F0C6A">
        <w:rPr>
          <w:kern w:val="2"/>
          <w:szCs w:val="24"/>
        </w:rPr>
        <w:t>（</w:t>
      </w:r>
      <w:r w:rsidR="002F0C6A" w:rsidRPr="002F0C6A">
        <w:rPr>
          <w:kern w:val="2"/>
          <w:szCs w:val="24"/>
        </w:rPr>
        <w:t>a</w:t>
      </w:r>
      <w:r w:rsidR="002F0C6A" w:rsidRPr="002F0C6A">
        <w:rPr>
          <w:kern w:val="2"/>
          <w:szCs w:val="24"/>
        </w:rPr>
        <w:t>），平均净生产</w:t>
      </w:r>
      <w:r w:rsidR="002F0C6A" w:rsidRPr="002F0C6A">
        <w:rPr>
          <w:rFonts w:hint="eastAsia"/>
          <w:kern w:val="2"/>
          <w:szCs w:val="24"/>
        </w:rPr>
        <w:t>522.07</w:t>
      </w:r>
      <w:r w:rsidR="002F0C6A" w:rsidRPr="002F0C6A">
        <w:rPr>
          <w:kern w:val="2"/>
          <w:szCs w:val="24"/>
        </w:rPr>
        <w:t>gC/</w:t>
      </w:r>
      <w:r w:rsidR="002F0C6A" w:rsidRPr="002F0C6A">
        <w:rPr>
          <w:kern w:val="2"/>
          <w:szCs w:val="24"/>
        </w:rPr>
        <w:t>（</w:t>
      </w:r>
      <w:r w:rsidR="002F0C6A" w:rsidRPr="002F0C6A">
        <w:rPr>
          <w:kern w:val="2"/>
          <w:szCs w:val="24"/>
        </w:rPr>
        <w:t>m</w:t>
      </w:r>
      <w:r w:rsidR="002F0C6A" w:rsidRPr="002F0C6A">
        <w:rPr>
          <w:kern w:val="2"/>
          <w:szCs w:val="24"/>
          <w:vertAlign w:val="superscript"/>
        </w:rPr>
        <w:t>2</w:t>
      </w:r>
      <w:r w:rsidR="002F0C6A" w:rsidRPr="002F0C6A">
        <w:rPr>
          <w:kern w:val="2"/>
          <w:szCs w:val="24"/>
        </w:rPr>
        <w:t>.a</w:t>
      </w:r>
      <w:r w:rsidR="002F0C6A" w:rsidRPr="002F0C6A">
        <w:rPr>
          <w:kern w:val="2"/>
          <w:szCs w:val="24"/>
        </w:rPr>
        <w:t>），比中国陆地生态系统平均值低</w:t>
      </w:r>
      <w:r w:rsidR="002F0C6A" w:rsidRPr="002F0C6A">
        <w:rPr>
          <w:rFonts w:hint="eastAsia"/>
          <w:kern w:val="2"/>
          <w:szCs w:val="24"/>
        </w:rPr>
        <w:t>161.93</w:t>
      </w:r>
      <w:r w:rsidR="002F0C6A" w:rsidRPr="002F0C6A">
        <w:rPr>
          <w:kern w:val="2"/>
          <w:szCs w:val="24"/>
        </w:rPr>
        <w:t>gC/</w:t>
      </w:r>
      <w:r w:rsidR="002F0C6A" w:rsidRPr="002F0C6A">
        <w:rPr>
          <w:kern w:val="2"/>
          <w:szCs w:val="24"/>
        </w:rPr>
        <w:t>（</w:t>
      </w:r>
      <w:r w:rsidR="002F0C6A" w:rsidRPr="002F0C6A">
        <w:rPr>
          <w:kern w:val="2"/>
          <w:szCs w:val="24"/>
        </w:rPr>
        <w:t>m</w:t>
      </w:r>
      <w:r w:rsidR="002F0C6A" w:rsidRPr="002F0C6A">
        <w:rPr>
          <w:kern w:val="2"/>
          <w:szCs w:val="24"/>
          <w:vertAlign w:val="superscript"/>
        </w:rPr>
        <w:t>2</w:t>
      </w:r>
      <w:r w:rsidR="002F0C6A" w:rsidRPr="002F0C6A">
        <w:rPr>
          <w:kern w:val="2"/>
          <w:szCs w:val="24"/>
        </w:rPr>
        <w:t>.a</w:t>
      </w:r>
      <w:r w:rsidR="002F0C6A" w:rsidRPr="002F0C6A">
        <w:rPr>
          <w:kern w:val="2"/>
          <w:szCs w:val="24"/>
        </w:rPr>
        <w:t>），远不及评价范围土地自然生产力</w:t>
      </w:r>
      <w:r w:rsidR="002F0C6A" w:rsidRPr="002F0C6A">
        <w:rPr>
          <w:rFonts w:hint="eastAsia"/>
          <w:kern w:val="2"/>
          <w:szCs w:val="24"/>
        </w:rPr>
        <w:t>1585.88</w:t>
      </w:r>
      <w:r w:rsidR="002F0C6A" w:rsidRPr="002F0C6A">
        <w:rPr>
          <w:kern w:val="2"/>
          <w:szCs w:val="24"/>
        </w:rPr>
        <w:t>t/hm</w:t>
      </w:r>
      <w:r w:rsidR="002F0C6A" w:rsidRPr="002F0C6A">
        <w:rPr>
          <w:kern w:val="2"/>
          <w:szCs w:val="24"/>
          <w:vertAlign w:val="superscript"/>
        </w:rPr>
        <w:t>2</w:t>
      </w:r>
      <w:r w:rsidR="002F0C6A" w:rsidRPr="002F0C6A">
        <w:rPr>
          <w:kern w:val="2"/>
          <w:szCs w:val="24"/>
        </w:rPr>
        <w:t>/a</w:t>
      </w:r>
      <w:r w:rsidR="002F0C6A" w:rsidRPr="002F0C6A">
        <w:rPr>
          <w:kern w:val="2"/>
          <w:szCs w:val="24"/>
        </w:rPr>
        <w:t>，主要是由于评价范围内平均净生产力水平较高的地带性常绿阔叶林植被，因为人为干扰，已经基本不复存在，取而代之的是平均净生产力水平较低的常绿针叶林和落叶阔叶林植被及耕地植被</w:t>
      </w:r>
      <w:r w:rsidRPr="00D630D1">
        <w:rPr>
          <w:szCs w:val="24"/>
        </w:rPr>
        <w:t>。</w:t>
      </w:r>
    </w:p>
    <w:p w:rsidR="0079614C" w:rsidRPr="00D630D1" w:rsidRDefault="0079614C" w:rsidP="0079614C">
      <w:pPr>
        <w:topLinePunct w:val="0"/>
        <w:adjustRightInd/>
        <w:spacing w:line="480" w:lineRule="exact"/>
        <w:ind w:firstLine="482"/>
        <w:rPr>
          <w:rFonts w:ascii="Times New Roman" w:cs="Times New Roman"/>
          <w:b/>
          <w:bCs/>
          <w:kern w:val="2"/>
        </w:rPr>
      </w:pPr>
      <w:r w:rsidRPr="00D630D1">
        <w:rPr>
          <w:rFonts w:ascii="Times New Roman" w:cs="Times New Roman"/>
          <w:b/>
          <w:bCs/>
          <w:kern w:val="2"/>
        </w:rPr>
        <w:t>（</w:t>
      </w:r>
      <w:r w:rsidRPr="00D630D1">
        <w:rPr>
          <w:rFonts w:ascii="Times New Roman" w:cs="Times New Roman"/>
          <w:b/>
          <w:bCs/>
          <w:kern w:val="2"/>
        </w:rPr>
        <w:t>3</w:t>
      </w:r>
      <w:r w:rsidRPr="00D630D1">
        <w:rPr>
          <w:rFonts w:ascii="Times New Roman" w:cs="Times New Roman"/>
          <w:b/>
          <w:bCs/>
          <w:kern w:val="2"/>
        </w:rPr>
        <w:t>）评价范围植被生物量现状评价</w:t>
      </w:r>
    </w:p>
    <w:p w:rsidR="0079614C" w:rsidRPr="00D630D1" w:rsidRDefault="0079614C" w:rsidP="00F96E37">
      <w:pPr>
        <w:topLinePunct w:val="0"/>
        <w:snapToGrid w:val="0"/>
        <w:spacing w:beforeLines="50"/>
        <w:ind w:firstLine="480"/>
        <w:rPr>
          <w:rFonts w:ascii="Times New Roman" w:cs="Times New Roman"/>
        </w:rPr>
      </w:pPr>
      <w:r w:rsidRPr="00D630D1">
        <w:rPr>
          <w:rFonts w:ascii="Times New Roman" w:cs="Times New Roman"/>
        </w:rPr>
        <w:t>植被的生物量是指一定地段面积内植物群落在某一时期生存着的活有机物质之重量，以</w:t>
      </w:r>
      <w:r w:rsidRPr="00D630D1">
        <w:rPr>
          <w:rFonts w:ascii="Times New Roman" w:cs="Times New Roman"/>
        </w:rPr>
        <w:t>t/hm</w:t>
      </w:r>
      <w:r w:rsidRPr="00D630D1">
        <w:rPr>
          <w:rFonts w:ascii="Times New Roman" w:cs="Times New Roman"/>
          <w:vertAlign w:val="superscript"/>
        </w:rPr>
        <w:t>2</w:t>
      </w:r>
      <w:r w:rsidRPr="00D630D1">
        <w:rPr>
          <w:rFonts w:ascii="Times New Roman" w:cs="Times New Roman"/>
        </w:rPr>
        <w:t>表示。群落类型不同，其生物量测定的方法也有所不同。</w:t>
      </w:r>
    </w:p>
    <w:p w:rsidR="0079614C" w:rsidRPr="00D630D1" w:rsidRDefault="0079614C" w:rsidP="0079614C">
      <w:pPr>
        <w:topLinePunct w:val="0"/>
        <w:snapToGrid w:val="0"/>
        <w:ind w:firstLine="482"/>
        <w:rPr>
          <w:rFonts w:ascii="Times New Roman" w:cs="Times New Roman"/>
          <w:b/>
          <w:bCs/>
        </w:rPr>
      </w:pPr>
      <w:r w:rsidRPr="00D630D1">
        <w:rPr>
          <w:rFonts w:ascii="Times New Roman" w:cs="Times New Roman"/>
          <w:b/>
          <w:bCs/>
        </w:rPr>
        <w:t>1</w:t>
      </w:r>
      <w:r w:rsidRPr="00D630D1">
        <w:rPr>
          <w:rFonts w:ascii="Times New Roman" w:cs="Times New Roman"/>
          <w:b/>
          <w:bCs/>
        </w:rPr>
        <w:t>、森林群落生物量</w:t>
      </w:r>
    </w:p>
    <w:p w:rsidR="0079614C" w:rsidRPr="00D630D1" w:rsidRDefault="0079614C" w:rsidP="0079614C">
      <w:pPr>
        <w:topLinePunct w:val="0"/>
        <w:snapToGrid w:val="0"/>
        <w:ind w:firstLine="480"/>
        <w:rPr>
          <w:rFonts w:ascii="Times New Roman" w:cs="Times New Roman"/>
        </w:rPr>
      </w:pPr>
      <w:r w:rsidRPr="00D630D1">
        <w:rPr>
          <w:rFonts w:ascii="Times New Roman" w:cs="Times New Roman"/>
        </w:rPr>
        <w:t>森林生物量目前常用材积推算法来估算，用此方法估算出的生物量被称为材积源生物量。由于在作材积分析时需要对森林群落样地的林木进行砍伐取样，在实际操作中要涉及到取样木砍伐的审批手续及样木赔偿付费等问题，因此，本次森林生物量的估算采取借用中国科学院生态环境研究中心专家建立的我国森林生物量的基本参数，以</w:t>
      </w:r>
      <w:r w:rsidRPr="00D630D1">
        <w:rPr>
          <w:rFonts w:ascii="Times New Roman" w:cs="Times New Roman"/>
        </w:rPr>
        <w:t>79.2t/hm</w:t>
      </w:r>
      <w:r w:rsidRPr="00D630D1">
        <w:rPr>
          <w:rFonts w:ascii="Times New Roman" w:cs="Times New Roman"/>
          <w:vertAlign w:val="superscript"/>
        </w:rPr>
        <w:t>2</w:t>
      </w:r>
      <w:r w:rsidRPr="00D630D1">
        <w:rPr>
          <w:rFonts w:ascii="Times New Roman" w:cs="Times New Roman"/>
        </w:rPr>
        <w:t>作为本次森林生物量估算的基础。考虑到上述参数未将森林群落的林下灌木、草本之生物量计入，因此，又借用中山大学学者在我国南方地区（广州林区）所进行的森林生物量测定中增加的灌木草本层生物量之补充，即在材积源生物量中增加</w:t>
      </w:r>
      <w:r w:rsidRPr="00D630D1">
        <w:rPr>
          <w:rFonts w:ascii="Times New Roman" w:cs="Times New Roman"/>
        </w:rPr>
        <w:t>10t/hm</w:t>
      </w:r>
      <w:r w:rsidRPr="00D630D1">
        <w:rPr>
          <w:rFonts w:ascii="Times New Roman" w:cs="Times New Roman"/>
          <w:vertAlign w:val="superscript"/>
        </w:rPr>
        <w:t>2</w:t>
      </w:r>
      <w:r w:rsidRPr="00D630D1">
        <w:rPr>
          <w:rFonts w:ascii="Times New Roman" w:cs="Times New Roman"/>
        </w:rPr>
        <w:t>，即以（</w:t>
      </w:r>
      <w:r w:rsidRPr="00D630D1">
        <w:rPr>
          <w:rFonts w:ascii="Times New Roman" w:cs="Times New Roman"/>
        </w:rPr>
        <w:t>79.2</w:t>
      </w:r>
      <w:r w:rsidRPr="00D630D1">
        <w:rPr>
          <w:rFonts w:ascii="Times New Roman" w:cs="Times New Roman"/>
        </w:rPr>
        <w:t>＋</w:t>
      </w:r>
      <w:r w:rsidRPr="00D630D1">
        <w:rPr>
          <w:rFonts w:ascii="Times New Roman" w:cs="Times New Roman"/>
        </w:rPr>
        <w:t>10</w:t>
      </w:r>
      <w:r w:rsidRPr="00D630D1">
        <w:rPr>
          <w:rFonts w:ascii="Times New Roman" w:cs="Times New Roman"/>
        </w:rPr>
        <w:t>）</w:t>
      </w:r>
      <w:r w:rsidRPr="00D630D1">
        <w:rPr>
          <w:rFonts w:ascii="Times New Roman" w:cs="Times New Roman"/>
        </w:rPr>
        <w:t>t/hm</w:t>
      </w:r>
      <w:r w:rsidRPr="00D630D1">
        <w:rPr>
          <w:rFonts w:ascii="Times New Roman" w:cs="Times New Roman"/>
          <w:vertAlign w:val="superscript"/>
        </w:rPr>
        <w:t>2</w:t>
      </w:r>
      <w:r w:rsidRPr="00D630D1">
        <w:rPr>
          <w:rFonts w:ascii="Times New Roman" w:cs="Times New Roman"/>
        </w:rPr>
        <w:t>来作为本评价区域森林群落生物量的基数。</w:t>
      </w:r>
    </w:p>
    <w:p w:rsidR="0079614C" w:rsidRPr="00D630D1" w:rsidRDefault="0079614C" w:rsidP="0079614C">
      <w:pPr>
        <w:topLinePunct w:val="0"/>
        <w:snapToGrid w:val="0"/>
        <w:ind w:firstLine="482"/>
        <w:rPr>
          <w:rFonts w:ascii="Times New Roman" w:cs="Times New Roman"/>
          <w:b/>
          <w:bCs/>
        </w:rPr>
      </w:pPr>
      <w:r w:rsidRPr="00D630D1">
        <w:rPr>
          <w:rFonts w:ascii="Times New Roman" w:cs="Times New Roman"/>
          <w:b/>
          <w:bCs/>
        </w:rPr>
        <w:t>2</w:t>
      </w:r>
      <w:r w:rsidRPr="00D630D1">
        <w:rPr>
          <w:rFonts w:ascii="Times New Roman" w:cs="Times New Roman"/>
          <w:b/>
          <w:bCs/>
        </w:rPr>
        <w:t>、灌丛和灌草丛生物量</w:t>
      </w:r>
    </w:p>
    <w:p w:rsidR="0079614C" w:rsidRPr="00D630D1" w:rsidRDefault="0079614C" w:rsidP="0079614C">
      <w:pPr>
        <w:topLinePunct w:val="0"/>
        <w:snapToGrid w:val="0"/>
        <w:ind w:firstLineChars="0" w:firstLine="0"/>
        <w:rPr>
          <w:rFonts w:ascii="Times New Roman" w:cs="Times New Roman"/>
        </w:rPr>
      </w:pPr>
      <w:r w:rsidRPr="00D630D1">
        <w:rPr>
          <w:rFonts w:ascii="Times New Roman" w:cs="Times New Roman"/>
        </w:rPr>
        <w:t xml:space="preserve">    </w:t>
      </w:r>
      <w:r w:rsidRPr="00D630D1">
        <w:rPr>
          <w:rFonts w:ascii="Times New Roman" w:cs="Times New Roman"/>
        </w:rPr>
        <w:t>灌丛和灌草丛生物量采用收获法测定。本次野外实地调查中，选择不同灌丛和灌草丛类型，进行了典型样方生物量测定，考虑到不同灌丛类型其生物量有很大的差异，故分别对本区内两种类型的灌丛进行生物量的测定。灌丛共作</w:t>
      </w:r>
      <w:r w:rsidRPr="00D630D1">
        <w:rPr>
          <w:rFonts w:ascii="Times New Roman" w:cs="Times New Roman"/>
        </w:rPr>
        <w:t>4</w:t>
      </w:r>
      <w:r w:rsidRPr="00D630D1">
        <w:rPr>
          <w:rFonts w:ascii="Times New Roman" w:cs="Times New Roman"/>
        </w:rPr>
        <w:t>个</w:t>
      </w:r>
      <w:r w:rsidRPr="00D630D1">
        <w:rPr>
          <w:rFonts w:ascii="Times New Roman" w:cs="Times New Roman"/>
        </w:rPr>
        <w:t>5×5m</w:t>
      </w:r>
      <w:r w:rsidRPr="00D630D1">
        <w:rPr>
          <w:rFonts w:ascii="Times New Roman" w:cs="Times New Roman"/>
        </w:rPr>
        <w:t>的生物量样方，在每个样方内均匀取样</w:t>
      </w:r>
      <w:r w:rsidRPr="00D630D1">
        <w:rPr>
          <w:rFonts w:ascii="Times New Roman" w:cs="Times New Roman"/>
        </w:rPr>
        <w:t>4m</w:t>
      </w:r>
      <w:r w:rsidRPr="00D630D1">
        <w:rPr>
          <w:rFonts w:ascii="Times New Roman" w:cs="Times New Roman"/>
          <w:vertAlign w:val="superscript"/>
        </w:rPr>
        <w:t>2</w:t>
      </w:r>
      <w:r w:rsidRPr="00D630D1">
        <w:rPr>
          <w:rFonts w:ascii="Times New Roman" w:cs="Times New Roman"/>
        </w:rPr>
        <w:t>的生物量（鲜重），并将部分鲜样称重后带回实验室内恒温箱中</w:t>
      </w:r>
      <w:r w:rsidRPr="00D630D1">
        <w:rPr>
          <w:rFonts w:ascii="Times New Roman" w:cs="Times New Roman"/>
        </w:rPr>
        <w:t>80℃</w:t>
      </w:r>
      <w:r w:rsidRPr="00D630D1">
        <w:rPr>
          <w:rFonts w:ascii="Times New Roman" w:cs="Times New Roman"/>
        </w:rPr>
        <w:t>烘干至恒重，计算含水量及干物质重量，将生物量鲜重换算成干重，得到灌丛地上部分平均生物量为</w:t>
      </w:r>
      <w:r w:rsidRPr="00D630D1">
        <w:rPr>
          <w:rFonts w:ascii="Times New Roman" w:cs="Times New Roman"/>
        </w:rPr>
        <w:t>16.28t/hm</w:t>
      </w:r>
      <w:r w:rsidRPr="00D630D1">
        <w:rPr>
          <w:rFonts w:ascii="Times New Roman" w:cs="Times New Roman"/>
          <w:vertAlign w:val="superscript"/>
        </w:rPr>
        <w:t>2</w:t>
      </w:r>
      <w:r w:rsidRPr="00D630D1">
        <w:rPr>
          <w:rFonts w:ascii="Times New Roman" w:cs="Times New Roman"/>
        </w:rPr>
        <w:t>；灌草丛</w:t>
      </w:r>
      <w:r w:rsidRPr="00D630D1">
        <w:rPr>
          <w:rFonts w:ascii="Times New Roman" w:cs="Times New Roman"/>
        </w:rPr>
        <w:lastRenderedPageBreak/>
        <w:t>取</w:t>
      </w:r>
      <w:r w:rsidRPr="00D630D1">
        <w:rPr>
          <w:rFonts w:ascii="Times New Roman" w:cs="Times New Roman"/>
        </w:rPr>
        <w:t>4</w:t>
      </w:r>
      <w:r w:rsidRPr="00D630D1">
        <w:rPr>
          <w:rFonts w:ascii="Times New Roman" w:cs="Times New Roman"/>
        </w:rPr>
        <w:t>个</w:t>
      </w:r>
      <w:r w:rsidRPr="00D630D1">
        <w:rPr>
          <w:rFonts w:ascii="Times New Roman" w:cs="Times New Roman"/>
        </w:rPr>
        <w:t>1×1m</w:t>
      </w:r>
      <w:r w:rsidRPr="00D630D1">
        <w:rPr>
          <w:rFonts w:ascii="Times New Roman" w:cs="Times New Roman"/>
        </w:rPr>
        <w:t>的生物量样方，在每个样方内均匀取样</w:t>
      </w:r>
      <w:r w:rsidRPr="00D630D1">
        <w:rPr>
          <w:rFonts w:ascii="Times New Roman" w:cs="Times New Roman"/>
        </w:rPr>
        <w:t>1m</w:t>
      </w:r>
      <w:r w:rsidRPr="00D630D1">
        <w:rPr>
          <w:rFonts w:ascii="Times New Roman" w:cs="Times New Roman"/>
          <w:vertAlign w:val="superscript"/>
        </w:rPr>
        <w:t>2</w:t>
      </w:r>
      <w:r w:rsidRPr="00D630D1">
        <w:rPr>
          <w:rFonts w:ascii="Times New Roman" w:cs="Times New Roman"/>
        </w:rPr>
        <w:t>的生物量（鲜重），并将部分鲜样称重后带回实验室内恒温箱中</w:t>
      </w:r>
      <w:r w:rsidRPr="00D630D1">
        <w:rPr>
          <w:rFonts w:ascii="Times New Roman" w:cs="Times New Roman"/>
        </w:rPr>
        <w:t>80℃</w:t>
      </w:r>
      <w:r w:rsidRPr="00D630D1">
        <w:rPr>
          <w:rFonts w:ascii="Times New Roman" w:cs="Times New Roman"/>
        </w:rPr>
        <w:t>烘干至恒重，计算含水量及干物质重量，将生物量鲜重换算成干重，得到灌草丛地上部分平均生物量为</w:t>
      </w:r>
      <w:r w:rsidRPr="00D630D1">
        <w:rPr>
          <w:rFonts w:ascii="Times New Roman" w:cs="Times New Roman"/>
        </w:rPr>
        <w:t>4.52t/hm</w:t>
      </w:r>
      <w:r w:rsidRPr="00D630D1">
        <w:rPr>
          <w:rFonts w:ascii="Times New Roman" w:cs="Times New Roman"/>
          <w:vertAlign w:val="superscript"/>
        </w:rPr>
        <w:t>2</w:t>
      </w:r>
      <w:r w:rsidRPr="00D630D1">
        <w:rPr>
          <w:rFonts w:ascii="Times New Roman" w:cs="Times New Roman"/>
        </w:rPr>
        <w:t>。由于现场测定仅作了灌丛和灌草丛的地上部分生物量的测定，地下部分生物量则利用已有的生物量资料中地上部分（</w:t>
      </w:r>
      <w:r w:rsidRPr="00D630D1">
        <w:rPr>
          <w:rFonts w:ascii="Times New Roman" w:cs="Times New Roman"/>
        </w:rPr>
        <w:t>T</w:t>
      </w:r>
      <w:r w:rsidRPr="00D630D1">
        <w:rPr>
          <w:rFonts w:ascii="Times New Roman" w:cs="Times New Roman"/>
        </w:rPr>
        <w:t>）与地下部分（</w:t>
      </w:r>
      <w:r w:rsidRPr="00D630D1">
        <w:rPr>
          <w:rFonts w:ascii="Times New Roman" w:cs="Times New Roman"/>
        </w:rPr>
        <w:t>R</w:t>
      </w:r>
      <w:r w:rsidRPr="00D630D1">
        <w:rPr>
          <w:rFonts w:ascii="Times New Roman" w:cs="Times New Roman"/>
        </w:rPr>
        <w:t>）之比例系数（</w:t>
      </w:r>
      <w:r w:rsidRPr="00D630D1">
        <w:rPr>
          <w:rFonts w:ascii="Times New Roman" w:cs="Times New Roman"/>
        </w:rPr>
        <w:t>T/R</w:t>
      </w:r>
      <w:r w:rsidRPr="00D630D1">
        <w:rPr>
          <w:rFonts w:ascii="Times New Roman" w:cs="Times New Roman"/>
        </w:rPr>
        <w:t>）为</w:t>
      </w:r>
      <w:r w:rsidRPr="00D630D1">
        <w:rPr>
          <w:rFonts w:ascii="Times New Roman" w:cs="Times New Roman"/>
        </w:rPr>
        <w:t>1.44</w:t>
      </w:r>
      <w:r w:rsidRPr="00D630D1">
        <w:rPr>
          <w:rFonts w:ascii="Times New Roman" w:cs="Times New Roman"/>
        </w:rPr>
        <w:t>的系数来推算出本评价范围内灌丛和灌草丛生物量的地下部分（屠玉麟，贵州中部喀斯特灌丛群落生物量研究，《中国岩溶》．</w:t>
      </w:r>
      <w:r w:rsidRPr="00D630D1">
        <w:rPr>
          <w:rFonts w:ascii="Times New Roman" w:cs="Times New Roman"/>
        </w:rPr>
        <w:t>Vol.14.No.3.1995</w:t>
      </w:r>
      <w:r w:rsidRPr="00D630D1">
        <w:rPr>
          <w:rFonts w:ascii="Times New Roman" w:cs="Times New Roman"/>
        </w:rPr>
        <w:t>）。因此，灌丛的生物量即为地上部分与地下部分之和：（</w:t>
      </w:r>
      <w:r w:rsidRPr="00D630D1">
        <w:rPr>
          <w:rFonts w:ascii="Times New Roman" w:cs="Times New Roman"/>
        </w:rPr>
        <w:t>16.28</w:t>
      </w:r>
      <w:r w:rsidRPr="00D630D1">
        <w:rPr>
          <w:rFonts w:ascii="Times New Roman" w:cs="Times New Roman"/>
        </w:rPr>
        <w:t>＋</w:t>
      </w:r>
      <w:r w:rsidRPr="00D630D1">
        <w:rPr>
          <w:rFonts w:ascii="Times New Roman" w:cs="Times New Roman"/>
        </w:rPr>
        <w:t>16.28/1.44</w:t>
      </w:r>
      <w:r w:rsidRPr="00D630D1">
        <w:rPr>
          <w:rFonts w:ascii="Times New Roman" w:cs="Times New Roman"/>
        </w:rPr>
        <w:t>）</w:t>
      </w:r>
      <w:r w:rsidRPr="00D630D1">
        <w:rPr>
          <w:rFonts w:ascii="Times New Roman" w:cs="Times New Roman"/>
        </w:rPr>
        <w:t>=27.58t/hm</w:t>
      </w:r>
      <w:r w:rsidRPr="00D630D1">
        <w:rPr>
          <w:rFonts w:ascii="Times New Roman" w:cs="Times New Roman"/>
          <w:vertAlign w:val="superscript"/>
        </w:rPr>
        <w:t>2</w:t>
      </w:r>
      <w:r w:rsidRPr="00D630D1">
        <w:rPr>
          <w:rFonts w:ascii="Times New Roman" w:cs="Times New Roman"/>
        </w:rPr>
        <w:t>，灌草丛的生物量即为地上部分与地下部分之和：（</w:t>
      </w:r>
      <w:r w:rsidRPr="00D630D1">
        <w:rPr>
          <w:rFonts w:ascii="Times New Roman" w:cs="Times New Roman"/>
        </w:rPr>
        <w:t>4.52</w:t>
      </w:r>
      <w:r w:rsidRPr="00D630D1">
        <w:rPr>
          <w:rFonts w:ascii="Times New Roman" w:cs="Times New Roman"/>
        </w:rPr>
        <w:t>＋</w:t>
      </w:r>
      <w:r w:rsidRPr="00D630D1">
        <w:rPr>
          <w:rFonts w:ascii="Times New Roman" w:cs="Times New Roman"/>
        </w:rPr>
        <w:t>4.52/1.44</w:t>
      </w:r>
      <w:r w:rsidRPr="00D630D1">
        <w:rPr>
          <w:rFonts w:ascii="Times New Roman" w:cs="Times New Roman"/>
        </w:rPr>
        <w:t>）</w:t>
      </w:r>
      <w:r w:rsidRPr="00D630D1">
        <w:rPr>
          <w:rFonts w:ascii="Times New Roman" w:cs="Times New Roman"/>
        </w:rPr>
        <w:t>=7.66t/hm</w:t>
      </w:r>
      <w:r w:rsidRPr="00D630D1">
        <w:rPr>
          <w:rFonts w:ascii="Times New Roman" w:cs="Times New Roman"/>
          <w:vertAlign w:val="superscript"/>
        </w:rPr>
        <w:t>2</w:t>
      </w:r>
      <w:r w:rsidRPr="00D630D1">
        <w:rPr>
          <w:rFonts w:ascii="Times New Roman" w:cs="Times New Roman"/>
        </w:rPr>
        <w:t>。</w:t>
      </w:r>
    </w:p>
    <w:p w:rsidR="0079614C" w:rsidRPr="00D630D1" w:rsidRDefault="0079614C" w:rsidP="0079614C">
      <w:pPr>
        <w:topLinePunct w:val="0"/>
        <w:snapToGrid w:val="0"/>
        <w:ind w:firstLineChars="0" w:firstLine="0"/>
        <w:rPr>
          <w:rFonts w:ascii="Times New Roman" w:cs="Times New Roman"/>
          <w:b/>
          <w:bCs/>
        </w:rPr>
      </w:pPr>
      <w:r w:rsidRPr="00D630D1">
        <w:rPr>
          <w:rFonts w:ascii="Times New Roman" w:cs="Times New Roman"/>
          <w:b/>
          <w:bCs/>
        </w:rPr>
        <w:t xml:space="preserve">    3</w:t>
      </w:r>
      <w:r w:rsidRPr="00D630D1">
        <w:rPr>
          <w:rFonts w:ascii="Times New Roman" w:cs="Times New Roman"/>
          <w:b/>
          <w:bCs/>
        </w:rPr>
        <w:t>、农田植被的生物量</w:t>
      </w:r>
    </w:p>
    <w:p w:rsidR="006F3D85" w:rsidRDefault="0079614C" w:rsidP="0079614C">
      <w:pPr>
        <w:pStyle w:val="afa"/>
        <w:ind w:firstLine="480"/>
        <w:rPr>
          <w:kern w:val="2"/>
          <w:szCs w:val="24"/>
        </w:rPr>
      </w:pPr>
      <w:r w:rsidRPr="00D630D1">
        <w:rPr>
          <w:kern w:val="2"/>
          <w:szCs w:val="24"/>
        </w:rPr>
        <w:t>农田植被生物量由三部分组成，即作物子粒、秸杆和根茬。由于目前尚无</w:t>
      </w:r>
      <w:r w:rsidRPr="00D630D1">
        <w:rPr>
          <w:rFonts w:hint="eastAsia"/>
          <w:kern w:val="2"/>
          <w:szCs w:val="24"/>
        </w:rPr>
        <w:t>宣汉县</w:t>
      </w:r>
      <w:r w:rsidRPr="00D630D1">
        <w:rPr>
          <w:kern w:val="2"/>
          <w:szCs w:val="24"/>
        </w:rPr>
        <w:t>农田的秸杆、根茬单位面积产量数据</w:t>
      </w:r>
      <w:r w:rsidRPr="00D630D1">
        <w:rPr>
          <w:rFonts w:hint="eastAsia"/>
          <w:kern w:val="2"/>
          <w:szCs w:val="24"/>
        </w:rPr>
        <w:t>，</w:t>
      </w:r>
      <w:r w:rsidRPr="00D630D1">
        <w:rPr>
          <w:kern w:val="2"/>
          <w:szCs w:val="24"/>
        </w:rPr>
        <w:t>农田植被生物量基数参考</w:t>
      </w:r>
      <w:r w:rsidRPr="00D630D1">
        <w:rPr>
          <w:rFonts w:hint="eastAsia"/>
          <w:kern w:val="2"/>
          <w:szCs w:val="24"/>
        </w:rPr>
        <w:t>四川</w:t>
      </w:r>
      <w:r w:rsidRPr="00D630D1">
        <w:rPr>
          <w:kern w:val="2"/>
          <w:szCs w:val="24"/>
        </w:rPr>
        <w:t>省已有案例。</w:t>
      </w:r>
    </w:p>
    <w:p w:rsidR="002F0C6A" w:rsidRPr="00D630D1" w:rsidRDefault="002F0C6A" w:rsidP="0079614C">
      <w:pPr>
        <w:pStyle w:val="afa"/>
        <w:ind w:firstLine="480"/>
        <w:rPr>
          <w:kern w:val="2"/>
          <w:szCs w:val="24"/>
          <w:lang w:val="de-DE"/>
        </w:rPr>
      </w:pPr>
    </w:p>
    <w:p w:rsidR="0079614C" w:rsidRDefault="0079614C" w:rsidP="0079614C">
      <w:pPr>
        <w:topLinePunct w:val="0"/>
        <w:snapToGrid w:val="0"/>
        <w:spacing w:line="240" w:lineRule="auto"/>
        <w:ind w:firstLineChars="0" w:firstLine="561"/>
        <w:jc w:val="center"/>
        <w:rPr>
          <w:rFonts w:ascii="Times New Roman" w:cs="Times New Roman"/>
          <w:b/>
          <w:sz w:val="21"/>
          <w:szCs w:val="21"/>
        </w:rPr>
      </w:pPr>
      <w:r w:rsidRPr="00D630D1">
        <w:rPr>
          <w:rFonts w:ascii="Times New Roman" w:cs="Times New Roman"/>
          <w:b/>
          <w:sz w:val="21"/>
          <w:szCs w:val="21"/>
        </w:rPr>
        <w:t>表</w:t>
      </w:r>
      <w:r w:rsidRPr="00D630D1">
        <w:rPr>
          <w:rFonts w:ascii="Times New Roman" w:cs="Times New Roman" w:hint="eastAsia"/>
          <w:b/>
          <w:sz w:val="21"/>
          <w:szCs w:val="21"/>
        </w:rPr>
        <w:t>5.2-13</w:t>
      </w:r>
      <w:r w:rsidRPr="00D630D1">
        <w:rPr>
          <w:rFonts w:ascii="Times New Roman" w:cs="Times New Roman"/>
          <w:b/>
          <w:sz w:val="21"/>
          <w:szCs w:val="21"/>
        </w:rPr>
        <w:t xml:space="preserve"> </w:t>
      </w:r>
      <w:r w:rsidRPr="00D630D1">
        <w:rPr>
          <w:rFonts w:ascii="Times New Roman" w:cs="Times New Roman"/>
          <w:b/>
          <w:sz w:val="21"/>
          <w:szCs w:val="21"/>
        </w:rPr>
        <w:t>评价范围内的植被生物量现状值</w:t>
      </w:r>
    </w:p>
    <w:tbl>
      <w:tblPr>
        <w:tblW w:w="7879"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575"/>
        <w:gridCol w:w="1570"/>
        <w:gridCol w:w="1740"/>
        <w:gridCol w:w="1560"/>
        <w:gridCol w:w="1434"/>
      </w:tblGrid>
      <w:tr w:rsidR="002F0C6A" w:rsidRPr="002F0C6A" w:rsidTr="002F0C6A">
        <w:trPr>
          <w:trHeight w:val="340"/>
          <w:jc w:val="center"/>
        </w:trPr>
        <w:tc>
          <w:tcPr>
            <w:tcW w:w="1575" w:type="dxa"/>
            <w:vMerge w:val="restart"/>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r w:rsidRPr="002F0C6A">
              <w:rPr>
                <w:rFonts w:ascii="Times New Roman" w:cs="Times New Roman"/>
                <w:sz w:val="21"/>
                <w:szCs w:val="21"/>
              </w:rPr>
              <w:t>植被类型</w:t>
            </w:r>
          </w:p>
        </w:tc>
        <w:tc>
          <w:tcPr>
            <w:tcW w:w="4870" w:type="dxa"/>
            <w:gridSpan w:val="3"/>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r w:rsidRPr="002F0C6A">
              <w:rPr>
                <w:rFonts w:ascii="Times New Roman" w:cs="Times New Roman"/>
                <w:sz w:val="21"/>
                <w:szCs w:val="21"/>
              </w:rPr>
              <w:t>项目评价范围</w:t>
            </w:r>
          </w:p>
        </w:tc>
        <w:tc>
          <w:tcPr>
            <w:tcW w:w="1434"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p>
        </w:tc>
      </w:tr>
      <w:tr w:rsidR="002F0C6A" w:rsidRPr="002F0C6A" w:rsidTr="002F0C6A">
        <w:trPr>
          <w:trHeight w:val="340"/>
          <w:jc w:val="center"/>
        </w:trPr>
        <w:tc>
          <w:tcPr>
            <w:tcW w:w="1575" w:type="dxa"/>
            <w:vMerge/>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p>
        </w:tc>
        <w:tc>
          <w:tcPr>
            <w:tcW w:w="157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r w:rsidRPr="002F0C6A">
              <w:rPr>
                <w:rFonts w:ascii="Times New Roman" w:cs="Times New Roman"/>
                <w:sz w:val="21"/>
                <w:szCs w:val="21"/>
              </w:rPr>
              <w:t>面积</w:t>
            </w:r>
            <w:r>
              <w:rPr>
                <w:rFonts w:ascii="Times New Roman" w:cs="Times New Roman" w:hint="eastAsia"/>
                <w:sz w:val="21"/>
                <w:szCs w:val="21"/>
              </w:rPr>
              <w:t>（</w:t>
            </w:r>
            <w:r w:rsidRPr="002F0C6A">
              <w:rPr>
                <w:rFonts w:ascii="Times New Roman" w:cs="Times New Roman"/>
                <w:sz w:val="21"/>
                <w:szCs w:val="21"/>
              </w:rPr>
              <w:t>hm</w:t>
            </w:r>
            <w:r w:rsidRPr="002F0C6A">
              <w:rPr>
                <w:rFonts w:ascii="Times New Roman" w:cs="Times New Roman"/>
                <w:sz w:val="21"/>
                <w:szCs w:val="21"/>
                <w:vertAlign w:val="superscript"/>
              </w:rPr>
              <w:t>2</w:t>
            </w:r>
            <w:r>
              <w:rPr>
                <w:rFonts w:ascii="Times New Roman" w:cs="Times New Roman" w:hint="eastAsia"/>
                <w:sz w:val="21"/>
                <w:szCs w:val="21"/>
              </w:rPr>
              <w:t>）</w:t>
            </w:r>
          </w:p>
        </w:tc>
        <w:tc>
          <w:tcPr>
            <w:tcW w:w="174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r w:rsidRPr="002F0C6A">
              <w:rPr>
                <w:rFonts w:ascii="Times New Roman" w:cs="Times New Roman"/>
                <w:sz w:val="21"/>
                <w:szCs w:val="21"/>
              </w:rPr>
              <w:t>基数</w:t>
            </w:r>
            <w:r>
              <w:rPr>
                <w:rFonts w:ascii="Times New Roman" w:cs="Times New Roman" w:hint="eastAsia"/>
                <w:sz w:val="21"/>
                <w:szCs w:val="21"/>
              </w:rPr>
              <w:t>（</w:t>
            </w:r>
            <w:r w:rsidRPr="002F0C6A">
              <w:rPr>
                <w:rFonts w:ascii="Times New Roman" w:cs="Times New Roman"/>
              </w:rPr>
              <w:t>t/hm²</w:t>
            </w:r>
            <w:r>
              <w:rPr>
                <w:rFonts w:ascii="Times New Roman" w:cs="Times New Roman" w:hint="eastAsia"/>
                <w:sz w:val="21"/>
                <w:szCs w:val="21"/>
              </w:rPr>
              <w:t>）</w:t>
            </w:r>
          </w:p>
        </w:tc>
        <w:tc>
          <w:tcPr>
            <w:tcW w:w="1560"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r w:rsidRPr="002F0C6A">
              <w:rPr>
                <w:rFonts w:ascii="Times New Roman" w:cs="Times New Roman"/>
                <w:sz w:val="21"/>
                <w:szCs w:val="21"/>
              </w:rPr>
              <w:t>生物量</w:t>
            </w:r>
            <w:r>
              <w:rPr>
                <w:rFonts w:ascii="Times New Roman" w:cs="Times New Roman" w:hint="eastAsia"/>
                <w:sz w:val="21"/>
                <w:szCs w:val="21"/>
              </w:rPr>
              <w:t>（</w:t>
            </w:r>
            <w:r w:rsidRPr="002F0C6A">
              <w:rPr>
                <w:rFonts w:ascii="Times New Roman" w:cs="Times New Roman"/>
                <w:sz w:val="21"/>
                <w:szCs w:val="21"/>
              </w:rPr>
              <w:t>t</w:t>
            </w:r>
            <w:r>
              <w:rPr>
                <w:rFonts w:ascii="Times New Roman" w:cs="Times New Roman" w:hint="eastAsia"/>
                <w:sz w:val="21"/>
                <w:szCs w:val="21"/>
              </w:rPr>
              <w:t>）</w:t>
            </w:r>
          </w:p>
        </w:tc>
        <w:tc>
          <w:tcPr>
            <w:tcW w:w="1434"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r w:rsidRPr="002F0C6A">
              <w:rPr>
                <w:rFonts w:ascii="Times New Roman" w:cs="Times New Roman"/>
                <w:sz w:val="21"/>
                <w:szCs w:val="21"/>
              </w:rPr>
              <w:t>百分比（</w:t>
            </w:r>
            <w:r w:rsidRPr="002F0C6A">
              <w:rPr>
                <w:rFonts w:ascii="Times New Roman" w:cs="Times New Roman"/>
                <w:sz w:val="21"/>
                <w:szCs w:val="21"/>
              </w:rPr>
              <w:t>%</w:t>
            </w:r>
            <w:r w:rsidRPr="002F0C6A">
              <w:rPr>
                <w:rFonts w:ascii="Times New Roman" w:cs="Times New Roman"/>
                <w:sz w:val="21"/>
                <w:szCs w:val="21"/>
              </w:rPr>
              <w:t>）</w:t>
            </w:r>
          </w:p>
        </w:tc>
      </w:tr>
      <w:tr w:rsidR="002F0C6A" w:rsidRPr="002F0C6A" w:rsidTr="002F0C6A">
        <w:trPr>
          <w:trHeight w:val="340"/>
          <w:jc w:val="center"/>
        </w:trPr>
        <w:tc>
          <w:tcPr>
            <w:tcW w:w="1575"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r w:rsidRPr="002F0C6A">
              <w:rPr>
                <w:rFonts w:ascii="Times New Roman" w:cs="Times New Roman"/>
                <w:sz w:val="21"/>
                <w:szCs w:val="21"/>
              </w:rPr>
              <w:t>水田植被</w:t>
            </w:r>
          </w:p>
        </w:tc>
        <w:tc>
          <w:tcPr>
            <w:tcW w:w="157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179.83</w:t>
            </w:r>
          </w:p>
        </w:tc>
        <w:tc>
          <w:tcPr>
            <w:tcW w:w="174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10.51</w:t>
            </w:r>
          </w:p>
        </w:tc>
        <w:tc>
          <w:tcPr>
            <w:tcW w:w="156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 xml:space="preserve">1890.01 </w:t>
            </w:r>
          </w:p>
        </w:tc>
        <w:tc>
          <w:tcPr>
            <w:tcW w:w="1434"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 xml:space="preserve">2.29 </w:t>
            </w:r>
          </w:p>
        </w:tc>
      </w:tr>
      <w:tr w:rsidR="002F0C6A" w:rsidRPr="002F0C6A" w:rsidTr="002F0C6A">
        <w:trPr>
          <w:trHeight w:val="340"/>
          <w:jc w:val="center"/>
        </w:trPr>
        <w:tc>
          <w:tcPr>
            <w:tcW w:w="1575"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r w:rsidRPr="002F0C6A">
              <w:rPr>
                <w:rFonts w:ascii="Times New Roman" w:cs="Times New Roman"/>
                <w:sz w:val="21"/>
                <w:szCs w:val="21"/>
              </w:rPr>
              <w:t>旱地植被</w:t>
            </w:r>
          </w:p>
        </w:tc>
        <w:tc>
          <w:tcPr>
            <w:tcW w:w="157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207.98</w:t>
            </w:r>
          </w:p>
        </w:tc>
        <w:tc>
          <w:tcPr>
            <w:tcW w:w="174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10.31</w:t>
            </w:r>
          </w:p>
        </w:tc>
        <w:tc>
          <w:tcPr>
            <w:tcW w:w="156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 xml:space="preserve">2144.27 </w:t>
            </w:r>
          </w:p>
        </w:tc>
        <w:tc>
          <w:tcPr>
            <w:tcW w:w="1434"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 xml:space="preserve">2.60 </w:t>
            </w:r>
          </w:p>
        </w:tc>
      </w:tr>
      <w:tr w:rsidR="002F0C6A" w:rsidRPr="002F0C6A" w:rsidTr="002F0C6A">
        <w:trPr>
          <w:trHeight w:val="340"/>
          <w:jc w:val="center"/>
        </w:trPr>
        <w:tc>
          <w:tcPr>
            <w:tcW w:w="1575"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r w:rsidRPr="002F0C6A">
              <w:rPr>
                <w:rFonts w:ascii="Times New Roman" w:cs="Times New Roman"/>
                <w:sz w:val="21"/>
                <w:szCs w:val="21"/>
              </w:rPr>
              <w:t>森林植被</w:t>
            </w:r>
          </w:p>
        </w:tc>
        <w:tc>
          <w:tcPr>
            <w:tcW w:w="157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hAnsi="宋体"/>
                <w:kern w:val="2"/>
              </w:rPr>
            </w:pPr>
            <w:r w:rsidRPr="002F0C6A">
              <w:rPr>
                <w:rFonts w:ascii="Times New Roman" w:cs="Times New Roman"/>
                <w:sz w:val="21"/>
                <w:szCs w:val="21"/>
              </w:rPr>
              <w:t>868.37</w:t>
            </w:r>
          </w:p>
        </w:tc>
        <w:tc>
          <w:tcPr>
            <w:tcW w:w="174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89.2</w:t>
            </w:r>
          </w:p>
        </w:tc>
        <w:tc>
          <w:tcPr>
            <w:tcW w:w="156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 xml:space="preserve">77458.60 </w:t>
            </w:r>
          </w:p>
        </w:tc>
        <w:tc>
          <w:tcPr>
            <w:tcW w:w="1434"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 xml:space="preserve">93.75 </w:t>
            </w:r>
          </w:p>
        </w:tc>
      </w:tr>
      <w:tr w:rsidR="002F0C6A" w:rsidRPr="002F0C6A" w:rsidTr="002F0C6A">
        <w:trPr>
          <w:trHeight w:val="340"/>
          <w:jc w:val="center"/>
        </w:trPr>
        <w:tc>
          <w:tcPr>
            <w:tcW w:w="1575"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r w:rsidRPr="002F0C6A">
              <w:rPr>
                <w:rFonts w:ascii="Times New Roman" w:cs="Times New Roman"/>
                <w:sz w:val="21"/>
                <w:szCs w:val="21"/>
              </w:rPr>
              <w:t>灌丛植被</w:t>
            </w:r>
          </w:p>
        </w:tc>
        <w:tc>
          <w:tcPr>
            <w:tcW w:w="157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36.38</w:t>
            </w:r>
          </w:p>
        </w:tc>
        <w:tc>
          <w:tcPr>
            <w:tcW w:w="174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27.58</w:t>
            </w:r>
          </w:p>
        </w:tc>
        <w:tc>
          <w:tcPr>
            <w:tcW w:w="156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 xml:space="preserve">1003.36 </w:t>
            </w:r>
          </w:p>
        </w:tc>
        <w:tc>
          <w:tcPr>
            <w:tcW w:w="1434"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 xml:space="preserve">1.21 </w:t>
            </w:r>
          </w:p>
        </w:tc>
      </w:tr>
      <w:tr w:rsidR="002F0C6A" w:rsidRPr="002F0C6A" w:rsidTr="002F0C6A">
        <w:trPr>
          <w:trHeight w:val="340"/>
          <w:jc w:val="center"/>
        </w:trPr>
        <w:tc>
          <w:tcPr>
            <w:tcW w:w="1575"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r w:rsidRPr="002F0C6A">
              <w:rPr>
                <w:rFonts w:ascii="Times New Roman" w:cs="Times New Roman"/>
                <w:sz w:val="21"/>
                <w:szCs w:val="21"/>
              </w:rPr>
              <w:t>灌草丛植被</w:t>
            </w:r>
          </w:p>
        </w:tc>
        <w:tc>
          <w:tcPr>
            <w:tcW w:w="157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16.01</w:t>
            </w:r>
          </w:p>
        </w:tc>
        <w:tc>
          <w:tcPr>
            <w:tcW w:w="174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7.66</w:t>
            </w:r>
          </w:p>
        </w:tc>
        <w:tc>
          <w:tcPr>
            <w:tcW w:w="156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 xml:space="preserve">122.64 </w:t>
            </w:r>
          </w:p>
        </w:tc>
        <w:tc>
          <w:tcPr>
            <w:tcW w:w="1434"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 xml:space="preserve">0.15 </w:t>
            </w:r>
          </w:p>
        </w:tc>
      </w:tr>
      <w:tr w:rsidR="002F0C6A" w:rsidRPr="002F0C6A" w:rsidTr="002F0C6A">
        <w:trPr>
          <w:trHeight w:val="340"/>
          <w:jc w:val="center"/>
        </w:trPr>
        <w:tc>
          <w:tcPr>
            <w:tcW w:w="1575" w:type="dxa"/>
            <w:vAlign w:val="center"/>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r w:rsidRPr="002F0C6A">
              <w:rPr>
                <w:rFonts w:ascii="Times New Roman" w:cs="Times New Roman"/>
                <w:sz w:val="21"/>
                <w:szCs w:val="21"/>
              </w:rPr>
              <w:t>合计</w:t>
            </w:r>
          </w:p>
        </w:tc>
        <w:tc>
          <w:tcPr>
            <w:tcW w:w="157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1308.57</w:t>
            </w:r>
          </w:p>
        </w:tc>
        <w:tc>
          <w:tcPr>
            <w:tcW w:w="1740" w:type="dxa"/>
            <w:vAlign w:val="bottom"/>
          </w:tcPr>
          <w:p w:rsidR="002F0C6A" w:rsidRPr="002F0C6A" w:rsidRDefault="002F0C6A" w:rsidP="002F0C6A">
            <w:pPr>
              <w:topLinePunct w:val="0"/>
              <w:adjustRightInd/>
              <w:spacing w:line="240" w:lineRule="auto"/>
              <w:ind w:firstLineChars="0" w:firstLine="0"/>
              <w:jc w:val="center"/>
              <w:rPr>
                <w:rFonts w:ascii="Times New Roman" w:cs="Times New Roman"/>
                <w:sz w:val="21"/>
                <w:szCs w:val="21"/>
              </w:rPr>
            </w:pPr>
          </w:p>
        </w:tc>
        <w:tc>
          <w:tcPr>
            <w:tcW w:w="1560"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 xml:space="preserve">82618.89 </w:t>
            </w:r>
          </w:p>
        </w:tc>
        <w:tc>
          <w:tcPr>
            <w:tcW w:w="1434" w:type="dxa"/>
            <w:vAlign w:val="bottom"/>
          </w:tcPr>
          <w:p w:rsidR="002F0C6A" w:rsidRPr="002F0C6A" w:rsidRDefault="002F0C6A" w:rsidP="002F0C6A">
            <w:pPr>
              <w:widowControl/>
              <w:topLinePunct w:val="0"/>
              <w:adjustRightInd/>
              <w:spacing w:line="240" w:lineRule="auto"/>
              <w:ind w:firstLineChars="0" w:firstLine="0"/>
              <w:jc w:val="center"/>
              <w:textAlignment w:val="bottom"/>
              <w:rPr>
                <w:rFonts w:ascii="Times New Roman" w:cs="Times New Roman"/>
                <w:sz w:val="21"/>
                <w:szCs w:val="21"/>
              </w:rPr>
            </w:pPr>
            <w:r w:rsidRPr="002F0C6A">
              <w:rPr>
                <w:rFonts w:ascii="Times New Roman" w:cs="Times New Roman"/>
                <w:sz w:val="21"/>
                <w:szCs w:val="21"/>
              </w:rPr>
              <w:t xml:space="preserve">100.00 </w:t>
            </w:r>
          </w:p>
        </w:tc>
      </w:tr>
    </w:tbl>
    <w:p w:rsidR="006F3D85" w:rsidRPr="00D630D1" w:rsidRDefault="006E0F85" w:rsidP="006E0F85">
      <w:pPr>
        <w:pStyle w:val="afa"/>
        <w:ind w:firstLine="480"/>
      </w:pPr>
      <w:r w:rsidRPr="00D630D1">
        <w:t>由表</w:t>
      </w:r>
      <w:r w:rsidRPr="00D630D1">
        <w:rPr>
          <w:rFonts w:hint="eastAsia"/>
        </w:rPr>
        <w:t>5.2</w:t>
      </w:r>
      <w:r w:rsidRPr="00D630D1">
        <w:t>-</w:t>
      </w:r>
      <w:r w:rsidRPr="00D630D1">
        <w:rPr>
          <w:rFonts w:hint="eastAsia"/>
        </w:rPr>
        <w:t>13</w:t>
      </w:r>
      <w:r w:rsidRPr="00D630D1">
        <w:t>可知，在评价范围内植物总生物量中，森林植被生物量所占比重最大，达到</w:t>
      </w:r>
      <w:r w:rsidR="002F0C6A">
        <w:rPr>
          <w:rFonts w:hint="eastAsia"/>
        </w:rPr>
        <w:t>93.75</w:t>
      </w:r>
      <w:r w:rsidRPr="00D630D1">
        <w:t>%</w:t>
      </w:r>
      <w:r w:rsidRPr="00D630D1">
        <w:t>，可见森林植被对区域生物量的贡献之大，同时也表明森林植被是本评价区域最重要的生态系统，森林生态效益不可忽视，在维持区域生态平衡方面有绝对的意义。</w:t>
      </w:r>
    </w:p>
    <w:p w:rsidR="00EF6C21" w:rsidRPr="00D630D1" w:rsidRDefault="00EF6C21" w:rsidP="00EF6C21">
      <w:pPr>
        <w:pStyle w:val="3"/>
        <w:rPr>
          <w:rFonts w:eastAsia="宋体"/>
        </w:rPr>
      </w:pPr>
      <w:r w:rsidRPr="00D630D1">
        <w:rPr>
          <w:rFonts w:eastAsia="宋体"/>
        </w:rPr>
        <w:t>5.2.6</w:t>
      </w:r>
      <w:r w:rsidR="006E0F85" w:rsidRPr="00D630D1">
        <w:rPr>
          <w:rFonts w:eastAsia="宋体"/>
          <w:bCs/>
        </w:rPr>
        <w:t>景观生态体系现状调查</w:t>
      </w:r>
    </w:p>
    <w:p w:rsidR="006E0F85" w:rsidRPr="00D630D1" w:rsidRDefault="006E0F85" w:rsidP="006E0F85">
      <w:pPr>
        <w:topLinePunct w:val="0"/>
        <w:snapToGrid w:val="0"/>
        <w:ind w:firstLineChars="0" w:firstLine="482"/>
        <w:rPr>
          <w:rFonts w:ascii="Times New Roman" w:cs="Times New Roman"/>
          <w:kern w:val="2"/>
        </w:rPr>
      </w:pPr>
      <w:r w:rsidRPr="00D630D1">
        <w:rPr>
          <w:rFonts w:ascii="Times New Roman" w:cs="Times New Roman"/>
          <w:kern w:val="2"/>
        </w:rPr>
        <w:t>景观（</w:t>
      </w:r>
      <w:r w:rsidRPr="00D630D1">
        <w:rPr>
          <w:rFonts w:ascii="Times New Roman" w:cs="Times New Roman"/>
          <w:kern w:val="2"/>
        </w:rPr>
        <w:t>Landscape</w:t>
      </w:r>
      <w:r w:rsidRPr="00D630D1">
        <w:rPr>
          <w:rFonts w:ascii="Times New Roman" w:cs="Times New Roman"/>
          <w:kern w:val="2"/>
        </w:rPr>
        <w:t>）的定义有多种表述，但大部分都是反映内陆地形、地貌或景色的，或是反映某一地理区域的综合地形特征。而景观生态学（</w:t>
      </w:r>
      <w:r w:rsidRPr="00D630D1">
        <w:rPr>
          <w:rFonts w:ascii="Times New Roman" w:cs="Times New Roman"/>
          <w:kern w:val="2"/>
        </w:rPr>
        <w:t>LandscapeEcology</w:t>
      </w:r>
      <w:r w:rsidRPr="00D630D1">
        <w:rPr>
          <w:rFonts w:ascii="Times New Roman" w:cs="Times New Roman"/>
          <w:kern w:val="2"/>
        </w:rPr>
        <w:t>）将景观定义为：</w:t>
      </w:r>
      <w:r w:rsidRPr="00D630D1">
        <w:rPr>
          <w:rFonts w:ascii="Times New Roman" w:cs="Times New Roman"/>
          <w:kern w:val="2"/>
        </w:rPr>
        <w:t>“</w:t>
      </w:r>
      <w:r w:rsidRPr="00D630D1">
        <w:rPr>
          <w:rFonts w:ascii="Times New Roman" w:cs="Times New Roman"/>
          <w:kern w:val="2"/>
        </w:rPr>
        <w:t>一个空间异质性的区域，由相互作用的拼块（</w:t>
      </w:r>
      <w:r w:rsidRPr="00D630D1">
        <w:rPr>
          <w:rFonts w:ascii="Times New Roman" w:cs="Times New Roman"/>
          <w:kern w:val="2"/>
        </w:rPr>
        <w:t>patch</w:t>
      </w:r>
      <w:r w:rsidRPr="00D630D1">
        <w:rPr>
          <w:rFonts w:ascii="Times New Roman" w:cs="Times New Roman"/>
          <w:kern w:val="2"/>
        </w:rPr>
        <w:t>）或生态系统组成，以相似的形式重复出现的生态体系</w:t>
      </w:r>
      <w:r w:rsidRPr="00D630D1">
        <w:rPr>
          <w:rFonts w:ascii="Times New Roman" w:cs="Times New Roman"/>
          <w:kern w:val="2"/>
        </w:rPr>
        <w:t>”</w:t>
      </w:r>
      <w:r w:rsidRPr="00D630D1">
        <w:rPr>
          <w:rFonts w:ascii="Times New Roman" w:cs="Times New Roman"/>
          <w:kern w:val="2"/>
        </w:rPr>
        <w:t>。为了深入认</w:t>
      </w:r>
      <w:r w:rsidRPr="00D630D1">
        <w:rPr>
          <w:rFonts w:ascii="Times New Roman" w:cs="Times New Roman"/>
          <w:kern w:val="2"/>
        </w:rPr>
        <w:lastRenderedPageBreak/>
        <w:t>识评价范围内的环境特征，下面用景观生态学的原理和方法来研究生态体系的组成、特征、生产力及其稳定性。</w:t>
      </w:r>
    </w:p>
    <w:p w:rsidR="006E0F85" w:rsidRPr="00D630D1" w:rsidRDefault="006E0F85" w:rsidP="006E0F85">
      <w:pPr>
        <w:topLinePunct w:val="0"/>
        <w:adjustRightInd/>
        <w:spacing w:line="480" w:lineRule="exact"/>
        <w:ind w:firstLine="482"/>
        <w:rPr>
          <w:rFonts w:ascii="Times New Roman" w:cs="Times New Roman"/>
          <w:b/>
          <w:bCs/>
          <w:kern w:val="2"/>
        </w:rPr>
      </w:pPr>
      <w:r w:rsidRPr="00D630D1">
        <w:rPr>
          <w:rFonts w:ascii="Times New Roman" w:cs="Times New Roman"/>
          <w:b/>
          <w:bCs/>
          <w:kern w:val="2"/>
        </w:rPr>
        <w:t>1</w:t>
      </w:r>
      <w:r w:rsidRPr="00D630D1">
        <w:rPr>
          <w:rFonts w:ascii="Times New Roman" w:cs="Times New Roman"/>
          <w:b/>
          <w:bCs/>
          <w:kern w:val="2"/>
        </w:rPr>
        <w:t>、景观生态体系组成与特征</w:t>
      </w:r>
    </w:p>
    <w:p w:rsidR="006E0F85" w:rsidRPr="00D630D1" w:rsidRDefault="006E0F85" w:rsidP="00F96E37">
      <w:pPr>
        <w:topLinePunct w:val="0"/>
        <w:snapToGrid w:val="0"/>
        <w:spacing w:beforeLines="50"/>
        <w:ind w:firstLineChars="0" w:firstLine="482"/>
        <w:rPr>
          <w:rFonts w:ascii="Times New Roman" w:cs="Times New Roman"/>
        </w:rPr>
      </w:pPr>
      <w:r w:rsidRPr="00D630D1">
        <w:rPr>
          <w:rFonts w:ascii="Times New Roman" w:cs="Times New Roman"/>
          <w:kern w:val="2"/>
        </w:rPr>
        <w:t>按照生态学中景观的概念描述可知，景观生态体系的组成即生态系统或土地利</w:t>
      </w:r>
      <w:r w:rsidRPr="00D630D1">
        <w:rPr>
          <w:rFonts w:ascii="Times New Roman" w:cs="Times New Roman"/>
        </w:rPr>
        <w:t>用类型组成，因而可以用评价范围内的主要土地利用类型</w:t>
      </w:r>
      <w:r w:rsidRPr="00D630D1">
        <w:rPr>
          <w:rFonts w:ascii="Times New Roman" w:cs="Times New Roman"/>
        </w:rPr>
        <w:t>——</w:t>
      </w:r>
      <w:r w:rsidRPr="00D630D1">
        <w:rPr>
          <w:rFonts w:ascii="Times New Roman" w:cs="Times New Roman"/>
        </w:rPr>
        <w:t>森林、灌丛、灌草丛、耕地、河流水面、建设用地等生态系统作为景观体系的基本单元</w:t>
      </w:r>
      <w:r w:rsidRPr="00D630D1">
        <w:rPr>
          <w:rFonts w:ascii="Times New Roman" w:cs="Times New Roman"/>
        </w:rPr>
        <w:t>——</w:t>
      </w:r>
      <w:r w:rsidRPr="00D630D1">
        <w:rPr>
          <w:rFonts w:ascii="Times New Roman" w:cs="Times New Roman"/>
        </w:rPr>
        <w:t>拼块来进行景观分析。</w:t>
      </w:r>
    </w:p>
    <w:p w:rsidR="002F0C6A" w:rsidRPr="002F0C6A"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t>（</w:t>
      </w:r>
      <w:r w:rsidRPr="002F0C6A">
        <w:rPr>
          <w:rFonts w:ascii="Times New Roman" w:cs="Times New Roman"/>
          <w:kern w:val="2"/>
        </w:rPr>
        <w:t>1</w:t>
      </w:r>
      <w:r w:rsidRPr="002F0C6A">
        <w:rPr>
          <w:rFonts w:ascii="Times New Roman" w:cs="Times New Roman"/>
          <w:kern w:val="2"/>
        </w:rPr>
        <w:t>）</w:t>
      </w:r>
      <w:r w:rsidRPr="002F0C6A">
        <w:rPr>
          <w:rFonts w:ascii="Times New Roman" w:cs="Times New Roman" w:hint="eastAsia"/>
          <w:kern w:val="2"/>
        </w:rPr>
        <w:t>马尾松、杉木、柏木</w:t>
      </w:r>
      <w:r w:rsidRPr="002F0C6A">
        <w:rPr>
          <w:rFonts w:ascii="Times New Roman" w:cs="Times New Roman"/>
          <w:kern w:val="2"/>
        </w:rPr>
        <w:t>、</w:t>
      </w:r>
      <w:r w:rsidRPr="002F0C6A">
        <w:rPr>
          <w:rFonts w:ascii="Times New Roman" w:cs="Times New Roman" w:hint="eastAsia"/>
          <w:kern w:val="2"/>
        </w:rPr>
        <w:t>麻栎、青冈、枫香、响叶杨</w:t>
      </w:r>
      <w:r w:rsidRPr="002F0C6A">
        <w:rPr>
          <w:rFonts w:ascii="Times New Roman" w:cs="Times New Roman"/>
          <w:kern w:val="2"/>
        </w:rPr>
        <w:t>及乔木经济树种等为主的森林拼块</w:t>
      </w:r>
    </w:p>
    <w:p w:rsidR="002F0C6A" w:rsidRPr="002F0C6A"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t>属于人工栽培或干预后经过一段时间自然生长发育形成，具有一定人工性，属于环境资源拼块。该拼块成片分布，连通程度较高。该拼块面积为</w:t>
      </w:r>
      <w:r w:rsidRPr="002F0C6A">
        <w:rPr>
          <w:rFonts w:ascii="Times New Roman" w:cs="Times New Roman" w:hint="eastAsia"/>
          <w:kern w:val="2"/>
        </w:rPr>
        <w:t>868.37hm</w:t>
      </w:r>
      <w:r w:rsidRPr="002F0C6A">
        <w:rPr>
          <w:rFonts w:ascii="Times New Roman" w:cs="Times New Roman"/>
          <w:kern w:val="2"/>
        </w:rPr>
        <w:t>²</w:t>
      </w:r>
      <w:r w:rsidRPr="002F0C6A">
        <w:rPr>
          <w:rFonts w:ascii="Times New Roman" w:cs="Times New Roman"/>
          <w:kern w:val="2"/>
        </w:rPr>
        <w:t>，约占评价区域总面积的</w:t>
      </w:r>
      <w:r w:rsidRPr="002F0C6A">
        <w:rPr>
          <w:rFonts w:ascii="Times New Roman" w:cs="Times New Roman" w:hint="eastAsia"/>
          <w:kern w:val="2"/>
        </w:rPr>
        <w:t>63.54</w:t>
      </w:r>
      <w:r w:rsidRPr="002F0C6A">
        <w:rPr>
          <w:rFonts w:ascii="Times New Roman" w:cs="Times New Roman"/>
          <w:kern w:val="2"/>
        </w:rPr>
        <w:t>%</w:t>
      </w:r>
      <w:r w:rsidRPr="002F0C6A">
        <w:rPr>
          <w:rFonts w:ascii="Times New Roman" w:cs="Times New Roman"/>
          <w:kern w:val="2"/>
        </w:rPr>
        <w:t>，是评价区内较最重要的景观拼块，对评价区内生态起着绝对作用。</w:t>
      </w:r>
    </w:p>
    <w:p w:rsidR="002F0C6A" w:rsidRPr="002F0C6A"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t>（</w:t>
      </w:r>
      <w:r w:rsidRPr="002F0C6A">
        <w:rPr>
          <w:rFonts w:ascii="Times New Roman" w:cs="Times New Roman"/>
          <w:kern w:val="2"/>
        </w:rPr>
        <w:t>2</w:t>
      </w:r>
      <w:r w:rsidRPr="002F0C6A">
        <w:rPr>
          <w:rFonts w:ascii="Times New Roman" w:cs="Times New Roman"/>
          <w:kern w:val="2"/>
        </w:rPr>
        <w:t>）</w:t>
      </w:r>
      <w:r w:rsidRPr="002F0C6A">
        <w:rPr>
          <w:rFonts w:ascii="Times New Roman" w:cs="Times New Roman" w:hint="eastAsia"/>
          <w:kern w:val="2"/>
        </w:rPr>
        <w:t>槲栎、马桑、黄荆、火棘、荚蒾、盐肤木</w:t>
      </w:r>
      <w:r w:rsidRPr="002F0C6A">
        <w:rPr>
          <w:rFonts w:ascii="Times New Roman" w:cs="Times New Roman"/>
          <w:kern w:val="2"/>
        </w:rPr>
        <w:t>及灌木经济树种等为主的灌丛拼块属于人类活动影响下形成的干扰拼块，多分布在林地边缘地带或荒坡田坎，由于人类活动频繁，受干扰程度高，水土流失和生物多样性受损较严重。该拼块面积为</w:t>
      </w:r>
      <w:r w:rsidRPr="002F0C6A">
        <w:rPr>
          <w:rFonts w:ascii="Times New Roman" w:cs="Times New Roman" w:hint="eastAsia"/>
          <w:kern w:val="2"/>
        </w:rPr>
        <w:t>36.38hm</w:t>
      </w:r>
      <w:r w:rsidRPr="002F0C6A">
        <w:rPr>
          <w:rFonts w:ascii="Times New Roman" w:cs="Times New Roman"/>
          <w:kern w:val="2"/>
        </w:rPr>
        <w:t>²</w:t>
      </w:r>
      <w:r w:rsidRPr="002F0C6A">
        <w:rPr>
          <w:rFonts w:ascii="Times New Roman" w:cs="Times New Roman"/>
          <w:kern w:val="2"/>
        </w:rPr>
        <w:t>，占评价区域总面积的</w:t>
      </w:r>
      <w:r w:rsidRPr="002F0C6A">
        <w:rPr>
          <w:rFonts w:ascii="Times New Roman" w:cs="Times New Roman" w:hint="eastAsia"/>
          <w:kern w:val="2"/>
        </w:rPr>
        <w:t>2.66</w:t>
      </w:r>
      <w:r w:rsidRPr="002F0C6A">
        <w:rPr>
          <w:rFonts w:ascii="Times New Roman" w:cs="Times New Roman"/>
          <w:kern w:val="2"/>
        </w:rPr>
        <w:t>%</w:t>
      </w:r>
      <w:r w:rsidRPr="002F0C6A">
        <w:rPr>
          <w:rFonts w:ascii="Times New Roman" w:cs="Times New Roman"/>
          <w:kern w:val="2"/>
        </w:rPr>
        <w:t>，是评价区内重要的拼块之一。</w:t>
      </w:r>
    </w:p>
    <w:p w:rsidR="002F0C6A" w:rsidRPr="002F0C6A"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t>（</w:t>
      </w:r>
      <w:r w:rsidRPr="002F0C6A">
        <w:rPr>
          <w:rFonts w:ascii="Times New Roman" w:cs="Times New Roman"/>
          <w:kern w:val="2"/>
        </w:rPr>
        <w:t>3</w:t>
      </w:r>
      <w:r w:rsidRPr="002F0C6A">
        <w:rPr>
          <w:rFonts w:ascii="Times New Roman" w:cs="Times New Roman"/>
          <w:kern w:val="2"/>
        </w:rPr>
        <w:t>）</w:t>
      </w:r>
      <w:r w:rsidRPr="002F0C6A">
        <w:rPr>
          <w:rFonts w:ascii="Times New Roman" w:cs="Times New Roman" w:hint="eastAsia"/>
          <w:kern w:val="2"/>
        </w:rPr>
        <w:t>白茅、五节芒、芒、芒萁、斑茅、蕨</w:t>
      </w:r>
      <w:r w:rsidRPr="002F0C6A">
        <w:rPr>
          <w:rFonts w:ascii="Times New Roman" w:cs="Times New Roman"/>
          <w:kern w:val="2"/>
        </w:rPr>
        <w:t>等为主的灌草丛拼块</w:t>
      </w:r>
    </w:p>
    <w:p w:rsidR="002F0C6A" w:rsidRPr="002F0C6A"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t>属于人类活动影响下形成的干扰拼块，分布广泛，由于人类活动频繁，受干扰程度高，水土流失和生物多样性受损较严重。该拼块面积为</w:t>
      </w:r>
      <w:r w:rsidRPr="002F0C6A">
        <w:rPr>
          <w:rFonts w:ascii="Times New Roman" w:cs="Times New Roman" w:hint="eastAsia"/>
          <w:kern w:val="2"/>
        </w:rPr>
        <w:t>16.01hm</w:t>
      </w:r>
      <w:r w:rsidRPr="002F0C6A">
        <w:rPr>
          <w:rFonts w:ascii="Times New Roman" w:cs="Times New Roman"/>
          <w:kern w:val="2"/>
        </w:rPr>
        <w:t>²</w:t>
      </w:r>
      <w:r w:rsidRPr="002F0C6A">
        <w:rPr>
          <w:rFonts w:ascii="Times New Roman" w:cs="Times New Roman"/>
          <w:kern w:val="2"/>
        </w:rPr>
        <w:t>，占评价区总面积的</w:t>
      </w:r>
      <w:r w:rsidRPr="002F0C6A">
        <w:rPr>
          <w:rFonts w:ascii="Times New Roman" w:cs="Times New Roman" w:hint="eastAsia"/>
          <w:kern w:val="2"/>
        </w:rPr>
        <w:t>1.17%</w:t>
      </w:r>
      <w:r w:rsidRPr="002F0C6A">
        <w:rPr>
          <w:rFonts w:ascii="Times New Roman" w:cs="Times New Roman"/>
          <w:kern w:val="2"/>
        </w:rPr>
        <w:t>。</w:t>
      </w:r>
    </w:p>
    <w:p w:rsidR="002F0C6A" w:rsidRPr="002F0C6A"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t>（</w:t>
      </w:r>
      <w:r w:rsidRPr="002F0C6A">
        <w:rPr>
          <w:rFonts w:ascii="Times New Roman" w:cs="Times New Roman"/>
          <w:kern w:val="2"/>
        </w:rPr>
        <w:t>4</w:t>
      </w:r>
      <w:r w:rsidRPr="002F0C6A">
        <w:rPr>
          <w:rFonts w:ascii="Times New Roman" w:cs="Times New Roman"/>
          <w:kern w:val="2"/>
        </w:rPr>
        <w:t>）以</w:t>
      </w:r>
      <w:r w:rsidRPr="002F0C6A">
        <w:rPr>
          <w:rFonts w:ascii="Times New Roman" w:cs="Times New Roman" w:hint="eastAsia"/>
          <w:kern w:val="2"/>
        </w:rPr>
        <w:t>水稻、玉米、红苕、棉花、花生、小麦、马铃薯、豌豆</w:t>
      </w:r>
      <w:r w:rsidRPr="002F0C6A">
        <w:rPr>
          <w:rFonts w:ascii="Times New Roman" w:cs="Times New Roman"/>
          <w:kern w:val="2"/>
        </w:rPr>
        <w:t>为主的耕地植被拼块</w:t>
      </w:r>
    </w:p>
    <w:p w:rsidR="002F0C6A" w:rsidRPr="002F0C6A"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t>属于人工引进的种植拼块。该拼块的生境、外貌及结构与水田均有明显区别，其生境一般比较干燥，地面具有一定坡度，作物种类比较多样化，并形成多种组合。该拼块面积为</w:t>
      </w:r>
      <w:r w:rsidRPr="002F0C6A">
        <w:rPr>
          <w:rFonts w:ascii="Times New Roman" w:cs="Times New Roman" w:hint="eastAsia"/>
          <w:kern w:val="2"/>
        </w:rPr>
        <w:t>387.81hm</w:t>
      </w:r>
      <w:r w:rsidRPr="002F0C6A">
        <w:rPr>
          <w:rFonts w:ascii="Times New Roman" w:cs="Times New Roman"/>
          <w:kern w:val="2"/>
        </w:rPr>
        <w:t>²</w:t>
      </w:r>
      <w:r w:rsidRPr="002F0C6A">
        <w:rPr>
          <w:rFonts w:ascii="Times New Roman" w:cs="Times New Roman"/>
          <w:kern w:val="2"/>
        </w:rPr>
        <w:t>，占评价区面积的</w:t>
      </w:r>
      <w:r w:rsidRPr="002F0C6A">
        <w:rPr>
          <w:rFonts w:ascii="Times New Roman" w:cs="Times New Roman" w:hint="eastAsia"/>
          <w:kern w:val="2"/>
        </w:rPr>
        <w:t>28.38</w:t>
      </w:r>
      <w:r w:rsidRPr="002F0C6A">
        <w:rPr>
          <w:rFonts w:ascii="Times New Roman" w:cs="Times New Roman"/>
          <w:kern w:val="2"/>
        </w:rPr>
        <w:t>%</w:t>
      </w:r>
      <w:r w:rsidRPr="002F0C6A">
        <w:rPr>
          <w:rFonts w:ascii="Times New Roman" w:cs="Times New Roman"/>
          <w:kern w:val="2"/>
        </w:rPr>
        <w:t>。</w:t>
      </w:r>
    </w:p>
    <w:p w:rsidR="002F0C6A" w:rsidRPr="002F0C6A"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t>（</w:t>
      </w:r>
      <w:r w:rsidRPr="002F0C6A">
        <w:rPr>
          <w:rFonts w:ascii="Times New Roman" w:cs="Times New Roman"/>
          <w:kern w:val="2"/>
        </w:rPr>
        <w:t>5</w:t>
      </w:r>
      <w:r w:rsidRPr="002F0C6A">
        <w:rPr>
          <w:rFonts w:ascii="Times New Roman" w:cs="Times New Roman"/>
          <w:kern w:val="2"/>
        </w:rPr>
        <w:t>）以河流水面等为主的水面拼块</w:t>
      </w:r>
    </w:p>
    <w:p w:rsidR="002F0C6A" w:rsidRPr="002F0C6A"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t>为自然或人工形成的水生生态系统，含</w:t>
      </w:r>
      <w:r w:rsidRPr="002F0C6A">
        <w:rPr>
          <w:rFonts w:ascii="Times New Roman" w:cs="Times New Roman" w:hint="eastAsia"/>
          <w:kern w:val="2"/>
        </w:rPr>
        <w:t>河流水面、坑塘水面</w:t>
      </w:r>
      <w:r w:rsidRPr="002F0C6A">
        <w:rPr>
          <w:rFonts w:ascii="Times New Roman" w:cs="Times New Roman"/>
          <w:kern w:val="2"/>
        </w:rPr>
        <w:t>，属环境资源拼块。水面拼块总面积为</w:t>
      </w:r>
      <w:r w:rsidRPr="002F0C6A">
        <w:rPr>
          <w:rFonts w:ascii="Times New Roman" w:cs="Times New Roman" w:hint="eastAsia"/>
          <w:kern w:val="2"/>
        </w:rPr>
        <w:t>4.91hm</w:t>
      </w:r>
      <w:r w:rsidRPr="002F0C6A">
        <w:rPr>
          <w:rFonts w:ascii="Times New Roman" w:cs="Times New Roman"/>
          <w:kern w:val="2"/>
        </w:rPr>
        <w:t>²</w:t>
      </w:r>
      <w:r w:rsidRPr="002F0C6A">
        <w:rPr>
          <w:rFonts w:ascii="Times New Roman" w:cs="Times New Roman"/>
          <w:kern w:val="2"/>
        </w:rPr>
        <w:t>，占评价区面积的</w:t>
      </w:r>
      <w:r w:rsidRPr="002F0C6A">
        <w:rPr>
          <w:rFonts w:ascii="Times New Roman" w:cs="Times New Roman" w:hint="eastAsia"/>
          <w:kern w:val="2"/>
        </w:rPr>
        <w:t>0.36</w:t>
      </w:r>
      <w:r w:rsidRPr="002F0C6A">
        <w:rPr>
          <w:rFonts w:ascii="Times New Roman" w:cs="Times New Roman"/>
          <w:kern w:val="2"/>
        </w:rPr>
        <w:t>%</w:t>
      </w:r>
      <w:r w:rsidRPr="002F0C6A">
        <w:rPr>
          <w:rFonts w:ascii="Times New Roman" w:cs="Times New Roman"/>
          <w:kern w:val="2"/>
        </w:rPr>
        <w:t>。</w:t>
      </w:r>
    </w:p>
    <w:p w:rsidR="002F0C6A" w:rsidRPr="002F0C6A"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lastRenderedPageBreak/>
        <w:t>（</w:t>
      </w:r>
      <w:r w:rsidRPr="002F0C6A">
        <w:rPr>
          <w:rFonts w:ascii="Times New Roman" w:cs="Times New Roman"/>
          <w:kern w:val="2"/>
        </w:rPr>
        <w:t>6</w:t>
      </w:r>
      <w:r w:rsidRPr="002F0C6A">
        <w:rPr>
          <w:rFonts w:ascii="Times New Roman" w:cs="Times New Roman"/>
          <w:kern w:val="2"/>
        </w:rPr>
        <w:t>）建设用地为主的人工生态系统拼块</w:t>
      </w:r>
    </w:p>
    <w:p w:rsidR="002F0C6A" w:rsidRPr="002F0C6A"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t>该拼块是人工建造引进的拼块，为人类的聚居地，是拼块中受人类干扰最明显的组分之一，表现在拼块外貌和结构上不再具有自然属性，更具社会性，该拼块在区内分布比较局限，在村寨所在地有成片分布。该拼块面积约为</w:t>
      </w:r>
      <w:r w:rsidRPr="002F0C6A">
        <w:rPr>
          <w:rFonts w:ascii="Times New Roman" w:cs="Times New Roman" w:hint="eastAsia"/>
          <w:kern w:val="2"/>
        </w:rPr>
        <w:t>53.25hm</w:t>
      </w:r>
      <w:r w:rsidRPr="002F0C6A">
        <w:rPr>
          <w:rFonts w:ascii="Times New Roman" w:cs="Times New Roman"/>
          <w:kern w:val="2"/>
        </w:rPr>
        <w:t>²</w:t>
      </w:r>
      <w:r w:rsidRPr="002F0C6A">
        <w:rPr>
          <w:rFonts w:ascii="Times New Roman" w:cs="Times New Roman"/>
          <w:kern w:val="2"/>
        </w:rPr>
        <w:t>，占评价区总面积的</w:t>
      </w:r>
      <w:r w:rsidRPr="002F0C6A">
        <w:rPr>
          <w:rFonts w:ascii="Times New Roman" w:cs="Times New Roman" w:hint="eastAsia"/>
          <w:kern w:val="2"/>
        </w:rPr>
        <w:t>390</w:t>
      </w:r>
      <w:r w:rsidRPr="002F0C6A">
        <w:rPr>
          <w:rFonts w:ascii="Times New Roman" w:cs="Times New Roman"/>
          <w:kern w:val="2"/>
        </w:rPr>
        <w:t>%</w:t>
      </w:r>
      <w:r w:rsidRPr="002F0C6A">
        <w:rPr>
          <w:rFonts w:ascii="Times New Roman" w:cs="Times New Roman"/>
          <w:kern w:val="2"/>
        </w:rPr>
        <w:t>。</w:t>
      </w:r>
    </w:p>
    <w:p w:rsidR="002F0C6A" w:rsidRPr="002F0C6A"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t>以上拼块类型构成了本区景观生态体系，它们之间既相互联系又相互制约。</w:t>
      </w:r>
    </w:p>
    <w:p w:rsidR="006E0F85" w:rsidRPr="00D630D1" w:rsidRDefault="002F0C6A" w:rsidP="002F0C6A">
      <w:pPr>
        <w:topLinePunct w:val="0"/>
        <w:snapToGrid w:val="0"/>
        <w:ind w:firstLineChars="0" w:firstLine="0"/>
        <w:rPr>
          <w:rFonts w:ascii="Times New Roman" w:cs="Times New Roman"/>
          <w:kern w:val="2"/>
        </w:rPr>
      </w:pPr>
      <w:r w:rsidRPr="002F0C6A">
        <w:rPr>
          <w:rFonts w:ascii="Times New Roman" w:cs="Times New Roman"/>
          <w:kern w:val="2"/>
        </w:rPr>
        <w:t>以</w:t>
      </w:r>
      <w:r w:rsidRPr="002F0C6A">
        <w:rPr>
          <w:rFonts w:ascii="Times New Roman" w:cs="Times New Roman" w:hint="eastAsia"/>
          <w:kern w:val="2"/>
        </w:rPr>
        <w:t>马尾松、杉木、柏木</w:t>
      </w:r>
      <w:r w:rsidRPr="002F0C6A">
        <w:rPr>
          <w:rFonts w:ascii="Times New Roman" w:cs="Times New Roman"/>
          <w:kern w:val="2"/>
        </w:rPr>
        <w:t>、</w:t>
      </w:r>
      <w:r w:rsidRPr="002F0C6A">
        <w:rPr>
          <w:rFonts w:ascii="Times New Roman" w:cs="Times New Roman" w:hint="eastAsia"/>
          <w:kern w:val="2"/>
        </w:rPr>
        <w:t>麻栎、青冈、枫香、响叶杨</w:t>
      </w:r>
      <w:r w:rsidRPr="002F0C6A">
        <w:rPr>
          <w:rFonts w:ascii="Times New Roman" w:cs="Times New Roman"/>
          <w:kern w:val="2"/>
        </w:rPr>
        <w:t>及乔木经济树种的森林拼块，以</w:t>
      </w:r>
      <w:r w:rsidRPr="002F0C6A">
        <w:rPr>
          <w:rFonts w:ascii="Times New Roman" w:cs="Times New Roman" w:hint="eastAsia"/>
          <w:kern w:val="2"/>
        </w:rPr>
        <w:t>槲栎、马桑、黄荆、火棘、荚蒾、盐肤木</w:t>
      </w:r>
      <w:r w:rsidRPr="002F0C6A">
        <w:rPr>
          <w:rFonts w:ascii="Times New Roman" w:cs="Times New Roman"/>
          <w:kern w:val="2"/>
        </w:rPr>
        <w:t>及灌木经济树种为主的灌丛拼块等陆地生态系统决定了以河流水面为主的水生生态系统状况，同时对以</w:t>
      </w:r>
      <w:r w:rsidRPr="002F0C6A">
        <w:rPr>
          <w:rFonts w:ascii="Times New Roman" w:cs="Times New Roman" w:hint="eastAsia"/>
          <w:kern w:val="2"/>
        </w:rPr>
        <w:t>水稻、玉米、红苕、棉花、花生、小麦、马铃薯、豌豆</w:t>
      </w:r>
      <w:r w:rsidRPr="002F0C6A">
        <w:rPr>
          <w:rFonts w:ascii="Times New Roman" w:cs="Times New Roman"/>
          <w:kern w:val="2"/>
        </w:rPr>
        <w:t>为主的耕地植被的生产力水平有着重要影响。环境资源拼块自然生产能力和稳定性的维护是决定本区生态环境质量的主导性因素，该类型拼块的总面积为</w:t>
      </w:r>
      <w:r w:rsidRPr="002F0C6A">
        <w:rPr>
          <w:rFonts w:ascii="Times New Roman" w:cs="Times New Roman" w:hint="eastAsia"/>
          <w:kern w:val="2"/>
        </w:rPr>
        <w:t>925.66hm</w:t>
      </w:r>
      <w:r w:rsidRPr="002F0C6A">
        <w:rPr>
          <w:rFonts w:ascii="Times New Roman" w:cs="Times New Roman"/>
          <w:kern w:val="2"/>
          <w:vertAlign w:val="superscript"/>
        </w:rPr>
        <w:t>2</w:t>
      </w:r>
      <w:r w:rsidRPr="002F0C6A">
        <w:rPr>
          <w:rFonts w:ascii="Times New Roman" w:cs="Times New Roman"/>
          <w:kern w:val="2"/>
        </w:rPr>
        <w:t>，占所有拼块总面积的</w:t>
      </w:r>
      <w:r w:rsidRPr="002F0C6A">
        <w:rPr>
          <w:rFonts w:ascii="Times New Roman" w:cs="Times New Roman" w:hint="eastAsia"/>
          <w:kern w:val="2"/>
        </w:rPr>
        <w:t>67.73</w:t>
      </w:r>
      <w:r w:rsidRPr="002F0C6A">
        <w:rPr>
          <w:rFonts w:ascii="Times New Roman" w:cs="Times New Roman"/>
          <w:kern w:val="2"/>
        </w:rPr>
        <w:t>%</w:t>
      </w:r>
      <w:r w:rsidRPr="002F0C6A">
        <w:rPr>
          <w:rFonts w:ascii="Times New Roman" w:cs="Times New Roman"/>
          <w:kern w:val="2"/>
        </w:rPr>
        <w:t>；人为活动影响产生的拼块总面积为</w:t>
      </w:r>
      <w:r w:rsidRPr="002F0C6A">
        <w:rPr>
          <w:rFonts w:ascii="Times New Roman" w:cs="Times New Roman" w:hint="eastAsia"/>
          <w:kern w:val="2"/>
        </w:rPr>
        <w:t>441.06hm</w:t>
      </w:r>
      <w:r w:rsidRPr="002F0C6A">
        <w:rPr>
          <w:rFonts w:ascii="Times New Roman" w:cs="Times New Roman"/>
          <w:kern w:val="2"/>
          <w:vertAlign w:val="superscript"/>
        </w:rPr>
        <w:t>2</w:t>
      </w:r>
      <w:r w:rsidRPr="002F0C6A">
        <w:rPr>
          <w:rFonts w:ascii="Times New Roman" w:cs="Times New Roman"/>
          <w:kern w:val="2"/>
        </w:rPr>
        <w:t>，占所有拼块总面积的</w:t>
      </w:r>
      <w:r w:rsidRPr="002F0C6A">
        <w:rPr>
          <w:rFonts w:ascii="Times New Roman" w:cs="Times New Roman" w:hint="eastAsia"/>
          <w:kern w:val="2"/>
        </w:rPr>
        <w:t>32.27</w:t>
      </w:r>
      <w:r w:rsidRPr="002F0C6A">
        <w:rPr>
          <w:rFonts w:ascii="Times New Roman" w:cs="Times New Roman"/>
          <w:kern w:val="2"/>
        </w:rPr>
        <w:t>%</w:t>
      </w:r>
      <w:r w:rsidR="006E0F85" w:rsidRPr="00D630D1">
        <w:rPr>
          <w:rFonts w:ascii="Times New Roman" w:cs="Times New Roman"/>
          <w:kern w:val="2"/>
        </w:rPr>
        <w:t>。</w:t>
      </w:r>
    </w:p>
    <w:p w:rsidR="006E0F85" w:rsidRPr="00D630D1" w:rsidRDefault="006E0F85" w:rsidP="006E0F85">
      <w:pPr>
        <w:pStyle w:val="afa"/>
        <w:ind w:firstLine="480"/>
        <w:rPr>
          <w:b/>
          <w:bCs/>
        </w:rPr>
      </w:pPr>
      <w:r w:rsidRPr="00D630D1">
        <w:rPr>
          <w:kern w:val="2"/>
          <w:szCs w:val="24"/>
        </w:rPr>
        <w:t>评价范围内以上各景观拼块相应特征见表</w:t>
      </w:r>
      <w:r w:rsidRPr="00D630D1">
        <w:rPr>
          <w:rFonts w:hint="eastAsia"/>
          <w:kern w:val="2"/>
          <w:szCs w:val="24"/>
        </w:rPr>
        <w:t>5.2</w:t>
      </w:r>
      <w:r w:rsidRPr="00D630D1">
        <w:rPr>
          <w:kern w:val="2"/>
          <w:szCs w:val="24"/>
        </w:rPr>
        <w:t>-</w:t>
      </w:r>
      <w:r w:rsidRPr="00D630D1">
        <w:rPr>
          <w:rFonts w:hint="eastAsia"/>
          <w:kern w:val="2"/>
          <w:szCs w:val="24"/>
        </w:rPr>
        <w:t>14</w:t>
      </w:r>
      <w:r w:rsidRPr="00D630D1">
        <w:rPr>
          <w:kern w:val="2"/>
          <w:szCs w:val="24"/>
        </w:rPr>
        <w:t>。</w:t>
      </w:r>
    </w:p>
    <w:p w:rsidR="006E0F85" w:rsidRDefault="006E0F85" w:rsidP="00F96E37">
      <w:pPr>
        <w:topLinePunct w:val="0"/>
        <w:autoSpaceDE w:val="0"/>
        <w:autoSpaceDN w:val="0"/>
        <w:spacing w:beforeLines="50" w:line="240" w:lineRule="auto"/>
        <w:ind w:firstLineChars="0" w:firstLine="0"/>
        <w:jc w:val="center"/>
        <w:rPr>
          <w:rFonts w:ascii="Times New Roman" w:cs="Times New Roman"/>
          <w:b/>
          <w:sz w:val="21"/>
        </w:rPr>
      </w:pPr>
      <w:r w:rsidRPr="00D630D1">
        <w:rPr>
          <w:rFonts w:ascii="Times New Roman" w:cs="Times New Roman"/>
          <w:b/>
          <w:sz w:val="21"/>
        </w:rPr>
        <w:t>表</w:t>
      </w:r>
      <w:r w:rsidRPr="00D630D1">
        <w:rPr>
          <w:rFonts w:ascii="Times New Roman" w:cs="Times New Roman" w:hint="eastAsia"/>
          <w:b/>
          <w:sz w:val="21"/>
        </w:rPr>
        <w:t>5.2</w:t>
      </w:r>
      <w:r w:rsidRPr="00D630D1">
        <w:rPr>
          <w:rFonts w:ascii="Times New Roman" w:cs="Times New Roman"/>
          <w:b/>
          <w:sz w:val="21"/>
        </w:rPr>
        <w:t>-</w:t>
      </w:r>
      <w:r w:rsidRPr="00D630D1">
        <w:rPr>
          <w:rFonts w:ascii="Times New Roman" w:cs="Times New Roman" w:hint="eastAsia"/>
          <w:b/>
          <w:sz w:val="21"/>
        </w:rPr>
        <w:t>14</w:t>
      </w:r>
      <w:r w:rsidRPr="00D630D1">
        <w:rPr>
          <w:rFonts w:ascii="Times New Roman" w:cs="Times New Roman"/>
          <w:b/>
          <w:sz w:val="21"/>
        </w:rPr>
        <w:t xml:space="preserve"> </w:t>
      </w:r>
      <w:r w:rsidRPr="00D630D1">
        <w:rPr>
          <w:rFonts w:ascii="Times New Roman" w:cs="Times New Roman"/>
          <w:b/>
          <w:sz w:val="21"/>
        </w:rPr>
        <w:t>评价区域拼块类型、数量及面积表</w:t>
      </w:r>
    </w:p>
    <w:tbl>
      <w:tblPr>
        <w:tblW w:w="4606" w:type="pct"/>
        <w:jc w:val="center"/>
        <w:tblBorders>
          <w:top w:val="single" w:sz="12" w:space="0" w:color="000000"/>
          <w:bottom w:val="single" w:sz="12" w:space="0" w:color="000000"/>
          <w:insideH w:val="single" w:sz="4" w:space="0" w:color="000000"/>
          <w:insideV w:val="single" w:sz="4" w:space="0" w:color="000000"/>
        </w:tblBorders>
        <w:tblCellMar>
          <w:top w:w="15" w:type="dxa"/>
          <w:left w:w="15" w:type="dxa"/>
          <w:bottom w:w="15" w:type="dxa"/>
          <w:right w:w="15" w:type="dxa"/>
        </w:tblCellMar>
        <w:tblLook w:val="0000"/>
      </w:tblPr>
      <w:tblGrid>
        <w:gridCol w:w="2874"/>
        <w:gridCol w:w="2564"/>
        <w:gridCol w:w="2241"/>
      </w:tblGrid>
      <w:tr w:rsidR="002F0C6A" w:rsidRPr="002F0C6A" w:rsidTr="002F0C6A">
        <w:trPr>
          <w:trHeight w:val="315"/>
          <w:jc w:val="center"/>
        </w:trPr>
        <w:tc>
          <w:tcPr>
            <w:tcW w:w="1871"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sz w:val="21"/>
                <w:szCs w:val="21"/>
              </w:rPr>
              <w:t>拼块类型</w:t>
            </w:r>
          </w:p>
        </w:tc>
        <w:tc>
          <w:tcPr>
            <w:tcW w:w="1669" w:type="pct"/>
            <w:vAlign w:val="center"/>
          </w:tcPr>
          <w:p w:rsidR="002F0C6A" w:rsidRPr="00D630D1"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D630D1">
              <w:rPr>
                <w:rFonts w:ascii="Times New Roman" w:cs="Times New Roman"/>
                <w:sz w:val="21"/>
                <w:szCs w:val="21"/>
              </w:rPr>
              <w:t>面积（</w:t>
            </w:r>
            <w:r w:rsidRPr="00D630D1">
              <w:rPr>
                <w:rFonts w:ascii="Times New Roman" w:cs="Times New Roman" w:hint="eastAsia"/>
                <w:sz w:val="21"/>
                <w:szCs w:val="21"/>
              </w:rPr>
              <w:t>hm</w:t>
            </w:r>
            <w:r w:rsidRPr="00D630D1">
              <w:rPr>
                <w:rFonts w:ascii="Times New Roman" w:cs="Times New Roman"/>
                <w:sz w:val="21"/>
                <w:szCs w:val="21"/>
                <w:vertAlign w:val="superscript"/>
              </w:rPr>
              <w:t>2</w:t>
            </w:r>
            <w:r w:rsidRPr="00D630D1">
              <w:rPr>
                <w:rFonts w:ascii="Times New Roman" w:cs="Times New Roman"/>
                <w:sz w:val="21"/>
                <w:szCs w:val="21"/>
              </w:rPr>
              <w:t>）</w:t>
            </w:r>
          </w:p>
        </w:tc>
        <w:tc>
          <w:tcPr>
            <w:tcW w:w="1459" w:type="pct"/>
            <w:vAlign w:val="center"/>
          </w:tcPr>
          <w:p w:rsidR="002F0C6A" w:rsidRPr="00D630D1"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D630D1">
              <w:rPr>
                <w:rFonts w:ascii="Times New Roman" w:cs="Times New Roman"/>
                <w:sz w:val="21"/>
                <w:szCs w:val="21"/>
              </w:rPr>
              <w:t>百分比（</w:t>
            </w:r>
            <w:r w:rsidRPr="00D630D1">
              <w:rPr>
                <w:rFonts w:ascii="Times New Roman" w:cs="Times New Roman"/>
                <w:sz w:val="21"/>
                <w:szCs w:val="21"/>
              </w:rPr>
              <w:t>%</w:t>
            </w:r>
            <w:r w:rsidRPr="00D630D1">
              <w:rPr>
                <w:rFonts w:ascii="Times New Roman" w:cs="Times New Roman"/>
                <w:sz w:val="21"/>
                <w:szCs w:val="21"/>
              </w:rPr>
              <w:t>）</w:t>
            </w:r>
          </w:p>
        </w:tc>
      </w:tr>
      <w:tr w:rsidR="002F0C6A" w:rsidRPr="002F0C6A" w:rsidTr="002F0C6A">
        <w:trPr>
          <w:trHeight w:val="315"/>
          <w:jc w:val="center"/>
        </w:trPr>
        <w:tc>
          <w:tcPr>
            <w:tcW w:w="1871"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sz w:val="21"/>
                <w:szCs w:val="21"/>
              </w:rPr>
              <w:t>森林拼块</w:t>
            </w:r>
          </w:p>
        </w:tc>
        <w:tc>
          <w:tcPr>
            <w:tcW w:w="1669"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 xml:space="preserve">868.37 </w:t>
            </w:r>
          </w:p>
        </w:tc>
        <w:tc>
          <w:tcPr>
            <w:tcW w:w="1459"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 xml:space="preserve">63.54 </w:t>
            </w:r>
          </w:p>
        </w:tc>
      </w:tr>
      <w:tr w:rsidR="002F0C6A" w:rsidRPr="002F0C6A" w:rsidTr="002F0C6A">
        <w:trPr>
          <w:trHeight w:val="405"/>
          <w:jc w:val="center"/>
        </w:trPr>
        <w:tc>
          <w:tcPr>
            <w:tcW w:w="1871"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sz w:val="21"/>
                <w:szCs w:val="21"/>
              </w:rPr>
              <w:t>灌丛拼块</w:t>
            </w:r>
          </w:p>
        </w:tc>
        <w:tc>
          <w:tcPr>
            <w:tcW w:w="1669"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 xml:space="preserve">36.38 </w:t>
            </w:r>
          </w:p>
        </w:tc>
        <w:tc>
          <w:tcPr>
            <w:tcW w:w="1459"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 xml:space="preserve">2.66 </w:t>
            </w:r>
          </w:p>
        </w:tc>
      </w:tr>
      <w:tr w:rsidR="002F0C6A" w:rsidRPr="002F0C6A" w:rsidTr="002F0C6A">
        <w:trPr>
          <w:trHeight w:val="385"/>
          <w:jc w:val="center"/>
        </w:trPr>
        <w:tc>
          <w:tcPr>
            <w:tcW w:w="1871"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sz w:val="21"/>
                <w:szCs w:val="21"/>
              </w:rPr>
              <w:t>灌草丛拼块</w:t>
            </w:r>
          </w:p>
        </w:tc>
        <w:tc>
          <w:tcPr>
            <w:tcW w:w="1669"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 xml:space="preserve">16.01 </w:t>
            </w:r>
          </w:p>
        </w:tc>
        <w:tc>
          <w:tcPr>
            <w:tcW w:w="1459"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 xml:space="preserve">1.17 </w:t>
            </w:r>
          </w:p>
        </w:tc>
      </w:tr>
      <w:tr w:rsidR="002F0C6A" w:rsidRPr="002F0C6A" w:rsidTr="002F0C6A">
        <w:trPr>
          <w:trHeight w:val="330"/>
          <w:jc w:val="center"/>
        </w:trPr>
        <w:tc>
          <w:tcPr>
            <w:tcW w:w="1871"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sz w:val="21"/>
                <w:szCs w:val="21"/>
              </w:rPr>
              <w:t>耕地植被拼块</w:t>
            </w:r>
          </w:p>
        </w:tc>
        <w:tc>
          <w:tcPr>
            <w:tcW w:w="1669"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387.81</w:t>
            </w:r>
          </w:p>
        </w:tc>
        <w:tc>
          <w:tcPr>
            <w:tcW w:w="1459" w:type="pct"/>
            <w:vAlign w:val="bottom"/>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28.38</w:t>
            </w:r>
          </w:p>
        </w:tc>
      </w:tr>
      <w:tr w:rsidR="002F0C6A" w:rsidRPr="002F0C6A" w:rsidTr="002F0C6A">
        <w:trPr>
          <w:trHeight w:val="330"/>
          <w:jc w:val="center"/>
        </w:trPr>
        <w:tc>
          <w:tcPr>
            <w:tcW w:w="1871"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sz w:val="21"/>
                <w:szCs w:val="21"/>
              </w:rPr>
              <w:t>河流水面拼块</w:t>
            </w:r>
          </w:p>
        </w:tc>
        <w:tc>
          <w:tcPr>
            <w:tcW w:w="1669"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4.91</w:t>
            </w:r>
          </w:p>
        </w:tc>
        <w:tc>
          <w:tcPr>
            <w:tcW w:w="1459" w:type="pct"/>
            <w:vAlign w:val="bottom"/>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0.36</w:t>
            </w:r>
          </w:p>
        </w:tc>
      </w:tr>
      <w:tr w:rsidR="002F0C6A" w:rsidRPr="002F0C6A" w:rsidTr="002F0C6A">
        <w:trPr>
          <w:trHeight w:val="330"/>
          <w:jc w:val="center"/>
        </w:trPr>
        <w:tc>
          <w:tcPr>
            <w:tcW w:w="1871"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sz w:val="21"/>
                <w:szCs w:val="21"/>
              </w:rPr>
              <w:t>人工生态系统拼块</w:t>
            </w:r>
          </w:p>
        </w:tc>
        <w:tc>
          <w:tcPr>
            <w:tcW w:w="1669"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53.25</w:t>
            </w:r>
          </w:p>
        </w:tc>
        <w:tc>
          <w:tcPr>
            <w:tcW w:w="1459" w:type="pct"/>
            <w:vAlign w:val="bottom"/>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3.90</w:t>
            </w:r>
          </w:p>
        </w:tc>
      </w:tr>
      <w:tr w:rsidR="002F0C6A" w:rsidRPr="002F0C6A" w:rsidTr="002F0C6A">
        <w:trPr>
          <w:trHeight w:val="330"/>
          <w:jc w:val="center"/>
        </w:trPr>
        <w:tc>
          <w:tcPr>
            <w:tcW w:w="1871"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sz w:val="21"/>
                <w:szCs w:val="21"/>
              </w:rPr>
              <w:t>总计</w:t>
            </w:r>
          </w:p>
        </w:tc>
        <w:tc>
          <w:tcPr>
            <w:tcW w:w="1669"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1366.73</w:t>
            </w:r>
          </w:p>
        </w:tc>
        <w:tc>
          <w:tcPr>
            <w:tcW w:w="1459" w:type="pct"/>
            <w:vAlign w:val="center"/>
          </w:tcPr>
          <w:p w:rsidR="002F0C6A" w:rsidRPr="002F0C6A" w:rsidRDefault="002F0C6A" w:rsidP="002F0C6A">
            <w:pPr>
              <w:widowControl/>
              <w:topLinePunct w:val="0"/>
              <w:adjustRightInd/>
              <w:spacing w:line="240" w:lineRule="auto"/>
              <w:ind w:firstLineChars="0" w:firstLine="0"/>
              <w:jc w:val="center"/>
              <w:textAlignment w:val="center"/>
              <w:rPr>
                <w:rFonts w:ascii="Times New Roman" w:cs="Times New Roman"/>
                <w:sz w:val="21"/>
                <w:szCs w:val="21"/>
              </w:rPr>
            </w:pPr>
            <w:r w:rsidRPr="002F0C6A">
              <w:rPr>
                <w:rFonts w:ascii="Times New Roman" w:cs="Times New Roman" w:hint="eastAsia"/>
                <w:sz w:val="21"/>
                <w:szCs w:val="21"/>
              </w:rPr>
              <w:t>100.00</w:t>
            </w:r>
          </w:p>
        </w:tc>
      </w:tr>
    </w:tbl>
    <w:p w:rsidR="001A683F" w:rsidRPr="00D630D1" w:rsidRDefault="001A683F" w:rsidP="001A683F">
      <w:pPr>
        <w:topLinePunct w:val="0"/>
        <w:adjustRightInd/>
        <w:spacing w:line="480" w:lineRule="exact"/>
        <w:ind w:firstLine="482"/>
        <w:rPr>
          <w:rFonts w:ascii="Times New Roman" w:cs="Times New Roman"/>
          <w:b/>
          <w:bCs/>
          <w:kern w:val="2"/>
        </w:rPr>
      </w:pPr>
      <w:r w:rsidRPr="00D630D1">
        <w:rPr>
          <w:rFonts w:ascii="Times New Roman" w:cs="Times New Roman"/>
          <w:b/>
          <w:bCs/>
          <w:kern w:val="2"/>
        </w:rPr>
        <w:t>2</w:t>
      </w:r>
      <w:r w:rsidRPr="00D630D1">
        <w:rPr>
          <w:rFonts w:ascii="Times New Roman" w:cs="Times New Roman"/>
          <w:b/>
          <w:bCs/>
          <w:kern w:val="2"/>
        </w:rPr>
        <w:t>、景观生态体系现状质量评价</w:t>
      </w:r>
    </w:p>
    <w:p w:rsidR="001A683F" w:rsidRPr="00D630D1" w:rsidRDefault="001A683F" w:rsidP="001A683F">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景观稳定性是景观的各种参数的长期变化呈水平状态，或是在水平线上下摆动的幅度和周期性具有统计特征（</w:t>
      </w:r>
      <w:r w:rsidRPr="00D630D1">
        <w:rPr>
          <w:rFonts w:ascii="Times New Roman" w:cs="Times New Roman"/>
          <w:kern w:val="2"/>
        </w:rPr>
        <w:t>Format</w:t>
      </w:r>
      <w:r w:rsidRPr="00D630D1">
        <w:rPr>
          <w:rFonts w:ascii="Times New Roman" w:cs="Times New Roman"/>
          <w:kern w:val="2"/>
        </w:rPr>
        <w:t>，</w:t>
      </w:r>
      <w:r w:rsidRPr="00D630D1">
        <w:rPr>
          <w:rFonts w:ascii="Times New Roman" w:cs="Times New Roman"/>
          <w:kern w:val="2"/>
        </w:rPr>
        <w:t>1990</w:t>
      </w:r>
      <w:r w:rsidRPr="00D630D1">
        <w:rPr>
          <w:rFonts w:ascii="Times New Roman" w:cs="Times New Roman"/>
          <w:kern w:val="2"/>
        </w:rPr>
        <w:t>），它的稳定性本质上是景观各组分，即气候、地貌、岩石、土壤、植被、水文等稳定性的综合体现，它们之间既有一定联系，又有一定区别。因此，在评价景观的稳定性时应考虑到景观组分间的相互联系与相互作用，在实际中评价景观的稳定性时，主要考虑的是植被组分的变化。</w:t>
      </w:r>
    </w:p>
    <w:p w:rsidR="001A683F" w:rsidRPr="00D630D1" w:rsidRDefault="001A683F" w:rsidP="001A683F">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lastRenderedPageBreak/>
        <w:t>评价区域环境是一个以自然环境为主、受人类活动干扰强烈的区域环境，其环境质量状况是由区内自然环境各个因子与人类社会之间的相互作用来决定的。根据景观生态学中景观生态结构与功能相匹配的原理，景观结构的合理性将决定区域净功能状况的优劣，即决定景观生态体系的质量状况。因此，采取区内景观生态体系空间结构合理程度的方法，来判断区内景观生态体系的稳定性。具体方法采用优势度计算法，各参数计算公式如下：</w:t>
      </w:r>
    </w:p>
    <w:p w:rsidR="001A683F" w:rsidRPr="00D630D1" w:rsidRDefault="001A683F" w:rsidP="001A683F">
      <w:pPr>
        <w:topLinePunct w:val="0"/>
        <w:adjustRightInd/>
        <w:spacing w:line="500" w:lineRule="exact"/>
        <w:ind w:right="100" w:firstLineChars="0" w:firstLine="0"/>
        <w:rPr>
          <w:rFonts w:ascii="Times New Roman" w:cs="Times New Roman"/>
          <w:kern w:val="2"/>
        </w:rPr>
      </w:pPr>
      <w:r w:rsidRPr="00D630D1">
        <w:rPr>
          <w:rFonts w:ascii="Times New Roman" w:cs="Times New Roman"/>
          <w:kern w:val="2"/>
        </w:rPr>
        <w:t xml:space="preserve">    </w:t>
      </w:r>
      <w:r w:rsidRPr="00D630D1">
        <w:rPr>
          <w:rFonts w:ascii="Times New Roman" w:cs="Times New Roman"/>
          <w:kern w:val="2"/>
        </w:rPr>
        <w:t>密度</w:t>
      </w:r>
      <w:r w:rsidRPr="00D630D1">
        <w:rPr>
          <w:rFonts w:ascii="Times New Roman" w:cs="Times New Roman"/>
          <w:kern w:val="2"/>
        </w:rPr>
        <w:t>Rd=I</w:t>
      </w:r>
      <w:r w:rsidRPr="00D630D1">
        <w:rPr>
          <w:rFonts w:ascii="Times New Roman" w:cs="Times New Roman"/>
          <w:kern w:val="2"/>
        </w:rPr>
        <w:t>拼块的数目</w:t>
      </w:r>
      <w:r w:rsidRPr="00D630D1">
        <w:rPr>
          <w:rFonts w:ascii="Times New Roman" w:cs="Times New Roman"/>
          <w:kern w:val="2"/>
        </w:rPr>
        <w:t>/</w:t>
      </w:r>
      <w:r w:rsidRPr="00D630D1">
        <w:rPr>
          <w:rFonts w:ascii="Times New Roman" w:cs="Times New Roman"/>
          <w:kern w:val="2"/>
        </w:rPr>
        <w:t>拼块的总数</w:t>
      </w:r>
      <w:r w:rsidRPr="00D630D1">
        <w:rPr>
          <w:rFonts w:ascii="Times New Roman" w:cs="Times New Roman"/>
          <w:kern w:val="2"/>
        </w:rPr>
        <w:t>×100</w:t>
      </w:r>
      <w:r w:rsidRPr="00D630D1">
        <w:rPr>
          <w:rFonts w:ascii="Times New Roman" w:cs="Times New Roman"/>
          <w:kern w:val="2"/>
        </w:rPr>
        <w:t>﹪；</w:t>
      </w:r>
    </w:p>
    <w:p w:rsidR="001A683F" w:rsidRPr="00D630D1" w:rsidRDefault="001A683F" w:rsidP="001A683F">
      <w:pPr>
        <w:topLinePunct w:val="0"/>
        <w:adjustRightInd/>
        <w:spacing w:line="500" w:lineRule="exact"/>
        <w:ind w:right="100" w:firstLine="480"/>
        <w:rPr>
          <w:rFonts w:ascii="Times New Roman" w:cs="Times New Roman"/>
          <w:kern w:val="2"/>
        </w:rPr>
      </w:pPr>
      <w:r w:rsidRPr="00D630D1">
        <w:rPr>
          <w:rFonts w:ascii="Times New Roman" w:cs="Times New Roman"/>
          <w:kern w:val="2"/>
        </w:rPr>
        <w:t>频率</w:t>
      </w:r>
      <w:r w:rsidRPr="00D630D1">
        <w:rPr>
          <w:rFonts w:ascii="Times New Roman" w:cs="Times New Roman"/>
          <w:kern w:val="2"/>
        </w:rPr>
        <w:t>Rf=</w:t>
      </w:r>
      <w:r w:rsidRPr="00D630D1">
        <w:rPr>
          <w:rFonts w:ascii="Times New Roman" w:cs="Times New Roman"/>
          <w:kern w:val="2"/>
        </w:rPr>
        <w:t>拼块</w:t>
      </w:r>
      <w:r w:rsidRPr="00D630D1">
        <w:rPr>
          <w:rFonts w:ascii="Times New Roman" w:cs="Times New Roman"/>
          <w:kern w:val="2"/>
        </w:rPr>
        <w:t>I</w:t>
      </w:r>
      <w:r w:rsidRPr="00D630D1">
        <w:rPr>
          <w:rFonts w:ascii="Times New Roman" w:cs="Times New Roman"/>
          <w:kern w:val="2"/>
        </w:rPr>
        <w:t>出现的小样方数</w:t>
      </w:r>
      <w:r w:rsidRPr="00D630D1">
        <w:rPr>
          <w:rFonts w:ascii="Times New Roman" w:cs="Times New Roman"/>
          <w:kern w:val="2"/>
        </w:rPr>
        <w:t>/</w:t>
      </w:r>
      <w:r w:rsidRPr="00D630D1">
        <w:rPr>
          <w:rFonts w:ascii="Times New Roman" w:cs="Times New Roman"/>
          <w:kern w:val="2"/>
        </w:rPr>
        <w:t>小样方总数</w:t>
      </w:r>
      <w:r w:rsidRPr="00D630D1">
        <w:rPr>
          <w:rFonts w:ascii="Times New Roman" w:cs="Times New Roman"/>
          <w:kern w:val="2"/>
        </w:rPr>
        <w:t>×100</w:t>
      </w:r>
      <w:r w:rsidRPr="00D630D1">
        <w:rPr>
          <w:rFonts w:ascii="Times New Roman" w:cs="Times New Roman"/>
          <w:kern w:val="2"/>
        </w:rPr>
        <w:t>﹪；</w:t>
      </w:r>
    </w:p>
    <w:p w:rsidR="001A683F" w:rsidRPr="00D630D1" w:rsidRDefault="001A683F" w:rsidP="001A683F">
      <w:pPr>
        <w:topLinePunct w:val="0"/>
        <w:adjustRightInd/>
        <w:spacing w:line="500" w:lineRule="exact"/>
        <w:ind w:right="100" w:firstLine="480"/>
        <w:rPr>
          <w:rFonts w:ascii="Times New Roman" w:cs="Times New Roman"/>
          <w:kern w:val="2"/>
        </w:rPr>
      </w:pPr>
      <w:r w:rsidRPr="00D630D1">
        <w:rPr>
          <w:rFonts w:ascii="Times New Roman" w:cs="Times New Roman"/>
          <w:kern w:val="2"/>
        </w:rPr>
        <w:t>景观比例</w:t>
      </w:r>
      <w:r w:rsidRPr="00D630D1">
        <w:rPr>
          <w:rFonts w:ascii="Times New Roman" w:cs="Times New Roman"/>
          <w:kern w:val="2"/>
        </w:rPr>
        <w:t>Lp</w:t>
      </w:r>
      <w:r w:rsidRPr="00D630D1">
        <w:rPr>
          <w:rFonts w:ascii="Times New Roman" w:cs="Times New Roman"/>
          <w:kern w:val="2"/>
        </w:rPr>
        <w:t>＝拼块</w:t>
      </w:r>
      <w:r w:rsidRPr="00D630D1">
        <w:rPr>
          <w:rFonts w:ascii="Times New Roman" w:cs="Times New Roman"/>
          <w:kern w:val="2"/>
        </w:rPr>
        <w:t>I</w:t>
      </w:r>
      <w:r w:rsidRPr="00D630D1">
        <w:rPr>
          <w:rFonts w:ascii="Times New Roman" w:cs="Times New Roman"/>
          <w:kern w:val="2"/>
        </w:rPr>
        <w:t>的面积</w:t>
      </w:r>
      <w:r w:rsidRPr="00D630D1">
        <w:rPr>
          <w:rFonts w:ascii="Times New Roman" w:cs="Times New Roman"/>
          <w:kern w:val="2"/>
        </w:rPr>
        <w:t>/</w:t>
      </w:r>
      <w:r w:rsidRPr="00D630D1">
        <w:rPr>
          <w:rFonts w:ascii="Times New Roman" w:cs="Times New Roman"/>
          <w:kern w:val="2"/>
        </w:rPr>
        <w:t>样地总面积</w:t>
      </w:r>
      <w:r w:rsidRPr="00D630D1">
        <w:rPr>
          <w:rFonts w:ascii="Times New Roman" w:cs="Times New Roman"/>
          <w:kern w:val="2"/>
        </w:rPr>
        <w:t>×100</w:t>
      </w:r>
      <w:r w:rsidRPr="00D630D1">
        <w:rPr>
          <w:rFonts w:ascii="Times New Roman" w:cs="Times New Roman"/>
          <w:kern w:val="2"/>
        </w:rPr>
        <w:t>﹪；</w:t>
      </w:r>
    </w:p>
    <w:p w:rsidR="001A683F" w:rsidRPr="00D630D1" w:rsidRDefault="001A683F" w:rsidP="001A683F">
      <w:pPr>
        <w:topLinePunct w:val="0"/>
        <w:adjustRightInd/>
        <w:spacing w:line="500" w:lineRule="exact"/>
        <w:ind w:right="100" w:firstLine="480"/>
        <w:rPr>
          <w:rFonts w:ascii="Times New Roman" w:cs="Times New Roman"/>
          <w:kern w:val="2"/>
        </w:rPr>
      </w:pPr>
      <w:r w:rsidRPr="00D630D1">
        <w:rPr>
          <w:rFonts w:ascii="Times New Roman" w:cs="Times New Roman"/>
          <w:kern w:val="2"/>
        </w:rPr>
        <w:t>景观优势度</w:t>
      </w:r>
      <w:r w:rsidRPr="00D630D1">
        <w:rPr>
          <w:rFonts w:ascii="Times New Roman" w:cs="Times New Roman"/>
          <w:kern w:val="2"/>
        </w:rPr>
        <w:t>Do</w:t>
      </w:r>
      <w:r w:rsidRPr="00D630D1">
        <w:rPr>
          <w:rFonts w:ascii="Times New Roman" w:cs="Times New Roman"/>
          <w:kern w:val="2"/>
        </w:rPr>
        <w:t>＝</w:t>
      </w:r>
      <w:r w:rsidRPr="00D630D1">
        <w:rPr>
          <w:rFonts w:ascii="Times New Roman" w:cs="Times New Roman"/>
          <w:kern w:val="2"/>
        </w:rPr>
        <w:t>12[</w:t>
      </w:r>
      <w:r w:rsidRPr="00D630D1">
        <w:rPr>
          <w:rFonts w:ascii="Times New Roman" w:cs="Times New Roman"/>
          <w:kern w:val="2"/>
        </w:rPr>
        <w:t>（</w:t>
      </w:r>
      <w:r w:rsidRPr="00D630D1">
        <w:rPr>
          <w:rFonts w:ascii="Times New Roman" w:cs="Times New Roman"/>
          <w:kern w:val="2"/>
        </w:rPr>
        <w:t>Rd+Rf</w:t>
      </w:r>
      <w:r w:rsidRPr="00D630D1">
        <w:rPr>
          <w:rFonts w:ascii="Times New Roman" w:cs="Times New Roman"/>
          <w:kern w:val="2"/>
        </w:rPr>
        <w:t>）</w:t>
      </w:r>
      <w:r w:rsidRPr="00D630D1">
        <w:rPr>
          <w:rFonts w:ascii="Times New Roman" w:cs="Times New Roman"/>
          <w:kern w:val="2"/>
        </w:rPr>
        <w:t>/2</w:t>
      </w:r>
      <w:r w:rsidRPr="00D630D1">
        <w:rPr>
          <w:rFonts w:ascii="Times New Roman" w:cs="Times New Roman"/>
          <w:kern w:val="2"/>
        </w:rPr>
        <w:t>＋</w:t>
      </w:r>
      <w:r w:rsidRPr="00D630D1">
        <w:rPr>
          <w:rFonts w:ascii="Times New Roman" w:cs="Times New Roman"/>
          <w:kern w:val="2"/>
        </w:rPr>
        <w:t>Lp]×100</w:t>
      </w:r>
      <w:r w:rsidRPr="00D630D1">
        <w:rPr>
          <w:rFonts w:ascii="Times New Roman" w:cs="Times New Roman"/>
          <w:kern w:val="2"/>
        </w:rPr>
        <w:t>﹪。</w:t>
      </w:r>
    </w:p>
    <w:p w:rsidR="006E0F85" w:rsidRDefault="001A683F" w:rsidP="001A683F">
      <w:pPr>
        <w:pStyle w:val="afa"/>
        <w:ind w:firstLine="480"/>
        <w:rPr>
          <w:kern w:val="2"/>
          <w:szCs w:val="24"/>
        </w:rPr>
      </w:pPr>
      <w:r w:rsidRPr="00D630D1">
        <w:rPr>
          <w:kern w:val="2"/>
          <w:szCs w:val="24"/>
        </w:rPr>
        <w:t>在景观频率的评判中，采取在微机上的土地利用图上取样的方法，共选取</w:t>
      </w:r>
      <w:r w:rsidRPr="00D630D1">
        <w:rPr>
          <w:kern w:val="2"/>
          <w:szCs w:val="24"/>
        </w:rPr>
        <w:t>200</w:t>
      </w:r>
      <w:r w:rsidRPr="00D630D1">
        <w:rPr>
          <w:kern w:val="2"/>
          <w:szCs w:val="24"/>
        </w:rPr>
        <w:t>个小样方。统计各类拼块出现的小样方数，得出各个拼块的频度，计算出主要拼块的优势度，结果见表</w:t>
      </w:r>
      <w:r w:rsidRPr="00D630D1">
        <w:rPr>
          <w:rFonts w:hint="eastAsia"/>
          <w:kern w:val="2"/>
          <w:szCs w:val="24"/>
        </w:rPr>
        <w:t>5.2</w:t>
      </w:r>
      <w:r w:rsidRPr="00D630D1">
        <w:rPr>
          <w:kern w:val="2"/>
          <w:szCs w:val="24"/>
        </w:rPr>
        <w:t>-</w:t>
      </w:r>
      <w:r w:rsidRPr="00D630D1">
        <w:rPr>
          <w:rFonts w:hint="eastAsia"/>
          <w:kern w:val="2"/>
          <w:szCs w:val="24"/>
        </w:rPr>
        <w:t>15</w:t>
      </w:r>
      <w:r w:rsidRPr="00D630D1">
        <w:rPr>
          <w:kern w:val="2"/>
          <w:szCs w:val="24"/>
        </w:rPr>
        <w:t>。</w:t>
      </w:r>
    </w:p>
    <w:p w:rsidR="002F0C6A" w:rsidRPr="00D630D1" w:rsidRDefault="002F0C6A" w:rsidP="002F0C6A">
      <w:pPr>
        <w:pStyle w:val="afa"/>
        <w:ind w:firstLine="482"/>
        <w:rPr>
          <w:b/>
          <w:bCs/>
        </w:rPr>
      </w:pPr>
    </w:p>
    <w:p w:rsidR="001A683F" w:rsidRDefault="001A683F" w:rsidP="00F96E37">
      <w:pPr>
        <w:topLinePunct w:val="0"/>
        <w:autoSpaceDE w:val="0"/>
        <w:autoSpaceDN w:val="0"/>
        <w:spacing w:beforeLines="50" w:line="240" w:lineRule="auto"/>
        <w:ind w:firstLineChars="0" w:firstLine="0"/>
        <w:jc w:val="center"/>
        <w:rPr>
          <w:rFonts w:ascii="Times New Roman" w:cs="Times New Roman"/>
          <w:b/>
          <w:sz w:val="21"/>
        </w:rPr>
      </w:pPr>
      <w:r w:rsidRPr="00D630D1">
        <w:rPr>
          <w:rFonts w:ascii="Times New Roman" w:cs="Times New Roman"/>
          <w:b/>
          <w:sz w:val="21"/>
        </w:rPr>
        <w:t>表</w:t>
      </w:r>
      <w:r w:rsidR="00E67813" w:rsidRPr="00D630D1">
        <w:rPr>
          <w:rFonts w:ascii="Times New Roman" w:cs="Times New Roman" w:hint="eastAsia"/>
          <w:b/>
          <w:sz w:val="21"/>
        </w:rPr>
        <w:t>5</w:t>
      </w:r>
      <w:r w:rsidRPr="00D630D1">
        <w:rPr>
          <w:rFonts w:ascii="Times New Roman" w:cs="Times New Roman" w:hint="eastAsia"/>
          <w:b/>
          <w:sz w:val="21"/>
        </w:rPr>
        <w:t>.</w:t>
      </w:r>
      <w:r w:rsidR="00E67813" w:rsidRPr="00D630D1">
        <w:rPr>
          <w:rFonts w:ascii="Times New Roman" w:cs="Times New Roman" w:hint="eastAsia"/>
          <w:b/>
          <w:sz w:val="21"/>
        </w:rPr>
        <w:t>2</w:t>
      </w:r>
      <w:r w:rsidRPr="00D630D1">
        <w:rPr>
          <w:rFonts w:ascii="Times New Roman" w:cs="Times New Roman"/>
          <w:b/>
          <w:sz w:val="21"/>
        </w:rPr>
        <w:t>-</w:t>
      </w:r>
      <w:r w:rsidRPr="00D630D1">
        <w:rPr>
          <w:rFonts w:ascii="Times New Roman" w:cs="Times New Roman" w:hint="eastAsia"/>
          <w:b/>
          <w:sz w:val="21"/>
        </w:rPr>
        <w:t>15</w:t>
      </w:r>
      <w:r w:rsidRPr="00D630D1">
        <w:rPr>
          <w:rFonts w:ascii="Times New Roman" w:cs="Times New Roman"/>
          <w:b/>
          <w:sz w:val="21"/>
        </w:rPr>
        <w:t xml:space="preserve"> </w:t>
      </w:r>
      <w:r w:rsidRPr="00D630D1">
        <w:rPr>
          <w:rFonts w:ascii="Times New Roman" w:cs="Times New Roman"/>
          <w:b/>
          <w:sz w:val="21"/>
        </w:rPr>
        <w:t>评价范围各拼块优势度值</w:t>
      </w:r>
    </w:p>
    <w:tbl>
      <w:tblPr>
        <w:tblW w:w="4743" w:type="pct"/>
        <w:jc w:val="center"/>
        <w:tblBorders>
          <w:top w:val="single" w:sz="12" w:space="0" w:color="000000"/>
          <w:bottom w:val="single" w:sz="12" w:space="0" w:color="000000"/>
          <w:insideH w:val="single" w:sz="4" w:space="0" w:color="000000"/>
          <w:insideV w:val="single" w:sz="4" w:space="0" w:color="000000"/>
        </w:tblBorders>
        <w:tblCellMar>
          <w:top w:w="15" w:type="dxa"/>
          <w:left w:w="15" w:type="dxa"/>
          <w:bottom w:w="15" w:type="dxa"/>
          <w:right w:w="15" w:type="dxa"/>
        </w:tblCellMar>
        <w:tblLook w:val="0000"/>
      </w:tblPr>
      <w:tblGrid>
        <w:gridCol w:w="1556"/>
        <w:gridCol w:w="1456"/>
        <w:gridCol w:w="1527"/>
        <w:gridCol w:w="1859"/>
        <w:gridCol w:w="1510"/>
      </w:tblGrid>
      <w:tr w:rsidR="002F0C6A" w:rsidRPr="002F0C6A" w:rsidTr="002F0C6A">
        <w:trPr>
          <w:trHeight w:hRule="exact" w:val="340"/>
          <w:jc w:val="center"/>
        </w:trPr>
        <w:tc>
          <w:tcPr>
            <w:tcW w:w="983" w:type="pct"/>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kern w:val="2"/>
                <w:sz w:val="21"/>
                <w:szCs w:val="21"/>
              </w:rPr>
            </w:pPr>
            <w:r w:rsidRPr="002F0C6A">
              <w:rPr>
                <w:rFonts w:ascii="Times New Roman" w:cs="Times New Roman"/>
                <w:sz w:val="21"/>
                <w:szCs w:val="21"/>
              </w:rPr>
              <w:t>拼块类型</w:t>
            </w:r>
          </w:p>
        </w:tc>
        <w:tc>
          <w:tcPr>
            <w:tcW w:w="920" w:type="pct"/>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kern w:val="2"/>
                <w:sz w:val="21"/>
                <w:szCs w:val="21"/>
              </w:rPr>
            </w:pPr>
            <w:r w:rsidRPr="002F0C6A">
              <w:rPr>
                <w:rFonts w:ascii="Times New Roman" w:cs="Times New Roman"/>
                <w:sz w:val="21"/>
                <w:szCs w:val="21"/>
              </w:rPr>
              <w:t>密度</w:t>
            </w:r>
            <w:r w:rsidRPr="002F0C6A">
              <w:rPr>
                <w:rFonts w:ascii="Times New Roman" w:cs="Times New Roman"/>
                <w:sz w:val="21"/>
                <w:szCs w:val="21"/>
              </w:rPr>
              <w:t>Rd</w:t>
            </w:r>
            <w:r w:rsidRPr="002F0C6A">
              <w:rPr>
                <w:rFonts w:ascii="Times New Roman" w:cs="Times New Roman"/>
                <w:sz w:val="21"/>
                <w:szCs w:val="21"/>
              </w:rPr>
              <w:t>（</w:t>
            </w:r>
            <w:r w:rsidRPr="002F0C6A">
              <w:rPr>
                <w:rFonts w:ascii="Times New Roman" w:cs="Times New Roman"/>
                <w:sz w:val="21"/>
                <w:szCs w:val="21"/>
              </w:rPr>
              <w:t>%</w:t>
            </w:r>
            <w:r w:rsidRPr="002F0C6A">
              <w:rPr>
                <w:rFonts w:ascii="Times New Roman" w:cs="Times New Roman"/>
                <w:sz w:val="21"/>
                <w:szCs w:val="21"/>
              </w:rPr>
              <w:t>）</w:t>
            </w:r>
          </w:p>
        </w:tc>
        <w:tc>
          <w:tcPr>
            <w:tcW w:w="965" w:type="pct"/>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kern w:val="2"/>
                <w:sz w:val="21"/>
                <w:szCs w:val="21"/>
              </w:rPr>
            </w:pPr>
            <w:r w:rsidRPr="002F0C6A">
              <w:rPr>
                <w:rFonts w:ascii="Times New Roman" w:cs="Times New Roman"/>
                <w:sz w:val="21"/>
                <w:szCs w:val="21"/>
              </w:rPr>
              <w:t>频率</w:t>
            </w:r>
            <w:r w:rsidRPr="002F0C6A">
              <w:rPr>
                <w:rFonts w:ascii="Times New Roman" w:cs="Times New Roman"/>
                <w:sz w:val="21"/>
                <w:szCs w:val="21"/>
              </w:rPr>
              <w:t>Rf</w:t>
            </w:r>
            <w:r w:rsidRPr="002F0C6A">
              <w:rPr>
                <w:rFonts w:ascii="Times New Roman" w:cs="Times New Roman"/>
                <w:sz w:val="21"/>
                <w:szCs w:val="21"/>
              </w:rPr>
              <w:t>（</w:t>
            </w:r>
            <w:r w:rsidRPr="002F0C6A">
              <w:rPr>
                <w:rFonts w:ascii="Times New Roman" w:cs="Times New Roman"/>
                <w:sz w:val="21"/>
                <w:szCs w:val="21"/>
              </w:rPr>
              <w:t>%</w:t>
            </w:r>
            <w:r w:rsidRPr="002F0C6A">
              <w:rPr>
                <w:rFonts w:ascii="Times New Roman" w:cs="Times New Roman"/>
                <w:sz w:val="21"/>
                <w:szCs w:val="21"/>
              </w:rPr>
              <w:t>）</w:t>
            </w:r>
          </w:p>
        </w:tc>
        <w:tc>
          <w:tcPr>
            <w:tcW w:w="1175" w:type="pct"/>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kern w:val="2"/>
                <w:sz w:val="21"/>
                <w:szCs w:val="21"/>
              </w:rPr>
            </w:pPr>
            <w:r w:rsidRPr="002F0C6A">
              <w:rPr>
                <w:rFonts w:ascii="Times New Roman" w:cs="Times New Roman"/>
                <w:sz w:val="21"/>
                <w:szCs w:val="21"/>
              </w:rPr>
              <w:t>景观比例</w:t>
            </w:r>
            <w:r w:rsidRPr="002F0C6A">
              <w:rPr>
                <w:rFonts w:ascii="Times New Roman" w:cs="Times New Roman"/>
                <w:sz w:val="21"/>
                <w:szCs w:val="21"/>
              </w:rPr>
              <w:t>Lp</w:t>
            </w:r>
            <w:r w:rsidRPr="002F0C6A">
              <w:rPr>
                <w:rFonts w:ascii="Times New Roman" w:cs="Times New Roman"/>
                <w:sz w:val="21"/>
                <w:szCs w:val="21"/>
              </w:rPr>
              <w:t>（</w:t>
            </w:r>
            <w:r w:rsidRPr="002F0C6A">
              <w:rPr>
                <w:rFonts w:ascii="Times New Roman" w:cs="Times New Roman"/>
                <w:sz w:val="21"/>
                <w:szCs w:val="21"/>
              </w:rPr>
              <w:t>%</w:t>
            </w:r>
            <w:r w:rsidRPr="002F0C6A">
              <w:rPr>
                <w:rFonts w:ascii="Times New Roman" w:cs="Times New Roman"/>
                <w:sz w:val="21"/>
                <w:szCs w:val="21"/>
              </w:rPr>
              <w:t>）</w:t>
            </w:r>
          </w:p>
        </w:tc>
        <w:tc>
          <w:tcPr>
            <w:tcW w:w="955" w:type="pct"/>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kern w:val="2"/>
                <w:sz w:val="21"/>
                <w:szCs w:val="21"/>
              </w:rPr>
            </w:pPr>
            <w:r w:rsidRPr="002F0C6A">
              <w:rPr>
                <w:rFonts w:ascii="Times New Roman" w:cs="Times New Roman"/>
                <w:sz w:val="21"/>
                <w:szCs w:val="21"/>
              </w:rPr>
              <w:t>优势度</w:t>
            </w:r>
            <w:r w:rsidRPr="002F0C6A">
              <w:rPr>
                <w:rFonts w:ascii="Times New Roman" w:cs="Times New Roman"/>
                <w:sz w:val="21"/>
                <w:szCs w:val="21"/>
              </w:rPr>
              <w:t>Do</w:t>
            </w:r>
            <w:r w:rsidRPr="002F0C6A">
              <w:rPr>
                <w:rFonts w:ascii="Times New Roman" w:cs="Times New Roman"/>
                <w:sz w:val="21"/>
                <w:szCs w:val="21"/>
              </w:rPr>
              <w:t>（</w:t>
            </w:r>
            <w:r w:rsidRPr="002F0C6A">
              <w:rPr>
                <w:rFonts w:ascii="Times New Roman" w:cs="Times New Roman"/>
                <w:sz w:val="21"/>
                <w:szCs w:val="21"/>
              </w:rPr>
              <w:t>%</w:t>
            </w:r>
            <w:r w:rsidRPr="002F0C6A">
              <w:rPr>
                <w:rFonts w:ascii="Times New Roman" w:cs="Times New Roman"/>
                <w:sz w:val="21"/>
                <w:szCs w:val="21"/>
              </w:rPr>
              <w:t>）</w:t>
            </w:r>
          </w:p>
        </w:tc>
      </w:tr>
      <w:tr w:rsidR="002F0C6A" w:rsidRPr="002F0C6A" w:rsidTr="002F0C6A">
        <w:trPr>
          <w:trHeight w:hRule="exact" w:val="340"/>
          <w:jc w:val="center"/>
        </w:trPr>
        <w:tc>
          <w:tcPr>
            <w:tcW w:w="983" w:type="pct"/>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kern w:val="2"/>
                <w:sz w:val="21"/>
                <w:szCs w:val="21"/>
              </w:rPr>
            </w:pPr>
            <w:r w:rsidRPr="002F0C6A">
              <w:rPr>
                <w:rFonts w:ascii="Times New Roman" w:cs="Times New Roman"/>
                <w:sz w:val="21"/>
                <w:szCs w:val="21"/>
              </w:rPr>
              <w:t>森林</w:t>
            </w:r>
          </w:p>
        </w:tc>
        <w:tc>
          <w:tcPr>
            <w:tcW w:w="1530"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55.37</w:t>
            </w:r>
          </w:p>
        </w:tc>
        <w:tc>
          <w:tcPr>
            <w:tcW w:w="1605"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72.03</w:t>
            </w:r>
          </w:p>
        </w:tc>
        <w:tc>
          <w:tcPr>
            <w:tcW w:w="1954"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62.04</w:t>
            </w:r>
          </w:p>
        </w:tc>
        <w:tc>
          <w:tcPr>
            <w:tcW w:w="1588"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 xml:space="preserve">62.87 </w:t>
            </w:r>
          </w:p>
        </w:tc>
      </w:tr>
      <w:tr w:rsidR="002F0C6A" w:rsidRPr="002F0C6A" w:rsidTr="002F0C6A">
        <w:trPr>
          <w:trHeight w:hRule="exact" w:val="340"/>
          <w:jc w:val="center"/>
        </w:trPr>
        <w:tc>
          <w:tcPr>
            <w:tcW w:w="983" w:type="pct"/>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kern w:val="2"/>
                <w:sz w:val="21"/>
                <w:szCs w:val="21"/>
              </w:rPr>
            </w:pPr>
            <w:r w:rsidRPr="002F0C6A">
              <w:rPr>
                <w:rFonts w:ascii="Times New Roman" w:cs="Times New Roman"/>
                <w:sz w:val="21"/>
                <w:szCs w:val="21"/>
              </w:rPr>
              <w:t>灌丛</w:t>
            </w:r>
          </w:p>
        </w:tc>
        <w:tc>
          <w:tcPr>
            <w:tcW w:w="1530"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5.03</w:t>
            </w:r>
          </w:p>
        </w:tc>
        <w:tc>
          <w:tcPr>
            <w:tcW w:w="1605"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2.69</w:t>
            </w:r>
          </w:p>
        </w:tc>
        <w:tc>
          <w:tcPr>
            <w:tcW w:w="1954"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2.67</w:t>
            </w:r>
          </w:p>
        </w:tc>
        <w:tc>
          <w:tcPr>
            <w:tcW w:w="1588"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 xml:space="preserve">3.27 </w:t>
            </w:r>
          </w:p>
        </w:tc>
      </w:tr>
      <w:tr w:rsidR="002F0C6A" w:rsidRPr="002F0C6A" w:rsidTr="002F0C6A">
        <w:trPr>
          <w:trHeight w:hRule="exact" w:val="340"/>
          <w:jc w:val="center"/>
        </w:trPr>
        <w:tc>
          <w:tcPr>
            <w:tcW w:w="983" w:type="pct"/>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kern w:val="2"/>
                <w:sz w:val="21"/>
                <w:szCs w:val="21"/>
              </w:rPr>
            </w:pPr>
            <w:r w:rsidRPr="002F0C6A">
              <w:rPr>
                <w:rFonts w:ascii="Times New Roman" w:cs="Times New Roman"/>
                <w:sz w:val="21"/>
                <w:szCs w:val="21"/>
              </w:rPr>
              <w:t>灌草丛</w:t>
            </w:r>
          </w:p>
        </w:tc>
        <w:tc>
          <w:tcPr>
            <w:tcW w:w="1530"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2.93</w:t>
            </w:r>
          </w:p>
        </w:tc>
        <w:tc>
          <w:tcPr>
            <w:tcW w:w="1605"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1.19</w:t>
            </w:r>
          </w:p>
        </w:tc>
        <w:tc>
          <w:tcPr>
            <w:tcW w:w="1954"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1.12</w:t>
            </w:r>
          </w:p>
        </w:tc>
        <w:tc>
          <w:tcPr>
            <w:tcW w:w="1588"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 xml:space="preserve">1.59 </w:t>
            </w:r>
          </w:p>
        </w:tc>
      </w:tr>
      <w:tr w:rsidR="002F0C6A" w:rsidRPr="002F0C6A" w:rsidTr="002F0C6A">
        <w:trPr>
          <w:trHeight w:hRule="exact" w:val="340"/>
          <w:jc w:val="center"/>
        </w:trPr>
        <w:tc>
          <w:tcPr>
            <w:tcW w:w="983" w:type="pct"/>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kern w:val="2"/>
                <w:sz w:val="21"/>
                <w:szCs w:val="21"/>
              </w:rPr>
            </w:pPr>
            <w:r w:rsidRPr="002F0C6A">
              <w:rPr>
                <w:rFonts w:ascii="Times New Roman" w:cs="Times New Roman"/>
                <w:sz w:val="21"/>
                <w:szCs w:val="21"/>
              </w:rPr>
              <w:t>耕地</w:t>
            </w:r>
          </w:p>
        </w:tc>
        <w:tc>
          <w:tcPr>
            <w:tcW w:w="1530"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23.37</w:t>
            </w:r>
          </w:p>
        </w:tc>
        <w:tc>
          <w:tcPr>
            <w:tcW w:w="1605"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29.91</w:t>
            </w:r>
          </w:p>
        </w:tc>
        <w:tc>
          <w:tcPr>
            <w:tcW w:w="1954"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29.37</w:t>
            </w:r>
          </w:p>
        </w:tc>
        <w:tc>
          <w:tcPr>
            <w:tcW w:w="1588"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 xml:space="preserve">28.01 </w:t>
            </w:r>
          </w:p>
        </w:tc>
      </w:tr>
      <w:tr w:rsidR="002F0C6A" w:rsidRPr="002F0C6A" w:rsidTr="002F0C6A">
        <w:trPr>
          <w:trHeight w:hRule="exact" w:val="340"/>
          <w:jc w:val="center"/>
        </w:trPr>
        <w:tc>
          <w:tcPr>
            <w:tcW w:w="983" w:type="pct"/>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河流水面</w:t>
            </w:r>
          </w:p>
        </w:tc>
        <w:tc>
          <w:tcPr>
            <w:tcW w:w="1530"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2.11</w:t>
            </w:r>
          </w:p>
        </w:tc>
        <w:tc>
          <w:tcPr>
            <w:tcW w:w="1605"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0.37</w:t>
            </w:r>
          </w:p>
        </w:tc>
        <w:tc>
          <w:tcPr>
            <w:tcW w:w="1954"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0.36</w:t>
            </w:r>
          </w:p>
        </w:tc>
        <w:tc>
          <w:tcPr>
            <w:tcW w:w="1588"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 xml:space="preserve">0.80 </w:t>
            </w:r>
          </w:p>
        </w:tc>
      </w:tr>
      <w:tr w:rsidR="002F0C6A" w:rsidRPr="002F0C6A" w:rsidTr="002F0C6A">
        <w:trPr>
          <w:trHeight w:hRule="exact" w:val="340"/>
          <w:jc w:val="center"/>
        </w:trPr>
        <w:tc>
          <w:tcPr>
            <w:tcW w:w="983" w:type="pct"/>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人工生态系统</w:t>
            </w:r>
          </w:p>
        </w:tc>
        <w:tc>
          <w:tcPr>
            <w:tcW w:w="1530"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11.19</w:t>
            </w:r>
          </w:p>
        </w:tc>
        <w:tc>
          <w:tcPr>
            <w:tcW w:w="1605"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4.24</w:t>
            </w:r>
          </w:p>
        </w:tc>
        <w:tc>
          <w:tcPr>
            <w:tcW w:w="1954"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4.44</w:t>
            </w:r>
          </w:p>
        </w:tc>
        <w:tc>
          <w:tcPr>
            <w:tcW w:w="1588" w:type="dxa"/>
            <w:vAlign w:val="bottom"/>
          </w:tcPr>
          <w:p w:rsidR="002F0C6A" w:rsidRPr="002F0C6A" w:rsidRDefault="002F0C6A" w:rsidP="002F0C6A">
            <w:pPr>
              <w:widowControl/>
              <w:topLinePunct w:val="0"/>
              <w:adjustRightInd/>
              <w:spacing w:line="240" w:lineRule="auto"/>
              <w:ind w:firstLineChars="0" w:firstLine="480"/>
              <w:jc w:val="center"/>
              <w:textAlignment w:val="bottom"/>
              <w:rPr>
                <w:rFonts w:ascii="Times New Roman" w:cs="Times New Roman"/>
                <w:sz w:val="21"/>
                <w:szCs w:val="21"/>
              </w:rPr>
            </w:pPr>
            <w:r w:rsidRPr="002F0C6A">
              <w:rPr>
                <w:rFonts w:ascii="Times New Roman" w:cs="Times New Roman"/>
                <w:sz w:val="21"/>
                <w:szCs w:val="21"/>
              </w:rPr>
              <w:t xml:space="preserve">6.08 </w:t>
            </w:r>
          </w:p>
        </w:tc>
      </w:tr>
    </w:tbl>
    <w:p w:rsidR="002F0C6A" w:rsidRPr="00A605E6" w:rsidRDefault="002F0C6A" w:rsidP="00F96E37">
      <w:pPr>
        <w:topLinePunct w:val="0"/>
        <w:autoSpaceDE w:val="0"/>
        <w:autoSpaceDN w:val="0"/>
        <w:spacing w:beforeLines="50"/>
        <w:ind w:firstLineChars="0" w:firstLine="0"/>
        <w:rPr>
          <w:rFonts w:ascii="Times New Roman" w:cs="Times New Roman"/>
        </w:rPr>
      </w:pPr>
      <w:r>
        <w:rPr>
          <w:rFonts w:ascii="Times New Roman" w:cs="Times New Roman" w:hint="eastAsia"/>
          <w:b/>
          <w:sz w:val="21"/>
        </w:rPr>
        <w:t xml:space="preserve">    </w:t>
      </w:r>
      <w:r w:rsidR="00A605E6" w:rsidRPr="00A605E6">
        <w:rPr>
          <w:rFonts w:ascii="Times New Roman" w:cs="Times New Roman"/>
        </w:rPr>
        <w:t>从</w:t>
      </w:r>
      <w:r w:rsidR="00A605E6" w:rsidRPr="00A605E6">
        <w:rPr>
          <w:rFonts w:ascii="Times New Roman" w:cs="Times New Roman" w:hint="eastAsia"/>
        </w:rPr>
        <w:t>5.2</w:t>
      </w:r>
      <w:r w:rsidR="00A605E6" w:rsidRPr="00A605E6">
        <w:rPr>
          <w:rFonts w:ascii="Times New Roman" w:cs="Times New Roman"/>
        </w:rPr>
        <w:t>-</w:t>
      </w:r>
      <w:r w:rsidR="00A605E6" w:rsidRPr="00A605E6">
        <w:rPr>
          <w:rFonts w:ascii="Times New Roman" w:cs="Times New Roman" w:hint="eastAsia"/>
        </w:rPr>
        <w:t>15</w:t>
      </w:r>
      <w:r w:rsidR="00A605E6" w:rsidRPr="00A605E6">
        <w:rPr>
          <w:rFonts w:ascii="Times New Roman" w:cs="Times New Roman"/>
        </w:rPr>
        <w:t>可以看出，在本次评价区域，各类拼块的优势度值差异较大，具有一定连通度，但它们之间都存在一定差异。其中森林拼块的优势度</w:t>
      </w:r>
      <w:r w:rsidR="00A605E6" w:rsidRPr="00A605E6">
        <w:rPr>
          <w:rFonts w:ascii="Times New Roman" w:cs="Times New Roman"/>
        </w:rPr>
        <w:t>Do</w:t>
      </w:r>
      <w:r w:rsidR="00A605E6" w:rsidRPr="00A605E6">
        <w:rPr>
          <w:rFonts w:ascii="Times New Roman" w:cs="Times New Roman"/>
        </w:rPr>
        <w:t>值最高，为</w:t>
      </w:r>
      <w:r w:rsidR="00A605E6" w:rsidRPr="00A605E6">
        <w:rPr>
          <w:rFonts w:ascii="Times New Roman" w:cs="Times New Roman" w:hint="eastAsia"/>
        </w:rPr>
        <w:t>62.87</w:t>
      </w:r>
      <w:r w:rsidR="00A605E6" w:rsidRPr="00A605E6">
        <w:rPr>
          <w:rFonts w:ascii="Times New Roman" w:cs="Times New Roman"/>
        </w:rPr>
        <w:t>%</w:t>
      </w:r>
      <w:r w:rsidR="00A605E6" w:rsidRPr="00A605E6">
        <w:rPr>
          <w:rFonts w:ascii="Times New Roman" w:cs="Times New Roman"/>
        </w:rPr>
        <w:t>，景观比例</w:t>
      </w:r>
      <w:r w:rsidR="00A605E6" w:rsidRPr="00A605E6">
        <w:rPr>
          <w:rFonts w:ascii="Times New Roman" w:cs="Times New Roman"/>
        </w:rPr>
        <w:t>Lp</w:t>
      </w:r>
      <w:r w:rsidR="00A605E6" w:rsidRPr="00A605E6">
        <w:rPr>
          <w:rFonts w:ascii="Times New Roman" w:cs="Times New Roman"/>
        </w:rPr>
        <w:t>为</w:t>
      </w:r>
      <w:r w:rsidR="00A605E6" w:rsidRPr="00A605E6">
        <w:rPr>
          <w:rFonts w:ascii="Times New Roman" w:cs="Times New Roman" w:hint="eastAsia"/>
        </w:rPr>
        <w:t>62.04</w:t>
      </w:r>
      <w:r w:rsidR="00A605E6" w:rsidRPr="00A605E6">
        <w:rPr>
          <w:rFonts w:ascii="Times New Roman" w:cs="Times New Roman"/>
        </w:rPr>
        <w:t>%</w:t>
      </w:r>
      <w:r w:rsidR="00A605E6" w:rsidRPr="00A605E6">
        <w:rPr>
          <w:rFonts w:ascii="Times New Roman" w:cs="Times New Roman"/>
        </w:rPr>
        <w:t>，出现的频率为</w:t>
      </w:r>
      <w:r w:rsidR="00A605E6" w:rsidRPr="00A605E6">
        <w:rPr>
          <w:rFonts w:ascii="Times New Roman" w:cs="Times New Roman" w:hint="eastAsia"/>
        </w:rPr>
        <w:t>72.03</w:t>
      </w:r>
      <w:r w:rsidR="00A605E6" w:rsidRPr="00A605E6">
        <w:rPr>
          <w:rFonts w:ascii="Times New Roman" w:cs="Times New Roman"/>
        </w:rPr>
        <w:t>%</w:t>
      </w:r>
      <w:r w:rsidR="00A605E6" w:rsidRPr="00A605E6">
        <w:rPr>
          <w:rFonts w:ascii="Times New Roman" w:cs="Times New Roman"/>
        </w:rPr>
        <w:t>；其次是耕地拼块，优势度</w:t>
      </w:r>
      <w:r w:rsidR="00A605E6" w:rsidRPr="00A605E6">
        <w:rPr>
          <w:rFonts w:ascii="Times New Roman" w:cs="Times New Roman"/>
        </w:rPr>
        <w:t>Do</w:t>
      </w:r>
      <w:r w:rsidR="00A605E6" w:rsidRPr="00A605E6">
        <w:rPr>
          <w:rFonts w:ascii="Times New Roman" w:cs="Times New Roman"/>
        </w:rPr>
        <w:t>值</w:t>
      </w:r>
      <w:r w:rsidR="00A605E6" w:rsidRPr="00A605E6">
        <w:rPr>
          <w:rFonts w:ascii="Times New Roman" w:cs="Times New Roman" w:hint="eastAsia"/>
        </w:rPr>
        <w:t>28.01</w:t>
      </w:r>
      <w:r w:rsidR="00A605E6" w:rsidRPr="00A605E6">
        <w:rPr>
          <w:rFonts w:ascii="Times New Roman" w:cs="Times New Roman"/>
        </w:rPr>
        <w:t>%</w:t>
      </w:r>
      <w:r w:rsidR="00A605E6" w:rsidRPr="00A605E6">
        <w:rPr>
          <w:rFonts w:ascii="Times New Roman" w:cs="Times New Roman"/>
        </w:rPr>
        <w:t>，景观比例</w:t>
      </w:r>
      <w:r w:rsidR="00A605E6" w:rsidRPr="00A605E6">
        <w:rPr>
          <w:rFonts w:ascii="Times New Roman" w:cs="Times New Roman"/>
        </w:rPr>
        <w:t>Lp</w:t>
      </w:r>
      <w:r w:rsidR="00A605E6" w:rsidRPr="00A605E6">
        <w:rPr>
          <w:rFonts w:ascii="Times New Roman" w:cs="Times New Roman"/>
        </w:rPr>
        <w:t>为</w:t>
      </w:r>
      <w:r w:rsidR="00A605E6" w:rsidRPr="00A605E6">
        <w:rPr>
          <w:rFonts w:ascii="Times New Roman" w:cs="Times New Roman" w:hint="eastAsia"/>
        </w:rPr>
        <w:t>29.37</w:t>
      </w:r>
      <w:r w:rsidR="00A605E6" w:rsidRPr="00A605E6">
        <w:rPr>
          <w:rFonts w:ascii="Times New Roman" w:cs="Times New Roman"/>
        </w:rPr>
        <w:t>%</w:t>
      </w:r>
      <w:r w:rsidR="00A605E6" w:rsidRPr="00A605E6">
        <w:rPr>
          <w:rFonts w:ascii="Times New Roman" w:cs="Times New Roman"/>
        </w:rPr>
        <w:t>，出现的频率</w:t>
      </w:r>
      <w:r w:rsidR="00A605E6" w:rsidRPr="00A605E6">
        <w:rPr>
          <w:rFonts w:ascii="Times New Roman" w:cs="Times New Roman"/>
        </w:rPr>
        <w:t>Rf</w:t>
      </w:r>
      <w:r w:rsidR="00A605E6" w:rsidRPr="00A605E6">
        <w:rPr>
          <w:rFonts w:ascii="Times New Roman" w:cs="Times New Roman"/>
        </w:rPr>
        <w:t>为</w:t>
      </w:r>
      <w:r w:rsidR="00A605E6" w:rsidRPr="00A605E6">
        <w:rPr>
          <w:rFonts w:ascii="Times New Roman" w:cs="Times New Roman" w:hint="eastAsia"/>
        </w:rPr>
        <w:t>29.91</w:t>
      </w:r>
      <w:r w:rsidR="00A605E6" w:rsidRPr="00A605E6">
        <w:rPr>
          <w:rFonts w:ascii="Times New Roman" w:cs="Times New Roman"/>
        </w:rPr>
        <w:t>%</w:t>
      </w:r>
      <w:r w:rsidR="00A605E6" w:rsidRPr="00A605E6">
        <w:rPr>
          <w:rFonts w:ascii="Times New Roman" w:cs="Times New Roman" w:hint="eastAsia"/>
        </w:rPr>
        <w:t>，其他拼块所占比较均低于</w:t>
      </w:r>
      <w:r w:rsidR="00A605E6" w:rsidRPr="00A605E6">
        <w:rPr>
          <w:rFonts w:ascii="Times New Roman" w:cs="Times New Roman" w:hint="eastAsia"/>
        </w:rPr>
        <w:t>5%</w:t>
      </w:r>
      <w:r w:rsidR="00A605E6" w:rsidRPr="00A605E6">
        <w:rPr>
          <w:rFonts w:ascii="Times New Roman" w:cs="Times New Roman"/>
        </w:rPr>
        <w:t>。</w:t>
      </w:r>
    </w:p>
    <w:p w:rsidR="00EF6C21" w:rsidRPr="00D630D1" w:rsidRDefault="00EF6C21" w:rsidP="00EF6C21">
      <w:pPr>
        <w:pStyle w:val="3"/>
        <w:rPr>
          <w:rFonts w:eastAsia="宋体"/>
        </w:rPr>
      </w:pPr>
      <w:r w:rsidRPr="00D630D1">
        <w:rPr>
          <w:rFonts w:eastAsia="宋体"/>
        </w:rPr>
        <w:t>5.2.7</w:t>
      </w:r>
      <w:r w:rsidR="00E67813" w:rsidRPr="00D630D1">
        <w:rPr>
          <w:rFonts w:eastAsia="宋体"/>
          <w:bCs/>
        </w:rPr>
        <w:t>生态系统类型调查与评价</w:t>
      </w:r>
    </w:p>
    <w:p w:rsidR="00A605E6" w:rsidRDefault="00A605E6" w:rsidP="00A605E6">
      <w:pPr>
        <w:snapToGrid w:val="0"/>
        <w:ind w:firstLine="480"/>
        <w:rPr>
          <w:bCs/>
        </w:rPr>
      </w:pPr>
      <w:r>
        <w:rPr>
          <w:bCs/>
        </w:rPr>
        <w:t>根据地形地貌、土地利用类型以及植被类型的不同，将评价范围内生态系统划分为不同的类型。调查显示，评价范围内生态系统类型主要包括森林生态系统</w:t>
      </w:r>
      <w:r>
        <w:rPr>
          <w:rFonts w:hint="eastAsia"/>
          <w:bCs/>
        </w:rPr>
        <w:t>、</w:t>
      </w:r>
      <w:r>
        <w:rPr>
          <w:rFonts w:hint="eastAsia"/>
          <w:bCs/>
        </w:rPr>
        <w:lastRenderedPageBreak/>
        <w:t>灌丛</w:t>
      </w:r>
      <w:r>
        <w:rPr>
          <w:bCs/>
        </w:rPr>
        <w:t>生态系统</w:t>
      </w:r>
      <w:r>
        <w:rPr>
          <w:rFonts w:hint="eastAsia"/>
          <w:bCs/>
        </w:rPr>
        <w:t>、灌草丛</w:t>
      </w:r>
      <w:r>
        <w:rPr>
          <w:bCs/>
        </w:rPr>
        <w:t>生态系统</w:t>
      </w:r>
      <w:r>
        <w:rPr>
          <w:rFonts w:hint="eastAsia"/>
          <w:bCs/>
        </w:rPr>
        <w:t>、耕地</w:t>
      </w:r>
      <w:r>
        <w:rPr>
          <w:bCs/>
        </w:rPr>
        <w:t>生态系统</w:t>
      </w:r>
      <w:r>
        <w:rPr>
          <w:rFonts w:hint="eastAsia"/>
          <w:bCs/>
        </w:rPr>
        <w:t>、</w:t>
      </w:r>
      <w:r>
        <w:rPr>
          <w:bCs/>
        </w:rPr>
        <w:t>河流</w:t>
      </w:r>
      <w:r>
        <w:rPr>
          <w:rFonts w:hint="eastAsia"/>
          <w:bCs/>
        </w:rPr>
        <w:t>水面</w:t>
      </w:r>
      <w:r>
        <w:rPr>
          <w:bCs/>
        </w:rPr>
        <w:t>生态系统</w:t>
      </w:r>
      <w:r>
        <w:rPr>
          <w:rFonts w:hint="eastAsia"/>
          <w:bCs/>
        </w:rPr>
        <w:t>、人工生态系统</w:t>
      </w:r>
      <w:r>
        <w:rPr>
          <w:bCs/>
        </w:rPr>
        <w:t>。生态系统整体开发强度大，区域内森林多为人工林，少量为次生林。</w:t>
      </w:r>
    </w:p>
    <w:p w:rsidR="00E67813" w:rsidRPr="00D630D1" w:rsidRDefault="00A605E6" w:rsidP="00A605E6">
      <w:pPr>
        <w:topLinePunct w:val="0"/>
        <w:snapToGrid w:val="0"/>
        <w:ind w:firstLine="480"/>
        <w:rPr>
          <w:rFonts w:ascii="Times New Roman" w:cs="Times New Roman"/>
          <w:bCs/>
          <w:kern w:val="2"/>
        </w:rPr>
      </w:pPr>
      <w:r>
        <w:rPr>
          <w:bCs/>
        </w:rPr>
        <w:t>根据现场调查，评价范围内的森林生态</w:t>
      </w:r>
      <w:r>
        <w:rPr>
          <w:rFonts w:hint="eastAsia"/>
          <w:bCs/>
        </w:rPr>
        <w:t>系统占绝对优势，面积868.37hm</w:t>
      </w:r>
      <w:r>
        <w:rPr>
          <w:bCs/>
          <w:vertAlign w:val="superscript"/>
        </w:rPr>
        <w:t>2</w:t>
      </w:r>
      <w:r>
        <w:rPr>
          <w:bCs/>
        </w:rPr>
        <w:t>，占比</w:t>
      </w:r>
      <w:r>
        <w:rPr>
          <w:rFonts w:hint="eastAsia"/>
          <w:bCs/>
        </w:rPr>
        <w:t>63.54%</w:t>
      </w:r>
      <w:r>
        <w:rPr>
          <w:bCs/>
        </w:rPr>
        <w:t>。森林生态系统是以乔木为主的生物群落以及其非生物环境综合组成的陆地生态系统</w:t>
      </w:r>
      <w:r>
        <w:rPr>
          <w:rFonts w:hint="eastAsia"/>
          <w:bCs/>
        </w:rPr>
        <w:t>，</w:t>
      </w:r>
      <w:r>
        <w:rPr>
          <w:bCs/>
        </w:rPr>
        <w:t>生态系统中的植物以乔木为主，也有少量灌木和草本植物，还有不同种类的动物</w:t>
      </w:r>
      <w:r>
        <w:rPr>
          <w:rFonts w:hint="eastAsia"/>
          <w:bCs/>
        </w:rPr>
        <w:t>资源</w:t>
      </w:r>
      <w:r>
        <w:rPr>
          <w:bCs/>
        </w:rPr>
        <w:t>。森林生态系统</w:t>
      </w:r>
      <w:r>
        <w:rPr>
          <w:rFonts w:hint="eastAsia"/>
          <w:bCs/>
        </w:rPr>
        <w:t>生态</w:t>
      </w:r>
      <w:r>
        <w:rPr>
          <w:bCs/>
        </w:rPr>
        <w:t>服务功能高，在涵养水源、净化空气、保持水土、吸烟滞尘、改变区域水热状况等方面有着突出的作用</w:t>
      </w:r>
      <w:r w:rsidR="00E67813" w:rsidRPr="00D630D1">
        <w:rPr>
          <w:rFonts w:ascii="Times New Roman" w:cs="Times New Roman"/>
          <w:bCs/>
          <w:kern w:val="2"/>
        </w:rPr>
        <w:t>。</w:t>
      </w:r>
    </w:p>
    <w:p w:rsidR="00E67813" w:rsidRPr="00D630D1" w:rsidRDefault="00E67813" w:rsidP="00E67813">
      <w:pPr>
        <w:pStyle w:val="afa"/>
        <w:ind w:firstLine="480"/>
      </w:pPr>
      <w:r w:rsidRPr="00D630D1">
        <w:rPr>
          <w:rFonts w:hint="eastAsia"/>
          <w:kern w:val="2"/>
          <w:szCs w:val="24"/>
        </w:rPr>
        <w:t>评价区</w:t>
      </w:r>
      <w:r w:rsidRPr="00D630D1">
        <w:rPr>
          <w:kern w:val="2"/>
          <w:szCs w:val="24"/>
        </w:rPr>
        <w:t>生态系统类型分布特征及解译结果</w:t>
      </w:r>
      <w:r w:rsidRPr="00D630D1">
        <w:rPr>
          <w:rFonts w:hint="eastAsia"/>
          <w:kern w:val="2"/>
          <w:szCs w:val="24"/>
        </w:rPr>
        <w:t>见下表。</w:t>
      </w:r>
    </w:p>
    <w:p w:rsidR="00E67813" w:rsidRDefault="00E67813" w:rsidP="00F96E37">
      <w:pPr>
        <w:topLinePunct w:val="0"/>
        <w:autoSpaceDE w:val="0"/>
        <w:autoSpaceDN w:val="0"/>
        <w:spacing w:beforeLines="50" w:line="240" w:lineRule="auto"/>
        <w:ind w:firstLineChars="0" w:firstLine="0"/>
        <w:jc w:val="center"/>
        <w:rPr>
          <w:rFonts w:ascii="Times New Roman" w:cs="Times New Roman"/>
          <w:b/>
          <w:sz w:val="21"/>
        </w:rPr>
      </w:pPr>
      <w:r w:rsidRPr="00D630D1">
        <w:rPr>
          <w:rFonts w:ascii="Times New Roman" w:cs="Times New Roman"/>
          <w:b/>
          <w:sz w:val="21"/>
        </w:rPr>
        <w:t>表</w:t>
      </w:r>
      <w:r w:rsidRPr="00D630D1">
        <w:rPr>
          <w:rFonts w:ascii="Times New Roman" w:cs="Times New Roman" w:hint="eastAsia"/>
          <w:b/>
          <w:sz w:val="21"/>
        </w:rPr>
        <w:t>5.2</w:t>
      </w:r>
      <w:r w:rsidRPr="00D630D1">
        <w:rPr>
          <w:rFonts w:ascii="Times New Roman" w:cs="Times New Roman"/>
          <w:b/>
          <w:sz w:val="21"/>
        </w:rPr>
        <w:t>-</w:t>
      </w:r>
      <w:r w:rsidRPr="00D630D1">
        <w:rPr>
          <w:rFonts w:ascii="Times New Roman" w:cs="Times New Roman" w:hint="eastAsia"/>
          <w:b/>
          <w:sz w:val="21"/>
        </w:rPr>
        <w:t>16</w:t>
      </w:r>
      <w:r w:rsidRPr="00D630D1">
        <w:rPr>
          <w:rFonts w:ascii="Times New Roman" w:cs="Times New Roman"/>
          <w:b/>
          <w:sz w:val="21"/>
        </w:rPr>
        <w:t xml:space="preserve"> </w:t>
      </w:r>
      <w:r w:rsidRPr="00D630D1">
        <w:rPr>
          <w:rFonts w:ascii="Times New Roman" w:cs="Times New Roman"/>
          <w:b/>
          <w:sz w:val="21"/>
        </w:rPr>
        <w:t>生态系统类型面积统计表</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3296"/>
        <w:gridCol w:w="2663"/>
        <w:gridCol w:w="2563"/>
      </w:tblGrid>
      <w:tr w:rsidR="00A605E6" w:rsidRPr="00A605E6" w:rsidTr="00A605E6">
        <w:trPr>
          <w:trHeight w:hRule="exact" w:val="397"/>
          <w:jc w:val="center"/>
        </w:trPr>
        <w:tc>
          <w:tcPr>
            <w:tcW w:w="1933" w:type="pct"/>
            <w:vMerge w:val="restart"/>
            <w:shd w:val="clear" w:color="auto" w:fill="auto"/>
            <w:noWrap/>
            <w:vAlign w:val="center"/>
          </w:tcPr>
          <w:p w:rsidR="00A605E6" w:rsidRPr="00A605E6" w:rsidRDefault="00A605E6" w:rsidP="00A605E6">
            <w:pPr>
              <w:widowControl/>
              <w:topLinePunct w:val="0"/>
              <w:adjustRightInd/>
              <w:spacing w:line="240" w:lineRule="auto"/>
              <w:ind w:firstLineChars="0" w:firstLine="0"/>
              <w:jc w:val="center"/>
              <w:textAlignment w:val="bottom"/>
              <w:rPr>
                <w:rFonts w:ascii="Times New Roman" w:cs="Times New Roman"/>
                <w:sz w:val="21"/>
                <w:szCs w:val="21"/>
              </w:rPr>
            </w:pPr>
            <w:r w:rsidRPr="00A605E6">
              <w:rPr>
                <w:rFonts w:ascii="Times New Roman" w:cs="Times New Roman"/>
                <w:sz w:val="21"/>
                <w:szCs w:val="21"/>
              </w:rPr>
              <w:t>生态系统类型</w:t>
            </w:r>
          </w:p>
        </w:tc>
        <w:tc>
          <w:tcPr>
            <w:tcW w:w="3066" w:type="pct"/>
            <w:gridSpan w:val="2"/>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bottom"/>
              <w:rPr>
                <w:rFonts w:ascii="Times New Roman" w:cs="Times New Roman"/>
                <w:sz w:val="21"/>
                <w:szCs w:val="21"/>
              </w:rPr>
            </w:pPr>
            <w:r w:rsidRPr="00A605E6">
              <w:rPr>
                <w:rFonts w:ascii="Times New Roman" w:cs="Times New Roman"/>
                <w:sz w:val="21"/>
                <w:szCs w:val="21"/>
              </w:rPr>
              <w:t>评价区范围</w:t>
            </w:r>
          </w:p>
        </w:tc>
      </w:tr>
      <w:tr w:rsidR="00A605E6" w:rsidRPr="00A605E6" w:rsidTr="00A605E6">
        <w:trPr>
          <w:trHeight w:hRule="exact" w:val="397"/>
          <w:jc w:val="center"/>
        </w:trPr>
        <w:tc>
          <w:tcPr>
            <w:tcW w:w="1933" w:type="pct"/>
            <w:vMerge/>
            <w:shd w:val="clear" w:color="auto" w:fill="auto"/>
            <w:vAlign w:val="center"/>
          </w:tcPr>
          <w:p w:rsidR="00A605E6" w:rsidRPr="00A605E6" w:rsidRDefault="00A605E6" w:rsidP="00A605E6">
            <w:pPr>
              <w:widowControl/>
              <w:topLinePunct w:val="0"/>
              <w:adjustRightInd/>
              <w:spacing w:line="240" w:lineRule="auto"/>
              <w:ind w:firstLineChars="0" w:firstLine="0"/>
              <w:jc w:val="center"/>
              <w:textAlignment w:val="bottom"/>
              <w:rPr>
                <w:rFonts w:ascii="Times New Roman" w:cs="Times New Roman"/>
                <w:sz w:val="21"/>
                <w:szCs w:val="21"/>
              </w:rPr>
            </w:pPr>
          </w:p>
        </w:tc>
        <w:tc>
          <w:tcPr>
            <w:tcW w:w="1562" w:type="pct"/>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bottom"/>
              <w:rPr>
                <w:rFonts w:ascii="Times New Roman" w:cs="Times New Roman"/>
                <w:sz w:val="21"/>
                <w:szCs w:val="21"/>
              </w:rPr>
            </w:pPr>
            <w:r w:rsidRPr="00A605E6">
              <w:rPr>
                <w:rFonts w:ascii="Times New Roman" w:cs="Times New Roman"/>
                <w:sz w:val="21"/>
                <w:szCs w:val="21"/>
              </w:rPr>
              <w:t>面积（</w:t>
            </w:r>
            <w:r w:rsidRPr="00A605E6">
              <w:rPr>
                <w:rFonts w:ascii="Times New Roman" w:cs="Times New Roman" w:hint="eastAsia"/>
                <w:sz w:val="21"/>
                <w:szCs w:val="21"/>
              </w:rPr>
              <w:t>hm</w:t>
            </w:r>
            <w:r w:rsidRPr="00A605E6">
              <w:rPr>
                <w:rFonts w:ascii="Times New Roman" w:cs="Times New Roman"/>
                <w:sz w:val="21"/>
                <w:szCs w:val="21"/>
                <w:vertAlign w:val="superscript"/>
              </w:rPr>
              <w:t>2</w:t>
            </w:r>
            <w:r w:rsidRPr="00A605E6">
              <w:rPr>
                <w:rFonts w:ascii="Times New Roman" w:cs="Times New Roman"/>
                <w:sz w:val="21"/>
                <w:szCs w:val="21"/>
              </w:rPr>
              <w:t>）</w:t>
            </w:r>
          </w:p>
        </w:tc>
        <w:tc>
          <w:tcPr>
            <w:tcW w:w="1504" w:type="pct"/>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bottom"/>
              <w:rPr>
                <w:rFonts w:ascii="Times New Roman" w:cs="Times New Roman"/>
                <w:sz w:val="21"/>
                <w:szCs w:val="21"/>
              </w:rPr>
            </w:pPr>
            <w:r w:rsidRPr="00A605E6">
              <w:rPr>
                <w:rFonts w:ascii="Times New Roman" w:cs="Times New Roman"/>
                <w:sz w:val="21"/>
                <w:szCs w:val="21"/>
              </w:rPr>
              <w:t>占比（</w:t>
            </w:r>
            <w:r w:rsidRPr="00A605E6">
              <w:rPr>
                <w:rFonts w:ascii="Times New Roman" w:cs="Times New Roman"/>
                <w:sz w:val="21"/>
                <w:szCs w:val="21"/>
              </w:rPr>
              <w:t>%</w:t>
            </w:r>
            <w:r w:rsidRPr="00A605E6">
              <w:rPr>
                <w:rFonts w:ascii="Times New Roman" w:cs="Times New Roman"/>
                <w:sz w:val="21"/>
                <w:szCs w:val="21"/>
              </w:rPr>
              <w:t>）</w:t>
            </w:r>
          </w:p>
        </w:tc>
      </w:tr>
      <w:tr w:rsidR="00A605E6" w:rsidRPr="00A605E6" w:rsidTr="00A605E6">
        <w:trPr>
          <w:trHeight w:hRule="exact" w:val="397"/>
          <w:jc w:val="center"/>
        </w:trPr>
        <w:tc>
          <w:tcPr>
            <w:tcW w:w="1933" w:type="pct"/>
            <w:shd w:val="clear" w:color="auto" w:fill="auto"/>
            <w:noWrap/>
            <w:vAlign w:val="center"/>
          </w:tcPr>
          <w:p w:rsidR="00A605E6" w:rsidRPr="00A605E6" w:rsidRDefault="00A605E6" w:rsidP="00A605E6">
            <w:pPr>
              <w:widowControl/>
              <w:topLinePunct w:val="0"/>
              <w:adjustRightInd/>
              <w:spacing w:line="240" w:lineRule="auto"/>
              <w:ind w:firstLineChars="0" w:firstLine="0"/>
              <w:jc w:val="center"/>
              <w:textAlignment w:val="bottom"/>
              <w:rPr>
                <w:rFonts w:ascii="Times New Roman" w:cs="Times New Roman"/>
                <w:sz w:val="21"/>
                <w:szCs w:val="21"/>
              </w:rPr>
            </w:pPr>
            <w:r w:rsidRPr="00A605E6">
              <w:rPr>
                <w:rFonts w:ascii="Times New Roman" w:cs="Times New Roman" w:hint="eastAsia"/>
                <w:sz w:val="21"/>
                <w:szCs w:val="21"/>
              </w:rPr>
              <w:t>森林</w:t>
            </w:r>
            <w:r w:rsidRPr="00A605E6">
              <w:rPr>
                <w:rFonts w:ascii="Times New Roman" w:cs="Times New Roman"/>
                <w:sz w:val="21"/>
                <w:szCs w:val="21"/>
              </w:rPr>
              <w:t>生态系统</w:t>
            </w:r>
          </w:p>
        </w:tc>
        <w:tc>
          <w:tcPr>
            <w:tcW w:w="2191" w:type="dxa"/>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 xml:space="preserve">868.37 </w:t>
            </w:r>
          </w:p>
        </w:tc>
        <w:tc>
          <w:tcPr>
            <w:tcW w:w="2109" w:type="dxa"/>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 xml:space="preserve">63.54 </w:t>
            </w:r>
          </w:p>
        </w:tc>
      </w:tr>
      <w:tr w:rsidR="00A605E6" w:rsidRPr="00A605E6" w:rsidTr="00A605E6">
        <w:trPr>
          <w:trHeight w:hRule="exact" w:val="397"/>
          <w:jc w:val="center"/>
        </w:trPr>
        <w:tc>
          <w:tcPr>
            <w:tcW w:w="1933" w:type="pct"/>
            <w:shd w:val="clear" w:color="auto" w:fill="auto"/>
            <w:noWrap/>
            <w:vAlign w:val="center"/>
          </w:tcPr>
          <w:p w:rsidR="00A605E6" w:rsidRPr="00A605E6" w:rsidRDefault="00A605E6" w:rsidP="00A605E6">
            <w:pPr>
              <w:widowControl/>
              <w:topLinePunct w:val="0"/>
              <w:adjustRightInd/>
              <w:spacing w:line="240" w:lineRule="auto"/>
              <w:ind w:firstLineChars="0" w:firstLine="0"/>
              <w:jc w:val="center"/>
              <w:textAlignment w:val="bottom"/>
              <w:rPr>
                <w:rFonts w:ascii="Times New Roman" w:cs="Times New Roman"/>
                <w:sz w:val="21"/>
                <w:szCs w:val="21"/>
              </w:rPr>
            </w:pPr>
            <w:r w:rsidRPr="00A605E6">
              <w:rPr>
                <w:rFonts w:ascii="Times New Roman" w:cs="Times New Roman" w:hint="eastAsia"/>
                <w:sz w:val="21"/>
                <w:szCs w:val="21"/>
              </w:rPr>
              <w:t>灌丛</w:t>
            </w:r>
            <w:r w:rsidRPr="00A605E6">
              <w:rPr>
                <w:rFonts w:ascii="Times New Roman" w:cs="Times New Roman"/>
                <w:sz w:val="21"/>
                <w:szCs w:val="21"/>
              </w:rPr>
              <w:t>生态系统</w:t>
            </w:r>
          </w:p>
        </w:tc>
        <w:tc>
          <w:tcPr>
            <w:tcW w:w="2191" w:type="dxa"/>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 xml:space="preserve">36.38 </w:t>
            </w:r>
          </w:p>
        </w:tc>
        <w:tc>
          <w:tcPr>
            <w:tcW w:w="2109" w:type="dxa"/>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 xml:space="preserve">2.66 </w:t>
            </w:r>
          </w:p>
        </w:tc>
      </w:tr>
      <w:tr w:rsidR="00A605E6" w:rsidRPr="00A605E6" w:rsidTr="00A605E6">
        <w:trPr>
          <w:trHeight w:hRule="exact" w:val="397"/>
          <w:jc w:val="center"/>
        </w:trPr>
        <w:tc>
          <w:tcPr>
            <w:tcW w:w="1933" w:type="pct"/>
            <w:shd w:val="clear" w:color="auto" w:fill="auto"/>
            <w:noWrap/>
            <w:vAlign w:val="center"/>
          </w:tcPr>
          <w:p w:rsidR="00A605E6" w:rsidRPr="00A605E6" w:rsidRDefault="00A605E6" w:rsidP="00A605E6">
            <w:pPr>
              <w:widowControl/>
              <w:topLinePunct w:val="0"/>
              <w:adjustRightInd/>
              <w:spacing w:line="240" w:lineRule="auto"/>
              <w:ind w:firstLineChars="0" w:firstLine="0"/>
              <w:jc w:val="center"/>
              <w:textAlignment w:val="bottom"/>
              <w:rPr>
                <w:rFonts w:ascii="Times New Roman" w:cs="Times New Roman"/>
                <w:sz w:val="21"/>
                <w:szCs w:val="21"/>
              </w:rPr>
            </w:pPr>
            <w:r w:rsidRPr="00A605E6">
              <w:rPr>
                <w:rFonts w:ascii="Times New Roman" w:cs="Times New Roman" w:hint="eastAsia"/>
                <w:sz w:val="21"/>
                <w:szCs w:val="21"/>
              </w:rPr>
              <w:t>灌草丛</w:t>
            </w:r>
            <w:r w:rsidRPr="00A605E6">
              <w:rPr>
                <w:rFonts w:ascii="Times New Roman" w:cs="Times New Roman"/>
                <w:sz w:val="21"/>
                <w:szCs w:val="21"/>
              </w:rPr>
              <w:t>生态系统</w:t>
            </w:r>
          </w:p>
        </w:tc>
        <w:tc>
          <w:tcPr>
            <w:tcW w:w="2191" w:type="dxa"/>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 xml:space="preserve">16.01 </w:t>
            </w:r>
          </w:p>
        </w:tc>
        <w:tc>
          <w:tcPr>
            <w:tcW w:w="2109" w:type="dxa"/>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 xml:space="preserve">1.17 </w:t>
            </w:r>
          </w:p>
        </w:tc>
      </w:tr>
      <w:tr w:rsidR="00A605E6" w:rsidRPr="00A605E6" w:rsidTr="00A605E6">
        <w:trPr>
          <w:trHeight w:hRule="exact" w:val="397"/>
          <w:jc w:val="center"/>
        </w:trPr>
        <w:tc>
          <w:tcPr>
            <w:tcW w:w="1933" w:type="pct"/>
            <w:shd w:val="clear" w:color="auto" w:fill="auto"/>
            <w:noWrap/>
            <w:vAlign w:val="center"/>
          </w:tcPr>
          <w:p w:rsidR="00A605E6" w:rsidRPr="00A605E6" w:rsidRDefault="00A605E6" w:rsidP="00A605E6">
            <w:pPr>
              <w:widowControl/>
              <w:topLinePunct w:val="0"/>
              <w:adjustRightInd/>
              <w:spacing w:line="240" w:lineRule="auto"/>
              <w:ind w:firstLineChars="0" w:firstLine="0"/>
              <w:jc w:val="center"/>
              <w:textAlignment w:val="bottom"/>
              <w:rPr>
                <w:rFonts w:ascii="Times New Roman" w:cs="Times New Roman"/>
                <w:sz w:val="21"/>
                <w:szCs w:val="21"/>
              </w:rPr>
            </w:pPr>
            <w:r w:rsidRPr="00A605E6">
              <w:rPr>
                <w:rFonts w:ascii="Times New Roman" w:cs="Times New Roman" w:hint="eastAsia"/>
                <w:sz w:val="21"/>
                <w:szCs w:val="21"/>
              </w:rPr>
              <w:t>耕地</w:t>
            </w:r>
            <w:r w:rsidRPr="00A605E6">
              <w:rPr>
                <w:rFonts w:ascii="Times New Roman" w:cs="Times New Roman"/>
                <w:sz w:val="21"/>
                <w:szCs w:val="21"/>
              </w:rPr>
              <w:t>生态系统</w:t>
            </w:r>
          </w:p>
        </w:tc>
        <w:tc>
          <w:tcPr>
            <w:tcW w:w="2191" w:type="dxa"/>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387.81</w:t>
            </w:r>
          </w:p>
        </w:tc>
        <w:tc>
          <w:tcPr>
            <w:tcW w:w="2109" w:type="dxa"/>
            <w:shd w:val="clear" w:color="000000" w:fill="FFFFFF"/>
            <w:noWrap/>
            <w:vAlign w:val="bottom"/>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28.38</w:t>
            </w:r>
          </w:p>
        </w:tc>
      </w:tr>
      <w:tr w:rsidR="00A605E6" w:rsidRPr="00A605E6" w:rsidTr="00A605E6">
        <w:trPr>
          <w:trHeight w:hRule="exact" w:val="397"/>
          <w:jc w:val="center"/>
        </w:trPr>
        <w:tc>
          <w:tcPr>
            <w:tcW w:w="1933" w:type="pct"/>
            <w:shd w:val="clear" w:color="auto" w:fill="auto"/>
            <w:noWrap/>
            <w:vAlign w:val="center"/>
          </w:tcPr>
          <w:p w:rsidR="00A605E6" w:rsidRPr="00A605E6" w:rsidRDefault="00A605E6" w:rsidP="00A605E6">
            <w:pPr>
              <w:widowControl/>
              <w:topLinePunct w:val="0"/>
              <w:adjustRightInd/>
              <w:spacing w:line="240" w:lineRule="auto"/>
              <w:ind w:firstLineChars="0" w:firstLine="0"/>
              <w:jc w:val="center"/>
              <w:textAlignment w:val="bottom"/>
              <w:rPr>
                <w:rFonts w:ascii="Times New Roman" w:cs="Times New Roman"/>
                <w:sz w:val="21"/>
                <w:szCs w:val="21"/>
              </w:rPr>
            </w:pPr>
            <w:r w:rsidRPr="00A605E6">
              <w:rPr>
                <w:rFonts w:ascii="Times New Roman" w:cs="Times New Roman"/>
                <w:sz w:val="21"/>
                <w:szCs w:val="21"/>
              </w:rPr>
              <w:t>河流</w:t>
            </w:r>
            <w:r w:rsidRPr="00A605E6">
              <w:rPr>
                <w:rFonts w:ascii="Times New Roman" w:cs="Times New Roman" w:hint="eastAsia"/>
                <w:sz w:val="21"/>
                <w:szCs w:val="21"/>
              </w:rPr>
              <w:t>水面</w:t>
            </w:r>
            <w:r w:rsidRPr="00A605E6">
              <w:rPr>
                <w:rFonts w:ascii="Times New Roman" w:cs="Times New Roman"/>
                <w:sz w:val="21"/>
                <w:szCs w:val="21"/>
              </w:rPr>
              <w:t>生态系统</w:t>
            </w:r>
          </w:p>
        </w:tc>
        <w:tc>
          <w:tcPr>
            <w:tcW w:w="2191" w:type="dxa"/>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4.91</w:t>
            </w:r>
          </w:p>
        </w:tc>
        <w:tc>
          <w:tcPr>
            <w:tcW w:w="2109" w:type="dxa"/>
            <w:shd w:val="clear" w:color="000000" w:fill="FFFFFF"/>
            <w:noWrap/>
            <w:vAlign w:val="bottom"/>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0.36</w:t>
            </w:r>
          </w:p>
        </w:tc>
      </w:tr>
      <w:tr w:rsidR="00A605E6" w:rsidRPr="00A605E6" w:rsidTr="00A605E6">
        <w:trPr>
          <w:trHeight w:hRule="exact" w:val="397"/>
          <w:jc w:val="center"/>
        </w:trPr>
        <w:tc>
          <w:tcPr>
            <w:tcW w:w="1933" w:type="pct"/>
            <w:shd w:val="clear" w:color="auto" w:fill="auto"/>
            <w:noWrap/>
            <w:vAlign w:val="center"/>
          </w:tcPr>
          <w:p w:rsidR="00A605E6" w:rsidRPr="00A605E6" w:rsidRDefault="00A605E6" w:rsidP="00A605E6">
            <w:pPr>
              <w:widowControl/>
              <w:topLinePunct w:val="0"/>
              <w:adjustRightInd/>
              <w:spacing w:line="240" w:lineRule="auto"/>
              <w:ind w:firstLineChars="0" w:firstLine="0"/>
              <w:jc w:val="center"/>
              <w:textAlignment w:val="bottom"/>
              <w:rPr>
                <w:rFonts w:ascii="Times New Roman" w:cs="Times New Roman"/>
                <w:sz w:val="21"/>
                <w:szCs w:val="21"/>
              </w:rPr>
            </w:pPr>
            <w:r w:rsidRPr="00A605E6">
              <w:rPr>
                <w:rFonts w:ascii="Times New Roman" w:cs="Times New Roman" w:hint="eastAsia"/>
                <w:sz w:val="21"/>
                <w:szCs w:val="21"/>
              </w:rPr>
              <w:t>人工生态系统</w:t>
            </w:r>
          </w:p>
        </w:tc>
        <w:tc>
          <w:tcPr>
            <w:tcW w:w="2191" w:type="dxa"/>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53.25</w:t>
            </w:r>
          </w:p>
        </w:tc>
        <w:tc>
          <w:tcPr>
            <w:tcW w:w="2109" w:type="dxa"/>
            <w:shd w:val="clear" w:color="000000" w:fill="FFFFFF"/>
            <w:noWrap/>
            <w:vAlign w:val="bottom"/>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3.90</w:t>
            </w:r>
          </w:p>
        </w:tc>
      </w:tr>
      <w:tr w:rsidR="00A605E6" w:rsidRPr="00A605E6" w:rsidTr="00A605E6">
        <w:trPr>
          <w:trHeight w:hRule="exact" w:val="397"/>
          <w:jc w:val="center"/>
        </w:trPr>
        <w:tc>
          <w:tcPr>
            <w:tcW w:w="1933" w:type="pct"/>
            <w:shd w:val="clear" w:color="auto" w:fill="auto"/>
            <w:noWrap/>
            <w:vAlign w:val="center"/>
          </w:tcPr>
          <w:p w:rsidR="00A605E6" w:rsidRPr="00A605E6" w:rsidRDefault="00A605E6" w:rsidP="00A605E6">
            <w:pPr>
              <w:widowControl/>
              <w:topLinePunct w:val="0"/>
              <w:adjustRightInd/>
              <w:spacing w:line="240" w:lineRule="auto"/>
              <w:ind w:firstLineChars="0" w:firstLine="0"/>
              <w:jc w:val="center"/>
              <w:textAlignment w:val="bottom"/>
              <w:rPr>
                <w:rFonts w:ascii="Times New Roman" w:cs="Times New Roman"/>
                <w:sz w:val="21"/>
                <w:szCs w:val="21"/>
              </w:rPr>
            </w:pPr>
            <w:r w:rsidRPr="00A605E6">
              <w:rPr>
                <w:rFonts w:ascii="Times New Roman" w:cs="Times New Roman"/>
                <w:sz w:val="21"/>
                <w:szCs w:val="21"/>
              </w:rPr>
              <w:t>总计</w:t>
            </w:r>
          </w:p>
        </w:tc>
        <w:tc>
          <w:tcPr>
            <w:tcW w:w="2191" w:type="dxa"/>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1366.73</w:t>
            </w:r>
          </w:p>
        </w:tc>
        <w:tc>
          <w:tcPr>
            <w:tcW w:w="2109" w:type="dxa"/>
            <w:shd w:val="clear" w:color="000000" w:fill="FFFFFF"/>
            <w:noWrap/>
            <w:vAlign w:val="center"/>
          </w:tcPr>
          <w:p w:rsidR="00A605E6" w:rsidRPr="00A605E6" w:rsidRDefault="00A605E6" w:rsidP="00A605E6">
            <w:pPr>
              <w:widowControl/>
              <w:topLinePunct w:val="0"/>
              <w:adjustRightInd/>
              <w:spacing w:line="240" w:lineRule="auto"/>
              <w:ind w:firstLineChars="0" w:firstLine="0"/>
              <w:jc w:val="center"/>
              <w:textAlignment w:val="center"/>
              <w:rPr>
                <w:rFonts w:ascii="Times New Roman" w:cs="Times New Roman"/>
                <w:sz w:val="21"/>
                <w:szCs w:val="21"/>
              </w:rPr>
            </w:pPr>
            <w:r w:rsidRPr="00A605E6">
              <w:rPr>
                <w:rFonts w:ascii="Times New Roman" w:cs="Times New Roman" w:hint="eastAsia"/>
                <w:sz w:val="21"/>
                <w:szCs w:val="21"/>
              </w:rPr>
              <w:t>100.00</w:t>
            </w:r>
          </w:p>
        </w:tc>
      </w:tr>
    </w:tbl>
    <w:p w:rsidR="00117C3D" w:rsidRPr="00D630D1" w:rsidRDefault="006119E3">
      <w:pPr>
        <w:pStyle w:val="3"/>
        <w:rPr>
          <w:rFonts w:eastAsia="宋体"/>
        </w:rPr>
      </w:pPr>
      <w:bookmarkStart w:id="428" w:name="_Toc12288590"/>
      <w:r w:rsidRPr="00D630D1">
        <w:rPr>
          <w:rFonts w:eastAsia="宋体"/>
        </w:rPr>
        <w:t>5</w:t>
      </w:r>
      <w:r w:rsidR="008B5B84" w:rsidRPr="00D630D1">
        <w:rPr>
          <w:rFonts w:eastAsia="宋体"/>
        </w:rPr>
        <w:t>.2.</w:t>
      </w:r>
      <w:r w:rsidR="00E67813" w:rsidRPr="00D630D1">
        <w:rPr>
          <w:rFonts w:eastAsia="宋体" w:hint="eastAsia"/>
        </w:rPr>
        <w:t>8</w:t>
      </w:r>
      <w:r w:rsidR="00E67813" w:rsidRPr="00D630D1">
        <w:rPr>
          <w:rFonts w:eastAsia="宋体"/>
          <w:bCs/>
        </w:rPr>
        <w:t>生态系统服务功能评价</w:t>
      </w:r>
      <w:bookmarkEnd w:id="428"/>
    </w:p>
    <w:p w:rsidR="00E67813" w:rsidRPr="00D630D1" w:rsidRDefault="00E67813" w:rsidP="00E67813">
      <w:pPr>
        <w:topLinePunct w:val="0"/>
        <w:snapToGrid w:val="0"/>
        <w:ind w:firstLineChars="0" w:firstLine="482"/>
        <w:rPr>
          <w:rFonts w:ascii="Times New Roman" w:cs="Times New Roman"/>
          <w:kern w:val="2"/>
        </w:rPr>
      </w:pPr>
      <w:r w:rsidRPr="00D630D1">
        <w:rPr>
          <w:rFonts w:ascii="Times New Roman" w:cs="Times New Roman"/>
          <w:kern w:val="2"/>
        </w:rPr>
        <w:t>（</w:t>
      </w:r>
      <w:r w:rsidRPr="00D630D1">
        <w:rPr>
          <w:rFonts w:ascii="Times New Roman" w:cs="Times New Roman"/>
          <w:kern w:val="2"/>
        </w:rPr>
        <w:t>1</w:t>
      </w:r>
      <w:r w:rsidRPr="00D630D1">
        <w:rPr>
          <w:rFonts w:ascii="Times New Roman" w:cs="Times New Roman"/>
          <w:kern w:val="2"/>
        </w:rPr>
        <w:t>）生物多样性保护功能</w:t>
      </w:r>
    </w:p>
    <w:p w:rsidR="00E67813" w:rsidRPr="00D630D1" w:rsidRDefault="00E67813" w:rsidP="00E67813">
      <w:pPr>
        <w:topLinePunct w:val="0"/>
        <w:snapToGrid w:val="0"/>
        <w:ind w:firstLineChars="0" w:firstLine="482"/>
        <w:rPr>
          <w:rFonts w:ascii="Times New Roman" w:cs="Times New Roman"/>
          <w:kern w:val="2"/>
        </w:rPr>
      </w:pPr>
      <w:r w:rsidRPr="00D630D1">
        <w:rPr>
          <w:rFonts w:ascii="Times New Roman" w:cs="Times New Roman" w:hint="eastAsia"/>
          <w:kern w:val="2"/>
        </w:rPr>
        <w:t>森林、灌丛、灌草丛</w:t>
      </w:r>
      <w:r w:rsidRPr="00D630D1">
        <w:rPr>
          <w:rFonts w:ascii="Times New Roman" w:cs="Times New Roman"/>
          <w:kern w:val="2"/>
        </w:rPr>
        <w:t>生态系统，为周边野生动物提供了一定的生存繁衍空间，对野生动物物种多样性保护发挥着重要作用。</w:t>
      </w:r>
    </w:p>
    <w:p w:rsidR="00E67813" w:rsidRPr="00D630D1" w:rsidRDefault="00E67813" w:rsidP="00E67813">
      <w:pPr>
        <w:topLinePunct w:val="0"/>
        <w:snapToGrid w:val="0"/>
        <w:ind w:firstLineChars="0" w:firstLine="482"/>
        <w:rPr>
          <w:rFonts w:ascii="Times New Roman" w:cs="Times New Roman"/>
          <w:kern w:val="2"/>
        </w:rPr>
      </w:pPr>
      <w:r w:rsidRPr="00D630D1">
        <w:rPr>
          <w:rFonts w:ascii="Times New Roman" w:cs="Times New Roman"/>
          <w:kern w:val="2"/>
        </w:rPr>
        <w:t>（</w:t>
      </w:r>
      <w:r w:rsidRPr="00D630D1">
        <w:rPr>
          <w:rFonts w:ascii="Times New Roman" w:cs="Times New Roman"/>
          <w:kern w:val="2"/>
        </w:rPr>
        <w:t>2</w:t>
      </w:r>
      <w:r w:rsidRPr="00D630D1">
        <w:rPr>
          <w:rFonts w:ascii="Times New Roman" w:cs="Times New Roman"/>
          <w:kern w:val="2"/>
        </w:rPr>
        <w:t>）维持区域生态平衡功能</w:t>
      </w:r>
    </w:p>
    <w:p w:rsidR="00E67813" w:rsidRPr="00D630D1" w:rsidRDefault="00E67813" w:rsidP="00E67813">
      <w:pPr>
        <w:topLinePunct w:val="0"/>
        <w:snapToGrid w:val="0"/>
        <w:ind w:firstLineChars="0" w:firstLine="482"/>
        <w:rPr>
          <w:rFonts w:ascii="Times New Roman" w:cs="Times New Roman"/>
          <w:kern w:val="2"/>
        </w:rPr>
      </w:pPr>
      <w:r w:rsidRPr="00D630D1">
        <w:rPr>
          <w:rFonts w:ascii="Times New Roman" w:cs="Times New Roman" w:hint="eastAsia"/>
          <w:kern w:val="2"/>
        </w:rPr>
        <w:t>森林、灌丛、灌草丛</w:t>
      </w:r>
      <w:r w:rsidRPr="00D630D1">
        <w:rPr>
          <w:rFonts w:ascii="Times New Roman" w:cs="Times New Roman"/>
          <w:kern w:val="2"/>
        </w:rPr>
        <w:t>生态系统在维持区域生态平衡中也具有良好的作用，有助于保持区域水平衡的稳定性。</w:t>
      </w:r>
    </w:p>
    <w:p w:rsidR="00E67813" w:rsidRPr="00D630D1" w:rsidRDefault="00E67813" w:rsidP="00E67813">
      <w:pPr>
        <w:topLinePunct w:val="0"/>
        <w:snapToGrid w:val="0"/>
        <w:ind w:firstLineChars="0" w:firstLine="482"/>
        <w:rPr>
          <w:rFonts w:ascii="Times New Roman" w:cs="Times New Roman"/>
          <w:kern w:val="2"/>
        </w:rPr>
      </w:pPr>
      <w:r w:rsidRPr="00D630D1">
        <w:rPr>
          <w:rFonts w:ascii="Times New Roman" w:cs="Times New Roman"/>
          <w:kern w:val="2"/>
        </w:rPr>
        <w:t>（</w:t>
      </w:r>
      <w:r w:rsidRPr="00D630D1">
        <w:rPr>
          <w:rFonts w:ascii="Times New Roman" w:cs="Times New Roman"/>
          <w:kern w:val="2"/>
        </w:rPr>
        <w:t>3</w:t>
      </w:r>
      <w:r w:rsidRPr="00D630D1">
        <w:rPr>
          <w:rFonts w:ascii="Times New Roman" w:cs="Times New Roman"/>
          <w:kern w:val="2"/>
        </w:rPr>
        <w:t>）生态安全保障功能</w:t>
      </w:r>
    </w:p>
    <w:p w:rsidR="00E67813" w:rsidRPr="00D630D1" w:rsidRDefault="00E67813" w:rsidP="00E67813">
      <w:pPr>
        <w:pStyle w:val="afa"/>
        <w:ind w:firstLine="480"/>
      </w:pPr>
      <w:r w:rsidRPr="00D630D1">
        <w:rPr>
          <w:rFonts w:hint="eastAsia"/>
          <w:kern w:val="2"/>
          <w:szCs w:val="24"/>
        </w:rPr>
        <w:t>森林、灌丛、灌草丛</w:t>
      </w:r>
      <w:r w:rsidRPr="00D630D1">
        <w:rPr>
          <w:kern w:val="2"/>
          <w:szCs w:val="24"/>
        </w:rPr>
        <w:t>生态系统是野生动物必要的栖息地，也是维护评价区生态安全的重要屏障。</w:t>
      </w:r>
    </w:p>
    <w:p w:rsidR="00E67813" w:rsidRPr="00D630D1" w:rsidRDefault="00E67813" w:rsidP="00E67813">
      <w:pPr>
        <w:pStyle w:val="3"/>
        <w:rPr>
          <w:rFonts w:eastAsia="宋体"/>
        </w:rPr>
      </w:pPr>
      <w:r w:rsidRPr="00D630D1">
        <w:rPr>
          <w:rFonts w:eastAsia="宋体"/>
        </w:rPr>
        <w:t>5.2.</w:t>
      </w:r>
      <w:r w:rsidRPr="00D630D1">
        <w:rPr>
          <w:rFonts w:eastAsia="宋体" w:hint="eastAsia"/>
        </w:rPr>
        <w:t>9</w:t>
      </w:r>
      <w:r w:rsidRPr="00D630D1">
        <w:rPr>
          <w:rFonts w:eastAsia="宋体"/>
          <w:bCs/>
        </w:rPr>
        <w:t>陆生野生动物现状调查</w:t>
      </w:r>
    </w:p>
    <w:p w:rsidR="00E67813" w:rsidRPr="00D630D1" w:rsidRDefault="00E67813" w:rsidP="00E67813">
      <w:pPr>
        <w:topLinePunct w:val="0"/>
        <w:snapToGrid w:val="0"/>
        <w:ind w:firstLine="482"/>
        <w:rPr>
          <w:rFonts w:ascii="Times New Roman" w:cs="Times New Roman"/>
          <w:b/>
          <w:bCs/>
          <w:kern w:val="2"/>
        </w:rPr>
      </w:pPr>
      <w:r w:rsidRPr="00D630D1">
        <w:rPr>
          <w:rFonts w:ascii="Times New Roman" w:cs="Times New Roman" w:hint="eastAsia"/>
          <w:b/>
          <w:bCs/>
          <w:kern w:val="2"/>
        </w:rPr>
        <w:t>1</w:t>
      </w:r>
      <w:r w:rsidRPr="00D630D1">
        <w:rPr>
          <w:rFonts w:ascii="Times New Roman" w:cs="Times New Roman"/>
          <w:b/>
          <w:bCs/>
          <w:kern w:val="2"/>
        </w:rPr>
        <w:t>、项目评价范围内陆生野生脊椎动物现状和特点</w:t>
      </w:r>
    </w:p>
    <w:p w:rsidR="00E67813" w:rsidRPr="00D630D1" w:rsidRDefault="00E67813" w:rsidP="00E67813">
      <w:pPr>
        <w:topLinePunct w:val="0"/>
        <w:snapToGrid w:val="0"/>
        <w:ind w:firstLine="480"/>
        <w:rPr>
          <w:rFonts w:ascii="Times New Roman" w:cs="Times New Roman"/>
          <w:kern w:val="2"/>
        </w:rPr>
      </w:pPr>
      <w:r w:rsidRPr="00D630D1">
        <w:rPr>
          <w:rFonts w:ascii="Times New Roman" w:cs="Times New Roman"/>
          <w:kern w:val="2"/>
        </w:rPr>
        <w:t>动物调查采用样线调查法，设置调查样线</w:t>
      </w:r>
      <w:r w:rsidRPr="00D630D1">
        <w:rPr>
          <w:rFonts w:ascii="Times New Roman" w:cs="Times New Roman" w:hint="eastAsia"/>
          <w:kern w:val="2"/>
        </w:rPr>
        <w:t>4</w:t>
      </w:r>
      <w:r w:rsidRPr="00D630D1">
        <w:rPr>
          <w:rFonts w:ascii="Times New Roman" w:cs="Times New Roman"/>
          <w:kern w:val="2"/>
        </w:rPr>
        <w:t>条，样线长为</w:t>
      </w:r>
      <w:r w:rsidRPr="00D630D1">
        <w:rPr>
          <w:rFonts w:ascii="Times New Roman" w:cs="Times New Roman"/>
          <w:kern w:val="2"/>
        </w:rPr>
        <w:t>1-3km</w:t>
      </w:r>
      <w:r w:rsidRPr="00D630D1">
        <w:rPr>
          <w:rFonts w:ascii="Times New Roman" w:cs="Times New Roman"/>
          <w:kern w:val="2"/>
        </w:rPr>
        <w:t>，单侧观察</w:t>
      </w:r>
      <w:r w:rsidRPr="00D630D1">
        <w:rPr>
          <w:rFonts w:ascii="Times New Roman" w:cs="Times New Roman"/>
          <w:kern w:val="2"/>
        </w:rPr>
        <w:lastRenderedPageBreak/>
        <w:t>宽度为</w:t>
      </w:r>
      <w:r w:rsidRPr="00D630D1">
        <w:rPr>
          <w:rFonts w:ascii="Times New Roman" w:cs="Times New Roman"/>
          <w:kern w:val="2"/>
        </w:rPr>
        <w:t>50m</w:t>
      </w:r>
      <w:r w:rsidRPr="00D630D1">
        <w:rPr>
          <w:rFonts w:ascii="Times New Roman" w:cs="Times New Roman"/>
          <w:kern w:val="2"/>
        </w:rPr>
        <w:t>，样线分别设置在</w:t>
      </w:r>
      <w:r w:rsidRPr="00D630D1">
        <w:rPr>
          <w:rFonts w:ascii="Times New Roman" w:cs="Times New Roman" w:hint="eastAsia"/>
          <w:kern w:val="2"/>
        </w:rPr>
        <w:t>乔木林</w:t>
      </w:r>
      <w:r w:rsidRPr="00D630D1">
        <w:rPr>
          <w:rFonts w:ascii="Times New Roman" w:cs="Times New Roman"/>
          <w:kern w:val="2"/>
        </w:rPr>
        <w:t>、灌草丛</w:t>
      </w:r>
      <w:r w:rsidRPr="00D630D1">
        <w:rPr>
          <w:rFonts w:ascii="Times New Roman" w:cs="Times New Roman" w:hint="eastAsia"/>
          <w:kern w:val="2"/>
        </w:rPr>
        <w:t>、耕地、居民点</w:t>
      </w:r>
      <w:r w:rsidRPr="00D630D1">
        <w:rPr>
          <w:rFonts w:ascii="Times New Roman" w:cs="Times New Roman"/>
          <w:kern w:val="2"/>
        </w:rPr>
        <w:t>等地，涵盖了不同的生境条件，尽量在评价区内均匀分布。由于项目评价范围现有土地开发利用程度较高，人类活动对当地野生动物影响较大，野生动物组成比较简单，种类较少，多为鸟类和小型啮齿类动物，鸟类繁殖期多在食物资源丰富的春夏季，啮齿类动物多无固定繁殖期，蛇类越冬期主要在</w:t>
      </w:r>
      <w:r w:rsidRPr="00D630D1">
        <w:rPr>
          <w:rFonts w:ascii="Times New Roman" w:cs="Times New Roman"/>
          <w:kern w:val="2"/>
        </w:rPr>
        <w:t>11-</w:t>
      </w:r>
      <w:r w:rsidRPr="00D630D1">
        <w:rPr>
          <w:rFonts w:ascii="Times New Roman" w:cs="Times New Roman"/>
          <w:kern w:val="2"/>
        </w:rPr>
        <w:t>次年</w:t>
      </w:r>
      <w:r w:rsidRPr="00D630D1">
        <w:rPr>
          <w:rFonts w:ascii="Times New Roman" w:cs="Times New Roman"/>
          <w:kern w:val="2"/>
        </w:rPr>
        <w:t>4</w:t>
      </w:r>
      <w:r w:rsidRPr="00D630D1">
        <w:rPr>
          <w:rFonts w:ascii="Times New Roman" w:cs="Times New Roman"/>
          <w:kern w:val="2"/>
        </w:rPr>
        <w:t>月，本次评价以项目所在区域</w:t>
      </w:r>
      <w:r w:rsidRPr="00D630D1">
        <w:rPr>
          <w:rFonts w:ascii="Times New Roman" w:cs="Times New Roman" w:hint="eastAsia"/>
          <w:kern w:val="2"/>
        </w:rPr>
        <w:t>宣汉县</w:t>
      </w:r>
      <w:r w:rsidRPr="00D630D1">
        <w:rPr>
          <w:rFonts w:ascii="Times New Roman" w:cs="Times New Roman"/>
          <w:kern w:val="2"/>
        </w:rPr>
        <w:t>陆生野生动物分布情况为准。</w:t>
      </w:r>
    </w:p>
    <w:p w:rsidR="00E67813" w:rsidRPr="00D630D1" w:rsidRDefault="00E67813" w:rsidP="00F96E37">
      <w:pPr>
        <w:topLinePunct w:val="0"/>
        <w:autoSpaceDE w:val="0"/>
        <w:autoSpaceDN w:val="0"/>
        <w:spacing w:beforeLines="50" w:line="240" w:lineRule="auto"/>
        <w:ind w:firstLineChars="0" w:firstLine="0"/>
        <w:jc w:val="center"/>
        <w:rPr>
          <w:rFonts w:ascii="Times New Roman" w:cs="Times New Roman"/>
          <w:b/>
          <w:sz w:val="21"/>
        </w:rPr>
      </w:pPr>
      <w:r w:rsidRPr="00D630D1">
        <w:rPr>
          <w:rFonts w:ascii="Times New Roman" w:cs="Times New Roman"/>
          <w:b/>
          <w:sz w:val="21"/>
        </w:rPr>
        <w:t>表</w:t>
      </w:r>
      <w:r w:rsidRPr="00D630D1">
        <w:rPr>
          <w:rFonts w:ascii="Times New Roman" w:cs="Times New Roman" w:hint="eastAsia"/>
          <w:b/>
          <w:sz w:val="21"/>
        </w:rPr>
        <w:t>5.2</w:t>
      </w:r>
      <w:r w:rsidRPr="00D630D1">
        <w:rPr>
          <w:rFonts w:ascii="Times New Roman" w:cs="Times New Roman"/>
          <w:b/>
          <w:sz w:val="21"/>
        </w:rPr>
        <w:t>-</w:t>
      </w:r>
      <w:r w:rsidRPr="00D630D1">
        <w:rPr>
          <w:rFonts w:ascii="Times New Roman" w:cs="Times New Roman" w:hint="eastAsia"/>
          <w:b/>
          <w:sz w:val="21"/>
        </w:rPr>
        <w:t>17</w:t>
      </w:r>
      <w:r w:rsidRPr="00D630D1">
        <w:rPr>
          <w:rFonts w:ascii="Times New Roman" w:cs="Times New Roman"/>
          <w:b/>
          <w:sz w:val="21"/>
        </w:rPr>
        <w:t xml:space="preserve"> </w:t>
      </w:r>
      <w:r w:rsidRPr="00D630D1">
        <w:rPr>
          <w:rFonts w:ascii="Times New Roman" w:cs="Times New Roman"/>
          <w:b/>
          <w:sz w:val="21"/>
        </w:rPr>
        <w:t>野生动物野外调查样线分布表</w:t>
      </w:r>
    </w:p>
    <w:p w:rsidR="00E67813" w:rsidRPr="00D630D1" w:rsidRDefault="00E67813" w:rsidP="00E67813">
      <w:pPr>
        <w:topLinePunct w:val="0"/>
        <w:adjustRightInd/>
        <w:spacing w:line="99" w:lineRule="exact"/>
        <w:ind w:firstLineChars="0" w:firstLine="0"/>
        <w:rPr>
          <w:rFonts w:ascii="Times New Roman" w:cs="Times New Roman"/>
          <w:kern w:val="2"/>
          <w:sz w:val="21"/>
        </w:rPr>
      </w:pPr>
    </w:p>
    <w:tbl>
      <w:tblPr>
        <w:tblStyle w:val="TableNormal"/>
        <w:tblW w:w="5000" w:type="pct"/>
        <w:jc w:val="center"/>
        <w:tblInd w:w="0" w:type="dxa"/>
        <w:tblBorders>
          <w:top w:val="single" w:sz="12" w:space="0" w:color="000000"/>
          <w:bottom w:val="single" w:sz="12" w:space="0" w:color="000000"/>
          <w:insideH w:val="single" w:sz="2" w:space="0" w:color="000000"/>
          <w:insideV w:val="single" w:sz="2" w:space="0" w:color="000000"/>
        </w:tblBorders>
        <w:tblLayout w:type="fixed"/>
        <w:tblLook w:val="0000"/>
      </w:tblPr>
      <w:tblGrid>
        <w:gridCol w:w="1622"/>
        <w:gridCol w:w="3338"/>
        <w:gridCol w:w="3346"/>
      </w:tblGrid>
      <w:tr w:rsidR="00E67813" w:rsidRPr="00D630D1" w:rsidTr="00E67813">
        <w:trPr>
          <w:trHeight w:val="354"/>
          <w:jc w:val="center"/>
        </w:trPr>
        <w:tc>
          <w:tcPr>
            <w:tcW w:w="1622"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样带编号</w:t>
            </w:r>
          </w:p>
        </w:tc>
        <w:tc>
          <w:tcPr>
            <w:tcW w:w="3338"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生态环境</w:t>
            </w:r>
          </w:p>
        </w:tc>
        <w:tc>
          <w:tcPr>
            <w:tcW w:w="334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主要野生动物类型</w:t>
            </w:r>
          </w:p>
        </w:tc>
      </w:tr>
      <w:tr w:rsidR="00E67813" w:rsidRPr="00D630D1" w:rsidTr="00E67813">
        <w:trPr>
          <w:trHeight w:val="316"/>
          <w:jc w:val="center"/>
        </w:trPr>
        <w:tc>
          <w:tcPr>
            <w:tcW w:w="1622"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01</w:t>
            </w:r>
          </w:p>
        </w:tc>
        <w:tc>
          <w:tcPr>
            <w:tcW w:w="3338"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乔木林</w:t>
            </w:r>
          </w:p>
        </w:tc>
        <w:tc>
          <w:tcPr>
            <w:tcW w:w="334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鸟类、两栖类、爬行类</w:t>
            </w:r>
          </w:p>
        </w:tc>
      </w:tr>
      <w:tr w:rsidR="00E67813" w:rsidRPr="00D630D1" w:rsidTr="00E67813">
        <w:trPr>
          <w:trHeight w:val="316"/>
          <w:jc w:val="center"/>
        </w:trPr>
        <w:tc>
          <w:tcPr>
            <w:tcW w:w="1622"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02</w:t>
            </w:r>
          </w:p>
        </w:tc>
        <w:tc>
          <w:tcPr>
            <w:tcW w:w="3338"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灌丛</w:t>
            </w:r>
          </w:p>
        </w:tc>
        <w:tc>
          <w:tcPr>
            <w:tcW w:w="334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鸟类、两栖类、爬行类</w:t>
            </w:r>
          </w:p>
        </w:tc>
      </w:tr>
      <w:tr w:rsidR="00E67813" w:rsidRPr="00D630D1" w:rsidTr="00E67813">
        <w:trPr>
          <w:trHeight w:val="317"/>
          <w:jc w:val="center"/>
        </w:trPr>
        <w:tc>
          <w:tcPr>
            <w:tcW w:w="1622"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03</w:t>
            </w:r>
          </w:p>
        </w:tc>
        <w:tc>
          <w:tcPr>
            <w:tcW w:w="3338"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耕地</w:t>
            </w:r>
          </w:p>
        </w:tc>
        <w:tc>
          <w:tcPr>
            <w:tcW w:w="334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鸟类、两栖类、爬行类</w:t>
            </w:r>
          </w:p>
        </w:tc>
      </w:tr>
      <w:tr w:rsidR="00E67813" w:rsidRPr="00D630D1" w:rsidTr="00E67813">
        <w:trPr>
          <w:trHeight w:val="316"/>
          <w:jc w:val="center"/>
        </w:trPr>
        <w:tc>
          <w:tcPr>
            <w:tcW w:w="1622"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04</w:t>
            </w:r>
          </w:p>
        </w:tc>
        <w:tc>
          <w:tcPr>
            <w:tcW w:w="3338"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居民</w:t>
            </w:r>
            <w:r w:rsidRPr="00D630D1">
              <w:rPr>
                <w:rFonts w:ascii="Times New Roman" w:cs="Times New Roman" w:hint="eastAsia"/>
                <w:sz w:val="21"/>
                <w:szCs w:val="21"/>
              </w:rPr>
              <w:t>点</w:t>
            </w:r>
          </w:p>
        </w:tc>
        <w:tc>
          <w:tcPr>
            <w:tcW w:w="334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鸟类、兽类、爬行类</w:t>
            </w:r>
          </w:p>
        </w:tc>
      </w:tr>
    </w:tbl>
    <w:p w:rsidR="00E67813" w:rsidRPr="00D630D1" w:rsidRDefault="00E67813" w:rsidP="00E67813">
      <w:pPr>
        <w:topLinePunct w:val="0"/>
        <w:snapToGrid w:val="0"/>
        <w:ind w:firstLine="482"/>
        <w:rPr>
          <w:rFonts w:ascii="Times New Roman" w:cs="Times New Roman"/>
          <w:b/>
          <w:bCs/>
          <w:kern w:val="2"/>
        </w:rPr>
      </w:pPr>
      <w:r w:rsidRPr="00D630D1">
        <w:rPr>
          <w:rFonts w:ascii="Times New Roman" w:cs="Times New Roman" w:hint="eastAsia"/>
          <w:b/>
          <w:bCs/>
          <w:kern w:val="2"/>
        </w:rPr>
        <w:t>2</w:t>
      </w:r>
      <w:r w:rsidRPr="00D630D1">
        <w:rPr>
          <w:rFonts w:ascii="Times New Roman" w:cs="Times New Roman"/>
          <w:b/>
          <w:bCs/>
          <w:kern w:val="2"/>
        </w:rPr>
        <w:t>、物种组成</w:t>
      </w:r>
    </w:p>
    <w:p w:rsidR="00E67813" w:rsidRPr="00D630D1" w:rsidRDefault="00E67813" w:rsidP="00E67813">
      <w:pPr>
        <w:topLinePunct w:val="0"/>
        <w:snapToGrid w:val="0"/>
        <w:ind w:firstLine="480"/>
        <w:rPr>
          <w:rFonts w:ascii="Times New Roman" w:cs="Times New Roman"/>
          <w:kern w:val="2"/>
        </w:rPr>
      </w:pPr>
      <w:r w:rsidRPr="00D630D1">
        <w:rPr>
          <w:rFonts w:ascii="Times New Roman" w:cs="Times New Roman"/>
          <w:kern w:val="2"/>
        </w:rPr>
        <w:t>根据现场调查、访问，参考保护区科考报告资料，评价区及周边不完全统计有野生脊椎动物</w:t>
      </w:r>
      <w:r w:rsidRPr="00D630D1">
        <w:rPr>
          <w:rFonts w:ascii="Times New Roman" w:cs="Times New Roman" w:hint="eastAsia"/>
          <w:kern w:val="2"/>
        </w:rPr>
        <w:t>19</w:t>
      </w:r>
      <w:r w:rsidRPr="00D630D1">
        <w:rPr>
          <w:rFonts w:ascii="Times New Roman" w:cs="Times New Roman"/>
          <w:kern w:val="2"/>
        </w:rPr>
        <w:t>目</w:t>
      </w:r>
      <w:r w:rsidRPr="00D630D1">
        <w:rPr>
          <w:rFonts w:ascii="Times New Roman" w:cs="Times New Roman" w:hint="eastAsia"/>
          <w:kern w:val="2"/>
        </w:rPr>
        <w:t>35</w:t>
      </w:r>
      <w:r w:rsidRPr="00D630D1">
        <w:rPr>
          <w:rFonts w:ascii="Times New Roman" w:cs="Times New Roman"/>
          <w:kern w:val="2"/>
        </w:rPr>
        <w:t>科</w:t>
      </w:r>
      <w:r w:rsidRPr="00D630D1">
        <w:rPr>
          <w:rFonts w:ascii="Times New Roman" w:cs="Times New Roman" w:hint="eastAsia"/>
          <w:kern w:val="2"/>
        </w:rPr>
        <w:t>65</w:t>
      </w:r>
      <w:r w:rsidRPr="00D630D1">
        <w:rPr>
          <w:rFonts w:ascii="Times New Roman" w:cs="Times New Roman"/>
          <w:kern w:val="2"/>
        </w:rPr>
        <w:t>种，其中两栖类</w:t>
      </w:r>
      <w:r w:rsidRPr="00D630D1">
        <w:rPr>
          <w:rFonts w:ascii="Times New Roman" w:cs="Times New Roman"/>
          <w:kern w:val="2"/>
        </w:rPr>
        <w:t>1</w:t>
      </w:r>
      <w:r w:rsidRPr="00D630D1">
        <w:rPr>
          <w:rFonts w:ascii="Times New Roman" w:cs="Times New Roman"/>
          <w:kern w:val="2"/>
        </w:rPr>
        <w:t>目</w:t>
      </w:r>
      <w:r w:rsidRPr="00D630D1">
        <w:rPr>
          <w:rFonts w:ascii="Times New Roman" w:cs="Times New Roman" w:hint="eastAsia"/>
          <w:kern w:val="2"/>
        </w:rPr>
        <w:t>3</w:t>
      </w:r>
      <w:r w:rsidRPr="00D630D1">
        <w:rPr>
          <w:rFonts w:ascii="Times New Roman" w:cs="Times New Roman"/>
          <w:kern w:val="2"/>
        </w:rPr>
        <w:t>科</w:t>
      </w:r>
      <w:r w:rsidRPr="00D630D1">
        <w:rPr>
          <w:rFonts w:ascii="Times New Roman" w:cs="Times New Roman" w:hint="eastAsia"/>
          <w:kern w:val="2"/>
        </w:rPr>
        <w:t>5</w:t>
      </w:r>
      <w:r w:rsidRPr="00D630D1">
        <w:rPr>
          <w:rFonts w:ascii="Times New Roman" w:cs="Times New Roman"/>
          <w:kern w:val="2"/>
        </w:rPr>
        <w:t>种，爬行类</w:t>
      </w:r>
      <w:r w:rsidRPr="00D630D1">
        <w:rPr>
          <w:rFonts w:ascii="Times New Roman" w:cs="Times New Roman"/>
          <w:kern w:val="2"/>
        </w:rPr>
        <w:t>1</w:t>
      </w:r>
      <w:r w:rsidRPr="00D630D1">
        <w:rPr>
          <w:rFonts w:ascii="Times New Roman" w:cs="Times New Roman"/>
          <w:kern w:val="2"/>
        </w:rPr>
        <w:t>目</w:t>
      </w:r>
      <w:r w:rsidRPr="00D630D1">
        <w:rPr>
          <w:rFonts w:ascii="Times New Roman" w:cs="Times New Roman" w:hint="eastAsia"/>
          <w:kern w:val="2"/>
        </w:rPr>
        <w:t>2</w:t>
      </w:r>
      <w:r w:rsidRPr="00D630D1">
        <w:rPr>
          <w:rFonts w:ascii="Times New Roman" w:cs="Times New Roman"/>
          <w:kern w:val="2"/>
        </w:rPr>
        <w:t>科</w:t>
      </w:r>
      <w:r w:rsidRPr="00D630D1">
        <w:rPr>
          <w:rFonts w:ascii="Times New Roman" w:cs="Times New Roman" w:hint="eastAsia"/>
          <w:kern w:val="2"/>
        </w:rPr>
        <w:t>6</w:t>
      </w:r>
      <w:r w:rsidRPr="00D630D1">
        <w:rPr>
          <w:rFonts w:ascii="Times New Roman" w:cs="Times New Roman"/>
          <w:kern w:val="2"/>
        </w:rPr>
        <w:t>种，哺乳类</w:t>
      </w:r>
      <w:r w:rsidRPr="00D630D1">
        <w:rPr>
          <w:rFonts w:ascii="Times New Roman" w:cs="Times New Roman" w:hint="eastAsia"/>
          <w:kern w:val="2"/>
        </w:rPr>
        <w:t>6</w:t>
      </w:r>
      <w:r w:rsidRPr="00D630D1">
        <w:rPr>
          <w:rFonts w:ascii="Times New Roman" w:cs="Times New Roman"/>
          <w:kern w:val="2"/>
        </w:rPr>
        <w:t>目</w:t>
      </w:r>
      <w:r w:rsidRPr="00D630D1">
        <w:rPr>
          <w:rFonts w:ascii="Times New Roman" w:cs="Times New Roman" w:hint="eastAsia"/>
          <w:kern w:val="2"/>
        </w:rPr>
        <w:t>9</w:t>
      </w:r>
      <w:r w:rsidRPr="00D630D1">
        <w:rPr>
          <w:rFonts w:ascii="Times New Roman" w:cs="Times New Roman"/>
          <w:kern w:val="2"/>
        </w:rPr>
        <w:t>科</w:t>
      </w:r>
      <w:r w:rsidRPr="00D630D1">
        <w:rPr>
          <w:rFonts w:ascii="Times New Roman" w:cs="Times New Roman" w:hint="eastAsia"/>
          <w:kern w:val="2"/>
        </w:rPr>
        <w:t>15</w:t>
      </w:r>
      <w:r w:rsidRPr="00D630D1">
        <w:rPr>
          <w:rFonts w:ascii="Times New Roman" w:cs="Times New Roman"/>
          <w:kern w:val="2"/>
        </w:rPr>
        <w:t>种，鸟类</w:t>
      </w:r>
      <w:r w:rsidRPr="00D630D1">
        <w:rPr>
          <w:rFonts w:ascii="Times New Roman" w:cs="Times New Roman" w:hint="eastAsia"/>
          <w:kern w:val="2"/>
        </w:rPr>
        <w:t>11</w:t>
      </w:r>
      <w:r w:rsidRPr="00D630D1">
        <w:rPr>
          <w:rFonts w:ascii="Times New Roman" w:cs="Times New Roman"/>
          <w:kern w:val="2"/>
        </w:rPr>
        <w:t>目</w:t>
      </w:r>
      <w:r w:rsidRPr="00D630D1">
        <w:rPr>
          <w:rFonts w:ascii="Times New Roman" w:cs="Times New Roman" w:hint="eastAsia"/>
          <w:kern w:val="2"/>
        </w:rPr>
        <w:t>21</w:t>
      </w:r>
      <w:r w:rsidRPr="00D630D1">
        <w:rPr>
          <w:rFonts w:ascii="Times New Roman" w:cs="Times New Roman"/>
          <w:kern w:val="2"/>
        </w:rPr>
        <w:t>科</w:t>
      </w:r>
      <w:r w:rsidRPr="00D630D1">
        <w:rPr>
          <w:rFonts w:ascii="Times New Roman" w:cs="Times New Roman" w:hint="eastAsia"/>
          <w:kern w:val="2"/>
        </w:rPr>
        <w:t>39</w:t>
      </w:r>
      <w:r w:rsidRPr="00D630D1">
        <w:rPr>
          <w:rFonts w:ascii="Times New Roman" w:cs="Times New Roman"/>
          <w:kern w:val="2"/>
        </w:rPr>
        <w:t>种。</w:t>
      </w:r>
    </w:p>
    <w:p w:rsidR="00E67813" w:rsidRPr="00D630D1" w:rsidRDefault="00E67813" w:rsidP="00F96E37">
      <w:pPr>
        <w:topLinePunct w:val="0"/>
        <w:autoSpaceDE w:val="0"/>
        <w:autoSpaceDN w:val="0"/>
        <w:spacing w:beforeLines="50" w:line="240" w:lineRule="auto"/>
        <w:ind w:firstLineChars="0" w:firstLine="0"/>
        <w:jc w:val="center"/>
        <w:rPr>
          <w:rFonts w:ascii="Times New Roman" w:cs="Times New Roman"/>
          <w:b/>
          <w:sz w:val="21"/>
        </w:rPr>
      </w:pPr>
      <w:r w:rsidRPr="00D630D1">
        <w:rPr>
          <w:rFonts w:ascii="Times New Roman" w:cs="Times New Roman"/>
          <w:b/>
          <w:sz w:val="21"/>
        </w:rPr>
        <w:t>表</w:t>
      </w:r>
      <w:r w:rsidRPr="00D630D1">
        <w:rPr>
          <w:rFonts w:ascii="Times New Roman" w:cs="Times New Roman" w:hint="eastAsia"/>
          <w:b/>
          <w:sz w:val="21"/>
        </w:rPr>
        <w:t>5.2</w:t>
      </w:r>
      <w:r w:rsidRPr="00D630D1">
        <w:rPr>
          <w:rFonts w:ascii="Times New Roman" w:cs="Times New Roman"/>
          <w:b/>
          <w:sz w:val="21"/>
        </w:rPr>
        <w:t>-</w:t>
      </w:r>
      <w:r w:rsidRPr="00D630D1">
        <w:rPr>
          <w:rFonts w:ascii="Times New Roman" w:cs="Times New Roman" w:hint="eastAsia"/>
          <w:b/>
          <w:sz w:val="21"/>
        </w:rPr>
        <w:t>18</w:t>
      </w:r>
      <w:r w:rsidRPr="00D630D1">
        <w:rPr>
          <w:rFonts w:ascii="Times New Roman" w:cs="Times New Roman"/>
          <w:b/>
          <w:sz w:val="21"/>
        </w:rPr>
        <w:t xml:space="preserve"> </w:t>
      </w:r>
      <w:r w:rsidRPr="00D630D1">
        <w:rPr>
          <w:rFonts w:ascii="Times New Roman" w:cs="Times New Roman"/>
          <w:b/>
          <w:sz w:val="21"/>
        </w:rPr>
        <w:t>评价区野生脊椎动物物种组成</w:t>
      </w:r>
    </w:p>
    <w:tbl>
      <w:tblPr>
        <w:tblStyle w:val="TableNormal"/>
        <w:tblW w:w="5000" w:type="pct"/>
        <w:jc w:val="center"/>
        <w:tblInd w:w="0" w:type="dxa"/>
        <w:tblBorders>
          <w:top w:val="single" w:sz="12" w:space="0" w:color="000000"/>
          <w:bottom w:val="single" w:sz="12" w:space="0" w:color="000000"/>
          <w:insideH w:val="single" w:sz="2" w:space="0" w:color="000000"/>
          <w:insideV w:val="single" w:sz="2" w:space="0" w:color="000000"/>
        </w:tblBorders>
        <w:tblLayout w:type="fixed"/>
        <w:tblLook w:val="0000"/>
      </w:tblPr>
      <w:tblGrid>
        <w:gridCol w:w="1316"/>
        <w:gridCol w:w="1141"/>
        <w:gridCol w:w="1141"/>
        <w:gridCol w:w="1301"/>
        <w:gridCol w:w="1356"/>
        <w:gridCol w:w="1231"/>
        <w:gridCol w:w="820"/>
      </w:tblGrid>
      <w:tr w:rsidR="00E67813" w:rsidRPr="00D630D1" w:rsidTr="00E67813">
        <w:trPr>
          <w:trHeight w:val="430"/>
          <w:jc w:val="center"/>
        </w:trPr>
        <w:tc>
          <w:tcPr>
            <w:tcW w:w="131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类别</w:t>
            </w:r>
          </w:p>
        </w:tc>
        <w:tc>
          <w:tcPr>
            <w:tcW w:w="114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目数</w:t>
            </w:r>
          </w:p>
        </w:tc>
        <w:tc>
          <w:tcPr>
            <w:tcW w:w="114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科数</w:t>
            </w:r>
          </w:p>
        </w:tc>
        <w:tc>
          <w:tcPr>
            <w:tcW w:w="130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物种数</w:t>
            </w:r>
          </w:p>
        </w:tc>
        <w:tc>
          <w:tcPr>
            <w:tcW w:w="135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国家</w:t>
            </w:r>
            <w:r w:rsidRPr="00D630D1">
              <w:rPr>
                <w:rFonts w:ascii="Times New Roman" w:cs="Times New Roman"/>
                <w:sz w:val="21"/>
                <w:szCs w:val="21"/>
              </w:rPr>
              <w:t>Ⅰ</w:t>
            </w:r>
            <w:r w:rsidRPr="00D630D1">
              <w:rPr>
                <w:rFonts w:ascii="Times New Roman" w:cs="Times New Roman"/>
                <w:sz w:val="21"/>
                <w:szCs w:val="21"/>
              </w:rPr>
              <w:t>级</w:t>
            </w:r>
          </w:p>
        </w:tc>
        <w:tc>
          <w:tcPr>
            <w:tcW w:w="123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国家</w:t>
            </w:r>
            <w:r w:rsidRPr="00D630D1">
              <w:rPr>
                <w:rFonts w:ascii="Times New Roman" w:cs="Times New Roman"/>
                <w:sz w:val="21"/>
                <w:szCs w:val="21"/>
              </w:rPr>
              <w:t>Ⅱ</w:t>
            </w:r>
            <w:r w:rsidRPr="00D630D1">
              <w:rPr>
                <w:rFonts w:ascii="Times New Roman" w:cs="Times New Roman"/>
                <w:sz w:val="21"/>
                <w:szCs w:val="21"/>
              </w:rPr>
              <w:t>级</w:t>
            </w:r>
          </w:p>
        </w:tc>
        <w:tc>
          <w:tcPr>
            <w:tcW w:w="820"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省级</w:t>
            </w:r>
          </w:p>
        </w:tc>
      </w:tr>
      <w:tr w:rsidR="00E67813" w:rsidRPr="00D630D1" w:rsidTr="00E67813">
        <w:trPr>
          <w:trHeight w:val="426"/>
          <w:jc w:val="center"/>
        </w:trPr>
        <w:tc>
          <w:tcPr>
            <w:tcW w:w="131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两栖类</w:t>
            </w:r>
          </w:p>
        </w:tc>
        <w:tc>
          <w:tcPr>
            <w:tcW w:w="114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1</w:t>
            </w:r>
          </w:p>
        </w:tc>
        <w:tc>
          <w:tcPr>
            <w:tcW w:w="114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3</w:t>
            </w:r>
          </w:p>
        </w:tc>
        <w:tc>
          <w:tcPr>
            <w:tcW w:w="130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5</w:t>
            </w:r>
          </w:p>
        </w:tc>
        <w:tc>
          <w:tcPr>
            <w:tcW w:w="135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c>
          <w:tcPr>
            <w:tcW w:w="123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c>
          <w:tcPr>
            <w:tcW w:w="820"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r>
      <w:tr w:rsidR="00E67813" w:rsidRPr="00D630D1" w:rsidTr="00E67813">
        <w:trPr>
          <w:trHeight w:val="426"/>
          <w:jc w:val="center"/>
        </w:trPr>
        <w:tc>
          <w:tcPr>
            <w:tcW w:w="131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爬行类</w:t>
            </w:r>
          </w:p>
        </w:tc>
        <w:tc>
          <w:tcPr>
            <w:tcW w:w="114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1</w:t>
            </w:r>
          </w:p>
        </w:tc>
        <w:tc>
          <w:tcPr>
            <w:tcW w:w="114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2</w:t>
            </w:r>
          </w:p>
        </w:tc>
        <w:tc>
          <w:tcPr>
            <w:tcW w:w="130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6</w:t>
            </w:r>
          </w:p>
        </w:tc>
        <w:tc>
          <w:tcPr>
            <w:tcW w:w="135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c>
          <w:tcPr>
            <w:tcW w:w="123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c>
          <w:tcPr>
            <w:tcW w:w="820"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r>
      <w:tr w:rsidR="00E67813" w:rsidRPr="00D630D1" w:rsidTr="00E67813">
        <w:trPr>
          <w:trHeight w:val="426"/>
          <w:jc w:val="center"/>
        </w:trPr>
        <w:tc>
          <w:tcPr>
            <w:tcW w:w="131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鸟类</w:t>
            </w:r>
          </w:p>
        </w:tc>
        <w:tc>
          <w:tcPr>
            <w:tcW w:w="114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11</w:t>
            </w:r>
          </w:p>
        </w:tc>
        <w:tc>
          <w:tcPr>
            <w:tcW w:w="114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21</w:t>
            </w:r>
          </w:p>
        </w:tc>
        <w:tc>
          <w:tcPr>
            <w:tcW w:w="130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39</w:t>
            </w:r>
          </w:p>
        </w:tc>
        <w:tc>
          <w:tcPr>
            <w:tcW w:w="135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c>
          <w:tcPr>
            <w:tcW w:w="123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c>
          <w:tcPr>
            <w:tcW w:w="820"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r>
      <w:tr w:rsidR="00E67813" w:rsidRPr="00D630D1" w:rsidTr="00E67813">
        <w:trPr>
          <w:trHeight w:val="447"/>
          <w:jc w:val="center"/>
        </w:trPr>
        <w:tc>
          <w:tcPr>
            <w:tcW w:w="131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兽类</w:t>
            </w:r>
          </w:p>
        </w:tc>
        <w:tc>
          <w:tcPr>
            <w:tcW w:w="114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6</w:t>
            </w:r>
          </w:p>
        </w:tc>
        <w:tc>
          <w:tcPr>
            <w:tcW w:w="114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9</w:t>
            </w:r>
          </w:p>
        </w:tc>
        <w:tc>
          <w:tcPr>
            <w:tcW w:w="130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hint="eastAsia"/>
                <w:sz w:val="21"/>
                <w:szCs w:val="21"/>
              </w:rPr>
              <w:t>15</w:t>
            </w:r>
          </w:p>
        </w:tc>
        <w:tc>
          <w:tcPr>
            <w:tcW w:w="135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c>
          <w:tcPr>
            <w:tcW w:w="123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c>
          <w:tcPr>
            <w:tcW w:w="820"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r>
      <w:tr w:rsidR="00E67813" w:rsidRPr="00D630D1" w:rsidTr="00E67813">
        <w:trPr>
          <w:trHeight w:val="433"/>
          <w:jc w:val="center"/>
        </w:trPr>
        <w:tc>
          <w:tcPr>
            <w:tcW w:w="131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合计</w:t>
            </w:r>
          </w:p>
        </w:tc>
        <w:tc>
          <w:tcPr>
            <w:tcW w:w="114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19</w:t>
            </w:r>
          </w:p>
        </w:tc>
        <w:tc>
          <w:tcPr>
            <w:tcW w:w="114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35</w:t>
            </w:r>
          </w:p>
        </w:tc>
        <w:tc>
          <w:tcPr>
            <w:tcW w:w="130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65</w:t>
            </w:r>
          </w:p>
        </w:tc>
        <w:tc>
          <w:tcPr>
            <w:tcW w:w="1356"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c>
          <w:tcPr>
            <w:tcW w:w="1231"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c>
          <w:tcPr>
            <w:tcW w:w="820" w:type="dxa"/>
            <w:vAlign w:val="center"/>
          </w:tcPr>
          <w:p w:rsidR="00E67813" w:rsidRPr="00D630D1" w:rsidRDefault="00E67813" w:rsidP="00E67813">
            <w:pPr>
              <w:widowControl/>
              <w:topLinePunct w:val="0"/>
              <w:adjustRightInd/>
              <w:spacing w:line="240" w:lineRule="auto"/>
              <w:ind w:firstLineChars="0" w:firstLine="0"/>
              <w:jc w:val="center"/>
              <w:textAlignment w:val="bottom"/>
              <w:rPr>
                <w:rFonts w:ascii="Times New Roman" w:cs="Times New Roman"/>
                <w:sz w:val="21"/>
                <w:szCs w:val="21"/>
              </w:rPr>
            </w:pPr>
            <w:r w:rsidRPr="00D630D1">
              <w:rPr>
                <w:rFonts w:ascii="Times New Roman" w:cs="Times New Roman"/>
                <w:sz w:val="21"/>
                <w:szCs w:val="21"/>
              </w:rPr>
              <w:t>/</w:t>
            </w:r>
          </w:p>
        </w:tc>
      </w:tr>
    </w:tbl>
    <w:p w:rsidR="00E67813" w:rsidRPr="00D630D1" w:rsidRDefault="00E67813" w:rsidP="00E67813">
      <w:pPr>
        <w:topLinePunct w:val="0"/>
        <w:adjustRightInd/>
        <w:spacing w:line="480" w:lineRule="exact"/>
        <w:ind w:firstLine="482"/>
        <w:rPr>
          <w:rFonts w:ascii="Times New Roman" w:cs="Times New Roman"/>
          <w:b/>
          <w:bCs/>
          <w:kern w:val="2"/>
        </w:rPr>
      </w:pPr>
      <w:r w:rsidRPr="00D630D1">
        <w:rPr>
          <w:rFonts w:ascii="Times New Roman" w:cs="Times New Roman"/>
          <w:b/>
          <w:bCs/>
          <w:kern w:val="2"/>
        </w:rPr>
        <w:t>A</w:t>
      </w:r>
      <w:r w:rsidRPr="00D630D1">
        <w:rPr>
          <w:rFonts w:ascii="Times New Roman" w:cs="Times New Roman"/>
          <w:b/>
          <w:bCs/>
          <w:kern w:val="2"/>
        </w:rPr>
        <w:t>、兽类的组成及分布</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根据野外调查和文献资料核实，评价区共有兽类</w:t>
      </w:r>
      <w:r w:rsidRPr="00D630D1">
        <w:rPr>
          <w:rFonts w:ascii="Times New Roman" w:cs="Times New Roman"/>
          <w:kern w:val="2"/>
        </w:rPr>
        <w:t>6</w:t>
      </w:r>
      <w:r w:rsidRPr="00D630D1">
        <w:rPr>
          <w:rFonts w:ascii="Times New Roman" w:cs="Times New Roman"/>
          <w:kern w:val="2"/>
        </w:rPr>
        <w:t>目</w:t>
      </w:r>
      <w:r w:rsidRPr="00D630D1">
        <w:rPr>
          <w:rFonts w:ascii="Times New Roman" w:cs="Times New Roman"/>
          <w:kern w:val="2"/>
        </w:rPr>
        <w:t>9</w:t>
      </w:r>
      <w:r w:rsidRPr="00D630D1">
        <w:rPr>
          <w:rFonts w:ascii="Times New Roman" w:cs="Times New Roman"/>
          <w:kern w:val="2"/>
        </w:rPr>
        <w:t>科</w:t>
      </w:r>
      <w:r w:rsidRPr="00D630D1">
        <w:rPr>
          <w:rFonts w:ascii="Times New Roman" w:cs="Times New Roman"/>
          <w:kern w:val="2"/>
        </w:rPr>
        <w:t>12</w:t>
      </w:r>
      <w:r w:rsidRPr="00D630D1">
        <w:rPr>
          <w:rFonts w:ascii="Times New Roman" w:cs="Times New Roman"/>
          <w:kern w:val="2"/>
        </w:rPr>
        <w:t>属</w:t>
      </w:r>
      <w:r w:rsidRPr="00D630D1">
        <w:rPr>
          <w:rFonts w:ascii="Times New Roman" w:cs="Times New Roman"/>
          <w:kern w:val="2"/>
        </w:rPr>
        <w:t>15</w:t>
      </w:r>
      <w:r w:rsidRPr="00D630D1">
        <w:rPr>
          <w:rFonts w:ascii="Times New Roman" w:cs="Times New Roman"/>
          <w:kern w:val="2"/>
        </w:rPr>
        <w:t>种，即食虫目</w:t>
      </w:r>
      <w:r w:rsidRPr="00D630D1">
        <w:rPr>
          <w:rFonts w:ascii="Times New Roman" w:cs="Times New Roman"/>
          <w:kern w:val="2"/>
        </w:rPr>
        <w:t>2</w:t>
      </w:r>
      <w:r w:rsidRPr="00D630D1">
        <w:rPr>
          <w:rFonts w:ascii="Times New Roman" w:cs="Times New Roman"/>
          <w:kern w:val="2"/>
        </w:rPr>
        <w:t>科</w:t>
      </w:r>
      <w:r w:rsidRPr="00D630D1">
        <w:rPr>
          <w:rFonts w:ascii="Times New Roman" w:cs="Times New Roman"/>
          <w:kern w:val="2"/>
        </w:rPr>
        <w:t>2</w:t>
      </w:r>
      <w:r w:rsidRPr="00D630D1">
        <w:rPr>
          <w:rFonts w:ascii="Times New Roman" w:cs="Times New Roman"/>
          <w:kern w:val="2"/>
        </w:rPr>
        <w:t>属</w:t>
      </w:r>
      <w:r w:rsidRPr="00D630D1">
        <w:rPr>
          <w:rFonts w:ascii="Times New Roman" w:cs="Times New Roman"/>
          <w:kern w:val="2"/>
        </w:rPr>
        <w:t>2</w:t>
      </w:r>
      <w:r w:rsidRPr="00D630D1">
        <w:rPr>
          <w:rFonts w:ascii="Times New Roman" w:cs="Times New Roman"/>
          <w:kern w:val="2"/>
        </w:rPr>
        <w:t>种、翼手目</w:t>
      </w:r>
      <w:r w:rsidRPr="00D630D1">
        <w:rPr>
          <w:rFonts w:ascii="Times New Roman" w:cs="Times New Roman"/>
          <w:kern w:val="2"/>
        </w:rPr>
        <w:t>1</w:t>
      </w:r>
      <w:r w:rsidRPr="00D630D1">
        <w:rPr>
          <w:rFonts w:ascii="Times New Roman" w:cs="Times New Roman"/>
          <w:kern w:val="2"/>
        </w:rPr>
        <w:t>科</w:t>
      </w:r>
      <w:r w:rsidRPr="00D630D1">
        <w:rPr>
          <w:rFonts w:ascii="Times New Roman" w:cs="Times New Roman"/>
          <w:kern w:val="2"/>
        </w:rPr>
        <w:t>1</w:t>
      </w:r>
      <w:r w:rsidRPr="00D630D1">
        <w:rPr>
          <w:rFonts w:ascii="Times New Roman" w:cs="Times New Roman"/>
          <w:kern w:val="2"/>
        </w:rPr>
        <w:t>属</w:t>
      </w:r>
      <w:r w:rsidRPr="00D630D1">
        <w:rPr>
          <w:rFonts w:ascii="Times New Roman" w:cs="Times New Roman"/>
          <w:kern w:val="2"/>
        </w:rPr>
        <w:t>1</w:t>
      </w:r>
      <w:r w:rsidRPr="00D630D1">
        <w:rPr>
          <w:rFonts w:ascii="Times New Roman" w:cs="Times New Roman"/>
          <w:kern w:val="2"/>
        </w:rPr>
        <w:t>种、食肉目</w:t>
      </w:r>
      <w:r w:rsidRPr="00D630D1">
        <w:rPr>
          <w:rFonts w:ascii="Times New Roman" w:cs="Times New Roman"/>
          <w:kern w:val="2"/>
        </w:rPr>
        <w:t>1</w:t>
      </w:r>
      <w:r w:rsidRPr="00D630D1">
        <w:rPr>
          <w:rFonts w:ascii="Times New Roman" w:cs="Times New Roman"/>
          <w:kern w:val="2"/>
        </w:rPr>
        <w:t>科</w:t>
      </w:r>
      <w:r w:rsidRPr="00D630D1">
        <w:rPr>
          <w:rFonts w:ascii="Times New Roman" w:cs="Times New Roman"/>
          <w:kern w:val="2"/>
        </w:rPr>
        <w:t>1</w:t>
      </w:r>
      <w:r w:rsidRPr="00D630D1">
        <w:rPr>
          <w:rFonts w:ascii="Times New Roman" w:cs="Times New Roman"/>
          <w:kern w:val="2"/>
        </w:rPr>
        <w:t>属</w:t>
      </w:r>
      <w:r w:rsidRPr="00D630D1">
        <w:rPr>
          <w:rFonts w:ascii="Times New Roman" w:cs="Times New Roman"/>
          <w:kern w:val="2"/>
        </w:rPr>
        <w:t>1</w:t>
      </w:r>
      <w:r w:rsidRPr="00D630D1">
        <w:rPr>
          <w:rFonts w:ascii="Times New Roman" w:cs="Times New Roman"/>
          <w:kern w:val="2"/>
        </w:rPr>
        <w:t>种、啮齿目</w:t>
      </w:r>
      <w:r w:rsidRPr="00D630D1">
        <w:rPr>
          <w:rFonts w:ascii="Times New Roman" w:cs="Times New Roman"/>
          <w:kern w:val="2"/>
        </w:rPr>
        <w:t>5</w:t>
      </w:r>
      <w:r w:rsidRPr="00D630D1">
        <w:rPr>
          <w:rFonts w:ascii="Times New Roman" w:cs="Times New Roman"/>
          <w:kern w:val="2"/>
        </w:rPr>
        <w:t>科</w:t>
      </w:r>
      <w:r w:rsidRPr="00D630D1">
        <w:rPr>
          <w:rFonts w:ascii="Times New Roman" w:cs="Times New Roman"/>
          <w:kern w:val="2"/>
        </w:rPr>
        <w:t>7</w:t>
      </w:r>
      <w:r w:rsidRPr="00D630D1">
        <w:rPr>
          <w:rFonts w:ascii="Times New Roman" w:cs="Times New Roman"/>
          <w:kern w:val="2"/>
        </w:rPr>
        <w:t>属</w:t>
      </w:r>
      <w:r w:rsidRPr="00D630D1">
        <w:rPr>
          <w:rFonts w:ascii="Times New Roman" w:cs="Times New Roman"/>
          <w:kern w:val="2"/>
        </w:rPr>
        <w:t>10</w:t>
      </w:r>
      <w:r w:rsidRPr="00D630D1">
        <w:rPr>
          <w:rFonts w:ascii="Times New Roman" w:cs="Times New Roman"/>
          <w:kern w:val="2"/>
        </w:rPr>
        <w:t>种、兔形目</w:t>
      </w:r>
      <w:r w:rsidRPr="00D630D1">
        <w:rPr>
          <w:rFonts w:ascii="Times New Roman" w:cs="Times New Roman"/>
          <w:kern w:val="2"/>
        </w:rPr>
        <w:t>1</w:t>
      </w:r>
      <w:r w:rsidRPr="00D630D1">
        <w:rPr>
          <w:rFonts w:ascii="Times New Roman" w:cs="Times New Roman"/>
          <w:kern w:val="2"/>
        </w:rPr>
        <w:t>科</w:t>
      </w:r>
      <w:r w:rsidRPr="00D630D1">
        <w:rPr>
          <w:rFonts w:ascii="Times New Roman" w:cs="Times New Roman"/>
          <w:kern w:val="2"/>
        </w:rPr>
        <w:t>1</w:t>
      </w:r>
      <w:r w:rsidRPr="00D630D1">
        <w:rPr>
          <w:rFonts w:ascii="Times New Roman" w:cs="Times New Roman"/>
          <w:kern w:val="2"/>
        </w:rPr>
        <w:t>属</w:t>
      </w:r>
      <w:r w:rsidRPr="00D630D1">
        <w:rPr>
          <w:rFonts w:ascii="Times New Roman" w:cs="Times New Roman"/>
          <w:kern w:val="2"/>
        </w:rPr>
        <w:t>1</w:t>
      </w:r>
      <w:r w:rsidRPr="00D630D1">
        <w:rPr>
          <w:rFonts w:ascii="Times New Roman" w:cs="Times New Roman"/>
          <w:kern w:val="2"/>
        </w:rPr>
        <w:t>种</w:t>
      </w:r>
      <w:r w:rsidRPr="00D630D1">
        <w:rPr>
          <w:rFonts w:ascii="Times New Roman" w:cs="Times New Roman" w:hint="eastAsia"/>
          <w:kern w:val="2"/>
        </w:rPr>
        <w:t>。</w:t>
      </w:r>
      <w:r w:rsidRPr="00D630D1">
        <w:rPr>
          <w:rFonts w:ascii="Times New Roman" w:cs="Times New Roman"/>
          <w:kern w:val="2"/>
        </w:rPr>
        <w:t>从目一级水平看，啮齿目优势明显。由于人类活动影响，评价区的兽类主要以常见的小型兽类为主，基本难以寻觅大、中型兽类的痕迹，本次调查未发现保护兽类动物的踪迹。</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1</w:t>
      </w:r>
      <w:r w:rsidRPr="00D630D1">
        <w:rPr>
          <w:rFonts w:ascii="Times New Roman" w:cs="Times New Roman" w:hint="eastAsia"/>
          <w:kern w:val="2"/>
        </w:rPr>
        <w:t>）</w:t>
      </w:r>
      <w:r w:rsidRPr="00D630D1">
        <w:rPr>
          <w:rFonts w:ascii="Times New Roman" w:cs="Times New Roman"/>
          <w:kern w:val="2"/>
        </w:rPr>
        <w:t>区系分析</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lastRenderedPageBreak/>
        <w:t>区内有分布的</w:t>
      </w:r>
      <w:r w:rsidRPr="00D630D1">
        <w:rPr>
          <w:rFonts w:ascii="Times New Roman" w:cs="Times New Roman"/>
          <w:kern w:val="2"/>
        </w:rPr>
        <w:t>15</w:t>
      </w:r>
      <w:r w:rsidRPr="00D630D1">
        <w:rPr>
          <w:rFonts w:ascii="Times New Roman" w:cs="Times New Roman"/>
          <w:kern w:val="2"/>
        </w:rPr>
        <w:t>种兽类中，东洋界种类有</w:t>
      </w:r>
      <w:r w:rsidRPr="00D630D1">
        <w:rPr>
          <w:rFonts w:ascii="Times New Roman" w:cs="Times New Roman"/>
          <w:kern w:val="2"/>
        </w:rPr>
        <w:t>5</w:t>
      </w:r>
      <w:r w:rsidRPr="00D630D1">
        <w:rPr>
          <w:rFonts w:ascii="Times New Roman" w:cs="Times New Roman"/>
          <w:kern w:val="2"/>
        </w:rPr>
        <w:t>种，占该区域实际调查到有分布的兽类总种数的</w:t>
      </w:r>
      <w:r w:rsidRPr="00D630D1">
        <w:rPr>
          <w:rFonts w:ascii="Times New Roman" w:cs="Times New Roman"/>
          <w:kern w:val="2"/>
        </w:rPr>
        <w:t>33.33%</w:t>
      </w:r>
      <w:r w:rsidRPr="00D630D1">
        <w:rPr>
          <w:rFonts w:ascii="Times New Roman" w:cs="Times New Roman"/>
          <w:kern w:val="2"/>
        </w:rPr>
        <w:t>；古北界种类有</w:t>
      </w:r>
      <w:r w:rsidRPr="00D630D1">
        <w:rPr>
          <w:rFonts w:ascii="Times New Roman" w:cs="Times New Roman"/>
          <w:kern w:val="2"/>
        </w:rPr>
        <w:t>3</w:t>
      </w:r>
      <w:r w:rsidRPr="00D630D1">
        <w:rPr>
          <w:rFonts w:ascii="Times New Roman" w:cs="Times New Roman"/>
          <w:kern w:val="2"/>
        </w:rPr>
        <w:t>种，占</w:t>
      </w:r>
      <w:r w:rsidRPr="00D630D1">
        <w:rPr>
          <w:rFonts w:ascii="Times New Roman" w:cs="Times New Roman"/>
          <w:kern w:val="2"/>
        </w:rPr>
        <w:t>20.00%</w:t>
      </w:r>
      <w:r w:rsidRPr="00D630D1">
        <w:rPr>
          <w:rFonts w:ascii="Times New Roman" w:cs="Times New Roman"/>
          <w:kern w:val="2"/>
        </w:rPr>
        <w:t>，广布种有</w:t>
      </w:r>
      <w:r w:rsidRPr="00D630D1">
        <w:rPr>
          <w:rFonts w:ascii="Times New Roman" w:cs="Times New Roman"/>
          <w:kern w:val="2"/>
        </w:rPr>
        <w:t>7</w:t>
      </w:r>
      <w:r w:rsidRPr="00D630D1">
        <w:rPr>
          <w:rFonts w:ascii="Times New Roman" w:cs="Times New Roman"/>
          <w:kern w:val="2"/>
        </w:rPr>
        <w:t>种，占</w:t>
      </w:r>
      <w:r w:rsidRPr="00D630D1">
        <w:rPr>
          <w:rFonts w:ascii="Times New Roman" w:cs="Times New Roman"/>
          <w:kern w:val="2"/>
        </w:rPr>
        <w:t>46.67%</w:t>
      </w:r>
      <w:r w:rsidRPr="00D630D1">
        <w:rPr>
          <w:rFonts w:ascii="Times New Roman" w:cs="Times New Roman"/>
          <w:kern w:val="2"/>
        </w:rPr>
        <w:t>。</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2</w:t>
      </w:r>
      <w:r w:rsidRPr="00D630D1">
        <w:rPr>
          <w:rFonts w:ascii="Times New Roman" w:cs="Times New Roman" w:hint="eastAsia"/>
          <w:kern w:val="2"/>
        </w:rPr>
        <w:t>）</w:t>
      </w:r>
      <w:r w:rsidRPr="00D630D1">
        <w:rPr>
          <w:rFonts w:ascii="Times New Roman" w:cs="Times New Roman"/>
          <w:kern w:val="2"/>
        </w:rPr>
        <w:t>生态分布</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根据该区域的环境特征和兽类的生活特性，该区域兽类主要分为如下几种生态类型：</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溪流区兽类：指生活在评价区内溪流和沿岸的物种，主要包括：黄鼬、草兔、社鼠等。</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林区兽类：主要是指生活在森林环境的物种，森林环境在该区域主要分布于坡地中上部。为该区最广的生境类型，主要分布的兽类有隐纹花松鼠、社鼠等。</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灌草丛区兽类：该区域的生境类型主要包括灌丛、草丛和农耕地等，分布海拔相对较低，生活于其中的兽类主要包括：黄鼬、草兔、社鼠等，其中的优势种类为草兔、社鼠等。</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3</w:t>
      </w:r>
      <w:r w:rsidRPr="00D630D1">
        <w:rPr>
          <w:rFonts w:ascii="Times New Roman" w:cs="Times New Roman" w:hint="eastAsia"/>
          <w:kern w:val="2"/>
        </w:rPr>
        <w:t>）</w:t>
      </w:r>
      <w:r w:rsidRPr="00D630D1">
        <w:rPr>
          <w:rFonts w:ascii="Times New Roman" w:cs="Times New Roman"/>
          <w:kern w:val="2"/>
        </w:rPr>
        <w:t>保护物种</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评价区内未发现国家级重点保护动物，同时评价区的相关资料也未记载相关国家级重点保护动物。</w:t>
      </w:r>
    </w:p>
    <w:p w:rsidR="00E67813" w:rsidRPr="00D630D1" w:rsidRDefault="00E67813" w:rsidP="00E67813">
      <w:pPr>
        <w:topLinePunct w:val="0"/>
        <w:adjustRightInd/>
        <w:spacing w:line="480" w:lineRule="exact"/>
        <w:ind w:firstLine="482"/>
        <w:rPr>
          <w:rFonts w:ascii="Times New Roman" w:cs="Times New Roman"/>
          <w:b/>
          <w:bCs/>
          <w:kern w:val="2"/>
        </w:rPr>
      </w:pPr>
      <w:r w:rsidRPr="00D630D1">
        <w:rPr>
          <w:rFonts w:ascii="Times New Roman" w:cs="Times New Roman" w:hint="eastAsia"/>
          <w:b/>
          <w:bCs/>
          <w:kern w:val="2"/>
        </w:rPr>
        <w:t>B</w:t>
      </w:r>
      <w:r w:rsidRPr="00D630D1">
        <w:rPr>
          <w:rFonts w:ascii="Times New Roman" w:cs="Times New Roman" w:hint="eastAsia"/>
          <w:b/>
          <w:bCs/>
          <w:kern w:val="2"/>
        </w:rPr>
        <w:t>、</w:t>
      </w:r>
      <w:r w:rsidRPr="00D630D1">
        <w:rPr>
          <w:rFonts w:ascii="Times New Roman" w:cs="Times New Roman"/>
          <w:b/>
          <w:bCs/>
          <w:kern w:val="2"/>
        </w:rPr>
        <w:t>鸟类的组成及分布</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根据文献查阅及现场调研，评价范围内共有鸟类</w:t>
      </w:r>
      <w:r w:rsidRPr="00D630D1">
        <w:rPr>
          <w:rFonts w:ascii="Times New Roman" w:cs="Times New Roman"/>
          <w:kern w:val="2"/>
        </w:rPr>
        <w:t>39</w:t>
      </w:r>
      <w:r w:rsidRPr="00D630D1">
        <w:rPr>
          <w:rFonts w:ascii="Times New Roman" w:cs="Times New Roman"/>
          <w:kern w:val="2"/>
        </w:rPr>
        <w:t>种，隶</w:t>
      </w:r>
      <w:r w:rsidRPr="00D630D1">
        <w:rPr>
          <w:rFonts w:ascii="Times New Roman" w:cs="Times New Roman"/>
          <w:kern w:val="2"/>
        </w:rPr>
        <w:t>11</w:t>
      </w:r>
      <w:r w:rsidRPr="00D630D1">
        <w:rPr>
          <w:rFonts w:ascii="Times New Roman" w:cs="Times New Roman"/>
          <w:kern w:val="2"/>
        </w:rPr>
        <w:t>目</w:t>
      </w:r>
      <w:r w:rsidRPr="00D630D1">
        <w:rPr>
          <w:rFonts w:ascii="Times New Roman" w:cs="Times New Roman"/>
          <w:kern w:val="2"/>
        </w:rPr>
        <w:t>21</w:t>
      </w:r>
      <w:r w:rsidRPr="00D630D1">
        <w:rPr>
          <w:rFonts w:ascii="Times New Roman" w:cs="Times New Roman"/>
          <w:kern w:val="2"/>
        </w:rPr>
        <w:t>科</w:t>
      </w:r>
      <w:r w:rsidRPr="00D630D1">
        <w:rPr>
          <w:rFonts w:ascii="Times New Roman" w:cs="Times New Roman"/>
          <w:kern w:val="2"/>
        </w:rPr>
        <w:t>34</w:t>
      </w:r>
      <w:r w:rsidRPr="00D630D1">
        <w:rPr>
          <w:rFonts w:ascii="Times New Roman" w:cs="Times New Roman"/>
          <w:kern w:val="2"/>
        </w:rPr>
        <w:t>属。其中，从类群构成看，雀形目鸟类</w:t>
      </w:r>
      <w:r w:rsidRPr="00D630D1">
        <w:rPr>
          <w:rFonts w:ascii="Times New Roman" w:cs="Times New Roman"/>
          <w:kern w:val="2"/>
        </w:rPr>
        <w:t>17</w:t>
      </w:r>
      <w:r w:rsidRPr="00D630D1">
        <w:rPr>
          <w:rFonts w:ascii="Times New Roman" w:cs="Times New Roman"/>
          <w:kern w:val="2"/>
        </w:rPr>
        <w:t>种，占评价区鸟类总种数的</w:t>
      </w:r>
      <w:r w:rsidRPr="00D630D1">
        <w:rPr>
          <w:rFonts w:ascii="Times New Roman" w:cs="Times New Roman"/>
          <w:kern w:val="2"/>
        </w:rPr>
        <w:t>43.59%</w:t>
      </w:r>
      <w:r w:rsidRPr="00D630D1">
        <w:rPr>
          <w:rFonts w:ascii="Times New Roman" w:cs="Times New Roman"/>
          <w:kern w:val="2"/>
        </w:rPr>
        <w:t>。</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1</w:t>
      </w:r>
      <w:r w:rsidRPr="00D630D1">
        <w:rPr>
          <w:rFonts w:ascii="Times New Roman" w:cs="Times New Roman" w:hint="eastAsia"/>
          <w:kern w:val="2"/>
        </w:rPr>
        <w:t>）</w:t>
      </w:r>
      <w:r w:rsidRPr="00D630D1">
        <w:rPr>
          <w:rFonts w:ascii="Times New Roman" w:cs="Times New Roman"/>
          <w:kern w:val="2"/>
        </w:rPr>
        <w:t>区系分析</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评价区内鸟类中属古北界的有</w:t>
      </w:r>
      <w:r w:rsidRPr="00D630D1">
        <w:rPr>
          <w:rFonts w:ascii="Times New Roman" w:cs="Times New Roman"/>
          <w:kern w:val="2"/>
        </w:rPr>
        <w:t>11</w:t>
      </w:r>
      <w:r w:rsidRPr="00D630D1">
        <w:rPr>
          <w:rFonts w:ascii="Times New Roman" w:cs="Times New Roman"/>
          <w:kern w:val="2"/>
        </w:rPr>
        <w:t>种，占评价区内鸟类总数的</w:t>
      </w:r>
      <w:r w:rsidRPr="00D630D1">
        <w:rPr>
          <w:rFonts w:ascii="Times New Roman" w:cs="Times New Roman"/>
          <w:kern w:val="2"/>
        </w:rPr>
        <w:t>28.21%</w:t>
      </w:r>
      <w:r w:rsidRPr="00D630D1">
        <w:rPr>
          <w:rFonts w:ascii="Times New Roman" w:cs="Times New Roman"/>
          <w:kern w:val="2"/>
        </w:rPr>
        <w:t>；属东洋</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界的有</w:t>
      </w:r>
      <w:r w:rsidRPr="00D630D1">
        <w:rPr>
          <w:rFonts w:ascii="Times New Roman" w:cs="Times New Roman"/>
          <w:kern w:val="2"/>
        </w:rPr>
        <w:t>9</w:t>
      </w:r>
      <w:r w:rsidRPr="00D630D1">
        <w:rPr>
          <w:rFonts w:ascii="Times New Roman" w:cs="Times New Roman"/>
          <w:kern w:val="2"/>
        </w:rPr>
        <w:t>种，占评价区内鸟类总数的</w:t>
      </w:r>
      <w:r w:rsidRPr="00D630D1">
        <w:rPr>
          <w:rFonts w:ascii="Times New Roman" w:cs="Times New Roman"/>
          <w:kern w:val="2"/>
        </w:rPr>
        <w:t>23.08%</w:t>
      </w:r>
      <w:r w:rsidRPr="00D630D1">
        <w:rPr>
          <w:rFonts w:ascii="Times New Roman" w:cs="Times New Roman"/>
          <w:kern w:val="2"/>
        </w:rPr>
        <w:t>；属广布种的有</w:t>
      </w:r>
      <w:r w:rsidRPr="00D630D1">
        <w:rPr>
          <w:rFonts w:ascii="Times New Roman" w:cs="Times New Roman"/>
          <w:kern w:val="2"/>
        </w:rPr>
        <w:t>19</w:t>
      </w:r>
      <w:r w:rsidRPr="00D630D1">
        <w:rPr>
          <w:rFonts w:ascii="Times New Roman" w:cs="Times New Roman"/>
          <w:kern w:val="2"/>
        </w:rPr>
        <w:t>种，占评价区内鸟类总数的</w:t>
      </w:r>
      <w:r w:rsidRPr="00D630D1">
        <w:rPr>
          <w:rFonts w:ascii="Times New Roman" w:cs="Times New Roman"/>
          <w:kern w:val="2"/>
        </w:rPr>
        <w:t>48.72%</w:t>
      </w:r>
      <w:r w:rsidRPr="00D630D1">
        <w:rPr>
          <w:rFonts w:ascii="Times New Roman" w:cs="Times New Roman"/>
          <w:kern w:val="2"/>
        </w:rPr>
        <w:t>。调查评价区内鸟类以广布种占优势。</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2</w:t>
      </w:r>
      <w:r w:rsidRPr="00D630D1">
        <w:rPr>
          <w:rFonts w:ascii="Times New Roman" w:cs="Times New Roman" w:hint="eastAsia"/>
          <w:kern w:val="2"/>
        </w:rPr>
        <w:t>）</w:t>
      </w:r>
      <w:r w:rsidRPr="00D630D1">
        <w:rPr>
          <w:rFonts w:ascii="Times New Roman" w:cs="Times New Roman"/>
          <w:kern w:val="2"/>
        </w:rPr>
        <w:t>居留类型</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评价区内有留鸟</w:t>
      </w:r>
      <w:r w:rsidRPr="00D630D1">
        <w:rPr>
          <w:rFonts w:ascii="Times New Roman" w:cs="Times New Roman"/>
          <w:kern w:val="2"/>
        </w:rPr>
        <w:t>24</w:t>
      </w:r>
      <w:r w:rsidRPr="00D630D1">
        <w:rPr>
          <w:rFonts w:ascii="Times New Roman" w:cs="Times New Roman"/>
          <w:kern w:val="2"/>
        </w:rPr>
        <w:t>种，占鸟类总数的</w:t>
      </w:r>
      <w:r w:rsidRPr="00D630D1">
        <w:rPr>
          <w:rFonts w:ascii="Times New Roman" w:cs="Times New Roman"/>
          <w:kern w:val="2"/>
        </w:rPr>
        <w:t>61.54%</w:t>
      </w:r>
      <w:r w:rsidRPr="00D630D1">
        <w:rPr>
          <w:rFonts w:ascii="Times New Roman" w:cs="Times New Roman"/>
          <w:kern w:val="2"/>
        </w:rPr>
        <w:t>；夏候鸟</w:t>
      </w:r>
      <w:r w:rsidRPr="00D630D1">
        <w:rPr>
          <w:rFonts w:ascii="Times New Roman" w:cs="Times New Roman"/>
          <w:kern w:val="2"/>
        </w:rPr>
        <w:t>13</w:t>
      </w:r>
      <w:r w:rsidRPr="00D630D1">
        <w:rPr>
          <w:rFonts w:ascii="Times New Roman" w:cs="Times New Roman"/>
          <w:kern w:val="2"/>
        </w:rPr>
        <w:t>种，约占</w:t>
      </w:r>
      <w:r w:rsidRPr="00D630D1">
        <w:rPr>
          <w:rFonts w:ascii="Times New Roman" w:cs="Times New Roman"/>
          <w:kern w:val="2"/>
        </w:rPr>
        <w:t>33.33%</w:t>
      </w:r>
      <w:r w:rsidRPr="00D630D1">
        <w:rPr>
          <w:rFonts w:ascii="Times New Roman" w:cs="Times New Roman"/>
          <w:kern w:val="2"/>
        </w:rPr>
        <w:t>；</w:t>
      </w:r>
      <w:r w:rsidRPr="00D630D1">
        <w:rPr>
          <w:rFonts w:ascii="Times New Roman" w:cs="Times New Roman"/>
          <w:kern w:val="2"/>
        </w:rPr>
        <w:lastRenderedPageBreak/>
        <w:t>冬候鸟</w:t>
      </w:r>
      <w:r w:rsidRPr="00D630D1">
        <w:rPr>
          <w:rFonts w:ascii="Times New Roman" w:cs="Times New Roman"/>
          <w:kern w:val="2"/>
        </w:rPr>
        <w:t>1</w:t>
      </w:r>
      <w:r w:rsidRPr="00D630D1">
        <w:rPr>
          <w:rFonts w:ascii="Times New Roman" w:cs="Times New Roman"/>
          <w:kern w:val="2"/>
        </w:rPr>
        <w:t>种，各占</w:t>
      </w:r>
      <w:r w:rsidRPr="00D630D1">
        <w:rPr>
          <w:rFonts w:ascii="Times New Roman" w:cs="Times New Roman"/>
          <w:kern w:val="2"/>
        </w:rPr>
        <w:t>2.56%</w:t>
      </w:r>
      <w:r w:rsidRPr="00D630D1">
        <w:rPr>
          <w:rFonts w:ascii="Times New Roman" w:cs="Times New Roman"/>
          <w:kern w:val="2"/>
        </w:rPr>
        <w:t>。调查评价区内鸟类以留鸟为主。</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3</w:t>
      </w:r>
      <w:r w:rsidRPr="00D630D1">
        <w:rPr>
          <w:rFonts w:ascii="Times New Roman" w:cs="Times New Roman" w:hint="eastAsia"/>
          <w:kern w:val="2"/>
        </w:rPr>
        <w:t>）</w:t>
      </w:r>
      <w:r w:rsidRPr="00D630D1">
        <w:rPr>
          <w:rFonts w:ascii="Times New Roman" w:cs="Times New Roman"/>
          <w:kern w:val="2"/>
        </w:rPr>
        <w:t>生态分布</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根据评价区植被分布的特点，将评价区鸟类分布的生境划分为以下几种类型：</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溪流区鸟类：该区域的生境类型主要包括水域、草丛、灌丛等基本类型，分布海拔相对较低，活动于其中的鸟类主要包括：鹳形目的种类。该区的优势种类是：白鹭、赤麻鸭等。</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森林区鸟类：森林环境在该区域较广泛。生活于该区的鸟类较多，主要为雉科、鸦科、雀科等。优势种类有雉鸡、山斑鸠、大杜鹃、树麻雀、噪鹃等。</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草灌丛、农区鸟类：该类生境在评价区内分布较狭窄。该区段生活的鸟类主要是鸡形目及雀形目的部分鸟类。其中的优势种类主要有家燕、毛脚燕、普通翠鸟等。</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4</w:t>
      </w:r>
      <w:r w:rsidRPr="00D630D1">
        <w:rPr>
          <w:rFonts w:ascii="Times New Roman" w:cs="Times New Roman" w:hint="eastAsia"/>
          <w:kern w:val="2"/>
        </w:rPr>
        <w:t>）</w:t>
      </w:r>
      <w:r w:rsidRPr="00D630D1">
        <w:rPr>
          <w:rFonts w:ascii="Times New Roman" w:cs="Times New Roman"/>
          <w:kern w:val="2"/>
        </w:rPr>
        <w:t>保护物种</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据调查和访问，评价区内有</w:t>
      </w:r>
      <w:r w:rsidRPr="00D630D1">
        <w:rPr>
          <w:rFonts w:ascii="Times New Roman" w:cs="Times New Roman"/>
          <w:kern w:val="2"/>
        </w:rPr>
        <w:t>2</w:t>
      </w:r>
      <w:r w:rsidRPr="00D630D1">
        <w:rPr>
          <w:rFonts w:ascii="Times New Roman" w:cs="Times New Roman"/>
          <w:kern w:val="2"/>
        </w:rPr>
        <w:t>种国家</w:t>
      </w:r>
      <w:r w:rsidRPr="00D630D1">
        <w:rPr>
          <w:rFonts w:ascii="Times New Roman" w:cs="Times New Roman"/>
          <w:kern w:val="2"/>
        </w:rPr>
        <w:t>Ⅱ</w:t>
      </w:r>
      <w:r w:rsidRPr="00D630D1">
        <w:rPr>
          <w:rFonts w:ascii="Times New Roman" w:cs="Times New Roman"/>
          <w:kern w:val="2"/>
        </w:rPr>
        <w:t>级重点保护鸟类，为雀鹰、画眉，偶见于评价区内的针叶林、阔叶林林。由于评价区人类活动较为频繁，适宜的栖息地相对比较少，因此主要为过境取食及活动</w:t>
      </w:r>
      <w:r w:rsidRPr="00D630D1">
        <w:rPr>
          <w:rFonts w:ascii="Times New Roman" w:cs="Times New Roman" w:hint="eastAsia"/>
          <w:kern w:val="2"/>
        </w:rPr>
        <w:t>，并无栖息地</w:t>
      </w:r>
      <w:r w:rsidRPr="00D630D1">
        <w:rPr>
          <w:rFonts w:ascii="Times New Roman" w:cs="Times New Roman"/>
          <w:kern w:val="2"/>
        </w:rPr>
        <w:t>。</w:t>
      </w:r>
    </w:p>
    <w:p w:rsidR="00E67813" w:rsidRPr="00D630D1" w:rsidRDefault="00E67813" w:rsidP="00E67813">
      <w:pPr>
        <w:topLinePunct w:val="0"/>
        <w:adjustRightInd/>
        <w:spacing w:line="480" w:lineRule="exact"/>
        <w:ind w:firstLine="482"/>
        <w:rPr>
          <w:rFonts w:ascii="Times New Roman" w:cs="Times New Roman"/>
          <w:b/>
          <w:bCs/>
          <w:kern w:val="2"/>
        </w:rPr>
      </w:pPr>
      <w:r w:rsidRPr="00D630D1">
        <w:rPr>
          <w:rFonts w:ascii="Times New Roman" w:cs="Times New Roman" w:hint="eastAsia"/>
          <w:b/>
          <w:bCs/>
          <w:kern w:val="2"/>
        </w:rPr>
        <w:t>C</w:t>
      </w:r>
      <w:r w:rsidRPr="00D630D1">
        <w:rPr>
          <w:rFonts w:ascii="Times New Roman" w:cs="Times New Roman" w:hint="eastAsia"/>
          <w:b/>
          <w:bCs/>
          <w:kern w:val="2"/>
        </w:rPr>
        <w:t>、</w:t>
      </w:r>
      <w:r w:rsidRPr="00D630D1">
        <w:rPr>
          <w:rFonts w:ascii="Times New Roman" w:cs="Times New Roman"/>
          <w:b/>
          <w:bCs/>
          <w:kern w:val="2"/>
        </w:rPr>
        <w:t>爬行动物的组成及分布</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根据野外调查和相关资料，确认评价区域内共分布有爬行动物</w:t>
      </w:r>
      <w:r w:rsidRPr="00D630D1">
        <w:rPr>
          <w:rFonts w:ascii="Times New Roman" w:cs="Times New Roman"/>
          <w:kern w:val="2"/>
        </w:rPr>
        <w:t>6</w:t>
      </w:r>
      <w:r w:rsidRPr="00D630D1">
        <w:rPr>
          <w:rFonts w:ascii="Times New Roman" w:cs="Times New Roman"/>
          <w:kern w:val="2"/>
        </w:rPr>
        <w:t>种，分属</w:t>
      </w:r>
      <w:r w:rsidRPr="00D630D1">
        <w:rPr>
          <w:rFonts w:ascii="Times New Roman" w:cs="Times New Roman"/>
          <w:kern w:val="2"/>
        </w:rPr>
        <w:t>1</w:t>
      </w:r>
      <w:r w:rsidRPr="00D630D1">
        <w:rPr>
          <w:rFonts w:ascii="Times New Roman" w:cs="Times New Roman"/>
          <w:kern w:val="2"/>
        </w:rPr>
        <w:t>目</w:t>
      </w:r>
      <w:r w:rsidRPr="00D630D1">
        <w:rPr>
          <w:rFonts w:ascii="Times New Roman" w:cs="Times New Roman"/>
          <w:kern w:val="2"/>
        </w:rPr>
        <w:t>2</w:t>
      </w:r>
      <w:r w:rsidRPr="00D630D1">
        <w:rPr>
          <w:rFonts w:ascii="Times New Roman" w:cs="Times New Roman"/>
          <w:kern w:val="2"/>
        </w:rPr>
        <w:t>科，分别为游蛇科</w:t>
      </w:r>
      <w:r w:rsidRPr="00D630D1">
        <w:rPr>
          <w:rFonts w:ascii="Times New Roman" w:cs="Times New Roman"/>
          <w:kern w:val="2"/>
        </w:rPr>
        <w:t>5</w:t>
      </w:r>
      <w:r w:rsidRPr="00D630D1">
        <w:rPr>
          <w:rFonts w:ascii="Times New Roman" w:cs="Times New Roman"/>
          <w:kern w:val="2"/>
        </w:rPr>
        <w:t>属</w:t>
      </w:r>
      <w:r w:rsidRPr="00D630D1">
        <w:rPr>
          <w:rFonts w:ascii="Times New Roman" w:cs="Times New Roman"/>
          <w:kern w:val="2"/>
        </w:rPr>
        <w:t>5</w:t>
      </w:r>
      <w:r w:rsidRPr="00D630D1">
        <w:rPr>
          <w:rFonts w:ascii="Times New Roman" w:cs="Times New Roman"/>
          <w:kern w:val="2"/>
        </w:rPr>
        <w:t>种，蝰蛇科</w:t>
      </w:r>
      <w:r w:rsidRPr="00D630D1">
        <w:rPr>
          <w:rFonts w:ascii="Times New Roman" w:cs="Times New Roman"/>
          <w:kern w:val="2"/>
        </w:rPr>
        <w:t>1</w:t>
      </w:r>
      <w:r w:rsidRPr="00D630D1">
        <w:rPr>
          <w:rFonts w:ascii="Times New Roman" w:cs="Times New Roman"/>
          <w:kern w:val="2"/>
        </w:rPr>
        <w:t>属</w:t>
      </w:r>
      <w:r w:rsidRPr="00D630D1">
        <w:rPr>
          <w:rFonts w:ascii="Times New Roman" w:cs="Times New Roman"/>
          <w:kern w:val="2"/>
        </w:rPr>
        <w:t>1</w:t>
      </w:r>
      <w:r w:rsidRPr="00D630D1">
        <w:rPr>
          <w:rFonts w:ascii="Times New Roman" w:cs="Times New Roman"/>
          <w:kern w:val="2"/>
        </w:rPr>
        <w:t>种。评价范围内生境较广泛，主要有翠青蛇、赤链蛇、乌梢蛇、王锦蛇等种类。从物种的目级组成看，评价区的爬行类均为有鳞目蛇亚目的种类。从科级组成看，评价区爬行类以游蛇科种类占优势。</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1</w:t>
      </w:r>
      <w:r w:rsidRPr="00D630D1">
        <w:rPr>
          <w:rFonts w:ascii="Times New Roman" w:cs="Times New Roman" w:hint="eastAsia"/>
          <w:kern w:val="2"/>
        </w:rPr>
        <w:t>）</w:t>
      </w:r>
      <w:r w:rsidRPr="00D630D1">
        <w:rPr>
          <w:rFonts w:ascii="Times New Roman" w:cs="Times New Roman"/>
          <w:kern w:val="2"/>
        </w:rPr>
        <w:t>区系分布</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评价范围分布的</w:t>
      </w:r>
      <w:r w:rsidRPr="00D630D1">
        <w:rPr>
          <w:rFonts w:ascii="Times New Roman" w:cs="Times New Roman"/>
          <w:kern w:val="2"/>
        </w:rPr>
        <w:t>6</w:t>
      </w:r>
      <w:r w:rsidRPr="00D630D1">
        <w:rPr>
          <w:rFonts w:ascii="Times New Roman" w:cs="Times New Roman"/>
          <w:kern w:val="2"/>
        </w:rPr>
        <w:t>种爬行动物东洋界物种有</w:t>
      </w:r>
      <w:r w:rsidRPr="00D630D1">
        <w:rPr>
          <w:rFonts w:ascii="Times New Roman" w:cs="Times New Roman"/>
          <w:kern w:val="2"/>
        </w:rPr>
        <w:t>3</w:t>
      </w:r>
      <w:r w:rsidRPr="00D630D1">
        <w:rPr>
          <w:rFonts w:ascii="Times New Roman" w:cs="Times New Roman"/>
          <w:kern w:val="2"/>
        </w:rPr>
        <w:t>种，古北种</w:t>
      </w:r>
      <w:r w:rsidRPr="00D630D1">
        <w:rPr>
          <w:rFonts w:ascii="Times New Roman" w:cs="Times New Roman"/>
          <w:kern w:val="2"/>
        </w:rPr>
        <w:t>1</w:t>
      </w:r>
      <w:r w:rsidRPr="00D630D1">
        <w:rPr>
          <w:rFonts w:ascii="Times New Roman" w:cs="Times New Roman"/>
          <w:kern w:val="2"/>
        </w:rPr>
        <w:t>种，广布种</w:t>
      </w:r>
      <w:r w:rsidRPr="00D630D1">
        <w:rPr>
          <w:rFonts w:ascii="Times New Roman" w:cs="Times New Roman"/>
          <w:kern w:val="2"/>
        </w:rPr>
        <w:t>2</w:t>
      </w:r>
      <w:r w:rsidRPr="00D630D1">
        <w:rPr>
          <w:rFonts w:ascii="Times New Roman" w:cs="Times New Roman"/>
          <w:kern w:val="2"/>
        </w:rPr>
        <w:t>种。</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2</w:t>
      </w:r>
      <w:r w:rsidRPr="00D630D1">
        <w:rPr>
          <w:rFonts w:ascii="Times New Roman" w:cs="Times New Roman" w:hint="eastAsia"/>
          <w:kern w:val="2"/>
        </w:rPr>
        <w:t>）</w:t>
      </w:r>
      <w:r w:rsidRPr="00D630D1">
        <w:rPr>
          <w:rFonts w:ascii="Times New Roman" w:cs="Times New Roman"/>
          <w:kern w:val="2"/>
        </w:rPr>
        <w:t>生态分布</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评价区的爬行动物大多栖息在灌草丛中。</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hint="eastAsia"/>
          <w:kern w:val="2"/>
        </w:rPr>
        <w:lastRenderedPageBreak/>
        <w:t>（</w:t>
      </w:r>
      <w:r w:rsidRPr="00D630D1">
        <w:rPr>
          <w:rFonts w:ascii="Times New Roman" w:cs="Times New Roman" w:hint="eastAsia"/>
          <w:kern w:val="2"/>
        </w:rPr>
        <w:t>3</w:t>
      </w:r>
      <w:r w:rsidRPr="00D630D1">
        <w:rPr>
          <w:rFonts w:ascii="Times New Roman" w:cs="Times New Roman" w:hint="eastAsia"/>
          <w:kern w:val="2"/>
        </w:rPr>
        <w:t>）</w:t>
      </w:r>
      <w:r w:rsidRPr="00D630D1">
        <w:rPr>
          <w:rFonts w:ascii="Times New Roman" w:cs="Times New Roman"/>
          <w:kern w:val="2"/>
        </w:rPr>
        <w:t>保护物种</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调查中未发现属于国家级保护和四川省级保护的爬行类物种。</w:t>
      </w:r>
    </w:p>
    <w:p w:rsidR="00E67813" w:rsidRPr="00D630D1" w:rsidRDefault="00E67813" w:rsidP="00E67813">
      <w:pPr>
        <w:topLinePunct w:val="0"/>
        <w:adjustRightInd/>
        <w:spacing w:line="480" w:lineRule="exact"/>
        <w:ind w:firstLine="482"/>
        <w:rPr>
          <w:rFonts w:ascii="Times New Roman" w:cs="Times New Roman"/>
          <w:b/>
          <w:bCs/>
          <w:kern w:val="2"/>
        </w:rPr>
      </w:pPr>
      <w:r w:rsidRPr="00D630D1">
        <w:rPr>
          <w:rFonts w:ascii="Times New Roman" w:cs="Times New Roman" w:hint="eastAsia"/>
          <w:b/>
          <w:bCs/>
          <w:kern w:val="2"/>
        </w:rPr>
        <w:t>D</w:t>
      </w:r>
      <w:r w:rsidRPr="00D630D1">
        <w:rPr>
          <w:rFonts w:ascii="Times New Roman" w:cs="Times New Roman" w:hint="eastAsia"/>
          <w:b/>
          <w:bCs/>
          <w:kern w:val="2"/>
        </w:rPr>
        <w:t>、</w:t>
      </w:r>
      <w:r w:rsidRPr="00D630D1">
        <w:rPr>
          <w:rFonts w:ascii="Times New Roman" w:cs="Times New Roman"/>
          <w:b/>
          <w:bCs/>
          <w:kern w:val="2"/>
        </w:rPr>
        <w:t>两栖动物的组成及分布</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据不完全统计，评价区域内分布有两栖动物</w:t>
      </w:r>
      <w:r w:rsidRPr="00D630D1">
        <w:rPr>
          <w:rFonts w:ascii="Times New Roman" w:cs="Times New Roman"/>
          <w:kern w:val="2"/>
        </w:rPr>
        <w:t>5</w:t>
      </w:r>
      <w:r w:rsidRPr="00D630D1">
        <w:rPr>
          <w:rFonts w:ascii="Times New Roman" w:cs="Times New Roman"/>
          <w:kern w:val="2"/>
        </w:rPr>
        <w:t>种，隶属于</w:t>
      </w:r>
      <w:r w:rsidRPr="00D630D1">
        <w:rPr>
          <w:rFonts w:ascii="Times New Roman" w:cs="Times New Roman"/>
          <w:kern w:val="2"/>
        </w:rPr>
        <w:t>1</w:t>
      </w:r>
      <w:r w:rsidRPr="00D630D1">
        <w:rPr>
          <w:rFonts w:ascii="Times New Roman" w:cs="Times New Roman"/>
          <w:kern w:val="2"/>
        </w:rPr>
        <w:t>目</w:t>
      </w:r>
      <w:r w:rsidRPr="00D630D1">
        <w:rPr>
          <w:rFonts w:ascii="Times New Roman" w:cs="Times New Roman"/>
          <w:kern w:val="2"/>
        </w:rPr>
        <w:t>3</w:t>
      </w:r>
      <w:r w:rsidRPr="00D630D1">
        <w:rPr>
          <w:rFonts w:ascii="Times New Roman" w:cs="Times New Roman"/>
          <w:kern w:val="2"/>
        </w:rPr>
        <w:t>科，分别为蟾蜍科</w:t>
      </w:r>
      <w:r w:rsidRPr="00D630D1">
        <w:rPr>
          <w:rFonts w:ascii="Times New Roman" w:cs="Times New Roman"/>
          <w:kern w:val="2"/>
        </w:rPr>
        <w:t>1</w:t>
      </w:r>
      <w:r w:rsidRPr="00D630D1">
        <w:rPr>
          <w:rFonts w:ascii="Times New Roman" w:cs="Times New Roman"/>
          <w:kern w:val="2"/>
        </w:rPr>
        <w:t>属</w:t>
      </w:r>
      <w:r w:rsidRPr="00D630D1">
        <w:rPr>
          <w:rFonts w:ascii="Times New Roman" w:cs="Times New Roman"/>
          <w:kern w:val="2"/>
        </w:rPr>
        <w:t>2</w:t>
      </w:r>
      <w:r w:rsidRPr="00D630D1">
        <w:rPr>
          <w:rFonts w:ascii="Times New Roman" w:cs="Times New Roman"/>
          <w:kern w:val="2"/>
        </w:rPr>
        <w:t>种，蛙科</w:t>
      </w:r>
      <w:r w:rsidRPr="00D630D1">
        <w:rPr>
          <w:rFonts w:ascii="Times New Roman" w:cs="Times New Roman"/>
          <w:kern w:val="2"/>
        </w:rPr>
        <w:t>2</w:t>
      </w:r>
      <w:r w:rsidRPr="00D630D1">
        <w:rPr>
          <w:rFonts w:ascii="Times New Roman" w:cs="Times New Roman"/>
          <w:kern w:val="2"/>
        </w:rPr>
        <w:t>属</w:t>
      </w:r>
      <w:r w:rsidRPr="00D630D1">
        <w:rPr>
          <w:rFonts w:ascii="Times New Roman" w:cs="Times New Roman"/>
          <w:kern w:val="2"/>
        </w:rPr>
        <w:t>2</w:t>
      </w:r>
      <w:r w:rsidRPr="00D630D1">
        <w:rPr>
          <w:rFonts w:ascii="Times New Roman" w:cs="Times New Roman"/>
          <w:kern w:val="2"/>
        </w:rPr>
        <w:t>种，叉舌蛙科</w:t>
      </w:r>
      <w:r w:rsidRPr="00D630D1">
        <w:rPr>
          <w:rFonts w:ascii="Times New Roman" w:cs="Times New Roman"/>
          <w:kern w:val="2"/>
        </w:rPr>
        <w:t>1</w:t>
      </w:r>
      <w:r w:rsidRPr="00D630D1">
        <w:rPr>
          <w:rFonts w:ascii="Times New Roman" w:cs="Times New Roman"/>
          <w:kern w:val="2"/>
        </w:rPr>
        <w:t>属</w:t>
      </w:r>
      <w:r w:rsidRPr="00D630D1">
        <w:rPr>
          <w:rFonts w:ascii="Times New Roman" w:cs="Times New Roman"/>
          <w:kern w:val="2"/>
        </w:rPr>
        <w:t>1</w:t>
      </w:r>
      <w:r w:rsidRPr="00D630D1">
        <w:rPr>
          <w:rFonts w:ascii="Times New Roman" w:cs="Times New Roman"/>
          <w:kern w:val="2"/>
        </w:rPr>
        <w:t>种。</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1</w:t>
      </w:r>
      <w:r w:rsidRPr="00D630D1">
        <w:rPr>
          <w:rFonts w:ascii="Times New Roman" w:cs="Times New Roman" w:hint="eastAsia"/>
          <w:kern w:val="2"/>
        </w:rPr>
        <w:t>）</w:t>
      </w:r>
      <w:r w:rsidRPr="00D630D1">
        <w:rPr>
          <w:rFonts w:ascii="Times New Roman" w:cs="Times New Roman"/>
          <w:kern w:val="2"/>
        </w:rPr>
        <w:t>区系分析</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评价区内的两栖类以东洋界为主，仅有</w:t>
      </w:r>
      <w:r w:rsidRPr="00D630D1">
        <w:rPr>
          <w:rFonts w:ascii="Times New Roman" w:cs="Times New Roman"/>
          <w:kern w:val="2"/>
        </w:rPr>
        <w:t>1</w:t>
      </w:r>
      <w:r w:rsidRPr="00D630D1">
        <w:rPr>
          <w:rFonts w:ascii="Times New Roman" w:cs="Times New Roman"/>
          <w:kern w:val="2"/>
        </w:rPr>
        <w:t>个古北种和</w:t>
      </w:r>
      <w:r w:rsidRPr="00D630D1">
        <w:rPr>
          <w:rFonts w:ascii="Times New Roman" w:cs="Times New Roman"/>
          <w:kern w:val="2"/>
        </w:rPr>
        <w:t>1</w:t>
      </w:r>
      <w:r w:rsidRPr="00D630D1">
        <w:rPr>
          <w:rFonts w:ascii="Times New Roman" w:cs="Times New Roman"/>
          <w:kern w:val="2"/>
        </w:rPr>
        <w:t>个广布种。</w:t>
      </w:r>
    </w:p>
    <w:p w:rsidR="00E67813" w:rsidRPr="00D630D1" w:rsidRDefault="00E67813" w:rsidP="00E67813">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2</w:t>
      </w:r>
      <w:r w:rsidRPr="00D630D1">
        <w:rPr>
          <w:rFonts w:ascii="Times New Roman" w:cs="Times New Roman" w:hint="eastAsia"/>
          <w:kern w:val="2"/>
        </w:rPr>
        <w:t>）</w:t>
      </w:r>
      <w:r w:rsidRPr="00D630D1">
        <w:rPr>
          <w:rFonts w:ascii="Times New Roman" w:cs="Times New Roman"/>
          <w:kern w:val="2"/>
        </w:rPr>
        <w:t>生态分布</w:t>
      </w:r>
    </w:p>
    <w:p w:rsidR="00E67813" w:rsidRPr="00D630D1" w:rsidRDefault="00E67813" w:rsidP="00450249">
      <w:pPr>
        <w:topLinePunct w:val="0"/>
        <w:snapToGrid w:val="0"/>
        <w:ind w:firstLineChars="0" w:firstLine="482"/>
        <w:rPr>
          <w:rFonts w:ascii="Times New Roman" w:cs="Times New Roman"/>
          <w:kern w:val="2"/>
        </w:rPr>
      </w:pPr>
      <w:r w:rsidRPr="00D630D1">
        <w:rPr>
          <w:rFonts w:ascii="Times New Roman" w:cs="Times New Roman"/>
          <w:kern w:val="2"/>
        </w:rPr>
        <w:t>中华蟾蜍、黑眶蟾蜍、黑斑侧褶蛙等生活在河沟两侧或其附近环境植被较为茂密、阴湿的灌草丛区域；花臭蛙主要生活在大小溪两岸潮湿的岩石上；泽陆蛙主要在水域地区。</w:t>
      </w:r>
    </w:p>
    <w:p w:rsidR="00E67813" w:rsidRPr="00D630D1" w:rsidRDefault="00E67813" w:rsidP="00450249">
      <w:pPr>
        <w:topLinePunct w:val="0"/>
        <w:snapToGrid w:val="0"/>
        <w:ind w:firstLineChars="0" w:firstLine="482"/>
        <w:rPr>
          <w:rFonts w:ascii="Times New Roman" w:cs="Times New Roman"/>
          <w:kern w:val="2"/>
        </w:rPr>
      </w:pPr>
      <w:r w:rsidRPr="00D630D1">
        <w:rPr>
          <w:rFonts w:ascii="Times New Roman" w:cs="Times New Roman" w:hint="eastAsia"/>
          <w:kern w:val="2"/>
        </w:rPr>
        <w:t>（</w:t>
      </w:r>
      <w:r w:rsidRPr="00D630D1">
        <w:rPr>
          <w:rFonts w:ascii="Times New Roman" w:cs="Times New Roman" w:hint="eastAsia"/>
          <w:kern w:val="2"/>
        </w:rPr>
        <w:t>3</w:t>
      </w:r>
      <w:r w:rsidRPr="00D630D1">
        <w:rPr>
          <w:rFonts w:ascii="Times New Roman" w:cs="Times New Roman" w:hint="eastAsia"/>
          <w:kern w:val="2"/>
        </w:rPr>
        <w:t>）</w:t>
      </w:r>
      <w:r w:rsidRPr="00D630D1">
        <w:rPr>
          <w:rFonts w:ascii="Times New Roman" w:cs="Times New Roman"/>
          <w:kern w:val="2"/>
        </w:rPr>
        <w:t>保护物种</w:t>
      </w:r>
    </w:p>
    <w:p w:rsidR="00E67813" w:rsidRPr="00D630D1" w:rsidRDefault="00E67813" w:rsidP="00450249">
      <w:pPr>
        <w:topLinePunct w:val="0"/>
        <w:snapToGrid w:val="0"/>
        <w:ind w:firstLine="480"/>
        <w:rPr>
          <w:rFonts w:ascii="Times New Roman" w:cs="Times New Roman"/>
          <w:kern w:val="2"/>
        </w:rPr>
      </w:pPr>
      <w:r w:rsidRPr="00D630D1">
        <w:rPr>
          <w:rFonts w:ascii="Times New Roman" w:cs="Times New Roman"/>
          <w:kern w:val="2"/>
        </w:rPr>
        <w:t>调查中未发现属于国家级保护和省级保护的两栖类物种。</w:t>
      </w:r>
    </w:p>
    <w:p w:rsidR="00450249" w:rsidRPr="00D630D1" w:rsidRDefault="00450249" w:rsidP="00450249">
      <w:pPr>
        <w:pStyle w:val="3"/>
        <w:rPr>
          <w:rFonts w:eastAsia="宋体"/>
        </w:rPr>
      </w:pPr>
      <w:r w:rsidRPr="00D630D1">
        <w:rPr>
          <w:rFonts w:eastAsia="宋体"/>
        </w:rPr>
        <w:t>5.2.</w:t>
      </w:r>
      <w:r w:rsidRPr="00D630D1">
        <w:rPr>
          <w:rFonts w:eastAsia="宋体" w:hint="eastAsia"/>
        </w:rPr>
        <w:t>10</w:t>
      </w:r>
      <w:r w:rsidRPr="00D630D1">
        <w:rPr>
          <w:rFonts w:eastAsia="宋体" w:hint="eastAsia"/>
          <w:bCs/>
        </w:rPr>
        <w:t>重要物种、迁徙物种、重要生境调查</w:t>
      </w:r>
    </w:p>
    <w:p w:rsidR="00450249" w:rsidRPr="00D630D1" w:rsidRDefault="00450249" w:rsidP="00450249">
      <w:pPr>
        <w:spacing w:line="480" w:lineRule="exact"/>
        <w:ind w:firstLine="482"/>
        <w:rPr>
          <w:rFonts w:ascii="Times New Roman" w:cs="Times New Roman"/>
          <w:b/>
          <w:bCs/>
          <w:kern w:val="2"/>
        </w:rPr>
      </w:pPr>
      <w:r w:rsidRPr="00D630D1">
        <w:rPr>
          <w:rFonts w:ascii="Times New Roman" w:cs="Times New Roman"/>
          <w:b/>
          <w:bCs/>
          <w:kern w:val="2"/>
        </w:rPr>
        <w:t>1</w:t>
      </w:r>
      <w:r w:rsidRPr="00D630D1">
        <w:rPr>
          <w:rFonts w:ascii="Times New Roman" w:cs="Times New Roman"/>
          <w:b/>
          <w:bCs/>
          <w:kern w:val="2"/>
        </w:rPr>
        <w:t>、项目评价范围内重点保护野生植物和古树名木</w:t>
      </w:r>
    </w:p>
    <w:p w:rsidR="00450249" w:rsidRPr="00D630D1" w:rsidRDefault="00F575CC" w:rsidP="00450249">
      <w:pPr>
        <w:topLinePunct w:val="0"/>
        <w:adjustRightInd/>
        <w:spacing w:line="500" w:lineRule="exact"/>
        <w:ind w:left="60" w:right="100" w:firstLineChars="0" w:firstLine="482"/>
        <w:rPr>
          <w:rFonts w:hAnsi="宋体"/>
          <w:spacing w:val="-6"/>
          <w:kern w:val="2"/>
        </w:rPr>
      </w:pPr>
      <w:r w:rsidRPr="00F575CC">
        <w:rPr>
          <w:rFonts w:hAnsi="宋体"/>
          <w:spacing w:val="-6"/>
          <w:kern w:val="2"/>
        </w:rPr>
        <w:t>根据现场调查及相关文献资料查阅，本次评价范围内的林地主要为人工林，区域植物种类主要为杉木、柏木、马尾松、竹类及其他常见灌草植物和经济林木等。按照现行的《中华人民共和国野生植物保护条例（1999）》、《国家重点保护野生植物名录》(国家林业和草原局农业农村部公告2021年第15号)、《</w:t>
      </w:r>
      <w:r w:rsidRPr="00F575CC">
        <w:rPr>
          <w:rFonts w:hAnsi="宋体" w:hint="eastAsia"/>
          <w:spacing w:val="-6"/>
          <w:kern w:val="2"/>
        </w:rPr>
        <w:t>四川省</w:t>
      </w:r>
      <w:r w:rsidRPr="00F575CC">
        <w:rPr>
          <w:rFonts w:hAnsi="宋体"/>
          <w:spacing w:val="-6"/>
          <w:kern w:val="2"/>
        </w:rPr>
        <w:t>重点保护野生植物名录》、《全国古树名木普查建档技术规定（2001）》以及相关科考资料，评价区无重点保护野生植物和古树名木等重要物种分布。后续应加强</w:t>
      </w:r>
      <w:r w:rsidRPr="00F575CC">
        <w:rPr>
          <w:rFonts w:hAnsi="宋体" w:hint="eastAsia"/>
          <w:spacing w:val="-6"/>
          <w:kern w:val="2"/>
        </w:rPr>
        <w:t>评价</w:t>
      </w:r>
      <w:r w:rsidRPr="00F575CC">
        <w:rPr>
          <w:rFonts w:hAnsi="宋体"/>
          <w:spacing w:val="-6"/>
          <w:kern w:val="2"/>
        </w:rPr>
        <w:t>范围内保护植物的跟踪调查，对及时发现的</w:t>
      </w:r>
      <w:r w:rsidRPr="00F575CC">
        <w:rPr>
          <w:rFonts w:hAnsi="宋体" w:hint="eastAsia"/>
          <w:spacing w:val="-6"/>
          <w:kern w:val="2"/>
        </w:rPr>
        <w:t>重点</w:t>
      </w:r>
      <w:r w:rsidRPr="00F575CC">
        <w:rPr>
          <w:rFonts w:hAnsi="宋体"/>
          <w:spacing w:val="-6"/>
          <w:kern w:val="2"/>
        </w:rPr>
        <w:t>保护植物</w:t>
      </w:r>
      <w:r w:rsidRPr="00F575CC">
        <w:rPr>
          <w:rFonts w:hAnsi="宋体" w:hint="eastAsia"/>
          <w:spacing w:val="-6"/>
          <w:kern w:val="2"/>
        </w:rPr>
        <w:t>采取就地保护</w:t>
      </w:r>
      <w:r w:rsidRPr="00F575CC">
        <w:rPr>
          <w:rFonts w:hAnsi="宋体"/>
          <w:spacing w:val="-6"/>
          <w:kern w:val="2"/>
        </w:rPr>
        <w:t>措施</w:t>
      </w:r>
      <w:r w:rsidRPr="00F575CC">
        <w:rPr>
          <w:rFonts w:hAnsi="宋体" w:hint="eastAsia"/>
          <w:spacing w:val="-6"/>
          <w:kern w:val="2"/>
        </w:rPr>
        <w:t>，</w:t>
      </w:r>
      <w:r w:rsidRPr="00F575CC">
        <w:rPr>
          <w:rFonts w:hAnsi="宋体"/>
          <w:spacing w:val="-6"/>
          <w:kern w:val="2"/>
        </w:rPr>
        <w:t>对发现的名木古树采取挂牌保护</w:t>
      </w:r>
      <w:r w:rsidR="00450249" w:rsidRPr="00D630D1">
        <w:rPr>
          <w:rFonts w:hAnsi="宋体"/>
          <w:spacing w:val="-6"/>
          <w:kern w:val="2"/>
        </w:rPr>
        <w:t>。</w:t>
      </w:r>
    </w:p>
    <w:p w:rsidR="00450249" w:rsidRPr="00D630D1" w:rsidRDefault="00450249" w:rsidP="00450249">
      <w:pPr>
        <w:topLinePunct w:val="0"/>
        <w:adjustRightInd/>
        <w:spacing w:line="480" w:lineRule="exact"/>
        <w:ind w:firstLine="482"/>
        <w:rPr>
          <w:rFonts w:ascii="Times New Roman" w:cs="Times New Roman"/>
          <w:b/>
          <w:bCs/>
          <w:kern w:val="2"/>
        </w:rPr>
      </w:pPr>
      <w:r w:rsidRPr="00D630D1">
        <w:rPr>
          <w:rFonts w:ascii="Times New Roman" w:cs="Times New Roman"/>
          <w:b/>
          <w:bCs/>
          <w:kern w:val="2"/>
        </w:rPr>
        <w:t>2</w:t>
      </w:r>
      <w:r w:rsidRPr="00D630D1">
        <w:rPr>
          <w:rFonts w:ascii="Times New Roman" w:cs="Times New Roman"/>
          <w:b/>
          <w:bCs/>
          <w:kern w:val="2"/>
        </w:rPr>
        <w:t>、项目评价范围内重点保护野生动物</w:t>
      </w:r>
    </w:p>
    <w:p w:rsidR="00450249" w:rsidRPr="00D630D1" w:rsidRDefault="00F575CC" w:rsidP="00450249">
      <w:pPr>
        <w:topLinePunct w:val="0"/>
        <w:snapToGrid w:val="0"/>
        <w:ind w:firstLineChars="0" w:firstLine="482"/>
        <w:rPr>
          <w:rFonts w:ascii="Times New Roman" w:cs="Times New Roman"/>
          <w:kern w:val="2"/>
        </w:rPr>
      </w:pPr>
      <w:r w:rsidRPr="00F575CC">
        <w:rPr>
          <w:rFonts w:ascii="Times New Roman" w:cs="Times New Roman"/>
          <w:kern w:val="2"/>
        </w:rPr>
        <w:t>根据实际调查及现场复核，参照《国家重点保护野生动物名录</w:t>
      </w:r>
      <w:r w:rsidRPr="00F575CC">
        <w:rPr>
          <w:rFonts w:ascii="Times New Roman" w:cs="Times New Roman"/>
          <w:kern w:val="2"/>
        </w:rPr>
        <w:t>2021</w:t>
      </w:r>
      <w:r w:rsidRPr="00F575CC">
        <w:rPr>
          <w:rFonts w:ascii="Times New Roman" w:cs="Times New Roman"/>
          <w:kern w:val="2"/>
        </w:rPr>
        <w:t>》、《</w:t>
      </w:r>
      <w:r w:rsidRPr="00F575CC">
        <w:rPr>
          <w:rFonts w:ascii="Times New Roman" w:cs="Times New Roman" w:hint="eastAsia"/>
          <w:kern w:val="2"/>
        </w:rPr>
        <w:t>四川省</w:t>
      </w:r>
      <w:r w:rsidRPr="00F575CC">
        <w:rPr>
          <w:rFonts w:ascii="Times New Roman" w:cs="Times New Roman"/>
          <w:kern w:val="2"/>
        </w:rPr>
        <w:t>重点保护野生动物名录》</w:t>
      </w:r>
      <w:r w:rsidRPr="00F575CC">
        <w:rPr>
          <w:rFonts w:ascii="Times New Roman" w:cs="Times New Roman" w:hint="eastAsia"/>
          <w:kern w:val="2"/>
        </w:rPr>
        <w:t>、</w:t>
      </w:r>
      <w:r w:rsidRPr="00F575CC">
        <w:rPr>
          <w:rFonts w:ascii="Times New Roman" w:cs="Times New Roman"/>
          <w:kern w:val="2"/>
        </w:rPr>
        <w:t>《四川省新增重点保护野生动物名录》及相关科考资料，在项目评价范围，无迁徙物种和重要生境分布，在评价区上空偶尔出现的保护动物有</w:t>
      </w:r>
      <w:r w:rsidRPr="00F575CC">
        <w:rPr>
          <w:rFonts w:ascii="Times New Roman" w:cs="Times New Roman" w:hint="eastAsia"/>
          <w:kern w:val="2"/>
        </w:rPr>
        <w:t>2</w:t>
      </w:r>
      <w:r w:rsidRPr="00F575CC">
        <w:rPr>
          <w:rFonts w:ascii="Times New Roman" w:cs="Times New Roman"/>
          <w:kern w:val="2"/>
        </w:rPr>
        <w:t>种，</w:t>
      </w:r>
      <w:r w:rsidRPr="00F575CC">
        <w:rPr>
          <w:rFonts w:ascii="Times New Roman" w:cs="Times New Roman" w:hint="eastAsia"/>
          <w:kern w:val="2"/>
        </w:rPr>
        <w:t>为</w:t>
      </w:r>
      <w:r w:rsidRPr="00F575CC">
        <w:rPr>
          <w:rFonts w:ascii="Times New Roman" w:cs="Times New Roman"/>
          <w:kern w:val="2"/>
        </w:rPr>
        <w:t>国家二级保护鸟类雀鹰、画眉，偶见于评价区内的针叶林、</w:t>
      </w:r>
      <w:r w:rsidRPr="00F575CC">
        <w:rPr>
          <w:rFonts w:ascii="Times New Roman" w:cs="Times New Roman"/>
          <w:kern w:val="2"/>
        </w:rPr>
        <w:lastRenderedPageBreak/>
        <w:t>阔叶林林。由于评价区人类活动较为频繁，适宜的栖息地相对比较少，因此主要为过境取食及活动</w:t>
      </w:r>
      <w:r w:rsidRPr="00F575CC">
        <w:rPr>
          <w:rFonts w:ascii="Times New Roman" w:cs="Times New Roman" w:hint="eastAsia"/>
          <w:kern w:val="2"/>
        </w:rPr>
        <w:t>，评价区</w:t>
      </w:r>
      <w:r w:rsidRPr="00F575CC">
        <w:rPr>
          <w:rFonts w:ascii="Times New Roman" w:cs="Times New Roman"/>
          <w:kern w:val="2"/>
        </w:rPr>
        <w:t>未分布上述重点保护野生动物栖息地，无分布生境</w:t>
      </w:r>
      <w:r w:rsidR="00450249" w:rsidRPr="00D630D1">
        <w:rPr>
          <w:rFonts w:ascii="Times New Roman" w:cs="Times New Roman"/>
          <w:kern w:val="2"/>
        </w:rPr>
        <w:t>。</w:t>
      </w:r>
    </w:p>
    <w:p w:rsidR="00450249" w:rsidRPr="00D630D1" w:rsidRDefault="00450249" w:rsidP="00450249">
      <w:pPr>
        <w:topLinePunct w:val="0"/>
        <w:snapToGrid w:val="0"/>
        <w:ind w:firstLine="480"/>
        <w:rPr>
          <w:rFonts w:ascii="Times New Roman" w:cs="Times New Roman"/>
          <w:kern w:val="2"/>
        </w:rPr>
      </w:pPr>
      <w:r w:rsidRPr="00D630D1">
        <w:rPr>
          <w:rFonts w:ascii="Times New Roman" w:cs="Times New Roman" w:hint="eastAsia"/>
          <w:kern w:val="2"/>
        </w:rPr>
        <w:t>上述</w:t>
      </w:r>
      <w:r w:rsidRPr="00D630D1">
        <w:rPr>
          <w:rFonts w:ascii="Times New Roman" w:cs="Times New Roman"/>
          <w:kern w:val="2"/>
        </w:rPr>
        <w:t>国家重点保护动物的栖息地、居留型及数量情况见表</w:t>
      </w:r>
      <w:r w:rsidRPr="00D630D1">
        <w:rPr>
          <w:rFonts w:ascii="Times New Roman" w:cs="Times New Roman" w:hint="eastAsia"/>
          <w:kern w:val="2"/>
        </w:rPr>
        <w:t>5</w:t>
      </w:r>
      <w:r w:rsidRPr="00D630D1">
        <w:rPr>
          <w:rFonts w:ascii="Times New Roman" w:cs="Times New Roman"/>
          <w:kern w:val="2"/>
        </w:rPr>
        <w:t>.</w:t>
      </w:r>
      <w:r w:rsidRPr="00D630D1">
        <w:rPr>
          <w:rFonts w:ascii="Times New Roman" w:cs="Times New Roman" w:hint="eastAsia"/>
          <w:kern w:val="2"/>
        </w:rPr>
        <w:t>2</w:t>
      </w:r>
      <w:r w:rsidRPr="00D630D1">
        <w:rPr>
          <w:rFonts w:ascii="Times New Roman" w:cs="Times New Roman"/>
          <w:kern w:val="2"/>
        </w:rPr>
        <w:t>-</w:t>
      </w:r>
      <w:r w:rsidRPr="00D630D1">
        <w:rPr>
          <w:rFonts w:ascii="Times New Roman" w:cs="Times New Roman" w:hint="eastAsia"/>
          <w:kern w:val="2"/>
        </w:rPr>
        <w:t>19</w:t>
      </w:r>
      <w:r w:rsidRPr="00D630D1">
        <w:rPr>
          <w:rFonts w:ascii="Times New Roman" w:cs="Times New Roman"/>
          <w:kern w:val="2"/>
        </w:rPr>
        <w:t>。</w:t>
      </w:r>
    </w:p>
    <w:p w:rsidR="00450249" w:rsidRDefault="00450249" w:rsidP="00F96E37">
      <w:pPr>
        <w:topLinePunct w:val="0"/>
        <w:autoSpaceDE w:val="0"/>
        <w:autoSpaceDN w:val="0"/>
        <w:spacing w:beforeLines="50" w:line="240" w:lineRule="auto"/>
        <w:ind w:firstLineChars="0" w:firstLine="0"/>
        <w:jc w:val="center"/>
        <w:rPr>
          <w:rFonts w:ascii="Times New Roman" w:cs="Times New Roman"/>
          <w:b/>
          <w:sz w:val="21"/>
        </w:rPr>
      </w:pPr>
      <w:r w:rsidRPr="00D630D1">
        <w:rPr>
          <w:rFonts w:ascii="Times New Roman" w:cs="Times New Roman"/>
          <w:b/>
          <w:sz w:val="21"/>
        </w:rPr>
        <w:t>表</w:t>
      </w:r>
      <w:r w:rsidRPr="00D630D1">
        <w:rPr>
          <w:rFonts w:ascii="Times New Roman" w:cs="Times New Roman" w:hint="eastAsia"/>
          <w:b/>
          <w:sz w:val="21"/>
        </w:rPr>
        <w:t>4.3</w:t>
      </w:r>
      <w:r w:rsidRPr="00D630D1">
        <w:rPr>
          <w:rFonts w:ascii="Times New Roman" w:cs="Times New Roman"/>
          <w:b/>
          <w:sz w:val="21"/>
        </w:rPr>
        <w:t>-</w:t>
      </w:r>
      <w:r w:rsidRPr="00D630D1">
        <w:rPr>
          <w:rFonts w:ascii="Times New Roman" w:cs="Times New Roman" w:hint="eastAsia"/>
          <w:b/>
          <w:sz w:val="21"/>
        </w:rPr>
        <w:t xml:space="preserve">19 </w:t>
      </w:r>
      <w:r w:rsidRPr="00D630D1">
        <w:rPr>
          <w:rFonts w:ascii="Times New Roman" w:cs="Times New Roman"/>
          <w:b/>
          <w:sz w:val="21"/>
        </w:rPr>
        <w:t>评价区重点保护鸟类分布、栖息情况一览表</w:t>
      </w:r>
    </w:p>
    <w:tbl>
      <w:tblPr>
        <w:tblStyle w:val="55"/>
        <w:tblW w:w="5000" w:type="pct"/>
        <w:jc w:val="center"/>
        <w:tblBorders>
          <w:top w:val="single" w:sz="12" w:space="0" w:color="auto"/>
          <w:left w:val="none" w:sz="0" w:space="0" w:color="auto"/>
          <w:bottom w:val="single" w:sz="12" w:space="0" w:color="auto"/>
          <w:right w:val="none" w:sz="0" w:space="0" w:color="auto"/>
        </w:tblBorders>
        <w:tblLook w:val="0000"/>
      </w:tblPr>
      <w:tblGrid>
        <w:gridCol w:w="441"/>
        <w:gridCol w:w="1611"/>
        <w:gridCol w:w="1105"/>
        <w:gridCol w:w="1093"/>
        <w:gridCol w:w="728"/>
        <w:gridCol w:w="1431"/>
        <w:gridCol w:w="1142"/>
        <w:gridCol w:w="971"/>
      </w:tblGrid>
      <w:tr w:rsidR="00F575CC" w:rsidRPr="00F575CC" w:rsidTr="00F575CC">
        <w:trPr>
          <w:jc w:val="center"/>
        </w:trPr>
        <w:tc>
          <w:tcPr>
            <w:tcW w:w="426"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序号</w:t>
            </w:r>
          </w:p>
        </w:tc>
        <w:tc>
          <w:tcPr>
            <w:tcW w:w="1560"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物种名称</w:t>
            </w:r>
          </w:p>
        </w:tc>
        <w:tc>
          <w:tcPr>
            <w:tcW w:w="1070"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sz w:val="21"/>
                <w:szCs w:val="21"/>
              </w:rPr>
              <w:t>保护级别</w:t>
            </w:r>
          </w:p>
        </w:tc>
        <w:tc>
          <w:tcPr>
            <w:tcW w:w="1058"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濒危等级</w:t>
            </w:r>
          </w:p>
        </w:tc>
        <w:tc>
          <w:tcPr>
            <w:tcW w:w="705"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特有种</w:t>
            </w:r>
          </w:p>
        </w:tc>
        <w:tc>
          <w:tcPr>
            <w:tcW w:w="1385"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分布区域</w:t>
            </w:r>
          </w:p>
        </w:tc>
        <w:tc>
          <w:tcPr>
            <w:tcW w:w="1106"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资料来源</w:t>
            </w:r>
          </w:p>
        </w:tc>
        <w:tc>
          <w:tcPr>
            <w:tcW w:w="940"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工程占用情况</w:t>
            </w:r>
          </w:p>
        </w:tc>
      </w:tr>
      <w:tr w:rsidR="00F575CC" w:rsidRPr="00F575CC" w:rsidTr="00F575CC">
        <w:trPr>
          <w:jc w:val="center"/>
        </w:trPr>
        <w:tc>
          <w:tcPr>
            <w:tcW w:w="426"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1</w:t>
            </w:r>
          </w:p>
        </w:tc>
        <w:tc>
          <w:tcPr>
            <w:tcW w:w="1560"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sz w:val="21"/>
                <w:szCs w:val="21"/>
              </w:rPr>
              <w:t>雀鹰</w:t>
            </w:r>
            <w:r w:rsidRPr="00F575CC">
              <w:rPr>
                <w:rFonts w:ascii="Times New Roman" w:cs="Times New Roman"/>
                <w:sz w:val="21"/>
                <w:szCs w:val="21"/>
              </w:rPr>
              <w:t>Accipiter nisus</w:t>
            </w:r>
          </w:p>
        </w:tc>
        <w:tc>
          <w:tcPr>
            <w:tcW w:w="1070"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hAnsi="宋体" w:hint="eastAsia"/>
                <w:sz w:val="21"/>
                <w:szCs w:val="21"/>
              </w:rPr>
              <w:t>Ⅱ</w:t>
            </w:r>
          </w:p>
        </w:tc>
        <w:tc>
          <w:tcPr>
            <w:tcW w:w="1058"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sz w:val="21"/>
                <w:szCs w:val="21"/>
              </w:rPr>
              <w:t>无危</w:t>
            </w:r>
          </w:p>
        </w:tc>
        <w:tc>
          <w:tcPr>
            <w:tcW w:w="705"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否</w:t>
            </w:r>
          </w:p>
        </w:tc>
        <w:tc>
          <w:tcPr>
            <w:tcW w:w="1385" w:type="dxa"/>
            <w:vMerge w:val="restart"/>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sz w:val="21"/>
                <w:szCs w:val="21"/>
              </w:rPr>
              <w:t>过境取食及活动</w:t>
            </w:r>
            <w:r w:rsidRPr="00F575CC">
              <w:rPr>
                <w:rFonts w:ascii="Times New Roman" w:cs="Times New Roman" w:hint="eastAsia"/>
                <w:sz w:val="21"/>
                <w:szCs w:val="21"/>
              </w:rPr>
              <w:t>，</w:t>
            </w:r>
            <w:r w:rsidRPr="00F575CC">
              <w:rPr>
                <w:rFonts w:ascii="Times New Roman" w:cs="Times New Roman"/>
                <w:sz w:val="21"/>
                <w:szCs w:val="21"/>
              </w:rPr>
              <w:t>未分布栖息地，无分布生境</w:t>
            </w:r>
          </w:p>
        </w:tc>
        <w:tc>
          <w:tcPr>
            <w:tcW w:w="1106"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文献记录</w:t>
            </w:r>
          </w:p>
        </w:tc>
        <w:tc>
          <w:tcPr>
            <w:tcW w:w="940" w:type="dxa"/>
            <w:vMerge w:val="restart"/>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否，生境远离占地区</w:t>
            </w:r>
          </w:p>
        </w:tc>
      </w:tr>
      <w:tr w:rsidR="00F575CC" w:rsidRPr="00F575CC" w:rsidTr="00F575CC">
        <w:trPr>
          <w:jc w:val="center"/>
        </w:trPr>
        <w:tc>
          <w:tcPr>
            <w:tcW w:w="426"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2</w:t>
            </w:r>
          </w:p>
        </w:tc>
        <w:tc>
          <w:tcPr>
            <w:tcW w:w="1560"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sz w:val="21"/>
                <w:szCs w:val="21"/>
              </w:rPr>
              <w:t>画眉</w:t>
            </w:r>
            <w:r w:rsidRPr="00F575CC">
              <w:rPr>
                <w:rFonts w:ascii="Times New Roman" w:cs="Times New Roman"/>
                <w:sz w:val="21"/>
                <w:szCs w:val="21"/>
              </w:rPr>
              <w:t>Garrulax canorus</w:t>
            </w:r>
          </w:p>
        </w:tc>
        <w:tc>
          <w:tcPr>
            <w:tcW w:w="1070"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hAnsi="宋体" w:hint="eastAsia"/>
                <w:sz w:val="21"/>
                <w:szCs w:val="21"/>
              </w:rPr>
              <w:t>Ⅱ</w:t>
            </w:r>
          </w:p>
        </w:tc>
        <w:tc>
          <w:tcPr>
            <w:tcW w:w="1058"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sz w:val="21"/>
                <w:szCs w:val="21"/>
              </w:rPr>
              <w:t>低危</w:t>
            </w:r>
          </w:p>
        </w:tc>
        <w:tc>
          <w:tcPr>
            <w:tcW w:w="705"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否</w:t>
            </w:r>
          </w:p>
        </w:tc>
        <w:tc>
          <w:tcPr>
            <w:tcW w:w="1385" w:type="dxa"/>
            <w:vMerge/>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p>
        </w:tc>
        <w:tc>
          <w:tcPr>
            <w:tcW w:w="1106" w:type="dxa"/>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r w:rsidRPr="00F575CC">
              <w:rPr>
                <w:rFonts w:ascii="Times New Roman" w:cs="Times New Roman" w:hint="eastAsia"/>
                <w:sz w:val="21"/>
                <w:szCs w:val="21"/>
              </w:rPr>
              <w:t>文献记录</w:t>
            </w:r>
          </w:p>
        </w:tc>
        <w:tc>
          <w:tcPr>
            <w:tcW w:w="940" w:type="dxa"/>
            <w:vMerge/>
            <w:vAlign w:val="center"/>
          </w:tcPr>
          <w:p w:rsidR="00F575CC" w:rsidRPr="00F575CC" w:rsidRDefault="00F575CC" w:rsidP="00F575CC">
            <w:pPr>
              <w:widowControl/>
              <w:topLinePunct w:val="0"/>
              <w:adjustRightInd/>
              <w:spacing w:line="240" w:lineRule="auto"/>
              <w:ind w:firstLineChars="0" w:firstLine="0"/>
              <w:jc w:val="center"/>
              <w:textAlignment w:val="bottom"/>
              <w:rPr>
                <w:rFonts w:ascii="Times New Roman" w:cs="Times New Roman"/>
                <w:sz w:val="21"/>
                <w:szCs w:val="21"/>
              </w:rPr>
            </w:pPr>
          </w:p>
        </w:tc>
      </w:tr>
    </w:tbl>
    <w:p w:rsidR="00450249" w:rsidRPr="00D630D1" w:rsidRDefault="00450249" w:rsidP="00450249">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重点保护鸟类及其栖息地状况</w:t>
      </w:r>
    </w:p>
    <w:p w:rsidR="00450249" w:rsidRPr="00D630D1" w:rsidRDefault="00450249" w:rsidP="00450249">
      <w:pPr>
        <w:topLinePunct w:val="0"/>
        <w:adjustRightInd/>
        <w:spacing w:line="500" w:lineRule="exact"/>
        <w:ind w:left="60" w:right="100" w:firstLineChars="0" w:firstLine="482"/>
        <w:rPr>
          <w:rFonts w:ascii="Times New Roman" w:cs="Times New Roman"/>
          <w:kern w:val="2"/>
        </w:rPr>
      </w:pPr>
      <w:r w:rsidRPr="00D630D1">
        <w:rPr>
          <w:rFonts w:hAnsi="宋体" w:hint="eastAsia"/>
          <w:kern w:val="2"/>
        </w:rPr>
        <w:t>①</w:t>
      </w:r>
      <w:r w:rsidRPr="00D630D1">
        <w:rPr>
          <w:rFonts w:ascii="Times New Roman" w:cs="Times New Roman"/>
          <w:kern w:val="2"/>
        </w:rPr>
        <w:t>雀鹰</w:t>
      </w:r>
      <w:r w:rsidRPr="00D630D1">
        <w:rPr>
          <w:rFonts w:ascii="Times New Roman" w:cs="Times New Roman"/>
          <w:i/>
          <w:iCs/>
          <w:kern w:val="2"/>
        </w:rPr>
        <w:t>Accipiter nisus</w:t>
      </w:r>
    </w:p>
    <w:p w:rsidR="00450249" w:rsidRPr="00D630D1" w:rsidRDefault="00450249" w:rsidP="00450249">
      <w:pPr>
        <w:topLinePunct w:val="0"/>
        <w:adjustRightInd/>
        <w:spacing w:line="500" w:lineRule="exact"/>
        <w:ind w:left="60" w:right="100" w:firstLineChars="0" w:firstLine="482"/>
        <w:rPr>
          <w:rFonts w:ascii="Times New Roman" w:cs="Times New Roman"/>
          <w:kern w:val="2"/>
        </w:rPr>
      </w:pPr>
      <w:bookmarkStart w:id="429" w:name="OLE_LINK9"/>
      <w:r w:rsidRPr="00D630D1">
        <w:rPr>
          <w:rFonts w:ascii="Times New Roman" w:cs="Times New Roman"/>
          <w:kern w:val="2"/>
        </w:rPr>
        <w:t>雀鹰</w:t>
      </w:r>
      <w:bookmarkEnd w:id="429"/>
      <w:r w:rsidRPr="00D630D1">
        <w:rPr>
          <w:rFonts w:ascii="Times New Roman" w:cs="Times New Roman" w:hint="eastAsia"/>
          <w:kern w:val="2"/>
        </w:rPr>
        <w:t>（</w:t>
      </w:r>
      <w:r w:rsidRPr="00D630D1">
        <w:rPr>
          <w:rFonts w:ascii="Times New Roman" w:cs="Times New Roman"/>
          <w:kern w:val="2"/>
        </w:rPr>
        <w:t>学名：</w:t>
      </w:r>
      <w:r w:rsidRPr="00D630D1">
        <w:rPr>
          <w:rFonts w:ascii="Times New Roman" w:cs="Times New Roman"/>
          <w:kern w:val="2"/>
        </w:rPr>
        <w:t>Accipiter nisus</w:t>
      </w:r>
      <w:r w:rsidRPr="00D630D1">
        <w:rPr>
          <w:rFonts w:ascii="Times New Roman" w:cs="Times New Roman" w:hint="eastAsia"/>
          <w:kern w:val="2"/>
        </w:rPr>
        <w:t>）</w:t>
      </w:r>
      <w:r w:rsidRPr="00D630D1">
        <w:rPr>
          <w:rFonts w:ascii="Times New Roman" w:cs="Times New Roman"/>
          <w:kern w:val="2"/>
        </w:rPr>
        <w:t>属小型猛禽，为中国国家二级保护动物，体长</w:t>
      </w:r>
      <w:r w:rsidRPr="00D630D1">
        <w:rPr>
          <w:rFonts w:ascii="Times New Roman" w:cs="Times New Roman"/>
          <w:kern w:val="2"/>
        </w:rPr>
        <w:t>30-41</w:t>
      </w:r>
      <w:r w:rsidRPr="00D630D1">
        <w:rPr>
          <w:rFonts w:ascii="Times New Roman" w:cs="Times New Roman"/>
          <w:kern w:val="2"/>
        </w:rPr>
        <w:t>厘米。雌较雄略大，翅阔而圆，尾较长。雄鸟上体暗灰色，雌鸟灰褐色，头后杂有少许白色。下体白色或淡灰白色，雄鸟具细密的红褐色横斑，雌鸟具褐色横斑。尾具</w:t>
      </w:r>
      <w:r w:rsidRPr="00D630D1">
        <w:rPr>
          <w:rFonts w:ascii="Times New Roman" w:cs="Times New Roman"/>
          <w:kern w:val="2"/>
        </w:rPr>
        <w:t>4-5</w:t>
      </w:r>
      <w:r w:rsidRPr="00D630D1">
        <w:rPr>
          <w:rFonts w:ascii="Times New Roman" w:cs="Times New Roman"/>
          <w:kern w:val="2"/>
        </w:rPr>
        <w:t>道黑褐色横斑，飞翔时翼后缘略为突出，翼下飞羽具数道黑褐色横带，通常快速鼓动两翅飞一阵后接着又滑翔一会。栖息于针叶林、混交林、阔叶林等山地森林和林缘地带。日出性。常单独生活。或飞翔于空中，或栖于树上和电柱上。以雀形目小鸟、昆虫和鼠类为食，也捕食鸽形目鸟类和榛鸡等小的鸡形目鸟类，有时亦捕食野兔、蛇、昆虫幼虫。</w:t>
      </w:r>
    </w:p>
    <w:p w:rsidR="00450249" w:rsidRPr="00D630D1" w:rsidRDefault="00450249" w:rsidP="00450249">
      <w:pPr>
        <w:topLinePunct w:val="0"/>
        <w:adjustRightInd/>
        <w:spacing w:line="500" w:lineRule="exact"/>
        <w:ind w:left="60" w:right="100" w:firstLineChars="0" w:firstLine="482"/>
        <w:rPr>
          <w:rFonts w:ascii="Times New Roman" w:cs="Times New Roman"/>
          <w:kern w:val="2"/>
        </w:rPr>
      </w:pPr>
      <w:r w:rsidRPr="00D630D1">
        <w:rPr>
          <w:rFonts w:ascii="Times New Roman" w:cs="Times New Roman"/>
          <w:kern w:val="2"/>
        </w:rPr>
        <w:t>雀鹰的分布广泛，数量较多，特别是捕食大量的鼠类和害虫，对于农业、林业和牧业均十分有益，对维持生态平衡也起到了积极的作用。</w:t>
      </w:r>
    </w:p>
    <w:p w:rsidR="00450249" w:rsidRPr="00D630D1" w:rsidRDefault="00450249" w:rsidP="00450249">
      <w:pPr>
        <w:topLinePunct w:val="0"/>
        <w:snapToGrid w:val="0"/>
        <w:spacing w:line="500" w:lineRule="exact"/>
        <w:ind w:firstLineChars="0" w:firstLine="482"/>
        <w:rPr>
          <w:rFonts w:ascii="Times New Roman" w:cs="Times New Roman"/>
          <w:kern w:val="2"/>
        </w:rPr>
      </w:pPr>
      <w:r w:rsidRPr="00D630D1">
        <w:rPr>
          <w:rFonts w:hAnsi="宋体" w:hint="eastAsia"/>
          <w:kern w:val="2"/>
        </w:rPr>
        <w:t>②</w:t>
      </w:r>
      <w:bookmarkStart w:id="430" w:name="OLE_LINK15"/>
      <w:bookmarkStart w:id="431" w:name="OLE_LINK17"/>
      <w:r w:rsidRPr="00D630D1">
        <w:rPr>
          <w:rFonts w:ascii="Times New Roman" w:cs="Times New Roman"/>
          <w:kern w:val="2"/>
        </w:rPr>
        <w:t>画眉</w:t>
      </w:r>
      <w:bookmarkEnd w:id="430"/>
      <w:bookmarkEnd w:id="431"/>
      <w:r w:rsidRPr="00D630D1">
        <w:rPr>
          <w:rFonts w:ascii="Times New Roman" w:cs="Times New Roman"/>
          <w:i/>
          <w:iCs/>
          <w:kern w:val="2"/>
        </w:rPr>
        <w:t>Garrulax canorus</w:t>
      </w:r>
    </w:p>
    <w:p w:rsidR="00450249" w:rsidRPr="00D630D1" w:rsidRDefault="00450249" w:rsidP="00450249">
      <w:pPr>
        <w:topLinePunct w:val="0"/>
        <w:snapToGrid w:val="0"/>
        <w:spacing w:line="500" w:lineRule="exact"/>
        <w:ind w:firstLineChars="0" w:firstLine="482"/>
        <w:rPr>
          <w:rFonts w:ascii="Times New Roman" w:cs="Times New Roman"/>
          <w:kern w:val="2"/>
        </w:rPr>
      </w:pPr>
      <w:r w:rsidRPr="00D630D1">
        <w:rPr>
          <w:rFonts w:ascii="Times New Roman" w:cs="Times New Roman"/>
          <w:kern w:val="2"/>
        </w:rPr>
        <w:t>画眉鸟：是鸟纲、画眉科的中型鸟类。体长约</w:t>
      </w:r>
      <w:r w:rsidRPr="00D630D1">
        <w:rPr>
          <w:rFonts w:ascii="Times New Roman" w:cs="Times New Roman"/>
          <w:kern w:val="2"/>
        </w:rPr>
        <w:t>23</w:t>
      </w:r>
      <w:r w:rsidRPr="00D630D1">
        <w:rPr>
          <w:rFonts w:ascii="Times New Roman" w:cs="Times New Roman"/>
          <w:kern w:val="2"/>
        </w:rPr>
        <w:t>厘米。上体橄榄色，头顶至上背棕褐色具黑色纵纹，眼圈白色，并沿上缘形成一窄纹向后延伸至枕侧，形成清晰的眉纹，极为醒目。下体棕黄色，喉至上胸杂有黑色纵纹，腹中部灰色。虹膜橙黄色或黄色，上嘴橘色，下嘴橄榄黄色，跗蹠和趾黄褐色或浅角色。</w:t>
      </w:r>
    </w:p>
    <w:p w:rsidR="00450249" w:rsidRPr="00D630D1" w:rsidRDefault="00450249" w:rsidP="00450249">
      <w:pPr>
        <w:topLinePunct w:val="0"/>
        <w:snapToGrid w:val="0"/>
        <w:spacing w:line="500" w:lineRule="exact"/>
        <w:ind w:firstLine="480"/>
        <w:rPr>
          <w:rFonts w:ascii="Times New Roman" w:cs="Times New Roman"/>
          <w:kern w:val="2"/>
        </w:rPr>
      </w:pPr>
      <w:r w:rsidRPr="00D630D1">
        <w:rPr>
          <w:rFonts w:ascii="Times New Roman" w:cs="Times New Roman"/>
          <w:kern w:val="2"/>
        </w:rPr>
        <w:t>栖息于山丘的灌丛和村落附近的灌丛或竹林中，机敏而胆怯，常在林下的草丛中觅食，不善作远距离飞翔。雄鸟在繁殖期常单独藏匿在杂草及树枝间极善鸣啭，声音十分洪亮，歌声悠扬婉转，非常动听。杂食性，主要取食昆虫，特别在</w:t>
      </w:r>
      <w:r w:rsidRPr="00D630D1">
        <w:rPr>
          <w:rFonts w:ascii="Times New Roman" w:cs="Times New Roman"/>
          <w:kern w:val="2"/>
        </w:rPr>
        <w:lastRenderedPageBreak/>
        <w:t>繁殖季节嗜食昆虫；兼食草籽、野果。</w:t>
      </w:r>
    </w:p>
    <w:tbl>
      <w:tblPr>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69"/>
        <w:gridCol w:w="4412"/>
      </w:tblGrid>
      <w:tr w:rsidR="00450249" w:rsidRPr="00D630D1" w:rsidTr="003D1F10">
        <w:trPr>
          <w:jc w:val="center"/>
        </w:trPr>
        <w:tc>
          <w:tcPr>
            <w:tcW w:w="4369" w:type="dxa"/>
          </w:tcPr>
          <w:p w:rsidR="00450249" w:rsidRPr="00D630D1" w:rsidRDefault="00450249" w:rsidP="003D1F10">
            <w:pPr>
              <w:pStyle w:val="Default"/>
              <w:jc w:val="center"/>
              <w:rPr>
                <w:rFonts w:ascii="Times New Roman" w:hAnsi="Times New Roman" w:cs="Times New Roman"/>
                <w:color w:val="auto"/>
                <w:kern w:val="2"/>
              </w:rPr>
            </w:pPr>
            <w:r w:rsidRPr="00D630D1">
              <w:rPr>
                <w:rFonts w:ascii="Times New Roman" w:hAnsi="Times New Roman" w:cs="Times New Roman"/>
                <w:noProof/>
                <w:color w:val="auto"/>
                <w:kern w:val="2"/>
              </w:rPr>
              <w:drawing>
                <wp:inline distT="0" distB="0" distL="0" distR="0">
                  <wp:extent cx="1809750" cy="2694933"/>
                  <wp:effectExtent l="19050" t="0" r="0" b="0"/>
                  <wp:docPr id="36" name="图片 24" descr="C:\Users\HUANG\Documents\WeChat Files\wxid_f0asumrra2c221\FileStorage\Temp\165899143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UANG\Documents\WeChat Files\wxid_f0asumrra2c221\FileStorage\Temp\1658991435942.jpg"/>
                          <pic:cNvPicPr>
                            <a:picLocks noChangeAspect="1" noChangeArrowheads="1"/>
                          </pic:cNvPicPr>
                        </pic:nvPicPr>
                        <pic:blipFill>
                          <a:blip r:embed="rId84" cstate="print"/>
                          <a:srcRect/>
                          <a:stretch>
                            <a:fillRect/>
                          </a:stretch>
                        </pic:blipFill>
                        <pic:spPr bwMode="auto">
                          <a:xfrm>
                            <a:off x="0" y="0"/>
                            <a:ext cx="1810727" cy="2696388"/>
                          </a:xfrm>
                          <a:prstGeom prst="rect">
                            <a:avLst/>
                          </a:prstGeom>
                          <a:noFill/>
                          <a:ln w="9525">
                            <a:noFill/>
                            <a:miter lim="800000"/>
                            <a:headEnd/>
                            <a:tailEnd/>
                          </a:ln>
                        </pic:spPr>
                      </pic:pic>
                    </a:graphicData>
                  </a:graphic>
                </wp:inline>
              </w:drawing>
            </w:r>
          </w:p>
        </w:tc>
        <w:tc>
          <w:tcPr>
            <w:tcW w:w="4412" w:type="dxa"/>
          </w:tcPr>
          <w:p w:rsidR="00450249" w:rsidRPr="00D630D1" w:rsidRDefault="00450249" w:rsidP="003D1F10">
            <w:pPr>
              <w:pStyle w:val="Default"/>
              <w:jc w:val="center"/>
              <w:rPr>
                <w:rFonts w:ascii="Times New Roman" w:hAnsi="Times New Roman" w:cs="Times New Roman"/>
                <w:color w:val="auto"/>
                <w:kern w:val="2"/>
              </w:rPr>
            </w:pPr>
            <w:r w:rsidRPr="00D630D1">
              <w:rPr>
                <w:rFonts w:ascii="Times New Roman" w:hAnsi="Times New Roman" w:cs="Times New Roman"/>
                <w:noProof/>
                <w:color w:val="auto"/>
                <w:kern w:val="2"/>
              </w:rPr>
              <w:drawing>
                <wp:inline distT="0" distB="0" distL="0" distR="0">
                  <wp:extent cx="1828223" cy="2647949"/>
                  <wp:effectExtent l="19050" t="0" r="577" b="0"/>
                  <wp:docPr id="35" name="图片 23" descr="C:\Users\HUANG\Documents\WeChat Files\wxid_f0asumrra2c221\FileStorage\Temp\1658991418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UANG\Documents\WeChat Files\wxid_f0asumrra2c221\FileStorage\Temp\1658991418943.jpg"/>
                          <pic:cNvPicPr>
                            <a:picLocks noChangeAspect="1" noChangeArrowheads="1"/>
                          </pic:cNvPicPr>
                        </pic:nvPicPr>
                        <pic:blipFill>
                          <a:blip r:embed="rId85" cstate="print"/>
                          <a:srcRect/>
                          <a:stretch>
                            <a:fillRect/>
                          </a:stretch>
                        </pic:blipFill>
                        <pic:spPr bwMode="auto">
                          <a:xfrm>
                            <a:off x="0" y="0"/>
                            <a:ext cx="1831520" cy="2652724"/>
                          </a:xfrm>
                          <a:prstGeom prst="rect">
                            <a:avLst/>
                          </a:prstGeom>
                          <a:noFill/>
                          <a:ln w="9525">
                            <a:noFill/>
                            <a:miter lim="800000"/>
                            <a:headEnd/>
                            <a:tailEnd/>
                          </a:ln>
                        </pic:spPr>
                      </pic:pic>
                    </a:graphicData>
                  </a:graphic>
                </wp:inline>
              </w:drawing>
            </w:r>
          </w:p>
        </w:tc>
      </w:tr>
      <w:tr w:rsidR="00450249" w:rsidRPr="00D630D1" w:rsidTr="003D1F10">
        <w:trPr>
          <w:jc w:val="center"/>
        </w:trPr>
        <w:tc>
          <w:tcPr>
            <w:tcW w:w="4369" w:type="dxa"/>
          </w:tcPr>
          <w:p w:rsidR="00450249" w:rsidRPr="00D630D1" w:rsidRDefault="00450249" w:rsidP="003D1F10">
            <w:pPr>
              <w:pStyle w:val="Default"/>
              <w:jc w:val="center"/>
              <w:rPr>
                <w:rFonts w:ascii="Times New Roman" w:hAnsi="Times New Roman" w:cs="Times New Roman"/>
                <w:color w:val="auto"/>
                <w:kern w:val="2"/>
                <w:sz w:val="21"/>
                <w:szCs w:val="21"/>
              </w:rPr>
            </w:pPr>
            <w:r w:rsidRPr="00D630D1">
              <w:rPr>
                <w:rFonts w:hAnsi="Times New Roman" w:hint="eastAsia"/>
                <w:color w:val="auto"/>
                <w:kern w:val="2"/>
                <w:sz w:val="21"/>
                <w:szCs w:val="21"/>
              </w:rPr>
              <w:t>雀鹰</w:t>
            </w:r>
          </w:p>
        </w:tc>
        <w:tc>
          <w:tcPr>
            <w:tcW w:w="4412" w:type="dxa"/>
          </w:tcPr>
          <w:p w:rsidR="00450249" w:rsidRPr="00D630D1" w:rsidRDefault="00450249" w:rsidP="003D1F10">
            <w:pPr>
              <w:pStyle w:val="Default"/>
              <w:jc w:val="center"/>
              <w:rPr>
                <w:rFonts w:ascii="Times New Roman" w:hAnsi="Times New Roman" w:cs="Times New Roman"/>
                <w:color w:val="auto"/>
                <w:kern w:val="2"/>
                <w:sz w:val="21"/>
                <w:szCs w:val="21"/>
              </w:rPr>
            </w:pPr>
            <w:r w:rsidRPr="00D630D1">
              <w:rPr>
                <w:rFonts w:hAnsi="Times New Roman" w:hint="eastAsia"/>
                <w:color w:val="auto"/>
                <w:kern w:val="2"/>
                <w:sz w:val="21"/>
                <w:szCs w:val="21"/>
              </w:rPr>
              <w:t>画眉</w:t>
            </w:r>
          </w:p>
        </w:tc>
      </w:tr>
    </w:tbl>
    <w:p w:rsidR="00450249" w:rsidRPr="00D630D1" w:rsidRDefault="00450249" w:rsidP="00450249">
      <w:pPr>
        <w:pStyle w:val="3"/>
        <w:rPr>
          <w:rFonts w:eastAsia="宋体"/>
        </w:rPr>
      </w:pPr>
      <w:r w:rsidRPr="00D630D1">
        <w:rPr>
          <w:rFonts w:eastAsia="宋体"/>
        </w:rPr>
        <w:t>5.2.</w:t>
      </w:r>
      <w:r w:rsidRPr="00D630D1">
        <w:rPr>
          <w:rFonts w:eastAsia="宋体" w:hint="eastAsia"/>
        </w:rPr>
        <w:t>11</w:t>
      </w:r>
      <w:r w:rsidRPr="00D630D1">
        <w:rPr>
          <w:rFonts w:eastAsia="宋体"/>
          <w:bCs/>
        </w:rPr>
        <w:t>物种多样性分析</w:t>
      </w:r>
    </w:p>
    <w:p w:rsidR="00450249" w:rsidRPr="00D630D1" w:rsidRDefault="00F575CC" w:rsidP="00450249">
      <w:pPr>
        <w:topLinePunct w:val="0"/>
        <w:snapToGrid w:val="0"/>
        <w:ind w:firstLine="480"/>
        <w:rPr>
          <w:rFonts w:ascii="Times New Roman" w:cs="Times New Roman"/>
          <w:kern w:val="2"/>
        </w:rPr>
      </w:pPr>
      <w:r w:rsidRPr="00F575CC">
        <w:rPr>
          <w:rFonts w:ascii="Times New Roman" w:cs="Times New Roman"/>
        </w:rPr>
        <w:t>项目用地范围植被类型主要有</w:t>
      </w:r>
      <w:r w:rsidRPr="00F575CC">
        <w:rPr>
          <w:rFonts w:ascii="Times New Roman" w:cs="Times New Roman" w:hint="eastAsia"/>
        </w:rPr>
        <w:t>马尾松、杉木、柏木</w:t>
      </w:r>
      <w:r w:rsidRPr="00F575CC">
        <w:rPr>
          <w:rFonts w:ascii="Times New Roman" w:cs="Times New Roman"/>
        </w:rPr>
        <w:t>等针叶林植被和</w:t>
      </w:r>
      <w:r w:rsidRPr="00F575CC">
        <w:rPr>
          <w:rFonts w:ascii="Times New Roman" w:cs="Times New Roman" w:hint="eastAsia"/>
        </w:rPr>
        <w:t>麻栎、青冈、枫香、响叶杨</w:t>
      </w:r>
      <w:r w:rsidRPr="00F575CC">
        <w:rPr>
          <w:rFonts w:ascii="Times New Roman" w:cs="Times New Roman"/>
        </w:rPr>
        <w:t>等阔叶林植被以及</w:t>
      </w:r>
      <w:r w:rsidRPr="00F575CC">
        <w:rPr>
          <w:rFonts w:ascii="Times New Roman" w:cs="Times New Roman" w:hint="eastAsia"/>
        </w:rPr>
        <w:t>槲栎、马桑、黄荆、火棘、荚蒾、盐肤木</w:t>
      </w:r>
      <w:r w:rsidRPr="00F575CC">
        <w:rPr>
          <w:rFonts w:ascii="Times New Roman" w:cs="Times New Roman"/>
        </w:rPr>
        <w:t>、</w:t>
      </w:r>
      <w:r w:rsidRPr="00F575CC">
        <w:rPr>
          <w:rFonts w:ascii="Times New Roman" w:cs="Times New Roman" w:hint="eastAsia"/>
        </w:rPr>
        <w:t>白茅、五节芒、芒、芒萁、斑茅、蕨</w:t>
      </w:r>
      <w:r w:rsidRPr="00F575CC">
        <w:rPr>
          <w:rFonts w:ascii="Times New Roman" w:cs="Times New Roman"/>
        </w:rPr>
        <w:t>等为主的灌草丛植被，群落结构和组成相对</w:t>
      </w:r>
      <w:r w:rsidRPr="00F575CC">
        <w:rPr>
          <w:rFonts w:ascii="Times New Roman" w:cs="Times New Roman" w:hint="eastAsia"/>
        </w:rPr>
        <w:t>复杂</w:t>
      </w:r>
      <w:r w:rsidRPr="00F575CC">
        <w:rPr>
          <w:rFonts w:ascii="Times New Roman" w:cs="Times New Roman"/>
        </w:rPr>
        <w:t>，且均为当地常见类型，分布较广。人类活动对当地野生动物影响较大，野生动物组成比较简单，种类较少，多为鸟类和小型啮齿类动物，物种多样性较简单</w:t>
      </w:r>
      <w:r w:rsidR="00450249" w:rsidRPr="00D630D1">
        <w:rPr>
          <w:rFonts w:ascii="Times New Roman" w:cs="Times New Roman"/>
        </w:rPr>
        <w:t>。</w:t>
      </w:r>
    </w:p>
    <w:p w:rsidR="00117C3D" w:rsidRPr="00D630D1" w:rsidRDefault="0047504A" w:rsidP="009E2729">
      <w:pPr>
        <w:pStyle w:val="2"/>
        <w:spacing w:before="120"/>
        <w:rPr>
          <w:rFonts w:cs="Times New Roman"/>
        </w:rPr>
      </w:pPr>
      <w:bookmarkStart w:id="432" w:name="_Toc81515283"/>
      <w:r w:rsidRPr="00D630D1">
        <w:rPr>
          <w:rFonts w:cs="Times New Roman"/>
        </w:rPr>
        <w:t>5</w:t>
      </w:r>
      <w:r w:rsidR="008B5B84" w:rsidRPr="00D630D1">
        <w:rPr>
          <w:rFonts w:cs="Times New Roman"/>
        </w:rPr>
        <w:t xml:space="preserve">.3 </w:t>
      </w:r>
      <w:r w:rsidR="008B5B84" w:rsidRPr="00D630D1">
        <w:rPr>
          <w:rFonts w:cs="Times New Roman"/>
        </w:rPr>
        <w:t>环境空气质量现状与评价</w:t>
      </w:r>
      <w:bookmarkEnd w:id="421"/>
      <w:bookmarkEnd w:id="422"/>
      <w:bookmarkEnd w:id="432"/>
    </w:p>
    <w:p w:rsidR="00117C3D" w:rsidRPr="00D630D1" w:rsidRDefault="008B5B84" w:rsidP="002C62CA">
      <w:pPr>
        <w:pStyle w:val="afa"/>
        <w:ind w:firstLine="480"/>
      </w:pPr>
      <w:r w:rsidRPr="00D630D1">
        <w:t>本次评价采用了现场实测和资料复用相结合的方法。</w:t>
      </w:r>
    </w:p>
    <w:p w:rsidR="00117C3D" w:rsidRPr="00D630D1" w:rsidRDefault="008B5B84" w:rsidP="002C62CA">
      <w:pPr>
        <w:pStyle w:val="afa"/>
        <w:ind w:firstLine="480"/>
      </w:pPr>
      <w:r w:rsidRPr="00D630D1">
        <w:t>根据项目工程特点和各工艺站场的具体情况，以项目涉及区域作为本项目大气环境质量现状调查、评价的对象。本评价对</w:t>
      </w:r>
      <w:r w:rsidR="002C00AE">
        <w:t>普光</w:t>
      </w:r>
      <w:r w:rsidR="002C00AE">
        <w:t>12</w:t>
      </w:r>
      <w:r w:rsidR="002C00AE">
        <w:t>采气站</w:t>
      </w:r>
      <w:r w:rsidR="000D1B44" w:rsidRPr="00D630D1">
        <w:t>所在地</w:t>
      </w:r>
      <w:r w:rsidRPr="00D630D1">
        <w:t>进行大气环境质量现状监测数据以及</w:t>
      </w:r>
      <w:r w:rsidR="001C43F5" w:rsidRPr="00D630D1">
        <w:t>《</w:t>
      </w:r>
      <w:r w:rsidR="001C43F5" w:rsidRPr="00D630D1">
        <w:rPr>
          <w:shd w:val="clear" w:color="auto" w:fill="FFFFFF"/>
        </w:rPr>
        <w:t>2020</w:t>
      </w:r>
      <w:r w:rsidR="001C43F5" w:rsidRPr="00D630D1">
        <w:rPr>
          <w:shd w:val="clear" w:color="auto" w:fill="FFFFFF"/>
        </w:rPr>
        <w:t>年达州市环境状况公报</w:t>
      </w:r>
      <w:r w:rsidR="001C43F5" w:rsidRPr="00D630D1">
        <w:t>》</w:t>
      </w:r>
      <w:r w:rsidRPr="00D630D1">
        <w:t>环境空气质量公报数据。</w:t>
      </w:r>
    </w:p>
    <w:p w:rsidR="0047504A" w:rsidRPr="00D630D1" w:rsidRDefault="0047504A">
      <w:pPr>
        <w:pStyle w:val="a1"/>
        <w:ind w:firstLine="482"/>
        <w:rPr>
          <w:rFonts w:ascii="Times New Roman" w:cs="Times New Roman"/>
          <w:b/>
          <w:bCs/>
        </w:rPr>
      </w:pPr>
      <w:r w:rsidRPr="00D630D1">
        <w:rPr>
          <w:rFonts w:ascii="Times New Roman" w:cs="Times New Roman"/>
          <w:b/>
          <w:bCs/>
        </w:rPr>
        <w:t>1</w:t>
      </w:r>
      <w:r w:rsidRPr="00D630D1">
        <w:rPr>
          <w:rFonts w:ascii="Times New Roman" w:cs="Times New Roman"/>
          <w:b/>
          <w:bCs/>
        </w:rPr>
        <w:t>、达标判断</w:t>
      </w:r>
    </w:p>
    <w:p w:rsidR="0047504A" w:rsidRPr="00D630D1" w:rsidRDefault="002C62CA" w:rsidP="001C43F5">
      <w:pPr>
        <w:pStyle w:val="afa"/>
        <w:ind w:firstLine="480"/>
      </w:pPr>
      <w:r w:rsidRPr="00D630D1">
        <w:t>本项目位于达州市</w:t>
      </w:r>
      <w:r w:rsidR="001C43F5" w:rsidRPr="00D630D1">
        <w:t>宣汉县</w:t>
      </w:r>
      <w:r w:rsidRPr="00D630D1">
        <w:t>，项目所在区环境空气功能分区为二类区。根据《环境影响评价技术导则</w:t>
      </w:r>
      <w:r w:rsidRPr="00D630D1">
        <w:t xml:space="preserve"> </w:t>
      </w:r>
      <w:r w:rsidRPr="00D630D1">
        <w:t>总纲》（</w:t>
      </w:r>
      <w:r w:rsidRPr="00D630D1">
        <w:t>HJ2.1-2016</w:t>
      </w:r>
      <w:r w:rsidRPr="00D630D1">
        <w:t>）与《环境影响评价技术导则</w:t>
      </w:r>
      <w:r w:rsidRPr="00D630D1">
        <w:t xml:space="preserve"> </w:t>
      </w:r>
      <w:r w:rsidRPr="00D630D1">
        <w:t>大气环境》（</w:t>
      </w:r>
      <w:r w:rsidRPr="00D630D1">
        <w:t>HJ2.2-2018</w:t>
      </w:r>
      <w:r w:rsidRPr="00D630D1">
        <w:t>）的要求，评价采用达州市环境保护局发布（</w:t>
      </w:r>
      <w:r w:rsidR="001C43F5" w:rsidRPr="00D630D1">
        <w:t>http://sthjj.dazhou.gov.cn/news-list-hjzl.html</w:t>
      </w:r>
      <w:r w:rsidRPr="00D630D1">
        <w:t>）的《</w:t>
      </w:r>
      <w:r w:rsidRPr="00D630D1">
        <w:t>20</w:t>
      </w:r>
      <w:r w:rsidR="001C43F5" w:rsidRPr="00D630D1">
        <w:t>20</w:t>
      </w:r>
      <w:r w:rsidRPr="00D630D1">
        <w:t>年达州市环境状况公报》</w:t>
      </w:r>
      <w:r w:rsidRPr="00D630D1">
        <w:lastRenderedPageBreak/>
        <w:t>中的数据进行评价：</w:t>
      </w:r>
    </w:p>
    <w:p w:rsidR="001C43F5" w:rsidRPr="00D630D1" w:rsidRDefault="001C43F5" w:rsidP="001C43F5">
      <w:pPr>
        <w:pStyle w:val="afa"/>
        <w:ind w:firstLine="480"/>
        <w:rPr>
          <w:shd w:val="clear" w:color="auto" w:fill="FFFFFF"/>
        </w:rPr>
      </w:pPr>
      <w:r w:rsidRPr="00D630D1">
        <w:rPr>
          <w:shd w:val="clear" w:color="auto" w:fill="FFFFFF"/>
        </w:rPr>
        <w:t>2020</w:t>
      </w:r>
      <w:r w:rsidRPr="00D630D1">
        <w:rPr>
          <w:shd w:val="clear" w:color="auto" w:fill="FFFFFF"/>
        </w:rPr>
        <w:t>年全市空气质量日均值达标率为</w:t>
      </w:r>
      <w:r w:rsidRPr="00D630D1">
        <w:rPr>
          <w:shd w:val="clear" w:color="auto" w:fill="FFFFFF"/>
        </w:rPr>
        <w:t>93.3%</w:t>
      </w:r>
      <w:r w:rsidRPr="00D630D1">
        <w:rPr>
          <w:shd w:val="clear" w:color="auto" w:fill="FFFFFF"/>
        </w:rPr>
        <w:t>，较上年提高</w:t>
      </w:r>
      <w:r w:rsidRPr="00D630D1">
        <w:rPr>
          <w:shd w:val="clear" w:color="auto" w:fill="FFFFFF"/>
        </w:rPr>
        <w:t>2.0</w:t>
      </w:r>
      <w:r w:rsidRPr="00D630D1">
        <w:rPr>
          <w:shd w:val="clear" w:color="auto" w:fill="FFFFFF"/>
        </w:rPr>
        <w:t>个百分点。市城区及各县（市）空气质量达标率为</w:t>
      </w:r>
      <w:r w:rsidRPr="00D630D1">
        <w:rPr>
          <w:shd w:val="clear" w:color="auto" w:fill="FFFFFF"/>
        </w:rPr>
        <w:t>89.3%~97.5%</w:t>
      </w:r>
      <w:r w:rsidRPr="00D630D1">
        <w:rPr>
          <w:shd w:val="clear" w:color="auto" w:fill="FFFFFF"/>
        </w:rPr>
        <w:t>，其中，宣汉县</w:t>
      </w:r>
      <w:r w:rsidRPr="00D630D1">
        <w:rPr>
          <w:shd w:val="clear" w:color="auto" w:fill="FFFFFF"/>
        </w:rPr>
        <w:t>94.3%</w:t>
      </w:r>
      <w:r w:rsidRPr="00D630D1">
        <w:rPr>
          <w:shd w:val="clear" w:color="auto" w:fill="FFFFFF"/>
        </w:rPr>
        <w:t>，万源市</w:t>
      </w:r>
      <w:r w:rsidRPr="00D630D1">
        <w:rPr>
          <w:shd w:val="clear" w:color="auto" w:fill="FFFFFF"/>
        </w:rPr>
        <w:t>97.5%</w:t>
      </w:r>
      <w:r w:rsidRPr="00D630D1">
        <w:rPr>
          <w:shd w:val="clear" w:color="auto" w:fill="FFFFFF"/>
        </w:rPr>
        <w:t>，开江县</w:t>
      </w:r>
      <w:r w:rsidRPr="00D630D1">
        <w:rPr>
          <w:shd w:val="clear" w:color="auto" w:fill="FFFFFF"/>
        </w:rPr>
        <w:t>95.1%</w:t>
      </w:r>
      <w:r w:rsidRPr="00D630D1">
        <w:rPr>
          <w:shd w:val="clear" w:color="auto" w:fill="FFFFFF"/>
        </w:rPr>
        <w:t>，渠县</w:t>
      </w:r>
      <w:r w:rsidRPr="00D630D1">
        <w:rPr>
          <w:shd w:val="clear" w:color="auto" w:fill="FFFFFF"/>
        </w:rPr>
        <w:t>93.4%</w:t>
      </w:r>
      <w:r w:rsidRPr="00D630D1">
        <w:rPr>
          <w:shd w:val="clear" w:color="auto" w:fill="FFFFFF"/>
        </w:rPr>
        <w:t>，大竹县</w:t>
      </w:r>
      <w:r w:rsidRPr="00D630D1">
        <w:rPr>
          <w:shd w:val="clear" w:color="auto" w:fill="FFFFFF"/>
        </w:rPr>
        <w:t>90.2%</w:t>
      </w:r>
      <w:r w:rsidRPr="00D630D1">
        <w:rPr>
          <w:shd w:val="clear" w:color="auto" w:fill="FFFFFF"/>
        </w:rPr>
        <w:t>，市城区</w:t>
      </w:r>
      <w:r w:rsidRPr="00D630D1">
        <w:rPr>
          <w:shd w:val="clear" w:color="auto" w:fill="FFFFFF"/>
        </w:rPr>
        <w:t>89.3%</w:t>
      </w:r>
      <w:r w:rsidRPr="00D630D1">
        <w:rPr>
          <w:shd w:val="clear" w:color="auto" w:fill="FFFFFF"/>
        </w:rPr>
        <w:t>。全市环境空气中主要污染物</w:t>
      </w:r>
      <w:r w:rsidRPr="00D630D1">
        <w:rPr>
          <w:shd w:val="clear" w:color="auto" w:fill="FFFFFF"/>
        </w:rPr>
        <w:t>PM</w:t>
      </w:r>
      <w:r w:rsidRPr="00D630D1">
        <w:rPr>
          <w:shd w:val="clear" w:color="auto" w:fill="FFFFFF"/>
          <w:vertAlign w:val="subscript"/>
        </w:rPr>
        <w:t>10</w:t>
      </w:r>
      <w:r w:rsidRPr="00D630D1">
        <w:rPr>
          <w:shd w:val="clear" w:color="auto" w:fill="FFFFFF"/>
        </w:rPr>
        <w:t>、</w:t>
      </w:r>
      <w:r w:rsidRPr="00D630D1">
        <w:rPr>
          <w:shd w:val="clear" w:color="auto" w:fill="FFFFFF"/>
        </w:rPr>
        <w:t>PM</w:t>
      </w:r>
      <w:r w:rsidRPr="00D630D1">
        <w:rPr>
          <w:shd w:val="clear" w:color="auto" w:fill="FFFFFF"/>
          <w:vertAlign w:val="subscript"/>
        </w:rPr>
        <w:t>2.5</w:t>
      </w:r>
      <w:r w:rsidRPr="00D630D1">
        <w:rPr>
          <w:shd w:val="clear" w:color="auto" w:fill="FFFFFF"/>
        </w:rPr>
        <w:t>和</w:t>
      </w:r>
      <w:r w:rsidRPr="00D630D1">
        <w:rPr>
          <w:shd w:val="clear" w:color="auto" w:fill="FFFFFF"/>
        </w:rPr>
        <w:t>O</w:t>
      </w:r>
      <w:r w:rsidRPr="00D630D1">
        <w:rPr>
          <w:shd w:val="clear" w:color="auto" w:fill="FFFFFF"/>
          <w:vertAlign w:val="subscript"/>
        </w:rPr>
        <w:t>3</w:t>
      </w:r>
      <w:r w:rsidRPr="00D630D1">
        <w:rPr>
          <w:shd w:val="clear" w:color="auto" w:fill="FFFFFF"/>
        </w:rPr>
        <w:t>。市城区</w:t>
      </w:r>
      <w:r w:rsidRPr="00D630D1">
        <w:rPr>
          <w:shd w:val="clear" w:color="auto" w:fill="FFFFFF"/>
        </w:rPr>
        <w:t>SO</w:t>
      </w:r>
      <w:r w:rsidRPr="00D630D1">
        <w:rPr>
          <w:shd w:val="clear" w:color="auto" w:fill="FFFFFF"/>
          <w:vertAlign w:val="subscript"/>
        </w:rPr>
        <w:t>2</w:t>
      </w:r>
      <w:r w:rsidRPr="00D630D1">
        <w:rPr>
          <w:shd w:val="clear" w:color="auto" w:fill="FFFFFF"/>
        </w:rPr>
        <w:t>、</w:t>
      </w:r>
      <w:r w:rsidRPr="00D630D1">
        <w:rPr>
          <w:shd w:val="clear" w:color="auto" w:fill="FFFFFF"/>
        </w:rPr>
        <w:t>NO</w:t>
      </w:r>
      <w:r w:rsidRPr="00D630D1">
        <w:rPr>
          <w:shd w:val="clear" w:color="auto" w:fill="FFFFFF"/>
          <w:vertAlign w:val="subscript"/>
        </w:rPr>
        <w:t>2</w:t>
      </w:r>
      <w:r w:rsidRPr="00D630D1">
        <w:rPr>
          <w:shd w:val="clear" w:color="auto" w:fill="FFFFFF"/>
        </w:rPr>
        <w:t>、</w:t>
      </w:r>
      <w:r w:rsidRPr="00D630D1">
        <w:rPr>
          <w:shd w:val="clear" w:color="auto" w:fill="FFFFFF"/>
        </w:rPr>
        <w:t>PM</w:t>
      </w:r>
      <w:r w:rsidRPr="00D630D1">
        <w:rPr>
          <w:shd w:val="clear" w:color="auto" w:fill="FFFFFF"/>
          <w:vertAlign w:val="subscript"/>
        </w:rPr>
        <w:t>10</w:t>
      </w:r>
      <w:r w:rsidRPr="00D630D1">
        <w:rPr>
          <w:shd w:val="clear" w:color="auto" w:fill="FFFFFF"/>
        </w:rPr>
        <w:t>、</w:t>
      </w:r>
      <w:r w:rsidRPr="00D630D1">
        <w:rPr>
          <w:shd w:val="clear" w:color="auto" w:fill="FFFFFF"/>
        </w:rPr>
        <w:t>CO</w:t>
      </w:r>
      <w:r w:rsidRPr="00D630D1">
        <w:rPr>
          <w:shd w:val="clear" w:color="auto" w:fill="FFFFFF"/>
        </w:rPr>
        <w:t>和</w:t>
      </w:r>
      <w:r w:rsidRPr="00D630D1">
        <w:rPr>
          <w:shd w:val="clear" w:color="auto" w:fill="FFFFFF"/>
        </w:rPr>
        <w:t>O</w:t>
      </w:r>
      <w:r w:rsidRPr="00D630D1">
        <w:rPr>
          <w:shd w:val="clear" w:color="auto" w:fill="FFFFFF"/>
          <w:vertAlign w:val="subscript"/>
        </w:rPr>
        <w:t>3</w:t>
      </w:r>
      <w:r w:rsidRPr="00D630D1">
        <w:rPr>
          <w:shd w:val="clear" w:color="auto" w:fill="FFFFFF"/>
        </w:rPr>
        <w:t>年评价结果达标，</w:t>
      </w:r>
      <w:r w:rsidRPr="00D630D1">
        <w:rPr>
          <w:shd w:val="clear" w:color="auto" w:fill="FFFFFF"/>
        </w:rPr>
        <w:t>PM</w:t>
      </w:r>
      <w:r w:rsidRPr="00D630D1">
        <w:rPr>
          <w:shd w:val="clear" w:color="auto" w:fill="FFFFFF"/>
          <w:vertAlign w:val="subscript"/>
        </w:rPr>
        <w:t>2.5</w:t>
      </w:r>
      <w:r w:rsidRPr="00D630D1">
        <w:rPr>
          <w:shd w:val="clear" w:color="auto" w:fill="FFFFFF"/>
        </w:rPr>
        <w:t>年评价结果超标，超标倍数为</w:t>
      </w:r>
      <w:r w:rsidRPr="00D630D1">
        <w:rPr>
          <w:shd w:val="clear" w:color="auto" w:fill="FFFFFF"/>
        </w:rPr>
        <w:t>0.11</w:t>
      </w:r>
      <w:r w:rsidRPr="00D630D1">
        <w:rPr>
          <w:shd w:val="clear" w:color="auto" w:fill="FFFFFF"/>
        </w:rPr>
        <w:t>倍；各县（市）</w:t>
      </w:r>
      <w:r w:rsidRPr="00D630D1">
        <w:rPr>
          <w:shd w:val="clear" w:color="auto" w:fill="FFFFFF"/>
        </w:rPr>
        <w:t>SO</w:t>
      </w:r>
      <w:r w:rsidRPr="00D630D1">
        <w:rPr>
          <w:shd w:val="clear" w:color="auto" w:fill="FFFFFF"/>
          <w:vertAlign w:val="subscript"/>
        </w:rPr>
        <w:t>2</w:t>
      </w:r>
      <w:r w:rsidRPr="00D630D1">
        <w:rPr>
          <w:shd w:val="clear" w:color="auto" w:fill="FFFFFF"/>
        </w:rPr>
        <w:t>、</w:t>
      </w:r>
      <w:r w:rsidRPr="00D630D1">
        <w:rPr>
          <w:shd w:val="clear" w:color="auto" w:fill="FFFFFF"/>
        </w:rPr>
        <w:t>NO</w:t>
      </w:r>
      <w:r w:rsidRPr="00D630D1">
        <w:rPr>
          <w:shd w:val="clear" w:color="auto" w:fill="FFFFFF"/>
          <w:vertAlign w:val="subscript"/>
        </w:rPr>
        <w:t>2</w:t>
      </w:r>
      <w:r w:rsidRPr="00D630D1">
        <w:rPr>
          <w:shd w:val="clear" w:color="auto" w:fill="FFFFFF"/>
        </w:rPr>
        <w:t>、</w:t>
      </w:r>
      <w:r w:rsidRPr="00D630D1">
        <w:rPr>
          <w:shd w:val="clear" w:color="auto" w:fill="FFFFFF"/>
        </w:rPr>
        <w:t>PM</w:t>
      </w:r>
      <w:r w:rsidRPr="00D630D1">
        <w:rPr>
          <w:shd w:val="clear" w:color="auto" w:fill="FFFFFF"/>
          <w:vertAlign w:val="subscript"/>
        </w:rPr>
        <w:t>10</w:t>
      </w:r>
      <w:r w:rsidRPr="00D630D1">
        <w:rPr>
          <w:shd w:val="clear" w:color="auto" w:fill="FFFFFF"/>
        </w:rPr>
        <w:t>、</w:t>
      </w:r>
      <w:r w:rsidRPr="00D630D1">
        <w:rPr>
          <w:shd w:val="clear" w:color="auto" w:fill="FFFFFF"/>
        </w:rPr>
        <w:t>CO</w:t>
      </w:r>
      <w:r w:rsidRPr="00D630D1">
        <w:rPr>
          <w:shd w:val="clear" w:color="auto" w:fill="FFFFFF"/>
        </w:rPr>
        <w:t>、</w:t>
      </w:r>
      <w:r w:rsidRPr="00D630D1">
        <w:rPr>
          <w:shd w:val="clear" w:color="auto" w:fill="FFFFFF"/>
        </w:rPr>
        <w:t>O</w:t>
      </w:r>
      <w:r w:rsidRPr="00D630D1">
        <w:rPr>
          <w:shd w:val="clear" w:color="auto" w:fill="FFFFFF"/>
          <w:vertAlign w:val="subscript"/>
        </w:rPr>
        <w:t>3</w:t>
      </w:r>
      <w:r w:rsidRPr="00D630D1">
        <w:rPr>
          <w:shd w:val="clear" w:color="auto" w:fill="FFFFFF"/>
        </w:rPr>
        <w:t>和</w:t>
      </w:r>
      <w:r w:rsidRPr="00D630D1">
        <w:rPr>
          <w:shd w:val="clear" w:color="auto" w:fill="FFFFFF"/>
        </w:rPr>
        <w:t>PM</w:t>
      </w:r>
      <w:r w:rsidRPr="00D630D1">
        <w:rPr>
          <w:shd w:val="clear" w:color="auto" w:fill="FFFFFF"/>
          <w:vertAlign w:val="subscript"/>
        </w:rPr>
        <w:t>2.5</w:t>
      </w:r>
      <w:r w:rsidRPr="00D630D1">
        <w:rPr>
          <w:shd w:val="clear" w:color="auto" w:fill="FFFFFF"/>
        </w:rPr>
        <w:t>年评价结果均达标。</w:t>
      </w:r>
    </w:p>
    <w:p w:rsidR="002C62CA" w:rsidRPr="00D630D1" w:rsidRDefault="002C62CA" w:rsidP="00A30965">
      <w:pPr>
        <w:pStyle w:val="afa"/>
        <w:ind w:firstLine="480"/>
      </w:pPr>
      <w:r w:rsidRPr="00D630D1">
        <w:t>综上可知，项目所在区</w:t>
      </w:r>
      <w:r w:rsidRPr="00D630D1">
        <w:rPr>
          <w:szCs w:val="24"/>
        </w:rPr>
        <w:t>SO</w:t>
      </w:r>
      <w:r w:rsidRPr="00D630D1">
        <w:rPr>
          <w:szCs w:val="24"/>
          <w:vertAlign w:val="subscript"/>
        </w:rPr>
        <w:t>2</w:t>
      </w:r>
      <w:r w:rsidRPr="00D630D1">
        <w:rPr>
          <w:szCs w:val="24"/>
        </w:rPr>
        <w:t>、</w:t>
      </w:r>
      <w:r w:rsidRPr="00D630D1">
        <w:rPr>
          <w:szCs w:val="24"/>
        </w:rPr>
        <w:t>NO</w:t>
      </w:r>
      <w:r w:rsidRPr="00D630D1">
        <w:rPr>
          <w:szCs w:val="24"/>
          <w:vertAlign w:val="subscript"/>
        </w:rPr>
        <w:t>2</w:t>
      </w:r>
      <w:r w:rsidRPr="00D630D1">
        <w:rPr>
          <w:szCs w:val="24"/>
        </w:rPr>
        <w:t>、</w:t>
      </w:r>
      <w:r w:rsidRPr="00D630D1">
        <w:rPr>
          <w:szCs w:val="24"/>
        </w:rPr>
        <w:t>PM</w:t>
      </w:r>
      <w:r w:rsidRPr="00D630D1">
        <w:rPr>
          <w:szCs w:val="24"/>
          <w:vertAlign w:val="subscript"/>
        </w:rPr>
        <w:t>10</w:t>
      </w:r>
      <w:r w:rsidRPr="00D630D1">
        <w:rPr>
          <w:szCs w:val="24"/>
        </w:rPr>
        <w:t>、</w:t>
      </w:r>
      <w:r w:rsidRPr="00D630D1">
        <w:rPr>
          <w:szCs w:val="24"/>
        </w:rPr>
        <w:t>CO</w:t>
      </w:r>
      <w:r w:rsidRPr="00D630D1">
        <w:rPr>
          <w:szCs w:val="24"/>
        </w:rPr>
        <w:t>、</w:t>
      </w:r>
      <w:r w:rsidRPr="00D630D1">
        <w:rPr>
          <w:szCs w:val="24"/>
        </w:rPr>
        <w:t>O</w:t>
      </w:r>
      <w:r w:rsidRPr="00D630D1">
        <w:rPr>
          <w:szCs w:val="24"/>
          <w:vertAlign w:val="subscript"/>
        </w:rPr>
        <w:t>3</w:t>
      </w:r>
      <w:r w:rsidRPr="00D630D1">
        <w:t>、</w:t>
      </w:r>
      <w:r w:rsidRPr="00D630D1">
        <w:rPr>
          <w:szCs w:val="24"/>
        </w:rPr>
        <w:t>PM</w:t>
      </w:r>
      <w:r w:rsidRPr="00D630D1">
        <w:rPr>
          <w:szCs w:val="24"/>
          <w:vertAlign w:val="subscript"/>
        </w:rPr>
        <w:t>2.5</w:t>
      </w:r>
      <w:r w:rsidRPr="00D630D1">
        <w:t>均达标，因此项目所在区判定为达标区。</w:t>
      </w:r>
    </w:p>
    <w:p w:rsidR="00117C3D" w:rsidRPr="00D630D1" w:rsidRDefault="002C62CA" w:rsidP="00A30965">
      <w:pPr>
        <w:pStyle w:val="afa"/>
        <w:ind w:firstLine="482"/>
        <w:rPr>
          <w:b/>
          <w:bCs/>
        </w:rPr>
      </w:pPr>
      <w:r w:rsidRPr="00D630D1">
        <w:rPr>
          <w:b/>
          <w:bCs/>
        </w:rPr>
        <w:t>2</w:t>
      </w:r>
      <w:r w:rsidR="008B5B84" w:rsidRPr="00D630D1">
        <w:rPr>
          <w:b/>
          <w:bCs/>
        </w:rPr>
        <w:t>、</w:t>
      </w:r>
      <w:r w:rsidR="005C7698" w:rsidRPr="00D630D1">
        <w:rPr>
          <w:b/>
          <w:bCs/>
        </w:rPr>
        <w:t>特征污染物</w:t>
      </w:r>
    </w:p>
    <w:p w:rsidR="00117C3D" w:rsidRPr="00D630D1" w:rsidRDefault="002C62CA" w:rsidP="00A30965">
      <w:pPr>
        <w:pStyle w:val="afa"/>
        <w:ind w:firstLine="480"/>
      </w:pPr>
      <w:r w:rsidRPr="00D630D1">
        <w:t>（</w:t>
      </w:r>
      <w:r w:rsidRPr="00D630D1">
        <w:t>1</w:t>
      </w:r>
      <w:r w:rsidRPr="00D630D1">
        <w:t>）</w:t>
      </w:r>
      <w:r w:rsidR="008B5B84" w:rsidRPr="00D630D1">
        <w:t>监测点布设</w:t>
      </w:r>
    </w:p>
    <w:p w:rsidR="00117C3D" w:rsidRPr="00D630D1" w:rsidRDefault="00280A35" w:rsidP="00280A35">
      <w:pPr>
        <w:pStyle w:val="afa"/>
        <w:ind w:firstLine="480"/>
      </w:pPr>
      <w:r w:rsidRPr="005556D5">
        <w:rPr>
          <w:rFonts w:eastAsiaTheme="minorEastAsia" w:hAnsiTheme="minorEastAsia"/>
        </w:rPr>
        <w:t>本项目涉及的</w:t>
      </w:r>
      <w:r>
        <w:rPr>
          <w:rFonts w:eastAsiaTheme="minorEastAsia" w:hAnsiTheme="minorEastAsia" w:hint="eastAsia"/>
        </w:rPr>
        <w:t>采气站和管线范围与普光气田</w:t>
      </w:r>
      <w:r w:rsidRPr="005556D5">
        <w:rPr>
          <w:rFonts w:eastAsiaTheme="minorEastAsia" w:hAnsiTheme="minorEastAsia"/>
        </w:rPr>
        <w:t>普陆</w:t>
      </w:r>
      <w:r w:rsidRPr="005556D5">
        <w:rPr>
          <w:rFonts w:eastAsiaTheme="minorEastAsia"/>
        </w:rPr>
        <w:t>3-1</w:t>
      </w:r>
      <w:r w:rsidRPr="005556D5">
        <w:rPr>
          <w:rFonts w:eastAsiaTheme="minorEastAsia" w:hAnsiTheme="minorEastAsia"/>
        </w:rPr>
        <w:t>井、普陆</w:t>
      </w:r>
      <w:r w:rsidRPr="005556D5">
        <w:rPr>
          <w:rFonts w:eastAsiaTheme="minorEastAsia"/>
        </w:rPr>
        <w:t>3-2</w:t>
      </w:r>
      <w:r w:rsidRPr="005556D5">
        <w:rPr>
          <w:rFonts w:eastAsiaTheme="minorEastAsia" w:hAnsiTheme="minorEastAsia"/>
        </w:rPr>
        <w:t>井钻井及试采工程一致，</w:t>
      </w:r>
      <w:r w:rsidR="00C13041" w:rsidRPr="00D630D1">
        <w:rPr>
          <w:rFonts w:hint="eastAsia"/>
        </w:rPr>
        <w:t>因此，本次大气特征污染物</w:t>
      </w:r>
      <w:r>
        <w:rPr>
          <w:rFonts w:hint="eastAsia"/>
        </w:rPr>
        <w:t>引用《</w:t>
      </w:r>
      <w:r>
        <w:rPr>
          <w:rFonts w:eastAsiaTheme="minorEastAsia" w:hAnsiTheme="minorEastAsia" w:hint="eastAsia"/>
        </w:rPr>
        <w:t>普光气田</w:t>
      </w:r>
      <w:r w:rsidRPr="005556D5">
        <w:rPr>
          <w:rFonts w:eastAsiaTheme="minorEastAsia" w:hAnsiTheme="minorEastAsia"/>
        </w:rPr>
        <w:t>普陆</w:t>
      </w:r>
      <w:r w:rsidRPr="005556D5">
        <w:rPr>
          <w:rFonts w:eastAsiaTheme="minorEastAsia"/>
        </w:rPr>
        <w:t>3-1</w:t>
      </w:r>
      <w:r w:rsidRPr="005556D5">
        <w:rPr>
          <w:rFonts w:eastAsiaTheme="minorEastAsia" w:hAnsiTheme="minorEastAsia"/>
        </w:rPr>
        <w:t>井、普陆</w:t>
      </w:r>
      <w:r w:rsidRPr="005556D5">
        <w:rPr>
          <w:rFonts w:eastAsiaTheme="minorEastAsia"/>
        </w:rPr>
        <w:t>3-2</w:t>
      </w:r>
      <w:r w:rsidRPr="005556D5">
        <w:rPr>
          <w:rFonts w:eastAsiaTheme="minorEastAsia" w:hAnsiTheme="minorEastAsia"/>
        </w:rPr>
        <w:t>井钻井及试采工程</w:t>
      </w:r>
      <w:r>
        <w:rPr>
          <w:rFonts w:eastAsiaTheme="minorEastAsia" w:hAnsiTheme="minorEastAsia" w:hint="eastAsia"/>
        </w:rPr>
        <w:t>环境影响报告书书</w:t>
      </w:r>
      <w:r>
        <w:rPr>
          <w:rFonts w:hint="eastAsia"/>
        </w:rPr>
        <w:t>》中的环境空气监测</w:t>
      </w:r>
      <w:r w:rsidR="00C13041" w:rsidRPr="00D630D1">
        <w:rPr>
          <w:rFonts w:hint="eastAsia"/>
        </w:rPr>
        <w:t>数据进行评价，</w:t>
      </w:r>
      <w:r>
        <w:rPr>
          <w:rFonts w:hint="eastAsia"/>
        </w:rPr>
        <w:t>监测时间为</w:t>
      </w:r>
      <w:r>
        <w:rPr>
          <w:rFonts w:hint="eastAsia"/>
        </w:rPr>
        <w:t>2022</w:t>
      </w:r>
      <w:r>
        <w:rPr>
          <w:rFonts w:hint="eastAsia"/>
        </w:rPr>
        <w:t>年</w:t>
      </w:r>
      <w:r>
        <w:rPr>
          <w:rFonts w:hint="eastAsia"/>
        </w:rPr>
        <w:t>6</w:t>
      </w:r>
      <w:r>
        <w:rPr>
          <w:rFonts w:hint="eastAsia"/>
        </w:rPr>
        <w:t>月</w:t>
      </w:r>
      <w:r>
        <w:rPr>
          <w:rFonts w:hint="eastAsia"/>
        </w:rPr>
        <w:t>20</w:t>
      </w:r>
      <w:r>
        <w:rPr>
          <w:rFonts w:hint="eastAsia"/>
        </w:rPr>
        <w:t>日</w:t>
      </w:r>
      <w:r>
        <w:rPr>
          <w:rFonts w:hint="eastAsia"/>
        </w:rPr>
        <w:t>~6</w:t>
      </w:r>
      <w:r>
        <w:rPr>
          <w:rFonts w:hint="eastAsia"/>
        </w:rPr>
        <w:t>月</w:t>
      </w:r>
      <w:r>
        <w:rPr>
          <w:rFonts w:hint="eastAsia"/>
        </w:rPr>
        <w:t>26</w:t>
      </w:r>
      <w:r>
        <w:rPr>
          <w:rFonts w:hint="eastAsia"/>
        </w:rPr>
        <w:t>日，</w:t>
      </w:r>
      <w:r w:rsidR="00C13041" w:rsidRPr="00D630D1">
        <w:rPr>
          <w:rFonts w:hint="eastAsia"/>
        </w:rPr>
        <w:t>符合导则要求，</w:t>
      </w:r>
      <w:r w:rsidR="008B5B84" w:rsidRPr="00D630D1">
        <w:t>根据</w:t>
      </w:r>
      <w:r w:rsidR="00C13041" w:rsidRPr="00D630D1">
        <w:rPr>
          <w:rFonts w:hint="eastAsia"/>
        </w:rPr>
        <w:t>“</w:t>
      </w:r>
      <w:r>
        <w:rPr>
          <w:rFonts w:eastAsiaTheme="minorEastAsia" w:hAnsiTheme="minorEastAsia" w:hint="eastAsia"/>
        </w:rPr>
        <w:t>普光气田</w:t>
      </w:r>
      <w:r w:rsidRPr="005556D5">
        <w:rPr>
          <w:rFonts w:eastAsiaTheme="minorEastAsia" w:hAnsiTheme="minorEastAsia"/>
        </w:rPr>
        <w:t>普陆</w:t>
      </w:r>
      <w:r w:rsidRPr="005556D5">
        <w:rPr>
          <w:rFonts w:eastAsiaTheme="minorEastAsia"/>
        </w:rPr>
        <w:t>3-1</w:t>
      </w:r>
      <w:r w:rsidRPr="005556D5">
        <w:rPr>
          <w:rFonts w:eastAsiaTheme="minorEastAsia" w:hAnsiTheme="minorEastAsia"/>
        </w:rPr>
        <w:t>井、普陆</w:t>
      </w:r>
      <w:r w:rsidRPr="005556D5">
        <w:rPr>
          <w:rFonts w:eastAsiaTheme="minorEastAsia"/>
        </w:rPr>
        <w:t>3-2</w:t>
      </w:r>
      <w:r w:rsidRPr="005556D5">
        <w:rPr>
          <w:rFonts w:eastAsiaTheme="minorEastAsia" w:hAnsiTheme="minorEastAsia"/>
        </w:rPr>
        <w:t>井钻井及试采工程</w:t>
      </w:r>
      <w:r w:rsidR="00C13041" w:rsidRPr="00D630D1">
        <w:rPr>
          <w:rFonts w:hint="eastAsia"/>
        </w:rPr>
        <w:t>”监测情况</w:t>
      </w:r>
      <w:r w:rsidR="008B5B84" w:rsidRPr="00D630D1">
        <w:t>，共布设</w:t>
      </w:r>
      <w:r>
        <w:rPr>
          <w:rFonts w:hint="eastAsia"/>
        </w:rPr>
        <w:t>1</w:t>
      </w:r>
      <w:r w:rsidR="008B5B84" w:rsidRPr="00D630D1">
        <w:t>个大气环境监测点，</w:t>
      </w:r>
      <w:bookmarkStart w:id="433" w:name="OLE_LINK16"/>
      <w:r w:rsidR="00D93A24" w:rsidRPr="00D630D1">
        <w:rPr>
          <w:rFonts w:hint="eastAsia"/>
        </w:rPr>
        <w:t>位于</w:t>
      </w:r>
      <w:r w:rsidRPr="00280A35">
        <w:rPr>
          <w:rFonts w:hint="eastAsia"/>
          <w:bCs/>
        </w:rPr>
        <w:t>原普光</w:t>
      </w:r>
      <w:r w:rsidRPr="00280A35">
        <w:rPr>
          <w:rFonts w:hint="eastAsia"/>
          <w:bCs/>
        </w:rPr>
        <w:t>12</w:t>
      </w:r>
      <w:r w:rsidRPr="00280A35">
        <w:rPr>
          <w:rFonts w:hint="eastAsia"/>
          <w:bCs/>
        </w:rPr>
        <w:t>井场内</w:t>
      </w:r>
      <w:bookmarkEnd w:id="433"/>
      <w:r w:rsidR="008B5B84" w:rsidRPr="00D630D1">
        <w:t>。</w:t>
      </w:r>
    </w:p>
    <w:p w:rsidR="00117C3D" w:rsidRPr="00D630D1" w:rsidRDefault="002C62CA" w:rsidP="00A30965">
      <w:pPr>
        <w:pStyle w:val="afa"/>
        <w:ind w:firstLine="480"/>
      </w:pPr>
      <w:r w:rsidRPr="00D630D1">
        <w:t>（</w:t>
      </w:r>
      <w:r w:rsidRPr="00D630D1">
        <w:t>2</w:t>
      </w:r>
      <w:r w:rsidRPr="00D630D1">
        <w:t>）</w:t>
      </w:r>
      <w:r w:rsidR="008B5B84" w:rsidRPr="00D630D1">
        <w:t>监测项目：</w:t>
      </w:r>
      <w:r w:rsidR="00280A35">
        <w:rPr>
          <w:rFonts w:hint="eastAsia"/>
        </w:rPr>
        <w:t>非甲烷总烃</w:t>
      </w:r>
      <w:r w:rsidRPr="00D630D1">
        <w:t>、硫化氢</w:t>
      </w:r>
      <w:r w:rsidR="00A30965" w:rsidRPr="00D630D1">
        <w:t>。</w:t>
      </w:r>
    </w:p>
    <w:p w:rsidR="00117C3D" w:rsidRPr="00D630D1" w:rsidRDefault="002C62CA" w:rsidP="00A30965">
      <w:pPr>
        <w:pStyle w:val="afa"/>
        <w:ind w:firstLine="480"/>
      </w:pPr>
      <w:r w:rsidRPr="00D630D1">
        <w:t>（</w:t>
      </w:r>
      <w:r w:rsidRPr="00D630D1">
        <w:t>3</w:t>
      </w:r>
      <w:r w:rsidRPr="00D630D1">
        <w:t>）</w:t>
      </w:r>
      <w:r w:rsidR="008B5B84" w:rsidRPr="00D630D1">
        <w:t>监测频次：连续采样</w:t>
      </w:r>
      <w:r w:rsidR="008B5B84" w:rsidRPr="00D630D1">
        <w:t>7</w:t>
      </w:r>
      <w:r w:rsidR="008B5B84" w:rsidRPr="00D630D1">
        <w:t>天。</w:t>
      </w:r>
    </w:p>
    <w:p w:rsidR="00117C3D" w:rsidRPr="00D630D1" w:rsidRDefault="002C62CA" w:rsidP="00A30965">
      <w:pPr>
        <w:pStyle w:val="afa"/>
        <w:ind w:firstLine="480"/>
      </w:pPr>
      <w:r w:rsidRPr="00D630D1">
        <w:t>（</w:t>
      </w:r>
      <w:r w:rsidRPr="00D630D1">
        <w:t>4</w:t>
      </w:r>
      <w:r w:rsidRPr="00D630D1">
        <w:t>）</w:t>
      </w:r>
      <w:r w:rsidR="008B5B84" w:rsidRPr="00D630D1">
        <w:t>采样及分析方法</w:t>
      </w:r>
    </w:p>
    <w:p w:rsidR="00117C3D" w:rsidRPr="00D630D1" w:rsidRDefault="008B5B84" w:rsidP="00A30965">
      <w:pPr>
        <w:pStyle w:val="afa"/>
        <w:ind w:firstLine="480"/>
      </w:pPr>
      <w:r w:rsidRPr="00D630D1">
        <w:t>采样及分析方法按国家有关规定进行。</w:t>
      </w:r>
    </w:p>
    <w:p w:rsidR="00117C3D" w:rsidRPr="00D630D1" w:rsidRDefault="002C62CA" w:rsidP="00A30965">
      <w:pPr>
        <w:pStyle w:val="afa"/>
        <w:ind w:firstLine="480"/>
      </w:pPr>
      <w:r w:rsidRPr="00D630D1">
        <w:t>（</w:t>
      </w:r>
      <w:r w:rsidRPr="00D630D1">
        <w:t>5</w:t>
      </w:r>
      <w:r w:rsidRPr="00D630D1">
        <w:t>）</w:t>
      </w:r>
      <w:r w:rsidR="008B5B84" w:rsidRPr="00D630D1">
        <w:t>评价标准</w:t>
      </w:r>
    </w:p>
    <w:p w:rsidR="002C62CA" w:rsidRPr="00D630D1" w:rsidRDefault="00280A35" w:rsidP="00280A35">
      <w:pPr>
        <w:pStyle w:val="afa"/>
        <w:ind w:firstLine="480"/>
      </w:pPr>
      <w:r>
        <w:rPr>
          <w:rFonts w:hint="eastAsia"/>
        </w:rPr>
        <w:t>本次非甲烷总烃环境质量现状评价，执行标准采用《大气污染物综合排放标准详解》浓度限值</w:t>
      </w:r>
      <w:r>
        <w:rPr>
          <w:rFonts w:hint="eastAsia"/>
        </w:rPr>
        <w:t xml:space="preserve"> 2.0mg/m</w:t>
      </w:r>
      <w:r w:rsidRPr="00280A35">
        <w:rPr>
          <w:rFonts w:hint="eastAsia"/>
          <w:vertAlign w:val="superscript"/>
        </w:rPr>
        <w:t>3</w:t>
      </w:r>
      <w:r>
        <w:rPr>
          <w:rFonts w:hint="eastAsia"/>
        </w:rPr>
        <w:t>；</w:t>
      </w:r>
      <w:r w:rsidR="00A30965" w:rsidRPr="00D630D1">
        <w:t>硫化氢环境质量现状评价，执行标准采用《环境影响评价技术导则大气环境》（</w:t>
      </w:r>
      <w:r w:rsidR="00A30965" w:rsidRPr="00D630D1">
        <w:t>HJ2.2-2018</w:t>
      </w:r>
      <w:r w:rsidR="00A30965" w:rsidRPr="00D630D1">
        <w:t>）中附录</w:t>
      </w:r>
      <w:r w:rsidR="00A30965" w:rsidRPr="00D630D1">
        <w:t>D</w:t>
      </w:r>
      <w:r w:rsidR="00A30965" w:rsidRPr="00D630D1">
        <w:t>浓度限值</w:t>
      </w:r>
      <w:r w:rsidR="00A30965" w:rsidRPr="00D630D1">
        <w:t>10μg/m</w:t>
      </w:r>
      <w:r w:rsidR="00A30965" w:rsidRPr="00D630D1">
        <w:rPr>
          <w:vertAlign w:val="superscript"/>
        </w:rPr>
        <w:t>3</w:t>
      </w:r>
      <w:r w:rsidR="007F4C87" w:rsidRPr="00D630D1">
        <w:rPr>
          <w:rFonts w:hint="eastAsia"/>
        </w:rPr>
        <w:t>。</w:t>
      </w:r>
    </w:p>
    <w:p w:rsidR="00117C3D" w:rsidRPr="00D630D1" w:rsidRDefault="002C62CA" w:rsidP="00A30965">
      <w:pPr>
        <w:pStyle w:val="afa"/>
        <w:ind w:firstLine="480"/>
      </w:pPr>
      <w:r w:rsidRPr="00D630D1">
        <w:t>（</w:t>
      </w:r>
      <w:r w:rsidRPr="00D630D1">
        <w:t>6</w:t>
      </w:r>
      <w:r w:rsidRPr="00D630D1">
        <w:t>）</w:t>
      </w:r>
      <w:r w:rsidR="008B5B84" w:rsidRPr="00D630D1">
        <w:t>评价方法</w:t>
      </w:r>
    </w:p>
    <w:p w:rsidR="00117C3D" w:rsidRPr="00D630D1" w:rsidRDefault="008B5B84" w:rsidP="00A30965">
      <w:pPr>
        <w:pStyle w:val="afa"/>
        <w:ind w:firstLine="480"/>
      </w:pPr>
      <w:r w:rsidRPr="00D630D1">
        <w:t>根据《环境影响评价技术导则大气环境》（</w:t>
      </w:r>
      <w:r w:rsidRPr="00D630D1">
        <w:t>HJ2.2-2018</w:t>
      </w:r>
      <w:r w:rsidRPr="00D630D1">
        <w:t>），采用最大监测浓度占标率对评价区域大气环境质量现状进行评价，评价模式如下：</w:t>
      </w:r>
    </w:p>
    <w:p w:rsidR="00117C3D" w:rsidRPr="00D630D1" w:rsidRDefault="009913C3" w:rsidP="00A30965">
      <w:pPr>
        <w:pStyle w:val="afa"/>
        <w:ind w:firstLine="480"/>
      </w:pPr>
      <m:oMathPara>
        <m:oMath>
          <m:sSub>
            <m:sSubPr>
              <m:ctrlPr>
                <w:rPr>
                  <w:rFonts w:ascii="Cambria Math" w:hAnsi="Cambria Math"/>
                  <w:kern w:val="2"/>
                </w:rPr>
              </m:ctrlPr>
            </m:sSubPr>
            <m:e>
              <m:r>
                <m:rPr>
                  <m:sty m:val="p"/>
                </m:rPr>
                <w:rPr>
                  <w:rFonts w:ascii="Cambria Math" w:hAnsi="Cambria Math"/>
                </w:rPr>
                <m:t>P</m:t>
              </m:r>
            </m:e>
            <m:sub>
              <m:r>
                <m:rPr>
                  <m:sty m:val="p"/>
                </m:rPr>
                <w:rPr>
                  <w:rFonts w:ascii="Cambria Math" w:hAnsi="Cambria Math"/>
                </w:rPr>
                <m:t>i</m:t>
              </m:r>
            </m:sub>
          </m:sSub>
          <m:r>
            <m:rPr>
              <m:sty m:val="p"/>
            </m:rPr>
            <w:rPr>
              <w:rFonts w:ascii="Cambria Math" w:hAnsi="Cambria Math"/>
            </w:rPr>
            <m:t>=</m:t>
          </m:r>
          <m:f>
            <m:fPr>
              <m:ctrlPr>
                <w:rPr>
                  <w:rFonts w:ascii="Cambria Math" w:hAnsi="Cambria Math"/>
                  <w:kern w:val="2"/>
                </w:rPr>
              </m:ctrlPr>
            </m:fPr>
            <m:num>
              <m:sSub>
                <m:sSubPr>
                  <m:ctrlPr>
                    <w:rPr>
                      <w:rFonts w:ascii="Cambria Math" w:hAnsi="Cambria Math"/>
                      <w:kern w:val="2"/>
                    </w:rPr>
                  </m:ctrlPr>
                </m:sSubPr>
                <m:e>
                  <m:r>
                    <m:rPr>
                      <m:sty m:val="p"/>
                    </m:rPr>
                    <w:rPr>
                      <w:rFonts w:ascii="Cambria Math" w:hAnsi="Cambria Math"/>
                    </w:rPr>
                    <m:t>C</m:t>
                  </m:r>
                </m:e>
                <m:sub>
                  <m:r>
                    <m:rPr>
                      <m:sty m:val="p"/>
                    </m:rPr>
                    <w:rPr>
                      <w:rFonts w:ascii="Cambria Math" w:hAnsi="Cambria Math"/>
                    </w:rPr>
                    <m:t>i</m:t>
                  </m:r>
                </m:sub>
              </m:sSub>
            </m:num>
            <m:den>
              <m:sSub>
                <m:sSubPr>
                  <m:ctrlPr>
                    <w:rPr>
                      <w:rFonts w:ascii="Cambria Math" w:hAnsi="Cambria Math"/>
                      <w:kern w:val="2"/>
                    </w:rPr>
                  </m:ctrlPr>
                </m:sSubPr>
                <m:e>
                  <m:r>
                    <m:rPr>
                      <m:sty m:val="p"/>
                    </m:rPr>
                    <w:rPr>
                      <w:rFonts w:ascii="Cambria Math" w:hAnsi="Cambria Math"/>
                    </w:rPr>
                    <m:t>C</m:t>
                  </m:r>
                </m:e>
                <m:sub>
                  <m:r>
                    <m:rPr>
                      <m:sty m:val="p"/>
                    </m:rPr>
                    <w:rPr>
                      <w:rFonts w:ascii="Cambria Math" w:hAnsi="Cambria Math"/>
                    </w:rPr>
                    <m:t>oi</m:t>
                  </m:r>
                </m:sub>
              </m:sSub>
              <m:ctrlPr>
                <w:rPr>
                  <w:rFonts w:ascii="Cambria Math" w:hAnsi="Cambria Math"/>
                  <w:i/>
                  <w:kern w:val="2"/>
                </w:rPr>
              </m:ctrlPr>
            </m:den>
          </m:f>
          <m:r>
            <m:rPr>
              <m:sty m:val="p"/>
            </m:rPr>
            <w:rPr>
              <w:rFonts w:ascii="Cambria Math" w:hAnsi="Cambria Math"/>
            </w:rPr>
            <m:t>×100%</m:t>
          </m:r>
        </m:oMath>
      </m:oMathPara>
    </w:p>
    <w:p w:rsidR="00117C3D" w:rsidRPr="00D630D1" w:rsidRDefault="008B5B84" w:rsidP="00A30965">
      <w:pPr>
        <w:pStyle w:val="afa"/>
        <w:ind w:firstLine="480"/>
      </w:pPr>
      <w:r w:rsidRPr="00D630D1">
        <w:lastRenderedPageBreak/>
        <w:t>P</w:t>
      </w:r>
      <w:r w:rsidRPr="00D630D1">
        <w:rPr>
          <w:sz w:val="16"/>
          <w:szCs w:val="16"/>
        </w:rPr>
        <w:t>i</w:t>
      </w:r>
      <w:r w:rsidRPr="00D630D1">
        <w:t>——</w:t>
      </w:r>
      <w:r w:rsidRPr="00D630D1">
        <w:t>为第</w:t>
      </w:r>
      <w:r w:rsidRPr="00D630D1">
        <w:t>i</w:t>
      </w:r>
      <w:r w:rsidRPr="00D630D1">
        <w:t>个污染物的最大监测浓度占标率，</w:t>
      </w:r>
      <w:r w:rsidRPr="00D630D1">
        <w:t>%</w:t>
      </w:r>
      <w:r w:rsidRPr="00D630D1">
        <w:t>；</w:t>
      </w:r>
    </w:p>
    <w:p w:rsidR="00117C3D" w:rsidRPr="00D630D1" w:rsidRDefault="008B5B84" w:rsidP="00A30965">
      <w:pPr>
        <w:pStyle w:val="afa"/>
        <w:ind w:firstLine="480"/>
      </w:pPr>
      <w:r w:rsidRPr="00D630D1">
        <w:t>C</w:t>
      </w:r>
      <w:r w:rsidRPr="00D630D1">
        <w:rPr>
          <w:sz w:val="16"/>
          <w:szCs w:val="16"/>
        </w:rPr>
        <w:t>i</w:t>
      </w:r>
      <w:r w:rsidRPr="00D630D1">
        <w:t>——</w:t>
      </w:r>
      <w:r w:rsidRPr="00D630D1">
        <w:t>为第</w:t>
      </w:r>
      <w:r w:rsidRPr="00D630D1">
        <w:t>i</w:t>
      </w:r>
      <w:r w:rsidRPr="00D630D1">
        <w:t>个污染因子的最大实测浓度（</w:t>
      </w:r>
      <w:r w:rsidRPr="00D630D1">
        <w:t>mg/m</w:t>
      </w:r>
      <w:r w:rsidRPr="00D630D1">
        <w:rPr>
          <w:vertAlign w:val="superscript"/>
        </w:rPr>
        <w:t>3</w:t>
      </w:r>
      <w:r w:rsidRPr="00D630D1">
        <w:t>）；</w:t>
      </w:r>
    </w:p>
    <w:p w:rsidR="00117C3D" w:rsidRPr="00D630D1" w:rsidRDefault="008B5B84" w:rsidP="00A30965">
      <w:pPr>
        <w:pStyle w:val="afa"/>
        <w:ind w:firstLine="480"/>
      </w:pPr>
      <w:r w:rsidRPr="00D630D1">
        <w:t>C</w:t>
      </w:r>
      <w:r w:rsidRPr="00D630D1">
        <w:rPr>
          <w:sz w:val="16"/>
          <w:szCs w:val="16"/>
        </w:rPr>
        <w:t>oi</w:t>
      </w:r>
      <w:r w:rsidRPr="00D630D1">
        <w:t>——</w:t>
      </w:r>
      <w:r w:rsidRPr="00D630D1">
        <w:t>为第</w:t>
      </w:r>
      <w:r w:rsidRPr="00D630D1">
        <w:t>i</w:t>
      </w:r>
      <w:r w:rsidRPr="00D630D1">
        <w:t>个污染物相对应的评价标准（</w:t>
      </w:r>
      <w:r w:rsidRPr="00D630D1">
        <w:t>mg/m</w:t>
      </w:r>
      <w:r w:rsidRPr="00D630D1">
        <w:rPr>
          <w:vertAlign w:val="superscript"/>
        </w:rPr>
        <w:t>3</w:t>
      </w:r>
      <w:r w:rsidRPr="00D630D1">
        <w:t>）。</w:t>
      </w:r>
    </w:p>
    <w:p w:rsidR="00117C3D" w:rsidRPr="00D630D1" w:rsidRDefault="008B5B84" w:rsidP="00A30965">
      <w:pPr>
        <w:pStyle w:val="afa"/>
        <w:ind w:firstLine="480"/>
      </w:pPr>
      <w:r w:rsidRPr="00D630D1">
        <w:t>根据</w:t>
      </w:r>
      <w:r w:rsidRPr="00D630D1">
        <w:t>HJ2.2-2018</w:t>
      </w:r>
      <w:r w:rsidRPr="00D630D1">
        <w:t>，现状监测结果以列表的方式给出各监测点大气污染物的不同取值时间的变化范围，并给出各取值时间最大浓度值占相应标准浓度限值的百分比和超标率，并评价达标情况。</w:t>
      </w:r>
    </w:p>
    <w:p w:rsidR="008B4E08" w:rsidRPr="00D630D1" w:rsidRDefault="00A30965">
      <w:pPr>
        <w:pStyle w:val="a1"/>
        <w:ind w:firstLine="480"/>
        <w:rPr>
          <w:rFonts w:ascii="Times New Roman" w:cs="Times New Roman"/>
        </w:rPr>
      </w:pPr>
      <w:r w:rsidRPr="00D630D1">
        <w:rPr>
          <w:rFonts w:ascii="Times New Roman" w:cs="Times New Roman"/>
        </w:rPr>
        <w:t>（</w:t>
      </w:r>
      <w:r w:rsidRPr="00D630D1">
        <w:rPr>
          <w:rFonts w:ascii="Times New Roman" w:cs="Times New Roman"/>
        </w:rPr>
        <w:t>7</w:t>
      </w:r>
      <w:r w:rsidRPr="00D630D1">
        <w:rPr>
          <w:rFonts w:ascii="Times New Roman" w:cs="Times New Roman"/>
        </w:rPr>
        <w:t>）</w:t>
      </w:r>
      <w:r w:rsidR="008B5B84" w:rsidRPr="00D630D1">
        <w:rPr>
          <w:rFonts w:ascii="Times New Roman" w:cs="Times New Roman"/>
        </w:rPr>
        <w:t>监测结果及评价结论</w:t>
      </w:r>
    </w:p>
    <w:p w:rsidR="00A30965" w:rsidRDefault="00A30965" w:rsidP="00555FE4">
      <w:pPr>
        <w:pStyle w:val="10"/>
        <w:rPr>
          <w:rStyle w:val="CharCharf0"/>
          <w:rFonts w:cs="Times New Roman"/>
          <w:sz w:val="21"/>
          <w:vertAlign w:val="superscript"/>
        </w:rPr>
      </w:pPr>
      <w:r w:rsidRPr="00D630D1">
        <w:rPr>
          <w:rStyle w:val="CharCharf0"/>
          <w:rFonts w:cs="Times New Roman"/>
          <w:sz w:val="21"/>
        </w:rPr>
        <w:t>表</w:t>
      </w:r>
      <w:r w:rsidR="00555FE4" w:rsidRPr="00D630D1">
        <w:rPr>
          <w:rStyle w:val="CharCharf0"/>
          <w:rFonts w:cs="Times New Roman"/>
          <w:sz w:val="21"/>
        </w:rPr>
        <w:t>5.3-1</w:t>
      </w:r>
      <w:r w:rsidRPr="00D630D1">
        <w:rPr>
          <w:rStyle w:val="CharCharf0"/>
          <w:rFonts w:cs="Times New Roman"/>
          <w:sz w:val="21"/>
        </w:rPr>
        <w:t xml:space="preserve">  </w:t>
      </w:r>
      <w:r w:rsidRPr="00D630D1">
        <w:rPr>
          <w:rStyle w:val="CharCharf0"/>
          <w:rFonts w:cs="Times New Roman"/>
          <w:sz w:val="21"/>
        </w:rPr>
        <w:t>环境空气质量现状监测结果</w:t>
      </w:r>
      <w:r w:rsidRPr="00D630D1">
        <w:rPr>
          <w:rStyle w:val="CharCharf0"/>
          <w:rFonts w:cs="Times New Roman"/>
          <w:sz w:val="21"/>
        </w:rPr>
        <w:t xml:space="preserve"> </w:t>
      </w:r>
      <w:r w:rsidR="00C77CD8" w:rsidRPr="00D630D1">
        <w:rPr>
          <w:rStyle w:val="CharCharf0"/>
          <w:rFonts w:cs="Times New Roman"/>
          <w:sz w:val="21"/>
        </w:rPr>
        <w:t xml:space="preserve"> </w:t>
      </w:r>
      <w:r w:rsidRPr="00D630D1">
        <w:rPr>
          <w:rStyle w:val="CharCharf0"/>
          <w:rFonts w:cs="Times New Roman"/>
          <w:sz w:val="21"/>
        </w:rPr>
        <w:t>单位：</w:t>
      </w:r>
      <w:r w:rsidRPr="00D630D1">
        <w:rPr>
          <w:rStyle w:val="CharCharf0"/>
          <w:rFonts w:cs="Times New Roman"/>
          <w:sz w:val="21"/>
        </w:rPr>
        <w:t>mg/m</w:t>
      </w:r>
      <w:r w:rsidRPr="00D630D1">
        <w:rPr>
          <w:rStyle w:val="CharCharf0"/>
          <w:rFonts w:cs="Times New Roman"/>
          <w:sz w:val="21"/>
          <w:vertAlign w:val="superscript"/>
        </w:rPr>
        <w:t>3</w:t>
      </w:r>
    </w:p>
    <w:tbl>
      <w:tblPr>
        <w:tblW w:w="8796" w:type="dxa"/>
        <w:jc w:val="center"/>
        <w:tblBorders>
          <w:top w:val="single" w:sz="12" w:space="0" w:color="auto"/>
          <w:bottom w:val="single" w:sz="12" w:space="0" w:color="auto"/>
          <w:insideH w:val="single" w:sz="2" w:space="0" w:color="auto"/>
          <w:insideV w:val="single" w:sz="2" w:space="0" w:color="auto"/>
        </w:tblBorders>
        <w:tblLayout w:type="fixed"/>
        <w:tblLook w:val="04A0"/>
      </w:tblPr>
      <w:tblGrid>
        <w:gridCol w:w="1304"/>
        <w:gridCol w:w="1096"/>
        <w:gridCol w:w="1389"/>
        <w:gridCol w:w="1418"/>
        <w:gridCol w:w="1362"/>
        <w:gridCol w:w="1140"/>
        <w:gridCol w:w="1087"/>
      </w:tblGrid>
      <w:tr w:rsidR="00280A35" w:rsidRPr="00D630D1" w:rsidTr="00AE3108">
        <w:trPr>
          <w:trHeight w:val="183"/>
          <w:jc w:val="center"/>
        </w:trPr>
        <w:tc>
          <w:tcPr>
            <w:tcW w:w="1304" w:type="dxa"/>
            <w:tcBorders>
              <w:top w:val="single" w:sz="12" w:space="0" w:color="auto"/>
              <w:bottom w:val="single" w:sz="2" w:space="0" w:color="auto"/>
              <w:right w:val="single" w:sz="2" w:space="0" w:color="auto"/>
            </w:tcBorders>
            <w:shd w:val="clear" w:color="auto" w:fill="auto"/>
            <w:vAlign w:val="center"/>
          </w:tcPr>
          <w:p w:rsidR="00280A35" w:rsidRPr="00D630D1" w:rsidRDefault="00280A35" w:rsidP="00AE3108">
            <w:pPr>
              <w:pStyle w:val="aff2"/>
              <w:rPr>
                <w:b/>
                <w:bCs/>
              </w:rPr>
            </w:pPr>
            <w:r w:rsidRPr="00D630D1">
              <w:rPr>
                <w:b/>
                <w:bCs/>
              </w:rPr>
              <w:t>监测点位</w:t>
            </w:r>
          </w:p>
        </w:tc>
        <w:tc>
          <w:tcPr>
            <w:tcW w:w="1096" w:type="dxa"/>
            <w:tcBorders>
              <w:top w:val="single" w:sz="1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rPr>
                <w:b/>
                <w:bCs/>
                <w:szCs w:val="21"/>
              </w:rPr>
            </w:pPr>
            <w:r w:rsidRPr="00D630D1">
              <w:rPr>
                <w:b/>
                <w:bCs/>
                <w:szCs w:val="21"/>
              </w:rPr>
              <w:t>监测日期</w:t>
            </w:r>
          </w:p>
        </w:tc>
        <w:tc>
          <w:tcPr>
            <w:tcW w:w="1389" w:type="dxa"/>
            <w:tcBorders>
              <w:top w:val="single" w:sz="1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rPr>
                <w:b/>
                <w:bCs/>
                <w:szCs w:val="21"/>
              </w:rPr>
            </w:pPr>
            <w:r w:rsidRPr="00D630D1">
              <w:rPr>
                <w:b/>
                <w:bCs/>
                <w:szCs w:val="21"/>
              </w:rPr>
              <w:t>项目</w:t>
            </w:r>
          </w:p>
        </w:tc>
        <w:tc>
          <w:tcPr>
            <w:tcW w:w="1418" w:type="dxa"/>
            <w:tcBorders>
              <w:top w:val="single" w:sz="1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rPr>
                <w:b/>
                <w:bCs/>
              </w:rPr>
            </w:pPr>
            <w:r w:rsidRPr="00D630D1">
              <w:rPr>
                <w:rFonts w:hint="eastAsia"/>
                <w:b/>
                <w:bCs/>
              </w:rPr>
              <w:t>第一次</w:t>
            </w:r>
          </w:p>
        </w:tc>
        <w:tc>
          <w:tcPr>
            <w:tcW w:w="1362" w:type="dxa"/>
            <w:tcBorders>
              <w:top w:val="single" w:sz="1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rPr>
                <w:b/>
                <w:bCs/>
              </w:rPr>
            </w:pPr>
            <w:r w:rsidRPr="00D630D1">
              <w:rPr>
                <w:rFonts w:hint="eastAsia"/>
                <w:b/>
                <w:bCs/>
              </w:rPr>
              <w:t>第二次</w:t>
            </w:r>
          </w:p>
        </w:tc>
        <w:tc>
          <w:tcPr>
            <w:tcW w:w="1140" w:type="dxa"/>
            <w:tcBorders>
              <w:top w:val="single" w:sz="1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rPr>
                <w:b/>
                <w:bCs/>
              </w:rPr>
            </w:pPr>
            <w:r w:rsidRPr="00D630D1">
              <w:rPr>
                <w:rFonts w:hint="eastAsia"/>
                <w:b/>
                <w:bCs/>
              </w:rPr>
              <w:t>第三次</w:t>
            </w:r>
          </w:p>
        </w:tc>
        <w:tc>
          <w:tcPr>
            <w:tcW w:w="1087" w:type="dxa"/>
            <w:tcBorders>
              <w:top w:val="single" w:sz="12" w:space="0" w:color="auto"/>
              <w:left w:val="single" w:sz="2" w:space="0" w:color="auto"/>
              <w:bottom w:val="single" w:sz="2" w:space="0" w:color="auto"/>
            </w:tcBorders>
            <w:shd w:val="clear" w:color="auto" w:fill="auto"/>
            <w:vAlign w:val="center"/>
          </w:tcPr>
          <w:p w:rsidR="00280A35" w:rsidRPr="00D630D1" w:rsidRDefault="00280A35" w:rsidP="00AE3108">
            <w:pPr>
              <w:pStyle w:val="aff2"/>
              <w:rPr>
                <w:b/>
                <w:bCs/>
              </w:rPr>
            </w:pPr>
            <w:r w:rsidRPr="00D630D1">
              <w:rPr>
                <w:rFonts w:hint="eastAsia"/>
                <w:b/>
                <w:bCs/>
              </w:rPr>
              <w:t>第四次</w:t>
            </w:r>
          </w:p>
        </w:tc>
      </w:tr>
      <w:tr w:rsidR="00280A35" w:rsidRPr="00D630D1" w:rsidTr="00AE3108">
        <w:trPr>
          <w:trHeight w:val="288"/>
          <w:jc w:val="center"/>
        </w:trPr>
        <w:tc>
          <w:tcPr>
            <w:tcW w:w="1304" w:type="dxa"/>
            <w:vMerge w:val="restart"/>
            <w:tcBorders>
              <w:top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r w:rsidRPr="00280A35">
              <w:rPr>
                <w:rFonts w:hint="eastAsia"/>
                <w:bCs/>
                <w:szCs w:val="21"/>
              </w:rPr>
              <w:t>原普光</w:t>
            </w:r>
            <w:r w:rsidRPr="00280A35">
              <w:rPr>
                <w:rFonts w:hint="eastAsia"/>
                <w:bCs/>
                <w:szCs w:val="21"/>
              </w:rPr>
              <w:t>12</w:t>
            </w:r>
            <w:r w:rsidRPr="00280A35">
              <w:rPr>
                <w:rFonts w:hint="eastAsia"/>
                <w:bCs/>
                <w:szCs w:val="21"/>
              </w:rPr>
              <w:t>井场内</w:t>
            </w: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280A35" w:rsidRPr="00D630D1" w:rsidRDefault="00280A35" w:rsidP="00AE3108">
            <w:pPr>
              <w:pStyle w:val="aff2"/>
              <w:rPr>
                <w:szCs w:val="21"/>
                <w:highlight w:val="red"/>
              </w:rPr>
            </w:pPr>
            <w:r>
              <w:rPr>
                <w:rFonts w:hint="eastAsia"/>
              </w:rPr>
              <w:t>6</w:t>
            </w:r>
            <w:r w:rsidRPr="00D630D1">
              <w:t>.</w:t>
            </w:r>
            <w:r>
              <w:rPr>
                <w:rFonts w:hint="eastAsia"/>
              </w:rPr>
              <w:t>20</w:t>
            </w:r>
          </w:p>
        </w:tc>
        <w:tc>
          <w:tcPr>
            <w:tcW w:w="1389"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rPr>
                <w:szCs w:val="21"/>
              </w:rPr>
            </w:pPr>
            <w:r>
              <w:rPr>
                <w:rFonts w:hint="eastAsia"/>
                <w:szCs w:val="21"/>
              </w:rPr>
              <w:t>非甲烷总烃</w:t>
            </w: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rPr>
                <w:szCs w:val="18"/>
              </w:rPr>
            </w:pPr>
            <w:r>
              <w:rPr>
                <w:rFonts w:hint="eastAsia"/>
                <w:szCs w:val="21"/>
              </w:rPr>
              <w:t>0.34</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rPr>
                <w:szCs w:val="18"/>
              </w:rPr>
            </w:pPr>
            <w:r>
              <w:rPr>
                <w:rFonts w:hint="eastAsia"/>
                <w:szCs w:val="21"/>
              </w:rPr>
              <w:t>0.43</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rPr>
                <w:szCs w:val="18"/>
              </w:rPr>
            </w:pPr>
            <w:r>
              <w:rPr>
                <w:rFonts w:hint="eastAsia"/>
                <w:szCs w:val="21"/>
              </w:rPr>
              <w:t>0.41</w:t>
            </w:r>
          </w:p>
        </w:tc>
        <w:tc>
          <w:tcPr>
            <w:tcW w:w="1087" w:type="dxa"/>
            <w:tcBorders>
              <w:top w:val="single" w:sz="2" w:space="0" w:color="auto"/>
              <w:left w:val="single" w:sz="2" w:space="0" w:color="auto"/>
              <w:bottom w:val="single" w:sz="2" w:space="0" w:color="auto"/>
            </w:tcBorders>
            <w:shd w:val="clear" w:color="auto" w:fill="auto"/>
            <w:vAlign w:val="center"/>
          </w:tcPr>
          <w:p w:rsidR="00280A35" w:rsidRPr="00D630D1" w:rsidRDefault="00280A35" w:rsidP="00AE3108">
            <w:pPr>
              <w:pStyle w:val="aff2"/>
              <w:rPr>
                <w:szCs w:val="18"/>
              </w:rPr>
            </w:pPr>
            <w:r>
              <w:rPr>
                <w:rFonts w:hint="eastAsia"/>
                <w:szCs w:val="21"/>
              </w:rPr>
              <w:t>0.28</w:t>
            </w:r>
          </w:p>
        </w:tc>
      </w:tr>
      <w:tr w:rsidR="00280A35" w:rsidRPr="00D630D1" w:rsidTr="00AE3108">
        <w:trPr>
          <w:trHeight w:val="242"/>
          <w:jc w:val="center"/>
        </w:trPr>
        <w:tc>
          <w:tcPr>
            <w:tcW w:w="1304" w:type="dxa"/>
            <w:vMerge/>
            <w:tcBorders>
              <w:top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280A35" w:rsidRPr="00D630D1" w:rsidRDefault="00280A35" w:rsidP="00AE3108">
            <w:pPr>
              <w:pStyle w:val="aff2"/>
              <w:rPr>
                <w:highlight w:val="red"/>
              </w:rPr>
            </w:pPr>
            <w:r>
              <w:rPr>
                <w:rFonts w:hint="eastAsia"/>
              </w:rPr>
              <w:t>6</w:t>
            </w:r>
            <w:r w:rsidRPr="00D630D1">
              <w:t>.</w:t>
            </w:r>
            <w:r>
              <w:rPr>
                <w:rFonts w:hint="eastAsia"/>
              </w:rPr>
              <w:t>21</w:t>
            </w:r>
          </w:p>
        </w:tc>
        <w:tc>
          <w:tcPr>
            <w:tcW w:w="1389" w:type="dxa"/>
            <w:vMerge/>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0.66</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0.38</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0.37</w:t>
            </w:r>
          </w:p>
        </w:tc>
        <w:tc>
          <w:tcPr>
            <w:tcW w:w="1087" w:type="dxa"/>
            <w:tcBorders>
              <w:top w:val="single" w:sz="2" w:space="0" w:color="auto"/>
              <w:left w:val="single" w:sz="2" w:space="0" w:color="auto"/>
              <w:bottom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0.40</w:t>
            </w:r>
          </w:p>
        </w:tc>
      </w:tr>
      <w:tr w:rsidR="00280A35" w:rsidRPr="00D630D1" w:rsidTr="00AE3108">
        <w:trPr>
          <w:trHeight w:val="242"/>
          <w:jc w:val="center"/>
        </w:trPr>
        <w:tc>
          <w:tcPr>
            <w:tcW w:w="1304" w:type="dxa"/>
            <w:vMerge/>
            <w:tcBorders>
              <w:top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280A35" w:rsidRPr="00D630D1" w:rsidRDefault="00280A35" w:rsidP="00AE3108">
            <w:pPr>
              <w:pStyle w:val="aff2"/>
              <w:rPr>
                <w:highlight w:val="red"/>
              </w:rPr>
            </w:pPr>
            <w:r>
              <w:rPr>
                <w:rFonts w:hint="eastAsia"/>
              </w:rPr>
              <w:t>6</w:t>
            </w:r>
            <w:r w:rsidRPr="00D630D1">
              <w:t>.</w:t>
            </w:r>
            <w:r>
              <w:rPr>
                <w:rFonts w:hint="eastAsia"/>
              </w:rPr>
              <w:t>22</w:t>
            </w:r>
          </w:p>
        </w:tc>
        <w:tc>
          <w:tcPr>
            <w:tcW w:w="1389" w:type="dxa"/>
            <w:vMerge/>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0.36</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0.49</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rPr>
                <w:szCs w:val="18"/>
              </w:rPr>
            </w:pPr>
            <w:r>
              <w:rPr>
                <w:rFonts w:hint="eastAsia"/>
                <w:szCs w:val="21"/>
              </w:rPr>
              <w:t>0.41</w:t>
            </w:r>
          </w:p>
        </w:tc>
        <w:tc>
          <w:tcPr>
            <w:tcW w:w="1087" w:type="dxa"/>
            <w:tcBorders>
              <w:top w:val="single" w:sz="2" w:space="0" w:color="auto"/>
              <w:left w:val="single" w:sz="2" w:space="0" w:color="auto"/>
              <w:bottom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0.33</w:t>
            </w:r>
          </w:p>
        </w:tc>
      </w:tr>
      <w:tr w:rsidR="00280A35" w:rsidRPr="00D630D1" w:rsidTr="00AE3108">
        <w:trPr>
          <w:trHeight w:val="242"/>
          <w:jc w:val="center"/>
        </w:trPr>
        <w:tc>
          <w:tcPr>
            <w:tcW w:w="1304" w:type="dxa"/>
            <w:vMerge/>
            <w:tcBorders>
              <w:top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280A35" w:rsidRPr="00D630D1" w:rsidRDefault="00280A35" w:rsidP="00AE3108">
            <w:pPr>
              <w:pStyle w:val="aff2"/>
              <w:rPr>
                <w:highlight w:val="red"/>
              </w:rPr>
            </w:pPr>
            <w:r>
              <w:rPr>
                <w:rFonts w:hint="eastAsia"/>
              </w:rPr>
              <w:t>6</w:t>
            </w:r>
            <w:r w:rsidRPr="00D630D1">
              <w:t>.</w:t>
            </w:r>
            <w:r>
              <w:rPr>
                <w:rFonts w:hint="eastAsia"/>
              </w:rPr>
              <w:t>23</w:t>
            </w:r>
          </w:p>
        </w:tc>
        <w:tc>
          <w:tcPr>
            <w:tcW w:w="1389" w:type="dxa"/>
            <w:vMerge/>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0.58</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0.73</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0.37</w:t>
            </w:r>
          </w:p>
        </w:tc>
        <w:tc>
          <w:tcPr>
            <w:tcW w:w="1087" w:type="dxa"/>
            <w:tcBorders>
              <w:top w:val="single" w:sz="2" w:space="0" w:color="auto"/>
              <w:left w:val="single" w:sz="2" w:space="0" w:color="auto"/>
              <w:bottom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0.39</w:t>
            </w:r>
          </w:p>
        </w:tc>
      </w:tr>
      <w:tr w:rsidR="00280A35" w:rsidRPr="00D630D1" w:rsidTr="00AE3108">
        <w:trPr>
          <w:trHeight w:val="242"/>
          <w:jc w:val="center"/>
        </w:trPr>
        <w:tc>
          <w:tcPr>
            <w:tcW w:w="1304" w:type="dxa"/>
            <w:vMerge/>
            <w:tcBorders>
              <w:top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280A35" w:rsidRPr="00D630D1" w:rsidRDefault="00280A35" w:rsidP="00AE3108">
            <w:pPr>
              <w:pStyle w:val="aff2"/>
              <w:rPr>
                <w:highlight w:val="red"/>
              </w:rPr>
            </w:pPr>
            <w:r>
              <w:rPr>
                <w:rFonts w:hint="eastAsia"/>
              </w:rPr>
              <w:t>6</w:t>
            </w:r>
            <w:r w:rsidRPr="00D630D1">
              <w:t>.</w:t>
            </w:r>
            <w:r>
              <w:rPr>
                <w:rFonts w:hint="eastAsia"/>
              </w:rPr>
              <w:t>24</w:t>
            </w:r>
          </w:p>
        </w:tc>
        <w:tc>
          <w:tcPr>
            <w:tcW w:w="1389" w:type="dxa"/>
            <w:vMerge/>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0.28</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0.28</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0.28</w:t>
            </w:r>
          </w:p>
        </w:tc>
        <w:tc>
          <w:tcPr>
            <w:tcW w:w="1087" w:type="dxa"/>
            <w:tcBorders>
              <w:top w:val="single" w:sz="2" w:space="0" w:color="auto"/>
              <w:left w:val="single" w:sz="2" w:space="0" w:color="auto"/>
              <w:bottom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0.29</w:t>
            </w:r>
          </w:p>
        </w:tc>
      </w:tr>
      <w:tr w:rsidR="00280A35" w:rsidRPr="00D630D1" w:rsidTr="00AE3108">
        <w:trPr>
          <w:trHeight w:val="242"/>
          <w:jc w:val="center"/>
        </w:trPr>
        <w:tc>
          <w:tcPr>
            <w:tcW w:w="1304" w:type="dxa"/>
            <w:vMerge/>
            <w:tcBorders>
              <w:top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280A35" w:rsidRPr="00D630D1" w:rsidRDefault="00280A35" w:rsidP="00AE3108">
            <w:pPr>
              <w:pStyle w:val="aff2"/>
              <w:rPr>
                <w:highlight w:val="red"/>
              </w:rPr>
            </w:pPr>
            <w:r>
              <w:rPr>
                <w:rFonts w:hint="eastAsia"/>
              </w:rPr>
              <w:t>6</w:t>
            </w:r>
            <w:r w:rsidRPr="00D630D1">
              <w:t>.</w:t>
            </w:r>
            <w:r>
              <w:rPr>
                <w:rFonts w:hint="eastAsia"/>
              </w:rPr>
              <w:t>25</w:t>
            </w:r>
          </w:p>
        </w:tc>
        <w:tc>
          <w:tcPr>
            <w:tcW w:w="1389" w:type="dxa"/>
            <w:vMerge/>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0.27</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0.25</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0.26</w:t>
            </w:r>
          </w:p>
        </w:tc>
        <w:tc>
          <w:tcPr>
            <w:tcW w:w="1087" w:type="dxa"/>
            <w:tcBorders>
              <w:top w:val="single" w:sz="2" w:space="0" w:color="auto"/>
              <w:left w:val="single" w:sz="2" w:space="0" w:color="auto"/>
              <w:bottom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0.27</w:t>
            </w:r>
          </w:p>
        </w:tc>
      </w:tr>
      <w:tr w:rsidR="00280A35" w:rsidRPr="00D630D1" w:rsidTr="00AE3108">
        <w:trPr>
          <w:trHeight w:val="100"/>
          <w:jc w:val="center"/>
        </w:trPr>
        <w:tc>
          <w:tcPr>
            <w:tcW w:w="1304" w:type="dxa"/>
            <w:vMerge/>
            <w:tcBorders>
              <w:top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280A35" w:rsidRPr="00D630D1" w:rsidRDefault="00280A35" w:rsidP="00AE3108">
            <w:pPr>
              <w:pStyle w:val="aff2"/>
              <w:rPr>
                <w:highlight w:val="red"/>
              </w:rPr>
            </w:pPr>
            <w:r>
              <w:rPr>
                <w:rFonts w:hint="eastAsia"/>
              </w:rPr>
              <w:t>6</w:t>
            </w:r>
            <w:r w:rsidRPr="00D630D1">
              <w:t>.</w:t>
            </w:r>
            <w:r>
              <w:rPr>
                <w:rFonts w:hint="eastAsia"/>
              </w:rPr>
              <w:t>26</w:t>
            </w:r>
          </w:p>
        </w:tc>
        <w:tc>
          <w:tcPr>
            <w:tcW w:w="1389" w:type="dxa"/>
            <w:vMerge/>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AE3108">
            <w:pPr>
              <w:pStyle w:val="aff2"/>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0.29</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0.29</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0.30</w:t>
            </w:r>
          </w:p>
        </w:tc>
        <w:tc>
          <w:tcPr>
            <w:tcW w:w="1087" w:type="dxa"/>
            <w:tcBorders>
              <w:top w:val="single" w:sz="2" w:space="0" w:color="auto"/>
              <w:left w:val="single" w:sz="2" w:space="0" w:color="auto"/>
              <w:bottom w:val="single" w:sz="2" w:space="0" w:color="auto"/>
            </w:tcBorders>
            <w:shd w:val="clear" w:color="auto" w:fill="auto"/>
            <w:vAlign w:val="center"/>
          </w:tcPr>
          <w:p w:rsidR="00280A35" w:rsidRPr="00D630D1" w:rsidRDefault="00280A35" w:rsidP="00280A35">
            <w:pPr>
              <w:pStyle w:val="aff2"/>
              <w:rPr>
                <w:szCs w:val="18"/>
              </w:rPr>
            </w:pPr>
            <w:r>
              <w:rPr>
                <w:rFonts w:hint="eastAsia"/>
                <w:szCs w:val="21"/>
              </w:rPr>
              <w:t>0.29</w:t>
            </w:r>
          </w:p>
        </w:tc>
      </w:tr>
    </w:tbl>
    <w:p w:rsidR="00F5377F" w:rsidRPr="00D630D1" w:rsidRDefault="00F5377F" w:rsidP="00F5377F">
      <w:pPr>
        <w:pStyle w:val="10"/>
        <w:rPr>
          <w:rStyle w:val="CharCharf0"/>
          <w:rFonts w:cs="Times New Roman"/>
          <w:sz w:val="21"/>
        </w:rPr>
      </w:pPr>
      <w:r w:rsidRPr="00D630D1">
        <w:rPr>
          <w:rStyle w:val="CharCharf0"/>
          <w:rFonts w:cs="Times New Roman"/>
          <w:sz w:val="21"/>
        </w:rPr>
        <w:t>表</w:t>
      </w:r>
      <w:r w:rsidRPr="00D630D1">
        <w:rPr>
          <w:rStyle w:val="CharCharf0"/>
          <w:rFonts w:cs="Times New Roman"/>
          <w:sz w:val="21"/>
        </w:rPr>
        <w:t xml:space="preserve">5.3-2  </w:t>
      </w:r>
      <w:r w:rsidRPr="00D630D1">
        <w:rPr>
          <w:rStyle w:val="CharCharf0"/>
          <w:rFonts w:cs="Times New Roman"/>
          <w:sz w:val="21"/>
        </w:rPr>
        <w:t>环境空气质量现状监测结果</w:t>
      </w:r>
      <w:r w:rsidRPr="00D630D1">
        <w:rPr>
          <w:rStyle w:val="CharCharf0"/>
          <w:rFonts w:cs="Times New Roman"/>
          <w:sz w:val="21"/>
        </w:rPr>
        <w:t xml:space="preserve"> </w:t>
      </w:r>
      <w:r w:rsidRPr="00D630D1">
        <w:rPr>
          <w:rStyle w:val="CharCharf0"/>
          <w:rFonts w:cs="Times New Roman"/>
          <w:sz w:val="21"/>
        </w:rPr>
        <w:t>单位：</w:t>
      </w:r>
      <w:r w:rsidRPr="00D630D1">
        <w:rPr>
          <w:rStyle w:val="CharCharf0"/>
          <w:rFonts w:cs="Times New Roman"/>
          <w:sz w:val="21"/>
        </w:rPr>
        <w:t>mg/m</w:t>
      </w:r>
      <w:r w:rsidRPr="00D630D1">
        <w:rPr>
          <w:rStyle w:val="CharCharf0"/>
          <w:rFonts w:cs="Times New Roman"/>
          <w:sz w:val="21"/>
          <w:vertAlign w:val="superscript"/>
        </w:rPr>
        <w:t>3</w:t>
      </w:r>
    </w:p>
    <w:tbl>
      <w:tblPr>
        <w:tblW w:w="8796" w:type="dxa"/>
        <w:jc w:val="center"/>
        <w:tblBorders>
          <w:top w:val="single" w:sz="12" w:space="0" w:color="auto"/>
          <w:bottom w:val="single" w:sz="12" w:space="0" w:color="auto"/>
          <w:insideH w:val="single" w:sz="2" w:space="0" w:color="auto"/>
          <w:insideV w:val="single" w:sz="2" w:space="0" w:color="auto"/>
        </w:tblBorders>
        <w:tblLayout w:type="fixed"/>
        <w:tblLook w:val="04A0"/>
      </w:tblPr>
      <w:tblGrid>
        <w:gridCol w:w="1304"/>
        <w:gridCol w:w="1096"/>
        <w:gridCol w:w="1389"/>
        <w:gridCol w:w="1418"/>
        <w:gridCol w:w="1362"/>
        <w:gridCol w:w="1140"/>
        <w:gridCol w:w="1087"/>
      </w:tblGrid>
      <w:tr w:rsidR="00D26881" w:rsidRPr="00D630D1" w:rsidTr="001C43F5">
        <w:trPr>
          <w:trHeight w:val="183"/>
          <w:jc w:val="center"/>
        </w:trPr>
        <w:tc>
          <w:tcPr>
            <w:tcW w:w="1304" w:type="dxa"/>
            <w:tcBorders>
              <w:top w:val="single" w:sz="12" w:space="0" w:color="auto"/>
              <w:bottom w:val="single" w:sz="2" w:space="0" w:color="auto"/>
              <w:right w:val="single" w:sz="2" w:space="0" w:color="auto"/>
            </w:tcBorders>
            <w:shd w:val="clear" w:color="auto" w:fill="auto"/>
            <w:vAlign w:val="center"/>
          </w:tcPr>
          <w:p w:rsidR="00F5377F" w:rsidRPr="00D630D1" w:rsidRDefault="00F5377F" w:rsidP="00517571">
            <w:pPr>
              <w:pStyle w:val="aff2"/>
              <w:rPr>
                <w:b/>
                <w:bCs/>
              </w:rPr>
            </w:pPr>
            <w:r w:rsidRPr="00D630D1">
              <w:rPr>
                <w:b/>
                <w:bCs/>
              </w:rPr>
              <w:t>监测点位</w:t>
            </w:r>
          </w:p>
        </w:tc>
        <w:tc>
          <w:tcPr>
            <w:tcW w:w="1096" w:type="dxa"/>
            <w:tcBorders>
              <w:top w:val="single" w:sz="12" w:space="0" w:color="auto"/>
              <w:left w:val="single" w:sz="2" w:space="0" w:color="auto"/>
              <w:bottom w:val="single" w:sz="2" w:space="0" w:color="auto"/>
              <w:right w:val="single" w:sz="2" w:space="0" w:color="auto"/>
            </w:tcBorders>
            <w:shd w:val="clear" w:color="auto" w:fill="auto"/>
            <w:vAlign w:val="center"/>
          </w:tcPr>
          <w:p w:rsidR="00F5377F" w:rsidRPr="00D630D1" w:rsidRDefault="00F5377F" w:rsidP="00517571">
            <w:pPr>
              <w:pStyle w:val="aff2"/>
              <w:rPr>
                <w:b/>
                <w:bCs/>
                <w:szCs w:val="21"/>
              </w:rPr>
            </w:pPr>
            <w:r w:rsidRPr="00D630D1">
              <w:rPr>
                <w:b/>
                <w:bCs/>
                <w:szCs w:val="21"/>
              </w:rPr>
              <w:t>监测日期</w:t>
            </w:r>
          </w:p>
        </w:tc>
        <w:tc>
          <w:tcPr>
            <w:tcW w:w="1389" w:type="dxa"/>
            <w:tcBorders>
              <w:top w:val="single" w:sz="12" w:space="0" w:color="auto"/>
              <w:left w:val="single" w:sz="2" w:space="0" w:color="auto"/>
              <w:bottom w:val="single" w:sz="2" w:space="0" w:color="auto"/>
              <w:right w:val="single" w:sz="2" w:space="0" w:color="auto"/>
            </w:tcBorders>
            <w:shd w:val="clear" w:color="auto" w:fill="auto"/>
            <w:vAlign w:val="center"/>
          </w:tcPr>
          <w:p w:rsidR="00F5377F" w:rsidRPr="00D630D1" w:rsidRDefault="00F5377F" w:rsidP="00517571">
            <w:pPr>
              <w:pStyle w:val="aff2"/>
              <w:rPr>
                <w:b/>
                <w:bCs/>
                <w:szCs w:val="21"/>
              </w:rPr>
            </w:pPr>
            <w:r w:rsidRPr="00D630D1">
              <w:rPr>
                <w:b/>
                <w:bCs/>
                <w:szCs w:val="21"/>
              </w:rPr>
              <w:t>项目</w:t>
            </w:r>
          </w:p>
        </w:tc>
        <w:tc>
          <w:tcPr>
            <w:tcW w:w="1418" w:type="dxa"/>
            <w:tcBorders>
              <w:top w:val="single" w:sz="12" w:space="0" w:color="auto"/>
              <w:left w:val="single" w:sz="2" w:space="0" w:color="auto"/>
              <w:bottom w:val="single" w:sz="2" w:space="0" w:color="auto"/>
              <w:right w:val="single" w:sz="2" w:space="0" w:color="auto"/>
            </w:tcBorders>
            <w:shd w:val="clear" w:color="auto" w:fill="auto"/>
            <w:vAlign w:val="center"/>
          </w:tcPr>
          <w:p w:rsidR="00F5377F" w:rsidRPr="00D630D1" w:rsidRDefault="008049F3" w:rsidP="00517571">
            <w:pPr>
              <w:pStyle w:val="aff2"/>
              <w:rPr>
                <w:b/>
                <w:bCs/>
              </w:rPr>
            </w:pPr>
            <w:r w:rsidRPr="00D630D1">
              <w:rPr>
                <w:rFonts w:hint="eastAsia"/>
                <w:b/>
                <w:bCs/>
              </w:rPr>
              <w:t>第一次</w:t>
            </w:r>
          </w:p>
        </w:tc>
        <w:tc>
          <w:tcPr>
            <w:tcW w:w="1362" w:type="dxa"/>
            <w:tcBorders>
              <w:top w:val="single" w:sz="12" w:space="0" w:color="auto"/>
              <w:left w:val="single" w:sz="2" w:space="0" w:color="auto"/>
              <w:bottom w:val="single" w:sz="2" w:space="0" w:color="auto"/>
              <w:right w:val="single" w:sz="2" w:space="0" w:color="auto"/>
            </w:tcBorders>
            <w:shd w:val="clear" w:color="auto" w:fill="auto"/>
            <w:vAlign w:val="center"/>
          </w:tcPr>
          <w:p w:rsidR="00F5377F" w:rsidRPr="00D630D1" w:rsidRDefault="008049F3" w:rsidP="00517571">
            <w:pPr>
              <w:pStyle w:val="aff2"/>
              <w:rPr>
                <w:b/>
                <w:bCs/>
              </w:rPr>
            </w:pPr>
            <w:r w:rsidRPr="00D630D1">
              <w:rPr>
                <w:rFonts w:hint="eastAsia"/>
                <w:b/>
                <w:bCs/>
              </w:rPr>
              <w:t>第二次</w:t>
            </w:r>
          </w:p>
        </w:tc>
        <w:tc>
          <w:tcPr>
            <w:tcW w:w="1140" w:type="dxa"/>
            <w:tcBorders>
              <w:top w:val="single" w:sz="12" w:space="0" w:color="auto"/>
              <w:left w:val="single" w:sz="2" w:space="0" w:color="auto"/>
              <w:bottom w:val="single" w:sz="2" w:space="0" w:color="auto"/>
              <w:right w:val="single" w:sz="2" w:space="0" w:color="auto"/>
            </w:tcBorders>
            <w:shd w:val="clear" w:color="auto" w:fill="auto"/>
            <w:vAlign w:val="center"/>
          </w:tcPr>
          <w:p w:rsidR="00F5377F" w:rsidRPr="00D630D1" w:rsidRDefault="008049F3" w:rsidP="00517571">
            <w:pPr>
              <w:pStyle w:val="aff2"/>
              <w:rPr>
                <w:b/>
                <w:bCs/>
              </w:rPr>
            </w:pPr>
            <w:r w:rsidRPr="00D630D1">
              <w:rPr>
                <w:rFonts w:hint="eastAsia"/>
                <w:b/>
                <w:bCs/>
              </w:rPr>
              <w:t>第三次</w:t>
            </w:r>
          </w:p>
        </w:tc>
        <w:tc>
          <w:tcPr>
            <w:tcW w:w="1087" w:type="dxa"/>
            <w:tcBorders>
              <w:top w:val="single" w:sz="12" w:space="0" w:color="auto"/>
              <w:left w:val="single" w:sz="2" w:space="0" w:color="auto"/>
              <w:bottom w:val="single" w:sz="2" w:space="0" w:color="auto"/>
            </w:tcBorders>
            <w:shd w:val="clear" w:color="auto" w:fill="auto"/>
            <w:vAlign w:val="center"/>
          </w:tcPr>
          <w:p w:rsidR="00F5377F" w:rsidRPr="00D630D1" w:rsidRDefault="008049F3" w:rsidP="00517571">
            <w:pPr>
              <w:pStyle w:val="aff2"/>
              <w:rPr>
                <w:b/>
                <w:bCs/>
              </w:rPr>
            </w:pPr>
            <w:r w:rsidRPr="00D630D1">
              <w:rPr>
                <w:rFonts w:hint="eastAsia"/>
                <w:b/>
                <w:bCs/>
              </w:rPr>
              <w:t>第四次</w:t>
            </w:r>
          </w:p>
        </w:tc>
      </w:tr>
      <w:tr w:rsidR="00DD1647" w:rsidRPr="00D630D1" w:rsidTr="004E24E2">
        <w:trPr>
          <w:trHeight w:val="288"/>
          <w:jc w:val="center"/>
        </w:trPr>
        <w:tc>
          <w:tcPr>
            <w:tcW w:w="1304" w:type="dxa"/>
            <w:vMerge w:val="restart"/>
            <w:tcBorders>
              <w:top w:val="single" w:sz="2" w:space="0" w:color="auto"/>
              <w:bottom w:val="single" w:sz="2" w:space="0" w:color="auto"/>
              <w:right w:val="single" w:sz="2" w:space="0" w:color="auto"/>
            </w:tcBorders>
            <w:shd w:val="clear" w:color="auto" w:fill="auto"/>
            <w:vAlign w:val="center"/>
          </w:tcPr>
          <w:p w:rsidR="00DD1647" w:rsidRPr="00D630D1" w:rsidRDefault="00DD1647" w:rsidP="00AE3108">
            <w:pPr>
              <w:pStyle w:val="aff2"/>
            </w:pPr>
            <w:r w:rsidRPr="00280A35">
              <w:rPr>
                <w:rFonts w:hint="eastAsia"/>
                <w:bCs/>
                <w:szCs w:val="21"/>
              </w:rPr>
              <w:t>原普光</w:t>
            </w:r>
            <w:r w:rsidRPr="00280A35">
              <w:rPr>
                <w:rFonts w:hint="eastAsia"/>
                <w:bCs/>
                <w:szCs w:val="21"/>
              </w:rPr>
              <w:t>12</w:t>
            </w:r>
            <w:r w:rsidRPr="00280A35">
              <w:rPr>
                <w:rFonts w:hint="eastAsia"/>
                <w:bCs/>
                <w:szCs w:val="21"/>
              </w:rPr>
              <w:t>井场内</w:t>
            </w: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DD1647" w:rsidRPr="00D630D1" w:rsidRDefault="00DD1647" w:rsidP="00AE3108">
            <w:pPr>
              <w:pStyle w:val="aff2"/>
              <w:rPr>
                <w:szCs w:val="21"/>
                <w:highlight w:val="red"/>
              </w:rPr>
            </w:pPr>
            <w:r>
              <w:rPr>
                <w:rFonts w:hint="eastAsia"/>
              </w:rPr>
              <w:t>6</w:t>
            </w:r>
            <w:r w:rsidRPr="00D630D1">
              <w:t>.</w:t>
            </w:r>
            <w:r>
              <w:rPr>
                <w:rFonts w:hint="eastAsia"/>
              </w:rPr>
              <w:t>20</w:t>
            </w:r>
          </w:p>
        </w:tc>
        <w:tc>
          <w:tcPr>
            <w:tcW w:w="1389"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rPr>
                <w:szCs w:val="21"/>
              </w:rPr>
            </w:pPr>
            <w:r w:rsidRPr="00D630D1">
              <w:rPr>
                <w:szCs w:val="21"/>
              </w:rPr>
              <w:t>硫化氢</w:t>
            </w: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rPr>
                <w:szCs w:val="18"/>
              </w:rPr>
            </w:pPr>
            <w:r>
              <w:rPr>
                <w:rFonts w:hint="eastAsia"/>
                <w:szCs w:val="21"/>
              </w:rPr>
              <w:t>0.007</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0.008</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rPr>
                <w:szCs w:val="18"/>
              </w:rPr>
            </w:pPr>
            <w:r>
              <w:rPr>
                <w:rFonts w:hint="eastAsia"/>
                <w:szCs w:val="21"/>
              </w:rPr>
              <w:t>0.007</w:t>
            </w:r>
          </w:p>
        </w:tc>
        <w:tc>
          <w:tcPr>
            <w:tcW w:w="1087" w:type="dxa"/>
            <w:tcBorders>
              <w:top w:val="single" w:sz="2" w:space="0" w:color="auto"/>
              <w:left w:val="single" w:sz="2" w:space="0" w:color="auto"/>
              <w:bottom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0.008</w:t>
            </w:r>
          </w:p>
        </w:tc>
      </w:tr>
      <w:tr w:rsidR="00DD1647" w:rsidRPr="00D630D1" w:rsidTr="004E24E2">
        <w:trPr>
          <w:trHeight w:val="242"/>
          <w:jc w:val="center"/>
        </w:trPr>
        <w:tc>
          <w:tcPr>
            <w:tcW w:w="1304" w:type="dxa"/>
            <w:vMerge/>
            <w:tcBorders>
              <w:top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pP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DD1647" w:rsidRPr="00D630D1" w:rsidRDefault="00DD1647" w:rsidP="00507154">
            <w:pPr>
              <w:pStyle w:val="aff2"/>
              <w:rPr>
                <w:highlight w:val="red"/>
              </w:rPr>
            </w:pPr>
            <w:r>
              <w:rPr>
                <w:rFonts w:hint="eastAsia"/>
              </w:rPr>
              <w:t>6</w:t>
            </w:r>
            <w:r w:rsidRPr="00D630D1">
              <w:t>.</w:t>
            </w:r>
            <w:r>
              <w:rPr>
                <w:rFonts w:hint="eastAsia"/>
              </w:rPr>
              <w:t>21</w:t>
            </w:r>
          </w:p>
        </w:tc>
        <w:tc>
          <w:tcPr>
            <w:tcW w:w="1389" w:type="dxa"/>
            <w:vMerge/>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0.006</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AE3108">
            <w:pPr>
              <w:pStyle w:val="aff2"/>
              <w:rPr>
                <w:szCs w:val="18"/>
              </w:rPr>
            </w:pPr>
            <w:r>
              <w:rPr>
                <w:rFonts w:hint="eastAsia"/>
                <w:szCs w:val="21"/>
              </w:rPr>
              <w:t>0.008</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0.008</w:t>
            </w:r>
          </w:p>
        </w:tc>
        <w:tc>
          <w:tcPr>
            <w:tcW w:w="1087" w:type="dxa"/>
            <w:tcBorders>
              <w:top w:val="single" w:sz="2" w:space="0" w:color="auto"/>
              <w:left w:val="single" w:sz="2" w:space="0" w:color="auto"/>
              <w:bottom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0.009</w:t>
            </w:r>
          </w:p>
        </w:tc>
      </w:tr>
      <w:tr w:rsidR="00DD1647" w:rsidRPr="00D630D1" w:rsidTr="004E24E2">
        <w:trPr>
          <w:trHeight w:val="242"/>
          <w:jc w:val="center"/>
        </w:trPr>
        <w:tc>
          <w:tcPr>
            <w:tcW w:w="1304" w:type="dxa"/>
            <w:vMerge/>
            <w:tcBorders>
              <w:top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pP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DD1647" w:rsidRPr="00D630D1" w:rsidRDefault="00DD1647" w:rsidP="00507154">
            <w:pPr>
              <w:pStyle w:val="aff2"/>
              <w:rPr>
                <w:highlight w:val="red"/>
              </w:rPr>
            </w:pPr>
            <w:r>
              <w:rPr>
                <w:rFonts w:hint="eastAsia"/>
              </w:rPr>
              <w:t>6</w:t>
            </w:r>
            <w:r w:rsidRPr="00D630D1">
              <w:t>.</w:t>
            </w:r>
            <w:r>
              <w:rPr>
                <w:rFonts w:hint="eastAsia"/>
              </w:rPr>
              <w:t>22</w:t>
            </w:r>
          </w:p>
        </w:tc>
        <w:tc>
          <w:tcPr>
            <w:tcW w:w="1389" w:type="dxa"/>
            <w:vMerge/>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0.006</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0.007</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0.008</w:t>
            </w:r>
          </w:p>
        </w:tc>
        <w:tc>
          <w:tcPr>
            <w:tcW w:w="1087" w:type="dxa"/>
            <w:tcBorders>
              <w:top w:val="single" w:sz="2" w:space="0" w:color="auto"/>
              <w:left w:val="single" w:sz="2" w:space="0" w:color="auto"/>
              <w:bottom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0.007</w:t>
            </w:r>
          </w:p>
        </w:tc>
      </w:tr>
      <w:tr w:rsidR="00DD1647" w:rsidRPr="00D630D1" w:rsidTr="004E24E2">
        <w:trPr>
          <w:trHeight w:val="242"/>
          <w:jc w:val="center"/>
        </w:trPr>
        <w:tc>
          <w:tcPr>
            <w:tcW w:w="1304" w:type="dxa"/>
            <w:vMerge/>
            <w:tcBorders>
              <w:top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pP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DD1647" w:rsidRPr="00D630D1" w:rsidRDefault="00DD1647" w:rsidP="00507154">
            <w:pPr>
              <w:pStyle w:val="aff2"/>
              <w:rPr>
                <w:highlight w:val="red"/>
              </w:rPr>
            </w:pPr>
            <w:r>
              <w:rPr>
                <w:rFonts w:hint="eastAsia"/>
              </w:rPr>
              <w:t>6</w:t>
            </w:r>
            <w:r w:rsidRPr="00D630D1">
              <w:t>.</w:t>
            </w:r>
            <w:r>
              <w:rPr>
                <w:rFonts w:hint="eastAsia"/>
              </w:rPr>
              <w:t>23</w:t>
            </w:r>
          </w:p>
        </w:tc>
        <w:tc>
          <w:tcPr>
            <w:tcW w:w="1389" w:type="dxa"/>
            <w:vMerge/>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0.008</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0.007</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0.008</w:t>
            </w:r>
          </w:p>
        </w:tc>
        <w:tc>
          <w:tcPr>
            <w:tcW w:w="1087" w:type="dxa"/>
            <w:tcBorders>
              <w:top w:val="single" w:sz="2" w:space="0" w:color="auto"/>
              <w:left w:val="single" w:sz="2" w:space="0" w:color="auto"/>
              <w:bottom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0.009</w:t>
            </w:r>
          </w:p>
        </w:tc>
      </w:tr>
      <w:tr w:rsidR="00DD1647" w:rsidRPr="00D630D1" w:rsidTr="004E24E2">
        <w:trPr>
          <w:trHeight w:val="242"/>
          <w:jc w:val="center"/>
        </w:trPr>
        <w:tc>
          <w:tcPr>
            <w:tcW w:w="1304" w:type="dxa"/>
            <w:vMerge/>
            <w:tcBorders>
              <w:top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pP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DD1647" w:rsidRPr="00D630D1" w:rsidRDefault="00DD1647" w:rsidP="00507154">
            <w:pPr>
              <w:pStyle w:val="aff2"/>
              <w:rPr>
                <w:highlight w:val="red"/>
              </w:rPr>
            </w:pPr>
            <w:r>
              <w:rPr>
                <w:rFonts w:hint="eastAsia"/>
              </w:rPr>
              <w:t>6</w:t>
            </w:r>
            <w:r w:rsidRPr="00D630D1">
              <w:t>.</w:t>
            </w:r>
            <w:r>
              <w:rPr>
                <w:rFonts w:hint="eastAsia"/>
              </w:rPr>
              <w:t>24</w:t>
            </w:r>
          </w:p>
        </w:tc>
        <w:tc>
          <w:tcPr>
            <w:tcW w:w="1389" w:type="dxa"/>
            <w:vMerge/>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AE3108">
            <w:pPr>
              <w:pStyle w:val="aff2"/>
              <w:rPr>
                <w:szCs w:val="18"/>
              </w:rPr>
            </w:pPr>
            <w:r>
              <w:rPr>
                <w:rFonts w:hint="eastAsia"/>
                <w:szCs w:val="21"/>
              </w:rPr>
              <w:t>0.007</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AE3108">
            <w:pPr>
              <w:pStyle w:val="aff2"/>
              <w:rPr>
                <w:szCs w:val="18"/>
              </w:rPr>
            </w:pPr>
            <w:r>
              <w:rPr>
                <w:rFonts w:hint="eastAsia"/>
                <w:szCs w:val="21"/>
              </w:rPr>
              <w:t>0.008</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AE3108">
            <w:pPr>
              <w:pStyle w:val="aff2"/>
              <w:rPr>
                <w:szCs w:val="18"/>
              </w:rPr>
            </w:pPr>
            <w:r>
              <w:rPr>
                <w:rFonts w:hint="eastAsia"/>
                <w:szCs w:val="21"/>
              </w:rPr>
              <w:t>0.007</w:t>
            </w:r>
          </w:p>
        </w:tc>
        <w:tc>
          <w:tcPr>
            <w:tcW w:w="1087" w:type="dxa"/>
            <w:tcBorders>
              <w:top w:val="single" w:sz="2" w:space="0" w:color="auto"/>
              <w:left w:val="single" w:sz="2" w:space="0" w:color="auto"/>
              <w:bottom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0.006</w:t>
            </w:r>
          </w:p>
        </w:tc>
      </w:tr>
      <w:tr w:rsidR="00DD1647" w:rsidRPr="00D630D1" w:rsidTr="004E24E2">
        <w:trPr>
          <w:trHeight w:val="242"/>
          <w:jc w:val="center"/>
        </w:trPr>
        <w:tc>
          <w:tcPr>
            <w:tcW w:w="1304" w:type="dxa"/>
            <w:vMerge/>
            <w:tcBorders>
              <w:top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pP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DD1647" w:rsidRPr="00D630D1" w:rsidRDefault="00DD1647" w:rsidP="00507154">
            <w:pPr>
              <w:pStyle w:val="aff2"/>
              <w:rPr>
                <w:highlight w:val="red"/>
              </w:rPr>
            </w:pPr>
            <w:r>
              <w:rPr>
                <w:rFonts w:hint="eastAsia"/>
              </w:rPr>
              <w:t>6</w:t>
            </w:r>
            <w:r w:rsidRPr="00D630D1">
              <w:t>.</w:t>
            </w:r>
            <w:r>
              <w:rPr>
                <w:rFonts w:hint="eastAsia"/>
              </w:rPr>
              <w:t>25</w:t>
            </w:r>
          </w:p>
        </w:tc>
        <w:tc>
          <w:tcPr>
            <w:tcW w:w="1389" w:type="dxa"/>
            <w:vMerge/>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0.008</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0.007</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0.008</w:t>
            </w:r>
          </w:p>
        </w:tc>
        <w:tc>
          <w:tcPr>
            <w:tcW w:w="1087" w:type="dxa"/>
            <w:tcBorders>
              <w:top w:val="single" w:sz="2" w:space="0" w:color="auto"/>
              <w:left w:val="single" w:sz="2" w:space="0" w:color="auto"/>
              <w:bottom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0.007</w:t>
            </w:r>
          </w:p>
        </w:tc>
      </w:tr>
      <w:tr w:rsidR="00DD1647" w:rsidRPr="00D630D1" w:rsidTr="004E24E2">
        <w:trPr>
          <w:trHeight w:val="100"/>
          <w:jc w:val="center"/>
        </w:trPr>
        <w:tc>
          <w:tcPr>
            <w:tcW w:w="1304" w:type="dxa"/>
            <w:vMerge/>
            <w:tcBorders>
              <w:top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pPr>
          </w:p>
        </w:tc>
        <w:tc>
          <w:tcPr>
            <w:tcW w:w="1096" w:type="dxa"/>
            <w:tcBorders>
              <w:top w:val="single" w:sz="2" w:space="0" w:color="auto"/>
              <w:left w:val="single" w:sz="2" w:space="0" w:color="auto"/>
              <w:bottom w:val="single" w:sz="2" w:space="0" w:color="auto"/>
              <w:right w:val="single" w:sz="2" w:space="0" w:color="auto"/>
            </w:tcBorders>
            <w:shd w:val="clear" w:color="auto" w:fill="auto"/>
          </w:tcPr>
          <w:p w:rsidR="00DD1647" w:rsidRPr="00D630D1" w:rsidRDefault="00DD1647" w:rsidP="00507154">
            <w:pPr>
              <w:pStyle w:val="aff2"/>
              <w:rPr>
                <w:highlight w:val="red"/>
              </w:rPr>
            </w:pPr>
            <w:r>
              <w:rPr>
                <w:rFonts w:hint="eastAsia"/>
              </w:rPr>
              <w:t>6</w:t>
            </w:r>
            <w:r w:rsidRPr="00D630D1">
              <w:t>.</w:t>
            </w:r>
            <w:r>
              <w:rPr>
                <w:rFonts w:hint="eastAsia"/>
              </w:rPr>
              <w:t>26</w:t>
            </w:r>
          </w:p>
        </w:tc>
        <w:tc>
          <w:tcPr>
            <w:tcW w:w="1389" w:type="dxa"/>
            <w:vMerge/>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C77CD8">
            <w:pPr>
              <w:pStyle w:val="aff2"/>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0.008</w:t>
            </w:r>
          </w:p>
        </w:tc>
        <w:tc>
          <w:tcPr>
            <w:tcW w:w="1362"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AE3108">
            <w:pPr>
              <w:pStyle w:val="aff2"/>
              <w:rPr>
                <w:szCs w:val="18"/>
              </w:rPr>
            </w:pPr>
            <w:r>
              <w:rPr>
                <w:rFonts w:hint="eastAsia"/>
                <w:szCs w:val="21"/>
              </w:rPr>
              <w:t>0.008</w:t>
            </w:r>
          </w:p>
        </w:tc>
        <w:tc>
          <w:tcPr>
            <w:tcW w:w="1140" w:type="dxa"/>
            <w:tcBorders>
              <w:top w:val="single" w:sz="2" w:space="0" w:color="auto"/>
              <w:left w:val="single" w:sz="2" w:space="0" w:color="auto"/>
              <w:bottom w:val="single" w:sz="2" w:space="0" w:color="auto"/>
              <w:right w:val="single" w:sz="2" w:space="0" w:color="auto"/>
            </w:tcBorders>
            <w:shd w:val="clear" w:color="auto" w:fill="auto"/>
            <w:vAlign w:val="center"/>
          </w:tcPr>
          <w:p w:rsidR="00DD1647" w:rsidRPr="00D630D1" w:rsidRDefault="00DD1647" w:rsidP="00AE3108">
            <w:pPr>
              <w:pStyle w:val="aff2"/>
              <w:rPr>
                <w:szCs w:val="18"/>
              </w:rPr>
            </w:pPr>
            <w:r>
              <w:rPr>
                <w:rFonts w:hint="eastAsia"/>
                <w:szCs w:val="21"/>
              </w:rPr>
              <w:t>0.007</w:t>
            </w:r>
          </w:p>
        </w:tc>
        <w:tc>
          <w:tcPr>
            <w:tcW w:w="1087" w:type="dxa"/>
            <w:tcBorders>
              <w:top w:val="single" w:sz="2" w:space="0" w:color="auto"/>
              <w:left w:val="single" w:sz="2" w:space="0" w:color="auto"/>
              <w:bottom w:val="single" w:sz="2" w:space="0" w:color="auto"/>
            </w:tcBorders>
            <w:shd w:val="clear" w:color="auto" w:fill="auto"/>
            <w:vAlign w:val="center"/>
          </w:tcPr>
          <w:p w:rsidR="00DD1647" w:rsidRPr="00D630D1" w:rsidRDefault="00DD1647" w:rsidP="00DD1647">
            <w:pPr>
              <w:pStyle w:val="aff2"/>
              <w:rPr>
                <w:szCs w:val="18"/>
              </w:rPr>
            </w:pPr>
            <w:r>
              <w:rPr>
                <w:rFonts w:hint="eastAsia"/>
                <w:szCs w:val="21"/>
              </w:rPr>
              <w:t>0.009</w:t>
            </w:r>
          </w:p>
        </w:tc>
      </w:tr>
    </w:tbl>
    <w:p w:rsidR="00A30965" w:rsidRPr="00D630D1" w:rsidRDefault="00A30965" w:rsidP="00555FE4">
      <w:pPr>
        <w:pStyle w:val="10"/>
        <w:rPr>
          <w:rFonts w:cs="Times New Roman"/>
          <w:vertAlign w:val="superscript"/>
        </w:rPr>
      </w:pPr>
      <w:r w:rsidRPr="00D630D1">
        <w:rPr>
          <w:rFonts w:cs="Times New Roman"/>
        </w:rPr>
        <w:t>表</w:t>
      </w:r>
      <w:r w:rsidR="00555FE4" w:rsidRPr="00D630D1">
        <w:rPr>
          <w:rFonts w:cs="Times New Roman"/>
        </w:rPr>
        <w:t>5.3-</w:t>
      </w:r>
      <w:r w:rsidR="00F5377F" w:rsidRPr="00D630D1">
        <w:rPr>
          <w:rFonts w:cs="Times New Roman"/>
        </w:rPr>
        <w:t>3</w:t>
      </w:r>
      <w:r w:rsidRPr="00D630D1">
        <w:rPr>
          <w:rFonts w:cs="Times New Roman"/>
        </w:rPr>
        <w:t xml:space="preserve">  </w:t>
      </w:r>
      <w:r w:rsidRPr="00D630D1">
        <w:rPr>
          <w:rFonts w:cs="Times New Roman"/>
        </w:rPr>
        <w:t>环境空气质量现状及评价</w:t>
      </w:r>
      <w:r w:rsidRPr="00D630D1">
        <w:rPr>
          <w:rFonts w:cs="Times New Roman"/>
        </w:rPr>
        <w:t xml:space="preserve">  </w:t>
      </w:r>
      <w:r w:rsidRPr="00D630D1">
        <w:rPr>
          <w:rFonts w:cs="Times New Roman"/>
        </w:rPr>
        <w:t>单位：</w:t>
      </w:r>
      <w:r w:rsidRPr="00D630D1">
        <w:rPr>
          <w:rFonts w:cs="Times New Roman"/>
        </w:rPr>
        <w:t>mg/m</w:t>
      </w:r>
      <w:r w:rsidRPr="00D630D1">
        <w:rPr>
          <w:rFonts w:cs="Times New Roman"/>
          <w:vertAlign w:val="superscript"/>
        </w:rPr>
        <w:t>3</w:t>
      </w:r>
    </w:p>
    <w:tbl>
      <w:tblPr>
        <w:tblW w:w="8791" w:type="dxa"/>
        <w:jc w:val="center"/>
        <w:tblBorders>
          <w:top w:val="single" w:sz="12" w:space="0" w:color="000000"/>
          <w:bottom w:val="single" w:sz="12" w:space="0" w:color="000000"/>
          <w:insideH w:val="single" w:sz="6" w:space="0" w:color="000000"/>
          <w:insideV w:val="single" w:sz="6" w:space="0" w:color="000000"/>
        </w:tblBorders>
        <w:tblLayout w:type="fixed"/>
        <w:tblLook w:val="04A0"/>
      </w:tblPr>
      <w:tblGrid>
        <w:gridCol w:w="1661"/>
        <w:gridCol w:w="735"/>
        <w:gridCol w:w="1290"/>
        <w:gridCol w:w="709"/>
        <w:gridCol w:w="1826"/>
        <w:gridCol w:w="1149"/>
        <w:gridCol w:w="700"/>
        <w:gridCol w:w="721"/>
      </w:tblGrid>
      <w:tr w:rsidR="00D26881" w:rsidRPr="00D630D1" w:rsidTr="00950F49">
        <w:trPr>
          <w:trHeight w:val="188"/>
          <w:jc w:val="center"/>
        </w:trPr>
        <w:tc>
          <w:tcPr>
            <w:tcW w:w="1661" w:type="dxa"/>
            <w:vAlign w:val="center"/>
          </w:tcPr>
          <w:p w:rsidR="00A30965" w:rsidRPr="00D630D1" w:rsidRDefault="00A30965" w:rsidP="00A30965">
            <w:pPr>
              <w:pStyle w:val="aff2"/>
              <w:rPr>
                <w:b/>
                <w:bCs/>
              </w:rPr>
            </w:pPr>
            <w:r w:rsidRPr="00D630D1">
              <w:rPr>
                <w:b/>
                <w:bCs/>
              </w:rPr>
              <w:t>监测点位</w:t>
            </w:r>
          </w:p>
        </w:tc>
        <w:tc>
          <w:tcPr>
            <w:tcW w:w="735" w:type="dxa"/>
            <w:vAlign w:val="center"/>
          </w:tcPr>
          <w:p w:rsidR="00A30965" w:rsidRPr="00D630D1" w:rsidRDefault="00A30965" w:rsidP="00A30965">
            <w:pPr>
              <w:pStyle w:val="aff2"/>
              <w:rPr>
                <w:b/>
                <w:bCs/>
              </w:rPr>
            </w:pPr>
            <w:r w:rsidRPr="00D630D1">
              <w:rPr>
                <w:b/>
                <w:bCs/>
              </w:rPr>
              <w:t>采样时间</w:t>
            </w:r>
          </w:p>
        </w:tc>
        <w:tc>
          <w:tcPr>
            <w:tcW w:w="1290" w:type="dxa"/>
            <w:vAlign w:val="center"/>
          </w:tcPr>
          <w:p w:rsidR="00A30965" w:rsidRPr="00D630D1" w:rsidRDefault="00A30965" w:rsidP="00A30965">
            <w:pPr>
              <w:pStyle w:val="aff2"/>
              <w:rPr>
                <w:b/>
                <w:bCs/>
              </w:rPr>
            </w:pPr>
            <w:r w:rsidRPr="00D630D1">
              <w:rPr>
                <w:b/>
                <w:bCs/>
              </w:rPr>
              <w:t>监测项目</w:t>
            </w:r>
          </w:p>
        </w:tc>
        <w:tc>
          <w:tcPr>
            <w:tcW w:w="709" w:type="dxa"/>
            <w:tcBorders>
              <w:left w:val="single" w:sz="4" w:space="0" w:color="auto"/>
            </w:tcBorders>
            <w:vAlign w:val="center"/>
          </w:tcPr>
          <w:p w:rsidR="00A30965" w:rsidRPr="00D630D1" w:rsidRDefault="00A30965" w:rsidP="00A30965">
            <w:pPr>
              <w:pStyle w:val="aff2"/>
              <w:rPr>
                <w:b/>
                <w:bCs/>
              </w:rPr>
            </w:pPr>
            <w:r w:rsidRPr="00D630D1">
              <w:rPr>
                <w:b/>
                <w:bCs/>
              </w:rPr>
              <w:t>采样个数</w:t>
            </w:r>
          </w:p>
        </w:tc>
        <w:tc>
          <w:tcPr>
            <w:tcW w:w="1826" w:type="dxa"/>
            <w:tcBorders>
              <w:left w:val="single" w:sz="4" w:space="0" w:color="auto"/>
            </w:tcBorders>
            <w:vAlign w:val="center"/>
          </w:tcPr>
          <w:p w:rsidR="00A30965" w:rsidRPr="00D630D1" w:rsidRDefault="00A30965" w:rsidP="00A30965">
            <w:pPr>
              <w:pStyle w:val="aff2"/>
              <w:rPr>
                <w:b/>
                <w:bCs/>
              </w:rPr>
            </w:pPr>
            <w:r w:rsidRPr="00D630D1">
              <w:rPr>
                <w:b/>
                <w:bCs/>
              </w:rPr>
              <w:t>浓度范围</w:t>
            </w:r>
          </w:p>
          <w:p w:rsidR="00A30965" w:rsidRPr="00D630D1" w:rsidRDefault="00A30965" w:rsidP="00A30965">
            <w:pPr>
              <w:pStyle w:val="aff2"/>
              <w:rPr>
                <w:b/>
                <w:bCs/>
              </w:rPr>
            </w:pPr>
            <w:r w:rsidRPr="00D630D1">
              <w:rPr>
                <w:b/>
                <w:bCs/>
              </w:rPr>
              <w:t>m</w:t>
            </w:r>
            <w:r w:rsidRPr="00D630D1">
              <w:rPr>
                <w:b/>
                <w:bCs/>
                <w:lang w:val="zh-CN"/>
              </w:rPr>
              <w:t>g</w:t>
            </w:r>
            <w:r w:rsidRPr="00D630D1">
              <w:rPr>
                <w:b/>
                <w:bCs/>
              </w:rPr>
              <w:t>/m</w:t>
            </w:r>
            <w:r w:rsidRPr="00D630D1">
              <w:rPr>
                <w:b/>
                <w:bCs/>
                <w:vertAlign w:val="superscript"/>
              </w:rPr>
              <w:t>3</w:t>
            </w:r>
          </w:p>
        </w:tc>
        <w:tc>
          <w:tcPr>
            <w:tcW w:w="1149" w:type="dxa"/>
            <w:vAlign w:val="center"/>
          </w:tcPr>
          <w:p w:rsidR="00A30965" w:rsidRPr="00D630D1" w:rsidRDefault="00A30965" w:rsidP="00A30965">
            <w:pPr>
              <w:pStyle w:val="aff2"/>
              <w:rPr>
                <w:b/>
                <w:bCs/>
              </w:rPr>
            </w:pPr>
            <w:r w:rsidRPr="00D630D1">
              <w:rPr>
                <w:b/>
                <w:bCs/>
              </w:rPr>
              <w:t>最大浓度占标率</w:t>
            </w:r>
            <w:r w:rsidR="00576767" w:rsidRPr="00D630D1">
              <w:rPr>
                <w:b/>
                <w:bCs/>
              </w:rPr>
              <w:t>P</w:t>
            </w:r>
            <w:r w:rsidRPr="00D630D1">
              <w:rPr>
                <w:b/>
                <w:bCs/>
                <w:vertAlign w:val="subscript"/>
              </w:rPr>
              <w:t>i</w:t>
            </w:r>
          </w:p>
        </w:tc>
        <w:tc>
          <w:tcPr>
            <w:tcW w:w="700" w:type="dxa"/>
            <w:tcBorders>
              <w:left w:val="single" w:sz="4" w:space="0" w:color="auto"/>
            </w:tcBorders>
            <w:vAlign w:val="center"/>
          </w:tcPr>
          <w:p w:rsidR="00A30965" w:rsidRPr="00D630D1" w:rsidRDefault="00A30965" w:rsidP="00A30965">
            <w:pPr>
              <w:pStyle w:val="aff2"/>
              <w:rPr>
                <w:b/>
                <w:bCs/>
              </w:rPr>
            </w:pPr>
            <w:r w:rsidRPr="00D630D1">
              <w:rPr>
                <w:b/>
                <w:bCs/>
              </w:rPr>
              <w:t>超标率</w:t>
            </w:r>
          </w:p>
        </w:tc>
        <w:tc>
          <w:tcPr>
            <w:tcW w:w="721" w:type="dxa"/>
            <w:tcBorders>
              <w:left w:val="single" w:sz="4" w:space="0" w:color="auto"/>
            </w:tcBorders>
            <w:vAlign w:val="center"/>
          </w:tcPr>
          <w:p w:rsidR="00A30965" w:rsidRPr="00D630D1" w:rsidRDefault="00A30965" w:rsidP="00A30965">
            <w:pPr>
              <w:pStyle w:val="aff2"/>
              <w:rPr>
                <w:b/>
                <w:bCs/>
              </w:rPr>
            </w:pPr>
            <w:r w:rsidRPr="00D630D1">
              <w:rPr>
                <w:b/>
                <w:bCs/>
              </w:rPr>
              <w:t>达标</w:t>
            </w:r>
          </w:p>
          <w:p w:rsidR="00A30965" w:rsidRPr="00D630D1" w:rsidRDefault="00A30965" w:rsidP="00A30965">
            <w:pPr>
              <w:pStyle w:val="aff2"/>
              <w:rPr>
                <w:b/>
                <w:bCs/>
              </w:rPr>
            </w:pPr>
            <w:r w:rsidRPr="00D630D1">
              <w:rPr>
                <w:b/>
                <w:bCs/>
              </w:rPr>
              <w:t>情况</w:t>
            </w:r>
          </w:p>
        </w:tc>
      </w:tr>
      <w:tr w:rsidR="00D26881" w:rsidRPr="00D630D1" w:rsidTr="00950F49">
        <w:trPr>
          <w:trHeight w:val="382"/>
          <w:jc w:val="center"/>
        </w:trPr>
        <w:tc>
          <w:tcPr>
            <w:tcW w:w="1661" w:type="dxa"/>
            <w:vMerge w:val="restart"/>
            <w:vAlign w:val="center"/>
          </w:tcPr>
          <w:p w:rsidR="00A30965" w:rsidRPr="00D630D1" w:rsidRDefault="00DD1647" w:rsidP="00A30965">
            <w:pPr>
              <w:pStyle w:val="aff2"/>
            </w:pPr>
            <w:r w:rsidRPr="00280A35">
              <w:rPr>
                <w:rFonts w:hint="eastAsia"/>
                <w:bCs/>
                <w:szCs w:val="21"/>
              </w:rPr>
              <w:t>原普光</w:t>
            </w:r>
            <w:r w:rsidRPr="00280A35">
              <w:rPr>
                <w:rFonts w:hint="eastAsia"/>
                <w:bCs/>
                <w:szCs w:val="21"/>
              </w:rPr>
              <w:t>12</w:t>
            </w:r>
            <w:r w:rsidRPr="00280A35">
              <w:rPr>
                <w:rFonts w:hint="eastAsia"/>
                <w:bCs/>
                <w:szCs w:val="21"/>
              </w:rPr>
              <w:t>井场内</w:t>
            </w:r>
          </w:p>
        </w:tc>
        <w:tc>
          <w:tcPr>
            <w:tcW w:w="735" w:type="dxa"/>
            <w:vMerge w:val="restart"/>
            <w:vAlign w:val="center"/>
          </w:tcPr>
          <w:p w:rsidR="00A30965" w:rsidRPr="00D630D1" w:rsidRDefault="00A30965" w:rsidP="00DD1647">
            <w:pPr>
              <w:pStyle w:val="aff2"/>
            </w:pPr>
            <w:r w:rsidRPr="00D630D1">
              <w:t>202</w:t>
            </w:r>
            <w:r w:rsidR="003D1F10" w:rsidRPr="00D630D1">
              <w:rPr>
                <w:rFonts w:hint="eastAsia"/>
              </w:rPr>
              <w:t>2</w:t>
            </w:r>
            <w:r w:rsidRPr="00D630D1">
              <w:t>.</w:t>
            </w:r>
            <w:r w:rsidR="00DD1647">
              <w:rPr>
                <w:rFonts w:hint="eastAsia"/>
              </w:rPr>
              <w:t>6</w:t>
            </w:r>
            <w:r w:rsidRPr="00D630D1">
              <w:t>.</w:t>
            </w:r>
            <w:r w:rsidR="00DD1647">
              <w:rPr>
                <w:rFonts w:hint="eastAsia"/>
              </w:rPr>
              <w:t>20</w:t>
            </w:r>
            <w:r w:rsidRPr="00D630D1">
              <w:t>~</w:t>
            </w:r>
            <w:r w:rsidR="00DD1647">
              <w:rPr>
                <w:rFonts w:hint="eastAsia"/>
              </w:rPr>
              <w:t>6</w:t>
            </w:r>
            <w:r w:rsidR="00C77CD8" w:rsidRPr="00D630D1">
              <w:t>.</w:t>
            </w:r>
            <w:r w:rsidR="008049F3" w:rsidRPr="00D630D1">
              <w:rPr>
                <w:rFonts w:hint="eastAsia"/>
              </w:rPr>
              <w:t>2</w:t>
            </w:r>
            <w:r w:rsidR="00DD1647">
              <w:rPr>
                <w:rFonts w:hint="eastAsia"/>
              </w:rPr>
              <w:t>6</w:t>
            </w:r>
          </w:p>
        </w:tc>
        <w:tc>
          <w:tcPr>
            <w:tcW w:w="1290" w:type="dxa"/>
            <w:vAlign w:val="center"/>
          </w:tcPr>
          <w:p w:rsidR="00A30965" w:rsidRPr="00D630D1" w:rsidRDefault="00DD1647" w:rsidP="00A30965">
            <w:pPr>
              <w:pStyle w:val="aff2"/>
            </w:pPr>
            <w:r>
              <w:rPr>
                <w:rFonts w:hint="eastAsia"/>
                <w:szCs w:val="21"/>
              </w:rPr>
              <w:t>非甲烷总烃</w:t>
            </w:r>
          </w:p>
        </w:tc>
        <w:tc>
          <w:tcPr>
            <w:tcW w:w="709" w:type="dxa"/>
            <w:tcBorders>
              <w:left w:val="single" w:sz="4" w:space="0" w:color="auto"/>
            </w:tcBorders>
            <w:vAlign w:val="center"/>
          </w:tcPr>
          <w:p w:rsidR="00A30965" w:rsidRPr="00D630D1" w:rsidRDefault="00DD1647" w:rsidP="00A30965">
            <w:pPr>
              <w:pStyle w:val="aff2"/>
            </w:pPr>
            <w:r w:rsidRPr="00D630D1">
              <w:t>28</w:t>
            </w:r>
          </w:p>
        </w:tc>
        <w:tc>
          <w:tcPr>
            <w:tcW w:w="1826" w:type="dxa"/>
            <w:tcBorders>
              <w:left w:val="single" w:sz="4" w:space="0" w:color="auto"/>
            </w:tcBorders>
            <w:vAlign w:val="center"/>
          </w:tcPr>
          <w:p w:rsidR="00A30965" w:rsidRPr="00D630D1" w:rsidRDefault="003D1F10" w:rsidP="00DD1647">
            <w:pPr>
              <w:pStyle w:val="aff2"/>
            </w:pPr>
            <w:r w:rsidRPr="00D630D1">
              <w:rPr>
                <w:szCs w:val="21"/>
              </w:rPr>
              <w:t>0.</w:t>
            </w:r>
            <w:r w:rsidR="00DD1647">
              <w:rPr>
                <w:rFonts w:hint="eastAsia"/>
                <w:szCs w:val="21"/>
              </w:rPr>
              <w:t>25</w:t>
            </w:r>
            <w:r w:rsidR="00F5377F" w:rsidRPr="00D630D1">
              <w:t>~</w:t>
            </w:r>
            <w:r w:rsidR="008049F3" w:rsidRPr="00D630D1">
              <w:rPr>
                <w:szCs w:val="21"/>
              </w:rPr>
              <w:t>0.</w:t>
            </w:r>
            <w:r w:rsidR="00DD1647">
              <w:rPr>
                <w:rFonts w:hint="eastAsia"/>
                <w:szCs w:val="21"/>
              </w:rPr>
              <w:t>7</w:t>
            </w:r>
            <w:r w:rsidRPr="00D630D1">
              <w:rPr>
                <w:rFonts w:hint="eastAsia"/>
                <w:szCs w:val="21"/>
              </w:rPr>
              <w:t>3</w:t>
            </w:r>
          </w:p>
        </w:tc>
        <w:tc>
          <w:tcPr>
            <w:tcW w:w="1149" w:type="dxa"/>
            <w:vAlign w:val="center"/>
          </w:tcPr>
          <w:p w:rsidR="00A30965" w:rsidRPr="00D630D1" w:rsidRDefault="00DD1647" w:rsidP="008049F3">
            <w:pPr>
              <w:pStyle w:val="aff2"/>
            </w:pPr>
            <w:r>
              <w:rPr>
                <w:rFonts w:hint="eastAsia"/>
              </w:rPr>
              <w:t>36.</w:t>
            </w:r>
            <w:r w:rsidR="003D1F10" w:rsidRPr="00D630D1">
              <w:rPr>
                <w:rFonts w:hint="eastAsia"/>
              </w:rPr>
              <w:t>5</w:t>
            </w:r>
            <w:r w:rsidR="00F5377F" w:rsidRPr="00D630D1">
              <w:t>%</w:t>
            </w:r>
          </w:p>
        </w:tc>
        <w:tc>
          <w:tcPr>
            <w:tcW w:w="700" w:type="dxa"/>
            <w:tcBorders>
              <w:left w:val="single" w:sz="4" w:space="0" w:color="auto"/>
            </w:tcBorders>
            <w:vAlign w:val="center"/>
          </w:tcPr>
          <w:p w:rsidR="00A30965" w:rsidRPr="00D630D1" w:rsidRDefault="00A30965" w:rsidP="00A30965">
            <w:pPr>
              <w:pStyle w:val="aff2"/>
            </w:pPr>
            <w:r w:rsidRPr="00D630D1">
              <w:t>0</w:t>
            </w:r>
          </w:p>
        </w:tc>
        <w:tc>
          <w:tcPr>
            <w:tcW w:w="721" w:type="dxa"/>
            <w:tcBorders>
              <w:left w:val="single" w:sz="4" w:space="0" w:color="auto"/>
            </w:tcBorders>
            <w:vAlign w:val="center"/>
          </w:tcPr>
          <w:p w:rsidR="00A30965" w:rsidRPr="00D630D1" w:rsidRDefault="00A30965" w:rsidP="00A30965">
            <w:pPr>
              <w:pStyle w:val="aff2"/>
            </w:pPr>
            <w:r w:rsidRPr="00D630D1">
              <w:rPr>
                <w:bCs/>
              </w:rPr>
              <w:t>达标</w:t>
            </w:r>
          </w:p>
        </w:tc>
      </w:tr>
      <w:tr w:rsidR="00D26881" w:rsidRPr="00D630D1" w:rsidTr="00950F49">
        <w:trPr>
          <w:trHeight w:val="188"/>
          <w:jc w:val="center"/>
        </w:trPr>
        <w:tc>
          <w:tcPr>
            <w:tcW w:w="1661" w:type="dxa"/>
            <w:vMerge/>
            <w:vAlign w:val="center"/>
          </w:tcPr>
          <w:p w:rsidR="00F5377F" w:rsidRPr="00D630D1" w:rsidRDefault="00F5377F" w:rsidP="00F5377F">
            <w:pPr>
              <w:pStyle w:val="aff2"/>
            </w:pPr>
          </w:p>
        </w:tc>
        <w:tc>
          <w:tcPr>
            <w:tcW w:w="735" w:type="dxa"/>
            <w:vMerge/>
            <w:vAlign w:val="center"/>
          </w:tcPr>
          <w:p w:rsidR="00F5377F" w:rsidRPr="00D630D1" w:rsidRDefault="00F5377F" w:rsidP="00F5377F">
            <w:pPr>
              <w:pStyle w:val="aff2"/>
            </w:pPr>
          </w:p>
        </w:tc>
        <w:tc>
          <w:tcPr>
            <w:tcW w:w="1290" w:type="dxa"/>
            <w:vAlign w:val="center"/>
          </w:tcPr>
          <w:p w:rsidR="00F5377F" w:rsidRPr="00D630D1" w:rsidRDefault="00F5377F" w:rsidP="00F5377F">
            <w:pPr>
              <w:pStyle w:val="aff2"/>
            </w:pPr>
            <w:r w:rsidRPr="00D630D1">
              <w:t>硫化氢</w:t>
            </w:r>
          </w:p>
        </w:tc>
        <w:tc>
          <w:tcPr>
            <w:tcW w:w="709" w:type="dxa"/>
            <w:tcBorders>
              <w:left w:val="single" w:sz="4" w:space="0" w:color="auto"/>
            </w:tcBorders>
            <w:vAlign w:val="center"/>
          </w:tcPr>
          <w:p w:rsidR="00F5377F" w:rsidRPr="00D630D1" w:rsidRDefault="00F5377F" w:rsidP="00F5377F">
            <w:pPr>
              <w:pStyle w:val="aff2"/>
            </w:pPr>
            <w:r w:rsidRPr="00D630D1">
              <w:t>28</w:t>
            </w:r>
          </w:p>
        </w:tc>
        <w:tc>
          <w:tcPr>
            <w:tcW w:w="1826" w:type="dxa"/>
            <w:tcBorders>
              <w:left w:val="single" w:sz="4" w:space="0" w:color="auto"/>
            </w:tcBorders>
            <w:vAlign w:val="center"/>
          </w:tcPr>
          <w:p w:rsidR="00F5377F" w:rsidRPr="00D630D1" w:rsidRDefault="00DD1647" w:rsidP="00DD1647">
            <w:pPr>
              <w:pStyle w:val="aff2"/>
            </w:pPr>
            <w:r w:rsidRPr="00D630D1">
              <w:rPr>
                <w:szCs w:val="21"/>
              </w:rPr>
              <w:t>0.</w:t>
            </w:r>
            <w:r>
              <w:rPr>
                <w:rFonts w:hint="eastAsia"/>
                <w:szCs w:val="21"/>
              </w:rPr>
              <w:t>006</w:t>
            </w:r>
            <w:r w:rsidRPr="00D630D1">
              <w:t>~</w:t>
            </w:r>
            <w:r w:rsidRPr="00D630D1">
              <w:rPr>
                <w:szCs w:val="21"/>
              </w:rPr>
              <w:t>0.</w:t>
            </w:r>
            <w:r>
              <w:rPr>
                <w:rFonts w:hint="eastAsia"/>
                <w:szCs w:val="21"/>
              </w:rPr>
              <w:t>009</w:t>
            </w:r>
          </w:p>
        </w:tc>
        <w:tc>
          <w:tcPr>
            <w:tcW w:w="1149" w:type="dxa"/>
            <w:vAlign w:val="center"/>
          </w:tcPr>
          <w:p w:rsidR="00F5377F" w:rsidRPr="00D630D1" w:rsidRDefault="00DD1647" w:rsidP="00F5377F">
            <w:pPr>
              <w:pStyle w:val="aff2"/>
            </w:pPr>
            <w:r>
              <w:rPr>
                <w:rFonts w:hint="eastAsia"/>
                <w:szCs w:val="21"/>
              </w:rPr>
              <w:t>90</w:t>
            </w:r>
            <w:r w:rsidRPr="00D630D1">
              <w:t>%</w:t>
            </w:r>
          </w:p>
        </w:tc>
        <w:tc>
          <w:tcPr>
            <w:tcW w:w="700" w:type="dxa"/>
            <w:tcBorders>
              <w:left w:val="single" w:sz="4" w:space="0" w:color="auto"/>
            </w:tcBorders>
            <w:vAlign w:val="center"/>
          </w:tcPr>
          <w:p w:rsidR="00F5377F" w:rsidRPr="00D630D1" w:rsidRDefault="00F5377F" w:rsidP="00F5377F">
            <w:pPr>
              <w:pStyle w:val="aff2"/>
            </w:pPr>
            <w:r w:rsidRPr="00D630D1">
              <w:t>0</w:t>
            </w:r>
          </w:p>
        </w:tc>
        <w:tc>
          <w:tcPr>
            <w:tcW w:w="721" w:type="dxa"/>
            <w:tcBorders>
              <w:left w:val="single" w:sz="4" w:space="0" w:color="auto"/>
            </w:tcBorders>
            <w:vAlign w:val="center"/>
          </w:tcPr>
          <w:p w:rsidR="00F5377F" w:rsidRPr="00D630D1" w:rsidRDefault="00F5377F" w:rsidP="00F5377F">
            <w:pPr>
              <w:pStyle w:val="aff2"/>
              <w:rPr>
                <w:bCs/>
              </w:rPr>
            </w:pPr>
            <w:r w:rsidRPr="00D630D1">
              <w:rPr>
                <w:bCs/>
              </w:rPr>
              <w:t>达标</w:t>
            </w:r>
          </w:p>
        </w:tc>
      </w:tr>
    </w:tbl>
    <w:p w:rsidR="00A30965" w:rsidRPr="00D630D1" w:rsidRDefault="00A30965" w:rsidP="00A30965">
      <w:pPr>
        <w:pStyle w:val="afa"/>
        <w:ind w:firstLine="480"/>
        <w:rPr>
          <w:lang w:val="zh-TW"/>
        </w:rPr>
      </w:pPr>
      <w:r w:rsidRPr="00D630D1">
        <w:rPr>
          <w:lang w:val="zh-TW"/>
        </w:rPr>
        <w:t>评价结论：本项目拟建地环境空气中特征污染物</w:t>
      </w:r>
      <w:r w:rsidR="00DD1647">
        <w:rPr>
          <w:lang w:val="zh-TW"/>
        </w:rPr>
        <w:t>硫化氢现状监测值</w:t>
      </w:r>
      <w:r w:rsidRPr="00D630D1">
        <w:rPr>
          <w:lang w:val="zh-TW"/>
        </w:rPr>
        <w:t>低于《环境影响评价技术导则大气环境》（</w:t>
      </w:r>
      <w:r w:rsidRPr="00D630D1">
        <w:rPr>
          <w:lang w:val="zh-TW"/>
        </w:rPr>
        <w:t>HJ2.2-2018</w:t>
      </w:r>
      <w:r w:rsidRPr="00D630D1">
        <w:rPr>
          <w:lang w:val="zh-TW"/>
        </w:rPr>
        <w:t>）中附录</w:t>
      </w:r>
      <w:r w:rsidRPr="00D630D1">
        <w:rPr>
          <w:lang w:val="zh-TW"/>
        </w:rPr>
        <w:t>D</w:t>
      </w:r>
      <w:r w:rsidR="005C7698" w:rsidRPr="00D630D1">
        <w:rPr>
          <w:lang w:val="zh-TW"/>
        </w:rPr>
        <w:t>标准限值</w:t>
      </w:r>
      <w:r w:rsidR="00DD1647">
        <w:rPr>
          <w:rFonts w:hint="eastAsia"/>
          <w:lang w:val="zh-TW"/>
        </w:rPr>
        <w:t>；</w:t>
      </w:r>
      <w:r w:rsidR="00DD1647" w:rsidRPr="00DD1647">
        <w:rPr>
          <w:rFonts w:hint="eastAsia"/>
        </w:rPr>
        <w:t>非甲烷总烃</w:t>
      </w:r>
      <w:r w:rsidR="00DD1647">
        <w:rPr>
          <w:rFonts w:hint="eastAsia"/>
        </w:rPr>
        <w:t>低于《大气污染物综合排放标准详解》浓度限值</w:t>
      </w:r>
      <w:r w:rsidRPr="00D630D1">
        <w:rPr>
          <w:lang w:val="zh-TW"/>
        </w:rPr>
        <w:t>。</w:t>
      </w:r>
    </w:p>
    <w:p w:rsidR="00117C3D" w:rsidRPr="00D630D1" w:rsidRDefault="00A30965" w:rsidP="005C7698">
      <w:pPr>
        <w:pStyle w:val="2"/>
        <w:spacing w:before="120"/>
        <w:rPr>
          <w:rFonts w:cs="Times New Roman"/>
        </w:rPr>
      </w:pPr>
      <w:bookmarkStart w:id="434" w:name="_Toc12288562"/>
      <w:bookmarkStart w:id="435" w:name="_Toc19816015"/>
      <w:bookmarkStart w:id="436" w:name="_Toc81515284"/>
      <w:r w:rsidRPr="00D630D1">
        <w:rPr>
          <w:rFonts w:cs="Times New Roman"/>
        </w:rPr>
        <w:t>5</w:t>
      </w:r>
      <w:r w:rsidR="008B5B84" w:rsidRPr="00D630D1">
        <w:rPr>
          <w:rFonts w:cs="Times New Roman"/>
        </w:rPr>
        <w:t xml:space="preserve">.4 </w:t>
      </w:r>
      <w:r w:rsidR="008B5B84" w:rsidRPr="00D630D1">
        <w:rPr>
          <w:rFonts w:cs="Times New Roman"/>
        </w:rPr>
        <w:t>地表水环境质量现状与评价</w:t>
      </w:r>
      <w:bookmarkEnd w:id="434"/>
      <w:bookmarkEnd w:id="435"/>
      <w:bookmarkEnd w:id="436"/>
    </w:p>
    <w:p w:rsidR="00117C3D" w:rsidRPr="00D630D1" w:rsidRDefault="00DD1647" w:rsidP="00DD1647">
      <w:pPr>
        <w:pStyle w:val="a1"/>
        <w:ind w:firstLine="480"/>
        <w:rPr>
          <w:rFonts w:ascii="Times New Roman" w:cs="Times New Roman"/>
        </w:rPr>
      </w:pPr>
      <w:r w:rsidRPr="00DD1647">
        <w:rPr>
          <w:rFonts w:ascii="Times New Roman" w:cs="Times New Roman" w:hint="eastAsia"/>
        </w:rPr>
        <w:t>本项目位于后河流域，后和属于渠江流域，根据《</w:t>
      </w:r>
      <w:r w:rsidRPr="00DD1647">
        <w:rPr>
          <w:rFonts w:ascii="Times New Roman" w:cs="Times New Roman" w:hint="eastAsia"/>
        </w:rPr>
        <w:t xml:space="preserve">2020 </w:t>
      </w:r>
      <w:r w:rsidRPr="00DD1647">
        <w:rPr>
          <w:rFonts w:ascii="Times New Roman" w:cs="Times New Roman" w:hint="eastAsia"/>
        </w:rPr>
        <w:t>年达州市环境状况公报》，渠江在宣汉县境内水质均符合《地表水环境质量标准》（</w:t>
      </w:r>
      <w:r w:rsidRPr="00DD1647">
        <w:rPr>
          <w:rFonts w:ascii="Times New Roman" w:cs="Times New Roman" w:hint="eastAsia"/>
        </w:rPr>
        <w:t>GB3838-2002</w:t>
      </w:r>
      <w:r w:rsidRPr="00DD1647">
        <w:rPr>
          <w:rFonts w:ascii="Times New Roman" w:cs="Times New Roman" w:hint="eastAsia"/>
        </w:rPr>
        <w:t>）中Ⅲ类水质标准限值要求</w:t>
      </w:r>
      <w:r w:rsidR="000127FE" w:rsidRPr="00D630D1">
        <w:rPr>
          <w:rFonts w:ascii="Times New Roman" w:cs="Times New Roman"/>
        </w:rPr>
        <w:t>。</w:t>
      </w:r>
    </w:p>
    <w:p w:rsidR="00117C3D" w:rsidRPr="00D630D1" w:rsidRDefault="00555FE4" w:rsidP="00555FE4">
      <w:pPr>
        <w:pStyle w:val="2"/>
        <w:spacing w:before="120"/>
        <w:rPr>
          <w:rFonts w:cs="Times New Roman"/>
        </w:rPr>
      </w:pPr>
      <w:bookmarkStart w:id="437" w:name="_Toc12288568"/>
      <w:bookmarkStart w:id="438" w:name="_Toc19816016"/>
      <w:bookmarkStart w:id="439" w:name="_Toc81515285"/>
      <w:r w:rsidRPr="00D630D1">
        <w:rPr>
          <w:rFonts w:cs="Times New Roman"/>
        </w:rPr>
        <w:lastRenderedPageBreak/>
        <w:t>5</w:t>
      </w:r>
      <w:r w:rsidR="008B5B84" w:rsidRPr="00D630D1">
        <w:rPr>
          <w:rFonts w:cs="Times New Roman"/>
        </w:rPr>
        <w:t xml:space="preserve">.5 </w:t>
      </w:r>
      <w:r w:rsidR="008B5B84" w:rsidRPr="00D630D1">
        <w:rPr>
          <w:rFonts w:cs="Times New Roman"/>
        </w:rPr>
        <w:t>地下水环境质量现状与评价</w:t>
      </w:r>
      <w:bookmarkEnd w:id="437"/>
      <w:bookmarkEnd w:id="438"/>
      <w:bookmarkEnd w:id="439"/>
    </w:p>
    <w:p w:rsidR="00773F96" w:rsidRPr="00D630D1" w:rsidRDefault="004131A0">
      <w:pPr>
        <w:pStyle w:val="a1"/>
        <w:ind w:firstLine="480"/>
        <w:rPr>
          <w:rFonts w:ascii="Times New Roman" w:cs="Times New Roman"/>
        </w:rPr>
      </w:pPr>
      <w:r w:rsidRPr="005556D5">
        <w:rPr>
          <w:rFonts w:ascii="Times New Roman" w:eastAsiaTheme="minorEastAsia" w:hAnsiTheme="minorEastAsia" w:cs="Times New Roman"/>
        </w:rPr>
        <w:t>本项目涉及的</w:t>
      </w:r>
      <w:r>
        <w:rPr>
          <w:rFonts w:eastAsiaTheme="minorEastAsia" w:hAnsiTheme="minorEastAsia" w:hint="eastAsia"/>
        </w:rPr>
        <w:t>采气站和管线范围与普光气田</w:t>
      </w:r>
      <w:r w:rsidRPr="005556D5">
        <w:rPr>
          <w:rFonts w:ascii="Times New Roman" w:eastAsiaTheme="minorEastAsia" w:hAnsiTheme="minorEastAsia" w:cs="Times New Roman"/>
        </w:rPr>
        <w:t>普陆</w:t>
      </w:r>
      <w:r w:rsidRPr="005556D5">
        <w:rPr>
          <w:rFonts w:ascii="Times New Roman" w:eastAsiaTheme="minorEastAsia" w:cs="Times New Roman"/>
        </w:rPr>
        <w:t>3-1</w:t>
      </w:r>
      <w:r w:rsidRPr="005556D5">
        <w:rPr>
          <w:rFonts w:ascii="Times New Roman" w:eastAsiaTheme="minorEastAsia" w:hAnsiTheme="minorEastAsia" w:cs="Times New Roman"/>
        </w:rPr>
        <w:t>井、普陆</w:t>
      </w:r>
      <w:r w:rsidRPr="005556D5">
        <w:rPr>
          <w:rFonts w:ascii="Times New Roman" w:eastAsiaTheme="minorEastAsia" w:cs="Times New Roman"/>
        </w:rPr>
        <w:t>3-2</w:t>
      </w:r>
      <w:r w:rsidRPr="005556D5">
        <w:rPr>
          <w:rFonts w:ascii="Times New Roman" w:eastAsiaTheme="minorEastAsia" w:hAnsiTheme="minorEastAsia" w:cs="Times New Roman"/>
        </w:rPr>
        <w:t>井钻井及试采工程一致，</w:t>
      </w:r>
      <w:r w:rsidRPr="00D630D1">
        <w:rPr>
          <w:rFonts w:ascii="Times New Roman" w:cs="Times New Roman" w:hint="eastAsia"/>
        </w:rPr>
        <w:t>属于同一水文地质单元</w:t>
      </w:r>
      <w:r>
        <w:rPr>
          <w:rFonts w:ascii="Times New Roman" w:cs="Times New Roman" w:hint="eastAsia"/>
        </w:rPr>
        <w:t>，</w:t>
      </w:r>
      <w:r w:rsidRPr="00D630D1">
        <w:rPr>
          <w:rFonts w:hint="eastAsia"/>
        </w:rPr>
        <w:t>因此，本次</w:t>
      </w:r>
      <w:r>
        <w:rPr>
          <w:rFonts w:hint="eastAsia"/>
        </w:rPr>
        <w:t>地下水环境质量现状评价引用《</w:t>
      </w:r>
      <w:r>
        <w:rPr>
          <w:rFonts w:eastAsiaTheme="minorEastAsia" w:hAnsiTheme="minorEastAsia" w:hint="eastAsia"/>
        </w:rPr>
        <w:t>普光气田</w:t>
      </w:r>
      <w:r w:rsidRPr="005556D5">
        <w:rPr>
          <w:rFonts w:ascii="Times New Roman" w:eastAsiaTheme="minorEastAsia" w:hAnsiTheme="minorEastAsia" w:cs="Times New Roman"/>
        </w:rPr>
        <w:t>普陆</w:t>
      </w:r>
      <w:r w:rsidRPr="005556D5">
        <w:rPr>
          <w:rFonts w:ascii="Times New Roman" w:eastAsiaTheme="minorEastAsia" w:cs="Times New Roman"/>
        </w:rPr>
        <w:t>3-1</w:t>
      </w:r>
      <w:r w:rsidRPr="005556D5">
        <w:rPr>
          <w:rFonts w:ascii="Times New Roman" w:eastAsiaTheme="minorEastAsia" w:hAnsiTheme="minorEastAsia" w:cs="Times New Roman"/>
        </w:rPr>
        <w:t>井、普陆</w:t>
      </w:r>
      <w:r w:rsidRPr="005556D5">
        <w:rPr>
          <w:rFonts w:ascii="Times New Roman" w:eastAsiaTheme="minorEastAsia" w:cs="Times New Roman"/>
        </w:rPr>
        <w:t>3-2</w:t>
      </w:r>
      <w:r w:rsidRPr="005556D5">
        <w:rPr>
          <w:rFonts w:ascii="Times New Roman" w:eastAsiaTheme="minorEastAsia" w:hAnsiTheme="minorEastAsia" w:cs="Times New Roman"/>
        </w:rPr>
        <w:t>井钻井及试采工程</w:t>
      </w:r>
      <w:r>
        <w:rPr>
          <w:rFonts w:eastAsiaTheme="minorEastAsia" w:hAnsiTheme="minorEastAsia" w:hint="eastAsia"/>
        </w:rPr>
        <w:t>环境影响报告书书</w:t>
      </w:r>
      <w:r>
        <w:rPr>
          <w:rFonts w:hint="eastAsia"/>
        </w:rPr>
        <w:t>》中的地下水环境监测</w:t>
      </w:r>
      <w:r w:rsidRPr="00D630D1">
        <w:rPr>
          <w:rFonts w:hint="eastAsia"/>
        </w:rPr>
        <w:t>数据进行评价，</w:t>
      </w:r>
      <w:r>
        <w:rPr>
          <w:rFonts w:hint="eastAsia"/>
        </w:rPr>
        <w:t>监测时间为</w:t>
      </w:r>
      <w:r w:rsidRPr="004131A0">
        <w:rPr>
          <w:rFonts w:ascii="Times New Roman" w:cs="Times New Roman"/>
        </w:rPr>
        <w:t>2022</w:t>
      </w:r>
      <w:r w:rsidRPr="004131A0">
        <w:rPr>
          <w:rFonts w:ascii="Times New Roman" w:cs="Times New Roman"/>
        </w:rPr>
        <w:t>年</w:t>
      </w:r>
      <w:r w:rsidRPr="004131A0">
        <w:rPr>
          <w:rFonts w:ascii="Times New Roman" w:cs="Times New Roman"/>
        </w:rPr>
        <w:t>6</w:t>
      </w:r>
      <w:r w:rsidRPr="004131A0">
        <w:rPr>
          <w:rFonts w:ascii="Times New Roman" w:cs="Times New Roman"/>
        </w:rPr>
        <w:t>月</w:t>
      </w:r>
      <w:r w:rsidRPr="004131A0">
        <w:rPr>
          <w:rFonts w:ascii="Times New Roman" w:cs="Times New Roman"/>
        </w:rPr>
        <w:t>2</w:t>
      </w:r>
      <w:r w:rsidR="00AE3108">
        <w:rPr>
          <w:rFonts w:ascii="Times New Roman" w:cs="Times New Roman" w:hint="eastAsia"/>
        </w:rPr>
        <w:t>1</w:t>
      </w:r>
      <w:r w:rsidRPr="004131A0">
        <w:rPr>
          <w:rFonts w:ascii="Times New Roman" w:cs="Times New Roman"/>
        </w:rPr>
        <w:t>日</w:t>
      </w:r>
      <w:r>
        <w:rPr>
          <w:rFonts w:hint="eastAsia"/>
        </w:rPr>
        <w:t>，符合导则要求</w:t>
      </w:r>
      <w:r w:rsidR="008B5B84" w:rsidRPr="00D630D1">
        <w:rPr>
          <w:rFonts w:ascii="Times New Roman" w:cs="Times New Roman"/>
        </w:rPr>
        <w:t>。</w:t>
      </w:r>
    </w:p>
    <w:p w:rsidR="00117C3D" w:rsidRPr="00D630D1" w:rsidRDefault="008B5B84">
      <w:pPr>
        <w:pStyle w:val="a1"/>
        <w:ind w:firstLine="482"/>
        <w:rPr>
          <w:rFonts w:ascii="Times New Roman" w:cs="Times New Roman"/>
          <w:b/>
        </w:rPr>
      </w:pPr>
      <w:bookmarkStart w:id="440" w:name="_Toc12288569"/>
      <w:r w:rsidRPr="00D630D1">
        <w:rPr>
          <w:rFonts w:ascii="Times New Roman" w:cs="Times New Roman"/>
          <w:b/>
        </w:rPr>
        <w:t>1</w:t>
      </w:r>
      <w:r w:rsidRPr="00D630D1">
        <w:rPr>
          <w:rFonts w:ascii="Times New Roman" w:cs="Times New Roman"/>
          <w:b/>
        </w:rPr>
        <w:t>、监测断面布设</w:t>
      </w:r>
      <w:bookmarkEnd w:id="440"/>
    </w:p>
    <w:p w:rsidR="00117C3D" w:rsidRPr="00D630D1" w:rsidRDefault="008B5B84">
      <w:pPr>
        <w:pStyle w:val="a1"/>
        <w:ind w:firstLine="480"/>
        <w:rPr>
          <w:rFonts w:ascii="Times New Roman" w:cs="Times New Roman"/>
        </w:rPr>
      </w:pPr>
      <w:r w:rsidRPr="00D630D1">
        <w:rPr>
          <w:rFonts w:ascii="Times New Roman" w:cs="Times New Roman"/>
        </w:rPr>
        <w:t>根据工程情况，本次评价对</w:t>
      </w:r>
      <w:r w:rsidR="00D10308" w:rsidRPr="00D630D1">
        <w:rPr>
          <w:rFonts w:ascii="Times New Roman" w:cs="Times New Roman"/>
        </w:rPr>
        <w:t>项目所在地周边</w:t>
      </w:r>
      <w:r w:rsidR="00507154" w:rsidRPr="00D630D1">
        <w:rPr>
          <w:rFonts w:ascii="Times New Roman" w:cs="Times New Roman" w:hint="eastAsia"/>
        </w:rPr>
        <w:t>10</w:t>
      </w:r>
      <w:r w:rsidR="00D10308" w:rsidRPr="00D630D1">
        <w:rPr>
          <w:rFonts w:ascii="Times New Roman" w:cs="Times New Roman" w:hint="eastAsia"/>
        </w:rPr>
        <w:t>个地下水监测点位进行了现在监测</w:t>
      </w:r>
      <w:r w:rsidRPr="00D630D1">
        <w:rPr>
          <w:rFonts w:ascii="Times New Roman" w:cs="Times New Roman"/>
        </w:rPr>
        <w:t>，具体位置见</w:t>
      </w:r>
      <w:r w:rsidR="00555FE4" w:rsidRPr="00D630D1">
        <w:rPr>
          <w:rFonts w:ascii="Times New Roman" w:cs="Times New Roman"/>
        </w:rPr>
        <w:t>监测布点图</w:t>
      </w:r>
      <w:r w:rsidRPr="00D630D1">
        <w:rPr>
          <w:rFonts w:ascii="Times New Roman" w:cs="Times New Roman"/>
        </w:rPr>
        <w:t>。</w:t>
      </w:r>
    </w:p>
    <w:p w:rsidR="00D10308" w:rsidRPr="00D630D1" w:rsidRDefault="00D10308" w:rsidP="004131A0">
      <w:pPr>
        <w:pStyle w:val="a1"/>
        <w:ind w:firstLine="480"/>
        <w:rPr>
          <w:rFonts w:ascii="Times New Roman" w:cs="Times New Roman"/>
          <w:bCs/>
        </w:rPr>
      </w:pPr>
      <w:bookmarkStart w:id="441" w:name="OLE_LINK18"/>
      <w:bookmarkStart w:id="442" w:name="_Hlk80556080"/>
      <w:r w:rsidRPr="00D630D1">
        <w:rPr>
          <w:rFonts w:ascii="Times New Roman" w:cs="Times New Roman"/>
          <w:bCs/>
        </w:rPr>
        <w:t>WX1</w:t>
      </w:r>
      <w:bookmarkEnd w:id="441"/>
      <w:r w:rsidRPr="00D630D1">
        <w:rPr>
          <w:rFonts w:ascii="Times New Roman" w:cs="Times New Roman" w:hint="eastAsia"/>
          <w:bCs/>
        </w:rPr>
        <w:t>-</w:t>
      </w:r>
      <w:r w:rsidR="004131A0" w:rsidRPr="004131A0">
        <w:rPr>
          <w:rFonts w:ascii="Times New Roman" w:cs="Times New Roman" w:hint="eastAsia"/>
          <w:bCs/>
        </w:rPr>
        <w:t>普光</w:t>
      </w:r>
      <w:r w:rsidR="004131A0" w:rsidRPr="004131A0">
        <w:rPr>
          <w:rFonts w:ascii="Times New Roman" w:cs="Times New Roman" w:hint="eastAsia"/>
          <w:bCs/>
        </w:rPr>
        <w:t>12</w:t>
      </w:r>
      <w:r w:rsidR="004131A0" w:rsidRPr="004131A0">
        <w:rPr>
          <w:rFonts w:ascii="Times New Roman" w:cs="Times New Roman" w:hint="eastAsia"/>
          <w:bCs/>
        </w:rPr>
        <w:t>平台南侧约</w:t>
      </w:r>
      <w:r w:rsidR="00AE3108">
        <w:rPr>
          <w:rFonts w:ascii="Times New Roman" w:cs="Times New Roman" w:hint="eastAsia"/>
          <w:bCs/>
        </w:rPr>
        <w:t>260m</w:t>
      </w:r>
      <w:r w:rsidR="004131A0" w:rsidRPr="004131A0">
        <w:rPr>
          <w:rFonts w:ascii="Times New Roman" w:cs="Times New Roman" w:hint="eastAsia"/>
          <w:bCs/>
        </w:rPr>
        <w:t>处</w:t>
      </w:r>
      <w:r w:rsidRPr="00D630D1">
        <w:rPr>
          <w:rFonts w:ascii="Times New Roman" w:cs="Times New Roman" w:hint="eastAsia"/>
          <w:bCs/>
        </w:rPr>
        <w:t>，</w:t>
      </w:r>
    </w:p>
    <w:p w:rsidR="00D10308" w:rsidRPr="00D630D1" w:rsidRDefault="00D10308" w:rsidP="004131A0">
      <w:pPr>
        <w:pStyle w:val="a1"/>
        <w:ind w:firstLine="480"/>
        <w:rPr>
          <w:rFonts w:ascii="Times New Roman" w:cs="Times New Roman"/>
          <w:bCs/>
        </w:rPr>
      </w:pPr>
      <w:r w:rsidRPr="00D630D1">
        <w:rPr>
          <w:rFonts w:ascii="Times New Roman" w:cs="Times New Roman"/>
          <w:bCs/>
        </w:rPr>
        <w:t>WX</w:t>
      </w:r>
      <w:r w:rsidRPr="00D630D1">
        <w:rPr>
          <w:rFonts w:ascii="Times New Roman" w:cs="Times New Roman" w:hint="eastAsia"/>
          <w:bCs/>
        </w:rPr>
        <w:t>2-</w:t>
      </w:r>
      <w:r w:rsidR="004131A0" w:rsidRPr="004131A0">
        <w:rPr>
          <w:rFonts w:ascii="Times New Roman" w:cs="Times New Roman" w:hint="eastAsia"/>
          <w:bCs/>
        </w:rPr>
        <w:t>普光</w:t>
      </w:r>
      <w:r w:rsidR="00AE3108">
        <w:rPr>
          <w:rFonts w:ascii="Times New Roman" w:cs="Times New Roman" w:hint="eastAsia"/>
          <w:bCs/>
        </w:rPr>
        <w:t>12</w:t>
      </w:r>
      <w:r w:rsidR="004131A0" w:rsidRPr="004131A0">
        <w:rPr>
          <w:rFonts w:ascii="Times New Roman" w:cs="Times New Roman" w:hint="eastAsia"/>
          <w:bCs/>
        </w:rPr>
        <w:t>平台西北侧约</w:t>
      </w:r>
      <w:r w:rsidR="00AE3108">
        <w:rPr>
          <w:rFonts w:ascii="Times New Roman" w:cs="Times New Roman" w:hint="eastAsia"/>
          <w:bCs/>
        </w:rPr>
        <w:t>660m</w:t>
      </w:r>
      <w:r w:rsidR="004131A0" w:rsidRPr="004131A0">
        <w:rPr>
          <w:rFonts w:ascii="Times New Roman" w:cs="Times New Roman" w:hint="eastAsia"/>
          <w:bCs/>
        </w:rPr>
        <w:t>处</w:t>
      </w:r>
      <w:r w:rsidRPr="00D630D1">
        <w:rPr>
          <w:rFonts w:ascii="Times New Roman" w:cs="Times New Roman" w:hint="eastAsia"/>
          <w:bCs/>
        </w:rPr>
        <w:t>，</w:t>
      </w:r>
    </w:p>
    <w:p w:rsidR="00D10308" w:rsidRPr="00D630D1" w:rsidRDefault="00D10308" w:rsidP="004131A0">
      <w:pPr>
        <w:pStyle w:val="a1"/>
        <w:ind w:firstLine="480"/>
        <w:rPr>
          <w:rFonts w:ascii="Times New Roman" w:cs="Times New Roman"/>
          <w:bCs/>
        </w:rPr>
      </w:pPr>
      <w:r w:rsidRPr="00D630D1">
        <w:rPr>
          <w:rFonts w:ascii="Times New Roman" w:cs="Times New Roman"/>
          <w:bCs/>
        </w:rPr>
        <w:t>WX</w:t>
      </w:r>
      <w:r w:rsidRPr="00D630D1">
        <w:rPr>
          <w:rFonts w:ascii="Times New Roman" w:cs="Times New Roman" w:hint="eastAsia"/>
          <w:bCs/>
        </w:rPr>
        <w:t>3-</w:t>
      </w:r>
      <w:r w:rsidR="004131A0" w:rsidRPr="004131A0">
        <w:rPr>
          <w:rFonts w:ascii="Times New Roman" w:cs="Times New Roman" w:hint="eastAsia"/>
          <w:bCs/>
        </w:rPr>
        <w:t>普光</w:t>
      </w:r>
      <w:r w:rsidR="00AE3108">
        <w:rPr>
          <w:rFonts w:ascii="Times New Roman" w:cs="Times New Roman" w:hint="eastAsia"/>
          <w:bCs/>
        </w:rPr>
        <w:t>12</w:t>
      </w:r>
      <w:r w:rsidR="004131A0" w:rsidRPr="004131A0">
        <w:rPr>
          <w:rFonts w:ascii="Times New Roman" w:cs="Times New Roman" w:hint="eastAsia"/>
          <w:bCs/>
        </w:rPr>
        <w:t>平台东北侧约</w:t>
      </w:r>
      <w:r w:rsidR="00AE3108">
        <w:rPr>
          <w:rFonts w:ascii="Times New Roman" w:cs="Times New Roman" w:hint="eastAsia"/>
          <w:bCs/>
        </w:rPr>
        <w:t>750m</w:t>
      </w:r>
      <w:r w:rsidR="004131A0" w:rsidRPr="004131A0">
        <w:rPr>
          <w:rFonts w:ascii="Times New Roman" w:cs="Times New Roman" w:hint="eastAsia"/>
          <w:bCs/>
        </w:rPr>
        <w:t>处</w:t>
      </w:r>
      <w:r w:rsidRPr="00D630D1">
        <w:rPr>
          <w:rFonts w:ascii="Times New Roman" w:cs="Times New Roman" w:hint="eastAsia"/>
          <w:bCs/>
        </w:rPr>
        <w:t>，</w:t>
      </w:r>
    </w:p>
    <w:p w:rsidR="00D10308" w:rsidRPr="00D630D1" w:rsidRDefault="00D10308" w:rsidP="004131A0">
      <w:pPr>
        <w:pStyle w:val="a1"/>
        <w:ind w:firstLine="480"/>
        <w:rPr>
          <w:rFonts w:ascii="Times New Roman" w:cs="Times New Roman"/>
          <w:bCs/>
        </w:rPr>
      </w:pPr>
      <w:r w:rsidRPr="00D630D1">
        <w:rPr>
          <w:rFonts w:ascii="Times New Roman" w:cs="Times New Roman"/>
          <w:bCs/>
        </w:rPr>
        <w:t>WX</w:t>
      </w:r>
      <w:r w:rsidRPr="00D630D1">
        <w:rPr>
          <w:rFonts w:ascii="Times New Roman" w:cs="Times New Roman" w:hint="eastAsia"/>
          <w:bCs/>
        </w:rPr>
        <w:t>4-</w:t>
      </w:r>
      <w:r w:rsidR="004131A0" w:rsidRPr="004131A0">
        <w:rPr>
          <w:rFonts w:ascii="Times New Roman" w:cs="Times New Roman" w:hint="eastAsia"/>
          <w:bCs/>
        </w:rPr>
        <w:t>普光</w:t>
      </w:r>
      <w:r w:rsidR="00AE3108">
        <w:rPr>
          <w:rFonts w:ascii="Times New Roman" w:cs="Times New Roman" w:hint="eastAsia"/>
          <w:bCs/>
        </w:rPr>
        <w:t>12</w:t>
      </w:r>
      <w:r w:rsidR="004131A0" w:rsidRPr="004131A0">
        <w:rPr>
          <w:rFonts w:ascii="Times New Roman" w:cs="Times New Roman" w:hint="eastAsia"/>
          <w:bCs/>
        </w:rPr>
        <w:t>平台北侧约</w:t>
      </w:r>
      <w:r w:rsidR="00AE3108">
        <w:rPr>
          <w:rFonts w:ascii="Times New Roman" w:cs="Times New Roman" w:hint="eastAsia"/>
          <w:bCs/>
        </w:rPr>
        <w:t>440m</w:t>
      </w:r>
      <w:r w:rsidR="004131A0" w:rsidRPr="004131A0">
        <w:rPr>
          <w:rFonts w:ascii="Times New Roman" w:cs="Times New Roman" w:hint="eastAsia"/>
          <w:bCs/>
        </w:rPr>
        <w:t>处</w:t>
      </w:r>
      <w:r w:rsidRPr="00D630D1">
        <w:rPr>
          <w:rFonts w:ascii="Times New Roman" w:cs="Times New Roman" w:hint="eastAsia"/>
          <w:bCs/>
        </w:rPr>
        <w:t>，</w:t>
      </w:r>
    </w:p>
    <w:p w:rsidR="00312119" w:rsidRPr="00D630D1" w:rsidRDefault="00D10308" w:rsidP="004131A0">
      <w:pPr>
        <w:pStyle w:val="a1"/>
        <w:ind w:firstLine="480"/>
        <w:rPr>
          <w:rFonts w:ascii="Times New Roman" w:cs="Times New Roman"/>
        </w:rPr>
      </w:pPr>
      <w:r w:rsidRPr="00D630D1">
        <w:rPr>
          <w:rFonts w:ascii="Times New Roman" w:cs="Times New Roman"/>
          <w:bCs/>
        </w:rPr>
        <w:t>WX</w:t>
      </w:r>
      <w:r w:rsidRPr="00D630D1">
        <w:rPr>
          <w:rFonts w:ascii="Times New Roman" w:cs="Times New Roman" w:hint="eastAsia"/>
          <w:bCs/>
        </w:rPr>
        <w:t>5-</w:t>
      </w:r>
      <w:r w:rsidR="004131A0" w:rsidRPr="004131A0">
        <w:rPr>
          <w:rFonts w:ascii="Times New Roman" w:cs="Times New Roman" w:hint="eastAsia"/>
          <w:bCs/>
        </w:rPr>
        <w:t>普光</w:t>
      </w:r>
      <w:r w:rsidR="00AE3108">
        <w:rPr>
          <w:rFonts w:ascii="Times New Roman" w:cs="Times New Roman" w:hint="eastAsia"/>
          <w:bCs/>
        </w:rPr>
        <w:t>12</w:t>
      </w:r>
      <w:r w:rsidR="004131A0" w:rsidRPr="004131A0">
        <w:rPr>
          <w:rFonts w:ascii="Times New Roman" w:cs="Times New Roman" w:hint="eastAsia"/>
          <w:bCs/>
        </w:rPr>
        <w:t>平台西侧约</w:t>
      </w:r>
      <w:r w:rsidR="00AE3108">
        <w:rPr>
          <w:rFonts w:ascii="Times New Roman" w:cs="Times New Roman" w:hint="eastAsia"/>
          <w:bCs/>
        </w:rPr>
        <w:t>960m</w:t>
      </w:r>
      <w:r w:rsidR="004131A0" w:rsidRPr="004131A0">
        <w:rPr>
          <w:rFonts w:ascii="Times New Roman" w:cs="Times New Roman" w:hint="eastAsia"/>
          <w:bCs/>
        </w:rPr>
        <w:t>处</w:t>
      </w:r>
      <w:r w:rsidR="004131A0">
        <w:rPr>
          <w:rFonts w:ascii="Times New Roman" w:cs="Times New Roman" w:hint="eastAsia"/>
          <w:bCs/>
        </w:rPr>
        <w:t>，</w:t>
      </w:r>
    </w:p>
    <w:p w:rsidR="00AE3108" w:rsidRDefault="00507154" w:rsidP="00AE3108">
      <w:pPr>
        <w:pStyle w:val="a1"/>
        <w:ind w:firstLine="480"/>
        <w:rPr>
          <w:rFonts w:ascii="Times New Roman" w:cs="Times New Roman"/>
          <w:bCs/>
        </w:rPr>
      </w:pPr>
      <w:r w:rsidRPr="00D630D1">
        <w:rPr>
          <w:rFonts w:ascii="Times New Roman" w:cs="Times New Roman"/>
          <w:bCs/>
        </w:rPr>
        <w:t>WX</w:t>
      </w:r>
      <w:r w:rsidRPr="00D630D1">
        <w:rPr>
          <w:rFonts w:ascii="Times New Roman" w:cs="Times New Roman" w:hint="eastAsia"/>
          <w:bCs/>
        </w:rPr>
        <w:t>6-</w:t>
      </w:r>
      <w:r w:rsidR="00AE3108" w:rsidRPr="00AE3108">
        <w:rPr>
          <w:rFonts w:ascii="Times New Roman" w:cs="Times New Roman" w:hint="eastAsia"/>
          <w:bCs/>
        </w:rPr>
        <w:t>普光</w:t>
      </w:r>
      <w:r w:rsidR="00AE3108">
        <w:rPr>
          <w:rFonts w:ascii="Times New Roman" w:cs="Times New Roman" w:hint="eastAsia"/>
          <w:bCs/>
        </w:rPr>
        <w:t>12</w:t>
      </w:r>
      <w:r w:rsidR="00AE3108" w:rsidRPr="00AE3108">
        <w:rPr>
          <w:rFonts w:ascii="Times New Roman" w:cs="Times New Roman" w:hint="eastAsia"/>
          <w:bCs/>
        </w:rPr>
        <w:t>平台东南侧约</w:t>
      </w:r>
      <w:r w:rsidR="00AE3108">
        <w:rPr>
          <w:rFonts w:ascii="Times New Roman" w:cs="Times New Roman" w:hint="eastAsia"/>
          <w:bCs/>
        </w:rPr>
        <w:t>870m</w:t>
      </w:r>
      <w:r w:rsidR="00AE3108" w:rsidRPr="00AE3108">
        <w:rPr>
          <w:rFonts w:ascii="Times New Roman" w:cs="Times New Roman" w:hint="eastAsia"/>
          <w:bCs/>
        </w:rPr>
        <w:t>处</w:t>
      </w:r>
      <w:r w:rsidR="00AE3108">
        <w:rPr>
          <w:rFonts w:ascii="Times New Roman" w:cs="Times New Roman" w:hint="eastAsia"/>
          <w:bCs/>
        </w:rPr>
        <w:t>，</w:t>
      </w:r>
    </w:p>
    <w:p w:rsidR="00AE3108" w:rsidRDefault="00AE3108" w:rsidP="00AE3108">
      <w:pPr>
        <w:pStyle w:val="a1"/>
        <w:ind w:firstLine="480"/>
        <w:rPr>
          <w:rFonts w:ascii="Times New Roman" w:cs="Times New Roman"/>
          <w:bCs/>
        </w:rPr>
      </w:pPr>
      <w:r w:rsidRPr="00D630D1">
        <w:rPr>
          <w:rFonts w:ascii="Times New Roman" w:cs="Times New Roman"/>
          <w:bCs/>
        </w:rPr>
        <w:t>WX</w:t>
      </w:r>
      <w:r>
        <w:rPr>
          <w:rFonts w:ascii="Times New Roman" w:cs="Times New Roman" w:hint="eastAsia"/>
          <w:bCs/>
        </w:rPr>
        <w:t>7</w:t>
      </w:r>
      <w:r w:rsidRPr="00D630D1">
        <w:rPr>
          <w:rFonts w:ascii="Times New Roman" w:cs="Times New Roman" w:hint="eastAsia"/>
          <w:bCs/>
        </w:rPr>
        <w:t>-</w:t>
      </w:r>
      <w:r w:rsidRPr="00AE3108">
        <w:rPr>
          <w:rFonts w:ascii="Times New Roman" w:cs="Times New Roman" w:hint="eastAsia"/>
          <w:bCs/>
        </w:rPr>
        <w:t>普光</w:t>
      </w:r>
      <w:r>
        <w:rPr>
          <w:rFonts w:ascii="Times New Roman" w:cs="Times New Roman" w:hint="eastAsia"/>
          <w:bCs/>
        </w:rPr>
        <w:t>12</w:t>
      </w:r>
      <w:r w:rsidRPr="00AE3108">
        <w:rPr>
          <w:rFonts w:ascii="Times New Roman" w:cs="Times New Roman" w:hint="eastAsia"/>
          <w:bCs/>
        </w:rPr>
        <w:t>平台东南侧约</w:t>
      </w:r>
      <w:r>
        <w:rPr>
          <w:rFonts w:ascii="Times New Roman" w:cs="Times New Roman" w:hint="eastAsia"/>
          <w:bCs/>
        </w:rPr>
        <w:t>650m</w:t>
      </w:r>
      <w:r w:rsidRPr="00AE3108">
        <w:rPr>
          <w:rFonts w:ascii="Times New Roman" w:cs="Times New Roman" w:hint="eastAsia"/>
          <w:bCs/>
        </w:rPr>
        <w:t>处</w:t>
      </w:r>
      <w:r>
        <w:rPr>
          <w:rFonts w:ascii="Times New Roman" w:cs="Times New Roman" w:hint="eastAsia"/>
          <w:bCs/>
        </w:rPr>
        <w:t>，</w:t>
      </w:r>
    </w:p>
    <w:p w:rsidR="00AE3108" w:rsidRDefault="00AE3108" w:rsidP="00AE3108">
      <w:pPr>
        <w:pStyle w:val="a1"/>
        <w:ind w:firstLine="480"/>
        <w:rPr>
          <w:rFonts w:ascii="Times New Roman" w:cs="Times New Roman"/>
          <w:bCs/>
        </w:rPr>
      </w:pPr>
      <w:r w:rsidRPr="00D630D1">
        <w:rPr>
          <w:rFonts w:ascii="Times New Roman" w:cs="Times New Roman"/>
          <w:bCs/>
        </w:rPr>
        <w:t>WX</w:t>
      </w:r>
      <w:r>
        <w:rPr>
          <w:rFonts w:ascii="Times New Roman" w:cs="Times New Roman" w:hint="eastAsia"/>
          <w:bCs/>
        </w:rPr>
        <w:t>8</w:t>
      </w:r>
      <w:r w:rsidRPr="00D630D1">
        <w:rPr>
          <w:rFonts w:ascii="Times New Roman" w:cs="Times New Roman" w:hint="eastAsia"/>
          <w:bCs/>
        </w:rPr>
        <w:t>-</w:t>
      </w:r>
      <w:r w:rsidRPr="00AE3108">
        <w:rPr>
          <w:rFonts w:ascii="Times New Roman" w:cs="Times New Roman" w:hint="eastAsia"/>
          <w:bCs/>
        </w:rPr>
        <w:t>普光</w:t>
      </w:r>
      <w:r>
        <w:rPr>
          <w:rFonts w:ascii="Times New Roman" w:cs="Times New Roman" w:hint="eastAsia"/>
          <w:bCs/>
        </w:rPr>
        <w:t>12</w:t>
      </w:r>
      <w:r w:rsidRPr="00AE3108">
        <w:rPr>
          <w:rFonts w:ascii="Times New Roman" w:cs="Times New Roman" w:hint="eastAsia"/>
          <w:bCs/>
        </w:rPr>
        <w:t>平台东北侧约</w:t>
      </w:r>
      <w:r>
        <w:rPr>
          <w:rFonts w:ascii="Times New Roman" w:cs="Times New Roman" w:hint="eastAsia"/>
          <w:bCs/>
        </w:rPr>
        <w:t>540m</w:t>
      </w:r>
      <w:r w:rsidRPr="00AE3108">
        <w:rPr>
          <w:rFonts w:ascii="Times New Roman" w:cs="Times New Roman" w:hint="eastAsia"/>
          <w:bCs/>
        </w:rPr>
        <w:t>处</w:t>
      </w:r>
      <w:r>
        <w:rPr>
          <w:rFonts w:ascii="Times New Roman" w:cs="Times New Roman" w:hint="eastAsia"/>
          <w:bCs/>
        </w:rPr>
        <w:t>，</w:t>
      </w:r>
    </w:p>
    <w:p w:rsidR="00AE3108" w:rsidRDefault="00AE3108" w:rsidP="00AE3108">
      <w:pPr>
        <w:pStyle w:val="a1"/>
        <w:ind w:firstLine="480"/>
        <w:rPr>
          <w:rFonts w:ascii="Times New Roman" w:cs="Times New Roman"/>
          <w:bCs/>
        </w:rPr>
      </w:pPr>
      <w:r w:rsidRPr="00D630D1">
        <w:rPr>
          <w:rFonts w:ascii="Times New Roman" w:cs="Times New Roman"/>
          <w:bCs/>
        </w:rPr>
        <w:t>WX</w:t>
      </w:r>
      <w:r>
        <w:rPr>
          <w:rFonts w:ascii="Times New Roman" w:cs="Times New Roman" w:hint="eastAsia"/>
          <w:bCs/>
        </w:rPr>
        <w:t>9</w:t>
      </w:r>
      <w:r w:rsidRPr="00D630D1">
        <w:rPr>
          <w:rFonts w:ascii="Times New Roman" w:cs="Times New Roman" w:hint="eastAsia"/>
          <w:bCs/>
        </w:rPr>
        <w:t>-</w:t>
      </w:r>
      <w:r w:rsidRPr="00AE3108">
        <w:rPr>
          <w:rFonts w:ascii="Times New Roman" w:cs="Times New Roman" w:hint="eastAsia"/>
          <w:bCs/>
        </w:rPr>
        <w:t>普光</w:t>
      </w:r>
      <w:r>
        <w:rPr>
          <w:rFonts w:ascii="Times New Roman" w:cs="Times New Roman" w:hint="eastAsia"/>
          <w:bCs/>
        </w:rPr>
        <w:t>12</w:t>
      </w:r>
      <w:r w:rsidRPr="00AE3108">
        <w:rPr>
          <w:rFonts w:ascii="Times New Roman" w:cs="Times New Roman" w:hint="eastAsia"/>
          <w:bCs/>
        </w:rPr>
        <w:t>平台西北侧约</w:t>
      </w:r>
      <w:r>
        <w:rPr>
          <w:rFonts w:ascii="Times New Roman" w:cs="Times New Roman" w:hint="eastAsia"/>
          <w:bCs/>
        </w:rPr>
        <w:t>790m</w:t>
      </w:r>
      <w:r w:rsidRPr="00AE3108">
        <w:rPr>
          <w:rFonts w:ascii="Times New Roman" w:cs="Times New Roman" w:hint="eastAsia"/>
          <w:bCs/>
        </w:rPr>
        <w:t>处</w:t>
      </w:r>
      <w:r>
        <w:rPr>
          <w:rFonts w:ascii="Times New Roman" w:cs="Times New Roman" w:hint="eastAsia"/>
          <w:bCs/>
        </w:rPr>
        <w:t>，</w:t>
      </w:r>
    </w:p>
    <w:p w:rsidR="00507154" w:rsidRPr="00D630D1" w:rsidRDefault="00AE3108" w:rsidP="00AE3108">
      <w:pPr>
        <w:pStyle w:val="a1"/>
        <w:ind w:firstLine="480"/>
        <w:rPr>
          <w:rFonts w:ascii="Times New Roman" w:cs="Times New Roman"/>
        </w:rPr>
      </w:pPr>
      <w:r w:rsidRPr="00D630D1">
        <w:rPr>
          <w:rFonts w:ascii="Times New Roman" w:cs="Times New Roman"/>
          <w:bCs/>
        </w:rPr>
        <w:t>WX</w:t>
      </w:r>
      <w:r>
        <w:rPr>
          <w:rFonts w:ascii="Times New Roman" w:cs="Times New Roman" w:hint="eastAsia"/>
          <w:bCs/>
        </w:rPr>
        <w:t>10</w:t>
      </w:r>
      <w:r w:rsidRPr="00D630D1">
        <w:rPr>
          <w:rFonts w:ascii="Times New Roman" w:cs="Times New Roman" w:hint="eastAsia"/>
          <w:bCs/>
        </w:rPr>
        <w:t>-</w:t>
      </w:r>
      <w:r w:rsidRPr="00AE3108">
        <w:rPr>
          <w:rFonts w:ascii="Times New Roman" w:cs="Times New Roman" w:hint="eastAsia"/>
          <w:bCs/>
        </w:rPr>
        <w:t>普光</w:t>
      </w:r>
      <w:r>
        <w:rPr>
          <w:rFonts w:ascii="Times New Roman" w:cs="Times New Roman" w:hint="eastAsia"/>
          <w:bCs/>
        </w:rPr>
        <w:t>12</w:t>
      </w:r>
      <w:r w:rsidRPr="00AE3108">
        <w:rPr>
          <w:rFonts w:ascii="Times New Roman" w:cs="Times New Roman" w:hint="eastAsia"/>
          <w:bCs/>
        </w:rPr>
        <w:t>平台北侧约</w:t>
      </w:r>
      <w:r>
        <w:rPr>
          <w:rFonts w:ascii="Times New Roman" w:cs="Times New Roman" w:hint="eastAsia"/>
          <w:bCs/>
        </w:rPr>
        <w:t>540m</w:t>
      </w:r>
      <w:r w:rsidRPr="00AE3108">
        <w:rPr>
          <w:rFonts w:ascii="Times New Roman" w:cs="Times New Roman" w:hint="eastAsia"/>
          <w:bCs/>
        </w:rPr>
        <w:t>处</w:t>
      </w:r>
      <w:r w:rsidR="00507154" w:rsidRPr="00D630D1">
        <w:rPr>
          <w:rFonts w:ascii="Times New Roman" w:cs="Times New Roman" w:hint="eastAsia"/>
          <w:bCs/>
        </w:rPr>
        <w:t>。</w:t>
      </w:r>
    </w:p>
    <w:bookmarkEnd w:id="442"/>
    <w:p w:rsidR="003B38AE" w:rsidRPr="00D630D1" w:rsidRDefault="00507154" w:rsidP="00507154">
      <w:pPr>
        <w:pStyle w:val="a1"/>
        <w:ind w:firstLine="482"/>
        <w:rPr>
          <w:rFonts w:ascii="Times New Roman" w:cs="Times New Roman"/>
          <w:b/>
          <w:bCs/>
        </w:rPr>
      </w:pPr>
      <w:r w:rsidRPr="00D630D1">
        <w:rPr>
          <w:rFonts w:ascii="Times New Roman" w:cs="Times New Roman"/>
          <w:b/>
          <w:bCs/>
        </w:rPr>
        <w:t>WX</w:t>
      </w:r>
      <w:r w:rsidR="003B38AE" w:rsidRPr="00D630D1">
        <w:rPr>
          <w:rFonts w:ascii="Times New Roman" w:cs="Times New Roman"/>
          <w:b/>
          <w:bCs/>
        </w:rPr>
        <w:t>1~</w:t>
      </w:r>
      <w:r w:rsidRPr="00D630D1">
        <w:rPr>
          <w:rFonts w:ascii="Times New Roman" w:cs="Times New Roman"/>
          <w:b/>
          <w:bCs/>
        </w:rPr>
        <w:t>WX</w:t>
      </w:r>
      <w:r w:rsidRPr="00D630D1">
        <w:rPr>
          <w:rFonts w:ascii="Times New Roman" w:cs="Times New Roman" w:hint="eastAsia"/>
          <w:b/>
          <w:bCs/>
        </w:rPr>
        <w:t>5</w:t>
      </w:r>
      <w:r w:rsidR="003B38AE" w:rsidRPr="00D630D1">
        <w:rPr>
          <w:rFonts w:ascii="Times New Roman" w:cs="Times New Roman"/>
          <w:b/>
          <w:bCs/>
        </w:rPr>
        <w:t>为水质监测点；</w:t>
      </w:r>
      <w:r w:rsidRPr="00D630D1">
        <w:rPr>
          <w:rFonts w:ascii="Times New Roman" w:cs="Times New Roman"/>
          <w:b/>
          <w:bCs/>
        </w:rPr>
        <w:t>WX1~WX</w:t>
      </w:r>
      <w:r w:rsidRPr="00D630D1">
        <w:rPr>
          <w:rFonts w:ascii="Times New Roman" w:cs="Times New Roman" w:hint="eastAsia"/>
          <w:b/>
          <w:bCs/>
        </w:rPr>
        <w:t>10</w:t>
      </w:r>
      <w:r w:rsidR="003B38AE" w:rsidRPr="00D630D1">
        <w:rPr>
          <w:rFonts w:ascii="Times New Roman" w:cs="Times New Roman"/>
          <w:b/>
          <w:bCs/>
        </w:rPr>
        <w:t>为水位监测点。</w:t>
      </w:r>
    </w:p>
    <w:p w:rsidR="00555FE4" w:rsidRPr="00D630D1" w:rsidRDefault="008B5B84" w:rsidP="003B38AE">
      <w:pPr>
        <w:pStyle w:val="a1"/>
        <w:ind w:firstLine="482"/>
        <w:rPr>
          <w:rFonts w:ascii="Times New Roman" w:cs="Times New Roman"/>
          <w:b/>
          <w:bCs/>
        </w:rPr>
      </w:pPr>
      <w:r w:rsidRPr="00D630D1">
        <w:rPr>
          <w:rFonts w:ascii="Times New Roman" w:cs="Times New Roman"/>
          <w:b/>
          <w:bCs/>
        </w:rPr>
        <w:t>2</w:t>
      </w:r>
      <w:r w:rsidRPr="00D630D1">
        <w:rPr>
          <w:rFonts w:ascii="Times New Roman" w:cs="Times New Roman"/>
          <w:b/>
          <w:bCs/>
        </w:rPr>
        <w:t>、监测项目</w:t>
      </w:r>
    </w:p>
    <w:p w:rsidR="00117C3D" w:rsidRPr="00D630D1" w:rsidRDefault="00507154" w:rsidP="00507154">
      <w:pPr>
        <w:pStyle w:val="afa"/>
        <w:ind w:firstLine="480"/>
      </w:pPr>
      <w:r w:rsidRPr="00D630D1">
        <w:rPr>
          <w:rFonts w:hint="eastAsia"/>
        </w:rPr>
        <w:t>K</w:t>
      </w:r>
      <w:r w:rsidRPr="00D630D1">
        <w:rPr>
          <w:rFonts w:hint="eastAsia"/>
          <w:vertAlign w:val="superscript"/>
        </w:rPr>
        <w:t>+</w:t>
      </w:r>
      <w:r w:rsidR="001205FA" w:rsidRPr="00D630D1">
        <w:rPr>
          <w:rFonts w:hint="eastAsia"/>
        </w:rPr>
        <w:t>、</w:t>
      </w:r>
      <w:r w:rsidRPr="00D630D1">
        <w:rPr>
          <w:rFonts w:hint="eastAsia"/>
        </w:rPr>
        <w:t>Na</w:t>
      </w:r>
      <w:r w:rsidRPr="00D630D1">
        <w:rPr>
          <w:rFonts w:hint="eastAsia"/>
          <w:vertAlign w:val="superscript"/>
        </w:rPr>
        <w:t>+</w:t>
      </w:r>
      <w:r w:rsidRPr="00D630D1">
        <w:rPr>
          <w:rFonts w:hint="eastAsia"/>
        </w:rPr>
        <w:t>、</w:t>
      </w:r>
      <w:r w:rsidRPr="00D630D1">
        <w:rPr>
          <w:rFonts w:hint="eastAsia"/>
        </w:rPr>
        <w:t>Ca</w:t>
      </w:r>
      <w:r w:rsidRPr="00D630D1">
        <w:rPr>
          <w:rFonts w:hint="eastAsia"/>
          <w:vertAlign w:val="superscript"/>
        </w:rPr>
        <w:t>2+</w:t>
      </w:r>
      <w:r w:rsidRPr="00D630D1">
        <w:rPr>
          <w:rFonts w:hint="eastAsia"/>
        </w:rPr>
        <w:t>、</w:t>
      </w:r>
      <w:r w:rsidRPr="00D630D1">
        <w:rPr>
          <w:rFonts w:hint="eastAsia"/>
        </w:rPr>
        <w:t>Mg</w:t>
      </w:r>
      <w:r w:rsidRPr="00D630D1">
        <w:rPr>
          <w:rFonts w:hint="eastAsia"/>
          <w:vertAlign w:val="superscript"/>
        </w:rPr>
        <w:t>2+</w:t>
      </w:r>
      <w:r w:rsidRPr="00D630D1">
        <w:rPr>
          <w:rFonts w:hint="eastAsia"/>
        </w:rPr>
        <w:t>、</w:t>
      </w:r>
      <w:r w:rsidRPr="00D630D1">
        <w:rPr>
          <w:rFonts w:hint="eastAsia"/>
        </w:rPr>
        <w:t>CO</w:t>
      </w:r>
      <w:r w:rsidRPr="00D630D1">
        <w:rPr>
          <w:rFonts w:hint="eastAsia"/>
          <w:vertAlign w:val="subscript"/>
        </w:rPr>
        <w:t>3</w:t>
      </w:r>
      <w:r w:rsidRPr="00D630D1">
        <w:rPr>
          <w:rFonts w:hint="eastAsia"/>
          <w:vertAlign w:val="superscript"/>
        </w:rPr>
        <w:t>2-</w:t>
      </w:r>
      <w:r w:rsidRPr="00D630D1">
        <w:rPr>
          <w:rFonts w:hint="eastAsia"/>
        </w:rPr>
        <w:t>、</w:t>
      </w:r>
      <w:r w:rsidRPr="00D630D1">
        <w:rPr>
          <w:rFonts w:hint="eastAsia"/>
        </w:rPr>
        <w:t>HCO</w:t>
      </w:r>
      <w:r w:rsidRPr="00D630D1">
        <w:rPr>
          <w:rFonts w:hint="eastAsia"/>
          <w:vertAlign w:val="subscript"/>
        </w:rPr>
        <w:t>3</w:t>
      </w:r>
      <w:r w:rsidRPr="00D630D1">
        <w:rPr>
          <w:rFonts w:hint="eastAsia"/>
          <w:vertAlign w:val="superscript"/>
        </w:rPr>
        <w:t>-</w:t>
      </w:r>
      <w:r w:rsidRPr="00D630D1">
        <w:rPr>
          <w:rFonts w:hint="eastAsia"/>
        </w:rPr>
        <w:t>、</w:t>
      </w:r>
      <w:r w:rsidRPr="00D630D1">
        <w:rPr>
          <w:rFonts w:hint="eastAsia"/>
        </w:rPr>
        <w:t>Cl</w:t>
      </w:r>
      <w:r w:rsidRPr="00D630D1">
        <w:rPr>
          <w:rFonts w:hint="eastAsia"/>
          <w:vertAlign w:val="superscript"/>
        </w:rPr>
        <w:t>-</w:t>
      </w:r>
      <w:r w:rsidRPr="00D630D1">
        <w:rPr>
          <w:rFonts w:hint="eastAsia"/>
        </w:rPr>
        <w:t>、</w:t>
      </w:r>
      <w:r w:rsidRPr="00D630D1">
        <w:rPr>
          <w:rFonts w:hint="eastAsia"/>
        </w:rPr>
        <w:t>SO</w:t>
      </w:r>
      <w:r w:rsidRPr="00D630D1">
        <w:rPr>
          <w:rFonts w:hint="eastAsia"/>
          <w:vertAlign w:val="subscript"/>
        </w:rPr>
        <w:t>4</w:t>
      </w:r>
      <w:r w:rsidRPr="00D630D1">
        <w:rPr>
          <w:rFonts w:hint="eastAsia"/>
          <w:vertAlign w:val="superscript"/>
        </w:rPr>
        <w:t>2-</w:t>
      </w:r>
      <w:r w:rsidRPr="00D630D1">
        <w:rPr>
          <w:rFonts w:hint="eastAsia"/>
        </w:rPr>
        <w:t>；</w:t>
      </w:r>
      <w:r w:rsidRPr="00D630D1">
        <w:rPr>
          <w:rFonts w:hint="eastAsia"/>
        </w:rPr>
        <w:t>pH</w:t>
      </w:r>
      <w:r w:rsidRPr="00D630D1">
        <w:rPr>
          <w:rFonts w:hint="eastAsia"/>
        </w:rPr>
        <w:t>、氨氮、硝酸盐、亚硝酸盐、挥发性酚类、氰化物、砷、汞、铬（六价）、总硬度、铅、镉、铁、锰、溶解性总固体、耗氧量、硫酸盐、氯化物、菌落总数、氟化物、总大肠菌群、</w:t>
      </w:r>
      <w:r w:rsidRPr="00D630D1">
        <w:t>石油类</w:t>
      </w:r>
      <w:r w:rsidR="00312119" w:rsidRPr="00D630D1">
        <w:t>。</w:t>
      </w:r>
    </w:p>
    <w:p w:rsidR="00555FE4" w:rsidRPr="00D630D1" w:rsidRDefault="008B5B84" w:rsidP="00555FE4">
      <w:pPr>
        <w:pStyle w:val="afa"/>
        <w:ind w:firstLine="482"/>
        <w:rPr>
          <w:b/>
          <w:bCs/>
        </w:rPr>
      </w:pPr>
      <w:r w:rsidRPr="00D630D1">
        <w:rPr>
          <w:b/>
          <w:bCs/>
        </w:rPr>
        <w:t>3</w:t>
      </w:r>
      <w:r w:rsidRPr="00D630D1">
        <w:rPr>
          <w:b/>
          <w:bCs/>
        </w:rPr>
        <w:t>、监测频次</w:t>
      </w:r>
    </w:p>
    <w:p w:rsidR="00117C3D" w:rsidRPr="00D630D1" w:rsidRDefault="008B5B84" w:rsidP="00555FE4">
      <w:pPr>
        <w:pStyle w:val="afa"/>
        <w:ind w:firstLine="480"/>
      </w:pPr>
      <w:r w:rsidRPr="00D630D1">
        <w:t>监测</w:t>
      </w:r>
      <w:r w:rsidR="00FC510D" w:rsidRPr="00D630D1">
        <w:t>1</w:t>
      </w:r>
      <w:r w:rsidRPr="00D630D1">
        <w:t>天，每天采样</w:t>
      </w:r>
      <w:r w:rsidRPr="00D630D1">
        <w:t>1</w:t>
      </w:r>
      <w:r w:rsidRPr="00D630D1">
        <w:t>次。</w:t>
      </w:r>
    </w:p>
    <w:p w:rsidR="00117C3D" w:rsidRPr="00D630D1" w:rsidRDefault="008B5B84" w:rsidP="00555FE4">
      <w:pPr>
        <w:pStyle w:val="afa"/>
        <w:ind w:firstLine="482"/>
        <w:rPr>
          <w:b/>
          <w:bCs/>
        </w:rPr>
      </w:pPr>
      <w:bookmarkStart w:id="443" w:name="_Toc12288570"/>
      <w:r w:rsidRPr="00D630D1">
        <w:rPr>
          <w:b/>
          <w:bCs/>
        </w:rPr>
        <w:t>4</w:t>
      </w:r>
      <w:r w:rsidRPr="00D630D1">
        <w:rPr>
          <w:b/>
          <w:bCs/>
        </w:rPr>
        <w:t>、采样及分析方法</w:t>
      </w:r>
      <w:bookmarkEnd w:id="443"/>
    </w:p>
    <w:p w:rsidR="00117C3D" w:rsidRPr="00D630D1" w:rsidRDefault="008B5B84" w:rsidP="00555FE4">
      <w:pPr>
        <w:pStyle w:val="afa"/>
        <w:ind w:firstLine="480"/>
      </w:pPr>
      <w:r w:rsidRPr="00D630D1">
        <w:t>采样及分析方法按国家有关规定进行。</w:t>
      </w:r>
    </w:p>
    <w:p w:rsidR="00117C3D" w:rsidRPr="00D630D1" w:rsidRDefault="008B5B84" w:rsidP="00555FE4">
      <w:pPr>
        <w:pStyle w:val="afa"/>
        <w:ind w:firstLine="482"/>
        <w:rPr>
          <w:b/>
          <w:bCs/>
        </w:rPr>
      </w:pPr>
      <w:bookmarkStart w:id="444" w:name="_Toc12288571"/>
      <w:r w:rsidRPr="00D630D1">
        <w:rPr>
          <w:b/>
          <w:bCs/>
        </w:rPr>
        <w:t>5</w:t>
      </w:r>
      <w:r w:rsidRPr="00D630D1">
        <w:rPr>
          <w:b/>
          <w:bCs/>
        </w:rPr>
        <w:t>、评价标准</w:t>
      </w:r>
      <w:bookmarkEnd w:id="444"/>
    </w:p>
    <w:p w:rsidR="00383D53" w:rsidRPr="00D630D1" w:rsidRDefault="008B5B84" w:rsidP="00383D53">
      <w:pPr>
        <w:pStyle w:val="afa"/>
        <w:ind w:firstLine="480"/>
      </w:pPr>
      <w:r w:rsidRPr="00D630D1">
        <w:lastRenderedPageBreak/>
        <w:t>地下水环境质量执行《地下水质量标准》（</w:t>
      </w:r>
      <w:r w:rsidRPr="00D630D1">
        <w:t>GB/T14848-2017</w:t>
      </w:r>
      <w:r w:rsidRPr="00D630D1">
        <w:t>）中</w:t>
      </w:r>
      <w:r w:rsidRPr="00D630D1">
        <w:t>Ⅲ</w:t>
      </w:r>
      <w:r w:rsidRPr="00D630D1">
        <w:t>类标准，其中</w:t>
      </w:r>
      <w:r w:rsidR="0041271A" w:rsidRPr="00D630D1">
        <w:t>石油类</w:t>
      </w:r>
      <w:r w:rsidR="002E7EEF" w:rsidRPr="00D630D1">
        <w:t>执行《地表水环境质量标准》（</w:t>
      </w:r>
      <w:r w:rsidR="002E7EEF" w:rsidRPr="00D630D1">
        <w:t>GB3838-2002</w:t>
      </w:r>
      <w:r w:rsidR="002E7EEF" w:rsidRPr="00D630D1">
        <w:t>）</w:t>
      </w:r>
      <w:r w:rsidR="002E7EEF" w:rsidRPr="00D630D1">
        <w:t>Ⅲ</w:t>
      </w:r>
      <w:r w:rsidR="002E7EEF" w:rsidRPr="00D630D1">
        <w:t>类标准要求</w:t>
      </w:r>
      <w:r w:rsidRPr="00D630D1">
        <w:t>。</w:t>
      </w:r>
      <w:bookmarkStart w:id="445" w:name="_Toc12288572"/>
    </w:p>
    <w:p w:rsidR="00117C3D" w:rsidRPr="00D630D1" w:rsidRDefault="008B5B84" w:rsidP="00383D53">
      <w:pPr>
        <w:pStyle w:val="afa"/>
        <w:ind w:firstLine="482"/>
        <w:rPr>
          <w:b/>
          <w:bCs/>
        </w:rPr>
      </w:pPr>
      <w:r w:rsidRPr="00D630D1">
        <w:rPr>
          <w:b/>
          <w:bCs/>
        </w:rPr>
        <w:t>6</w:t>
      </w:r>
      <w:r w:rsidRPr="00D630D1">
        <w:rPr>
          <w:b/>
          <w:bCs/>
        </w:rPr>
        <w:t>、评价方法</w:t>
      </w:r>
      <w:bookmarkEnd w:id="445"/>
    </w:p>
    <w:p w:rsidR="00117C3D" w:rsidRPr="00D630D1" w:rsidRDefault="008B5B84">
      <w:pPr>
        <w:pStyle w:val="a1"/>
        <w:ind w:firstLine="480"/>
        <w:rPr>
          <w:rFonts w:ascii="Times New Roman" w:cs="Times New Roman"/>
        </w:rPr>
      </w:pPr>
      <w:r w:rsidRPr="00D630D1">
        <w:rPr>
          <w:rFonts w:ascii="Times New Roman" w:cs="Times New Roman"/>
        </w:rPr>
        <w:t>根据《环境影响评价技术导则</w:t>
      </w:r>
      <w:r w:rsidR="002E7EEF" w:rsidRPr="00D630D1">
        <w:rPr>
          <w:rFonts w:ascii="Times New Roman" w:cs="Times New Roman"/>
        </w:rPr>
        <w:t xml:space="preserve"> </w:t>
      </w:r>
      <w:r w:rsidRPr="00D630D1">
        <w:rPr>
          <w:rFonts w:ascii="Times New Roman" w:cs="Times New Roman"/>
        </w:rPr>
        <w:t>地下水环境》（</w:t>
      </w:r>
      <w:r w:rsidRPr="00D630D1">
        <w:rPr>
          <w:rFonts w:ascii="Times New Roman" w:cs="Times New Roman"/>
        </w:rPr>
        <w:t>HJ610-2016</w:t>
      </w:r>
      <w:r w:rsidRPr="00D630D1">
        <w:rPr>
          <w:rFonts w:ascii="Times New Roman" w:cs="Times New Roman"/>
        </w:rPr>
        <w:t>），地下水环境质量现状评价方法采用标准指数法，除</w:t>
      </w:r>
      <w:r w:rsidRPr="00D630D1">
        <w:rPr>
          <w:rFonts w:ascii="Times New Roman" w:cs="Times New Roman"/>
        </w:rPr>
        <w:t>pH</w:t>
      </w:r>
      <w:r w:rsidRPr="00D630D1">
        <w:rPr>
          <w:rFonts w:ascii="Times New Roman" w:cs="Times New Roman"/>
        </w:rPr>
        <w:t>值外，其它水质参数的单项标准指数</w:t>
      </w:r>
      <w:r w:rsidRPr="00D630D1">
        <w:rPr>
          <w:rFonts w:ascii="Times New Roman" w:cs="Times New Roman"/>
        </w:rPr>
        <w:t>S</w:t>
      </w:r>
      <w:r w:rsidRPr="00D630D1">
        <w:rPr>
          <w:rFonts w:ascii="Times New Roman" w:cs="Times New Roman"/>
          <w:sz w:val="16"/>
          <w:szCs w:val="16"/>
        </w:rPr>
        <w:t>i</w:t>
      </w:r>
      <w:r w:rsidRPr="00D630D1">
        <w:rPr>
          <w:rFonts w:ascii="Times New Roman" w:cs="Times New Roman"/>
        </w:rPr>
        <w:t>为：</w:t>
      </w:r>
    </w:p>
    <w:p w:rsidR="00117C3D" w:rsidRPr="00D630D1" w:rsidRDefault="008B5B84" w:rsidP="00555FE4">
      <w:pPr>
        <w:pStyle w:val="a1"/>
        <w:ind w:firstLineChars="0" w:firstLine="0"/>
        <w:jc w:val="center"/>
        <w:rPr>
          <w:rFonts w:ascii="Times New Roman" w:cs="Times New Roman"/>
          <w:sz w:val="16"/>
          <w:szCs w:val="16"/>
        </w:rPr>
      </w:pPr>
      <w:r w:rsidRPr="00D630D1">
        <w:rPr>
          <w:rFonts w:ascii="Times New Roman" w:cs="Times New Roman"/>
        </w:rPr>
        <w:t>S</w:t>
      </w:r>
      <w:r w:rsidRPr="00D630D1">
        <w:rPr>
          <w:rFonts w:ascii="Times New Roman" w:cs="Times New Roman"/>
          <w:sz w:val="16"/>
          <w:szCs w:val="16"/>
        </w:rPr>
        <w:t>i</w:t>
      </w:r>
      <w:r w:rsidRPr="00D630D1">
        <w:rPr>
          <w:rFonts w:ascii="Times New Roman" w:cs="Times New Roman"/>
        </w:rPr>
        <w:t>=C</w:t>
      </w:r>
      <w:r w:rsidRPr="00D630D1">
        <w:rPr>
          <w:rFonts w:ascii="Times New Roman" w:cs="Times New Roman"/>
          <w:sz w:val="16"/>
          <w:szCs w:val="16"/>
        </w:rPr>
        <w:t>i</w:t>
      </w:r>
      <w:r w:rsidRPr="00D630D1">
        <w:rPr>
          <w:rFonts w:ascii="Times New Roman" w:cs="Times New Roman"/>
        </w:rPr>
        <w:t>/C</w:t>
      </w:r>
      <w:r w:rsidRPr="00D630D1">
        <w:rPr>
          <w:rFonts w:ascii="Times New Roman" w:cs="Times New Roman"/>
          <w:sz w:val="16"/>
          <w:szCs w:val="16"/>
        </w:rPr>
        <w:t>0i</w:t>
      </w:r>
    </w:p>
    <w:p w:rsidR="00117C3D" w:rsidRPr="00D630D1" w:rsidRDefault="008B5B84">
      <w:pPr>
        <w:pStyle w:val="a1"/>
        <w:ind w:firstLine="480"/>
        <w:rPr>
          <w:rFonts w:ascii="Times New Roman" w:cs="Times New Roman"/>
        </w:rPr>
      </w:pPr>
      <w:r w:rsidRPr="00D630D1">
        <w:rPr>
          <w:rFonts w:ascii="Times New Roman" w:cs="Times New Roman"/>
        </w:rPr>
        <w:t>式中：</w:t>
      </w:r>
      <w:r w:rsidRPr="00D630D1">
        <w:rPr>
          <w:rFonts w:ascii="Times New Roman" w:cs="Times New Roman"/>
        </w:rPr>
        <w:t>C</w:t>
      </w:r>
      <w:r w:rsidRPr="00D630D1">
        <w:rPr>
          <w:rFonts w:ascii="Times New Roman" w:cs="Times New Roman"/>
          <w:sz w:val="16"/>
          <w:szCs w:val="16"/>
        </w:rPr>
        <w:t>i</w:t>
      </w:r>
      <w:r w:rsidRPr="00D630D1">
        <w:rPr>
          <w:rFonts w:ascii="Times New Roman" w:cs="Times New Roman"/>
        </w:rPr>
        <w:t>——</w:t>
      </w:r>
      <w:r w:rsidRPr="00D630D1">
        <w:rPr>
          <w:rFonts w:ascii="Times New Roman" w:cs="Times New Roman"/>
        </w:rPr>
        <w:t>第</w:t>
      </w:r>
      <w:r w:rsidRPr="00D630D1">
        <w:rPr>
          <w:rFonts w:ascii="Times New Roman" w:cs="Times New Roman"/>
        </w:rPr>
        <w:t>i</w:t>
      </w:r>
      <w:r w:rsidRPr="00D630D1">
        <w:rPr>
          <w:rFonts w:ascii="Times New Roman" w:cs="Times New Roman"/>
        </w:rPr>
        <w:t>种污染物实测浓度值，</w:t>
      </w:r>
      <w:r w:rsidRPr="00D630D1">
        <w:rPr>
          <w:rFonts w:ascii="Times New Roman" w:cs="Times New Roman"/>
        </w:rPr>
        <w:t>mg/L</w:t>
      </w:r>
      <w:r w:rsidRPr="00D630D1">
        <w:rPr>
          <w:rFonts w:ascii="Times New Roman" w:cs="Times New Roman"/>
        </w:rPr>
        <w:t>；</w:t>
      </w:r>
    </w:p>
    <w:p w:rsidR="00117C3D" w:rsidRPr="00D630D1" w:rsidRDefault="008B5B84">
      <w:pPr>
        <w:pStyle w:val="a1"/>
        <w:ind w:firstLineChars="500" w:firstLine="1200"/>
        <w:rPr>
          <w:rFonts w:ascii="Times New Roman" w:cs="Times New Roman"/>
        </w:rPr>
      </w:pPr>
      <w:r w:rsidRPr="00D630D1">
        <w:rPr>
          <w:rFonts w:ascii="Times New Roman" w:cs="Times New Roman"/>
        </w:rPr>
        <w:t>C</w:t>
      </w:r>
      <w:r w:rsidRPr="00D630D1">
        <w:rPr>
          <w:rFonts w:ascii="Times New Roman" w:cs="Times New Roman"/>
          <w:sz w:val="16"/>
          <w:szCs w:val="16"/>
        </w:rPr>
        <w:t>0i</w:t>
      </w:r>
      <w:r w:rsidRPr="00D630D1">
        <w:rPr>
          <w:rFonts w:ascii="Times New Roman" w:cs="Times New Roman"/>
        </w:rPr>
        <w:t>——</w:t>
      </w:r>
      <w:r w:rsidRPr="00D630D1">
        <w:rPr>
          <w:rFonts w:ascii="Times New Roman" w:cs="Times New Roman"/>
        </w:rPr>
        <w:t>第</w:t>
      </w:r>
      <w:r w:rsidRPr="00D630D1">
        <w:rPr>
          <w:rFonts w:ascii="Times New Roman" w:cs="Times New Roman"/>
        </w:rPr>
        <w:t>i</w:t>
      </w:r>
      <w:r w:rsidRPr="00D630D1">
        <w:rPr>
          <w:rFonts w:ascii="Times New Roman" w:cs="Times New Roman"/>
        </w:rPr>
        <w:t>种污染物在</w:t>
      </w:r>
      <w:r w:rsidRPr="00D630D1">
        <w:rPr>
          <w:rFonts w:ascii="Times New Roman" w:cs="Times New Roman"/>
        </w:rPr>
        <w:t>GB/T14848-2017</w:t>
      </w:r>
      <w:r w:rsidRPr="00D630D1">
        <w:rPr>
          <w:rFonts w:ascii="Times New Roman" w:cs="Times New Roman"/>
        </w:rPr>
        <w:t>中</w:t>
      </w:r>
      <w:r w:rsidRPr="00D630D1">
        <w:rPr>
          <w:rFonts w:ascii="Times New Roman" w:cs="Times New Roman"/>
        </w:rPr>
        <w:t>III</w:t>
      </w:r>
      <w:r w:rsidRPr="00D630D1">
        <w:rPr>
          <w:rFonts w:ascii="Times New Roman" w:cs="Times New Roman"/>
        </w:rPr>
        <w:t>类分类指标值，</w:t>
      </w:r>
      <w:r w:rsidRPr="00D630D1">
        <w:rPr>
          <w:rFonts w:ascii="Times New Roman" w:cs="Times New Roman"/>
        </w:rPr>
        <w:t>mg/L</w:t>
      </w:r>
      <w:r w:rsidRPr="00D630D1">
        <w:rPr>
          <w:rFonts w:ascii="Times New Roman" w:cs="Times New Roman"/>
        </w:rPr>
        <w:t>；</w:t>
      </w:r>
    </w:p>
    <w:p w:rsidR="00117C3D" w:rsidRPr="00D630D1" w:rsidRDefault="008B5B84">
      <w:pPr>
        <w:pStyle w:val="a1"/>
        <w:ind w:firstLineChars="500" w:firstLine="1200"/>
        <w:rPr>
          <w:rFonts w:ascii="Times New Roman" w:cs="Times New Roman"/>
        </w:rPr>
      </w:pPr>
      <w:r w:rsidRPr="00D630D1">
        <w:rPr>
          <w:rFonts w:ascii="Times New Roman" w:cs="Times New Roman"/>
        </w:rPr>
        <w:t>pH</w:t>
      </w:r>
      <w:r w:rsidRPr="00D630D1">
        <w:rPr>
          <w:rFonts w:ascii="Times New Roman" w:cs="Times New Roman"/>
        </w:rPr>
        <w:t>的标准指数</w:t>
      </w:r>
      <w:r w:rsidRPr="00D630D1">
        <w:rPr>
          <w:rFonts w:ascii="Times New Roman" w:cs="Times New Roman"/>
        </w:rPr>
        <w:t>S</w:t>
      </w:r>
      <w:r w:rsidRPr="00D630D1">
        <w:rPr>
          <w:rFonts w:ascii="Times New Roman" w:cs="Times New Roman"/>
          <w:sz w:val="16"/>
          <w:szCs w:val="16"/>
        </w:rPr>
        <w:t>pH</w:t>
      </w:r>
      <w:r w:rsidRPr="00D630D1">
        <w:rPr>
          <w:rFonts w:ascii="Times New Roman" w:cs="Times New Roman"/>
        </w:rPr>
        <w:t>为：</w:t>
      </w:r>
    </w:p>
    <w:p w:rsidR="0032084F" w:rsidRPr="00D630D1" w:rsidRDefault="008B5B84">
      <w:pPr>
        <w:pStyle w:val="a1"/>
        <w:ind w:firstLine="480"/>
        <w:rPr>
          <w:rFonts w:ascii="Times New Roman" w:cs="Times New Roman"/>
        </w:rPr>
      </w:pPr>
      <w:r w:rsidRPr="00D630D1">
        <w:rPr>
          <w:rFonts w:ascii="Times New Roman" w:cs="Times New Roman"/>
        </w:rPr>
        <w:t>当</w:t>
      </w:r>
      <w:r w:rsidRPr="00D630D1">
        <w:rPr>
          <w:rFonts w:ascii="Times New Roman" w:cs="Times New Roman"/>
        </w:rPr>
        <w:t>pH≤7.0</w:t>
      </w:r>
    </w:p>
    <w:p w:rsidR="0032084F" w:rsidRPr="00D630D1" w:rsidRDefault="008B5B84" w:rsidP="00D26881">
      <w:pPr>
        <w:pStyle w:val="a1"/>
        <w:ind w:firstLineChars="83" w:firstLine="199"/>
        <w:jc w:val="center"/>
        <w:rPr>
          <w:rFonts w:ascii="Times New Roman" w:cs="Times New Roman"/>
        </w:rPr>
      </w:pPr>
      <w:r w:rsidRPr="00D630D1">
        <w:rPr>
          <w:rFonts w:ascii="Times New Roman" w:cs="Times New Roman"/>
        </w:rPr>
        <w:t>S</w:t>
      </w:r>
      <w:r w:rsidRPr="00D630D1">
        <w:rPr>
          <w:rFonts w:ascii="Times New Roman" w:cs="Times New Roman"/>
          <w:sz w:val="16"/>
          <w:szCs w:val="16"/>
        </w:rPr>
        <w:t>pH</w:t>
      </w:r>
      <w:r w:rsidRPr="00D630D1">
        <w:rPr>
          <w:rFonts w:ascii="Times New Roman" w:cs="Times New Roman"/>
        </w:rPr>
        <w:t>=</w:t>
      </w:r>
      <w:r w:rsidRPr="00D630D1">
        <w:rPr>
          <w:rFonts w:ascii="Times New Roman" w:cs="Times New Roman"/>
        </w:rPr>
        <w:t>（</w:t>
      </w:r>
      <w:r w:rsidRPr="00D630D1">
        <w:rPr>
          <w:rFonts w:ascii="Times New Roman" w:cs="Times New Roman"/>
        </w:rPr>
        <w:t>7.0-pH</w:t>
      </w:r>
      <w:r w:rsidRPr="00D630D1">
        <w:rPr>
          <w:rFonts w:ascii="Times New Roman" w:cs="Times New Roman"/>
        </w:rPr>
        <w:t>）</w:t>
      </w:r>
      <w:r w:rsidRPr="00D630D1">
        <w:rPr>
          <w:rFonts w:ascii="Times New Roman" w:cs="Times New Roman"/>
        </w:rPr>
        <w:t>/</w:t>
      </w:r>
      <w:r w:rsidRPr="00D630D1">
        <w:rPr>
          <w:rFonts w:ascii="Times New Roman" w:cs="Times New Roman"/>
        </w:rPr>
        <w:t>（</w:t>
      </w:r>
      <w:r w:rsidRPr="00D630D1">
        <w:rPr>
          <w:rFonts w:ascii="Times New Roman" w:cs="Times New Roman"/>
        </w:rPr>
        <w:t>7.0-pH</w:t>
      </w:r>
      <w:r w:rsidRPr="00D630D1">
        <w:rPr>
          <w:rFonts w:ascii="Times New Roman" w:cs="Times New Roman"/>
          <w:sz w:val="16"/>
          <w:szCs w:val="16"/>
        </w:rPr>
        <w:t>sd</w:t>
      </w:r>
      <w:r w:rsidRPr="00D630D1">
        <w:rPr>
          <w:rFonts w:ascii="Times New Roman" w:cs="Times New Roman"/>
        </w:rPr>
        <w:t>）</w:t>
      </w:r>
    </w:p>
    <w:p w:rsidR="0032084F" w:rsidRPr="00D630D1" w:rsidRDefault="008B5B84">
      <w:pPr>
        <w:pStyle w:val="a1"/>
        <w:ind w:firstLine="480"/>
        <w:rPr>
          <w:rFonts w:ascii="Times New Roman" w:cs="Times New Roman"/>
        </w:rPr>
      </w:pPr>
      <w:r w:rsidRPr="00D630D1">
        <w:rPr>
          <w:rFonts w:ascii="Times New Roman" w:cs="Times New Roman"/>
        </w:rPr>
        <w:t>当</w:t>
      </w:r>
      <w:r w:rsidRPr="00D630D1">
        <w:rPr>
          <w:rFonts w:ascii="Times New Roman" w:cs="Times New Roman"/>
        </w:rPr>
        <w:t>pH≥7.0</w:t>
      </w:r>
    </w:p>
    <w:p w:rsidR="00117C3D" w:rsidRPr="00D630D1" w:rsidRDefault="008B5B84" w:rsidP="00D26881">
      <w:pPr>
        <w:pStyle w:val="a1"/>
        <w:ind w:firstLineChars="83" w:firstLine="199"/>
        <w:jc w:val="center"/>
        <w:rPr>
          <w:rFonts w:ascii="Times New Roman" w:cs="Times New Roman"/>
        </w:rPr>
      </w:pPr>
      <w:r w:rsidRPr="00D630D1">
        <w:rPr>
          <w:rFonts w:ascii="Times New Roman" w:cs="Times New Roman"/>
        </w:rPr>
        <w:t>S</w:t>
      </w:r>
      <w:r w:rsidRPr="00D630D1">
        <w:rPr>
          <w:rFonts w:ascii="Times New Roman" w:cs="Times New Roman"/>
          <w:sz w:val="16"/>
          <w:szCs w:val="16"/>
        </w:rPr>
        <w:t>pH</w:t>
      </w:r>
      <w:r w:rsidRPr="00D630D1">
        <w:rPr>
          <w:rFonts w:ascii="Times New Roman" w:cs="Times New Roman"/>
        </w:rPr>
        <w:t>=</w:t>
      </w:r>
      <w:r w:rsidRPr="00D630D1">
        <w:rPr>
          <w:rFonts w:ascii="Times New Roman" w:cs="Times New Roman"/>
        </w:rPr>
        <w:t>（</w:t>
      </w:r>
      <w:r w:rsidRPr="00D630D1">
        <w:rPr>
          <w:rFonts w:ascii="Times New Roman" w:cs="Times New Roman"/>
        </w:rPr>
        <w:t>pH-7.0</w:t>
      </w:r>
      <w:r w:rsidRPr="00D630D1">
        <w:rPr>
          <w:rFonts w:ascii="Times New Roman" w:cs="Times New Roman"/>
        </w:rPr>
        <w:t>）</w:t>
      </w:r>
      <w:r w:rsidRPr="00D630D1">
        <w:rPr>
          <w:rFonts w:ascii="Times New Roman" w:cs="Times New Roman"/>
        </w:rPr>
        <w:t>/</w:t>
      </w:r>
      <w:r w:rsidRPr="00D630D1">
        <w:rPr>
          <w:rFonts w:ascii="Times New Roman" w:cs="Times New Roman"/>
        </w:rPr>
        <w:t>（</w:t>
      </w:r>
      <w:r w:rsidRPr="00D630D1">
        <w:rPr>
          <w:rFonts w:ascii="Times New Roman" w:cs="Times New Roman"/>
        </w:rPr>
        <w:t>pH</w:t>
      </w:r>
      <w:r w:rsidRPr="00D630D1">
        <w:rPr>
          <w:rFonts w:ascii="Times New Roman" w:cs="Times New Roman"/>
          <w:sz w:val="16"/>
          <w:szCs w:val="16"/>
        </w:rPr>
        <w:t>sw</w:t>
      </w:r>
      <w:r w:rsidRPr="00D630D1">
        <w:rPr>
          <w:rFonts w:ascii="Times New Roman" w:cs="Times New Roman"/>
        </w:rPr>
        <w:t>-7.0</w:t>
      </w:r>
      <w:r w:rsidRPr="00D630D1">
        <w:rPr>
          <w:rFonts w:ascii="Times New Roman" w:cs="Times New Roman"/>
        </w:rPr>
        <w:t>）</w:t>
      </w:r>
    </w:p>
    <w:p w:rsidR="00117C3D" w:rsidRPr="00D630D1" w:rsidRDefault="008B5B84">
      <w:pPr>
        <w:pStyle w:val="a1"/>
        <w:ind w:firstLine="480"/>
        <w:rPr>
          <w:rFonts w:ascii="Times New Roman" w:cs="Times New Roman"/>
        </w:rPr>
      </w:pPr>
      <w:r w:rsidRPr="00D630D1">
        <w:rPr>
          <w:rFonts w:ascii="Times New Roman" w:cs="Times New Roman"/>
        </w:rPr>
        <w:t>式中：</w:t>
      </w:r>
      <w:r w:rsidRPr="00D630D1">
        <w:rPr>
          <w:rFonts w:ascii="Times New Roman" w:cs="Times New Roman"/>
        </w:rPr>
        <w:t>pH——</w:t>
      </w:r>
      <w:r w:rsidRPr="00D630D1">
        <w:rPr>
          <w:rFonts w:ascii="Times New Roman" w:cs="Times New Roman"/>
        </w:rPr>
        <w:t>实测的</w:t>
      </w:r>
      <w:r w:rsidRPr="00D630D1">
        <w:rPr>
          <w:rFonts w:ascii="Times New Roman" w:cs="Times New Roman"/>
        </w:rPr>
        <w:t>pH</w:t>
      </w:r>
      <w:r w:rsidRPr="00D630D1">
        <w:rPr>
          <w:rFonts w:ascii="Times New Roman" w:cs="Times New Roman"/>
        </w:rPr>
        <w:t>值；</w:t>
      </w:r>
    </w:p>
    <w:p w:rsidR="00117C3D" w:rsidRPr="00D630D1" w:rsidRDefault="008B5B84">
      <w:pPr>
        <w:pStyle w:val="a1"/>
        <w:ind w:firstLineChars="500" w:firstLine="1200"/>
        <w:rPr>
          <w:rFonts w:ascii="Times New Roman" w:cs="Times New Roman"/>
        </w:rPr>
      </w:pPr>
      <w:r w:rsidRPr="00D630D1">
        <w:rPr>
          <w:rFonts w:ascii="Times New Roman" w:cs="Times New Roman"/>
        </w:rPr>
        <w:t>pH</w:t>
      </w:r>
      <w:r w:rsidRPr="00D630D1">
        <w:rPr>
          <w:rFonts w:ascii="Times New Roman" w:cs="Times New Roman"/>
          <w:sz w:val="16"/>
          <w:szCs w:val="16"/>
        </w:rPr>
        <w:t>sd</w:t>
      </w:r>
      <w:r w:rsidRPr="00D630D1">
        <w:rPr>
          <w:rFonts w:ascii="Times New Roman" w:cs="Times New Roman"/>
        </w:rPr>
        <w:t>——</w:t>
      </w:r>
      <w:r w:rsidRPr="00D630D1">
        <w:rPr>
          <w:rFonts w:ascii="Times New Roman" w:cs="Times New Roman"/>
        </w:rPr>
        <w:t>地表水质量标准中规定的</w:t>
      </w:r>
      <w:r w:rsidRPr="00D630D1">
        <w:rPr>
          <w:rFonts w:ascii="Times New Roman" w:cs="Times New Roman"/>
        </w:rPr>
        <w:t>pH</w:t>
      </w:r>
      <w:r w:rsidRPr="00D630D1">
        <w:rPr>
          <w:rFonts w:ascii="Times New Roman" w:cs="Times New Roman"/>
        </w:rPr>
        <w:t>值下限；</w:t>
      </w:r>
    </w:p>
    <w:p w:rsidR="00117C3D" w:rsidRPr="00D630D1" w:rsidRDefault="008B5B84">
      <w:pPr>
        <w:pStyle w:val="a1"/>
        <w:ind w:firstLineChars="500" w:firstLine="1200"/>
        <w:rPr>
          <w:rFonts w:ascii="Times New Roman" w:cs="Times New Roman"/>
        </w:rPr>
      </w:pPr>
      <w:r w:rsidRPr="00D630D1">
        <w:rPr>
          <w:rFonts w:ascii="Times New Roman" w:cs="Times New Roman"/>
        </w:rPr>
        <w:t>pH</w:t>
      </w:r>
      <w:r w:rsidRPr="00D630D1">
        <w:rPr>
          <w:rFonts w:ascii="Times New Roman" w:cs="Times New Roman"/>
          <w:sz w:val="16"/>
          <w:szCs w:val="16"/>
        </w:rPr>
        <w:t>sw</w:t>
      </w:r>
      <w:r w:rsidRPr="00D630D1">
        <w:rPr>
          <w:rFonts w:ascii="Times New Roman" w:cs="Times New Roman"/>
        </w:rPr>
        <w:t>——</w:t>
      </w:r>
      <w:r w:rsidRPr="00D630D1">
        <w:rPr>
          <w:rFonts w:ascii="Times New Roman" w:cs="Times New Roman"/>
        </w:rPr>
        <w:t>地表水质量标准中规定的</w:t>
      </w:r>
      <w:r w:rsidRPr="00D630D1">
        <w:rPr>
          <w:rFonts w:ascii="Times New Roman" w:cs="Times New Roman"/>
        </w:rPr>
        <w:t>pH</w:t>
      </w:r>
      <w:r w:rsidRPr="00D630D1">
        <w:rPr>
          <w:rFonts w:ascii="Times New Roman" w:cs="Times New Roman"/>
        </w:rPr>
        <w:t>值上限。</w:t>
      </w:r>
    </w:p>
    <w:p w:rsidR="00117C3D" w:rsidRPr="00D630D1" w:rsidRDefault="008B5B84">
      <w:pPr>
        <w:pStyle w:val="a1"/>
        <w:ind w:firstLine="482"/>
        <w:rPr>
          <w:rFonts w:ascii="Times New Roman" w:cs="Times New Roman"/>
          <w:b/>
        </w:rPr>
      </w:pPr>
      <w:bookmarkStart w:id="446" w:name="_Toc12288573"/>
      <w:r w:rsidRPr="00D630D1">
        <w:rPr>
          <w:rFonts w:ascii="Times New Roman" w:cs="Times New Roman"/>
          <w:b/>
        </w:rPr>
        <w:t>7</w:t>
      </w:r>
      <w:r w:rsidRPr="00D630D1">
        <w:rPr>
          <w:rFonts w:ascii="Times New Roman" w:cs="Times New Roman"/>
          <w:b/>
        </w:rPr>
        <w:t>、监测结果及评价结论</w:t>
      </w:r>
      <w:bookmarkEnd w:id="446"/>
    </w:p>
    <w:p w:rsidR="00117C3D" w:rsidRPr="00D630D1" w:rsidRDefault="00555FE4">
      <w:pPr>
        <w:pStyle w:val="a1"/>
        <w:ind w:firstLine="480"/>
        <w:rPr>
          <w:rFonts w:ascii="Times New Roman" w:cs="Times New Roman"/>
        </w:rPr>
      </w:pPr>
      <w:r w:rsidRPr="00D630D1">
        <w:rPr>
          <w:rFonts w:ascii="Times New Roman" w:cs="Times New Roman"/>
        </w:rPr>
        <w:t>地下水质量现状监测与评价结果见表</w:t>
      </w:r>
      <w:r w:rsidRPr="00D630D1">
        <w:rPr>
          <w:rFonts w:ascii="Times New Roman" w:cs="Times New Roman"/>
        </w:rPr>
        <w:t>5.5</w:t>
      </w:r>
      <w:r w:rsidR="008B5B84" w:rsidRPr="00D630D1">
        <w:rPr>
          <w:rFonts w:ascii="Times New Roman" w:cs="Times New Roman"/>
        </w:rPr>
        <w:t>-</w:t>
      </w:r>
      <w:r w:rsidR="00312119" w:rsidRPr="00D630D1">
        <w:rPr>
          <w:rFonts w:ascii="Times New Roman" w:cs="Times New Roman"/>
        </w:rPr>
        <w:t>1</w:t>
      </w:r>
      <w:r w:rsidR="00435B66" w:rsidRPr="00D630D1">
        <w:rPr>
          <w:rFonts w:ascii="Times New Roman" w:cs="Times New Roman" w:hint="eastAsia"/>
        </w:rPr>
        <w:t>~</w:t>
      </w:r>
      <w:r w:rsidR="00507154" w:rsidRPr="00D630D1">
        <w:rPr>
          <w:rFonts w:ascii="Times New Roman" w:cs="Times New Roman"/>
        </w:rPr>
        <w:t>表</w:t>
      </w:r>
      <w:r w:rsidR="00507154" w:rsidRPr="00D630D1">
        <w:rPr>
          <w:rFonts w:ascii="Times New Roman" w:cs="Times New Roman"/>
        </w:rPr>
        <w:t>5.5-</w:t>
      </w:r>
      <w:r w:rsidR="00435B66" w:rsidRPr="00D630D1">
        <w:rPr>
          <w:rFonts w:ascii="Times New Roman" w:cs="Times New Roman" w:hint="eastAsia"/>
        </w:rPr>
        <w:t>3</w:t>
      </w:r>
      <w:r w:rsidR="008B5B84" w:rsidRPr="00D630D1">
        <w:rPr>
          <w:rFonts w:ascii="Times New Roman" w:cs="Times New Roman"/>
        </w:rPr>
        <w:t>。</w:t>
      </w:r>
    </w:p>
    <w:p w:rsidR="00435B66" w:rsidRPr="00D630D1" w:rsidRDefault="00435B66" w:rsidP="00435B66">
      <w:pPr>
        <w:widowControl/>
        <w:topLinePunct w:val="0"/>
        <w:adjustRightInd/>
        <w:spacing w:line="240" w:lineRule="auto"/>
        <w:ind w:firstLineChars="0" w:firstLine="0"/>
        <w:jc w:val="center"/>
        <w:rPr>
          <w:rFonts w:ascii="Times New Roman" w:cs="Times New Roman"/>
          <w:b/>
          <w:sz w:val="21"/>
        </w:rPr>
      </w:pPr>
      <w:r w:rsidRPr="00D630D1">
        <w:rPr>
          <w:rFonts w:ascii="Times New Roman" w:cs="Times New Roman"/>
          <w:b/>
        </w:rPr>
        <w:t>表</w:t>
      </w:r>
      <w:r w:rsidRPr="00D630D1">
        <w:rPr>
          <w:rFonts w:ascii="Times New Roman" w:cs="Times New Roman"/>
          <w:b/>
        </w:rPr>
        <w:t>5.5-1</w:t>
      </w:r>
      <w:r w:rsidRPr="00D630D1">
        <w:rPr>
          <w:rFonts w:ascii="Times New Roman" w:cs="Times New Roman"/>
          <w:b/>
          <w:sz w:val="21"/>
        </w:rPr>
        <w:t xml:space="preserve">  </w:t>
      </w:r>
      <w:r w:rsidRPr="00D630D1">
        <w:rPr>
          <w:rFonts w:ascii="Times New Roman" w:cs="Times New Roman"/>
          <w:b/>
          <w:sz w:val="21"/>
        </w:rPr>
        <w:t>水样水化学常量组分监测结果（</w:t>
      </w:r>
      <w:r w:rsidRPr="00D630D1">
        <w:rPr>
          <w:rFonts w:ascii="Times New Roman" w:cs="Times New Roman"/>
          <w:b/>
          <w:sz w:val="21"/>
        </w:rPr>
        <w:t>mg/L</w:t>
      </w:r>
      <w:r w:rsidRPr="00D630D1">
        <w:rPr>
          <w:rFonts w:ascii="Times New Roman" w:cs="Times New Roman"/>
          <w:b/>
          <w:sz w:val="21"/>
        </w:rPr>
        <w:t>）</w:t>
      </w:r>
    </w:p>
    <w:tbl>
      <w:tblPr>
        <w:tblW w:w="5000" w:type="pct"/>
        <w:jc w:val="center"/>
        <w:tblLayout w:type="fixed"/>
        <w:tblLook w:val="00A0"/>
      </w:tblPr>
      <w:tblGrid>
        <w:gridCol w:w="816"/>
        <w:gridCol w:w="990"/>
        <w:gridCol w:w="511"/>
        <w:gridCol w:w="653"/>
        <w:gridCol w:w="525"/>
        <w:gridCol w:w="653"/>
        <w:gridCol w:w="656"/>
        <w:gridCol w:w="653"/>
        <w:gridCol w:w="656"/>
        <w:gridCol w:w="656"/>
        <w:gridCol w:w="539"/>
        <w:gridCol w:w="1214"/>
      </w:tblGrid>
      <w:tr w:rsidR="00435B66" w:rsidRPr="00D630D1" w:rsidTr="00435B66">
        <w:trPr>
          <w:trHeight w:val="529"/>
          <w:jc w:val="center"/>
        </w:trPr>
        <w:tc>
          <w:tcPr>
            <w:tcW w:w="816" w:type="dxa"/>
            <w:tcBorders>
              <w:top w:val="single" w:sz="12" w:space="0" w:color="auto"/>
              <w:bottom w:val="single" w:sz="4" w:space="0" w:color="auto"/>
              <w:right w:val="single" w:sz="4" w:space="0" w:color="auto"/>
              <w:tl2br w:val="single" w:sz="8" w:space="0" w:color="000000"/>
            </w:tcBorders>
            <w:vAlign w:val="center"/>
          </w:tcPr>
          <w:p w:rsidR="00435B66" w:rsidRPr="00D630D1" w:rsidRDefault="00435B66" w:rsidP="00435B66">
            <w:pPr>
              <w:widowControl/>
              <w:topLinePunct w:val="0"/>
              <w:adjustRightInd/>
              <w:spacing w:line="240" w:lineRule="auto"/>
              <w:ind w:leftChars="-50" w:left="-120" w:rightChars="-50" w:right="-120" w:firstLineChars="100" w:firstLine="211"/>
              <w:jc w:val="left"/>
              <w:rPr>
                <w:rFonts w:ascii="Times New Roman" w:hAnsi="宋体" w:cs="Times New Roman"/>
                <w:b/>
                <w:sz w:val="21"/>
              </w:rPr>
            </w:pPr>
            <w:r w:rsidRPr="00D630D1">
              <w:rPr>
                <w:rFonts w:ascii="Times New Roman" w:hAnsi="宋体" w:cs="Times New Roman"/>
                <w:b/>
                <w:sz w:val="21"/>
              </w:rPr>
              <w:t>指标</w:t>
            </w:r>
            <w:r w:rsidRPr="00D630D1">
              <w:rPr>
                <w:rFonts w:ascii="Times New Roman" w:hAnsi="宋体" w:cs="Times New Roman"/>
                <w:b/>
                <w:sz w:val="21"/>
              </w:rPr>
              <w:t xml:space="preserve">                                          </w:t>
            </w:r>
            <w:r w:rsidRPr="00D630D1">
              <w:rPr>
                <w:rFonts w:ascii="Times New Roman" w:hAnsi="宋体" w:cs="Times New Roman"/>
                <w:b/>
                <w:sz w:val="21"/>
              </w:rPr>
              <w:t>编号</w:t>
            </w:r>
          </w:p>
        </w:tc>
        <w:tc>
          <w:tcPr>
            <w:tcW w:w="990" w:type="dxa"/>
            <w:tcBorders>
              <w:top w:val="single" w:sz="12"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b/>
                <w:sz w:val="21"/>
              </w:rPr>
            </w:pPr>
            <w:r w:rsidRPr="00D630D1">
              <w:rPr>
                <w:rFonts w:ascii="Times New Roman" w:hAnsi="宋体" w:cs="Times New Roman"/>
                <w:b/>
                <w:sz w:val="21"/>
              </w:rPr>
              <w:t>监测点</w:t>
            </w:r>
          </w:p>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b/>
                <w:sz w:val="21"/>
              </w:rPr>
            </w:pPr>
            <w:r w:rsidRPr="00D630D1">
              <w:rPr>
                <w:rFonts w:ascii="Times New Roman" w:hAnsi="宋体" w:cs="Times New Roman"/>
                <w:b/>
                <w:sz w:val="21"/>
              </w:rPr>
              <w:t>类型</w:t>
            </w:r>
          </w:p>
        </w:tc>
        <w:tc>
          <w:tcPr>
            <w:tcW w:w="511" w:type="dxa"/>
            <w:tcBorders>
              <w:top w:val="single" w:sz="12"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b/>
                <w:sz w:val="21"/>
              </w:rPr>
            </w:pPr>
            <w:r w:rsidRPr="00D630D1">
              <w:rPr>
                <w:rFonts w:ascii="Times New Roman" w:hAnsi="宋体" w:cs="Times New Roman"/>
                <w:b/>
                <w:sz w:val="21"/>
              </w:rPr>
              <w:t>pH</w:t>
            </w:r>
          </w:p>
        </w:tc>
        <w:tc>
          <w:tcPr>
            <w:tcW w:w="653" w:type="dxa"/>
            <w:tcBorders>
              <w:top w:val="single" w:sz="12"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b/>
                <w:sz w:val="21"/>
              </w:rPr>
            </w:pPr>
            <w:r w:rsidRPr="00D630D1">
              <w:rPr>
                <w:rFonts w:ascii="Times New Roman" w:hAnsi="宋体" w:cs="Times New Roman"/>
                <w:b/>
                <w:sz w:val="21"/>
              </w:rPr>
              <w:t>K</w:t>
            </w:r>
            <w:r w:rsidRPr="00D630D1">
              <w:rPr>
                <w:rFonts w:ascii="Times New Roman" w:hAnsi="宋体" w:cs="Times New Roman"/>
                <w:b/>
                <w:sz w:val="21"/>
                <w:vertAlign w:val="superscript"/>
              </w:rPr>
              <w:t>+</w:t>
            </w:r>
          </w:p>
        </w:tc>
        <w:tc>
          <w:tcPr>
            <w:tcW w:w="525" w:type="dxa"/>
            <w:tcBorders>
              <w:top w:val="single" w:sz="12"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b/>
                <w:sz w:val="21"/>
              </w:rPr>
            </w:pPr>
            <w:r w:rsidRPr="00D630D1">
              <w:rPr>
                <w:rFonts w:ascii="Times New Roman" w:hAnsi="宋体" w:cs="Times New Roman"/>
                <w:b/>
                <w:sz w:val="21"/>
              </w:rPr>
              <w:t>Na</w:t>
            </w:r>
            <w:r w:rsidRPr="00D630D1">
              <w:rPr>
                <w:rFonts w:ascii="Times New Roman" w:hAnsi="宋体" w:cs="Times New Roman"/>
                <w:b/>
                <w:sz w:val="21"/>
                <w:vertAlign w:val="superscript"/>
              </w:rPr>
              <w:t>+</w:t>
            </w:r>
          </w:p>
        </w:tc>
        <w:tc>
          <w:tcPr>
            <w:tcW w:w="653" w:type="dxa"/>
            <w:tcBorders>
              <w:top w:val="single" w:sz="12"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b/>
                <w:sz w:val="21"/>
              </w:rPr>
            </w:pPr>
            <w:r w:rsidRPr="00D630D1">
              <w:rPr>
                <w:rFonts w:ascii="Times New Roman" w:hAnsi="宋体" w:cs="Times New Roman"/>
                <w:b/>
                <w:sz w:val="21"/>
              </w:rPr>
              <w:t>Ca</w:t>
            </w:r>
            <w:r w:rsidRPr="00D630D1">
              <w:rPr>
                <w:rFonts w:ascii="Times New Roman" w:hAnsi="宋体" w:cs="Times New Roman"/>
                <w:b/>
                <w:sz w:val="21"/>
                <w:vertAlign w:val="superscript"/>
              </w:rPr>
              <w:t>2+</w:t>
            </w:r>
          </w:p>
        </w:tc>
        <w:tc>
          <w:tcPr>
            <w:tcW w:w="656" w:type="dxa"/>
            <w:tcBorders>
              <w:top w:val="single" w:sz="12"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b/>
                <w:sz w:val="21"/>
              </w:rPr>
            </w:pPr>
            <w:r w:rsidRPr="00D630D1">
              <w:rPr>
                <w:rFonts w:ascii="Times New Roman" w:hAnsi="宋体" w:cs="Times New Roman"/>
                <w:b/>
                <w:sz w:val="21"/>
              </w:rPr>
              <w:t>Mg</w:t>
            </w:r>
            <w:r w:rsidRPr="00D630D1">
              <w:rPr>
                <w:rFonts w:ascii="Times New Roman" w:hAnsi="宋体" w:cs="Times New Roman"/>
                <w:b/>
                <w:sz w:val="21"/>
                <w:vertAlign w:val="superscript"/>
              </w:rPr>
              <w:t>2+</w:t>
            </w:r>
          </w:p>
        </w:tc>
        <w:tc>
          <w:tcPr>
            <w:tcW w:w="653" w:type="dxa"/>
            <w:tcBorders>
              <w:top w:val="single" w:sz="12"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b/>
                <w:sz w:val="21"/>
              </w:rPr>
            </w:pPr>
            <w:r w:rsidRPr="00D630D1">
              <w:rPr>
                <w:rFonts w:ascii="Times New Roman" w:hAnsi="宋体" w:cs="Times New Roman"/>
                <w:b/>
                <w:sz w:val="21"/>
              </w:rPr>
              <w:t>Cl</w:t>
            </w:r>
            <w:r w:rsidRPr="00D630D1">
              <w:rPr>
                <w:rFonts w:ascii="Times New Roman" w:hAnsi="宋体" w:cs="Times New Roman"/>
                <w:b/>
                <w:sz w:val="21"/>
                <w:vertAlign w:val="superscript"/>
              </w:rPr>
              <w:t>-</w:t>
            </w:r>
          </w:p>
        </w:tc>
        <w:tc>
          <w:tcPr>
            <w:tcW w:w="656" w:type="dxa"/>
            <w:tcBorders>
              <w:top w:val="single" w:sz="12"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b/>
                <w:sz w:val="21"/>
              </w:rPr>
            </w:pPr>
            <w:r w:rsidRPr="00D630D1">
              <w:rPr>
                <w:rFonts w:ascii="Times New Roman" w:hAnsi="宋体" w:cs="Times New Roman"/>
                <w:b/>
                <w:sz w:val="21"/>
              </w:rPr>
              <w:t>SO</w:t>
            </w:r>
            <w:r w:rsidRPr="00D630D1">
              <w:rPr>
                <w:rFonts w:ascii="Times New Roman" w:hAnsi="宋体" w:cs="Times New Roman"/>
                <w:b/>
                <w:sz w:val="21"/>
                <w:vertAlign w:val="subscript"/>
              </w:rPr>
              <w:t>4</w:t>
            </w:r>
            <w:r w:rsidRPr="00D630D1">
              <w:rPr>
                <w:rFonts w:ascii="Times New Roman" w:hAnsi="宋体" w:cs="Times New Roman"/>
                <w:b/>
                <w:sz w:val="21"/>
                <w:vertAlign w:val="superscript"/>
              </w:rPr>
              <w:t>2-</w:t>
            </w:r>
          </w:p>
        </w:tc>
        <w:tc>
          <w:tcPr>
            <w:tcW w:w="656" w:type="dxa"/>
            <w:tcBorders>
              <w:top w:val="single" w:sz="12" w:space="0" w:color="auto"/>
              <w:left w:val="single" w:sz="4" w:space="0" w:color="auto"/>
              <w:bottom w:val="single" w:sz="4" w:space="0" w:color="auto"/>
              <w:right w:val="single" w:sz="4" w:space="0" w:color="auto"/>
            </w:tcBorders>
            <w:vAlign w:val="center"/>
          </w:tcPr>
          <w:p w:rsidR="00435B66" w:rsidRPr="00D630D1" w:rsidRDefault="00DB073B" w:rsidP="00435B66">
            <w:pPr>
              <w:widowControl/>
              <w:topLinePunct w:val="0"/>
              <w:adjustRightInd/>
              <w:spacing w:line="240" w:lineRule="auto"/>
              <w:ind w:leftChars="-50" w:left="-120" w:rightChars="-50" w:right="-120" w:firstLineChars="0" w:firstLine="0"/>
              <w:jc w:val="center"/>
              <w:rPr>
                <w:rFonts w:ascii="Times New Roman" w:hAnsi="宋体" w:cs="Times New Roman"/>
                <w:b/>
                <w:sz w:val="21"/>
              </w:rPr>
            </w:pPr>
            <w:r w:rsidRPr="00DB073B">
              <w:rPr>
                <w:rFonts w:ascii="Times New Roman" w:hAnsi="宋体" w:cs="Times New Roman"/>
                <w:b/>
                <w:sz w:val="21"/>
              </w:rPr>
              <w:t>HCO</w:t>
            </w:r>
            <w:r w:rsidRPr="00DB073B">
              <w:rPr>
                <w:rFonts w:ascii="Times New Roman" w:hAnsi="宋体" w:cs="Times New Roman"/>
                <w:b/>
                <w:sz w:val="21"/>
                <w:vertAlign w:val="subscript"/>
              </w:rPr>
              <w:t>3</w:t>
            </w:r>
            <w:r w:rsidRPr="00DB073B">
              <w:rPr>
                <w:rFonts w:ascii="Times New Roman" w:hAnsi="宋体" w:cs="Times New Roman"/>
                <w:b/>
                <w:sz w:val="21"/>
                <w:vertAlign w:val="superscript"/>
              </w:rPr>
              <w:t>-</w:t>
            </w:r>
          </w:p>
        </w:tc>
        <w:tc>
          <w:tcPr>
            <w:tcW w:w="539" w:type="dxa"/>
            <w:tcBorders>
              <w:top w:val="single" w:sz="12"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b/>
                <w:sz w:val="21"/>
              </w:rPr>
            </w:pPr>
            <w:r w:rsidRPr="00D630D1">
              <w:rPr>
                <w:rFonts w:ascii="Times New Roman" w:hAnsi="宋体" w:cs="Times New Roman"/>
                <w:b/>
                <w:sz w:val="21"/>
              </w:rPr>
              <w:t>溶解性总固体</w:t>
            </w:r>
          </w:p>
        </w:tc>
        <w:tc>
          <w:tcPr>
            <w:tcW w:w="1214" w:type="dxa"/>
            <w:tcBorders>
              <w:top w:val="single" w:sz="12" w:space="0" w:color="auto"/>
              <w:left w:val="single" w:sz="4" w:space="0" w:color="auto"/>
              <w:bottom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b/>
                <w:sz w:val="21"/>
              </w:rPr>
            </w:pPr>
            <w:r w:rsidRPr="00D630D1">
              <w:rPr>
                <w:rFonts w:ascii="Times New Roman" w:hAnsi="宋体" w:cs="Times New Roman"/>
                <w:b/>
                <w:sz w:val="21"/>
              </w:rPr>
              <w:t>水化学类型</w:t>
            </w:r>
          </w:p>
        </w:tc>
      </w:tr>
      <w:tr w:rsidR="00435B66" w:rsidRPr="00D630D1" w:rsidTr="00435B66">
        <w:trPr>
          <w:trHeight w:val="300"/>
          <w:jc w:val="center"/>
        </w:trPr>
        <w:tc>
          <w:tcPr>
            <w:tcW w:w="816" w:type="dxa"/>
            <w:tcBorders>
              <w:top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hint="eastAsia"/>
                <w:sz w:val="21"/>
              </w:rPr>
              <w:t>WX</w:t>
            </w:r>
            <w:r w:rsidRPr="00D630D1">
              <w:rPr>
                <w:rFonts w:ascii="Times New Roman" w:hAnsi="宋体" w:cs="Times New Roman"/>
                <w:sz w:val="21"/>
              </w:rPr>
              <w:t>1</w:t>
            </w:r>
          </w:p>
        </w:tc>
        <w:tc>
          <w:tcPr>
            <w:tcW w:w="990" w:type="dxa"/>
            <w:tcBorders>
              <w:top w:val="single" w:sz="4"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hint="eastAsia"/>
                <w:kern w:val="2"/>
                <w:sz w:val="21"/>
              </w:rPr>
              <w:t>井水</w:t>
            </w:r>
          </w:p>
        </w:tc>
        <w:tc>
          <w:tcPr>
            <w:tcW w:w="511" w:type="dxa"/>
            <w:tcBorders>
              <w:top w:val="single" w:sz="4" w:space="0" w:color="auto"/>
              <w:left w:val="single" w:sz="4" w:space="0" w:color="auto"/>
              <w:bottom w:val="single" w:sz="4" w:space="0" w:color="auto"/>
              <w:right w:val="single" w:sz="4" w:space="0" w:color="auto"/>
            </w:tcBorders>
            <w:vAlign w:val="center"/>
          </w:tcPr>
          <w:p w:rsidR="00435B66" w:rsidRPr="00D630D1" w:rsidRDefault="00AE3108"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hAnsi="宋体" w:cs="Times New Roman"/>
                <w:sz w:val="21"/>
              </w:rPr>
              <w:t>7.33</w:t>
            </w:r>
          </w:p>
        </w:tc>
        <w:tc>
          <w:tcPr>
            <w:tcW w:w="653" w:type="dxa"/>
            <w:tcBorders>
              <w:top w:val="single" w:sz="4" w:space="0" w:color="auto"/>
              <w:left w:val="single" w:sz="4" w:space="0" w:color="auto"/>
              <w:bottom w:val="single" w:sz="4" w:space="0" w:color="auto"/>
              <w:right w:val="single" w:sz="4" w:space="0" w:color="auto"/>
            </w:tcBorders>
            <w:vAlign w:val="center"/>
          </w:tcPr>
          <w:p w:rsidR="00435B66" w:rsidRPr="00D630D1" w:rsidRDefault="00AE3108"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hAnsi="宋体" w:cs="Times New Roman"/>
                <w:sz w:val="21"/>
              </w:rPr>
              <w:t>2.06</w:t>
            </w:r>
          </w:p>
        </w:tc>
        <w:tc>
          <w:tcPr>
            <w:tcW w:w="525" w:type="dxa"/>
            <w:tcBorders>
              <w:top w:val="single" w:sz="4" w:space="0" w:color="auto"/>
              <w:left w:val="single" w:sz="4" w:space="0" w:color="auto"/>
              <w:bottom w:val="single" w:sz="4" w:space="0" w:color="auto"/>
              <w:right w:val="single" w:sz="4" w:space="0" w:color="auto"/>
            </w:tcBorders>
            <w:vAlign w:val="center"/>
          </w:tcPr>
          <w:p w:rsidR="00435B66" w:rsidRPr="00D630D1" w:rsidRDefault="00AE3108"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cs="Times New Roman"/>
                <w:bCs/>
                <w:kern w:val="2"/>
                <w:sz w:val="21"/>
                <w:szCs w:val="21"/>
              </w:rPr>
              <w:t>0.01L</w:t>
            </w:r>
          </w:p>
        </w:tc>
        <w:tc>
          <w:tcPr>
            <w:tcW w:w="653"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Pr>
                <w:rFonts w:ascii="Times New Roman" w:hAnsi="宋体" w:cs="Times New Roman" w:hint="eastAsia"/>
                <w:sz w:val="21"/>
              </w:rPr>
              <w:t>3.8</w:t>
            </w:r>
          </w:p>
        </w:tc>
        <w:tc>
          <w:tcPr>
            <w:tcW w:w="656"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kern w:val="2"/>
                <w:sz w:val="21"/>
                <w:szCs w:val="21"/>
              </w:rPr>
              <w:t>2.98</w:t>
            </w:r>
          </w:p>
        </w:tc>
        <w:tc>
          <w:tcPr>
            <w:tcW w:w="653"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9.42</w:t>
            </w:r>
          </w:p>
        </w:tc>
        <w:tc>
          <w:tcPr>
            <w:tcW w:w="656"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27.8</w:t>
            </w:r>
          </w:p>
        </w:tc>
        <w:tc>
          <w:tcPr>
            <w:tcW w:w="656"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124</w:t>
            </w:r>
          </w:p>
        </w:tc>
        <w:tc>
          <w:tcPr>
            <w:tcW w:w="539"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636</w:t>
            </w:r>
          </w:p>
        </w:tc>
        <w:tc>
          <w:tcPr>
            <w:tcW w:w="1214" w:type="dxa"/>
            <w:tcBorders>
              <w:top w:val="single" w:sz="4" w:space="0" w:color="auto"/>
              <w:left w:val="single" w:sz="4" w:space="0" w:color="auto"/>
              <w:bottom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sz w:val="21"/>
              </w:rPr>
              <w:t>HCO</w:t>
            </w:r>
            <w:r w:rsidRPr="00D630D1">
              <w:rPr>
                <w:rFonts w:ascii="Times New Roman" w:hAnsi="宋体" w:cs="Times New Roman"/>
                <w:sz w:val="21"/>
                <w:vertAlign w:val="subscript"/>
              </w:rPr>
              <w:t>3</w:t>
            </w:r>
            <w:r w:rsidRPr="00D630D1">
              <w:rPr>
                <w:rFonts w:ascii="Times New Roman" w:hAnsi="宋体" w:cs="Times New Roman"/>
                <w:sz w:val="21"/>
              </w:rPr>
              <w:t>-Mg-Ca</w:t>
            </w:r>
          </w:p>
        </w:tc>
      </w:tr>
      <w:tr w:rsidR="00435B66" w:rsidRPr="00D630D1" w:rsidTr="00435B66">
        <w:trPr>
          <w:trHeight w:val="300"/>
          <w:jc w:val="center"/>
        </w:trPr>
        <w:tc>
          <w:tcPr>
            <w:tcW w:w="816" w:type="dxa"/>
            <w:tcBorders>
              <w:top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hint="eastAsia"/>
                <w:sz w:val="21"/>
              </w:rPr>
              <w:t>WX</w:t>
            </w:r>
            <w:r w:rsidRPr="00D630D1">
              <w:rPr>
                <w:rFonts w:ascii="Times New Roman" w:hAnsi="宋体" w:cs="Times New Roman"/>
                <w:sz w:val="21"/>
              </w:rPr>
              <w:t>2</w:t>
            </w:r>
          </w:p>
        </w:tc>
        <w:tc>
          <w:tcPr>
            <w:tcW w:w="990" w:type="dxa"/>
            <w:tcBorders>
              <w:top w:val="single" w:sz="4"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hint="eastAsia"/>
                <w:kern w:val="2"/>
                <w:sz w:val="21"/>
              </w:rPr>
              <w:t>井水</w:t>
            </w:r>
          </w:p>
        </w:tc>
        <w:tc>
          <w:tcPr>
            <w:tcW w:w="511" w:type="dxa"/>
            <w:tcBorders>
              <w:top w:val="single" w:sz="4" w:space="0" w:color="auto"/>
              <w:left w:val="single" w:sz="4" w:space="0" w:color="auto"/>
              <w:bottom w:val="single" w:sz="4" w:space="0" w:color="auto"/>
              <w:right w:val="single" w:sz="4" w:space="0" w:color="auto"/>
            </w:tcBorders>
            <w:vAlign w:val="center"/>
          </w:tcPr>
          <w:p w:rsidR="00435B66" w:rsidRPr="00D630D1" w:rsidRDefault="00AE3108"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hAnsi="宋体" w:cs="Times New Roman"/>
                <w:sz w:val="21"/>
              </w:rPr>
              <w:t>7.21</w:t>
            </w:r>
          </w:p>
        </w:tc>
        <w:tc>
          <w:tcPr>
            <w:tcW w:w="653" w:type="dxa"/>
            <w:tcBorders>
              <w:top w:val="single" w:sz="4" w:space="0" w:color="auto"/>
              <w:left w:val="single" w:sz="4" w:space="0" w:color="auto"/>
              <w:bottom w:val="single" w:sz="4" w:space="0" w:color="auto"/>
              <w:right w:val="single" w:sz="4" w:space="0" w:color="auto"/>
            </w:tcBorders>
            <w:vAlign w:val="center"/>
          </w:tcPr>
          <w:p w:rsidR="00435B66" w:rsidRPr="00D630D1" w:rsidRDefault="00AE3108"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cs="Times New Roman"/>
                <w:bCs/>
                <w:kern w:val="2"/>
                <w:sz w:val="21"/>
                <w:szCs w:val="21"/>
              </w:rPr>
              <w:t>1.28</w:t>
            </w:r>
          </w:p>
        </w:tc>
        <w:tc>
          <w:tcPr>
            <w:tcW w:w="525" w:type="dxa"/>
            <w:tcBorders>
              <w:top w:val="single" w:sz="4" w:space="0" w:color="auto"/>
              <w:left w:val="single" w:sz="4" w:space="0" w:color="auto"/>
              <w:bottom w:val="single" w:sz="4" w:space="0" w:color="auto"/>
              <w:right w:val="single" w:sz="4" w:space="0" w:color="auto"/>
            </w:tcBorders>
            <w:vAlign w:val="center"/>
          </w:tcPr>
          <w:p w:rsidR="00435B66" w:rsidRPr="00D630D1" w:rsidRDefault="00AE3108"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cs="Times New Roman"/>
                <w:bCs/>
                <w:kern w:val="2"/>
                <w:sz w:val="21"/>
                <w:szCs w:val="21"/>
              </w:rPr>
              <w:t>0.16</w:t>
            </w:r>
          </w:p>
        </w:tc>
        <w:tc>
          <w:tcPr>
            <w:tcW w:w="653" w:type="dxa"/>
            <w:tcBorders>
              <w:top w:val="single" w:sz="4" w:space="0" w:color="auto"/>
              <w:left w:val="single" w:sz="4" w:space="0" w:color="auto"/>
              <w:bottom w:val="single" w:sz="4" w:space="0" w:color="auto"/>
              <w:right w:val="single" w:sz="4" w:space="0" w:color="auto"/>
            </w:tcBorders>
            <w:vAlign w:val="center"/>
          </w:tcPr>
          <w:p w:rsidR="00435B66" w:rsidRPr="00D630D1" w:rsidRDefault="007B400E" w:rsidP="003857F5">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cs="Times New Roman" w:hint="eastAsia"/>
                <w:bCs/>
                <w:kern w:val="2"/>
                <w:sz w:val="21"/>
                <w:szCs w:val="21"/>
              </w:rPr>
              <w:t>1</w:t>
            </w:r>
            <w:r w:rsidR="003857F5">
              <w:rPr>
                <w:rFonts w:ascii="Times New Roman" w:cs="Times New Roman" w:hint="eastAsia"/>
                <w:bCs/>
                <w:kern w:val="2"/>
                <w:sz w:val="21"/>
                <w:szCs w:val="21"/>
              </w:rPr>
              <w:t>3.7</w:t>
            </w:r>
          </w:p>
        </w:tc>
        <w:tc>
          <w:tcPr>
            <w:tcW w:w="656"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14.7</w:t>
            </w:r>
          </w:p>
        </w:tc>
        <w:tc>
          <w:tcPr>
            <w:tcW w:w="653"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1.93</w:t>
            </w:r>
          </w:p>
        </w:tc>
        <w:tc>
          <w:tcPr>
            <w:tcW w:w="656"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27.8</w:t>
            </w:r>
          </w:p>
        </w:tc>
        <w:tc>
          <w:tcPr>
            <w:tcW w:w="656"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314</w:t>
            </w:r>
          </w:p>
        </w:tc>
        <w:tc>
          <w:tcPr>
            <w:tcW w:w="539"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794</w:t>
            </w:r>
          </w:p>
        </w:tc>
        <w:tc>
          <w:tcPr>
            <w:tcW w:w="1214" w:type="dxa"/>
            <w:tcBorders>
              <w:top w:val="single" w:sz="4" w:space="0" w:color="auto"/>
              <w:left w:val="single" w:sz="4" w:space="0" w:color="auto"/>
              <w:bottom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sz w:val="21"/>
              </w:rPr>
              <w:t>HCO</w:t>
            </w:r>
            <w:r w:rsidRPr="00D630D1">
              <w:rPr>
                <w:rFonts w:ascii="Times New Roman" w:hAnsi="宋体" w:cs="Times New Roman"/>
                <w:sz w:val="21"/>
                <w:vertAlign w:val="subscript"/>
              </w:rPr>
              <w:t>3</w:t>
            </w:r>
            <w:r w:rsidRPr="00D630D1">
              <w:rPr>
                <w:rFonts w:ascii="Times New Roman" w:hAnsi="宋体" w:cs="Times New Roman"/>
                <w:sz w:val="21"/>
              </w:rPr>
              <w:t>-Mg-Ca</w:t>
            </w:r>
          </w:p>
        </w:tc>
      </w:tr>
      <w:tr w:rsidR="00435B66" w:rsidRPr="00D630D1" w:rsidTr="00435B66">
        <w:trPr>
          <w:trHeight w:val="300"/>
          <w:jc w:val="center"/>
        </w:trPr>
        <w:tc>
          <w:tcPr>
            <w:tcW w:w="816" w:type="dxa"/>
            <w:tcBorders>
              <w:top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hint="eastAsia"/>
                <w:sz w:val="21"/>
              </w:rPr>
              <w:t>WX</w:t>
            </w:r>
            <w:r w:rsidRPr="00D630D1">
              <w:rPr>
                <w:rFonts w:ascii="Times New Roman" w:hAnsi="宋体" w:cs="Times New Roman"/>
                <w:sz w:val="21"/>
              </w:rPr>
              <w:t>3</w:t>
            </w:r>
          </w:p>
        </w:tc>
        <w:tc>
          <w:tcPr>
            <w:tcW w:w="990" w:type="dxa"/>
            <w:tcBorders>
              <w:top w:val="single" w:sz="4"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hint="eastAsia"/>
                <w:kern w:val="2"/>
                <w:sz w:val="21"/>
              </w:rPr>
              <w:t>井水</w:t>
            </w:r>
          </w:p>
        </w:tc>
        <w:tc>
          <w:tcPr>
            <w:tcW w:w="511" w:type="dxa"/>
            <w:tcBorders>
              <w:top w:val="single" w:sz="4" w:space="0" w:color="auto"/>
              <w:left w:val="single" w:sz="4" w:space="0" w:color="auto"/>
              <w:bottom w:val="single" w:sz="4" w:space="0" w:color="auto"/>
              <w:right w:val="single" w:sz="4" w:space="0" w:color="auto"/>
            </w:tcBorders>
            <w:vAlign w:val="center"/>
          </w:tcPr>
          <w:p w:rsidR="00435B66" w:rsidRPr="00D630D1" w:rsidRDefault="00AE3108"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hAnsi="宋体" w:cs="Times New Roman"/>
                <w:sz w:val="21"/>
              </w:rPr>
              <w:t>7.18</w:t>
            </w:r>
          </w:p>
        </w:tc>
        <w:tc>
          <w:tcPr>
            <w:tcW w:w="653" w:type="dxa"/>
            <w:tcBorders>
              <w:top w:val="single" w:sz="4" w:space="0" w:color="auto"/>
              <w:left w:val="single" w:sz="4" w:space="0" w:color="auto"/>
              <w:bottom w:val="single" w:sz="4" w:space="0" w:color="auto"/>
              <w:right w:val="single" w:sz="4" w:space="0" w:color="auto"/>
            </w:tcBorders>
            <w:vAlign w:val="center"/>
          </w:tcPr>
          <w:p w:rsidR="00435B66" w:rsidRPr="00D630D1" w:rsidRDefault="00AE3108"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cs="Times New Roman"/>
                <w:bCs/>
                <w:kern w:val="2"/>
                <w:sz w:val="21"/>
                <w:szCs w:val="21"/>
              </w:rPr>
              <w:t>0.7</w:t>
            </w:r>
          </w:p>
        </w:tc>
        <w:tc>
          <w:tcPr>
            <w:tcW w:w="525" w:type="dxa"/>
            <w:tcBorders>
              <w:top w:val="single" w:sz="4" w:space="0" w:color="auto"/>
              <w:left w:val="single" w:sz="4" w:space="0" w:color="auto"/>
              <w:bottom w:val="single" w:sz="4" w:space="0" w:color="auto"/>
              <w:right w:val="single" w:sz="4" w:space="0" w:color="auto"/>
            </w:tcBorders>
            <w:vAlign w:val="center"/>
          </w:tcPr>
          <w:p w:rsidR="00435B66" w:rsidRPr="00D630D1" w:rsidRDefault="00AE3108"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cs="Times New Roman"/>
                <w:bCs/>
                <w:kern w:val="2"/>
                <w:sz w:val="21"/>
                <w:szCs w:val="21"/>
              </w:rPr>
              <w:t>0.02</w:t>
            </w:r>
          </w:p>
        </w:tc>
        <w:tc>
          <w:tcPr>
            <w:tcW w:w="653" w:type="dxa"/>
            <w:tcBorders>
              <w:top w:val="single" w:sz="4" w:space="0" w:color="auto"/>
              <w:left w:val="single" w:sz="4" w:space="0" w:color="auto"/>
              <w:bottom w:val="single" w:sz="4" w:space="0" w:color="auto"/>
              <w:right w:val="single" w:sz="4" w:space="0" w:color="auto"/>
            </w:tcBorders>
            <w:vAlign w:val="center"/>
          </w:tcPr>
          <w:p w:rsidR="00435B66" w:rsidRPr="00D630D1" w:rsidRDefault="007B400E" w:rsidP="003857F5">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cs="Times New Roman" w:hint="eastAsia"/>
                <w:bCs/>
                <w:kern w:val="2"/>
                <w:sz w:val="21"/>
                <w:szCs w:val="21"/>
              </w:rPr>
              <w:t>5</w:t>
            </w:r>
          </w:p>
        </w:tc>
        <w:tc>
          <w:tcPr>
            <w:tcW w:w="656"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kern w:val="2"/>
                <w:sz w:val="21"/>
                <w:szCs w:val="21"/>
              </w:rPr>
              <w:t>3.46</w:t>
            </w:r>
          </w:p>
        </w:tc>
        <w:tc>
          <w:tcPr>
            <w:tcW w:w="653"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1.93</w:t>
            </w:r>
          </w:p>
        </w:tc>
        <w:tc>
          <w:tcPr>
            <w:tcW w:w="656"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12.1</w:t>
            </w:r>
          </w:p>
        </w:tc>
        <w:tc>
          <w:tcPr>
            <w:tcW w:w="656"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164</w:t>
            </w:r>
          </w:p>
        </w:tc>
        <w:tc>
          <w:tcPr>
            <w:tcW w:w="539"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kern w:val="2"/>
                <w:sz w:val="21"/>
                <w:szCs w:val="21"/>
              </w:rPr>
              <w:t>604</w:t>
            </w:r>
          </w:p>
        </w:tc>
        <w:tc>
          <w:tcPr>
            <w:tcW w:w="1214" w:type="dxa"/>
            <w:tcBorders>
              <w:top w:val="single" w:sz="4" w:space="0" w:color="auto"/>
              <w:left w:val="single" w:sz="4" w:space="0" w:color="auto"/>
              <w:bottom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sz w:val="21"/>
              </w:rPr>
              <w:t>HCO</w:t>
            </w:r>
            <w:r w:rsidRPr="00D630D1">
              <w:rPr>
                <w:rFonts w:ascii="Times New Roman" w:hAnsi="宋体" w:cs="Times New Roman"/>
                <w:sz w:val="21"/>
                <w:vertAlign w:val="subscript"/>
              </w:rPr>
              <w:t>3</w:t>
            </w:r>
            <w:r w:rsidRPr="00D630D1">
              <w:rPr>
                <w:rFonts w:ascii="Times New Roman" w:hAnsi="宋体" w:cs="Times New Roman"/>
                <w:sz w:val="21"/>
              </w:rPr>
              <w:t>-Mg-Ca</w:t>
            </w:r>
          </w:p>
        </w:tc>
      </w:tr>
      <w:tr w:rsidR="00435B66" w:rsidRPr="00D630D1" w:rsidTr="00435B66">
        <w:trPr>
          <w:trHeight w:val="300"/>
          <w:jc w:val="center"/>
        </w:trPr>
        <w:tc>
          <w:tcPr>
            <w:tcW w:w="816" w:type="dxa"/>
            <w:tcBorders>
              <w:top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hint="eastAsia"/>
                <w:sz w:val="21"/>
              </w:rPr>
              <w:t>WX</w:t>
            </w:r>
            <w:r w:rsidRPr="00D630D1">
              <w:rPr>
                <w:rFonts w:ascii="Times New Roman" w:hAnsi="宋体" w:cs="Times New Roman"/>
                <w:sz w:val="21"/>
              </w:rPr>
              <w:t>4</w:t>
            </w:r>
          </w:p>
        </w:tc>
        <w:tc>
          <w:tcPr>
            <w:tcW w:w="990" w:type="dxa"/>
            <w:tcBorders>
              <w:top w:val="single" w:sz="4" w:space="0" w:color="auto"/>
              <w:left w:val="single" w:sz="4" w:space="0" w:color="auto"/>
              <w:bottom w:val="single" w:sz="4"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hint="eastAsia"/>
                <w:kern w:val="2"/>
                <w:sz w:val="21"/>
              </w:rPr>
              <w:t>井水</w:t>
            </w:r>
          </w:p>
        </w:tc>
        <w:tc>
          <w:tcPr>
            <w:tcW w:w="511" w:type="dxa"/>
            <w:tcBorders>
              <w:top w:val="single" w:sz="4" w:space="0" w:color="auto"/>
              <w:left w:val="single" w:sz="4" w:space="0" w:color="auto"/>
              <w:bottom w:val="single" w:sz="4" w:space="0" w:color="auto"/>
              <w:right w:val="single" w:sz="4" w:space="0" w:color="auto"/>
            </w:tcBorders>
            <w:vAlign w:val="center"/>
          </w:tcPr>
          <w:p w:rsidR="00435B66" w:rsidRPr="00D630D1" w:rsidRDefault="00AE3108"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hAnsi="宋体" w:cs="Times New Roman"/>
                <w:sz w:val="21"/>
              </w:rPr>
              <w:t>7.63</w:t>
            </w:r>
          </w:p>
        </w:tc>
        <w:tc>
          <w:tcPr>
            <w:tcW w:w="653" w:type="dxa"/>
            <w:tcBorders>
              <w:top w:val="single" w:sz="4" w:space="0" w:color="auto"/>
              <w:left w:val="single" w:sz="4" w:space="0" w:color="auto"/>
              <w:bottom w:val="single" w:sz="4" w:space="0" w:color="auto"/>
              <w:right w:val="single" w:sz="4" w:space="0" w:color="auto"/>
            </w:tcBorders>
            <w:vAlign w:val="center"/>
          </w:tcPr>
          <w:p w:rsidR="00435B66" w:rsidRPr="00D630D1" w:rsidRDefault="00AE3108"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cs="Times New Roman"/>
                <w:bCs/>
                <w:kern w:val="2"/>
                <w:sz w:val="21"/>
                <w:szCs w:val="21"/>
              </w:rPr>
              <w:t>1.32</w:t>
            </w:r>
          </w:p>
        </w:tc>
        <w:tc>
          <w:tcPr>
            <w:tcW w:w="525" w:type="dxa"/>
            <w:tcBorders>
              <w:top w:val="single" w:sz="4" w:space="0" w:color="auto"/>
              <w:left w:val="single" w:sz="4" w:space="0" w:color="auto"/>
              <w:bottom w:val="single" w:sz="4" w:space="0" w:color="auto"/>
              <w:right w:val="single" w:sz="4" w:space="0" w:color="auto"/>
            </w:tcBorders>
            <w:vAlign w:val="center"/>
          </w:tcPr>
          <w:p w:rsidR="00435B66" w:rsidRPr="00D630D1" w:rsidRDefault="00AE3108"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cs="Times New Roman"/>
                <w:bCs/>
                <w:kern w:val="2"/>
                <w:sz w:val="21"/>
                <w:szCs w:val="21"/>
              </w:rPr>
              <w:t>0.21</w:t>
            </w:r>
          </w:p>
        </w:tc>
        <w:tc>
          <w:tcPr>
            <w:tcW w:w="653" w:type="dxa"/>
            <w:tcBorders>
              <w:top w:val="single" w:sz="4" w:space="0" w:color="auto"/>
              <w:left w:val="single" w:sz="4" w:space="0" w:color="auto"/>
              <w:bottom w:val="single" w:sz="4" w:space="0" w:color="auto"/>
              <w:right w:val="single" w:sz="4" w:space="0" w:color="auto"/>
            </w:tcBorders>
            <w:vAlign w:val="center"/>
          </w:tcPr>
          <w:p w:rsidR="00435B66" w:rsidRPr="00D630D1" w:rsidRDefault="007B400E" w:rsidP="003857F5">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cs="Times New Roman" w:hint="eastAsia"/>
                <w:bCs/>
                <w:kern w:val="2"/>
                <w:sz w:val="21"/>
                <w:szCs w:val="21"/>
              </w:rPr>
              <w:t>1</w:t>
            </w:r>
          </w:p>
        </w:tc>
        <w:tc>
          <w:tcPr>
            <w:tcW w:w="656"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9.43</w:t>
            </w:r>
          </w:p>
        </w:tc>
        <w:tc>
          <w:tcPr>
            <w:tcW w:w="653"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24</w:t>
            </w:r>
          </w:p>
        </w:tc>
        <w:tc>
          <w:tcPr>
            <w:tcW w:w="656"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21.8</w:t>
            </w:r>
          </w:p>
        </w:tc>
        <w:tc>
          <w:tcPr>
            <w:tcW w:w="656"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405</w:t>
            </w:r>
          </w:p>
        </w:tc>
        <w:tc>
          <w:tcPr>
            <w:tcW w:w="539" w:type="dxa"/>
            <w:tcBorders>
              <w:top w:val="single" w:sz="4" w:space="0" w:color="auto"/>
              <w:left w:val="single" w:sz="4" w:space="0" w:color="auto"/>
              <w:bottom w:val="single" w:sz="4"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855</w:t>
            </w:r>
          </w:p>
        </w:tc>
        <w:tc>
          <w:tcPr>
            <w:tcW w:w="1214" w:type="dxa"/>
            <w:tcBorders>
              <w:top w:val="single" w:sz="4" w:space="0" w:color="auto"/>
              <w:left w:val="single" w:sz="4" w:space="0" w:color="auto"/>
              <w:bottom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sz w:val="21"/>
              </w:rPr>
              <w:t>HCO</w:t>
            </w:r>
            <w:r w:rsidRPr="00D630D1">
              <w:rPr>
                <w:rFonts w:ascii="Times New Roman" w:hAnsi="宋体" w:cs="Times New Roman"/>
                <w:sz w:val="21"/>
                <w:vertAlign w:val="subscript"/>
              </w:rPr>
              <w:t>3</w:t>
            </w:r>
            <w:r w:rsidRPr="00D630D1">
              <w:rPr>
                <w:rFonts w:ascii="Times New Roman" w:hAnsi="宋体" w:cs="Times New Roman"/>
                <w:sz w:val="21"/>
              </w:rPr>
              <w:t>-Mg-Ca</w:t>
            </w:r>
          </w:p>
        </w:tc>
      </w:tr>
      <w:tr w:rsidR="00435B66" w:rsidRPr="00D630D1" w:rsidTr="00435B66">
        <w:trPr>
          <w:trHeight w:val="300"/>
          <w:jc w:val="center"/>
        </w:trPr>
        <w:tc>
          <w:tcPr>
            <w:tcW w:w="816" w:type="dxa"/>
            <w:tcBorders>
              <w:top w:val="single" w:sz="4" w:space="0" w:color="auto"/>
              <w:bottom w:val="single" w:sz="12"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hint="eastAsia"/>
                <w:sz w:val="21"/>
              </w:rPr>
              <w:t>WX</w:t>
            </w:r>
            <w:r w:rsidRPr="00D630D1">
              <w:rPr>
                <w:rFonts w:ascii="Times New Roman" w:hAnsi="宋体" w:cs="Times New Roman"/>
                <w:sz w:val="21"/>
              </w:rPr>
              <w:t>5</w:t>
            </w:r>
          </w:p>
        </w:tc>
        <w:tc>
          <w:tcPr>
            <w:tcW w:w="990" w:type="dxa"/>
            <w:tcBorders>
              <w:top w:val="single" w:sz="4" w:space="0" w:color="auto"/>
              <w:left w:val="single" w:sz="4" w:space="0" w:color="auto"/>
              <w:bottom w:val="single" w:sz="12" w:space="0" w:color="auto"/>
              <w:right w:val="single" w:sz="4"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hint="eastAsia"/>
                <w:kern w:val="2"/>
                <w:sz w:val="21"/>
              </w:rPr>
              <w:t>井水</w:t>
            </w:r>
          </w:p>
        </w:tc>
        <w:tc>
          <w:tcPr>
            <w:tcW w:w="511" w:type="dxa"/>
            <w:tcBorders>
              <w:top w:val="single" w:sz="4" w:space="0" w:color="auto"/>
              <w:left w:val="single" w:sz="4" w:space="0" w:color="auto"/>
              <w:bottom w:val="single" w:sz="12" w:space="0" w:color="auto"/>
              <w:right w:val="single" w:sz="4" w:space="0" w:color="auto"/>
            </w:tcBorders>
            <w:vAlign w:val="center"/>
          </w:tcPr>
          <w:p w:rsidR="00435B66" w:rsidRPr="00D630D1" w:rsidRDefault="00AE3108"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hAnsi="宋体" w:cs="Times New Roman"/>
                <w:sz w:val="21"/>
              </w:rPr>
              <w:t>7.44</w:t>
            </w:r>
          </w:p>
        </w:tc>
        <w:tc>
          <w:tcPr>
            <w:tcW w:w="653" w:type="dxa"/>
            <w:tcBorders>
              <w:top w:val="single" w:sz="4" w:space="0" w:color="auto"/>
              <w:left w:val="single" w:sz="4" w:space="0" w:color="auto"/>
              <w:bottom w:val="single" w:sz="12" w:space="0" w:color="auto"/>
              <w:right w:val="single" w:sz="4" w:space="0" w:color="auto"/>
            </w:tcBorders>
            <w:vAlign w:val="center"/>
          </w:tcPr>
          <w:p w:rsidR="00435B66" w:rsidRPr="00D630D1" w:rsidRDefault="00AE3108"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cs="Times New Roman"/>
                <w:bCs/>
                <w:kern w:val="2"/>
                <w:sz w:val="21"/>
                <w:szCs w:val="21"/>
              </w:rPr>
              <w:t>2.21</w:t>
            </w:r>
          </w:p>
        </w:tc>
        <w:tc>
          <w:tcPr>
            <w:tcW w:w="525" w:type="dxa"/>
            <w:tcBorders>
              <w:top w:val="single" w:sz="4" w:space="0" w:color="auto"/>
              <w:left w:val="single" w:sz="4" w:space="0" w:color="auto"/>
              <w:bottom w:val="single" w:sz="12" w:space="0" w:color="auto"/>
              <w:right w:val="single" w:sz="4" w:space="0" w:color="auto"/>
            </w:tcBorders>
            <w:vAlign w:val="center"/>
          </w:tcPr>
          <w:p w:rsidR="00435B66" w:rsidRPr="00D630D1" w:rsidRDefault="00AE3108"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AE3108">
              <w:rPr>
                <w:rFonts w:ascii="Times New Roman" w:cs="Times New Roman"/>
                <w:bCs/>
                <w:kern w:val="2"/>
                <w:sz w:val="21"/>
                <w:szCs w:val="21"/>
              </w:rPr>
              <w:t>0.05</w:t>
            </w:r>
          </w:p>
        </w:tc>
        <w:tc>
          <w:tcPr>
            <w:tcW w:w="653" w:type="dxa"/>
            <w:tcBorders>
              <w:top w:val="single" w:sz="4" w:space="0" w:color="auto"/>
              <w:left w:val="single" w:sz="4" w:space="0" w:color="auto"/>
              <w:bottom w:val="single" w:sz="12"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Pr>
                <w:rFonts w:ascii="Times New Roman" w:cs="Times New Roman" w:hint="eastAsia"/>
                <w:kern w:val="2"/>
                <w:sz w:val="21"/>
                <w:szCs w:val="21"/>
              </w:rPr>
              <w:t>4.9</w:t>
            </w:r>
          </w:p>
        </w:tc>
        <w:tc>
          <w:tcPr>
            <w:tcW w:w="656" w:type="dxa"/>
            <w:tcBorders>
              <w:top w:val="single" w:sz="4" w:space="0" w:color="auto"/>
              <w:left w:val="single" w:sz="4" w:space="0" w:color="auto"/>
              <w:bottom w:val="single" w:sz="12" w:space="0" w:color="auto"/>
              <w:right w:val="single" w:sz="4" w:space="0" w:color="auto"/>
            </w:tcBorders>
            <w:vAlign w:val="center"/>
          </w:tcPr>
          <w:p w:rsidR="00435B66" w:rsidRPr="00D630D1" w:rsidRDefault="003857F5"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6.5</w:t>
            </w:r>
          </w:p>
        </w:tc>
        <w:tc>
          <w:tcPr>
            <w:tcW w:w="653" w:type="dxa"/>
            <w:tcBorders>
              <w:top w:val="single" w:sz="4" w:space="0" w:color="auto"/>
              <w:left w:val="single" w:sz="4" w:space="0" w:color="auto"/>
              <w:bottom w:val="single" w:sz="12" w:space="0" w:color="auto"/>
              <w:right w:val="single" w:sz="4" w:space="0" w:color="auto"/>
            </w:tcBorders>
            <w:vAlign w:val="center"/>
          </w:tcPr>
          <w:p w:rsidR="00435B66" w:rsidRPr="00D630D1" w:rsidRDefault="003857F5"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12.5</w:t>
            </w:r>
          </w:p>
        </w:tc>
        <w:tc>
          <w:tcPr>
            <w:tcW w:w="656" w:type="dxa"/>
            <w:tcBorders>
              <w:top w:val="single" w:sz="4" w:space="0" w:color="auto"/>
              <w:left w:val="single" w:sz="4" w:space="0" w:color="auto"/>
              <w:bottom w:val="single" w:sz="12" w:space="0" w:color="auto"/>
              <w:right w:val="single" w:sz="4" w:space="0" w:color="auto"/>
            </w:tcBorders>
            <w:vAlign w:val="center"/>
          </w:tcPr>
          <w:p w:rsidR="00435B66" w:rsidRPr="00D630D1" w:rsidRDefault="003857F5"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12.7</w:t>
            </w:r>
          </w:p>
        </w:tc>
        <w:tc>
          <w:tcPr>
            <w:tcW w:w="656" w:type="dxa"/>
            <w:tcBorders>
              <w:top w:val="single" w:sz="4" w:space="0" w:color="auto"/>
              <w:left w:val="single" w:sz="4" w:space="0" w:color="auto"/>
              <w:bottom w:val="single" w:sz="12" w:space="0" w:color="auto"/>
              <w:right w:val="single" w:sz="4" w:space="0" w:color="auto"/>
            </w:tcBorders>
            <w:vAlign w:val="center"/>
          </w:tcPr>
          <w:p w:rsidR="00435B66" w:rsidRPr="00D630D1" w:rsidRDefault="003857F5"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158</w:t>
            </w:r>
          </w:p>
        </w:tc>
        <w:tc>
          <w:tcPr>
            <w:tcW w:w="539" w:type="dxa"/>
            <w:tcBorders>
              <w:top w:val="single" w:sz="4" w:space="0" w:color="auto"/>
              <w:left w:val="single" w:sz="4" w:space="0" w:color="auto"/>
              <w:bottom w:val="single" w:sz="12" w:space="0" w:color="auto"/>
              <w:right w:val="single" w:sz="4" w:space="0" w:color="auto"/>
            </w:tcBorders>
            <w:vAlign w:val="center"/>
          </w:tcPr>
          <w:p w:rsidR="00435B66" w:rsidRPr="00D630D1" w:rsidRDefault="003857F5" w:rsidP="007B400E">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3857F5">
              <w:rPr>
                <w:rFonts w:ascii="Times New Roman" w:cs="Times New Roman"/>
                <w:bCs/>
                <w:kern w:val="2"/>
                <w:sz w:val="21"/>
                <w:szCs w:val="21"/>
              </w:rPr>
              <w:t>831</w:t>
            </w:r>
          </w:p>
        </w:tc>
        <w:tc>
          <w:tcPr>
            <w:tcW w:w="1214" w:type="dxa"/>
            <w:tcBorders>
              <w:top w:val="single" w:sz="4" w:space="0" w:color="auto"/>
              <w:left w:val="single" w:sz="4" w:space="0" w:color="auto"/>
              <w:bottom w:val="single" w:sz="12" w:space="0" w:color="auto"/>
            </w:tcBorders>
            <w:vAlign w:val="center"/>
          </w:tcPr>
          <w:p w:rsidR="00435B66" w:rsidRPr="00D630D1" w:rsidRDefault="00435B66" w:rsidP="00435B66">
            <w:pPr>
              <w:widowControl/>
              <w:topLinePunct w:val="0"/>
              <w:adjustRightInd/>
              <w:spacing w:line="240" w:lineRule="auto"/>
              <w:ind w:leftChars="-50" w:left="-120" w:rightChars="-50" w:right="-120" w:firstLineChars="0" w:firstLine="0"/>
              <w:jc w:val="center"/>
              <w:rPr>
                <w:rFonts w:ascii="Times New Roman" w:hAnsi="宋体" w:cs="Times New Roman"/>
                <w:sz w:val="21"/>
              </w:rPr>
            </w:pPr>
            <w:r w:rsidRPr="00D630D1">
              <w:rPr>
                <w:rFonts w:ascii="Times New Roman" w:hAnsi="宋体" w:cs="Times New Roman"/>
                <w:sz w:val="21"/>
              </w:rPr>
              <w:t>HCO</w:t>
            </w:r>
            <w:r w:rsidRPr="00D630D1">
              <w:rPr>
                <w:rFonts w:ascii="Times New Roman" w:hAnsi="宋体" w:cs="Times New Roman"/>
                <w:sz w:val="21"/>
                <w:vertAlign w:val="subscript"/>
              </w:rPr>
              <w:t>3</w:t>
            </w:r>
            <w:r w:rsidRPr="00D630D1">
              <w:rPr>
                <w:rFonts w:ascii="Times New Roman" w:hAnsi="宋体" w:cs="Times New Roman"/>
                <w:sz w:val="21"/>
              </w:rPr>
              <w:t>-Mg-Ca</w:t>
            </w:r>
          </w:p>
        </w:tc>
      </w:tr>
    </w:tbl>
    <w:p w:rsidR="00435B66" w:rsidRPr="00D630D1" w:rsidRDefault="00435B66" w:rsidP="00435B66">
      <w:pPr>
        <w:pStyle w:val="10"/>
        <w:ind w:firstLineChars="196" w:firstLine="470"/>
        <w:jc w:val="both"/>
        <w:rPr>
          <w:rFonts w:cs="Times New Roman"/>
          <w:b w:val="0"/>
        </w:rPr>
      </w:pPr>
      <w:r w:rsidRPr="00D630D1">
        <w:rPr>
          <w:rFonts w:hint="eastAsia"/>
          <w:b w:val="0"/>
          <w:sz w:val="24"/>
        </w:rPr>
        <w:t>根据各水样水化学宏量组分监测结果（表</w:t>
      </w:r>
      <w:r w:rsidRPr="00D630D1">
        <w:rPr>
          <w:rFonts w:hint="eastAsia"/>
          <w:b w:val="0"/>
          <w:sz w:val="24"/>
        </w:rPr>
        <w:t>5.5-1</w:t>
      </w:r>
      <w:r w:rsidRPr="00D630D1">
        <w:rPr>
          <w:rFonts w:hint="eastAsia"/>
          <w:b w:val="0"/>
          <w:sz w:val="24"/>
        </w:rPr>
        <w:t>），评价区地下水矿化度</w:t>
      </w:r>
      <w:r w:rsidRPr="00D630D1">
        <w:rPr>
          <w:b w:val="0"/>
          <w:sz w:val="24"/>
        </w:rPr>
        <w:t>≤1g/L</w:t>
      </w:r>
      <w:r w:rsidRPr="00D630D1">
        <w:rPr>
          <w:rFonts w:hint="eastAsia"/>
          <w:b w:val="0"/>
          <w:sz w:val="24"/>
        </w:rPr>
        <w:t>，总硬度</w:t>
      </w:r>
      <w:r w:rsidR="00DB073B">
        <w:rPr>
          <w:rFonts w:hint="eastAsia"/>
          <w:b w:val="0"/>
          <w:sz w:val="24"/>
        </w:rPr>
        <w:t>219</w:t>
      </w:r>
      <w:r w:rsidRPr="00D630D1">
        <w:rPr>
          <w:rFonts w:hint="eastAsia"/>
          <w:b w:val="0"/>
          <w:sz w:val="24"/>
        </w:rPr>
        <w:t>～</w:t>
      </w:r>
      <w:r w:rsidR="00DB073B">
        <w:rPr>
          <w:rFonts w:hint="eastAsia"/>
          <w:b w:val="0"/>
          <w:sz w:val="24"/>
        </w:rPr>
        <w:t>235</w:t>
      </w:r>
      <w:r w:rsidRPr="00D630D1">
        <w:rPr>
          <w:b w:val="0"/>
          <w:sz w:val="24"/>
        </w:rPr>
        <w:t>mg/L</w:t>
      </w:r>
      <w:r w:rsidRPr="00D630D1">
        <w:rPr>
          <w:rFonts w:hint="eastAsia"/>
          <w:b w:val="0"/>
          <w:sz w:val="24"/>
        </w:rPr>
        <w:t>，属于极软～中硬的低矿化度淡水，</w:t>
      </w:r>
      <w:r w:rsidRPr="00D630D1">
        <w:rPr>
          <w:b w:val="0"/>
          <w:sz w:val="24"/>
        </w:rPr>
        <w:t>pH</w:t>
      </w:r>
      <w:r w:rsidRPr="00D630D1">
        <w:rPr>
          <w:rFonts w:hint="eastAsia"/>
          <w:b w:val="0"/>
          <w:sz w:val="24"/>
        </w:rPr>
        <w:t>介于</w:t>
      </w:r>
      <w:r w:rsidRPr="00D630D1">
        <w:rPr>
          <w:b w:val="0"/>
          <w:sz w:val="24"/>
        </w:rPr>
        <w:t>7.</w:t>
      </w:r>
      <w:r w:rsidR="00DB073B">
        <w:rPr>
          <w:rFonts w:hint="eastAsia"/>
          <w:b w:val="0"/>
          <w:sz w:val="24"/>
        </w:rPr>
        <w:t>18</w:t>
      </w:r>
      <w:r w:rsidRPr="00D630D1">
        <w:rPr>
          <w:rFonts w:hint="eastAsia"/>
          <w:b w:val="0"/>
          <w:sz w:val="24"/>
        </w:rPr>
        <w:t>～</w:t>
      </w:r>
      <w:r w:rsidRPr="00D630D1">
        <w:rPr>
          <w:rFonts w:hint="eastAsia"/>
          <w:b w:val="0"/>
          <w:sz w:val="24"/>
        </w:rPr>
        <w:t>7.</w:t>
      </w:r>
      <w:r w:rsidR="00DB073B">
        <w:rPr>
          <w:rFonts w:hint="eastAsia"/>
          <w:b w:val="0"/>
          <w:sz w:val="24"/>
        </w:rPr>
        <w:t>63</w:t>
      </w:r>
      <w:r w:rsidRPr="00D630D1">
        <w:rPr>
          <w:rFonts w:hint="eastAsia"/>
          <w:b w:val="0"/>
          <w:sz w:val="24"/>
        </w:rPr>
        <w:t>，呈弱碱性。地下水主要阳离子为</w:t>
      </w:r>
      <w:r w:rsidRPr="00D630D1">
        <w:rPr>
          <w:b w:val="0"/>
          <w:sz w:val="24"/>
        </w:rPr>
        <w:t>Na</w:t>
      </w:r>
      <w:r w:rsidRPr="00D630D1">
        <w:rPr>
          <w:b w:val="0"/>
          <w:sz w:val="24"/>
          <w:vertAlign w:val="superscript"/>
        </w:rPr>
        <w:t>+</w:t>
      </w:r>
      <w:r w:rsidRPr="00D630D1">
        <w:rPr>
          <w:rFonts w:hint="eastAsia"/>
          <w:b w:val="0"/>
          <w:sz w:val="24"/>
        </w:rPr>
        <w:t>、</w:t>
      </w:r>
      <w:r w:rsidRPr="00D630D1">
        <w:rPr>
          <w:b w:val="0"/>
          <w:sz w:val="24"/>
        </w:rPr>
        <w:t>Ca</w:t>
      </w:r>
      <w:r w:rsidRPr="00D630D1">
        <w:rPr>
          <w:b w:val="0"/>
          <w:sz w:val="24"/>
          <w:vertAlign w:val="superscript"/>
        </w:rPr>
        <w:t>2+</w:t>
      </w:r>
      <w:r w:rsidRPr="00D630D1">
        <w:rPr>
          <w:rFonts w:hint="eastAsia"/>
          <w:b w:val="0"/>
          <w:sz w:val="24"/>
        </w:rPr>
        <w:t>和</w:t>
      </w:r>
      <w:r w:rsidRPr="00D630D1">
        <w:rPr>
          <w:b w:val="0"/>
          <w:sz w:val="24"/>
        </w:rPr>
        <w:t>Mg</w:t>
      </w:r>
      <w:r w:rsidRPr="00D630D1">
        <w:rPr>
          <w:b w:val="0"/>
          <w:sz w:val="24"/>
          <w:vertAlign w:val="superscript"/>
        </w:rPr>
        <w:t>2+</w:t>
      </w:r>
      <w:r w:rsidRPr="00D630D1">
        <w:rPr>
          <w:rFonts w:hint="eastAsia"/>
          <w:b w:val="0"/>
          <w:sz w:val="24"/>
        </w:rPr>
        <w:t>，主要阴离子为</w:t>
      </w:r>
      <w:r w:rsidRPr="00D630D1">
        <w:rPr>
          <w:b w:val="0"/>
          <w:sz w:val="24"/>
        </w:rPr>
        <w:t>HCO</w:t>
      </w:r>
      <w:r w:rsidRPr="00D630D1">
        <w:rPr>
          <w:b w:val="0"/>
          <w:sz w:val="24"/>
          <w:vertAlign w:val="subscript"/>
        </w:rPr>
        <w:t>3</w:t>
      </w:r>
      <w:r w:rsidRPr="00D630D1">
        <w:rPr>
          <w:b w:val="0"/>
          <w:sz w:val="24"/>
          <w:vertAlign w:val="superscript"/>
        </w:rPr>
        <w:t>-</w:t>
      </w:r>
      <w:r w:rsidRPr="00D630D1">
        <w:rPr>
          <w:rFonts w:hint="eastAsia"/>
          <w:b w:val="0"/>
          <w:sz w:val="24"/>
        </w:rPr>
        <w:t>，水化学类型以</w:t>
      </w:r>
      <w:r w:rsidRPr="00D630D1">
        <w:rPr>
          <w:b w:val="0"/>
          <w:sz w:val="24"/>
        </w:rPr>
        <w:t>HCO</w:t>
      </w:r>
      <w:r w:rsidRPr="00D630D1">
        <w:rPr>
          <w:b w:val="0"/>
          <w:sz w:val="24"/>
          <w:vertAlign w:val="subscript"/>
        </w:rPr>
        <w:t>3</w:t>
      </w:r>
      <w:r w:rsidRPr="00D630D1">
        <w:rPr>
          <w:b w:val="0"/>
          <w:sz w:val="24"/>
        </w:rPr>
        <w:t>-Mg-Ca</w:t>
      </w:r>
      <w:r w:rsidRPr="00D630D1">
        <w:rPr>
          <w:rFonts w:hint="eastAsia"/>
          <w:b w:val="0"/>
          <w:sz w:val="24"/>
        </w:rPr>
        <w:t>为主。</w:t>
      </w:r>
    </w:p>
    <w:p w:rsidR="00507154" w:rsidRPr="00D630D1" w:rsidRDefault="008B5B84" w:rsidP="00507154">
      <w:pPr>
        <w:pStyle w:val="10"/>
        <w:rPr>
          <w:rFonts w:cs="Times New Roman"/>
        </w:rPr>
      </w:pPr>
      <w:r w:rsidRPr="00D630D1">
        <w:rPr>
          <w:rFonts w:cs="Times New Roman"/>
        </w:rPr>
        <w:lastRenderedPageBreak/>
        <w:t>表</w:t>
      </w:r>
      <w:r w:rsidR="00555FE4" w:rsidRPr="00D630D1">
        <w:rPr>
          <w:rFonts w:cs="Times New Roman"/>
        </w:rPr>
        <w:t>5</w:t>
      </w:r>
      <w:r w:rsidRPr="00D630D1">
        <w:rPr>
          <w:rFonts w:cs="Times New Roman"/>
        </w:rPr>
        <w:t>.5-</w:t>
      </w:r>
      <w:r w:rsidR="00312119" w:rsidRPr="00D630D1">
        <w:rPr>
          <w:rFonts w:cs="Times New Roman"/>
        </w:rPr>
        <w:t>1</w:t>
      </w:r>
      <w:r w:rsidR="00555FE4" w:rsidRPr="00D630D1">
        <w:rPr>
          <w:rFonts w:cs="Times New Roman"/>
        </w:rPr>
        <w:t xml:space="preserve">  </w:t>
      </w:r>
      <w:r w:rsidRPr="00D630D1">
        <w:rPr>
          <w:rFonts w:cs="Times New Roman"/>
        </w:rPr>
        <w:t>地下水环境质量现状监测结果</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A0"/>
      </w:tblPr>
      <w:tblGrid>
        <w:gridCol w:w="2362"/>
        <w:gridCol w:w="1142"/>
        <w:gridCol w:w="749"/>
        <w:gridCol w:w="748"/>
        <w:gridCol w:w="953"/>
        <w:gridCol w:w="748"/>
        <w:gridCol w:w="953"/>
        <w:gridCol w:w="867"/>
      </w:tblGrid>
      <w:tr w:rsidR="00507154" w:rsidRPr="00D630D1" w:rsidTr="00507154">
        <w:trPr>
          <w:trHeight w:val="300"/>
          <w:jc w:val="center"/>
        </w:trPr>
        <w:tc>
          <w:tcPr>
            <w:tcW w:w="2362" w:type="dxa"/>
            <w:vMerge w:val="restart"/>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b/>
                <w:sz w:val="21"/>
              </w:rPr>
            </w:pPr>
            <w:r w:rsidRPr="00D630D1">
              <w:rPr>
                <w:rFonts w:ascii="Times New Roman" w:hAnsi="宋体" w:cs="Times New Roman"/>
                <w:b/>
                <w:sz w:val="21"/>
              </w:rPr>
              <w:t>项目</w:t>
            </w:r>
          </w:p>
        </w:tc>
        <w:tc>
          <w:tcPr>
            <w:tcW w:w="1142" w:type="dxa"/>
            <w:vMerge w:val="restart"/>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b/>
                <w:sz w:val="21"/>
              </w:rPr>
            </w:pPr>
            <w:r w:rsidRPr="00D630D1">
              <w:rPr>
                <w:rFonts w:ascii="Times New Roman" w:hAnsi="宋体" w:cs="Times New Roman"/>
                <w:b/>
                <w:sz w:val="21"/>
              </w:rPr>
              <w:t>单位</w:t>
            </w:r>
          </w:p>
        </w:tc>
        <w:tc>
          <w:tcPr>
            <w:tcW w:w="4151" w:type="dxa"/>
            <w:gridSpan w:val="5"/>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b/>
                <w:sz w:val="21"/>
              </w:rPr>
            </w:pPr>
            <w:r w:rsidRPr="00D630D1">
              <w:rPr>
                <w:rFonts w:ascii="Times New Roman" w:hAnsi="宋体" w:cs="Times New Roman"/>
                <w:b/>
                <w:sz w:val="21"/>
              </w:rPr>
              <w:t>监测值</w:t>
            </w:r>
          </w:p>
        </w:tc>
        <w:tc>
          <w:tcPr>
            <w:tcW w:w="867" w:type="dxa"/>
            <w:vMerge w:val="restart"/>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b/>
                <w:sz w:val="21"/>
              </w:rPr>
            </w:pPr>
            <w:r w:rsidRPr="00D630D1">
              <w:rPr>
                <w:rFonts w:ascii="Times New Roman" w:hAnsi="宋体" w:cs="Times New Roman"/>
                <w:b/>
                <w:sz w:val="21"/>
              </w:rPr>
              <w:t>Ⅲ类</w:t>
            </w:r>
          </w:p>
        </w:tc>
      </w:tr>
      <w:tr w:rsidR="00507154" w:rsidRPr="00D630D1" w:rsidTr="00507154">
        <w:trPr>
          <w:trHeight w:val="300"/>
          <w:jc w:val="center"/>
        </w:trPr>
        <w:tc>
          <w:tcPr>
            <w:tcW w:w="2362" w:type="dxa"/>
            <w:vMerge/>
            <w:vAlign w:val="center"/>
          </w:tcPr>
          <w:p w:rsidR="00507154" w:rsidRPr="00D630D1" w:rsidRDefault="00507154" w:rsidP="00507154">
            <w:pPr>
              <w:widowControl/>
              <w:topLinePunct w:val="0"/>
              <w:adjustRightInd/>
              <w:spacing w:line="240" w:lineRule="auto"/>
              <w:ind w:firstLineChars="0" w:firstLine="0"/>
              <w:jc w:val="left"/>
              <w:rPr>
                <w:rFonts w:ascii="Times New Roman" w:hAnsi="宋体" w:cs="Times New Roman"/>
                <w:b/>
                <w:sz w:val="21"/>
              </w:rPr>
            </w:pPr>
          </w:p>
        </w:tc>
        <w:tc>
          <w:tcPr>
            <w:tcW w:w="1142" w:type="dxa"/>
            <w:vMerge/>
            <w:vAlign w:val="center"/>
          </w:tcPr>
          <w:p w:rsidR="00507154" w:rsidRPr="00D630D1" w:rsidRDefault="00507154" w:rsidP="00507154">
            <w:pPr>
              <w:widowControl/>
              <w:topLinePunct w:val="0"/>
              <w:adjustRightInd/>
              <w:spacing w:line="240" w:lineRule="auto"/>
              <w:ind w:firstLineChars="0" w:firstLine="0"/>
              <w:jc w:val="left"/>
              <w:rPr>
                <w:rFonts w:ascii="Times New Roman" w:hAnsi="宋体" w:cs="Times New Roman"/>
                <w:b/>
                <w:sz w:val="21"/>
              </w:rPr>
            </w:pPr>
          </w:p>
        </w:tc>
        <w:tc>
          <w:tcPr>
            <w:tcW w:w="749"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b/>
                <w:sz w:val="21"/>
              </w:rPr>
            </w:pPr>
            <w:r w:rsidRPr="00D630D1">
              <w:rPr>
                <w:rFonts w:ascii="Times New Roman" w:hAnsi="宋体" w:cs="Times New Roman" w:hint="eastAsia"/>
                <w:b/>
                <w:sz w:val="21"/>
              </w:rPr>
              <w:t>WX</w:t>
            </w:r>
            <w:r w:rsidRPr="00D630D1">
              <w:rPr>
                <w:rFonts w:ascii="Times New Roman" w:hAnsi="宋体" w:cs="Times New Roman"/>
                <w:b/>
                <w:sz w:val="21"/>
              </w:rPr>
              <w:t>1</w:t>
            </w:r>
          </w:p>
        </w:tc>
        <w:tc>
          <w:tcPr>
            <w:tcW w:w="748"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b/>
                <w:sz w:val="21"/>
              </w:rPr>
            </w:pPr>
            <w:r w:rsidRPr="00D630D1">
              <w:rPr>
                <w:rFonts w:ascii="Times New Roman" w:hAnsi="宋体" w:cs="Times New Roman" w:hint="eastAsia"/>
                <w:b/>
                <w:sz w:val="21"/>
              </w:rPr>
              <w:t>WX</w:t>
            </w:r>
            <w:r w:rsidRPr="00D630D1">
              <w:rPr>
                <w:rFonts w:ascii="Times New Roman" w:hAnsi="宋体" w:cs="Times New Roman"/>
                <w:b/>
                <w:sz w:val="21"/>
              </w:rPr>
              <w:t>2</w:t>
            </w:r>
          </w:p>
        </w:tc>
        <w:tc>
          <w:tcPr>
            <w:tcW w:w="953"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b/>
                <w:sz w:val="21"/>
              </w:rPr>
            </w:pPr>
            <w:r w:rsidRPr="00D630D1">
              <w:rPr>
                <w:rFonts w:ascii="Times New Roman" w:hAnsi="宋体" w:cs="Times New Roman" w:hint="eastAsia"/>
                <w:b/>
                <w:sz w:val="21"/>
              </w:rPr>
              <w:t>WX</w:t>
            </w:r>
            <w:r w:rsidRPr="00D630D1">
              <w:rPr>
                <w:rFonts w:ascii="Times New Roman" w:hAnsi="宋体" w:cs="Times New Roman"/>
                <w:b/>
                <w:sz w:val="21"/>
              </w:rPr>
              <w:t>3</w:t>
            </w:r>
          </w:p>
        </w:tc>
        <w:tc>
          <w:tcPr>
            <w:tcW w:w="748"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b/>
                <w:sz w:val="21"/>
              </w:rPr>
            </w:pPr>
            <w:r w:rsidRPr="00D630D1">
              <w:rPr>
                <w:rFonts w:ascii="Times New Roman" w:hAnsi="宋体" w:cs="Times New Roman" w:hint="eastAsia"/>
                <w:b/>
                <w:sz w:val="21"/>
              </w:rPr>
              <w:t>WX</w:t>
            </w:r>
            <w:r w:rsidRPr="00D630D1">
              <w:rPr>
                <w:rFonts w:ascii="Times New Roman" w:hAnsi="宋体" w:cs="Times New Roman"/>
                <w:b/>
                <w:sz w:val="21"/>
              </w:rPr>
              <w:t>4</w:t>
            </w:r>
          </w:p>
        </w:tc>
        <w:tc>
          <w:tcPr>
            <w:tcW w:w="953"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b/>
                <w:sz w:val="21"/>
              </w:rPr>
            </w:pPr>
            <w:r w:rsidRPr="00D630D1">
              <w:rPr>
                <w:rFonts w:ascii="Times New Roman" w:hAnsi="宋体" w:cs="Times New Roman" w:hint="eastAsia"/>
                <w:b/>
                <w:sz w:val="21"/>
              </w:rPr>
              <w:t>WX</w:t>
            </w:r>
            <w:r w:rsidRPr="00D630D1">
              <w:rPr>
                <w:rFonts w:ascii="Times New Roman" w:hAnsi="宋体" w:cs="Times New Roman"/>
                <w:b/>
                <w:sz w:val="21"/>
              </w:rPr>
              <w:t>5</w:t>
            </w:r>
          </w:p>
        </w:tc>
        <w:tc>
          <w:tcPr>
            <w:tcW w:w="867" w:type="dxa"/>
            <w:vMerge/>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p>
        </w:tc>
      </w:tr>
      <w:tr w:rsidR="00507154" w:rsidRPr="00D630D1" w:rsidTr="00507154">
        <w:trPr>
          <w:trHeight w:val="288"/>
          <w:jc w:val="center"/>
        </w:trPr>
        <w:tc>
          <w:tcPr>
            <w:tcW w:w="236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pH</w:t>
            </w:r>
          </w:p>
        </w:tc>
        <w:tc>
          <w:tcPr>
            <w:tcW w:w="114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无量纲</w:t>
            </w:r>
          </w:p>
        </w:tc>
        <w:tc>
          <w:tcPr>
            <w:tcW w:w="749" w:type="dxa"/>
            <w:vAlign w:val="center"/>
          </w:tcPr>
          <w:p w:rsidR="00507154" w:rsidRPr="00D630D1" w:rsidRDefault="00DB073B" w:rsidP="00EB51F0">
            <w:pPr>
              <w:snapToGrid w:val="0"/>
              <w:ind w:firstLineChars="0" w:firstLine="0"/>
              <w:jc w:val="center"/>
              <w:rPr>
                <w:rFonts w:ascii="Times New Roman" w:cs="Times New Roman"/>
                <w:kern w:val="2"/>
                <w:sz w:val="21"/>
                <w:szCs w:val="21"/>
              </w:rPr>
            </w:pPr>
            <w:r w:rsidRPr="00AE3108">
              <w:rPr>
                <w:rFonts w:ascii="Times New Roman" w:hAnsi="宋体" w:cs="Times New Roman"/>
                <w:sz w:val="21"/>
              </w:rPr>
              <w:t>7.33</w:t>
            </w:r>
          </w:p>
        </w:tc>
        <w:tc>
          <w:tcPr>
            <w:tcW w:w="748" w:type="dxa"/>
            <w:vAlign w:val="center"/>
          </w:tcPr>
          <w:p w:rsidR="00507154" w:rsidRPr="00D630D1" w:rsidRDefault="00507154" w:rsidP="00DB073B">
            <w:pPr>
              <w:snapToGrid w:val="0"/>
              <w:ind w:firstLineChars="0" w:firstLine="0"/>
              <w:jc w:val="center"/>
              <w:rPr>
                <w:rFonts w:ascii="Times New Roman" w:cs="Times New Roman"/>
                <w:bCs/>
                <w:kern w:val="2"/>
                <w:sz w:val="21"/>
                <w:szCs w:val="21"/>
              </w:rPr>
            </w:pPr>
            <w:r w:rsidRPr="00D630D1">
              <w:rPr>
                <w:rFonts w:ascii="Times New Roman" w:cs="Times New Roman" w:hint="eastAsia"/>
                <w:bCs/>
                <w:kern w:val="2"/>
                <w:sz w:val="21"/>
                <w:szCs w:val="21"/>
              </w:rPr>
              <w:t>7.</w:t>
            </w:r>
            <w:r w:rsidR="00DB073B">
              <w:rPr>
                <w:rFonts w:ascii="Times New Roman" w:cs="Times New Roman" w:hint="eastAsia"/>
                <w:bCs/>
                <w:kern w:val="2"/>
                <w:sz w:val="21"/>
                <w:szCs w:val="21"/>
              </w:rPr>
              <w:t>21</w:t>
            </w:r>
          </w:p>
        </w:tc>
        <w:tc>
          <w:tcPr>
            <w:tcW w:w="953" w:type="dxa"/>
            <w:vAlign w:val="center"/>
          </w:tcPr>
          <w:p w:rsidR="00507154" w:rsidRPr="00D630D1" w:rsidRDefault="00507154" w:rsidP="00DB073B">
            <w:pPr>
              <w:snapToGrid w:val="0"/>
              <w:ind w:firstLineChars="0" w:firstLine="0"/>
              <w:jc w:val="center"/>
              <w:rPr>
                <w:rFonts w:ascii="Times New Roman" w:cs="Times New Roman"/>
                <w:bCs/>
                <w:kern w:val="2"/>
                <w:sz w:val="21"/>
                <w:szCs w:val="21"/>
              </w:rPr>
            </w:pPr>
            <w:r w:rsidRPr="00D630D1">
              <w:rPr>
                <w:rFonts w:ascii="Times New Roman" w:cs="Times New Roman" w:hint="eastAsia"/>
                <w:bCs/>
                <w:kern w:val="2"/>
                <w:sz w:val="21"/>
                <w:szCs w:val="21"/>
              </w:rPr>
              <w:t>7.</w:t>
            </w:r>
            <w:r w:rsidR="00DB073B">
              <w:rPr>
                <w:rFonts w:ascii="Times New Roman" w:cs="Times New Roman" w:hint="eastAsia"/>
                <w:bCs/>
                <w:kern w:val="2"/>
                <w:sz w:val="21"/>
                <w:szCs w:val="21"/>
              </w:rPr>
              <w:t>18</w:t>
            </w:r>
          </w:p>
        </w:tc>
        <w:tc>
          <w:tcPr>
            <w:tcW w:w="748" w:type="dxa"/>
            <w:vAlign w:val="center"/>
          </w:tcPr>
          <w:p w:rsidR="00507154" w:rsidRPr="00D630D1" w:rsidRDefault="00507154" w:rsidP="00DB073B">
            <w:pPr>
              <w:snapToGrid w:val="0"/>
              <w:ind w:firstLineChars="0" w:firstLine="0"/>
              <w:jc w:val="center"/>
              <w:rPr>
                <w:rFonts w:ascii="Times New Roman" w:cs="Times New Roman"/>
                <w:bCs/>
                <w:kern w:val="2"/>
                <w:sz w:val="21"/>
                <w:szCs w:val="21"/>
              </w:rPr>
            </w:pPr>
            <w:r w:rsidRPr="00D630D1">
              <w:rPr>
                <w:rFonts w:ascii="Times New Roman" w:cs="Times New Roman" w:hint="eastAsia"/>
                <w:bCs/>
                <w:kern w:val="2"/>
                <w:sz w:val="21"/>
                <w:szCs w:val="21"/>
              </w:rPr>
              <w:t>7.</w:t>
            </w:r>
            <w:r w:rsidR="00DB073B">
              <w:rPr>
                <w:rFonts w:ascii="Times New Roman" w:cs="Times New Roman" w:hint="eastAsia"/>
                <w:bCs/>
                <w:kern w:val="2"/>
                <w:sz w:val="21"/>
                <w:szCs w:val="21"/>
              </w:rPr>
              <w:t>63</w:t>
            </w:r>
          </w:p>
        </w:tc>
        <w:tc>
          <w:tcPr>
            <w:tcW w:w="953" w:type="dxa"/>
            <w:vAlign w:val="center"/>
          </w:tcPr>
          <w:p w:rsidR="00507154" w:rsidRPr="00D630D1" w:rsidRDefault="00507154" w:rsidP="00DB073B">
            <w:pPr>
              <w:snapToGrid w:val="0"/>
              <w:ind w:firstLineChars="0" w:firstLine="0"/>
              <w:jc w:val="center"/>
              <w:rPr>
                <w:rFonts w:ascii="Times New Roman" w:cs="Times New Roman"/>
                <w:bCs/>
                <w:kern w:val="2"/>
                <w:sz w:val="21"/>
                <w:szCs w:val="21"/>
              </w:rPr>
            </w:pPr>
            <w:r w:rsidRPr="00D630D1">
              <w:rPr>
                <w:rFonts w:ascii="Times New Roman" w:cs="Times New Roman" w:hint="eastAsia"/>
                <w:bCs/>
                <w:kern w:val="2"/>
                <w:sz w:val="21"/>
                <w:szCs w:val="21"/>
              </w:rPr>
              <w:t>7.</w:t>
            </w:r>
            <w:r w:rsidR="00DB073B">
              <w:rPr>
                <w:rFonts w:ascii="Times New Roman" w:cs="Times New Roman" w:hint="eastAsia"/>
                <w:bCs/>
                <w:kern w:val="2"/>
                <w:sz w:val="21"/>
                <w:szCs w:val="21"/>
              </w:rPr>
              <w:t>44</w:t>
            </w:r>
          </w:p>
        </w:tc>
        <w:tc>
          <w:tcPr>
            <w:tcW w:w="867"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6.5-8.5</w:t>
            </w:r>
          </w:p>
        </w:tc>
      </w:tr>
      <w:tr w:rsidR="00507154" w:rsidRPr="00D630D1" w:rsidTr="00507154">
        <w:trPr>
          <w:trHeight w:val="288"/>
          <w:jc w:val="center"/>
        </w:trPr>
        <w:tc>
          <w:tcPr>
            <w:tcW w:w="236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总硬度（以</w:t>
            </w:r>
            <w:r w:rsidRPr="00D630D1">
              <w:rPr>
                <w:rFonts w:ascii="Times New Roman" w:hAnsi="宋体" w:cs="Times New Roman"/>
                <w:sz w:val="21"/>
              </w:rPr>
              <w:t>CaCO</w:t>
            </w:r>
            <w:r w:rsidRPr="00D630D1">
              <w:rPr>
                <w:rFonts w:ascii="Times New Roman" w:hAnsi="宋体" w:cs="Times New Roman"/>
                <w:sz w:val="21"/>
                <w:vertAlign w:val="subscript"/>
              </w:rPr>
              <w:t>3</w:t>
            </w:r>
            <w:r w:rsidRPr="00D630D1">
              <w:rPr>
                <w:rFonts w:ascii="Times New Roman" w:hAnsi="宋体" w:cs="Times New Roman"/>
                <w:sz w:val="21"/>
              </w:rPr>
              <w:t>计）</w:t>
            </w:r>
          </w:p>
        </w:tc>
        <w:tc>
          <w:tcPr>
            <w:tcW w:w="114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507154" w:rsidRPr="00D630D1" w:rsidRDefault="00DB073B" w:rsidP="00EB51F0">
            <w:pPr>
              <w:snapToGrid w:val="0"/>
              <w:ind w:firstLineChars="0" w:firstLine="0"/>
              <w:jc w:val="center"/>
              <w:rPr>
                <w:rFonts w:ascii="Times New Roman" w:cs="Times New Roman"/>
                <w:bCs/>
                <w:kern w:val="2"/>
                <w:sz w:val="21"/>
                <w:szCs w:val="21"/>
              </w:rPr>
            </w:pPr>
            <w:r w:rsidRPr="00DB073B">
              <w:rPr>
                <w:rFonts w:ascii="Times New Roman" w:cs="Times New Roman"/>
                <w:bCs/>
                <w:kern w:val="2"/>
                <w:sz w:val="21"/>
                <w:szCs w:val="21"/>
              </w:rPr>
              <w:t>235</w:t>
            </w:r>
          </w:p>
        </w:tc>
        <w:tc>
          <w:tcPr>
            <w:tcW w:w="748" w:type="dxa"/>
            <w:vAlign w:val="center"/>
          </w:tcPr>
          <w:p w:rsidR="00507154" w:rsidRPr="00D630D1" w:rsidRDefault="00DB073B" w:rsidP="00435B66">
            <w:pPr>
              <w:snapToGrid w:val="0"/>
              <w:ind w:firstLineChars="0" w:firstLine="0"/>
              <w:jc w:val="center"/>
              <w:rPr>
                <w:rFonts w:ascii="Times New Roman" w:cs="Times New Roman"/>
                <w:kern w:val="2"/>
                <w:sz w:val="21"/>
                <w:szCs w:val="21"/>
              </w:rPr>
            </w:pPr>
            <w:r w:rsidRPr="00DB073B">
              <w:rPr>
                <w:rFonts w:ascii="Times New Roman" w:cs="Times New Roman"/>
                <w:kern w:val="2"/>
                <w:sz w:val="21"/>
                <w:szCs w:val="21"/>
              </w:rPr>
              <w:t>229</w:t>
            </w:r>
          </w:p>
        </w:tc>
        <w:tc>
          <w:tcPr>
            <w:tcW w:w="953" w:type="dxa"/>
            <w:vAlign w:val="center"/>
          </w:tcPr>
          <w:p w:rsidR="00507154" w:rsidRPr="00D630D1" w:rsidRDefault="00DB073B" w:rsidP="00435B66">
            <w:pPr>
              <w:snapToGrid w:val="0"/>
              <w:ind w:firstLineChars="0" w:firstLine="0"/>
              <w:jc w:val="center"/>
              <w:rPr>
                <w:rFonts w:ascii="Times New Roman" w:cs="Times New Roman"/>
                <w:kern w:val="2"/>
                <w:sz w:val="21"/>
                <w:szCs w:val="21"/>
              </w:rPr>
            </w:pPr>
            <w:r w:rsidRPr="00DB073B">
              <w:rPr>
                <w:rFonts w:ascii="Times New Roman" w:cs="Times New Roman"/>
                <w:kern w:val="2"/>
                <w:sz w:val="21"/>
                <w:szCs w:val="21"/>
              </w:rPr>
              <w:t>219</w:t>
            </w:r>
          </w:p>
        </w:tc>
        <w:tc>
          <w:tcPr>
            <w:tcW w:w="748" w:type="dxa"/>
            <w:vAlign w:val="center"/>
          </w:tcPr>
          <w:p w:rsidR="00507154" w:rsidRPr="00D630D1" w:rsidRDefault="00DB073B" w:rsidP="00435B66">
            <w:pPr>
              <w:snapToGrid w:val="0"/>
              <w:ind w:firstLineChars="0" w:firstLine="0"/>
              <w:jc w:val="center"/>
              <w:rPr>
                <w:rFonts w:ascii="Times New Roman" w:cs="Times New Roman"/>
                <w:kern w:val="2"/>
                <w:sz w:val="21"/>
                <w:szCs w:val="21"/>
              </w:rPr>
            </w:pPr>
            <w:r w:rsidRPr="00DB073B">
              <w:rPr>
                <w:rFonts w:ascii="Times New Roman" w:cs="Times New Roman"/>
                <w:kern w:val="2"/>
                <w:sz w:val="21"/>
                <w:szCs w:val="21"/>
              </w:rPr>
              <w:t>235</w:t>
            </w:r>
          </w:p>
        </w:tc>
        <w:tc>
          <w:tcPr>
            <w:tcW w:w="953" w:type="dxa"/>
            <w:vAlign w:val="center"/>
          </w:tcPr>
          <w:p w:rsidR="00507154" w:rsidRPr="00D630D1" w:rsidRDefault="00DB073B" w:rsidP="00435B66">
            <w:pPr>
              <w:snapToGrid w:val="0"/>
              <w:ind w:firstLineChars="0" w:firstLine="0"/>
              <w:jc w:val="center"/>
              <w:rPr>
                <w:rFonts w:ascii="Times New Roman" w:cs="Times New Roman"/>
                <w:kern w:val="2"/>
                <w:sz w:val="21"/>
                <w:szCs w:val="21"/>
              </w:rPr>
            </w:pPr>
            <w:r w:rsidRPr="00DB073B">
              <w:rPr>
                <w:rFonts w:ascii="Times New Roman" w:cs="Times New Roman"/>
                <w:kern w:val="2"/>
                <w:sz w:val="21"/>
                <w:szCs w:val="21"/>
              </w:rPr>
              <w:t>221</w:t>
            </w:r>
          </w:p>
        </w:tc>
        <w:tc>
          <w:tcPr>
            <w:tcW w:w="867"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450</w:t>
            </w:r>
          </w:p>
        </w:tc>
      </w:tr>
      <w:tr w:rsidR="00507154" w:rsidRPr="00D630D1" w:rsidTr="00507154">
        <w:trPr>
          <w:trHeight w:val="288"/>
          <w:jc w:val="center"/>
        </w:trPr>
        <w:tc>
          <w:tcPr>
            <w:tcW w:w="236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溶解性总固体</w:t>
            </w:r>
          </w:p>
        </w:tc>
        <w:tc>
          <w:tcPr>
            <w:tcW w:w="114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507154" w:rsidRPr="00D630D1" w:rsidRDefault="00DB073B" w:rsidP="00435B66">
            <w:pPr>
              <w:snapToGrid w:val="0"/>
              <w:ind w:firstLineChars="0" w:firstLine="0"/>
              <w:jc w:val="center"/>
              <w:rPr>
                <w:rFonts w:ascii="Times New Roman" w:cs="Times New Roman"/>
                <w:bCs/>
                <w:kern w:val="2"/>
                <w:sz w:val="21"/>
                <w:szCs w:val="21"/>
              </w:rPr>
            </w:pPr>
            <w:r w:rsidRPr="003857F5">
              <w:rPr>
                <w:rFonts w:ascii="Times New Roman" w:cs="Times New Roman"/>
                <w:bCs/>
                <w:kern w:val="2"/>
                <w:sz w:val="21"/>
                <w:szCs w:val="21"/>
              </w:rPr>
              <w:t>636</w:t>
            </w:r>
          </w:p>
        </w:tc>
        <w:tc>
          <w:tcPr>
            <w:tcW w:w="748" w:type="dxa"/>
            <w:vAlign w:val="center"/>
          </w:tcPr>
          <w:p w:rsidR="00507154" w:rsidRPr="00D630D1" w:rsidRDefault="00DB073B" w:rsidP="00435B66">
            <w:pPr>
              <w:snapToGrid w:val="0"/>
              <w:ind w:firstLineChars="0" w:firstLine="0"/>
              <w:jc w:val="center"/>
              <w:rPr>
                <w:rFonts w:ascii="Times New Roman" w:cs="Times New Roman"/>
                <w:kern w:val="2"/>
                <w:sz w:val="21"/>
                <w:szCs w:val="21"/>
              </w:rPr>
            </w:pPr>
            <w:r w:rsidRPr="003857F5">
              <w:rPr>
                <w:rFonts w:ascii="Times New Roman" w:cs="Times New Roman"/>
                <w:bCs/>
                <w:kern w:val="2"/>
                <w:sz w:val="21"/>
                <w:szCs w:val="21"/>
              </w:rPr>
              <w:t>794</w:t>
            </w:r>
          </w:p>
        </w:tc>
        <w:tc>
          <w:tcPr>
            <w:tcW w:w="953" w:type="dxa"/>
            <w:vAlign w:val="center"/>
          </w:tcPr>
          <w:p w:rsidR="00507154" w:rsidRPr="00D630D1" w:rsidRDefault="00DB073B" w:rsidP="00435B66">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604</w:t>
            </w:r>
          </w:p>
        </w:tc>
        <w:tc>
          <w:tcPr>
            <w:tcW w:w="748" w:type="dxa"/>
            <w:vAlign w:val="center"/>
          </w:tcPr>
          <w:p w:rsidR="00507154" w:rsidRPr="00D630D1" w:rsidRDefault="00DB073B" w:rsidP="00435B66">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855</w:t>
            </w:r>
          </w:p>
        </w:tc>
        <w:tc>
          <w:tcPr>
            <w:tcW w:w="953" w:type="dxa"/>
            <w:vAlign w:val="center"/>
          </w:tcPr>
          <w:p w:rsidR="00507154" w:rsidRPr="00D630D1" w:rsidRDefault="00DB073B" w:rsidP="00435B66">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831</w:t>
            </w:r>
          </w:p>
        </w:tc>
        <w:tc>
          <w:tcPr>
            <w:tcW w:w="867"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1000</w:t>
            </w:r>
          </w:p>
        </w:tc>
      </w:tr>
      <w:tr w:rsidR="00507154" w:rsidRPr="00D630D1" w:rsidTr="00507154">
        <w:trPr>
          <w:trHeight w:val="288"/>
          <w:jc w:val="center"/>
        </w:trPr>
        <w:tc>
          <w:tcPr>
            <w:tcW w:w="236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氯化物</w:t>
            </w:r>
          </w:p>
        </w:tc>
        <w:tc>
          <w:tcPr>
            <w:tcW w:w="114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507154" w:rsidRPr="00D630D1" w:rsidRDefault="00DB073B" w:rsidP="00435B66">
            <w:pPr>
              <w:snapToGrid w:val="0"/>
              <w:ind w:firstLineChars="0" w:firstLine="0"/>
              <w:jc w:val="center"/>
              <w:rPr>
                <w:rFonts w:ascii="Times New Roman" w:cs="Times New Roman"/>
                <w:bCs/>
                <w:kern w:val="2"/>
                <w:sz w:val="21"/>
                <w:szCs w:val="21"/>
              </w:rPr>
            </w:pPr>
            <w:r w:rsidRPr="003857F5">
              <w:rPr>
                <w:rFonts w:ascii="Times New Roman" w:cs="Times New Roman"/>
                <w:bCs/>
                <w:kern w:val="2"/>
                <w:sz w:val="21"/>
                <w:szCs w:val="21"/>
              </w:rPr>
              <w:t>9.42</w:t>
            </w:r>
          </w:p>
        </w:tc>
        <w:tc>
          <w:tcPr>
            <w:tcW w:w="748" w:type="dxa"/>
            <w:vAlign w:val="center"/>
          </w:tcPr>
          <w:p w:rsidR="00507154" w:rsidRPr="00D630D1" w:rsidRDefault="00DB073B" w:rsidP="00435B66">
            <w:pPr>
              <w:snapToGrid w:val="0"/>
              <w:ind w:firstLineChars="0" w:firstLine="0"/>
              <w:jc w:val="center"/>
              <w:rPr>
                <w:rFonts w:ascii="Times New Roman" w:cs="Times New Roman"/>
                <w:bCs/>
                <w:kern w:val="2"/>
                <w:sz w:val="21"/>
                <w:szCs w:val="21"/>
              </w:rPr>
            </w:pPr>
            <w:r w:rsidRPr="003857F5">
              <w:rPr>
                <w:rFonts w:ascii="Times New Roman" w:cs="Times New Roman"/>
                <w:bCs/>
                <w:kern w:val="2"/>
                <w:sz w:val="21"/>
                <w:szCs w:val="21"/>
              </w:rPr>
              <w:t>1.93</w:t>
            </w:r>
          </w:p>
        </w:tc>
        <w:tc>
          <w:tcPr>
            <w:tcW w:w="953" w:type="dxa"/>
            <w:vAlign w:val="center"/>
          </w:tcPr>
          <w:p w:rsidR="00507154" w:rsidRPr="00D630D1" w:rsidRDefault="00DB073B" w:rsidP="00435B66">
            <w:pPr>
              <w:snapToGrid w:val="0"/>
              <w:ind w:firstLineChars="0" w:firstLine="0"/>
              <w:jc w:val="center"/>
              <w:rPr>
                <w:rFonts w:ascii="Times New Roman" w:cs="Times New Roman"/>
                <w:bCs/>
                <w:kern w:val="2"/>
                <w:sz w:val="21"/>
                <w:szCs w:val="21"/>
              </w:rPr>
            </w:pPr>
            <w:r w:rsidRPr="003857F5">
              <w:rPr>
                <w:rFonts w:ascii="Times New Roman" w:cs="Times New Roman"/>
                <w:bCs/>
                <w:kern w:val="2"/>
                <w:sz w:val="21"/>
                <w:szCs w:val="21"/>
              </w:rPr>
              <w:t>1.93</w:t>
            </w:r>
          </w:p>
        </w:tc>
        <w:tc>
          <w:tcPr>
            <w:tcW w:w="748" w:type="dxa"/>
            <w:vAlign w:val="center"/>
          </w:tcPr>
          <w:p w:rsidR="00507154" w:rsidRPr="00D630D1" w:rsidRDefault="00DB073B" w:rsidP="00435B66">
            <w:pPr>
              <w:snapToGrid w:val="0"/>
              <w:ind w:firstLineChars="0" w:firstLine="0"/>
              <w:jc w:val="center"/>
              <w:rPr>
                <w:rFonts w:ascii="Times New Roman" w:cs="Times New Roman"/>
                <w:kern w:val="2"/>
                <w:sz w:val="21"/>
                <w:szCs w:val="21"/>
              </w:rPr>
            </w:pPr>
            <w:r w:rsidRPr="003857F5">
              <w:rPr>
                <w:rFonts w:ascii="Times New Roman" w:cs="Times New Roman"/>
                <w:bCs/>
                <w:kern w:val="2"/>
                <w:sz w:val="21"/>
                <w:szCs w:val="21"/>
              </w:rPr>
              <w:t>24</w:t>
            </w:r>
          </w:p>
        </w:tc>
        <w:tc>
          <w:tcPr>
            <w:tcW w:w="953" w:type="dxa"/>
            <w:vAlign w:val="center"/>
          </w:tcPr>
          <w:p w:rsidR="00507154" w:rsidRPr="00D630D1" w:rsidRDefault="00DB073B" w:rsidP="00435B66">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12.5</w:t>
            </w:r>
          </w:p>
        </w:tc>
        <w:tc>
          <w:tcPr>
            <w:tcW w:w="867"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250</w:t>
            </w:r>
          </w:p>
        </w:tc>
      </w:tr>
      <w:tr w:rsidR="00507154" w:rsidRPr="00D630D1" w:rsidTr="00507154">
        <w:trPr>
          <w:trHeight w:val="288"/>
          <w:jc w:val="center"/>
        </w:trPr>
        <w:tc>
          <w:tcPr>
            <w:tcW w:w="236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铁（</w:t>
            </w:r>
            <w:r w:rsidRPr="00D630D1">
              <w:rPr>
                <w:rFonts w:ascii="Times New Roman" w:hAnsi="宋体" w:cs="Times New Roman"/>
                <w:sz w:val="21"/>
              </w:rPr>
              <w:t>Fe</w:t>
            </w:r>
            <w:r w:rsidRPr="00D630D1">
              <w:rPr>
                <w:rFonts w:ascii="Times New Roman" w:hAnsi="宋体" w:cs="Times New Roman"/>
                <w:sz w:val="21"/>
              </w:rPr>
              <w:t>）</w:t>
            </w:r>
          </w:p>
        </w:tc>
        <w:tc>
          <w:tcPr>
            <w:tcW w:w="114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507154" w:rsidRPr="00D630D1" w:rsidRDefault="00DB073B" w:rsidP="00507154">
            <w:pPr>
              <w:topLinePunct w:val="0"/>
              <w:snapToGrid w:val="0"/>
              <w:spacing w:line="240" w:lineRule="auto"/>
              <w:ind w:firstLineChars="0" w:firstLine="0"/>
              <w:jc w:val="center"/>
              <w:rPr>
                <w:rFonts w:ascii="Times New Roman" w:cs="Times New Roman"/>
                <w:bCs/>
                <w:kern w:val="2"/>
                <w:sz w:val="21"/>
                <w:szCs w:val="21"/>
              </w:rPr>
            </w:pPr>
            <w:r w:rsidRPr="00DB073B">
              <w:rPr>
                <w:rFonts w:ascii="Times New Roman" w:cs="Times New Roman"/>
                <w:bCs/>
                <w:kern w:val="2"/>
                <w:sz w:val="21"/>
                <w:szCs w:val="21"/>
              </w:rPr>
              <w:t>76.9×10</w:t>
            </w:r>
            <w:r w:rsidRPr="00DB073B">
              <w:rPr>
                <w:rFonts w:ascii="Times New Roman" w:cs="Times New Roman"/>
                <w:bCs/>
                <w:kern w:val="2"/>
                <w:sz w:val="21"/>
                <w:szCs w:val="21"/>
                <w:vertAlign w:val="superscript"/>
              </w:rPr>
              <w:t>-3</w:t>
            </w:r>
          </w:p>
        </w:tc>
        <w:tc>
          <w:tcPr>
            <w:tcW w:w="748" w:type="dxa"/>
            <w:vAlign w:val="center"/>
          </w:tcPr>
          <w:p w:rsidR="00507154" w:rsidRPr="00D630D1" w:rsidRDefault="00DB073B" w:rsidP="00507154">
            <w:pPr>
              <w:topLinePunct w:val="0"/>
              <w:snapToGrid w:val="0"/>
              <w:spacing w:line="240" w:lineRule="auto"/>
              <w:ind w:firstLineChars="0" w:firstLine="0"/>
              <w:jc w:val="center"/>
              <w:rPr>
                <w:rFonts w:ascii="Times New Roman" w:cs="Times New Roman"/>
                <w:bCs/>
                <w:kern w:val="2"/>
                <w:sz w:val="21"/>
                <w:szCs w:val="21"/>
              </w:rPr>
            </w:pPr>
            <w:r w:rsidRPr="00DB073B">
              <w:rPr>
                <w:rFonts w:ascii="Times New Roman" w:cs="Times New Roman"/>
                <w:bCs/>
                <w:kern w:val="2"/>
                <w:sz w:val="21"/>
                <w:szCs w:val="21"/>
              </w:rPr>
              <w:t>39.5×10</w:t>
            </w:r>
            <w:r w:rsidRPr="00DB073B">
              <w:rPr>
                <w:rFonts w:ascii="Times New Roman" w:cs="Times New Roman"/>
                <w:bCs/>
                <w:kern w:val="2"/>
                <w:sz w:val="21"/>
                <w:szCs w:val="21"/>
                <w:vertAlign w:val="superscript"/>
              </w:rPr>
              <w:t>-3</w:t>
            </w:r>
          </w:p>
        </w:tc>
        <w:tc>
          <w:tcPr>
            <w:tcW w:w="953" w:type="dxa"/>
            <w:vAlign w:val="center"/>
          </w:tcPr>
          <w:p w:rsidR="00507154" w:rsidRPr="00D630D1" w:rsidRDefault="00DB073B" w:rsidP="00507154">
            <w:pPr>
              <w:topLinePunct w:val="0"/>
              <w:snapToGrid w:val="0"/>
              <w:spacing w:line="240" w:lineRule="auto"/>
              <w:ind w:firstLineChars="0" w:firstLine="0"/>
              <w:jc w:val="center"/>
              <w:rPr>
                <w:rFonts w:ascii="Times New Roman" w:cs="Times New Roman"/>
                <w:bCs/>
                <w:kern w:val="2"/>
                <w:sz w:val="21"/>
                <w:szCs w:val="21"/>
              </w:rPr>
            </w:pPr>
            <w:r w:rsidRPr="00DB073B">
              <w:rPr>
                <w:rFonts w:ascii="Times New Roman" w:cs="Times New Roman"/>
                <w:bCs/>
                <w:kern w:val="2"/>
                <w:sz w:val="21"/>
                <w:szCs w:val="21"/>
              </w:rPr>
              <w:t>36.9×10</w:t>
            </w:r>
            <w:r w:rsidRPr="00DB073B">
              <w:rPr>
                <w:rFonts w:ascii="Times New Roman" w:cs="Times New Roman"/>
                <w:bCs/>
                <w:kern w:val="2"/>
                <w:sz w:val="21"/>
                <w:szCs w:val="21"/>
                <w:vertAlign w:val="superscript"/>
              </w:rPr>
              <w:t>-3</w:t>
            </w:r>
          </w:p>
        </w:tc>
        <w:tc>
          <w:tcPr>
            <w:tcW w:w="748" w:type="dxa"/>
            <w:vAlign w:val="center"/>
          </w:tcPr>
          <w:p w:rsidR="00507154" w:rsidRPr="00D630D1" w:rsidRDefault="00DB073B" w:rsidP="00507154">
            <w:pPr>
              <w:topLinePunct w:val="0"/>
              <w:snapToGrid w:val="0"/>
              <w:spacing w:line="240" w:lineRule="auto"/>
              <w:ind w:firstLineChars="0" w:firstLine="0"/>
              <w:jc w:val="center"/>
              <w:rPr>
                <w:rFonts w:ascii="Times New Roman" w:cs="Times New Roman"/>
                <w:bCs/>
                <w:kern w:val="2"/>
                <w:sz w:val="21"/>
                <w:szCs w:val="21"/>
              </w:rPr>
            </w:pPr>
            <w:r w:rsidRPr="00DB073B">
              <w:rPr>
                <w:rFonts w:ascii="Times New Roman" w:cs="Times New Roman"/>
                <w:bCs/>
                <w:kern w:val="2"/>
                <w:sz w:val="21"/>
                <w:szCs w:val="21"/>
              </w:rPr>
              <w:t>72.5×10</w:t>
            </w:r>
            <w:r w:rsidRPr="00DB073B">
              <w:rPr>
                <w:rFonts w:ascii="Times New Roman" w:cs="Times New Roman"/>
                <w:bCs/>
                <w:kern w:val="2"/>
                <w:sz w:val="21"/>
                <w:szCs w:val="21"/>
                <w:vertAlign w:val="superscript"/>
              </w:rPr>
              <w:t>-3</w:t>
            </w:r>
          </w:p>
        </w:tc>
        <w:tc>
          <w:tcPr>
            <w:tcW w:w="953" w:type="dxa"/>
            <w:vAlign w:val="center"/>
          </w:tcPr>
          <w:p w:rsidR="00507154" w:rsidRPr="00D630D1" w:rsidRDefault="00DB073B" w:rsidP="00507154">
            <w:pPr>
              <w:topLinePunct w:val="0"/>
              <w:snapToGrid w:val="0"/>
              <w:spacing w:line="240" w:lineRule="auto"/>
              <w:ind w:firstLineChars="0" w:firstLine="0"/>
              <w:jc w:val="center"/>
              <w:rPr>
                <w:rFonts w:ascii="Times New Roman" w:cs="Times New Roman"/>
                <w:bCs/>
                <w:kern w:val="2"/>
                <w:sz w:val="21"/>
                <w:szCs w:val="21"/>
              </w:rPr>
            </w:pPr>
            <w:r w:rsidRPr="00DB073B">
              <w:rPr>
                <w:rFonts w:ascii="Times New Roman" w:cs="Times New Roman"/>
                <w:bCs/>
                <w:kern w:val="2"/>
                <w:sz w:val="21"/>
                <w:szCs w:val="21"/>
              </w:rPr>
              <w:t>35.0×10</w:t>
            </w:r>
            <w:r w:rsidRPr="00DB073B">
              <w:rPr>
                <w:rFonts w:ascii="Times New Roman" w:cs="Times New Roman"/>
                <w:bCs/>
                <w:kern w:val="2"/>
                <w:sz w:val="21"/>
                <w:szCs w:val="21"/>
                <w:vertAlign w:val="superscript"/>
              </w:rPr>
              <w:t>-3</w:t>
            </w:r>
          </w:p>
        </w:tc>
        <w:tc>
          <w:tcPr>
            <w:tcW w:w="867"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0.3</w:t>
            </w:r>
          </w:p>
        </w:tc>
      </w:tr>
      <w:tr w:rsidR="00507154" w:rsidRPr="00D630D1" w:rsidTr="00507154">
        <w:trPr>
          <w:trHeight w:val="288"/>
          <w:jc w:val="center"/>
        </w:trPr>
        <w:tc>
          <w:tcPr>
            <w:tcW w:w="236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锰（</w:t>
            </w:r>
            <w:r w:rsidRPr="00D630D1">
              <w:rPr>
                <w:rFonts w:ascii="Times New Roman" w:hAnsi="宋体" w:cs="Times New Roman"/>
                <w:sz w:val="21"/>
              </w:rPr>
              <w:t>Mn</w:t>
            </w:r>
            <w:r w:rsidRPr="00D630D1">
              <w:rPr>
                <w:rFonts w:ascii="Times New Roman" w:hAnsi="宋体" w:cs="Times New Roman"/>
                <w:sz w:val="21"/>
              </w:rPr>
              <w:t>）</w:t>
            </w:r>
          </w:p>
        </w:tc>
        <w:tc>
          <w:tcPr>
            <w:tcW w:w="114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507154" w:rsidRPr="00D630D1" w:rsidRDefault="00BD22C8" w:rsidP="00507154">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4.49</w:t>
            </w:r>
            <w:r w:rsidR="00DB073B" w:rsidRPr="00DB073B">
              <w:rPr>
                <w:rFonts w:ascii="Times New Roman" w:cs="Times New Roman"/>
                <w:bCs/>
                <w:kern w:val="2"/>
                <w:sz w:val="21"/>
                <w:szCs w:val="21"/>
              </w:rPr>
              <w:t>×10</w:t>
            </w:r>
            <w:r w:rsidR="00DB073B" w:rsidRPr="00DB073B">
              <w:rPr>
                <w:rFonts w:ascii="Times New Roman" w:cs="Times New Roman"/>
                <w:bCs/>
                <w:kern w:val="2"/>
                <w:sz w:val="21"/>
                <w:szCs w:val="21"/>
                <w:vertAlign w:val="superscript"/>
              </w:rPr>
              <w:t>-3</w:t>
            </w:r>
          </w:p>
        </w:tc>
        <w:tc>
          <w:tcPr>
            <w:tcW w:w="748" w:type="dxa"/>
            <w:vAlign w:val="center"/>
          </w:tcPr>
          <w:p w:rsidR="00507154" w:rsidRPr="00D630D1" w:rsidRDefault="00BD22C8" w:rsidP="00507154">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0.18</w:t>
            </w:r>
            <w:r w:rsidR="00DB073B" w:rsidRPr="00DB073B">
              <w:rPr>
                <w:rFonts w:ascii="Times New Roman" w:cs="Times New Roman"/>
                <w:bCs/>
                <w:kern w:val="2"/>
                <w:sz w:val="21"/>
                <w:szCs w:val="21"/>
              </w:rPr>
              <w:t>×10</w:t>
            </w:r>
            <w:r w:rsidR="00DB073B" w:rsidRPr="00DB073B">
              <w:rPr>
                <w:rFonts w:ascii="Times New Roman" w:cs="Times New Roman"/>
                <w:bCs/>
                <w:kern w:val="2"/>
                <w:sz w:val="21"/>
                <w:szCs w:val="21"/>
                <w:vertAlign w:val="superscript"/>
              </w:rPr>
              <w:t>-3</w:t>
            </w:r>
          </w:p>
        </w:tc>
        <w:tc>
          <w:tcPr>
            <w:tcW w:w="953" w:type="dxa"/>
            <w:vAlign w:val="center"/>
          </w:tcPr>
          <w:p w:rsidR="00507154" w:rsidRPr="00D630D1" w:rsidRDefault="00DB073B" w:rsidP="00507154">
            <w:pPr>
              <w:topLinePunct w:val="0"/>
              <w:snapToGrid w:val="0"/>
              <w:spacing w:line="240" w:lineRule="auto"/>
              <w:ind w:firstLineChars="0" w:firstLine="0"/>
              <w:jc w:val="center"/>
              <w:rPr>
                <w:rFonts w:ascii="Times New Roman" w:cs="Times New Roman"/>
                <w:bCs/>
                <w:kern w:val="2"/>
                <w:sz w:val="21"/>
                <w:szCs w:val="21"/>
              </w:rPr>
            </w:pPr>
            <w:r w:rsidRPr="00DB073B">
              <w:rPr>
                <w:rFonts w:ascii="Times New Roman" w:cs="Times New Roman"/>
                <w:bCs/>
                <w:kern w:val="2"/>
                <w:sz w:val="21"/>
                <w:szCs w:val="21"/>
              </w:rPr>
              <w:t>0.34×10</w:t>
            </w:r>
            <w:r w:rsidRPr="00DB073B">
              <w:rPr>
                <w:rFonts w:ascii="Times New Roman" w:cs="Times New Roman"/>
                <w:bCs/>
                <w:kern w:val="2"/>
                <w:sz w:val="21"/>
                <w:szCs w:val="21"/>
                <w:vertAlign w:val="superscript"/>
              </w:rPr>
              <w:t>-3</w:t>
            </w:r>
          </w:p>
        </w:tc>
        <w:tc>
          <w:tcPr>
            <w:tcW w:w="748" w:type="dxa"/>
            <w:vAlign w:val="center"/>
          </w:tcPr>
          <w:p w:rsidR="00507154" w:rsidRPr="00D630D1" w:rsidRDefault="00BD22C8" w:rsidP="00507154">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9.10</w:t>
            </w:r>
            <w:r w:rsidR="00DB073B" w:rsidRPr="00DB073B">
              <w:rPr>
                <w:rFonts w:ascii="Times New Roman" w:cs="Times New Roman"/>
                <w:bCs/>
                <w:kern w:val="2"/>
                <w:sz w:val="21"/>
                <w:szCs w:val="21"/>
              </w:rPr>
              <w:t>×10</w:t>
            </w:r>
            <w:r w:rsidR="00DB073B" w:rsidRPr="00DB073B">
              <w:rPr>
                <w:rFonts w:ascii="Times New Roman" w:cs="Times New Roman"/>
                <w:bCs/>
                <w:kern w:val="2"/>
                <w:sz w:val="21"/>
                <w:szCs w:val="21"/>
                <w:vertAlign w:val="superscript"/>
              </w:rPr>
              <w:t>-3</w:t>
            </w:r>
          </w:p>
        </w:tc>
        <w:tc>
          <w:tcPr>
            <w:tcW w:w="953" w:type="dxa"/>
            <w:vAlign w:val="center"/>
          </w:tcPr>
          <w:p w:rsidR="00507154" w:rsidRPr="00D630D1" w:rsidRDefault="00BD22C8" w:rsidP="00507154">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1.07</w:t>
            </w:r>
            <w:r w:rsidR="00DB073B" w:rsidRPr="00DB073B">
              <w:rPr>
                <w:rFonts w:ascii="Times New Roman" w:cs="Times New Roman"/>
                <w:bCs/>
                <w:kern w:val="2"/>
                <w:sz w:val="21"/>
                <w:szCs w:val="21"/>
              </w:rPr>
              <w:t>×10</w:t>
            </w:r>
            <w:r w:rsidR="00DB073B" w:rsidRPr="00DB073B">
              <w:rPr>
                <w:rFonts w:ascii="Times New Roman" w:cs="Times New Roman"/>
                <w:bCs/>
                <w:kern w:val="2"/>
                <w:sz w:val="21"/>
                <w:szCs w:val="21"/>
                <w:vertAlign w:val="superscript"/>
              </w:rPr>
              <w:t>-3</w:t>
            </w:r>
          </w:p>
        </w:tc>
        <w:tc>
          <w:tcPr>
            <w:tcW w:w="867"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0.1</w:t>
            </w:r>
          </w:p>
        </w:tc>
      </w:tr>
      <w:tr w:rsidR="00507154" w:rsidRPr="00D630D1" w:rsidTr="00507154">
        <w:trPr>
          <w:trHeight w:val="288"/>
          <w:jc w:val="center"/>
        </w:trPr>
        <w:tc>
          <w:tcPr>
            <w:tcW w:w="236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挥发酚</w:t>
            </w:r>
          </w:p>
        </w:tc>
        <w:tc>
          <w:tcPr>
            <w:tcW w:w="114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507154" w:rsidRPr="00D630D1" w:rsidRDefault="00DB073B" w:rsidP="00507154">
            <w:pPr>
              <w:widowControl/>
              <w:topLinePunct w:val="0"/>
              <w:adjustRightInd/>
              <w:spacing w:line="240" w:lineRule="auto"/>
              <w:ind w:firstLineChars="0" w:firstLine="0"/>
              <w:jc w:val="center"/>
              <w:rPr>
                <w:rFonts w:ascii="Times New Roman" w:hAnsi="宋体" w:cs="Times New Roman"/>
                <w:sz w:val="21"/>
              </w:rPr>
            </w:pPr>
            <w:r w:rsidRPr="00DB073B">
              <w:rPr>
                <w:rFonts w:ascii="Times New Roman" w:hAnsi="宋体" w:cs="Times New Roman"/>
                <w:sz w:val="21"/>
              </w:rPr>
              <w:t>0.0003L</w:t>
            </w:r>
          </w:p>
        </w:tc>
        <w:tc>
          <w:tcPr>
            <w:tcW w:w="748" w:type="dxa"/>
            <w:vAlign w:val="center"/>
          </w:tcPr>
          <w:p w:rsidR="00507154" w:rsidRPr="00D630D1" w:rsidRDefault="00DB073B" w:rsidP="00507154">
            <w:pPr>
              <w:widowControl/>
              <w:topLinePunct w:val="0"/>
              <w:adjustRightInd/>
              <w:spacing w:line="240" w:lineRule="auto"/>
              <w:ind w:firstLineChars="0" w:firstLine="0"/>
              <w:jc w:val="center"/>
              <w:rPr>
                <w:rFonts w:ascii="Times New Roman" w:hAnsi="宋体" w:cs="Times New Roman"/>
                <w:sz w:val="21"/>
              </w:rPr>
            </w:pPr>
            <w:r w:rsidRPr="00DB073B">
              <w:rPr>
                <w:rFonts w:ascii="Times New Roman" w:hAnsi="宋体" w:cs="Times New Roman"/>
                <w:sz w:val="21"/>
              </w:rPr>
              <w:t>0.0003L</w:t>
            </w:r>
          </w:p>
        </w:tc>
        <w:tc>
          <w:tcPr>
            <w:tcW w:w="953" w:type="dxa"/>
            <w:vAlign w:val="center"/>
          </w:tcPr>
          <w:p w:rsidR="00507154" w:rsidRPr="00D630D1" w:rsidRDefault="00DB073B" w:rsidP="00507154">
            <w:pPr>
              <w:widowControl/>
              <w:topLinePunct w:val="0"/>
              <w:adjustRightInd/>
              <w:spacing w:line="240" w:lineRule="auto"/>
              <w:ind w:firstLineChars="0" w:firstLine="0"/>
              <w:jc w:val="center"/>
              <w:rPr>
                <w:rFonts w:ascii="Times New Roman" w:hAnsi="宋体" w:cs="Times New Roman"/>
                <w:sz w:val="21"/>
              </w:rPr>
            </w:pPr>
            <w:r w:rsidRPr="00DB073B">
              <w:rPr>
                <w:rFonts w:ascii="Times New Roman" w:hAnsi="宋体" w:cs="Times New Roman"/>
                <w:sz w:val="21"/>
              </w:rPr>
              <w:t>0.0003L</w:t>
            </w:r>
          </w:p>
        </w:tc>
        <w:tc>
          <w:tcPr>
            <w:tcW w:w="748" w:type="dxa"/>
            <w:vAlign w:val="center"/>
          </w:tcPr>
          <w:p w:rsidR="00507154" w:rsidRPr="00D630D1" w:rsidRDefault="00DB073B" w:rsidP="00507154">
            <w:pPr>
              <w:widowControl/>
              <w:topLinePunct w:val="0"/>
              <w:adjustRightInd/>
              <w:spacing w:line="240" w:lineRule="auto"/>
              <w:ind w:firstLineChars="0" w:firstLine="0"/>
              <w:jc w:val="center"/>
              <w:rPr>
                <w:rFonts w:ascii="Times New Roman" w:hAnsi="宋体" w:cs="Times New Roman"/>
                <w:sz w:val="21"/>
              </w:rPr>
            </w:pPr>
            <w:r w:rsidRPr="00DB073B">
              <w:rPr>
                <w:rFonts w:ascii="Times New Roman" w:hAnsi="宋体" w:cs="Times New Roman"/>
                <w:sz w:val="21"/>
              </w:rPr>
              <w:t>0.0003L</w:t>
            </w:r>
          </w:p>
        </w:tc>
        <w:tc>
          <w:tcPr>
            <w:tcW w:w="953" w:type="dxa"/>
            <w:vAlign w:val="center"/>
          </w:tcPr>
          <w:p w:rsidR="00507154" w:rsidRPr="00D630D1" w:rsidRDefault="00DB073B" w:rsidP="00507154">
            <w:pPr>
              <w:widowControl/>
              <w:topLinePunct w:val="0"/>
              <w:adjustRightInd/>
              <w:spacing w:line="240" w:lineRule="auto"/>
              <w:ind w:firstLineChars="0" w:firstLine="0"/>
              <w:jc w:val="center"/>
              <w:rPr>
                <w:rFonts w:ascii="Times New Roman" w:hAnsi="宋体" w:cs="Times New Roman"/>
                <w:sz w:val="21"/>
              </w:rPr>
            </w:pPr>
            <w:r w:rsidRPr="00DB073B">
              <w:rPr>
                <w:rFonts w:ascii="Times New Roman" w:hAnsi="宋体" w:cs="Times New Roman"/>
                <w:sz w:val="21"/>
              </w:rPr>
              <w:t>0.0003L</w:t>
            </w:r>
          </w:p>
        </w:tc>
        <w:tc>
          <w:tcPr>
            <w:tcW w:w="867" w:type="dxa"/>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0.002</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耗氧量</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435B66" w:rsidRPr="00D630D1" w:rsidRDefault="00DB073B" w:rsidP="00435B66">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2.2</w:t>
            </w:r>
          </w:p>
        </w:tc>
        <w:tc>
          <w:tcPr>
            <w:tcW w:w="748" w:type="dxa"/>
            <w:vAlign w:val="center"/>
          </w:tcPr>
          <w:p w:rsidR="00435B66" w:rsidRPr="00D630D1" w:rsidRDefault="00DB073B" w:rsidP="00435B66">
            <w:pPr>
              <w:snapToGrid w:val="0"/>
              <w:ind w:firstLineChars="0" w:firstLine="0"/>
              <w:jc w:val="center"/>
              <w:rPr>
                <w:rFonts w:ascii="Times New Roman" w:cs="Times New Roman"/>
                <w:kern w:val="2"/>
                <w:sz w:val="21"/>
                <w:szCs w:val="21"/>
              </w:rPr>
            </w:pPr>
            <w:r>
              <w:rPr>
                <w:rFonts w:ascii="Times New Roman" w:cs="Times New Roman" w:hint="eastAsia"/>
                <w:bCs/>
                <w:kern w:val="2"/>
                <w:sz w:val="21"/>
                <w:szCs w:val="21"/>
              </w:rPr>
              <w:t>1.2</w:t>
            </w:r>
          </w:p>
        </w:tc>
        <w:tc>
          <w:tcPr>
            <w:tcW w:w="953" w:type="dxa"/>
            <w:vAlign w:val="center"/>
          </w:tcPr>
          <w:p w:rsidR="00435B66" w:rsidRPr="00D630D1" w:rsidRDefault="00DB073B" w:rsidP="00435B66">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1.8</w:t>
            </w:r>
          </w:p>
        </w:tc>
        <w:tc>
          <w:tcPr>
            <w:tcW w:w="748" w:type="dxa"/>
            <w:vAlign w:val="center"/>
          </w:tcPr>
          <w:p w:rsidR="00435B66" w:rsidRPr="00D630D1" w:rsidRDefault="00DB073B" w:rsidP="00435B66">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1.5</w:t>
            </w:r>
          </w:p>
        </w:tc>
        <w:tc>
          <w:tcPr>
            <w:tcW w:w="953" w:type="dxa"/>
            <w:vAlign w:val="center"/>
          </w:tcPr>
          <w:p w:rsidR="00435B66" w:rsidRPr="00D630D1" w:rsidRDefault="00DB073B" w:rsidP="00EB51F0">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2</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3</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硝酸盐（以</w:t>
            </w:r>
            <w:r w:rsidRPr="00D630D1">
              <w:rPr>
                <w:rFonts w:ascii="Times New Roman" w:hAnsi="宋体" w:cs="Times New Roman"/>
                <w:sz w:val="21"/>
              </w:rPr>
              <w:t>N</w:t>
            </w:r>
            <w:r w:rsidRPr="00D630D1">
              <w:rPr>
                <w:rFonts w:ascii="Times New Roman" w:hAnsi="宋体" w:cs="Times New Roman"/>
                <w:sz w:val="21"/>
              </w:rPr>
              <w:t>计）</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435B66" w:rsidRPr="00D630D1" w:rsidRDefault="00DB073B" w:rsidP="00EB51F0">
            <w:pPr>
              <w:snapToGrid w:val="0"/>
              <w:ind w:firstLineChars="0" w:firstLine="0"/>
              <w:jc w:val="center"/>
              <w:rPr>
                <w:rFonts w:ascii="Times New Roman" w:cs="Times New Roman"/>
                <w:bCs/>
                <w:kern w:val="2"/>
                <w:sz w:val="21"/>
                <w:szCs w:val="21"/>
              </w:rPr>
            </w:pPr>
            <w:r w:rsidRPr="00DB073B">
              <w:rPr>
                <w:rFonts w:ascii="Times New Roman" w:cs="Times New Roman"/>
                <w:bCs/>
                <w:kern w:val="2"/>
                <w:sz w:val="21"/>
                <w:szCs w:val="21"/>
              </w:rPr>
              <w:t>0.962</w:t>
            </w:r>
          </w:p>
        </w:tc>
        <w:tc>
          <w:tcPr>
            <w:tcW w:w="748" w:type="dxa"/>
            <w:vAlign w:val="center"/>
          </w:tcPr>
          <w:p w:rsidR="00435B66" w:rsidRPr="00D630D1" w:rsidRDefault="00DB073B" w:rsidP="00435B66">
            <w:pPr>
              <w:snapToGrid w:val="0"/>
              <w:ind w:firstLineChars="0" w:firstLine="0"/>
              <w:jc w:val="center"/>
              <w:rPr>
                <w:rFonts w:ascii="Times New Roman" w:cs="Times New Roman"/>
                <w:bCs/>
                <w:kern w:val="2"/>
                <w:sz w:val="21"/>
                <w:szCs w:val="21"/>
              </w:rPr>
            </w:pPr>
            <w:r w:rsidRPr="00DB073B">
              <w:rPr>
                <w:rFonts w:ascii="Times New Roman" w:cs="Times New Roman"/>
                <w:bCs/>
                <w:kern w:val="2"/>
                <w:sz w:val="21"/>
                <w:szCs w:val="21"/>
              </w:rPr>
              <w:t>1.32</w:t>
            </w:r>
          </w:p>
        </w:tc>
        <w:tc>
          <w:tcPr>
            <w:tcW w:w="953" w:type="dxa"/>
            <w:vAlign w:val="center"/>
          </w:tcPr>
          <w:p w:rsidR="00435B66" w:rsidRPr="00D630D1" w:rsidRDefault="00DB073B" w:rsidP="00435B66">
            <w:pPr>
              <w:snapToGrid w:val="0"/>
              <w:ind w:firstLineChars="0" w:firstLine="0"/>
              <w:jc w:val="center"/>
              <w:rPr>
                <w:rFonts w:ascii="Times New Roman" w:cs="Times New Roman"/>
                <w:bCs/>
                <w:kern w:val="2"/>
                <w:sz w:val="21"/>
                <w:szCs w:val="21"/>
              </w:rPr>
            </w:pPr>
            <w:r w:rsidRPr="00DB073B">
              <w:rPr>
                <w:rFonts w:ascii="Times New Roman" w:cs="Times New Roman"/>
                <w:bCs/>
                <w:kern w:val="2"/>
                <w:sz w:val="21"/>
                <w:szCs w:val="21"/>
              </w:rPr>
              <w:t>1.32</w:t>
            </w:r>
          </w:p>
        </w:tc>
        <w:tc>
          <w:tcPr>
            <w:tcW w:w="748" w:type="dxa"/>
            <w:vAlign w:val="center"/>
          </w:tcPr>
          <w:p w:rsidR="00435B66" w:rsidRPr="00D630D1" w:rsidRDefault="00DB073B" w:rsidP="00435B66">
            <w:pPr>
              <w:snapToGrid w:val="0"/>
              <w:ind w:firstLineChars="0" w:firstLine="0"/>
              <w:jc w:val="center"/>
              <w:rPr>
                <w:rFonts w:ascii="Times New Roman" w:cs="Times New Roman"/>
                <w:bCs/>
                <w:kern w:val="2"/>
                <w:sz w:val="21"/>
                <w:szCs w:val="21"/>
              </w:rPr>
            </w:pPr>
            <w:r w:rsidRPr="00DB073B">
              <w:rPr>
                <w:rFonts w:ascii="Times New Roman" w:cs="Times New Roman"/>
                <w:bCs/>
                <w:kern w:val="2"/>
                <w:sz w:val="21"/>
                <w:szCs w:val="21"/>
              </w:rPr>
              <w:t>3.26</w:t>
            </w:r>
          </w:p>
        </w:tc>
        <w:tc>
          <w:tcPr>
            <w:tcW w:w="953" w:type="dxa"/>
            <w:vAlign w:val="center"/>
          </w:tcPr>
          <w:p w:rsidR="00435B66" w:rsidRPr="00D630D1" w:rsidRDefault="00DB073B" w:rsidP="00435B66">
            <w:pPr>
              <w:snapToGrid w:val="0"/>
              <w:ind w:firstLineChars="0" w:firstLine="0"/>
              <w:jc w:val="center"/>
              <w:rPr>
                <w:rFonts w:ascii="Times New Roman" w:cs="Times New Roman"/>
                <w:bCs/>
                <w:kern w:val="2"/>
                <w:sz w:val="21"/>
                <w:szCs w:val="21"/>
              </w:rPr>
            </w:pPr>
            <w:r w:rsidRPr="00DB073B">
              <w:rPr>
                <w:rFonts w:ascii="Times New Roman" w:cs="Times New Roman"/>
                <w:bCs/>
                <w:kern w:val="2"/>
                <w:sz w:val="21"/>
                <w:szCs w:val="21"/>
              </w:rPr>
              <w:t>0.98</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20</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亚硝酸盐（以</w:t>
            </w:r>
            <w:r w:rsidRPr="00D630D1">
              <w:rPr>
                <w:rFonts w:ascii="Times New Roman" w:hAnsi="宋体" w:cs="Times New Roman"/>
                <w:sz w:val="21"/>
              </w:rPr>
              <w:t>N</w:t>
            </w:r>
            <w:r w:rsidRPr="00D630D1">
              <w:rPr>
                <w:rFonts w:ascii="Times New Roman" w:hAnsi="宋体" w:cs="Times New Roman"/>
                <w:sz w:val="21"/>
              </w:rPr>
              <w:t>计）</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435B66" w:rsidRPr="00D630D1" w:rsidRDefault="00DB073B" w:rsidP="00507154">
            <w:pPr>
              <w:topLinePunct w:val="0"/>
              <w:spacing w:line="240" w:lineRule="auto"/>
              <w:ind w:firstLineChars="0" w:firstLine="0"/>
              <w:jc w:val="center"/>
              <w:rPr>
                <w:rFonts w:ascii="Times New Roman" w:hAnsi="宋体" w:cs="Times New Roman"/>
                <w:bCs/>
                <w:kern w:val="2"/>
                <w:sz w:val="21"/>
              </w:rPr>
            </w:pPr>
            <w:r w:rsidRPr="00DB073B">
              <w:rPr>
                <w:rFonts w:ascii="Times New Roman" w:hAnsi="宋体" w:cs="Times New Roman"/>
                <w:kern w:val="2"/>
                <w:sz w:val="21"/>
              </w:rPr>
              <w:t>0.004</w:t>
            </w:r>
          </w:p>
        </w:tc>
        <w:tc>
          <w:tcPr>
            <w:tcW w:w="748" w:type="dxa"/>
            <w:vAlign w:val="center"/>
          </w:tcPr>
          <w:p w:rsidR="00435B66" w:rsidRPr="00D630D1" w:rsidRDefault="00DB073B" w:rsidP="00507154">
            <w:pPr>
              <w:topLinePunct w:val="0"/>
              <w:spacing w:line="240" w:lineRule="auto"/>
              <w:ind w:firstLineChars="0" w:firstLine="0"/>
              <w:jc w:val="center"/>
              <w:rPr>
                <w:rFonts w:ascii="Times New Roman" w:hAnsi="宋体" w:cs="Times New Roman"/>
                <w:bCs/>
                <w:kern w:val="2"/>
                <w:sz w:val="21"/>
              </w:rPr>
            </w:pPr>
            <w:r w:rsidRPr="00DB073B">
              <w:rPr>
                <w:rFonts w:ascii="Times New Roman" w:hAnsi="宋体" w:cs="Times New Roman"/>
                <w:kern w:val="2"/>
                <w:sz w:val="21"/>
              </w:rPr>
              <w:t>0.002</w:t>
            </w:r>
          </w:p>
        </w:tc>
        <w:tc>
          <w:tcPr>
            <w:tcW w:w="953" w:type="dxa"/>
            <w:vAlign w:val="center"/>
          </w:tcPr>
          <w:p w:rsidR="00435B66" w:rsidRPr="00D630D1" w:rsidRDefault="00DB073B" w:rsidP="00507154">
            <w:pPr>
              <w:topLinePunct w:val="0"/>
              <w:snapToGrid w:val="0"/>
              <w:spacing w:line="240" w:lineRule="auto"/>
              <w:ind w:firstLineChars="0" w:firstLine="0"/>
              <w:jc w:val="center"/>
              <w:rPr>
                <w:rFonts w:ascii="Times New Roman" w:hAnsi="宋体" w:cs="Times New Roman"/>
                <w:bCs/>
                <w:kern w:val="2"/>
                <w:sz w:val="21"/>
              </w:rPr>
            </w:pPr>
            <w:r w:rsidRPr="00DB073B">
              <w:rPr>
                <w:rFonts w:ascii="Times New Roman" w:hAnsi="宋体" w:cs="Times New Roman"/>
                <w:kern w:val="2"/>
                <w:sz w:val="21"/>
              </w:rPr>
              <w:t>0.002</w:t>
            </w:r>
          </w:p>
        </w:tc>
        <w:tc>
          <w:tcPr>
            <w:tcW w:w="748" w:type="dxa"/>
            <w:vAlign w:val="center"/>
          </w:tcPr>
          <w:p w:rsidR="00435B66" w:rsidRPr="00D630D1" w:rsidRDefault="00DB073B" w:rsidP="00507154">
            <w:pPr>
              <w:topLinePunct w:val="0"/>
              <w:snapToGrid w:val="0"/>
              <w:spacing w:line="240" w:lineRule="auto"/>
              <w:ind w:firstLineChars="0" w:firstLine="0"/>
              <w:jc w:val="center"/>
              <w:rPr>
                <w:rFonts w:ascii="Times New Roman" w:hAnsi="宋体" w:cs="Times New Roman"/>
                <w:bCs/>
                <w:kern w:val="2"/>
                <w:sz w:val="21"/>
              </w:rPr>
            </w:pPr>
            <w:r w:rsidRPr="00DB073B">
              <w:rPr>
                <w:rFonts w:ascii="Times New Roman" w:hAnsi="宋体" w:cs="Times New Roman"/>
                <w:kern w:val="2"/>
                <w:sz w:val="21"/>
              </w:rPr>
              <w:t>0.033</w:t>
            </w:r>
          </w:p>
        </w:tc>
        <w:tc>
          <w:tcPr>
            <w:tcW w:w="953" w:type="dxa"/>
            <w:vAlign w:val="center"/>
          </w:tcPr>
          <w:p w:rsidR="00435B66" w:rsidRPr="00D630D1" w:rsidRDefault="00DB073B" w:rsidP="00507154">
            <w:pPr>
              <w:topLinePunct w:val="0"/>
              <w:snapToGrid w:val="0"/>
              <w:spacing w:line="240" w:lineRule="auto"/>
              <w:ind w:firstLineChars="0" w:firstLine="0"/>
              <w:jc w:val="center"/>
              <w:rPr>
                <w:rFonts w:ascii="Times New Roman" w:hAnsi="宋体" w:cs="Times New Roman"/>
                <w:bCs/>
                <w:kern w:val="2"/>
                <w:sz w:val="21"/>
              </w:rPr>
            </w:pPr>
            <w:r w:rsidRPr="00DB073B">
              <w:rPr>
                <w:rFonts w:ascii="Times New Roman" w:hAnsi="宋体" w:cs="Times New Roman"/>
                <w:kern w:val="2"/>
                <w:sz w:val="21"/>
              </w:rPr>
              <w:t>0.011</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1</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硫酸盐</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435B66" w:rsidRPr="00D630D1" w:rsidRDefault="00DB073B" w:rsidP="00435B66">
            <w:pPr>
              <w:snapToGrid w:val="0"/>
              <w:ind w:firstLineChars="0" w:firstLine="0"/>
              <w:jc w:val="center"/>
              <w:rPr>
                <w:rFonts w:ascii="Times New Roman" w:cs="Times New Roman"/>
                <w:bCs/>
                <w:kern w:val="2"/>
                <w:sz w:val="21"/>
                <w:szCs w:val="21"/>
              </w:rPr>
            </w:pPr>
            <w:r w:rsidRPr="003857F5">
              <w:rPr>
                <w:rFonts w:ascii="Times New Roman" w:cs="Times New Roman"/>
                <w:bCs/>
                <w:kern w:val="2"/>
                <w:sz w:val="21"/>
                <w:szCs w:val="21"/>
              </w:rPr>
              <w:t>27.8</w:t>
            </w:r>
          </w:p>
        </w:tc>
        <w:tc>
          <w:tcPr>
            <w:tcW w:w="748" w:type="dxa"/>
            <w:vAlign w:val="center"/>
          </w:tcPr>
          <w:p w:rsidR="00435B66" w:rsidRPr="00D630D1" w:rsidRDefault="00DB073B" w:rsidP="00435B66">
            <w:pPr>
              <w:snapToGrid w:val="0"/>
              <w:ind w:firstLineChars="0" w:firstLine="0"/>
              <w:jc w:val="center"/>
              <w:rPr>
                <w:rFonts w:ascii="Times New Roman" w:cs="Times New Roman"/>
                <w:kern w:val="2"/>
                <w:sz w:val="21"/>
                <w:szCs w:val="21"/>
              </w:rPr>
            </w:pPr>
            <w:r w:rsidRPr="003857F5">
              <w:rPr>
                <w:rFonts w:ascii="Times New Roman" w:cs="Times New Roman"/>
                <w:bCs/>
                <w:kern w:val="2"/>
                <w:sz w:val="21"/>
                <w:szCs w:val="21"/>
              </w:rPr>
              <w:t>27.8</w:t>
            </w:r>
          </w:p>
        </w:tc>
        <w:tc>
          <w:tcPr>
            <w:tcW w:w="953" w:type="dxa"/>
            <w:vAlign w:val="center"/>
          </w:tcPr>
          <w:p w:rsidR="00435B66" w:rsidRPr="00D630D1" w:rsidRDefault="00DB073B" w:rsidP="00B003A3">
            <w:pPr>
              <w:snapToGrid w:val="0"/>
              <w:ind w:firstLineChars="0" w:firstLine="0"/>
              <w:jc w:val="center"/>
              <w:rPr>
                <w:rFonts w:ascii="Times New Roman" w:cs="Times New Roman"/>
                <w:kern w:val="2"/>
                <w:sz w:val="21"/>
                <w:szCs w:val="21"/>
              </w:rPr>
            </w:pPr>
            <w:r w:rsidRPr="003857F5">
              <w:rPr>
                <w:rFonts w:ascii="Times New Roman" w:cs="Times New Roman"/>
                <w:bCs/>
                <w:kern w:val="2"/>
                <w:sz w:val="21"/>
                <w:szCs w:val="21"/>
              </w:rPr>
              <w:t>12.1</w:t>
            </w:r>
          </w:p>
        </w:tc>
        <w:tc>
          <w:tcPr>
            <w:tcW w:w="748" w:type="dxa"/>
            <w:vAlign w:val="center"/>
          </w:tcPr>
          <w:p w:rsidR="00435B66" w:rsidRPr="00D630D1" w:rsidRDefault="00DB073B" w:rsidP="00B003A3">
            <w:pPr>
              <w:snapToGrid w:val="0"/>
              <w:ind w:firstLineChars="0" w:firstLine="0"/>
              <w:jc w:val="center"/>
              <w:rPr>
                <w:rFonts w:ascii="Times New Roman" w:cs="Times New Roman"/>
                <w:kern w:val="2"/>
                <w:sz w:val="21"/>
                <w:szCs w:val="21"/>
              </w:rPr>
            </w:pPr>
            <w:r w:rsidRPr="003857F5">
              <w:rPr>
                <w:rFonts w:ascii="Times New Roman" w:cs="Times New Roman"/>
                <w:bCs/>
                <w:kern w:val="2"/>
                <w:sz w:val="21"/>
                <w:szCs w:val="21"/>
              </w:rPr>
              <w:t>21.8</w:t>
            </w:r>
          </w:p>
        </w:tc>
        <w:tc>
          <w:tcPr>
            <w:tcW w:w="953" w:type="dxa"/>
            <w:vAlign w:val="center"/>
          </w:tcPr>
          <w:p w:rsidR="00435B66" w:rsidRPr="00D630D1" w:rsidRDefault="00435B66" w:rsidP="00DB073B">
            <w:pPr>
              <w:snapToGrid w:val="0"/>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1</w:t>
            </w:r>
            <w:r w:rsidR="00DB073B">
              <w:rPr>
                <w:rFonts w:ascii="Times New Roman" w:cs="Times New Roman" w:hint="eastAsia"/>
                <w:kern w:val="2"/>
                <w:sz w:val="21"/>
                <w:szCs w:val="21"/>
              </w:rPr>
              <w:t>2.7</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kern w:val="2"/>
                <w:sz w:val="21"/>
              </w:rPr>
              <w:t>≤</w:t>
            </w:r>
            <w:r w:rsidRPr="00D630D1">
              <w:rPr>
                <w:rFonts w:ascii="Times New Roman" w:hAnsi="宋体" w:cs="Times New Roman"/>
                <w:kern w:val="2"/>
                <w:sz w:val="21"/>
              </w:rPr>
              <w:t>250</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kern w:val="2"/>
                <w:sz w:val="21"/>
              </w:rPr>
            </w:pPr>
            <w:r w:rsidRPr="00D630D1">
              <w:rPr>
                <w:rFonts w:ascii="Times New Roman" w:hAnsi="宋体" w:cs="Times New Roman"/>
                <w:sz w:val="21"/>
              </w:rPr>
              <w:t>总大肠菌群</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pacing w:val="-11"/>
                <w:kern w:val="2"/>
                <w:sz w:val="21"/>
              </w:rPr>
            </w:pPr>
            <w:r w:rsidRPr="00D630D1">
              <w:rPr>
                <w:rFonts w:ascii="Times New Roman" w:hAnsi="宋体" w:cs="Times New Roman"/>
                <w:spacing w:val="-11"/>
                <w:sz w:val="21"/>
              </w:rPr>
              <w:t>MPN/100ml</w:t>
            </w:r>
          </w:p>
        </w:tc>
        <w:tc>
          <w:tcPr>
            <w:tcW w:w="749" w:type="dxa"/>
            <w:vAlign w:val="center"/>
          </w:tcPr>
          <w:p w:rsidR="00435B66" w:rsidRPr="00D630D1" w:rsidRDefault="00DB073B" w:rsidP="00507154">
            <w:pPr>
              <w:topLinePunct w:val="0"/>
              <w:snapToGrid w:val="0"/>
              <w:spacing w:line="240" w:lineRule="auto"/>
              <w:ind w:firstLineChars="0" w:firstLine="0"/>
              <w:jc w:val="center"/>
              <w:rPr>
                <w:rFonts w:ascii="Times New Roman" w:hAnsi="宋体" w:cs="Times New Roman"/>
                <w:bCs/>
                <w:kern w:val="2"/>
                <w:sz w:val="21"/>
              </w:rPr>
            </w:pPr>
            <w:r>
              <w:rPr>
                <w:rFonts w:ascii="Times New Roman" w:hAnsi="宋体" w:cs="Times New Roman" w:hint="eastAsia"/>
                <w:bCs/>
                <w:kern w:val="2"/>
                <w:sz w:val="21"/>
              </w:rPr>
              <w:t>0.4</w:t>
            </w:r>
          </w:p>
        </w:tc>
        <w:tc>
          <w:tcPr>
            <w:tcW w:w="748" w:type="dxa"/>
            <w:vAlign w:val="center"/>
          </w:tcPr>
          <w:p w:rsidR="00435B66" w:rsidRPr="00D630D1" w:rsidRDefault="00DB073B" w:rsidP="00507154">
            <w:pPr>
              <w:topLinePunct w:val="0"/>
              <w:snapToGrid w:val="0"/>
              <w:spacing w:line="240" w:lineRule="auto"/>
              <w:ind w:firstLineChars="0" w:firstLine="0"/>
              <w:jc w:val="center"/>
              <w:rPr>
                <w:rFonts w:ascii="Times New Roman" w:hAnsi="宋体" w:cs="Times New Roman"/>
                <w:bCs/>
                <w:kern w:val="2"/>
                <w:sz w:val="21"/>
              </w:rPr>
            </w:pPr>
            <w:r>
              <w:rPr>
                <w:rFonts w:ascii="Times New Roman" w:hAnsi="宋体" w:cs="Times New Roman" w:hint="eastAsia"/>
                <w:bCs/>
                <w:kern w:val="2"/>
                <w:sz w:val="21"/>
              </w:rPr>
              <w:t>-</w:t>
            </w:r>
          </w:p>
        </w:tc>
        <w:tc>
          <w:tcPr>
            <w:tcW w:w="953" w:type="dxa"/>
            <w:vAlign w:val="center"/>
          </w:tcPr>
          <w:p w:rsidR="00435B66" w:rsidRPr="00D630D1" w:rsidRDefault="00206626" w:rsidP="00507154">
            <w:pPr>
              <w:topLinePunct w:val="0"/>
              <w:snapToGrid w:val="0"/>
              <w:spacing w:line="240" w:lineRule="auto"/>
              <w:ind w:firstLineChars="0" w:firstLine="0"/>
              <w:jc w:val="center"/>
              <w:rPr>
                <w:rFonts w:ascii="Times New Roman" w:hAnsi="宋体" w:cs="Times New Roman"/>
                <w:bCs/>
                <w:kern w:val="2"/>
                <w:sz w:val="21"/>
              </w:rPr>
            </w:pPr>
            <w:r w:rsidRPr="00206626">
              <w:rPr>
                <w:rFonts w:ascii="Times New Roman" w:hAnsi="宋体" w:cs="Times New Roman"/>
                <w:bCs/>
                <w:kern w:val="2"/>
                <w:sz w:val="21"/>
              </w:rPr>
              <w:t>0.2</w:t>
            </w:r>
          </w:p>
        </w:tc>
        <w:tc>
          <w:tcPr>
            <w:tcW w:w="748" w:type="dxa"/>
            <w:vAlign w:val="center"/>
          </w:tcPr>
          <w:p w:rsidR="00435B66" w:rsidRPr="00D630D1" w:rsidRDefault="00206626" w:rsidP="00507154">
            <w:pPr>
              <w:topLinePunct w:val="0"/>
              <w:snapToGrid w:val="0"/>
              <w:spacing w:line="240" w:lineRule="auto"/>
              <w:ind w:firstLineChars="0" w:firstLine="0"/>
              <w:jc w:val="center"/>
              <w:rPr>
                <w:rFonts w:ascii="Times New Roman" w:hAnsi="宋体" w:cs="Times New Roman"/>
                <w:bCs/>
                <w:kern w:val="2"/>
                <w:sz w:val="21"/>
              </w:rPr>
            </w:pPr>
            <w:r>
              <w:rPr>
                <w:rFonts w:ascii="Times New Roman" w:hAnsi="宋体" w:cs="Times New Roman" w:hint="eastAsia"/>
                <w:bCs/>
                <w:kern w:val="2"/>
                <w:sz w:val="21"/>
              </w:rPr>
              <w:t>-</w:t>
            </w:r>
          </w:p>
        </w:tc>
        <w:tc>
          <w:tcPr>
            <w:tcW w:w="953" w:type="dxa"/>
            <w:vAlign w:val="center"/>
          </w:tcPr>
          <w:p w:rsidR="00435B66" w:rsidRPr="00D630D1" w:rsidRDefault="00206626" w:rsidP="00507154">
            <w:pPr>
              <w:topLinePunct w:val="0"/>
              <w:snapToGrid w:val="0"/>
              <w:spacing w:line="240" w:lineRule="auto"/>
              <w:ind w:firstLineChars="0" w:firstLine="0"/>
              <w:jc w:val="center"/>
              <w:rPr>
                <w:rFonts w:ascii="Times New Roman" w:hAnsi="宋体" w:cs="Times New Roman"/>
                <w:bCs/>
                <w:kern w:val="2"/>
                <w:sz w:val="21"/>
              </w:rPr>
            </w:pPr>
            <w:r>
              <w:rPr>
                <w:rFonts w:ascii="Times New Roman" w:hAnsi="宋体" w:cs="Times New Roman" w:hint="eastAsia"/>
                <w:bCs/>
                <w:kern w:val="2"/>
                <w:sz w:val="21"/>
              </w:rPr>
              <w:t>0.2</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w:t>
            </w:r>
            <w:r w:rsidRPr="00D630D1">
              <w:rPr>
                <w:rFonts w:ascii="Times New Roman" w:hAnsi="宋体" w:cs="Times New Roman"/>
                <w:kern w:val="2"/>
                <w:sz w:val="21"/>
              </w:rPr>
              <w:t>3.0</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菌落总数</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pacing w:val="-11"/>
                <w:kern w:val="2"/>
                <w:sz w:val="21"/>
              </w:rPr>
            </w:pPr>
            <w:r w:rsidRPr="00D630D1">
              <w:rPr>
                <w:rFonts w:ascii="Times New Roman" w:hAnsi="宋体" w:cs="Times New Roman"/>
                <w:spacing w:val="-11"/>
                <w:sz w:val="21"/>
              </w:rPr>
              <w:t>CFU/ml</w:t>
            </w:r>
          </w:p>
        </w:tc>
        <w:tc>
          <w:tcPr>
            <w:tcW w:w="749" w:type="dxa"/>
            <w:vAlign w:val="center"/>
          </w:tcPr>
          <w:p w:rsidR="00435B66" w:rsidRPr="00D630D1" w:rsidRDefault="00206626" w:rsidP="00435B66">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17</w:t>
            </w:r>
          </w:p>
        </w:tc>
        <w:tc>
          <w:tcPr>
            <w:tcW w:w="748" w:type="dxa"/>
            <w:vAlign w:val="center"/>
          </w:tcPr>
          <w:p w:rsidR="00435B66" w:rsidRPr="00D630D1" w:rsidRDefault="00206626" w:rsidP="00435B66">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18</w:t>
            </w:r>
          </w:p>
        </w:tc>
        <w:tc>
          <w:tcPr>
            <w:tcW w:w="953" w:type="dxa"/>
            <w:vAlign w:val="center"/>
          </w:tcPr>
          <w:p w:rsidR="00435B66" w:rsidRPr="00D630D1" w:rsidRDefault="00206626" w:rsidP="00435B66">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22</w:t>
            </w:r>
          </w:p>
        </w:tc>
        <w:tc>
          <w:tcPr>
            <w:tcW w:w="748" w:type="dxa"/>
            <w:vAlign w:val="center"/>
          </w:tcPr>
          <w:p w:rsidR="00435B66" w:rsidRPr="00D630D1" w:rsidRDefault="00206626" w:rsidP="00435B66">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12</w:t>
            </w:r>
          </w:p>
        </w:tc>
        <w:tc>
          <w:tcPr>
            <w:tcW w:w="953" w:type="dxa"/>
            <w:vAlign w:val="center"/>
          </w:tcPr>
          <w:p w:rsidR="00435B66" w:rsidRPr="00D630D1" w:rsidRDefault="00206626" w:rsidP="00EB51F0">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20</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kern w:val="2"/>
                <w:sz w:val="21"/>
              </w:rPr>
            </w:pPr>
            <w:r w:rsidRPr="00D630D1">
              <w:rPr>
                <w:rFonts w:ascii="Times New Roman" w:hAnsi="宋体" w:cs="Times New Roman"/>
                <w:kern w:val="2"/>
                <w:sz w:val="21"/>
              </w:rPr>
              <w:t>≤</w:t>
            </w:r>
            <w:r w:rsidRPr="00D630D1">
              <w:rPr>
                <w:rFonts w:ascii="Times New Roman" w:hAnsi="宋体" w:cs="Times New Roman"/>
                <w:kern w:val="2"/>
                <w:sz w:val="21"/>
              </w:rPr>
              <w:t>100</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氨氮</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435B66" w:rsidRPr="00D630D1" w:rsidRDefault="00206626" w:rsidP="00EB51F0">
            <w:pPr>
              <w:snapToGrid w:val="0"/>
              <w:ind w:firstLineChars="0" w:firstLine="0"/>
              <w:jc w:val="center"/>
              <w:rPr>
                <w:rFonts w:ascii="Times New Roman" w:cs="Times New Roman"/>
                <w:bCs/>
                <w:kern w:val="2"/>
                <w:sz w:val="21"/>
                <w:szCs w:val="21"/>
              </w:rPr>
            </w:pPr>
            <w:r w:rsidRPr="00206626">
              <w:rPr>
                <w:rFonts w:ascii="Times New Roman" w:cs="Times New Roman"/>
                <w:bCs/>
                <w:kern w:val="2"/>
                <w:sz w:val="21"/>
                <w:szCs w:val="21"/>
              </w:rPr>
              <w:t>0.145</w:t>
            </w:r>
          </w:p>
        </w:tc>
        <w:tc>
          <w:tcPr>
            <w:tcW w:w="748" w:type="dxa"/>
            <w:vAlign w:val="center"/>
          </w:tcPr>
          <w:p w:rsidR="00435B66" w:rsidRPr="00D630D1" w:rsidRDefault="00206626" w:rsidP="00EB51F0">
            <w:pPr>
              <w:snapToGrid w:val="0"/>
              <w:ind w:firstLineChars="0" w:firstLine="0"/>
              <w:jc w:val="center"/>
              <w:rPr>
                <w:rFonts w:ascii="Times New Roman" w:cs="Times New Roman"/>
                <w:bCs/>
                <w:kern w:val="2"/>
                <w:sz w:val="21"/>
                <w:szCs w:val="21"/>
              </w:rPr>
            </w:pPr>
            <w:r w:rsidRPr="00206626">
              <w:rPr>
                <w:rFonts w:ascii="Times New Roman" w:cs="Times New Roman"/>
                <w:bCs/>
                <w:kern w:val="2"/>
                <w:sz w:val="21"/>
                <w:szCs w:val="21"/>
              </w:rPr>
              <w:t>0.122</w:t>
            </w:r>
          </w:p>
        </w:tc>
        <w:tc>
          <w:tcPr>
            <w:tcW w:w="953" w:type="dxa"/>
            <w:vAlign w:val="center"/>
          </w:tcPr>
          <w:p w:rsidR="00435B66" w:rsidRPr="00D630D1" w:rsidRDefault="00435B66" w:rsidP="00206626">
            <w:pPr>
              <w:snapToGrid w:val="0"/>
              <w:ind w:firstLineChars="0" w:firstLine="0"/>
              <w:jc w:val="center"/>
              <w:rPr>
                <w:rFonts w:ascii="Times New Roman" w:cs="Times New Roman"/>
                <w:bCs/>
                <w:kern w:val="2"/>
                <w:sz w:val="21"/>
                <w:szCs w:val="21"/>
              </w:rPr>
            </w:pPr>
            <w:r w:rsidRPr="00D630D1">
              <w:rPr>
                <w:rFonts w:ascii="Times New Roman" w:cs="Times New Roman" w:hint="eastAsia"/>
                <w:bCs/>
                <w:kern w:val="2"/>
                <w:sz w:val="21"/>
                <w:szCs w:val="21"/>
              </w:rPr>
              <w:t>0.</w:t>
            </w:r>
            <w:r w:rsidR="00206626">
              <w:rPr>
                <w:rFonts w:ascii="Times New Roman" w:cs="Times New Roman" w:hint="eastAsia"/>
                <w:bCs/>
                <w:kern w:val="2"/>
                <w:sz w:val="21"/>
                <w:szCs w:val="21"/>
              </w:rPr>
              <w:t>131</w:t>
            </w:r>
          </w:p>
        </w:tc>
        <w:tc>
          <w:tcPr>
            <w:tcW w:w="748" w:type="dxa"/>
            <w:vAlign w:val="center"/>
          </w:tcPr>
          <w:p w:rsidR="00435B66" w:rsidRPr="00D630D1" w:rsidRDefault="00206626" w:rsidP="00EB51F0">
            <w:pPr>
              <w:snapToGrid w:val="0"/>
              <w:ind w:firstLineChars="0" w:firstLine="0"/>
              <w:jc w:val="center"/>
              <w:rPr>
                <w:rFonts w:ascii="Times New Roman" w:cs="Times New Roman"/>
                <w:bCs/>
                <w:kern w:val="2"/>
                <w:sz w:val="21"/>
                <w:szCs w:val="21"/>
              </w:rPr>
            </w:pPr>
            <w:r w:rsidRPr="00206626">
              <w:rPr>
                <w:rFonts w:ascii="Times New Roman" w:cs="Times New Roman"/>
                <w:bCs/>
                <w:kern w:val="2"/>
                <w:sz w:val="21"/>
                <w:szCs w:val="21"/>
              </w:rPr>
              <w:t>0.166</w:t>
            </w:r>
          </w:p>
        </w:tc>
        <w:tc>
          <w:tcPr>
            <w:tcW w:w="953" w:type="dxa"/>
            <w:vAlign w:val="center"/>
          </w:tcPr>
          <w:p w:rsidR="00435B66" w:rsidRPr="00D630D1" w:rsidRDefault="00206626" w:rsidP="00EB51F0">
            <w:pPr>
              <w:snapToGrid w:val="0"/>
              <w:ind w:firstLineChars="0" w:firstLine="0"/>
              <w:jc w:val="center"/>
              <w:rPr>
                <w:rFonts w:ascii="Times New Roman" w:cs="Times New Roman"/>
                <w:bCs/>
                <w:kern w:val="2"/>
                <w:sz w:val="21"/>
                <w:szCs w:val="21"/>
              </w:rPr>
            </w:pPr>
            <w:r w:rsidRPr="00206626">
              <w:rPr>
                <w:rFonts w:ascii="Times New Roman" w:cs="Times New Roman"/>
                <w:bCs/>
                <w:kern w:val="2"/>
                <w:sz w:val="21"/>
                <w:szCs w:val="21"/>
              </w:rPr>
              <w:t>0.212</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0.5</w:t>
            </w:r>
          </w:p>
        </w:tc>
      </w:tr>
      <w:tr w:rsidR="00435B66" w:rsidRPr="00D630D1" w:rsidTr="00B06FB5">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氟化物</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tcPr>
          <w:p w:rsidR="00435B66" w:rsidRPr="00D630D1" w:rsidRDefault="00206626" w:rsidP="00B06FB5">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0.006L</w:t>
            </w:r>
          </w:p>
        </w:tc>
        <w:tc>
          <w:tcPr>
            <w:tcW w:w="748" w:type="dxa"/>
            <w:vAlign w:val="center"/>
          </w:tcPr>
          <w:p w:rsidR="00435B66" w:rsidRPr="00D630D1" w:rsidRDefault="00206626" w:rsidP="00B06FB5">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0.006L</w:t>
            </w:r>
          </w:p>
        </w:tc>
        <w:tc>
          <w:tcPr>
            <w:tcW w:w="953" w:type="dxa"/>
            <w:vAlign w:val="center"/>
          </w:tcPr>
          <w:p w:rsidR="00435B66" w:rsidRPr="00D630D1" w:rsidRDefault="00206626" w:rsidP="00B06FB5">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0.006L</w:t>
            </w:r>
          </w:p>
        </w:tc>
        <w:tc>
          <w:tcPr>
            <w:tcW w:w="748" w:type="dxa"/>
            <w:vAlign w:val="center"/>
          </w:tcPr>
          <w:p w:rsidR="00435B66" w:rsidRPr="00D630D1" w:rsidRDefault="00206626" w:rsidP="00B06FB5">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0.006L</w:t>
            </w:r>
          </w:p>
        </w:tc>
        <w:tc>
          <w:tcPr>
            <w:tcW w:w="953" w:type="dxa"/>
            <w:vAlign w:val="center"/>
          </w:tcPr>
          <w:p w:rsidR="00435B66" w:rsidRPr="00D630D1" w:rsidRDefault="00206626" w:rsidP="00B06FB5">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0.006L</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1</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氰化物</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0.004L</w:t>
            </w:r>
          </w:p>
        </w:tc>
        <w:tc>
          <w:tcPr>
            <w:tcW w:w="748"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0.004L</w:t>
            </w:r>
          </w:p>
        </w:tc>
        <w:tc>
          <w:tcPr>
            <w:tcW w:w="953"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0.004L</w:t>
            </w:r>
          </w:p>
        </w:tc>
        <w:tc>
          <w:tcPr>
            <w:tcW w:w="748"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0.004L</w:t>
            </w:r>
          </w:p>
        </w:tc>
        <w:tc>
          <w:tcPr>
            <w:tcW w:w="953"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0.004L</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0.05</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汞（</w:t>
            </w:r>
            <w:r w:rsidRPr="00D630D1">
              <w:rPr>
                <w:rFonts w:ascii="Times New Roman" w:hAnsi="宋体" w:cs="Times New Roman"/>
                <w:sz w:val="21"/>
              </w:rPr>
              <w:t>Hg</w:t>
            </w:r>
            <w:r w:rsidRPr="00D630D1">
              <w:rPr>
                <w:rFonts w:ascii="Times New Roman" w:hAnsi="宋体" w:cs="Times New Roman"/>
                <w:sz w:val="21"/>
              </w:rPr>
              <w:t>）</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435B66" w:rsidRPr="00D630D1" w:rsidRDefault="00206626" w:rsidP="00507154">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0.00004L</w:t>
            </w:r>
          </w:p>
        </w:tc>
        <w:tc>
          <w:tcPr>
            <w:tcW w:w="748" w:type="dxa"/>
            <w:vAlign w:val="center"/>
          </w:tcPr>
          <w:p w:rsidR="00435B66" w:rsidRPr="00D630D1" w:rsidRDefault="00206626" w:rsidP="00507154">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0.11×</w:t>
            </w:r>
            <w:r w:rsidRPr="00DB073B">
              <w:rPr>
                <w:rFonts w:ascii="Times New Roman" w:cs="Times New Roman"/>
                <w:bCs/>
                <w:kern w:val="2"/>
                <w:sz w:val="21"/>
                <w:szCs w:val="21"/>
              </w:rPr>
              <w:t>10</w:t>
            </w:r>
            <w:r w:rsidRPr="00DB073B">
              <w:rPr>
                <w:rFonts w:ascii="Times New Roman" w:cs="Times New Roman"/>
                <w:bCs/>
                <w:kern w:val="2"/>
                <w:sz w:val="21"/>
                <w:szCs w:val="21"/>
                <w:vertAlign w:val="superscript"/>
              </w:rPr>
              <w:t>-3</w:t>
            </w:r>
          </w:p>
        </w:tc>
        <w:tc>
          <w:tcPr>
            <w:tcW w:w="953" w:type="dxa"/>
            <w:vAlign w:val="center"/>
          </w:tcPr>
          <w:p w:rsidR="00435B66" w:rsidRPr="00D630D1" w:rsidRDefault="00206626" w:rsidP="00206626">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w:t>
            </w:r>
            <w:r>
              <w:rPr>
                <w:rFonts w:ascii="Times New Roman" w:cs="Times New Roman" w:hint="eastAsia"/>
                <w:kern w:val="2"/>
                <w:sz w:val="21"/>
                <w:szCs w:val="21"/>
              </w:rPr>
              <w:t>05</w:t>
            </w:r>
            <w:r w:rsidRPr="00DB073B">
              <w:rPr>
                <w:rFonts w:ascii="Times New Roman" w:cs="Times New Roman"/>
                <w:bCs/>
                <w:kern w:val="2"/>
                <w:sz w:val="21"/>
                <w:szCs w:val="21"/>
              </w:rPr>
              <w:t>×10</w:t>
            </w:r>
            <w:r w:rsidRPr="00DB073B">
              <w:rPr>
                <w:rFonts w:ascii="Times New Roman" w:cs="Times New Roman"/>
                <w:bCs/>
                <w:kern w:val="2"/>
                <w:sz w:val="21"/>
                <w:szCs w:val="21"/>
                <w:vertAlign w:val="superscript"/>
              </w:rPr>
              <w:t>-3</w:t>
            </w:r>
          </w:p>
        </w:tc>
        <w:tc>
          <w:tcPr>
            <w:tcW w:w="748" w:type="dxa"/>
            <w:vAlign w:val="center"/>
          </w:tcPr>
          <w:p w:rsidR="00435B66" w:rsidRPr="00D630D1" w:rsidRDefault="00206626" w:rsidP="00206626">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w:t>
            </w:r>
            <w:r>
              <w:rPr>
                <w:rFonts w:ascii="Times New Roman" w:cs="Times New Roman" w:hint="eastAsia"/>
                <w:kern w:val="2"/>
                <w:sz w:val="21"/>
                <w:szCs w:val="21"/>
              </w:rPr>
              <w:t>14</w:t>
            </w:r>
            <w:r w:rsidRPr="00206626">
              <w:rPr>
                <w:rFonts w:ascii="Times New Roman" w:cs="Times New Roman"/>
                <w:kern w:val="2"/>
                <w:sz w:val="21"/>
                <w:szCs w:val="21"/>
              </w:rPr>
              <w:t>×</w:t>
            </w:r>
            <w:r w:rsidRPr="00DB073B">
              <w:rPr>
                <w:rFonts w:ascii="Times New Roman" w:cs="Times New Roman"/>
                <w:bCs/>
                <w:kern w:val="2"/>
                <w:sz w:val="21"/>
                <w:szCs w:val="21"/>
              </w:rPr>
              <w:t>10</w:t>
            </w:r>
            <w:r w:rsidRPr="00DB073B">
              <w:rPr>
                <w:rFonts w:ascii="Times New Roman" w:cs="Times New Roman"/>
                <w:bCs/>
                <w:kern w:val="2"/>
                <w:sz w:val="21"/>
                <w:szCs w:val="21"/>
                <w:vertAlign w:val="superscript"/>
              </w:rPr>
              <w:t>-3</w:t>
            </w:r>
          </w:p>
        </w:tc>
        <w:tc>
          <w:tcPr>
            <w:tcW w:w="953" w:type="dxa"/>
            <w:vAlign w:val="center"/>
          </w:tcPr>
          <w:p w:rsidR="00435B66" w:rsidRPr="00D630D1" w:rsidRDefault="00206626" w:rsidP="00206626">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w:t>
            </w:r>
            <w:r>
              <w:rPr>
                <w:rFonts w:ascii="Times New Roman" w:cs="Times New Roman" w:hint="eastAsia"/>
                <w:kern w:val="2"/>
                <w:sz w:val="21"/>
                <w:szCs w:val="21"/>
              </w:rPr>
              <w:t>06</w:t>
            </w:r>
            <w:r w:rsidRPr="00DB073B">
              <w:rPr>
                <w:rFonts w:ascii="Times New Roman" w:cs="Times New Roman"/>
                <w:bCs/>
                <w:kern w:val="2"/>
                <w:sz w:val="21"/>
                <w:szCs w:val="21"/>
              </w:rPr>
              <w:t>×10</w:t>
            </w:r>
            <w:r w:rsidRPr="00DB073B">
              <w:rPr>
                <w:rFonts w:ascii="Times New Roman" w:cs="Times New Roman"/>
                <w:bCs/>
                <w:kern w:val="2"/>
                <w:sz w:val="21"/>
                <w:szCs w:val="21"/>
                <w:vertAlign w:val="superscript"/>
              </w:rPr>
              <w:t>-3</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0.001</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砷（</w:t>
            </w:r>
            <w:r w:rsidRPr="00D630D1">
              <w:rPr>
                <w:rFonts w:ascii="Times New Roman" w:hAnsi="宋体" w:cs="Times New Roman"/>
                <w:sz w:val="21"/>
              </w:rPr>
              <w:t>As</w:t>
            </w:r>
            <w:r w:rsidRPr="00D630D1">
              <w:rPr>
                <w:rFonts w:ascii="Times New Roman" w:hAnsi="宋体" w:cs="Times New Roman"/>
                <w:sz w:val="21"/>
              </w:rPr>
              <w:t>）</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Pr>
                <w:rFonts w:ascii="Times New Roman" w:cs="Times New Roman" w:hint="eastAsia"/>
                <w:kern w:val="2"/>
                <w:sz w:val="21"/>
                <w:szCs w:val="21"/>
              </w:rPr>
              <w:t>1.43</w:t>
            </w:r>
            <w:r w:rsidRPr="00206626">
              <w:rPr>
                <w:rFonts w:ascii="Times New Roman" w:cs="Times New Roman"/>
                <w:kern w:val="2"/>
                <w:sz w:val="21"/>
                <w:szCs w:val="21"/>
              </w:rPr>
              <w:t>×</w:t>
            </w:r>
            <w:r w:rsidRPr="00DB073B">
              <w:rPr>
                <w:rFonts w:ascii="Times New Roman" w:cs="Times New Roman"/>
                <w:bCs/>
                <w:kern w:val="2"/>
                <w:sz w:val="21"/>
                <w:szCs w:val="21"/>
              </w:rPr>
              <w:t>10</w:t>
            </w:r>
            <w:r w:rsidRPr="00DB073B">
              <w:rPr>
                <w:rFonts w:ascii="Times New Roman" w:cs="Times New Roman"/>
                <w:bCs/>
                <w:kern w:val="2"/>
                <w:sz w:val="21"/>
                <w:szCs w:val="21"/>
                <w:vertAlign w:val="superscript"/>
              </w:rPr>
              <w:t>-3</w:t>
            </w:r>
          </w:p>
        </w:tc>
        <w:tc>
          <w:tcPr>
            <w:tcW w:w="748"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Pr>
                <w:rFonts w:ascii="Times New Roman" w:cs="Times New Roman" w:hint="eastAsia"/>
                <w:kern w:val="2"/>
                <w:sz w:val="21"/>
                <w:szCs w:val="21"/>
              </w:rPr>
              <w:t>2.64</w:t>
            </w:r>
            <w:r w:rsidRPr="00206626">
              <w:rPr>
                <w:rFonts w:ascii="Times New Roman" w:cs="Times New Roman"/>
                <w:kern w:val="2"/>
                <w:sz w:val="21"/>
                <w:szCs w:val="21"/>
              </w:rPr>
              <w:t>×</w:t>
            </w:r>
            <w:r w:rsidRPr="00DB073B">
              <w:rPr>
                <w:rFonts w:ascii="Times New Roman" w:cs="Times New Roman"/>
                <w:bCs/>
                <w:kern w:val="2"/>
                <w:sz w:val="21"/>
                <w:szCs w:val="21"/>
              </w:rPr>
              <w:t>10</w:t>
            </w:r>
            <w:r w:rsidRPr="00DB073B">
              <w:rPr>
                <w:rFonts w:ascii="Times New Roman" w:cs="Times New Roman"/>
                <w:bCs/>
                <w:kern w:val="2"/>
                <w:sz w:val="21"/>
                <w:szCs w:val="21"/>
                <w:vertAlign w:val="superscript"/>
              </w:rPr>
              <w:t>-3</w:t>
            </w:r>
          </w:p>
        </w:tc>
        <w:tc>
          <w:tcPr>
            <w:tcW w:w="953" w:type="dxa"/>
            <w:vAlign w:val="center"/>
          </w:tcPr>
          <w:p w:rsidR="00435B66" w:rsidRPr="00D630D1" w:rsidRDefault="00206626" w:rsidP="00206626">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cs="Times New Roman"/>
                <w:kern w:val="2"/>
                <w:sz w:val="21"/>
                <w:szCs w:val="21"/>
              </w:rPr>
              <w:t>0.</w:t>
            </w:r>
            <w:r>
              <w:rPr>
                <w:rFonts w:ascii="Times New Roman" w:cs="Times New Roman" w:hint="eastAsia"/>
                <w:kern w:val="2"/>
                <w:sz w:val="21"/>
                <w:szCs w:val="21"/>
              </w:rPr>
              <w:t>27</w:t>
            </w:r>
            <w:r w:rsidRPr="00206626">
              <w:rPr>
                <w:rFonts w:ascii="Times New Roman" w:cs="Times New Roman"/>
                <w:kern w:val="2"/>
                <w:sz w:val="21"/>
                <w:szCs w:val="21"/>
              </w:rPr>
              <w:t>×</w:t>
            </w:r>
            <w:r w:rsidRPr="00DB073B">
              <w:rPr>
                <w:rFonts w:ascii="Times New Roman" w:cs="Times New Roman"/>
                <w:bCs/>
                <w:kern w:val="2"/>
                <w:sz w:val="21"/>
                <w:szCs w:val="21"/>
              </w:rPr>
              <w:t>10</w:t>
            </w:r>
            <w:r w:rsidRPr="00DB073B">
              <w:rPr>
                <w:rFonts w:ascii="Times New Roman" w:cs="Times New Roman"/>
                <w:bCs/>
                <w:kern w:val="2"/>
                <w:sz w:val="21"/>
                <w:szCs w:val="21"/>
                <w:vertAlign w:val="superscript"/>
              </w:rPr>
              <w:t>-3</w:t>
            </w:r>
          </w:p>
        </w:tc>
        <w:tc>
          <w:tcPr>
            <w:tcW w:w="748"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Pr>
                <w:rFonts w:ascii="Times New Roman" w:cs="Times New Roman" w:hint="eastAsia"/>
                <w:kern w:val="2"/>
                <w:sz w:val="21"/>
                <w:szCs w:val="21"/>
              </w:rPr>
              <w:t>1.19</w:t>
            </w:r>
            <w:r w:rsidRPr="00206626">
              <w:rPr>
                <w:rFonts w:ascii="Times New Roman" w:cs="Times New Roman"/>
                <w:kern w:val="2"/>
                <w:sz w:val="21"/>
                <w:szCs w:val="21"/>
              </w:rPr>
              <w:t>×</w:t>
            </w:r>
            <w:r w:rsidRPr="00DB073B">
              <w:rPr>
                <w:rFonts w:ascii="Times New Roman" w:cs="Times New Roman"/>
                <w:bCs/>
                <w:kern w:val="2"/>
                <w:sz w:val="21"/>
                <w:szCs w:val="21"/>
              </w:rPr>
              <w:t>10</w:t>
            </w:r>
            <w:r w:rsidRPr="00DB073B">
              <w:rPr>
                <w:rFonts w:ascii="Times New Roman" w:cs="Times New Roman"/>
                <w:bCs/>
                <w:kern w:val="2"/>
                <w:sz w:val="21"/>
                <w:szCs w:val="21"/>
                <w:vertAlign w:val="superscript"/>
              </w:rPr>
              <w:t>-3</w:t>
            </w:r>
          </w:p>
        </w:tc>
        <w:tc>
          <w:tcPr>
            <w:tcW w:w="953" w:type="dxa"/>
            <w:vAlign w:val="center"/>
          </w:tcPr>
          <w:p w:rsidR="00435B66" w:rsidRPr="00D630D1" w:rsidRDefault="00206626" w:rsidP="00206626">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cs="Times New Roman"/>
                <w:kern w:val="2"/>
                <w:sz w:val="21"/>
                <w:szCs w:val="21"/>
              </w:rPr>
              <w:t>0.</w:t>
            </w:r>
            <w:r>
              <w:rPr>
                <w:rFonts w:ascii="Times New Roman" w:cs="Times New Roman" w:hint="eastAsia"/>
                <w:kern w:val="2"/>
                <w:sz w:val="21"/>
                <w:szCs w:val="21"/>
              </w:rPr>
              <w:t>52</w:t>
            </w:r>
            <w:r w:rsidRPr="00206626">
              <w:rPr>
                <w:rFonts w:ascii="Times New Roman" w:cs="Times New Roman"/>
                <w:kern w:val="2"/>
                <w:sz w:val="21"/>
                <w:szCs w:val="21"/>
              </w:rPr>
              <w:t>×</w:t>
            </w:r>
            <w:r w:rsidRPr="00DB073B">
              <w:rPr>
                <w:rFonts w:ascii="Times New Roman" w:cs="Times New Roman"/>
                <w:bCs/>
                <w:kern w:val="2"/>
                <w:sz w:val="21"/>
                <w:szCs w:val="21"/>
              </w:rPr>
              <w:t>10</w:t>
            </w:r>
            <w:r w:rsidRPr="00DB073B">
              <w:rPr>
                <w:rFonts w:ascii="Times New Roman" w:cs="Times New Roman"/>
                <w:bCs/>
                <w:kern w:val="2"/>
                <w:sz w:val="21"/>
                <w:szCs w:val="21"/>
                <w:vertAlign w:val="superscript"/>
              </w:rPr>
              <w:t>-3</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0.01</w:t>
            </w:r>
          </w:p>
        </w:tc>
      </w:tr>
      <w:tr w:rsidR="00435B66" w:rsidRPr="00D630D1" w:rsidTr="00435B66">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镉（</w:t>
            </w:r>
            <w:r w:rsidRPr="00D630D1">
              <w:rPr>
                <w:rFonts w:ascii="Times New Roman" w:hAnsi="宋体" w:cs="Times New Roman"/>
                <w:sz w:val="21"/>
              </w:rPr>
              <w:t>Cd</w:t>
            </w:r>
            <w:r w:rsidRPr="00D630D1">
              <w:rPr>
                <w:rFonts w:ascii="Times New Roman" w:hAnsi="宋体" w:cs="Times New Roman"/>
                <w:sz w:val="21"/>
              </w:rPr>
              <w:t>）</w:t>
            </w:r>
          </w:p>
        </w:tc>
        <w:tc>
          <w:tcPr>
            <w:tcW w:w="1142" w:type="dxa"/>
            <w:vAlign w:val="center"/>
          </w:tcPr>
          <w:p w:rsidR="00435B66" w:rsidRPr="00D630D1" w:rsidRDefault="00435B66" w:rsidP="00435B66">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435B66" w:rsidRPr="00D630D1" w:rsidRDefault="00206626" w:rsidP="00435B66">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0.00005L</w:t>
            </w:r>
          </w:p>
        </w:tc>
        <w:tc>
          <w:tcPr>
            <w:tcW w:w="748" w:type="dxa"/>
            <w:vAlign w:val="center"/>
          </w:tcPr>
          <w:p w:rsidR="00435B66" w:rsidRPr="00D630D1" w:rsidRDefault="00206626" w:rsidP="00B06FB5">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0.00005L</w:t>
            </w:r>
          </w:p>
        </w:tc>
        <w:tc>
          <w:tcPr>
            <w:tcW w:w="953" w:type="dxa"/>
            <w:vAlign w:val="center"/>
          </w:tcPr>
          <w:p w:rsidR="00435B66" w:rsidRPr="00D630D1" w:rsidRDefault="00206626" w:rsidP="00B06FB5">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0.00005L</w:t>
            </w:r>
          </w:p>
        </w:tc>
        <w:tc>
          <w:tcPr>
            <w:tcW w:w="748" w:type="dxa"/>
            <w:vAlign w:val="center"/>
          </w:tcPr>
          <w:p w:rsidR="00435B66" w:rsidRPr="00D630D1" w:rsidRDefault="00206626" w:rsidP="00B06FB5">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0.00005L</w:t>
            </w:r>
          </w:p>
        </w:tc>
        <w:tc>
          <w:tcPr>
            <w:tcW w:w="953" w:type="dxa"/>
            <w:vAlign w:val="center"/>
          </w:tcPr>
          <w:p w:rsidR="00435B66" w:rsidRPr="00D630D1" w:rsidRDefault="00206626" w:rsidP="00B06FB5">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0.05</w:t>
            </w:r>
            <w:r w:rsidRPr="00206626">
              <w:rPr>
                <w:rFonts w:ascii="Times New Roman" w:hAnsi="宋体" w:cs="Times New Roman"/>
                <w:sz w:val="21"/>
              </w:rPr>
              <w:t>×</w:t>
            </w:r>
            <w:r w:rsidRPr="00DB073B">
              <w:rPr>
                <w:rFonts w:ascii="Times New Roman" w:cs="Times New Roman"/>
                <w:bCs/>
                <w:kern w:val="2"/>
                <w:sz w:val="21"/>
                <w:szCs w:val="21"/>
              </w:rPr>
              <w:t>10</w:t>
            </w:r>
            <w:r w:rsidRPr="00DB073B">
              <w:rPr>
                <w:rFonts w:ascii="Times New Roman" w:cs="Times New Roman"/>
                <w:bCs/>
                <w:kern w:val="2"/>
                <w:sz w:val="21"/>
                <w:szCs w:val="21"/>
                <w:vertAlign w:val="superscript"/>
              </w:rPr>
              <w:t>-3</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0.005</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铬（六价）（</w:t>
            </w:r>
            <w:r w:rsidRPr="00D630D1">
              <w:rPr>
                <w:rFonts w:ascii="Times New Roman" w:hAnsi="宋体" w:cs="Times New Roman"/>
                <w:sz w:val="21"/>
              </w:rPr>
              <w:t>Cr</w:t>
            </w:r>
            <w:r w:rsidRPr="00D630D1">
              <w:rPr>
                <w:rFonts w:ascii="Times New Roman" w:hAnsi="宋体" w:cs="Times New Roman"/>
                <w:sz w:val="21"/>
                <w:vertAlign w:val="superscript"/>
              </w:rPr>
              <w:t>6+</w:t>
            </w:r>
            <w:r w:rsidRPr="00D630D1">
              <w:rPr>
                <w:rFonts w:ascii="Times New Roman" w:hAnsi="宋体" w:cs="Times New Roman"/>
                <w:sz w:val="21"/>
              </w:rPr>
              <w:t>）</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0.004L</w:t>
            </w:r>
          </w:p>
        </w:tc>
        <w:tc>
          <w:tcPr>
            <w:tcW w:w="748"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0.004L</w:t>
            </w:r>
          </w:p>
        </w:tc>
        <w:tc>
          <w:tcPr>
            <w:tcW w:w="953"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0.004L</w:t>
            </w:r>
          </w:p>
        </w:tc>
        <w:tc>
          <w:tcPr>
            <w:tcW w:w="748"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0.004L</w:t>
            </w:r>
          </w:p>
        </w:tc>
        <w:tc>
          <w:tcPr>
            <w:tcW w:w="953"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0.004L</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0.05</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铅（</w:t>
            </w:r>
            <w:r w:rsidRPr="00D630D1">
              <w:rPr>
                <w:rFonts w:ascii="Times New Roman" w:hAnsi="宋体" w:cs="Times New Roman"/>
                <w:sz w:val="21"/>
              </w:rPr>
              <w:t>Pb</w:t>
            </w:r>
            <w:r w:rsidRPr="00D630D1">
              <w:rPr>
                <w:rFonts w:ascii="Times New Roman" w:hAnsi="宋体" w:cs="Times New Roman"/>
                <w:sz w:val="21"/>
              </w:rPr>
              <w:t>）</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vAlign w:val="center"/>
          </w:tcPr>
          <w:p w:rsidR="00435B66" w:rsidRPr="00D630D1" w:rsidRDefault="00206626" w:rsidP="00507154">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0.00009L</w:t>
            </w:r>
          </w:p>
        </w:tc>
        <w:tc>
          <w:tcPr>
            <w:tcW w:w="748" w:type="dxa"/>
            <w:vAlign w:val="center"/>
          </w:tcPr>
          <w:p w:rsidR="00435B66" w:rsidRPr="00D630D1" w:rsidRDefault="00206626" w:rsidP="00507154">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0.00009L</w:t>
            </w:r>
          </w:p>
        </w:tc>
        <w:tc>
          <w:tcPr>
            <w:tcW w:w="953" w:type="dxa"/>
            <w:vAlign w:val="center"/>
          </w:tcPr>
          <w:p w:rsidR="00435B66" w:rsidRPr="00D630D1" w:rsidRDefault="00206626" w:rsidP="00507154">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0.00009L</w:t>
            </w:r>
          </w:p>
        </w:tc>
        <w:tc>
          <w:tcPr>
            <w:tcW w:w="748" w:type="dxa"/>
            <w:vAlign w:val="center"/>
          </w:tcPr>
          <w:p w:rsidR="00435B66" w:rsidRPr="00D630D1" w:rsidRDefault="00206626" w:rsidP="00507154">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0.00009L</w:t>
            </w:r>
          </w:p>
        </w:tc>
        <w:tc>
          <w:tcPr>
            <w:tcW w:w="953" w:type="dxa"/>
            <w:vAlign w:val="center"/>
          </w:tcPr>
          <w:p w:rsidR="00435B66" w:rsidRPr="00D630D1" w:rsidRDefault="00206626" w:rsidP="00507154">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0.00009L</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0.01</w:t>
            </w:r>
          </w:p>
        </w:tc>
      </w:tr>
      <w:tr w:rsidR="00435B66" w:rsidRPr="00D630D1" w:rsidTr="00507154">
        <w:trPr>
          <w:trHeight w:val="288"/>
          <w:jc w:val="center"/>
        </w:trPr>
        <w:tc>
          <w:tcPr>
            <w:tcW w:w="236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石油类</w:t>
            </w:r>
          </w:p>
        </w:tc>
        <w:tc>
          <w:tcPr>
            <w:tcW w:w="1142"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mg/L</w:t>
            </w:r>
            <w:r w:rsidRPr="00D630D1">
              <w:rPr>
                <w:rFonts w:ascii="Times New Roman" w:hAnsi="宋体" w:cs="Times New Roman"/>
                <w:sz w:val="21"/>
              </w:rPr>
              <w:t>）</w:t>
            </w:r>
          </w:p>
        </w:tc>
        <w:tc>
          <w:tcPr>
            <w:tcW w:w="749" w:type="dxa"/>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0.01L</w:t>
            </w:r>
          </w:p>
        </w:tc>
        <w:tc>
          <w:tcPr>
            <w:tcW w:w="748"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0.01L</w:t>
            </w:r>
          </w:p>
        </w:tc>
        <w:tc>
          <w:tcPr>
            <w:tcW w:w="953"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0.01L</w:t>
            </w:r>
          </w:p>
        </w:tc>
        <w:tc>
          <w:tcPr>
            <w:tcW w:w="748"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0.01L</w:t>
            </w:r>
          </w:p>
        </w:tc>
        <w:tc>
          <w:tcPr>
            <w:tcW w:w="953" w:type="dxa"/>
            <w:vAlign w:val="center"/>
          </w:tcPr>
          <w:p w:rsidR="00435B6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0.01L</w:t>
            </w:r>
          </w:p>
        </w:tc>
        <w:tc>
          <w:tcPr>
            <w:tcW w:w="867" w:type="dxa"/>
            <w:vAlign w:val="center"/>
          </w:tcPr>
          <w:p w:rsidR="00435B66" w:rsidRPr="00D630D1" w:rsidRDefault="00435B6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r w:rsidRPr="00D630D1">
              <w:rPr>
                <w:rFonts w:ascii="Times New Roman" w:hAnsi="宋体" w:cs="Times New Roman"/>
                <w:sz w:val="21"/>
              </w:rPr>
              <w:t>0.05</w:t>
            </w:r>
          </w:p>
        </w:tc>
      </w:tr>
      <w:tr w:rsidR="00435B66" w:rsidRPr="00D630D1" w:rsidTr="00507154">
        <w:trPr>
          <w:trHeight w:val="288"/>
          <w:jc w:val="center"/>
        </w:trPr>
        <w:tc>
          <w:tcPr>
            <w:tcW w:w="8522" w:type="dxa"/>
            <w:gridSpan w:val="8"/>
            <w:vAlign w:val="center"/>
          </w:tcPr>
          <w:p w:rsidR="00435B66" w:rsidRPr="00D630D1" w:rsidRDefault="00435B66" w:rsidP="00507154">
            <w:pPr>
              <w:widowControl/>
              <w:topLinePunct w:val="0"/>
              <w:adjustRightInd/>
              <w:spacing w:line="240" w:lineRule="auto"/>
              <w:ind w:firstLineChars="0" w:firstLine="0"/>
              <w:rPr>
                <w:rFonts w:ascii="Times New Roman" w:hAnsi="宋体" w:cs="Times New Roman"/>
                <w:sz w:val="21"/>
              </w:rPr>
            </w:pPr>
            <w:r w:rsidRPr="00D630D1">
              <w:rPr>
                <w:rFonts w:ascii="Times New Roman" w:hAnsi="宋体" w:cs="Times New Roman"/>
                <w:sz w:val="21"/>
              </w:rPr>
              <w:t>备注：</w:t>
            </w:r>
            <w:r w:rsidR="00DB073B" w:rsidRPr="00DB073B">
              <w:rPr>
                <w:rFonts w:ascii="Times New Roman" w:hAnsi="宋体" w:cs="Times New Roman"/>
                <w:sz w:val="21"/>
              </w:rPr>
              <w:t>L</w:t>
            </w:r>
            <w:r w:rsidRPr="00D630D1">
              <w:rPr>
                <w:rFonts w:ascii="Times New Roman" w:hAnsi="宋体" w:cs="Times New Roman"/>
                <w:sz w:val="21"/>
              </w:rPr>
              <w:t>表示检测结果低于方法检出限或未检出。</w:t>
            </w:r>
          </w:p>
        </w:tc>
      </w:tr>
    </w:tbl>
    <w:p w:rsidR="00507154" w:rsidRPr="00D630D1" w:rsidRDefault="00507154" w:rsidP="00507154">
      <w:pPr>
        <w:ind w:firstLineChars="0" w:firstLine="0"/>
        <w:jc w:val="center"/>
        <w:rPr>
          <w:rFonts w:ascii="Times New Roman" w:cs="Times New Roman"/>
          <w:b/>
        </w:rPr>
      </w:pPr>
      <w:r w:rsidRPr="00D630D1">
        <w:rPr>
          <w:rFonts w:ascii="Times New Roman" w:cs="Times New Roman"/>
          <w:b/>
        </w:rPr>
        <w:t>表</w:t>
      </w:r>
      <w:r w:rsidRPr="00D630D1">
        <w:rPr>
          <w:rFonts w:ascii="Times New Roman" w:cs="Times New Roman"/>
          <w:b/>
        </w:rPr>
        <w:t>5.5-</w:t>
      </w:r>
      <w:r w:rsidRPr="00D630D1">
        <w:rPr>
          <w:rFonts w:ascii="Times New Roman" w:cs="Times New Roman" w:hint="eastAsia"/>
          <w:b/>
        </w:rPr>
        <w:t>2</w:t>
      </w:r>
      <w:r w:rsidRPr="00D630D1">
        <w:rPr>
          <w:rFonts w:ascii="Times New Roman" w:cs="Times New Roman"/>
          <w:b/>
        </w:rPr>
        <w:t xml:space="preserve">  </w:t>
      </w:r>
      <w:r w:rsidRPr="00D630D1">
        <w:rPr>
          <w:rFonts w:ascii="Times New Roman" w:cs="Times New Roman"/>
          <w:b/>
        </w:rPr>
        <w:t>地下水环境质量现状评价结果</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A0"/>
      </w:tblPr>
      <w:tblGrid>
        <w:gridCol w:w="3466"/>
        <w:gridCol w:w="1010"/>
        <w:gridCol w:w="1010"/>
        <w:gridCol w:w="1012"/>
        <w:gridCol w:w="1012"/>
        <w:gridCol w:w="1012"/>
      </w:tblGrid>
      <w:tr w:rsidR="00507154" w:rsidRPr="00D630D1" w:rsidTr="00435B66">
        <w:trPr>
          <w:trHeight w:val="300"/>
          <w:jc w:val="center"/>
        </w:trPr>
        <w:tc>
          <w:tcPr>
            <w:tcW w:w="3466" w:type="dxa"/>
            <w:vMerge w:val="restart"/>
            <w:vAlign w:val="center"/>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b/>
                <w:sz w:val="21"/>
              </w:rPr>
            </w:pPr>
            <w:r w:rsidRPr="00D630D1">
              <w:rPr>
                <w:rFonts w:ascii="Times New Roman" w:hAnsi="宋体" w:cs="Times New Roman"/>
                <w:b/>
                <w:sz w:val="21"/>
              </w:rPr>
              <w:t>项目</w:t>
            </w:r>
          </w:p>
        </w:tc>
        <w:tc>
          <w:tcPr>
            <w:tcW w:w="5056" w:type="dxa"/>
            <w:gridSpan w:val="5"/>
          </w:tcPr>
          <w:p w:rsidR="00507154" w:rsidRPr="00D630D1" w:rsidRDefault="00507154" w:rsidP="00507154">
            <w:pPr>
              <w:widowControl/>
              <w:topLinePunct w:val="0"/>
              <w:adjustRightInd/>
              <w:spacing w:line="240" w:lineRule="auto"/>
              <w:ind w:firstLineChars="0" w:firstLine="0"/>
              <w:jc w:val="center"/>
              <w:rPr>
                <w:rFonts w:ascii="Times New Roman" w:hAnsi="宋体" w:cs="Times New Roman"/>
                <w:b/>
                <w:sz w:val="21"/>
              </w:rPr>
            </w:pPr>
            <w:r w:rsidRPr="00D630D1">
              <w:rPr>
                <w:rFonts w:ascii="Times New Roman" w:hAnsi="宋体" w:cs="Times New Roman"/>
                <w:b/>
                <w:sz w:val="21"/>
              </w:rPr>
              <w:t>评价值</w:t>
            </w:r>
          </w:p>
        </w:tc>
      </w:tr>
      <w:tr w:rsidR="00507154" w:rsidRPr="00D630D1" w:rsidTr="00435B66">
        <w:trPr>
          <w:trHeight w:val="339"/>
          <w:jc w:val="center"/>
        </w:trPr>
        <w:tc>
          <w:tcPr>
            <w:tcW w:w="3466" w:type="dxa"/>
            <w:vMerge/>
            <w:vAlign w:val="center"/>
          </w:tcPr>
          <w:p w:rsidR="00507154" w:rsidRPr="00D630D1" w:rsidRDefault="00507154" w:rsidP="00507154">
            <w:pPr>
              <w:widowControl/>
              <w:topLinePunct w:val="0"/>
              <w:adjustRightInd/>
              <w:spacing w:line="240" w:lineRule="auto"/>
              <w:ind w:firstLineChars="0" w:firstLine="0"/>
              <w:jc w:val="left"/>
              <w:rPr>
                <w:rFonts w:ascii="Times New Roman" w:hAnsi="宋体" w:cs="Times New Roman"/>
                <w:b/>
                <w:sz w:val="21"/>
              </w:rPr>
            </w:pPr>
          </w:p>
        </w:tc>
        <w:tc>
          <w:tcPr>
            <w:tcW w:w="1010" w:type="dxa"/>
            <w:vAlign w:val="center"/>
          </w:tcPr>
          <w:p w:rsidR="00507154" w:rsidRPr="00D630D1" w:rsidRDefault="00507154" w:rsidP="00507154">
            <w:pPr>
              <w:widowControl/>
              <w:topLinePunct w:val="0"/>
              <w:adjustRightInd/>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WX1</w:t>
            </w:r>
          </w:p>
        </w:tc>
        <w:tc>
          <w:tcPr>
            <w:tcW w:w="1010" w:type="dxa"/>
            <w:vAlign w:val="center"/>
          </w:tcPr>
          <w:p w:rsidR="00507154" w:rsidRPr="00D630D1" w:rsidRDefault="00507154" w:rsidP="00507154">
            <w:pPr>
              <w:widowControl/>
              <w:topLinePunct w:val="0"/>
              <w:adjustRightInd/>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WX2</w:t>
            </w:r>
          </w:p>
        </w:tc>
        <w:tc>
          <w:tcPr>
            <w:tcW w:w="101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WX3</w:t>
            </w:r>
          </w:p>
        </w:tc>
        <w:tc>
          <w:tcPr>
            <w:tcW w:w="101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WX4</w:t>
            </w:r>
          </w:p>
        </w:tc>
        <w:tc>
          <w:tcPr>
            <w:tcW w:w="1012" w:type="dxa"/>
            <w:vAlign w:val="center"/>
          </w:tcPr>
          <w:p w:rsidR="00507154" w:rsidRPr="00D630D1" w:rsidRDefault="00507154" w:rsidP="00507154">
            <w:pPr>
              <w:widowControl/>
              <w:topLinePunct w:val="0"/>
              <w:adjustRightInd/>
              <w:spacing w:line="240" w:lineRule="auto"/>
              <w:ind w:firstLineChars="0" w:firstLine="0"/>
              <w:jc w:val="center"/>
              <w:rPr>
                <w:rFonts w:ascii="Times New Roman" w:cs="Times New Roman"/>
                <w:b/>
                <w:sz w:val="21"/>
                <w:szCs w:val="21"/>
              </w:rPr>
            </w:pPr>
            <w:r w:rsidRPr="00D630D1">
              <w:rPr>
                <w:rFonts w:ascii="Times New Roman" w:cs="Times New Roman"/>
                <w:b/>
                <w:sz w:val="21"/>
                <w:szCs w:val="21"/>
              </w:rPr>
              <w:t>WX5</w:t>
            </w:r>
          </w:p>
        </w:tc>
      </w:tr>
      <w:tr w:rsidR="00206626" w:rsidRPr="00D630D1" w:rsidTr="00435B66">
        <w:trPr>
          <w:trHeight w:val="279"/>
          <w:jc w:val="center"/>
        </w:trPr>
        <w:tc>
          <w:tcPr>
            <w:tcW w:w="3466" w:type="dxa"/>
            <w:vAlign w:val="center"/>
          </w:tcPr>
          <w:p w:rsidR="0020662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pH</w:t>
            </w:r>
          </w:p>
        </w:tc>
        <w:tc>
          <w:tcPr>
            <w:tcW w:w="1010" w:type="dxa"/>
            <w:vAlign w:val="center"/>
          </w:tcPr>
          <w:p w:rsidR="00206626" w:rsidRPr="00D630D1" w:rsidRDefault="00206626" w:rsidP="00A71F59">
            <w:pPr>
              <w:snapToGrid w:val="0"/>
              <w:ind w:firstLineChars="0" w:firstLine="0"/>
              <w:jc w:val="center"/>
              <w:rPr>
                <w:rFonts w:ascii="Times New Roman" w:cs="Times New Roman"/>
                <w:kern w:val="2"/>
                <w:sz w:val="21"/>
                <w:szCs w:val="21"/>
              </w:rPr>
            </w:pPr>
            <w:r>
              <w:rPr>
                <w:rFonts w:ascii="Times New Roman" w:hAnsi="宋体" w:cs="Times New Roman" w:hint="eastAsia"/>
                <w:sz w:val="21"/>
              </w:rPr>
              <w:t>0.22</w:t>
            </w:r>
          </w:p>
        </w:tc>
        <w:tc>
          <w:tcPr>
            <w:tcW w:w="1010" w:type="dxa"/>
            <w:vAlign w:val="center"/>
          </w:tcPr>
          <w:p w:rsidR="00206626" w:rsidRPr="00D630D1" w:rsidRDefault="00206626"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0.14</w:t>
            </w:r>
          </w:p>
        </w:tc>
        <w:tc>
          <w:tcPr>
            <w:tcW w:w="1012" w:type="dxa"/>
            <w:vAlign w:val="center"/>
          </w:tcPr>
          <w:p w:rsidR="00206626" w:rsidRPr="00D630D1" w:rsidRDefault="00206626"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0.12</w:t>
            </w:r>
          </w:p>
        </w:tc>
        <w:tc>
          <w:tcPr>
            <w:tcW w:w="1012" w:type="dxa"/>
            <w:vAlign w:val="center"/>
          </w:tcPr>
          <w:p w:rsidR="00206626" w:rsidRPr="00D630D1" w:rsidRDefault="00206626"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0.42</w:t>
            </w:r>
          </w:p>
        </w:tc>
        <w:tc>
          <w:tcPr>
            <w:tcW w:w="1012" w:type="dxa"/>
            <w:vAlign w:val="center"/>
          </w:tcPr>
          <w:p w:rsidR="00206626" w:rsidRPr="00D630D1" w:rsidRDefault="00206626"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0.29</w:t>
            </w:r>
          </w:p>
        </w:tc>
      </w:tr>
      <w:tr w:rsidR="00206626" w:rsidRPr="00D630D1" w:rsidTr="00435B66">
        <w:trPr>
          <w:trHeight w:val="309"/>
          <w:jc w:val="center"/>
        </w:trPr>
        <w:tc>
          <w:tcPr>
            <w:tcW w:w="3466" w:type="dxa"/>
            <w:vAlign w:val="center"/>
          </w:tcPr>
          <w:p w:rsidR="0020662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lastRenderedPageBreak/>
              <w:t>总硬度（以</w:t>
            </w:r>
            <w:r w:rsidRPr="00D630D1">
              <w:rPr>
                <w:rFonts w:ascii="Times New Roman" w:hAnsi="宋体" w:cs="Times New Roman"/>
                <w:sz w:val="21"/>
              </w:rPr>
              <w:t>CaCO</w:t>
            </w:r>
            <w:r w:rsidRPr="00D630D1">
              <w:rPr>
                <w:rFonts w:ascii="Times New Roman" w:hAnsi="宋体" w:cs="Times New Roman"/>
                <w:sz w:val="21"/>
                <w:vertAlign w:val="subscript"/>
              </w:rPr>
              <w:t>3</w:t>
            </w:r>
            <w:r w:rsidRPr="00D630D1">
              <w:rPr>
                <w:rFonts w:ascii="Times New Roman" w:hAnsi="宋体" w:cs="Times New Roman"/>
                <w:sz w:val="21"/>
              </w:rPr>
              <w:t>计）</w:t>
            </w:r>
          </w:p>
        </w:tc>
        <w:tc>
          <w:tcPr>
            <w:tcW w:w="1010" w:type="dxa"/>
            <w:vAlign w:val="center"/>
          </w:tcPr>
          <w:p w:rsidR="00206626" w:rsidRPr="00D630D1" w:rsidRDefault="00206626"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0.52</w:t>
            </w:r>
          </w:p>
        </w:tc>
        <w:tc>
          <w:tcPr>
            <w:tcW w:w="1010" w:type="dxa"/>
            <w:vAlign w:val="center"/>
          </w:tcPr>
          <w:p w:rsidR="00206626" w:rsidRPr="00D630D1" w:rsidRDefault="00206626" w:rsidP="00A71F59">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0.51</w:t>
            </w:r>
          </w:p>
        </w:tc>
        <w:tc>
          <w:tcPr>
            <w:tcW w:w="1012" w:type="dxa"/>
            <w:vAlign w:val="center"/>
          </w:tcPr>
          <w:p w:rsidR="00206626" w:rsidRPr="00D630D1" w:rsidRDefault="00206626" w:rsidP="00A71F59">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0.49</w:t>
            </w:r>
          </w:p>
        </w:tc>
        <w:tc>
          <w:tcPr>
            <w:tcW w:w="1012" w:type="dxa"/>
            <w:vAlign w:val="center"/>
          </w:tcPr>
          <w:p w:rsidR="00206626" w:rsidRPr="00D630D1" w:rsidRDefault="00206626" w:rsidP="00A71F59">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0.52</w:t>
            </w:r>
          </w:p>
        </w:tc>
        <w:tc>
          <w:tcPr>
            <w:tcW w:w="1012" w:type="dxa"/>
            <w:vAlign w:val="center"/>
          </w:tcPr>
          <w:p w:rsidR="00206626" w:rsidRPr="00D630D1" w:rsidRDefault="00206626" w:rsidP="00A71F59">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0.49</w:t>
            </w:r>
          </w:p>
        </w:tc>
      </w:tr>
      <w:tr w:rsidR="00206626" w:rsidRPr="00D630D1" w:rsidTr="00435B66">
        <w:trPr>
          <w:trHeight w:val="309"/>
          <w:jc w:val="center"/>
        </w:trPr>
        <w:tc>
          <w:tcPr>
            <w:tcW w:w="3466" w:type="dxa"/>
            <w:vAlign w:val="center"/>
          </w:tcPr>
          <w:p w:rsidR="0020662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溶解性总固体</w:t>
            </w:r>
          </w:p>
        </w:tc>
        <w:tc>
          <w:tcPr>
            <w:tcW w:w="1010" w:type="dxa"/>
            <w:vAlign w:val="center"/>
          </w:tcPr>
          <w:p w:rsidR="00206626" w:rsidRPr="00D630D1" w:rsidRDefault="00206626"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0.64</w:t>
            </w:r>
          </w:p>
        </w:tc>
        <w:tc>
          <w:tcPr>
            <w:tcW w:w="1010" w:type="dxa"/>
            <w:vAlign w:val="center"/>
          </w:tcPr>
          <w:p w:rsidR="00206626" w:rsidRPr="00D630D1" w:rsidRDefault="00206626" w:rsidP="00A71F59">
            <w:pPr>
              <w:snapToGrid w:val="0"/>
              <w:ind w:firstLineChars="0" w:firstLine="0"/>
              <w:jc w:val="center"/>
              <w:rPr>
                <w:rFonts w:ascii="Times New Roman" w:cs="Times New Roman"/>
                <w:kern w:val="2"/>
                <w:sz w:val="21"/>
                <w:szCs w:val="21"/>
              </w:rPr>
            </w:pPr>
            <w:r>
              <w:rPr>
                <w:rFonts w:ascii="Times New Roman" w:cs="Times New Roman" w:hint="eastAsia"/>
                <w:bCs/>
                <w:kern w:val="2"/>
                <w:sz w:val="21"/>
                <w:szCs w:val="21"/>
              </w:rPr>
              <w:t>0.79</w:t>
            </w:r>
          </w:p>
        </w:tc>
        <w:tc>
          <w:tcPr>
            <w:tcW w:w="1012" w:type="dxa"/>
            <w:vAlign w:val="center"/>
          </w:tcPr>
          <w:p w:rsidR="00206626" w:rsidRPr="00D630D1" w:rsidRDefault="00206626" w:rsidP="00A71F59">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0.60</w:t>
            </w:r>
          </w:p>
        </w:tc>
        <w:tc>
          <w:tcPr>
            <w:tcW w:w="1012" w:type="dxa"/>
            <w:vAlign w:val="center"/>
          </w:tcPr>
          <w:p w:rsidR="00206626" w:rsidRPr="00D630D1" w:rsidRDefault="00206626" w:rsidP="00A71F59">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0.86</w:t>
            </w:r>
          </w:p>
        </w:tc>
        <w:tc>
          <w:tcPr>
            <w:tcW w:w="1012" w:type="dxa"/>
            <w:vAlign w:val="center"/>
          </w:tcPr>
          <w:p w:rsidR="00206626" w:rsidRPr="00D630D1" w:rsidRDefault="00206626" w:rsidP="00A71F59">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0.83</w:t>
            </w:r>
          </w:p>
        </w:tc>
      </w:tr>
      <w:tr w:rsidR="00206626" w:rsidRPr="00D630D1" w:rsidTr="00435B66">
        <w:trPr>
          <w:trHeight w:val="309"/>
          <w:jc w:val="center"/>
        </w:trPr>
        <w:tc>
          <w:tcPr>
            <w:tcW w:w="3466" w:type="dxa"/>
            <w:vAlign w:val="center"/>
          </w:tcPr>
          <w:p w:rsidR="0020662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氯化物</w:t>
            </w:r>
          </w:p>
        </w:tc>
        <w:tc>
          <w:tcPr>
            <w:tcW w:w="1010" w:type="dxa"/>
            <w:vAlign w:val="center"/>
          </w:tcPr>
          <w:p w:rsidR="00206626" w:rsidRPr="00D630D1" w:rsidRDefault="00206626"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0.04</w:t>
            </w:r>
          </w:p>
        </w:tc>
        <w:tc>
          <w:tcPr>
            <w:tcW w:w="1010" w:type="dxa"/>
            <w:vAlign w:val="center"/>
          </w:tcPr>
          <w:p w:rsidR="00206626" w:rsidRPr="00D630D1" w:rsidRDefault="00206626"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0.01</w:t>
            </w:r>
          </w:p>
        </w:tc>
        <w:tc>
          <w:tcPr>
            <w:tcW w:w="1012" w:type="dxa"/>
            <w:vAlign w:val="center"/>
          </w:tcPr>
          <w:p w:rsidR="00206626" w:rsidRPr="00D630D1" w:rsidRDefault="00206626"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0.01</w:t>
            </w:r>
          </w:p>
        </w:tc>
        <w:tc>
          <w:tcPr>
            <w:tcW w:w="1012" w:type="dxa"/>
            <w:vAlign w:val="center"/>
          </w:tcPr>
          <w:p w:rsidR="00206626" w:rsidRPr="00D630D1" w:rsidRDefault="00BD22C8" w:rsidP="00A71F59">
            <w:pPr>
              <w:snapToGrid w:val="0"/>
              <w:ind w:firstLineChars="0" w:firstLine="0"/>
              <w:jc w:val="center"/>
              <w:rPr>
                <w:rFonts w:ascii="Times New Roman" w:cs="Times New Roman"/>
                <w:kern w:val="2"/>
                <w:sz w:val="21"/>
                <w:szCs w:val="21"/>
              </w:rPr>
            </w:pPr>
            <w:r>
              <w:rPr>
                <w:rFonts w:ascii="Times New Roman" w:cs="Times New Roman" w:hint="eastAsia"/>
                <w:bCs/>
                <w:kern w:val="2"/>
                <w:sz w:val="21"/>
                <w:szCs w:val="21"/>
              </w:rPr>
              <w:t>0.10</w:t>
            </w:r>
          </w:p>
        </w:tc>
        <w:tc>
          <w:tcPr>
            <w:tcW w:w="1012" w:type="dxa"/>
            <w:vAlign w:val="center"/>
          </w:tcPr>
          <w:p w:rsidR="00206626" w:rsidRPr="00D630D1" w:rsidRDefault="00BD22C8" w:rsidP="00A71F59">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0.05</w:t>
            </w:r>
          </w:p>
        </w:tc>
      </w:tr>
      <w:tr w:rsidR="00206626" w:rsidRPr="00D630D1" w:rsidTr="00A71F59">
        <w:trPr>
          <w:trHeight w:val="309"/>
          <w:jc w:val="center"/>
        </w:trPr>
        <w:tc>
          <w:tcPr>
            <w:tcW w:w="3466" w:type="dxa"/>
            <w:vAlign w:val="center"/>
          </w:tcPr>
          <w:p w:rsidR="00206626" w:rsidRPr="00D630D1" w:rsidRDefault="00206626"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铁（</w:t>
            </w:r>
            <w:r w:rsidRPr="00D630D1">
              <w:rPr>
                <w:rFonts w:ascii="Times New Roman" w:hAnsi="宋体" w:cs="Times New Roman"/>
                <w:sz w:val="21"/>
              </w:rPr>
              <w:t>Fe</w:t>
            </w:r>
            <w:r w:rsidRPr="00D630D1">
              <w:rPr>
                <w:rFonts w:ascii="Times New Roman" w:hAnsi="宋体" w:cs="Times New Roman"/>
                <w:sz w:val="21"/>
              </w:rPr>
              <w:t>）</w:t>
            </w:r>
          </w:p>
        </w:tc>
        <w:tc>
          <w:tcPr>
            <w:tcW w:w="1010" w:type="dxa"/>
            <w:vAlign w:val="center"/>
          </w:tcPr>
          <w:p w:rsidR="00206626" w:rsidRPr="00D630D1" w:rsidRDefault="00BD22C8" w:rsidP="00A71F59">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0.26</w:t>
            </w:r>
          </w:p>
        </w:tc>
        <w:tc>
          <w:tcPr>
            <w:tcW w:w="1010" w:type="dxa"/>
            <w:vAlign w:val="center"/>
          </w:tcPr>
          <w:p w:rsidR="00206626" w:rsidRPr="00D630D1" w:rsidRDefault="00BD22C8" w:rsidP="00A71F59">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0.13</w:t>
            </w:r>
          </w:p>
        </w:tc>
        <w:tc>
          <w:tcPr>
            <w:tcW w:w="1012" w:type="dxa"/>
            <w:vAlign w:val="center"/>
          </w:tcPr>
          <w:p w:rsidR="00206626" w:rsidRPr="00D630D1" w:rsidRDefault="00BD22C8" w:rsidP="00A71F59">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0.12</w:t>
            </w:r>
          </w:p>
        </w:tc>
        <w:tc>
          <w:tcPr>
            <w:tcW w:w="1012" w:type="dxa"/>
            <w:vAlign w:val="center"/>
          </w:tcPr>
          <w:p w:rsidR="00206626" w:rsidRPr="00D630D1" w:rsidRDefault="00BD22C8" w:rsidP="00A71F59">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0.24</w:t>
            </w:r>
          </w:p>
        </w:tc>
        <w:tc>
          <w:tcPr>
            <w:tcW w:w="1012" w:type="dxa"/>
            <w:vAlign w:val="center"/>
          </w:tcPr>
          <w:p w:rsidR="00206626" w:rsidRPr="00D630D1" w:rsidRDefault="00BD22C8" w:rsidP="00A71F59">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0.12</w:t>
            </w:r>
          </w:p>
        </w:tc>
      </w:tr>
      <w:tr w:rsidR="00BD22C8" w:rsidRPr="00D630D1" w:rsidTr="00A71F59">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锰（</w:t>
            </w:r>
            <w:r w:rsidRPr="00D630D1">
              <w:rPr>
                <w:rFonts w:ascii="Times New Roman" w:hAnsi="宋体" w:cs="Times New Roman"/>
                <w:sz w:val="21"/>
              </w:rPr>
              <w:t>Mn</w:t>
            </w:r>
            <w:r w:rsidRPr="00D630D1">
              <w:rPr>
                <w:rFonts w:ascii="Times New Roman" w:hAnsi="宋体" w:cs="Times New Roman"/>
                <w:sz w:val="21"/>
              </w:rPr>
              <w:t>）</w:t>
            </w:r>
          </w:p>
        </w:tc>
        <w:tc>
          <w:tcPr>
            <w:tcW w:w="1010" w:type="dxa"/>
            <w:vAlign w:val="center"/>
          </w:tcPr>
          <w:p w:rsidR="00BD22C8" w:rsidRPr="00D630D1" w:rsidRDefault="00BD22C8" w:rsidP="00A71F59">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0.04</w:t>
            </w:r>
          </w:p>
        </w:tc>
        <w:tc>
          <w:tcPr>
            <w:tcW w:w="1010" w:type="dxa"/>
            <w:vAlign w:val="center"/>
          </w:tcPr>
          <w:p w:rsidR="00BD22C8" w:rsidRPr="00D630D1" w:rsidRDefault="00BD22C8" w:rsidP="00A71F59">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0.002</w:t>
            </w:r>
          </w:p>
        </w:tc>
        <w:tc>
          <w:tcPr>
            <w:tcW w:w="1012" w:type="dxa"/>
            <w:vAlign w:val="center"/>
          </w:tcPr>
          <w:p w:rsidR="00BD22C8" w:rsidRPr="00D630D1" w:rsidRDefault="00BD22C8" w:rsidP="00A71F59">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0.003</w:t>
            </w:r>
          </w:p>
        </w:tc>
        <w:tc>
          <w:tcPr>
            <w:tcW w:w="1012" w:type="dxa"/>
            <w:vAlign w:val="center"/>
          </w:tcPr>
          <w:p w:rsidR="00BD22C8" w:rsidRPr="00D630D1" w:rsidRDefault="00BD22C8" w:rsidP="00A71F59">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0.009</w:t>
            </w:r>
          </w:p>
        </w:tc>
        <w:tc>
          <w:tcPr>
            <w:tcW w:w="1012" w:type="dxa"/>
            <w:vAlign w:val="center"/>
          </w:tcPr>
          <w:p w:rsidR="00BD22C8" w:rsidRPr="00D630D1" w:rsidRDefault="00BD22C8" w:rsidP="00A71F59">
            <w:pPr>
              <w:topLinePunct w:val="0"/>
              <w:snapToGrid w:val="0"/>
              <w:spacing w:line="240" w:lineRule="auto"/>
              <w:ind w:firstLineChars="0" w:firstLine="0"/>
              <w:jc w:val="center"/>
              <w:rPr>
                <w:rFonts w:ascii="Times New Roman" w:cs="Times New Roman"/>
                <w:bCs/>
                <w:kern w:val="2"/>
                <w:sz w:val="21"/>
                <w:szCs w:val="21"/>
              </w:rPr>
            </w:pPr>
            <w:r>
              <w:rPr>
                <w:rFonts w:ascii="Times New Roman" w:cs="Times New Roman" w:hint="eastAsia"/>
                <w:bCs/>
                <w:kern w:val="2"/>
                <w:sz w:val="21"/>
                <w:szCs w:val="21"/>
              </w:rPr>
              <w:t>0.01</w:t>
            </w:r>
          </w:p>
        </w:tc>
      </w:tr>
      <w:tr w:rsidR="00BD22C8" w:rsidRPr="00D630D1" w:rsidTr="00A71F59">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挥发酚</w:t>
            </w:r>
          </w:p>
        </w:tc>
        <w:tc>
          <w:tcPr>
            <w:tcW w:w="1010" w:type="dxa"/>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0" w:type="dxa"/>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r>
      <w:tr w:rsidR="00BD22C8" w:rsidRPr="00D630D1" w:rsidTr="00435B66">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耗氧量</w:t>
            </w:r>
          </w:p>
        </w:tc>
        <w:tc>
          <w:tcPr>
            <w:tcW w:w="1010" w:type="dxa"/>
            <w:vAlign w:val="center"/>
          </w:tcPr>
          <w:p w:rsidR="00BD22C8" w:rsidRPr="00D630D1" w:rsidRDefault="00BD22C8"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0.73</w:t>
            </w:r>
          </w:p>
        </w:tc>
        <w:tc>
          <w:tcPr>
            <w:tcW w:w="1010" w:type="dxa"/>
            <w:vAlign w:val="center"/>
          </w:tcPr>
          <w:p w:rsidR="00BD22C8" w:rsidRPr="00D630D1" w:rsidRDefault="00BD22C8" w:rsidP="00A71F59">
            <w:pPr>
              <w:snapToGrid w:val="0"/>
              <w:ind w:firstLineChars="0" w:firstLine="0"/>
              <w:jc w:val="center"/>
              <w:rPr>
                <w:rFonts w:ascii="Times New Roman" w:cs="Times New Roman"/>
                <w:kern w:val="2"/>
                <w:sz w:val="21"/>
                <w:szCs w:val="21"/>
              </w:rPr>
            </w:pPr>
            <w:r>
              <w:rPr>
                <w:rFonts w:ascii="Times New Roman" w:cs="Times New Roman" w:hint="eastAsia"/>
                <w:bCs/>
                <w:kern w:val="2"/>
                <w:sz w:val="21"/>
                <w:szCs w:val="21"/>
              </w:rPr>
              <w:t>0.4</w:t>
            </w:r>
          </w:p>
        </w:tc>
        <w:tc>
          <w:tcPr>
            <w:tcW w:w="1012" w:type="dxa"/>
            <w:vAlign w:val="center"/>
          </w:tcPr>
          <w:p w:rsidR="00BD22C8" w:rsidRPr="00D630D1" w:rsidRDefault="00BD22C8" w:rsidP="00A71F59">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0.6</w:t>
            </w:r>
          </w:p>
        </w:tc>
        <w:tc>
          <w:tcPr>
            <w:tcW w:w="1012" w:type="dxa"/>
            <w:vAlign w:val="center"/>
          </w:tcPr>
          <w:p w:rsidR="00BD22C8" w:rsidRPr="00D630D1" w:rsidRDefault="00BD22C8" w:rsidP="00A71F59">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0.5</w:t>
            </w:r>
          </w:p>
        </w:tc>
        <w:tc>
          <w:tcPr>
            <w:tcW w:w="1012" w:type="dxa"/>
            <w:vAlign w:val="center"/>
          </w:tcPr>
          <w:p w:rsidR="00BD22C8" w:rsidRPr="00D630D1" w:rsidRDefault="00BD22C8" w:rsidP="00A71F59">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0.67</w:t>
            </w:r>
          </w:p>
        </w:tc>
      </w:tr>
      <w:tr w:rsidR="00BD22C8" w:rsidRPr="00D630D1" w:rsidTr="00435B66">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硝酸盐（以</w:t>
            </w:r>
            <w:r w:rsidRPr="00D630D1">
              <w:rPr>
                <w:rFonts w:ascii="Times New Roman" w:hAnsi="宋体" w:cs="Times New Roman"/>
                <w:sz w:val="21"/>
              </w:rPr>
              <w:t>N</w:t>
            </w:r>
            <w:r w:rsidRPr="00D630D1">
              <w:rPr>
                <w:rFonts w:ascii="Times New Roman" w:hAnsi="宋体" w:cs="Times New Roman"/>
                <w:sz w:val="21"/>
              </w:rPr>
              <w:t>计）</w:t>
            </w:r>
          </w:p>
        </w:tc>
        <w:tc>
          <w:tcPr>
            <w:tcW w:w="1010" w:type="dxa"/>
            <w:vAlign w:val="center"/>
          </w:tcPr>
          <w:p w:rsidR="00BD22C8" w:rsidRPr="00D630D1" w:rsidRDefault="00BD22C8" w:rsidP="00BD22C8">
            <w:pPr>
              <w:snapToGrid w:val="0"/>
              <w:ind w:firstLineChars="0" w:firstLine="0"/>
              <w:jc w:val="center"/>
              <w:rPr>
                <w:rFonts w:ascii="Times New Roman" w:cs="Times New Roman"/>
                <w:bCs/>
                <w:kern w:val="2"/>
                <w:sz w:val="21"/>
                <w:szCs w:val="21"/>
              </w:rPr>
            </w:pPr>
            <w:r w:rsidRPr="00DB073B">
              <w:rPr>
                <w:rFonts w:ascii="Times New Roman" w:cs="Times New Roman"/>
                <w:bCs/>
                <w:kern w:val="2"/>
                <w:sz w:val="21"/>
                <w:szCs w:val="21"/>
              </w:rPr>
              <w:t>0.</w:t>
            </w:r>
            <w:r>
              <w:rPr>
                <w:rFonts w:ascii="Times New Roman" w:cs="Times New Roman" w:hint="eastAsia"/>
                <w:bCs/>
                <w:kern w:val="2"/>
                <w:sz w:val="21"/>
                <w:szCs w:val="21"/>
              </w:rPr>
              <w:t>048</w:t>
            </w:r>
          </w:p>
        </w:tc>
        <w:tc>
          <w:tcPr>
            <w:tcW w:w="1010" w:type="dxa"/>
            <w:vAlign w:val="center"/>
          </w:tcPr>
          <w:p w:rsidR="00BD22C8" w:rsidRPr="00D630D1" w:rsidRDefault="00BD22C8"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0.066</w:t>
            </w:r>
          </w:p>
        </w:tc>
        <w:tc>
          <w:tcPr>
            <w:tcW w:w="1012" w:type="dxa"/>
            <w:vAlign w:val="center"/>
          </w:tcPr>
          <w:p w:rsidR="00BD22C8" w:rsidRPr="00D630D1" w:rsidRDefault="00BD22C8"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0.066</w:t>
            </w:r>
          </w:p>
        </w:tc>
        <w:tc>
          <w:tcPr>
            <w:tcW w:w="1012" w:type="dxa"/>
            <w:vAlign w:val="center"/>
          </w:tcPr>
          <w:p w:rsidR="00BD22C8" w:rsidRPr="00D630D1" w:rsidRDefault="00BD22C8"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0.163</w:t>
            </w:r>
          </w:p>
        </w:tc>
        <w:tc>
          <w:tcPr>
            <w:tcW w:w="1012" w:type="dxa"/>
            <w:vAlign w:val="center"/>
          </w:tcPr>
          <w:p w:rsidR="00BD22C8" w:rsidRPr="00D630D1" w:rsidRDefault="00BD22C8" w:rsidP="00BD22C8">
            <w:pPr>
              <w:snapToGrid w:val="0"/>
              <w:ind w:firstLineChars="0" w:firstLine="0"/>
              <w:jc w:val="center"/>
              <w:rPr>
                <w:rFonts w:ascii="Times New Roman" w:cs="Times New Roman"/>
                <w:bCs/>
                <w:kern w:val="2"/>
                <w:sz w:val="21"/>
                <w:szCs w:val="21"/>
              </w:rPr>
            </w:pPr>
            <w:r w:rsidRPr="00DB073B">
              <w:rPr>
                <w:rFonts w:ascii="Times New Roman" w:cs="Times New Roman"/>
                <w:bCs/>
                <w:kern w:val="2"/>
                <w:sz w:val="21"/>
                <w:szCs w:val="21"/>
              </w:rPr>
              <w:t>0.</w:t>
            </w:r>
            <w:r>
              <w:rPr>
                <w:rFonts w:ascii="Times New Roman" w:cs="Times New Roman" w:hint="eastAsia"/>
                <w:bCs/>
                <w:kern w:val="2"/>
                <w:sz w:val="21"/>
                <w:szCs w:val="21"/>
              </w:rPr>
              <w:t>049</w:t>
            </w:r>
          </w:p>
        </w:tc>
      </w:tr>
      <w:tr w:rsidR="00BD22C8" w:rsidRPr="00D630D1" w:rsidTr="00A71F59">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亚硝酸盐（以</w:t>
            </w:r>
            <w:r w:rsidRPr="00D630D1">
              <w:rPr>
                <w:rFonts w:ascii="Times New Roman" w:hAnsi="宋体" w:cs="Times New Roman"/>
                <w:sz w:val="21"/>
              </w:rPr>
              <w:t>N</w:t>
            </w:r>
            <w:r w:rsidRPr="00D630D1">
              <w:rPr>
                <w:rFonts w:ascii="Times New Roman" w:hAnsi="宋体" w:cs="Times New Roman"/>
                <w:sz w:val="21"/>
              </w:rPr>
              <w:t>计）</w:t>
            </w:r>
          </w:p>
        </w:tc>
        <w:tc>
          <w:tcPr>
            <w:tcW w:w="1010" w:type="dxa"/>
            <w:vAlign w:val="center"/>
          </w:tcPr>
          <w:p w:rsidR="00BD22C8" w:rsidRPr="00D630D1" w:rsidRDefault="00BD22C8" w:rsidP="00A71F59">
            <w:pPr>
              <w:topLinePunct w:val="0"/>
              <w:spacing w:line="240" w:lineRule="auto"/>
              <w:ind w:firstLineChars="0" w:firstLine="0"/>
              <w:jc w:val="center"/>
              <w:rPr>
                <w:rFonts w:ascii="Times New Roman" w:hAnsi="宋体" w:cs="Times New Roman"/>
                <w:bCs/>
                <w:kern w:val="2"/>
                <w:sz w:val="21"/>
              </w:rPr>
            </w:pPr>
            <w:r w:rsidRPr="00DB073B">
              <w:rPr>
                <w:rFonts w:ascii="Times New Roman" w:hAnsi="宋体" w:cs="Times New Roman"/>
                <w:kern w:val="2"/>
                <w:sz w:val="21"/>
              </w:rPr>
              <w:t>0.004</w:t>
            </w:r>
          </w:p>
        </w:tc>
        <w:tc>
          <w:tcPr>
            <w:tcW w:w="1010" w:type="dxa"/>
            <w:vAlign w:val="center"/>
          </w:tcPr>
          <w:p w:rsidR="00BD22C8" w:rsidRPr="00D630D1" w:rsidRDefault="00BD22C8" w:rsidP="00A71F59">
            <w:pPr>
              <w:topLinePunct w:val="0"/>
              <w:spacing w:line="240" w:lineRule="auto"/>
              <w:ind w:firstLineChars="0" w:firstLine="0"/>
              <w:jc w:val="center"/>
              <w:rPr>
                <w:rFonts w:ascii="Times New Roman" w:hAnsi="宋体" w:cs="Times New Roman"/>
                <w:bCs/>
                <w:kern w:val="2"/>
                <w:sz w:val="21"/>
              </w:rPr>
            </w:pPr>
            <w:r w:rsidRPr="00DB073B">
              <w:rPr>
                <w:rFonts w:ascii="Times New Roman" w:hAnsi="宋体" w:cs="Times New Roman"/>
                <w:kern w:val="2"/>
                <w:sz w:val="21"/>
              </w:rPr>
              <w:t>0.002</w:t>
            </w:r>
          </w:p>
        </w:tc>
        <w:tc>
          <w:tcPr>
            <w:tcW w:w="1012" w:type="dxa"/>
            <w:vAlign w:val="center"/>
          </w:tcPr>
          <w:p w:rsidR="00BD22C8" w:rsidRPr="00D630D1" w:rsidRDefault="00BD22C8" w:rsidP="00A71F59">
            <w:pPr>
              <w:topLinePunct w:val="0"/>
              <w:snapToGrid w:val="0"/>
              <w:spacing w:line="240" w:lineRule="auto"/>
              <w:ind w:firstLineChars="0" w:firstLine="0"/>
              <w:jc w:val="center"/>
              <w:rPr>
                <w:rFonts w:ascii="Times New Roman" w:hAnsi="宋体" w:cs="Times New Roman"/>
                <w:bCs/>
                <w:kern w:val="2"/>
                <w:sz w:val="21"/>
              </w:rPr>
            </w:pPr>
            <w:r w:rsidRPr="00DB073B">
              <w:rPr>
                <w:rFonts w:ascii="Times New Roman" w:hAnsi="宋体" w:cs="Times New Roman"/>
                <w:kern w:val="2"/>
                <w:sz w:val="21"/>
              </w:rPr>
              <w:t>0.002</w:t>
            </w:r>
          </w:p>
        </w:tc>
        <w:tc>
          <w:tcPr>
            <w:tcW w:w="1012" w:type="dxa"/>
            <w:vAlign w:val="center"/>
          </w:tcPr>
          <w:p w:rsidR="00BD22C8" w:rsidRPr="00D630D1" w:rsidRDefault="00BD22C8" w:rsidP="00A71F59">
            <w:pPr>
              <w:topLinePunct w:val="0"/>
              <w:snapToGrid w:val="0"/>
              <w:spacing w:line="240" w:lineRule="auto"/>
              <w:ind w:firstLineChars="0" w:firstLine="0"/>
              <w:jc w:val="center"/>
              <w:rPr>
                <w:rFonts w:ascii="Times New Roman" w:hAnsi="宋体" w:cs="Times New Roman"/>
                <w:bCs/>
                <w:kern w:val="2"/>
                <w:sz w:val="21"/>
              </w:rPr>
            </w:pPr>
            <w:r w:rsidRPr="00DB073B">
              <w:rPr>
                <w:rFonts w:ascii="Times New Roman" w:hAnsi="宋体" w:cs="Times New Roman"/>
                <w:kern w:val="2"/>
                <w:sz w:val="21"/>
              </w:rPr>
              <w:t>0.033</w:t>
            </w:r>
          </w:p>
        </w:tc>
        <w:tc>
          <w:tcPr>
            <w:tcW w:w="1012" w:type="dxa"/>
            <w:vAlign w:val="center"/>
          </w:tcPr>
          <w:p w:rsidR="00BD22C8" w:rsidRPr="00D630D1" w:rsidRDefault="00BD22C8" w:rsidP="00A71F59">
            <w:pPr>
              <w:topLinePunct w:val="0"/>
              <w:snapToGrid w:val="0"/>
              <w:spacing w:line="240" w:lineRule="auto"/>
              <w:ind w:firstLineChars="0" w:firstLine="0"/>
              <w:jc w:val="center"/>
              <w:rPr>
                <w:rFonts w:ascii="Times New Roman" w:hAnsi="宋体" w:cs="Times New Roman"/>
                <w:bCs/>
                <w:kern w:val="2"/>
                <w:sz w:val="21"/>
              </w:rPr>
            </w:pPr>
            <w:r w:rsidRPr="00DB073B">
              <w:rPr>
                <w:rFonts w:ascii="Times New Roman" w:hAnsi="宋体" w:cs="Times New Roman"/>
                <w:kern w:val="2"/>
                <w:sz w:val="21"/>
              </w:rPr>
              <w:t>0.011</w:t>
            </w:r>
          </w:p>
        </w:tc>
      </w:tr>
      <w:tr w:rsidR="00BD22C8" w:rsidRPr="00D630D1" w:rsidTr="00435B66">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硫酸盐</w:t>
            </w:r>
          </w:p>
        </w:tc>
        <w:tc>
          <w:tcPr>
            <w:tcW w:w="1010" w:type="dxa"/>
            <w:vAlign w:val="center"/>
          </w:tcPr>
          <w:p w:rsidR="00BD22C8" w:rsidRPr="00D630D1" w:rsidRDefault="00BD22C8"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0.11</w:t>
            </w:r>
          </w:p>
        </w:tc>
        <w:tc>
          <w:tcPr>
            <w:tcW w:w="1010" w:type="dxa"/>
            <w:vAlign w:val="center"/>
          </w:tcPr>
          <w:p w:rsidR="00BD22C8" w:rsidRPr="00D630D1" w:rsidRDefault="00BD22C8" w:rsidP="00A71F59">
            <w:pPr>
              <w:snapToGrid w:val="0"/>
              <w:ind w:firstLineChars="0" w:firstLine="0"/>
              <w:jc w:val="center"/>
              <w:rPr>
                <w:rFonts w:ascii="Times New Roman" w:cs="Times New Roman"/>
                <w:kern w:val="2"/>
                <w:sz w:val="21"/>
                <w:szCs w:val="21"/>
              </w:rPr>
            </w:pPr>
            <w:r>
              <w:rPr>
                <w:rFonts w:ascii="Times New Roman" w:cs="Times New Roman" w:hint="eastAsia"/>
                <w:bCs/>
                <w:kern w:val="2"/>
                <w:sz w:val="21"/>
                <w:szCs w:val="21"/>
              </w:rPr>
              <w:t>0.11</w:t>
            </w:r>
          </w:p>
        </w:tc>
        <w:tc>
          <w:tcPr>
            <w:tcW w:w="1012" w:type="dxa"/>
            <w:vAlign w:val="center"/>
          </w:tcPr>
          <w:p w:rsidR="00BD22C8" w:rsidRPr="00D630D1" w:rsidRDefault="00BD22C8" w:rsidP="00A71F59">
            <w:pPr>
              <w:snapToGrid w:val="0"/>
              <w:ind w:firstLineChars="0" w:firstLine="0"/>
              <w:jc w:val="center"/>
              <w:rPr>
                <w:rFonts w:ascii="Times New Roman" w:cs="Times New Roman"/>
                <w:kern w:val="2"/>
                <w:sz w:val="21"/>
                <w:szCs w:val="21"/>
              </w:rPr>
            </w:pPr>
            <w:r>
              <w:rPr>
                <w:rFonts w:ascii="Times New Roman" w:cs="Times New Roman" w:hint="eastAsia"/>
                <w:bCs/>
                <w:kern w:val="2"/>
                <w:sz w:val="21"/>
                <w:szCs w:val="21"/>
              </w:rPr>
              <w:t>0.05</w:t>
            </w:r>
          </w:p>
        </w:tc>
        <w:tc>
          <w:tcPr>
            <w:tcW w:w="1012" w:type="dxa"/>
            <w:vAlign w:val="center"/>
          </w:tcPr>
          <w:p w:rsidR="00BD22C8" w:rsidRPr="00D630D1" w:rsidRDefault="00BD22C8" w:rsidP="00A71F59">
            <w:pPr>
              <w:snapToGrid w:val="0"/>
              <w:ind w:firstLineChars="0" w:firstLine="0"/>
              <w:jc w:val="center"/>
              <w:rPr>
                <w:rFonts w:ascii="Times New Roman" w:cs="Times New Roman"/>
                <w:kern w:val="2"/>
                <w:sz w:val="21"/>
                <w:szCs w:val="21"/>
              </w:rPr>
            </w:pPr>
            <w:r>
              <w:rPr>
                <w:rFonts w:ascii="Times New Roman" w:cs="Times New Roman" w:hint="eastAsia"/>
                <w:bCs/>
                <w:kern w:val="2"/>
                <w:sz w:val="21"/>
                <w:szCs w:val="21"/>
              </w:rPr>
              <w:t>0.09</w:t>
            </w:r>
          </w:p>
        </w:tc>
        <w:tc>
          <w:tcPr>
            <w:tcW w:w="1012" w:type="dxa"/>
            <w:vAlign w:val="center"/>
          </w:tcPr>
          <w:p w:rsidR="00BD22C8" w:rsidRPr="00D630D1" w:rsidRDefault="00BD22C8" w:rsidP="00A71F59">
            <w:pPr>
              <w:snapToGrid w:val="0"/>
              <w:ind w:firstLineChars="0" w:firstLine="0"/>
              <w:jc w:val="center"/>
              <w:rPr>
                <w:rFonts w:ascii="Times New Roman" w:cs="Times New Roman"/>
                <w:kern w:val="2"/>
                <w:sz w:val="21"/>
                <w:szCs w:val="21"/>
              </w:rPr>
            </w:pPr>
            <w:r>
              <w:rPr>
                <w:rFonts w:ascii="Times New Roman" w:cs="Times New Roman" w:hint="eastAsia"/>
                <w:kern w:val="2"/>
                <w:sz w:val="21"/>
                <w:szCs w:val="21"/>
              </w:rPr>
              <w:t>0.05</w:t>
            </w:r>
          </w:p>
        </w:tc>
      </w:tr>
      <w:tr w:rsidR="00BD22C8" w:rsidRPr="00D630D1" w:rsidTr="00435B66">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kern w:val="2"/>
                <w:sz w:val="21"/>
              </w:rPr>
            </w:pPr>
            <w:r w:rsidRPr="00D630D1">
              <w:rPr>
                <w:rFonts w:ascii="Times New Roman" w:hAnsi="宋体" w:cs="Times New Roman"/>
                <w:sz w:val="21"/>
              </w:rPr>
              <w:t>总大肠菌群</w:t>
            </w:r>
          </w:p>
        </w:tc>
        <w:tc>
          <w:tcPr>
            <w:tcW w:w="1010" w:type="dxa"/>
            <w:vAlign w:val="center"/>
          </w:tcPr>
          <w:p w:rsidR="00BD22C8" w:rsidRPr="00D630D1" w:rsidRDefault="00BD22C8" w:rsidP="00A71F59">
            <w:pPr>
              <w:topLinePunct w:val="0"/>
              <w:snapToGrid w:val="0"/>
              <w:spacing w:line="240" w:lineRule="auto"/>
              <w:ind w:firstLineChars="0" w:firstLine="0"/>
              <w:jc w:val="center"/>
              <w:rPr>
                <w:rFonts w:ascii="Times New Roman" w:hAnsi="宋体" w:cs="Times New Roman"/>
                <w:bCs/>
                <w:kern w:val="2"/>
                <w:sz w:val="21"/>
              </w:rPr>
            </w:pPr>
            <w:r>
              <w:rPr>
                <w:rFonts w:ascii="Times New Roman" w:hAnsi="宋体" w:cs="Times New Roman" w:hint="eastAsia"/>
                <w:bCs/>
                <w:kern w:val="2"/>
                <w:sz w:val="21"/>
              </w:rPr>
              <w:t>0.13</w:t>
            </w:r>
          </w:p>
        </w:tc>
        <w:tc>
          <w:tcPr>
            <w:tcW w:w="1010" w:type="dxa"/>
            <w:vAlign w:val="center"/>
          </w:tcPr>
          <w:p w:rsidR="00BD22C8" w:rsidRPr="00D630D1" w:rsidRDefault="00BD22C8" w:rsidP="00A71F59">
            <w:pPr>
              <w:topLinePunct w:val="0"/>
              <w:snapToGrid w:val="0"/>
              <w:spacing w:line="240" w:lineRule="auto"/>
              <w:ind w:firstLineChars="0" w:firstLine="0"/>
              <w:jc w:val="center"/>
              <w:rPr>
                <w:rFonts w:ascii="Times New Roman" w:hAnsi="宋体" w:cs="Times New Roman"/>
                <w:bCs/>
                <w:kern w:val="2"/>
                <w:sz w:val="21"/>
              </w:rPr>
            </w:pPr>
            <w:r w:rsidRPr="00D630D1">
              <w:rPr>
                <w:rFonts w:ascii="Times New Roman" w:hAnsi="宋体" w:cs="Times New Roman"/>
                <w:sz w:val="21"/>
              </w:rPr>
              <w:t>/</w:t>
            </w:r>
          </w:p>
        </w:tc>
        <w:tc>
          <w:tcPr>
            <w:tcW w:w="1012" w:type="dxa"/>
            <w:vAlign w:val="center"/>
          </w:tcPr>
          <w:p w:rsidR="00BD22C8" w:rsidRPr="00D630D1" w:rsidRDefault="00BD22C8" w:rsidP="00A71F59">
            <w:pPr>
              <w:topLinePunct w:val="0"/>
              <w:snapToGrid w:val="0"/>
              <w:spacing w:line="240" w:lineRule="auto"/>
              <w:ind w:firstLineChars="0" w:firstLine="0"/>
              <w:jc w:val="center"/>
              <w:rPr>
                <w:rFonts w:ascii="Times New Roman" w:hAnsi="宋体" w:cs="Times New Roman"/>
                <w:bCs/>
                <w:kern w:val="2"/>
                <w:sz w:val="21"/>
              </w:rPr>
            </w:pPr>
            <w:r>
              <w:rPr>
                <w:rFonts w:ascii="Times New Roman" w:hAnsi="宋体" w:cs="Times New Roman" w:hint="eastAsia"/>
                <w:bCs/>
                <w:kern w:val="2"/>
                <w:sz w:val="21"/>
              </w:rPr>
              <w:t>0.07</w:t>
            </w:r>
          </w:p>
        </w:tc>
        <w:tc>
          <w:tcPr>
            <w:tcW w:w="1012" w:type="dxa"/>
            <w:vAlign w:val="center"/>
          </w:tcPr>
          <w:p w:rsidR="00BD22C8" w:rsidRPr="00D630D1" w:rsidRDefault="00BD22C8" w:rsidP="00A71F59">
            <w:pPr>
              <w:topLinePunct w:val="0"/>
              <w:snapToGrid w:val="0"/>
              <w:spacing w:line="240" w:lineRule="auto"/>
              <w:ind w:firstLineChars="0" w:firstLine="0"/>
              <w:jc w:val="center"/>
              <w:rPr>
                <w:rFonts w:ascii="Times New Roman" w:hAnsi="宋体" w:cs="Times New Roman"/>
                <w:bCs/>
                <w:kern w:val="2"/>
                <w:sz w:val="21"/>
              </w:rPr>
            </w:pPr>
            <w:r w:rsidRPr="00D630D1">
              <w:rPr>
                <w:rFonts w:ascii="Times New Roman" w:hAnsi="宋体" w:cs="Times New Roman"/>
                <w:sz w:val="21"/>
              </w:rPr>
              <w:t>/</w:t>
            </w:r>
          </w:p>
        </w:tc>
        <w:tc>
          <w:tcPr>
            <w:tcW w:w="1012" w:type="dxa"/>
            <w:vAlign w:val="center"/>
          </w:tcPr>
          <w:p w:rsidR="00BD22C8" w:rsidRPr="00D630D1" w:rsidRDefault="00BD22C8" w:rsidP="00A71F59">
            <w:pPr>
              <w:topLinePunct w:val="0"/>
              <w:snapToGrid w:val="0"/>
              <w:spacing w:line="240" w:lineRule="auto"/>
              <w:ind w:firstLineChars="0" w:firstLine="0"/>
              <w:jc w:val="center"/>
              <w:rPr>
                <w:rFonts w:ascii="Times New Roman" w:hAnsi="宋体" w:cs="Times New Roman"/>
                <w:bCs/>
                <w:kern w:val="2"/>
                <w:sz w:val="21"/>
              </w:rPr>
            </w:pPr>
            <w:r>
              <w:rPr>
                <w:rFonts w:ascii="Times New Roman" w:hAnsi="宋体" w:cs="Times New Roman" w:hint="eastAsia"/>
                <w:bCs/>
                <w:kern w:val="2"/>
                <w:sz w:val="21"/>
              </w:rPr>
              <w:t>0.07</w:t>
            </w:r>
          </w:p>
        </w:tc>
      </w:tr>
      <w:tr w:rsidR="00BD22C8" w:rsidRPr="00D630D1" w:rsidTr="00435B66">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菌落总数</w:t>
            </w:r>
          </w:p>
        </w:tc>
        <w:tc>
          <w:tcPr>
            <w:tcW w:w="1010" w:type="dxa"/>
            <w:vAlign w:val="center"/>
          </w:tcPr>
          <w:p w:rsidR="00BD22C8" w:rsidRPr="00D630D1" w:rsidRDefault="00BD22C8"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0.17</w:t>
            </w:r>
          </w:p>
        </w:tc>
        <w:tc>
          <w:tcPr>
            <w:tcW w:w="1010" w:type="dxa"/>
            <w:vAlign w:val="center"/>
          </w:tcPr>
          <w:p w:rsidR="00BD22C8" w:rsidRPr="00D630D1" w:rsidRDefault="00BD22C8"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0.18</w:t>
            </w:r>
          </w:p>
        </w:tc>
        <w:tc>
          <w:tcPr>
            <w:tcW w:w="1012" w:type="dxa"/>
            <w:vAlign w:val="center"/>
          </w:tcPr>
          <w:p w:rsidR="00BD22C8" w:rsidRPr="00D630D1" w:rsidRDefault="00BD22C8"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0.22</w:t>
            </w:r>
          </w:p>
        </w:tc>
        <w:tc>
          <w:tcPr>
            <w:tcW w:w="1012" w:type="dxa"/>
            <w:vAlign w:val="center"/>
          </w:tcPr>
          <w:p w:rsidR="00BD22C8" w:rsidRPr="00D630D1" w:rsidRDefault="00BD22C8"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0.12</w:t>
            </w:r>
          </w:p>
        </w:tc>
        <w:tc>
          <w:tcPr>
            <w:tcW w:w="1012" w:type="dxa"/>
            <w:vAlign w:val="center"/>
          </w:tcPr>
          <w:p w:rsidR="00BD22C8" w:rsidRPr="00D630D1" w:rsidRDefault="00BD22C8" w:rsidP="00A71F59">
            <w:pPr>
              <w:snapToGrid w:val="0"/>
              <w:ind w:firstLineChars="0" w:firstLine="0"/>
              <w:jc w:val="center"/>
              <w:rPr>
                <w:rFonts w:ascii="Times New Roman" w:cs="Times New Roman"/>
                <w:bCs/>
                <w:kern w:val="2"/>
                <w:sz w:val="21"/>
                <w:szCs w:val="21"/>
              </w:rPr>
            </w:pPr>
            <w:r>
              <w:rPr>
                <w:rFonts w:ascii="Times New Roman" w:cs="Times New Roman" w:hint="eastAsia"/>
                <w:bCs/>
                <w:kern w:val="2"/>
                <w:sz w:val="21"/>
                <w:szCs w:val="21"/>
              </w:rPr>
              <w:t>0.20</w:t>
            </w:r>
          </w:p>
        </w:tc>
      </w:tr>
      <w:tr w:rsidR="00BD22C8" w:rsidRPr="00D630D1" w:rsidTr="00435B66">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氨氮</w:t>
            </w:r>
          </w:p>
        </w:tc>
        <w:tc>
          <w:tcPr>
            <w:tcW w:w="1010" w:type="dxa"/>
            <w:vAlign w:val="center"/>
          </w:tcPr>
          <w:p w:rsidR="00BD22C8" w:rsidRPr="00D630D1" w:rsidRDefault="00BD22C8" w:rsidP="00BD22C8">
            <w:pPr>
              <w:snapToGrid w:val="0"/>
              <w:ind w:firstLineChars="0" w:firstLine="0"/>
              <w:jc w:val="center"/>
              <w:rPr>
                <w:rFonts w:ascii="Times New Roman" w:cs="Times New Roman"/>
                <w:bCs/>
                <w:kern w:val="2"/>
                <w:sz w:val="21"/>
                <w:szCs w:val="21"/>
              </w:rPr>
            </w:pPr>
            <w:r w:rsidRPr="00206626">
              <w:rPr>
                <w:rFonts w:ascii="Times New Roman" w:cs="Times New Roman"/>
                <w:bCs/>
                <w:kern w:val="2"/>
                <w:sz w:val="21"/>
                <w:szCs w:val="21"/>
              </w:rPr>
              <w:t>0.</w:t>
            </w:r>
            <w:r>
              <w:rPr>
                <w:rFonts w:ascii="Times New Roman" w:cs="Times New Roman" w:hint="eastAsia"/>
                <w:bCs/>
                <w:kern w:val="2"/>
                <w:sz w:val="21"/>
                <w:szCs w:val="21"/>
              </w:rPr>
              <w:t>29</w:t>
            </w:r>
          </w:p>
        </w:tc>
        <w:tc>
          <w:tcPr>
            <w:tcW w:w="1010" w:type="dxa"/>
            <w:vAlign w:val="center"/>
          </w:tcPr>
          <w:p w:rsidR="00BD22C8" w:rsidRPr="00D630D1" w:rsidRDefault="00BD22C8" w:rsidP="00BD22C8">
            <w:pPr>
              <w:snapToGrid w:val="0"/>
              <w:ind w:firstLineChars="0" w:firstLine="0"/>
              <w:jc w:val="center"/>
              <w:rPr>
                <w:rFonts w:ascii="Times New Roman" w:cs="Times New Roman"/>
                <w:bCs/>
                <w:kern w:val="2"/>
                <w:sz w:val="21"/>
                <w:szCs w:val="21"/>
              </w:rPr>
            </w:pPr>
            <w:r w:rsidRPr="00206626">
              <w:rPr>
                <w:rFonts w:ascii="Times New Roman" w:cs="Times New Roman"/>
                <w:bCs/>
                <w:kern w:val="2"/>
                <w:sz w:val="21"/>
                <w:szCs w:val="21"/>
              </w:rPr>
              <w:t>0.</w:t>
            </w:r>
            <w:r>
              <w:rPr>
                <w:rFonts w:ascii="Times New Roman" w:cs="Times New Roman" w:hint="eastAsia"/>
                <w:bCs/>
                <w:kern w:val="2"/>
                <w:sz w:val="21"/>
                <w:szCs w:val="21"/>
              </w:rPr>
              <w:t>24</w:t>
            </w:r>
          </w:p>
        </w:tc>
        <w:tc>
          <w:tcPr>
            <w:tcW w:w="1012" w:type="dxa"/>
            <w:vAlign w:val="center"/>
          </w:tcPr>
          <w:p w:rsidR="00BD22C8" w:rsidRPr="00D630D1" w:rsidRDefault="00BD22C8" w:rsidP="00BD22C8">
            <w:pPr>
              <w:snapToGrid w:val="0"/>
              <w:ind w:firstLineChars="0" w:firstLine="0"/>
              <w:jc w:val="center"/>
              <w:rPr>
                <w:rFonts w:ascii="Times New Roman" w:cs="Times New Roman"/>
                <w:bCs/>
                <w:kern w:val="2"/>
                <w:sz w:val="21"/>
                <w:szCs w:val="21"/>
              </w:rPr>
            </w:pPr>
            <w:r w:rsidRPr="00D630D1">
              <w:rPr>
                <w:rFonts w:ascii="Times New Roman" w:cs="Times New Roman" w:hint="eastAsia"/>
                <w:bCs/>
                <w:kern w:val="2"/>
                <w:sz w:val="21"/>
                <w:szCs w:val="21"/>
              </w:rPr>
              <w:t>0.</w:t>
            </w:r>
            <w:r>
              <w:rPr>
                <w:rFonts w:ascii="Times New Roman" w:cs="Times New Roman" w:hint="eastAsia"/>
                <w:bCs/>
                <w:kern w:val="2"/>
                <w:sz w:val="21"/>
                <w:szCs w:val="21"/>
              </w:rPr>
              <w:t>26</w:t>
            </w:r>
          </w:p>
        </w:tc>
        <w:tc>
          <w:tcPr>
            <w:tcW w:w="1012" w:type="dxa"/>
            <w:vAlign w:val="center"/>
          </w:tcPr>
          <w:p w:rsidR="00BD22C8" w:rsidRPr="00D630D1" w:rsidRDefault="00BD22C8" w:rsidP="00BD22C8">
            <w:pPr>
              <w:snapToGrid w:val="0"/>
              <w:ind w:firstLineChars="0" w:firstLine="0"/>
              <w:jc w:val="center"/>
              <w:rPr>
                <w:rFonts w:ascii="Times New Roman" w:cs="Times New Roman"/>
                <w:bCs/>
                <w:kern w:val="2"/>
                <w:sz w:val="21"/>
                <w:szCs w:val="21"/>
              </w:rPr>
            </w:pPr>
            <w:r w:rsidRPr="00206626">
              <w:rPr>
                <w:rFonts w:ascii="Times New Roman" w:cs="Times New Roman"/>
                <w:bCs/>
                <w:kern w:val="2"/>
                <w:sz w:val="21"/>
                <w:szCs w:val="21"/>
              </w:rPr>
              <w:t>0.</w:t>
            </w:r>
            <w:r>
              <w:rPr>
                <w:rFonts w:ascii="Times New Roman" w:cs="Times New Roman" w:hint="eastAsia"/>
                <w:bCs/>
                <w:kern w:val="2"/>
                <w:sz w:val="21"/>
                <w:szCs w:val="21"/>
              </w:rPr>
              <w:t>33</w:t>
            </w:r>
          </w:p>
        </w:tc>
        <w:tc>
          <w:tcPr>
            <w:tcW w:w="1012" w:type="dxa"/>
            <w:vAlign w:val="center"/>
          </w:tcPr>
          <w:p w:rsidR="00BD22C8" w:rsidRPr="00D630D1" w:rsidRDefault="00BD22C8" w:rsidP="00BD22C8">
            <w:pPr>
              <w:snapToGrid w:val="0"/>
              <w:ind w:firstLineChars="0" w:firstLine="0"/>
              <w:jc w:val="center"/>
              <w:rPr>
                <w:rFonts w:ascii="Times New Roman" w:cs="Times New Roman"/>
                <w:bCs/>
                <w:kern w:val="2"/>
                <w:sz w:val="21"/>
                <w:szCs w:val="21"/>
              </w:rPr>
            </w:pPr>
            <w:r w:rsidRPr="00206626">
              <w:rPr>
                <w:rFonts w:ascii="Times New Roman" w:cs="Times New Roman"/>
                <w:bCs/>
                <w:kern w:val="2"/>
                <w:sz w:val="21"/>
                <w:szCs w:val="21"/>
              </w:rPr>
              <w:t>0.</w:t>
            </w:r>
            <w:r>
              <w:rPr>
                <w:rFonts w:ascii="Times New Roman" w:cs="Times New Roman" w:hint="eastAsia"/>
                <w:bCs/>
                <w:kern w:val="2"/>
                <w:sz w:val="21"/>
                <w:szCs w:val="21"/>
              </w:rPr>
              <w:t>42</w:t>
            </w:r>
          </w:p>
        </w:tc>
      </w:tr>
      <w:tr w:rsidR="00BD22C8" w:rsidRPr="00D630D1" w:rsidTr="00A71F59">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氟化物</w:t>
            </w:r>
          </w:p>
        </w:tc>
        <w:tc>
          <w:tcPr>
            <w:tcW w:w="1010" w:type="dxa"/>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0" w:type="dxa"/>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r>
      <w:tr w:rsidR="00BD22C8" w:rsidRPr="00D630D1" w:rsidTr="00A71F59">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氰化物</w:t>
            </w:r>
          </w:p>
        </w:tc>
        <w:tc>
          <w:tcPr>
            <w:tcW w:w="1010" w:type="dxa"/>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0" w:type="dxa"/>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r>
      <w:tr w:rsidR="00BD22C8" w:rsidRPr="00D630D1" w:rsidTr="00A71F59">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汞（</w:t>
            </w:r>
            <w:r w:rsidRPr="00D630D1">
              <w:rPr>
                <w:rFonts w:ascii="Times New Roman" w:hAnsi="宋体" w:cs="Times New Roman"/>
                <w:sz w:val="21"/>
              </w:rPr>
              <w:t>Hg</w:t>
            </w:r>
            <w:r w:rsidRPr="00D630D1">
              <w:rPr>
                <w:rFonts w:ascii="Times New Roman" w:hAnsi="宋体" w:cs="Times New Roman"/>
                <w:sz w:val="21"/>
              </w:rPr>
              <w:t>）</w:t>
            </w:r>
          </w:p>
        </w:tc>
        <w:tc>
          <w:tcPr>
            <w:tcW w:w="1010" w:type="dxa"/>
            <w:vAlign w:val="center"/>
          </w:tcPr>
          <w:p w:rsidR="00BD22C8" w:rsidRPr="00D630D1" w:rsidRDefault="00BD22C8" w:rsidP="00A71F59">
            <w:pPr>
              <w:topLinePunct w:val="0"/>
              <w:snapToGrid w:val="0"/>
              <w:spacing w:line="240" w:lineRule="auto"/>
              <w:ind w:firstLineChars="0" w:firstLine="0"/>
              <w:jc w:val="center"/>
              <w:rPr>
                <w:rFonts w:ascii="Times New Roman" w:cs="Times New Roman"/>
                <w:bCs/>
                <w:kern w:val="2"/>
                <w:sz w:val="21"/>
                <w:szCs w:val="21"/>
              </w:rPr>
            </w:pPr>
            <w:r w:rsidRPr="00D630D1">
              <w:rPr>
                <w:rFonts w:ascii="Times New Roman" w:hAnsi="宋体" w:cs="Times New Roman"/>
                <w:sz w:val="21"/>
              </w:rPr>
              <w:t>/</w:t>
            </w:r>
          </w:p>
        </w:tc>
        <w:tc>
          <w:tcPr>
            <w:tcW w:w="1010" w:type="dxa"/>
            <w:vAlign w:val="center"/>
          </w:tcPr>
          <w:p w:rsidR="00BD22C8" w:rsidRPr="00D630D1" w:rsidRDefault="00BD22C8" w:rsidP="00BD22C8">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0.11</w:t>
            </w:r>
          </w:p>
        </w:tc>
        <w:tc>
          <w:tcPr>
            <w:tcW w:w="1012" w:type="dxa"/>
            <w:vAlign w:val="center"/>
          </w:tcPr>
          <w:p w:rsidR="00BD22C8" w:rsidRPr="00D630D1" w:rsidRDefault="00BD22C8" w:rsidP="00BD22C8">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w:t>
            </w:r>
            <w:r>
              <w:rPr>
                <w:rFonts w:ascii="Times New Roman" w:cs="Times New Roman" w:hint="eastAsia"/>
                <w:kern w:val="2"/>
                <w:sz w:val="21"/>
                <w:szCs w:val="21"/>
              </w:rPr>
              <w:t>05</w:t>
            </w:r>
          </w:p>
        </w:tc>
        <w:tc>
          <w:tcPr>
            <w:tcW w:w="1012" w:type="dxa"/>
            <w:vAlign w:val="center"/>
          </w:tcPr>
          <w:p w:rsidR="00BD22C8" w:rsidRPr="00D630D1" w:rsidRDefault="00BD22C8" w:rsidP="00BD22C8">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w:t>
            </w:r>
            <w:r>
              <w:rPr>
                <w:rFonts w:ascii="Times New Roman" w:cs="Times New Roman" w:hint="eastAsia"/>
                <w:kern w:val="2"/>
                <w:sz w:val="21"/>
                <w:szCs w:val="21"/>
              </w:rPr>
              <w:t>14</w:t>
            </w:r>
          </w:p>
        </w:tc>
        <w:tc>
          <w:tcPr>
            <w:tcW w:w="1012" w:type="dxa"/>
            <w:vAlign w:val="center"/>
          </w:tcPr>
          <w:p w:rsidR="00BD22C8" w:rsidRPr="00D630D1" w:rsidRDefault="00BD22C8" w:rsidP="00BD22C8">
            <w:pPr>
              <w:topLinePunct w:val="0"/>
              <w:snapToGrid w:val="0"/>
              <w:spacing w:line="240" w:lineRule="auto"/>
              <w:ind w:firstLineChars="0" w:firstLine="0"/>
              <w:jc w:val="center"/>
              <w:rPr>
                <w:rFonts w:ascii="Times New Roman" w:cs="Times New Roman"/>
                <w:bCs/>
                <w:kern w:val="2"/>
                <w:sz w:val="21"/>
                <w:szCs w:val="21"/>
              </w:rPr>
            </w:pPr>
            <w:r w:rsidRPr="00206626">
              <w:rPr>
                <w:rFonts w:ascii="Times New Roman" w:cs="Times New Roman"/>
                <w:kern w:val="2"/>
                <w:sz w:val="21"/>
                <w:szCs w:val="21"/>
              </w:rPr>
              <w:t>0.</w:t>
            </w:r>
            <w:r>
              <w:rPr>
                <w:rFonts w:ascii="Times New Roman" w:cs="Times New Roman" w:hint="eastAsia"/>
                <w:kern w:val="2"/>
                <w:sz w:val="21"/>
                <w:szCs w:val="21"/>
              </w:rPr>
              <w:t>06</w:t>
            </w:r>
          </w:p>
        </w:tc>
      </w:tr>
      <w:tr w:rsidR="00BD22C8" w:rsidRPr="00D630D1" w:rsidTr="00A71F59">
        <w:trPr>
          <w:trHeight w:val="309"/>
          <w:jc w:val="center"/>
        </w:trPr>
        <w:tc>
          <w:tcPr>
            <w:tcW w:w="3466" w:type="dxa"/>
            <w:vAlign w:val="center"/>
          </w:tcPr>
          <w:p w:rsidR="00BD22C8" w:rsidRPr="00D630D1" w:rsidRDefault="00BD22C8"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砷（</w:t>
            </w:r>
            <w:r w:rsidRPr="00D630D1">
              <w:rPr>
                <w:rFonts w:ascii="Times New Roman" w:hAnsi="宋体" w:cs="Times New Roman"/>
                <w:sz w:val="21"/>
              </w:rPr>
              <w:t>As</w:t>
            </w:r>
            <w:r w:rsidRPr="00D630D1">
              <w:rPr>
                <w:rFonts w:ascii="Times New Roman" w:hAnsi="宋体" w:cs="Times New Roman"/>
                <w:sz w:val="21"/>
              </w:rPr>
              <w:t>）</w:t>
            </w:r>
          </w:p>
        </w:tc>
        <w:tc>
          <w:tcPr>
            <w:tcW w:w="1010" w:type="dxa"/>
          </w:tcPr>
          <w:p w:rsidR="00BD22C8" w:rsidRPr="00D630D1" w:rsidRDefault="00A71F59" w:rsidP="00A71F59">
            <w:pPr>
              <w:widowControl/>
              <w:topLinePunct w:val="0"/>
              <w:adjustRightInd/>
              <w:spacing w:line="240" w:lineRule="auto"/>
              <w:ind w:firstLineChars="0" w:firstLine="0"/>
              <w:jc w:val="center"/>
              <w:rPr>
                <w:rFonts w:ascii="Times New Roman" w:hAnsi="宋体" w:cs="Times New Roman"/>
                <w:sz w:val="21"/>
              </w:rPr>
            </w:pPr>
            <w:r>
              <w:rPr>
                <w:rFonts w:ascii="Times New Roman" w:cs="Times New Roman" w:hint="eastAsia"/>
                <w:kern w:val="2"/>
                <w:sz w:val="21"/>
                <w:szCs w:val="21"/>
              </w:rPr>
              <w:t>0.14</w:t>
            </w:r>
          </w:p>
        </w:tc>
        <w:tc>
          <w:tcPr>
            <w:tcW w:w="1010" w:type="dxa"/>
            <w:vAlign w:val="center"/>
          </w:tcPr>
          <w:p w:rsidR="00BD22C8" w:rsidRPr="00D630D1" w:rsidRDefault="00A71F59" w:rsidP="00A71F59">
            <w:pPr>
              <w:widowControl/>
              <w:topLinePunct w:val="0"/>
              <w:adjustRightInd/>
              <w:spacing w:line="240" w:lineRule="auto"/>
              <w:ind w:firstLineChars="0" w:firstLine="0"/>
              <w:jc w:val="center"/>
              <w:rPr>
                <w:rFonts w:ascii="Times New Roman" w:hAnsi="宋体" w:cs="Times New Roman"/>
                <w:sz w:val="21"/>
              </w:rPr>
            </w:pPr>
            <w:r>
              <w:rPr>
                <w:rFonts w:ascii="Times New Roman" w:cs="Times New Roman" w:hint="eastAsia"/>
                <w:kern w:val="2"/>
                <w:sz w:val="21"/>
                <w:szCs w:val="21"/>
              </w:rPr>
              <w:t>0.26</w:t>
            </w:r>
          </w:p>
        </w:tc>
        <w:tc>
          <w:tcPr>
            <w:tcW w:w="1012" w:type="dxa"/>
            <w:vAlign w:val="center"/>
          </w:tcPr>
          <w:p w:rsidR="00BD22C8" w:rsidRPr="00D630D1" w:rsidRDefault="00BD22C8" w:rsidP="00A71F59">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cs="Times New Roman"/>
                <w:kern w:val="2"/>
                <w:sz w:val="21"/>
                <w:szCs w:val="21"/>
              </w:rPr>
              <w:t>0.</w:t>
            </w:r>
            <w:r w:rsidR="00A71F59">
              <w:rPr>
                <w:rFonts w:ascii="Times New Roman" w:cs="Times New Roman" w:hint="eastAsia"/>
                <w:kern w:val="2"/>
                <w:sz w:val="21"/>
                <w:szCs w:val="21"/>
              </w:rPr>
              <w:t>03</w:t>
            </w:r>
          </w:p>
        </w:tc>
        <w:tc>
          <w:tcPr>
            <w:tcW w:w="1012" w:type="dxa"/>
            <w:vAlign w:val="center"/>
          </w:tcPr>
          <w:p w:rsidR="00BD22C8" w:rsidRPr="00D630D1" w:rsidRDefault="00A71F59" w:rsidP="00A71F59">
            <w:pPr>
              <w:widowControl/>
              <w:topLinePunct w:val="0"/>
              <w:adjustRightInd/>
              <w:spacing w:line="240" w:lineRule="auto"/>
              <w:ind w:firstLineChars="0" w:firstLine="0"/>
              <w:jc w:val="center"/>
              <w:rPr>
                <w:rFonts w:ascii="Times New Roman" w:hAnsi="宋体" w:cs="Times New Roman"/>
                <w:sz w:val="21"/>
              </w:rPr>
            </w:pPr>
            <w:r>
              <w:rPr>
                <w:rFonts w:ascii="Times New Roman" w:cs="Times New Roman" w:hint="eastAsia"/>
                <w:kern w:val="2"/>
                <w:sz w:val="21"/>
                <w:szCs w:val="21"/>
              </w:rPr>
              <w:t>0.12</w:t>
            </w:r>
          </w:p>
        </w:tc>
        <w:tc>
          <w:tcPr>
            <w:tcW w:w="1012" w:type="dxa"/>
            <w:vAlign w:val="center"/>
          </w:tcPr>
          <w:p w:rsidR="00BD22C8" w:rsidRPr="00D630D1" w:rsidRDefault="00A71F59" w:rsidP="00A71F59">
            <w:pPr>
              <w:widowControl/>
              <w:topLinePunct w:val="0"/>
              <w:adjustRightInd/>
              <w:spacing w:line="240" w:lineRule="auto"/>
              <w:ind w:firstLineChars="0" w:firstLine="0"/>
              <w:jc w:val="center"/>
              <w:rPr>
                <w:rFonts w:ascii="Times New Roman" w:hAnsi="宋体" w:cs="Times New Roman"/>
                <w:sz w:val="21"/>
              </w:rPr>
            </w:pPr>
            <w:r>
              <w:rPr>
                <w:rFonts w:ascii="Times New Roman" w:cs="Times New Roman" w:hint="eastAsia"/>
                <w:kern w:val="2"/>
                <w:sz w:val="21"/>
                <w:szCs w:val="21"/>
              </w:rPr>
              <w:t>0.05</w:t>
            </w:r>
          </w:p>
        </w:tc>
      </w:tr>
      <w:tr w:rsidR="00A71F59" w:rsidRPr="00D630D1" w:rsidTr="00A71F59">
        <w:trPr>
          <w:trHeight w:val="309"/>
          <w:jc w:val="center"/>
        </w:trPr>
        <w:tc>
          <w:tcPr>
            <w:tcW w:w="3466"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镉（</w:t>
            </w:r>
            <w:r w:rsidRPr="00D630D1">
              <w:rPr>
                <w:rFonts w:ascii="Times New Roman" w:hAnsi="宋体" w:cs="Times New Roman"/>
                <w:sz w:val="21"/>
              </w:rPr>
              <w:t>Cd</w:t>
            </w:r>
            <w:r w:rsidRPr="00D630D1">
              <w:rPr>
                <w:rFonts w:ascii="Times New Roman" w:hAnsi="宋体" w:cs="Times New Roman"/>
                <w:sz w:val="21"/>
              </w:rPr>
              <w:t>）</w:t>
            </w:r>
          </w:p>
        </w:tc>
        <w:tc>
          <w:tcPr>
            <w:tcW w:w="1010" w:type="dxa"/>
          </w:tcPr>
          <w:p w:rsidR="00A71F59" w:rsidRPr="00D630D1" w:rsidRDefault="00A71F59"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0" w:type="dxa"/>
          </w:tcPr>
          <w:p w:rsidR="00A71F59" w:rsidRPr="00D630D1" w:rsidRDefault="00A71F59"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A71F59">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A71F59">
            <w:pPr>
              <w:widowControl/>
              <w:topLinePunct w:val="0"/>
              <w:adjustRightInd/>
              <w:spacing w:line="240" w:lineRule="auto"/>
              <w:ind w:firstLineChars="0" w:firstLine="0"/>
              <w:jc w:val="center"/>
              <w:rPr>
                <w:rFonts w:ascii="Times New Roman" w:hAnsi="宋体" w:cs="Times New Roman"/>
                <w:sz w:val="21"/>
              </w:rPr>
            </w:pPr>
            <w:r w:rsidRPr="00206626">
              <w:rPr>
                <w:rFonts w:ascii="Times New Roman" w:hAnsi="宋体" w:cs="Times New Roman"/>
                <w:sz w:val="21"/>
              </w:rPr>
              <w:t>0.0</w:t>
            </w:r>
            <w:r>
              <w:rPr>
                <w:rFonts w:ascii="Times New Roman" w:hAnsi="宋体" w:cs="Times New Roman" w:hint="eastAsia"/>
                <w:sz w:val="21"/>
              </w:rPr>
              <w:t>1</w:t>
            </w:r>
          </w:p>
        </w:tc>
      </w:tr>
      <w:tr w:rsidR="00A71F59" w:rsidRPr="00D630D1" w:rsidTr="00435B66">
        <w:trPr>
          <w:trHeight w:val="309"/>
          <w:jc w:val="center"/>
        </w:trPr>
        <w:tc>
          <w:tcPr>
            <w:tcW w:w="3466"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铬（六价）（</w:t>
            </w:r>
            <w:r w:rsidRPr="00D630D1">
              <w:rPr>
                <w:rFonts w:ascii="Times New Roman" w:hAnsi="宋体" w:cs="Times New Roman"/>
                <w:sz w:val="21"/>
              </w:rPr>
              <w:t>Cr</w:t>
            </w:r>
            <w:r w:rsidRPr="00D630D1">
              <w:rPr>
                <w:rFonts w:ascii="Times New Roman" w:hAnsi="宋体" w:cs="Times New Roman"/>
                <w:sz w:val="21"/>
                <w:vertAlign w:val="superscript"/>
              </w:rPr>
              <w:t>6+</w:t>
            </w:r>
            <w:r w:rsidRPr="00D630D1">
              <w:rPr>
                <w:rFonts w:ascii="Times New Roman" w:hAnsi="宋体" w:cs="Times New Roman"/>
                <w:sz w:val="21"/>
              </w:rPr>
              <w:t>）</w:t>
            </w:r>
          </w:p>
        </w:tc>
        <w:tc>
          <w:tcPr>
            <w:tcW w:w="1010" w:type="dxa"/>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0" w:type="dxa"/>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r>
      <w:tr w:rsidR="00A71F59" w:rsidRPr="00D630D1" w:rsidTr="00435B66">
        <w:trPr>
          <w:trHeight w:val="309"/>
          <w:jc w:val="center"/>
        </w:trPr>
        <w:tc>
          <w:tcPr>
            <w:tcW w:w="3466"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铅（</w:t>
            </w:r>
            <w:r w:rsidRPr="00D630D1">
              <w:rPr>
                <w:rFonts w:ascii="Times New Roman" w:hAnsi="宋体" w:cs="Times New Roman"/>
                <w:sz w:val="21"/>
              </w:rPr>
              <w:t>Pb</w:t>
            </w:r>
            <w:r w:rsidRPr="00D630D1">
              <w:rPr>
                <w:rFonts w:ascii="Times New Roman" w:hAnsi="宋体" w:cs="Times New Roman"/>
                <w:sz w:val="21"/>
              </w:rPr>
              <w:t>）</w:t>
            </w:r>
          </w:p>
        </w:tc>
        <w:tc>
          <w:tcPr>
            <w:tcW w:w="1010" w:type="dxa"/>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0" w:type="dxa"/>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r>
      <w:tr w:rsidR="00A71F59" w:rsidRPr="00D630D1" w:rsidTr="00435B66">
        <w:trPr>
          <w:trHeight w:val="309"/>
          <w:jc w:val="center"/>
        </w:trPr>
        <w:tc>
          <w:tcPr>
            <w:tcW w:w="3466"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硫化物</w:t>
            </w:r>
          </w:p>
        </w:tc>
        <w:tc>
          <w:tcPr>
            <w:tcW w:w="1010" w:type="dxa"/>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0" w:type="dxa"/>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r>
      <w:tr w:rsidR="00A71F59" w:rsidRPr="00D630D1" w:rsidTr="00435B66">
        <w:trPr>
          <w:trHeight w:val="309"/>
          <w:jc w:val="center"/>
        </w:trPr>
        <w:tc>
          <w:tcPr>
            <w:tcW w:w="3466"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石油类</w:t>
            </w:r>
          </w:p>
        </w:tc>
        <w:tc>
          <w:tcPr>
            <w:tcW w:w="1010" w:type="dxa"/>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0" w:type="dxa"/>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c>
          <w:tcPr>
            <w:tcW w:w="1012" w:type="dxa"/>
            <w:vAlign w:val="center"/>
          </w:tcPr>
          <w:p w:rsidR="00A71F59" w:rsidRPr="00D630D1" w:rsidRDefault="00A71F59" w:rsidP="00507154">
            <w:pPr>
              <w:widowControl/>
              <w:topLinePunct w:val="0"/>
              <w:adjustRightInd/>
              <w:spacing w:line="240" w:lineRule="auto"/>
              <w:ind w:firstLineChars="0" w:firstLine="0"/>
              <w:jc w:val="center"/>
              <w:rPr>
                <w:rFonts w:ascii="Times New Roman" w:hAnsi="宋体" w:cs="Times New Roman"/>
                <w:sz w:val="21"/>
              </w:rPr>
            </w:pPr>
            <w:r w:rsidRPr="00D630D1">
              <w:rPr>
                <w:rFonts w:ascii="Times New Roman" w:hAnsi="宋体" w:cs="Times New Roman"/>
                <w:sz w:val="21"/>
              </w:rPr>
              <w:t>/</w:t>
            </w:r>
          </w:p>
        </w:tc>
      </w:tr>
    </w:tbl>
    <w:p w:rsidR="00DD40C6" w:rsidRPr="00D630D1" w:rsidRDefault="00DD40C6" w:rsidP="00DD40C6">
      <w:pPr>
        <w:pStyle w:val="10"/>
        <w:rPr>
          <w:rFonts w:cs="Times New Roman"/>
        </w:rPr>
      </w:pPr>
      <w:r w:rsidRPr="00D630D1">
        <w:rPr>
          <w:rFonts w:cs="Times New Roman"/>
        </w:rPr>
        <w:t>表</w:t>
      </w:r>
      <w:r w:rsidRPr="00D630D1">
        <w:rPr>
          <w:rFonts w:cs="Times New Roman"/>
        </w:rPr>
        <w:t>5.5-</w:t>
      </w:r>
      <w:r w:rsidR="00507154" w:rsidRPr="00D630D1">
        <w:rPr>
          <w:rFonts w:cs="Times New Roman" w:hint="eastAsia"/>
        </w:rPr>
        <w:t>3</w:t>
      </w:r>
      <w:r w:rsidRPr="00D630D1">
        <w:rPr>
          <w:rFonts w:cs="Times New Roman"/>
        </w:rPr>
        <w:t xml:space="preserve">  </w:t>
      </w:r>
      <w:r w:rsidRPr="00D630D1">
        <w:rPr>
          <w:rFonts w:cs="Times New Roman"/>
        </w:rPr>
        <w:t>地下水水位调查结果</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1101"/>
        <w:gridCol w:w="992"/>
        <w:gridCol w:w="1075"/>
        <w:gridCol w:w="1236"/>
        <w:gridCol w:w="1371"/>
        <w:gridCol w:w="1376"/>
        <w:gridCol w:w="1371"/>
      </w:tblGrid>
      <w:tr w:rsidR="006D2FAC" w:rsidRPr="00D630D1" w:rsidTr="00842019">
        <w:trPr>
          <w:trHeight w:val="48"/>
          <w:jc w:val="center"/>
        </w:trPr>
        <w:tc>
          <w:tcPr>
            <w:tcW w:w="1101" w:type="dxa"/>
            <w:vAlign w:val="center"/>
          </w:tcPr>
          <w:p w:rsidR="00D26881" w:rsidRPr="00D630D1" w:rsidRDefault="00D26881" w:rsidP="00D26881">
            <w:pPr>
              <w:pStyle w:val="afffffff1"/>
              <w:rPr>
                <w:b/>
                <w:bCs/>
              </w:rPr>
            </w:pPr>
            <w:r w:rsidRPr="00D630D1">
              <w:rPr>
                <w:b/>
                <w:bCs/>
              </w:rPr>
              <w:t>点位</w:t>
            </w:r>
          </w:p>
        </w:tc>
        <w:tc>
          <w:tcPr>
            <w:tcW w:w="992" w:type="dxa"/>
            <w:vAlign w:val="center"/>
          </w:tcPr>
          <w:p w:rsidR="00D26881" w:rsidRPr="00D630D1" w:rsidRDefault="00842019" w:rsidP="00D26881">
            <w:pPr>
              <w:pStyle w:val="afffffff1"/>
              <w:rPr>
                <w:b/>
                <w:bCs/>
              </w:rPr>
            </w:pPr>
            <w:r w:rsidRPr="00D630D1">
              <w:rPr>
                <w:rFonts w:hint="eastAsia"/>
                <w:b/>
                <w:bCs/>
              </w:rPr>
              <w:t>WX</w:t>
            </w:r>
            <w:r w:rsidR="00D26881" w:rsidRPr="00D630D1">
              <w:rPr>
                <w:b/>
                <w:bCs/>
              </w:rPr>
              <w:t>1</w:t>
            </w:r>
          </w:p>
        </w:tc>
        <w:tc>
          <w:tcPr>
            <w:tcW w:w="1075" w:type="dxa"/>
            <w:vAlign w:val="center"/>
          </w:tcPr>
          <w:p w:rsidR="00D26881" w:rsidRPr="00D630D1" w:rsidRDefault="00842019" w:rsidP="009E24C5">
            <w:pPr>
              <w:pStyle w:val="afffffff1"/>
              <w:rPr>
                <w:b/>
                <w:bCs/>
              </w:rPr>
            </w:pPr>
            <w:r w:rsidRPr="00D630D1">
              <w:rPr>
                <w:rFonts w:hint="eastAsia"/>
                <w:b/>
                <w:bCs/>
              </w:rPr>
              <w:t>WX</w:t>
            </w:r>
            <w:r w:rsidR="00D26881" w:rsidRPr="00D630D1">
              <w:rPr>
                <w:b/>
                <w:bCs/>
              </w:rPr>
              <w:t>2</w:t>
            </w:r>
          </w:p>
        </w:tc>
        <w:tc>
          <w:tcPr>
            <w:tcW w:w="1236" w:type="dxa"/>
            <w:vAlign w:val="center"/>
          </w:tcPr>
          <w:p w:rsidR="00D26881" w:rsidRPr="00D630D1" w:rsidRDefault="00842019" w:rsidP="009E24C5">
            <w:pPr>
              <w:pStyle w:val="afffffff1"/>
              <w:rPr>
                <w:b/>
                <w:bCs/>
              </w:rPr>
            </w:pPr>
            <w:r w:rsidRPr="00D630D1">
              <w:rPr>
                <w:rFonts w:hint="eastAsia"/>
                <w:b/>
                <w:bCs/>
              </w:rPr>
              <w:t>WX</w:t>
            </w:r>
            <w:r w:rsidR="009E24C5" w:rsidRPr="00D630D1">
              <w:rPr>
                <w:rFonts w:hint="eastAsia"/>
                <w:b/>
                <w:bCs/>
              </w:rPr>
              <w:t>3</w:t>
            </w:r>
          </w:p>
        </w:tc>
        <w:tc>
          <w:tcPr>
            <w:tcW w:w="1371" w:type="dxa"/>
            <w:vAlign w:val="center"/>
          </w:tcPr>
          <w:p w:rsidR="00D26881" w:rsidRPr="00D630D1" w:rsidRDefault="00842019" w:rsidP="00D26881">
            <w:pPr>
              <w:pStyle w:val="afffffff1"/>
              <w:rPr>
                <w:b/>
                <w:bCs/>
              </w:rPr>
            </w:pPr>
            <w:r w:rsidRPr="00D630D1">
              <w:rPr>
                <w:rFonts w:hint="eastAsia"/>
                <w:b/>
                <w:bCs/>
              </w:rPr>
              <w:t>WX</w:t>
            </w:r>
            <w:r w:rsidR="00D26881" w:rsidRPr="00D630D1">
              <w:rPr>
                <w:b/>
                <w:bCs/>
              </w:rPr>
              <w:t>4</w:t>
            </w:r>
          </w:p>
        </w:tc>
        <w:tc>
          <w:tcPr>
            <w:tcW w:w="1376" w:type="dxa"/>
            <w:vAlign w:val="center"/>
          </w:tcPr>
          <w:p w:rsidR="00D26881" w:rsidRPr="00D630D1" w:rsidRDefault="00842019" w:rsidP="00D26881">
            <w:pPr>
              <w:pStyle w:val="afffffff1"/>
              <w:rPr>
                <w:b/>
                <w:bCs/>
              </w:rPr>
            </w:pPr>
            <w:r w:rsidRPr="00D630D1">
              <w:rPr>
                <w:rFonts w:hint="eastAsia"/>
                <w:b/>
                <w:bCs/>
              </w:rPr>
              <w:t>WX</w:t>
            </w:r>
            <w:r w:rsidR="00D26881" w:rsidRPr="00D630D1">
              <w:rPr>
                <w:b/>
                <w:bCs/>
              </w:rPr>
              <w:t>5</w:t>
            </w:r>
          </w:p>
        </w:tc>
        <w:tc>
          <w:tcPr>
            <w:tcW w:w="1371" w:type="dxa"/>
            <w:vAlign w:val="center"/>
          </w:tcPr>
          <w:p w:rsidR="00D26881" w:rsidRPr="00D630D1" w:rsidRDefault="00842019" w:rsidP="00D26881">
            <w:pPr>
              <w:pStyle w:val="afffffff1"/>
              <w:rPr>
                <w:b/>
                <w:bCs/>
              </w:rPr>
            </w:pPr>
            <w:r w:rsidRPr="00D630D1">
              <w:rPr>
                <w:rFonts w:hint="eastAsia"/>
                <w:b/>
                <w:bCs/>
              </w:rPr>
              <w:t>WX</w:t>
            </w:r>
            <w:r w:rsidR="00D26881" w:rsidRPr="00D630D1">
              <w:rPr>
                <w:b/>
                <w:bCs/>
              </w:rPr>
              <w:t>6</w:t>
            </w:r>
          </w:p>
        </w:tc>
      </w:tr>
      <w:tr w:rsidR="006D2FAC" w:rsidRPr="00D630D1" w:rsidTr="00842019">
        <w:trPr>
          <w:trHeight w:val="229"/>
          <w:jc w:val="center"/>
        </w:trPr>
        <w:tc>
          <w:tcPr>
            <w:tcW w:w="1101" w:type="dxa"/>
            <w:vAlign w:val="center"/>
          </w:tcPr>
          <w:p w:rsidR="00D26881" w:rsidRPr="00D630D1" w:rsidRDefault="00D26881" w:rsidP="00D26881">
            <w:pPr>
              <w:pStyle w:val="afffffff1"/>
            </w:pPr>
            <w:r w:rsidRPr="00D630D1">
              <w:t>井深</w:t>
            </w:r>
            <w:r w:rsidR="00842019" w:rsidRPr="00D630D1">
              <w:rPr>
                <w:rFonts w:hint="eastAsia"/>
              </w:rPr>
              <w:t>（</w:t>
            </w:r>
            <w:r w:rsidR="00842019" w:rsidRPr="00D630D1">
              <w:rPr>
                <w:rFonts w:hint="eastAsia"/>
              </w:rPr>
              <w:t>m</w:t>
            </w:r>
            <w:r w:rsidR="00842019" w:rsidRPr="00D630D1">
              <w:rPr>
                <w:rFonts w:hint="eastAsia"/>
              </w:rPr>
              <w:t>）</w:t>
            </w:r>
          </w:p>
        </w:tc>
        <w:tc>
          <w:tcPr>
            <w:tcW w:w="992" w:type="dxa"/>
            <w:vAlign w:val="center"/>
          </w:tcPr>
          <w:p w:rsidR="00D26881" w:rsidRPr="00D630D1" w:rsidRDefault="00A71F59" w:rsidP="00B003A3">
            <w:pPr>
              <w:pStyle w:val="afffffff1"/>
            </w:pPr>
            <w:r>
              <w:rPr>
                <w:rFonts w:hint="eastAsia"/>
              </w:rPr>
              <w:t>2.0</w:t>
            </w:r>
          </w:p>
        </w:tc>
        <w:tc>
          <w:tcPr>
            <w:tcW w:w="1075" w:type="dxa"/>
            <w:vAlign w:val="center"/>
          </w:tcPr>
          <w:p w:rsidR="00D26881" w:rsidRPr="00D630D1" w:rsidRDefault="00A71F59" w:rsidP="009E24C5">
            <w:pPr>
              <w:pStyle w:val="afffffff1"/>
            </w:pPr>
            <w:r>
              <w:rPr>
                <w:rFonts w:hint="eastAsia"/>
              </w:rPr>
              <w:t>0.8</w:t>
            </w:r>
          </w:p>
        </w:tc>
        <w:tc>
          <w:tcPr>
            <w:tcW w:w="1236" w:type="dxa"/>
            <w:vAlign w:val="center"/>
          </w:tcPr>
          <w:p w:rsidR="00D26881" w:rsidRPr="00D630D1" w:rsidRDefault="00A71F59" w:rsidP="00A71F59">
            <w:pPr>
              <w:pStyle w:val="afffffff1"/>
            </w:pPr>
            <w:r>
              <w:rPr>
                <w:rFonts w:hint="eastAsia"/>
              </w:rPr>
              <w:t>0.5</w:t>
            </w:r>
          </w:p>
        </w:tc>
        <w:tc>
          <w:tcPr>
            <w:tcW w:w="1371" w:type="dxa"/>
            <w:vAlign w:val="center"/>
          </w:tcPr>
          <w:p w:rsidR="00D26881" w:rsidRPr="00D630D1" w:rsidRDefault="00A71F59" w:rsidP="00D26881">
            <w:pPr>
              <w:pStyle w:val="afffffff1"/>
            </w:pPr>
            <w:r>
              <w:rPr>
                <w:rFonts w:hint="eastAsia"/>
              </w:rPr>
              <w:t>2.1</w:t>
            </w:r>
          </w:p>
        </w:tc>
        <w:tc>
          <w:tcPr>
            <w:tcW w:w="1376" w:type="dxa"/>
            <w:vAlign w:val="center"/>
          </w:tcPr>
          <w:p w:rsidR="00D26881" w:rsidRPr="00D630D1" w:rsidRDefault="00B003A3" w:rsidP="00A71F59">
            <w:pPr>
              <w:pStyle w:val="afffffff1"/>
            </w:pPr>
            <w:r w:rsidRPr="00D630D1">
              <w:rPr>
                <w:rFonts w:hint="eastAsia"/>
              </w:rPr>
              <w:t>1</w:t>
            </w:r>
            <w:r w:rsidR="00A71F59">
              <w:rPr>
                <w:rFonts w:hint="eastAsia"/>
              </w:rPr>
              <w:t>.5</w:t>
            </w:r>
          </w:p>
        </w:tc>
        <w:tc>
          <w:tcPr>
            <w:tcW w:w="1371" w:type="dxa"/>
            <w:vAlign w:val="center"/>
          </w:tcPr>
          <w:p w:rsidR="00D26881" w:rsidRPr="00D630D1" w:rsidRDefault="00A71F59" w:rsidP="00D26881">
            <w:pPr>
              <w:pStyle w:val="afffffff1"/>
            </w:pPr>
            <w:r>
              <w:rPr>
                <w:rFonts w:hint="eastAsia"/>
              </w:rPr>
              <w:t>2.4</w:t>
            </w:r>
          </w:p>
        </w:tc>
      </w:tr>
      <w:tr w:rsidR="006D2FAC" w:rsidRPr="00D630D1" w:rsidTr="00842019">
        <w:trPr>
          <w:trHeight w:val="217"/>
          <w:jc w:val="center"/>
        </w:trPr>
        <w:tc>
          <w:tcPr>
            <w:tcW w:w="1101" w:type="dxa"/>
            <w:vAlign w:val="center"/>
          </w:tcPr>
          <w:p w:rsidR="00D26881" w:rsidRPr="00D630D1" w:rsidRDefault="00D26881" w:rsidP="00D26881">
            <w:pPr>
              <w:pStyle w:val="afffffff1"/>
            </w:pPr>
            <w:r w:rsidRPr="00D630D1">
              <w:t>水位</w:t>
            </w:r>
            <w:r w:rsidR="00842019" w:rsidRPr="00D630D1">
              <w:rPr>
                <w:rFonts w:hint="eastAsia"/>
              </w:rPr>
              <w:t>（</w:t>
            </w:r>
            <w:r w:rsidR="00842019" w:rsidRPr="00D630D1">
              <w:rPr>
                <w:rFonts w:hint="eastAsia"/>
              </w:rPr>
              <w:t>m</w:t>
            </w:r>
            <w:r w:rsidR="00842019" w:rsidRPr="00D630D1">
              <w:rPr>
                <w:rFonts w:hint="eastAsia"/>
              </w:rPr>
              <w:t>）</w:t>
            </w:r>
          </w:p>
        </w:tc>
        <w:tc>
          <w:tcPr>
            <w:tcW w:w="992" w:type="dxa"/>
            <w:vAlign w:val="center"/>
          </w:tcPr>
          <w:p w:rsidR="00D26881" w:rsidRPr="00D630D1" w:rsidRDefault="00A71F59" w:rsidP="00D26881">
            <w:pPr>
              <w:pStyle w:val="afffffff1"/>
            </w:pPr>
            <w:r>
              <w:rPr>
                <w:rFonts w:hint="eastAsia"/>
              </w:rPr>
              <w:t>817.8</w:t>
            </w:r>
          </w:p>
        </w:tc>
        <w:tc>
          <w:tcPr>
            <w:tcW w:w="1075" w:type="dxa"/>
            <w:vAlign w:val="center"/>
          </w:tcPr>
          <w:p w:rsidR="00D26881" w:rsidRPr="00D630D1" w:rsidRDefault="00A71F59" w:rsidP="00D26881">
            <w:pPr>
              <w:pStyle w:val="afffffff1"/>
            </w:pPr>
            <w:r>
              <w:rPr>
                <w:rFonts w:hint="eastAsia"/>
                <w:bCs/>
                <w:kern w:val="2"/>
                <w:szCs w:val="21"/>
              </w:rPr>
              <w:t>819.7</w:t>
            </w:r>
          </w:p>
        </w:tc>
        <w:tc>
          <w:tcPr>
            <w:tcW w:w="1236" w:type="dxa"/>
            <w:vAlign w:val="center"/>
          </w:tcPr>
          <w:p w:rsidR="00D26881" w:rsidRPr="00D630D1" w:rsidRDefault="00A71F59" w:rsidP="00D26881">
            <w:pPr>
              <w:pStyle w:val="afffffff1"/>
            </w:pPr>
            <w:r>
              <w:rPr>
                <w:rFonts w:hint="eastAsia"/>
                <w:bCs/>
                <w:kern w:val="2"/>
                <w:szCs w:val="21"/>
              </w:rPr>
              <w:t>840.8</w:t>
            </w:r>
          </w:p>
        </w:tc>
        <w:tc>
          <w:tcPr>
            <w:tcW w:w="1371" w:type="dxa"/>
            <w:vAlign w:val="center"/>
          </w:tcPr>
          <w:p w:rsidR="00D26881" w:rsidRPr="00D630D1" w:rsidRDefault="00A71F59" w:rsidP="00D26881">
            <w:pPr>
              <w:pStyle w:val="afffffff1"/>
            </w:pPr>
            <w:r>
              <w:rPr>
                <w:rFonts w:hint="eastAsia"/>
                <w:bCs/>
                <w:kern w:val="2"/>
                <w:szCs w:val="21"/>
              </w:rPr>
              <w:t>789.8</w:t>
            </w:r>
          </w:p>
        </w:tc>
        <w:tc>
          <w:tcPr>
            <w:tcW w:w="1376" w:type="dxa"/>
            <w:vAlign w:val="center"/>
          </w:tcPr>
          <w:p w:rsidR="00D26881" w:rsidRPr="00D630D1" w:rsidRDefault="00A71F59" w:rsidP="00D26881">
            <w:pPr>
              <w:pStyle w:val="afffffff1"/>
            </w:pPr>
            <w:r>
              <w:rPr>
                <w:rFonts w:hint="eastAsia"/>
                <w:bCs/>
                <w:kern w:val="2"/>
                <w:szCs w:val="21"/>
              </w:rPr>
              <w:t>775.7</w:t>
            </w:r>
          </w:p>
        </w:tc>
        <w:tc>
          <w:tcPr>
            <w:tcW w:w="1371" w:type="dxa"/>
            <w:vAlign w:val="center"/>
          </w:tcPr>
          <w:p w:rsidR="00D26881" w:rsidRPr="00D630D1" w:rsidRDefault="00A71F59" w:rsidP="00D26881">
            <w:pPr>
              <w:pStyle w:val="afffffff1"/>
            </w:pPr>
            <w:r>
              <w:rPr>
                <w:rFonts w:hint="eastAsia"/>
                <w:bCs/>
                <w:kern w:val="2"/>
                <w:szCs w:val="21"/>
              </w:rPr>
              <w:t>773.6</w:t>
            </w:r>
          </w:p>
        </w:tc>
      </w:tr>
      <w:tr w:rsidR="00842019" w:rsidRPr="00D630D1" w:rsidTr="00842019">
        <w:trPr>
          <w:trHeight w:val="217"/>
          <w:jc w:val="center"/>
        </w:trPr>
        <w:tc>
          <w:tcPr>
            <w:tcW w:w="1101" w:type="dxa"/>
            <w:vAlign w:val="center"/>
          </w:tcPr>
          <w:p w:rsidR="00842019" w:rsidRPr="00D630D1" w:rsidRDefault="009E24C5" w:rsidP="00B06FB5">
            <w:pPr>
              <w:pStyle w:val="afffffff1"/>
            </w:pPr>
            <w:r w:rsidRPr="00D630D1">
              <w:rPr>
                <w:b/>
                <w:bCs/>
              </w:rPr>
              <w:t>点位</w:t>
            </w:r>
          </w:p>
        </w:tc>
        <w:tc>
          <w:tcPr>
            <w:tcW w:w="992" w:type="dxa"/>
            <w:vAlign w:val="center"/>
          </w:tcPr>
          <w:p w:rsidR="00842019" w:rsidRPr="00D630D1" w:rsidRDefault="00842019" w:rsidP="009E24C5">
            <w:pPr>
              <w:pStyle w:val="afffffff1"/>
              <w:rPr>
                <w:b/>
                <w:bCs/>
              </w:rPr>
            </w:pPr>
            <w:r w:rsidRPr="00D630D1">
              <w:rPr>
                <w:rFonts w:hint="eastAsia"/>
                <w:b/>
                <w:bCs/>
              </w:rPr>
              <w:t>WX</w:t>
            </w:r>
            <w:r w:rsidR="009E24C5" w:rsidRPr="00D630D1">
              <w:rPr>
                <w:rFonts w:hint="eastAsia"/>
                <w:b/>
                <w:bCs/>
              </w:rPr>
              <w:t>7</w:t>
            </w:r>
          </w:p>
        </w:tc>
        <w:tc>
          <w:tcPr>
            <w:tcW w:w="1075" w:type="dxa"/>
            <w:vAlign w:val="center"/>
          </w:tcPr>
          <w:p w:rsidR="00842019" w:rsidRPr="00D630D1" w:rsidRDefault="00842019" w:rsidP="009E24C5">
            <w:pPr>
              <w:pStyle w:val="afffffff1"/>
              <w:rPr>
                <w:b/>
                <w:bCs/>
              </w:rPr>
            </w:pPr>
            <w:r w:rsidRPr="00D630D1">
              <w:rPr>
                <w:rFonts w:hint="eastAsia"/>
                <w:b/>
                <w:bCs/>
              </w:rPr>
              <w:t>WX</w:t>
            </w:r>
            <w:r w:rsidR="009E24C5" w:rsidRPr="00D630D1">
              <w:rPr>
                <w:rFonts w:hint="eastAsia"/>
                <w:b/>
                <w:bCs/>
              </w:rPr>
              <w:t>8</w:t>
            </w:r>
          </w:p>
        </w:tc>
        <w:tc>
          <w:tcPr>
            <w:tcW w:w="1236" w:type="dxa"/>
            <w:vAlign w:val="center"/>
          </w:tcPr>
          <w:p w:rsidR="00842019" w:rsidRPr="00D630D1" w:rsidRDefault="00842019" w:rsidP="009E24C5">
            <w:pPr>
              <w:pStyle w:val="afffffff1"/>
              <w:rPr>
                <w:b/>
                <w:bCs/>
              </w:rPr>
            </w:pPr>
            <w:r w:rsidRPr="00D630D1">
              <w:rPr>
                <w:rFonts w:hint="eastAsia"/>
                <w:b/>
                <w:bCs/>
              </w:rPr>
              <w:t>WX</w:t>
            </w:r>
            <w:r w:rsidR="009E24C5" w:rsidRPr="00D630D1">
              <w:rPr>
                <w:rFonts w:hint="eastAsia"/>
                <w:b/>
                <w:bCs/>
              </w:rPr>
              <w:t>9</w:t>
            </w:r>
          </w:p>
        </w:tc>
        <w:tc>
          <w:tcPr>
            <w:tcW w:w="1371" w:type="dxa"/>
            <w:vAlign w:val="center"/>
          </w:tcPr>
          <w:p w:rsidR="00842019" w:rsidRPr="00D630D1" w:rsidRDefault="00842019" w:rsidP="009E24C5">
            <w:pPr>
              <w:pStyle w:val="afffffff1"/>
              <w:rPr>
                <w:b/>
                <w:bCs/>
              </w:rPr>
            </w:pPr>
            <w:r w:rsidRPr="00D630D1">
              <w:rPr>
                <w:rFonts w:hint="eastAsia"/>
                <w:b/>
                <w:bCs/>
              </w:rPr>
              <w:t>WX</w:t>
            </w:r>
            <w:r w:rsidR="009E24C5" w:rsidRPr="00D630D1">
              <w:rPr>
                <w:rFonts w:hint="eastAsia"/>
                <w:b/>
                <w:bCs/>
              </w:rPr>
              <w:t>10</w:t>
            </w:r>
          </w:p>
        </w:tc>
        <w:tc>
          <w:tcPr>
            <w:tcW w:w="1376" w:type="dxa"/>
            <w:vAlign w:val="center"/>
          </w:tcPr>
          <w:p w:rsidR="00842019" w:rsidRPr="00D630D1" w:rsidRDefault="00842019" w:rsidP="00D26881">
            <w:pPr>
              <w:pStyle w:val="afffffff1"/>
            </w:pPr>
          </w:p>
        </w:tc>
        <w:tc>
          <w:tcPr>
            <w:tcW w:w="1371" w:type="dxa"/>
            <w:vAlign w:val="center"/>
          </w:tcPr>
          <w:p w:rsidR="00842019" w:rsidRPr="00D630D1" w:rsidRDefault="00842019" w:rsidP="00D26881">
            <w:pPr>
              <w:pStyle w:val="afffffff1"/>
            </w:pPr>
          </w:p>
        </w:tc>
      </w:tr>
      <w:tr w:rsidR="009E24C5" w:rsidRPr="00D630D1" w:rsidTr="00842019">
        <w:trPr>
          <w:trHeight w:val="217"/>
          <w:jc w:val="center"/>
        </w:trPr>
        <w:tc>
          <w:tcPr>
            <w:tcW w:w="1101" w:type="dxa"/>
            <w:vAlign w:val="center"/>
          </w:tcPr>
          <w:p w:rsidR="009E24C5" w:rsidRPr="00D630D1" w:rsidRDefault="009E24C5" w:rsidP="00B06FB5">
            <w:pPr>
              <w:pStyle w:val="afffffff1"/>
            </w:pPr>
            <w:r w:rsidRPr="00D630D1">
              <w:t>井深</w:t>
            </w:r>
            <w:r w:rsidRPr="00D630D1">
              <w:rPr>
                <w:rFonts w:hint="eastAsia"/>
              </w:rPr>
              <w:t>（</w:t>
            </w:r>
            <w:r w:rsidRPr="00D630D1">
              <w:rPr>
                <w:rFonts w:hint="eastAsia"/>
              </w:rPr>
              <w:t>m</w:t>
            </w:r>
            <w:r w:rsidRPr="00D630D1">
              <w:rPr>
                <w:rFonts w:hint="eastAsia"/>
              </w:rPr>
              <w:t>）</w:t>
            </w:r>
          </w:p>
        </w:tc>
        <w:tc>
          <w:tcPr>
            <w:tcW w:w="992" w:type="dxa"/>
            <w:vAlign w:val="center"/>
          </w:tcPr>
          <w:p w:rsidR="009E24C5" w:rsidRPr="00D630D1" w:rsidRDefault="00A71F59" w:rsidP="00842019">
            <w:pPr>
              <w:pStyle w:val="afffffff1"/>
              <w:rPr>
                <w:bCs/>
              </w:rPr>
            </w:pPr>
            <w:r>
              <w:rPr>
                <w:rFonts w:hint="eastAsia"/>
                <w:bCs/>
              </w:rPr>
              <w:t>2.8</w:t>
            </w:r>
          </w:p>
        </w:tc>
        <w:tc>
          <w:tcPr>
            <w:tcW w:w="1075" w:type="dxa"/>
            <w:vAlign w:val="center"/>
          </w:tcPr>
          <w:p w:rsidR="009E24C5" w:rsidRPr="00D630D1" w:rsidRDefault="00A71F59" w:rsidP="00842019">
            <w:pPr>
              <w:pStyle w:val="afffffff1"/>
              <w:rPr>
                <w:bCs/>
              </w:rPr>
            </w:pPr>
            <w:r>
              <w:rPr>
                <w:rFonts w:hint="eastAsia"/>
                <w:bCs/>
              </w:rPr>
              <w:t>1.9</w:t>
            </w:r>
          </w:p>
        </w:tc>
        <w:tc>
          <w:tcPr>
            <w:tcW w:w="1236" w:type="dxa"/>
            <w:vAlign w:val="center"/>
          </w:tcPr>
          <w:p w:rsidR="009E24C5" w:rsidRPr="00D630D1" w:rsidRDefault="00A71F59" w:rsidP="00842019">
            <w:pPr>
              <w:pStyle w:val="afffffff1"/>
              <w:rPr>
                <w:bCs/>
              </w:rPr>
            </w:pPr>
            <w:r>
              <w:rPr>
                <w:rFonts w:hint="eastAsia"/>
                <w:bCs/>
              </w:rPr>
              <w:t>2.3</w:t>
            </w:r>
          </w:p>
        </w:tc>
        <w:tc>
          <w:tcPr>
            <w:tcW w:w="1371" w:type="dxa"/>
            <w:vAlign w:val="center"/>
          </w:tcPr>
          <w:p w:rsidR="009E24C5" w:rsidRPr="00D630D1" w:rsidRDefault="00A71F59" w:rsidP="00842019">
            <w:pPr>
              <w:pStyle w:val="afffffff1"/>
              <w:rPr>
                <w:bCs/>
              </w:rPr>
            </w:pPr>
            <w:r>
              <w:rPr>
                <w:rFonts w:hint="eastAsia"/>
                <w:bCs/>
              </w:rPr>
              <w:t>1.6</w:t>
            </w:r>
          </w:p>
        </w:tc>
        <w:tc>
          <w:tcPr>
            <w:tcW w:w="1376" w:type="dxa"/>
            <w:vAlign w:val="center"/>
          </w:tcPr>
          <w:p w:rsidR="009E24C5" w:rsidRPr="00D630D1" w:rsidRDefault="009E24C5" w:rsidP="00D26881">
            <w:pPr>
              <w:pStyle w:val="afffffff1"/>
            </w:pPr>
          </w:p>
        </w:tc>
        <w:tc>
          <w:tcPr>
            <w:tcW w:w="1371" w:type="dxa"/>
            <w:vAlign w:val="center"/>
          </w:tcPr>
          <w:p w:rsidR="009E24C5" w:rsidRPr="00D630D1" w:rsidRDefault="009E24C5" w:rsidP="00D26881">
            <w:pPr>
              <w:pStyle w:val="afffffff1"/>
            </w:pPr>
          </w:p>
        </w:tc>
      </w:tr>
      <w:tr w:rsidR="00842019" w:rsidRPr="00D630D1" w:rsidTr="00842019">
        <w:trPr>
          <w:trHeight w:val="217"/>
          <w:jc w:val="center"/>
        </w:trPr>
        <w:tc>
          <w:tcPr>
            <w:tcW w:w="1101" w:type="dxa"/>
            <w:vAlign w:val="center"/>
          </w:tcPr>
          <w:p w:rsidR="00842019" w:rsidRPr="00D630D1" w:rsidRDefault="00842019" w:rsidP="00B06FB5">
            <w:pPr>
              <w:pStyle w:val="afffffff1"/>
            </w:pPr>
            <w:r w:rsidRPr="00D630D1">
              <w:t>水位</w:t>
            </w:r>
            <w:r w:rsidRPr="00D630D1">
              <w:rPr>
                <w:rFonts w:hint="eastAsia"/>
              </w:rPr>
              <w:t>（</w:t>
            </w:r>
            <w:r w:rsidRPr="00D630D1">
              <w:rPr>
                <w:rFonts w:hint="eastAsia"/>
              </w:rPr>
              <w:t>m</w:t>
            </w:r>
            <w:r w:rsidRPr="00D630D1">
              <w:rPr>
                <w:rFonts w:hint="eastAsia"/>
              </w:rPr>
              <w:t>）</w:t>
            </w:r>
          </w:p>
        </w:tc>
        <w:tc>
          <w:tcPr>
            <w:tcW w:w="992" w:type="dxa"/>
            <w:vAlign w:val="center"/>
          </w:tcPr>
          <w:p w:rsidR="00842019" w:rsidRPr="00D630D1" w:rsidRDefault="00A71F59" w:rsidP="00D26881">
            <w:pPr>
              <w:pStyle w:val="afffffff1"/>
            </w:pPr>
            <w:r>
              <w:rPr>
                <w:rFonts w:hint="eastAsia"/>
                <w:bCs/>
                <w:kern w:val="2"/>
                <w:szCs w:val="21"/>
              </w:rPr>
              <w:t>785.4</w:t>
            </w:r>
          </w:p>
        </w:tc>
        <w:tc>
          <w:tcPr>
            <w:tcW w:w="1075" w:type="dxa"/>
            <w:vAlign w:val="center"/>
          </w:tcPr>
          <w:p w:rsidR="00842019" w:rsidRPr="00D630D1" w:rsidRDefault="00A71F59" w:rsidP="00D26881">
            <w:pPr>
              <w:pStyle w:val="afffffff1"/>
            </w:pPr>
            <w:r>
              <w:rPr>
                <w:rFonts w:hint="eastAsia"/>
                <w:bCs/>
                <w:kern w:val="2"/>
                <w:szCs w:val="21"/>
              </w:rPr>
              <w:t>788.5</w:t>
            </w:r>
          </w:p>
        </w:tc>
        <w:tc>
          <w:tcPr>
            <w:tcW w:w="1236" w:type="dxa"/>
            <w:vAlign w:val="center"/>
          </w:tcPr>
          <w:p w:rsidR="00842019" w:rsidRPr="00D630D1" w:rsidRDefault="00A71F59" w:rsidP="00D26881">
            <w:pPr>
              <w:pStyle w:val="afffffff1"/>
            </w:pPr>
            <w:r>
              <w:rPr>
                <w:rFonts w:hint="eastAsia"/>
                <w:bCs/>
                <w:kern w:val="2"/>
                <w:szCs w:val="21"/>
              </w:rPr>
              <w:t>848.6</w:t>
            </w:r>
          </w:p>
        </w:tc>
        <w:tc>
          <w:tcPr>
            <w:tcW w:w="1371" w:type="dxa"/>
            <w:vAlign w:val="center"/>
          </w:tcPr>
          <w:p w:rsidR="00842019" w:rsidRPr="00D630D1" w:rsidRDefault="00A71F59" w:rsidP="00D26881">
            <w:pPr>
              <w:pStyle w:val="afffffff1"/>
            </w:pPr>
            <w:r>
              <w:rPr>
                <w:rFonts w:hint="eastAsia"/>
                <w:bCs/>
                <w:kern w:val="2"/>
                <w:szCs w:val="21"/>
              </w:rPr>
              <w:t>800.7</w:t>
            </w:r>
          </w:p>
        </w:tc>
        <w:tc>
          <w:tcPr>
            <w:tcW w:w="1376" w:type="dxa"/>
            <w:vAlign w:val="center"/>
          </w:tcPr>
          <w:p w:rsidR="00842019" w:rsidRPr="00D630D1" w:rsidRDefault="00842019" w:rsidP="00D26881">
            <w:pPr>
              <w:pStyle w:val="afffffff1"/>
            </w:pPr>
          </w:p>
        </w:tc>
        <w:tc>
          <w:tcPr>
            <w:tcW w:w="1371" w:type="dxa"/>
            <w:vAlign w:val="center"/>
          </w:tcPr>
          <w:p w:rsidR="00842019" w:rsidRPr="00D630D1" w:rsidRDefault="00842019" w:rsidP="00D26881">
            <w:pPr>
              <w:pStyle w:val="afffffff1"/>
            </w:pPr>
          </w:p>
        </w:tc>
      </w:tr>
    </w:tbl>
    <w:p w:rsidR="0070690F" w:rsidRPr="00D630D1" w:rsidRDefault="00FC510D" w:rsidP="007C176B">
      <w:pPr>
        <w:pStyle w:val="afa"/>
        <w:ind w:firstLine="480"/>
      </w:pPr>
      <w:r w:rsidRPr="00D630D1">
        <w:t>根据地下水监测统计结果可知，</w:t>
      </w:r>
      <w:r w:rsidR="00DD40C6" w:rsidRPr="00D630D1">
        <w:t>项目</w:t>
      </w:r>
      <w:r w:rsidR="009E24C5" w:rsidRPr="00D630D1">
        <w:rPr>
          <w:rFonts w:hint="eastAsia"/>
        </w:rPr>
        <w:t>所在地</w:t>
      </w:r>
      <w:r w:rsidR="003B38AE" w:rsidRPr="00D630D1">
        <w:t>各地下水监测点各监测因子标准指数均小于</w:t>
      </w:r>
      <w:r w:rsidR="003B38AE" w:rsidRPr="00D630D1">
        <w:t>1</w:t>
      </w:r>
      <w:r w:rsidR="003B38AE" w:rsidRPr="00D630D1">
        <w:t>，满足《地下水质量标准》（</w:t>
      </w:r>
      <w:r w:rsidR="003B38AE" w:rsidRPr="00D630D1">
        <w:t>GB/T14848-</w:t>
      </w:r>
      <w:r w:rsidR="001205FA" w:rsidRPr="00D630D1">
        <w:rPr>
          <w:rFonts w:hint="eastAsia"/>
        </w:rPr>
        <w:t>2017</w:t>
      </w:r>
      <w:r w:rsidR="003B38AE" w:rsidRPr="00D630D1">
        <w:t>）</w:t>
      </w:r>
      <w:r w:rsidR="003B38AE" w:rsidRPr="00D630D1">
        <w:t>Ⅲ</w:t>
      </w:r>
      <w:r w:rsidR="003B38AE" w:rsidRPr="00D630D1">
        <w:t>类标准要求，石油类满足《地表水环境质量标准》（</w:t>
      </w:r>
      <w:r w:rsidR="003B38AE" w:rsidRPr="00D630D1">
        <w:t>GB3838-2002</w:t>
      </w:r>
      <w:r w:rsidR="003B38AE" w:rsidRPr="00D630D1">
        <w:t>）</w:t>
      </w:r>
      <w:r w:rsidR="003B38AE" w:rsidRPr="00D630D1">
        <w:t>Ⅲ</w:t>
      </w:r>
      <w:r w:rsidR="003B38AE" w:rsidRPr="00D630D1">
        <w:t>类标准要求。</w:t>
      </w:r>
    </w:p>
    <w:p w:rsidR="00117C3D" w:rsidRPr="00D630D1" w:rsidRDefault="00072471" w:rsidP="007C176B">
      <w:pPr>
        <w:pStyle w:val="2"/>
        <w:spacing w:before="0"/>
        <w:rPr>
          <w:rFonts w:cs="Times New Roman"/>
        </w:rPr>
      </w:pPr>
      <w:bookmarkStart w:id="447" w:name="_Toc12288574"/>
      <w:bookmarkStart w:id="448" w:name="_Toc19816017"/>
      <w:bookmarkStart w:id="449" w:name="_Toc81515286"/>
      <w:r w:rsidRPr="00D630D1">
        <w:rPr>
          <w:rFonts w:cs="Times New Roman"/>
        </w:rPr>
        <w:t>5</w:t>
      </w:r>
      <w:r w:rsidR="008B5B84" w:rsidRPr="00D630D1">
        <w:rPr>
          <w:rFonts w:cs="Times New Roman"/>
        </w:rPr>
        <w:t xml:space="preserve">.6 </w:t>
      </w:r>
      <w:r w:rsidR="008B5B84" w:rsidRPr="00D630D1">
        <w:rPr>
          <w:rFonts w:cs="Times New Roman"/>
        </w:rPr>
        <w:t>声环境质量现状与评价</w:t>
      </w:r>
      <w:bookmarkEnd w:id="447"/>
      <w:bookmarkEnd w:id="448"/>
      <w:bookmarkEnd w:id="449"/>
    </w:p>
    <w:p w:rsidR="00117C3D" w:rsidRPr="00D630D1" w:rsidRDefault="008B5B84" w:rsidP="004750C5">
      <w:pPr>
        <w:pStyle w:val="afa"/>
        <w:ind w:firstLine="480"/>
      </w:pPr>
      <w:r w:rsidRPr="00D630D1">
        <w:t>根据项目工程特点的具体情况，</w:t>
      </w:r>
      <w:r w:rsidR="00A71F59" w:rsidRPr="005556D5">
        <w:rPr>
          <w:rFonts w:eastAsiaTheme="minorEastAsia" w:hAnsiTheme="minorEastAsia"/>
        </w:rPr>
        <w:t>本项目涉及的</w:t>
      </w:r>
      <w:r w:rsidR="00A71F59">
        <w:rPr>
          <w:rFonts w:eastAsiaTheme="minorEastAsia" w:hAnsiTheme="minorEastAsia" w:hint="eastAsia"/>
        </w:rPr>
        <w:t>采气站和管线范围与普光气田</w:t>
      </w:r>
      <w:r w:rsidR="00A71F59" w:rsidRPr="005556D5">
        <w:rPr>
          <w:rFonts w:eastAsiaTheme="minorEastAsia" w:hAnsiTheme="minorEastAsia"/>
        </w:rPr>
        <w:t>普陆</w:t>
      </w:r>
      <w:r w:rsidR="00A71F59" w:rsidRPr="005556D5">
        <w:rPr>
          <w:rFonts w:eastAsiaTheme="minorEastAsia"/>
        </w:rPr>
        <w:t>3-1</w:t>
      </w:r>
      <w:r w:rsidR="00A71F59" w:rsidRPr="005556D5">
        <w:rPr>
          <w:rFonts w:eastAsiaTheme="minorEastAsia" w:hAnsiTheme="minorEastAsia"/>
        </w:rPr>
        <w:t>井、普陆</w:t>
      </w:r>
      <w:r w:rsidR="00A71F59" w:rsidRPr="005556D5">
        <w:rPr>
          <w:rFonts w:eastAsiaTheme="minorEastAsia"/>
        </w:rPr>
        <w:t>3-2</w:t>
      </w:r>
      <w:r w:rsidR="00A71F59" w:rsidRPr="005556D5">
        <w:rPr>
          <w:rFonts w:eastAsiaTheme="minorEastAsia" w:hAnsiTheme="minorEastAsia"/>
        </w:rPr>
        <w:t>井钻井及试采工程一致，</w:t>
      </w:r>
      <w:r w:rsidR="00A71F59" w:rsidRPr="00D630D1">
        <w:rPr>
          <w:rFonts w:hint="eastAsia"/>
        </w:rPr>
        <w:t>因此，本次</w:t>
      </w:r>
      <w:r w:rsidR="00A71F59">
        <w:rPr>
          <w:rFonts w:hint="eastAsia"/>
        </w:rPr>
        <w:t>声环境质量现状引用《</w:t>
      </w:r>
      <w:r w:rsidR="00A71F59">
        <w:rPr>
          <w:rFonts w:eastAsiaTheme="minorEastAsia" w:hAnsiTheme="minorEastAsia" w:hint="eastAsia"/>
        </w:rPr>
        <w:t>普光气田</w:t>
      </w:r>
      <w:r w:rsidR="00A71F59" w:rsidRPr="005556D5">
        <w:rPr>
          <w:rFonts w:eastAsiaTheme="minorEastAsia" w:hAnsiTheme="minorEastAsia"/>
        </w:rPr>
        <w:t>普陆</w:t>
      </w:r>
      <w:r w:rsidR="00A71F59" w:rsidRPr="005556D5">
        <w:rPr>
          <w:rFonts w:eastAsiaTheme="minorEastAsia"/>
        </w:rPr>
        <w:t>3-1</w:t>
      </w:r>
      <w:r w:rsidR="00A71F59" w:rsidRPr="005556D5">
        <w:rPr>
          <w:rFonts w:eastAsiaTheme="minorEastAsia" w:hAnsiTheme="minorEastAsia"/>
        </w:rPr>
        <w:t>井、普陆</w:t>
      </w:r>
      <w:r w:rsidR="00A71F59" w:rsidRPr="005556D5">
        <w:rPr>
          <w:rFonts w:eastAsiaTheme="minorEastAsia"/>
        </w:rPr>
        <w:t>3-2</w:t>
      </w:r>
      <w:r w:rsidR="00A71F59" w:rsidRPr="005556D5">
        <w:rPr>
          <w:rFonts w:eastAsiaTheme="minorEastAsia" w:hAnsiTheme="minorEastAsia"/>
        </w:rPr>
        <w:t>井钻井及试采工程</w:t>
      </w:r>
      <w:r w:rsidR="00A71F59">
        <w:rPr>
          <w:rFonts w:eastAsiaTheme="minorEastAsia" w:hAnsiTheme="minorEastAsia" w:hint="eastAsia"/>
        </w:rPr>
        <w:t>环境影响报告书书</w:t>
      </w:r>
      <w:r w:rsidR="00A71F59">
        <w:rPr>
          <w:rFonts w:hint="eastAsia"/>
        </w:rPr>
        <w:t>》中的声环境现状监测</w:t>
      </w:r>
      <w:r w:rsidR="00A71F59" w:rsidRPr="00D630D1">
        <w:rPr>
          <w:rFonts w:hint="eastAsia"/>
        </w:rPr>
        <w:t>数据进行评价，</w:t>
      </w:r>
      <w:r w:rsidR="00A71F59">
        <w:rPr>
          <w:rFonts w:hint="eastAsia"/>
        </w:rPr>
        <w:t>监测时间为</w:t>
      </w:r>
      <w:r w:rsidR="00A71F59">
        <w:rPr>
          <w:rFonts w:hint="eastAsia"/>
        </w:rPr>
        <w:t>2022</w:t>
      </w:r>
      <w:r w:rsidR="00A71F59">
        <w:rPr>
          <w:rFonts w:hint="eastAsia"/>
        </w:rPr>
        <w:t>年</w:t>
      </w:r>
      <w:r w:rsidR="00A71F59">
        <w:rPr>
          <w:rFonts w:hint="eastAsia"/>
        </w:rPr>
        <w:t>6</w:t>
      </w:r>
      <w:r w:rsidR="00A71F59">
        <w:rPr>
          <w:rFonts w:hint="eastAsia"/>
        </w:rPr>
        <w:t>月</w:t>
      </w:r>
      <w:r w:rsidR="00A71F59">
        <w:rPr>
          <w:rFonts w:hint="eastAsia"/>
        </w:rPr>
        <w:t>22</w:t>
      </w:r>
      <w:r w:rsidR="00A71F59">
        <w:rPr>
          <w:rFonts w:hint="eastAsia"/>
        </w:rPr>
        <w:t>日</w:t>
      </w:r>
      <w:r w:rsidR="00A71F59">
        <w:rPr>
          <w:rFonts w:hint="eastAsia"/>
        </w:rPr>
        <w:t>~6</w:t>
      </w:r>
      <w:r w:rsidR="00A71F59">
        <w:rPr>
          <w:rFonts w:hint="eastAsia"/>
        </w:rPr>
        <w:t>月</w:t>
      </w:r>
      <w:r w:rsidR="00A71F59">
        <w:rPr>
          <w:rFonts w:hint="eastAsia"/>
        </w:rPr>
        <w:t>23</w:t>
      </w:r>
      <w:r w:rsidR="00A71F59">
        <w:rPr>
          <w:rFonts w:hint="eastAsia"/>
        </w:rPr>
        <w:t>日，</w:t>
      </w:r>
      <w:r w:rsidR="00A71F59" w:rsidRPr="00D630D1">
        <w:rPr>
          <w:rFonts w:hint="eastAsia"/>
        </w:rPr>
        <w:t>符合导</w:t>
      </w:r>
      <w:r w:rsidR="00A71F59" w:rsidRPr="00D630D1">
        <w:rPr>
          <w:rFonts w:hint="eastAsia"/>
        </w:rPr>
        <w:lastRenderedPageBreak/>
        <w:t>则要求</w:t>
      </w:r>
      <w:r w:rsidRPr="00D630D1">
        <w:t>。</w:t>
      </w:r>
      <w:r w:rsidR="004750C5" w:rsidRPr="00D630D1">
        <w:rPr>
          <w:rFonts w:hint="eastAsia"/>
          <w:bCs/>
        </w:rPr>
        <w:t>。</w:t>
      </w:r>
    </w:p>
    <w:p w:rsidR="00117C3D" w:rsidRPr="00D630D1" w:rsidRDefault="008B5B84" w:rsidP="00FC510D">
      <w:pPr>
        <w:pStyle w:val="afa"/>
        <w:ind w:firstLine="482"/>
        <w:rPr>
          <w:b/>
          <w:bCs/>
        </w:rPr>
      </w:pPr>
      <w:bookmarkStart w:id="450" w:name="_Toc12288575"/>
      <w:r w:rsidRPr="00D630D1">
        <w:rPr>
          <w:b/>
          <w:bCs/>
        </w:rPr>
        <w:t>1</w:t>
      </w:r>
      <w:r w:rsidRPr="00D630D1">
        <w:rPr>
          <w:b/>
          <w:bCs/>
        </w:rPr>
        <w:t>、监测布点</w:t>
      </w:r>
      <w:bookmarkEnd w:id="450"/>
    </w:p>
    <w:p w:rsidR="00117C3D" w:rsidRPr="00D630D1" w:rsidRDefault="008B5B84" w:rsidP="00FC510D">
      <w:pPr>
        <w:pStyle w:val="afa"/>
        <w:ind w:firstLine="480"/>
      </w:pPr>
      <w:r w:rsidRPr="00D630D1">
        <w:t>共计噪声监测点位</w:t>
      </w:r>
      <w:r w:rsidR="00A71F59">
        <w:rPr>
          <w:rFonts w:hint="eastAsia"/>
        </w:rPr>
        <w:t>5</w:t>
      </w:r>
      <w:r w:rsidRPr="00D630D1">
        <w:t>个。</w:t>
      </w:r>
    </w:p>
    <w:p w:rsidR="00BA3E89" w:rsidRPr="00D630D1" w:rsidRDefault="009E24C5" w:rsidP="00BA3E89">
      <w:pPr>
        <w:pStyle w:val="afa"/>
        <w:ind w:firstLine="480"/>
      </w:pPr>
      <w:r w:rsidRPr="00D630D1">
        <w:rPr>
          <w:rFonts w:hint="eastAsia"/>
        </w:rPr>
        <w:t>1#</w:t>
      </w:r>
      <w:r w:rsidR="00BA3E89" w:rsidRPr="00D630D1">
        <w:t>——</w:t>
      </w:r>
      <w:r w:rsidR="00A71F59" w:rsidRPr="00A71F59">
        <w:rPr>
          <w:rFonts w:hint="eastAsia"/>
        </w:rPr>
        <w:t>普光</w:t>
      </w:r>
      <w:r w:rsidR="00A71F59">
        <w:rPr>
          <w:rFonts w:hint="eastAsia"/>
        </w:rPr>
        <w:t>12</w:t>
      </w:r>
      <w:r w:rsidR="00A71F59" w:rsidRPr="00A71F59">
        <w:rPr>
          <w:rFonts w:hint="eastAsia"/>
        </w:rPr>
        <w:t>井台东南侧</w:t>
      </w:r>
      <w:r w:rsidR="00BA3E89" w:rsidRPr="00D630D1">
        <w:t>；</w:t>
      </w:r>
    </w:p>
    <w:p w:rsidR="00BA3E89" w:rsidRPr="00D630D1" w:rsidRDefault="009E24C5" w:rsidP="00BA3E89">
      <w:pPr>
        <w:pStyle w:val="afa"/>
        <w:ind w:firstLine="480"/>
      </w:pPr>
      <w:r w:rsidRPr="00D630D1">
        <w:rPr>
          <w:rFonts w:hint="eastAsia"/>
        </w:rPr>
        <w:t>2#</w:t>
      </w:r>
      <w:r w:rsidR="00BA3E89" w:rsidRPr="00D630D1">
        <w:t>——</w:t>
      </w:r>
      <w:r w:rsidR="00A71F59" w:rsidRPr="00A71F59">
        <w:rPr>
          <w:rFonts w:hint="eastAsia"/>
        </w:rPr>
        <w:t>普光</w:t>
      </w:r>
      <w:r w:rsidR="00A71F59">
        <w:rPr>
          <w:rFonts w:hint="eastAsia"/>
        </w:rPr>
        <w:t>12</w:t>
      </w:r>
      <w:r w:rsidR="00A71F59" w:rsidRPr="00A71F59">
        <w:rPr>
          <w:rFonts w:hint="eastAsia"/>
        </w:rPr>
        <w:t>井台西南侧</w:t>
      </w:r>
      <w:r w:rsidR="00BA3E89" w:rsidRPr="00D630D1">
        <w:t>；</w:t>
      </w:r>
    </w:p>
    <w:p w:rsidR="00A71F59" w:rsidRDefault="009E24C5" w:rsidP="00BA3E89">
      <w:pPr>
        <w:pStyle w:val="afa"/>
        <w:ind w:firstLine="480"/>
      </w:pPr>
      <w:r w:rsidRPr="00D630D1">
        <w:rPr>
          <w:rFonts w:hint="eastAsia"/>
        </w:rPr>
        <w:t>3#</w:t>
      </w:r>
      <w:r w:rsidR="00BA3E89" w:rsidRPr="00D630D1">
        <w:t>——</w:t>
      </w:r>
      <w:r w:rsidR="00A71F59" w:rsidRPr="00A71F59">
        <w:rPr>
          <w:rFonts w:hint="eastAsia"/>
        </w:rPr>
        <w:t>普光</w:t>
      </w:r>
      <w:r w:rsidR="00A71F59">
        <w:rPr>
          <w:rFonts w:hint="eastAsia"/>
        </w:rPr>
        <w:t>12</w:t>
      </w:r>
      <w:r w:rsidR="00A71F59" w:rsidRPr="00A71F59">
        <w:rPr>
          <w:rFonts w:hint="eastAsia"/>
        </w:rPr>
        <w:t>井台西北侧</w:t>
      </w:r>
      <w:r w:rsidR="00A71F59">
        <w:rPr>
          <w:rFonts w:hint="eastAsia"/>
        </w:rPr>
        <w:t>；</w:t>
      </w:r>
    </w:p>
    <w:p w:rsidR="00A71F59" w:rsidRDefault="00A71F59" w:rsidP="00A71F59">
      <w:pPr>
        <w:pStyle w:val="afa"/>
        <w:ind w:firstLine="480"/>
      </w:pPr>
      <w:r>
        <w:rPr>
          <w:rFonts w:hint="eastAsia"/>
        </w:rPr>
        <w:t>4</w:t>
      </w:r>
      <w:r w:rsidRPr="00D630D1">
        <w:rPr>
          <w:rFonts w:hint="eastAsia"/>
        </w:rPr>
        <w:t>#</w:t>
      </w:r>
      <w:r w:rsidRPr="00D630D1">
        <w:t>——</w:t>
      </w:r>
      <w:r w:rsidRPr="00A71F59">
        <w:rPr>
          <w:rFonts w:hint="eastAsia"/>
        </w:rPr>
        <w:t>普普光</w:t>
      </w:r>
      <w:r>
        <w:rPr>
          <w:rFonts w:hint="eastAsia"/>
        </w:rPr>
        <w:t>12</w:t>
      </w:r>
      <w:r w:rsidRPr="00A71F59">
        <w:rPr>
          <w:rFonts w:hint="eastAsia"/>
        </w:rPr>
        <w:t>井台东北侧</w:t>
      </w:r>
      <w:r>
        <w:rPr>
          <w:rFonts w:hint="eastAsia"/>
        </w:rPr>
        <w:t>；</w:t>
      </w:r>
    </w:p>
    <w:p w:rsidR="003E4F1C" w:rsidRPr="00D630D1" w:rsidRDefault="00A71F59" w:rsidP="00BA3E89">
      <w:pPr>
        <w:pStyle w:val="afa"/>
        <w:ind w:firstLine="480"/>
      </w:pPr>
      <w:r w:rsidRPr="00D630D1">
        <w:rPr>
          <w:rFonts w:hint="eastAsia"/>
        </w:rPr>
        <w:t>3#</w:t>
      </w:r>
      <w:r w:rsidRPr="00D630D1">
        <w:t>——</w:t>
      </w:r>
      <w:r w:rsidRPr="00A71F59">
        <w:rPr>
          <w:rFonts w:hint="eastAsia"/>
        </w:rPr>
        <w:t>普光</w:t>
      </w:r>
      <w:r>
        <w:rPr>
          <w:rFonts w:hint="eastAsia"/>
        </w:rPr>
        <w:t>12</w:t>
      </w:r>
      <w:r w:rsidRPr="00A71F59">
        <w:rPr>
          <w:rFonts w:hint="eastAsia"/>
        </w:rPr>
        <w:t>井台南侧居民</w:t>
      </w:r>
      <w:r w:rsidR="009E24C5" w:rsidRPr="00D630D1">
        <w:rPr>
          <w:rFonts w:hint="eastAsia"/>
        </w:rPr>
        <w:t>。</w:t>
      </w:r>
    </w:p>
    <w:p w:rsidR="00FC510D" w:rsidRPr="00D630D1" w:rsidRDefault="006C4127" w:rsidP="00BA3E89">
      <w:pPr>
        <w:pStyle w:val="afa"/>
        <w:ind w:firstLine="480"/>
        <w:rPr>
          <w:b/>
        </w:rPr>
      </w:pPr>
      <w:r w:rsidRPr="00D630D1">
        <w:t>2</w:t>
      </w:r>
      <w:r w:rsidR="008B5B84" w:rsidRPr="00D630D1">
        <w:rPr>
          <w:b/>
        </w:rPr>
        <w:t>、监测项目</w:t>
      </w:r>
    </w:p>
    <w:p w:rsidR="00117C3D" w:rsidRPr="00D630D1" w:rsidRDefault="008B5B84" w:rsidP="00FC510D">
      <w:pPr>
        <w:pStyle w:val="afa"/>
        <w:ind w:firstLine="480"/>
      </w:pPr>
      <w:r w:rsidRPr="00D630D1">
        <w:t>昼夜等效连续</w:t>
      </w:r>
      <w:r w:rsidRPr="00D630D1">
        <w:t>A</w:t>
      </w:r>
      <w:r w:rsidRPr="00D630D1">
        <w:t>声级。</w:t>
      </w:r>
    </w:p>
    <w:p w:rsidR="00FC510D" w:rsidRPr="00D630D1" w:rsidRDefault="008B5B84" w:rsidP="00FC510D">
      <w:pPr>
        <w:pStyle w:val="afa"/>
        <w:ind w:firstLine="482"/>
        <w:rPr>
          <w:b/>
        </w:rPr>
      </w:pPr>
      <w:r w:rsidRPr="00D630D1">
        <w:rPr>
          <w:b/>
        </w:rPr>
        <w:t>3</w:t>
      </w:r>
      <w:r w:rsidRPr="00D630D1">
        <w:rPr>
          <w:b/>
        </w:rPr>
        <w:t>、监测频次</w:t>
      </w:r>
    </w:p>
    <w:p w:rsidR="00117C3D" w:rsidRPr="00D630D1" w:rsidRDefault="008B5B84" w:rsidP="00FC510D">
      <w:pPr>
        <w:pStyle w:val="afa"/>
        <w:ind w:firstLine="480"/>
      </w:pPr>
      <w:r w:rsidRPr="00D630D1">
        <w:t>每个监测点位连续监测</w:t>
      </w:r>
      <w:r w:rsidRPr="00D630D1">
        <w:t>2</w:t>
      </w:r>
      <w:r w:rsidRPr="00D630D1">
        <w:t>天，监测时间为昼夜各一次。</w:t>
      </w:r>
    </w:p>
    <w:p w:rsidR="00FC510D" w:rsidRPr="00D630D1" w:rsidRDefault="008B5B84" w:rsidP="00FC510D">
      <w:pPr>
        <w:pStyle w:val="afa"/>
        <w:ind w:firstLine="482"/>
        <w:rPr>
          <w:b/>
        </w:rPr>
      </w:pPr>
      <w:r w:rsidRPr="00D630D1">
        <w:rPr>
          <w:b/>
        </w:rPr>
        <w:t>4</w:t>
      </w:r>
      <w:r w:rsidRPr="00D630D1">
        <w:rPr>
          <w:b/>
        </w:rPr>
        <w:t>、采样及分析方法</w:t>
      </w:r>
    </w:p>
    <w:p w:rsidR="00117C3D" w:rsidRPr="00D630D1" w:rsidRDefault="008B5B84" w:rsidP="00FC510D">
      <w:pPr>
        <w:pStyle w:val="afa"/>
        <w:ind w:firstLine="480"/>
      </w:pPr>
      <w:r w:rsidRPr="00D630D1">
        <w:t>采样及分析方法按国家有关规定进行。</w:t>
      </w:r>
    </w:p>
    <w:p w:rsidR="00117C3D" w:rsidRPr="00D630D1" w:rsidRDefault="008B5B84" w:rsidP="00FC510D">
      <w:pPr>
        <w:pStyle w:val="afa"/>
        <w:ind w:firstLine="482"/>
        <w:rPr>
          <w:b/>
        </w:rPr>
      </w:pPr>
      <w:bookmarkStart w:id="451" w:name="_Toc12288576"/>
      <w:r w:rsidRPr="00D630D1">
        <w:rPr>
          <w:b/>
        </w:rPr>
        <w:t>5</w:t>
      </w:r>
      <w:r w:rsidRPr="00D630D1">
        <w:rPr>
          <w:b/>
        </w:rPr>
        <w:t>、评价标准</w:t>
      </w:r>
      <w:bookmarkEnd w:id="451"/>
    </w:p>
    <w:p w:rsidR="003F5E50" w:rsidRPr="00D630D1" w:rsidRDefault="008B5B84" w:rsidP="00383D53">
      <w:pPr>
        <w:pStyle w:val="afa"/>
        <w:ind w:firstLine="480"/>
      </w:pPr>
      <w:r w:rsidRPr="00D630D1">
        <w:t>声环境执行《声环境质量标准》（</w:t>
      </w:r>
      <w:r w:rsidRPr="00D630D1">
        <w:t>GB3096-2008</w:t>
      </w:r>
      <w:r w:rsidRPr="00D630D1">
        <w:t>）中的</w:t>
      </w:r>
      <w:r w:rsidRPr="00D630D1">
        <w:t>2</w:t>
      </w:r>
      <w:r w:rsidRPr="00D630D1">
        <w:t>类标准，即昼间</w:t>
      </w:r>
      <w:r w:rsidRPr="00D630D1">
        <w:t>60dB</w:t>
      </w:r>
      <w:r w:rsidR="00B06FB5" w:rsidRPr="00D630D1">
        <w:rPr>
          <w:rFonts w:hint="eastAsia"/>
        </w:rPr>
        <w:t>（</w:t>
      </w:r>
      <w:r w:rsidR="00B06FB5" w:rsidRPr="00D630D1">
        <w:t>A</w:t>
      </w:r>
      <w:r w:rsidR="00B06FB5" w:rsidRPr="00D630D1">
        <w:rPr>
          <w:rFonts w:hint="eastAsia"/>
        </w:rPr>
        <w:t>）</w:t>
      </w:r>
      <w:r w:rsidRPr="00D630D1">
        <w:t>，夜间</w:t>
      </w:r>
      <w:r w:rsidRPr="00D630D1">
        <w:t>50dB</w:t>
      </w:r>
      <w:r w:rsidR="00B06FB5" w:rsidRPr="00D630D1">
        <w:rPr>
          <w:rFonts w:hint="eastAsia"/>
        </w:rPr>
        <w:t>（</w:t>
      </w:r>
      <w:r w:rsidR="00B06FB5" w:rsidRPr="00D630D1">
        <w:t>A</w:t>
      </w:r>
      <w:r w:rsidR="00B06FB5" w:rsidRPr="00D630D1">
        <w:rPr>
          <w:rFonts w:hint="eastAsia"/>
        </w:rPr>
        <w:t>）</w:t>
      </w:r>
      <w:r w:rsidRPr="00D630D1">
        <w:t>。</w:t>
      </w:r>
      <w:bookmarkStart w:id="452" w:name="_Toc12288577"/>
    </w:p>
    <w:p w:rsidR="00117C3D" w:rsidRPr="00D630D1" w:rsidRDefault="008B5B84" w:rsidP="00383D53">
      <w:pPr>
        <w:pStyle w:val="afa"/>
        <w:ind w:firstLine="482"/>
        <w:rPr>
          <w:b/>
          <w:bCs/>
        </w:rPr>
      </w:pPr>
      <w:r w:rsidRPr="00D630D1">
        <w:rPr>
          <w:b/>
          <w:bCs/>
        </w:rPr>
        <w:t>6</w:t>
      </w:r>
      <w:r w:rsidRPr="00D630D1">
        <w:rPr>
          <w:b/>
          <w:bCs/>
        </w:rPr>
        <w:t>、监测结果</w:t>
      </w:r>
      <w:bookmarkEnd w:id="452"/>
    </w:p>
    <w:p w:rsidR="00117C3D" w:rsidRPr="00D630D1" w:rsidRDefault="008B5B84" w:rsidP="00DF6E43">
      <w:pPr>
        <w:pStyle w:val="afa"/>
        <w:ind w:firstLine="480"/>
      </w:pPr>
      <w:r w:rsidRPr="00D630D1">
        <w:t>声环境质量现状值监测结果见表</w:t>
      </w:r>
      <w:r w:rsidR="007B0D59" w:rsidRPr="00D630D1">
        <w:t>5</w:t>
      </w:r>
      <w:r w:rsidRPr="00D630D1">
        <w:t>.6-</w:t>
      </w:r>
      <w:r w:rsidR="003F5E50" w:rsidRPr="00D630D1">
        <w:t>1</w:t>
      </w:r>
      <w:r w:rsidRPr="00D630D1">
        <w:t>。</w:t>
      </w:r>
    </w:p>
    <w:p w:rsidR="00117C3D" w:rsidRPr="00D630D1" w:rsidRDefault="008B5B84" w:rsidP="007B0D59">
      <w:pPr>
        <w:pStyle w:val="10"/>
        <w:rPr>
          <w:rFonts w:cs="Times New Roman"/>
        </w:rPr>
      </w:pPr>
      <w:r w:rsidRPr="00D630D1">
        <w:rPr>
          <w:rFonts w:cs="Times New Roman"/>
        </w:rPr>
        <w:t>表</w:t>
      </w:r>
      <w:r w:rsidR="007B0D59" w:rsidRPr="00D630D1">
        <w:rPr>
          <w:rFonts w:cs="Times New Roman"/>
        </w:rPr>
        <w:t>5</w:t>
      </w:r>
      <w:r w:rsidRPr="00D630D1">
        <w:rPr>
          <w:rFonts w:cs="Times New Roman"/>
        </w:rPr>
        <w:t>.6-</w:t>
      </w:r>
      <w:r w:rsidR="003F5E50" w:rsidRPr="00D630D1">
        <w:rPr>
          <w:rFonts w:cs="Times New Roman"/>
        </w:rPr>
        <w:t>1</w:t>
      </w:r>
      <w:r w:rsidR="007B0D59" w:rsidRPr="00D630D1">
        <w:rPr>
          <w:rFonts w:cs="Times New Roman"/>
        </w:rPr>
        <w:t xml:space="preserve"> </w:t>
      </w:r>
      <w:r w:rsidRPr="00D630D1">
        <w:rPr>
          <w:rFonts w:cs="Times New Roman"/>
        </w:rPr>
        <w:t xml:space="preserve"> </w:t>
      </w:r>
      <w:r w:rsidRPr="00D630D1">
        <w:rPr>
          <w:rFonts w:cs="Times New Roman"/>
        </w:rPr>
        <w:t>声环境质量现状监测及评价结果</w:t>
      </w:r>
    </w:p>
    <w:tbl>
      <w:tblPr>
        <w:tblW w:w="5182" w:type="pct"/>
        <w:jc w:val="center"/>
        <w:tblBorders>
          <w:top w:val="single" w:sz="12" w:space="0" w:color="000000"/>
          <w:bottom w:val="single" w:sz="12" w:space="0" w:color="000000"/>
          <w:insideH w:val="single" w:sz="2" w:space="0" w:color="000000"/>
          <w:insideV w:val="single" w:sz="4" w:space="0" w:color="000000"/>
        </w:tblBorders>
        <w:tblCellMar>
          <w:left w:w="0" w:type="dxa"/>
          <w:right w:w="0" w:type="dxa"/>
        </w:tblCellMar>
        <w:tblLook w:val="04A0"/>
      </w:tblPr>
      <w:tblGrid>
        <w:gridCol w:w="1060"/>
        <w:gridCol w:w="3051"/>
        <w:gridCol w:w="1133"/>
        <w:gridCol w:w="1135"/>
        <w:gridCol w:w="1138"/>
        <w:gridCol w:w="1091"/>
      </w:tblGrid>
      <w:tr w:rsidR="00D26881" w:rsidRPr="00D630D1" w:rsidTr="00F50B39">
        <w:trPr>
          <w:trHeight w:val="55"/>
          <w:tblHeader/>
          <w:jc w:val="center"/>
        </w:trPr>
        <w:tc>
          <w:tcPr>
            <w:tcW w:w="616" w:type="pct"/>
            <w:vAlign w:val="center"/>
          </w:tcPr>
          <w:p w:rsidR="00117C3D" w:rsidRPr="00D630D1" w:rsidRDefault="008B5B84" w:rsidP="00F50B39">
            <w:pPr>
              <w:pStyle w:val="aff2"/>
              <w:rPr>
                <w:b/>
                <w:bCs/>
              </w:rPr>
            </w:pPr>
            <w:r w:rsidRPr="00D630D1">
              <w:rPr>
                <w:b/>
                <w:bCs/>
              </w:rPr>
              <w:t>点位编号</w:t>
            </w:r>
          </w:p>
        </w:tc>
        <w:tc>
          <w:tcPr>
            <w:tcW w:w="1772" w:type="pct"/>
            <w:vAlign w:val="center"/>
          </w:tcPr>
          <w:p w:rsidR="00117C3D" w:rsidRPr="00D630D1" w:rsidRDefault="008B5B84" w:rsidP="00F50B39">
            <w:pPr>
              <w:pStyle w:val="aff2"/>
              <w:rPr>
                <w:b/>
                <w:bCs/>
              </w:rPr>
            </w:pPr>
            <w:r w:rsidRPr="00D630D1">
              <w:rPr>
                <w:b/>
                <w:bCs/>
              </w:rPr>
              <w:t>点位名称</w:t>
            </w:r>
          </w:p>
        </w:tc>
        <w:tc>
          <w:tcPr>
            <w:tcW w:w="658" w:type="pct"/>
            <w:vAlign w:val="center"/>
          </w:tcPr>
          <w:p w:rsidR="00117C3D" w:rsidRPr="00D630D1" w:rsidRDefault="008B5B84" w:rsidP="00F50B39">
            <w:pPr>
              <w:pStyle w:val="aff2"/>
              <w:rPr>
                <w:b/>
                <w:bCs/>
              </w:rPr>
            </w:pPr>
            <w:r w:rsidRPr="00D630D1">
              <w:rPr>
                <w:b/>
                <w:bCs/>
              </w:rPr>
              <w:t>监测时间</w:t>
            </w:r>
          </w:p>
        </w:tc>
        <w:tc>
          <w:tcPr>
            <w:tcW w:w="659" w:type="pct"/>
            <w:vAlign w:val="center"/>
          </w:tcPr>
          <w:p w:rsidR="007B0D59" w:rsidRPr="00D630D1" w:rsidRDefault="008B5B84" w:rsidP="00F50B39">
            <w:pPr>
              <w:pStyle w:val="aff2"/>
              <w:rPr>
                <w:b/>
                <w:bCs/>
              </w:rPr>
            </w:pPr>
            <w:r w:rsidRPr="00D630D1">
              <w:rPr>
                <w:b/>
                <w:bCs/>
              </w:rPr>
              <w:t>昼间</w:t>
            </w:r>
          </w:p>
          <w:p w:rsidR="00117C3D" w:rsidRPr="00D630D1" w:rsidRDefault="008B5B84" w:rsidP="00F50B39">
            <w:pPr>
              <w:pStyle w:val="aff2"/>
              <w:rPr>
                <w:b/>
                <w:bCs/>
              </w:rPr>
            </w:pPr>
            <w:r w:rsidRPr="00D630D1">
              <w:rPr>
                <w:b/>
                <w:bCs/>
              </w:rPr>
              <w:t>dB(A)</w:t>
            </w:r>
          </w:p>
        </w:tc>
        <w:tc>
          <w:tcPr>
            <w:tcW w:w="661" w:type="pct"/>
            <w:vAlign w:val="center"/>
          </w:tcPr>
          <w:p w:rsidR="007B0D59" w:rsidRPr="00D630D1" w:rsidRDefault="008B5B84" w:rsidP="00F50B39">
            <w:pPr>
              <w:pStyle w:val="aff2"/>
              <w:rPr>
                <w:b/>
                <w:bCs/>
              </w:rPr>
            </w:pPr>
            <w:r w:rsidRPr="00D630D1">
              <w:rPr>
                <w:b/>
                <w:bCs/>
              </w:rPr>
              <w:t>夜间</w:t>
            </w:r>
          </w:p>
          <w:p w:rsidR="00117C3D" w:rsidRPr="00D630D1" w:rsidRDefault="008B5B84" w:rsidP="00F50B39">
            <w:pPr>
              <w:pStyle w:val="aff2"/>
              <w:rPr>
                <w:b/>
                <w:bCs/>
              </w:rPr>
            </w:pPr>
            <w:r w:rsidRPr="00D630D1">
              <w:rPr>
                <w:b/>
                <w:bCs/>
              </w:rPr>
              <w:t>dB(A)</w:t>
            </w:r>
          </w:p>
        </w:tc>
        <w:tc>
          <w:tcPr>
            <w:tcW w:w="634" w:type="pct"/>
            <w:vAlign w:val="center"/>
          </w:tcPr>
          <w:p w:rsidR="00117C3D" w:rsidRPr="00D630D1" w:rsidRDefault="008B5B84" w:rsidP="00F50B39">
            <w:pPr>
              <w:pStyle w:val="aff2"/>
              <w:rPr>
                <w:b/>
                <w:bCs/>
              </w:rPr>
            </w:pPr>
            <w:r w:rsidRPr="00D630D1">
              <w:rPr>
                <w:b/>
                <w:bCs/>
              </w:rPr>
              <w:t>达标</w:t>
            </w:r>
          </w:p>
          <w:p w:rsidR="00117C3D" w:rsidRPr="00D630D1" w:rsidRDefault="008B5B84" w:rsidP="00F50B39">
            <w:pPr>
              <w:pStyle w:val="aff2"/>
              <w:rPr>
                <w:b/>
                <w:bCs/>
              </w:rPr>
            </w:pPr>
            <w:r w:rsidRPr="00D630D1">
              <w:rPr>
                <w:b/>
                <w:bCs/>
              </w:rPr>
              <w:t>情况</w:t>
            </w:r>
          </w:p>
        </w:tc>
      </w:tr>
      <w:tr w:rsidR="00370C33" w:rsidRPr="00D630D1" w:rsidTr="00F50B39">
        <w:trPr>
          <w:trHeight w:val="18"/>
          <w:jc w:val="center"/>
        </w:trPr>
        <w:tc>
          <w:tcPr>
            <w:tcW w:w="616" w:type="pct"/>
            <w:vMerge w:val="restart"/>
            <w:vAlign w:val="center"/>
          </w:tcPr>
          <w:p w:rsidR="00370C33" w:rsidRPr="00D630D1" w:rsidRDefault="00370C33" w:rsidP="00F50B39">
            <w:pPr>
              <w:pStyle w:val="aff2"/>
            </w:pPr>
            <w:r w:rsidRPr="00D630D1">
              <w:t>1</w:t>
            </w:r>
            <w:r w:rsidRPr="00D630D1">
              <w:rPr>
                <w:rFonts w:hint="eastAsia"/>
              </w:rPr>
              <w:t>#</w:t>
            </w:r>
          </w:p>
        </w:tc>
        <w:tc>
          <w:tcPr>
            <w:tcW w:w="1772" w:type="pct"/>
            <w:vMerge w:val="restart"/>
            <w:vAlign w:val="center"/>
          </w:tcPr>
          <w:p w:rsidR="00370C33" w:rsidRPr="00D630D1" w:rsidRDefault="00A71F59" w:rsidP="00370C33">
            <w:pPr>
              <w:spacing w:line="0" w:lineRule="atLeast"/>
              <w:ind w:firstLineChars="0" w:firstLine="0"/>
              <w:jc w:val="center"/>
              <w:rPr>
                <w:rFonts w:ascii="Times New Roman" w:cs="Times New Roman"/>
                <w:kern w:val="2"/>
                <w:sz w:val="21"/>
                <w:szCs w:val="21"/>
              </w:rPr>
            </w:pPr>
            <w:r w:rsidRPr="00A71F59">
              <w:rPr>
                <w:rFonts w:ascii="Times New Roman" w:cs="Times New Roman" w:hint="eastAsia"/>
                <w:kern w:val="2"/>
                <w:sz w:val="21"/>
                <w:szCs w:val="21"/>
              </w:rPr>
              <w:t>普光</w:t>
            </w:r>
            <w:r w:rsidRPr="00A71F59">
              <w:rPr>
                <w:rFonts w:ascii="Times New Roman" w:cs="Times New Roman" w:hint="eastAsia"/>
                <w:kern w:val="2"/>
                <w:sz w:val="21"/>
                <w:szCs w:val="21"/>
              </w:rPr>
              <w:t>12</w:t>
            </w:r>
            <w:r w:rsidRPr="00A71F59">
              <w:rPr>
                <w:rFonts w:ascii="Times New Roman" w:cs="Times New Roman" w:hint="eastAsia"/>
                <w:kern w:val="2"/>
                <w:sz w:val="21"/>
                <w:szCs w:val="21"/>
              </w:rPr>
              <w:t>井台东南侧</w:t>
            </w:r>
          </w:p>
        </w:tc>
        <w:tc>
          <w:tcPr>
            <w:tcW w:w="658" w:type="pct"/>
            <w:vAlign w:val="center"/>
          </w:tcPr>
          <w:p w:rsidR="00370C33" w:rsidRPr="00D630D1" w:rsidRDefault="00C062E6" w:rsidP="00A71F59">
            <w:pPr>
              <w:pStyle w:val="aff2"/>
            </w:pPr>
            <w:r w:rsidRPr="00D630D1">
              <w:rPr>
                <w:rFonts w:hint="eastAsia"/>
              </w:rPr>
              <w:t>6</w:t>
            </w:r>
            <w:r w:rsidR="00370C33" w:rsidRPr="00D630D1">
              <w:t>.</w:t>
            </w:r>
            <w:r w:rsidR="00A71F59">
              <w:rPr>
                <w:rFonts w:hint="eastAsia"/>
              </w:rPr>
              <w:t>22</w:t>
            </w:r>
          </w:p>
        </w:tc>
        <w:tc>
          <w:tcPr>
            <w:tcW w:w="659" w:type="pct"/>
            <w:vAlign w:val="center"/>
          </w:tcPr>
          <w:p w:rsidR="00370C33" w:rsidRPr="00D630D1" w:rsidRDefault="00A71F59" w:rsidP="00C062E6">
            <w:pPr>
              <w:pStyle w:val="aff2"/>
            </w:pPr>
            <w:r>
              <w:rPr>
                <w:rFonts w:hint="eastAsia"/>
              </w:rPr>
              <w:t>47</w:t>
            </w:r>
          </w:p>
        </w:tc>
        <w:tc>
          <w:tcPr>
            <w:tcW w:w="661" w:type="pct"/>
            <w:vAlign w:val="center"/>
          </w:tcPr>
          <w:p w:rsidR="00370C33" w:rsidRPr="00D630D1" w:rsidRDefault="00A71F59" w:rsidP="00C062E6">
            <w:pPr>
              <w:pStyle w:val="aff2"/>
            </w:pPr>
            <w:r>
              <w:rPr>
                <w:rFonts w:hint="eastAsia"/>
              </w:rPr>
              <w:t>40</w:t>
            </w:r>
          </w:p>
        </w:tc>
        <w:tc>
          <w:tcPr>
            <w:tcW w:w="634" w:type="pct"/>
            <w:vMerge w:val="restart"/>
            <w:vAlign w:val="center"/>
          </w:tcPr>
          <w:p w:rsidR="00370C33" w:rsidRPr="00D630D1" w:rsidRDefault="00370C33" w:rsidP="00F50B39">
            <w:pPr>
              <w:pStyle w:val="aff2"/>
            </w:pPr>
            <w:r w:rsidRPr="00D630D1">
              <w:t>达标</w:t>
            </w:r>
          </w:p>
        </w:tc>
      </w:tr>
      <w:tr w:rsidR="00370C33" w:rsidRPr="00D630D1" w:rsidTr="00F50B39">
        <w:trPr>
          <w:trHeight w:val="18"/>
          <w:jc w:val="center"/>
        </w:trPr>
        <w:tc>
          <w:tcPr>
            <w:tcW w:w="616" w:type="pct"/>
            <w:vMerge/>
            <w:vAlign w:val="center"/>
          </w:tcPr>
          <w:p w:rsidR="00370C33" w:rsidRPr="00D630D1" w:rsidRDefault="00370C33" w:rsidP="00F50B39">
            <w:pPr>
              <w:pStyle w:val="aff2"/>
            </w:pPr>
          </w:p>
        </w:tc>
        <w:tc>
          <w:tcPr>
            <w:tcW w:w="1772" w:type="pct"/>
            <w:vMerge/>
            <w:vAlign w:val="center"/>
          </w:tcPr>
          <w:p w:rsidR="00370C33" w:rsidRPr="00D630D1" w:rsidRDefault="00370C33" w:rsidP="00F50B39">
            <w:pPr>
              <w:pStyle w:val="aff2"/>
            </w:pPr>
          </w:p>
        </w:tc>
        <w:tc>
          <w:tcPr>
            <w:tcW w:w="658" w:type="pct"/>
            <w:vAlign w:val="center"/>
          </w:tcPr>
          <w:p w:rsidR="00370C33" w:rsidRPr="00D630D1" w:rsidRDefault="00C062E6" w:rsidP="00A71F59">
            <w:pPr>
              <w:pStyle w:val="aff2"/>
            </w:pPr>
            <w:r w:rsidRPr="00D630D1">
              <w:rPr>
                <w:rFonts w:hint="eastAsia"/>
              </w:rPr>
              <w:t>6</w:t>
            </w:r>
            <w:r w:rsidR="00370C33" w:rsidRPr="00D630D1">
              <w:t>.</w:t>
            </w:r>
            <w:r w:rsidR="00A71F59">
              <w:rPr>
                <w:rFonts w:hint="eastAsia"/>
              </w:rPr>
              <w:t>23</w:t>
            </w:r>
          </w:p>
        </w:tc>
        <w:tc>
          <w:tcPr>
            <w:tcW w:w="659" w:type="pct"/>
            <w:vAlign w:val="center"/>
          </w:tcPr>
          <w:p w:rsidR="00370C33" w:rsidRPr="00D630D1" w:rsidRDefault="00A71F59" w:rsidP="00C062E6">
            <w:pPr>
              <w:pStyle w:val="aff2"/>
            </w:pPr>
            <w:r>
              <w:rPr>
                <w:rFonts w:hint="eastAsia"/>
              </w:rPr>
              <w:t>49</w:t>
            </w:r>
          </w:p>
        </w:tc>
        <w:tc>
          <w:tcPr>
            <w:tcW w:w="661" w:type="pct"/>
            <w:vAlign w:val="center"/>
          </w:tcPr>
          <w:p w:rsidR="00370C33" w:rsidRPr="00D630D1" w:rsidRDefault="00370C33" w:rsidP="00A71F59">
            <w:pPr>
              <w:pStyle w:val="aff2"/>
            </w:pPr>
            <w:r w:rsidRPr="00D630D1">
              <w:rPr>
                <w:rFonts w:hint="eastAsia"/>
              </w:rPr>
              <w:t>4</w:t>
            </w:r>
            <w:r w:rsidR="00A71F59">
              <w:rPr>
                <w:rFonts w:hint="eastAsia"/>
              </w:rPr>
              <w:t>0</w:t>
            </w:r>
          </w:p>
        </w:tc>
        <w:tc>
          <w:tcPr>
            <w:tcW w:w="634" w:type="pct"/>
            <w:vMerge/>
            <w:vAlign w:val="center"/>
          </w:tcPr>
          <w:p w:rsidR="00370C33" w:rsidRPr="00D630D1" w:rsidRDefault="00370C33" w:rsidP="00F50B39">
            <w:pPr>
              <w:pStyle w:val="aff2"/>
            </w:pPr>
          </w:p>
        </w:tc>
      </w:tr>
      <w:tr w:rsidR="00A71F59" w:rsidRPr="00D630D1" w:rsidTr="00F50B39">
        <w:trPr>
          <w:trHeight w:val="18"/>
          <w:jc w:val="center"/>
        </w:trPr>
        <w:tc>
          <w:tcPr>
            <w:tcW w:w="616" w:type="pct"/>
            <w:vMerge w:val="restart"/>
            <w:vAlign w:val="center"/>
          </w:tcPr>
          <w:p w:rsidR="00A71F59" w:rsidRPr="00D630D1" w:rsidRDefault="00A71F59" w:rsidP="00F50B39">
            <w:pPr>
              <w:pStyle w:val="aff2"/>
            </w:pPr>
            <w:r w:rsidRPr="00D630D1">
              <w:t>2</w:t>
            </w:r>
            <w:r w:rsidRPr="00D630D1">
              <w:rPr>
                <w:rFonts w:hint="eastAsia"/>
              </w:rPr>
              <w:t>#</w:t>
            </w:r>
          </w:p>
        </w:tc>
        <w:tc>
          <w:tcPr>
            <w:tcW w:w="1772" w:type="pct"/>
            <w:vMerge w:val="restart"/>
            <w:vAlign w:val="center"/>
          </w:tcPr>
          <w:p w:rsidR="00A71F59" w:rsidRPr="00D630D1" w:rsidRDefault="00A71F59" w:rsidP="00F50B39">
            <w:pPr>
              <w:pStyle w:val="aff2"/>
            </w:pPr>
            <w:r w:rsidRPr="00A71F59">
              <w:rPr>
                <w:rFonts w:hint="eastAsia"/>
              </w:rPr>
              <w:t>普光</w:t>
            </w:r>
            <w:r w:rsidRPr="00A71F59">
              <w:rPr>
                <w:rFonts w:hint="eastAsia"/>
              </w:rPr>
              <w:t>12</w:t>
            </w:r>
            <w:r w:rsidRPr="00A71F59">
              <w:rPr>
                <w:rFonts w:hint="eastAsia"/>
              </w:rPr>
              <w:t>井台西南侧</w:t>
            </w:r>
          </w:p>
        </w:tc>
        <w:tc>
          <w:tcPr>
            <w:tcW w:w="658" w:type="pct"/>
            <w:vAlign w:val="center"/>
          </w:tcPr>
          <w:p w:rsidR="00A71F59" w:rsidRPr="00D630D1" w:rsidRDefault="00A71F59" w:rsidP="00A71F59">
            <w:pPr>
              <w:pStyle w:val="aff2"/>
            </w:pPr>
            <w:r w:rsidRPr="00D630D1">
              <w:rPr>
                <w:rFonts w:hint="eastAsia"/>
              </w:rPr>
              <w:t>6</w:t>
            </w:r>
            <w:r w:rsidRPr="00D630D1">
              <w:t>.</w:t>
            </w:r>
            <w:r>
              <w:rPr>
                <w:rFonts w:hint="eastAsia"/>
              </w:rPr>
              <w:t>22</w:t>
            </w:r>
          </w:p>
        </w:tc>
        <w:tc>
          <w:tcPr>
            <w:tcW w:w="659" w:type="pct"/>
            <w:vAlign w:val="center"/>
          </w:tcPr>
          <w:p w:rsidR="00A71F59" w:rsidRPr="00D630D1" w:rsidRDefault="00A71F59" w:rsidP="00C062E6">
            <w:pPr>
              <w:pStyle w:val="aff2"/>
            </w:pPr>
            <w:r>
              <w:rPr>
                <w:rFonts w:hint="eastAsia"/>
              </w:rPr>
              <w:t>48</w:t>
            </w:r>
          </w:p>
        </w:tc>
        <w:tc>
          <w:tcPr>
            <w:tcW w:w="661" w:type="pct"/>
            <w:vAlign w:val="center"/>
          </w:tcPr>
          <w:p w:rsidR="00A71F59" w:rsidRPr="00D630D1" w:rsidRDefault="00A71F59" w:rsidP="00A71F59">
            <w:pPr>
              <w:pStyle w:val="aff2"/>
            </w:pPr>
            <w:r w:rsidRPr="00D630D1">
              <w:rPr>
                <w:rFonts w:hint="eastAsia"/>
              </w:rPr>
              <w:t>4</w:t>
            </w:r>
            <w:r>
              <w:rPr>
                <w:rFonts w:hint="eastAsia"/>
              </w:rPr>
              <w:t>2</w:t>
            </w:r>
          </w:p>
        </w:tc>
        <w:tc>
          <w:tcPr>
            <w:tcW w:w="634" w:type="pct"/>
            <w:vMerge w:val="restart"/>
            <w:vAlign w:val="center"/>
          </w:tcPr>
          <w:p w:rsidR="00A71F59" w:rsidRPr="00D630D1" w:rsidRDefault="00A71F59" w:rsidP="00F50B39">
            <w:pPr>
              <w:pStyle w:val="aff2"/>
            </w:pPr>
            <w:r w:rsidRPr="00D630D1">
              <w:t>达标</w:t>
            </w:r>
          </w:p>
        </w:tc>
      </w:tr>
      <w:tr w:rsidR="00A71F59" w:rsidRPr="00D630D1" w:rsidTr="00F50B39">
        <w:trPr>
          <w:trHeight w:val="18"/>
          <w:jc w:val="center"/>
        </w:trPr>
        <w:tc>
          <w:tcPr>
            <w:tcW w:w="616" w:type="pct"/>
            <w:vMerge/>
            <w:vAlign w:val="center"/>
          </w:tcPr>
          <w:p w:rsidR="00A71F59" w:rsidRPr="00D630D1" w:rsidRDefault="00A71F59" w:rsidP="00F50B39">
            <w:pPr>
              <w:pStyle w:val="aff2"/>
            </w:pPr>
          </w:p>
        </w:tc>
        <w:tc>
          <w:tcPr>
            <w:tcW w:w="1772" w:type="pct"/>
            <w:vMerge/>
            <w:vAlign w:val="center"/>
          </w:tcPr>
          <w:p w:rsidR="00A71F59" w:rsidRPr="00D630D1" w:rsidRDefault="00A71F59" w:rsidP="00F50B39">
            <w:pPr>
              <w:pStyle w:val="aff2"/>
            </w:pPr>
          </w:p>
        </w:tc>
        <w:tc>
          <w:tcPr>
            <w:tcW w:w="658" w:type="pct"/>
            <w:vAlign w:val="center"/>
          </w:tcPr>
          <w:p w:rsidR="00A71F59" w:rsidRPr="00D630D1" w:rsidRDefault="00A71F59" w:rsidP="00A71F59">
            <w:pPr>
              <w:pStyle w:val="aff2"/>
            </w:pPr>
            <w:r w:rsidRPr="00D630D1">
              <w:rPr>
                <w:rFonts w:hint="eastAsia"/>
              </w:rPr>
              <w:t>6</w:t>
            </w:r>
            <w:r w:rsidRPr="00D630D1">
              <w:t>.</w:t>
            </w:r>
            <w:r>
              <w:rPr>
                <w:rFonts w:hint="eastAsia"/>
              </w:rPr>
              <w:t>23</w:t>
            </w:r>
          </w:p>
        </w:tc>
        <w:tc>
          <w:tcPr>
            <w:tcW w:w="659" w:type="pct"/>
            <w:vAlign w:val="center"/>
          </w:tcPr>
          <w:p w:rsidR="00A71F59" w:rsidRPr="00D630D1" w:rsidRDefault="00A71F59" w:rsidP="00C062E6">
            <w:pPr>
              <w:pStyle w:val="aff2"/>
            </w:pPr>
            <w:r>
              <w:rPr>
                <w:rFonts w:hint="eastAsia"/>
              </w:rPr>
              <w:t>47</w:t>
            </w:r>
          </w:p>
        </w:tc>
        <w:tc>
          <w:tcPr>
            <w:tcW w:w="661" w:type="pct"/>
            <w:vAlign w:val="center"/>
          </w:tcPr>
          <w:p w:rsidR="00A71F59" w:rsidRPr="00D630D1" w:rsidRDefault="00A71F59" w:rsidP="00A71F59">
            <w:pPr>
              <w:pStyle w:val="aff2"/>
            </w:pPr>
            <w:r w:rsidRPr="00D630D1">
              <w:rPr>
                <w:rFonts w:hint="eastAsia"/>
              </w:rPr>
              <w:t>4</w:t>
            </w:r>
            <w:r>
              <w:rPr>
                <w:rFonts w:hint="eastAsia"/>
              </w:rPr>
              <w:t>0</w:t>
            </w:r>
          </w:p>
        </w:tc>
        <w:tc>
          <w:tcPr>
            <w:tcW w:w="634" w:type="pct"/>
            <w:vMerge/>
            <w:vAlign w:val="center"/>
          </w:tcPr>
          <w:p w:rsidR="00A71F59" w:rsidRPr="00D630D1" w:rsidRDefault="00A71F59" w:rsidP="00F50B39">
            <w:pPr>
              <w:pStyle w:val="aff2"/>
            </w:pPr>
          </w:p>
        </w:tc>
      </w:tr>
      <w:tr w:rsidR="00A71F59" w:rsidRPr="00D630D1" w:rsidTr="00F50B39">
        <w:trPr>
          <w:trHeight w:val="18"/>
          <w:jc w:val="center"/>
        </w:trPr>
        <w:tc>
          <w:tcPr>
            <w:tcW w:w="616" w:type="pct"/>
            <w:vMerge w:val="restart"/>
            <w:vAlign w:val="center"/>
          </w:tcPr>
          <w:p w:rsidR="00A71F59" w:rsidRPr="00D630D1" w:rsidRDefault="00A71F59" w:rsidP="00F50B39">
            <w:pPr>
              <w:pStyle w:val="aff2"/>
            </w:pPr>
            <w:r w:rsidRPr="00D630D1">
              <w:t>3</w:t>
            </w:r>
            <w:r w:rsidRPr="00D630D1">
              <w:rPr>
                <w:rFonts w:hint="eastAsia"/>
              </w:rPr>
              <w:t>#</w:t>
            </w:r>
          </w:p>
        </w:tc>
        <w:tc>
          <w:tcPr>
            <w:tcW w:w="1772" w:type="pct"/>
            <w:vMerge w:val="restart"/>
            <w:vAlign w:val="center"/>
          </w:tcPr>
          <w:p w:rsidR="00A71F59" w:rsidRPr="00D630D1" w:rsidRDefault="00A71F59" w:rsidP="00F50B39">
            <w:pPr>
              <w:pStyle w:val="aff2"/>
            </w:pPr>
            <w:r w:rsidRPr="00A71F59">
              <w:rPr>
                <w:rFonts w:hint="eastAsia"/>
                <w:szCs w:val="21"/>
              </w:rPr>
              <w:t>普光</w:t>
            </w:r>
            <w:r w:rsidRPr="00A71F59">
              <w:rPr>
                <w:rFonts w:hint="eastAsia"/>
                <w:szCs w:val="21"/>
              </w:rPr>
              <w:t>12</w:t>
            </w:r>
            <w:r w:rsidRPr="00A71F59">
              <w:rPr>
                <w:rFonts w:hint="eastAsia"/>
                <w:szCs w:val="21"/>
              </w:rPr>
              <w:t>井台西北侧</w:t>
            </w:r>
          </w:p>
        </w:tc>
        <w:tc>
          <w:tcPr>
            <w:tcW w:w="658" w:type="pct"/>
            <w:vAlign w:val="center"/>
          </w:tcPr>
          <w:p w:rsidR="00A71F59" w:rsidRPr="00D630D1" w:rsidRDefault="00A71F59" w:rsidP="00A71F59">
            <w:pPr>
              <w:pStyle w:val="aff2"/>
            </w:pPr>
            <w:r w:rsidRPr="00D630D1">
              <w:rPr>
                <w:rFonts w:hint="eastAsia"/>
              </w:rPr>
              <w:t>6</w:t>
            </w:r>
            <w:r w:rsidRPr="00D630D1">
              <w:t>.</w:t>
            </w:r>
            <w:r>
              <w:rPr>
                <w:rFonts w:hint="eastAsia"/>
              </w:rPr>
              <w:t>22</w:t>
            </w:r>
          </w:p>
        </w:tc>
        <w:tc>
          <w:tcPr>
            <w:tcW w:w="659" w:type="pct"/>
            <w:vAlign w:val="center"/>
          </w:tcPr>
          <w:p w:rsidR="00A71F59" w:rsidRPr="00D630D1" w:rsidRDefault="00A71F59" w:rsidP="00C062E6">
            <w:pPr>
              <w:pStyle w:val="aff2"/>
            </w:pPr>
            <w:r>
              <w:rPr>
                <w:rFonts w:hint="eastAsia"/>
              </w:rPr>
              <w:t>48</w:t>
            </w:r>
          </w:p>
        </w:tc>
        <w:tc>
          <w:tcPr>
            <w:tcW w:w="661" w:type="pct"/>
            <w:vAlign w:val="center"/>
          </w:tcPr>
          <w:p w:rsidR="00A71F59" w:rsidRPr="00D630D1" w:rsidRDefault="00A71F59" w:rsidP="00A71F59">
            <w:pPr>
              <w:pStyle w:val="aff2"/>
            </w:pPr>
            <w:r w:rsidRPr="00D630D1">
              <w:rPr>
                <w:rFonts w:hint="eastAsia"/>
              </w:rPr>
              <w:t>4</w:t>
            </w:r>
            <w:r>
              <w:rPr>
                <w:rFonts w:hint="eastAsia"/>
              </w:rPr>
              <w:t>1</w:t>
            </w:r>
          </w:p>
        </w:tc>
        <w:tc>
          <w:tcPr>
            <w:tcW w:w="634" w:type="pct"/>
            <w:vMerge w:val="restart"/>
            <w:vAlign w:val="center"/>
          </w:tcPr>
          <w:p w:rsidR="00A71F59" w:rsidRPr="00D630D1" w:rsidRDefault="00A71F59" w:rsidP="00F50B39">
            <w:pPr>
              <w:pStyle w:val="aff2"/>
            </w:pPr>
            <w:r w:rsidRPr="00D630D1">
              <w:t>达标</w:t>
            </w:r>
          </w:p>
        </w:tc>
      </w:tr>
      <w:tr w:rsidR="00A71F59" w:rsidRPr="00D630D1" w:rsidTr="00F50B39">
        <w:trPr>
          <w:trHeight w:val="18"/>
          <w:jc w:val="center"/>
        </w:trPr>
        <w:tc>
          <w:tcPr>
            <w:tcW w:w="616" w:type="pct"/>
            <w:vMerge/>
            <w:vAlign w:val="center"/>
          </w:tcPr>
          <w:p w:rsidR="00A71F59" w:rsidRPr="00D630D1" w:rsidRDefault="00A71F59" w:rsidP="00F50B39">
            <w:pPr>
              <w:pStyle w:val="aff2"/>
            </w:pPr>
          </w:p>
        </w:tc>
        <w:tc>
          <w:tcPr>
            <w:tcW w:w="1772" w:type="pct"/>
            <w:vMerge/>
            <w:vAlign w:val="center"/>
          </w:tcPr>
          <w:p w:rsidR="00A71F59" w:rsidRPr="00D630D1" w:rsidRDefault="00A71F59" w:rsidP="00F50B39">
            <w:pPr>
              <w:pStyle w:val="aff2"/>
            </w:pPr>
          </w:p>
        </w:tc>
        <w:tc>
          <w:tcPr>
            <w:tcW w:w="658" w:type="pct"/>
            <w:vAlign w:val="center"/>
          </w:tcPr>
          <w:p w:rsidR="00A71F59" w:rsidRPr="00D630D1" w:rsidRDefault="00A71F59" w:rsidP="00A71F59">
            <w:pPr>
              <w:pStyle w:val="aff2"/>
            </w:pPr>
            <w:r w:rsidRPr="00D630D1">
              <w:rPr>
                <w:rFonts w:hint="eastAsia"/>
              </w:rPr>
              <w:t>6</w:t>
            </w:r>
            <w:r w:rsidRPr="00D630D1">
              <w:t>.</w:t>
            </w:r>
            <w:r>
              <w:rPr>
                <w:rFonts w:hint="eastAsia"/>
              </w:rPr>
              <w:t>23</w:t>
            </w:r>
          </w:p>
        </w:tc>
        <w:tc>
          <w:tcPr>
            <w:tcW w:w="659" w:type="pct"/>
            <w:vAlign w:val="center"/>
          </w:tcPr>
          <w:p w:rsidR="00A71F59" w:rsidRPr="00D630D1" w:rsidRDefault="00A71F59" w:rsidP="00C062E6">
            <w:pPr>
              <w:pStyle w:val="aff2"/>
            </w:pPr>
            <w:r>
              <w:rPr>
                <w:rFonts w:hint="eastAsia"/>
              </w:rPr>
              <w:t>47</w:t>
            </w:r>
          </w:p>
        </w:tc>
        <w:tc>
          <w:tcPr>
            <w:tcW w:w="661" w:type="pct"/>
            <w:vAlign w:val="center"/>
          </w:tcPr>
          <w:p w:rsidR="00A71F59" w:rsidRPr="00D630D1" w:rsidRDefault="00A71F59" w:rsidP="00A71F59">
            <w:pPr>
              <w:pStyle w:val="aff2"/>
            </w:pPr>
            <w:r w:rsidRPr="00D630D1">
              <w:rPr>
                <w:rFonts w:hint="eastAsia"/>
              </w:rPr>
              <w:t>4</w:t>
            </w:r>
            <w:r>
              <w:rPr>
                <w:rFonts w:hint="eastAsia"/>
              </w:rPr>
              <w:t>0</w:t>
            </w:r>
          </w:p>
        </w:tc>
        <w:tc>
          <w:tcPr>
            <w:tcW w:w="634" w:type="pct"/>
            <w:vMerge/>
            <w:vAlign w:val="center"/>
          </w:tcPr>
          <w:p w:rsidR="00A71F59" w:rsidRPr="00D630D1" w:rsidRDefault="00A71F59" w:rsidP="00F50B39">
            <w:pPr>
              <w:pStyle w:val="aff2"/>
            </w:pPr>
          </w:p>
        </w:tc>
      </w:tr>
      <w:tr w:rsidR="00537B12" w:rsidRPr="00D630D1" w:rsidTr="00F50B39">
        <w:trPr>
          <w:trHeight w:val="18"/>
          <w:jc w:val="center"/>
        </w:trPr>
        <w:tc>
          <w:tcPr>
            <w:tcW w:w="616" w:type="pct"/>
            <w:vMerge w:val="restart"/>
            <w:vAlign w:val="center"/>
          </w:tcPr>
          <w:p w:rsidR="00537B12" w:rsidRPr="00D630D1" w:rsidRDefault="00537B12" w:rsidP="00F50B39">
            <w:pPr>
              <w:pStyle w:val="aff2"/>
            </w:pPr>
            <w:r>
              <w:rPr>
                <w:rFonts w:hint="eastAsia"/>
              </w:rPr>
              <w:t>4</w:t>
            </w:r>
            <w:r w:rsidRPr="00D630D1">
              <w:rPr>
                <w:rFonts w:hint="eastAsia"/>
              </w:rPr>
              <w:t>#</w:t>
            </w:r>
          </w:p>
        </w:tc>
        <w:tc>
          <w:tcPr>
            <w:tcW w:w="1772" w:type="pct"/>
            <w:vMerge w:val="restart"/>
            <w:vAlign w:val="center"/>
          </w:tcPr>
          <w:p w:rsidR="00537B12" w:rsidRPr="00D630D1" w:rsidRDefault="00537B12" w:rsidP="00F50B39">
            <w:pPr>
              <w:pStyle w:val="aff2"/>
            </w:pPr>
            <w:r w:rsidRPr="00A71F59">
              <w:rPr>
                <w:rFonts w:hint="eastAsia"/>
              </w:rPr>
              <w:t>普普光</w:t>
            </w:r>
            <w:r w:rsidRPr="00A71F59">
              <w:rPr>
                <w:rFonts w:hint="eastAsia"/>
              </w:rPr>
              <w:t>12</w:t>
            </w:r>
            <w:r w:rsidRPr="00A71F59">
              <w:rPr>
                <w:rFonts w:hint="eastAsia"/>
              </w:rPr>
              <w:t>井台东北侧</w:t>
            </w:r>
          </w:p>
        </w:tc>
        <w:tc>
          <w:tcPr>
            <w:tcW w:w="658" w:type="pct"/>
            <w:vAlign w:val="center"/>
          </w:tcPr>
          <w:p w:rsidR="00537B12" w:rsidRPr="00D630D1" w:rsidRDefault="00537B12" w:rsidP="00A71F59">
            <w:pPr>
              <w:pStyle w:val="aff2"/>
            </w:pPr>
            <w:r w:rsidRPr="00D630D1">
              <w:rPr>
                <w:rFonts w:hint="eastAsia"/>
              </w:rPr>
              <w:t>6</w:t>
            </w:r>
            <w:r w:rsidRPr="00D630D1">
              <w:t>.</w:t>
            </w:r>
            <w:r>
              <w:rPr>
                <w:rFonts w:hint="eastAsia"/>
              </w:rPr>
              <w:t>22</w:t>
            </w:r>
          </w:p>
        </w:tc>
        <w:tc>
          <w:tcPr>
            <w:tcW w:w="659" w:type="pct"/>
            <w:vAlign w:val="center"/>
          </w:tcPr>
          <w:p w:rsidR="00537B12" w:rsidRPr="00D630D1" w:rsidRDefault="00537B12" w:rsidP="00C062E6">
            <w:pPr>
              <w:pStyle w:val="aff2"/>
            </w:pPr>
            <w:r>
              <w:rPr>
                <w:rFonts w:hint="eastAsia"/>
              </w:rPr>
              <w:t>47</w:t>
            </w:r>
          </w:p>
        </w:tc>
        <w:tc>
          <w:tcPr>
            <w:tcW w:w="661" w:type="pct"/>
            <w:vAlign w:val="center"/>
          </w:tcPr>
          <w:p w:rsidR="00537B12" w:rsidRPr="00D630D1" w:rsidRDefault="00537B12" w:rsidP="00C062E6">
            <w:pPr>
              <w:pStyle w:val="aff2"/>
            </w:pPr>
            <w:r>
              <w:rPr>
                <w:rFonts w:hint="eastAsia"/>
              </w:rPr>
              <w:t>41</w:t>
            </w:r>
          </w:p>
        </w:tc>
        <w:tc>
          <w:tcPr>
            <w:tcW w:w="634" w:type="pct"/>
            <w:vMerge w:val="restart"/>
            <w:vAlign w:val="center"/>
          </w:tcPr>
          <w:p w:rsidR="00537B12" w:rsidRPr="00D630D1" w:rsidRDefault="00537B12" w:rsidP="00F50B39">
            <w:pPr>
              <w:pStyle w:val="aff2"/>
            </w:pPr>
            <w:r w:rsidRPr="00D630D1">
              <w:t>达标</w:t>
            </w:r>
          </w:p>
        </w:tc>
      </w:tr>
      <w:tr w:rsidR="00537B12" w:rsidRPr="00D630D1" w:rsidTr="00F50B39">
        <w:trPr>
          <w:trHeight w:val="18"/>
          <w:jc w:val="center"/>
        </w:trPr>
        <w:tc>
          <w:tcPr>
            <w:tcW w:w="616" w:type="pct"/>
            <w:vMerge/>
            <w:vAlign w:val="center"/>
          </w:tcPr>
          <w:p w:rsidR="00537B12" w:rsidRPr="00D630D1" w:rsidRDefault="00537B12" w:rsidP="00F50B39">
            <w:pPr>
              <w:pStyle w:val="aff2"/>
            </w:pPr>
          </w:p>
        </w:tc>
        <w:tc>
          <w:tcPr>
            <w:tcW w:w="1772" w:type="pct"/>
            <w:vMerge/>
            <w:vAlign w:val="center"/>
          </w:tcPr>
          <w:p w:rsidR="00537B12" w:rsidRPr="00D630D1" w:rsidRDefault="00537B12" w:rsidP="00F50B39">
            <w:pPr>
              <w:pStyle w:val="aff2"/>
            </w:pPr>
          </w:p>
        </w:tc>
        <w:tc>
          <w:tcPr>
            <w:tcW w:w="658" w:type="pct"/>
            <w:vAlign w:val="center"/>
          </w:tcPr>
          <w:p w:rsidR="00537B12" w:rsidRPr="00D630D1" w:rsidRDefault="00537B12" w:rsidP="00A71F59">
            <w:pPr>
              <w:pStyle w:val="aff2"/>
            </w:pPr>
            <w:r w:rsidRPr="00D630D1">
              <w:rPr>
                <w:rFonts w:hint="eastAsia"/>
              </w:rPr>
              <w:t>6</w:t>
            </w:r>
            <w:r w:rsidRPr="00D630D1">
              <w:t>.</w:t>
            </w:r>
            <w:r>
              <w:rPr>
                <w:rFonts w:hint="eastAsia"/>
              </w:rPr>
              <w:t>23</w:t>
            </w:r>
          </w:p>
        </w:tc>
        <w:tc>
          <w:tcPr>
            <w:tcW w:w="659" w:type="pct"/>
            <w:vAlign w:val="center"/>
          </w:tcPr>
          <w:p w:rsidR="00537B12" w:rsidRPr="00D630D1" w:rsidRDefault="00537B12" w:rsidP="00C062E6">
            <w:pPr>
              <w:pStyle w:val="aff2"/>
            </w:pPr>
            <w:r>
              <w:rPr>
                <w:rFonts w:hint="eastAsia"/>
              </w:rPr>
              <w:t>47</w:t>
            </w:r>
          </w:p>
        </w:tc>
        <w:tc>
          <w:tcPr>
            <w:tcW w:w="661" w:type="pct"/>
            <w:vAlign w:val="center"/>
          </w:tcPr>
          <w:p w:rsidR="00537B12" w:rsidRPr="00D630D1" w:rsidRDefault="00537B12" w:rsidP="00C062E6">
            <w:pPr>
              <w:pStyle w:val="aff2"/>
            </w:pPr>
            <w:r>
              <w:rPr>
                <w:rFonts w:hint="eastAsia"/>
              </w:rPr>
              <w:t>39</w:t>
            </w:r>
          </w:p>
        </w:tc>
        <w:tc>
          <w:tcPr>
            <w:tcW w:w="634" w:type="pct"/>
            <w:vMerge/>
            <w:vAlign w:val="center"/>
          </w:tcPr>
          <w:p w:rsidR="00537B12" w:rsidRPr="00D630D1" w:rsidRDefault="00537B12" w:rsidP="00F50B39">
            <w:pPr>
              <w:pStyle w:val="aff2"/>
            </w:pPr>
          </w:p>
        </w:tc>
      </w:tr>
      <w:tr w:rsidR="00537B12" w:rsidRPr="00D630D1" w:rsidTr="00F50B39">
        <w:trPr>
          <w:trHeight w:val="18"/>
          <w:jc w:val="center"/>
        </w:trPr>
        <w:tc>
          <w:tcPr>
            <w:tcW w:w="616" w:type="pct"/>
            <w:vMerge w:val="restart"/>
            <w:vAlign w:val="center"/>
          </w:tcPr>
          <w:p w:rsidR="00537B12" w:rsidRPr="00D630D1" w:rsidRDefault="00537B12" w:rsidP="00F50B39">
            <w:pPr>
              <w:pStyle w:val="aff2"/>
            </w:pPr>
            <w:r>
              <w:rPr>
                <w:rFonts w:hint="eastAsia"/>
              </w:rPr>
              <w:t>5</w:t>
            </w:r>
            <w:r w:rsidRPr="00D630D1">
              <w:rPr>
                <w:rFonts w:hint="eastAsia"/>
              </w:rPr>
              <w:t>#</w:t>
            </w:r>
          </w:p>
        </w:tc>
        <w:tc>
          <w:tcPr>
            <w:tcW w:w="1772" w:type="pct"/>
            <w:vMerge w:val="restart"/>
            <w:vAlign w:val="center"/>
          </w:tcPr>
          <w:p w:rsidR="00537B12" w:rsidRPr="00D630D1" w:rsidRDefault="00537B12" w:rsidP="00F50B39">
            <w:pPr>
              <w:pStyle w:val="aff2"/>
            </w:pPr>
            <w:r w:rsidRPr="00A71F59">
              <w:rPr>
                <w:rFonts w:hint="eastAsia"/>
              </w:rPr>
              <w:t>普光</w:t>
            </w:r>
            <w:r w:rsidRPr="00A71F59">
              <w:rPr>
                <w:rFonts w:hint="eastAsia"/>
              </w:rPr>
              <w:t>12</w:t>
            </w:r>
            <w:r w:rsidRPr="00A71F59">
              <w:rPr>
                <w:rFonts w:hint="eastAsia"/>
              </w:rPr>
              <w:t>井台南侧居民</w:t>
            </w:r>
          </w:p>
        </w:tc>
        <w:tc>
          <w:tcPr>
            <w:tcW w:w="658" w:type="pct"/>
            <w:vAlign w:val="center"/>
          </w:tcPr>
          <w:p w:rsidR="00537B12" w:rsidRPr="00D630D1" w:rsidRDefault="00537B12" w:rsidP="00A71F59">
            <w:pPr>
              <w:pStyle w:val="aff2"/>
            </w:pPr>
            <w:r w:rsidRPr="00D630D1">
              <w:rPr>
                <w:rFonts w:hint="eastAsia"/>
              </w:rPr>
              <w:t>6</w:t>
            </w:r>
            <w:r w:rsidRPr="00D630D1">
              <w:t>.</w:t>
            </w:r>
            <w:r>
              <w:rPr>
                <w:rFonts w:hint="eastAsia"/>
              </w:rPr>
              <w:t>22</w:t>
            </w:r>
          </w:p>
        </w:tc>
        <w:tc>
          <w:tcPr>
            <w:tcW w:w="659" w:type="pct"/>
            <w:vAlign w:val="center"/>
          </w:tcPr>
          <w:p w:rsidR="00537B12" w:rsidRPr="00D630D1" w:rsidRDefault="00537B12" w:rsidP="00C062E6">
            <w:pPr>
              <w:pStyle w:val="aff2"/>
            </w:pPr>
            <w:r>
              <w:rPr>
                <w:rFonts w:hint="eastAsia"/>
              </w:rPr>
              <w:t>51</w:t>
            </w:r>
          </w:p>
        </w:tc>
        <w:tc>
          <w:tcPr>
            <w:tcW w:w="661" w:type="pct"/>
            <w:vAlign w:val="center"/>
          </w:tcPr>
          <w:p w:rsidR="00537B12" w:rsidRPr="00D630D1" w:rsidRDefault="00537B12" w:rsidP="00C062E6">
            <w:pPr>
              <w:pStyle w:val="aff2"/>
            </w:pPr>
            <w:r>
              <w:rPr>
                <w:rFonts w:hint="eastAsia"/>
              </w:rPr>
              <w:t>41</w:t>
            </w:r>
          </w:p>
        </w:tc>
        <w:tc>
          <w:tcPr>
            <w:tcW w:w="634" w:type="pct"/>
            <w:vMerge w:val="restart"/>
            <w:vAlign w:val="center"/>
          </w:tcPr>
          <w:p w:rsidR="00537B12" w:rsidRPr="00D630D1" w:rsidRDefault="00537B12" w:rsidP="00F50B39">
            <w:pPr>
              <w:pStyle w:val="aff2"/>
            </w:pPr>
            <w:r w:rsidRPr="00D630D1">
              <w:t>达标</w:t>
            </w:r>
          </w:p>
        </w:tc>
      </w:tr>
      <w:tr w:rsidR="00537B12" w:rsidRPr="00D630D1" w:rsidTr="00F50B39">
        <w:trPr>
          <w:trHeight w:val="18"/>
          <w:jc w:val="center"/>
        </w:trPr>
        <w:tc>
          <w:tcPr>
            <w:tcW w:w="616" w:type="pct"/>
            <w:vMerge/>
            <w:vAlign w:val="center"/>
          </w:tcPr>
          <w:p w:rsidR="00537B12" w:rsidRPr="00D630D1" w:rsidRDefault="00537B12" w:rsidP="00F50B39">
            <w:pPr>
              <w:pStyle w:val="aff2"/>
            </w:pPr>
          </w:p>
        </w:tc>
        <w:tc>
          <w:tcPr>
            <w:tcW w:w="1772" w:type="pct"/>
            <w:vMerge/>
            <w:vAlign w:val="center"/>
          </w:tcPr>
          <w:p w:rsidR="00537B12" w:rsidRPr="00D630D1" w:rsidRDefault="00537B12" w:rsidP="00F50B39">
            <w:pPr>
              <w:pStyle w:val="aff2"/>
            </w:pPr>
          </w:p>
        </w:tc>
        <w:tc>
          <w:tcPr>
            <w:tcW w:w="658" w:type="pct"/>
            <w:vAlign w:val="center"/>
          </w:tcPr>
          <w:p w:rsidR="00537B12" w:rsidRPr="00D630D1" w:rsidRDefault="00537B12" w:rsidP="00A71F59">
            <w:pPr>
              <w:pStyle w:val="aff2"/>
            </w:pPr>
            <w:r w:rsidRPr="00D630D1">
              <w:rPr>
                <w:rFonts w:hint="eastAsia"/>
              </w:rPr>
              <w:t>6</w:t>
            </w:r>
            <w:r w:rsidRPr="00D630D1">
              <w:t>.</w:t>
            </w:r>
            <w:r>
              <w:rPr>
                <w:rFonts w:hint="eastAsia"/>
              </w:rPr>
              <w:t>23</w:t>
            </w:r>
          </w:p>
        </w:tc>
        <w:tc>
          <w:tcPr>
            <w:tcW w:w="659" w:type="pct"/>
            <w:vAlign w:val="center"/>
          </w:tcPr>
          <w:p w:rsidR="00537B12" w:rsidRPr="00D630D1" w:rsidRDefault="00537B12" w:rsidP="00C062E6">
            <w:pPr>
              <w:pStyle w:val="aff2"/>
            </w:pPr>
            <w:r>
              <w:rPr>
                <w:rFonts w:hint="eastAsia"/>
              </w:rPr>
              <w:t>50</w:t>
            </w:r>
          </w:p>
        </w:tc>
        <w:tc>
          <w:tcPr>
            <w:tcW w:w="661" w:type="pct"/>
            <w:vAlign w:val="center"/>
          </w:tcPr>
          <w:p w:rsidR="00537B12" w:rsidRPr="00D630D1" w:rsidRDefault="00537B12" w:rsidP="00C062E6">
            <w:pPr>
              <w:pStyle w:val="aff2"/>
            </w:pPr>
            <w:r>
              <w:rPr>
                <w:rFonts w:hint="eastAsia"/>
              </w:rPr>
              <w:t>41</w:t>
            </w:r>
          </w:p>
        </w:tc>
        <w:tc>
          <w:tcPr>
            <w:tcW w:w="634" w:type="pct"/>
            <w:vMerge/>
            <w:vAlign w:val="center"/>
          </w:tcPr>
          <w:p w:rsidR="00537B12" w:rsidRPr="00D630D1" w:rsidRDefault="00537B12" w:rsidP="00F50B39">
            <w:pPr>
              <w:pStyle w:val="aff2"/>
            </w:pPr>
          </w:p>
        </w:tc>
      </w:tr>
    </w:tbl>
    <w:p w:rsidR="00117C3D" w:rsidRPr="00D630D1" w:rsidRDefault="008B5B84" w:rsidP="007B0D59">
      <w:pPr>
        <w:pStyle w:val="afa"/>
        <w:ind w:firstLine="480"/>
      </w:pPr>
      <w:r w:rsidRPr="00D630D1">
        <w:t>从监测结果可知，本项目</w:t>
      </w:r>
      <w:r w:rsidR="00537B12">
        <w:rPr>
          <w:rFonts w:hint="eastAsia"/>
        </w:rPr>
        <w:t>所在地</w:t>
      </w:r>
      <w:r w:rsidRPr="00D630D1">
        <w:t>声环境质量良好，</w:t>
      </w:r>
      <w:r w:rsidR="006C4127" w:rsidRPr="00D630D1">
        <w:t>监测点位</w:t>
      </w:r>
      <w:r w:rsidRPr="00D630D1">
        <w:t>处的昼间和夜间声环境质量现状值均满足《声环境质量标准》（</w:t>
      </w:r>
      <w:r w:rsidRPr="00D630D1">
        <w:t>GB3096-2008</w:t>
      </w:r>
      <w:r w:rsidRPr="00D630D1">
        <w:t>）中</w:t>
      </w:r>
      <w:r w:rsidR="007B0D59" w:rsidRPr="00D630D1">
        <w:t>2</w:t>
      </w:r>
      <w:r w:rsidR="007B0D59" w:rsidRPr="00D630D1">
        <w:t>类</w:t>
      </w:r>
      <w:r w:rsidRPr="00D630D1">
        <w:t>环境噪声限值要求。</w:t>
      </w:r>
    </w:p>
    <w:p w:rsidR="006C4127" w:rsidRPr="00D630D1" w:rsidRDefault="006C4127" w:rsidP="006C4127">
      <w:pPr>
        <w:pStyle w:val="2"/>
        <w:spacing w:before="0"/>
        <w:rPr>
          <w:rFonts w:cs="Times New Roman"/>
        </w:rPr>
      </w:pPr>
      <w:bookmarkStart w:id="453" w:name="_Toc81515287"/>
      <w:r w:rsidRPr="00D630D1">
        <w:rPr>
          <w:rFonts w:cs="Times New Roman"/>
        </w:rPr>
        <w:lastRenderedPageBreak/>
        <w:t xml:space="preserve">5.7 </w:t>
      </w:r>
      <w:r w:rsidRPr="00D630D1">
        <w:rPr>
          <w:rFonts w:cs="Times New Roman"/>
        </w:rPr>
        <w:t>土壤环境质量现状与评价</w:t>
      </w:r>
      <w:bookmarkEnd w:id="453"/>
    </w:p>
    <w:p w:rsidR="006C4127" w:rsidRPr="00D630D1" w:rsidRDefault="00AD124B" w:rsidP="00AD124B">
      <w:pPr>
        <w:pStyle w:val="afa"/>
        <w:ind w:firstLine="480"/>
      </w:pPr>
      <w:r w:rsidRPr="00D630D1">
        <w:t>根据项目工程特点的具体情况，</w:t>
      </w:r>
      <w:r w:rsidRPr="005556D5">
        <w:rPr>
          <w:rFonts w:eastAsiaTheme="minorEastAsia" w:hAnsiTheme="minorEastAsia"/>
        </w:rPr>
        <w:t>本项目涉及的</w:t>
      </w:r>
      <w:r>
        <w:rPr>
          <w:rFonts w:eastAsiaTheme="minorEastAsia" w:hAnsiTheme="minorEastAsia" w:hint="eastAsia"/>
        </w:rPr>
        <w:t>采气站和管线范围与普光气田</w:t>
      </w:r>
      <w:r w:rsidRPr="005556D5">
        <w:rPr>
          <w:rFonts w:eastAsiaTheme="minorEastAsia" w:hAnsiTheme="minorEastAsia"/>
        </w:rPr>
        <w:t>普陆</w:t>
      </w:r>
      <w:r w:rsidRPr="005556D5">
        <w:rPr>
          <w:rFonts w:eastAsiaTheme="minorEastAsia"/>
        </w:rPr>
        <w:t>3-1</w:t>
      </w:r>
      <w:r w:rsidRPr="005556D5">
        <w:rPr>
          <w:rFonts w:eastAsiaTheme="minorEastAsia" w:hAnsiTheme="minorEastAsia"/>
        </w:rPr>
        <w:t>井、普陆</w:t>
      </w:r>
      <w:r w:rsidRPr="005556D5">
        <w:rPr>
          <w:rFonts w:eastAsiaTheme="minorEastAsia"/>
        </w:rPr>
        <w:t>3-2</w:t>
      </w:r>
      <w:r w:rsidRPr="005556D5">
        <w:rPr>
          <w:rFonts w:eastAsiaTheme="minorEastAsia" w:hAnsiTheme="minorEastAsia"/>
        </w:rPr>
        <w:t>井钻井及试采工程一致，</w:t>
      </w:r>
      <w:r w:rsidRPr="00D630D1">
        <w:rPr>
          <w:rFonts w:hint="eastAsia"/>
        </w:rPr>
        <w:t>因此，本次</w:t>
      </w:r>
      <w:r>
        <w:rPr>
          <w:rFonts w:hint="eastAsia"/>
        </w:rPr>
        <w:t>土壤环境质量现状引用《</w:t>
      </w:r>
      <w:r>
        <w:rPr>
          <w:rFonts w:eastAsiaTheme="minorEastAsia" w:hAnsiTheme="minorEastAsia" w:hint="eastAsia"/>
        </w:rPr>
        <w:t>普光气田</w:t>
      </w:r>
      <w:r w:rsidRPr="005556D5">
        <w:rPr>
          <w:rFonts w:eastAsiaTheme="minorEastAsia" w:hAnsiTheme="minorEastAsia"/>
        </w:rPr>
        <w:t>普陆</w:t>
      </w:r>
      <w:r w:rsidRPr="005556D5">
        <w:rPr>
          <w:rFonts w:eastAsiaTheme="minorEastAsia"/>
        </w:rPr>
        <w:t>3-1</w:t>
      </w:r>
      <w:r w:rsidRPr="005556D5">
        <w:rPr>
          <w:rFonts w:eastAsiaTheme="minorEastAsia" w:hAnsiTheme="minorEastAsia"/>
        </w:rPr>
        <w:t>井、普陆</w:t>
      </w:r>
      <w:r w:rsidRPr="005556D5">
        <w:rPr>
          <w:rFonts w:eastAsiaTheme="minorEastAsia"/>
        </w:rPr>
        <w:t>3-2</w:t>
      </w:r>
      <w:r w:rsidRPr="005556D5">
        <w:rPr>
          <w:rFonts w:eastAsiaTheme="minorEastAsia" w:hAnsiTheme="minorEastAsia"/>
        </w:rPr>
        <w:t>井钻井及试采工程</w:t>
      </w:r>
      <w:r>
        <w:rPr>
          <w:rFonts w:eastAsiaTheme="minorEastAsia" w:hAnsiTheme="minorEastAsia" w:hint="eastAsia"/>
        </w:rPr>
        <w:t>环境影响报告书书</w:t>
      </w:r>
      <w:r>
        <w:rPr>
          <w:rFonts w:hint="eastAsia"/>
        </w:rPr>
        <w:t>》中的土壤环境现状监测</w:t>
      </w:r>
      <w:r w:rsidRPr="00D630D1">
        <w:rPr>
          <w:rFonts w:hint="eastAsia"/>
        </w:rPr>
        <w:t>数据进行评价，</w:t>
      </w:r>
      <w:r>
        <w:rPr>
          <w:rFonts w:hint="eastAsia"/>
        </w:rPr>
        <w:t>监测时间为</w:t>
      </w:r>
      <w:r>
        <w:rPr>
          <w:rFonts w:hint="eastAsia"/>
        </w:rPr>
        <w:t>2022</w:t>
      </w:r>
      <w:r>
        <w:rPr>
          <w:rFonts w:hint="eastAsia"/>
        </w:rPr>
        <w:t>年</w:t>
      </w:r>
      <w:r>
        <w:rPr>
          <w:rFonts w:hint="eastAsia"/>
        </w:rPr>
        <w:t>6</w:t>
      </w:r>
      <w:r>
        <w:rPr>
          <w:rFonts w:hint="eastAsia"/>
        </w:rPr>
        <w:t>月</w:t>
      </w:r>
      <w:r>
        <w:rPr>
          <w:rFonts w:hint="eastAsia"/>
        </w:rPr>
        <w:t>20</w:t>
      </w:r>
      <w:r>
        <w:rPr>
          <w:rFonts w:hint="eastAsia"/>
        </w:rPr>
        <w:t>日</w:t>
      </w:r>
      <w:r w:rsidR="006C4127" w:rsidRPr="00D630D1">
        <w:t>。</w:t>
      </w:r>
    </w:p>
    <w:p w:rsidR="006C4127" w:rsidRPr="00D630D1" w:rsidRDefault="00FD386E" w:rsidP="006C4127">
      <w:pPr>
        <w:pStyle w:val="afa"/>
        <w:ind w:firstLine="482"/>
        <w:rPr>
          <w:b/>
          <w:bCs/>
        </w:rPr>
      </w:pPr>
      <w:r w:rsidRPr="00D630D1">
        <w:rPr>
          <w:b/>
          <w:bCs/>
        </w:rPr>
        <w:t>（</w:t>
      </w:r>
      <w:r w:rsidRPr="00D630D1">
        <w:rPr>
          <w:b/>
          <w:bCs/>
        </w:rPr>
        <w:t>1</w:t>
      </w:r>
      <w:r w:rsidRPr="00D630D1">
        <w:rPr>
          <w:b/>
          <w:bCs/>
        </w:rPr>
        <w:t>）</w:t>
      </w:r>
      <w:r w:rsidR="006C4127" w:rsidRPr="00D630D1">
        <w:rPr>
          <w:b/>
          <w:bCs/>
        </w:rPr>
        <w:t>监测方案</w:t>
      </w:r>
    </w:p>
    <w:p w:rsidR="00383D53" w:rsidRPr="00D630D1" w:rsidRDefault="006C4127" w:rsidP="00AD124B">
      <w:pPr>
        <w:pStyle w:val="afa"/>
        <w:ind w:firstLine="480"/>
      </w:pPr>
      <w:r w:rsidRPr="00D630D1">
        <w:t>监测布点：</w:t>
      </w:r>
      <w:r w:rsidR="00370C33" w:rsidRPr="00D630D1">
        <w:rPr>
          <w:rFonts w:hint="eastAsia"/>
        </w:rPr>
        <w:t>土壤环境监测点设</w:t>
      </w:r>
      <w:r w:rsidR="00AD124B">
        <w:rPr>
          <w:rFonts w:hint="eastAsia"/>
        </w:rPr>
        <w:t>6</w:t>
      </w:r>
      <w:r w:rsidR="00370C33" w:rsidRPr="00D630D1">
        <w:rPr>
          <w:rFonts w:hint="eastAsia"/>
        </w:rPr>
        <w:t>个，</w:t>
      </w:r>
      <w:r w:rsidR="00370C33" w:rsidRPr="00D630D1">
        <w:rPr>
          <w:rFonts w:hint="eastAsia"/>
        </w:rPr>
        <w:t>T1~T</w:t>
      </w:r>
      <w:r w:rsidR="00370C33" w:rsidRPr="00D630D1">
        <w:rPr>
          <w:rFonts w:hint="eastAsia"/>
          <w:bCs/>
        </w:rPr>
        <w:t>4</w:t>
      </w:r>
      <w:r w:rsidR="00370C33" w:rsidRPr="00D630D1">
        <w:rPr>
          <w:rFonts w:hint="eastAsia"/>
          <w:bCs/>
        </w:rPr>
        <w:t>位于</w:t>
      </w:r>
      <w:r w:rsidR="00AD124B" w:rsidRPr="00AD124B">
        <w:rPr>
          <w:rFonts w:hint="eastAsia"/>
          <w:bCs/>
        </w:rPr>
        <w:t>普光</w:t>
      </w:r>
      <w:r w:rsidR="00AD124B" w:rsidRPr="00AD124B">
        <w:rPr>
          <w:rFonts w:hint="eastAsia"/>
          <w:bCs/>
        </w:rPr>
        <w:t>12</w:t>
      </w:r>
      <w:r w:rsidR="00AD124B" w:rsidRPr="00AD124B">
        <w:rPr>
          <w:rFonts w:hint="eastAsia"/>
          <w:bCs/>
        </w:rPr>
        <w:t>平台内</w:t>
      </w:r>
      <w:r w:rsidR="00370C33" w:rsidRPr="00D630D1">
        <w:rPr>
          <w:rFonts w:hint="eastAsia"/>
          <w:bCs/>
        </w:rPr>
        <w:t>；</w:t>
      </w:r>
      <w:r w:rsidR="00370C33" w:rsidRPr="00D630D1">
        <w:rPr>
          <w:rFonts w:hint="eastAsia"/>
        </w:rPr>
        <w:t>T5</w:t>
      </w:r>
      <w:r w:rsidR="00370C33" w:rsidRPr="00D630D1">
        <w:rPr>
          <w:rFonts w:hint="eastAsia"/>
        </w:rPr>
        <w:t>位于</w:t>
      </w:r>
      <w:r w:rsidR="00AD124B" w:rsidRPr="00AD124B">
        <w:rPr>
          <w:rFonts w:hint="eastAsia"/>
          <w:bCs/>
        </w:rPr>
        <w:t>普光</w:t>
      </w:r>
      <w:r w:rsidR="00AD124B" w:rsidRPr="00AD124B">
        <w:rPr>
          <w:rFonts w:hint="eastAsia"/>
          <w:bCs/>
        </w:rPr>
        <w:t>12</w:t>
      </w:r>
      <w:r w:rsidR="00AD124B" w:rsidRPr="00AD124B">
        <w:rPr>
          <w:rFonts w:hint="eastAsia"/>
          <w:bCs/>
        </w:rPr>
        <w:t>平台外北侧</w:t>
      </w:r>
      <w:r w:rsidR="00AD124B" w:rsidRPr="00AD124B">
        <w:rPr>
          <w:bCs/>
        </w:rPr>
        <w:t>20m</w:t>
      </w:r>
      <w:r w:rsidR="00AD124B">
        <w:rPr>
          <w:rFonts w:hint="eastAsia"/>
          <w:bCs/>
        </w:rPr>
        <w:t>、</w:t>
      </w:r>
      <w:r w:rsidR="00370C33" w:rsidRPr="00D630D1">
        <w:rPr>
          <w:rFonts w:hint="eastAsia"/>
        </w:rPr>
        <w:t>T6</w:t>
      </w:r>
      <w:r w:rsidR="00370C33" w:rsidRPr="00D630D1">
        <w:rPr>
          <w:rFonts w:hint="eastAsia"/>
        </w:rPr>
        <w:t>位于</w:t>
      </w:r>
      <w:r w:rsidR="00AD124B" w:rsidRPr="00AD124B">
        <w:rPr>
          <w:rFonts w:hint="eastAsia"/>
          <w:bCs/>
        </w:rPr>
        <w:t>普光</w:t>
      </w:r>
      <w:r w:rsidR="00AD124B" w:rsidRPr="00AD124B">
        <w:rPr>
          <w:rFonts w:hint="eastAsia"/>
          <w:bCs/>
        </w:rPr>
        <w:t>12</w:t>
      </w:r>
      <w:r w:rsidR="00AD124B" w:rsidRPr="00AD124B">
        <w:rPr>
          <w:rFonts w:hint="eastAsia"/>
          <w:bCs/>
        </w:rPr>
        <w:t>平台外西南侧</w:t>
      </w:r>
      <w:r w:rsidR="00AD124B" w:rsidRPr="00AD124B">
        <w:rPr>
          <w:rFonts w:hint="eastAsia"/>
          <w:bCs/>
        </w:rPr>
        <w:t xml:space="preserve"> 30m</w:t>
      </w:r>
      <w:r w:rsidR="00624EC7" w:rsidRPr="00D630D1">
        <w:rPr>
          <w:rFonts w:hint="eastAsia"/>
          <w:bCs/>
        </w:rPr>
        <w:t>，</w:t>
      </w:r>
      <w:r w:rsidR="00370C33" w:rsidRPr="00D630D1">
        <w:t>监测布点见附图</w:t>
      </w:r>
      <w:r w:rsidR="00370C33" w:rsidRPr="00D630D1">
        <w:rPr>
          <w:rFonts w:hint="eastAsia"/>
        </w:rPr>
        <w:t>。</w:t>
      </w:r>
      <w:r w:rsidR="00370C33" w:rsidRPr="00D630D1">
        <w:t>T1</w:t>
      </w:r>
      <w:r w:rsidR="00370C33" w:rsidRPr="00D630D1">
        <w:t>、</w:t>
      </w:r>
      <w:r w:rsidR="00370C33" w:rsidRPr="00D630D1">
        <w:t>T2</w:t>
      </w:r>
      <w:r w:rsidR="00370C33" w:rsidRPr="00D630D1">
        <w:t>、</w:t>
      </w:r>
      <w:r w:rsidR="00370C33" w:rsidRPr="00D630D1">
        <w:t>T3</w:t>
      </w:r>
      <w:r w:rsidR="00370C33" w:rsidRPr="00D630D1">
        <w:t>为柱状样点（</w:t>
      </w:r>
      <w:bookmarkStart w:id="454" w:name="OLE_LINK183"/>
      <w:bookmarkStart w:id="455" w:name="OLE_LINK184"/>
      <w:r w:rsidR="00370C33" w:rsidRPr="00D630D1">
        <w:t>在</w:t>
      </w:r>
      <w:bookmarkStart w:id="456" w:name="OLE_LINK180"/>
      <w:r w:rsidR="00370C33" w:rsidRPr="00D630D1">
        <w:t>0~0.5m</w:t>
      </w:r>
      <w:bookmarkEnd w:id="456"/>
      <w:r w:rsidR="00370C33" w:rsidRPr="00D630D1">
        <w:t>、</w:t>
      </w:r>
      <w:r w:rsidR="00370C33" w:rsidRPr="00D630D1">
        <w:t>0.5~1.5m</w:t>
      </w:r>
      <w:r w:rsidR="00370C33" w:rsidRPr="00D630D1">
        <w:t>、</w:t>
      </w:r>
      <w:r w:rsidR="00370C33" w:rsidRPr="00D630D1">
        <w:t>1.5~3m</w:t>
      </w:r>
      <w:r w:rsidR="00370C33" w:rsidRPr="00D630D1">
        <w:t>分别取样</w:t>
      </w:r>
      <w:bookmarkEnd w:id="454"/>
      <w:bookmarkEnd w:id="455"/>
      <w:r w:rsidR="00370C33" w:rsidRPr="00D630D1">
        <w:t>），</w:t>
      </w:r>
      <w:r w:rsidR="00370C33" w:rsidRPr="00D630D1">
        <w:t>T4</w:t>
      </w:r>
      <w:r w:rsidR="00370C33" w:rsidRPr="00D630D1">
        <w:t>、</w:t>
      </w:r>
      <w:r w:rsidR="00370C33" w:rsidRPr="00D630D1">
        <w:t>T5</w:t>
      </w:r>
      <w:r w:rsidR="00370C33" w:rsidRPr="00D630D1">
        <w:t>、</w:t>
      </w:r>
      <w:r w:rsidR="00370C33" w:rsidRPr="00D630D1">
        <w:t>T6</w:t>
      </w:r>
      <w:r w:rsidR="00370C33" w:rsidRPr="00D630D1">
        <w:t>为表层样点（在</w:t>
      </w:r>
      <w:r w:rsidR="00370C33" w:rsidRPr="00D630D1">
        <w:t>0~0.2m</w:t>
      </w:r>
      <w:r w:rsidR="00370C33" w:rsidRPr="00D630D1">
        <w:t>取样）</w:t>
      </w:r>
      <w:r w:rsidRPr="00D630D1">
        <w:t>。</w:t>
      </w:r>
    </w:p>
    <w:p w:rsidR="006C4127" w:rsidRPr="00D630D1" w:rsidRDefault="006C4127" w:rsidP="0001315C">
      <w:pPr>
        <w:pStyle w:val="afa"/>
        <w:ind w:firstLine="480"/>
        <w:rPr>
          <w:b/>
          <w:bCs/>
          <w:sz w:val="21"/>
          <w:szCs w:val="16"/>
        </w:rPr>
      </w:pPr>
      <w:r w:rsidRPr="00D630D1">
        <w:t>本项目</w:t>
      </w:r>
      <w:r w:rsidR="0001315C" w:rsidRPr="00D630D1">
        <w:rPr>
          <w:rFonts w:hint="eastAsia"/>
        </w:rPr>
        <w:t>土壤监测布点一览表见表</w:t>
      </w:r>
      <w:r w:rsidR="0001315C" w:rsidRPr="00D630D1">
        <w:rPr>
          <w:rFonts w:hint="eastAsia"/>
        </w:rPr>
        <w:t>5.7-1</w:t>
      </w:r>
      <w:r w:rsidRPr="00D630D1">
        <w:t>。</w:t>
      </w:r>
      <w:r w:rsidRPr="00D630D1">
        <w:t xml:space="preserve">  </w:t>
      </w:r>
    </w:p>
    <w:p w:rsidR="00FD386E" w:rsidRPr="00D630D1" w:rsidRDefault="00FD386E" w:rsidP="00FD386E">
      <w:pPr>
        <w:pStyle w:val="10"/>
        <w:rPr>
          <w:rFonts w:cs="Times New Roman"/>
        </w:rPr>
      </w:pPr>
      <w:r w:rsidRPr="00D630D1">
        <w:rPr>
          <w:rFonts w:cs="Times New Roman"/>
        </w:rPr>
        <w:t>表</w:t>
      </w:r>
      <w:r w:rsidRPr="00D630D1">
        <w:rPr>
          <w:rFonts w:cs="Times New Roman"/>
        </w:rPr>
        <w:t>5.7-</w:t>
      </w:r>
      <w:r w:rsidR="0001315C" w:rsidRPr="00D630D1">
        <w:rPr>
          <w:rFonts w:cs="Times New Roman" w:hint="eastAsia"/>
        </w:rPr>
        <w:t>1</w:t>
      </w:r>
      <w:r w:rsidRPr="00D630D1">
        <w:rPr>
          <w:rFonts w:cs="Times New Roman"/>
        </w:rPr>
        <w:t xml:space="preserve">  </w:t>
      </w:r>
      <w:r w:rsidRPr="00D630D1">
        <w:rPr>
          <w:rFonts w:cs="Times New Roman"/>
        </w:rPr>
        <w:t>项目土壤监测布点一览表</w:t>
      </w:r>
    </w:p>
    <w:tbl>
      <w:tblPr>
        <w:tblW w:w="5182" w:type="pct"/>
        <w:jc w:val="center"/>
        <w:tblBorders>
          <w:top w:val="single" w:sz="12" w:space="0" w:color="000000"/>
          <w:bottom w:val="single" w:sz="12" w:space="0" w:color="000000"/>
          <w:insideH w:val="single" w:sz="2" w:space="0" w:color="000000"/>
          <w:insideV w:val="single" w:sz="4" w:space="0" w:color="000000"/>
        </w:tblBorders>
        <w:tblCellMar>
          <w:left w:w="0" w:type="dxa"/>
          <w:right w:w="0" w:type="dxa"/>
        </w:tblCellMar>
        <w:tblLook w:val="04A0"/>
      </w:tblPr>
      <w:tblGrid>
        <w:gridCol w:w="860"/>
        <w:gridCol w:w="2684"/>
        <w:gridCol w:w="1276"/>
        <w:gridCol w:w="2693"/>
        <w:gridCol w:w="1095"/>
      </w:tblGrid>
      <w:tr w:rsidR="00D26881" w:rsidRPr="00D630D1" w:rsidTr="0001315C">
        <w:trPr>
          <w:trHeight w:val="55"/>
          <w:tblHeader/>
          <w:jc w:val="center"/>
        </w:trPr>
        <w:tc>
          <w:tcPr>
            <w:tcW w:w="500" w:type="pct"/>
            <w:vAlign w:val="center"/>
          </w:tcPr>
          <w:p w:rsidR="00FD386E" w:rsidRPr="00D630D1" w:rsidRDefault="00FD386E" w:rsidP="00FD386E">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编号</w:t>
            </w:r>
          </w:p>
        </w:tc>
        <w:tc>
          <w:tcPr>
            <w:tcW w:w="1559" w:type="pct"/>
            <w:vAlign w:val="center"/>
          </w:tcPr>
          <w:p w:rsidR="00FD386E" w:rsidRPr="00D630D1" w:rsidRDefault="00FD386E" w:rsidP="00FD386E">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检测点位</w:t>
            </w:r>
          </w:p>
        </w:tc>
        <w:tc>
          <w:tcPr>
            <w:tcW w:w="741" w:type="pct"/>
            <w:vAlign w:val="center"/>
          </w:tcPr>
          <w:p w:rsidR="00FD386E" w:rsidRPr="00D630D1" w:rsidRDefault="00FD386E" w:rsidP="00FD386E">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用地性质</w:t>
            </w:r>
          </w:p>
        </w:tc>
        <w:tc>
          <w:tcPr>
            <w:tcW w:w="1564" w:type="pct"/>
            <w:vAlign w:val="center"/>
          </w:tcPr>
          <w:p w:rsidR="00FD386E" w:rsidRPr="00D630D1" w:rsidRDefault="00FD386E" w:rsidP="00FD386E">
            <w:pPr>
              <w:pStyle w:val="aff2"/>
              <w:rPr>
                <w:b/>
                <w:bCs/>
                <w:szCs w:val="21"/>
              </w:rPr>
            </w:pPr>
            <w:r w:rsidRPr="00D630D1">
              <w:rPr>
                <w:b/>
                <w:bCs/>
                <w:szCs w:val="21"/>
              </w:rPr>
              <w:t>检测项目</w:t>
            </w:r>
          </w:p>
        </w:tc>
        <w:tc>
          <w:tcPr>
            <w:tcW w:w="636" w:type="pct"/>
            <w:vAlign w:val="center"/>
          </w:tcPr>
          <w:p w:rsidR="00FD386E" w:rsidRPr="00D630D1" w:rsidRDefault="00FD386E" w:rsidP="00FD386E">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检测频次</w:t>
            </w:r>
          </w:p>
        </w:tc>
      </w:tr>
      <w:tr w:rsidR="002548A4" w:rsidRPr="00D630D1" w:rsidTr="0001315C">
        <w:trPr>
          <w:trHeight w:val="18"/>
          <w:jc w:val="center"/>
        </w:trPr>
        <w:tc>
          <w:tcPr>
            <w:tcW w:w="500" w:type="pct"/>
            <w:vAlign w:val="center"/>
          </w:tcPr>
          <w:p w:rsidR="002548A4" w:rsidRPr="00D630D1" w:rsidRDefault="002548A4" w:rsidP="00AD124B">
            <w:pPr>
              <w:pStyle w:val="aff2"/>
              <w:rPr>
                <w:szCs w:val="21"/>
              </w:rPr>
            </w:pPr>
            <w:r w:rsidRPr="00D630D1">
              <w:rPr>
                <w:rFonts w:hint="eastAsia"/>
                <w:szCs w:val="21"/>
              </w:rPr>
              <w:t>T1</w:t>
            </w:r>
            <w:r w:rsidRPr="00D630D1">
              <w:rPr>
                <w:szCs w:val="21"/>
              </w:rPr>
              <w:t xml:space="preserve"> </w:t>
            </w:r>
          </w:p>
        </w:tc>
        <w:tc>
          <w:tcPr>
            <w:tcW w:w="1559" w:type="pct"/>
            <w:vAlign w:val="center"/>
          </w:tcPr>
          <w:p w:rsidR="002548A4" w:rsidRPr="00D630D1" w:rsidRDefault="00AD124B" w:rsidP="00AD124B">
            <w:pPr>
              <w:pStyle w:val="aff2"/>
              <w:rPr>
                <w:szCs w:val="21"/>
              </w:rPr>
            </w:pPr>
            <w:r w:rsidRPr="00AD124B">
              <w:rPr>
                <w:rFonts w:hint="eastAsia"/>
                <w:szCs w:val="21"/>
              </w:rPr>
              <w:t>普光</w:t>
            </w:r>
            <w:r w:rsidRPr="00AD124B">
              <w:rPr>
                <w:rFonts w:hint="eastAsia"/>
                <w:szCs w:val="21"/>
              </w:rPr>
              <w:t>12</w:t>
            </w:r>
            <w:r w:rsidRPr="00AD124B">
              <w:rPr>
                <w:rFonts w:hint="eastAsia"/>
                <w:szCs w:val="21"/>
              </w:rPr>
              <w:t>平台内东侧区域处</w:t>
            </w:r>
          </w:p>
        </w:tc>
        <w:tc>
          <w:tcPr>
            <w:tcW w:w="741" w:type="pct"/>
            <w:vAlign w:val="center"/>
          </w:tcPr>
          <w:p w:rsidR="002548A4" w:rsidRPr="00D630D1" w:rsidRDefault="002548A4" w:rsidP="00FD386E">
            <w:pPr>
              <w:pStyle w:val="aff2"/>
              <w:rPr>
                <w:szCs w:val="21"/>
              </w:rPr>
            </w:pPr>
            <w:r w:rsidRPr="00D630D1">
              <w:rPr>
                <w:rFonts w:hint="eastAsia"/>
                <w:szCs w:val="21"/>
              </w:rPr>
              <w:t>建设用地</w:t>
            </w:r>
          </w:p>
        </w:tc>
        <w:tc>
          <w:tcPr>
            <w:tcW w:w="1564" w:type="pct"/>
            <w:vAlign w:val="center"/>
          </w:tcPr>
          <w:p w:rsidR="00AD124B" w:rsidRPr="00AD124B" w:rsidRDefault="00AD124B" w:rsidP="00AD124B">
            <w:pPr>
              <w:pStyle w:val="aff2"/>
              <w:rPr>
                <w:szCs w:val="21"/>
              </w:rPr>
            </w:pPr>
            <w:r w:rsidRPr="00AD124B">
              <w:rPr>
                <w:rFonts w:hint="eastAsia"/>
                <w:szCs w:val="21"/>
              </w:rPr>
              <w:t>pH</w:t>
            </w:r>
            <w:r>
              <w:rPr>
                <w:rFonts w:hint="eastAsia"/>
                <w:szCs w:val="21"/>
              </w:rPr>
              <w:t>、</w:t>
            </w:r>
            <w:r w:rsidRPr="00AD124B">
              <w:rPr>
                <w:rFonts w:hint="eastAsia"/>
                <w:szCs w:val="21"/>
              </w:rPr>
              <w:t>石油烃、全盐量（</w:t>
            </w:r>
            <w:r w:rsidRPr="00AD124B">
              <w:rPr>
                <w:rFonts w:hint="eastAsia"/>
                <w:szCs w:val="21"/>
              </w:rPr>
              <w:t>0~0.5m</w:t>
            </w:r>
            <w:r w:rsidRPr="00AD124B">
              <w:rPr>
                <w:rFonts w:hint="eastAsia"/>
                <w:szCs w:val="21"/>
              </w:rPr>
              <w:t>、</w:t>
            </w:r>
          </w:p>
          <w:p w:rsidR="002548A4" w:rsidRPr="00D630D1" w:rsidRDefault="00AD124B" w:rsidP="00AD124B">
            <w:pPr>
              <w:pStyle w:val="aff2"/>
              <w:rPr>
                <w:szCs w:val="21"/>
              </w:rPr>
            </w:pPr>
            <w:r w:rsidRPr="00AD124B">
              <w:rPr>
                <w:rFonts w:hint="eastAsia"/>
                <w:szCs w:val="21"/>
              </w:rPr>
              <w:t>0.5~1.5m</w:t>
            </w:r>
            <w:r w:rsidRPr="00AD124B">
              <w:rPr>
                <w:rFonts w:hint="eastAsia"/>
                <w:szCs w:val="21"/>
              </w:rPr>
              <w:t>、</w:t>
            </w:r>
            <w:r w:rsidRPr="00AD124B">
              <w:rPr>
                <w:rFonts w:hint="eastAsia"/>
                <w:szCs w:val="21"/>
              </w:rPr>
              <w:t xml:space="preserve">1.5~3m </w:t>
            </w:r>
            <w:r w:rsidRPr="00AD124B">
              <w:rPr>
                <w:rFonts w:hint="eastAsia"/>
                <w:szCs w:val="21"/>
              </w:rPr>
              <w:t>分别取样）</w:t>
            </w:r>
          </w:p>
        </w:tc>
        <w:tc>
          <w:tcPr>
            <w:tcW w:w="636" w:type="pct"/>
            <w:vAlign w:val="center"/>
          </w:tcPr>
          <w:p w:rsidR="002548A4" w:rsidRPr="00D630D1" w:rsidRDefault="002548A4" w:rsidP="002548A4">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1</w:t>
            </w:r>
            <w:r w:rsidRPr="00D630D1">
              <w:rPr>
                <w:rFonts w:ascii="Times New Roman" w:hAnsi="Times New Roman" w:cs="Times New Roman"/>
                <w:color w:val="auto"/>
                <w:sz w:val="21"/>
                <w:szCs w:val="21"/>
              </w:rPr>
              <w:t>次</w:t>
            </w:r>
            <w:r w:rsidRPr="00D630D1">
              <w:rPr>
                <w:rFonts w:ascii="Times New Roman" w:hAnsi="Times New Roman" w:cs="Times New Roman"/>
                <w:color w:val="auto"/>
                <w:sz w:val="21"/>
                <w:szCs w:val="21"/>
              </w:rPr>
              <w:t>/</w:t>
            </w:r>
            <w:r w:rsidRPr="00D630D1">
              <w:rPr>
                <w:rFonts w:ascii="Times New Roman" w:hAnsi="Times New Roman" w:cs="Times New Roman"/>
                <w:color w:val="auto"/>
                <w:sz w:val="21"/>
                <w:szCs w:val="21"/>
              </w:rPr>
              <w:t>日，</w:t>
            </w:r>
          </w:p>
          <w:p w:rsidR="002548A4" w:rsidRPr="00D630D1" w:rsidRDefault="002548A4" w:rsidP="002548A4">
            <w:pPr>
              <w:pStyle w:val="aff2"/>
              <w:rPr>
                <w:szCs w:val="21"/>
              </w:rPr>
            </w:pPr>
            <w:r w:rsidRPr="00D630D1">
              <w:rPr>
                <w:szCs w:val="21"/>
              </w:rPr>
              <w:t>检测</w:t>
            </w:r>
            <w:r w:rsidRPr="00D630D1">
              <w:rPr>
                <w:szCs w:val="21"/>
              </w:rPr>
              <w:t>1</w:t>
            </w:r>
            <w:r w:rsidRPr="00D630D1">
              <w:rPr>
                <w:szCs w:val="21"/>
              </w:rPr>
              <w:t>日</w:t>
            </w:r>
          </w:p>
        </w:tc>
      </w:tr>
      <w:tr w:rsidR="00AD124B" w:rsidRPr="00D630D1" w:rsidTr="0001315C">
        <w:trPr>
          <w:trHeight w:val="18"/>
          <w:jc w:val="center"/>
        </w:trPr>
        <w:tc>
          <w:tcPr>
            <w:tcW w:w="500" w:type="pct"/>
            <w:vAlign w:val="center"/>
          </w:tcPr>
          <w:p w:rsidR="00AD124B" w:rsidRPr="00D630D1" w:rsidRDefault="00AD124B" w:rsidP="00AD124B">
            <w:pPr>
              <w:pStyle w:val="aff2"/>
              <w:rPr>
                <w:szCs w:val="21"/>
              </w:rPr>
            </w:pPr>
            <w:r w:rsidRPr="00D630D1">
              <w:rPr>
                <w:rFonts w:hint="eastAsia"/>
                <w:szCs w:val="21"/>
              </w:rPr>
              <w:t>T2</w:t>
            </w:r>
          </w:p>
        </w:tc>
        <w:tc>
          <w:tcPr>
            <w:tcW w:w="1559" w:type="pct"/>
            <w:vAlign w:val="center"/>
          </w:tcPr>
          <w:p w:rsidR="00AD124B" w:rsidRDefault="00AD124B" w:rsidP="00AD124B">
            <w:pPr>
              <w:pStyle w:val="aff2"/>
              <w:rPr>
                <w:szCs w:val="21"/>
              </w:rPr>
            </w:pPr>
            <w:r w:rsidRPr="00AD124B">
              <w:rPr>
                <w:rFonts w:hint="eastAsia"/>
                <w:szCs w:val="21"/>
              </w:rPr>
              <w:t>普光</w:t>
            </w:r>
            <w:r w:rsidRPr="00AD124B">
              <w:rPr>
                <w:rFonts w:hint="eastAsia"/>
                <w:szCs w:val="21"/>
              </w:rPr>
              <w:t>12</w:t>
            </w:r>
            <w:r w:rsidRPr="00AD124B">
              <w:rPr>
                <w:rFonts w:hint="eastAsia"/>
                <w:szCs w:val="21"/>
              </w:rPr>
              <w:t>平台西南侧区域处</w:t>
            </w:r>
          </w:p>
        </w:tc>
        <w:tc>
          <w:tcPr>
            <w:tcW w:w="741" w:type="pct"/>
            <w:vAlign w:val="center"/>
          </w:tcPr>
          <w:p w:rsidR="00AD124B" w:rsidRPr="00D630D1" w:rsidRDefault="00AD124B" w:rsidP="00FD386E">
            <w:pPr>
              <w:pStyle w:val="aff2"/>
              <w:rPr>
                <w:szCs w:val="21"/>
              </w:rPr>
            </w:pPr>
            <w:r w:rsidRPr="00D630D1">
              <w:rPr>
                <w:rFonts w:hint="eastAsia"/>
                <w:szCs w:val="21"/>
              </w:rPr>
              <w:t>建设用地</w:t>
            </w:r>
          </w:p>
        </w:tc>
        <w:tc>
          <w:tcPr>
            <w:tcW w:w="1564" w:type="pct"/>
            <w:vAlign w:val="center"/>
          </w:tcPr>
          <w:p w:rsidR="00AD124B" w:rsidRPr="00AD124B" w:rsidRDefault="00AD124B" w:rsidP="00AD124B">
            <w:pPr>
              <w:pStyle w:val="aff2"/>
              <w:rPr>
                <w:szCs w:val="21"/>
              </w:rPr>
            </w:pPr>
            <w:r w:rsidRPr="00AD124B">
              <w:rPr>
                <w:rFonts w:hint="eastAsia"/>
                <w:szCs w:val="21"/>
              </w:rPr>
              <w:t>pH</w:t>
            </w:r>
            <w:r>
              <w:rPr>
                <w:rFonts w:hint="eastAsia"/>
                <w:szCs w:val="21"/>
              </w:rPr>
              <w:t>、</w:t>
            </w:r>
            <w:r w:rsidRPr="00AD124B">
              <w:rPr>
                <w:rFonts w:hint="eastAsia"/>
                <w:szCs w:val="21"/>
              </w:rPr>
              <w:t>石油烃、全盐量（</w:t>
            </w:r>
            <w:r w:rsidRPr="00AD124B">
              <w:rPr>
                <w:rFonts w:hint="eastAsia"/>
                <w:szCs w:val="21"/>
              </w:rPr>
              <w:t>0~0.5m</w:t>
            </w:r>
            <w:r w:rsidRPr="00AD124B">
              <w:rPr>
                <w:rFonts w:hint="eastAsia"/>
                <w:szCs w:val="21"/>
              </w:rPr>
              <w:t>、</w:t>
            </w:r>
          </w:p>
          <w:p w:rsidR="00AD124B" w:rsidRPr="00AD124B" w:rsidRDefault="00AD124B" w:rsidP="00AD124B">
            <w:pPr>
              <w:pStyle w:val="aff2"/>
              <w:rPr>
                <w:szCs w:val="21"/>
              </w:rPr>
            </w:pPr>
            <w:r w:rsidRPr="00AD124B">
              <w:rPr>
                <w:rFonts w:hint="eastAsia"/>
                <w:szCs w:val="21"/>
              </w:rPr>
              <w:t>0.5~1.5m</w:t>
            </w:r>
            <w:r w:rsidRPr="00AD124B">
              <w:rPr>
                <w:rFonts w:hint="eastAsia"/>
                <w:szCs w:val="21"/>
              </w:rPr>
              <w:t>、</w:t>
            </w:r>
            <w:r w:rsidRPr="00AD124B">
              <w:rPr>
                <w:rFonts w:hint="eastAsia"/>
                <w:szCs w:val="21"/>
              </w:rPr>
              <w:t xml:space="preserve">1.5~3m </w:t>
            </w:r>
            <w:r w:rsidRPr="00AD124B">
              <w:rPr>
                <w:rFonts w:hint="eastAsia"/>
                <w:szCs w:val="21"/>
              </w:rPr>
              <w:t>分别取样）</w:t>
            </w:r>
          </w:p>
        </w:tc>
        <w:tc>
          <w:tcPr>
            <w:tcW w:w="636" w:type="pct"/>
            <w:vAlign w:val="center"/>
          </w:tcPr>
          <w:p w:rsidR="007B6743" w:rsidRPr="00D630D1" w:rsidRDefault="007B6743" w:rsidP="007B674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1</w:t>
            </w:r>
            <w:r w:rsidRPr="00D630D1">
              <w:rPr>
                <w:rFonts w:ascii="Times New Roman" w:hAnsi="Times New Roman" w:cs="Times New Roman"/>
                <w:color w:val="auto"/>
                <w:sz w:val="21"/>
                <w:szCs w:val="21"/>
              </w:rPr>
              <w:t>次</w:t>
            </w:r>
            <w:r w:rsidRPr="00D630D1">
              <w:rPr>
                <w:rFonts w:ascii="Times New Roman" w:hAnsi="Times New Roman" w:cs="Times New Roman"/>
                <w:color w:val="auto"/>
                <w:sz w:val="21"/>
                <w:szCs w:val="21"/>
              </w:rPr>
              <w:t>/</w:t>
            </w:r>
            <w:r w:rsidRPr="00D630D1">
              <w:rPr>
                <w:rFonts w:ascii="Times New Roman" w:hAnsi="Times New Roman" w:cs="Times New Roman"/>
                <w:color w:val="auto"/>
                <w:sz w:val="21"/>
                <w:szCs w:val="21"/>
              </w:rPr>
              <w:t>日，</w:t>
            </w:r>
          </w:p>
          <w:p w:rsidR="00AD124B" w:rsidRPr="00D630D1" w:rsidRDefault="007B6743" w:rsidP="007B6743">
            <w:pPr>
              <w:pStyle w:val="Default"/>
              <w:jc w:val="center"/>
              <w:rPr>
                <w:rFonts w:ascii="Times New Roman" w:hAnsi="Times New Roman" w:cs="Times New Roman"/>
                <w:color w:val="auto"/>
                <w:sz w:val="21"/>
                <w:szCs w:val="21"/>
              </w:rPr>
            </w:pPr>
            <w:r w:rsidRPr="00D630D1">
              <w:rPr>
                <w:szCs w:val="21"/>
              </w:rPr>
              <w:t>检测1日</w:t>
            </w:r>
          </w:p>
        </w:tc>
      </w:tr>
      <w:tr w:rsidR="00AD124B" w:rsidRPr="00D630D1" w:rsidTr="0001315C">
        <w:trPr>
          <w:trHeight w:val="18"/>
          <w:jc w:val="center"/>
        </w:trPr>
        <w:tc>
          <w:tcPr>
            <w:tcW w:w="500" w:type="pct"/>
            <w:vAlign w:val="center"/>
          </w:tcPr>
          <w:p w:rsidR="00AD124B" w:rsidRPr="00D630D1" w:rsidRDefault="00AD124B" w:rsidP="00AD124B">
            <w:pPr>
              <w:pStyle w:val="aff2"/>
              <w:rPr>
                <w:szCs w:val="21"/>
              </w:rPr>
            </w:pPr>
            <w:r w:rsidRPr="00D630D1">
              <w:rPr>
                <w:rFonts w:hint="eastAsia"/>
                <w:szCs w:val="21"/>
              </w:rPr>
              <w:t>T3</w:t>
            </w:r>
          </w:p>
        </w:tc>
        <w:tc>
          <w:tcPr>
            <w:tcW w:w="1559" w:type="pct"/>
            <w:vAlign w:val="center"/>
          </w:tcPr>
          <w:p w:rsidR="00AD124B" w:rsidRDefault="00AD124B" w:rsidP="00AD124B">
            <w:pPr>
              <w:pStyle w:val="aff2"/>
              <w:rPr>
                <w:szCs w:val="21"/>
              </w:rPr>
            </w:pPr>
            <w:r w:rsidRPr="00AD124B">
              <w:rPr>
                <w:rFonts w:hint="eastAsia"/>
                <w:szCs w:val="21"/>
              </w:rPr>
              <w:t>普光</w:t>
            </w:r>
            <w:r>
              <w:rPr>
                <w:rFonts w:hint="eastAsia"/>
                <w:szCs w:val="21"/>
              </w:rPr>
              <w:t xml:space="preserve"> 12</w:t>
            </w:r>
            <w:r w:rsidRPr="00AD124B">
              <w:rPr>
                <w:rFonts w:hint="eastAsia"/>
                <w:szCs w:val="21"/>
              </w:rPr>
              <w:t>平台北侧区域处</w:t>
            </w:r>
          </w:p>
        </w:tc>
        <w:tc>
          <w:tcPr>
            <w:tcW w:w="741" w:type="pct"/>
            <w:vAlign w:val="center"/>
          </w:tcPr>
          <w:p w:rsidR="00AD124B" w:rsidRPr="00D630D1" w:rsidRDefault="00AD124B" w:rsidP="00FD386E">
            <w:pPr>
              <w:pStyle w:val="aff2"/>
              <w:rPr>
                <w:szCs w:val="21"/>
              </w:rPr>
            </w:pPr>
            <w:r w:rsidRPr="00D630D1">
              <w:rPr>
                <w:rFonts w:hint="eastAsia"/>
                <w:szCs w:val="21"/>
              </w:rPr>
              <w:t>建设用地</w:t>
            </w:r>
          </w:p>
        </w:tc>
        <w:tc>
          <w:tcPr>
            <w:tcW w:w="1564" w:type="pct"/>
            <w:vAlign w:val="center"/>
          </w:tcPr>
          <w:p w:rsidR="00AD124B" w:rsidRPr="00AD124B" w:rsidRDefault="00AD124B" w:rsidP="00AD124B">
            <w:pPr>
              <w:pStyle w:val="aff2"/>
              <w:rPr>
                <w:szCs w:val="21"/>
              </w:rPr>
            </w:pPr>
            <w:r w:rsidRPr="00AD124B">
              <w:rPr>
                <w:rFonts w:hint="eastAsia"/>
                <w:szCs w:val="21"/>
              </w:rPr>
              <w:t>pH</w:t>
            </w:r>
            <w:r>
              <w:rPr>
                <w:rFonts w:hint="eastAsia"/>
                <w:szCs w:val="21"/>
              </w:rPr>
              <w:t>、</w:t>
            </w:r>
            <w:r w:rsidRPr="00AD124B">
              <w:rPr>
                <w:rFonts w:hint="eastAsia"/>
                <w:szCs w:val="21"/>
              </w:rPr>
              <w:t>石油烃、全盐量（</w:t>
            </w:r>
            <w:r w:rsidRPr="00AD124B">
              <w:rPr>
                <w:rFonts w:hint="eastAsia"/>
                <w:szCs w:val="21"/>
              </w:rPr>
              <w:t>0~0.5m</w:t>
            </w:r>
            <w:r w:rsidRPr="00AD124B">
              <w:rPr>
                <w:rFonts w:hint="eastAsia"/>
                <w:szCs w:val="21"/>
              </w:rPr>
              <w:t>、</w:t>
            </w:r>
          </w:p>
          <w:p w:rsidR="00AD124B" w:rsidRPr="00AD124B" w:rsidRDefault="00AD124B" w:rsidP="00AD124B">
            <w:pPr>
              <w:pStyle w:val="aff2"/>
              <w:rPr>
                <w:szCs w:val="21"/>
              </w:rPr>
            </w:pPr>
            <w:r w:rsidRPr="00AD124B">
              <w:rPr>
                <w:rFonts w:hint="eastAsia"/>
                <w:szCs w:val="21"/>
              </w:rPr>
              <w:t>0.5~1.5m</w:t>
            </w:r>
            <w:r w:rsidRPr="00AD124B">
              <w:rPr>
                <w:rFonts w:hint="eastAsia"/>
                <w:szCs w:val="21"/>
              </w:rPr>
              <w:t>、</w:t>
            </w:r>
            <w:r w:rsidRPr="00AD124B">
              <w:rPr>
                <w:rFonts w:hint="eastAsia"/>
                <w:szCs w:val="21"/>
              </w:rPr>
              <w:t xml:space="preserve">1.5~3m </w:t>
            </w:r>
            <w:r w:rsidRPr="00AD124B">
              <w:rPr>
                <w:rFonts w:hint="eastAsia"/>
                <w:szCs w:val="21"/>
              </w:rPr>
              <w:t>分别取样）</w:t>
            </w:r>
          </w:p>
        </w:tc>
        <w:tc>
          <w:tcPr>
            <w:tcW w:w="636" w:type="pct"/>
            <w:vAlign w:val="center"/>
          </w:tcPr>
          <w:p w:rsidR="007B6743" w:rsidRPr="00D630D1" w:rsidRDefault="007B6743" w:rsidP="007B674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1</w:t>
            </w:r>
            <w:r w:rsidRPr="00D630D1">
              <w:rPr>
                <w:rFonts w:ascii="Times New Roman" w:hAnsi="Times New Roman" w:cs="Times New Roman"/>
                <w:color w:val="auto"/>
                <w:sz w:val="21"/>
                <w:szCs w:val="21"/>
              </w:rPr>
              <w:t>次</w:t>
            </w:r>
            <w:r w:rsidRPr="00D630D1">
              <w:rPr>
                <w:rFonts w:ascii="Times New Roman" w:hAnsi="Times New Roman" w:cs="Times New Roman"/>
                <w:color w:val="auto"/>
                <w:sz w:val="21"/>
                <w:szCs w:val="21"/>
              </w:rPr>
              <w:t>/</w:t>
            </w:r>
            <w:r w:rsidRPr="00D630D1">
              <w:rPr>
                <w:rFonts w:ascii="Times New Roman" w:hAnsi="Times New Roman" w:cs="Times New Roman"/>
                <w:color w:val="auto"/>
                <w:sz w:val="21"/>
                <w:szCs w:val="21"/>
              </w:rPr>
              <w:t>日，</w:t>
            </w:r>
          </w:p>
          <w:p w:rsidR="00AD124B" w:rsidRPr="00D630D1" w:rsidRDefault="007B6743" w:rsidP="007B6743">
            <w:pPr>
              <w:pStyle w:val="Default"/>
              <w:jc w:val="center"/>
              <w:rPr>
                <w:rFonts w:ascii="Times New Roman" w:hAnsi="Times New Roman" w:cs="Times New Roman"/>
                <w:color w:val="auto"/>
                <w:sz w:val="21"/>
                <w:szCs w:val="21"/>
              </w:rPr>
            </w:pPr>
            <w:r w:rsidRPr="00D630D1">
              <w:rPr>
                <w:szCs w:val="21"/>
              </w:rPr>
              <w:t>检测1日</w:t>
            </w:r>
          </w:p>
        </w:tc>
      </w:tr>
      <w:tr w:rsidR="00AD124B" w:rsidRPr="00D630D1" w:rsidTr="0001315C">
        <w:trPr>
          <w:trHeight w:val="18"/>
          <w:jc w:val="center"/>
        </w:trPr>
        <w:tc>
          <w:tcPr>
            <w:tcW w:w="500" w:type="pct"/>
            <w:vAlign w:val="center"/>
          </w:tcPr>
          <w:p w:rsidR="00AD124B" w:rsidRPr="00D630D1" w:rsidRDefault="00AD124B" w:rsidP="002548A4">
            <w:pPr>
              <w:pStyle w:val="aff2"/>
              <w:rPr>
                <w:szCs w:val="21"/>
              </w:rPr>
            </w:pPr>
            <w:r w:rsidRPr="00D630D1">
              <w:rPr>
                <w:rFonts w:hint="eastAsia"/>
                <w:szCs w:val="21"/>
              </w:rPr>
              <w:t>T4</w:t>
            </w:r>
          </w:p>
        </w:tc>
        <w:tc>
          <w:tcPr>
            <w:tcW w:w="1559" w:type="pct"/>
            <w:vAlign w:val="center"/>
          </w:tcPr>
          <w:p w:rsidR="00AD124B" w:rsidRDefault="00AD124B" w:rsidP="00AD124B">
            <w:pPr>
              <w:pStyle w:val="aff2"/>
              <w:rPr>
                <w:szCs w:val="21"/>
              </w:rPr>
            </w:pPr>
            <w:r w:rsidRPr="00AD124B">
              <w:rPr>
                <w:rFonts w:hint="eastAsia"/>
                <w:szCs w:val="21"/>
              </w:rPr>
              <w:t>普光</w:t>
            </w:r>
            <w:r w:rsidRPr="00AD124B">
              <w:rPr>
                <w:rFonts w:hint="eastAsia"/>
                <w:szCs w:val="21"/>
              </w:rPr>
              <w:t>12</w:t>
            </w:r>
            <w:r w:rsidRPr="00AD124B">
              <w:rPr>
                <w:rFonts w:hint="eastAsia"/>
                <w:szCs w:val="21"/>
              </w:rPr>
              <w:t>平台北侧区域处</w:t>
            </w:r>
          </w:p>
        </w:tc>
        <w:tc>
          <w:tcPr>
            <w:tcW w:w="741" w:type="pct"/>
            <w:vAlign w:val="center"/>
          </w:tcPr>
          <w:p w:rsidR="00AD124B" w:rsidRPr="00D630D1" w:rsidRDefault="00AD124B" w:rsidP="00FD386E">
            <w:pPr>
              <w:pStyle w:val="aff2"/>
              <w:rPr>
                <w:szCs w:val="21"/>
              </w:rPr>
            </w:pPr>
            <w:r w:rsidRPr="00D630D1">
              <w:rPr>
                <w:rFonts w:hint="eastAsia"/>
                <w:szCs w:val="21"/>
              </w:rPr>
              <w:t>建设用地</w:t>
            </w:r>
          </w:p>
        </w:tc>
        <w:tc>
          <w:tcPr>
            <w:tcW w:w="1564" w:type="pct"/>
            <w:vAlign w:val="center"/>
          </w:tcPr>
          <w:p w:rsidR="00AD124B" w:rsidRPr="00AD124B" w:rsidRDefault="00AD124B" w:rsidP="00AD124B">
            <w:pPr>
              <w:pStyle w:val="aff2"/>
              <w:rPr>
                <w:szCs w:val="21"/>
              </w:rPr>
            </w:pPr>
            <w:r w:rsidRPr="00AD124B">
              <w:rPr>
                <w:rFonts w:hint="eastAsia"/>
                <w:szCs w:val="21"/>
              </w:rPr>
              <w:t>《土壤环境质量</w:t>
            </w:r>
            <w:r w:rsidRPr="00AD124B">
              <w:rPr>
                <w:rFonts w:hint="eastAsia"/>
                <w:szCs w:val="21"/>
              </w:rPr>
              <w:t xml:space="preserve"> </w:t>
            </w:r>
            <w:r w:rsidRPr="00AD124B">
              <w:rPr>
                <w:rFonts w:hint="eastAsia"/>
                <w:szCs w:val="21"/>
              </w:rPr>
              <w:t>建设用地土壤污染风险管控标准（试行）</w:t>
            </w:r>
            <w:r w:rsidR="007B6743">
              <w:rPr>
                <w:rFonts w:hint="eastAsia"/>
                <w:szCs w:val="21"/>
              </w:rPr>
              <w:t>（</w:t>
            </w:r>
            <w:r w:rsidR="007B6743" w:rsidRPr="00AD124B">
              <w:rPr>
                <w:rFonts w:hint="eastAsia"/>
                <w:szCs w:val="21"/>
              </w:rPr>
              <w:t>GB36600</w:t>
            </w:r>
            <w:r w:rsidR="007B6743" w:rsidRPr="00AD124B">
              <w:rPr>
                <w:rFonts w:hint="eastAsia"/>
                <w:szCs w:val="21"/>
              </w:rPr>
              <w:t>—</w:t>
            </w:r>
            <w:r w:rsidR="007B6743" w:rsidRPr="00AD124B">
              <w:rPr>
                <w:rFonts w:hint="eastAsia"/>
                <w:szCs w:val="21"/>
              </w:rPr>
              <w:t>2018</w:t>
            </w:r>
            <w:r w:rsidR="007B6743">
              <w:rPr>
                <w:rFonts w:hint="eastAsia"/>
                <w:szCs w:val="21"/>
              </w:rPr>
              <w:t>）</w:t>
            </w:r>
            <w:r w:rsidRPr="00AD124B">
              <w:rPr>
                <w:rFonts w:hint="eastAsia"/>
                <w:szCs w:val="21"/>
              </w:rPr>
              <w:t>》</w:t>
            </w:r>
          </w:p>
          <w:p w:rsidR="00AD124B" w:rsidRPr="00AD124B" w:rsidRDefault="00AD124B" w:rsidP="007B6743">
            <w:pPr>
              <w:pStyle w:val="aff2"/>
              <w:rPr>
                <w:szCs w:val="21"/>
              </w:rPr>
            </w:pPr>
            <w:r w:rsidRPr="00AD124B">
              <w:rPr>
                <w:rFonts w:hint="eastAsia"/>
                <w:szCs w:val="21"/>
              </w:rPr>
              <w:t>中表</w:t>
            </w:r>
            <w:r w:rsidRPr="00AD124B">
              <w:rPr>
                <w:rFonts w:hint="eastAsia"/>
                <w:szCs w:val="21"/>
              </w:rPr>
              <w:t xml:space="preserve"> 1 </w:t>
            </w:r>
            <w:r w:rsidRPr="00AD124B">
              <w:rPr>
                <w:rFonts w:hint="eastAsia"/>
                <w:szCs w:val="21"/>
              </w:rPr>
              <w:t>基本项目，共</w:t>
            </w:r>
            <w:r w:rsidRPr="00AD124B">
              <w:rPr>
                <w:rFonts w:hint="eastAsia"/>
                <w:szCs w:val="21"/>
              </w:rPr>
              <w:t xml:space="preserve"> 45 </w:t>
            </w:r>
            <w:r w:rsidRPr="00AD124B">
              <w:rPr>
                <w:rFonts w:hint="eastAsia"/>
                <w:szCs w:val="21"/>
              </w:rPr>
              <w:t>个</w:t>
            </w:r>
            <w:r w:rsidR="007B6743">
              <w:rPr>
                <w:rFonts w:hint="eastAsia"/>
                <w:szCs w:val="21"/>
              </w:rPr>
              <w:t>、</w:t>
            </w:r>
            <w:r w:rsidR="007B6743" w:rsidRPr="007B6743">
              <w:rPr>
                <w:rFonts w:hint="eastAsia"/>
                <w:szCs w:val="21"/>
              </w:rPr>
              <w:t>石油烃、全盐量</w:t>
            </w:r>
            <w:r w:rsidR="007B6743">
              <w:rPr>
                <w:rFonts w:hint="eastAsia"/>
                <w:szCs w:val="21"/>
              </w:rPr>
              <w:t>、</w:t>
            </w:r>
            <w:r w:rsidR="007B6743" w:rsidRPr="007B6743">
              <w:rPr>
                <w:rFonts w:hint="eastAsia"/>
                <w:szCs w:val="21"/>
              </w:rPr>
              <w:t>pH</w:t>
            </w:r>
            <w:r w:rsidR="007B6743" w:rsidRPr="007B6743">
              <w:rPr>
                <w:rFonts w:hint="eastAsia"/>
                <w:szCs w:val="21"/>
              </w:rPr>
              <w:t>、阳离子交换量、土壤容重</w:t>
            </w:r>
          </w:p>
        </w:tc>
        <w:tc>
          <w:tcPr>
            <w:tcW w:w="636" w:type="pct"/>
            <w:vAlign w:val="center"/>
          </w:tcPr>
          <w:p w:rsidR="007B6743" w:rsidRPr="00D630D1" w:rsidRDefault="007B6743" w:rsidP="007B674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1</w:t>
            </w:r>
            <w:r w:rsidRPr="00D630D1">
              <w:rPr>
                <w:rFonts w:ascii="Times New Roman" w:hAnsi="Times New Roman" w:cs="Times New Roman"/>
                <w:color w:val="auto"/>
                <w:sz w:val="21"/>
                <w:szCs w:val="21"/>
              </w:rPr>
              <w:t>次</w:t>
            </w:r>
            <w:r w:rsidRPr="00D630D1">
              <w:rPr>
                <w:rFonts w:ascii="Times New Roman" w:hAnsi="Times New Roman" w:cs="Times New Roman"/>
                <w:color w:val="auto"/>
                <w:sz w:val="21"/>
                <w:szCs w:val="21"/>
              </w:rPr>
              <w:t>/</w:t>
            </w:r>
            <w:r w:rsidRPr="00D630D1">
              <w:rPr>
                <w:rFonts w:ascii="Times New Roman" w:hAnsi="Times New Roman" w:cs="Times New Roman"/>
                <w:color w:val="auto"/>
                <w:sz w:val="21"/>
                <w:szCs w:val="21"/>
              </w:rPr>
              <w:t>日，</w:t>
            </w:r>
          </w:p>
          <w:p w:rsidR="00AD124B" w:rsidRPr="00D630D1" w:rsidRDefault="007B6743" w:rsidP="007B6743">
            <w:pPr>
              <w:pStyle w:val="Default"/>
              <w:jc w:val="center"/>
              <w:rPr>
                <w:rFonts w:ascii="Times New Roman" w:hAnsi="Times New Roman" w:cs="Times New Roman"/>
                <w:color w:val="auto"/>
                <w:sz w:val="21"/>
                <w:szCs w:val="21"/>
              </w:rPr>
            </w:pPr>
            <w:r w:rsidRPr="00D630D1">
              <w:rPr>
                <w:szCs w:val="21"/>
              </w:rPr>
              <w:t>检测1日</w:t>
            </w:r>
          </w:p>
        </w:tc>
      </w:tr>
      <w:tr w:rsidR="00624EC7" w:rsidRPr="00D630D1" w:rsidTr="00AD124B">
        <w:trPr>
          <w:trHeight w:val="18"/>
          <w:jc w:val="center"/>
        </w:trPr>
        <w:tc>
          <w:tcPr>
            <w:tcW w:w="500" w:type="pct"/>
            <w:vAlign w:val="center"/>
          </w:tcPr>
          <w:p w:rsidR="00624EC7" w:rsidRPr="00D630D1" w:rsidRDefault="00624EC7" w:rsidP="002548A4">
            <w:pPr>
              <w:pStyle w:val="aff2"/>
              <w:rPr>
                <w:szCs w:val="21"/>
              </w:rPr>
            </w:pPr>
            <w:r w:rsidRPr="00D630D1">
              <w:rPr>
                <w:rFonts w:hint="eastAsia"/>
                <w:szCs w:val="21"/>
              </w:rPr>
              <w:t>T5</w:t>
            </w:r>
          </w:p>
        </w:tc>
        <w:tc>
          <w:tcPr>
            <w:tcW w:w="1559" w:type="pct"/>
            <w:vAlign w:val="center"/>
          </w:tcPr>
          <w:p w:rsidR="00624EC7" w:rsidRPr="00D630D1" w:rsidRDefault="00624EC7" w:rsidP="002548A4">
            <w:pPr>
              <w:pStyle w:val="aff2"/>
              <w:rPr>
                <w:szCs w:val="21"/>
              </w:rPr>
            </w:pPr>
            <w:r w:rsidRPr="00D630D1">
              <w:rPr>
                <w:rFonts w:hint="eastAsia"/>
                <w:szCs w:val="21"/>
              </w:rPr>
              <w:t>位于</w:t>
            </w:r>
            <w:r w:rsidR="00AD124B" w:rsidRPr="00AD124B">
              <w:rPr>
                <w:rFonts w:hint="eastAsia"/>
                <w:bCs/>
              </w:rPr>
              <w:t>普光</w:t>
            </w:r>
            <w:r w:rsidR="00AD124B" w:rsidRPr="00AD124B">
              <w:rPr>
                <w:rFonts w:hint="eastAsia"/>
                <w:bCs/>
              </w:rPr>
              <w:t>12</w:t>
            </w:r>
            <w:r w:rsidR="00AD124B" w:rsidRPr="00AD124B">
              <w:rPr>
                <w:rFonts w:hint="eastAsia"/>
                <w:bCs/>
              </w:rPr>
              <w:t>平台外北侧</w:t>
            </w:r>
            <w:r w:rsidR="00AD124B" w:rsidRPr="00AD124B">
              <w:rPr>
                <w:bCs/>
              </w:rPr>
              <w:t>20m</w:t>
            </w:r>
          </w:p>
        </w:tc>
        <w:tc>
          <w:tcPr>
            <w:tcW w:w="741" w:type="pct"/>
            <w:vAlign w:val="center"/>
          </w:tcPr>
          <w:p w:rsidR="00624EC7" w:rsidRPr="00D630D1" w:rsidRDefault="00624EC7" w:rsidP="002548A4">
            <w:pPr>
              <w:pStyle w:val="aff2"/>
              <w:rPr>
                <w:szCs w:val="21"/>
              </w:rPr>
            </w:pPr>
            <w:r w:rsidRPr="00D630D1">
              <w:rPr>
                <w:szCs w:val="21"/>
              </w:rPr>
              <w:t>农用地</w:t>
            </w:r>
          </w:p>
        </w:tc>
        <w:tc>
          <w:tcPr>
            <w:tcW w:w="1564" w:type="pct"/>
            <w:tcBorders>
              <w:bottom w:val="single" w:sz="4" w:space="0" w:color="auto"/>
            </w:tcBorders>
            <w:vAlign w:val="center"/>
          </w:tcPr>
          <w:p w:rsidR="00624EC7" w:rsidRPr="00D630D1" w:rsidRDefault="00624EC7" w:rsidP="00FD386E">
            <w:pPr>
              <w:pStyle w:val="aff2"/>
              <w:rPr>
                <w:szCs w:val="21"/>
              </w:rPr>
            </w:pPr>
            <w:bookmarkStart w:id="457" w:name="OLE_LINK192"/>
            <w:bookmarkStart w:id="458" w:name="OLE_LINK193"/>
            <w:r w:rsidRPr="00D630D1">
              <w:rPr>
                <w:szCs w:val="21"/>
              </w:rPr>
              <w:t>镉、汞、砷、铅、铜、镍、铬、锌</w:t>
            </w:r>
            <w:bookmarkEnd w:id="457"/>
            <w:bookmarkEnd w:id="458"/>
            <w:r w:rsidR="00AD124B">
              <w:rPr>
                <w:rFonts w:hint="eastAsia"/>
                <w:szCs w:val="21"/>
              </w:rPr>
              <w:t>、石油烃、全盐量</w:t>
            </w:r>
          </w:p>
        </w:tc>
        <w:tc>
          <w:tcPr>
            <w:tcW w:w="636" w:type="pct"/>
            <w:vAlign w:val="center"/>
          </w:tcPr>
          <w:p w:rsidR="00624EC7" w:rsidRPr="00D630D1" w:rsidRDefault="00624EC7" w:rsidP="00370C3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1</w:t>
            </w:r>
            <w:r w:rsidRPr="00D630D1">
              <w:rPr>
                <w:rFonts w:ascii="Times New Roman" w:hAnsi="Times New Roman" w:cs="Times New Roman"/>
                <w:color w:val="auto"/>
                <w:sz w:val="21"/>
                <w:szCs w:val="21"/>
              </w:rPr>
              <w:t>次</w:t>
            </w:r>
            <w:r w:rsidRPr="00D630D1">
              <w:rPr>
                <w:rFonts w:ascii="Times New Roman" w:hAnsi="Times New Roman" w:cs="Times New Roman"/>
                <w:color w:val="auto"/>
                <w:sz w:val="21"/>
                <w:szCs w:val="21"/>
              </w:rPr>
              <w:t>/</w:t>
            </w:r>
            <w:r w:rsidRPr="00D630D1">
              <w:rPr>
                <w:rFonts w:ascii="Times New Roman" w:hAnsi="Times New Roman" w:cs="Times New Roman"/>
                <w:color w:val="auto"/>
                <w:sz w:val="21"/>
                <w:szCs w:val="21"/>
              </w:rPr>
              <w:t>日，</w:t>
            </w:r>
          </w:p>
          <w:p w:rsidR="00624EC7" w:rsidRPr="00D630D1" w:rsidRDefault="00624EC7" w:rsidP="00370C33">
            <w:pPr>
              <w:pStyle w:val="aff2"/>
              <w:rPr>
                <w:szCs w:val="21"/>
              </w:rPr>
            </w:pPr>
            <w:r w:rsidRPr="00D630D1">
              <w:rPr>
                <w:szCs w:val="21"/>
              </w:rPr>
              <w:t>检测</w:t>
            </w:r>
            <w:r w:rsidRPr="00D630D1">
              <w:rPr>
                <w:szCs w:val="21"/>
              </w:rPr>
              <w:t>1</w:t>
            </w:r>
            <w:r w:rsidRPr="00D630D1">
              <w:rPr>
                <w:szCs w:val="21"/>
              </w:rPr>
              <w:t>日</w:t>
            </w:r>
          </w:p>
        </w:tc>
      </w:tr>
      <w:tr w:rsidR="00624EC7" w:rsidRPr="00D630D1" w:rsidTr="00AD124B">
        <w:trPr>
          <w:trHeight w:val="18"/>
          <w:jc w:val="center"/>
        </w:trPr>
        <w:tc>
          <w:tcPr>
            <w:tcW w:w="500" w:type="pct"/>
            <w:vAlign w:val="center"/>
          </w:tcPr>
          <w:p w:rsidR="00624EC7" w:rsidRPr="00D630D1" w:rsidRDefault="00624EC7" w:rsidP="002548A4">
            <w:pPr>
              <w:pStyle w:val="aff2"/>
              <w:rPr>
                <w:szCs w:val="21"/>
              </w:rPr>
            </w:pPr>
            <w:r w:rsidRPr="00D630D1">
              <w:rPr>
                <w:rFonts w:hint="eastAsia"/>
                <w:szCs w:val="21"/>
              </w:rPr>
              <w:t>T6</w:t>
            </w:r>
          </w:p>
        </w:tc>
        <w:tc>
          <w:tcPr>
            <w:tcW w:w="1559" w:type="pct"/>
            <w:vAlign w:val="center"/>
          </w:tcPr>
          <w:p w:rsidR="00624EC7" w:rsidRPr="00D630D1" w:rsidRDefault="00AD124B" w:rsidP="002548A4">
            <w:pPr>
              <w:pStyle w:val="aff2"/>
              <w:rPr>
                <w:szCs w:val="21"/>
              </w:rPr>
            </w:pPr>
            <w:r w:rsidRPr="00AD124B">
              <w:rPr>
                <w:rFonts w:hint="eastAsia"/>
                <w:szCs w:val="21"/>
              </w:rPr>
              <w:t>位于</w:t>
            </w:r>
            <w:r w:rsidRPr="00AD124B">
              <w:rPr>
                <w:rFonts w:hint="eastAsia"/>
                <w:bCs/>
                <w:szCs w:val="21"/>
              </w:rPr>
              <w:t>普光</w:t>
            </w:r>
            <w:r w:rsidRPr="00AD124B">
              <w:rPr>
                <w:rFonts w:hint="eastAsia"/>
                <w:bCs/>
                <w:szCs w:val="21"/>
              </w:rPr>
              <w:t>12</w:t>
            </w:r>
            <w:r w:rsidRPr="00AD124B">
              <w:rPr>
                <w:rFonts w:hint="eastAsia"/>
                <w:bCs/>
                <w:szCs w:val="21"/>
              </w:rPr>
              <w:t>平台外西南侧</w:t>
            </w:r>
            <w:r w:rsidRPr="00AD124B">
              <w:rPr>
                <w:rFonts w:hint="eastAsia"/>
                <w:bCs/>
                <w:szCs w:val="21"/>
              </w:rPr>
              <w:t xml:space="preserve"> 30m</w:t>
            </w:r>
          </w:p>
        </w:tc>
        <w:tc>
          <w:tcPr>
            <w:tcW w:w="741" w:type="pct"/>
            <w:vAlign w:val="center"/>
          </w:tcPr>
          <w:p w:rsidR="00624EC7" w:rsidRPr="00D630D1" w:rsidRDefault="00624EC7" w:rsidP="002548A4">
            <w:pPr>
              <w:pStyle w:val="aff2"/>
              <w:rPr>
                <w:szCs w:val="21"/>
              </w:rPr>
            </w:pPr>
            <w:r w:rsidRPr="00D630D1">
              <w:rPr>
                <w:szCs w:val="21"/>
              </w:rPr>
              <w:t>农用地</w:t>
            </w:r>
          </w:p>
        </w:tc>
        <w:tc>
          <w:tcPr>
            <w:tcW w:w="1564" w:type="pct"/>
            <w:tcBorders>
              <w:top w:val="single" w:sz="4" w:space="0" w:color="auto"/>
            </w:tcBorders>
            <w:vAlign w:val="center"/>
          </w:tcPr>
          <w:p w:rsidR="00624EC7" w:rsidRPr="00D630D1" w:rsidRDefault="00AD124B" w:rsidP="00FD386E">
            <w:pPr>
              <w:pStyle w:val="aff2"/>
              <w:rPr>
                <w:szCs w:val="21"/>
              </w:rPr>
            </w:pPr>
            <w:r w:rsidRPr="00D630D1">
              <w:rPr>
                <w:szCs w:val="21"/>
              </w:rPr>
              <w:t>pH</w:t>
            </w:r>
            <w:r w:rsidRPr="00D630D1">
              <w:rPr>
                <w:szCs w:val="21"/>
              </w:rPr>
              <w:t>、</w:t>
            </w:r>
            <w:r>
              <w:rPr>
                <w:rFonts w:hint="eastAsia"/>
                <w:szCs w:val="21"/>
              </w:rPr>
              <w:t>石油烃、全盐量</w:t>
            </w:r>
          </w:p>
        </w:tc>
        <w:tc>
          <w:tcPr>
            <w:tcW w:w="636" w:type="pct"/>
            <w:vAlign w:val="center"/>
          </w:tcPr>
          <w:p w:rsidR="00624EC7" w:rsidRPr="00D630D1" w:rsidRDefault="00624EC7" w:rsidP="00370C33">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1</w:t>
            </w:r>
            <w:r w:rsidRPr="00D630D1">
              <w:rPr>
                <w:rFonts w:ascii="Times New Roman" w:hAnsi="Times New Roman" w:cs="Times New Roman"/>
                <w:color w:val="auto"/>
                <w:sz w:val="21"/>
                <w:szCs w:val="21"/>
              </w:rPr>
              <w:t>次</w:t>
            </w:r>
            <w:r w:rsidRPr="00D630D1">
              <w:rPr>
                <w:rFonts w:ascii="Times New Roman" w:hAnsi="Times New Roman" w:cs="Times New Roman"/>
                <w:color w:val="auto"/>
                <w:sz w:val="21"/>
                <w:szCs w:val="21"/>
              </w:rPr>
              <w:t>/</w:t>
            </w:r>
            <w:r w:rsidRPr="00D630D1">
              <w:rPr>
                <w:rFonts w:ascii="Times New Roman" w:hAnsi="Times New Roman" w:cs="Times New Roman"/>
                <w:color w:val="auto"/>
                <w:sz w:val="21"/>
                <w:szCs w:val="21"/>
              </w:rPr>
              <w:t>日，</w:t>
            </w:r>
          </w:p>
          <w:p w:rsidR="00624EC7" w:rsidRPr="00D630D1" w:rsidRDefault="00624EC7" w:rsidP="00370C33">
            <w:pPr>
              <w:pStyle w:val="aff2"/>
              <w:rPr>
                <w:szCs w:val="21"/>
              </w:rPr>
            </w:pPr>
            <w:r w:rsidRPr="00D630D1">
              <w:rPr>
                <w:szCs w:val="21"/>
              </w:rPr>
              <w:t>检测</w:t>
            </w:r>
            <w:r w:rsidRPr="00D630D1">
              <w:rPr>
                <w:szCs w:val="21"/>
              </w:rPr>
              <w:t>1</w:t>
            </w:r>
            <w:r w:rsidRPr="00D630D1">
              <w:rPr>
                <w:szCs w:val="21"/>
              </w:rPr>
              <w:t>日</w:t>
            </w:r>
          </w:p>
        </w:tc>
      </w:tr>
    </w:tbl>
    <w:p w:rsidR="00FD386E" w:rsidRPr="00D630D1" w:rsidRDefault="00FD386E" w:rsidP="00FD386E">
      <w:pPr>
        <w:pStyle w:val="afa"/>
        <w:ind w:firstLine="482"/>
        <w:rPr>
          <w:b/>
          <w:bCs/>
        </w:rPr>
      </w:pPr>
      <w:r w:rsidRPr="00D630D1">
        <w:rPr>
          <w:b/>
          <w:bCs/>
        </w:rPr>
        <w:t>（</w:t>
      </w:r>
      <w:r w:rsidRPr="00D630D1">
        <w:rPr>
          <w:b/>
          <w:bCs/>
        </w:rPr>
        <w:t>2</w:t>
      </w:r>
      <w:r w:rsidRPr="00D630D1">
        <w:rPr>
          <w:b/>
          <w:bCs/>
        </w:rPr>
        <w:t>）评价标准与方法</w:t>
      </w:r>
    </w:p>
    <w:p w:rsidR="00FD386E" w:rsidRPr="00D630D1" w:rsidRDefault="002548A4" w:rsidP="00FD386E">
      <w:pPr>
        <w:pStyle w:val="afa"/>
        <w:ind w:firstLine="480"/>
      </w:pPr>
      <w:r w:rsidRPr="00D630D1">
        <w:t>项目站场执行</w:t>
      </w:r>
      <w:bookmarkStart w:id="459" w:name="OLE_LINK211"/>
      <w:bookmarkStart w:id="460" w:name="OLE_LINK212"/>
      <w:r w:rsidRPr="00D630D1">
        <w:rPr>
          <w:rFonts w:hint="eastAsia"/>
        </w:rPr>
        <w:t>《土壤环境质量</w:t>
      </w:r>
      <w:r w:rsidRPr="00D630D1">
        <w:rPr>
          <w:rFonts w:hint="eastAsia"/>
        </w:rPr>
        <w:t xml:space="preserve"> </w:t>
      </w:r>
      <w:r w:rsidRPr="00D630D1">
        <w:rPr>
          <w:rFonts w:hint="eastAsia"/>
        </w:rPr>
        <w:t>建设用地土壤污染风险管控标准（试行）》（</w:t>
      </w:r>
      <w:r w:rsidRPr="00D630D1">
        <w:rPr>
          <w:rFonts w:hint="eastAsia"/>
        </w:rPr>
        <w:t>GB 36600-2018</w:t>
      </w:r>
      <w:r w:rsidRPr="00D630D1">
        <w:rPr>
          <w:rFonts w:hint="eastAsia"/>
        </w:rPr>
        <w:t>）</w:t>
      </w:r>
      <w:bookmarkEnd w:id="459"/>
      <w:bookmarkEnd w:id="460"/>
      <w:r w:rsidRPr="00D630D1">
        <w:rPr>
          <w:rFonts w:hint="eastAsia"/>
        </w:rPr>
        <w:t>中风险筛选值；</w:t>
      </w:r>
      <w:r w:rsidR="00FD386E" w:rsidRPr="00D630D1">
        <w:t>项目站场周边</w:t>
      </w:r>
      <w:r w:rsidRPr="00D630D1">
        <w:rPr>
          <w:rFonts w:hint="eastAsia"/>
        </w:rPr>
        <w:t>耕地</w:t>
      </w:r>
      <w:r w:rsidR="00FD386E" w:rsidRPr="00D630D1">
        <w:t>执行</w:t>
      </w:r>
      <w:bookmarkStart w:id="461" w:name="OLE_LINK190"/>
      <w:bookmarkStart w:id="462" w:name="OLE_LINK191"/>
      <w:r w:rsidR="00FD386E" w:rsidRPr="00D630D1">
        <w:t>《土壤环境质量农用地土壤污染风险管控标准（试行）》（</w:t>
      </w:r>
      <w:r w:rsidR="00FD386E" w:rsidRPr="00D630D1">
        <w:t>GB15618-2018</w:t>
      </w:r>
      <w:r w:rsidR="00FD386E" w:rsidRPr="00D630D1">
        <w:t>）</w:t>
      </w:r>
      <w:bookmarkEnd w:id="461"/>
      <w:bookmarkEnd w:id="462"/>
      <w:r w:rsidR="00FD386E" w:rsidRPr="00D630D1">
        <w:t>表</w:t>
      </w:r>
      <w:r w:rsidR="00FD386E" w:rsidRPr="00D630D1">
        <w:t>1</w:t>
      </w:r>
      <w:r w:rsidR="00FD386E" w:rsidRPr="00D630D1">
        <w:t>中其他标准限值。</w:t>
      </w:r>
    </w:p>
    <w:p w:rsidR="006C4127" w:rsidRDefault="00FD386E" w:rsidP="00FD386E">
      <w:pPr>
        <w:pStyle w:val="afa"/>
        <w:ind w:firstLine="480"/>
      </w:pPr>
      <w:r w:rsidRPr="00D630D1">
        <w:t>土壤环境质量现状监测结果统计及评价见表</w:t>
      </w:r>
      <w:r w:rsidRPr="00D630D1">
        <w:t>5.7-</w:t>
      </w:r>
      <w:r w:rsidR="0001315C" w:rsidRPr="00D630D1">
        <w:rPr>
          <w:rFonts w:hint="eastAsia"/>
        </w:rPr>
        <w:t>2</w:t>
      </w:r>
      <w:r w:rsidRPr="00D630D1">
        <w:t>~5.7-</w:t>
      </w:r>
      <w:r w:rsidR="007B6743">
        <w:rPr>
          <w:rFonts w:hint="eastAsia"/>
        </w:rPr>
        <w:t>4</w:t>
      </w:r>
      <w:r w:rsidRPr="00D630D1">
        <w:t>。</w:t>
      </w:r>
    </w:p>
    <w:p w:rsidR="007B6743" w:rsidRPr="00D630D1" w:rsidRDefault="007B6743" w:rsidP="00FD386E">
      <w:pPr>
        <w:pStyle w:val="afa"/>
        <w:ind w:firstLine="480"/>
      </w:pPr>
    </w:p>
    <w:p w:rsidR="002548A4" w:rsidRPr="00D630D1" w:rsidRDefault="00CF082A" w:rsidP="002548A4">
      <w:pPr>
        <w:pStyle w:val="afa"/>
        <w:ind w:firstLineChars="0" w:firstLine="0"/>
        <w:jc w:val="center"/>
      </w:pPr>
      <w:r w:rsidRPr="00D630D1">
        <w:rPr>
          <w:b/>
          <w:sz w:val="21"/>
          <w:szCs w:val="21"/>
        </w:rPr>
        <w:lastRenderedPageBreak/>
        <w:t>表</w:t>
      </w:r>
      <w:r w:rsidRPr="00D630D1">
        <w:rPr>
          <w:b/>
          <w:sz w:val="21"/>
          <w:szCs w:val="21"/>
        </w:rPr>
        <w:t>5.7-</w:t>
      </w:r>
      <w:r w:rsidR="003655DE" w:rsidRPr="00D630D1">
        <w:rPr>
          <w:rFonts w:hint="eastAsia"/>
          <w:b/>
          <w:sz w:val="21"/>
          <w:szCs w:val="21"/>
        </w:rPr>
        <w:t>2</w:t>
      </w:r>
      <w:r w:rsidRPr="00D630D1">
        <w:rPr>
          <w:b/>
          <w:sz w:val="21"/>
          <w:szCs w:val="21"/>
        </w:rPr>
        <w:t xml:space="preserve">  </w:t>
      </w:r>
      <w:r w:rsidRPr="00D630D1">
        <w:rPr>
          <w:b/>
          <w:sz w:val="21"/>
          <w:szCs w:val="21"/>
        </w:rPr>
        <w:t>土壤环境质量现状监测统计表（</w:t>
      </w:r>
      <w:r w:rsidRPr="00D630D1">
        <w:rPr>
          <w:rFonts w:hint="eastAsia"/>
          <w:b/>
          <w:sz w:val="21"/>
          <w:szCs w:val="21"/>
        </w:rPr>
        <w:t>T4</w:t>
      </w:r>
      <w:r w:rsidRPr="00D630D1">
        <w:rPr>
          <w:b/>
          <w:sz w:val="21"/>
          <w:szCs w:val="21"/>
        </w:rPr>
        <w:t>）</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612"/>
        <w:gridCol w:w="1988"/>
        <w:gridCol w:w="1302"/>
        <w:gridCol w:w="1047"/>
        <w:gridCol w:w="1303"/>
        <w:gridCol w:w="1270"/>
      </w:tblGrid>
      <w:tr w:rsidR="00CF082A" w:rsidRPr="00D630D1" w:rsidTr="002D10F1">
        <w:trPr>
          <w:trHeight w:val="297"/>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序号</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监测项目</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单位</w:t>
            </w:r>
          </w:p>
        </w:tc>
        <w:tc>
          <w:tcPr>
            <w:tcW w:w="1047"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标准值</w:t>
            </w:r>
          </w:p>
        </w:tc>
        <w:tc>
          <w:tcPr>
            <w:tcW w:w="1303"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监测结果</w:t>
            </w:r>
          </w:p>
        </w:tc>
        <w:tc>
          <w:tcPr>
            <w:tcW w:w="1270"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bCs/>
                <w:kern w:val="2"/>
                <w:sz w:val="21"/>
                <w:szCs w:val="21"/>
              </w:rPr>
              <w:t>S</w:t>
            </w:r>
            <w:r w:rsidRPr="00D630D1">
              <w:rPr>
                <w:rFonts w:ascii="Times New Roman" w:cs="Times New Roman"/>
                <w:b/>
                <w:bCs/>
                <w:kern w:val="2"/>
                <w:sz w:val="21"/>
                <w:szCs w:val="21"/>
                <w:vertAlign w:val="subscript"/>
              </w:rPr>
              <w:t>i</w:t>
            </w:r>
            <w:r w:rsidRPr="00D630D1">
              <w:rPr>
                <w:rFonts w:ascii="Times New Roman" w:cs="Times New Roman"/>
                <w:b/>
                <w:bCs/>
                <w:kern w:val="2"/>
                <w:sz w:val="21"/>
                <w:szCs w:val="21"/>
                <w:vertAlign w:val="subscript"/>
              </w:rPr>
              <w:t>，</w:t>
            </w:r>
            <w:r w:rsidRPr="00D630D1">
              <w:rPr>
                <w:rFonts w:ascii="Times New Roman" w:cs="Times New Roman"/>
                <w:b/>
                <w:bCs/>
                <w:kern w:val="2"/>
                <w:sz w:val="21"/>
                <w:szCs w:val="21"/>
                <w:vertAlign w:val="subscript"/>
              </w:rPr>
              <w:t>j</w:t>
            </w:r>
          </w:p>
        </w:tc>
      </w:tr>
      <w:tr w:rsidR="00CF082A" w:rsidRPr="00D630D1" w:rsidTr="002D10F1">
        <w:trPr>
          <w:trHeight w:val="318"/>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镉</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65</w:t>
            </w:r>
          </w:p>
        </w:tc>
        <w:tc>
          <w:tcPr>
            <w:tcW w:w="1303" w:type="dxa"/>
            <w:vAlign w:val="center"/>
          </w:tcPr>
          <w:p w:rsidR="00CF082A" w:rsidRPr="00D630D1" w:rsidRDefault="007B6743" w:rsidP="00B14B6A">
            <w:pPr>
              <w:pStyle w:val="SSEC201503230"/>
              <w:rPr>
                <w:rFonts w:ascii="Times New Roman" w:hAnsi="Times New Roman"/>
              </w:rPr>
            </w:pPr>
            <w:r w:rsidRPr="007B6743">
              <w:rPr>
                <w:rFonts w:ascii="Times New Roman" w:hAnsi="Times New Roman"/>
              </w:rPr>
              <w:t>0.74</w:t>
            </w:r>
          </w:p>
        </w:tc>
        <w:tc>
          <w:tcPr>
            <w:tcW w:w="1270" w:type="dxa"/>
            <w:vAlign w:val="center"/>
          </w:tcPr>
          <w:p w:rsidR="00CF082A" w:rsidRPr="00D630D1" w:rsidRDefault="00CF082A" w:rsidP="007B6743">
            <w:pPr>
              <w:pStyle w:val="SSEC201503230"/>
              <w:rPr>
                <w:rFonts w:ascii="Times New Roman" w:hAnsi="Times New Roman"/>
              </w:rPr>
            </w:pPr>
            <w:r w:rsidRPr="00D630D1">
              <w:rPr>
                <w:rFonts w:ascii="Times New Roman" w:hAnsi="Times New Roman"/>
              </w:rPr>
              <w:t>0.00</w:t>
            </w:r>
            <w:r w:rsidR="007B6743">
              <w:rPr>
                <w:rFonts w:ascii="Times New Roman" w:hAnsi="Times New Roman" w:hint="eastAsia"/>
              </w:rPr>
              <w:t>1</w:t>
            </w:r>
          </w:p>
        </w:tc>
      </w:tr>
      <w:tr w:rsidR="00CF082A" w:rsidRPr="00D630D1" w:rsidTr="002D10F1">
        <w:trPr>
          <w:trHeight w:val="221"/>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汞</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38</w:t>
            </w:r>
          </w:p>
        </w:tc>
        <w:tc>
          <w:tcPr>
            <w:tcW w:w="1303" w:type="dxa"/>
            <w:vAlign w:val="center"/>
          </w:tcPr>
          <w:p w:rsidR="00CF082A" w:rsidRPr="00D630D1" w:rsidRDefault="007B6743" w:rsidP="00B14B6A">
            <w:pPr>
              <w:pStyle w:val="SSEC201503230"/>
              <w:rPr>
                <w:rFonts w:ascii="Times New Roman" w:hAnsi="Times New Roman"/>
              </w:rPr>
            </w:pPr>
            <w:r>
              <w:rPr>
                <w:rFonts w:ascii="Times New Roman" w:hAnsi="Times New Roman" w:hint="eastAsia"/>
              </w:rPr>
              <w:t>0.08</w:t>
            </w:r>
          </w:p>
        </w:tc>
        <w:tc>
          <w:tcPr>
            <w:tcW w:w="1270" w:type="dxa"/>
            <w:vAlign w:val="center"/>
          </w:tcPr>
          <w:p w:rsidR="00CF082A" w:rsidRPr="00D630D1" w:rsidRDefault="00CF082A" w:rsidP="007B6743">
            <w:pPr>
              <w:pStyle w:val="SSEC201503230"/>
              <w:rPr>
                <w:rFonts w:ascii="Times New Roman" w:hAnsi="Times New Roman"/>
              </w:rPr>
            </w:pPr>
            <w:r w:rsidRPr="00D630D1">
              <w:rPr>
                <w:rFonts w:ascii="Times New Roman" w:hAnsi="Times New Roman"/>
              </w:rPr>
              <w:t>0.00</w:t>
            </w:r>
            <w:r w:rsidR="007B6743">
              <w:rPr>
                <w:rFonts w:ascii="Times New Roman" w:hAnsi="Times New Roman" w:hint="eastAsia"/>
              </w:rPr>
              <w:t>2</w:t>
            </w:r>
          </w:p>
        </w:tc>
      </w:tr>
      <w:tr w:rsidR="00CF082A" w:rsidRPr="00D630D1" w:rsidTr="002D10F1">
        <w:trPr>
          <w:trHeight w:val="240"/>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砷</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60</w:t>
            </w:r>
          </w:p>
        </w:tc>
        <w:tc>
          <w:tcPr>
            <w:tcW w:w="1303" w:type="dxa"/>
            <w:vAlign w:val="center"/>
          </w:tcPr>
          <w:p w:rsidR="00CF082A" w:rsidRPr="00D630D1" w:rsidRDefault="007B6743" w:rsidP="00B14B6A">
            <w:pPr>
              <w:pStyle w:val="SSEC201503230"/>
              <w:rPr>
                <w:rFonts w:ascii="Times New Roman" w:hAnsi="Times New Roman"/>
              </w:rPr>
            </w:pPr>
            <w:r w:rsidRPr="007B6743">
              <w:rPr>
                <w:rFonts w:ascii="Times New Roman" w:hAnsi="Times New Roman"/>
              </w:rPr>
              <w:t>19.0</w:t>
            </w:r>
          </w:p>
        </w:tc>
        <w:tc>
          <w:tcPr>
            <w:tcW w:w="1270" w:type="dxa"/>
            <w:vAlign w:val="center"/>
          </w:tcPr>
          <w:p w:rsidR="00CF082A" w:rsidRPr="00D630D1" w:rsidRDefault="00CF082A" w:rsidP="007B6743">
            <w:pPr>
              <w:pStyle w:val="SSEC201503230"/>
              <w:rPr>
                <w:rFonts w:ascii="Times New Roman" w:hAnsi="Times New Roman"/>
              </w:rPr>
            </w:pPr>
            <w:r w:rsidRPr="00D630D1">
              <w:rPr>
                <w:rFonts w:ascii="Times New Roman" w:hAnsi="Times New Roman"/>
              </w:rPr>
              <w:t>0.</w:t>
            </w:r>
            <w:r w:rsidR="003C1FBC" w:rsidRPr="00D630D1">
              <w:rPr>
                <w:rFonts w:ascii="Times New Roman" w:hAnsi="Times New Roman" w:hint="eastAsia"/>
              </w:rPr>
              <w:t>3</w:t>
            </w:r>
            <w:r w:rsidR="007B6743">
              <w:rPr>
                <w:rFonts w:ascii="Times New Roman" w:hAnsi="Times New Roman" w:hint="eastAsia"/>
              </w:rPr>
              <w:t>2</w:t>
            </w:r>
          </w:p>
        </w:tc>
      </w:tr>
      <w:tr w:rsidR="00CF082A" w:rsidRPr="00D630D1" w:rsidTr="002D10F1">
        <w:trPr>
          <w:trHeight w:val="243"/>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铜</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18000</w:t>
            </w:r>
          </w:p>
        </w:tc>
        <w:tc>
          <w:tcPr>
            <w:tcW w:w="1303" w:type="dxa"/>
            <w:vAlign w:val="center"/>
          </w:tcPr>
          <w:p w:rsidR="00CF082A" w:rsidRPr="00D630D1" w:rsidRDefault="007B6743" w:rsidP="00B14B6A">
            <w:pPr>
              <w:pStyle w:val="SSEC201503230"/>
              <w:rPr>
                <w:rFonts w:ascii="Times New Roman" w:hAnsi="Times New Roman"/>
              </w:rPr>
            </w:pPr>
            <w:r>
              <w:rPr>
                <w:rFonts w:ascii="Times New Roman" w:hAnsi="Times New Roman" w:hint="eastAsia"/>
              </w:rPr>
              <w:t>17.8</w:t>
            </w:r>
          </w:p>
        </w:tc>
        <w:tc>
          <w:tcPr>
            <w:tcW w:w="1270" w:type="dxa"/>
            <w:vAlign w:val="center"/>
          </w:tcPr>
          <w:p w:rsidR="00CF082A" w:rsidRPr="00D630D1" w:rsidRDefault="00CF082A" w:rsidP="007B6743">
            <w:pPr>
              <w:pStyle w:val="SSEC201503230"/>
              <w:rPr>
                <w:rFonts w:ascii="Times New Roman" w:hAnsi="Times New Roman"/>
              </w:rPr>
            </w:pPr>
            <w:r w:rsidRPr="00D630D1">
              <w:rPr>
                <w:rFonts w:ascii="Times New Roman" w:hAnsi="Times New Roman"/>
              </w:rPr>
              <w:t>0.00</w:t>
            </w:r>
            <w:r w:rsidR="007B6743">
              <w:rPr>
                <w:rFonts w:ascii="Times New Roman" w:hAnsi="Times New Roman" w:hint="eastAsia"/>
              </w:rPr>
              <w:t>1</w:t>
            </w:r>
          </w:p>
        </w:tc>
      </w:tr>
      <w:tr w:rsidR="00CF082A" w:rsidRPr="00D630D1" w:rsidTr="002D10F1">
        <w:trPr>
          <w:trHeight w:val="23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铅</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800</w:t>
            </w:r>
          </w:p>
        </w:tc>
        <w:tc>
          <w:tcPr>
            <w:tcW w:w="1303" w:type="dxa"/>
            <w:vAlign w:val="center"/>
          </w:tcPr>
          <w:p w:rsidR="00CF082A" w:rsidRPr="00D630D1" w:rsidRDefault="007B6743" w:rsidP="00B14B6A">
            <w:pPr>
              <w:pStyle w:val="SSEC201503230"/>
              <w:rPr>
                <w:rFonts w:ascii="Times New Roman" w:hAnsi="Times New Roman"/>
              </w:rPr>
            </w:pPr>
            <w:r w:rsidRPr="007B6743">
              <w:rPr>
                <w:rFonts w:ascii="Times New Roman" w:hAnsi="Times New Roman"/>
              </w:rPr>
              <w:t>25</w:t>
            </w:r>
          </w:p>
        </w:tc>
        <w:tc>
          <w:tcPr>
            <w:tcW w:w="1270" w:type="dxa"/>
            <w:vAlign w:val="center"/>
          </w:tcPr>
          <w:p w:rsidR="00CF082A" w:rsidRPr="00D630D1" w:rsidRDefault="00CF082A" w:rsidP="007B6743">
            <w:pPr>
              <w:pStyle w:val="SSEC201503230"/>
              <w:rPr>
                <w:rFonts w:ascii="Times New Roman" w:hAnsi="Times New Roman"/>
              </w:rPr>
            </w:pPr>
            <w:r w:rsidRPr="00D630D1">
              <w:rPr>
                <w:rFonts w:ascii="Times New Roman" w:hAnsi="Times New Roman"/>
              </w:rPr>
              <w:t>0.0</w:t>
            </w:r>
            <w:r w:rsidR="007B6743">
              <w:rPr>
                <w:rFonts w:ascii="Times New Roman" w:hAnsi="Times New Roman" w:hint="eastAsia"/>
              </w:rPr>
              <w:t>3</w:t>
            </w:r>
          </w:p>
        </w:tc>
      </w:tr>
      <w:tr w:rsidR="00CF082A" w:rsidRPr="00D630D1" w:rsidTr="002D10F1">
        <w:trPr>
          <w:trHeight w:val="237"/>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6</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铬（六价）</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5.7</w:t>
            </w:r>
          </w:p>
        </w:tc>
        <w:tc>
          <w:tcPr>
            <w:tcW w:w="1303" w:type="dxa"/>
            <w:vAlign w:val="center"/>
          </w:tcPr>
          <w:p w:rsidR="00CF082A" w:rsidRPr="00D630D1" w:rsidRDefault="007B6743" w:rsidP="002D10F1">
            <w:pPr>
              <w:pStyle w:val="SSEC201503230"/>
              <w:rPr>
                <w:rFonts w:ascii="Times New Roman" w:hAnsi="Times New Roman"/>
              </w:rPr>
            </w:pPr>
            <w:r>
              <w:rPr>
                <w:rFonts w:ascii="Times New Roman" w:hAnsi="Times New Roman" w:hint="eastAsia"/>
              </w:rPr>
              <w:t>未检出</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28"/>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7</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镍</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900</w:t>
            </w:r>
          </w:p>
        </w:tc>
        <w:tc>
          <w:tcPr>
            <w:tcW w:w="1303" w:type="dxa"/>
            <w:vAlign w:val="center"/>
          </w:tcPr>
          <w:p w:rsidR="00CF082A" w:rsidRPr="00D630D1" w:rsidRDefault="00B14B6A" w:rsidP="007B6743">
            <w:pPr>
              <w:pStyle w:val="SSEC201503230"/>
              <w:rPr>
                <w:rFonts w:ascii="Times New Roman" w:hAnsi="Times New Roman"/>
              </w:rPr>
            </w:pPr>
            <w:r w:rsidRPr="00D630D1">
              <w:rPr>
                <w:rFonts w:ascii="Times New Roman" w:hAnsi="Times New Roman" w:hint="eastAsia"/>
              </w:rPr>
              <w:t>38</w:t>
            </w:r>
          </w:p>
        </w:tc>
        <w:tc>
          <w:tcPr>
            <w:tcW w:w="1270" w:type="dxa"/>
            <w:vAlign w:val="center"/>
          </w:tcPr>
          <w:p w:rsidR="00CF082A" w:rsidRPr="00D630D1" w:rsidRDefault="003C1FBC" w:rsidP="007B6743">
            <w:pPr>
              <w:pStyle w:val="SSEC201503230"/>
              <w:rPr>
                <w:rFonts w:ascii="Times New Roman" w:hAnsi="Times New Roman"/>
              </w:rPr>
            </w:pPr>
            <w:r w:rsidRPr="00D630D1">
              <w:rPr>
                <w:rFonts w:ascii="Times New Roman" w:hAnsi="Times New Roman" w:hint="eastAsia"/>
              </w:rPr>
              <w:t>0.04</w:t>
            </w:r>
          </w:p>
        </w:tc>
      </w:tr>
      <w:tr w:rsidR="00CF082A" w:rsidRPr="00D630D1" w:rsidTr="002D10F1">
        <w:trPr>
          <w:trHeight w:val="245"/>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阳离子交换量</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cmol(+)/kg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1303" w:type="dxa"/>
            <w:vAlign w:val="center"/>
          </w:tcPr>
          <w:p w:rsidR="00CF082A" w:rsidRPr="00D630D1" w:rsidRDefault="007B6743" w:rsidP="002D10F1">
            <w:pPr>
              <w:pStyle w:val="SSEC201503230"/>
              <w:rPr>
                <w:rFonts w:ascii="Times New Roman" w:hAnsi="Times New Roman"/>
              </w:rPr>
            </w:pPr>
            <w:r>
              <w:rPr>
                <w:rFonts w:ascii="Times New Roman" w:hAnsi="Times New Roman" w:hint="eastAsia"/>
              </w:rPr>
              <w:t>未检出</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50"/>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挥发性酚类（以苯酚计）</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1303" w:type="dxa"/>
            <w:vAlign w:val="center"/>
          </w:tcPr>
          <w:p w:rsidR="00CF082A" w:rsidRPr="00D630D1" w:rsidRDefault="007B6743" w:rsidP="002D10F1">
            <w:pPr>
              <w:pStyle w:val="SSEC201503230"/>
              <w:rPr>
                <w:rFonts w:ascii="Times New Roman" w:hAnsi="Times New Roman"/>
              </w:rPr>
            </w:pPr>
            <w:r>
              <w:rPr>
                <w:rFonts w:ascii="Times New Roman" w:hAnsi="Times New Roman" w:hint="eastAsia"/>
              </w:rPr>
              <w:t>未检出</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39"/>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10</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总石油烃</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4500</w:t>
            </w:r>
          </w:p>
        </w:tc>
        <w:tc>
          <w:tcPr>
            <w:tcW w:w="1303" w:type="dxa"/>
            <w:vAlign w:val="center"/>
          </w:tcPr>
          <w:p w:rsidR="00CF082A" w:rsidRPr="00D630D1" w:rsidRDefault="007B6743" w:rsidP="002D10F1">
            <w:pPr>
              <w:pStyle w:val="SSEC201503230"/>
              <w:rPr>
                <w:rFonts w:ascii="Times New Roman" w:hAnsi="Times New Roman"/>
              </w:rPr>
            </w:pPr>
            <w:r>
              <w:rPr>
                <w:rFonts w:ascii="Times New Roman" w:hint="eastAsia"/>
              </w:rPr>
              <w:t>16</w:t>
            </w:r>
          </w:p>
        </w:tc>
        <w:tc>
          <w:tcPr>
            <w:tcW w:w="1270" w:type="dxa"/>
            <w:vAlign w:val="center"/>
          </w:tcPr>
          <w:p w:rsidR="00CF082A" w:rsidRPr="00D630D1" w:rsidRDefault="003C1FBC" w:rsidP="007B6743">
            <w:pPr>
              <w:pStyle w:val="SSEC201503230"/>
              <w:rPr>
                <w:rFonts w:ascii="Times New Roman" w:hAnsi="Times New Roman"/>
              </w:rPr>
            </w:pPr>
            <w:r w:rsidRPr="00D630D1">
              <w:rPr>
                <w:rFonts w:ascii="Times New Roman" w:hint="eastAsia"/>
              </w:rPr>
              <w:t>0.00</w:t>
            </w:r>
            <w:r w:rsidR="007B6743">
              <w:rPr>
                <w:rFonts w:ascii="Times New Roman" w:hint="eastAsia"/>
              </w:rPr>
              <w:t>4</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11</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苯</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12</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甲苯</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1200</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13</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乙苯</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28</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14</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间，对</w:t>
            </w:r>
            <w:r w:rsidRPr="00D630D1">
              <w:rPr>
                <w:rFonts w:ascii="Times New Roman" w:cs="Times New Roman"/>
                <w:kern w:val="2"/>
                <w:sz w:val="21"/>
                <w:szCs w:val="21"/>
              </w:rPr>
              <w:t>-</w:t>
            </w:r>
            <w:r w:rsidRPr="00D630D1">
              <w:rPr>
                <w:rFonts w:ascii="Times New Roman" w:cs="Times New Roman"/>
                <w:kern w:val="2"/>
                <w:sz w:val="21"/>
                <w:szCs w:val="21"/>
              </w:rPr>
              <w:t>二甲苯</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570</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15</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苯乙烯</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1290</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16</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邻</w:t>
            </w:r>
            <w:r w:rsidRPr="00D630D1">
              <w:rPr>
                <w:rFonts w:ascii="Times New Roman" w:cs="Times New Roman"/>
                <w:kern w:val="2"/>
                <w:sz w:val="21"/>
                <w:szCs w:val="21"/>
              </w:rPr>
              <w:t>-</w:t>
            </w:r>
            <w:r w:rsidRPr="00D630D1">
              <w:rPr>
                <w:rFonts w:ascii="Times New Roman" w:cs="Times New Roman"/>
                <w:kern w:val="2"/>
                <w:sz w:val="21"/>
                <w:szCs w:val="21"/>
              </w:rPr>
              <w:t>二甲苯</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640</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17</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二氯丙烷</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18</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氯乙烯</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0.43</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19</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1-</w:t>
            </w:r>
            <w:r w:rsidRPr="00D630D1">
              <w:rPr>
                <w:rFonts w:ascii="Times New Roman" w:cs="Times New Roman"/>
                <w:kern w:val="2"/>
                <w:sz w:val="21"/>
                <w:szCs w:val="21"/>
              </w:rPr>
              <w:t>二氯乙烯</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66</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20</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二氯甲烷</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616</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21</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反式</w:t>
            </w: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二氯乙烯</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54</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22</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1-</w:t>
            </w:r>
            <w:r w:rsidRPr="00D630D1">
              <w:rPr>
                <w:rFonts w:ascii="Times New Roman" w:cs="Times New Roman"/>
                <w:kern w:val="2"/>
                <w:sz w:val="21"/>
                <w:szCs w:val="21"/>
              </w:rPr>
              <w:t>二氯乙烷</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23</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顺式</w:t>
            </w: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二氯乙烯</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596</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24</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1-</w:t>
            </w:r>
            <w:r w:rsidRPr="00D630D1">
              <w:rPr>
                <w:rFonts w:ascii="Times New Roman" w:cs="Times New Roman"/>
                <w:kern w:val="2"/>
                <w:sz w:val="21"/>
                <w:szCs w:val="21"/>
              </w:rPr>
              <w:t>三氯乙烷</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840</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25</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四氯化碳</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2.8</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26</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二氯乙烷</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27</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三氯乙烯</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2.8</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CF082A" w:rsidRPr="00D630D1" w:rsidTr="002D10F1">
        <w:trPr>
          <w:trHeight w:val="244"/>
          <w:jc w:val="center"/>
        </w:trPr>
        <w:tc>
          <w:tcPr>
            <w:tcW w:w="161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28</w:t>
            </w:r>
          </w:p>
        </w:tc>
        <w:tc>
          <w:tcPr>
            <w:tcW w:w="1988"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三氯乙烷</w:t>
            </w:r>
          </w:p>
        </w:tc>
        <w:tc>
          <w:tcPr>
            <w:tcW w:w="1302" w:type="dxa"/>
            <w:vAlign w:val="center"/>
          </w:tcPr>
          <w:p w:rsidR="00CF082A" w:rsidRPr="00D630D1" w:rsidRDefault="00CF082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CF082A" w:rsidRPr="00D630D1" w:rsidRDefault="00CF082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2.8</w:t>
            </w:r>
          </w:p>
        </w:tc>
        <w:tc>
          <w:tcPr>
            <w:tcW w:w="1303" w:type="dxa"/>
            <w:vAlign w:val="center"/>
          </w:tcPr>
          <w:p w:rsidR="00CF082A" w:rsidRPr="00D630D1" w:rsidRDefault="00CF082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CF082A" w:rsidRPr="00D630D1" w:rsidRDefault="00CF082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29</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四氯乙烯</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53</w:t>
            </w:r>
          </w:p>
        </w:tc>
        <w:tc>
          <w:tcPr>
            <w:tcW w:w="1303" w:type="dxa"/>
            <w:vAlign w:val="center"/>
          </w:tcPr>
          <w:p w:rsidR="00B14B6A" w:rsidRPr="00D630D1" w:rsidRDefault="00B14B6A" w:rsidP="00DA5A50">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DA5A50">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30</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四氯乙烷</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10</w:t>
            </w:r>
          </w:p>
        </w:tc>
        <w:tc>
          <w:tcPr>
            <w:tcW w:w="1303" w:type="dxa"/>
            <w:vAlign w:val="center"/>
          </w:tcPr>
          <w:p w:rsidR="00B14B6A" w:rsidRPr="00D630D1" w:rsidRDefault="00B14B6A" w:rsidP="00DA5A50">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DA5A50">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31</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四氯乙烷</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6.8</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32</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w:t>
            </w:r>
            <w:r w:rsidRPr="00D630D1">
              <w:rPr>
                <w:rFonts w:ascii="Times New Roman" w:cs="Times New Roman"/>
                <w:kern w:val="2"/>
                <w:sz w:val="21"/>
                <w:szCs w:val="21"/>
              </w:rPr>
              <w:t>3-</w:t>
            </w:r>
            <w:r w:rsidRPr="00D630D1">
              <w:rPr>
                <w:rFonts w:ascii="Times New Roman" w:cs="Times New Roman"/>
                <w:kern w:val="2"/>
                <w:sz w:val="21"/>
                <w:szCs w:val="21"/>
              </w:rPr>
              <w:t>三氯丙烷</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0.5</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33</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氯苯</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270</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34</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4-</w:t>
            </w:r>
            <w:r w:rsidRPr="00D630D1">
              <w:rPr>
                <w:rFonts w:ascii="Times New Roman" w:cs="Times New Roman"/>
                <w:kern w:val="2"/>
                <w:sz w:val="21"/>
                <w:szCs w:val="21"/>
              </w:rPr>
              <w:t>二氯苯</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20</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35</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二氯苯</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560</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36</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氯仿</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0.9</w:t>
            </w:r>
          </w:p>
        </w:tc>
        <w:tc>
          <w:tcPr>
            <w:tcW w:w="1303" w:type="dxa"/>
            <w:vAlign w:val="center"/>
          </w:tcPr>
          <w:p w:rsidR="00B14B6A" w:rsidRPr="00D630D1" w:rsidRDefault="00B14B6A" w:rsidP="00DA5A50">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DA5A50">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37</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氯甲烷</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37</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38</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r w:rsidRPr="00D630D1">
              <w:rPr>
                <w:rFonts w:ascii="Times New Roman" w:cs="Times New Roman"/>
                <w:kern w:val="2"/>
                <w:sz w:val="21"/>
                <w:szCs w:val="21"/>
              </w:rPr>
              <w:t>氯酚</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ug/kg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2256</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lastRenderedPageBreak/>
              <w:t>39</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苯并</w:t>
            </w:r>
            <w:r w:rsidRPr="00D630D1">
              <w:rPr>
                <w:rFonts w:ascii="Times New Roman" w:cs="Times New Roman"/>
                <w:kern w:val="2"/>
                <w:sz w:val="21"/>
                <w:szCs w:val="21"/>
              </w:rPr>
              <w:t>[a]</w:t>
            </w:r>
            <w:r w:rsidRPr="00D630D1">
              <w:rPr>
                <w:rFonts w:ascii="Times New Roman" w:cs="Times New Roman"/>
                <w:kern w:val="2"/>
                <w:sz w:val="21"/>
                <w:szCs w:val="21"/>
              </w:rPr>
              <w:t>蒽</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15</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40</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bCs/>
                <w:kern w:val="2"/>
                <w:sz w:val="21"/>
                <w:szCs w:val="21"/>
              </w:rPr>
              <w:t>䓛</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1.5</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41</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苯并</w:t>
            </w:r>
            <w:r w:rsidRPr="00D630D1">
              <w:rPr>
                <w:rFonts w:ascii="Times New Roman" w:cs="Times New Roman"/>
                <w:kern w:val="2"/>
                <w:sz w:val="21"/>
                <w:szCs w:val="21"/>
              </w:rPr>
              <w:t>[b]</w:t>
            </w:r>
            <w:r w:rsidRPr="00D630D1">
              <w:rPr>
                <w:rFonts w:ascii="Times New Roman" w:cs="Times New Roman"/>
                <w:kern w:val="2"/>
                <w:sz w:val="21"/>
                <w:szCs w:val="21"/>
              </w:rPr>
              <w:t>荧蒽</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15</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42</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苯并</w:t>
            </w:r>
            <w:r w:rsidRPr="00D630D1">
              <w:rPr>
                <w:rFonts w:ascii="Times New Roman" w:cs="Times New Roman"/>
                <w:kern w:val="2"/>
                <w:sz w:val="21"/>
                <w:szCs w:val="21"/>
              </w:rPr>
              <w:t>[k]</w:t>
            </w:r>
            <w:r w:rsidRPr="00D630D1">
              <w:rPr>
                <w:rFonts w:ascii="Times New Roman" w:cs="Times New Roman"/>
                <w:kern w:val="2"/>
                <w:sz w:val="21"/>
                <w:szCs w:val="21"/>
              </w:rPr>
              <w:t>荧蒽</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151</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43</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苯并</w:t>
            </w:r>
            <w:r w:rsidRPr="00D630D1">
              <w:rPr>
                <w:rFonts w:ascii="Times New Roman" w:cs="Times New Roman"/>
                <w:kern w:val="2"/>
                <w:sz w:val="21"/>
                <w:szCs w:val="21"/>
              </w:rPr>
              <w:t xml:space="preserve">[a] </w:t>
            </w:r>
            <w:r w:rsidRPr="00D630D1">
              <w:rPr>
                <w:rFonts w:ascii="Times New Roman" w:cs="Times New Roman"/>
                <w:kern w:val="2"/>
                <w:sz w:val="21"/>
                <w:szCs w:val="21"/>
              </w:rPr>
              <w:t>芘</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1.5</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44</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茚并</w:t>
            </w: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w:t>
            </w:r>
            <w:r w:rsidRPr="00D630D1">
              <w:rPr>
                <w:rFonts w:ascii="Times New Roman" w:cs="Times New Roman"/>
                <w:kern w:val="2"/>
                <w:sz w:val="21"/>
                <w:szCs w:val="21"/>
              </w:rPr>
              <w:t xml:space="preserve">3-cd] </w:t>
            </w:r>
            <w:r w:rsidRPr="00D630D1">
              <w:rPr>
                <w:rFonts w:ascii="Times New Roman" w:cs="Times New Roman"/>
                <w:kern w:val="2"/>
                <w:sz w:val="21"/>
                <w:szCs w:val="21"/>
              </w:rPr>
              <w:t>芘</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15</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45</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二苯并</w:t>
            </w:r>
            <w:r w:rsidRPr="00D630D1">
              <w:rPr>
                <w:rFonts w:ascii="Times New Roman" w:cs="Times New Roman"/>
                <w:kern w:val="2"/>
                <w:sz w:val="21"/>
                <w:szCs w:val="21"/>
              </w:rPr>
              <w:t>[a</w:t>
            </w:r>
            <w:r w:rsidRPr="00D630D1">
              <w:rPr>
                <w:rFonts w:ascii="Times New Roman" w:cs="Times New Roman"/>
                <w:kern w:val="2"/>
                <w:sz w:val="21"/>
                <w:szCs w:val="21"/>
              </w:rPr>
              <w:t>，</w:t>
            </w:r>
            <w:r w:rsidRPr="00D630D1">
              <w:rPr>
                <w:rFonts w:ascii="Times New Roman" w:cs="Times New Roman"/>
                <w:kern w:val="2"/>
                <w:sz w:val="21"/>
                <w:szCs w:val="21"/>
              </w:rPr>
              <w:t>h]</w:t>
            </w:r>
            <w:r w:rsidRPr="00D630D1">
              <w:rPr>
                <w:rFonts w:ascii="Times New Roman" w:cs="Times New Roman"/>
                <w:kern w:val="2"/>
                <w:sz w:val="21"/>
                <w:szCs w:val="21"/>
              </w:rPr>
              <w:t>蒽</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1.5</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46</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硝基苯</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76</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47</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苯胺</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260</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B14B6A" w:rsidP="002D10F1">
            <w:pPr>
              <w:pStyle w:val="SSEC201503230"/>
              <w:rPr>
                <w:rFonts w:ascii="Times New Roman" w:hAnsi="Times New Roman"/>
              </w:rPr>
            </w:pPr>
            <w:r w:rsidRPr="00D630D1">
              <w:rPr>
                <w:rFonts w:ascii="Times New Roman" w:hAnsi="Times New Roman"/>
              </w:rPr>
              <w:t>/</w:t>
            </w:r>
          </w:p>
        </w:tc>
      </w:tr>
      <w:tr w:rsidR="00B14B6A" w:rsidRPr="00D630D1" w:rsidTr="002D10F1">
        <w:trPr>
          <w:trHeight w:val="244"/>
          <w:jc w:val="center"/>
        </w:trPr>
        <w:tc>
          <w:tcPr>
            <w:tcW w:w="161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48</w:t>
            </w:r>
          </w:p>
        </w:tc>
        <w:tc>
          <w:tcPr>
            <w:tcW w:w="1988"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萘</w:t>
            </w:r>
          </w:p>
        </w:tc>
        <w:tc>
          <w:tcPr>
            <w:tcW w:w="1302" w:type="dxa"/>
            <w:vAlign w:val="center"/>
          </w:tcPr>
          <w:p w:rsidR="00B14B6A" w:rsidRPr="00D630D1" w:rsidRDefault="00B14B6A"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mg/kg</w:t>
            </w:r>
          </w:p>
        </w:tc>
        <w:tc>
          <w:tcPr>
            <w:tcW w:w="1047" w:type="dxa"/>
            <w:vAlign w:val="center"/>
          </w:tcPr>
          <w:p w:rsidR="00B14B6A" w:rsidRPr="00D630D1" w:rsidRDefault="00B14B6A"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70</w:t>
            </w:r>
          </w:p>
        </w:tc>
        <w:tc>
          <w:tcPr>
            <w:tcW w:w="1303" w:type="dxa"/>
            <w:vAlign w:val="center"/>
          </w:tcPr>
          <w:p w:rsidR="00B14B6A" w:rsidRPr="00D630D1" w:rsidRDefault="00B14B6A" w:rsidP="002D10F1">
            <w:pPr>
              <w:pStyle w:val="SSEC201503230"/>
              <w:rPr>
                <w:rFonts w:ascii="Times New Roman" w:hAnsi="Times New Roman"/>
                <w:kern w:val="0"/>
              </w:rPr>
            </w:pPr>
            <w:r w:rsidRPr="00D630D1">
              <w:rPr>
                <w:rFonts w:ascii="Times New Roman" w:hAnsi="Times New Roman"/>
                <w:kern w:val="0"/>
              </w:rPr>
              <w:t>ND</w:t>
            </w:r>
          </w:p>
        </w:tc>
        <w:tc>
          <w:tcPr>
            <w:tcW w:w="1270" w:type="dxa"/>
            <w:vAlign w:val="center"/>
          </w:tcPr>
          <w:p w:rsidR="00B14B6A" w:rsidRPr="00D630D1" w:rsidRDefault="007B6743" w:rsidP="002D10F1">
            <w:pPr>
              <w:pStyle w:val="SSEC201503230"/>
              <w:rPr>
                <w:rFonts w:ascii="Times New Roman" w:hAnsi="Times New Roman"/>
              </w:rPr>
            </w:pPr>
            <w:r w:rsidRPr="00D630D1">
              <w:rPr>
                <w:rFonts w:ascii="Times New Roman" w:hAnsi="Times New Roman"/>
              </w:rPr>
              <w:t>/</w:t>
            </w:r>
          </w:p>
        </w:tc>
      </w:tr>
      <w:tr w:rsidR="007B6743" w:rsidRPr="00D630D1" w:rsidTr="002D10F1">
        <w:trPr>
          <w:trHeight w:val="244"/>
          <w:jc w:val="center"/>
        </w:trPr>
        <w:tc>
          <w:tcPr>
            <w:tcW w:w="1612" w:type="dxa"/>
            <w:vAlign w:val="center"/>
          </w:tcPr>
          <w:p w:rsidR="007B6743" w:rsidRPr="00D630D1" w:rsidRDefault="007B6743" w:rsidP="002D10F1">
            <w:pPr>
              <w:widowControl/>
              <w:topLinePunct w:val="0"/>
              <w:snapToGrid w:val="0"/>
              <w:spacing w:line="240" w:lineRule="auto"/>
              <w:ind w:firstLineChars="0" w:firstLine="0"/>
              <w:jc w:val="center"/>
              <w:rPr>
                <w:rFonts w:ascii="Times New Roman" w:cs="Times New Roman"/>
                <w:kern w:val="2"/>
                <w:sz w:val="21"/>
                <w:szCs w:val="21"/>
              </w:rPr>
            </w:pPr>
            <w:r>
              <w:rPr>
                <w:rFonts w:ascii="Times New Roman" w:cs="Times New Roman" w:hint="eastAsia"/>
                <w:kern w:val="2"/>
                <w:sz w:val="21"/>
                <w:szCs w:val="21"/>
              </w:rPr>
              <w:t>49</w:t>
            </w:r>
          </w:p>
        </w:tc>
        <w:tc>
          <w:tcPr>
            <w:tcW w:w="1988" w:type="dxa"/>
            <w:vAlign w:val="center"/>
          </w:tcPr>
          <w:p w:rsidR="007B6743" w:rsidRPr="00D630D1" w:rsidRDefault="007B6743" w:rsidP="002D10F1">
            <w:pPr>
              <w:widowControl/>
              <w:topLinePunct w:val="0"/>
              <w:snapToGrid w:val="0"/>
              <w:spacing w:line="240" w:lineRule="auto"/>
              <w:ind w:firstLineChars="0" w:firstLine="0"/>
              <w:jc w:val="center"/>
              <w:rPr>
                <w:rFonts w:ascii="Times New Roman" w:cs="Times New Roman"/>
                <w:kern w:val="2"/>
                <w:sz w:val="21"/>
                <w:szCs w:val="21"/>
              </w:rPr>
            </w:pPr>
            <w:r>
              <w:rPr>
                <w:rFonts w:ascii="Times New Roman" w:cs="Times New Roman" w:hint="eastAsia"/>
                <w:kern w:val="2"/>
                <w:sz w:val="21"/>
                <w:szCs w:val="21"/>
              </w:rPr>
              <w:t>pH</w:t>
            </w:r>
          </w:p>
        </w:tc>
        <w:tc>
          <w:tcPr>
            <w:tcW w:w="1302" w:type="dxa"/>
            <w:vAlign w:val="center"/>
          </w:tcPr>
          <w:p w:rsidR="007B6743" w:rsidRPr="00D630D1" w:rsidRDefault="007B6743" w:rsidP="002D10F1">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shd w:val="clear" w:color="auto" w:fill="FFFFFF"/>
              </w:rPr>
              <w:t>无量纲</w:t>
            </w:r>
          </w:p>
        </w:tc>
        <w:tc>
          <w:tcPr>
            <w:tcW w:w="1047" w:type="dxa"/>
            <w:vAlign w:val="center"/>
          </w:tcPr>
          <w:p w:rsidR="007B6743" w:rsidRPr="00D630D1" w:rsidRDefault="007B6743" w:rsidP="002D10F1">
            <w:pPr>
              <w:topLinePunct w:val="0"/>
              <w:adjustRightInd/>
              <w:spacing w:line="240" w:lineRule="auto"/>
              <w:ind w:firstLineChars="0" w:firstLine="0"/>
              <w:jc w:val="center"/>
              <w:rPr>
                <w:rFonts w:ascii="Times New Roman" w:cs="Times New Roman"/>
                <w:kern w:val="2"/>
                <w:sz w:val="21"/>
                <w:szCs w:val="21"/>
              </w:rPr>
            </w:pPr>
            <w:r w:rsidRPr="00D630D1">
              <w:rPr>
                <w:rFonts w:ascii="Times New Roman"/>
              </w:rPr>
              <w:t>/</w:t>
            </w:r>
          </w:p>
        </w:tc>
        <w:tc>
          <w:tcPr>
            <w:tcW w:w="1303" w:type="dxa"/>
            <w:vAlign w:val="center"/>
          </w:tcPr>
          <w:p w:rsidR="007B6743" w:rsidRPr="00D630D1" w:rsidRDefault="007B6743" w:rsidP="002D10F1">
            <w:pPr>
              <w:pStyle w:val="SSEC201503230"/>
              <w:rPr>
                <w:rFonts w:ascii="Times New Roman" w:hAnsi="Times New Roman"/>
                <w:kern w:val="0"/>
              </w:rPr>
            </w:pPr>
            <w:r>
              <w:rPr>
                <w:rFonts w:ascii="Times New Roman" w:hint="eastAsia"/>
              </w:rPr>
              <w:t>7.72</w:t>
            </w:r>
          </w:p>
        </w:tc>
        <w:tc>
          <w:tcPr>
            <w:tcW w:w="1270" w:type="dxa"/>
            <w:vAlign w:val="center"/>
          </w:tcPr>
          <w:p w:rsidR="007B6743" w:rsidRPr="00D630D1" w:rsidRDefault="007B6743" w:rsidP="002D10F1">
            <w:pPr>
              <w:pStyle w:val="SSEC201503230"/>
              <w:rPr>
                <w:rFonts w:ascii="Times New Roman" w:hAnsi="Times New Roman"/>
              </w:rPr>
            </w:pPr>
            <w:r w:rsidRPr="00D630D1">
              <w:rPr>
                <w:rFonts w:ascii="Times New Roman" w:hAnsi="Times New Roman"/>
              </w:rPr>
              <w:t>/</w:t>
            </w:r>
          </w:p>
        </w:tc>
      </w:tr>
    </w:tbl>
    <w:p w:rsidR="007B6743" w:rsidRPr="00D630D1" w:rsidRDefault="007B6743" w:rsidP="007B6743">
      <w:pPr>
        <w:pStyle w:val="10"/>
        <w:ind w:firstLine="480"/>
        <w:rPr>
          <w:rFonts w:cs="Times New Roman"/>
        </w:rPr>
      </w:pPr>
      <w:r w:rsidRPr="00D630D1">
        <w:rPr>
          <w:rFonts w:cs="Times New Roman"/>
        </w:rPr>
        <w:t>表</w:t>
      </w:r>
      <w:r w:rsidRPr="00D630D1">
        <w:rPr>
          <w:rFonts w:cs="Times New Roman"/>
        </w:rPr>
        <w:t>5.7-</w:t>
      </w:r>
      <w:r>
        <w:rPr>
          <w:rFonts w:cs="Times New Roman" w:hint="eastAsia"/>
        </w:rPr>
        <w:t>4</w:t>
      </w:r>
      <w:r w:rsidRPr="00D630D1">
        <w:rPr>
          <w:rFonts w:cs="Times New Roman"/>
        </w:rPr>
        <w:t xml:space="preserve">  </w:t>
      </w:r>
      <w:r w:rsidRPr="00D630D1">
        <w:rPr>
          <w:rFonts w:cs="Times New Roman" w:hint="eastAsia"/>
        </w:rPr>
        <w:t>土壤环境质量</w:t>
      </w:r>
      <w:r w:rsidRPr="00D630D1">
        <w:rPr>
          <w:rFonts w:cs="Times New Roman"/>
        </w:rPr>
        <w:t>现状监测统计表</w:t>
      </w:r>
      <w:r w:rsidRPr="00D630D1">
        <w:rPr>
          <w:rFonts w:cs="Times New Roman" w:hint="eastAsia"/>
        </w:rPr>
        <w:t>（</w:t>
      </w:r>
      <w:r w:rsidRPr="00D630D1">
        <w:rPr>
          <w:rFonts w:cs="Times New Roman" w:hint="eastAsia"/>
        </w:rPr>
        <w:t>T</w:t>
      </w:r>
      <w:r>
        <w:rPr>
          <w:rFonts w:cs="Times New Roman" w:hint="eastAsia"/>
        </w:rPr>
        <w:t>1</w:t>
      </w:r>
      <w:r>
        <w:rPr>
          <w:rFonts w:cs="Times New Roman" w:hint="eastAsia"/>
        </w:rPr>
        <w:t>、</w:t>
      </w:r>
      <w:r w:rsidRPr="00D630D1">
        <w:rPr>
          <w:rFonts w:cs="Times New Roman" w:hint="eastAsia"/>
        </w:rPr>
        <w:t>T</w:t>
      </w:r>
      <w:r>
        <w:rPr>
          <w:rFonts w:cs="Times New Roman" w:hint="eastAsia"/>
        </w:rPr>
        <w:t>2</w:t>
      </w:r>
      <w:r>
        <w:rPr>
          <w:rFonts w:cs="Times New Roman" w:hint="eastAsia"/>
        </w:rPr>
        <w:t>、</w:t>
      </w:r>
      <w:r w:rsidRPr="00D630D1">
        <w:rPr>
          <w:rFonts w:cs="Times New Roman" w:hint="eastAsia"/>
        </w:rPr>
        <w:t>T</w:t>
      </w:r>
      <w:r>
        <w:rPr>
          <w:rFonts w:cs="Times New Roman" w:hint="eastAsia"/>
        </w:rPr>
        <w:t>3</w:t>
      </w:r>
      <w:r>
        <w:rPr>
          <w:rFonts w:cs="Times New Roman" w:hint="eastAsia"/>
        </w:rPr>
        <w:t>、</w:t>
      </w:r>
      <w:r w:rsidRPr="00D630D1">
        <w:rPr>
          <w:rFonts w:cs="Times New Roman" w:hint="eastAsia"/>
        </w:rPr>
        <w:t>T</w:t>
      </w:r>
      <w:r>
        <w:rPr>
          <w:rFonts w:cs="Times New Roman" w:hint="eastAsia"/>
        </w:rPr>
        <w:t>6</w:t>
      </w:r>
      <w:r w:rsidRPr="00D630D1">
        <w:rPr>
          <w:rFonts w:cs="Times New Roman" w:hint="eastAsia"/>
        </w:rPr>
        <w:t>）</w:t>
      </w:r>
      <w:r w:rsidRPr="00D630D1">
        <w:rPr>
          <w:rFonts w:cs="Times New Roman"/>
        </w:rPr>
        <w:t xml:space="preserve">  </w:t>
      </w:r>
    </w:p>
    <w:tbl>
      <w:tblPr>
        <w:tblW w:w="5208" w:type="pct"/>
        <w:jc w:val="center"/>
        <w:tblBorders>
          <w:top w:val="single" w:sz="12" w:space="0" w:color="000000"/>
          <w:bottom w:val="single" w:sz="12" w:space="0" w:color="000000"/>
          <w:insideH w:val="single" w:sz="2" w:space="0" w:color="000000"/>
          <w:insideV w:val="single" w:sz="4" w:space="0" w:color="000000"/>
        </w:tblBorders>
        <w:tblCellMar>
          <w:left w:w="0" w:type="dxa"/>
          <w:right w:w="0" w:type="dxa"/>
        </w:tblCellMar>
        <w:tblLook w:val="04A0"/>
      </w:tblPr>
      <w:tblGrid>
        <w:gridCol w:w="1410"/>
        <w:gridCol w:w="1694"/>
        <w:gridCol w:w="1779"/>
        <w:gridCol w:w="1478"/>
        <w:gridCol w:w="1147"/>
        <w:gridCol w:w="1144"/>
      </w:tblGrid>
      <w:tr w:rsidR="007B6743" w:rsidRPr="00D630D1" w:rsidTr="00EA7E77">
        <w:trPr>
          <w:trHeight w:val="58"/>
          <w:tblHeader/>
          <w:jc w:val="center"/>
        </w:trPr>
        <w:tc>
          <w:tcPr>
            <w:tcW w:w="1794" w:type="pct"/>
            <w:gridSpan w:val="2"/>
            <w:tcBorders>
              <w:top w:val="single" w:sz="12" w:space="0" w:color="000000"/>
              <w:bottom w:val="single" w:sz="2" w:space="0" w:color="000000"/>
              <w:tl2br w:val="single" w:sz="2" w:space="0" w:color="000000"/>
            </w:tcBorders>
            <w:vAlign w:val="center"/>
          </w:tcPr>
          <w:p w:rsidR="007B6743" w:rsidRPr="00D630D1" w:rsidRDefault="007B6743" w:rsidP="00EA7E77">
            <w:pPr>
              <w:pStyle w:val="aff2"/>
              <w:jc w:val="right"/>
              <w:rPr>
                <w:b/>
                <w:bCs/>
                <w:szCs w:val="21"/>
              </w:rPr>
            </w:pPr>
            <w:r w:rsidRPr="00D630D1">
              <w:rPr>
                <w:b/>
                <w:bCs/>
                <w:szCs w:val="21"/>
              </w:rPr>
              <w:t>监测</w:t>
            </w:r>
            <w:r w:rsidRPr="00D630D1">
              <w:rPr>
                <w:rFonts w:hint="eastAsia"/>
                <w:b/>
                <w:bCs/>
                <w:szCs w:val="21"/>
              </w:rPr>
              <w:t>结果</w:t>
            </w:r>
          </w:p>
          <w:p w:rsidR="007B6743" w:rsidRPr="00D630D1" w:rsidRDefault="007B6743" w:rsidP="00EA7E77">
            <w:pPr>
              <w:pStyle w:val="aff2"/>
              <w:jc w:val="left"/>
              <w:rPr>
                <w:b/>
                <w:bCs/>
                <w:szCs w:val="21"/>
              </w:rPr>
            </w:pPr>
            <w:r w:rsidRPr="00D630D1">
              <w:rPr>
                <w:b/>
                <w:bCs/>
                <w:szCs w:val="21"/>
              </w:rPr>
              <w:t>监测项目</w:t>
            </w:r>
          </w:p>
        </w:tc>
        <w:tc>
          <w:tcPr>
            <w:tcW w:w="1028" w:type="pct"/>
            <w:tcBorders>
              <w:top w:val="single" w:sz="12" w:space="0" w:color="000000"/>
              <w:bottom w:val="single" w:sz="2" w:space="0" w:color="000000"/>
            </w:tcBorders>
            <w:vAlign w:val="center"/>
          </w:tcPr>
          <w:p w:rsidR="007B6743" w:rsidRPr="00D630D1" w:rsidRDefault="007B6743" w:rsidP="00EA7E77">
            <w:pPr>
              <w:pStyle w:val="aff2"/>
              <w:rPr>
                <w:b/>
                <w:bCs/>
                <w:szCs w:val="21"/>
              </w:rPr>
            </w:pPr>
            <w:r w:rsidRPr="00D630D1">
              <w:rPr>
                <w:b/>
                <w:bCs/>
                <w:szCs w:val="21"/>
              </w:rPr>
              <w:t>单位</w:t>
            </w:r>
          </w:p>
        </w:tc>
        <w:tc>
          <w:tcPr>
            <w:tcW w:w="854" w:type="pct"/>
            <w:tcBorders>
              <w:top w:val="single" w:sz="12" w:space="0" w:color="000000"/>
              <w:bottom w:val="single" w:sz="2" w:space="0" w:color="000000"/>
            </w:tcBorders>
            <w:vAlign w:val="center"/>
          </w:tcPr>
          <w:p w:rsidR="007B6743" w:rsidRPr="00D630D1" w:rsidRDefault="007B6743" w:rsidP="007B6743">
            <w:pPr>
              <w:pStyle w:val="aff2"/>
              <w:rPr>
                <w:b/>
                <w:bCs/>
                <w:szCs w:val="21"/>
              </w:rPr>
            </w:pPr>
            <w:r w:rsidRPr="00D630D1">
              <w:rPr>
                <w:b/>
                <w:bCs/>
                <w:szCs w:val="21"/>
              </w:rPr>
              <w:t>监测结果</w:t>
            </w:r>
          </w:p>
        </w:tc>
        <w:tc>
          <w:tcPr>
            <w:tcW w:w="663" w:type="pct"/>
            <w:tcBorders>
              <w:top w:val="single" w:sz="12" w:space="0" w:color="000000"/>
              <w:bottom w:val="single" w:sz="2" w:space="0" w:color="000000"/>
            </w:tcBorders>
            <w:vAlign w:val="center"/>
          </w:tcPr>
          <w:p w:rsidR="007B6743" w:rsidRPr="00D630D1" w:rsidRDefault="007B6743" w:rsidP="00EA7E77">
            <w:pPr>
              <w:pStyle w:val="aff2"/>
              <w:rPr>
                <w:b/>
                <w:bCs/>
                <w:szCs w:val="21"/>
              </w:rPr>
            </w:pPr>
            <w:r w:rsidRPr="00D630D1">
              <w:rPr>
                <w:b/>
                <w:bCs/>
                <w:szCs w:val="21"/>
              </w:rPr>
              <w:t>标准值</w:t>
            </w:r>
          </w:p>
        </w:tc>
        <w:tc>
          <w:tcPr>
            <w:tcW w:w="661" w:type="pct"/>
            <w:tcBorders>
              <w:top w:val="single" w:sz="12" w:space="0" w:color="000000"/>
              <w:bottom w:val="single" w:sz="2" w:space="0" w:color="000000"/>
            </w:tcBorders>
            <w:vAlign w:val="center"/>
          </w:tcPr>
          <w:p w:rsidR="007B6743" w:rsidRPr="00D630D1" w:rsidRDefault="007B6743" w:rsidP="00EA7E77">
            <w:pPr>
              <w:pStyle w:val="aff2"/>
              <w:rPr>
                <w:b/>
                <w:bCs/>
                <w:szCs w:val="21"/>
              </w:rPr>
            </w:pPr>
            <w:r w:rsidRPr="00D630D1">
              <w:rPr>
                <w:b/>
                <w:bCs/>
                <w:szCs w:val="21"/>
              </w:rPr>
              <w:t>S</w:t>
            </w:r>
            <w:r w:rsidRPr="00D630D1">
              <w:rPr>
                <w:b/>
                <w:bCs/>
                <w:szCs w:val="21"/>
                <w:vertAlign w:val="subscript"/>
              </w:rPr>
              <w:t>i</w:t>
            </w:r>
            <w:r w:rsidRPr="00D630D1">
              <w:rPr>
                <w:rFonts w:hint="eastAsia"/>
                <w:b/>
                <w:bCs/>
                <w:szCs w:val="21"/>
                <w:vertAlign w:val="subscript"/>
              </w:rPr>
              <w:t>，</w:t>
            </w:r>
            <w:r w:rsidRPr="00D630D1">
              <w:rPr>
                <w:b/>
                <w:bCs/>
                <w:szCs w:val="21"/>
                <w:vertAlign w:val="subscript"/>
              </w:rPr>
              <w:t>j</w:t>
            </w:r>
          </w:p>
        </w:tc>
      </w:tr>
      <w:tr w:rsidR="007B6743" w:rsidRPr="00D630D1" w:rsidTr="00EA7E77">
        <w:trPr>
          <w:trHeight w:val="19"/>
          <w:jc w:val="center"/>
        </w:trPr>
        <w:tc>
          <w:tcPr>
            <w:tcW w:w="815" w:type="pct"/>
            <w:tcBorders>
              <w:top w:val="single" w:sz="2" w:space="0" w:color="000000"/>
              <w:bottom w:val="single" w:sz="2" w:space="0" w:color="000000"/>
            </w:tcBorders>
            <w:vAlign w:val="center"/>
          </w:tcPr>
          <w:p w:rsidR="007B6743" w:rsidRPr="00D630D1" w:rsidRDefault="007B6743" w:rsidP="00EA7E77">
            <w:pPr>
              <w:pStyle w:val="aff2"/>
              <w:rPr>
                <w:szCs w:val="21"/>
              </w:rPr>
            </w:pPr>
            <w:r w:rsidRPr="00D630D1">
              <w:rPr>
                <w:szCs w:val="21"/>
              </w:rPr>
              <w:t>1</w:t>
            </w:r>
          </w:p>
        </w:tc>
        <w:tc>
          <w:tcPr>
            <w:tcW w:w="979" w:type="pct"/>
            <w:tcBorders>
              <w:top w:val="single" w:sz="2" w:space="0" w:color="000000"/>
              <w:bottom w:val="single" w:sz="2" w:space="0" w:color="000000"/>
            </w:tcBorders>
            <w:vAlign w:val="center"/>
          </w:tcPr>
          <w:p w:rsidR="007B6743" w:rsidRPr="00D630D1" w:rsidRDefault="007B6743" w:rsidP="00EA7E77">
            <w:pPr>
              <w:pStyle w:val="aff2"/>
              <w:rPr>
                <w:szCs w:val="21"/>
              </w:rPr>
            </w:pPr>
            <w:r w:rsidRPr="00D630D1">
              <w:rPr>
                <w:szCs w:val="21"/>
              </w:rPr>
              <w:t>pH</w:t>
            </w:r>
          </w:p>
        </w:tc>
        <w:tc>
          <w:tcPr>
            <w:tcW w:w="1028" w:type="pct"/>
            <w:tcBorders>
              <w:top w:val="single" w:sz="2" w:space="0" w:color="000000"/>
              <w:bottom w:val="single" w:sz="2" w:space="0" w:color="000000"/>
            </w:tcBorders>
            <w:vAlign w:val="center"/>
          </w:tcPr>
          <w:p w:rsidR="007B6743" w:rsidRPr="00D630D1" w:rsidRDefault="007B6743" w:rsidP="00EA7E77">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kern w:val="2"/>
                <w:sz w:val="21"/>
                <w:szCs w:val="21"/>
                <w:shd w:val="clear" w:color="auto" w:fill="FFFFFF"/>
              </w:rPr>
              <w:t>无量纲</w:t>
            </w:r>
          </w:p>
        </w:tc>
        <w:tc>
          <w:tcPr>
            <w:tcW w:w="854" w:type="pct"/>
            <w:tcBorders>
              <w:top w:val="single" w:sz="2" w:space="0" w:color="000000"/>
              <w:bottom w:val="single" w:sz="2" w:space="0" w:color="000000"/>
            </w:tcBorders>
            <w:vAlign w:val="center"/>
          </w:tcPr>
          <w:p w:rsidR="007B6743" w:rsidRPr="00D630D1" w:rsidRDefault="007B6743" w:rsidP="007B6743">
            <w:pPr>
              <w:pStyle w:val="aff2"/>
              <w:rPr>
                <w:szCs w:val="21"/>
              </w:rPr>
            </w:pPr>
            <w:r w:rsidRPr="00D630D1">
              <w:rPr>
                <w:rFonts w:hint="eastAsia"/>
                <w:szCs w:val="21"/>
              </w:rPr>
              <w:t>7.</w:t>
            </w:r>
            <w:r>
              <w:rPr>
                <w:rFonts w:hint="eastAsia"/>
                <w:szCs w:val="21"/>
              </w:rPr>
              <w:t>37</w:t>
            </w:r>
            <w:r w:rsidRPr="00D630D1">
              <w:rPr>
                <w:rFonts w:hint="eastAsia"/>
                <w:szCs w:val="21"/>
              </w:rPr>
              <w:t>~8.0</w:t>
            </w:r>
            <w:r>
              <w:rPr>
                <w:rFonts w:hint="eastAsia"/>
                <w:szCs w:val="21"/>
              </w:rPr>
              <w:t>4</w:t>
            </w:r>
          </w:p>
        </w:tc>
        <w:tc>
          <w:tcPr>
            <w:tcW w:w="663" w:type="pct"/>
            <w:tcBorders>
              <w:top w:val="single" w:sz="2" w:space="0" w:color="000000"/>
              <w:bottom w:val="single" w:sz="2" w:space="0" w:color="000000"/>
            </w:tcBorders>
            <w:vAlign w:val="center"/>
          </w:tcPr>
          <w:p w:rsidR="007B6743" w:rsidRPr="00D630D1" w:rsidRDefault="007B6743" w:rsidP="00EA7E77">
            <w:pPr>
              <w:pStyle w:val="aff2"/>
              <w:rPr>
                <w:szCs w:val="21"/>
              </w:rPr>
            </w:pPr>
            <w:r w:rsidRPr="00D630D1">
              <w:rPr>
                <w:szCs w:val="21"/>
              </w:rPr>
              <w:t>/</w:t>
            </w:r>
          </w:p>
        </w:tc>
        <w:tc>
          <w:tcPr>
            <w:tcW w:w="661" w:type="pct"/>
            <w:tcBorders>
              <w:top w:val="single" w:sz="2" w:space="0" w:color="000000"/>
              <w:bottom w:val="single" w:sz="2" w:space="0" w:color="000000"/>
            </w:tcBorders>
            <w:vAlign w:val="center"/>
          </w:tcPr>
          <w:p w:rsidR="007B6743" w:rsidRPr="00D630D1" w:rsidRDefault="007B6743" w:rsidP="00EA7E77">
            <w:pPr>
              <w:pStyle w:val="aff2"/>
              <w:rPr>
                <w:szCs w:val="21"/>
              </w:rPr>
            </w:pPr>
            <w:r w:rsidRPr="00D630D1">
              <w:rPr>
                <w:szCs w:val="21"/>
              </w:rPr>
              <w:t>/</w:t>
            </w:r>
          </w:p>
        </w:tc>
      </w:tr>
      <w:tr w:rsidR="007B6743" w:rsidRPr="00D630D1" w:rsidTr="00EA7E77">
        <w:trPr>
          <w:trHeight w:val="19"/>
          <w:jc w:val="center"/>
        </w:trPr>
        <w:tc>
          <w:tcPr>
            <w:tcW w:w="815" w:type="pct"/>
            <w:tcBorders>
              <w:top w:val="single" w:sz="2" w:space="0" w:color="000000"/>
              <w:bottom w:val="single" w:sz="2" w:space="0" w:color="000000"/>
            </w:tcBorders>
            <w:vAlign w:val="center"/>
          </w:tcPr>
          <w:p w:rsidR="007B6743" w:rsidRPr="00D630D1" w:rsidRDefault="007B6743" w:rsidP="00EA7E77">
            <w:pPr>
              <w:pStyle w:val="aff2"/>
              <w:rPr>
                <w:szCs w:val="21"/>
              </w:rPr>
            </w:pPr>
            <w:r w:rsidRPr="00D630D1">
              <w:rPr>
                <w:szCs w:val="21"/>
              </w:rPr>
              <w:t>2</w:t>
            </w:r>
          </w:p>
        </w:tc>
        <w:tc>
          <w:tcPr>
            <w:tcW w:w="979" w:type="pct"/>
            <w:tcBorders>
              <w:top w:val="single" w:sz="2" w:space="0" w:color="000000"/>
              <w:bottom w:val="single" w:sz="2" w:space="0" w:color="000000"/>
            </w:tcBorders>
            <w:vAlign w:val="center"/>
          </w:tcPr>
          <w:p w:rsidR="007B6743" w:rsidRPr="00D630D1" w:rsidRDefault="007B6743" w:rsidP="007B6743">
            <w:pPr>
              <w:pStyle w:val="aff2"/>
              <w:rPr>
                <w:szCs w:val="21"/>
              </w:rPr>
            </w:pPr>
            <w:r w:rsidRPr="007B6743">
              <w:rPr>
                <w:rFonts w:hint="eastAsia"/>
                <w:szCs w:val="21"/>
              </w:rPr>
              <w:t>石油烃</w:t>
            </w:r>
          </w:p>
        </w:tc>
        <w:tc>
          <w:tcPr>
            <w:tcW w:w="1028" w:type="pct"/>
            <w:tcBorders>
              <w:top w:val="single" w:sz="2" w:space="0" w:color="000000"/>
              <w:bottom w:val="single" w:sz="2" w:space="0" w:color="000000"/>
            </w:tcBorders>
          </w:tcPr>
          <w:p w:rsidR="007B6743" w:rsidRPr="00D630D1" w:rsidRDefault="007B6743" w:rsidP="00EA7E77">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mg/kg</w:t>
            </w:r>
          </w:p>
        </w:tc>
        <w:tc>
          <w:tcPr>
            <w:tcW w:w="854" w:type="pct"/>
            <w:tcBorders>
              <w:top w:val="single" w:sz="2" w:space="0" w:color="000000"/>
              <w:bottom w:val="single" w:sz="2" w:space="0" w:color="000000"/>
            </w:tcBorders>
            <w:vAlign w:val="center"/>
          </w:tcPr>
          <w:p w:rsidR="007B6743" w:rsidRPr="00D630D1" w:rsidRDefault="007B6743" w:rsidP="007B6743">
            <w:pPr>
              <w:pStyle w:val="aff2"/>
              <w:rPr>
                <w:szCs w:val="21"/>
              </w:rPr>
            </w:pPr>
            <w:r>
              <w:rPr>
                <w:rFonts w:eastAsia="仿宋" w:hint="eastAsia"/>
                <w:bCs/>
                <w:szCs w:val="21"/>
              </w:rPr>
              <w:t>6</w:t>
            </w:r>
            <w:r w:rsidRPr="00D630D1">
              <w:rPr>
                <w:rFonts w:hint="eastAsia"/>
                <w:szCs w:val="21"/>
              </w:rPr>
              <w:t>~</w:t>
            </w:r>
            <w:r>
              <w:rPr>
                <w:rFonts w:eastAsia="仿宋" w:hint="eastAsia"/>
                <w:bCs/>
                <w:szCs w:val="21"/>
              </w:rPr>
              <w:t>29</w:t>
            </w:r>
          </w:p>
        </w:tc>
        <w:tc>
          <w:tcPr>
            <w:tcW w:w="663" w:type="pct"/>
            <w:tcBorders>
              <w:top w:val="single" w:sz="2" w:space="0" w:color="000000"/>
              <w:bottom w:val="single" w:sz="2" w:space="0" w:color="000000"/>
            </w:tcBorders>
            <w:vAlign w:val="center"/>
          </w:tcPr>
          <w:p w:rsidR="007B6743" w:rsidRPr="00D630D1" w:rsidRDefault="007B6743" w:rsidP="00EA7E77">
            <w:pPr>
              <w:pStyle w:val="aff2"/>
              <w:rPr>
                <w:szCs w:val="21"/>
              </w:rPr>
            </w:pPr>
            <w:r>
              <w:rPr>
                <w:rFonts w:hint="eastAsia"/>
                <w:szCs w:val="21"/>
              </w:rPr>
              <w:t>4500</w:t>
            </w:r>
          </w:p>
        </w:tc>
        <w:tc>
          <w:tcPr>
            <w:tcW w:w="661" w:type="pct"/>
            <w:tcBorders>
              <w:top w:val="single" w:sz="2" w:space="0" w:color="000000"/>
              <w:bottom w:val="single" w:sz="2" w:space="0" w:color="000000"/>
            </w:tcBorders>
            <w:vAlign w:val="center"/>
          </w:tcPr>
          <w:p w:rsidR="007B6743" w:rsidRPr="00D630D1" w:rsidRDefault="007B6743" w:rsidP="00EA7E77">
            <w:pPr>
              <w:pStyle w:val="aff2"/>
              <w:rPr>
                <w:szCs w:val="21"/>
              </w:rPr>
            </w:pPr>
            <w:r>
              <w:rPr>
                <w:rFonts w:hint="eastAsia"/>
                <w:szCs w:val="21"/>
              </w:rPr>
              <w:t>0.001</w:t>
            </w:r>
            <w:r w:rsidRPr="00D630D1">
              <w:rPr>
                <w:rFonts w:hint="eastAsia"/>
                <w:szCs w:val="21"/>
              </w:rPr>
              <w:t>~</w:t>
            </w:r>
            <w:r>
              <w:rPr>
                <w:rFonts w:hint="eastAsia"/>
                <w:szCs w:val="21"/>
              </w:rPr>
              <w:t>0.006</w:t>
            </w:r>
          </w:p>
        </w:tc>
      </w:tr>
      <w:tr w:rsidR="007B6743" w:rsidRPr="00D630D1" w:rsidTr="007B6743">
        <w:trPr>
          <w:trHeight w:val="19"/>
          <w:jc w:val="center"/>
        </w:trPr>
        <w:tc>
          <w:tcPr>
            <w:tcW w:w="815" w:type="pct"/>
            <w:tcBorders>
              <w:top w:val="single" w:sz="2" w:space="0" w:color="000000"/>
              <w:bottom w:val="single" w:sz="12" w:space="0" w:color="000000"/>
            </w:tcBorders>
            <w:vAlign w:val="center"/>
          </w:tcPr>
          <w:p w:rsidR="007B6743" w:rsidRPr="00D630D1" w:rsidRDefault="007B6743" w:rsidP="00EA7E77">
            <w:pPr>
              <w:pStyle w:val="aff2"/>
              <w:rPr>
                <w:szCs w:val="21"/>
              </w:rPr>
            </w:pPr>
            <w:r w:rsidRPr="00D630D1">
              <w:rPr>
                <w:szCs w:val="21"/>
              </w:rPr>
              <w:t>3</w:t>
            </w:r>
          </w:p>
        </w:tc>
        <w:tc>
          <w:tcPr>
            <w:tcW w:w="979" w:type="pct"/>
            <w:tcBorders>
              <w:top w:val="single" w:sz="2" w:space="0" w:color="000000"/>
              <w:bottom w:val="single" w:sz="12" w:space="0" w:color="000000"/>
            </w:tcBorders>
            <w:vAlign w:val="center"/>
          </w:tcPr>
          <w:p w:rsidR="007B6743" w:rsidRPr="00D630D1" w:rsidRDefault="007B6743" w:rsidP="00EA7E77">
            <w:pPr>
              <w:pStyle w:val="aff2"/>
              <w:rPr>
                <w:szCs w:val="21"/>
              </w:rPr>
            </w:pPr>
            <w:r w:rsidRPr="007B6743">
              <w:rPr>
                <w:rFonts w:hint="eastAsia"/>
                <w:szCs w:val="21"/>
              </w:rPr>
              <w:t>全盐量</w:t>
            </w:r>
          </w:p>
        </w:tc>
        <w:tc>
          <w:tcPr>
            <w:tcW w:w="1028" w:type="pct"/>
            <w:tcBorders>
              <w:top w:val="single" w:sz="2" w:space="0" w:color="000000"/>
              <w:bottom w:val="single" w:sz="12" w:space="0" w:color="000000"/>
            </w:tcBorders>
          </w:tcPr>
          <w:p w:rsidR="007B6743" w:rsidRPr="00D630D1" w:rsidRDefault="007B6743" w:rsidP="00EA7E77">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g/kg</w:t>
            </w:r>
          </w:p>
        </w:tc>
        <w:tc>
          <w:tcPr>
            <w:tcW w:w="854" w:type="pct"/>
            <w:tcBorders>
              <w:top w:val="single" w:sz="2" w:space="0" w:color="000000"/>
              <w:bottom w:val="single" w:sz="12" w:space="0" w:color="000000"/>
            </w:tcBorders>
            <w:vAlign w:val="center"/>
          </w:tcPr>
          <w:p w:rsidR="007B6743" w:rsidRPr="00D630D1" w:rsidRDefault="007B6743" w:rsidP="007B6743">
            <w:pPr>
              <w:pStyle w:val="aff2"/>
              <w:rPr>
                <w:szCs w:val="21"/>
              </w:rPr>
            </w:pPr>
            <w:r>
              <w:rPr>
                <w:rFonts w:eastAsia="仿宋" w:hint="eastAsia"/>
                <w:bCs/>
                <w:szCs w:val="21"/>
              </w:rPr>
              <w:t>1.</w:t>
            </w:r>
            <w:r w:rsidRPr="00D630D1">
              <w:rPr>
                <w:rFonts w:eastAsia="仿宋" w:hint="eastAsia"/>
                <w:bCs/>
                <w:szCs w:val="21"/>
              </w:rPr>
              <w:t>0</w:t>
            </w:r>
            <w:r w:rsidRPr="00D630D1">
              <w:rPr>
                <w:rFonts w:hint="eastAsia"/>
                <w:szCs w:val="21"/>
              </w:rPr>
              <w:t>~</w:t>
            </w:r>
            <w:r>
              <w:rPr>
                <w:rFonts w:eastAsia="仿宋" w:hint="eastAsia"/>
                <w:bCs/>
                <w:szCs w:val="21"/>
              </w:rPr>
              <w:t>3.0</w:t>
            </w:r>
          </w:p>
        </w:tc>
        <w:tc>
          <w:tcPr>
            <w:tcW w:w="663" w:type="pct"/>
            <w:tcBorders>
              <w:top w:val="single" w:sz="2" w:space="0" w:color="000000"/>
              <w:bottom w:val="single" w:sz="12" w:space="0" w:color="000000"/>
            </w:tcBorders>
            <w:vAlign w:val="center"/>
          </w:tcPr>
          <w:p w:rsidR="007B6743" w:rsidRPr="00D630D1" w:rsidRDefault="007B6743" w:rsidP="00EA7E77">
            <w:pPr>
              <w:pStyle w:val="aff2"/>
              <w:rPr>
                <w:szCs w:val="21"/>
              </w:rPr>
            </w:pPr>
            <w:r w:rsidRPr="00D630D1">
              <w:rPr>
                <w:szCs w:val="21"/>
              </w:rPr>
              <w:t>/</w:t>
            </w:r>
          </w:p>
        </w:tc>
        <w:tc>
          <w:tcPr>
            <w:tcW w:w="661" w:type="pct"/>
            <w:tcBorders>
              <w:top w:val="single" w:sz="2" w:space="0" w:color="000000"/>
              <w:bottom w:val="single" w:sz="12" w:space="0" w:color="000000"/>
            </w:tcBorders>
            <w:vAlign w:val="center"/>
          </w:tcPr>
          <w:p w:rsidR="007B6743" w:rsidRPr="00D630D1" w:rsidRDefault="007B6743" w:rsidP="00EA7E77">
            <w:pPr>
              <w:pStyle w:val="aff2"/>
              <w:rPr>
                <w:szCs w:val="21"/>
              </w:rPr>
            </w:pPr>
            <w:r w:rsidRPr="00D630D1">
              <w:rPr>
                <w:szCs w:val="21"/>
              </w:rPr>
              <w:t>/</w:t>
            </w:r>
          </w:p>
        </w:tc>
      </w:tr>
    </w:tbl>
    <w:p w:rsidR="003655DE" w:rsidRPr="00D630D1" w:rsidRDefault="003655DE" w:rsidP="003655DE">
      <w:pPr>
        <w:pStyle w:val="10"/>
        <w:ind w:firstLine="480"/>
        <w:rPr>
          <w:rFonts w:cs="Times New Roman"/>
        </w:rPr>
      </w:pPr>
      <w:r w:rsidRPr="00D630D1">
        <w:rPr>
          <w:rFonts w:cs="Times New Roman"/>
        </w:rPr>
        <w:t>表</w:t>
      </w:r>
      <w:r w:rsidRPr="00D630D1">
        <w:rPr>
          <w:rFonts w:cs="Times New Roman"/>
        </w:rPr>
        <w:t>5.7-</w:t>
      </w:r>
      <w:r w:rsidRPr="00D630D1">
        <w:rPr>
          <w:rFonts w:cs="Times New Roman" w:hint="eastAsia"/>
        </w:rPr>
        <w:t>3</w:t>
      </w:r>
      <w:r w:rsidRPr="00D630D1">
        <w:rPr>
          <w:rFonts w:cs="Times New Roman"/>
        </w:rPr>
        <w:t xml:space="preserve">  </w:t>
      </w:r>
      <w:r w:rsidRPr="00D630D1">
        <w:rPr>
          <w:rFonts w:cs="Times New Roman" w:hint="eastAsia"/>
        </w:rPr>
        <w:t>土壤环境质量</w:t>
      </w:r>
      <w:r w:rsidRPr="00D630D1">
        <w:rPr>
          <w:rFonts w:cs="Times New Roman"/>
        </w:rPr>
        <w:t>现状监测统计表</w:t>
      </w:r>
      <w:r w:rsidRPr="00D630D1">
        <w:rPr>
          <w:rFonts w:cs="Times New Roman" w:hint="eastAsia"/>
        </w:rPr>
        <w:t>（</w:t>
      </w:r>
      <w:r w:rsidRPr="00D630D1">
        <w:rPr>
          <w:rFonts w:cs="Times New Roman" w:hint="eastAsia"/>
        </w:rPr>
        <w:t>T5</w:t>
      </w:r>
      <w:r w:rsidRPr="00D630D1">
        <w:rPr>
          <w:rFonts w:cs="Times New Roman" w:hint="eastAsia"/>
        </w:rPr>
        <w:t>）</w:t>
      </w:r>
      <w:r w:rsidRPr="00D630D1">
        <w:rPr>
          <w:rFonts w:cs="Times New Roman"/>
        </w:rPr>
        <w:t xml:space="preserve">  </w:t>
      </w:r>
      <w:r w:rsidRPr="00D630D1">
        <w:rPr>
          <w:rFonts w:cs="Times New Roman"/>
        </w:rPr>
        <w:t>单位：</w:t>
      </w:r>
      <w:r w:rsidRPr="00D630D1">
        <w:rPr>
          <w:rFonts w:cs="Times New Roman"/>
        </w:rPr>
        <w:t>mg/kg</w:t>
      </w:r>
    </w:p>
    <w:tbl>
      <w:tblPr>
        <w:tblW w:w="5208" w:type="pct"/>
        <w:jc w:val="center"/>
        <w:tblBorders>
          <w:top w:val="single" w:sz="12" w:space="0" w:color="000000"/>
          <w:bottom w:val="single" w:sz="12" w:space="0" w:color="000000"/>
          <w:insideH w:val="single" w:sz="2" w:space="0" w:color="000000"/>
          <w:insideV w:val="single" w:sz="4" w:space="0" w:color="000000"/>
        </w:tblBorders>
        <w:tblCellMar>
          <w:left w:w="0" w:type="dxa"/>
          <w:right w:w="0" w:type="dxa"/>
        </w:tblCellMar>
        <w:tblLook w:val="04A0"/>
      </w:tblPr>
      <w:tblGrid>
        <w:gridCol w:w="1410"/>
        <w:gridCol w:w="1694"/>
        <w:gridCol w:w="1779"/>
        <w:gridCol w:w="1478"/>
        <w:gridCol w:w="1147"/>
        <w:gridCol w:w="1144"/>
      </w:tblGrid>
      <w:tr w:rsidR="003655DE" w:rsidRPr="00D630D1" w:rsidTr="0018209F">
        <w:trPr>
          <w:trHeight w:val="58"/>
          <w:tblHeader/>
          <w:jc w:val="center"/>
        </w:trPr>
        <w:tc>
          <w:tcPr>
            <w:tcW w:w="1794" w:type="pct"/>
            <w:gridSpan w:val="2"/>
            <w:tcBorders>
              <w:top w:val="single" w:sz="12" w:space="0" w:color="000000"/>
              <w:bottom w:val="single" w:sz="2" w:space="0" w:color="000000"/>
              <w:tl2br w:val="single" w:sz="2" w:space="0" w:color="000000"/>
            </w:tcBorders>
            <w:vAlign w:val="center"/>
          </w:tcPr>
          <w:p w:rsidR="003655DE" w:rsidRPr="00D630D1" w:rsidRDefault="003655DE" w:rsidP="0018209F">
            <w:pPr>
              <w:pStyle w:val="aff2"/>
              <w:jc w:val="right"/>
              <w:rPr>
                <w:b/>
                <w:bCs/>
                <w:szCs w:val="21"/>
              </w:rPr>
            </w:pPr>
            <w:r w:rsidRPr="00D630D1">
              <w:rPr>
                <w:b/>
                <w:bCs/>
                <w:szCs w:val="21"/>
              </w:rPr>
              <w:t>监测</w:t>
            </w:r>
            <w:r w:rsidRPr="00D630D1">
              <w:rPr>
                <w:rFonts w:hint="eastAsia"/>
                <w:b/>
                <w:bCs/>
                <w:szCs w:val="21"/>
              </w:rPr>
              <w:t>结果</w:t>
            </w:r>
          </w:p>
          <w:p w:rsidR="003655DE" w:rsidRPr="00D630D1" w:rsidRDefault="003655DE" w:rsidP="0018209F">
            <w:pPr>
              <w:pStyle w:val="aff2"/>
              <w:jc w:val="left"/>
              <w:rPr>
                <w:b/>
                <w:bCs/>
                <w:szCs w:val="21"/>
              </w:rPr>
            </w:pPr>
            <w:r w:rsidRPr="00D630D1">
              <w:rPr>
                <w:b/>
                <w:bCs/>
                <w:szCs w:val="21"/>
              </w:rPr>
              <w:t>监测项目</w:t>
            </w:r>
          </w:p>
        </w:tc>
        <w:tc>
          <w:tcPr>
            <w:tcW w:w="1028" w:type="pct"/>
            <w:tcBorders>
              <w:top w:val="single" w:sz="12" w:space="0" w:color="000000"/>
              <w:bottom w:val="single" w:sz="2" w:space="0" w:color="000000"/>
            </w:tcBorders>
            <w:vAlign w:val="center"/>
          </w:tcPr>
          <w:p w:rsidR="003655DE" w:rsidRPr="00D630D1" w:rsidRDefault="003655DE" w:rsidP="0018209F">
            <w:pPr>
              <w:pStyle w:val="aff2"/>
              <w:rPr>
                <w:b/>
                <w:bCs/>
                <w:szCs w:val="21"/>
              </w:rPr>
            </w:pPr>
            <w:r w:rsidRPr="00D630D1">
              <w:rPr>
                <w:b/>
                <w:bCs/>
                <w:szCs w:val="21"/>
              </w:rPr>
              <w:t>单位</w:t>
            </w:r>
          </w:p>
        </w:tc>
        <w:tc>
          <w:tcPr>
            <w:tcW w:w="854" w:type="pct"/>
            <w:tcBorders>
              <w:top w:val="single" w:sz="12" w:space="0" w:color="000000"/>
              <w:bottom w:val="single" w:sz="2" w:space="0" w:color="000000"/>
            </w:tcBorders>
            <w:vAlign w:val="center"/>
          </w:tcPr>
          <w:p w:rsidR="003655DE" w:rsidRPr="00D630D1" w:rsidRDefault="003655DE" w:rsidP="0018209F">
            <w:pPr>
              <w:pStyle w:val="aff2"/>
              <w:rPr>
                <w:b/>
                <w:bCs/>
                <w:szCs w:val="21"/>
              </w:rPr>
            </w:pPr>
            <w:r w:rsidRPr="00D630D1">
              <w:rPr>
                <w:b/>
                <w:bCs/>
                <w:szCs w:val="21"/>
              </w:rPr>
              <w:t>监测结果</w:t>
            </w:r>
            <w:r w:rsidRPr="00D630D1">
              <w:rPr>
                <w:rFonts w:hint="eastAsia"/>
                <w:b/>
                <w:bCs/>
                <w:szCs w:val="21"/>
              </w:rPr>
              <w:t>（</w:t>
            </w:r>
            <w:r w:rsidRPr="00D630D1">
              <w:rPr>
                <w:b/>
                <w:bCs/>
                <w:szCs w:val="21"/>
              </w:rPr>
              <w:t>pH</w:t>
            </w:r>
            <w:r w:rsidRPr="00D630D1">
              <w:rPr>
                <w:rFonts w:hint="eastAsia"/>
                <w:b/>
                <w:bCs/>
                <w:szCs w:val="21"/>
              </w:rPr>
              <w:t>＞</w:t>
            </w:r>
            <w:r w:rsidRPr="00D630D1">
              <w:rPr>
                <w:b/>
                <w:bCs/>
                <w:szCs w:val="21"/>
              </w:rPr>
              <w:t>7.5</w:t>
            </w:r>
            <w:r w:rsidRPr="00D630D1">
              <w:rPr>
                <w:rFonts w:hint="eastAsia"/>
                <w:b/>
                <w:bCs/>
                <w:szCs w:val="21"/>
              </w:rPr>
              <w:t>）</w:t>
            </w:r>
          </w:p>
        </w:tc>
        <w:tc>
          <w:tcPr>
            <w:tcW w:w="663" w:type="pct"/>
            <w:tcBorders>
              <w:top w:val="single" w:sz="12" w:space="0" w:color="000000"/>
              <w:bottom w:val="single" w:sz="2" w:space="0" w:color="000000"/>
            </w:tcBorders>
            <w:vAlign w:val="center"/>
          </w:tcPr>
          <w:p w:rsidR="003655DE" w:rsidRPr="00D630D1" w:rsidRDefault="003655DE" w:rsidP="0018209F">
            <w:pPr>
              <w:pStyle w:val="aff2"/>
              <w:rPr>
                <w:b/>
                <w:bCs/>
                <w:szCs w:val="21"/>
              </w:rPr>
            </w:pPr>
            <w:r w:rsidRPr="00D630D1">
              <w:rPr>
                <w:b/>
                <w:bCs/>
                <w:szCs w:val="21"/>
              </w:rPr>
              <w:t>标准值</w:t>
            </w:r>
          </w:p>
        </w:tc>
        <w:tc>
          <w:tcPr>
            <w:tcW w:w="661" w:type="pct"/>
            <w:tcBorders>
              <w:top w:val="single" w:sz="12" w:space="0" w:color="000000"/>
              <w:bottom w:val="single" w:sz="2" w:space="0" w:color="000000"/>
            </w:tcBorders>
            <w:vAlign w:val="center"/>
          </w:tcPr>
          <w:p w:rsidR="003655DE" w:rsidRPr="00D630D1" w:rsidRDefault="003655DE" w:rsidP="0018209F">
            <w:pPr>
              <w:pStyle w:val="aff2"/>
              <w:rPr>
                <w:b/>
                <w:bCs/>
                <w:szCs w:val="21"/>
              </w:rPr>
            </w:pPr>
            <w:r w:rsidRPr="00D630D1">
              <w:rPr>
                <w:b/>
                <w:bCs/>
                <w:szCs w:val="21"/>
              </w:rPr>
              <w:t>S</w:t>
            </w:r>
            <w:r w:rsidRPr="00D630D1">
              <w:rPr>
                <w:b/>
                <w:bCs/>
                <w:szCs w:val="21"/>
                <w:vertAlign w:val="subscript"/>
              </w:rPr>
              <w:t>i</w:t>
            </w:r>
            <w:r w:rsidRPr="00D630D1">
              <w:rPr>
                <w:rFonts w:hint="eastAsia"/>
                <w:b/>
                <w:bCs/>
                <w:szCs w:val="21"/>
                <w:vertAlign w:val="subscript"/>
              </w:rPr>
              <w:t>，</w:t>
            </w:r>
            <w:r w:rsidRPr="00D630D1">
              <w:rPr>
                <w:b/>
                <w:bCs/>
                <w:szCs w:val="21"/>
                <w:vertAlign w:val="subscript"/>
              </w:rPr>
              <w:t>j</w:t>
            </w:r>
          </w:p>
        </w:tc>
      </w:tr>
      <w:tr w:rsidR="003655DE" w:rsidRPr="00D630D1" w:rsidTr="0018209F">
        <w:trPr>
          <w:trHeight w:val="19"/>
          <w:jc w:val="center"/>
        </w:trPr>
        <w:tc>
          <w:tcPr>
            <w:tcW w:w="815"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1</w:t>
            </w:r>
          </w:p>
        </w:tc>
        <w:tc>
          <w:tcPr>
            <w:tcW w:w="979"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pH</w:t>
            </w:r>
          </w:p>
        </w:tc>
        <w:tc>
          <w:tcPr>
            <w:tcW w:w="1028" w:type="pct"/>
            <w:tcBorders>
              <w:top w:val="single" w:sz="2" w:space="0" w:color="000000"/>
              <w:bottom w:val="single" w:sz="2" w:space="0" w:color="000000"/>
            </w:tcBorders>
            <w:vAlign w:val="center"/>
          </w:tcPr>
          <w:p w:rsidR="003655DE" w:rsidRPr="00D630D1" w:rsidRDefault="003655DE" w:rsidP="0018209F">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kern w:val="2"/>
                <w:sz w:val="21"/>
                <w:szCs w:val="21"/>
                <w:shd w:val="clear" w:color="auto" w:fill="FFFFFF"/>
              </w:rPr>
              <w:t>无量纲</w:t>
            </w:r>
          </w:p>
        </w:tc>
        <w:tc>
          <w:tcPr>
            <w:tcW w:w="854" w:type="pct"/>
            <w:tcBorders>
              <w:top w:val="single" w:sz="2" w:space="0" w:color="000000"/>
              <w:bottom w:val="single" w:sz="2" w:space="0" w:color="000000"/>
            </w:tcBorders>
            <w:vAlign w:val="center"/>
          </w:tcPr>
          <w:p w:rsidR="003655DE" w:rsidRPr="00D630D1" w:rsidRDefault="003655DE" w:rsidP="00E84E95">
            <w:pPr>
              <w:pStyle w:val="aff2"/>
              <w:rPr>
                <w:szCs w:val="21"/>
              </w:rPr>
            </w:pPr>
            <w:r w:rsidRPr="00D630D1">
              <w:rPr>
                <w:rFonts w:hint="eastAsia"/>
                <w:szCs w:val="21"/>
              </w:rPr>
              <w:t>7.</w:t>
            </w:r>
            <w:r w:rsidR="00E84E95">
              <w:rPr>
                <w:rFonts w:hint="eastAsia"/>
                <w:szCs w:val="21"/>
              </w:rPr>
              <w:t>12</w:t>
            </w:r>
          </w:p>
        </w:tc>
        <w:tc>
          <w:tcPr>
            <w:tcW w:w="663" w:type="pct"/>
            <w:tcBorders>
              <w:top w:val="single" w:sz="2" w:space="0" w:color="000000"/>
              <w:bottom w:val="single" w:sz="2" w:space="0" w:color="000000"/>
            </w:tcBorders>
            <w:vAlign w:val="center"/>
          </w:tcPr>
          <w:p w:rsidR="003655DE" w:rsidRPr="00D630D1" w:rsidRDefault="00E84E95" w:rsidP="0018209F">
            <w:pPr>
              <w:pStyle w:val="aff2"/>
              <w:rPr>
                <w:szCs w:val="21"/>
              </w:rPr>
            </w:pPr>
            <w:r w:rsidRPr="00E84E95">
              <w:rPr>
                <w:rFonts w:hint="eastAsia"/>
                <w:bCs/>
                <w:szCs w:val="21"/>
              </w:rPr>
              <w:t>6.5</w:t>
            </w:r>
            <w:r w:rsidRPr="00E84E95">
              <w:rPr>
                <w:rFonts w:hint="eastAsia"/>
                <w:bCs/>
                <w:szCs w:val="21"/>
              </w:rPr>
              <w:t>＜</w:t>
            </w:r>
            <w:r w:rsidRPr="00E84E95">
              <w:rPr>
                <w:rFonts w:hint="eastAsia"/>
                <w:bCs/>
                <w:szCs w:val="21"/>
              </w:rPr>
              <w:t>pH</w:t>
            </w:r>
            <w:r w:rsidRPr="00E84E95">
              <w:rPr>
                <w:rFonts w:hint="eastAsia"/>
                <w:bCs/>
                <w:szCs w:val="21"/>
              </w:rPr>
              <w:t>≤</w:t>
            </w:r>
            <w:r w:rsidRPr="00E84E95">
              <w:rPr>
                <w:rFonts w:hint="eastAsia"/>
                <w:bCs/>
                <w:szCs w:val="21"/>
              </w:rPr>
              <w:t>7.5</w:t>
            </w:r>
          </w:p>
        </w:tc>
        <w:tc>
          <w:tcPr>
            <w:tcW w:w="661"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w:t>
            </w:r>
          </w:p>
        </w:tc>
      </w:tr>
      <w:tr w:rsidR="003655DE" w:rsidRPr="00D630D1" w:rsidTr="0018209F">
        <w:trPr>
          <w:trHeight w:val="19"/>
          <w:jc w:val="center"/>
        </w:trPr>
        <w:tc>
          <w:tcPr>
            <w:tcW w:w="815"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2</w:t>
            </w:r>
          </w:p>
        </w:tc>
        <w:tc>
          <w:tcPr>
            <w:tcW w:w="979"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镉</w:t>
            </w:r>
          </w:p>
        </w:tc>
        <w:tc>
          <w:tcPr>
            <w:tcW w:w="1028" w:type="pct"/>
            <w:tcBorders>
              <w:top w:val="single" w:sz="2" w:space="0" w:color="000000"/>
              <w:bottom w:val="single" w:sz="2" w:space="0" w:color="000000"/>
            </w:tcBorders>
          </w:tcPr>
          <w:p w:rsidR="003655DE" w:rsidRPr="00D630D1" w:rsidRDefault="003655DE" w:rsidP="0018209F">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mg/kg</w:t>
            </w:r>
          </w:p>
        </w:tc>
        <w:tc>
          <w:tcPr>
            <w:tcW w:w="854" w:type="pct"/>
            <w:tcBorders>
              <w:top w:val="single" w:sz="2" w:space="0" w:color="000000"/>
              <w:bottom w:val="single" w:sz="2" w:space="0" w:color="000000"/>
            </w:tcBorders>
            <w:vAlign w:val="center"/>
          </w:tcPr>
          <w:p w:rsidR="003655DE" w:rsidRPr="00D630D1" w:rsidRDefault="003655DE" w:rsidP="00E84E95">
            <w:pPr>
              <w:pStyle w:val="aff2"/>
              <w:rPr>
                <w:szCs w:val="21"/>
              </w:rPr>
            </w:pPr>
            <w:r w:rsidRPr="00D630D1">
              <w:rPr>
                <w:rFonts w:eastAsia="仿宋" w:hint="eastAsia"/>
                <w:bCs/>
                <w:szCs w:val="21"/>
              </w:rPr>
              <w:t>0.</w:t>
            </w:r>
            <w:r w:rsidR="00E84E95">
              <w:rPr>
                <w:rFonts w:eastAsia="仿宋" w:hint="eastAsia"/>
                <w:bCs/>
                <w:szCs w:val="21"/>
              </w:rPr>
              <w:t>21</w:t>
            </w:r>
          </w:p>
        </w:tc>
        <w:tc>
          <w:tcPr>
            <w:tcW w:w="663" w:type="pct"/>
            <w:tcBorders>
              <w:top w:val="single" w:sz="2" w:space="0" w:color="000000"/>
              <w:bottom w:val="single" w:sz="2" w:space="0" w:color="000000"/>
            </w:tcBorders>
            <w:vAlign w:val="center"/>
          </w:tcPr>
          <w:p w:rsidR="003655DE" w:rsidRPr="00D630D1" w:rsidRDefault="003655DE" w:rsidP="00E84E95">
            <w:pPr>
              <w:pStyle w:val="aff2"/>
              <w:rPr>
                <w:szCs w:val="21"/>
              </w:rPr>
            </w:pPr>
            <w:r w:rsidRPr="00D630D1">
              <w:rPr>
                <w:szCs w:val="21"/>
              </w:rPr>
              <w:t>0.</w:t>
            </w:r>
            <w:r w:rsidR="00E84E95">
              <w:rPr>
                <w:rFonts w:hint="eastAsia"/>
                <w:szCs w:val="21"/>
              </w:rPr>
              <w:t>3</w:t>
            </w:r>
          </w:p>
        </w:tc>
        <w:tc>
          <w:tcPr>
            <w:tcW w:w="661" w:type="pct"/>
            <w:tcBorders>
              <w:top w:val="single" w:sz="2" w:space="0" w:color="000000"/>
              <w:bottom w:val="single" w:sz="2" w:space="0" w:color="000000"/>
            </w:tcBorders>
            <w:vAlign w:val="center"/>
          </w:tcPr>
          <w:p w:rsidR="003655DE" w:rsidRPr="00D630D1" w:rsidRDefault="003C1FBC" w:rsidP="00E84E95">
            <w:pPr>
              <w:pStyle w:val="aff2"/>
              <w:rPr>
                <w:szCs w:val="21"/>
              </w:rPr>
            </w:pPr>
            <w:r w:rsidRPr="00D630D1">
              <w:rPr>
                <w:rFonts w:hint="eastAsia"/>
                <w:szCs w:val="21"/>
              </w:rPr>
              <w:t>0.7</w:t>
            </w:r>
          </w:p>
        </w:tc>
      </w:tr>
      <w:tr w:rsidR="003655DE" w:rsidRPr="00D630D1" w:rsidTr="0018209F">
        <w:trPr>
          <w:trHeight w:val="19"/>
          <w:jc w:val="center"/>
        </w:trPr>
        <w:tc>
          <w:tcPr>
            <w:tcW w:w="815"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3</w:t>
            </w:r>
          </w:p>
        </w:tc>
        <w:tc>
          <w:tcPr>
            <w:tcW w:w="979"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汞</w:t>
            </w:r>
          </w:p>
        </w:tc>
        <w:tc>
          <w:tcPr>
            <w:tcW w:w="1028" w:type="pct"/>
            <w:tcBorders>
              <w:top w:val="single" w:sz="2" w:space="0" w:color="000000"/>
              <w:bottom w:val="single" w:sz="2" w:space="0" w:color="000000"/>
            </w:tcBorders>
          </w:tcPr>
          <w:p w:rsidR="003655DE" w:rsidRPr="00D630D1" w:rsidRDefault="003655DE" w:rsidP="0018209F">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mg/kg</w:t>
            </w:r>
          </w:p>
        </w:tc>
        <w:tc>
          <w:tcPr>
            <w:tcW w:w="854" w:type="pct"/>
            <w:tcBorders>
              <w:top w:val="single" w:sz="2" w:space="0" w:color="000000"/>
              <w:bottom w:val="single" w:sz="2" w:space="0" w:color="000000"/>
            </w:tcBorders>
            <w:vAlign w:val="center"/>
          </w:tcPr>
          <w:p w:rsidR="003655DE" w:rsidRPr="00D630D1" w:rsidRDefault="00E84E95" w:rsidP="003C1FBC">
            <w:pPr>
              <w:pStyle w:val="aff2"/>
              <w:rPr>
                <w:szCs w:val="21"/>
              </w:rPr>
            </w:pPr>
            <w:r>
              <w:rPr>
                <w:rFonts w:eastAsia="仿宋" w:hint="eastAsia"/>
                <w:bCs/>
                <w:szCs w:val="21"/>
              </w:rPr>
              <w:t>0.079</w:t>
            </w:r>
          </w:p>
        </w:tc>
        <w:tc>
          <w:tcPr>
            <w:tcW w:w="663" w:type="pct"/>
            <w:tcBorders>
              <w:top w:val="single" w:sz="2" w:space="0" w:color="000000"/>
              <w:bottom w:val="single" w:sz="2" w:space="0" w:color="000000"/>
            </w:tcBorders>
            <w:vAlign w:val="center"/>
          </w:tcPr>
          <w:p w:rsidR="003655DE" w:rsidRPr="00D630D1" w:rsidRDefault="00E84E95" w:rsidP="0018209F">
            <w:pPr>
              <w:pStyle w:val="aff2"/>
              <w:rPr>
                <w:szCs w:val="21"/>
              </w:rPr>
            </w:pPr>
            <w:r>
              <w:rPr>
                <w:rFonts w:hint="eastAsia"/>
                <w:szCs w:val="21"/>
              </w:rPr>
              <w:t>2</w:t>
            </w:r>
            <w:r w:rsidR="003655DE" w:rsidRPr="00D630D1">
              <w:rPr>
                <w:rFonts w:hint="eastAsia"/>
                <w:szCs w:val="21"/>
              </w:rPr>
              <w:t>.4</w:t>
            </w:r>
          </w:p>
        </w:tc>
        <w:tc>
          <w:tcPr>
            <w:tcW w:w="661" w:type="pct"/>
            <w:tcBorders>
              <w:top w:val="single" w:sz="2" w:space="0" w:color="000000"/>
              <w:bottom w:val="single" w:sz="2" w:space="0" w:color="000000"/>
            </w:tcBorders>
            <w:vAlign w:val="center"/>
          </w:tcPr>
          <w:p w:rsidR="003655DE" w:rsidRPr="00D630D1" w:rsidRDefault="003C1FBC" w:rsidP="00E84E95">
            <w:pPr>
              <w:pStyle w:val="aff2"/>
              <w:rPr>
                <w:szCs w:val="21"/>
              </w:rPr>
            </w:pPr>
            <w:r w:rsidRPr="00D630D1">
              <w:rPr>
                <w:rFonts w:hint="eastAsia"/>
                <w:szCs w:val="21"/>
              </w:rPr>
              <w:t>0.0</w:t>
            </w:r>
            <w:r w:rsidR="00E84E95">
              <w:rPr>
                <w:rFonts w:hint="eastAsia"/>
                <w:szCs w:val="21"/>
              </w:rPr>
              <w:t>3</w:t>
            </w:r>
          </w:p>
        </w:tc>
      </w:tr>
      <w:tr w:rsidR="003655DE" w:rsidRPr="00D630D1" w:rsidTr="0018209F">
        <w:trPr>
          <w:trHeight w:val="19"/>
          <w:jc w:val="center"/>
        </w:trPr>
        <w:tc>
          <w:tcPr>
            <w:tcW w:w="815"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4</w:t>
            </w:r>
          </w:p>
        </w:tc>
        <w:tc>
          <w:tcPr>
            <w:tcW w:w="979"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砷</w:t>
            </w:r>
          </w:p>
        </w:tc>
        <w:tc>
          <w:tcPr>
            <w:tcW w:w="1028" w:type="pct"/>
            <w:tcBorders>
              <w:top w:val="single" w:sz="2" w:space="0" w:color="000000"/>
              <w:bottom w:val="single" w:sz="2" w:space="0" w:color="000000"/>
            </w:tcBorders>
          </w:tcPr>
          <w:p w:rsidR="003655DE" w:rsidRPr="00D630D1" w:rsidRDefault="003655DE" w:rsidP="0018209F">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mg/kg</w:t>
            </w:r>
          </w:p>
        </w:tc>
        <w:tc>
          <w:tcPr>
            <w:tcW w:w="854" w:type="pct"/>
            <w:tcBorders>
              <w:top w:val="single" w:sz="2" w:space="0" w:color="000000"/>
              <w:bottom w:val="single" w:sz="2" w:space="0" w:color="000000"/>
            </w:tcBorders>
            <w:vAlign w:val="center"/>
          </w:tcPr>
          <w:p w:rsidR="003655DE" w:rsidRPr="00D630D1" w:rsidRDefault="00E84E95" w:rsidP="003C1FBC">
            <w:pPr>
              <w:pStyle w:val="aff2"/>
              <w:rPr>
                <w:szCs w:val="21"/>
              </w:rPr>
            </w:pPr>
            <w:r>
              <w:rPr>
                <w:rFonts w:eastAsia="仿宋" w:hint="eastAsia"/>
                <w:bCs/>
                <w:szCs w:val="21"/>
              </w:rPr>
              <w:t>17.4</w:t>
            </w:r>
          </w:p>
        </w:tc>
        <w:tc>
          <w:tcPr>
            <w:tcW w:w="663" w:type="pct"/>
            <w:tcBorders>
              <w:top w:val="single" w:sz="2" w:space="0" w:color="000000"/>
              <w:bottom w:val="single" w:sz="2" w:space="0" w:color="000000"/>
            </w:tcBorders>
            <w:vAlign w:val="center"/>
          </w:tcPr>
          <w:p w:rsidR="003655DE" w:rsidRPr="00D630D1" w:rsidRDefault="00E84E95" w:rsidP="0018209F">
            <w:pPr>
              <w:pStyle w:val="aff2"/>
              <w:rPr>
                <w:szCs w:val="21"/>
              </w:rPr>
            </w:pPr>
            <w:r>
              <w:rPr>
                <w:rFonts w:hint="eastAsia"/>
                <w:szCs w:val="21"/>
              </w:rPr>
              <w:t>30</w:t>
            </w:r>
          </w:p>
        </w:tc>
        <w:tc>
          <w:tcPr>
            <w:tcW w:w="661" w:type="pct"/>
            <w:tcBorders>
              <w:top w:val="single" w:sz="2" w:space="0" w:color="000000"/>
              <w:bottom w:val="single" w:sz="2" w:space="0" w:color="000000"/>
            </w:tcBorders>
            <w:vAlign w:val="center"/>
          </w:tcPr>
          <w:p w:rsidR="003655DE" w:rsidRPr="00D630D1" w:rsidRDefault="003C1FBC" w:rsidP="00E84E95">
            <w:pPr>
              <w:pStyle w:val="aff2"/>
              <w:rPr>
                <w:szCs w:val="21"/>
              </w:rPr>
            </w:pPr>
            <w:r w:rsidRPr="00D630D1">
              <w:rPr>
                <w:rFonts w:hint="eastAsia"/>
                <w:szCs w:val="21"/>
              </w:rPr>
              <w:t>0.</w:t>
            </w:r>
            <w:r w:rsidR="00E84E95">
              <w:rPr>
                <w:rFonts w:hint="eastAsia"/>
                <w:szCs w:val="21"/>
              </w:rPr>
              <w:t>5</w:t>
            </w:r>
            <w:r w:rsidRPr="00D630D1">
              <w:rPr>
                <w:rFonts w:hint="eastAsia"/>
                <w:szCs w:val="21"/>
              </w:rPr>
              <w:t>8</w:t>
            </w:r>
          </w:p>
        </w:tc>
      </w:tr>
      <w:tr w:rsidR="003655DE" w:rsidRPr="00D630D1" w:rsidTr="0018209F">
        <w:trPr>
          <w:trHeight w:val="19"/>
          <w:jc w:val="center"/>
        </w:trPr>
        <w:tc>
          <w:tcPr>
            <w:tcW w:w="815"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5</w:t>
            </w:r>
          </w:p>
        </w:tc>
        <w:tc>
          <w:tcPr>
            <w:tcW w:w="979"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铅</w:t>
            </w:r>
          </w:p>
        </w:tc>
        <w:tc>
          <w:tcPr>
            <w:tcW w:w="1028" w:type="pct"/>
            <w:tcBorders>
              <w:top w:val="single" w:sz="2" w:space="0" w:color="000000"/>
              <w:bottom w:val="single" w:sz="2" w:space="0" w:color="000000"/>
            </w:tcBorders>
          </w:tcPr>
          <w:p w:rsidR="003655DE" w:rsidRPr="00D630D1" w:rsidRDefault="003655DE" w:rsidP="0018209F">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mg/kg</w:t>
            </w:r>
          </w:p>
        </w:tc>
        <w:tc>
          <w:tcPr>
            <w:tcW w:w="854" w:type="pct"/>
            <w:tcBorders>
              <w:top w:val="single" w:sz="2" w:space="0" w:color="000000"/>
              <w:bottom w:val="single" w:sz="2" w:space="0" w:color="000000"/>
            </w:tcBorders>
            <w:vAlign w:val="center"/>
          </w:tcPr>
          <w:p w:rsidR="003655DE" w:rsidRPr="00D630D1" w:rsidRDefault="00E84E95" w:rsidP="003C1FBC">
            <w:pPr>
              <w:pStyle w:val="aff2"/>
              <w:rPr>
                <w:szCs w:val="21"/>
              </w:rPr>
            </w:pPr>
            <w:r>
              <w:rPr>
                <w:rFonts w:eastAsia="仿宋" w:hint="eastAsia"/>
                <w:bCs/>
                <w:szCs w:val="21"/>
              </w:rPr>
              <w:t>24</w:t>
            </w:r>
          </w:p>
        </w:tc>
        <w:tc>
          <w:tcPr>
            <w:tcW w:w="663" w:type="pct"/>
            <w:tcBorders>
              <w:top w:val="single" w:sz="2" w:space="0" w:color="000000"/>
              <w:bottom w:val="single" w:sz="2" w:space="0" w:color="000000"/>
            </w:tcBorders>
            <w:vAlign w:val="center"/>
          </w:tcPr>
          <w:p w:rsidR="003655DE" w:rsidRPr="00D630D1" w:rsidRDefault="003655DE" w:rsidP="00E84E95">
            <w:pPr>
              <w:pStyle w:val="aff2"/>
              <w:rPr>
                <w:szCs w:val="21"/>
              </w:rPr>
            </w:pPr>
            <w:r w:rsidRPr="00D630D1">
              <w:rPr>
                <w:rFonts w:hint="eastAsia"/>
                <w:szCs w:val="21"/>
              </w:rPr>
              <w:t>1</w:t>
            </w:r>
            <w:r w:rsidR="00E84E95">
              <w:rPr>
                <w:rFonts w:hint="eastAsia"/>
                <w:szCs w:val="21"/>
              </w:rPr>
              <w:t>2</w:t>
            </w:r>
            <w:r w:rsidRPr="00D630D1">
              <w:rPr>
                <w:szCs w:val="21"/>
              </w:rPr>
              <w:t>0</w:t>
            </w:r>
          </w:p>
        </w:tc>
        <w:tc>
          <w:tcPr>
            <w:tcW w:w="661" w:type="pct"/>
            <w:tcBorders>
              <w:top w:val="single" w:sz="2" w:space="0" w:color="000000"/>
              <w:bottom w:val="single" w:sz="2" w:space="0" w:color="000000"/>
            </w:tcBorders>
            <w:vAlign w:val="center"/>
          </w:tcPr>
          <w:p w:rsidR="003655DE" w:rsidRPr="00D630D1" w:rsidRDefault="003C1FBC" w:rsidP="00E84E95">
            <w:pPr>
              <w:pStyle w:val="aff2"/>
              <w:rPr>
                <w:szCs w:val="21"/>
              </w:rPr>
            </w:pPr>
            <w:r w:rsidRPr="00D630D1">
              <w:rPr>
                <w:rFonts w:hint="eastAsia"/>
                <w:szCs w:val="21"/>
              </w:rPr>
              <w:t>0.</w:t>
            </w:r>
            <w:r w:rsidR="00E84E95">
              <w:rPr>
                <w:rFonts w:hint="eastAsia"/>
                <w:szCs w:val="21"/>
              </w:rPr>
              <w:t>2</w:t>
            </w:r>
          </w:p>
        </w:tc>
      </w:tr>
      <w:tr w:rsidR="003655DE" w:rsidRPr="00D630D1" w:rsidTr="0018209F">
        <w:trPr>
          <w:trHeight w:val="19"/>
          <w:jc w:val="center"/>
        </w:trPr>
        <w:tc>
          <w:tcPr>
            <w:tcW w:w="815"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6</w:t>
            </w:r>
          </w:p>
        </w:tc>
        <w:tc>
          <w:tcPr>
            <w:tcW w:w="979"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铜</w:t>
            </w:r>
          </w:p>
        </w:tc>
        <w:tc>
          <w:tcPr>
            <w:tcW w:w="1028" w:type="pct"/>
            <w:tcBorders>
              <w:top w:val="single" w:sz="2" w:space="0" w:color="000000"/>
              <w:bottom w:val="single" w:sz="2" w:space="0" w:color="000000"/>
            </w:tcBorders>
          </w:tcPr>
          <w:p w:rsidR="003655DE" w:rsidRPr="00D630D1" w:rsidRDefault="003655DE" w:rsidP="0018209F">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mg/kg</w:t>
            </w:r>
          </w:p>
        </w:tc>
        <w:tc>
          <w:tcPr>
            <w:tcW w:w="854" w:type="pct"/>
            <w:tcBorders>
              <w:top w:val="single" w:sz="2" w:space="0" w:color="000000"/>
              <w:bottom w:val="single" w:sz="2" w:space="0" w:color="000000"/>
            </w:tcBorders>
            <w:vAlign w:val="center"/>
          </w:tcPr>
          <w:p w:rsidR="003655DE" w:rsidRPr="00D630D1" w:rsidRDefault="00E84E95" w:rsidP="003C1FBC">
            <w:pPr>
              <w:pStyle w:val="aff2"/>
              <w:rPr>
                <w:szCs w:val="21"/>
              </w:rPr>
            </w:pPr>
            <w:r>
              <w:rPr>
                <w:rFonts w:eastAsia="仿宋" w:hint="eastAsia"/>
                <w:bCs/>
                <w:szCs w:val="21"/>
              </w:rPr>
              <w:t>18.4</w:t>
            </w:r>
          </w:p>
        </w:tc>
        <w:tc>
          <w:tcPr>
            <w:tcW w:w="663"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rFonts w:hint="eastAsia"/>
                <w:szCs w:val="21"/>
              </w:rPr>
              <w:t>100</w:t>
            </w:r>
          </w:p>
        </w:tc>
        <w:tc>
          <w:tcPr>
            <w:tcW w:w="661" w:type="pct"/>
            <w:tcBorders>
              <w:top w:val="single" w:sz="2" w:space="0" w:color="000000"/>
              <w:bottom w:val="single" w:sz="2" w:space="0" w:color="000000"/>
            </w:tcBorders>
            <w:vAlign w:val="center"/>
          </w:tcPr>
          <w:p w:rsidR="003655DE" w:rsidRPr="00D630D1" w:rsidRDefault="003C1FBC" w:rsidP="00E84E95">
            <w:pPr>
              <w:pStyle w:val="aff2"/>
              <w:rPr>
                <w:szCs w:val="21"/>
              </w:rPr>
            </w:pPr>
            <w:r w:rsidRPr="00D630D1">
              <w:rPr>
                <w:rFonts w:hint="eastAsia"/>
                <w:szCs w:val="21"/>
              </w:rPr>
              <w:t>0.</w:t>
            </w:r>
            <w:r w:rsidR="00E84E95">
              <w:rPr>
                <w:rFonts w:hint="eastAsia"/>
                <w:szCs w:val="21"/>
              </w:rPr>
              <w:t>18</w:t>
            </w:r>
          </w:p>
        </w:tc>
      </w:tr>
      <w:tr w:rsidR="003655DE" w:rsidRPr="00D630D1" w:rsidTr="0018209F">
        <w:trPr>
          <w:trHeight w:val="19"/>
          <w:jc w:val="center"/>
        </w:trPr>
        <w:tc>
          <w:tcPr>
            <w:tcW w:w="815"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7</w:t>
            </w:r>
          </w:p>
        </w:tc>
        <w:tc>
          <w:tcPr>
            <w:tcW w:w="979"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镍</w:t>
            </w:r>
          </w:p>
        </w:tc>
        <w:tc>
          <w:tcPr>
            <w:tcW w:w="1028" w:type="pct"/>
            <w:tcBorders>
              <w:top w:val="single" w:sz="2" w:space="0" w:color="000000"/>
              <w:bottom w:val="single" w:sz="2" w:space="0" w:color="000000"/>
            </w:tcBorders>
          </w:tcPr>
          <w:p w:rsidR="003655DE" w:rsidRPr="00D630D1" w:rsidRDefault="003655DE" w:rsidP="0018209F">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mg/kg</w:t>
            </w:r>
          </w:p>
        </w:tc>
        <w:tc>
          <w:tcPr>
            <w:tcW w:w="854" w:type="pct"/>
            <w:tcBorders>
              <w:top w:val="single" w:sz="2" w:space="0" w:color="000000"/>
              <w:bottom w:val="single" w:sz="2" w:space="0" w:color="000000"/>
            </w:tcBorders>
            <w:vAlign w:val="center"/>
          </w:tcPr>
          <w:p w:rsidR="003655DE" w:rsidRPr="00D630D1" w:rsidRDefault="00E84E95" w:rsidP="003C1FBC">
            <w:pPr>
              <w:pStyle w:val="aff2"/>
              <w:rPr>
                <w:szCs w:val="21"/>
              </w:rPr>
            </w:pPr>
            <w:r>
              <w:rPr>
                <w:rFonts w:eastAsia="仿宋" w:hint="eastAsia"/>
                <w:bCs/>
                <w:szCs w:val="21"/>
              </w:rPr>
              <w:t>30</w:t>
            </w:r>
          </w:p>
        </w:tc>
        <w:tc>
          <w:tcPr>
            <w:tcW w:w="663" w:type="pct"/>
            <w:tcBorders>
              <w:top w:val="single" w:sz="2" w:space="0" w:color="000000"/>
              <w:bottom w:val="single" w:sz="2" w:space="0" w:color="000000"/>
            </w:tcBorders>
            <w:vAlign w:val="center"/>
          </w:tcPr>
          <w:p w:rsidR="003655DE" w:rsidRPr="00D630D1" w:rsidRDefault="003655DE" w:rsidP="00E84E95">
            <w:pPr>
              <w:pStyle w:val="aff2"/>
              <w:rPr>
                <w:szCs w:val="21"/>
              </w:rPr>
            </w:pPr>
            <w:r w:rsidRPr="00D630D1">
              <w:rPr>
                <w:rFonts w:hint="eastAsia"/>
                <w:szCs w:val="21"/>
              </w:rPr>
              <w:t>1</w:t>
            </w:r>
            <w:r w:rsidR="00E84E95">
              <w:rPr>
                <w:rFonts w:hint="eastAsia"/>
                <w:szCs w:val="21"/>
              </w:rPr>
              <w:t>0</w:t>
            </w:r>
            <w:r w:rsidRPr="00D630D1">
              <w:rPr>
                <w:rFonts w:hint="eastAsia"/>
                <w:szCs w:val="21"/>
              </w:rPr>
              <w:t>0</w:t>
            </w:r>
          </w:p>
        </w:tc>
        <w:tc>
          <w:tcPr>
            <w:tcW w:w="661" w:type="pct"/>
            <w:tcBorders>
              <w:top w:val="single" w:sz="2" w:space="0" w:color="000000"/>
              <w:bottom w:val="single" w:sz="2" w:space="0" w:color="000000"/>
            </w:tcBorders>
            <w:vAlign w:val="center"/>
          </w:tcPr>
          <w:p w:rsidR="003655DE" w:rsidRPr="00D630D1" w:rsidRDefault="003C1FBC" w:rsidP="00E84E95">
            <w:pPr>
              <w:pStyle w:val="aff2"/>
              <w:rPr>
                <w:szCs w:val="21"/>
              </w:rPr>
            </w:pPr>
            <w:r w:rsidRPr="00D630D1">
              <w:rPr>
                <w:rFonts w:hint="eastAsia"/>
                <w:szCs w:val="21"/>
              </w:rPr>
              <w:t>0.</w:t>
            </w:r>
            <w:r w:rsidR="00E84E95">
              <w:rPr>
                <w:rFonts w:hint="eastAsia"/>
                <w:szCs w:val="21"/>
              </w:rPr>
              <w:t>3</w:t>
            </w:r>
          </w:p>
        </w:tc>
      </w:tr>
      <w:tr w:rsidR="003655DE" w:rsidRPr="00D630D1" w:rsidTr="0018209F">
        <w:trPr>
          <w:trHeight w:val="19"/>
          <w:jc w:val="center"/>
        </w:trPr>
        <w:tc>
          <w:tcPr>
            <w:tcW w:w="815"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8</w:t>
            </w:r>
          </w:p>
        </w:tc>
        <w:tc>
          <w:tcPr>
            <w:tcW w:w="979"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铬</w:t>
            </w:r>
          </w:p>
        </w:tc>
        <w:tc>
          <w:tcPr>
            <w:tcW w:w="1028" w:type="pct"/>
            <w:tcBorders>
              <w:top w:val="single" w:sz="2" w:space="0" w:color="000000"/>
              <w:bottom w:val="single" w:sz="2" w:space="0" w:color="000000"/>
            </w:tcBorders>
          </w:tcPr>
          <w:p w:rsidR="003655DE" w:rsidRPr="00D630D1" w:rsidRDefault="003655DE" w:rsidP="0018209F">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mg/kg</w:t>
            </w:r>
          </w:p>
        </w:tc>
        <w:tc>
          <w:tcPr>
            <w:tcW w:w="854" w:type="pct"/>
            <w:tcBorders>
              <w:top w:val="single" w:sz="2" w:space="0" w:color="000000"/>
              <w:bottom w:val="single" w:sz="2" w:space="0" w:color="000000"/>
            </w:tcBorders>
            <w:vAlign w:val="center"/>
          </w:tcPr>
          <w:p w:rsidR="003655DE" w:rsidRPr="00D630D1" w:rsidRDefault="00E84E95" w:rsidP="003C1FBC">
            <w:pPr>
              <w:pStyle w:val="aff2"/>
              <w:rPr>
                <w:szCs w:val="21"/>
              </w:rPr>
            </w:pPr>
            <w:r>
              <w:rPr>
                <w:rFonts w:eastAsia="仿宋" w:hint="eastAsia"/>
                <w:bCs/>
                <w:szCs w:val="21"/>
              </w:rPr>
              <w:t>41</w:t>
            </w:r>
          </w:p>
        </w:tc>
        <w:tc>
          <w:tcPr>
            <w:tcW w:w="663" w:type="pct"/>
            <w:tcBorders>
              <w:top w:val="single" w:sz="2" w:space="0" w:color="000000"/>
              <w:bottom w:val="single" w:sz="2" w:space="0" w:color="000000"/>
            </w:tcBorders>
            <w:vAlign w:val="center"/>
          </w:tcPr>
          <w:p w:rsidR="003655DE" w:rsidRPr="00D630D1" w:rsidRDefault="003655DE" w:rsidP="00E84E95">
            <w:pPr>
              <w:pStyle w:val="aff2"/>
              <w:rPr>
                <w:szCs w:val="21"/>
              </w:rPr>
            </w:pPr>
            <w:r w:rsidRPr="00D630D1">
              <w:rPr>
                <w:rFonts w:hint="eastAsia"/>
                <w:szCs w:val="21"/>
              </w:rPr>
              <w:t>2</w:t>
            </w:r>
            <w:r w:rsidR="00E84E95">
              <w:rPr>
                <w:rFonts w:hint="eastAsia"/>
                <w:szCs w:val="21"/>
              </w:rPr>
              <w:t>0</w:t>
            </w:r>
            <w:r w:rsidRPr="00D630D1">
              <w:rPr>
                <w:szCs w:val="21"/>
              </w:rPr>
              <w:t>0</w:t>
            </w:r>
          </w:p>
        </w:tc>
        <w:tc>
          <w:tcPr>
            <w:tcW w:w="661" w:type="pct"/>
            <w:tcBorders>
              <w:top w:val="single" w:sz="2" w:space="0" w:color="000000"/>
              <w:bottom w:val="single" w:sz="2" w:space="0" w:color="000000"/>
            </w:tcBorders>
            <w:vAlign w:val="center"/>
          </w:tcPr>
          <w:p w:rsidR="003655DE" w:rsidRPr="00D630D1" w:rsidRDefault="003C1FBC" w:rsidP="00E84E95">
            <w:pPr>
              <w:pStyle w:val="aff2"/>
              <w:rPr>
                <w:szCs w:val="21"/>
              </w:rPr>
            </w:pPr>
            <w:r w:rsidRPr="00D630D1">
              <w:rPr>
                <w:rFonts w:hint="eastAsia"/>
                <w:szCs w:val="21"/>
              </w:rPr>
              <w:t>0.</w:t>
            </w:r>
            <w:r w:rsidR="00E84E95">
              <w:rPr>
                <w:rFonts w:hint="eastAsia"/>
                <w:szCs w:val="21"/>
              </w:rPr>
              <w:t>21</w:t>
            </w:r>
          </w:p>
        </w:tc>
      </w:tr>
      <w:tr w:rsidR="003655DE" w:rsidRPr="00D630D1" w:rsidTr="0018209F">
        <w:trPr>
          <w:trHeight w:val="19"/>
          <w:jc w:val="center"/>
        </w:trPr>
        <w:tc>
          <w:tcPr>
            <w:tcW w:w="815"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9</w:t>
            </w:r>
          </w:p>
        </w:tc>
        <w:tc>
          <w:tcPr>
            <w:tcW w:w="979" w:type="pct"/>
            <w:tcBorders>
              <w:top w:val="single" w:sz="2" w:space="0" w:color="000000"/>
              <w:bottom w:val="single" w:sz="2" w:space="0" w:color="000000"/>
            </w:tcBorders>
            <w:vAlign w:val="center"/>
          </w:tcPr>
          <w:p w:rsidR="003655DE" w:rsidRPr="00D630D1" w:rsidRDefault="003655DE" w:rsidP="0018209F">
            <w:pPr>
              <w:pStyle w:val="aff2"/>
              <w:rPr>
                <w:szCs w:val="21"/>
              </w:rPr>
            </w:pPr>
            <w:r w:rsidRPr="00D630D1">
              <w:rPr>
                <w:szCs w:val="21"/>
              </w:rPr>
              <w:t>锌</w:t>
            </w:r>
          </w:p>
        </w:tc>
        <w:tc>
          <w:tcPr>
            <w:tcW w:w="1028" w:type="pct"/>
            <w:tcBorders>
              <w:top w:val="single" w:sz="2" w:space="0" w:color="000000"/>
              <w:bottom w:val="single" w:sz="2" w:space="0" w:color="000000"/>
            </w:tcBorders>
          </w:tcPr>
          <w:p w:rsidR="003655DE" w:rsidRPr="00D630D1" w:rsidRDefault="003655DE" w:rsidP="0018209F">
            <w:pPr>
              <w:pStyle w:val="Default"/>
              <w:jc w:val="center"/>
              <w:rPr>
                <w:rFonts w:ascii="Times New Roman" w:hAnsi="Times New Roman" w:cs="Times New Roman"/>
                <w:color w:val="auto"/>
                <w:kern w:val="2"/>
                <w:sz w:val="21"/>
                <w:szCs w:val="21"/>
                <w:shd w:val="clear" w:color="auto" w:fill="FFFFFF"/>
              </w:rPr>
            </w:pPr>
            <w:r w:rsidRPr="00D630D1">
              <w:rPr>
                <w:rFonts w:ascii="Times New Roman" w:hAnsi="Times New Roman" w:cs="Times New Roman"/>
                <w:color w:val="auto"/>
                <w:sz w:val="21"/>
                <w:szCs w:val="21"/>
              </w:rPr>
              <w:t>mg/kg</w:t>
            </w:r>
          </w:p>
        </w:tc>
        <w:tc>
          <w:tcPr>
            <w:tcW w:w="854" w:type="pct"/>
            <w:tcBorders>
              <w:top w:val="single" w:sz="2" w:space="0" w:color="000000"/>
              <w:bottom w:val="single" w:sz="2" w:space="0" w:color="000000"/>
            </w:tcBorders>
            <w:vAlign w:val="center"/>
          </w:tcPr>
          <w:p w:rsidR="003655DE" w:rsidRPr="00D630D1" w:rsidRDefault="00E84E95" w:rsidP="003C1FBC">
            <w:pPr>
              <w:pStyle w:val="aff2"/>
              <w:rPr>
                <w:szCs w:val="21"/>
              </w:rPr>
            </w:pPr>
            <w:r>
              <w:rPr>
                <w:rFonts w:eastAsia="仿宋" w:hint="eastAsia"/>
                <w:bCs/>
                <w:szCs w:val="21"/>
              </w:rPr>
              <w:t>88</w:t>
            </w:r>
          </w:p>
        </w:tc>
        <w:tc>
          <w:tcPr>
            <w:tcW w:w="663" w:type="pct"/>
            <w:tcBorders>
              <w:top w:val="single" w:sz="2" w:space="0" w:color="000000"/>
              <w:bottom w:val="single" w:sz="2" w:space="0" w:color="000000"/>
            </w:tcBorders>
            <w:vAlign w:val="center"/>
          </w:tcPr>
          <w:p w:rsidR="003655DE" w:rsidRPr="00D630D1" w:rsidRDefault="00E84E95" w:rsidP="0018209F">
            <w:pPr>
              <w:pStyle w:val="aff2"/>
              <w:rPr>
                <w:szCs w:val="21"/>
              </w:rPr>
            </w:pPr>
            <w:r>
              <w:rPr>
                <w:rFonts w:hint="eastAsia"/>
                <w:szCs w:val="21"/>
              </w:rPr>
              <w:t>25</w:t>
            </w:r>
            <w:r w:rsidR="003655DE" w:rsidRPr="00D630D1">
              <w:rPr>
                <w:szCs w:val="21"/>
              </w:rPr>
              <w:t>0</w:t>
            </w:r>
          </w:p>
        </w:tc>
        <w:tc>
          <w:tcPr>
            <w:tcW w:w="661" w:type="pct"/>
            <w:tcBorders>
              <w:top w:val="single" w:sz="2" w:space="0" w:color="000000"/>
              <w:bottom w:val="single" w:sz="2" w:space="0" w:color="000000"/>
            </w:tcBorders>
            <w:vAlign w:val="center"/>
          </w:tcPr>
          <w:p w:rsidR="003655DE" w:rsidRPr="00D630D1" w:rsidRDefault="003C1FBC" w:rsidP="00E84E95">
            <w:pPr>
              <w:pStyle w:val="aff2"/>
              <w:rPr>
                <w:szCs w:val="21"/>
              </w:rPr>
            </w:pPr>
            <w:r w:rsidRPr="00D630D1">
              <w:rPr>
                <w:rFonts w:hint="eastAsia"/>
                <w:szCs w:val="21"/>
              </w:rPr>
              <w:t>0.</w:t>
            </w:r>
            <w:r w:rsidR="00E84E95">
              <w:rPr>
                <w:rFonts w:hint="eastAsia"/>
                <w:szCs w:val="21"/>
              </w:rPr>
              <w:t>32</w:t>
            </w:r>
          </w:p>
        </w:tc>
      </w:tr>
    </w:tbl>
    <w:p w:rsidR="00FD386E" w:rsidRPr="00D630D1" w:rsidRDefault="00FD386E" w:rsidP="007B0D59">
      <w:pPr>
        <w:pStyle w:val="afa"/>
        <w:ind w:firstLine="480"/>
      </w:pPr>
      <w:r w:rsidRPr="00D630D1">
        <w:t>监测结果表明：</w:t>
      </w:r>
      <w:r w:rsidR="00CF082A" w:rsidRPr="00D630D1">
        <w:rPr>
          <w:rFonts w:hint="eastAsia"/>
        </w:rPr>
        <w:t>项目</w:t>
      </w:r>
      <w:r w:rsidR="00CF082A" w:rsidRPr="00D630D1">
        <w:t>站场</w:t>
      </w:r>
      <w:r w:rsidR="00CF082A" w:rsidRPr="00D630D1">
        <w:rPr>
          <w:rFonts w:hint="eastAsia"/>
        </w:rPr>
        <w:t>内土壤中各项监测指标均符合《土壤环境质量</w:t>
      </w:r>
      <w:r w:rsidR="00CF082A" w:rsidRPr="00D630D1">
        <w:rPr>
          <w:rFonts w:hint="eastAsia"/>
        </w:rPr>
        <w:t xml:space="preserve"> </w:t>
      </w:r>
      <w:r w:rsidR="00CF082A" w:rsidRPr="00D630D1">
        <w:rPr>
          <w:rFonts w:hint="eastAsia"/>
        </w:rPr>
        <w:t>建设用地土壤污染风险管控标准（试行）》（</w:t>
      </w:r>
      <w:r w:rsidR="00CF082A" w:rsidRPr="00D630D1">
        <w:rPr>
          <w:rFonts w:hint="eastAsia"/>
        </w:rPr>
        <w:t>GB 36600-2018</w:t>
      </w:r>
      <w:r w:rsidR="00CF082A" w:rsidRPr="00D630D1">
        <w:rPr>
          <w:rFonts w:hint="eastAsia"/>
        </w:rPr>
        <w:t>）中风险筛选值；</w:t>
      </w:r>
      <w:r w:rsidRPr="00D630D1">
        <w:t>站场周边</w:t>
      </w:r>
      <w:r w:rsidR="00CF082A" w:rsidRPr="00D630D1">
        <w:rPr>
          <w:rFonts w:hint="eastAsia"/>
        </w:rPr>
        <w:t>耕地</w:t>
      </w:r>
      <w:r w:rsidRPr="00D630D1">
        <w:t>土壤环境质量良好，各因子均满足《土壤环境质量</w:t>
      </w:r>
      <w:r w:rsidR="00AC5BFD" w:rsidRPr="00D630D1">
        <w:t xml:space="preserve"> </w:t>
      </w:r>
      <w:r w:rsidRPr="00D630D1">
        <w:t>农用地土壤污染风险管控标准（试行）》（</w:t>
      </w:r>
      <w:r w:rsidRPr="00D630D1">
        <w:t>GB-15618-2018</w:t>
      </w:r>
      <w:r w:rsidRPr="00D630D1">
        <w:t>）中农用地土壤污染风险筛选值。土壤环境质量良好。</w:t>
      </w:r>
    </w:p>
    <w:p w:rsidR="00383D53" w:rsidRPr="00D630D1" w:rsidRDefault="00383D53" w:rsidP="007B0D59">
      <w:pPr>
        <w:pStyle w:val="afa"/>
        <w:ind w:firstLine="480"/>
        <w:sectPr w:rsidR="00383D53" w:rsidRPr="00D630D1" w:rsidSect="00DD1647">
          <w:headerReference w:type="even" r:id="rId86"/>
          <w:headerReference w:type="default" r:id="rId87"/>
          <w:footerReference w:type="even" r:id="rId88"/>
          <w:footerReference w:type="default" r:id="rId89"/>
          <w:headerReference w:type="first" r:id="rId90"/>
          <w:footerReference w:type="first" r:id="rId91"/>
          <w:pgSz w:w="11906" w:h="16838"/>
          <w:pgMar w:top="1440" w:right="1800" w:bottom="1560" w:left="1800" w:header="851" w:footer="992" w:gutter="0"/>
          <w:cols w:space="425"/>
          <w:docGrid w:type="lines" w:linePitch="312"/>
        </w:sectPr>
      </w:pPr>
    </w:p>
    <w:p w:rsidR="00117C3D" w:rsidRPr="00D630D1" w:rsidRDefault="007B7965" w:rsidP="007B7965">
      <w:pPr>
        <w:pStyle w:val="1"/>
        <w:spacing w:before="0" w:beforeAutospacing="0" w:after="0" w:afterAutospacing="0"/>
        <w:rPr>
          <w:rFonts w:eastAsia="宋体"/>
        </w:rPr>
      </w:pPr>
      <w:bookmarkStart w:id="463" w:name="_Toc12288617"/>
      <w:bookmarkStart w:id="464" w:name="_Toc19816043"/>
      <w:bookmarkStart w:id="465" w:name="_Toc81515288"/>
      <w:r w:rsidRPr="00D630D1">
        <w:rPr>
          <w:rFonts w:eastAsia="宋体"/>
        </w:rPr>
        <w:lastRenderedPageBreak/>
        <w:t>6</w:t>
      </w:r>
      <w:r w:rsidR="008B5B84" w:rsidRPr="00D630D1">
        <w:rPr>
          <w:rFonts w:eastAsia="宋体"/>
        </w:rPr>
        <w:t xml:space="preserve"> </w:t>
      </w:r>
      <w:r w:rsidR="008B5B84" w:rsidRPr="00D630D1">
        <w:rPr>
          <w:rFonts w:eastAsia="宋体"/>
        </w:rPr>
        <w:t>环境影响预测与评价</w:t>
      </w:r>
      <w:bookmarkEnd w:id="463"/>
      <w:bookmarkEnd w:id="464"/>
      <w:bookmarkEnd w:id="465"/>
    </w:p>
    <w:p w:rsidR="00117C3D" w:rsidRPr="00D630D1" w:rsidRDefault="007B7965" w:rsidP="007B7965">
      <w:pPr>
        <w:pStyle w:val="2"/>
        <w:spacing w:before="120"/>
        <w:rPr>
          <w:rFonts w:cs="Times New Roman"/>
        </w:rPr>
      </w:pPr>
      <w:bookmarkStart w:id="466" w:name="bookmark40"/>
      <w:bookmarkStart w:id="467" w:name="_Toc81515289"/>
      <w:bookmarkStart w:id="468" w:name="_Toc19816044"/>
      <w:bookmarkStart w:id="469" w:name="_Toc12288618"/>
      <w:bookmarkEnd w:id="466"/>
      <w:r w:rsidRPr="00D630D1">
        <w:rPr>
          <w:rFonts w:cs="Times New Roman"/>
        </w:rPr>
        <w:t>6</w:t>
      </w:r>
      <w:r w:rsidR="008B5B84" w:rsidRPr="00D630D1">
        <w:rPr>
          <w:rFonts w:cs="Times New Roman"/>
        </w:rPr>
        <w:t xml:space="preserve">.1 </w:t>
      </w:r>
      <w:r w:rsidR="001F4A69" w:rsidRPr="00D630D1">
        <w:rPr>
          <w:rFonts w:cs="Times New Roman" w:hint="eastAsia"/>
        </w:rPr>
        <w:t>施工期环境影响预测及评价</w:t>
      </w:r>
      <w:bookmarkEnd w:id="467"/>
    </w:p>
    <w:p w:rsidR="00117C3D" w:rsidRPr="00D630D1" w:rsidRDefault="007B7965">
      <w:pPr>
        <w:pStyle w:val="3"/>
        <w:rPr>
          <w:rFonts w:eastAsia="宋体"/>
        </w:rPr>
      </w:pPr>
      <w:r w:rsidRPr="00D630D1">
        <w:rPr>
          <w:rFonts w:eastAsia="宋体"/>
        </w:rPr>
        <w:t>6</w:t>
      </w:r>
      <w:r w:rsidR="008B5B84" w:rsidRPr="00D630D1">
        <w:rPr>
          <w:rFonts w:eastAsia="宋体"/>
        </w:rPr>
        <w:t xml:space="preserve">.1.1 </w:t>
      </w:r>
      <w:r w:rsidR="008B5B84" w:rsidRPr="00D630D1">
        <w:rPr>
          <w:rFonts w:eastAsia="宋体"/>
        </w:rPr>
        <w:t>施工期生态影响分析</w:t>
      </w:r>
    </w:p>
    <w:p w:rsidR="007622AB" w:rsidRPr="00D630D1" w:rsidRDefault="007622AB" w:rsidP="007622AB">
      <w:pPr>
        <w:pStyle w:val="afa"/>
        <w:ind w:firstLine="480"/>
        <w:rPr>
          <w:rStyle w:val="ae"/>
          <w:b w:val="0"/>
          <w:bCs w:val="0"/>
          <w:spacing w:val="0"/>
          <w:position w:val="0"/>
          <w:sz w:val="24"/>
        </w:rPr>
      </w:pPr>
      <w:r w:rsidRPr="00D630D1">
        <w:rPr>
          <w:rFonts w:hint="eastAsia"/>
        </w:rPr>
        <w:t>本工程对生态环境的影响主要表现为开挖管沟、敷设管道、修筑施工道路、临时材料堆场堆放钢管、停放车辆等工程活动占用土地导致临时改变土地利用性质、对地表植被的破坏、对土壤环境的破坏等，即打破了地表的原有平衡状态。若恢复治理措施不当，土壤的每一个新剖面，每条新车印都可能形成新的侵蚀起点，从而加重当地的水土流失，并影响农业生产，使当地农民的收入受到一定的损失。</w:t>
      </w:r>
    </w:p>
    <w:p w:rsidR="00117C3D" w:rsidRPr="00D630D1" w:rsidRDefault="00A07924" w:rsidP="00323202">
      <w:pPr>
        <w:pStyle w:val="afa"/>
        <w:ind w:firstLine="482"/>
        <w:rPr>
          <w:rStyle w:val="ae"/>
          <w:spacing w:val="0"/>
          <w:position w:val="0"/>
          <w:sz w:val="24"/>
        </w:rPr>
      </w:pPr>
      <w:r w:rsidRPr="00D630D1">
        <w:rPr>
          <w:rStyle w:val="ae"/>
          <w:spacing w:val="0"/>
          <w:position w:val="0"/>
          <w:sz w:val="24"/>
        </w:rPr>
        <w:t>1</w:t>
      </w:r>
      <w:r w:rsidR="008B5B84" w:rsidRPr="00D630D1">
        <w:rPr>
          <w:rStyle w:val="ae"/>
          <w:spacing w:val="0"/>
          <w:position w:val="0"/>
          <w:sz w:val="24"/>
        </w:rPr>
        <w:t>、</w:t>
      </w:r>
      <w:bookmarkStart w:id="470" w:name="_Toc19816048"/>
      <w:bookmarkStart w:id="471" w:name="_Toc12288641"/>
      <w:bookmarkEnd w:id="468"/>
      <w:bookmarkEnd w:id="469"/>
      <w:r w:rsidR="008B5B84" w:rsidRPr="00D630D1">
        <w:rPr>
          <w:rStyle w:val="ae"/>
          <w:spacing w:val="0"/>
          <w:position w:val="0"/>
          <w:sz w:val="24"/>
        </w:rPr>
        <w:t>工程占地</w:t>
      </w:r>
      <w:r w:rsidR="00074CB2" w:rsidRPr="00D630D1">
        <w:rPr>
          <w:rStyle w:val="ae"/>
          <w:rFonts w:hint="eastAsia"/>
          <w:spacing w:val="0"/>
          <w:position w:val="0"/>
          <w:sz w:val="24"/>
        </w:rPr>
        <w:t>影响分析</w:t>
      </w:r>
    </w:p>
    <w:p w:rsidR="00074CB2" w:rsidRPr="00D630D1" w:rsidRDefault="00074CB2" w:rsidP="00074CB2">
      <w:pPr>
        <w:pStyle w:val="a1"/>
        <w:ind w:firstLine="482"/>
        <w:rPr>
          <w:rFonts w:ascii="Times New Roman" w:cs="Times New Roman"/>
          <w:b/>
          <w:bCs/>
        </w:rPr>
      </w:pPr>
      <w:r w:rsidRPr="00D630D1">
        <w:rPr>
          <w:rFonts w:ascii="Times New Roman" w:cs="Times New Roman"/>
          <w:b/>
          <w:bCs/>
        </w:rPr>
        <w:t>（</w:t>
      </w:r>
      <w:r w:rsidRPr="00D630D1">
        <w:rPr>
          <w:rFonts w:ascii="Times New Roman" w:cs="Times New Roman"/>
          <w:b/>
          <w:bCs/>
        </w:rPr>
        <w:t>1</w:t>
      </w:r>
      <w:r w:rsidRPr="00D630D1">
        <w:rPr>
          <w:rFonts w:ascii="Times New Roman" w:cs="Times New Roman"/>
          <w:b/>
          <w:bCs/>
        </w:rPr>
        <w:t>）永久占地</w:t>
      </w:r>
    </w:p>
    <w:p w:rsidR="00074CB2" w:rsidRPr="00D630D1" w:rsidRDefault="00074CB2" w:rsidP="00074CB2">
      <w:pPr>
        <w:pStyle w:val="afa"/>
        <w:ind w:firstLine="480"/>
      </w:pPr>
      <w:r w:rsidRPr="00D630D1">
        <w:rPr>
          <w:rFonts w:hint="eastAsia"/>
        </w:rPr>
        <w:t>①永久占地情况</w:t>
      </w:r>
    </w:p>
    <w:p w:rsidR="00323202" w:rsidRPr="00D630D1" w:rsidRDefault="003E1BEF" w:rsidP="00323202">
      <w:pPr>
        <w:pStyle w:val="afa"/>
        <w:ind w:firstLine="480"/>
      </w:pPr>
      <w:r w:rsidRPr="00D630D1">
        <w:rPr>
          <w:rFonts w:hint="eastAsia"/>
        </w:rPr>
        <w:t>项目永久占地</w:t>
      </w:r>
      <w:r w:rsidRPr="000B68BB">
        <w:rPr>
          <w:rFonts w:hint="eastAsia"/>
        </w:rPr>
        <w:t>11615</w:t>
      </w:r>
      <w:r w:rsidRPr="00D630D1">
        <w:rPr>
          <w:rFonts w:hint="eastAsia"/>
          <w:bCs/>
        </w:rPr>
        <w:t>m</w:t>
      </w:r>
      <w:r w:rsidRPr="00D630D1">
        <w:rPr>
          <w:rFonts w:hint="eastAsia"/>
          <w:bCs/>
          <w:vertAlign w:val="superscript"/>
        </w:rPr>
        <w:t>2</w:t>
      </w:r>
      <w:r>
        <w:rPr>
          <w:rFonts w:hint="eastAsia"/>
        </w:rPr>
        <w:t>（不涉及新增占地）</w:t>
      </w:r>
      <w:r w:rsidR="00074CB2" w:rsidRPr="00D630D1">
        <w:t>。不占用</w:t>
      </w:r>
      <w:r w:rsidR="005B4B8C" w:rsidRPr="00D630D1">
        <w:t>永久</w:t>
      </w:r>
      <w:r w:rsidR="00074CB2" w:rsidRPr="00D630D1">
        <w:t>基本农田，不涉及基本农田保护区，符合基本农田保护相关规范及要求。</w:t>
      </w:r>
    </w:p>
    <w:p w:rsidR="00074CB2" w:rsidRPr="00D630D1" w:rsidRDefault="00074CB2" w:rsidP="00074CB2">
      <w:pPr>
        <w:pStyle w:val="a1"/>
        <w:ind w:firstLine="480"/>
        <w:rPr>
          <w:rFonts w:ascii="Times New Roman" w:cs="Times New Roman"/>
          <w:bCs/>
        </w:rPr>
      </w:pPr>
      <w:r w:rsidRPr="00D630D1">
        <w:rPr>
          <w:rFonts w:hAnsi="宋体" w:hint="eastAsia"/>
          <w:bCs/>
        </w:rPr>
        <w:t>②</w:t>
      </w:r>
      <w:r w:rsidRPr="00D630D1">
        <w:rPr>
          <w:rFonts w:ascii="Times New Roman" w:cs="Times New Roman"/>
          <w:bCs/>
        </w:rPr>
        <w:t>占地影响分析</w:t>
      </w:r>
    </w:p>
    <w:p w:rsidR="00074CB2" w:rsidRPr="00D630D1" w:rsidRDefault="00074CB2" w:rsidP="00074CB2">
      <w:pPr>
        <w:pStyle w:val="a1"/>
        <w:ind w:firstLine="480"/>
        <w:rPr>
          <w:rFonts w:ascii="Times New Roman" w:cs="Times New Roman"/>
          <w:bCs/>
        </w:rPr>
      </w:pPr>
      <w:r w:rsidRPr="00D630D1">
        <w:rPr>
          <w:rFonts w:ascii="Times New Roman" w:cs="Times New Roman"/>
          <w:bCs/>
        </w:rPr>
        <w:t>由于本项目永久占用土地</w:t>
      </w:r>
      <w:r w:rsidR="003E1BEF">
        <w:rPr>
          <w:rFonts w:ascii="Times New Roman" w:cs="Times New Roman" w:hint="eastAsia"/>
          <w:bCs/>
        </w:rPr>
        <w:t>不涉及新增占地</w:t>
      </w:r>
      <w:r w:rsidR="003E1BEF">
        <w:rPr>
          <w:rFonts w:ascii="Times New Roman" w:cs="Times New Roman"/>
          <w:bCs/>
        </w:rPr>
        <w:t>，不会对当地土地利用产生</w:t>
      </w:r>
      <w:r w:rsidRPr="00D630D1">
        <w:rPr>
          <w:rFonts w:ascii="Times New Roman" w:cs="Times New Roman"/>
          <w:bCs/>
        </w:rPr>
        <w:t>影响。项目永久占地</w:t>
      </w:r>
      <w:r w:rsidRPr="00D630D1">
        <w:rPr>
          <w:rFonts w:ascii="Times New Roman" w:cs="Times New Roman"/>
        </w:rPr>
        <w:t>不占用</w:t>
      </w:r>
      <w:r w:rsidR="005B4B8C" w:rsidRPr="00D630D1">
        <w:rPr>
          <w:rFonts w:ascii="Times New Roman" w:cs="Times New Roman"/>
        </w:rPr>
        <w:t>永久</w:t>
      </w:r>
      <w:r w:rsidRPr="00D630D1">
        <w:rPr>
          <w:rFonts w:ascii="Times New Roman" w:cs="Times New Roman"/>
        </w:rPr>
        <w:t>基本农田，不涉及基本农田保护区</w:t>
      </w:r>
      <w:r w:rsidRPr="00D630D1">
        <w:rPr>
          <w:rFonts w:ascii="Times New Roman" w:cs="Times New Roman"/>
          <w:bCs/>
        </w:rPr>
        <w:t>。</w:t>
      </w:r>
    </w:p>
    <w:p w:rsidR="00074CB2" w:rsidRPr="00D630D1" w:rsidRDefault="00074CB2" w:rsidP="00074CB2">
      <w:pPr>
        <w:pStyle w:val="a1"/>
        <w:ind w:firstLine="482"/>
        <w:rPr>
          <w:rFonts w:ascii="Times New Roman" w:cs="Times New Roman"/>
          <w:b/>
          <w:bCs/>
        </w:rPr>
      </w:pPr>
      <w:r w:rsidRPr="00D630D1">
        <w:rPr>
          <w:rFonts w:ascii="Times New Roman" w:cs="Times New Roman"/>
          <w:b/>
          <w:bCs/>
        </w:rPr>
        <w:t>（</w:t>
      </w:r>
      <w:r w:rsidRPr="00D630D1">
        <w:rPr>
          <w:rFonts w:ascii="Times New Roman" w:cs="Times New Roman"/>
          <w:b/>
          <w:bCs/>
        </w:rPr>
        <w:t>2</w:t>
      </w:r>
      <w:r w:rsidRPr="00D630D1">
        <w:rPr>
          <w:rFonts w:ascii="Times New Roman" w:cs="Times New Roman"/>
          <w:b/>
          <w:bCs/>
        </w:rPr>
        <w:t>）临时占地</w:t>
      </w:r>
    </w:p>
    <w:p w:rsidR="00074CB2" w:rsidRPr="00D630D1" w:rsidRDefault="00074CB2" w:rsidP="00074CB2">
      <w:pPr>
        <w:pStyle w:val="afa"/>
        <w:ind w:firstLine="480"/>
      </w:pPr>
      <w:r w:rsidRPr="00D630D1">
        <w:rPr>
          <w:rFonts w:hAnsi="宋体" w:hint="eastAsia"/>
        </w:rPr>
        <w:t>①</w:t>
      </w:r>
      <w:r w:rsidRPr="00D630D1">
        <w:t>占地情况</w:t>
      </w:r>
    </w:p>
    <w:p w:rsidR="00074CB2" w:rsidRPr="00D630D1" w:rsidRDefault="003655DE" w:rsidP="00074CB2">
      <w:pPr>
        <w:pStyle w:val="afa"/>
        <w:ind w:firstLine="480"/>
      </w:pPr>
      <w:r w:rsidRPr="00D630D1">
        <w:t>本项目</w:t>
      </w:r>
      <w:r w:rsidRPr="00D630D1">
        <w:rPr>
          <w:bCs/>
        </w:rPr>
        <w:t>临时占地</w:t>
      </w:r>
      <w:r w:rsidR="003E1BEF" w:rsidRPr="000B68BB">
        <w:rPr>
          <w:rFonts w:hint="eastAsia"/>
          <w:bCs/>
        </w:rPr>
        <w:t>3364</w:t>
      </w:r>
      <w:r w:rsidR="003E1BEF" w:rsidRPr="000B68BB">
        <w:rPr>
          <w:bCs/>
        </w:rPr>
        <w:t>0m</w:t>
      </w:r>
      <w:r w:rsidR="003E1BEF" w:rsidRPr="000B68BB">
        <w:rPr>
          <w:bCs/>
          <w:vertAlign w:val="superscript"/>
        </w:rPr>
        <w:t>2</w:t>
      </w:r>
      <w:r w:rsidRPr="00D630D1">
        <w:t>，</w:t>
      </w:r>
      <w:r w:rsidR="003E1BEF" w:rsidRPr="00D630D1">
        <w:t>其中管道作业带（</w:t>
      </w:r>
      <w:r w:rsidR="003E1BEF" w:rsidRPr="00D630D1">
        <w:t>8m</w:t>
      </w:r>
      <w:r w:rsidR="003E1BEF" w:rsidRPr="00D630D1">
        <w:t>）临时占地</w:t>
      </w:r>
      <w:r w:rsidR="003E1BEF">
        <w:rPr>
          <w:rFonts w:hint="eastAsia"/>
        </w:rPr>
        <w:t>3184</w:t>
      </w:r>
      <w:r w:rsidR="003E1BEF" w:rsidRPr="00D630D1">
        <w:t>0</w:t>
      </w:r>
      <w:r w:rsidR="003E1BEF" w:rsidRPr="00D630D1">
        <w:rPr>
          <w:bCs/>
        </w:rPr>
        <w:t>m</w:t>
      </w:r>
      <w:r w:rsidR="003E1BEF" w:rsidRPr="00D630D1">
        <w:rPr>
          <w:bCs/>
          <w:vertAlign w:val="superscript"/>
        </w:rPr>
        <w:t>2</w:t>
      </w:r>
      <w:r w:rsidR="003E1BEF" w:rsidRPr="00D630D1">
        <w:t>，管道工程区堆管点临时占地</w:t>
      </w:r>
      <w:r w:rsidR="003E1BEF">
        <w:rPr>
          <w:rFonts w:hint="eastAsia"/>
        </w:rPr>
        <w:t>10</w:t>
      </w:r>
      <w:r w:rsidR="003E1BEF" w:rsidRPr="00D630D1">
        <w:t>00</w:t>
      </w:r>
      <w:r w:rsidR="003E1BEF" w:rsidRPr="00D630D1">
        <w:rPr>
          <w:bCs/>
        </w:rPr>
        <w:t>m</w:t>
      </w:r>
      <w:r w:rsidR="003E1BEF" w:rsidRPr="00D630D1">
        <w:rPr>
          <w:bCs/>
          <w:vertAlign w:val="superscript"/>
        </w:rPr>
        <w:t>2</w:t>
      </w:r>
      <w:r w:rsidR="003E1BEF" w:rsidRPr="00D630D1">
        <w:t>，施工便道区临时占地</w:t>
      </w:r>
      <w:r w:rsidR="003E1BEF">
        <w:rPr>
          <w:rFonts w:hint="eastAsia"/>
        </w:rPr>
        <w:t>8</w:t>
      </w:r>
      <w:r w:rsidR="003E1BEF" w:rsidRPr="00D630D1">
        <w:t>00</w:t>
      </w:r>
      <w:r w:rsidR="003E1BEF" w:rsidRPr="00D630D1">
        <w:rPr>
          <w:bCs/>
        </w:rPr>
        <w:t>m</w:t>
      </w:r>
      <w:r w:rsidR="003E1BEF" w:rsidRPr="00D630D1">
        <w:rPr>
          <w:bCs/>
          <w:vertAlign w:val="superscript"/>
        </w:rPr>
        <w:t>2</w:t>
      </w:r>
      <w:r w:rsidR="00074CB2" w:rsidRPr="00D630D1">
        <w:t>。不占用</w:t>
      </w:r>
      <w:r w:rsidR="005B4B8C" w:rsidRPr="00D630D1">
        <w:t>永久</w:t>
      </w:r>
      <w:r w:rsidR="00074CB2" w:rsidRPr="00D630D1">
        <w:t>基本农田，不涉及基本农田保护区，符合基本农田保护相关规范及要求。</w:t>
      </w:r>
      <w:r w:rsidR="007B6E09" w:rsidRPr="007B6E09">
        <w:rPr>
          <w:rFonts w:hint="eastAsia"/>
        </w:rPr>
        <w:t>但</w:t>
      </w:r>
      <w:r w:rsidR="007B6E09">
        <w:rPr>
          <w:rFonts w:hint="eastAsia"/>
        </w:rPr>
        <w:t>临时占地中</w:t>
      </w:r>
      <w:r w:rsidR="007B6E09" w:rsidRPr="007B6E09">
        <w:rPr>
          <w:rFonts w:hint="eastAsia"/>
        </w:rPr>
        <w:t>所占</w:t>
      </w:r>
      <w:r w:rsidR="007B6E09" w:rsidRPr="007B6E09">
        <w:rPr>
          <w:rFonts w:hint="eastAsia"/>
          <w:bCs/>
        </w:rPr>
        <w:t>林地为二级公益林，占地面积约</w:t>
      </w:r>
      <w:r w:rsidR="007B6E09">
        <w:rPr>
          <w:rFonts w:hint="eastAsia"/>
          <w:bCs/>
        </w:rPr>
        <w:t>265</w:t>
      </w:r>
      <w:r w:rsidR="007B6E09" w:rsidRPr="007B6E09">
        <w:rPr>
          <w:rFonts w:hint="eastAsia"/>
          <w:bCs/>
        </w:rPr>
        <w:t>0m</w:t>
      </w:r>
      <w:r w:rsidR="007B6E09" w:rsidRPr="007B6E09">
        <w:rPr>
          <w:rFonts w:hint="eastAsia"/>
          <w:bCs/>
          <w:vertAlign w:val="superscript"/>
        </w:rPr>
        <w:t>2</w:t>
      </w:r>
      <w:r w:rsidR="007B6E09" w:rsidRPr="007B6E09">
        <w:rPr>
          <w:rFonts w:hint="eastAsia"/>
          <w:bCs/>
        </w:rPr>
        <w:t>，</w:t>
      </w:r>
      <w:r w:rsidR="007B6E09" w:rsidRPr="007B6E09">
        <w:rPr>
          <w:rFonts w:hint="eastAsia"/>
        </w:rPr>
        <w:t>因此，</w:t>
      </w:r>
      <w:r w:rsidR="007B6E09" w:rsidRPr="007B6E09">
        <w:t>在</w:t>
      </w:r>
      <w:r w:rsidR="007B6E09" w:rsidRPr="007B6E09">
        <w:rPr>
          <w:rFonts w:hint="eastAsia"/>
        </w:rPr>
        <w:t>施工前需取得林业部门相关手续，并在</w:t>
      </w:r>
      <w:r w:rsidR="007B6E09" w:rsidRPr="007B6E09">
        <w:t>具体施工中，</w:t>
      </w:r>
      <w:r w:rsidR="007B6E09" w:rsidRPr="007B6E09">
        <w:rPr>
          <w:rFonts w:hint="eastAsia"/>
        </w:rPr>
        <w:t>将</w:t>
      </w:r>
      <w:r w:rsidR="007B6E09" w:rsidRPr="007B6E09">
        <w:rPr>
          <w:rFonts w:hint="eastAsia"/>
          <w:bCs/>
        </w:rPr>
        <w:t>二级公益林</w:t>
      </w:r>
      <w:r w:rsidR="007B6E09" w:rsidRPr="007B6E09">
        <w:t>进行移栽</w:t>
      </w:r>
      <w:r w:rsidR="007B6E09">
        <w:rPr>
          <w:rFonts w:hint="eastAsia"/>
        </w:rPr>
        <w:t>和保护，待施工完成后进行回栽</w:t>
      </w:r>
      <w:r w:rsidR="007B6E09" w:rsidRPr="007B6E09">
        <w:t>。</w:t>
      </w:r>
    </w:p>
    <w:p w:rsidR="00074CB2" w:rsidRPr="00D630D1" w:rsidRDefault="00074CB2" w:rsidP="00074CB2">
      <w:pPr>
        <w:pStyle w:val="afa"/>
        <w:ind w:firstLine="480"/>
      </w:pPr>
      <w:r w:rsidRPr="00D630D1">
        <w:rPr>
          <w:rFonts w:hAnsi="宋体" w:hint="eastAsia"/>
        </w:rPr>
        <w:t>②</w:t>
      </w:r>
      <w:r w:rsidRPr="00D630D1">
        <w:t>占地影响</w:t>
      </w:r>
    </w:p>
    <w:p w:rsidR="00074CB2" w:rsidRPr="00D630D1" w:rsidRDefault="00074CB2" w:rsidP="00074CB2">
      <w:pPr>
        <w:pStyle w:val="afa"/>
        <w:ind w:firstLine="480"/>
      </w:pPr>
      <w:r w:rsidRPr="00D630D1">
        <w:t>项目的临时占地主要在施工期。在管线及站场施工过程中，施工作业带、施工便道等均为临时占用土地，一般仅在施工阶段造成沿线土地利用的暂时改变，大部分用地在施工结束后短期内（</w:t>
      </w:r>
      <w:r w:rsidRPr="00D630D1">
        <w:t>1</w:t>
      </w:r>
      <w:r w:rsidRPr="00D630D1">
        <w:t>年～</w:t>
      </w:r>
      <w:r w:rsidRPr="00D630D1">
        <w:t>2</w:t>
      </w:r>
      <w:r w:rsidRPr="00D630D1">
        <w:t>年）能恢复原有的利用功能。</w:t>
      </w:r>
    </w:p>
    <w:p w:rsidR="00074CB2" w:rsidRPr="00D630D1" w:rsidRDefault="00074CB2" w:rsidP="00074CB2">
      <w:pPr>
        <w:pStyle w:val="afa"/>
        <w:ind w:firstLine="480"/>
      </w:pPr>
      <w:r w:rsidRPr="00D630D1">
        <w:lastRenderedPageBreak/>
        <w:t>A.</w:t>
      </w:r>
      <w:r w:rsidRPr="00D630D1">
        <w:t>管道施工作业带占地</w:t>
      </w:r>
    </w:p>
    <w:p w:rsidR="00074CB2" w:rsidRPr="00D630D1" w:rsidRDefault="00074CB2" w:rsidP="00074CB2">
      <w:pPr>
        <w:pStyle w:val="afa"/>
        <w:ind w:firstLine="480"/>
      </w:pPr>
      <w:r w:rsidRPr="00D630D1">
        <w:t>管道工程大部分临时占地是在管道开挖埋设施工过程中，由于管道施工分段进行，施工时间较短，每段管线从施工到重新覆土约为三个月的时间，施工完毕后，管道敷设完成，该地段土地利用大部分可恢复为原利用状态。</w:t>
      </w:r>
    </w:p>
    <w:p w:rsidR="00074CB2" w:rsidRPr="00D630D1" w:rsidRDefault="00074CB2" w:rsidP="00074CB2">
      <w:pPr>
        <w:pStyle w:val="afa"/>
        <w:ind w:firstLine="480"/>
      </w:pPr>
      <w:r w:rsidRPr="00D630D1">
        <w:t>施工完成后，管道两侧</w:t>
      </w:r>
      <w:r w:rsidRPr="00D630D1">
        <w:t>5m</w:t>
      </w:r>
      <w:r w:rsidRPr="00D630D1">
        <w:t>范围内不能再种植深根植物，一般情况下，该地段可以种植根系不发达的草本植物，以改善景观、防止水土流失。因此从用地类型看对林地、灌丛等用地有一定的影响。</w:t>
      </w:r>
    </w:p>
    <w:p w:rsidR="00074CB2" w:rsidRPr="00D630D1" w:rsidRDefault="00074CB2" w:rsidP="00074CB2">
      <w:pPr>
        <w:pStyle w:val="afa"/>
        <w:ind w:firstLine="480"/>
      </w:pPr>
      <w:r w:rsidRPr="00D630D1">
        <w:t>从宏观整体区域看，施工作业带为线性施工，相较于所占地类型面积比例极小，施工临时区域不会影响该区域的土地利用结构。管道施工完毕，管线两侧</w:t>
      </w:r>
      <w:r w:rsidRPr="00D630D1">
        <w:t>5m</w:t>
      </w:r>
      <w:r w:rsidRPr="00D630D1">
        <w:t>范围外可以重新种植深根作物，对土地利用的影响也将逐渐消失。</w:t>
      </w:r>
    </w:p>
    <w:p w:rsidR="00074CB2" w:rsidRPr="00D630D1" w:rsidRDefault="00074CB2" w:rsidP="00074CB2">
      <w:pPr>
        <w:pStyle w:val="afa"/>
        <w:ind w:firstLine="480"/>
      </w:pPr>
      <w:r w:rsidRPr="00D630D1">
        <w:t>B.</w:t>
      </w:r>
      <w:r w:rsidRPr="00D630D1">
        <w:t>施工便道占地</w:t>
      </w:r>
    </w:p>
    <w:p w:rsidR="00074CB2" w:rsidRPr="00D630D1" w:rsidRDefault="00074CB2" w:rsidP="00074CB2">
      <w:pPr>
        <w:pStyle w:val="afa"/>
        <w:ind w:firstLine="480"/>
      </w:pPr>
      <w:r w:rsidRPr="00D630D1">
        <w:t>管线施工便道属于临时性工程占地，施工结束后大部分即可恢复原有用地使用性质，一部分的施工便道将作为农村道路或者为了管道维护的方便而保持下来，虽然改变了其原有的用地性质，但由于保留的施工便道比较少，不会对区域土地利用产生较大影响。施工期施工便道对沿线生态环境的影响主要有：</w:t>
      </w:r>
    </w:p>
    <w:p w:rsidR="00074CB2" w:rsidRPr="00D630D1" w:rsidRDefault="00074CB2" w:rsidP="00074CB2">
      <w:pPr>
        <w:pStyle w:val="afa"/>
        <w:ind w:firstLine="480"/>
      </w:pPr>
      <w:r w:rsidRPr="00D630D1">
        <w:t>a.</w:t>
      </w:r>
      <w:r w:rsidRPr="00D630D1">
        <w:t>临时占地将破坏地表原有植被作物，其中对农作物而言将减少一季收成；</w:t>
      </w:r>
    </w:p>
    <w:p w:rsidR="00074CB2" w:rsidRPr="00D630D1" w:rsidRDefault="00074CB2" w:rsidP="00074CB2">
      <w:pPr>
        <w:pStyle w:val="afa"/>
        <w:ind w:firstLine="480"/>
      </w:pPr>
      <w:r w:rsidRPr="00D630D1">
        <w:t>b.</w:t>
      </w:r>
      <w:r w:rsidRPr="00D630D1">
        <w:t>施工过程中车辆碾压使占地范围内的土壤紧实度增加，对土地复耕后作物根系发育和生长不利；</w:t>
      </w:r>
    </w:p>
    <w:p w:rsidR="00074CB2" w:rsidRPr="00D630D1" w:rsidRDefault="00074CB2" w:rsidP="003655DE">
      <w:pPr>
        <w:pStyle w:val="afa"/>
        <w:ind w:firstLine="480"/>
      </w:pPr>
      <w:r w:rsidRPr="00D630D1">
        <w:t>c.</w:t>
      </w:r>
      <w:r w:rsidRPr="00D630D1">
        <w:t>在干燥天气下，车辆行驶扬尘，使便道两侧作物叶面覆盖降尘，光合作用弱，影响作物生长；降雨天气，施工车辆进出施工场地，施工便</w:t>
      </w:r>
      <w:r w:rsidR="003655DE" w:rsidRPr="00D630D1">
        <w:t>道上的泥土将影响到公路路面的清洁，干燥后会产生扬尘污染</w:t>
      </w:r>
      <w:r w:rsidRPr="00D630D1">
        <w:t>；</w:t>
      </w:r>
    </w:p>
    <w:p w:rsidR="00074CB2" w:rsidRPr="00D630D1" w:rsidRDefault="00074CB2" w:rsidP="00074CB2">
      <w:pPr>
        <w:pStyle w:val="afa"/>
        <w:ind w:firstLine="480"/>
      </w:pPr>
      <w:r w:rsidRPr="00D630D1">
        <w:t>总之，临时性工程占地短期内将影响沿线土地的利用状况，施工结束后，随着生态补偿或生态恢复措施的实施，这一影响将逐渐小或消失。</w:t>
      </w:r>
    </w:p>
    <w:p w:rsidR="00117C3D" w:rsidRPr="00D630D1" w:rsidRDefault="008B5B84" w:rsidP="00256996">
      <w:pPr>
        <w:pStyle w:val="afa"/>
        <w:ind w:firstLine="482"/>
        <w:rPr>
          <w:b/>
          <w:bCs/>
        </w:rPr>
      </w:pPr>
      <w:r w:rsidRPr="00D630D1">
        <w:rPr>
          <w:b/>
          <w:bCs/>
        </w:rPr>
        <w:t>（</w:t>
      </w:r>
      <w:r w:rsidRPr="00D630D1">
        <w:rPr>
          <w:b/>
          <w:bCs/>
        </w:rPr>
        <w:t>3</w:t>
      </w:r>
      <w:r w:rsidRPr="00D630D1">
        <w:rPr>
          <w:b/>
          <w:bCs/>
        </w:rPr>
        <w:t>）</w:t>
      </w:r>
      <w:r w:rsidR="00074CB2" w:rsidRPr="00D630D1">
        <w:rPr>
          <w:rFonts w:hint="eastAsia"/>
          <w:b/>
          <w:bCs/>
        </w:rPr>
        <w:t>占地</w:t>
      </w:r>
      <w:r w:rsidRPr="00D630D1">
        <w:rPr>
          <w:b/>
          <w:bCs/>
        </w:rPr>
        <w:t>对农业生产的影响</w:t>
      </w:r>
    </w:p>
    <w:p w:rsidR="00117C3D" w:rsidRPr="00D630D1" w:rsidRDefault="008B5B84" w:rsidP="00256996">
      <w:pPr>
        <w:pStyle w:val="afa"/>
        <w:ind w:firstLine="480"/>
        <w:rPr>
          <w:bCs/>
        </w:rPr>
      </w:pPr>
      <w:r w:rsidRPr="00D630D1">
        <w:rPr>
          <w:bCs/>
        </w:rPr>
        <w:t>在管道施工期间，主要包括站场建设、管道施工以及施工便道建设期，当季无法种植农作物，而且将破坏施工地面已有的农作物，这些都将造成一定的经济损失。管道维修养护也将影响农业收入。</w:t>
      </w:r>
    </w:p>
    <w:p w:rsidR="00117C3D" w:rsidRPr="00D630D1" w:rsidRDefault="008B5B84" w:rsidP="00256996">
      <w:pPr>
        <w:pStyle w:val="afa"/>
        <w:ind w:firstLine="480"/>
      </w:pPr>
      <w:r w:rsidRPr="00D630D1">
        <w:t>在施工期间，由于土石开挖填埋、机械与车辆碾压及人员践踏等活动，将对施工作业带范围内的农作物产生影响。输气管道工程对农作物的影响主要表现在</w:t>
      </w:r>
      <w:r w:rsidRPr="00D630D1">
        <w:lastRenderedPageBreak/>
        <w:t>临时性占用土地的形式上。倘若施工作业在耕作期，必将毁坏农作物减少农作物产量。临时性占地只对耕作期的作物有影响，对农业带来的损失是暂时的，在施工结束后，经过一段时间皆可恢复其原有功能。由于管道的开挖和铺设是分段进行的，每段施工的期限为</w:t>
      </w:r>
      <w:r w:rsidRPr="00D630D1">
        <w:t>1~3</w:t>
      </w:r>
      <w:r w:rsidRPr="00D630D1">
        <w:t>个月，因而只会影响一季度的农作物收成，施工结束后，第二年将会恢复种植。</w:t>
      </w:r>
    </w:p>
    <w:p w:rsidR="00117C3D" w:rsidRPr="00D630D1" w:rsidRDefault="008B5B84" w:rsidP="00256996">
      <w:pPr>
        <w:pStyle w:val="afa"/>
        <w:ind w:firstLine="480"/>
        <w:rPr>
          <w:bCs/>
        </w:rPr>
      </w:pPr>
      <w:r w:rsidRPr="00D630D1">
        <w:t>对于临时占用耕地使农民受到一定的经济损失，</w:t>
      </w:r>
      <w:r w:rsidRPr="00D630D1">
        <w:rPr>
          <w:bCs/>
        </w:rPr>
        <w:t>项目建设需对沿线农作物、林地资源等资源的赔偿，</w:t>
      </w:r>
      <w:r w:rsidRPr="00D630D1">
        <w:t>这部分损失应给予赔偿，</w:t>
      </w:r>
      <w:r w:rsidRPr="00D630D1">
        <w:rPr>
          <w:bCs/>
        </w:rPr>
        <w:t>与相关方面达成一致协议，同时设立赔偿专项资金，最大限度的减小项目对当地的影响。</w:t>
      </w:r>
    </w:p>
    <w:p w:rsidR="00074CB2" w:rsidRPr="00D630D1" w:rsidRDefault="00074CB2" w:rsidP="00256996">
      <w:pPr>
        <w:pStyle w:val="afa"/>
        <w:ind w:firstLine="482"/>
        <w:rPr>
          <w:b/>
        </w:rPr>
      </w:pPr>
      <w:r w:rsidRPr="00D630D1">
        <w:rPr>
          <w:rFonts w:hint="eastAsia"/>
          <w:b/>
        </w:rPr>
        <w:t>2</w:t>
      </w:r>
      <w:r w:rsidRPr="00D630D1">
        <w:rPr>
          <w:rFonts w:hint="eastAsia"/>
          <w:b/>
        </w:rPr>
        <w:t>、主要工程活动对生态环境的影响分析</w:t>
      </w:r>
    </w:p>
    <w:p w:rsidR="00074CB2" w:rsidRPr="00D630D1" w:rsidRDefault="00074CB2" w:rsidP="00074CB2">
      <w:pPr>
        <w:pStyle w:val="afa"/>
        <w:ind w:firstLine="480"/>
      </w:pPr>
      <w:r w:rsidRPr="00D630D1">
        <w:rPr>
          <w:rFonts w:hint="eastAsia"/>
        </w:rPr>
        <w:t>（</w:t>
      </w:r>
      <w:r w:rsidRPr="00D630D1">
        <w:rPr>
          <w:rFonts w:hint="eastAsia"/>
        </w:rPr>
        <w:t>1</w:t>
      </w:r>
      <w:r w:rsidRPr="00D630D1">
        <w:rPr>
          <w:rFonts w:hint="eastAsia"/>
        </w:rPr>
        <w:t>）敷设管道对生态环境的影响</w:t>
      </w:r>
    </w:p>
    <w:p w:rsidR="00074CB2" w:rsidRPr="00D630D1" w:rsidRDefault="00074CB2" w:rsidP="00074CB2">
      <w:pPr>
        <w:pStyle w:val="afa"/>
        <w:ind w:firstLine="480"/>
      </w:pPr>
      <w:r w:rsidRPr="00D630D1">
        <w:rPr>
          <w:rFonts w:hint="eastAsia"/>
        </w:rPr>
        <w:t>管线主要沿低山、丘陵地带敷设，部分区段需要翻越山体。施工活动将破坏自然植被，工程施工过程中将开挖地表覆盖层，破坏植被，扰动土层，造成山体岩石暴露，产生大量弃石</w:t>
      </w:r>
      <w:r w:rsidR="00A709D4" w:rsidRPr="00D630D1">
        <w:rPr>
          <w:rFonts w:hint="eastAsia"/>
        </w:rPr>
        <w:t>（土）</w:t>
      </w:r>
      <w:r w:rsidRPr="00D630D1">
        <w:rPr>
          <w:rFonts w:hint="eastAsia"/>
        </w:rPr>
        <w:t>渣，加剧该地区的水土流失。此外，开挖管沟产生的弃土石方处理不当，也会对生态环境造成严重影响，在以往工程中曾发生过弃土石顺山坡倾倒的现象，造成青山坡变成了砾石堆，甚至堵塞河道，造成严重水土流失，山体石漠化。</w:t>
      </w:r>
    </w:p>
    <w:p w:rsidR="00074CB2" w:rsidRPr="00D630D1" w:rsidRDefault="00074CB2" w:rsidP="00074CB2">
      <w:pPr>
        <w:pStyle w:val="afa"/>
        <w:ind w:firstLine="480"/>
      </w:pPr>
      <w:r w:rsidRPr="00D630D1">
        <w:rPr>
          <w:rFonts w:hint="eastAsia"/>
        </w:rPr>
        <w:t>（</w:t>
      </w:r>
      <w:r w:rsidR="003655DE" w:rsidRPr="00D630D1">
        <w:rPr>
          <w:rFonts w:hint="eastAsia"/>
        </w:rPr>
        <w:t>2</w:t>
      </w:r>
      <w:r w:rsidRPr="00D630D1">
        <w:rPr>
          <w:rFonts w:hint="eastAsia"/>
        </w:rPr>
        <w:t>）施工便道建设</w:t>
      </w:r>
    </w:p>
    <w:p w:rsidR="00074CB2" w:rsidRPr="00D630D1" w:rsidRDefault="00074CB2" w:rsidP="00074CB2">
      <w:pPr>
        <w:pStyle w:val="afa"/>
        <w:ind w:firstLine="480"/>
      </w:pPr>
      <w:r w:rsidRPr="00D630D1">
        <w:rPr>
          <w:rFonts w:hint="eastAsia"/>
        </w:rPr>
        <w:t>项目施工主要利用周边现有道路，对于局部交通条件较差区，通过新建或改扩建施工道路满足项目施工运输需要，本输气管道项目施工道路主要依托乡村道路，仅针对局部深丘、低山地段无道路可利用时新建道路。</w:t>
      </w:r>
    </w:p>
    <w:p w:rsidR="00074CB2" w:rsidRPr="00D630D1" w:rsidRDefault="00074CB2" w:rsidP="00074CB2">
      <w:pPr>
        <w:pStyle w:val="afa"/>
        <w:ind w:firstLine="480"/>
      </w:pPr>
      <w:r w:rsidRPr="00D630D1">
        <w:rPr>
          <w:rFonts w:hint="eastAsia"/>
        </w:rPr>
        <w:t>①部分线路为改造原有机耕道，对原有机耕道作适当的路面修补和加固，清理边沟（主要针对道路较宽，路面条件较好，局部通过性低的道路）；</w:t>
      </w:r>
    </w:p>
    <w:p w:rsidR="00074CB2" w:rsidRPr="00D630D1" w:rsidRDefault="00074CB2" w:rsidP="00074CB2">
      <w:pPr>
        <w:pStyle w:val="afa"/>
        <w:ind w:firstLine="480"/>
      </w:pPr>
      <w:r w:rsidRPr="00D630D1">
        <w:rPr>
          <w:rFonts w:hint="eastAsia"/>
        </w:rPr>
        <w:t>②改造原有机耕道面修补、加固和加宽，清理边沟（主要针对道路较窄，路基较软，转弯半径较小，必须改建后方可通过重型车辆）；</w:t>
      </w:r>
    </w:p>
    <w:p w:rsidR="00074CB2" w:rsidRPr="00D630D1" w:rsidRDefault="00074CB2" w:rsidP="00074CB2">
      <w:pPr>
        <w:pStyle w:val="afa"/>
        <w:ind w:firstLine="480"/>
      </w:pPr>
      <w:r w:rsidRPr="00D630D1">
        <w:rPr>
          <w:rFonts w:hint="eastAsia"/>
        </w:rPr>
        <w:t>③针对局部深丘、中低山地段无道路可利用时新建道路。</w:t>
      </w:r>
    </w:p>
    <w:p w:rsidR="00074CB2" w:rsidRPr="00D630D1" w:rsidRDefault="00074CB2" w:rsidP="00074CB2">
      <w:pPr>
        <w:pStyle w:val="afa"/>
        <w:ind w:firstLine="480"/>
      </w:pPr>
      <w:r w:rsidRPr="00D630D1">
        <w:rPr>
          <w:rFonts w:hint="eastAsia"/>
        </w:rPr>
        <w:t>经统计，本项目</w:t>
      </w:r>
      <w:r w:rsidR="006E58EC" w:rsidRPr="00D630D1">
        <w:t>施工便道区临时占地</w:t>
      </w:r>
      <w:r w:rsidR="006E58EC">
        <w:rPr>
          <w:rFonts w:hint="eastAsia"/>
        </w:rPr>
        <w:t>8</w:t>
      </w:r>
      <w:r w:rsidR="006E58EC" w:rsidRPr="00D630D1">
        <w:t>00</w:t>
      </w:r>
      <w:r w:rsidR="006E58EC" w:rsidRPr="00D630D1">
        <w:rPr>
          <w:bCs/>
        </w:rPr>
        <w:t>m</w:t>
      </w:r>
      <w:r w:rsidR="006E58EC" w:rsidRPr="00D630D1">
        <w:rPr>
          <w:bCs/>
          <w:vertAlign w:val="superscript"/>
        </w:rPr>
        <w:t>2</w:t>
      </w:r>
      <w:r w:rsidRPr="00D630D1">
        <w:rPr>
          <w:rFonts w:hint="eastAsia"/>
        </w:rPr>
        <w:t>，均为临时占地，占地类型为耕地</w:t>
      </w:r>
      <w:r w:rsidR="00A709D4" w:rsidRPr="00D630D1">
        <w:rPr>
          <w:rFonts w:hint="eastAsia"/>
        </w:rPr>
        <w:t>、</w:t>
      </w:r>
      <w:r w:rsidRPr="00D630D1">
        <w:rPr>
          <w:rFonts w:hint="eastAsia"/>
        </w:rPr>
        <w:t>林地</w:t>
      </w:r>
      <w:r w:rsidR="00A709D4" w:rsidRPr="00D630D1">
        <w:rPr>
          <w:rFonts w:hint="eastAsia"/>
        </w:rPr>
        <w:t>和其他土地</w:t>
      </w:r>
      <w:r w:rsidRPr="00D630D1">
        <w:rPr>
          <w:rFonts w:hint="eastAsia"/>
        </w:rPr>
        <w:t>。待施工完成后，施工便道恢复成原有的土地利用类型。</w:t>
      </w:r>
    </w:p>
    <w:p w:rsidR="00074CB2" w:rsidRPr="00D630D1" w:rsidRDefault="00074CB2" w:rsidP="00074CB2">
      <w:pPr>
        <w:pStyle w:val="afa"/>
        <w:ind w:firstLine="480"/>
      </w:pPr>
      <w:r w:rsidRPr="00D630D1">
        <w:rPr>
          <w:rFonts w:hint="eastAsia"/>
        </w:rPr>
        <w:t>施工道路占地类型以耕地、林地</w:t>
      </w:r>
      <w:r w:rsidR="00A709D4" w:rsidRPr="00D630D1">
        <w:rPr>
          <w:rFonts w:hint="eastAsia"/>
        </w:rPr>
        <w:t>和其他土地</w:t>
      </w:r>
      <w:r w:rsidRPr="00D630D1">
        <w:rPr>
          <w:rFonts w:hint="eastAsia"/>
        </w:rPr>
        <w:t>为主。修建道路，要动用大量土石方，必将破坏地表植被，改变土壤结构，取土及弃土施工方式或措施选用不当，</w:t>
      </w:r>
      <w:r w:rsidRPr="00D630D1">
        <w:rPr>
          <w:rFonts w:hint="eastAsia"/>
        </w:rPr>
        <w:lastRenderedPageBreak/>
        <w:t>易引发水土流失、滑坡、塌陷、泥石流等自然灾害。</w:t>
      </w:r>
    </w:p>
    <w:p w:rsidR="00074CB2" w:rsidRDefault="00074CB2" w:rsidP="00074CB2">
      <w:pPr>
        <w:pStyle w:val="afa"/>
        <w:ind w:firstLine="480"/>
      </w:pPr>
      <w:r w:rsidRPr="00D630D1">
        <w:rPr>
          <w:rFonts w:hint="eastAsia"/>
        </w:rPr>
        <w:t>道路建成后，会给地方的交通和生活带来一定的便利，但也会给环境带来一定的不利影响。道路对沿线生态环境的主要影响有：交通的便利使周边地区的人员和机械更易进入管道沿线地区，使原自然生境更易受到扰动、遭到破坏。</w:t>
      </w:r>
    </w:p>
    <w:p w:rsidR="007F68A1" w:rsidRPr="00733954" w:rsidRDefault="007F68A1" w:rsidP="007F68A1">
      <w:pPr>
        <w:pStyle w:val="afa"/>
        <w:ind w:firstLine="480"/>
      </w:pPr>
      <w:r w:rsidRPr="00733954">
        <w:rPr>
          <w:rFonts w:hint="eastAsia"/>
        </w:rPr>
        <w:t>（</w:t>
      </w:r>
      <w:r w:rsidRPr="00733954">
        <w:rPr>
          <w:rFonts w:hint="eastAsia"/>
        </w:rPr>
        <w:t>3</w:t>
      </w:r>
      <w:r w:rsidRPr="00733954">
        <w:rPr>
          <w:rFonts w:hint="eastAsia"/>
        </w:rPr>
        <w:t>）穿越公路对生态环境的影响分析</w:t>
      </w:r>
    </w:p>
    <w:p w:rsidR="007F68A1" w:rsidRPr="007F68A1" w:rsidRDefault="007F68A1" w:rsidP="007F68A1">
      <w:pPr>
        <w:pStyle w:val="afa"/>
        <w:ind w:firstLine="480"/>
        <w:rPr>
          <w:color w:val="000000"/>
        </w:rPr>
      </w:pPr>
      <w:r w:rsidRPr="007F68A1">
        <w:rPr>
          <w:rFonts w:hint="eastAsia"/>
          <w:color w:val="000000"/>
        </w:rPr>
        <w:t>本工程沿线共穿越公路（均为乡村道路）</w:t>
      </w:r>
      <w:r w:rsidRPr="007F68A1">
        <w:rPr>
          <w:rFonts w:hint="eastAsia"/>
          <w:color w:val="000000"/>
        </w:rPr>
        <w:t>6</w:t>
      </w:r>
      <w:r w:rsidRPr="007F68A1">
        <w:rPr>
          <w:rFonts w:hint="eastAsia"/>
          <w:color w:val="000000"/>
        </w:rPr>
        <w:t>次，累计穿越长度约</w:t>
      </w:r>
      <w:r w:rsidRPr="007F68A1">
        <w:rPr>
          <w:rFonts w:hint="eastAsia"/>
          <w:color w:val="000000"/>
        </w:rPr>
        <w:t>24</w:t>
      </w:r>
      <w:r w:rsidRPr="007F68A1">
        <w:rPr>
          <w:color w:val="000000"/>
        </w:rPr>
        <w:t>m</w:t>
      </w:r>
      <w:r w:rsidRPr="007F68A1">
        <w:rPr>
          <w:rFonts w:hint="eastAsia"/>
          <w:color w:val="000000"/>
        </w:rPr>
        <w:t>，均采用顶管穿越方式进行穿越。</w:t>
      </w:r>
    </w:p>
    <w:p w:rsidR="007F68A1" w:rsidRPr="007F68A1" w:rsidRDefault="007F68A1" w:rsidP="007F68A1">
      <w:pPr>
        <w:pStyle w:val="afa"/>
        <w:ind w:firstLine="480"/>
        <w:rPr>
          <w:color w:val="000000" w:themeColor="text1"/>
        </w:rPr>
      </w:pPr>
      <w:r w:rsidRPr="007F68A1">
        <w:rPr>
          <w:rFonts w:hint="eastAsia"/>
          <w:color w:val="000000"/>
        </w:rPr>
        <w:t>穿越公路工程施工期较短，可以采取集中施工方式进行，缩短施工期限，这种影响属于短期行为，施工结束后影响就会消失，施工过程中只要安排好工程进度，搞好施工管理，对生态环境和景观格局带来的影响较小。</w:t>
      </w:r>
    </w:p>
    <w:p w:rsidR="00117C3D" w:rsidRPr="00D630D1" w:rsidRDefault="00074CB2" w:rsidP="009A3467">
      <w:pPr>
        <w:pStyle w:val="afa"/>
        <w:ind w:firstLine="482"/>
        <w:rPr>
          <w:b/>
          <w:bCs/>
        </w:rPr>
      </w:pPr>
      <w:r w:rsidRPr="00D630D1">
        <w:rPr>
          <w:b/>
          <w:bCs/>
        </w:rPr>
        <w:t>3</w:t>
      </w:r>
      <w:r w:rsidR="008B5B84" w:rsidRPr="00D630D1">
        <w:rPr>
          <w:b/>
          <w:bCs/>
        </w:rPr>
        <w:t>、</w:t>
      </w:r>
      <w:r w:rsidR="005577EA" w:rsidRPr="00D630D1">
        <w:rPr>
          <w:rFonts w:hint="eastAsia"/>
          <w:b/>
          <w:bCs/>
        </w:rPr>
        <w:t>对陆生植物的影响分析</w:t>
      </w:r>
    </w:p>
    <w:p w:rsidR="005577EA" w:rsidRPr="00D630D1" w:rsidRDefault="005577EA" w:rsidP="005577EA">
      <w:pPr>
        <w:pStyle w:val="afa"/>
        <w:ind w:firstLine="480"/>
      </w:pPr>
      <w:r w:rsidRPr="00D630D1">
        <w:rPr>
          <w:rFonts w:hint="eastAsia"/>
        </w:rPr>
        <w:t>评价区内的植物都是区域内分布广泛的常见种和广布种。工程施工会消除施工区内的植物个体，使相关种类的个体数量减少，但受影响的个体数量非常有限，工程建设不会造成相关区域植物种群数量的明显改变，不会造成植物种类的减少和植物区系的改变。工程运行期间，不会对植物资源造成任何影响。</w:t>
      </w:r>
    </w:p>
    <w:p w:rsidR="005577EA" w:rsidRPr="00D630D1" w:rsidRDefault="005577EA" w:rsidP="005577EA">
      <w:pPr>
        <w:pStyle w:val="afa"/>
        <w:ind w:firstLine="480"/>
      </w:pPr>
      <w:r w:rsidRPr="00D630D1">
        <w:rPr>
          <w:rFonts w:hint="eastAsia"/>
        </w:rPr>
        <w:t>管道施工期间一次性的干扰和破坏将影响植物的生长和物种多样性。土石回填后，周围植物渐次侵入，植被开始恢复。根据生态学观点，管道施工过程是对植被及其生态系统的一次性扰动，这种扰动一旦结束，则由施工形成的次生裸地便开始向顶级植物群落方向演替。</w:t>
      </w:r>
    </w:p>
    <w:p w:rsidR="005577EA" w:rsidRPr="00D630D1" w:rsidRDefault="005577EA" w:rsidP="005577EA">
      <w:pPr>
        <w:pStyle w:val="afa"/>
        <w:ind w:firstLine="480"/>
      </w:pPr>
      <w:r w:rsidRPr="00D630D1">
        <w:rPr>
          <w:rFonts w:hint="eastAsia"/>
        </w:rPr>
        <w:t>按照生态学理论，管道沿线的植被破坏具有暂时性，一般将随施工完成而终止。根据管线所经地区的土壤、气候等自然条件分析，施工结束后，周围植物渐次侵入，开始恢复演替过程。要恢复植被覆盖，草本最先进入，可能需要</w:t>
      </w:r>
      <w:r w:rsidRPr="00D630D1">
        <w:t>1</w:t>
      </w:r>
      <w:r w:rsidRPr="00D630D1">
        <w:rPr>
          <w:rFonts w:hint="eastAsia"/>
        </w:rPr>
        <w:t>～</w:t>
      </w:r>
      <w:r w:rsidRPr="00D630D1">
        <w:t>2</w:t>
      </w:r>
      <w:r w:rsidRPr="00D630D1">
        <w:rPr>
          <w:rFonts w:hint="eastAsia"/>
        </w:rPr>
        <w:t>年，灌木侵入需要</w:t>
      </w:r>
      <w:r w:rsidRPr="00D630D1">
        <w:t>5</w:t>
      </w:r>
      <w:r w:rsidRPr="00D630D1">
        <w:rPr>
          <w:rFonts w:hint="eastAsia"/>
        </w:rPr>
        <w:t>～</w:t>
      </w:r>
      <w:r w:rsidRPr="00D630D1">
        <w:t>10</w:t>
      </w:r>
      <w:r w:rsidRPr="00D630D1">
        <w:rPr>
          <w:rFonts w:hint="eastAsia"/>
        </w:rPr>
        <w:t>年。采用人工植树种草的措施，可以加快恢复进程，</w:t>
      </w:r>
      <w:r w:rsidRPr="00D630D1">
        <w:t>2</w:t>
      </w:r>
      <w:r w:rsidRPr="00D630D1">
        <w:rPr>
          <w:rFonts w:hint="eastAsia"/>
        </w:rPr>
        <w:t>～</w:t>
      </w:r>
      <w:r w:rsidRPr="00D630D1">
        <w:t>3</w:t>
      </w:r>
      <w:r w:rsidRPr="00D630D1">
        <w:rPr>
          <w:rFonts w:hint="eastAsia"/>
        </w:rPr>
        <w:t>年恢复草本植被，</w:t>
      </w:r>
      <w:r w:rsidRPr="00D630D1">
        <w:t>3</w:t>
      </w:r>
      <w:r w:rsidRPr="00D630D1">
        <w:rPr>
          <w:rFonts w:hint="eastAsia"/>
        </w:rPr>
        <w:t>～</w:t>
      </w:r>
      <w:r w:rsidRPr="00D630D1">
        <w:t>5</w:t>
      </w:r>
      <w:r w:rsidRPr="00D630D1">
        <w:rPr>
          <w:rFonts w:hint="eastAsia"/>
        </w:rPr>
        <w:t>年恢复灌木植被，</w:t>
      </w:r>
      <w:r w:rsidRPr="00D630D1">
        <w:t>10</w:t>
      </w:r>
      <w:r w:rsidRPr="00D630D1">
        <w:rPr>
          <w:rFonts w:hint="eastAsia"/>
        </w:rPr>
        <w:t>～</w:t>
      </w:r>
      <w:r w:rsidRPr="00D630D1">
        <w:t>15</w:t>
      </w:r>
      <w:r w:rsidRPr="00D630D1">
        <w:rPr>
          <w:rFonts w:hint="eastAsia"/>
        </w:rPr>
        <w:t>年恢复乔木植被。但是，恢复的含义并非是完全恢复原施工前的植被种类组成和相对数量比例，而只是恢复至种类组成近似，物种多样性指数值近似的状态，但仍有所降低。</w:t>
      </w:r>
    </w:p>
    <w:p w:rsidR="005577EA" w:rsidRPr="00D630D1" w:rsidRDefault="005577EA" w:rsidP="005577EA">
      <w:pPr>
        <w:pStyle w:val="afa"/>
        <w:ind w:firstLine="480"/>
      </w:pPr>
      <w:r w:rsidRPr="00D630D1">
        <w:t>管道施工确实对该区域植被造成一定的影响，但总体上不会使评价区内植物群落的种类组成发生变化，也不会造成某一植物种的消失，对区域植被稳定性的破坏较小。首先，本工程属于线性工程，对管线所经过林区的整体生态功能的影</w:t>
      </w:r>
      <w:r w:rsidRPr="00D630D1">
        <w:lastRenderedPageBreak/>
        <w:t>响相对较小，被破坏的灌丛和乔木，估计至少需要</w:t>
      </w:r>
      <w:r w:rsidRPr="00D630D1">
        <w:t>5</w:t>
      </w:r>
      <w:r w:rsidRPr="00D630D1">
        <w:t>年（灌丛）或更长（乔木）的时可以逐渐恢复。其次，从植物种类来看，在施工期作业场地范围内被破坏或影响的植物均为广布种和常见种，且分布也较均匀。施工结束后，通过复垦、恢复植被、补偿等措施，评价范围内被破坏的人工植被可以得到有效的恢复。</w:t>
      </w:r>
    </w:p>
    <w:p w:rsidR="005577EA" w:rsidRPr="00D630D1" w:rsidRDefault="005577EA" w:rsidP="005577EA">
      <w:pPr>
        <w:pStyle w:val="afa"/>
        <w:ind w:firstLine="480"/>
      </w:pPr>
      <w:r w:rsidRPr="00D630D1">
        <w:t>同时，本次环评提出，在施工过程中一旦发现保护植物，需立即告知当地林业部门，并在林业部门的指导下采取合理的保护措施。</w:t>
      </w:r>
    </w:p>
    <w:p w:rsidR="00117C3D" w:rsidRPr="00D630D1" w:rsidRDefault="00A709D4" w:rsidP="00082D90">
      <w:pPr>
        <w:pStyle w:val="afa"/>
        <w:ind w:firstLine="482"/>
        <w:rPr>
          <w:b/>
          <w:bCs/>
        </w:rPr>
      </w:pPr>
      <w:r w:rsidRPr="00D630D1">
        <w:rPr>
          <w:b/>
          <w:bCs/>
        </w:rPr>
        <w:t>4</w:t>
      </w:r>
      <w:r w:rsidR="008B5B84" w:rsidRPr="00D630D1">
        <w:rPr>
          <w:b/>
          <w:bCs/>
        </w:rPr>
        <w:t>、</w:t>
      </w:r>
      <w:r w:rsidR="005577EA" w:rsidRPr="00D630D1">
        <w:rPr>
          <w:rFonts w:hint="eastAsia"/>
          <w:b/>
          <w:bCs/>
        </w:rPr>
        <w:t>对野生动物的影响分析</w:t>
      </w:r>
    </w:p>
    <w:p w:rsidR="00117C3D" w:rsidRPr="00D630D1" w:rsidRDefault="005577EA" w:rsidP="005577EA">
      <w:pPr>
        <w:pStyle w:val="afa"/>
        <w:ind w:firstLine="480"/>
      </w:pPr>
      <w:bookmarkStart w:id="472" w:name="_Toc12288621"/>
      <w:r w:rsidRPr="00D630D1">
        <w:t>（</w:t>
      </w:r>
      <w:r w:rsidRPr="00D630D1">
        <w:t>1</w:t>
      </w:r>
      <w:r w:rsidRPr="00D630D1">
        <w:t>）对两栖爬行类动物的影响</w:t>
      </w:r>
    </w:p>
    <w:p w:rsidR="00117C3D" w:rsidRPr="00D630D1" w:rsidRDefault="005577EA" w:rsidP="005577EA">
      <w:pPr>
        <w:pStyle w:val="afa"/>
        <w:ind w:firstLine="480"/>
      </w:pPr>
      <w:r w:rsidRPr="00D630D1">
        <w:t>两栖爬行动物一般在冬季冬眠，或经历一段休眠期，在物种的出现和行为方面表现出季节性。在冬季施工时，遇到两栖爬行动物的几率较小，对其直接造成的损害几乎没有，只要注意施工时减少对鱼塘等生境的破坏，就能降低对两栖爬行动物的影响范围。由于两栖爬行类在评价区范围内种类不多，分布数量较少，故管道工程施工对其影响较小。</w:t>
      </w:r>
    </w:p>
    <w:p w:rsidR="00117C3D" w:rsidRPr="00D630D1" w:rsidRDefault="005577EA" w:rsidP="005577EA">
      <w:pPr>
        <w:pStyle w:val="afa"/>
        <w:ind w:firstLine="480"/>
      </w:pPr>
      <w:r w:rsidRPr="00D630D1">
        <w:t>（</w:t>
      </w:r>
      <w:r w:rsidRPr="00D630D1">
        <w:t>2</w:t>
      </w:r>
      <w:r w:rsidRPr="00D630D1">
        <w:t>）</w:t>
      </w:r>
      <w:r w:rsidR="008B5B84" w:rsidRPr="00D630D1">
        <w:t>对鸟类动物的影响</w:t>
      </w:r>
    </w:p>
    <w:p w:rsidR="005577EA" w:rsidRPr="00D630D1" w:rsidRDefault="005577EA" w:rsidP="005577EA">
      <w:pPr>
        <w:pStyle w:val="afa"/>
        <w:ind w:firstLine="480"/>
      </w:pPr>
      <w:r w:rsidRPr="00D630D1">
        <w:rPr>
          <w:rFonts w:ascii="宋体" w:hAnsi="宋体" w:cs="宋体" w:hint="eastAsia"/>
        </w:rPr>
        <w:t>①</w:t>
      </w:r>
      <w:r w:rsidRPr="00D630D1">
        <w:t>在施工过程中，管线穿越林地时，施工场地将在林地中形成干扰走廊，影响到野生动物的迁移与觅食，施工的噪音影响野生动物的栖息，如在夜晚施工，灯光也会影响到鸟类的栖息，甚至影响到候鸟的迁移等；堆放的生活垃圾以及废弃物也对野生鸟类的生存产生影响。</w:t>
      </w:r>
    </w:p>
    <w:p w:rsidR="005577EA" w:rsidRPr="00D630D1" w:rsidRDefault="005577EA" w:rsidP="005577EA">
      <w:pPr>
        <w:pStyle w:val="afa"/>
        <w:ind w:firstLine="480"/>
      </w:pPr>
      <w:r w:rsidRPr="00D630D1">
        <w:rPr>
          <w:rFonts w:ascii="宋体" w:hAnsi="宋体" w:cs="宋体" w:hint="eastAsia"/>
        </w:rPr>
        <w:t>②</w:t>
      </w:r>
      <w:r w:rsidRPr="00D630D1">
        <w:t>工程施工时，施工人员对野生鸟类可能的捕杀会影响到鸟类的种类与数量，甚至会影响珍稀野生动物种类的存在。</w:t>
      </w:r>
    </w:p>
    <w:p w:rsidR="005577EA" w:rsidRPr="00D630D1" w:rsidRDefault="005577EA" w:rsidP="005577EA">
      <w:pPr>
        <w:pStyle w:val="afa"/>
        <w:ind w:firstLine="480"/>
      </w:pPr>
      <w:r w:rsidRPr="00D630D1">
        <w:rPr>
          <w:rFonts w:ascii="宋体" w:hAnsi="宋体" w:cs="宋体" w:hint="eastAsia"/>
        </w:rPr>
        <w:t>③</w:t>
      </w:r>
      <w:r w:rsidRPr="00D630D1">
        <w:t>施工期如处在野生鸟类的繁殖季节，则会影响到野生鸟类的生殖繁衍。但施工期一般只有</w:t>
      </w:r>
      <w:r w:rsidRPr="00D630D1">
        <w:t>2</w:t>
      </w:r>
      <w:r w:rsidRPr="00D630D1">
        <w:t>～</w:t>
      </w:r>
      <w:r w:rsidRPr="00D630D1">
        <w:t>4</w:t>
      </w:r>
      <w:r w:rsidRPr="00D630D1">
        <w:t>个月，只要加强管理，工程对鸟类的影响是可控的。</w:t>
      </w:r>
    </w:p>
    <w:p w:rsidR="005577EA" w:rsidRPr="00D630D1" w:rsidRDefault="005577EA" w:rsidP="005577EA">
      <w:pPr>
        <w:pStyle w:val="afa"/>
        <w:ind w:firstLine="480"/>
      </w:pPr>
      <w:r w:rsidRPr="00D630D1">
        <w:t>（</w:t>
      </w:r>
      <w:r w:rsidRPr="00D630D1">
        <w:t>3</w:t>
      </w:r>
      <w:r w:rsidRPr="00D630D1">
        <w:t>）对陆生脊椎动物的影响</w:t>
      </w:r>
    </w:p>
    <w:p w:rsidR="005577EA" w:rsidRPr="00D630D1" w:rsidRDefault="005577EA" w:rsidP="005577EA">
      <w:pPr>
        <w:pStyle w:val="afa"/>
        <w:ind w:firstLine="480"/>
      </w:pPr>
      <w:r w:rsidRPr="00D630D1">
        <w:t>本工程在管道施工期间由于车辆机具的运行及施工人员的活动等，会对管道所在地区的野生动物特别是第一类适应顶极群落的动物产生惊扰而使其躲避或暂时迁移。因此第一类适应顶级群落的动物可以避开施工干扰区，从而减小对其的影响。</w:t>
      </w:r>
    </w:p>
    <w:p w:rsidR="005577EA" w:rsidRPr="00D630D1" w:rsidRDefault="005577EA" w:rsidP="005577EA">
      <w:pPr>
        <w:pStyle w:val="afa"/>
        <w:ind w:firstLine="480"/>
      </w:pPr>
      <w:r w:rsidRPr="00D630D1">
        <w:t>施工地段的阻隔也可能使一些陆行动物暂时失去迁移行走的通道，但通过调查，未发现横穿管线的重要动物通道；同时，本工程施工是分段进行的，就某一</w:t>
      </w:r>
      <w:r w:rsidRPr="00D630D1">
        <w:lastRenderedPageBreak/>
        <w:t>段来讲，施工期一般只有</w:t>
      </w:r>
      <w:r w:rsidRPr="00D630D1">
        <w:t>1</w:t>
      </w:r>
      <w:r w:rsidRPr="00D630D1">
        <w:t>～</w:t>
      </w:r>
      <w:r w:rsidRPr="00D630D1">
        <w:t>3</w:t>
      </w:r>
      <w:r w:rsidRPr="00D630D1">
        <w:t>个月，施工完毕即可恢复正常，不会影响动物存活及种群数量；施工过程中，人为干扰如施工人员滥捕乱猎等现象的出现，将直接影响到这一地区的某些野生动物种群数量。这种影响可通过加强对施工人员的宣传教育和管理得到消除；施工活动将对动物的生境造成一定破坏，施工区域内自然植被的破坏，会使一些野生动物失去小量觅食地、栖息场所和活动区域，但由于工程建设区域的主要植被类型为农田、受人类活动干扰的林地，且施工带的面积占林地区域面积很小，所以生境破坏不会对动物的生存和繁殖造成明显影响；同时，工程影响是短期的，施工结束后将进行土地复垦和植被恢复，多数动物有重返原有生存环境的条件和可能。另一方面，由于在森林景观制造的这一施工廊道，在其植被恢复后产生的边缘效应，会导致廊道内生物多样性的增加，甚至会对野生动物的生存环境产生有利影响。</w:t>
      </w:r>
    </w:p>
    <w:p w:rsidR="005577EA" w:rsidRPr="00D630D1" w:rsidRDefault="005577EA" w:rsidP="005577EA">
      <w:pPr>
        <w:pStyle w:val="afa"/>
        <w:ind w:firstLine="480"/>
      </w:pPr>
      <w:r w:rsidRPr="00D630D1">
        <w:t>管道经过的林地区分布较多的有蹄动物是狍和野猪，管道施工期间可能对其造成影响，但它们可以通过短距离迁移适应生境变化，管道运营期对这两种动物基本没有影响。小型食肉兽狐、黄鼬也适应于多种交错生境，管道建成后对其没有影响。管道经过的南部平原区兽类物种组成更为简单，其中大型动物很少分布，小型食肉兽和啮齿类是兽类动物的主体。</w:t>
      </w:r>
    </w:p>
    <w:p w:rsidR="005577EA" w:rsidRPr="00D630D1" w:rsidRDefault="005577EA" w:rsidP="005577EA">
      <w:pPr>
        <w:pStyle w:val="afa"/>
        <w:ind w:firstLine="480"/>
      </w:pPr>
      <w:r w:rsidRPr="00D630D1">
        <w:t>总之，项目建设不会使管道沿线所经地区野生动物物种数发生变化，其种群数量也不会发生变化。</w:t>
      </w:r>
    </w:p>
    <w:p w:rsidR="005577EA" w:rsidRPr="00D630D1" w:rsidRDefault="005577EA" w:rsidP="005577EA">
      <w:pPr>
        <w:pStyle w:val="afa"/>
        <w:ind w:firstLine="480"/>
      </w:pPr>
      <w:r w:rsidRPr="00D630D1">
        <w:t>（</w:t>
      </w:r>
      <w:r w:rsidRPr="00D630D1">
        <w:t>4</w:t>
      </w:r>
      <w:r w:rsidRPr="00D630D1">
        <w:t>）对水生生物的影响</w:t>
      </w:r>
    </w:p>
    <w:p w:rsidR="005577EA" w:rsidRPr="00D630D1" w:rsidRDefault="005577EA" w:rsidP="005577EA">
      <w:pPr>
        <w:pStyle w:val="afa"/>
        <w:ind w:firstLine="480"/>
      </w:pPr>
      <w:r w:rsidRPr="00D630D1">
        <w:t>本项目不涉及对河流</w:t>
      </w:r>
      <w:r w:rsidR="003655DE" w:rsidRPr="00D630D1">
        <w:rPr>
          <w:rFonts w:hint="eastAsia"/>
        </w:rPr>
        <w:t>、</w:t>
      </w:r>
      <w:r w:rsidR="003655DE" w:rsidRPr="00D630D1">
        <w:t>沟渠、溪流的穿跨越。因此本项目施工对水生生物无</w:t>
      </w:r>
      <w:r w:rsidR="00645A40" w:rsidRPr="00D630D1">
        <w:t>影响。本次环评要求</w:t>
      </w:r>
      <w:r w:rsidR="00645A40" w:rsidRPr="00D630D1">
        <w:rPr>
          <w:spacing w:val="-8"/>
          <w:szCs w:val="21"/>
        </w:rPr>
        <w:t>施工期管线施工人员生活污水依托租用附近居民房收集处理</w:t>
      </w:r>
      <w:r w:rsidR="00645A40" w:rsidRPr="00D630D1">
        <w:rPr>
          <w:rFonts w:hint="eastAsia"/>
          <w:spacing w:val="-8"/>
          <w:szCs w:val="21"/>
        </w:rPr>
        <w:t>，井</w:t>
      </w:r>
      <w:r w:rsidR="00645A40" w:rsidRPr="00D630D1">
        <w:rPr>
          <w:spacing w:val="-8"/>
          <w:szCs w:val="21"/>
        </w:rPr>
        <w:t>场施工生活污水</w:t>
      </w:r>
      <w:r w:rsidR="00034734" w:rsidRPr="00D630D1">
        <w:rPr>
          <w:rFonts w:hint="eastAsia"/>
          <w:spacing w:val="-8"/>
          <w:szCs w:val="21"/>
        </w:rPr>
        <w:t>经</w:t>
      </w:r>
      <w:r w:rsidR="00645A40" w:rsidRPr="00D630D1">
        <w:rPr>
          <w:rFonts w:hint="eastAsia"/>
          <w:spacing w:val="-8"/>
          <w:szCs w:val="21"/>
        </w:rPr>
        <w:t>生态</w:t>
      </w:r>
      <w:r w:rsidR="00645A40" w:rsidRPr="00D630D1">
        <w:rPr>
          <w:spacing w:val="-8"/>
          <w:szCs w:val="21"/>
        </w:rPr>
        <w:t>环保厕所收集后，用作周边农肥，不外排</w:t>
      </w:r>
      <w:r w:rsidRPr="00D630D1">
        <w:t>，施工废水经处理后回用，固体废物及时清运、妥善处置，禁止将生活污水、施工废水、固体废物排入或倾倒至附近沟渠、溪流中，采取上述措施后，施工对水生生物产生的影响很小。</w:t>
      </w:r>
    </w:p>
    <w:bookmarkEnd w:id="472"/>
    <w:p w:rsidR="00117C3D" w:rsidRPr="00D630D1" w:rsidRDefault="00B25E3B" w:rsidP="00B25E3B">
      <w:pPr>
        <w:pStyle w:val="afa"/>
        <w:ind w:firstLine="482"/>
        <w:rPr>
          <w:b/>
          <w:bCs/>
        </w:rPr>
      </w:pPr>
      <w:r w:rsidRPr="00D630D1">
        <w:rPr>
          <w:b/>
          <w:bCs/>
        </w:rPr>
        <w:t>5</w:t>
      </w:r>
      <w:r w:rsidR="008B5B84" w:rsidRPr="00D630D1">
        <w:rPr>
          <w:b/>
          <w:bCs/>
        </w:rPr>
        <w:t>、</w:t>
      </w:r>
      <w:r w:rsidRPr="00D630D1">
        <w:rPr>
          <w:b/>
          <w:bCs/>
        </w:rPr>
        <w:t>土壤侵蚀和水土流失的影响</w:t>
      </w:r>
    </w:p>
    <w:p w:rsidR="00B25E3B" w:rsidRPr="00D630D1" w:rsidRDefault="00B25E3B" w:rsidP="00B25E3B">
      <w:pPr>
        <w:pStyle w:val="afa"/>
        <w:ind w:firstLine="480"/>
      </w:pPr>
      <w:r w:rsidRPr="00D630D1">
        <w:t>拟建管道工程水土流失主要发生在施工期。管沟开挖、施工便道的平整等建设将破坏原有相对稳定的地貌，使土壤结构疏松，作业区地表植被丧失，产生一定面积的裸露地面，诱发或加剧土壤侵蚀危害。</w:t>
      </w:r>
    </w:p>
    <w:p w:rsidR="00B25E3B" w:rsidRPr="00D630D1" w:rsidRDefault="00B25E3B" w:rsidP="00B25E3B">
      <w:pPr>
        <w:pStyle w:val="afa"/>
        <w:ind w:firstLine="480"/>
      </w:pPr>
      <w:r w:rsidRPr="00D630D1">
        <w:lastRenderedPageBreak/>
        <w:t>主要影响：</w:t>
      </w:r>
    </w:p>
    <w:p w:rsidR="00B25E3B" w:rsidRPr="00D630D1" w:rsidRDefault="00B25E3B" w:rsidP="00B25E3B">
      <w:pPr>
        <w:pStyle w:val="afa"/>
        <w:ind w:firstLine="480"/>
      </w:pPr>
      <w:r w:rsidRPr="00D630D1">
        <w:t>（</w:t>
      </w:r>
      <w:r w:rsidRPr="00D630D1">
        <w:t>1</w:t>
      </w:r>
      <w:r w:rsidRPr="00D630D1">
        <w:t>）原地表耕作层遭到破坏，土地肥力和生产力下降</w:t>
      </w:r>
    </w:p>
    <w:p w:rsidR="00B25E3B" w:rsidRPr="00D630D1" w:rsidRDefault="00B25E3B" w:rsidP="00B25E3B">
      <w:pPr>
        <w:pStyle w:val="afa"/>
        <w:ind w:firstLine="480"/>
      </w:pPr>
      <w:r w:rsidRPr="00D630D1">
        <w:t>工程建设施工与运行维护将占用和破坏部分旱地，对原地表土壤结构构成破坏，使土壤养分流失、土地生产力下降。</w:t>
      </w:r>
    </w:p>
    <w:p w:rsidR="00B25E3B" w:rsidRPr="00D630D1" w:rsidRDefault="00B25E3B" w:rsidP="00B25E3B">
      <w:pPr>
        <w:pStyle w:val="afa"/>
        <w:ind w:firstLine="480"/>
      </w:pPr>
      <w:r w:rsidRPr="00D630D1">
        <w:t>（</w:t>
      </w:r>
      <w:r w:rsidRPr="00D630D1">
        <w:t>2</w:t>
      </w:r>
      <w:r w:rsidRPr="00D630D1">
        <w:t>）危害工程安全：开挖回填形成的裸露坡地，如不采取护坡、护脚、拦挡等有效工程措施加以防护，将可能造成局部的崩塌和滑坡等现象，影响工程建筑物安全和整个项目的正常运行。</w:t>
      </w:r>
    </w:p>
    <w:p w:rsidR="00B25E3B" w:rsidRPr="00D630D1" w:rsidRDefault="00B25E3B" w:rsidP="00B25E3B">
      <w:pPr>
        <w:pStyle w:val="afa"/>
        <w:ind w:firstLine="480"/>
      </w:pPr>
      <w:r w:rsidRPr="00D630D1">
        <w:t>（</w:t>
      </w:r>
      <w:r w:rsidRPr="00D630D1">
        <w:t>3</w:t>
      </w:r>
      <w:r w:rsidRPr="00D630D1">
        <w:t>）损坏水土保持设施，破坏植被，加速了土壤侵蚀</w:t>
      </w:r>
    </w:p>
    <w:p w:rsidR="00B25E3B" w:rsidRPr="00D630D1" w:rsidRDefault="00B25E3B" w:rsidP="00B25E3B">
      <w:pPr>
        <w:pStyle w:val="afa"/>
        <w:ind w:firstLine="480"/>
      </w:pPr>
      <w:r w:rsidRPr="00D630D1">
        <w:t>本工程建设时不同程度的占压和扰动耕地、林草地，导致土壤结构改变，植被覆盖度降低，形成裸露面，降低了原地表的水土保持功能，加大该区生态环境人工修复的成本和难度。工程竣工后，原临时占用土地的植被遭到破坏，如果不及时采取措施，随着水土流失的发生，土壤中的肥力流失，进而导致土地贫瘠，加大绿化工作难度。</w:t>
      </w:r>
    </w:p>
    <w:p w:rsidR="00B25E3B" w:rsidRPr="00D630D1" w:rsidRDefault="00B25E3B" w:rsidP="00B25E3B">
      <w:pPr>
        <w:pStyle w:val="afa"/>
        <w:ind w:firstLine="480"/>
      </w:pPr>
      <w:r w:rsidRPr="00D630D1">
        <w:t>一般而言，施工期土壤侵蚀的影响待施工结束后基本消除；营运期地表复原后，只要严格实施相应的水土保持措施，不会造成新的土壤侵蚀。本项目分段进行建设，且遵循边开挖边回填的作业工序要求，每一管段施工周期相对较短。本工程水土流失时段划分为施工期和运行期，其中管道建设水土流失主要集中在施工期。鉴于沿线工程占地多为旱地和水田，施工结束后临时性工程占用的旱地和水田地段即可恢复耕种，营运期对地表植被影响不大。因此，本次评价水土流失预测时段按不同施工项目扰动持续时间各异，管沟开挖、施工便道平整拟定为约</w:t>
      </w:r>
      <w:r w:rsidRPr="00D630D1">
        <w:t>2</w:t>
      </w:r>
      <w:r w:rsidRPr="00D630D1">
        <w:t>个月。</w:t>
      </w:r>
    </w:p>
    <w:p w:rsidR="00B25E3B" w:rsidRPr="00D630D1" w:rsidRDefault="00B25E3B" w:rsidP="00B25E3B">
      <w:pPr>
        <w:pStyle w:val="afa"/>
        <w:ind w:firstLine="480"/>
      </w:pPr>
      <w:r w:rsidRPr="00D630D1">
        <w:t>综上，水土流失量主要发生在沿线工程扰动区内，对局部地区而言，新增土壤侵蚀量不大。</w:t>
      </w:r>
    </w:p>
    <w:p w:rsidR="00117C3D" w:rsidRPr="00D630D1" w:rsidRDefault="00B25135" w:rsidP="008A3508">
      <w:pPr>
        <w:pStyle w:val="afa"/>
        <w:ind w:firstLine="482"/>
        <w:rPr>
          <w:b/>
        </w:rPr>
      </w:pPr>
      <w:r w:rsidRPr="00D630D1">
        <w:rPr>
          <w:b/>
        </w:rPr>
        <w:t>6</w:t>
      </w:r>
      <w:r w:rsidR="008B5B84" w:rsidRPr="00D630D1">
        <w:rPr>
          <w:b/>
        </w:rPr>
        <w:t>、施工期主要生态环境影响分析</w:t>
      </w:r>
    </w:p>
    <w:p w:rsidR="00117C3D" w:rsidRPr="00D630D1" w:rsidRDefault="008B5B84" w:rsidP="008A3508">
      <w:pPr>
        <w:pStyle w:val="afa"/>
        <w:ind w:firstLine="480"/>
      </w:pPr>
      <w:r w:rsidRPr="00D630D1">
        <w:t>本项目的建设将改变项目地区部分土地的利用性质；造成生物量的减少；管道施工开挖土方引起土壤结构、土壤紧实度、土壤养分变化；同时，防腐材料和施工废弃物也会对土壤的理化性质产生影响；管线评价范围内无珍稀野生动物分布，也没有涉及野生动物的通道、栖息地等敏感场所；工程建成后不会对整个评价区的生态完整性产生影响，生物多样性的影响也很小，属可接受范围；工程的</w:t>
      </w:r>
      <w:r w:rsidRPr="00D630D1">
        <w:lastRenderedPageBreak/>
        <w:t>建设不会造成物种缺失，不会影响生物迁徒和物质能量流，也无须预留通道；该项目涉及的生态系统的结构和功能没有受到影响，在干扰之后可以较好的恢复，没有显著的生态问题。</w:t>
      </w:r>
    </w:p>
    <w:p w:rsidR="00117C3D" w:rsidRPr="00D630D1" w:rsidRDefault="00A07924">
      <w:pPr>
        <w:pStyle w:val="3"/>
        <w:rPr>
          <w:rFonts w:eastAsia="宋体"/>
        </w:rPr>
      </w:pPr>
      <w:bookmarkStart w:id="473" w:name="_Toc12288642"/>
      <w:bookmarkStart w:id="474" w:name="_Toc19816049"/>
      <w:bookmarkEnd w:id="470"/>
      <w:bookmarkEnd w:id="471"/>
      <w:r w:rsidRPr="00D630D1">
        <w:rPr>
          <w:rFonts w:eastAsia="宋体"/>
        </w:rPr>
        <w:t>6</w:t>
      </w:r>
      <w:r w:rsidR="008B5B84" w:rsidRPr="00D630D1">
        <w:rPr>
          <w:rFonts w:eastAsia="宋体"/>
        </w:rPr>
        <w:t>.</w:t>
      </w:r>
      <w:r w:rsidR="001F4A69" w:rsidRPr="00D630D1">
        <w:rPr>
          <w:rFonts w:eastAsia="宋体"/>
        </w:rPr>
        <w:t>1</w:t>
      </w:r>
      <w:r w:rsidR="008B5B84" w:rsidRPr="00D630D1">
        <w:rPr>
          <w:rFonts w:eastAsia="宋体"/>
        </w:rPr>
        <w:t>.</w:t>
      </w:r>
      <w:r w:rsidR="001F4A69" w:rsidRPr="00D630D1">
        <w:rPr>
          <w:rFonts w:eastAsia="宋体"/>
        </w:rPr>
        <w:t>2</w:t>
      </w:r>
      <w:r w:rsidR="008B5B84" w:rsidRPr="00D630D1">
        <w:rPr>
          <w:rFonts w:eastAsia="宋体"/>
        </w:rPr>
        <w:t xml:space="preserve"> </w:t>
      </w:r>
      <w:r w:rsidR="008B5B84" w:rsidRPr="00D630D1">
        <w:rPr>
          <w:rFonts w:eastAsia="宋体"/>
        </w:rPr>
        <w:t>施工期地表水影响分析</w:t>
      </w:r>
      <w:bookmarkEnd w:id="473"/>
      <w:bookmarkEnd w:id="474"/>
    </w:p>
    <w:p w:rsidR="00117C3D" w:rsidRPr="00D630D1" w:rsidRDefault="003655DE" w:rsidP="00A36CD3">
      <w:pPr>
        <w:pStyle w:val="a1"/>
        <w:ind w:firstLine="482"/>
        <w:rPr>
          <w:rFonts w:ascii="Times New Roman" w:cs="Times New Roman"/>
          <w:b/>
        </w:rPr>
      </w:pPr>
      <w:bookmarkStart w:id="475" w:name="_Toc12288643"/>
      <w:r w:rsidRPr="00D630D1">
        <w:rPr>
          <w:rFonts w:ascii="Times New Roman" w:cs="Times New Roman" w:hint="eastAsia"/>
          <w:b/>
        </w:rPr>
        <w:t>1</w:t>
      </w:r>
      <w:r w:rsidR="00A36CD3" w:rsidRPr="00D630D1">
        <w:rPr>
          <w:rFonts w:ascii="Times New Roman" w:cs="Times New Roman" w:hint="eastAsia"/>
          <w:b/>
        </w:rPr>
        <w:t>、</w:t>
      </w:r>
      <w:r w:rsidR="008B5B84" w:rsidRPr="00D630D1">
        <w:rPr>
          <w:rFonts w:ascii="Times New Roman" w:cs="Times New Roman"/>
          <w:b/>
        </w:rPr>
        <w:t>施工方式对地表水的影响分析</w:t>
      </w:r>
      <w:bookmarkEnd w:id="475"/>
    </w:p>
    <w:p w:rsidR="00117C3D" w:rsidRPr="00D630D1" w:rsidRDefault="008B5B84">
      <w:pPr>
        <w:pStyle w:val="a1"/>
        <w:ind w:firstLine="480"/>
        <w:rPr>
          <w:rFonts w:ascii="Times New Roman" w:cs="Times New Roman"/>
        </w:rPr>
      </w:pPr>
      <w:r w:rsidRPr="00D630D1">
        <w:rPr>
          <w:rFonts w:ascii="Times New Roman" w:cs="Times New Roman"/>
        </w:rPr>
        <w:t>管道施工期废水主要来自施工人员在施工作业中产生的生活污水、管道安装完后清管试压排放的废水</w:t>
      </w:r>
      <w:r w:rsidR="007A3ABD" w:rsidRPr="00D630D1">
        <w:rPr>
          <w:rFonts w:hint="eastAsia"/>
        </w:rPr>
        <w:t>、井场施工废水、初期雨水、钻井废水、压裂、洗井废水</w:t>
      </w:r>
      <w:r w:rsidRPr="00D630D1">
        <w:rPr>
          <w:rFonts w:ascii="Times New Roman" w:cs="Times New Roman"/>
        </w:rPr>
        <w:t>。</w:t>
      </w:r>
    </w:p>
    <w:p w:rsidR="00117C3D" w:rsidRPr="00D630D1" w:rsidRDefault="00C106D4" w:rsidP="00D00A04">
      <w:pPr>
        <w:pStyle w:val="afa"/>
        <w:ind w:firstLine="480"/>
      </w:pPr>
      <w:bookmarkStart w:id="476" w:name="_Hlk53087303"/>
      <w:r w:rsidRPr="00D630D1">
        <w:t>根据以往施工经验</w:t>
      </w:r>
      <w:r w:rsidR="008B5B84" w:rsidRPr="00D630D1">
        <w:t>，施工是分段分期进行，具有较大的分散性，局部排放量很小，</w:t>
      </w:r>
      <w:r w:rsidR="00645A40" w:rsidRPr="00D630D1">
        <w:rPr>
          <w:spacing w:val="-8"/>
          <w:szCs w:val="21"/>
        </w:rPr>
        <w:t>施工期管线施工人员生活污水依托租用附近居民房收集处理</w:t>
      </w:r>
      <w:r w:rsidR="00645A40" w:rsidRPr="00D630D1">
        <w:rPr>
          <w:rFonts w:hint="eastAsia"/>
          <w:spacing w:val="-8"/>
          <w:szCs w:val="21"/>
        </w:rPr>
        <w:t>，井</w:t>
      </w:r>
      <w:r w:rsidR="00645A40" w:rsidRPr="00D630D1">
        <w:rPr>
          <w:spacing w:val="-8"/>
          <w:szCs w:val="21"/>
        </w:rPr>
        <w:t>场施工生活污水</w:t>
      </w:r>
      <w:r w:rsidR="00034734" w:rsidRPr="00D630D1">
        <w:rPr>
          <w:rFonts w:hint="eastAsia"/>
          <w:spacing w:val="-8"/>
          <w:szCs w:val="21"/>
        </w:rPr>
        <w:t>经</w:t>
      </w:r>
      <w:r w:rsidR="00645A40" w:rsidRPr="00D630D1">
        <w:rPr>
          <w:rFonts w:hint="eastAsia"/>
          <w:spacing w:val="-8"/>
          <w:szCs w:val="21"/>
        </w:rPr>
        <w:t>生态</w:t>
      </w:r>
      <w:r w:rsidR="00645A40" w:rsidRPr="00D630D1">
        <w:rPr>
          <w:spacing w:val="-8"/>
          <w:szCs w:val="21"/>
        </w:rPr>
        <w:t>环保厕所收集后，用作周边农肥，不外排</w:t>
      </w:r>
      <w:r w:rsidR="008B5B84" w:rsidRPr="00D630D1">
        <w:t>，因此，只要控制不让生活污水进入河道，一般不会造成水体污染。</w:t>
      </w:r>
    </w:p>
    <w:p w:rsidR="00117C3D" w:rsidRPr="00497EC8" w:rsidRDefault="008B5B84" w:rsidP="00D00A04">
      <w:pPr>
        <w:pStyle w:val="afa"/>
        <w:ind w:firstLine="480"/>
        <w:rPr>
          <w:szCs w:val="24"/>
        </w:rPr>
      </w:pPr>
      <w:r w:rsidRPr="00D630D1">
        <w:t>管道施工期生产废水主要来自管道安装完后试压排放的废水</w:t>
      </w:r>
      <w:r w:rsidRPr="00497EC8">
        <w:rPr>
          <w:szCs w:val="24"/>
        </w:rPr>
        <w:t>。</w:t>
      </w:r>
      <w:r w:rsidR="00D00A04" w:rsidRPr="00497EC8">
        <w:rPr>
          <w:rFonts w:hint="eastAsia"/>
          <w:szCs w:val="24"/>
        </w:rPr>
        <w:t>由于本项目管线清管、试压时采用的介质为洁净水，产生的试压废水主要含有泥沙、机械等杂质，类比同类项目，试压废水主要污染物为</w:t>
      </w:r>
      <w:r w:rsidR="00D00A04" w:rsidRPr="00497EC8">
        <w:rPr>
          <w:szCs w:val="24"/>
        </w:rPr>
        <w:t>SS</w:t>
      </w:r>
      <w:r w:rsidR="00D00A04" w:rsidRPr="00497EC8">
        <w:rPr>
          <w:rFonts w:hint="eastAsia"/>
          <w:szCs w:val="24"/>
        </w:rPr>
        <w:t>，不含有毒有害物质，属于清净下水，试压废水经沉淀后</w:t>
      </w:r>
      <w:r w:rsidR="006F49C4" w:rsidRPr="00497EC8">
        <w:rPr>
          <w:rFonts w:hint="eastAsia"/>
          <w:szCs w:val="24"/>
        </w:rPr>
        <w:t>回用，不外排</w:t>
      </w:r>
      <w:r w:rsidR="00D00A04" w:rsidRPr="00497EC8">
        <w:rPr>
          <w:rFonts w:hint="eastAsia"/>
          <w:szCs w:val="24"/>
        </w:rPr>
        <w:t>。</w:t>
      </w:r>
    </w:p>
    <w:p w:rsidR="007A3ABD" w:rsidRPr="00D630D1" w:rsidRDefault="007A3ABD" w:rsidP="007A3ABD">
      <w:pPr>
        <w:pStyle w:val="afa"/>
        <w:ind w:firstLine="480"/>
        <w:rPr>
          <w:bCs/>
        </w:rPr>
      </w:pPr>
      <w:r w:rsidRPr="00D630D1">
        <w:rPr>
          <w:bCs/>
        </w:rPr>
        <w:t>钻井阶段通过喷淋的方式降低气体钻（空气或氮气）</w:t>
      </w:r>
      <w:r w:rsidRPr="00D630D1">
        <w:rPr>
          <w:rFonts w:hint="eastAsia"/>
          <w:bCs/>
        </w:rPr>
        <w:t>的</w:t>
      </w:r>
      <w:r w:rsidRPr="00D630D1">
        <w:rPr>
          <w:bCs/>
        </w:rPr>
        <w:t>过程中产生的粉尘</w:t>
      </w:r>
      <w:r w:rsidRPr="00D630D1">
        <w:rPr>
          <w:rFonts w:hint="eastAsia"/>
          <w:bCs/>
        </w:rPr>
        <w:t>，</w:t>
      </w:r>
      <w:r w:rsidRPr="00D630D1">
        <w:rPr>
          <w:bCs/>
        </w:rPr>
        <w:t>喷淋所</w:t>
      </w:r>
      <w:r w:rsidRPr="00D630D1">
        <w:rPr>
          <w:rFonts w:hint="eastAsia"/>
          <w:bCs/>
        </w:rPr>
        <w:t>产生</w:t>
      </w:r>
      <w:r w:rsidRPr="00D630D1">
        <w:rPr>
          <w:bCs/>
        </w:rPr>
        <w:t>的废水</w:t>
      </w:r>
      <w:r w:rsidRPr="00D630D1">
        <w:rPr>
          <w:rFonts w:hint="eastAsia"/>
          <w:bCs/>
        </w:rPr>
        <w:t>全部回用，对地表水环境影响不大。钻井作业的配浆过程中会根据泥浆的不同要求加入不等量的水，这些水随钻井液进入井底协助钻井作业，在钻井液返回地面后，大部分水随泥浆进入泥浆</w:t>
      </w:r>
      <w:r w:rsidRPr="00D630D1">
        <w:rPr>
          <w:bCs/>
        </w:rPr>
        <w:t>净化系统，</w:t>
      </w:r>
      <w:r w:rsidRPr="00D630D1">
        <w:rPr>
          <w:rFonts w:hint="eastAsia"/>
          <w:bCs/>
        </w:rPr>
        <w:t>小部分水随钻屑进入</w:t>
      </w:r>
      <w:r w:rsidR="00DB6EC5" w:rsidRPr="00D630D1">
        <w:rPr>
          <w:rFonts w:hint="eastAsia"/>
          <w:spacing w:val="-8"/>
          <w:szCs w:val="21"/>
        </w:rPr>
        <w:t>清洁化操作平台</w:t>
      </w:r>
      <w:r w:rsidRPr="00D630D1">
        <w:rPr>
          <w:rFonts w:hint="eastAsia"/>
          <w:bCs/>
        </w:rPr>
        <w:t>，经固液分离后，回收</w:t>
      </w:r>
      <w:r w:rsidRPr="00D630D1">
        <w:rPr>
          <w:bCs/>
        </w:rPr>
        <w:t>上清液用于泥浆配置</w:t>
      </w:r>
      <w:r w:rsidRPr="00D630D1">
        <w:rPr>
          <w:rFonts w:hint="eastAsia"/>
          <w:bCs/>
        </w:rPr>
        <w:t>（回用率</w:t>
      </w:r>
      <w:r w:rsidRPr="00D630D1">
        <w:rPr>
          <w:bCs/>
        </w:rPr>
        <w:t>90%</w:t>
      </w:r>
      <w:r w:rsidRPr="00D630D1">
        <w:rPr>
          <w:bCs/>
        </w:rPr>
        <w:t>以上</w:t>
      </w:r>
      <w:r w:rsidRPr="00D630D1">
        <w:rPr>
          <w:rFonts w:hint="eastAsia"/>
          <w:bCs/>
        </w:rPr>
        <w:t>）</w:t>
      </w:r>
      <w:r w:rsidRPr="00D630D1">
        <w:rPr>
          <w:bCs/>
        </w:rPr>
        <w:t>，剩余废水</w:t>
      </w:r>
      <w:r w:rsidRPr="00D630D1">
        <w:rPr>
          <w:rFonts w:hint="eastAsia"/>
          <w:bCs/>
        </w:rPr>
        <w:t>委托由罐车拉运至毛开</w:t>
      </w:r>
      <w:r w:rsidRPr="00D630D1">
        <w:rPr>
          <w:rFonts w:hint="eastAsia"/>
          <w:bCs/>
        </w:rPr>
        <w:t>1</w:t>
      </w:r>
      <w:r w:rsidRPr="00D630D1">
        <w:rPr>
          <w:rFonts w:hint="eastAsia"/>
          <w:bCs/>
        </w:rPr>
        <w:t>井</w:t>
      </w:r>
      <w:r w:rsidRPr="00D630D1">
        <w:rPr>
          <w:bCs/>
        </w:rPr>
        <w:t>回注标准</w:t>
      </w:r>
      <w:r w:rsidRPr="00D630D1">
        <w:rPr>
          <w:rFonts w:hint="eastAsia"/>
          <w:bCs/>
        </w:rPr>
        <w:t>后</w:t>
      </w:r>
      <w:r w:rsidRPr="00D630D1">
        <w:rPr>
          <w:bCs/>
        </w:rPr>
        <w:t>回注，不外排</w:t>
      </w:r>
      <w:r w:rsidRPr="00D630D1">
        <w:rPr>
          <w:rFonts w:hint="eastAsia"/>
          <w:bCs/>
        </w:rPr>
        <w:t>，对地表水环境不会产生影响。</w:t>
      </w:r>
    </w:p>
    <w:p w:rsidR="007A3ABD" w:rsidRPr="00D630D1" w:rsidRDefault="007A3ABD" w:rsidP="007A3ABD">
      <w:pPr>
        <w:pStyle w:val="afa"/>
        <w:ind w:firstLine="480"/>
        <w:rPr>
          <w:bCs/>
        </w:rPr>
      </w:pPr>
      <w:r w:rsidRPr="00D630D1">
        <w:rPr>
          <w:rFonts w:hint="eastAsia"/>
          <w:bCs/>
        </w:rPr>
        <w:t>井场内四周设排水边沟，井场雨水随</w:t>
      </w:r>
      <w:r w:rsidRPr="00D630D1">
        <w:rPr>
          <w:bCs/>
        </w:rPr>
        <w:t>四周</w:t>
      </w:r>
      <w:r w:rsidRPr="00D630D1">
        <w:rPr>
          <w:rFonts w:hint="eastAsia"/>
          <w:bCs/>
        </w:rPr>
        <w:t>排水边沟汇至排放</w:t>
      </w:r>
      <w:r w:rsidRPr="00D630D1">
        <w:rPr>
          <w:bCs/>
        </w:rPr>
        <w:t>口</w:t>
      </w:r>
      <w:r w:rsidRPr="00D630D1">
        <w:rPr>
          <w:rFonts w:hint="eastAsia"/>
          <w:bCs/>
        </w:rPr>
        <w:t>，</w:t>
      </w:r>
      <w:r w:rsidRPr="00D630D1">
        <w:rPr>
          <w:bCs/>
        </w:rPr>
        <w:t>排放口设监控池，初期雨水</w:t>
      </w:r>
      <w:r w:rsidRPr="00D630D1">
        <w:rPr>
          <w:rFonts w:hint="eastAsia"/>
          <w:bCs/>
        </w:rPr>
        <w:t>收集</w:t>
      </w:r>
      <w:r w:rsidRPr="00D630D1">
        <w:rPr>
          <w:bCs/>
        </w:rPr>
        <w:t>进入</w:t>
      </w:r>
      <w:r w:rsidR="000C6323" w:rsidRPr="00D630D1">
        <w:rPr>
          <w:rFonts w:hint="eastAsia"/>
          <w:bCs/>
        </w:rPr>
        <w:t>清洁化操作平台，与</w:t>
      </w:r>
      <w:r w:rsidRPr="00D630D1">
        <w:rPr>
          <w:bCs/>
        </w:rPr>
        <w:t>钻井废水一</w:t>
      </w:r>
      <w:r w:rsidRPr="00D630D1">
        <w:rPr>
          <w:rFonts w:hint="eastAsia"/>
          <w:bCs/>
        </w:rPr>
        <w:t>同</w:t>
      </w:r>
      <w:r w:rsidR="000C6323" w:rsidRPr="00D630D1">
        <w:rPr>
          <w:spacing w:val="-8"/>
          <w:szCs w:val="21"/>
        </w:rPr>
        <w:t>经</w:t>
      </w:r>
      <w:r w:rsidR="000C6323" w:rsidRPr="00D630D1">
        <w:rPr>
          <w:rFonts w:hint="eastAsia"/>
          <w:spacing w:val="-8"/>
          <w:szCs w:val="21"/>
        </w:rPr>
        <w:t>清洁化操作平台</w:t>
      </w:r>
      <w:r w:rsidR="000C6323" w:rsidRPr="00D630D1">
        <w:rPr>
          <w:spacing w:val="-8"/>
          <w:szCs w:val="21"/>
        </w:rPr>
        <w:t>预处理后装车拉运至毛开</w:t>
      </w:r>
      <w:r w:rsidR="000C6323" w:rsidRPr="00D630D1">
        <w:rPr>
          <w:spacing w:val="-8"/>
          <w:szCs w:val="21"/>
        </w:rPr>
        <w:t>1</w:t>
      </w:r>
      <w:r w:rsidR="000C6323" w:rsidRPr="00D630D1">
        <w:rPr>
          <w:spacing w:val="-8"/>
          <w:szCs w:val="21"/>
        </w:rPr>
        <w:t>井回注站回注</w:t>
      </w:r>
      <w:r w:rsidR="000C6323" w:rsidRPr="00D630D1">
        <w:rPr>
          <w:rFonts w:hint="eastAsia"/>
          <w:spacing w:val="-8"/>
          <w:szCs w:val="21"/>
        </w:rPr>
        <w:t>。</w:t>
      </w:r>
    </w:p>
    <w:p w:rsidR="007A3ABD" w:rsidRPr="00D630D1" w:rsidRDefault="007A3ABD" w:rsidP="007A3ABD">
      <w:pPr>
        <w:pStyle w:val="afa"/>
        <w:ind w:firstLine="480"/>
        <w:rPr>
          <w:bCs/>
        </w:rPr>
      </w:pPr>
      <w:r w:rsidRPr="00D630D1">
        <w:rPr>
          <w:rFonts w:hint="eastAsia"/>
          <w:bCs/>
        </w:rPr>
        <w:t>本项目钻井废水于井场进行处理，采取混凝</w:t>
      </w:r>
      <w:r w:rsidRPr="00D630D1">
        <w:rPr>
          <w:rFonts w:hint="eastAsia"/>
          <w:bCs/>
        </w:rPr>
        <w:t>-</w:t>
      </w:r>
      <w:r w:rsidRPr="00D630D1">
        <w:rPr>
          <w:rFonts w:hint="eastAsia"/>
          <w:bCs/>
        </w:rPr>
        <w:t>絮凝</w:t>
      </w:r>
      <w:r w:rsidRPr="00D630D1">
        <w:rPr>
          <w:rFonts w:hint="eastAsia"/>
          <w:bCs/>
        </w:rPr>
        <w:t>-</w:t>
      </w:r>
      <w:r w:rsidRPr="00D630D1">
        <w:rPr>
          <w:rFonts w:hint="eastAsia"/>
          <w:bCs/>
        </w:rPr>
        <w:t>固液分离</w:t>
      </w:r>
      <w:r w:rsidRPr="00D630D1">
        <w:rPr>
          <w:rFonts w:hint="eastAsia"/>
          <w:bCs/>
        </w:rPr>
        <w:t>-</w:t>
      </w:r>
      <w:r w:rsidRPr="00D630D1">
        <w:rPr>
          <w:rFonts w:hint="eastAsia"/>
          <w:bCs/>
        </w:rPr>
        <w:t>氧化降解（或吸附）</w:t>
      </w:r>
      <w:r w:rsidRPr="00D630D1">
        <w:rPr>
          <w:rFonts w:hint="eastAsia"/>
          <w:bCs/>
        </w:rPr>
        <w:t>-</w:t>
      </w:r>
      <w:r w:rsidRPr="00D630D1">
        <w:rPr>
          <w:rFonts w:hint="eastAsia"/>
          <w:bCs/>
        </w:rPr>
        <w:t>过滤的处理工艺。具体流程叙述如下：</w:t>
      </w:r>
    </w:p>
    <w:p w:rsidR="007A3ABD" w:rsidRPr="00D630D1" w:rsidRDefault="007A3ABD" w:rsidP="007A3ABD">
      <w:pPr>
        <w:pStyle w:val="afa"/>
        <w:ind w:firstLine="480"/>
        <w:rPr>
          <w:bCs/>
        </w:rPr>
      </w:pPr>
      <w:r w:rsidRPr="00D630D1">
        <w:rPr>
          <w:rFonts w:hint="eastAsia"/>
          <w:bCs/>
        </w:rPr>
        <w:t>根据钻井废水的水质分析结果，按配方要求加入一定量的混凝剂，充分搅拌。</w:t>
      </w:r>
      <w:r w:rsidRPr="00D630D1">
        <w:rPr>
          <w:rFonts w:hint="eastAsia"/>
          <w:bCs/>
        </w:rPr>
        <w:lastRenderedPageBreak/>
        <w:t>复合混凝剂能够降低污水胶体体系电位，破坏胶体体系稳定性，促使悬浮物析出；</w:t>
      </w:r>
    </w:p>
    <w:p w:rsidR="007A3ABD" w:rsidRPr="00D630D1" w:rsidRDefault="007A3ABD" w:rsidP="007A3ABD">
      <w:pPr>
        <w:pStyle w:val="afa"/>
        <w:ind w:firstLine="480"/>
        <w:rPr>
          <w:bCs/>
        </w:rPr>
      </w:pPr>
      <w:r w:rsidRPr="00D630D1">
        <w:rPr>
          <w:rFonts w:hint="eastAsia"/>
          <w:bCs/>
        </w:rPr>
        <w:t>调整酸碱度，加入适量的助凝剂、絮凝剂搅拌后静置半小时，絮体压滤脱水。脱出水进行进一步氧化处理，压滤产生泥饼与泥浆一起进行固化处理。助凝剂能够调剂污水体系酸碱度，促进悬浮物析出；絮凝剂能够起架桥、连接作用，促使絮体变大，产生网捕、卷扫作用，清除悬浮物。</w:t>
      </w:r>
    </w:p>
    <w:p w:rsidR="007A3ABD" w:rsidRPr="00D630D1" w:rsidRDefault="007A3ABD" w:rsidP="007A3ABD">
      <w:pPr>
        <w:pStyle w:val="afa"/>
        <w:ind w:firstLine="480"/>
        <w:rPr>
          <w:bCs/>
        </w:rPr>
      </w:pPr>
      <w:r w:rsidRPr="00D630D1">
        <w:rPr>
          <w:rFonts w:hint="eastAsia"/>
          <w:bCs/>
        </w:rPr>
        <w:t>混凝出水加入氧化剂深度脱色和去除</w:t>
      </w:r>
      <w:r w:rsidRPr="00D630D1">
        <w:rPr>
          <w:rFonts w:hint="eastAsia"/>
          <w:bCs/>
        </w:rPr>
        <w:t>COD</w:t>
      </w:r>
      <w:r w:rsidRPr="00D630D1">
        <w:rPr>
          <w:rFonts w:hint="eastAsia"/>
          <w:bCs/>
        </w:rPr>
        <w:t>，氧化剂能够进一步氧化降解污水中的有机物，提高</w:t>
      </w:r>
      <w:r w:rsidRPr="00D630D1">
        <w:rPr>
          <w:rFonts w:hint="eastAsia"/>
          <w:bCs/>
        </w:rPr>
        <w:t>COD</w:t>
      </w:r>
      <w:r w:rsidRPr="00D630D1">
        <w:rPr>
          <w:rFonts w:hint="eastAsia"/>
          <w:bCs/>
        </w:rPr>
        <w:t>去除率。</w:t>
      </w:r>
    </w:p>
    <w:p w:rsidR="007A3ABD" w:rsidRPr="00D630D1" w:rsidRDefault="007A3ABD" w:rsidP="007A3ABD">
      <w:pPr>
        <w:pStyle w:val="afa"/>
        <w:ind w:firstLine="480"/>
        <w:rPr>
          <w:bCs/>
        </w:rPr>
      </w:pPr>
      <w:r w:rsidRPr="00D630D1">
        <w:rPr>
          <w:rFonts w:hint="eastAsia"/>
          <w:bCs/>
        </w:rPr>
        <w:t>深度处理出水过滤后拉运至毛开</w:t>
      </w:r>
      <w:r w:rsidRPr="00D630D1">
        <w:rPr>
          <w:rFonts w:hint="eastAsia"/>
          <w:bCs/>
        </w:rPr>
        <w:t>1</w:t>
      </w:r>
      <w:r w:rsidRPr="00D630D1">
        <w:rPr>
          <w:rFonts w:hint="eastAsia"/>
          <w:bCs/>
        </w:rPr>
        <w:t>井</w:t>
      </w:r>
      <w:r w:rsidRPr="00D630D1">
        <w:rPr>
          <w:bCs/>
        </w:rPr>
        <w:t>回注标准</w:t>
      </w:r>
      <w:r w:rsidRPr="00D630D1">
        <w:rPr>
          <w:rFonts w:hint="eastAsia"/>
          <w:bCs/>
        </w:rPr>
        <w:t>后</w:t>
      </w:r>
      <w:r w:rsidRPr="00D630D1">
        <w:rPr>
          <w:bCs/>
        </w:rPr>
        <w:t>回注，不外排</w:t>
      </w:r>
      <w:r w:rsidRPr="00D630D1">
        <w:rPr>
          <w:rFonts w:hint="eastAsia"/>
          <w:bCs/>
        </w:rPr>
        <w:t>。</w:t>
      </w:r>
    </w:p>
    <w:p w:rsidR="007A3ABD" w:rsidRPr="00D630D1" w:rsidRDefault="007A3ABD" w:rsidP="007A3ABD">
      <w:pPr>
        <w:pStyle w:val="afa"/>
        <w:ind w:firstLine="480"/>
        <w:rPr>
          <w:bCs/>
        </w:rPr>
      </w:pPr>
      <w:r w:rsidRPr="00D630D1">
        <w:rPr>
          <w:rFonts w:hint="eastAsia"/>
          <w:bCs/>
        </w:rPr>
        <w:t>建设单位针对钻井废水储存采取了以下管理措施：</w:t>
      </w:r>
    </w:p>
    <w:p w:rsidR="007A3ABD" w:rsidRPr="00D630D1" w:rsidRDefault="007A3ABD" w:rsidP="007A3ABD">
      <w:pPr>
        <w:pStyle w:val="afa"/>
        <w:numPr>
          <w:ilvl w:val="2"/>
          <w:numId w:val="19"/>
        </w:numPr>
        <w:ind w:firstLine="480"/>
        <w:rPr>
          <w:bCs/>
        </w:rPr>
      </w:pPr>
      <w:r w:rsidRPr="00D630D1">
        <w:rPr>
          <w:rFonts w:hint="eastAsia"/>
          <w:bCs/>
        </w:rPr>
        <w:t>不得乱排乱放废水。</w:t>
      </w:r>
    </w:p>
    <w:p w:rsidR="007A3ABD" w:rsidRPr="00D630D1" w:rsidRDefault="007A3ABD" w:rsidP="007A3ABD">
      <w:pPr>
        <w:pStyle w:val="afa"/>
        <w:ind w:firstLine="480"/>
        <w:rPr>
          <w:bCs/>
        </w:rPr>
      </w:pPr>
      <w:r w:rsidRPr="00D630D1">
        <w:rPr>
          <w:rFonts w:hint="eastAsia"/>
          <w:bCs/>
        </w:rPr>
        <w:t>现场人员应定期对</w:t>
      </w:r>
      <w:r w:rsidR="000C6323" w:rsidRPr="00D630D1">
        <w:rPr>
          <w:rFonts w:hint="eastAsia"/>
          <w:bCs/>
        </w:rPr>
        <w:t>清洁化操作平台渗漏</w:t>
      </w:r>
      <w:r w:rsidRPr="00D630D1">
        <w:rPr>
          <w:rFonts w:hint="eastAsia"/>
          <w:bCs/>
        </w:rPr>
        <w:t>情况进行巡检，发现异常情况立即汇报和整改，并作好记录。</w:t>
      </w:r>
    </w:p>
    <w:p w:rsidR="007A3ABD" w:rsidRPr="00D630D1" w:rsidRDefault="007A3ABD" w:rsidP="007A3ABD">
      <w:pPr>
        <w:pStyle w:val="afa"/>
        <w:ind w:firstLine="480"/>
        <w:rPr>
          <w:bCs/>
        </w:rPr>
      </w:pPr>
      <w:r w:rsidRPr="00D630D1">
        <w:rPr>
          <w:rFonts w:hint="eastAsia"/>
          <w:bCs/>
        </w:rPr>
        <w:t>暴雨</w:t>
      </w:r>
      <w:r w:rsidRPr="00D630D1">
        <w:rPr>
          <w:bCs/>
        </w:rPr>
        <w:t>等特殊气象条件下，</w:t>
      </w:r>
      <w:r w:rsidRPr="00D630D1">
        <w:rPr>
          <w:rFonts w:hint="eastAsia"/>
          <w:bCs/>
        </w:rPr>
        <w:t>井场应及时转运废水，以防止暴雨进入</w:t>
      </w:r>
      <w:r w:rsidR="000C6323" w:rsidRPr="00D630D1">
        <w:rPr>
          <w:bCs/>
        </w:rPr>
        <w:t>放喷池</w:t>
      </w:r>
      <w:r w:rsidRPr="00D630D1">
        <w:rPr>
          <w:bCs/>
        </w:rPr>
        <w:t>，</w:t>
      </w:r>
      <w:r w:rsidRPr="00D630D1">
        <w:rPr>
          <w:rFonts w:hint="eastAsia"/>
          <w:bCs/>
        </w:rPr>
        <w:t>避免引起废水外溢从而导致环境污染。</w:t>
      </w:r>
    </w:p>
    <w:p w:rsidR="007A3ABD" w:rsidRPr="00D630D1" w:rsidRDefault="007A3ABD" w:rsidP="007A3ABD">
      <w:pPr>
        <w:pStyle w:val="afa"/>
        <w:ind w:firstLine="480"/>
        <w:rPr>
          <w:bCs/>
        </w:rPr>
      </w:pPr>
      <w:r w:rsidRPr="00D630D1">
        <w:rPr>
          <w:rFonts w:hint="eastAsia"/>
          <w:bCs/>
        </w:rPr>
        <w:t>完井期间及时拉运处理作业废水。</w:t>
      </w:r>
    </w:p>
    <w:p w:rsidR="007A3ABD" w:rsidRPr="00D630D1" w:rsidRDefault="007A3ABD" w:rsidP="007A3ABD">
      <w:pPr>
        <w:pStyle w:val="afa"/>
        <w:ind w:firstLine="480"/>
        <w:rPr>
          <w:bCs/>
        </w:rPr>
      </w:pPr>
      <w:r w:rsidRPr="00D630D1">
        <w:rPr>
          <w:rFonts w:hint="eastAsia"/>
          <w:bCs/>
        </w:rPr>
        <w:t>废水转运采取的具体管理措施如下：</w:t>
      </w:r>
    </w:p>
    <w:p w:rsidR="007A3ABD" w:rsidRPr="00D630D1" w:rsidRDefault="007A3ABD" w:rsidP="007A3ABD">
      <w:pPr>
        <w:pStyle w:val="afa"/>
        <w:numPr>
          <w:ilvl w:val="2"/>
          <w:numId w:val="19"/>
        </w:numPr>
        <w:ind w:firstLine="480"/>
        <w:rPr>
          <w:bCs/>
        </w:rPr>
      </w:pPr>
      <w:r w:rsidRPr="00D630D1">
        <w:rPr>
          <w:rFonts w:hint="eastAsia"/>
          <w:bCs/>
        </w:rPr>
        <w:t>制定科学合理的车辆运输路线，根据车辆运输的</w:t>
      </w:r>
      <w:r w:rsidRPr="00D630D1">
        <w:rPr>
          <w:bCs/>
        </w:rPr>
        <w:t>特性</w:t>
      </w:r>
      <w:r w:rsidRPr="00D630D1">
        <w:rPr>
          <w:rFonts w:hint="eastAsia"/>
          <w:bCs/>
        </w:rPr>
        <w:t>实施相应的管理。</w:t>
      </w:r>
    </w:p>
    <w:p w:rsidR="007A3ABD" w:rsidRPr="00D630D1" w:rsidRDefault="007A3ABD" w:rsidP="007A3ABD">
      <w:pPr>
        <w:pStyle w:val="afa"/>
        <w:ind w:firstLine="480"/>
        <w:rPr>
          <w:bCs/>
        </w:rPr>
      </w:pPr>
      <w:r w:rsidRPr="00D630D1">
        <w:rPr>
          <w:rFonts w:hint="eastAsia"/>
          <w:bCs/>
        </w:rPr>
        <w:t>废水承运单位在开展运输工作之前，应对运输人员进行相关安全环保知识培训，废水运输车辆、装卸工具必须符合安全环保要求，装卸和运输废水过程中不得溢出和渗漏。严禁任意倾倒、排放或向第三方转移废水。</w:t>
      </w:r>
    </w:p>
    <w:p w:rsidR="007A3ABD" w:rsidRPr="00D630D1" w:rsidRDefault="007A3ABD" w:rsidP="007A3ABD">
      <w:pPr>
        <w:pStyle w:val="afa"/>
        <w:ind w:firstLine="480"/>
        <w:rPr>
          <w:bCs/>
        </w:rPr>
      </w:pPr>
      <w:r w:rsidRPr="00D630D1">
        <w:rPr>
          <w:rFonts w:hint="eastAsia"/>
          <w:bCs/>
        </w:rPr>
        <w:t>废水承运人员进入井场装卸废水，必须遵守有关安全环保管理规定，并服从井站值班人员的管理，不得擅自进入生产装置区和操作井场。</w:t>
      </w:r>
    </w:p>
    <w:p w:rsidR="007A3ABD" w:rsidRPr="00D630D1" w:rsidRDefault="007A3ABD" w:rsidP="007A3ABD">
      <w:pPr>
        <w:pStyle w:val="afa"/>
        <w:ind w:firstLine="480"/>
        <w:rPr>
          <w:bCs/>
        </w:rPr>
      </w:pPr>
      <w:r w:rsidRPr="00D630D1">
        <w:rPr>
          <w:rFonts w:hint="eastAsia"/>
          <w:bCs/>
        </w:rPr>
        <w:t>废水转运时采取罐车密闭输送。</w:t>
      </w:r>
    </w:p>
    <w:p w:rsidR="007A3ABD" w:rsidRPr="00D630D1" w:rsidRDefault="007A3ABD" w:rsidP="007A3ABD">
      <w:pPr>
        <w:pStyle w:val="afa"/>
        <w:ind w:firstLine="480"/>
        <w:rPr>
          <w:bCs/>
        </w:rPr>
      </w:pPr>
      <w:r w:rsidRPr="00D630D1">
        <w:rPr>
          <w:rFonts w:hint="eastAsia"/>
          <w:bCs/>
        </w:rPr>
        <w:t>尽量避免在雨天和大雾天转运。</w:t>
      </w:r>
    </w:p>
    <w:p w:rsidR="007A3ABD" w:rsidRPr="00D630D1" w:rsidRDefault="007A3ABD" w:rsidP="007A3ABD">
      <w:pPr>
        <w:pStyle w:val="afa"/>
        <w:ind w:firstLine="480"/>
        <w:rPr>
          <w:bCs/>
        </w:rPr>
      </w:pPr>
      <w:r w:rsidRPr="00D630D1">
        <w:rPr>
          <w:rFonts w:hint="eastAsia"/>
          <w:bCs/>
        </w:rPr>
        <w:t>建设单位应当加强对废水承运单位的监管和沟通，督促其严格监管废水转运车辆，以防废水承运人员半途随意倾倒废水造成环境污染。</w:t>
      </w:r>
    </w:p>
    <w:p w:rsidR="007A3ABD" w:rsidRPr="00D630D1" w:rsidRDefault="007A3ABD" w:rsidP="007A3ABD">
      <w:pPr>
        <w:pStyle w:val="afa"/>
        <w:ind w:firstLine="480"/>
        <w:rPr>
          <w:bCs/>
        </w:rPr>
      </w:pPr>
      <w:r w:rsidRPr="00D630D1">
        <w:rPr>
          <w:rFonts w:hint="eastAsia"/>
          <w:bCs/>
        </w:rPr>
        <w:t>建设单位对承包废水转运的承包商实施车辆登记制度。</w:t>
      </w:r>
    </w:p>
    <w:p w:rsidR="007A3ABD" w:rsidRPr="00D630D1" w:rsidRDefault="007A3ABD" w:rsidP="007A3ABD">
      <w:pPr>
        <w:pStyle w:val="afa"/>
        <w:ind w:firstLine="480"/>
        <w:rPr>
          <w:bCs/>
        </w:rPr>
      </w:pPr>
      <w:r w:rsidRPr="00D630D1">
        <w:rPr>
          <w:rFonts w:hint="eastAsia"/>
          <w:bCs/>
        </w:rPr>
        <w:t>过程做好转运台账，严格实施交接清单制度。</w:t>
      </w:r>
    </w:p>
    <w:p w:rsidR="00117C3D" w:rsidRPr="00D630D1" w:rsidRDefault="003655DE" w:rsidP="00A36CD3">
      <w:pPr>
        <w:pStyle w:val="a1"/>
        <w:ind w:firstLine="482"/>
        <w:rPr>
          <w:rFonts w:ascii="Times New Roman" w:cs="Times New Roman"/>
          <w:b/>
        </w:rPr>
      </w:pPr>
      <w:bookmarkStart w:id="477" w:name="_Toc12288646"/>
      <w:r w:rsidRPr="00D630D1">
        <w:rPr>
          <w:rFonts w:ascii="Times New Roman" w:cs="Times New Roman" w:hint="eastAsia"/>
          <w:b/>
        </w:rPr>
        <w:t>2</w:t>
      </w:r>
      <w:r w:rsidR="00A36CD3" w:rsidRPr="00D630D1">
        <w:rPr>
          <w:rFonts w:ascii="Times New Roman" w:cs="Times New Roman" w:hint="eastAsia"/>
          <w:b/>
        </w:rPr>
        <w:t>、</w:t>
      </w:r>
      <w:r w:rsidR="008B5B84" w:rsidRPr="00D630D1">
        <w:rPr>
          <w:rFonts w:ascii="Times New Roman" w:cs="Times New Roman"/>
          <w:b/>
        </w:rPr>
        <w:t>施工期其它因素对地表水环境影响分析</w:t>
      </w:r>
      <w:bookmarkEnd w:id="477"/>
    </w:p>
    <w:p w:rsidR="00117C3D" w:rsidRPr="00D630D1" w:rsidRDefault="00A36CD3">
      <w:pPr>
        <w:pStyle w:val="a1"/>
        <w:ind w:firstLine="480"/>
        <w:rPr>
          <w:rFonts w:ascii="Times New Roman" w:cs="Times New Roman"/>
        </w:rPr>
      </w:pPr>
      <w:r w:rsidRPr="00D630D1">
        <w:rPr>
          <w:rFonts w:ascii="Times New Roman" w:cs="Times New Roman" w:hint="eastAsia"/>
        </w:rPr>
        <w:lastRenderedPageBreak/>
        <w:t>（</w:t>
      </w:r>
      <w:r w:rsidRPr="00D630D1">
        <w:rPr>
          <w:rFonts w:ascii="Times New Roman" w:cs="Times New Roman" w:hint="eastAsia"/>
        </w:rPr>
        <w:t>1</w:t>
      </w:r>
      <w:r w:rsidRPr="00D630D1">
        <w:rPr>
          <w:rFonts w:ascii="Times New Roman" w:cs="Times New Roman" w:hint="eastAsia"/>
        </w:rPr>
        <w:t>）</w:t>
      </w:r>
      <w:r w:rsidR="008B5B84" w:rsidRPr="00D630D1">
        <w:rPr>
          <w:rFonts w:ascii="Times New Roman" w:cs="Times New Roman"/>
        </w:rPr>
        <w:t>管道开挖过程中，挖出的土石如未能及时回填，遇雨水冲刷进入附近水体，影响水域水质。</w:t>
      </w:r>
    </w:p>
    <w:p w:rsidR="00117C3D" w:rsidRPr="00D630D1" w:rsidRDefault="00A36CD3">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2</w:t>
      </w:r>
      <w:r w:rsidRPr="00D630D1">
        <w:rPr>
          <w:rFonts w:ascii="Times New Roman" w:cs="Times New Roman" w:hint="eastAsia"/>
        </w:rPr>
        <w:t>）</w:t>
      </w:r>
      <w:r w:rsidR="008B5B84" w:rsidRPr="00D630D1">
        <w:rPr>
          <w:rFonts w:ascii="Times New Roman" w:cs="Times New Roman"/>
        </w:rPr>
        <w:t>施工物料如堆放管理不严，受雨水冲刷进入附近水体，对水域造成影响。</w:t>
      </w:r>
    </w:p>
    <w:p w:rsidR="00507B82" w:rsidRPr="00D630D1" w:rsidRDefault="00A36CD3" w:rsidP="00507B82">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3</w:t>
      </w:r>
      <w:r w:rsidRPr="00D630D1">
        <w:rPr>
          <w:rFonts w:ascii="Times New Roman" w:cs="Times New Roman" w:hint="eastAsia"/>
        </w:rPr>
        <w:t>）</w:t>
      </w:r>
      <w:r w:rsidR="008B5B84" w:rsidRPr="00D630D1">
        <w:rPr>
          <w:rFonts w:ascii="Times New Roman" w:cs="Times New Roman"/>
        </w:rPr>
        <w:t>施工弃渣和施工人员的生活垃圾如不妥善处理，随意堆放，受雨水冲刷进入附近水体，将对其水质造成影响。</w:t>
      </w:r>
    </w:p>
    <w:p w:rsidR="00117C3D" w:rsidRPr="00D630D1" w:rsidRDefault="003655DE" w:rsidP="00A36CD3">
      <w:pPr>
        <w:pStyle w:val="a1"/>
        <w:ind w:firstLine="482"/>
        <w:rPr>
          <w:rFonts w:ascii="Times New Roman" w:cs="Times New Roman"/>
          <w:b/>
        </w:rPr>
      </w:pPr>
      <w:bookmarkStart w:id="478" w:name="_Toc12288647"/>
      <w:r w:rsidRPr="00D630D1">
        <w:rPr>
          <w:rFonts w:ascii="Times New Roman" w:cs="Times New Roman" w:hint="eastAsia"/>
          <w:b/>
        </w:rPr>
        <w:t>3</w:t>
      </w:r>
      <w:r w:rsidR="00A36CD3" w:rsidRPr="00D630D1">
        <w:rPr>
          <w:rFonts w:ascii="Times New Roman" w:cs="Times New Roman" w:hint="eastAsia"/>
          <w:b/>
        </w:rPr>
        <w:t>、施工期地表水环境影响分析</w:t>
      </w:r>
      <w:r w:rsidR="008B5B84" w:rsidRPr="00D630D1">
        <w:rPr>
          <w:rFonts w:ascii="Times New Roman" w:cs="Times New Roman"/>
          <w:b/>
        </w:rPr>
        <w:t>小结</w:t>
      </w:r>
      <w:bookmarkEnd w:id="478"/>
    </w:p>
    <w:p w:rsidR="00117C3D" w:rsidRPr="00D630D1" w:rsidRDefault="008B5B84">
      <w:pPr>
        <w:pStyle w:val="a1"/>
        <w:ind w:firstLine="480"/>
        <w:rPr>
          <w:rFonts w:ascii="Times New Roman" w:cs="Times New Roman"/>
        </w:rPr>
      </w:pPr>
      <w:r w:rsidRPr="00D630D1">
        <w:rPr>
          <w:rFonts w:ascii="Times New Roman" w:cs="Times New Roman"/>
        </w:rPr>
        <w:t>通过以上分析，通过对施工弃土、施工人员生活垃圾妥善处置；对施工材料堆放严格管理，及时填埋开挖土石。</w:t>
      </w:r>
    </w:p>
    <w:p w:rsidR="00117C3D" w:rsidRPr="00D630D1" w:rsidRDefault="008B5B84">
      <w:pPr>
        <w:pStyle w:val="a1"/>
        <w:ind w:firstLine="480"/>
        <w:rPr>
          <w:rFonts w:ascii="Times New Roman" w:cs="Times New Roman"/>
        </w:rPr>
      </w:pPr>
      <w:r w:rsidRPr="00D630D1">
        <w:rPr>
          <w:rFonts w:ascii="Times New Roman" w:cs="Times New Roman"/>
        </w:rPr>
        <w:t>由地表水环境质量现状调查与评价可知，</w:t>
      </w:r>
      <w:r w:rsidR="003655DE" w:rsidRPr="00D630D1">
        <w:rPr>
          <w:rFonts w:ascii="Times New Roman" w:cs="Times New Roman" w:hint="eastAsia"/>
        </w:rPr>
        <w:t>项目所在地地表</w:t>
      </w:r>
      <w:r w:rsidRPr="00D630D1">
        <w:rPr>
          <w:rFonts w:ascii="Times New Roman" w:cs="Times New Roman"/>
        </w:rPr>
        <w:t>水环境质量现状较好，如加强施工期间的环境管理，因此，</w:t>
      </w:r>
      <w:r w:rsidR="003655DE" w:rsidRPr="00D630D1">
        <w:rPr>
          <w:rFonts w:ascii="Times New Roman" w:cs="Times New Roman" w:hint="eastAsia"/>
        </w:rPr>
        <w:t>施工期</w:t>
      </w:r>
      <w:r w:rsidRPr="00D630D1">
        <w:rPr>
          <w:rFonts w:ascii="Times New Roman" w:cs="Times New Roman"/>
        </w:rPr>
        <w:t>对地表水产生的影响较小。</w:t>
      </w:r>
    </w:p>
    <w:p w:rsidR="00117C3D" w:rsidRPr="00D630D1" w:rsidRDefault="00CF0AF7">
      <w:pPr>
        <w:pStyle w:val="3"/>
        <w:rPr>
          <w:rFonts w:eastAsia="宋体"/>
        </w:rPr>
      </w:pPr>
      <w:bookmarkStart w:id="479" w:name="bookmark42"/>
      <w:bookmarkStart w:id="480" w:name="_Toc19816053"/>
      <w:bookmarkStart w:id="481" w:name="_Toc12288651"/>
      <w:bookmarkStart w:id="482" w:name="_Hlk53087353"/>
      <w:bookmarkEnd w:id="476"/>
      <w:bookmarkEnd w:id="479"/>
      <w:r w:rsidRPr="00D630D1">
        <w:rPr>
          <w:rFonts w:eastAsia="宋体"/>
        </w:rPr>
        <w:t>6</w:t>
      </w:r>
      <w:r w:rsidR="008B5B84" w:rsidRPr="00D630D1">
        <w:rPr>
          <w:rFonts w:eastAsia="宋体"/>
        </w:rPr>
        <w:t>.</w:t>
      </w:r>
      <w:r w:rsidR="001F4A69" w:rsidRPr="00D630D1">
        <w:rPr>
          <w:rFonts w:eastAsia="宋体"/>
        </w:rPr>
        <w:t>1</w:t>
      </w:r>
      <w:r w:rsidR="008B5B84" w:rsidRPr="00D630D1">
        <w:rPr>
          <w:rFonts w:eastAsia="宋体"/>
        </w:rPr>
        <w:t>.</w:t>
      </w:r>
      <w:r w:rsidR="001F4A69" w:rsidRPr="00D630D1">
        <w:rPr>
          <w:rFonts w:eastAsia="宋体"/>
        </w:rPr>
        <w:t>3</w:t>
      </w:r>
      <w:r w:rsidR="008B5B84" w:rsidRPr="00D630D1">
        <w:rPr>
          <w:rFonts w:eastAsia="宋体"/>
        </w:rPr>
        <w:t xml:space="preserve"> </w:t>
      </w:r>
      <w:r w:rsidR="008B5B84" w:rsidRPr="00D630D1">
        <w:rPr>
          <w:rFonts w:eastAsia="宋体"/>
        </w:rPr>
        <w:t>施工期地下水环境影响分析</w:t>
      </w:r>
      <w:bookmarkEnd w:id="480"/>
      <w:bookmarkEnd w:id="481"/>
    </w:p>
    <w:p w:rsidR="007A3ABD" w:rsidRPr="00D630D1" w:rsidRDefault="007A3AB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1</w:t>
      </w:r>
      <w:r w:rsidRPr="00D630D1">
        <w:rPr>
          <w:rFonts w:ascii="Times New Roman" w:cs="Times New Roman" w:hint="eastAsia"/>
        </w:rPr>
        <w:t>）管道施工对地下水影响</w:t>
      </w:r>
    </w:p>
    <w:p w:rsidR="00117C3D" w:rsidRPr="00D630D1" w:rsidRDefault="008B5B84">
      <w:pPr>
        <w:pStyle w:val="a1"/>
        <w:ind w:firstLine="480"/>
        <w:rPr>
          <w:rFonts w:ascii="Times New Roman" w:cs="Times New Roman"/>
        </w:rPr>
      </w:pPr>
      <w:r w:rsidRPr="00D630D1">
        <w:rPr>
          <w:rFonts w:ascii="Times New Roman" w:cs="Times New Roman"/>
        </w:rPr>
        <w:t>本项目的管道敷设埋深一般在</w:t>
      </w:r>
      <w:r w:rsidR="00CF0AF7" w:rsidRPr="00D630D1">
        <w:rPr>
          <w:rFonts w:ascii="Times New Roman" w:cs="Times New Roman"/>
        </w:rPr>
        <w:t>1.5m</w:t>
      </w:r>
      <w:r w:rsidRPr="00D630D1">
        <w:rPr>
          <w:rFonts w:ascii="Times New Roman" w:cs="Times New Roman"/>
        </w:rPr>
        <w:t>以内，在施工过程中的辅料、废料等在降水的淋滤作用下产生的浸出液进入地下含水层，将对地下水造成不同程度的影响，其影响程度决定于下渗量及其饱和地带的厚度、岩性和对污染物的阻滞、吸附分解等自然净化能力。由管道通过地区沿线的表层土来看，均有一定的自然净化能力，对地下水的影响很小。施工过程中不设营地，均依托民居与招待所，生活污水、生活垃圾利用现有设施进行处理处置，对地下水的影响很小。因此，正常的管线埋设对地下水造成影响的很小。</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w:t>
      </w:r>
      <w:r w:rsidRPr="00D630D1">
        <w:rPr>
          <w:rFonts w:ascii="Times New Roman" w:cs="Times New Roman" w:hint="eastAsia"/>
          <w:b/>
          <w:bCs/>
        </w:rPr>
        <w:t>2</w:t>
      </w:r>
      <w:r w:rsidRPr="00D630D1">
        <w:rPr>
          <w:rFonts w:ascii="Times New Roman" w:cs="Times New Roman"/>
          <w:bCs/>
        </w:rPr>
        <w:t>）钻井过程中对地下水环境的影响</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根据钻井工艺，钻井泥浆通过井壁空隙渗入地下水产生污染。周边水井有直接供水意义的含水层主要受表层钻井（</w:t>
      </w:r>
      <w:r w:rsidRPr="00D630D1">
        <w:rPr>
          <w:rFonts w:ascii="Times New Roman" w:cs="Times New Roman"/>
          <w:bCs/>
        </w:rPr>
        <w:t>0</w:t>
      </w:r>
      <w:r w:rsidRPr="00D630D1">
        <w:rPr>
          <w:rFonts w:ascii="Times New Roman" w:cs="Times New Roman"/>
          <w:bCs/>
        </w:rPr>
        <w:t>～</w:t>
      </w:r>
      <w:r w:rsidR="00497EC8">
        <w:rPr>
          <w:rFonts w:ascii="Times New Roman" w:cs="Times New Roman" w:hint="eastAsia"/>
          <w:bCs/>
        </w:rPr>
        <w:t>20</w:t>
      </w:r>
      <w:r w:rsidRPr="00D630D1">
        <w:rPr>
          <w:rFonts w:ascii="Times New Roman" w:cs="Times New Roman"/>
          <w:bCs/>
        </w:rPr>
        <w:t>0m</w:t>
      </w:r>
      <w:r w:rsidRPr="00D630D1">
        <w:rPr>
          <w:rFonts w:ascii="Times New Roman" w:cs="Times New Roman"/>
          <w:bCs/>
        </w:rPr>
        <w:t>）的影响。属于遂宁组砂泥岩互层构造基岩裂隙水，无溶洞、裂缝，井壁渗透性较小，泥浆通过井壁渗透进入地下水中的量少。</w:t>
      </w:r>
    </w:p>
    <w:p w:rsidR="007A3ABD" w:rsidRPr="00D630D1" w:rsidRDefault="007A3ABD" w:rsidP="007A3ABD">
      <w:pPr>
        <w:autoSpaceDE w:val="0"/>
        <w:autoSpaceDN w:val="0"/>
        <w:ind w:firstLine="480"/>
        <w:rPr>
          <w:rFonts w:ascii="Times New Roman" w:cs="Times New Roman"/>
          <w:bCs/>
        </w:rPr>
      </w:pPr>
      <w:r w:rsidRPr="00D630D1">
        <w:rPr>
          <w:rFonts w:ascii="Times New Roman" w:hAnsi="宋体" w:cs="Times New Roman"/>
          <w:bCs/>
        </w:rPr>
        <w:t>①</w:t>
      </w:r>
      <w:r w:rsidRPr="00D630D1">
        <w:rPr>
          <w:rFonts w:ascii="Times New Roman" w:cs="Times New Roman"/>
          <w:bCs/>
        </w:rPr>
        <w:t>表层段钻井</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表层钻井（</w:t>
      </w:r>
      <w:r w:rsidRPr="00D630D1">
        <w:rPr>
          <w:rFonts w:ascii="Times New Roman" w:cs="Times New Roman"/>
          <w:bCs/>
        </w:rPr>
        <w:t>0</w:t>
      </w:r>
      <w:r w:rsidRPr="00D630D1">
        <w:rPr>
          <w:rFonts w:ascii="Times New Roman" w:cs="Times New Roman"/>
          <w:bCs/>
        </w:rPr>
        <w:t>～</w:t>
      </w:r>
      <w:r w:rsidR="00497EC8">
        <w:rPr>
          <w:rFonts w:ascii="Times New Roman" w:cs="Times New Roman" w:hint="eastAsia"/>
          <w:bCs/>
        </w:rPr>
        <w:t>2</w:t>
      </w:r>
      <w:r w:rsidRPr="00D630D1">
        <w:rPr>
          <w:rFonts w:ascii="Times New Roman" w:cs="Times New Roman"/>
          <w:bCs/>
        </w:rPr>
        <w:t>0m</w:t>
      </w:r>
      <w:r w:rsidRPr="00D630D1">
        <w:rPr>
          <w:rFonts w:ascii="Times New Roman" w:cs="Times New Roman"/>
          <w:bCs/>
        </w:rPr>
        <w:t>）段采用</w:t>
      </w:r>
      <w:r w:rsidR="00497EC8" w:rsidRPr="00497EC8">
        <w:rPr>
          <w:rFonts w:ascii="Times New Roman" w:cs="Times New Roman"/>
          <w:bCs/>
        </w:rPr>
        <w:t>气体钻</w:t>
      </w:r>
      <w:r w:rsidR="00497EC8" w:rsidRPr="00497EC8">
        <w:rPr>
          <w:rFonts w:ascii="Times New Roman" w:cs="Times New Roman"/>
          <w:bCs/>
        </w:rPr>
        <w:t>/</w:t>
      </w:r>
      <w:r w:rsidR="00497EC8" w:rsidRPr="00497EC8">
        <w:rPr>
          <w:rFonts w:ascii="Times New Roman" w:cs="Times New Roman"/>
          <w:bCs/>
        </w:rPr>
        <w:t>聚合物钻井液</w:t>
      </w:r>
      <w:r w:rsidRPr="00D630D1">
        <w:rPr>
          <w:rFonts w:ascii="Times New Roman" w:cs="Times New Roman"/>
          <w:bCs/>
        </w:rPr>
        <w:t>，污染物含量很少。有利于明显减缓对表层具有饮用水开发利用价值的含水层的影响。</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表层完钻即下套管，水泥封固工艺，封隔浅层地下水和地表水、砂泥岩互层。由于导管段地层深度浅，泥浆返空时间短，采用塔式钻具约</w:t>
      </w:r>
      <w:r w:rsidRPr="00D630D1">
        <w:rPr>
          <w:rFonts w:ascii="Times New Roman" w:cs="Times New Roman"/>
          <w:bCs/>
        </w:rPr>
        <w:t>2</w:t>
      </w:r>
      <w:r w:rsidRPr="00D630D1">
        <w:rPr>
          <w:rFonts w:ascii="Times New Roman" w:cs="Times New Roman"/>
          <w:bCs/>
        </w:rPr>
        <w:t>天左右即可达到设</w:t>
      </w:r>
      <w:r w:rsidRPr="00D630D1">
        <w:rPr>
          <w:rFonts w:ascii="Times New Roman" w:cs="Times New Roman"/>
          <w:bCs/>
        </w:rPr>
        <w:lastRenderedPageBreak/>
        <w:t>计深度并完成套管固井作业，对井下地质环境影响时间短。根据目前西南地区上千口井的钻探资料显示，钻井导管段发生井漏至污染地下水的环境污染事故发生机率很小，故本项目表层钻进过程有直接供水意义的含水层遂宁组砂泥岩互层构造基岩裂隙水受表层钻井（</w:t>
      </w:r>
      <w:r w:rsidRPr="00D630D1">
        <w:rPr>
          <w:rFonts w:ascii="Times New Roman" w:cs="Times New Roman"/>
          <w:bCs/>
        </w:rPr>
        <w:t>0</w:t>
      </w:r>
      <w:r w:rsidRPr="00D630D1">
        <w:rPr>
          <w:rFonts w:ascii="Times New Roman" w:cs="Times New Roman"/>
          <w:bCs/>
        </w:rPr>
        <w:t>～</w:t>
      </w:r>
      <w:r w:rsidR="00497EC8">
        <w:rPr>
          <w:rFonts w:ascii="Times New Roman" w:cs="Times New Roman" w:hint="eastAsia"/>
          <w:bCs/>
        </w:rPr>
        <w:t>20</w:t>
      </w:r>
      <w:r w:rsidRPr="00D630D1">
        <w:rPr>
          <w:rFonts w:ascii="Times New Roman" w:cs="Times New Roman"/>
          <w:bCs/>
        </w:rPr>
        <w:t>0m</w:t>
      </w:r>
      <w:r w:rsidRPr="00D630D1">
        <w:rPr>
          <w:rFonts w:ascii="Times New Roman" w:cs="Times New Roman"/>
          <w:bCs/>
        </w:rPr>
        <w:t>）地下水影响小，可接受范围内。</w:t>
      </w:r>
    </w:p>
    <w:p w:rsidR="007A3ABD" w:rsidRPr="00D630D1" w:rsidRDefault="007A3ABD" w:rsidP="00BE68D7">
      <w:pPr>
        <w:autoSpaceDE w:val="0"/>
        <w:autoSpaceDN w:val="0"/>
        <w:ind w:firstLineChars="182" w:firstLine="437"/>
        <w:rPr>
          <w:rFonts w:ascii="Times New Roman" w:cs="Times New Roman"/>
          <w:bCs/>
        </w:rPr>
      </w:pPr>
      <w:r w:rsidRPr="00D630D1">
        <w:rPr>
          <w:rFonts w:ascii="Times New Roman" w:hAnsi="宋体" w:cs="Times New Roman"/>
          <w:bCs/>
        </w:rPr>
        <w:t>②</w:t>
      </w:r>
      <w:r w:rsidRPr="00D630D1">
        <w:rPr>
          <w:rFonts w:ascii="Times New Roman" w:cs="Times New Roman"/>
          <w:bCs/>
        </w:rPr>
        <w:t>一</w:t>
      </w:r>
      <w:r w:rsidRPr="00D630D1">
        <w:rPr>
          <w:rFonts w:ascii="Times New Roman" w:cs="Times New Roman"/>
          <w:bCs/>
        </w:rPr>
        <w:t>~</w:t>
      </w:r>
      <w:r w:rsidR="00497EC8">
        <w:rPr>
          <w:rFonts w:ascii="Times New Roman" w:cs="Times New Roman" w:hint="eastAsia"/>
          <w:bCs/>
        </w:rPr>
        <w:t>二</w:t>
      </w:r>
      <w:r w:rsidRPr="00D630D1">
        <w:rPr>
          <w:rFonts w:ascii="Times New Roman" w:cs="Times New Roman"/>
          <w:bCs/>
        </w:rPr>
        <w:t>开段钻井</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一</w:t>
      </w:r>
      <w:r w:rsidRPr="00D630D1">
        <w:rPr>
          <w:rFonts w:ascii="Times New Roman" w:cs="Times New Roman"/>
          <w:bCs/>
        </w:rPr>
        <w:t>~</w:t>
      </w:r>
      <w:r w:rsidR="00497EC8">
        <w:rPr>
          <w:rFonts w:ascii="Times New Roman" w:cs="Times New Roman" w:hint="eastAsia"/>
          <w:bCs/>
        </w:rPr>
        <w:t>二</w:t>
      </w:r>
      <w:r w:rsidRPr="00D630D1">
        <w:rPr>
          <w:rFonts w:ascii="Times New Roman" w:cs="Times New Roman"/>
          <w:bCs/>
        </w:rPr>
        <w:t>开位于</w:t>
      </w:r>
      <w:r w:rsidR="00497EC8">
        <w:rPr>
          <w:rFonts w:ascii="Times New Roman" w:cs="Times New Roman" w:hint="eastAsia"/>
          <w:bCs/>
        </w:rPr>
        <w:t>20</w:t>
      </w:r>
      <w:r w:rsidRPr="00D630D1">
        <w:rPr>
          <w:rFonts w:ascii="Times New Roman" w:cs="Times New Roman"/>
          <w:bCs/>
        </w:rPr>
        <w:t>0m</w:t>
      </w:r>
      <w:r w:rsidRPr="00D630D1">
        <w:rPr>
          <w:rFonts w:ascii="Times New Roman" w:cs="Times New Roman"/>
          <w:bCs/>
        </w:rPr>
        <w:t>以下，所在区域地层无有直接供水意义的含水层，目前也未有供水开发。使用水基钻井液</w:t>
      </w:r>
      <w:r w:rsidR="00497EC8">
        <w:rPr>
          <w:rFonts w:ascii="Times New Roman" w:cs="Times New Roman" w:hint="eastAsia"/>
          <w:bCs/>
        </w:rPr>
        <w:t>和油基钻井液</w:t>
      </w:r>
      <w:r w:rsidRPr="00D630D1">
        <w:rPr>
          <w:rFonts w:ascii="Times New Roman" w:cs="Times New Roman"/>
          <w:bCs/>
        </w:rPr>
        <w:t>钻井，对地层</w:t>
      </w:r>
      <w:r w:rsidR="00497EC8">
        <w:rPr>
          <w:rFonts w:ascii="Times New Roman" w:cs="Times New Roman" w:hint="eastAsia"/>
          <w:bCs/>
        </w:rPr>
        <w:t>有一定的</w:t>
      </w:r>
      <w:r w:rsidRPr="00D630D1">
        <w:rPr>
          <w:rFonts w:ascii="Times New Roman" w:cs="Times New Roman"/>
          <w:bCs/>
        </w:rPr>
        <w:t>污染</w:t>
      </w:r>
      <w:r w:rsidR="00497EC8">
        <w:rPr>
          <w:rFonts w:ascii="Times New Roman" w:cs="Times New Roman" w:hint="eastAsia"/>
          <w:bCs/>
        </w:rPr>
        <w:t>影响</w:t>
      </w:r>
      <w:r w:rsidRPr="00D630D1">
        <w:rPr>
          <w:rFonts w:ascii="Times New Roman" w:cs="Times New Roman"/>
          <w:bCs/>
        </w:rPr>
        <w:t>。</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同时一</w:t>
      </w:r>
      <w:r w:rsidRPr="00D630D1">
        <w:rPr>
          <w:rFonts w:ascii="Times New Roman" w:cs="Times New Roman"/>
          <w:bCs/>
        </w:rPr>
        <w:t>~</w:t>
      </w:r>
      <w:r w:rsidR="00497EC8">
        <w:rPr>
          <w:rFonts w:ascii="Times New Roman" w:cs="Times New Roman" w:hint="eastAsia"/>
          <w:bCs/>
        </w:rPr>
        <w:t>二</w:t>
      </w:r>
      <w:r w:rsidRPr="00D630D1">
        <w:rPr>
          <w:rFonts w:ascii="Times New Roman" w:cs="Times New Roman"/>
          <w:bCs/>
        </w:rPr>
        <w:t>段钻井过程中表层</w:t>
      </w:r>
      <w:r w:rsidR="00497EC8">
        <w:rPr>
          <w:rFonts w:ascii="Times New Roman" w:cs="Times New Roman" w:hint="eastAsia"/>
          <w:bCs/>
        </w:rPr>
        <w:t>20</w:t>
      </w:r>
      <w:r w:rsidRPr="00D630D1">
        <w:rPr>
          <w:rFonts w:ascii="Times New Roman" w:cs="Times New Roman"/>
          <w:bCs/>
        </w:rPr>
        <w:t>0m</w:t>
      </w:r>
      <w:r w:rsidRPr="00D630D1">
        <w:rPr>
          <w:rFonts w:ascii="Times New Roman" w:cs="Times New Roman"/>
          <w:bCs/>
        </w:rPr>
        <w:t>的套管已经完成，封隔浅层地下水和地表水、砂泥岩互层。一</w:t>
      </w:r>
      <w:r w:rsidRPr="00D630D1">
        <w:rPr>
          <w:rFonts w:ascii="Times New Roman" w:cs="Times New Roman"/>
          <w:bCs/>
        </w:rPr>
        <w:t>~</w:t>
      </w:r>
      <w:r w:rsidR="00497EC8">
        <w:rPr>
          <w:rFonts w:ascii="Times New Roman" w:cs="Times New Roman" w:hint="eastAsia"/>
          <w:bCs/>
        </w:rPr>
        <w:t>二</w:t>
      </w:r>
      <w:r w:rsidRPr="00D630D1">
        <w:rPr>
          <w:rFonts w:ascii="Times New Roman" w:cs="Times New Roman"/>
          <w:bCs/>
        </w:rPr>
        <w:t>开段的钻井岩屑、泥浆返排不会污染（</w:t>
      </w:r>
      <w:r w:rsidRPr="00D630D1">
        <w:rPr>
          <w:rFonts w:ascii="Times New Roman" w:cs="Times New Roman"/>
          <w:bCs/>
        </w:rPr>
        <w:t>0</w:t>
      </w:r>
      <w:r w:rsidRPr="00D630D1">
        <w:rPr>
          <w:rFonts w:ascii="Times New Roman" w:cs="Times New Roman"/>
          <w:bCs/>
        </w:rPr>
        <w:t>～</w:t>
      </w:r>
      <w:r w:rsidR="00497EC8">
        <w:rPr>
          <w:rFonts w:ascii="Times New Roman" w:cs="Times New Roman" w:hint="eastAsia"/>
          <w:bCs/>
        </w:rPr>
        <w:t>20</w:t>
      </w:r>
      <w:r w:rsidRPr="00D630D1">
        <w:rPr>
          <w:rFonts w:ascii="Times New Roman" w:cs="Times New Roman"/>
          <w:bCs/>
        </w:rPr>
        <w:t>0m</w:t>
      </w:r>
      <w:r w:rsidRPr="00D630D1">
        <w:rPr>
          <w:rFonts w:ascii="Times New Roman" w:cs="Times New Roman"/>
          <w:bCs/>
        </w:rPr>
        <w:t>）含水层。</w:t>
      </w:r>
    </w:p>
    <w:p w:rsidR="007A3ABD" w:rsidRPr="00D630D1" w:rsidRDefault="007A3ABD" w:rsidP="007A3ABD">
      <w:pPr>
        <w:numPr>
          <w:ilvl w:val="2"/>
          <w:numId w:val="19"/>
        </w:numPr>
        <w:topLinePunct w:val="0"/>
        <w:autoSpaceDE w:val="0"/>
        <w:autoSpaceDN w:val="0"/>
        <w:ind w:firstLineChars="0" w:firstLine="480"/>
        <w:rPr>
          <w:rFonts w:ascii="Times New Roman" w:cs="Times New Roman"/>
          <w:bCs/>
        </w:rPr>
      </w:pPr>
      <w:r w:rsidRPr="00D630D1">
        <w:rPr>
          <w:rFonts w:ascii="Times New Roman" w:cs="Times New Roman"/>
          <w:bCs/>
        </w:rPr>
        <w:t>非正常情况</w:t>
      </w:r>
      <w:r w:rsidRPr="00D630D1">
        <w:rPr>
          <w:rFonts w:ascii="Times New Roman" w:cs="Times New Roman"/>
          <w:bCs/>
        </w:rPr>
        <w:t>——</w:t>
      </w:r>
      <w:r w:rsidRPr="00D630D1">
        <w:rPr>
          <w:rFonts w:ascii="Times New Roman" w:cs="Times New Roman"/>
          <w:bCs/>
        </w:rPr>
        <w:t>井漏泥浆污染</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钻遇异常低压地层、溶洞、裂缝，造成钻井液迅速漏失，这些地层多与地下水层相连通，大量泥浆进入含水层，引发地下水污染。据周边钻井的资料统计分析，发生井漏的地层为上、下沙溪庙组、千佛崖组、自流井组。表层（</w:t>
      </w:r>
      <w:r w:rsidRPr="00D630D1">
        <w:rPr>
          <w:rFonts w:ascii="Times New Roman" w:cs="Times New Roman"/>
          <w:bCs/>
        </w:rPr>
        <w:t>0</w:t>
      </w:r>
      <w:r w:rsidRPr="00D630D1">
        <w:rPr>
          <w:rFonts w:ascii="Times New Roman" w:cs="Times New Roman"/>
          <w:bCs/>
        </w:rPr>
        <w:t>～</w:t>
      </w:r>
      <w:r w:rsidR="00497EC8">
        <w:rPr>
          <w:rFonts w:ascii="Times New Roman" w:cs="Times New Roman" w:hint="eastAsia"/>
          <w:bCs/>
        </w:rPr>
        <w:t>20</w:t>
      </w:r>
      <w:r w:rsidRPr="00D630D1">
        <w:rPr>
          <w:rFonts w:ascii="Times New Roman" w:cs="Times New Roman"/>
          <w:bCs/>
        </w:rPr>
        <w:t>0m</w:t>
      </w:r>
      <w:r w:rsidRPr="00D630D1">
        <w:rPr>
          <w:rFonts w:ascii="Times New Roman" w:cs="Times New Roman"/>
          <w:bCs/>
        </w:rPr>
        <w:t>）未发现发生井漏。总体发生井漏的机率小。井漏应以预防为主，尽可能避免人为失误发生井漏。钻井行业较完善的防范井漏和堵漏措施体系，钻井储备足够的堵漏剂以便及时堵漏减少漏失量。评价提出堵漏剂应选择清洁、无毒、对人体无害，环境污染轻种类，表层（</w:t>
      </w:r>
      <w:r w:rsidRPr="00D630D1">
        <w:rPr>
          <w:rFonts w:ascii="Times New Roman" w:cs="Times New Roman"/>
          <w:bCs/>
        </w:rPr>
        <w:t>0</w:t>
      </w:r>
      <w:r w:rsidRPr="00D630D1">
        <w:rPr>
          <w:rFonts w:ascii="Times New Roman" w:cs="Times New Roman"/>
          <w:bCs/>
        </w:rPr>
        <w:t>～</w:t>
      </w:r>
      <w:r w:rsidR="00497EC8">
        <w:rPr>
          <w:rFonts w:ascii="Times New Roman" w:cs="Times New Roman" w:hint="eastAsia"/>
          <w:bCs/>
        </w:rPr>
        <w:t>20</w:t>
      </w:r>
      <w:r w:rsidRPr="00D630D1">
        <w:rPr>
          <w:rFonts w:ascii="Times New Roman" w:cs="Times New Roman"/>
          <w:bCs/>
        </w:rPr>
        <w:t>0m</w:t>
      </w:r>
      <w:r w:rsidRPr="00D630D1">
        <w:rPr>
          <w:rFonts w:ascii="Times New Roman" w:cs="Times New Roman"/>
          <w:bCs/>
        </w:rPr>
        <w:t>）井漏应采用水泥堵漏。</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发生井漏的地层为，发生井漏的地层为上、下沙溪庙组、千佛崖组、自流井组。总体发生井漏的机率小。井漏应以预防为主，尽可能避免人为失误发生井漏。钻井行业较完善的防范井漏和堵漏措施体系，钻井储备足够的堵漏剂以便及时堵漏减少漏失量。评价提出堵漏剂应选择清洁、无毒、对人体无害，环境污染轻种类，表层井漏（</w:t>
      </w:r>
      <w:r w:rsidRPr="00D630D1">
        <w:rPr>
          <w:rFonts w:ascii="Times New Roman" w:cs="Times New Roman"/>
          <w:bCs/>
        </w:rPr>
        <w:t>0</w:t>
      </w:r>
      <w:r w:rsidRPr="00D630D1">
        <w:rPr>
          <w:rFonts w:ascii="Times New Roman" w:cs="Times New Roman"/>
          <w:bCs/>
        </w:rPr>
        <w:t>～</w:t>
      </w:r>
      <w:r w:rsidR="00497EC8">
        <w:rPr>
          <w:rFonts w:ascii="Times New Roman" w:cs="Times New Roman" w:hint="eastAsia"/>
          <w:bCs/>
        </w:rPr>
        <w:t>20</w:t>
      </w:r>
      <w:r w:rsidRPr="00D630D1">
        <w:rPr>
          <w:rFonts w:ascii="Times New Roman" w:cs="Times New Roman"/>
          <w:bCs/>
        </w:rPr>
        <w:t>0m</w:t>
      </w:r>
      <w:r w:rsidRPr="00D630D1">
        <w:rPr>
          <w:rFonts w:ascii="Times New Roman" w:cs="Times New Roman"/>
          <w:bCs/>
        </w:rPr>
        <w:t>）采用水泥堵漏。漏失对表层地下水的影响也较小。</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在</w:t>
      </w:r>
      <w:r w:rsidR="00497EC8">
        <w:rPr>
          <w:rFonts w:ascii="Times New Roman" w:cs="Times New Roman" w:hint="eastAsia"/>
          <w:bCs/>
        </w:rPr>
        <w:t>20</w:t>
      </w:r>
      <w:r w:rsidRPr="00D630D1">
        <w:rPr>
          <w:rFonts w:ascii="Times New Roman" w:cs="Times New Roman"/>
          <w:bCs/>
        </w:rPr>
        <w:t>0m</w:t>
      </w:r>
      <w:r w:rsidR="00497EC8">
        <w:rPr>
          <w:rFonts w:ascii="Times New Roman" w:cs="Times New Roman"/>
          <w:bCs/>
        </w:rPr>
        <w:t>以下含水层一旦发生井漏事故，可堵漏，井漏的泥浆少</w:t>
      </w:r>
      <w:r w:rsidRPr="00D630D1">
        <w:rPr>
          <w:rFonts w:ascii="Times New Roman" w:cs="Times New Roman"/>
          <w:bCs/>
        </w:rPr>
        <w:t>。钻井储备足够的堵漏剂以便及时堵漏减少漏失量。同时</w:t>
      </w:r>
      <w:r w:rsidR="00497EC8">
        <w:rPr>
          <w:rFonts w:ascii="Times New Roman" w:cs="Times New Roman" w:hint="eastAsia"/>
          <w:bCs/>
        </w:rPr>
        <w:t>20</w:t>
      </w:r>
      <w:r w:rsidRPr="00D630D1">
        <w:rPr>
          <w:rFonts w:ascii="Times New Roman" w:cs="Times New Roman"/>
          <w:bCs/>
        </w:rPr>
        <w:t>0m</w:t>
      </w:r>
      <w:r w:rsidRPr="00D630D1">
        <w:rPr>
          <w:rFonts w:ascii="Times New Roman" w:cs="Times New Roman"/>
          <w:bCs/>
        </w:rPr>
        <w:t>以下地层不是重点关注的含水层。井漏对地下水环境影响不突出。</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w:t>
      </w:r>
      <w:r w:rsidRPr="00D630D1">
        <w:rPr>
          <w:rFonts w:ascii="Times New Roman" w:cs="Times New Roman" w:hint="eastAsia"/>
          <w:b/>
          <w:bCs/>
        </w:rPr>
        <w:t>3</w:t>
      </w:r>
      <w:r w:rsidRPr="00D630D1">
        <w:rPr>
          <w:rFonts w:ascii="Times New Roman" w:cs="Times New Roman"/>
          <w:bCs/>
        </w:rPr>
        <w:t>）洗井、压裂对地下水环境影响分析</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根据本项目钻井设计资料，本项目目的层以清水进行洗井作业，压裂使用主要为含纤维携砂液和纯冻胶间隔液。根据井身结构判断，本项目洗井和压裂井段</w:t>
      </w:r>
      <w:r w:rsidRPr="00D630D1">
        <w:rPr>
          <w:rFonts w:ascii="Times New Roman" w:cs="Times New Roman"/>
          <w:bCs/>
        </w:rPr>
        <w:lastRenderedPageBreak/>
        <w:t>位于地面下</w:t>
      </w:r>
      <w:r w:rsidRPr="00D630D1">
        <w:rPr>
          <w:rFonts w:ascii="Times New Roman" w:cs="Times New Roman"/>
          <w:bCs/>
        </w:rPr>
        <w:t>2000m</w:t>
      </w:r>
      <w:r w:rsidRPr="00D630D1">
        <w:rPr>
          <w:rFonts w:ascii="Times New Roman" w:cs="Times New Roman"/>
          <w:bCs/>
        </w:rPr>
        <w:t>以下，通过套管固井保护，洗井废水、返排液进入浅层含水层（</w:t>
      </w:r>
      <w:r w:rsidRPr="00D630D1">
        <w:rPr>
          <w:rFonts w:ascii="Times New Roman" w:cs="Times New Roman"/>
          <w:bCs/>
        </w:rPr>
        <w:t>0</w:t>
      </w:r>
      <w:r w:rsidRPr="00D630D1">
        <w:rPr>
          <w:rFonts w:ascii="Times New Roman" w:cs="Times New Roman"/>
          <w:bCs/>
        </w:rPr>
        <w:t>～</w:t>
      </w:r>
      <w:r w:rsidR="00497EC8">
        <w:rPr>
          <w:rFonts w:ascii="Times New Roman" w:cs="Times New Roman" w:hint="eastAsia"/>
          <w:bCs/>
        </w:rPr>
        <w:t>20</w:t>
      </w:r>
      <w:r w:rsidRPr="00D630D1">
        <w:rPr>
          <w:rFonts w:ascii="Times New Roman" w:cs="Times New Roman"/>
          <w:bCs/>
        </w:rPr>
        <w:t>0m</w:t>
      </w:r>
      <w:r w:rsidRPr="00D630D1">
        <w:rPr>
          <w:rFonts w:ascii="Times New Roman" w:cs="Times New Roman"/>
          <w:bCs/>
        </w:rPr>
        <w:t>）可能性很小，洗井、压裂对项目所在地浅层地下含水层影响小，在当地地下水环境可接受范围内。</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w:t>
      </w:r>
      <w:r w:rsidRPr="00D630D1">
        <w:rPr>
          <w:rFonts w:ascii="Times New Roman" w:cs="Times New Roman" w:hint="eastAsia"/>
          <w:b/>
          <w:bCs/>
        </w:rPr>
        <w:t>4</w:t>
      </w:r>
      <w:r w:rsidRPr="00D630D1">
        <w:rPr>
          <w:rFonts w:ascii="Times New Roman" w:cs="Times New Roman"/>
          <w:bCs/>
        </w:rPr>
        <w:t>）井场污染物渗透对地下水的影响</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本项目最终废水、固体废物均外运处置，不长期储存，钻井污染物渗透进入地下水环境的量很小，通过采取的源头控制和分区防渗措施，进一步有效减少污染物的渗透。废水渗透进入井场及周边包气带的量很少，渗入点分散、量小。在包气带较薄、渗透性较好的地区，渗入地下或直接进入潜水含水层，可能会呈点状污染潜水，扩散速度缓慢，一般影响范围在占地内及周边</w:t>
      </w:r>
      <w:r w:rsidRPr="00D630D1">
        <w:rPr>
          <w:rFonts w:ascii="Times New Roman" w:cs="Times New Roman"/>
          <w:bCs/>
        </w:rPr>
        <w:t>50m</w:t>
      </w:r>
      <w:r w:rsidRPr="00D630D1">
        <w:rPr>
          <w:rFonts w:ascii="Times New Roman" w:cs="Times New Roman"/>
          <w:bCs/>
        </w:rPr>
        <w:t>内。钻井对潜水影响极其有限，呈点状分布在井场、废水池下方。污染物通过上部土层过滤吸附等，对包气带含水轻度影响。对下部遂宁组砂泥岩互层构造基岩裂隙水基本没有影响。</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本项目井场占地范围距离最近居民取用泉水</w:t>
      </w:r>
      <w:r w:rsidR="00552471">
        <w:rPr>
          <w:rFonts w:ascii="Times New Roman" w:cs="Times New Roman" w:hint="eastAsia"/>
          <w:bCs/>
        </w:rPr>
        <w:t>26</w:t>
      </w:r>
      <w:r w:rsidR="00DE602D" w:rsidRPr="00D630D1">
        <w:rPr>
          <w:rFonts w:ascii="Times New Roman" w:cs="Times New Roman" w:hint="eastAsia"/>
          <w:bCs/>
        </w:rPr>
        <w:t>0</w:t>
      </w:r>
      <w:r w:rsidRPr="00D630D1">
        <w:rPr>
          <w:rFonts w:ascii="Times New Roman" w:cs="Times New Roman"/>
          <w:bCs/>
        </w:rPr>
        <w:t>m</w:t>
      </w:r>
      <w:r w:rsidRPr="00D630D1">
        <w:rPr>
          <w:rFonts w:ascii="Times New Roman" w:cs="Times New Roman"/>
          <w:bCs/>
        </w:rPr>
        <w:t>，本项目对地下水环境和居民井泉的影响总体较小。</w:t>
      </w:r>
    </w:p>
    <w:p w:rsidR="007A3ABD" w:rsidRPr="00D630D1" w:rsidRDefault="007A3ABD" w:rsidP="007A3ABD">
      <w:pPr>
        <w:autoSpaceDE w:val="0"/>
        <w:autoSpaceDN w:val="0"/>
        <w:ind w:firstLine="480"/>
        <w:rPr>
          <w:rFonts w:ascii="Times New Roman" w:cs="Times New Roman"/>
          <w:bCs/>
        </w:rPr>
      </w:pPr>
      <w:r w:rsidRPr="00D630D1">
        <w:rPr>
          <w:rFonts w:ascii="Times New Roman" w:cs="Times New Roman"/>
          <w:bCs/>
        </w:rPr>
        <w:t>（</w:t>
      </w:r>
      <w:r w:rsidRPr="00D630D1">
        <w:rPr>
          <w:rFonts w:ascii="Times New Roman" w:cs="Times New Roman" w:hint="eastAsia"/>
          <w:b/>
          <w:bCs/>
        </w:rPr>
        <w:t>5</w:t>
      </w:r>
      <w:r w:rsidR="00DB6EC5" w:rsidRPr="00D630D1">
        <w:rPr>
          <w:rFonts w:ascii="Times New Roman" w:cs="Times New Roman"/>
          <w:bCs/>
        </w:rPr>
        <w:t>）</w:t>
      </w:r>
      <w:r w:rsidR="00DB6EC5" w:rsidRPr="00D630D1">
        <w:rPr>
          <w:rFonts w:ascii="Times New Roman" w:cs="Times New Roman" w:hint="eastAsia"/>
          <w:bCs/>
        </w:rPr>
        <w:t>放喷</w:t>
      </w:r>
      <w:r w:rsidRPr="00D630D1">
        <w:rPr>
          <w:rFonts w:ascii="Times New Roman" w:cs="Times New Roman"/>
          <w:bCs/>
        </w:rPr>
        <w:t>池废水泄漏对地下水的影响</w:t>
      </w:r>
    </w:p>
    <w:p w:rsidR="007A3ABD" w:rsidRPr="00D630D1" w:rsidRDefault="007A3ABD" w:rsidP="007A3ABD">
      <w:pPr>
        <w:snapToGrid w:val="0"/>
        <w:ind w:firstLine="480"/>
        <w:rPr>
          <w:rFonts w:ascii="Times New Roman" w:cs="Times New Roman"/>
        </w:rPr>
      </w:pPr>
      <w:r w:rsidRPr="00D630D1">
        <w:rPr>
          <w:rFonts w:ascii="Times New Roman" w:cs="Times New Roman"/>
        </w:rPr>
        <w:t>一般地面防渗设施出现非正常渗漏容易发现并处理，</w:t>
      </w:r>
      <w:r w:rsidR="00DB6EC5" w:rsidRPr="00D630D1">
        <w:rPr>
          <w:rFonts w:ascii="Times New Roman" w:cs="Times New Roman" w:hint="eastAsia"/>
        </w:rPr>
        <w:t>放喷</w:t>
      </w:r>
      <w:r w:rsidRPr="00D630D1">
        <w:rPr>
          <w:rFonts w:ascii="Times New Roman" w:cs="Times New Roman"/>
        </w:rPr>
        <w:t>池储存废水量最大，非正常工况下，若池底出现裂缝，将会导致废水、溶解于水中的污染物将进入地下水环境，进而污染井场所在地下水下游的地下水敏感点，因此，建设单位在施工过程中应注重</w:t>
      </w:r>
      <w:r w:rsidR="00DB6EC5" w:rsidRPr="00D630D1">
        <w:rPr>
          <w:rFonts w:ascii="Times New Roman" w:cs="Times New Roman" w:hint="eastAsia"/>
        </w:rPr>
        <w:t>放喷</w:t>
      </w:r>
      <w:r w:rsidRPr="00D630D1">
        <w:rPr>
          <w:rFonts w:ascii="Times New Roman" w:cs="Times New Roman"/>
        </w:rPr>
        <w:t>池的施工质量，加强</w:t>
      </w:r>
      <w:r w:rsidR="00DB6EC5" w:rsidRPr="00D630D1">
        <w:rPr>
          <w:rFonts w:ascii="Times New Roman" w:cs="Times New Roman" w:hint="eastAsia"/>
        </w:rPr>
        <w:t>放喷</w:t>
      </w:r>
      <w:r w:rsidRPr="00D630D1">
        <w:rPr>
          <w:rFonts w:ascii="Times New Roman" w:cs="Times New Roman"/>
        </w:rPr>
        <w:t>池的检查检修，杜绝非正常工况的发生，同时还应制定非正常工况风险事故防范、应急措施。加强对下游居民水井特别是</w:t>
      </w:r>
      <w:r w:rsidRPr="00D630D1">
        <w:rPr>
          <w:rFonts w:ascii="Times New Roman" w:cs="Times New Roman"/>
        </w:rPr>
        <w:t>JC</w:t>
      </w:r>
      <w:r w:rsidR="00E0363B">
        <w:rPr>
          <w:rFonts w:ascii="Times New Roman" w:cs="Times New Roman" w:hint="eastAsia"/>
        </w:rPr>
        <w:t>1</w:t>
      </w:r>
      <w:r w:rsidRPr="00D630D1">
        <w:rPr>
          <w:rFonts w:ascii="Times New Roman" w:cs="Times New Roman"/>
        </w:rPr>
        <w:t>、</w:t>
      </w:r>
      <w:r w:rsidRPr="00D630D1">
        <w:rPr>
          <w:rFonts w:ascii="Times New Roman" w:cs="Times New Roman"/>
        </w:rPr>
        <w:t>JC</w:t>
      </w:r>
      <w:r w:rsidR="00BE68D7" w:rsidRPr="00D630D1">
        <w:rPr>
          <w:rFonts w:ascii="Times New Roman" w:cs="Times New Roman" w:hint="eastAsia"/>
        </w:rPr>
        <w:t>5</w:t>
      </w:r>
      <w:r w:rsidRPr="00D630D1">
        <w:rPr>
          <w:rFonts w:ascii="Times New Roman" w:cs="Times New Roman"/>
        </w:rPr>
        <w:t>的跟踪监测和访问调查。</w:t>
      </w:r>
    </w:p>
    <w:p w:rsidR="007A3ABD" w:rsidRPr="00D630D1" w:rsidRDefault="007A3ABD" w:rsidP="007A3ABD">
      <w:pPr>
        <w:snapToGrid w:val="0"/>
        <w:ind w:firstLine="480"/>
        <w:rPr>
          <w:rFonts w:ascii="Times New Roman" w:cs="Times New Roman"/>
        </w:rPr>
      </w:pPr>
      <w:r w:rsidRPr="00D630D1">
        <w:rPr>
          <w:rFonts w:ascii="Times New Roman" w:cs="Times New Roman"/>
        </w:rPr>
        <w:t>在事故性污染发生后，立即启动应急监测和地下水污染控制措施，即在污染物区域和地下水排泄边界进行抽水以阻隔污染物的扩散，根据应急监测情况，为下游受影响居民提供桶装饮用水、另找水源等方式保证居民正常用水。发生风险事故后，通过及时处理，工程建设对地下水环境影响可接受。</w:t>
      </w:r>
    </w:p>
    <w:p w:rsidR="007A3ABD" w:rsidRPr="00D630D1" w:rsidRDefault="007A3ABD" w:rsidP="007A3ABD">
      <w:pPr>
        <w:snapToGrid w:val="0"/>
        <w:ind w:firstLine="480"/>
        <w:rPr>
          <w:rFonts w:ascii="Times New Roman" w:cs="Times New Roman"/>
        </w:rPr>
      </w:pPr>
      <w:r w:rsidRPr="00D630D1">
        <w:rPr>
          <w:rFonts w:ascii="Times New Roman" w:cs="Times New Roman"/>
        </w:rPr>
        <w:t>（</w:t>
      </w:r>
      <w:r w:rsidR="00BE68D7" w:rsidRPr="00D630D1">
        <w:rPr>
          <w:rFonts w:ascii="Times New Roman" w:cs="Times New Roman" w:hint="eastAsia"/>
        </w:rPr>
        <w:t>6</w:t>
      </w:r>
      <w:r w:rsidRPr="00D630D1">
        <w:rPr>
          <w:rFonts w:ascii="Times New Roman" w:cs="Times New Roman"/>
        </w:rPr>
        <w:t>）地下水污染防治措施</w:t>
      </w:r>
    </w:p>
    <w:p w:rsidR="007A3ABD" w:rsidRPr="00D630D1" w:rsidRDefault="007A3ABD" w:rsidP="007A3ABD">
      <w:pPr>
        <w:pStyle w:val="SSEC20150323"/>
        <w:spacing w:line="360" w:lineRule="auto"/>
        <w:ind w:firstLine="480"/>
        <w:rPr>
          <w:rFonts w:ascii="Times New Roman" w:hAnsi="Times New Roman"/>
        </w:rPr>
      </w:pPr>
      <w:r w:rsidRPr="00D630D1">
        <w:rPr>
          <w:rFonts w:ascii="Times New Roman"/>
        </w:rPr>
        <w:t>本项目采取的地下水污染防治措施包括源头控制措施、分区防渗控制措施、实时监控措施、地下水污染监控措施和地下水污染治理措施。</w:t>
      </w:r>
    </w:p>
    <w:p w:rsidR="007A3ABD" w:rsidRPr="00D630D1" w:rsidRDefault="007A3ABD" w:rsidP="007A3ABD">
      <w:pPr>
        <w:pStyle w:val="SSEC30"/>
        <w:spacing w:line="360" w:lineRule="auto"/>
        <w:ind w:firstLine="480"/>
        <w:rPr>
          <w:rFonts w:ascii="Times New Roman" w:hAnsi="Times New Roman"/>
        </w:rPr>
      </w:pPr>
      <w:r w:rsidRPr="00D630D1">
        <w:rPr>
          <w:rFonts w:ascii="Times New Roman" w:hAnsi="Times New Roman"/>
        </w:rPr>
        <w:t>1</w:t>
      </w:r>
      <w:r w:rsidRPr="00D630D1">
        <w:rPr>
          <w:rFonts w:ascii="Times New Roman"/>
        </w:rPr>
        <w:t>）源头控制措施：</w:t>
      </w:r>
    </w:p>
    <w:p w:rsidR="007A3ABD" w:rsidRPr="00D630D1" w:rsidRDefault="007A3ABD" w:rsidP="00BE68D7">
      <w:pPr>
        <w:pStyle w:val="SSEC41"/>
        <w:spacing w:line="360" w:lineRule="auto"/>
        <w:rPr>
          <w:rFonts w:ascii="Times New Roman" w:hAnsi="Times New Roman"/>
        </w:rPr>
      </w:pPr>
      <w:r w:rsidRPr="00D630D1">
        <w:rPr>
          <w:rFonts w:ascii="Times New Roman" w:hAnsi="Times New Roman"/>
        </w:rPr>
        <w:t>a</w:t>
      </w:r>
      <w:r w:rsidRPr="00D630D1">
        <w:rPr>
          <w:rFonts w:ascii="Times New Roman" w:hAnsi="Times New Roman"/>
        </w:rPr>
        <w:t>本项目</w:t>
      </w:r>
      <w:r w:rsidR="00E0363B">
        <w:rPr>
          <w:rFonts w:ascii="Times New Roman" w:hAnsi="Times New Roman" w:hint="eastAsia"/>
        </w:rPr>
        <w:t>一开</w:t>
      </w:r>
      <w:r w:rsidRPr="00D630D1">
        <w:rPr>
          <w:rFonts w:ascii="Times New Roman" w:hAnsi="Times New Roman"/>
        </w:rPr>
        <w:t>采用水基</w:t>
      </w:r>
      <w:r w:rsidR="00E0363B">
        <w:rPr>
          <w:rFonts w:ascii="Times New Roman" w:hAnsi="Times New Roman" w:hint="eastAsia"/>
        </w:rPr>
        <w:t>钻井液（二开尽量减少油基钻井液使用）</w:t>
      </w:r>
      <w:r w:rsidRPr="00D630D1">
        <w:rPr>
          <w:rFonts w:ascii="Times New Roman" w:hAnsi="Times New Roman"/>
        </w:rPr>
        <w:t>，对地下水</w:t>
      </w:r>
      <w:r w:rsidRPr="00D630D1">
        <w:rPr>
          <w:rFonts w:ascii="Times New Roman" w:hAnsi="Times New Roman"/>
        </w:rPr>
        <w:lastRenderedPageBreak/>
        <w:t>的影响小。</w:t>
      </w:r>
    </w:p>
    <w:p w:rsidR="007A3ABD" w:rsidRPr="00D630D1" w:rsidRDefault="007A3ABD" w:rsidP="00BE68D7">
      <w:pPr>
        <w:pStyle w:val="SSEC41"/>
        <w:spacing w:line="360" w:lineRule="auto"/>
        <w:rPr>
          <w:rFonts w:ascii="Times New Roman" w:hAnsi="Times New Roman"/>
        </w:rPr>
      </w:pPr>
      <w:r w:rsidRPr="00D630D1">
        <w:rPr>
          <w:rFonts w:ascii="Times New Roman" w:hAnsi="Times New Roman"/>
        </w:rPr>
        <w:t>b</w:t>
      </w:r>
      <w:r w:rsidRPr="00D630D1">
        <w:rPr>
          <w:rFonts w:ascii="Times New Roman" w:hAnsi="Times New Roman"/>
        </w:rPr>
        <w:t>表层套管下深</w:t>
      </w:r>
      <w:r w:rsidR="00E0363B">
        <w:rPr>
          <w:rFonts w:ascii="Times New Roman" w:hAnsi="Times New Roman" w:hint="eastAsia"/>
        </w:rPr>
        <w:t>20</w:t>
      </w:r>
      <w:r w:rsidRPr="00D630D1">
        <w:rPr>
          <w:rFonts w:ascii="Times New Roman" w:hAnsi="Times New Roman"/>
        </w:rPr>
        <w:t>0m</w:t>
      </w:r>
      <w:r w:rsidRPr="00D630D1">
        <w:rPr>
          <w:rFonts w:ascii="Times New Roman" w:hAnsi="Times New Roman"/>
        </w:rPr>
        <w:t>，可有效避免地下水污染。</w:t>
      </w:r>
    </w:p>
    <w:p w:rsidR="007A3ABD" w:rsidRPr="00D630D1" w:rsidRDefault="007A3ABD" w:rsidP="007A3ABD">
      <w:pPr>
        <w:pStyle w:val="SSEC41"/>
        <w:spacing w:line="360" w:lineRule="auto"/>
        <w:ind w:firstLine="480"/>
        <w:rPr>
          <w:rFonts w:ascii="Times New Roman" w:hAnsi="Times New Roman"/>
        </w:rPr>
      </w:pPr>
      <w:r w:rsidRPr="00D630D1">
        <w:rPr>
          <w:rFonts w:ascii="Times New Roman" w:hAnsi="Times New Roman"/>
        </w:rPr>
        <w:t>c</w:t>
      </w:r>
      <w:r w:rsidRPr="00D630D1">
        <w:rPr>
          <w:rFonts w:ascii="Times New Roman" w:hAnsi="Times New Roman"/>
        </w:rPr>
        <w:t>在特殊工况使用泥浆钻时，针对可能发生的泥浆漏失情况，采用强钻方式快速钻穿漏失层达到固井层位。立即采取堵漏措施，减少漏失量。堵漏剂的选取应考虑清洁、无毒、对人体无害，环境污染轻的种类。选用合理泥浆密度，实现近平衡压力钻井，降低泥浆环空压耗，从而降低井筒中泥浆动压力，减小泥浆漏失量。</w:t>
      </w:r>
    </w:p>
    <w:p w:rsidR="007A3ABD" w:rsidRPr="00D630D1" w:rsidRDefault="007A3ABD" w:rsidP="00BE68D7">
      <w:pPr>
        <w:pStyle w:val="SSEC41"/>
        <w:spacing w:line="360" w:lineRule="auto"/>
        <w:rPr>
          <w:rFonts w:ascii="Times New Roman" w:hAnsi="Times New Roman"/>
        </w:rPr>
      </w:pPr>
      <w:r w:rsidRPr="00D630D1">
        <w:rPr>
          <w:rFonts w:ascii="Times New Roman" w:hAnsi="Times New Roman"/>
        </w:rPr>
        <w:t>d</w:t>
      </w:r>
      <w:r w:rsidRPr="00D630D1">
        <w:rPr>
          <w:rFonts w:ascii="Times New Roman" w:hAnsi="Times New Roman"/>
        </w:rPr>
        <w:t>提高固井质量，防止因为井漏事故造成的地下水环境污染。</w:t>
      </w:r>
    </w:p>
    <w:p w:rsidR="007A3ABD" w:rsidRPr="00D630D1" w:rsidRDefault="007A3ABD" w:rsidP="00BE68D7">
      <w:pPr>
        <w:pStyle w:val="SSEC41"/>
        <w:spacing w:line="360" w:lineRule="auto"/>
        <w:rPr>
          <w:rFonts w:ascii="Times New Roman" w:hAnsi="Times New Roman"/>
        </w:rPr>
      </w:pPr>
      <w:r w:rsidRPr="00D630D1">
        <w:rPr>
          <w:rFonts w:ascii="Times New Roman" w:hAnsi="Times New Roman"/>
        </w:rPr>
        <w:t>e</w:t>
      </w:r>
      <w:r w:rsidRPr="00D630D1">
        <w:rPr>
          <w:rFonts w:ascii="Times New Roman" w:hAnsi="Times New Roman"/>
        </w:rPr>
        <w:t>在钻井过程中加强压力检测，防止泥浆漏失污染等。</w:t>
      </w:r>
    </w:p>
    <w:p w:rsidR="007A3ABD" w:rsidRPr="00D630D1" w:rsidRDefault="007A3ABD" w:rsidP="00BE68D7">
      <w:pPr>
        <w:pStyle w:val="SSEC41"/>
        <w:spacing w:line="360" w:lineRule="auto"/>
        <w:rPr>
          <w:rFonts w:ascii="Times New Roman" w:hAnsi="Times New Roman"/>
        </w:rPr>
      </w:pPr>
      <w:r w:rsidRPr="00D630D1">
        <w:rPr>
          <w:rFonts w:ascii="Times New Roman" w:hAnsi="Times New Roman"/>
        </w:rPr>
        <w:t>f</w:t>
      </w:r>
      <w:r w:rsidRPr="00D630D1">
        <w:rPr>
          <w:rFonts w:ascii="Times New Roman" w:hAnsi="Times New Roman"/>
        </w:rPr>
        <w:t>作业用药品、材料集中放置在防渗漏地面，防止对地下水的污染。</w:t>
      </w:r>
    </w:p>
    <w:p w:rsidR="007A3ABD" w:rsidRPr="00D630D1" w:rsidRDefault="007A3ABD" w:rsidP="007A3ABD">
      <w:pPr>
        <w:pStyle w:val="SSEC41"/>
        <w:spacing w:line="360" w:lineRule="auto"/>
        <w:ind w:firstLine="480"/>
        <w:rPr>
          <w:rFonts w:ascii="Times New Roman" w:hAnsi="Times New Roman"/>
        </w:rPr>
      </w:pPr>
      <w:r w:rsidRPr="00D630D1">
        <w:rPr>
          <w:rFonts w:ascii="Times New Roman" w:hAnsi="Times New Roman"/>
        </w:rPr>
        <w:t>g</w:t>
      </w:r>
      <w:r w:rsidRPr="00D630D1">
        <w:rPr>
          <w:rFonts w:ascii="Times New Roman" w:hAnsi="Times New Roman"/>
        </w:rPr>
        <w:t>钻井过程中应加强钻井废水管理，防止出现废水渗漏、外溢等事故。</w:t>
      </w:r>
    </w:p>
    <w:p w:rsidR="007A3ABD" w:rsidRPr="00D630D1" w:rsidRDefault="007A3ABD" w:rsidP="007A3ABD">
      <w:pPr>
        <w:pStyle w:val="SSEC41"/>
        <w:spacing w:line="360" w:lineRule="auto"/>
        <w:ind w:firstLine="480"/>
        <w:rPr>
          <w:rFonts w:ascii="Times New Roman" w:hAnsi="Times New Roman"/>
        </w:rPr>
      </w:pPr>
      <w:r w:rsidRPr="00D630D1">
        <w:rPr>
          <w:rFonts w:ascii="Times New Roman" w:hAnsi="Times New Roman"/>
        </w:rPr>
        <w:t>h</w:t>
      </w:r>
      <w:r w:rsidRPr="00D630D1">
        <w:rPr>
          <w:rFonts w:ascii="Times New Roman" w:hAnsi="Times New Roman"/>
        </w:rPr>
        <w:t>加强油料的管理和控制，特别应加强和完善废油的控制措施。加强岩屑、废泥浆及其他固体废弃物收集、运输及暂存、处置等过程的环境管理。</w:t>
      </w:r>
    </w:p>
    <w:p w:rsidR="007A3ABD" w:rsidRPr="00D630D1" w:rsidRDefault="007A3ABD" w:rsidP="007A3ABD">
      <w:pPr>
        <w:pStyle w:val="SSEC41"/>
        <w:spacing w:line="360" w:lineRule="auto"/>
        <w:ind w:firstLine="480"/>
        <w:rPr>
          <w:rFonts w:ascii="Times New Roman" w:hAnsi="Times New Roman"/>
        </w:rPr>
      </w:pPr>
      <w:r w:rsidRPr="00D630D1">
        <w:rPr>
          <w:rFonts w:ascii="Times New Roman" w:hAnsi="Times New Roman"/>
        </w:rPr>
        <w:t>i</w:t>
      </w:r>
      <w:r w:rsidRPr="00D630D1">
        <w:rPr>
          <w:rFonts w:ascii="Times New Roman" w:hAnsi="Times New Roman"/>
        </w:rPr>
        <w:t>钻井液、压裂液等应做到循环利用。采取节水措施，减少耗水量。鼓励采用先进的工艺、设备。</w:t>
      </w:r>
    </w:p>
    <w:p w:rsidR="007A3ABD" w:rsidRPr="00D630D1" w:rsidRDefault="007A3ABD" w:rsidP="007A3ABD">
      <w:pPr>
        <w:pStyle w:val="SSEC41"/>
        <w:spacing w:line="360" w:lineRule="auto"/>
        <w:ind w:firstLine="480"/>
        <w:rPr>
          <w:rFonts w:ascii="Times New Roman" w:hAnsi="Times New Roman"/>
        </w:rPr>
      </w:pPr>
      <w:r w:rsidRPr="00D630D1">
        <w:rPr>
          <w:rFonts w:ascii="Times New Roman" w:hAnsi="Times New Roman"/>
        </w:rPr>
        <w:t>j</w:t>
      </w:r>
      <w:r w:rsidRPr="00D630D1">
        <w:rPr>
          <w:rFonts w:ascii="Times New Roman" w:hAnsi="Times New Roman"/>
        </w:rPr>
        <w:t>加强废水、废油等运输过程的管理。对承包转运的车辆实施车辆登记制度，加强运输过程中的监控措施，防止运输过程发生事故导致废水、废油等泄漏，污染环境。建立废水、废油等交接联单制度，确保不乱排乱倒。加强对罐车司机的安全教育，定期对罐车进行安全检查，严格遵守交通规则，避免交通事故发生。</w:t>
      </w:r>
    </w:p>
    <w:p w:rsidR="007A3ABD" w:rsidRPr="00D630D1" w:rsidRDefault="007A3ABD" w:rsidP="007A3ABD">
      <w:pPr>
        <w:pStyle w:val="SSEC30"/>
        <w:spacing w:line="360" w:lineRule="auto"/>
        <w:ind w:firstLine="480"/>
        <w:rPr>
          <w:rFonts w:ascii="Times New Roman" w:hAnsi="Times New Roman"/>
        </w:rPr>
      </w:pPr>
      <w:r w:rsidRPr="00D630D1">
        <w:rPr>
          <w:rFonts w:ascii="Times New Roman" w:hAnsi="Times New Roman"/>
        </w:rPr>
        <w:t>2</w:t>
      </w:r>
      <w:r w:rsidRPr="00D630D1">
        <w:rPr>
          <w:rFonts w:ascii="Times New Roman" w:hAnsi="Times New Roman"/>
        </w:rPr>
        <w:t>）分区防渗控制措施</w:t>
      </w:r>
    </w:p>
    <w:p w:rsidR="007A3ABD" w:rsidRPr="00D630D1" w:rsidRDefault="007A3ABD" w:rsidP="007A3ABD">
      <w:pPr>
        <w:pStyle w:val="SSEC20150323"/>
        <w:spacing w:line="360" w:lineRule="auto"/>
        <w:ind w:firstLine="480"/>
        <w:rPr>
          <w:rFonts w:ascii="Times New Roman" w:hAnsi="Times New Roman"/>
        </w:rPr>
      </w:pPr>
      <w:r w:rsidRPr="00D630D1">
        <w:rPr>
          <w:rFonts w:ascii="Times New Roman" w:hAnsi="Times New Roman"/>
        </w:rPr>
        <w:t>参照《危险废物贮存污染控制标准》（</w:t>
      </w:r>
      <w:r w:rsidRPr="00D630D1">
        <w:rPr>
          <w:rFonts w:ascii="Times New Roman" w:hAnsi="Times New Roman"/>
        </w:rPr>
        <w:t>GB 18597-2001</w:t>
      </w:r>
      <w:r w:rsidRPr="00D630D1">
        <w:rPr>
          <w:rFonts w:ascii="Times New Roman" w:hAnsi="Times New Roman"/>
        </w:rPr>
        <w:t>）及其修改单（环境保护部公告</w:t>
      </w:r>
      <w:r w:rsidRPr="00D630D1">
        <w:rPr>
          <w:rFonts w:ascii="Times New Roman" w:hAnsi="Times New Roman"/>
        </w:rPr>
        <w:t xml:space="preserve"> 2013</w:t>
      </w:r>
      <w:r w:rsidRPr="00D630D1">
        <w:rPr>
          <w:rFonts w:ascii="Times New Roman" w:hAnsi="Times New Roman"/>
        </w:rPr>
        <w:t>年</w:t>
      </w:r>
      <w:r w:rsidRPr="00D630D1">
        <w:rPr>
          <w:rFonts w:ascii="Times New Roman" w:hAnsi="Times New Roman"/>
        </w:rPr>
        <w:t xml:space="preserve"> </w:t>
      </w:r>
      <w:r w:rsidRPr="00D630D1">
        <w:rPr>
          <w:rFonts w:ascii="Times New Roman" w:hAnsi="Times New Roman"/>
        </w:rPr>
        <w:t>第</w:t>
      </w:r>
      <w:r w:rsidRPr="00D630D1">
        <w:rPr>
          <w:rFonts w:ascii="Times New Roman" w:hAnsi="Times New Roman"/>
        </w:rPr>
        <w:t>36</w:t>
      </w:r>
      <w:r w:rsidRPr="00D630D1">
        <w:rPr>
          <w:rFonts w:ascii="Times New Roman" w:hAnsi="Times New Roman"/>
        </w:rPr>
        <w:t>号）制定防渗措施，一般污染防治区防渗层的防渗性能不应低于</w:t>
      </w:r>
      <w:r w:rsidRPr="00D630D1">
        <w:rPr>
          <w:rFonts w:ascii="Times New Roman" w:hAnsi="Times New Roman"/>
        </w:rPr>
        <w:t>1.5m</w:t>
      </w:r>
      <w:r w:rsidRPr="00D630D1">
        <w:rPr>
          <w:rFonts w:ascii="Times New Roman" w:hAnsi="Times New Roman"/>
        </w:rPr>
        <w:t>厚渗透系数为</w:t>
      </w:r>
      <w:r w:rsidRPr="00D630D1">
        <w:rPr>
          <w:rFonts w:ascii="Times New Roman" w:hAnsi="Times New Roman"/>
        </w:rPr>
        <w:t>1.0×10</w:t>
      </w:r>
      <w:r w:rsidRPr="00D630D1">
        <w:rPr>
          <w:rFonts w:ascii="Times New Roman" w:hAnsi="Times New Roman"/>
          <w:vertAlign w:val="superscript"/>
        </w:rPr>
        <w:t>-7</w:t>
      </w:r>
      <w:r w:rsidRPr="00D630D1">
        <w:rPr>
          <w:rFonts w:ascii="Times New Roman" w:hAnsi="Times New Roman"/>
        </w:rPr>
        <w:t>cm/s</w:t>
      </w:r>
      <w:r w:rsidRPr="00D630D1">
        <w:rPr>
          <w:rFonts w:ascii="Times New Roman" w:hAnsi="Times New Roman"/>
        </w:rPr>
        <w:t>的黏土层的防渗性能，重点污染防治区防渗层的防渗性能不应低于</w:t>
      </w:r>
      <w:r w:rsidRPr="00D630D1">
        <w:rPr>
          <w:rFonts w:ascii="Times New Roman" w:hAnsi="Times New Roman"/>
        </w:rPr>
        <w:t>6.0m</w:t>
      </w:r>
      <w:r w:rsidRPr="00D630D1">
        <w:rPr>
          <w:rFonts w:ascii="Times New Roman" w:hAnsi="Times New Roman"/>
        </w:rPr>
        <w:t>厚渗透系数为</w:t>
      </w:r>
      <w:r w:rsidRPr="00D630D1">
        <w:rPr>
          <w:rFonts w:ascii="Times New Roman" w:hAnsi="Times New Roman"/>
        </w:rPr>
        <w:t>1.0×10</w:t>
      </w:r>
      <w:r w:rsidRPr="00D630D1">
        <w:rPr>
          <w:rFonts w:ascii="Times New Roman" w:hAnsi="Times New Roman"/>
          <w:vertAlign w:val="superscript"/>
        </w:rPr>
        <w:t>-7</w:t>
      </w:r>
      <w:r w:rsidRPr="00D630D1">
        <w:rPr>
          <w:rFonts w:ascii="Times New Roman" w:hAnsi="Times New Roman"/>
        </w:rPr>
        <w:t>cm/s</w:t>
      </w:r>
      <w:r w:rsidRPr="00D630D1">
        <w:rPr>
          <w:rFonts w:ascii="Times New Roman" w:hAnsi="Times New Roman"/>
        </w:rPr>
        <w:t>的黏土层的防渗性能。</w:t>
      </w:r>
    </w:p>
    <w:p w:rsidR="007A3ABD" w:rsidRPr="00D630D1" w:rsidRDefault="007A3ABD" w:rsidP="007A3ABD">
      <w:pPr>
        <w:pStyle w:val="SSEC41"/>
        <w:spacing w:line="360" w:lineRule="auto"/>
        <w:ind w:firstLine="480"/>
        <w:rPr>
          <w:rFonts w:ascii="Times New Roman" w:hAnsi="Times New Roman"/>
        </w:rPr>
      </w:pPr>
      <w:r w:rsidRPr="00D630D1">
        <w:rPr>
          <w:rFonts w:ascii="Times New Roman" w:hAnsi="Times New Roman"/>
        </w:rPr>
        <w:t>污染防治分区：</w:t>
      </w:r>
      <w:r w:rsidRPr="00D630D1">
        <w:rPr>
          <w:rFonts w:ascii="Times New Roman"/>
        </w:rPr>
        <w:t>根据钻井井场的平面布置，按照通过各种途径可能进入地下水环境的各种有毒有害物质的泄漏（含跑、冒、滴、漏）量及其他各类污染物的性质、产生和排放量，将钻井井场划分为污染防治区和非污染防治区，污染防治区包括重点污染防治区和一般污染防治区，污染防治区分区情况详见表</w:t>
      </w:r>
      <w:r w:rsidR="00BE68D7" w:rsidRPr="00D630D1">
        <w:rPr>
          <w:rFonts w:ascii="Times New Roman" w:hAnsi="Times New Roman" w:hint="eastAsia"/>
        </w:rPr>
        <w:t>6.1</w:t>
      </w:r>
      <w:r w:rsidRPr="00D630D1">
        <w:rPr>
          <w:rFonts w:ascii="Times New Roman" w:hAnsi="Times New Roman"/>
        </w:rPr>
        <w:t>-</w:t>
      </w:r>
      <w:r w:rsidR="00BE68D7" w:rsidRPr="00D630D1">
        <w:rPr>
          <w:rFonts w:ascii="Times New Roman" w:hAnsi="Times New Roman" w:hint="eastAsia"/>
        </w:rPr>
        <w:t>1</w:t>
      </w:r>
      <w:r w:rsidRPr="00D630D1">
        <w:rPr>
          <w:rFonts w:ascii="Times New Roman"/>
        </w:rPr>
        <w:t>。</w:t>
      </w:r>
    </w:p>
    <w:p w:rsidR="00BE68D7" w:rsidRPr="00D630D1" w:rsidRDefault="00BE68D7" w:rsidP="00F96E37">
      <w:pPr>
        <w:topLinePunct w:val="0"/>
        <w:snapToGrid w:val="0"/>
        <w:spacing w:beforeLines="50"/>
        <w:ind w:firstLineChars="0" w:firstLine="480"/>
        <w:jc w:val="center"/>
        <w:rPr>
          <w:rFonts w:hAnsi="Cambria" w:cs="Times New Roman"/>
          <w:kern w:val="2"/>
          <w:sz w:val="21"/>
          <w:szCs w:val="20"/>
        </w:rPr>
      </w:pPr>
      <w:bookmarkStart w:id="483" w:name="_Ref502860035"/>
      <w:r w:rsidRPr="00D630D1">
        <w:rPr>
          <w:rFonts w:ascii="Times New Roman" w:cs="Times New Roman"/>
          <w:kern w:val="2"/>
          <w:sz w:val="21"/>
          <w:szCs w:val="20"/>
        </w:rPr>
        <w:lastRenderedPageBreak/>
        <w:t>表</w:t>
      </w:r>
      <w:r w:rsidRPr="00D630D1">
        <w:rPr>
          <w:rFonts w:ascii="Times New Roman" w:cs="Times New Roman"/>
          <w:kern w:val="2"/>
          <w:sz w:val="21"/>
          <w:szCs w:val="20"/>
        </w:rPr>
        <w:t xml:space="preserve"> </w:t>
      </w:r>
      <w:bookmarkEnd w:id="483"/>
      <w:r w:rsidRPr="00D630D1">
        <w:rPr>
          <w:rFonts w:ascii="Times New Roman" w:cs="Times New Roman" w:hint="eastAsia"/>
          <w:kern w:val="2"/>
          <w:sz w:val="21"/>
          <w:szCs w:val="20"/>
        </w:rPr>
        <w:t>6.1</w:t>
      </w:r>
      <w:r w:rsidRPr="00D630D1">
        <w:rPr>
          <w:rFonts w:ascii="Times New Roman" w:cs="Times New Roman"/>
          <w:kern w:val="2"/>
          <w:sz w:val="21"/>
          <w:szCs w:val="20"/>
        </w:rPr>
        <w:t>-</w:t>
      </w:r>
      <w:r w:rsidRPr="00D630D1">
        <w:rPr>
          <w:rFonts w:ascii="Times New Roman" w:cs="Times New Roman" w:hint="eastAsia"/>
          <w:kern w:val="2"/>
          <w:sz w:val="21"/>
          <w:szCs w:val="20"/>
        </w:rPr>
        <w:t>1</w:t>
      </w:r>
      <w:r w:rsidRPr="00D630D1">
        <w:rPr>
          <w:rFonts w:hAnsi="Cambria" w:cs="Times New Roman"/>
          <w:kern w:val="2"/>
          <w:sz w:val="21"/>
          <w:szCs w:val="20"/>
        </w:rPr>
        <w:t xml:space="preserve"> </w:t>
      </w:r>
      <w:r w:rsidRPr="00D630D1">
        <w:rPr>
          <w:rFonts w:hAnsi="Cambria" w:cs="Times New Roman" w:hint="eastAsia"/>
          <w:kern w:val="2"/>
          <w:sz w:val="21"/>
          <w:szCs w:val="20"/>
        </w:rPr>
        <w:t xml:space="preserve">  本项目分区防渗方案一览表</w:t>
      </w:r>
    </w:p>
    <w:tbl>
      <w:tblPr>
        <w:tblW w:w="0" w:type="auto"/>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20"/>
        <w:gridCol w:w="1904"/>
        <w:gridCol w:w="2791"/>
        <w:gridCol w:w="1929"/>
      </w:tblGrid>
      <w:tr w:rsidR="00BE68D7" w:rsidRPr="00D630D1" w:rsidTr="0054593A">
        <w:trPr>
          <w:trHeight w:val="270"/>
          <w:tblHeader/>
        </w:trPr>
        <w:tc>
          <w:tcPr>
            <w:tcW w:w="1420" w:type="dxa"/>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污染防治区类别</w:t>
            </w:r>
          </w:p>
        </w:tc>
        <w:tc>
          <w:tcPr>
            <w:tcW w:w="1904" w:type="dxa"/>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防渗性能要求</w:t>
            </w:r>
          </w:p>
        </w:tc>
        <w:tc>
          <w:tcPr>
            <w:tcW w:w="2791" w:type="dxa"/>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装置、单元名称</w:t>
            </w:r>
          </w:p>
        </w:tc>
        <w:tc>
          <w:tcPr>
            <w:tcW w:w="1929" w:type="dxa"/>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污染防治区域或部位</w:t>
            </w:r>
          </w:p>
        </w:tc>
      </w:tr>
      <w:tr w:rsidR="00BE68D7" w:rsidRPr="00D630D1" w:rsidTr="0054593A">
        <w:trPr>
          <w:trHeight w:val="758"/>
        </w:trPr>
        <w:tc>
          <w:tcPr>
            <w:tcW w:w="1420" w:type="dxa"/>
            <w:vMerge w:val="restart"/>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重点污染防治区</w:t>
            </w:r>
          </w:p>
        </w:tc>
        <w:tc>
          <w:tcPr>
            <w:tcW w:w="1904" w:type="dxa"/>
            <w:vMerge w:val="restart"/>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防渗性能应不低于</w:t>
            </w:r>
            <w:r w:rsidRPr="00D630D1">
              <w:rPr>
                <w:rFonts w:ascii="Times New Roman" w:cs="Times New Roman"/>
                <w:kern w:val="2"/>
                <w:sz w:val="21"/>
                <w:szCs w:val="21"/>
              </w:rPr>
              <w:t>6.0m</w:t>
            </w:r>
            <w:r w:rsidRPr="00D630D1">
              <w:rPr>
                <w:rFonts w:ascii="Times New Roman" w:cs="Times New Roman"/>
                <w:kern w:val="2"/>
                <w:sz w:val="21"/>
                <w:szCs w:val="21"/>
              </w:rPr>
              <w:t>厚渗透系数为</w:t>
            </w:r>
            <w:r w:rsidRPr="00D630D1">
              <w:rPr>
                <w:rFonts w:ascii="Times New Roman" w:cs="Times New Roman"/>
                <w:kern w:val="2"/>
                <w:sz w:val="21"/>
                <w:szCs w:val="21"/>
              </w:rPr>
              <w:t>1.0×10</w:t>
            </w:r>
            <w:r w:rsidRPr="00D630D1">
              <w:rPr>
                <w:rFonts w:ascii="Times New Roman" w:cs="Times New Roman"/>
                <w:kern w:val="2"/>
                <w:sz w:val="21"/>
                <w:szCs w:val="21"/>
                <w:vertAlign w:val="superscript"/>
              </w:rPr>
              <w:t>-7</w:t>
            </w:r>
            <w:r w:rsidRPr="00D630D1">
              <w:rPr>
                <w:rFonts w:ascii="Times New Roman" w:cs="Times New Roman"/>
                <w:kern w:val="2"/>
                <w:sz w:val="21"/>
                <w:szCs w:val="21"/>
              </w:rPr>
              <w:t>cm/s</w:t>
            </w:r>
            <w:r w:rsidRPr="00D630D1">
              <w:rPr>
                <w:rFonts w:ascii="Times New Roman" w:cs="Times New Roman"/>
                <w:kern w:val="2"/>
                <w:sz w:val="21"/>
                <w:szCs w:val="21"/>
              </w:rPr>
              <w:t>的黏土层防渗性能</w:t>
            </w:r>
          </w:p>
        </w:tc>
        <w:tc>
          <w:tcPr>
            <w:tcW w:w="2791" w:type="dxa"/>
            <w:vAlign w:val="center"/>
          </w:tcPr>
          <w:p w:rsidR="00BE68D7" w:rsidRPr="00D630D1" w:rsidRDefault="00BE68D7" w:rsidP="00BE68D7">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kern w:val="2"/>
                <w:sz w:val="21"/>
                <w:szCs w:val="21"/>
              </w:rPr>
              <w:t>井口区域、泥浆循环系统区域、泥浆储备罐区、</w:t>
            </w:r>
            <w:r w:rsidR="00DB6EC5" w:rsidRPr="00D630D1">
              <w:rPr>
                <w:rFonts w:ascii="Times New Roman" w:cs="Times New Roman"/>
                <w:kern w:val="2"/>
                <w:sz w:val="21"/>
                <w:szCs w:val="21"/>
              </w:rPr>
              <w:t>柴油储罐</w:t>
            </w:r>
            <w:r w:rsidR="00E0363B">
              <w:rPr>
                <w:rFonts w:ascii="Times New Roman" w:cs="Times New Roman" w:hint="eastAsia"/>
                <w:kern w:val="2"/>
                <w:sz w:val="21"/>
                <w:szCs w:val="21"/>
              </w:rPr>
              <w:t>、凝析油储罐</w:t>
            </w:r>
            <w:r w:rsidRPr="00D630D1">
              <w:rPr>
                <w:rFonts w:ascii="Times New Roman" w:cs="Times New Roman"/>
                <w:kern w:val="2"/>
                <w:sz w:val="21"/>
                <w:szCs w:val="21"/>
              </w:rPr>
              <w:t>、危废暂存间</w:t>
            </w:r>
          </w:p>
        </w:tc>
        <w:tc>
          <w:tcPr>
            <w:tcW w:w="1929" w:type="dxa"/>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地面</w:t>
            </w:r>
          </w:p>
        </w:tc>
      </w:tr>
      <w:tr w:rsidR="00BE68D7" w:rsidRPr="00D630D1" w:rsidTr="0054593A">
        <w:trPr>
          <w:trHeight w:val="346"/>
        </w:trPr>
        <w:tc>
          <w:tcPr>
            <w:tcW w:w="1420" w:type="dxa"/>
            <w:vMerge/>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p>
        </w:tc>
        <w:tc>
          <w:tcPr>
            <w:tcW w:w="1904" w:type="dxa"/>
            <w:vMerge/>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p>
        </w:tc>
        <w:tc>
          <w:tcPr>
            <w:tcW w:w="2791" w:type="dxa"/>
            <w:vAlign w:val="center"/>
          </w:tcPr>
          <w:p w:rsidR="00BE68D7" w:rsidRPr="00D630D1" w:rsidRDefault="00E0363B" w:rsidP="00DB6EC5">
            <w:pPr>
              <w:topLinePunct w:val="0"/>
              <w:snapToGrid w:val="0"/>
              <w:spacing w:line="240" w:lineRule="auto"/>
              <w:ind w:firstLineChars="0" w:firstLine="0"/>
              <w:jc w:val="center"/>
              <w:textAlignment w:val="center"/>
              <w:rPr>
                <w:rFonts w:ascii="Times New Roman" w:cs="Times New Roman"/>
                <w:kern w:val="2"/>
                <w:sz w:val="21"/>
                <w:szCs w:val="21"/>
              </w:rPr>
            </w:pPr>
            <w:r>
              <w:rPr>
                <w:rFonts w:ascii="Times New Roman" w:cs="Times New Roman" w:hint="eastAsia"/>
                <w:kern w:val="2"/>
                <w:sz w:val="21"/>
                <w:szCs w:val="21"/>
              </w:rPr>
              <w:t>污水池、</w:t>
            </w:r>
            <w:r w:rsidR="00BE68D7" w:rsidRPr="00D630D1">
              <w:rPr>
                <w:rFonts w:ascii="Times New Roman" w:cs="Times New Roman"/>
                <w:kern w:val="2"/>
                <w:sz w:val="21"/>
                <w:szCs w:val="21"/>
              </w:rPr>
              <w:t>放喷池</w:t>
            </w:r>
          </w:p>
        </w:tc>
        <w:tc>
          <w:tcPr>
            <w:tcW w:w="1929" w:type="dxa"/>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池底及池壁</w:t>
            </w:r>
          </w:p>
        </w:tc>
      </w:tr>
      <w:tr w:rsidR="00BE68D7" w:rsidRPr="00D630D1" w:rsidTr="0054593A">
        <w:trPr>
          <w:trHeight w:val="483"/>
        </w:trPr>
        <w:tc>
          <w:tcPr>
            <w:tcW w:w="1420" w:type="dxa"/>
            <w:vMerge w:val="restart"/>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一般污染防治区</w:t>
            </w:r>
          </w:p>
        </w:tc>
        <w:tc>
          <w:tcPr>
            <w:tcW w:w="1904" w:type="dxa"/>
            <w:vMerge w:val="restart"/>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防渗性能应不低于</w:t>
            </w:r>
            <w:r w:rsidRPr="00D630D1">
              <w:rPr>
                <w:rFonts w:ascii="Times New Roman" w:cs="Times New Roman"/>
                <w:kern w:val="2"/>
                <w:sz w:val="21"/>
                <w:szCs w:val="21"/>
              </w:rPr>
              <w:t>1.5m</w:t>
            </w:r>
            <w:r w:rsidRPr="00D630D1">
              <w:rPr>
                <w:rFonts w:ascii="Times New Roman" w:cs="Times New Roman"/>
                <w:kern w:val="2"/>
                <w:sz w:val="21"/>
                <w:szCs w:val="21"/>
              </w:rPr>
              <w:t>厚渗透系数为</w:t>
            </w:r>
            <w:r w:rsidRPr="00D630D1">
              <w:rPr>
                <w:rFonts w:ascii="Times New Roman" w:cs="Times New Roman"/>
                <w:kern w:val="2"/>
                <w:sz w:val="21"/>
                <w:szCs w:val="21"/>
              </w:rPr>
              <w:t>1.0×10</w:t>
            </w:r>
            <w:r w:rsidRPr="00D630D1">
              <w:rPr>
                <w:rFonts w:ascii="Times New Roman" w:cs="Times New Roman"/>
                <w:kern w:val="2"/>
                <w:sz w:val="21"/>
                <w:szCs w:val="21"/>
                <w:vertAlign w:val="superscript"/>
              </w:rPr>
              <w:t>-7</w:t>
            </w:r>
            <w:r w:rsidRPr="00D630D1">
              <w:rPr>
                <w:rFonts w:ascii="Times New Roman" w:cs="Times New Roman"/>
                <w:kern w:val="2"/>
                <w:sz w:val="21"/>
                <w:szCs w:val="21"/>
              </w:rPr>
              <w:t>cm/s</w:t>
            </w:r>
            <w:r w:rsidRPr="00D630D1">
              <w:rPr>
                <w:rFonts w:ascii="Times New Roman" w:cs="Times New Roman"/>
                <w:kern w:val="2"/>
                <w:sz w:val="21"/>
                <w:szCs w:val="21"/>
              </w:rPr>
              <w:t>的黏土层防渗性能</w:t>
            </w:r>
          </w:p>
        </w:tc>
        <w:tc>
          <w:tcPr>
            <w:tcW w:w="2791" w:type="dxa"/>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井架基础、发电机房、高压房、材料棚</w:t>
            </w:r>
          </w:p>
        </w:tc>
        <w:tc>
          <w:tcPr>
            <w:tcW w:w="1929" w:type="dxa"/>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地面</w:t>
            </w:r>
          </w:p>
        </w:tc>
      </w:tr>
      <w:tr w:rsidR="00BE68D7" w:rsidRPr="00D630D1" w:rsidTr="0054593A">
        <w:trPr>
          <w:trHeight w:val="621"/>
        </w:trPr>
        <w:tc>
          <w:tcPr>
            <w:tcW w:w="1420" w:type="dxa"/>
            <w:vMerge/>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p>
        </w:tc>
        <w:tc>
          <w:tcPr>
            <w:tcW w:w="1904" w:type="dxa"/>
            <w:vMerge/>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p>
        </w:tc>
        <w:tc>
          <w:tcPr>
            <w:tcW w:w="2791" w:type="dxa"/>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雨、污分流区域</w:t>
            </w:r>
          </w:p>
        </w:tc>
        <w:tc>
          <w:tcPr>
            <w:tcW w:w="1929" w:type="dxa"/>
            <w:vAlign w:val="center"/>
          </w:tcPr>
          <w:p w:rsidR="00BE68D7" w:rsidRPr="00D630D1" w:rsidRDefault="00BE68D7" w:rsidP="00BE68D7">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地面</w:t>
            </w:r>
          </w:p>
        </w:tc>
      </w:tr>
    </w:tbl>
    <w:p w:rsidR="007A3ABD" w:rsidRPr="00D630D1" w:rsidRDefault="007A3ABD" w:rsidP="007A3ABD">
      <w:pPr>
        <w:snapToGrid w:val="0"/>
        <w:ind w:firstLine="480"/>
        <w:rPr>
          <w:rFonts w:ascii="Times New Roman" w:cs="Times New Roman"/>
          <w:b/>
          <w:bCs/>
        </w:rPr>
      </w:pPr>
      <w:r w:rsidRPr="00D630D1">
        <w:rPr>
          <w:rFonts w:ascii="Times New Roman" w:cs="Times New Roman"/>
        </w:rPr>
        <w:t>3</w:t>
      </w:r>
      <w:r w:rsidRPr="00D630D1">
        <w:rPr>
          <w:rFonts w:ascii="Times New Roman" w:cs="Times New Roman"/>
        </w:rPr>
        <w:t>）</w:t>
      </w:r>
      <w:r w:rsidRPr="00D630D1">
        <w:rPr>
          <w:rFonts w:ascii="Times New Roman" w:cs="Times New Roman"/>
          <w:bCs/>
        </w:rPr>
        <w:t>实时监控措施</w:t>
      </w:r>
    </w:p>
    <w:p w:rsidR="007A3ABD" w:rsidRPr="00D630D1" w:rsidRDefault="007A3ABD" w:rsidP="007A3ABD">
      <w:pPr>
        <w:snapToGrid w:val="0"/>
        <w:ind w:firstLine="480"/>
        <w:rPr>
          <w:rFonts w:ascii="Times New Roman" w:cs="Times New Roman"/>
          <w:bCs/>
        </w:rPr>
      </w:pPr>
      <w:r w:rsidRPr="00D630D1">
        <w:rPr>
          <w:rFonts w:ascii="Times New Roman" w:cs="Times New Roman"/>
          <w:bCs/>
        </w:rPr>
        <w:t>井场储备足够的堵漏剂，在钻井过程对泥浆实时监控，一旦发现漏失，立即采取堵漏措施，减少漏失量。堵漏剂的选取应考虑清洁、无毒、对人体无害，环境污染轻的种类。</w:t>
      </w:r>
    </w:p>
    <w:p w:rsidR="007A3ABD" w:rsidRPr="00D630D1" w:rsidRDefault="007A3ABD" w:rsidP="007A3ABD">
      <w:pPr>
        <w:snapToGrid w:val="0"/>
        <w:ind w:firstLine="480"/>
        <w:rPr>
          <w:rFonts w:ascii="Times New Roman" w:cs="Times New Roman"/>
          <w:bCs/>
        </w:rPr>
      </w:pPr>
      <w:r w:rsidRPr="00D630D1">
        <w:rPr>
          <w:rFonts w:ascii="Times New Roman" w:cs="Times New Roman"/>
        </w:rPr>
        <w:t>4</w:t>
      </w:r>
      <w:r w:rsidRPr="00D630D1">
        <w:rPr>
          <w:rFonts w:ascii="Times New Roman" w:cs="Times New Roman"/>
        </w:rPr>
        <w:t>）</w:t>
      </w:r>
      <w:r w:rsidRPr="00D630D1">
        <w:rPr>
          <w:rFonts w:ascii="Times New Roman" w:cs="Times New Roman"/>
          <w:bCs/>
        </w:rPr>
        <w:t>地下水敏感目标监控措施</w:t>
      </w:r>
    </w:p>
    <w:p w:rsidR="007A3ABD" w:rsidRPr="00D630D1" w:rsidRDefault="007A3ABD" w:rsidP="007A3ABD">
      <w:pPr>
        <w:pStyle w:val="afa"/>
        <w:ind w:firstLine="480"/>
        <w:rPr>
          <w:szCs w:val="24"/>
        </w:rPr>
      </w:pPr>
      <w:r w:rsidRPr="00D630D1">
        <w:rPr>
          <w:bCs/>
          <w:szCs w:val="24"/>
        </w:rPr>
        <w:t>建设预留一定资金，当在</w:t>
      </w:r>
      <w:r w:rsidR="00E0363B">
        <w:rPr>
          <w:rFonts w:hint="eastAsia"/>
          <w:bCs/>
          <w:szCs w:val="24"/>
        </w:rPr>
        <w:t>普光</w:t>
      </w:r>
      <w:r w:rsidR="00E0363B">
        <w:rPr>
          <w:rFonts w:hint="eastAsia"/>
          <w:bCs/>
          <w:szCs w:val="24"/>
        </w:rPr>
        <w:t>12</w:t>
      </w:r>
      <w:r w:rsidR="00E0363B">
        <w:rPr>
          <w:rFonts w:hint="eastAsia"/>
          <w:bCs/>
          <w:szCs w:val="24"/>
        </w:rPr>
        <w:t>采气站</w:t>
      </w:r>
      <w:r w:rsidRPr="00D630D1">
        <w:rPr>
          <w:bCs/>
          <w:szCs w:val="24"/>
        </w:rPr>
        <w:t>地下水下游民井不定期检测发生异常时，为农户提供备用水源或桶装水的措施来解决农户饮用水问题，并组织相关单位查找异常原因并解决。</w:t>
      </w:r>
    </w:p>
    <w:p w:rsidR="00117C3D" w:rsidRPr="00D630D1" w:rsidRDefault="00A5360A">
      <w:pPr>
        <w:pStyle w:val="3"/>
        <w:rPr>
          <w:rFonts w:eastAsia="宋体"/>
        </w:rPr>
      </w:pPr>
      <w:bookmarkStart w:id="484" w:name="_Toc12288660"/>
      <w:bookmarkStart w:id="485" w:name="_Toc19816061"/>
      <w:bookmarkStart w:id="486" w:name="_Toc12288654"/>
      <w:bookmarkStart w:id="487" w:name="_Toc19816056"/>
      <w:bookmarkEnd w:id="482"/>
      <w:r w:rsidRPr="00D630D1">
        <w:rPr>
          <w:rFonts w:eastAsia="宋体"/>
        </w:rPr>
        <w:t>6</w:t>
      </w:r>
      <w:r w:rsidR="008B5B84" w:rsidRPr="00D630D1">
        <w:rPr>
          <w:rFonts w:eastAsia="宋体"/>
        </w:rPr>
        <w:t>.</w:t>
      </w:r>
      <w:r w:rsidR="001F4A69" w:rsidRPr="00D630D1">
        <w:rPr>
          <w:rFonts w:eastAsia="宋体"/>
        </w:rPr>
        <w:t>1</w:t>
      </w:r>
      <w:r w:rsidR="008B5B84" w:rsidRPr="00D630D1">
        <w:rPr>
          <w:rFonts w:eastAsia="宋体"/>
        </w:rPr>
        <w:t>.</w:t>
      </w:r>
      <w:r w:rsidR="001F4A69" w:rsidRPr="00D630D1">
        <w:rPr>
          <w:rFonts w:eastAsia="宋体"/>
        </w:rPr>
        <w:t>4</w:t>
      </w:r>
      <w:r w:rsidR="008B5B84" w:rsidRPr="00D630D1">
        <w:rPr>
          <w:rFonts w:eastAsia="宋体"/>
        </w:rPr>
        <w:t xml:space="preserve"> </w:t>
      </w:r>
      <w:r w:rsidR="008B5B84" w:rsidRPr="00D630D1">
        <w:rPr>
          <w:rFonts w:eastAsia="宋体"/>
        </w:rPr>
        <w:t>施工期环境空气影响分析</w:t>
      </w:r>
      <w:bookmarkEnd w:id="484"/>
      <w:bookmarkEnd w:id="485"/>
    </w:p>
    <w:p w:rsidR="00117C3D" w:rsidRPr="00D630D1" w:rsidRDefault="008B5B84">
      <w:pPr>
        <w:pStyle w:val="a1"/>
        <w:ind w:firstLine="482"/>
        <w:rPr>
          <w:rFonts w:ascii="Times New Roman" w:cs="Times New Roman"/>
          <w:b/>
          <w:bCs/>
        </w:rPr>
      </w:pPr>
      <w:bookmarkStart w:id="488" w:name="_Toc12288661"/>
      <w:r w:rsidRPr="00D630D1">
        <w:rPr>
          <w:rFonts w:ascii="Times New Roman" w:cs="Times New Roman"/>
          <w:b/>
          <w:bCs/>
        </w:rPr>
        <w:t>1</w:t>
      </w:r>
      <w:r w:rsidRPr="00D630D1">
        <w:rPr>
          <w:rFonts w:ascii="Times New Roman" w:cs="Times New Roman"/>
          <w:b/>
          <w:bCs/>
        </w:rPr>
        <w:t>、扬尘（粉尘）的影响分析</w:t>
      </w:r>
      <w:bookmarkEnd w:id="488"/>
    </w:p>
    <w:p w:rsidR="00117C3D" w:rsidRPr="00D630D1" w:rsidRDefault="008B5B84" w:rsidP="00A5360A">
      <w:pPr>
        <w:pStyle w:val="afa"/>
        <w:ind w:firstLine="480"/>
      </w:pPr>
      <w:r w:rsidRPr="00D630D1">
        <w:t>本项目的扬尘（粉尘）主要产生于两个部分：管沟及站场的地面开挖、填埋、土石方堆放和车辆运输过程产生的扬尘（粉尘）。施工期间产生的扬尘（粉尘）污染主要取决于施工作业方式、材料的堆放以及风力等因素，其中受风力的影响因素最大，随着风速的增大，施工扬尘（粉尘）的污染程度和超标范围也将随之增强和扩大。</w:t>
      </w:r>
    </w:p>
    <w:p w:rsidR="00117C3D" w:rsidRPr="00D630D1" w:rsidRDefault="008B5B84" w:rsidP="00A5360A">
      <w:pPr>
        <w:pStyle w:val="afa"/>
        <w:ind w:firstLine="480"/>
      </w:pPr>
      <w:r w:rsidRPr="00D630D1">
        <w:t>管道及</w:t>
      </w:r>
      <w:r w:rsidR="00B25135" w:rsidRPr="00D630D1">
        <w:rPr>
          <w:rFonts w:hint="eastAsia"/>
        </w:rPr>
        <w:t>场站</w:t>
      </w:r>
      <w:r w:rsidRPr="00D630D1">
        <w:t>的地面开挖、填埋、土石方堆放过程为分段进行，施工时间较短，作业带内产生的扬尘（粉尘）为无组织面源排放，根据类比调查，施工工地上风向</w:t>
      </w:r>
      <w:r w:rsidRPr="00D630D1">
        <w:t>50m</w:t>
      </w:r>
      <w:r w:rsidRPr="00D630D1">
        <w:t>范围内</w:t>
      </w:r>
      <w:r w:rsidRPr="00D630D1">
        <w:t>TSP</w:t>
      </w:r>
      <w:r w:rsidRPr="00D630D1">
        <w:t>浓度约</w:t>
      </w:r>
      <w:r w:rsidRPr="00D630D1">
        <w:t>0.3mg/</w:t>
      </w:r>
      <w:r w:rsidR="00A5360A" w:rsidRPr="00D630D1">
        <w:t>m</w:t>
      </w:r>
      <w:r w:rsidR="00A5360A" w:rsidRPr="00D630D1">
        <w:rPr>
          <w:vertAlign w:val="superscript"/>
        </w:rPr>
        <w:t>3</w:t>
      </w:r>
      <w:r w:rsidRPr="00D630D1">
        <w:t>，施工工地内</w:t>
      </w:r>
      <w:r w:rsidRPr="00D630D1">
        <w:t>TSP</w:t>
      </w:r>
      <w:r w:rsidRPr="00D630D1">
        <w:t>浓度约为</w:t>
      </w:r>
      <w:r w:rsidRPr="00D630D1">
        <w:t>0.6</w:t>
      </w:r>
      <w:r w:rsidRPr="00D630D1">
        <w:t>～</w:t>
      </w:r>
      <w:r w:rsidRPr="00D630D1">
        <w:t>0.8mg/m</w:t>
      </w:r>
      <w:r w:rsidRPr="00D630D1">
        <w:rPr>
          <w:vertAlign w:val="superscript"/>
        </w:rPr>
        <w:t>3</w:t>
      </w:r>
      <w:r w:rsidRPr="00D630D1">
        <w:t>，下风向</w:t>
      </w:r>
      <w:r w:rsidRPr="00D630D1">
        <w:t>50m</w:t>
      </w:r>
      <w:r w:rsidRPr="00D630D1">
        <w:t>距离</w:t>
      </w:r>
      <w:r w:rsidRPr="00D630D1">
        <w:t>TSP</w:t>
      </w:r>
      <w:r w:rsidRPr="00D630D1">
        <w:t>浓度约为</w:t>
      </w:r>
      <w:r w:rsidRPr="00D630D1">
        <w:t>0.45</w:t>
      </w:r>
      <w:r w:rsidRPr="00D630D1">
        <w:t>～</w:t>
      </w:r>
      <w:r w:rsidRPr="00D630D1">
        <w:t>0.5mg/m</w:t>
      </w:r>
      <w:r w:rsidRPr="00D630D1">
        <w:rPr>
          <w:vertAlign w:val="superscript"/>
        </w:rPr>
        <w:t>3</w:t>
      </w:r>
      <w:r w:rsidRPr="00D630D1">
        <w:t>，</w:t>
      </w:r>
      <w:r w:rsidRPr="00D630D1">
        <w:t>100m</w:t>
      </w:r>
      <w:r w:rsidRPr="00D630D1">
        <w:t>距离</w:t>
      </w:r>
      <w:r w:rsidRPr="00D630D1">
        <w:t>TSP</w:t>
      </w:r>
      <w:r w:rsidRPr="00D630D1">
        <w:t>浓度约为</w:t>
      </w:r>
      <w:r w:rsidRPr="00D630D1">
        <w:t>0.35</w:t>
      </w:r>
      <w:r w:rsidRPr="00D630D1">
        <w:t>～</w:t>
      </w:r>
      <w:r w:rsidRPr="00D630D1">
        <w:t>0.38mg/m</w:t>
      </w:r>
      <w:r w:rsidRPr="00D630D1">
        <w:rPr>
          <w:vertAlign w:val="superscript"/>
        </w:rPr>
        <w:t>3</w:t>
      </w:r>
      <w:r w:rsidRPr="00D630D1">
        <w:t>，</w:t>
      </w:r>
      <w:r w:rsidRPr="00D630D1">
        <w:t>150m</w:t>
      </w:r>
      <w:r w:rsidRPr="00D630D1">
        <w:t>距离</w:t>
      </w:r>
      <w:r w:rsidRPr="00D630D1">
        <w:t>TSP</w:t>
      </w:r>
      <w:r w:rsidRPr="00D630D1">
        <w:t>浓度约为</w:t>
      </w:r>
      <w:r w:rsidRPr="00D630D1">
        <w:t>0.31</w:t>
      </w:r>
      <w:r w:rsidRPr="00D630D1">
        <w:t>～</w:t>
      </w:r>
      <w:r w:rsidRPr="00D630D1">
        <w:t>0.34mg/m</w:t>
      </w:r>
      <w:r w:rsidRPr="00D630D1">
        <w:rPr>
          <w:vertAlign w:val="superscript"/>
        </w:rPr>
        <w:t>3</w:t>
      </w:r>
      <w:r w:rsidRPr="00D630D1">
        <w:t>。管道沿线的较近居住民施工期内会受到施工扬尘的影响，但由于施工过程为分段进行，施工时间较短，且以上地段管道沿线土壤多比较湿润，因此总体而言，管线施工作业扬尘污染是</w:t>
      </w:r>
      <w:r w:rsidRPr="00D630D1">
        <w:lastRenderedPageBreak/>
        <w:t>短时的，且影响不会很大。再加上土壤本身的湿润性，地面开挖时产生的扬尘很少；在采取合理化管理、作业面和土堆适当喷水、土堆和建筑材料遮盖、大风天停止作业等措施后，施工扬尘对周围保护目标的影响会大为降低。</w:t>
      </w:r>
    </w:p>
    <w:p w:rsidR="00117C3D" w:rsidRPr="00D630D1" w:rsidRDefault="008B5B84" w:rsidP="00A5360A">
      <w:pPr>
        <w:pStyle w:val="afa"/>
        <w:ind w:firstLine="480"/>
      </w:pPr>
      <w:r w:rsidRPr="00D630D1">
        <w:t>施工阶段汽车运输过程中，也会产生扬尘污染。扬尘量、粒径大小等与多种因素有关，如路面状况、车辆行驶速度、载重量、天气情况等。其中风速、风向等天气状况直接影响扬尘的传输方向和距离。由于汽车运输过程中产生的扬尘时间短、扬尘落地快、影响范围主要集中在运输道路两侧，故汽车运输扬尘对周边的环境空气影响程度和范围较小，影响时间也较短。如果采用道路定时撒水抑尘、车辆不要装载过满并采取密闭或遮盖措施，可大大减少运输扬尘对周围环境空气的影响。</w:t>
      </w:r>
    </w:p>
    <w:p w:rsidR="00117C3D" w:rsidRPr="00D630D1" w:rsidRDefault="008B5B84" w:rsidP="00A5360A">
      <w:pPr>
        <w:pStyle w:val="afa"/>
        <w:ind w:firstLine="480"/>
      </w:pPr>
      <w:r w:rsidRPr="00D630D1">
        <w:t>总体而言，施工期扬尘对管道沿经各环境空气敏感点影响很小，属可接受范围。</w:t>
      </w:r>
    </w:p>
    <w:p w:rsidR="00117C3D" w:rsidRPr="00D630D1" w:rsidRDefault="008B5B84">
      <w:pPr>
        <w:pStyle w:val="a1"/>
        <w:ind w:firstLine="482"/>
        <w:rPr>
          <w:rFonts w:ascii="Times New Roman" w:cs="Times New Roman"/>
          <w:b/>
          <w:bCs/>
        </w:rPr>
      </w:pPr>
      <w:bookmarkStart w:id="489" w:name="_Toc12288662"/>
      <w:r w:rsidRPr="00D630D1">
        <w:rPr>
          <w:rFonts w:ascii="Times New Roman" w:cs="Times New Roman"/>
          <w:b/>
          <w:bCs/>
        </w:rPr>
        <w:t>2</w:t>
      </w:r>
      <w:r w:rsidRPr="00D630D1">
        <w:rPr>
          <w:rFonts w:ascii="Times New Roman" w:cs="Times New Roman"/>
          <w:b/>
          <w:bCs/>
        </w:rPr>
        <w:t>、施工机械尾气影响分析</w:t>
      </w:r>
      <w:bookmarkEnd w:id="489"/>
    </w:p>
    <w:p w:rsidR="00117C3D" w:rsidRPr="00D630D1" w:rsidRDefault="008B5B84">
      <w:pPr>
        <w:pStyle w:val="a1"/>
        <w:ind w:firstLine="480"/>
        <w:rPr>
          <w:rFonts w:ascii="Times New Roman" w:cs="Times New Roman"/>
        </w:rPr>
      </w:pPr>
      <w:r w:rsidRPr="00D630D1">
        <w:rPr>
          <w:rFonts w:ascii="Times New Roman" w:cs="Times New Roman"/>
        </w:rPr>
        <w:t>施工期间，运输汽车、柴油机施工中，由于使用柴油机等设备，将产生燃烧烟气，主要污染物为</w:t>
      </w:r>
      <w:r w:rsidRPr="00D630D1">
        <w:rPr>
          <w:rFonts w:ascii="Times New Roman" w:cs="Times New Roman"/>
        </w:rPr>
        <w:t>SO</w:t>
      </w:r>
      <w:r w:rsidRPr="00D630D1">
        <w:rPr>
          <w:rFonts w:ascii="Times New Roman" w:cs="Times New Roman"/>
          <w:sz w:val="16"/>
          <w:szCs w:val="16"/>
        </w:rPr>
        <w:t>2</w:t>
      </w:r>
      <w:r w:rsidRPr="00D630D1">
        <w:rPr>
          <w:rFonts w:ascii="Times New Roman" w:cs="Times New Roman"/>
        </w:rPr>
        <w:t>、</w:t>
      </w:r>
      <w:r w:rsidRPr="00D630D1">
        <w:rPr>
          <w:rFonts w:ascii="Times New Roman" w:cs="Times New Roman"/>
        </w:rPr>
        <w:t>NO</w:t>
      </w:r>
      <w:r w:rsidRPr="00D630D1">
        <w:rPr>
          <w:rFonts w:ascii="Times New Roman" w:cs="Times New Roman"/>
          <w:sz w:val="16"/>
          <w:szCs w:val="16"/>
        </w:rPr>
        <w:t>2</w:t>
      </w:r>
      <w:r w:rsidRPr="00D630D1">
        <w:rPr>
          <w:rFonts w:ascii="Times New Roman" w:cs="Times New Roman"/>
        </w:rPr>
        <w:t>、</w:t>
      </w:r>
      <w:r w:rsidRPr="00D630D1">
        <w:rPr>
          <w:rFonts w:ascii="Times New Roman" w:cs="Times New Roman"/>
        </w:rPr>
        <w:t>C</w:t>
      </w:r>
      <w:r w:rsidRPr="00D630D1">
        <w:rPr>
          <w:rFonts w:ascii="Times New Roman" w:cs="Times New Roman"/>
          <w:sz w:val="16"/>
          <w:szCs w:val="16"/>
        </w:rPr>
        <w:t>m</w:t>
      </w:r>
      <w:r w:rsidRPr="00D630D1">
        <w:rPr>
          <w:rFonts w:ascii="Times New Roman" w:cs="Times New Roman"/>
        </w:rPr>
        <w:t>H</w:t>
      </w:r>
      <w:r w:rsidRPr="00D630D1">
        <w:rPr>
          <w:rFonts w:ascii="Times New Roman" w:cs="Times New Roman"/>
          <w:sz w:val="16"/>
          <w:szCs w:val="16"/>
        </w:rPr>
        <w:t>n</w:t>
      </w:r>
      <w:r w:rsidRPr="00D630D1">
        <w:rPr>
          <w:rFonts w:ascii="Times New Roman" w:cs="Times New Roman"/>
        </w:rPr>
        <w:t>等。但由于废气量较小且施工现场均在野外，有利于空气的扩散。同时施工过程中应加强大型施工机械和车辆管理，工程承包商的机械设备应配备相应的消烟除尘设备。考虑到管线走向基本沿公路并行敷设，两者相距较近，因此，本项目运输车辆较公路上其它车辆的车流量要低的多，因此对大气环境的影响可忽略。此外，施工机械排放燃烧烟气具有排放量小、间歇性、短期性和流动性的特点，该类污染源对大气环境的影响较轻。</w:t>
      </w:r>
    </w:p>
    <w:p w:rsidR="00A5360A" w:rsidRPr="00D630D1" w:rsidRDefault="00A5360A">
      <w:pPr>
        <w:pStyle w:val="a1"/>
        <w:ind w:firstLine="482"/>
        <w:rPr>
          <w:rFonts w:ascii="Times New Roman" w:cs="Times New Roman"/>
          <w:b/>
          <w:bCs/>
        </w:rPr>
      </w:pPr>
      <w:r w:rsidRPr="00D630D1">
        <w:rPr>
          <w:rFonts w:ascii="Times New Roman" w:cs="Times New Roman"/>
          <w:b/>
          <w:bCs/>
        </w:rPr>
        <w:t>3</w:t>
      </w:r>
      <w:r w:rsidRPr="00D630D1">
        <w:rPr>
          <w:rFonts w:ascii="Times New Roman" w:cs="Times New Roman"/>
          <w:b/>
          <w:bCs/>
        </w:rPr>
        <w:t>、施工焊接烟尘影响分析</w:t>
      </w:r>
    </w:p>
    <w:p w:rsidR="00A5360A" w:rsidRPr="00D630D1" w:rsidRDefault="00A5360A">
      <w:pPr>
        <w:pStyle w:val="a1"/>
        <w:ind w:firstLine="480"/>
        <w:rPr>
          <w:rFonts w:ascii="Times New Roman" w:cs="Times New Roman"/>
        </w:rPr>
      </w:pPr>
      <w:r w:rsidRPr="00D630D1">
        <w:rPr>
          <w:rFonts w:ascii="Times New Roman" w:cs="Times New Roman"/>
        </w:rPr>
        <w:t>本工程产生的焊接烟尘废气量较小，且施工场地分散，废气污染源具有排放量小、间断分散的特点，该类污染源对大气环境的影响较小。</w:t>
      </w:r>
    </w:p>
    <w:p w:rsidR="00117C3D" w:rsidRPr="00D630D1" w:rsidRDefault="008B5B84" w:rsidP="00A5360A">
      <w:pPr>
        <w:pStyle w:val="afa"/>
        <w:ind w:firstLine="480"/>
      </w:pPr>
      <w:r w:rsidRPr="00D630D1">
        <w:t>综上，项目施工期将会对施工场地周围的环境空气质量造成一定影响，但这些影响随着施工期的结束也会结束。因此，项目施工期不会造成项目所在地环境空气质量明显恶化。</w:t>
      </w:r>
    </w:p>
    <w:p w:rsidR="003655DE" w:rsidRPr="00D630D1" w:rsidRDefault="003655DE" w:rsidP="003655DE">
      <w:pPr>
        <w:pStyle w:val="a1"/>
        <w:ind w:firstLine="482"/>
        <w:rPr>
          <w:rFonts w:ascii="Times New Roman" w:cs="Times New Roman"/>
          <w:b/>
          <w:bCs/>
        </w:rPr>
      </w:pPr>
      <w:r w:rsidRPr="00D630D1">
        <w:rPr>
          <w:rFonts w:ascii="Times New Roman" w:cs="Times New Roman" w:hint="eastAsia"/>
          <w:b/>
          <w:bCs/>
        </w:rPr>
        <w:t>4</w:t>
      </w:r>
      <w:r w:rsidRPr="00D630D1">
        <w:rPr>
          <w:rFonts w:ascii="Times New Roman" w:cs="Times New Roman"/>
          <w:b/>
          <w:bCs/>
        </w:rPr>
        <w:t>、</w:t>
      </w:r>
      <w:r w:rsidR="0018209F" w:rsidRPr="00D630D1">
        <w:rPr>
          <w:rFonts w:ascii="Times New Roman" w:cs="Times New Roman" w:hint="eastAsia"/>
          <w:b/>
          <w:bCs/>
        </w:rPr>
        <w:t>气体钻（空气或氮气）的粉尘</w:t>
      </w:r>
      <w:r w:rsidRPr="00D630D1">
        <w:rPr>
          <w:rFonts w:ascii="Times New Roman" w:cs="Times New Roman"/>
          <w:b/>
          <w:bCs/>
        </w:rPr>
        <w:t>影响分析</w:t>
      </w:r>
    </w:p>
    <w:p w:rsidR="003655DE" w:rsidRPr="00D630D1" w:rsidRDefault="003655DE" w:rsidP="003655DE">
      <w:pPr>
        <w:pStyle w:val="afa"/>
        <w:ind w:firstLine="480"/>
        <w:rPr>
          <w:bCs/>
        </w:rPr>
      </w:pPr>
      <w:r w:rsidRPr="00D630D1">
        <w:t>本工程</w:t>
      </w:r>
      <w:r w:rsidR="0018209F" w:rsidRPr="00D630D1">
        <w:rPr>
          <w:bCs/>
        </w:rPr>
        <w:t>使用气体钻时会返出一定量的粉尘，从而导致周围空气粉尘</w:t>
      </w:r>
      <w:r w:rsidR="0018209F" w:rsidRPr="00D630D1">
        <w:rPr>
          <w:rFonts w:hint="eastAsia"/>
          <w:bCs/>
        </w:rPr>
        <w:t>量</w:t>
      </w:r>
      <w:r w:rsidR="0018209F" w:rsidRPr="00D630D1">
        <w:rPr>
          <w:bCs/>
        </w:rPr>
        <w:t>增加。本项目在气体钻的排</w:t>
      </w:r>
      <w:r w:rsidR="0018209F" w:rsidRPr="00D630D1">
        <w:rPr>
          <w:rFonts w:hint="eastAsia"/>
          <w:bCs/>
        </w:rPr>
        <w:t>屑</w:t>
      </w:r>
      <w:r w:rsidR="0018209F" w:rsidRPr="00D630D1">
        <w:rPr>
          <w:bCs/>
        </w:rPr>
        <w:t>管</w:t>
      </w:r>
      <w:r w:rsidR="0018209F" w:rsidRPr="00D630D1">
        <w:rPr>
          <w:rFonts w:hint="eastAsia"/>
          <w:bCs/>
        </w:rPr>
        <w:t>处</w:t>
      </w:r>
      <w:r w:rsidR="0018209F" w:rsidRPr="00D630D1">
        <w:rPr>
          <w:bCs/>
        </w:rPr>
        <w:t>喷淋降尘</w:t>
      </w:r>
      <w:r w:rsidR="0018209F" w:rsidRPr="00D630D1">
        <w:rPr>
          <w:rFonts w:hint="eastAsia"/>
          <w:bCs/>
        </w:rPr>
        <w:t>，</w:t>
      </w:r>
      <w:r w:rsidR="0018209F" w:rsidRPr="00D630D1">
        <w:rPr>
          <w:bCs/>
        </w:rPr>
        <w:t>同时产生的污水及泥</w:t>
      </w:r>
      <w:r w:rsidR="0018209F" w:rsidRPr="00D630D1">
        <w:rPr>
          <w:rFonts w:hint="eastAsia"/>
          <w:bCs/>
        </w:rPr>
        <w:t>砂</w:t>
      </w:r>
      <w:r w:rsidR="0018209F" w:rsidRPr="00D630D1">
        <w:rPr>
          <w:bCs/>
        </w:rPr>
        <w:t>进入</w:t>
      </w:r>
      <w:r w:rsidR="00DB6EC5" w:rsidRPr="00D630D1">
        <w:rPr>
          <w:rFonts w:hint="eastAsia"/>
          <w:bCs/>
        </w:rPr>
        <w:t>清洁化操作平</w:t>
      </w:r>
      <w:r w:rsidR="00DB6EC5" w:rsidRPr="00D630D1">
        <w:rPr>
          <w:rFonts w:hint="eastAsia"/>
          <w:bCs/>
        </w:rPr>
        <w:lastRenderedPageBreak/>
        <w:t>台处理</w:t>
      </w:r>
      <w:r w:rsidR="0018209F" w:rsidRPr="00D630D1">
        <w:rPr>
          <w:bCs/>
        </w:rPr>
        <w:t>。</w:t>
      </w:r>
      <w:r w:rsidR="0018209F" w:rsidRPr="00D630D1">
        <w:rPr>
          <w:rFonts w:hint="eastAsia"/>
          <w:bCs/>
        </w:rPr>
        <w:t>由于</w:t>
      </w:r>
      <w:r w:rsidR="0018209F" w:rsidRPr="00D630D1">
        <w:rPr>
          <w:bCs/>
        </w:rPr>
        <w:t>产生的粉尘量小，</w:t>
      </w:r>
      <w:r w:rsidR="0018209F" w:rsidRPr="00D630D1">
        <w:rPr>
          <w:rFonts w:hint="eastAsia"/>
          <w:bCs/>
        </w:rPr>
        <w:t>因此</w:t>
      </w:r>
      <w:r w:rsidR="0018209F" w:rsidRPr="00D630D1">
        <w:rPr>
          <w:bCs/>
        </w:rPr>
        <w:t>对周围环境影响较小</w:t>
      </w:r>
      <w:r w:rsidR="0018209F" w:rsidRPr="00D630D1">
        <w:rPr>
          <w:rFonts w:hint="eastAsia"/>
          <w:bCs/>
        </w:rPr>
        <w:t>。</w:t>
      </w:r>
    </w:p>
    <w:p w:rsidR="0018209F" w:rsidRPr="00D630D1" w:rsidRDefault="0018209F" w:rsidP="0018209F">
      <w:pPr>
        <w:pStyle w:val="a1"/>
        <w:ind w:firstLine="482"/>
        <w:rPr>
          <w:rFonts w:ascii="Times New Roman" w:cs="Times New Roman"/>
          <w:b/>
          <w:bCs/>
        </w:rPr>
      </w:pPr>
      <w:r w:rsidRPr="00D630D1">
        <w:rPr>
          <w:rFonts w:ascii="Times New Roman" w:cs="Times New Roman" w:hint="eastAsia"/>
          <w:b/>
          <w:bCs/>
        </w:rPr>
        <w:t>5</w:t>
      </w:r>
      <w:r w:rsidRPr="00D630D1">
        <w:rPr>
          <w:rFonts w:ascii="Times New Roman" w:cs="Times New Roman"/>
          <w:b/>
          <w:bCs/>
        </w:rPr>
        <w:t>、</w:t>
      </w:r>
      <w:r w:rsidRPr="00D630D1">
        <w:rPr>
          <w:rFonts w:ascii="Times New Roman" w:cs="Times New Roman" w:hint="eastAsia"/>
          <w:b/>
          <w:bCs/>
        </w:rPr>
        <w:t>测试放喷废气</w:t>
      </w:r>
      <w:r w:rsidRPr="00D630D1">
        <w:rPr>
          <w:rFonts w:ascii="Times New Roman" w:cs="Times New Roman"/>
          <w:b/>
          <w:bCs/>
        </w:rPr>
        <w:t>影响分析</w:t>
      </w:r>
    </w:p>
    <w:p w:rsidR="00917583" w:rsidRDefault="0018209F" w:rsidP="00917583">
      <w:pPr>
        <w:pStyle w:val="afa"/>
        <w:ind w:firstLine="480"/>
      </w:pPr>
      <w:r w:rsidRPr="00D630D1">
        <w:rPr>
          <w:rFonts w:hint="eastAsia"/>
        </w:rPr>
        <w:t>测试放喷的天然气经专用放喷管线引至放喷池后点火燃烧，单井测试放喷时间约</w:t>
      </w:r>
      <w:r w:rsidRPr="00D630D1">
        <w:t>1d</w:t>
      </w:r>
      <w:r w:rsidRPr="00D630D1">
        <w:rPr>
          <w:rFonts w:hint="eastAsia"/>
        </w:rPr>
        <w:t>～</w:t>
      </w:r>
      <w:r w:rsidRPr="00D630D1">
        <w:t>2d</w:t>
      </w:r>
      <w:r w:rsidRPr="00D630D1">
        <w:rPr>
          <w:rFonts w:hint="eastAsia"/>
        </w:rPr>
        <w:t>，依据测试气量，间歇放喷，每次持续放喷时间约</w:t>
      </w:r>
      <w:r w:rsidRPr="00D630D1">
        <w:t>4h</w:t>
      </w:r>
      <w:r w:rsidRPr="00D630D1">
        <w:rPr>
          <w:rFonts w:hint="eastAsia"/>
        </w:rPr>
        <w:t>～</w:t>
      </w:r>
      <w:r w:rsidRPr="00D630D1">
        <w:t>6h</w:t>
      </w:r>
      <w:r w:rsidRPr="00D630D1">
        <w:rPr>
          <w:rFonts w:hint="eastAsia"/>
        </w:rPr>
        <w:t>，废气排放属不连续排放。测试放喷的天然气经点火燃烧，其主要污染物为</w:t>
      </w:r>
      <w:r w:rsidR="00917583">
        <w:rPr>
          <w:rFonts w:hint="eastAsia"/>
        </w:rPr>
        <w:t>C</w:t>
      </w:r>
      <w:r w:rsidRPr="00D630D1">
        <w:t>O</w:t>
      </w:r>
      <w:r w:rsidRPr="00D630D1">
        <w:rPr>
          <w:vertAlign w:val="subscript"/>
        </w:rPr>
        <w:t>2</w:t>
      </w:r>
      <w:r w:rsidRPr="00D630D1">
        <w:rPr>
          <w:rFonts w:hint="eastAsia"/>
        </w:rPr>
        <w:t>。</w:t>
      </w:r>
      <w:r w:rsidR="00917583" w:rsidRPr="00D630D1">
        <w:rPr>
          <w:rFonts w:hint="eastAsia"/>
        </w:rPr>
        <w:t>测试放喷的天然气经专用放喷管线引至放喷池后点火燃烧，单井测试放喷时间约</w:t>
      </w:r>
      <w:r w:rsidR="00917583" w:rsidRPr="00D630D1">
        <w:t>1d</w:t>
      </w:r>
      <w:r w:rsidR="00917583" w:rsidRPr="00D630D1">
        <w:rPr>
          <w:rFonts w:hint="eastAsia"/>
        </w:rPr>
        <w:t>～</w:t>
      </w:r>
      <w:r w:rsidR="00917583" w:rsidRPr="00D630D1">
        <w:t>2d</w:t>
      </w:r>
      <w:r w:rsidR="00917583" w:rsidRPr="00D630D1">
        <w:rPr>
          <w:rFonts w:hint="eastAsia"/>
        </w:rPr>
        <w:t>，依据测试气量，间歇放喷，每次持续放喷时间约</w:t>
      </w:r>
      <w:r w:rsidR="00917583" w:rsidRPr="00D630D1">
        <w:t>4h</w:t>
      </w:r>
      <w:r w:rsidR="00917583" w:rsidRPr="00D630D1">
        <w:rPr>
          <w:rFonts w:hint="eastAsia"/>
        </w:rPr>
        <w:t>～</w:t>
      </w:r>
      <w:r w:rsidR="00917583" w:rsidRPr="00D630D1">
        <w:t>6h</w:t>
      </w:r>
      <w:r w:rsidR="00917583" w:rsidRPr="00D630D1">
        <w:rPr>
          <w:rFonts w:hint="eastAsia"/>
        </w:rPr>
        <w:t>，废气排放属不连续排放。测试放喷的天然气经点火燃烧，其主要污染物为</w:t>
      </w:r>
      <w:r w:rsidR="00917583">
        <w:rPr>
          <w:rFonts w:hint="eastAsia"/>
        </w:rPr>
        <w:t>C</w:t>
      </w:r>
      <w:r w:rsidR="00917583" w:rsidRPr="00D630D1">
        <w:t>O</w:t>
      </w:r>
      <w:r w:rsidR="00917583" w:rsidRPr="00D630D1">
        <w:rPr>
          <w:vertAlign w:val="subscript"/>
        </w:rPr>
        <w:t>2</w:t>
      </w:r>
      <w:r w:rsidR="00917583" w:rsidRPr="00D630D1">
        <w:rPr>
          <w:rFonts w:hint="eastAsia"/>
        </w:rPr>
        <w:t>。根据企业提供的资料，预计本项目</w:t>
      </w:r>
      <w:r w:rsidR="00917583">
        <w:rPr>
          <w:rFonts w:hint="eastAsia"/>
        </w:rPr>
        <w:t>单井</w:t>
      </w:r>
      <w:r w:rsidR="00917583" w:rsidRPr="00D630D1">
        <w:rPr>
          <w:rFonts w:hint="eastAsia"/>
        </w:rPr>
        <w:t>可能放喷的最大天然气流量为</w:t>
      </w:r>
      <w:r w:rsidR="00917583">
        <w:rPr>
          <w:rFonts w:hint="eastAsia"/>
          <w:bCs/>
        </w:rPr>
        <w:t>30</w:t>
      </w:r>
      <w:r w:rsidR="00917583" w:rsidRPr="00D630D1">
        <w:rPr>
          <w:bCs/>
        </w:rPr>
        <w:t>×10</w:t>
      </w:r>
      <w:r w:rsidR="00917583" w:rsidRPr="00D630D1">
        <w:rPr>
          <w:bCs/>
          <w:vertAlign w:val="superscript"/>
        </w:rPr>
        <w:t>4</w:t>
      </w:r>
      <w:r w:rsidR="00917583" w:rsidRPr="00D630D1">
        <w:rPr>
          <w:bCs/>
        </w:rPr>
        <w:t>m</w:t>
      </w:r>
      <w:r w:rsidR="00917583" w:rsidRPr="00D630D1">
        <w:rPr>
          <w:bCs/>
          <w:vertAlign w:val="superscript"/>
        </w:rPr>
        <w:t>3</w:t>
      </w:r>
      <w:r w:rsidR="00917583" w:rsidRPr="00D630D1">
        <w:rPr>
          <w:bCs/>
        </w:rPr>
        <w:t>/d</w:t>
      </w:r>
      <w:r w:rsidR="00917583">
        <w:rPr>
          <w:rFonts w:hint="eastAsia"/>
        </w:rPr>
        <w:t>，</w:t>
      </w:r>
      <w:r w:rsidR="00917583" w:rsidRPr="00D630D1">
        <w:rPr>
          <w:rFonts w:hint="eastAsia"/>
        </w:rPr>
        <w:t>天然气经放喷管线外输至放喷池点燃</w:t>
      </w:r>
      <w:r w:rsidR="00917583">
        <w:rPr>
          <w:rFonts w:hint="eastAsia"/>
        </w:rPr>
        <w:t>。</w:t>
      </w:r>
      <w:r w:rsidR="00917583" w:rsidRPr="00D630D1">
        <w:rPr>
          <w:rFonts w:hint="eastAsia"/>
          <w:bCs/>
        </w:rPr>
        <w:t>本项目测试放喷废气</w:t>
      </w:r>
      <w:r w:rsidR="00917583" w:rsidRPr="00D630D1">
        <w:rPr>
          <w:bCs/>
        </w:rPr>
        <w:t>排放满足《大气污染物综合排放标准》（</w:t>
      </w:r>
      <w:r w:rsidR="00917583" w:rsidRPr="00D630D1">
        <w:rPr>
          <w:bCs/>
        </w:rPr>
        <w:t>GB16297-1996</w:t>
      </w:r>
      <w:r w:rsidR="00917583" w:rsidRPr="00D630D1">
        <w:rPr>
          <w:bCs/>
        </w:rPr>
        <w:t>），</w:t>
      </w:r>
      <w:r w:rsidR="00917583" w:rsidRPr="00D630D1">
        <w:rPr>
          <w:rFonts w:hint="eastAsia"/>
          <w:bCs/>
        </w:rPr>
        <w:t>能够</w:t>
      </w:r>
      <w:r w:rsidR="00917583" w:rsidRPr="00D630D1">
        <w:rPr>
          <w:bCs/>
        </w:rPr>
        <w:t>实现达标排放</w:t>
      </w:r>
      <w:r w:rsidR="00917583" w:rsidRPr="00D630D1">
        <w:rPr>
          <w:rFonts w:hint="eastAsia"/>
          <w:bCs/>
        </w:rPr>
        <w:t>，说明本项目的建设对评价区域大气环境影响较小，环境可接受。</w:t>
      </w:r>
    </w:p>
    <w:p w:rsidR="0018209F" w:rsidRDefault="0018209F" w:rsidP="0018209F">
      <w:pPr>
        <w:pStyle w:val="afa"/>
        <w:ind w:firstLine="480"/>
        <w:rPr>
          <w:bCs/>
        </w:rPr>
      </w:pPr>
      <w:r w:rsidRPr="00D630D1">
        <w:rPr>
          <w:rFonts w:hint="eastAsia"/>
          <w:bCs/>
        </w:rPr>
        <w:t>本项目测试放喷通过专用的放喷管线将天然气引至放喷池进行点火燃烧，放喷池周围设置</w:t>
      </w:r>
      <w:r w:rsidRPr="00D630D1">
        <w:rPr>
          <w:bCs/>
        </w:rPr>
        <w:t>3</w:t>
      </w:r>
      <w:r w:rsidRPr="00D630D1">
        <w:rPr>
          <w:bCs/>
        </w:rPr>
        <w:t>面挡墙，高度</w:t>
      </w:r>
      <w:r w:rsidRPr="00D630D1">
        <w:rPr>
          <w:bCs/>
        </w:rPr>
        <w:t>3.5m</w:t>
      </w:r>
      <w:r w:rsidRPr="00D630D1">
        <w:rPr>
          <w:rFonts w:hint="eastAsia"/>
          <w:bCs/>
        </w:rPr>
        <w:t>，可有效减小热辐射对测试区周围植被的灼伤。放喷池周边植被主要为农作物及少量的杂草，均为常见植被，周围地势空旷便于燃烧热值扩散，一般</w:t>
      </w:r>
      <w:r w:rsidRPr="00D630D1">
        <w:rPr>
          <w:bCs/>
        </w:rPr>
        <w:t>情况下，放喷对植被的影响可自行恢复</w:t>
      </w:r>
      <w:r w:rsidRPr="00D630D1">
        <w:rPr>
          <w:rFonts w:hint="eastAsia"/>
          <w:bCs/>
        </w:rPr>
        <w:t>。测试放喷对放喷口周围植被产生的灼烧影响是暂时的，可逆的，测试完后一定时间内可恢复。并且在放喷测试前已对放喷池周围植被进行清理，因此测试放喷热污染不会影响到清理范围外的植被。</w:t>
      </w:r>
    </w:p>
    <w:p w:rsidR="00917583" w:rsidRDefault="00917583" w:rsidP="00917583">
      <w:pPr>
        <w:pStyle w:val="afa"/>
        <w:ind w:firstLine="480"/>
      </w:pPr>
      <w:r>
        <w:rPr>
          <w:rFonts w:hint="eastAsia"/>
        </w:rPr>
        <w:t>本项目在放喷前，建设单位会对距离井口</w:t>
      </w:r>
      <w:r>
        <w:rPr>
          <w:rFonts w:hint="eastAsia"/>
        </w:rPr>
        <w:t>500m</w:t>
      </w:r>
      <w:r>
        <w:rPr>
          <w:rFonts w:hint="eastAsia"/>
        </w:rPr>
        <w:t>范围内的居民临时撤离，并建立警戒点进行</w:t>
      </w:r>
      <w:r>
        <w:rPr>
          <w:rFonts w:hint="eastAsia"/>
        </w:rPr>
        <w:t>24</w:t>
      </w:r>
      <w:r>
        <w:rPr>
          <w:rFonts w:hint="eastAsia"/>
        </w:rPr>
        <w:t>小时警戒，严禁居民靠近，以减轻放喷废气对这些居民的影响。同时由于测试放喷属短期排放，不会形成长期环境影响，短期影响也可控制在周边居民健康安全限值以下，污染物排放随测试放喷的结束而停止，不会长期存在，不会影响区域环境空气功能区划。</w:t>
      </w:r>
    </w:p>
    <w:p w:rsidR="0018209F" w:rsidRPr="00D630D1" w:rsidRDefault="0018209F" w:rsidP="0018209F">
      <w:pPr>
        <w:pStyle w:val="afa"/>
        <w:ind w:firstLine="480"/>
      </w:pPr>
      <w:r w:rsidRPr="00D630D1">
        <w:rPr>
          <w:bCs/>
        </w:rPr>
        <w:t>本项目测试放喷</w:t>
      </w:r>
      <w:r w:rsidRPr="00D630D1">
        <w:rPr>
          <w:rFonts w:hint="eastAsia"/>
          <w:bCs/>
        </w:rPr>
        <w:t>在昼间进行，且</w:t>
      </w:r>
      <w:r w:rsidRPr="00D630D1">
        <w:rPr>
          <w:bCs/>
        </w:rPr>
        <w:t>时间较短（类比同类钻井，一般测试时间为</w:t>
      </w:r>
      <w:r w:rsidRPr="00D630D1">
        <w:rPr>
          <w:bCs/>
        </w:rPr>
        <w:t>1d</w:t>
      </w:r>
      <w:r w:rsidRPr="00D630D1">
        <w:rPr>
          <w:rFonts w:hint="eastAsia"/>
          <w:bCs/>
        </w:rPr>
        <w:t>～</w:t>
      </w:r>
      <w:r w:rsidRPr="00D630D1">
        <w:rPr>
          <w:bCs/>
        </w:rPr>
        <w:t>2d</w:t>
      </w:r>
      <w:r w:rsidRPr="00D630D1">
        <w:rPr>
          <w:bCs/>
        </w:rPr>
        <w:t>，每次</w:t>
      </w:r>
      <w:r w:rsidRPr="00D630D1">
        <w:rPr>
          <w:bCs/>
        </w:rPr>
        <w:t>4h</w:t>
      </w:r>
      <w:r w:rsidRPr="00D630D1">
        <w:rPr>
          <w:rFonts w:hint="eastAsia"/>
          <w:bCs/>
        </w:rPr>
        <w:t>～</w:t>
      </w:r>
      <w:r w:rsidRPr="00D630D1">
        <w:rPr>
          <w:bCs/>
        </w:rPr>
        <w:t>6</w:t>
      </w:r>
      <w:r w:rsidRPr="00D630D1">
        <w:rPr>
          <w:rFonts w:hint="eastAsia"/>
          <w:bCs/>
        </w:rPr>
        <w:t>h</w:t>
      </w:r>
      <w:r w:rsidRPr="00D630D1">
        <w:rPr>
          <w:bCs/>
        </w:rPr>
        <w:t>），燃烧后主要污染物为</w:t>
      </w:r>
      <w:r w:rsidR="00917583">
        <w:rPr>
          <w:rFonts w:hint="eastAsia"/>
          <w:bCs/>
        </w:rPr>
        <w:t>C</w:t>
      </w:r>
      <w:r w:rsidRPr="00D630D1">
        <w:rPr>
          <w:bCs/>
        </w:rPr>
        <w:t>O</w:t>
      </w:r>
      <w:r w:rsidRPr="00D630D1">
        <w:rPr>
          <w:bCs/>
          <w:vertAlign w:val="subscript"/>
        </w:rPr>
        <w:t>2</w:t>
      </w:r>
      <w:r w:rsidRPr="00D630D1">
        <w:rPr>
          <w:bCs/>
        </w:rPr>
        <w:t>。</w:t>
      </w:r>
      <w:r w:rsidRPr="00D630D1">
        <w:rPr>
          <w:rFonts w:hint="eastAsia"/>
          <w:bCs/>
        </w:rPr>
        <w:t>测试放喷</w:t>
      </w:r>
      <w:r w:rsidRPr="00D630D1">
        <w:rPr>
          <w:bCs/>
        </w:rPr>
        <w:t>所产生的污染物产生量较小，并将随测试放喷的结束而消除，故对环境空气影响较小。</w:t>
      </w:r>
    </w:p>
    <w:p w:rsidR="00117C3D" w:rsidRPr="00D630D1" w:rsidRDefault="00084FA3">
      <w:pPr>
        <w:pStyle w:val="3"/>
        <w:rPr>
          <w:rFonts w:eastAsia="宋体"/>
        </w:rPr>
      </w:pPr>
      <w:bookmarkStart w:id="490" w:name="_Toc12288655"/>
      <w:bookmarkStart w:id="491" w:name="_Toc19816057"/>
      <w:bookmarkEnd w:id="486"/>
      <w:bookmarkEnd w:id="487"/>
      <w:r w:rsidRPr="00D630D1">
        <w:rPr>
          <w:rFonts w:eastAsia="宋体"/>
        </w:rPr>
        <w:t>6</w:t>
      </w:r>
      <w:r w:rsidR="008B5B84" w:rsidRPr="00D630D1">
        <w:rPr>
          <w:rFonts w:eastAsia="宋体"/>
        </w:rPr>
        <w:t>.</w:t>
      </w:r>
      <w:r w:rsidR="001F4A69" w:rsidRPr="00D630D1">
        <w:rPr>
          <w:rFonts w:eastAsia="宋体"/>
        </w:rPr>
        <w:t>1</w:t>
      </w:r>
      <w:r w:rsidR="008B5B84" w:rsidRPr="00D630D1">
        <w:rPr>
          <w:rFonts w:eastAsia="宋体"/>
        </w:rPr>
        <w:t>.</w:t>
      </w:r>
      <w:r w:rsidR="001F4A69" w:rsidRPr="00D630D1">
        <w:rPr>
          <w:rFonts w:eastAsia="宋体"/>
        </w:rPr>
        <w:t>5</w:t>
      </w:r>
      <w:r w:rsidR="008B5B84" w:rsidRPr="00D630D1">
        <w:rPr>
          <w:rFonts w:eastAsia="宋体"/>
        </w:rPr>
        <w:t xml:space="preserve"> </w:t>
      </w:r>
      <w:r w:rsidR="008B5B84" w:rsidRPr="00D630D1">
        <w:rPr>
          <w:rFonts w:eastAsia="宋体"/>
        </w:rPr>
        <w:t>施工期声环境影响预测</w:t>
      </w:r>
      <w:bookmarkEnd w:id="490"/>
      <w:bookmarkEnd w:id="491"/>
    </w:p>
    <w:p w:rsidR="0018209F" w:rsidRPr="00D630D1" w:rsidRDefault="0018209F" w:rsidP="00084FA3">
      <w:pPr>
        <w:pStyle w:val="afa"/>
        <w:ind w:firstLine="482"/>
        <w:rPr>
          <w:b/>
          <w:bCs/>
        </w:rPr>
      </w:pPr>
      <w:r w:rsidRPr="00D630D1">
        <w:rPr>
          <w:b/>
          <w:bCs/>
        </w:rPr>
        <w:t>6.1.5</w:t>
      </w:r>
      <w:r w:rsidRPr="00D630D1">
        <w:rPr>
          <w:rFonts w:hint="eastAsia"/>
          <w:b/>
          <w:bCs/>
        </w:rPr>
        <w:t>.1</w:t>
      </w:r>
      <w:r w:rsidRPr="00D630D1">
        <w:rPr>
          <w:rFonts w:hint="eastAsia"/>
          <w:b/>
          <w:bCs/>
        </w:rPr>
        <w:t>管道、站场施工</w:t>
      </w:r>
    </w:p>
    <w:p w:rsidR="00117C3D" w:rsidRPr="00D630D1" w:rsidRDefault="008B5B84" w:rsidP="00084FA3">
      <w:pPr>
        <w:pStyle w:val="afa"/>
        <w:ind w:firstLine="482"/>
        <w:rPr>
          <w:b/>
          <w:bCs/>
        </w:rPr>
      </w:pPr>
      <w:r w:rsidRPr="00D630D1">
        <w:rPr>
          <w:b/>
          <w:bCs/>
        </w:rPr>
        <w:lastRenderedPageBreak/>
        <w:t>1</w:t>
      </w:r>
      <w:r w:rsidRPr="00D630D1">
        <w:rPr>
          <w:b/>
          <w:bCs/>
        </w:rPr>
        <w:t>、施工噪声源</w:t>
      </w:r>
    </w:p>
    <w:p w:rsidR="00117C3D" w:rsidRPr="00D630D1" w:rsidRDefault="008B5B84" w:rsidP="00084FA3">
      <w:pPr>
        <w:pStyle w:val="afa"/>
        <w:ind w:firstLine="480"/>
      </w:pPr>
      <w:r w:rsidRPr="00D630D1">
        <w:t>本项目主要穿越丘陵</w:t>
      </w:r>
      <w:r w:rsidR="00562990" w:rsidRPr="00D630D1">
        <w:rPr>
          <w:rFonts w:hint="eastAsia"/>
        </w:rPr>
        <w:t>山</w:t>
      </w:r>
      <w:r w:rsidRPr="00D630D1">
        <w:t>区，经工程分析，施工对声环境的影响中主要是由施工机械和运输车辆造成。各施工区段内随着项目进展，将采用不同的机械设备施工，如在挖沟时采用挖掘机，布管时使用运输车辆，焊接时使用电焊机及发电机，管线入沟时采用吊管机，回填时使用推土机，这些施工均为白天作业，根据施工内容交替使用施工机械，并随施工位置变化移动。</w:t>
      </w:r>
    </w:p>
    <w:p w:rsidR="00117C3D" w:rsidRDefault="008B5B84" w:rsidP="00084FA3">
      <w:pPr>
        <w:pStyle w:val="afa"/>
        <w:ind w:firstLine="480"/>
      </w:pPr>
      <w:r w:rsidRPr="00D630D1">
        <w:t>根据类比调查和现场踏勘监测以及项目初步设计中提供的主要设备选型等有关资料分析，设备高达</w:t>
      </w:r>
      <w:r w:rsidRPr="00D630D1">
        <w:t>85dB</w:t>
      </w:r>
      <w:r w:rsidR="00084FA3" w:rsidRPr="00D630D1">
        <w:t>（</w:t>
      </w:r>
      <w:r w:rsidR="00084FA3" w:rsidRPr="00D630D1">
        <w:t>A</w:t>
      </w:r>
      <w:r w:rsidR="00084FA3" w:rsidRPr="00D630D1">
        <w:t>）</w:t>
      </w:r>
      <w:r w:rsidRPr="00D630D1">
        <w:t>以上的噪声源施工机械有：挖掘机、吊管机、电焊机、推土机、混凝土搅拌机、切割机、石料运输车等，具体见表</w:t>
      </w:r>
      <w:r w:rsidR="00084FA3" w:rsidRPr="00D630D1">
        <w:t>6</w:t>
      </w:r>
      <w:r w:rsidRPr="00D630D1">
        <w:t>.</w:t>
      </w:r>
      <w:r w:rsidR="0018209F" w:rsidRPr="00D630D1">
        <w:rPr>
          <w:rFonts w:hint="eastAsia"/>
        </w:rPr>
        <w:t>1</w:t>
      </w:r>
      <w:r w:rsidRPr="00D630D1">
        <w:t>-</w:t>
      </w:r>
      <w:r w:rsidR="00BE68D7" w:rsidRPr="00D630D1">
        <w:rPr>
          <w:rFonts w:hint="eastAsia"/>
        </w:rPr>
        <w:t>2</w:t>
      </w:r>
      <w:r w:rsidRPr="00D630D1">
        <w:t>。</w:t>
      </w:r>
    </w:p>
    <w:p w:rsidR="00117C3D" w:rsidRPr="00D630D1" w:rsidRDefault="008B5B84" w:rsidP="00084FA3">
      <w:pPr>
        <w:pStyle w:val="10"/>
        <w:rPr>
          <w:rFonts w:cs="Times New Roman"/>
        </w:rPr>
      </w:pPr>
      <w:r w:rsidRPr="00D630D1">
        <w:rPr>
          <w:rFonts w:cs="Times New Roman"/>
        </w:rPr>
        <w:t>表</w:t>
      </w:r>
      <w:r w:rsidR="00084FA3" w:rsidRPr="00D630D1">
        <w:rPr>
          <w:rFonts w:cs="Times New Roman"/>
        </w:rPr>
        <w:t>6</w:t>
      </w:r>
      <w:r w:rsidRPr="00D630D1">
        <w:rPr>
          <w:rFonts w:cs="Times New Roman"/>
        </w:rPr>
        <w:t>.</w:t>
      </w:r>
      <w:r w:rsidR="0018209F" w:rsidRPr="00D630D1">
        <w:rPr>
          <w:rFonts w:cs="Times New Roman" w:hint="eastAsia"/>
        </w:rPr>
        <w:t>1</w:t>
      </w:r>
      <w:r w:rsidRPr="00D630D1">
        <w:rPr>
          <w:rFonts w:cs="Times New Roman"/>
        </w:rPr>
        <w:t>-</w:t>
      </w:r>
      <w:r w:rsidR="00BE68D7" w:rsidRPr="00D630D1">
        <w:rPr>
          <w:rFonts w:cs="Times New Roman" w:hint="eastAsia"/>
        </w:rPr>
        <w:t>2</w:t>
      </w:r>
      <w:r w:rsidRPr="00D630D1">
        <w:rPr>
          <w:rFonts w:cs="Times New Roman"/>
        </w:rPr>
        <w:t xml:space="preserve"> </w:t>
      </w:r>
      <w:r w:rsidR="00084FA3" w:rsidRPr="00D630D1">
        <w:rPr>
          <w:rFonts w:cs="Times New Roman"/>
        </w:rPr>
        <w:t xml:space="preserve"> </w:t>
      </w:r>
      <w:r w:rsidRPr="00D630D1">
        <w:rPr>
          <w:rFonts w:cs="Times New Roman"/>
        </w:rPr>
        <w:t>主要施工机械噪声值</w:t>
      </w:r>
      <w:r w:rsidR="00084FA3" w:rsidRPr="00D630D1">
        <w:rPr>
          <w:rFonts w:cs="Times New Roman"/>
        </w:rPr>
        <w:t xml:space="preserve">   </w:t>
      </w:r>
      <w:r w:rsidRPr="00D630D1">
        <w:rPr>
          <w:rFonts w:cs="Times New Roman"/>
        </w:rPr>
        <w:t>单位：</w:t>
      </w:r>
      <w:r w:rsidRPr="00D630D1">
        <w:rPr>
          <w:rFonts w:cs="Times New Roman"/>
        </w:rPr>
        <w:t>dB</w:t>
      </w:r>
      <w:r w:rsidRPr="00D630D1">
        <w:rPr>
          <w:rFonts w:cs="Times New Roman"/>
        </w:rPr>
        <w:t>（</w:t>
      </w:r>
      <w:r w:rsidRPr="00D630D1">
        <w:rPr>
          <w:rFonts w:cs="Times New Roman"/>
        </w:rPr>
        <w:t>A</w:t>
      </w:r>
      <w:r w:rsidRPr="00D630D1">
        <w:rPr>
          <w:rFonts w:cs="Times New Roman"/>
        </w:rPr>
        <w:t>）</w:t>
      </w:r>
    </w:p>
    <w:tbl>
      <w:tblPr>
        <w:tblW w:w="5231" w:type="pct"/>
        <w:jc w:val="center"/>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tblPr>
      <w:tblGrid>
        <w:gridCol w:w="1166"/>
        <w:gridCol w:w="4333"/>
        <w:gridCol w:w="3191"/>
      </w:tblGrid>
      <w:tr w:rsidR="006854E2" w:rsidRPr="00D630D1" w:rsidTr="00562990">
        <w:trPr>
          <w:trHeight w:val="14"/>
          <w:jc w:val="center"/>
        </w:trPr>
        <w:tc>
          <w:tcPr>
            <w:tcW w:w="671" w:type="pct"/>
            <w:tcBorders>
              <w:top w:val="single" w:sz="12" w:space="0" w:color="000000"/>
              <w:left w:val="nil"/>
              <w:bottom w:val="single" w:sz="4" w:space="0" w:color="000000"/>
              <w:right w:val="single" w:sz="4" w:space="0" w:color="000000"/>
            </w:tcBorders>
            <w:vAlign w:val="center"/>
          </w:tcPr>
          <w:p w:rsidR="00117C3D" w:rsidRPr="00D630D1" w:rsidRDefault="008B5B84" w:rsidP="00084FA3">
            <w:pPr>
              <w:pStyle w:val="aff2"/>
              <w:rPr>
                <w:b/>
                <w:bCs/>
              </w:rPr>
            </w:pPr>
            <w:r w:rsidRPr="00D630D1">
              <w:rPr>
                <w:b/>
                <w:bCs/>
              </w:rPr>
              <w:t>序号</w:t>
            </w:r>
          </w:p>
        </w:tc>
        <w:tc>
          <w:tcPr>
            <w:tcW w:w="2493" w:type="pc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rsidP="00084FA3">
            <w:pPr>
              <w:pStyle w:val="aff2"/>
              <w:rPr>
                <w:b/>
                <w:bCs/>
              </w:rPr>
            </w:pPr>
            <w:r w:rsidRPr="00D630D1">
              <w:rPr>
                <w:b/>
                <w:bCs/>
              </w:rPr>
              <w:t>噪声源</w:t>
            </w:r>
          </w:p>
        </w:tc>
        <w:tc>
          <w:tcPr>
            <w:tcW w:w="1836" w:type="pct"/>
            <w:tcBorders>
              <w:top w:val="single" w:sz="12" w:space="0" w:color="000000"/>
              <w:left w:val="single" w:sz="4" w:space="0" w:color="000000"/>
              <w:bottom w:val="single" w:sz="4" w:space="0" w:color="000000"/>
              <w:right w:val="nil"/>
            </w:tcBorders>
            <w:vAlign w:val="center"/>
          </w:tcPr>
          <w:p w:rsidR="00117C3D" w:rsidRPr="00D630D1" w:rsidRDefault="008B5B84" w:rsidP="00084FA3">
            <w:pPr>
              <w:pStyle w:val="aff2"/>
              <w:rPr>
                <w:b/>
                <w:bCs/>
              </w:rPr>
            </w:pPr>
            <w:r w:rsidRPr="00D630D1">
              <w:rPr>
                <w:b/>
                <w:bCs/>
              </w:rPr>
              <w:t>噪声强度</w:t>
            </w:r>
          </w:p>
        </w:tc>
      </w:tr>
      <w:tr w:rsidR="006854E2" w:rsidRPr="00D630D1" w:rsidTr="00562990">
        <w:trPr>
          <w:trHeight w:val="14"/>
          <w:jc w:val="center"/>
        </w:trPr>
        <w:tc>
          <w:tcPr>
            <w:tcW w:w="671" w:type="pct"/>
            <w:tcBorders>
              <w:top w:val="single" w:sz="4" w:space="0" w:color="000000"/>
              <w:left w:val="nil"/>
              <w:bottom w:val="single" w:sz="4" w:space="0" w:color="000000"/>
              <w:right w:val="single" w:sz="4" w:space="0" w:color="000000"/>
            </w:tcBorders>
            <w:vAlign w:val="center"/>
          </w:tcPr>
          <w:p w:rsidR="00117C3D" w:rsidRPr="00D630D1" w:rsidRDefault="008B5B84" w:rsidP="00084FA3">
            <w:pPr>
              <w:pStyle w:val="aff2"/>
            </w:pPr>
            <w:r w:rsidRPr="00D630D1">
              <w:t>1</w:t>
            </w:r>
          </w:p>
        </w:tc>
        <w:tc>
          <w:tcPr>
            <w:tcW w:w="2493"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84FA3">
            <w:pPr>
              <w:pStyle w:val="aff2"/>
            </w:pPr>
            <w:r w:rsidRPr="00D630D1">
              <w:t>挖掘机</w:t>
            </w:r>
          </w:p>
        </w:tc>
        <w:tc>
          <w:tcPr>
            <w:tcW w:w="1836" w:type="pct"/>
            <w:tcBorders>
              <w:top w:val="single" w:sz="4" w:space="0" w:color="000000"/>
              <w:left w:val="single" w:sz="4" w:space="0" w:color="000000"/>
              <w:bottom w:val="single" w:sz="4" w:space="0" w:color="000000"/>
              <w:right w:val="nil"/>
            </w:tcBorders>
            <w:vAlign w:val="center"/>
          </w:tcPr>
          <w:p w:rsidR="00117C3D" w:rsidRPr="00D630D1" w:rsidRDefault="008B5B84" w:rsidP="00084FA3">
            <w:pPr>
              <w:pStyle w:val="aff2"/>
            </w:pPr>
            <w:r w:rsidRPr="00D630D1">
              <w:t>92</w:t>
            </w:r>
          </w:p>
        </w:tc>
      </w:tr>
      <w:tr w:rsidR="001F4A69" w:rsidRPr="00D630D1" w:rsidTr="00562990">
        <w:trPr>
          <w:trHeight w:val="14"/>
          <w:jc w:val="center"/>
        </w:trPr>
        <w:tc>
          <w:tcPr>
            <w:tcW w:w="671" w:type="pct"/>
            <w:tcBorders>
              <w:top w:val="single" w:sz="4" w:space="0" w:color="000000"/>
              <w:left w:val="nil"/>
              <w:bottom w:val="single" w:sz="4" w:space="0" w:color="000000"/>
              <w:right w:val="single" w:sz="4" w:space="0" w:color="000000"/>
            </w:tcBorders>
            <w:vAlign w:val="center"/>
          </w:tcPr>
          <w:p w:rsidR="00117C3D" w:rsidRPr="00D630D1" w:rsidRDefault="008B5B84" w:rsidP="00084FA3">
            <w:pPr>
              <w:pStyle w:val="aff2"/>
            </w:pPr>
            <w:r w:rsidRPr="00D630D1">
              <w:t>2</w:t>
            </w:r>
          </w:p>
        </w:tc>
        <w:tc>
          <w:tcPr>
            <w:tcW w:w="2493"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84FA3">
            <w:pPr>
              <w:pStyle w:val="aff2"/>
            </w:pPr>
            <w:r w:rsidRPr="00D630D1">
              <w:t>吊管机</w:t>
            </w:r>
          </w:p>
        </w:tc>
        <w:tc>
          <w:tcPr>
            <w:tcW w:w="1836" w:type="pct"/>
            <w:tcBorders>
              <w:top w:val="single" w:sz="4" w:space="0" w:color="000000"/>
              <w:left w:val="single" w:sz="4" w:space="0" w:color="000000"/>
              <w:bottom w:val="single" w:sz="4" w:space="0" w:color="000000"/>
              <w:right w:val="nil"/>
            </w:tcBorders>
            <w:vAlign w:val="center"/>
          </w:tcPr>
          <w:p w:rsidR="00117C3D" w:rsidRPr="00D630D1" w:rsidRDefault="008B5B84" w:rsidP="00084FA3">
            <w:pPr>
              <w:pStyle w:val="aff2"/>
            </w:pPr>
            <w:r w:rsidRPr="00D630D1">
              <w:t>88</w:t>
            </w:r>
          </w:p>
        </w:tc>
      </w:tr>
      <w:tr w:rsidR="001F4A69" w:rsidRPr="00D630D1" w:rsidTr="00562990">
        <w:trPr>
          <w:trHeight w:val="14"/>
          <w:jc w:val="center"/>
        </w:trPr>
        <w:tc>
          <w:tcPr>
            <w:tcW w:w="671" w:type="pct"/>
            <w:tcBorders>
              <w:top w:val="single" w:sz="4" w:space="0" w:color="000000"/>
              <w:left w:val="nil"/>
              <w:bottom w:val="single" w:sz="4" w:space="0" w:color="000000"/>
              <w:right w:val="single" w:sz="4" w:space="0" w:color="000000"/>
            </w:tcBorders>
            <w:vAlign w:val="center"/>
          </w:tcPr>
          <w:p w:rsidR="00117C3D" w:rsidRPr="00D630D1" w:rsidRDefault="008B5B84" w:rsidP="00084FA3">
            <w:pPr>
              <w:pStyle w:val="aff2"/>
            </w:pPr>
            <w:r w:rsidRPr="00D630D1">
              <w:t>3</w:t>
            </w:r>
          </w:p>
        </w:tc>
        <w:tc>
          <w:tcPr>
            <w:tcW w:w="2493"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84FA3">
            <w:pPr>
              <w:pStyle w:val="aff2"/>
            </w:pPr>
            <w:r w:rsidRPr="00D630D1">
              <w:t>电焊机</w:t>
            </w:r>
          </w:p>
        </w:tc>
        <w:tc>
          <w:tcPr>
            <w:tcW w:w="1836" w:type="pct"/>
            <w:tcBorders>
              <w:top w:val="single" w:sz="4" w:space="0" w:color="000000"/>
              <w:left w:val="single" w:sz="4" w:space="0" w:color="000000"/>
              <w:bottom w:val="single" w:sz="4" w:space="0" w:color="000000"/>
              <w:right w:val="nil"/>
            </w:tcBorders>
            <w:vAlign w:val="center"/>
          </w:tcPr>
          <w:p w:rsidR="00117C3D" w:rsidRPr="00D630D1" w:rsidRDefault="008B5B84" w:rsidP="00084FA3">
            <w:pPr>
              <w:pStyle w:val="aff2"/>
            </w:pPr>
            <w:r w:rsidRPr="00D630D1">
              <w:t>85</w:t>
            </w:r>
          </w:p>
        </w:tc>
      </w:tr>
      <w:tr w:rsidR="001F4A69" w:rsidRPr="00D630D1" w:rsidTr="00562990">
        <w:trPr>
          <w:trHeight w:val="14"/>
          <w:jc w:val="center"/>
        </w:trPr>
        <w:tc>
          <w:tcPr>
            <w:tcW w:w="671" w:type="pct"/>
            <w:tcBorders>
              <w:top w:val="single" w:sz="4" w:space="0" w:color="000000"/>
              <w:left w:val="nil"/>
              <w:bottom w:val="single" w:sz="4" w:space="0" w:color="000000"/>
              <w:right w:val="single" w:sz="4" w:space="0" w:color="000000"/>
            </w:tcBorders>
            <w:vAlign w:val="center"/>
          </w:tcPr>
          <w:p w:rsidR="00117C3D" w:rsidRPr="00D630D1" w:rsidRDefault="008B5B84" w:rsidP="00084FA3">
            <w:pPr>
              <w:pStyle w:val="aff2"/>
            </w:pPr>
            <w:r w:rsidRPr="00D630D1">
              <w:t>4</w:t>
            </w:r>
          </w:p>
        </w:tc>
        <w:tc>
          <w:tcPr>
            <w:tcW w:w="2493"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84FA3">
            <w:pPr>
              <w:pStyle w:val="aff2"/>
            </w:pPr>
            <w:r w:rsidRPr="00D630D1">
              <w:t>推土机</w:t>
            </w:r>
          </w:p>
        </w:tc>
        <w:tc>
          <w:tcPr>
            <w:tcW w:w="1836" w:type="pct"/>
            <w:tcBorders>
              <w:top w:val="single" w:sz="4" w:space="0" w:color="000000"/>
              <w:left w:val="single" w:sz="4" w:space="0" w:color="000000"/>
              <w:bottom w:val="single" w:sz="4" w:space="0" w:color="000000"/>
              <w:right w:val="nil"/>
            </w:tcBorders>
            <w:vAlign w:val="center"/>
          </w:tcPr>
          <w:p w:rsidR="00117C3D" w:rsidRPr="00D630D1" w:rsidRDefault="008B5B84" w:rsidP="00084FA3">
            <w:pPr>
              <w:pStyle w:val="aff2"/>
            </w:pPr>
            <w:r w:rsidRPr="00D630D1">
              <w:t>90</w:t>
            </w:r>
          </w:p>
        </w:tc>
      </w:tr>
      <w:tr w:rsidR="001F4A69" w:rsidRPr="00D630D1" w:rsidTr="00562990">
        <w:trPr>
          <w:trHeight w:val="14"/>
          <w:jc w:val="center"/>
        </w:trPr>
        <w:tc>
          <w:tcPr>
            <w:tcW w:w="671" w:type="pct"/>
            <w:tcBorders>
              <w:top w:val="single" w:sz="4" w:space="0" w:color="000000"/>
              <w:left w:val="nil"/>
              <w:bottom w:val="single" w:sz="4" w:space="0" w:color="000000"/>
              <w:right w:val="single" w:sz="4" w:space="0" w:color="000000"/>
            </w:tcBorders>
            <w:vAlign w:val="center"/>
          </w:tcPr>
          <w:p w:rsidR="00117C3D" w:rsidRPr="00D630D1" w:rsidRDefault="008B5B84" w:rsidP="00084FA3">
            <w:pPr>
              <w:pStyle w:val="aff2"/>
            </w:pPr>
            <w:r w:rsidRPr="00D630D1">
              <w:t>5</w:t>
            </w:r>
          </w:p>
        </w:tc>
        <w:tc>
          <w:tcPr>
            <w:tcW w:w="2493"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84FA3">
            <w:pPr>
              <w:pStyle w:val="aff2"/>
            </w:pPr>
            <w:r w:rsidRPr="00D630D1">
              <w:t>混凝土搅拌机</w:t>
            </w:r>
          </w:p>
        </w:tc>
        <w:tc>
          <w:tcPr>
            <w:tcW w:w="1836" w:type="pct"/>
            <w:tcBorders>
              <w:top w:val="single" w:sz="4" w:space="0" w:color="000000"/>
              <w:left w:val="single" w:sz="4" w:space="0" w:color="000000"/>
              <w:bottom w:val="single" w:sz="4" w:space="0" w:color="000000"/>
              <w:right w:val="nil"/>
            </w:tcBorders>
            <w:vAlign w:val="center"/>
          </w:tcPr>
          <w:p w:rsidR="00117C3D" w:rsidRPr="00D630D1" w:rsidRDefault="008B5B84" w:rsidP="00084FA3">
            <w:pPr>
              <w:pStyle w:val="aff2"/>
            </w:pPr>
            <w:r w:rsidRPr="00D630D1">
              <w:t>95</w:t>
            </w:r>
          </w:p>
        </w:tc>
      </w:tr>
      <w:tr w:rsidR="001F4A69" w:rsidRPr="00D630D1" w:rsidTr="00562990">
        <w:trPr>
          <w:trHeight w:val="14"/>
          <w:jc w:val="center"/>
        </w:trPr>
        <w:tc>
          <w:tcPr>
            <w:tcW w:w="671" w:type="pct"/>
            <w:tcBorders>
              <w:top w:val="single" w:sz="4" w:space="0" w:color="000000"/>
              <w:left w:val="nil"/>
              <w:bottom w:val="single" w:sz="4" w:space="0" w:color="000000"/>
              <w:right w:val="single" w:sz="4" w:space="0" w:color="000000"/>
            </w:tcBorders>
            <w:vAlign w:val="center"/>
          </w:tcPr>
          <w:p w:rsidR="00117C3D" w:rsidRPr="00D630D1" w:rsidRDefault="008B5B84" w:rsidP="00084FA3">
            <w:pPr>
              <w:pStyle w:val="aff2"/>
            </w:pPr>
            <w:r w:rsidRPr="00D630D1">
              <w:t>6</w:t>
            </w:r>
          </w:p>
        </w:tc>
        <w:tc>
          <w:tcPr>
            <w:tcW w:w="2493"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84FA3">
            <w:pPr>
              <w:pStyle w:val="aff2"/>
            </w:pPr>
            <w:r w:rsidRPr="00D630D1">
              <w:t>定向钻机</w:t>
            </w:r>
          </w:p>
        </w:tc>
        <w:tc>
          <w:tcPr>
            <w:tcW w:w="1836" w:type="pct"/>
            <w:tcBorders>
              <w:top w:val="single" w:sz="4" w:space="0" w:color="000000"/>
              <w:left w:val="single" w:sz="4" w:space="0" w:color="000000"/>
              <w:bottom w:val="single" w:sz="4" w:space="0" w:color="000000"/>
              <w:right w:val="nil"/>
            </w:tcBorders>
            <w:vAlign w:val="center"/>
          </w:tcPr>
          <w:p w:rsidR="00117C3D" w:rsidRPr="00D630D1" w:rsidRDefault="008B5B84" w:rsidP="00084FA3">
            <w:pPr>
              <w:pStyle w:val="aff2"/>
            </w:pPr>
            <w:r w:rsidRPr="00D630D1">
              <w:t>90</w:t>
            </w:r>
          </w:p>
        </w:tc>
      </w:tr>
      <w:tr w:rsidR="001F4A69" w:rsidRPr="00D630D1" w:rsidTr="00562990">
        <w:trPr>
          <w:trHeight w:val="14"/>
          <w:jc w:val="center"/>
        </w:trPr>
        <w:tc>
          <w:tcPr>
            <w:tcW w:w="671" w:type="pct"/>
            <w:tcBorders>
              <w:top w:val="single" w:sz="4" w:space="0" w:color="000000"/>
              <w:left w:val="nil"/>
              <w:bottom w:val="single" w:sz="4" w:space="0" w:color="000000"/>
              <w:right w:val="single" w:sz="4" w:space="0" w:color="000000"/>
            </w:tcBorders>
            <w:vAlign w:val="center"/>
          </w:tcPr>
          <w:p w:rsidR="00117C3D" w:rsidRPr="00D630D1" w:rsidRDefault="008B5B84" w:rsidP="00084FA3">
            <w:pPr>
              <w:pStyle w:val="aff2"/>
            </w:pPr>
            <w:r w:rsidRPr="00D630D1">
              <w:t>7</w:t>
            </w:r>
          </w:p>
        </w:tc>
        <w:tc>
          <w:tcPr>
            <w:tcW w:w="2493"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84FA3">
            <w:pPr>
              <w:pStyle w:val="aff2"/>
            </w:pPr>
            <w:r w:rsidRPr="00D630D1">
              <w:t>混凝土翻斗车</w:t>
            </w:r>
          </w:p>
        </w:tc>
        <w:tc>
          <w:tcPr>
            <w:tcW w:w="1836" w:type="pct"/>
            <w:tcBorders>
              <w:top w:val="single" w:sz="4" w:space="0" w:color="000000"/>
              <w:left w:val="single" w:sz="4" w:space="0" w:color="000000"/>
              <w:bottom w:val="single" w:sz="4" w:space="0" w:color="000000"/>
              <w:right w:val="nil"/>
            </w:tcBorders>
            <w:vAlign w:val="center"/>
          </w:tcPr>
          <w:p w:rsidR="00117C3D" w:rsidRPr="00D630D1" w:rsidRDefault="008B5B84" w:rsidP="00084FA3">
            <w:pPr>
              <w:pStyle w:val="aff2"/>
            </w:pPr>
            <w:r w:rsidRPr="00D630D1">
              <w:t>95</w:t>
            </w:r>
          </w:p>
        </w:tc>
      </w:tr>
      <w:tr w:rsidR="001F4A69" w:rsidRPr="00D630D1" w:rsidTr="00562990">
        <w:trPr>
          <w:trHeight w:val="14"/>
          <w:jc w:val="center"/>
        </w:trPr>
        <w:tc>
          <w:tcPr>
            <w:tcW w:w="671" w:type="pct"/>
            <w:tcBorders>
              <w:top w:val="single" w:sz="4" w:space="0" w:color="000000"/>
              <w:left w:val="nil"/>
              <w:bottom w:val="single" w:sz="4" w:space="0" w:color="000000"/>
              <w:right w:val="single" w:sz="4" w:space="0" w:color="000000"/>
            </w:tcBorders>
            <w:vAlign w:val="center"/>
          </w:tcPr>
          <w:p w:rsidR="00117C3D" w:rsidRPr="00D630D1" w:rsidRDefault="008B5B84" w:rsidP="00084FA3">
            <w:pPr>
              <w:pStyle w:val="aff2"/>
            </w:pPr>
            <w:r w:rsidRPr="00D630D1">
              <w:t>8</w:t>
            </w:r>
          </w:p>
        </w:tc>
        <w:tc>
          <w:tcPr>
            <w:tcW w:w="2493"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84FA3">
            <w:pPr>
              <w:pStyle w:val="aff2"/>
            </w:pPr>
            <w:r w:rsidRPr="00D630D1">
              <w:t>切割机</w:t>
            </w:r>
          </w:p>
        </w:tc>
        <w:tc>
          <w:tcPr>
            <w:tcW w:w="1836" w:type="pct"/>
            <w:tcBorders>
              <w:top w:val="single" w:sz="4" w:space="0" w:color="000000"/>
              <w:left w:val="single" w:sz="4" w:space="0" w:color="000000"/>
              <w:bottom w:val="single" w:sz="4" w:space="0" w:color="000000"/>
              <w:right w:val="nil"/>
            </w:tcBorders>
            <w:vAlign w:val="center"/>
          </w:tcPr>
          <w:p w:rsidR="00117C3D" w:rsidRPr="00D630D1" w:rsidRDefault="008B5B84" w:rsidP="00084FA3">
            <w:pPr>
              <w:pStyle w:val="aff2"/>
            </w:pPr>
            <w:r w:rsidRPr="00D630D1">
              <w:t>95</w:t>
            </w:r>
          </w:p>
        </w:tc>
      </w:tr>
      <w:tr w:rsidR="001F4A69" w:rsidRPr="00D630D1" w:rsidTr="00562990">
        <w:trPr>
          <w:trHeight w:val="14"/>
          <w:jc w:val="center"/>
        </w:trPr>
        <w:tc>
          <w:tcPr>
            <w:tcW w:w="671" w:type="pct"/>
            <w:tcBorders>
              <w:top w:val="single" w:sz="4" w:space="0" w:color="000000"/>
              <w:left w:val="nil"/>
              <w:bottom w:val="single" w:sz="4" w:space="0" w:color="000000"/>
              <w:right w:val="single" w:sz="4" w:space="0" w:color="000000"/>
            </w:tcBorders>
            <w:vAlign w:val="center"/>
          </w:tcPr>
          <w:p w:rsidR="00117C3D" w:rsidRPr="00D630D1" w:rsidRDefault="008B5B84" w:rsidP="00084FA3">
            <w:pPr>
              <w:pStyle w:val="aff2"/>
            </w:pPr>
            <w:r w:rsidRPr="00D630D1">
              <w:t>9</w:t>
            </w:r>
          </w:p>
        </w:tc>
        <w:tc>
          <w:tcPr>
            <w:tcW w:w="2493"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84FA3">
            <w:pPr>
              <w:pStyle w:val="aff2"/>
            </w:pPr>
            <w:r w:rsidRPr="00D630D1">
              <w:t>柴油发电机</w:t>
            </w:r>
          </w:p>
        </w:tc>
        <w:tc>
          <w:tcPr>
            <w:tcW w:w="1836" w:type="pct"/>
            <w:tcBorders>
              <w:top w:val="single" w:sz="4" w:space="0" w:color="000000"/>
              <w:left w:val="single" w:sz="4" w:space="0" w:color="000000"/>
              <w:bottom w:val="single" w:sz="4" w:space="0" w:color="000000"/>
              <w:right w:val="nil"/>
            </w:tcBorders>
            <w:vAlign w:val="center"/>
          </w:tcPr>
          <w:p w:rsidR="00117C3D" w:rsidRPr="00D630D1" w:rsidRDefault="008B5B84" w:rsidP="00084FA3">
            <w:pPr>
              <w:pStyle w:val="aff2"/>
            </w:pPr>
            <w:r w:rsidRPr="00D630D1">
              <w:t>100</w:t>
            </w:r>
          </w:p>
        </w:tc>
      </w:tr>
      <w:tr w:rsidR="001F4A69" w:rsidRPr="00D630D1" w:rsidTr="00562990">
        <w:trPr>
          <w:trHeight w:val="14"/>
          <w:jc w:val="center"/>
        </w:trPr>
        <w:tc>
          <w:tcPr>
            <w:tcW w:w="671" w:type="pct"/>
            <w:tcBorders>
              <w:top w:val="single" w:sz="4" w:space="0" w:color="000000"/>
              <w:left w:val="nil"/>
              <w:bottom w:val="single" w:sz="12" w:space="0" w:color="000000"/>
              <w:right w:val="single" w:sz="4" w:space="0" w:color="000000"/>
            </w:tcBorders>
            <w:vAlign w:val="center"/>
          </w:tcPr>
          <w:p w:rsidR="00117C3D" w:rsidRPr="00D630D1" w:rsidRDefault="008B5B84" w:rsidP="00084FA3">
            <w:pPr>
              <w:pStyle w:val="aff2"/>
            </w:pPr>
            <w:r w:rsidRPr="00D630D1">
              <w:t>10</w:t>
            </w:r>
          </w:p>
        </w:tc>
        <w:tc>
          <w:tcPr>
            <w:tcW w:w="2493" w:type="pct"/>
            <w:tcBorders>
              <w:top w:val="single" w:sz="4" w:space="0" w:color="000000"/>
              <w:left w:val="single" w:sz="4" w:space="0" w:color="000000"/>
              <w:bottom w:val="single" w:sz="12" w:space="0" w:color="000000"/>
              <w:right w:val="single" w:sz="4" w:space="0" w:color="000000"/>
            </w:tcBorders>
            <w:vAlign w:val="center"/>
          </w:tcPr>
          <w:p w:rsidR="00117C3D" w:rsidRPr="00D630D1" w:rsidRDefault="008B5B84" w:rsidP="00084FA3">
            <w:pPr>
              <w:pStyle w:val="aff2"/>
            </w:pPr>
            <w:r w:rsidRPr="00D630D1">
              <w:t>混凝土震动棒</w:t>
            </w:r>
          </w:p>
        </w:tc>
        <w:tc>
          <w:tcPr>
            <w:tcW w:w="1836" w:type="pct"/>
            <w:tcBorders>
              <w:top w:val="single" w:sz="4" w:space="0" w:color="000000"/>
              <w:left w:val="single" w:sz="4" w:space="0" w:color="000000"/>
              <w:bottom w:val="single" w:sz="12" w:space="0" w:color="000000"/>
              <w:right w:val="nil"/>
            </w:tcBorders>
            <w:vAlign w:val="center"/>
          </w:tcPr>
          <w:p w:rsidR="00117C3D" w:rsidRPr="00D630D1" w:rsidRDefault="008B5B84" w:rsidP="00084FA3">
            <w:pPr>
              <w:pStyle w:val="aff2"/>
            </w:pPr>
            <w:r w:rsidRPr="00D630D1">
              <w:t>105</w:t>
            </w:r>
          </w:p>
        </w:tc>
      </w:tr>
    </w:tbl>
    <w:p w:rsidR="00117C3D" w:rsidRPr="00D630D1" w:rsidRDefault="008B5B84" w:rsidP="00084FA3">
      <w:pPr>
        <w:pStyle w:val="afa"/>
        <w:ind w:firstLine="482"/>
        <w:rPr>
          <w:b/>
          <w:bCs/>
        </w:rPr>
      </w:pPr>
      <w:r w:rsidRPr="00D630D1">
        <w:rPr>
          <w:b/>
          <w:bCs/>
        </w:rPr>
        <w:t>2</w:t>
      </w:r>
      <w:r w:rsidRPr="00D630D1">
        <w:rPr>
          <w:b/>
          <w:bCs/>
        </w:rPr>
        <w:t>、施工期噪声影响评价</w:t>
      </w:r>
    </w:p>
    <w:p w:rsidR="00117C3D" w:rsidRPr="00D630D1" w:rsidRDefault="008B5B84" w:rsidP="00084FA3">
      <w:pPr>
        <w:pStyle w:val="afa"/>
        <w:ind w:firstLine="480"/>
      </w:pPr>
      <w:r w:rsidRPr="00D630D1">
        <w:t>（</w:t>
      </w:r>
      <w:r w:rsidRPr="00D630D1">
        <w:t>1</w:t>
      </w:r>
      <w:r w:rsidRPr="00D630D1">
        <w:t>）噪声预测公式的选用</w:t>
      </w:r>
    </w:p>
    <w:p w:rsidR="00117C3D" w:rsidRPr="00D630D1" w:rsidRDefault="008B5B84" w:rsidP="00084FA3">
      <w:pPr>
        <w:pStyle w:val="afa"/>
        <w:ind w:firstLine="480"/>
      </w:pPr>
      <w:r w:rsidRPr="00D630D1">
        <w:t>当声源的大小与预测距离相比小的多时，可以将此声源看作点源，声源噪声值随距离衰减的计算公式如下：</w:t>
      </w:r>
    </w:p>
    <w:p w:rsidR="00117C3D" w:rsidRPr="00D630D1" w:rsidRDefault="008B5B84">
      <w:pPr>
        <w:pStyle w:val="a1"/>
        <w:ind w:firstLineChars="0" w:firstLine="0"/>
        <w:jc w:val="center"/>
        <w:rPr>
          <w:rFonts w:ascii="Times New Roman" w:cs="Times New Roman"/>
        </w:rPr>
      </w:pPr>
      <w:r w:rsidRPr="00D630D1">
        <w:rPr>
          <w:rFonts w:ascii="Times New Roman" w:cs="Times New Roman"/>
        </w:rPr>
        <w:t>L</w:t>
      </w:r>
      <w:r w:rsidRPr="00D630D1">
        <w:rPr>
          <w:rFonts w:ascii="Times New Roman" w:cs="Times New Roman"/>
        </w:rPr>
        <w:t>＝</w:t>
      </w:r>
      <w:r w:rsidRPr="00D630D1">
        <w:rPr>
          <w:rFonts w:ascii="Times New Roman" w:cs="Times New Roman"/>
        </w:rPr>
        <w:t>L</w:t>
      </w:r>
      <w:r w:rsidRPr="00D630D1">
        <w:rPr>
          <w:rFonts w:ascii="Times New Roman" w:cs="Times New Roman"/>
        </w:rPr>
        <w:t>－</w:t>
      </w:r>
      <w:r w:rsidRPr="00D630D1">
        <w:rPr>
          <w:rFonts w:ascii="Times New Roman" w:cs="Times New Roman"/>
        </w:rPr>
        <w:t>20lg</w:t>
      </w:r>
      <w:r w:rsidRPr="00D630D1">
        <w:rPr>
          <w:rFonts w:ascii="Times New Roman" w:cs="Times New Roman"/>
        </w:rPr>
        <w:t>（</w:t>
      </w:r>
      <w:r w:rsidRPr="00D630D1">
        <w:rPr>
          <w:rFonts w:ascii="Times New Roman" w:cs="Times New Roman"/>
        </w:rPr>
        <w:t>r</w:t>
      </w:r>
      <w:r w:rsidRPr="00D630D1">
        <w:rPr>
          <w:rFonts w:ascii="Times New Roman" w:cs="Times New Roman"/>
          <w:vertAlign w:val="subscript"/>
        </w:rPr>
        <w:t>2</w:t>
      </w:r>
      <w:r w:rsidRPr="00D630D1">
        <w:rPr>
          <w:rFonts w:ascii="Times New Roman" w:cs="Times New Roman"/>
        </w:rPr>
        <w:t>/r</w:t>
      </w:r>
      <w:r w:rsidRPr="00D630D1">
        <w:rPr>
          <w:rFonts w:ascii="Times New Roman" w:cs="Times New Roman"/>
          <w:vertAlign w:val="subscript"/>
        </w:rPr>
        <w:t>1</w:t>
      </w:r>
      <w:r w:rsidRPr="00D630D1">
        <w:rPr>
          <w:rFonts w:ascii="Times New Roman" w:cs="Times New Roman"/>
        </w:rPr>
        <w:t>）</w:t>
      </w:r>
    </w:p>
    <w:p w:rsidR="00117C3D" w:rsidRPr="00D630D1" w:rsidRDefault="008B5B84">
      <w:pPr>
        <w:pStyle w:val="a1"/>
        <w:ind w:firstLine="480"/>
        <w:rPr>
          <w:rFonts w:ascii="Times New Roman" w:cs="Times New Roman"/>
        </w:rPr>
      </w:pPr>
      <w:r w:rsidRPr="00D630D1">
        <w:rPr>
          <w:rFonts w:ascii="Times New Roman" w:cs="Times New Roman"/>
        </w:rPr>
        <w:t>式中：</w:t>
      </w:r>
      <w:r w:rsidRPr="00D630D1">
        <w:rPr>
          <w:rFonts w:ascii="Times New Roman" w:cs="Times New Roman"/>
        </w:rPr>
        <w:t>r</w:t>
      </w:r>
      <w:r w:rsidRPr="00D630D1">
        <w:rPr>
          <w:rFonts w:ascii="Times New Roman" w:cs="Times New Roman"/>
          <w:vertAlign w:val="subscript"/>
        </w:rPr>
        <w:t>2</w:t>
      </w:r>
      <w:r w:rsidRPr="00D630D1">
        <w:rPr>
          <w:rFonts w:ascii="Times New Roman" w:cs="Times New Roman"/>
        </w:rPr>
        <w:t>、</w:t>
      </w:r>
      <w:r w:rsidRPr="00D630D1">
        <w:rPr>
          <w:rFonts w:ascii="Times New Roman" w:cs="Times New Roman"/>
        </w:rPr>
        <w:t>r</w:t>
      </w:r>
      <w:r w:rsidRPr="00D630D1">
        <w:rPr>
          <w:rFonts w:ascii="Times New Roman" w:cs="Times New Roman"/>
          <w:vertAlign w:val="subscript"/>
        </w:rPr>
        <w:t>1</w:t>
      </w:r>
      <w:r w:rsidR="00457C87" w:rsidRPr="00D630D1">
        <w:rPr>
          <w:rFonts w:ascii="Times New Roman" w:cs="Times New Roman"/>
        </w:rPr>
        <w:t>——</w:t>
      </w:r>
      <w:r w:rsidRPr="00D630D1">
        <w:rPr>
          <w:rFonts w:ascii="Times New Roman" w:cs="Times New Roman"/>
        </w:rPr>
        <w:t>距声源的距离（</w:t>
      </w:r>
      <w:r w:rsidRPr="00D630D1">
        <w:rPr>
          <w:rFonts w:ascii="Times New Roman" w:cs="Times New Roman"/>
        </w:rPr>
        <w:t>m</w:t>
      </w:r>
      <w:r w:rsidRPr="00D630D1">
        <w:rPr>
          <w:rFonts w:ascii="Times New Roman" w:cs="Times New Roman"/>
        </w:rPr>
        <w:t>）；</w:t>
      </w:r>
    </w:p>
    <w:p w:rsidR="00117C3D" w:rsidRPr="00D630D1" w:rsidRDefault="008B5B84">
      <w:pPr>
        <w:pStyle w:val="a1"/>
        <w:ind w:firstLineChars="500" w:firstLine="1200"/>
        <w:rPr>
          <w:rFonts w:ascii="Times New Roman" w:cs="Times New Roman"/>
        </w:rPr>
      </w:pPr>
      <w:r w:rsidRPr="00D630D1">
        <w:rPr>
          <w:rFonts w:ascii="Times New Roman" w:cs="Times New Roman"/>
        </w:rPr>
        <w:t>L</w:t>
      </w:r>
      <w:r w:rsidRPr="00D630D1">
        <w:rPr>
          <w:rFonts w:ascii="Times New Roman" w:cs="Times New Roman"/>
          <w:vertAlign w:val="subscript"/>
        </w:rPr>
        <w:t>1</w:t>
      </w:r>
      <w:r w:rsidRPr="00D630D1">
        <w:rPr>
          <w:rFonts w:ascii="Times New Roman" w:cs="Times New Roman"/>
        </w:rPr>
        <w:t>、</w:t>
      </w:r>
      <w:r w:rsidRPr="00D630D1">
        <w:rPr>
          <w:rFonts w:ascii="Times New Roman" w:cs="Times New Roman"/>
        </w:rPr>
        <w:t>L</w:t>
      </w:r>
      <w:r w:rsidRPr="00D630D1">
        <w:rPr>
          <w:rFonts w:ascii="Times New Roman" w:cs="Times New Roman"/>
          <w:vertAlign w:val="subscript"/>
        </w:rPr>
        <w:t>2</w:t>
      </w:r>
      <w:r w:rsidR="00457C87" w:rsidRPr="00D630D1">
        <w:rPr>
          <w:rFonts w:ascii="Times New Roman" w:cs="Times New Roman"/>
        </w:rPr>
        <w:t>——</w:t>
      </w:r>
      <w:r w:rsidRPr="00D630D1">
        <w:rPr>
          <w:rFonts w:ascii="Times New Roman" w:cs="Times New Roman"/>
        </w:rPr>
        <w:t>声源相距</w:t>
      </w:r>
      <w:r w:rsidRPr="00D630D1">
        <w:rPr>
          <w:rFonts w:ascii="Times New Roman" w:cs="Times New Roman"/>
        </w:rPr>
        <w:t>r</w:t>
      </w:r>
      <w:r w:rsidRPr="00D630D1">
        <w:rPr>
          <w:rFonts w:ascii="Times New Roman" w:cs="Times New Roman"/>
          <w:vertAlign w:val="subscript"/>
        </w:rPr>
        <w:t>1</w:t>
      </w:r>
      <w:r w:rsidRPr="00D630D1">
        <w:rPr>
          <w:rFonts w:ascii="Times New Roman" w:cs="Times New Roman"/>
        </w:rPr>
        <w:t>、</w:t>
      </w:r>
      <w:r w:rsidRPr="00D630D1">
        <w:rPr>
          <w:rFonts w:ascii="Times New Roman" w:cs="Times New Roman"/>
        </w:rPr>
        <w:t>r</w:t>
      </w:r>
      <w:r w:rsidRPr="00D630D1">
        <w:rPr>
          <w:rFonts w:ascii="Times New Roman" w:cs="Times New Roman"/>
          <w:vertAlign w:val="subscript"/>
        </w:rPr>
        <w:t>2</w:t>
      </w:r>
      <w:r w:rsidRPr="00D630D1">
        <w:rPr>
          <w:rFonts w:ascii="Times New Roman" w:cs="Times New Roman"/>
        </w:rPr>
        <w:t>处的噪声声级</w:t>
      </w:r>
      <w:r w:rsidRPr="00D630D1">
        <w:rPr>
          <w:rFonts w:ascii="Times New Roman" w:cs="Times New Roman"/>
        </w:rPr>
        <w:t>dB(A)</w:t>
      </w:r>
      <w:r w:rsidRPr="00D630D1">
        <w:rPr>
          <w:rFonts w:ascii="Times New Roman" w:cs="Times New Roman"/>
        </w:rPr>
        <w:t>。</w:t>
      </w:r>
    </w:p>
    <w:p w:rsidR="00117C3D" w:rsidRPr="00D630D1" w:rsidRDefault="008B5B84">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）预测结果及评价</w:t>
      </w:r>
    </w:p>
    <w:p w:rsidR="00117C3D" w:rsidRPr="00D630D1" w:rsidRDefault="008B5B84">
      <w:pPr>
        <w:pStyle w:val="a1"/>
        <w:ind w:firstLine="480"/>
        <w:rPr>
          <w:rFonts w:ascii="Times New Roman" w:cs="Times New Roman"/>
        </w:rPr>
      </w:pPr>
      <w:r w:rsidRPr="00D630D1">
        <w:rPr>
          <w:rFonts w:ascii="Times New Roman" w:cs="Times New Roman"/>
        </w:rPr>
        <w:t>通常施工场地上有多台不同种类的施工机械同时作业，它们的辐射声级将叠加，其强度增量视噪声源种类、数量、相对分布的距离等因素而不同。施工噪声随距离衰减后的预测值见表</w:t>
      </w:r>
      <w:r w:rsidR="00457C87" w:rsidRPr="00D630D1">
        <w:rPr>
          <w:rFonts w:ascii="Times New Roman" w:cs="Times New Roman"/>
        </w:rPr>
        <w:t>6</w:t>
      </w:r>
      <w:r w:rsidRPr="00D630D1">
        <w:rPr>
          <w:rFonts w:ascii="Times New Roman" w:cs="Times New Roman"/>
        </w:rPr>
        <w:t>.</w:t>
      </w:r>
      <w:r w:rsidR="0018209F" w:rsidRPr="00D630D1">
        <w:rPr>
          <w:rFonts w:ascii="Times New Roman" w:cs="Times New Roman" w:hint="eastAsia"/>
        </w:rPr>
        <w:t>1</w:t>
      </w:r>
      <w:r w:rsidRPr="00D630D1">
        <w:rPr>
          <w:rFonts w:ascii="Times New Roman" w:cs="Times New Roman"/>
        </w:rPr>
        <w:t>-</w:t>
      </w:r>
      <w:r w:rsidR="00BE68D7" w:rsidRPr="00D630D1">
        <w:rPr>
          <w:rFonts w:ascii="Times New Roman" w:cs="Times New Roman" w:hint="eastAsia"/>
        </w:rPr>
        <w:t>3</w:t>
      </w:r>
      <w:r w:rsidRPr="00D630D1">
        <w:rPr>
          <w:rFonts w:ascii="Times New Roman" w:cs="Times New Roman"/>
        </w:rPr>
        <w:t>。</w:t>
      </w:r>
    </w:p>
    <w:p w:rsidR="00117C3D" w:rsidRPr="00D630D1" w:rsidRDefault="008B5B84" w:rsidP="00457C87">
      <w:pPr>
        <w:pStyle w:val="10"/>
        <w:rPr>
          <w:rFonts w:cs="Times New Roman"/>
        </w:rPr>
      </w:pPr>
      <w:r w:rsidRPr="00D630D1">
        <w:rPr>
          <w:rFonts w:cs="Times New Roman"/>
        </w:rPr>
        <w:t>表</w:t>
      </w:r>
      <w:r w:rsidR="00457C87" w:rsidRPr="00D630D1">
        <w:rPr>
          <w:rFonts w:cs="Times New Roman"/>
        </w:rPr>
        <w:t>6</w:t>
      </w:r>
      <w:r w:rsidRPr="00D630D1">
        <w:rPr>
          <w:rFonts w:cs="Times New Roman"/>
        </w:rPr>
        <w:t>.</w:t>
      </w:r>
      <w:r w:rsidR="0018209F" w:rsidRPr="00D630D1">
        <w:rPr>
          <w:rFonts w:cs="Times New Roman" w:hint="eastAsia"/>
        </w:rPr>
        <w:t>1</w:t>
      </w:r>
      <w:r w:rsidRPr="00D630D1">
        <w:rPr>
          <w:rFonts w:cs="Times New Roman"/>
        </w:rPr>
        <w:t>-</w:t>
      </w:r>
      <w:r w:rsidR="00BE68D7" w:rsidRPr="00D630D1">
        <w:rPr>
          <w:rFonts w:cs="Times New Roman" w:hint="eastAsia"/>
        </w:rPr>
        <w:t>3</w:t>
      </w:r>
      <w:r w:rsidRPr="00D630D1">
        <w:rPr>
          <w:rFonts w:cs="Times New Roman"/>
        </w:rPr>
        <w:t xml:space="preserve"> </w:t>
      </w:r>
      <w:r w:rsidR="00457C87" w:rsidRPr="00D630D1">
        <w:rPr>
          <w:rFonts w:cs="Times New Roman"/>
        </w:rPr>
        <w:t xml:space="preserve">  </w:t>
      </w:r>
      <w:r w:rsidRPr="00D630D1">
        <w:rPr>
          <w:rFonts w:cs="Times New Roman"/>
        </w:rPr>
        <w:t>施工噪声随距离的衰减情况</w:t>
      </w:r>
      <w:r w:rsidR="00457C87" w:rsidRPr="00D630D1">
        <w:rPr>
          <w:rFonts w:cs="Times New Roman"/>
        </w:rPr>
        <w:t xml:space="preserve">  </w:t>
      </w:r>
      <w:r w:rsidRPr="00D630D1">
        <w:rPr>
          <w:rFonts w:cs="Times New Roman"/>
        </w:rPr>
        <w:t>单位：</w:t>
      </w:r>
      <w:r w:rsidRPr="00D630D1">
        <w:rPr>
          <w:rFonts w:cs="Times New Roman"/>
        </w:rPr>
        <w:t>dB</w:t>
      </w:r>
      <w:r w:rsidRPr="00D630D1">
        <w:rPr>
          <w:rFonts w:cs="Times New Roman"/>
        </w:rPr>
        <w:t>（</w:t>
      </w:r>
      <w:r w:rsidRPr="00D630D1">
        <w:rPr>
          <w:rFonts w:cs="Times New Roman"/>
        </w:rPr>
        <w:t>A</w:t>
      </w:r>
      <w:r w:rsidRPr="00D630D1">
        <w:rPr>
          <w:rFonts w:cs="Times New Roman"/>
        </w:rPr>
        <w:t>）</w:t>
      </w:r>
    </w:p>
    <w:tbl>
      <w:tblPr>
        <w:tblW w:w="5000" w:type="pct"/>
        <w:jc w:val="center"/>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tblPr>
      <w:tblGrid>
        <w:gridCol w:w="1865"/>
        <w:gridCol w:w="1073"/>
        <w:gridCol w:w="1078"/>
        <w:gridCol w:w="1073"/>
        <w:gridCol w:w="1073"/>
        <w:gridCol w:w="1073"/>
        <w:gridCol w:w="1071"/>
      </w:tblGrid>
      <w:tr w:rsidR="001F4A69" w:rsidRPr="00D630D1" w:rsidTr="00457C87">
        <w:trPr>
          <w:trHeight w:val="20"/>
          <w:jc w:val="center"/>
        </w:trPr>
        <w:tc>
          <w:tcPr>
            <w:tcW w:w="1122" w:type="pct"/>
            <w:vAlign w:val="center"/>
          </w:tcPr>
          <w:p w:rsidR="00117C3D" w:rsidRPr="00D630D1" w:rsidRDefault="008B5B84" w:rsidP="00457C87">
            <w:pPr>
              <w:pStyle w:val="aff2"/>
              <w:rPr>
                <w:b/>
                <w:bCs/>
              </w:rPr>
            </w:pPr>
            <w:r w:rsidRPr="00D630D1">
              <w:rPr>
                <w:b/>
                <w:bCs/>
              </w:rPr>
              <w:t>距离（</w:t>
            </w:r>
            <w:r w:rsidRPr="00D630D1">
              <w:rPr>
                <w:b/>
                <w:bCs/>
              </w:rPr>
              <w:t>m</w:t>
            </w:r>
            <w:r w:rsidRPr="00D630D1">
              <w:rPr>
                <w:b/>
                <w:bCs/>
              </w:rPr>
              <w:t>）</w:t>
            </w:r>
          </w:p>
        </w:tc>
        <w:tc>
          <w:tcPr>
            <w:tcW w:w="646" w:type="pct"/>
            <w:vAlign w:val="center"/>
          </w:tcPr>
          <w:p w:rsidR="00117C3D" w:rsidRPr="00D630D1" w:rsidRDefault="008B5B84" w:rsidP="00457C87">
            <w:pPr>
              <w:pStyle w:val="aff2"/>
              <w:rPr>
                <w:b/>
                <w:bCs/>
              </w:rPr>
            </w:pPr>
            <w:r w:rsidRPr="00D630D1">
              <w:rPr>
                <w:b/>
                <w:bCs/>
              </w:rPr>
              <w:t>10</w:t>
            </w:r>
          </w:p>
        </w:tc>
        <w:tc>
          <w:tcPr>
            <w:tcW w:w="649" w:type="pct"/>
            <w:vAlign w:val="center"/>
          </w:tcPr>
          <w:p w:rsidR="00117C3D" w:rsidRPr="00D630D1" w:rsidRDefault="008B5B84" w:rsidP="00457C87">
            <w:pPr>
              <w:pStyle w:val="aff2"/>
              <w:rPr>
                <w:b/>
                <w:bCs/>
              </w:rPr>
            </w:pPr>
            <w:r w:rsidRPr="00D630D1">
              <w:rPr>
                <w:b/>
                <w:bCs/>
              </w:rPr>
              <w:t>20</w:t>
            </w:r>
          </w:p>
        </w:tc>
        <w:tc>
          <w:tcPr>
            <w:tcW w:w="646" w:type="pct"/>
            <w:vAlign w:val="center"/>
          </w:tcPr>
          <w:p w:rsidR="00117C3D" w:rsidRPr="00D630D1" w:rsidRDefault="008B5B84" w:rsidP="00457C87">
            <w:pPr>
              <w:pStyle w:val="aff2"/>
              <w:rPr>
                <w:b/>
                <w:bCs/>
              </w:rPr>
            </w:pPr>
            <w:r w:rsidRPr="00D630D1">
              <w:rPr>
                <w:b/>
                <w:bCs/>
              </w:rPr>
              <w:t>40</w:t>
            </w:r>
          </w:p>
        </w:tc>
        <w:tc>
          <w:tcPr>
            <w:tcW w:w="646" w:type="pct"/>
            <w:vAlign w:val="center"/>
          </w:tcPr>
          <w:p w:rsidR="00117C3D" w:rsidRPr="00D630D1" w:rsidRDefault="008B5B84" w:rsidP="00457C87">
            <w:pPr>
              <w:pStyle w:val="aff2"/>
              <w:rPr>
                <w:b/>
                <w:bCs/>
              </w:rPr>
            </w:pPr>
            <w:r w:rsidRPr="00D630D1">
              <w:rPr>
                <w:b/>
                <w:bCs/>
              </w:rPr>
              <w:t>80</w:t>
            </w:r>
          </w:p>
        </w:tc>
        <w:tc>
          <w:tcPr>
            <w:tcW w:w="646" w:type="pct"/>
            <w:vAlign w:val="center"/>
          </w:tcPr>
          <w:p w:rsidR="00117C3D" w:rsidRPr="00D630D1" w:rsidRDefault="008B5B84" w:rsidP="00457C87">
            <w:pPr>
              <w:pStyle w:val="aff2"/>
              <w:rPr>
                <w:b/>
                <w:bCs/>
              </w:rPr>
            </w:pPr>
            <w:r w:rsidRPr="00D630D1">
              <w:rPr>
                <w:b/>
                <w:bCs/>
              </w:rPr>
              <w:t>100</w:t>
            </w:r>
          </w:p>
        </w:tc>
        <w:tc>
          <w:tcPr>
            <w:tcW w:w="646" w:type="pct"/>
            <w:vAlign w:val="center"/>
          </w:tcPr>
          <w:p w:rsidR="00117C3D" w:rsidRPr="00D630D1" w:rsidRDefault="008B5B84" w:rsidP="00457C87">
            <w:pPr>
              <w:pStyle w:val="aff2"/>
              <w:rPr>
                <w:b/>
                <w:bCs/>
              </w:rPr>
            </w:pPr>
            <w:r w:rsidRPr="00D630D1">
              <w:rPr>
                <w:b/>
                <w:bCs/>
              </w:rPr>
              <w:t>200</w:t>
            </w:r>
          </w:p>
        </w:tc>
      </w:tr>
      <w:tr w:rsidR="001F4A69" w:rsidRPr="00D630D1" w:rsidTr="00457C87">
        <w:trPr>
          <w:trHeight w:val="20"/>
          <w:jc w:val="center"/>
        </w:trPr>
        <w:tc>
          <w:tcPr>
            <w:tcW w:w="1122" w:type="pct"/>
            <w:vAlign w:val="center"/>
          </w:tcPr>
          <w:p w:rsidR="00117C3D" w:rsidRPr="00D630D1" w:rsidRDefault="008B5B84" w:rsidP="00457C87">
            <w:pPr>
              <w:pStyle w:val="aff2"/>
            </w:pPr>
            <w:r w:rsidRPr="00D630D1">
              <w:lastRenderedPageBreak/>
              <w:t>挖掘机</w:t>
            </w:r>
          </w:p>
        </w:tc>
        <w:tc>
          <w:tcPr>
            <w:tcW w:w="646" w:type="pct"/>
            <w:vAlign w:val="center"/>
          </w:tcPr>
          <w:p w:rsidR="00117C3D" w:rsidRPr="00D630D1" w:rsidRDefault="008B5B84" w:rsidP="00457C87">
            <w:pPr>
              <w:pStyle w:val="aff2"/>
            </w:pPr>
            <w:r w:rsidRPr="00D630D1">
              <w:t>72</w:t>
            </w:r>
          </w:p>
        </w:tc>
        <w:tc>
          <w:tcPr>
            <w:tcW w:w="649" w:type="pct"/>
            <w:vAlign w:val="center"/>
          </w:tcPr>
          <w:p w:rsidR="00117C3D" w:rsidRPr="00D630D1" w:rsidRDefault="008B5B84" w:rsidP="00457C87">
            <w:pPr>
              <w:pStyle w:val="aff2"/>
            </w:pPr>
            <w:r w:rsidRPr="00D630D1">
              <w:t>66</w:t>
            </w:r>
          </w:p>
        </w:tc>
        <w:tc>
          <w:tcPr>
            <w:tcW w:w="646" w:type="pct"/>
            <w:vAlign w:val="center"/>
          </w:tcPr>
          <w:p w:rsidR="00117C3D" w:rsidRPr="00D630D1" w:rsidRDefault="008B5B84" w:rsidP="00457C87">
            <w:pPr>
              <w:pStyle w:val="aff2"/>
            </w:pPr>
            <w:r w:rsidRPr="00D630D1">
              <w:t>60</w:t>
            </w:r>
          </w:p>
        </w:tc>
        <w:tc>
          <w:tcPr>
            <w:tcW w:w="646" w:type="pct"/>
            <w:vAlign w:val="center"/>
          </w:tcPr>
          <w:p w:rsidR="00117C3D" w:rsidRPr="00D630D1" w:rsidRDefault="008B5B84" w:rsidP="00457C87">
            <w:pPr>
              <w:pStyle w:val="aff2"/>
            </w:pPr>
            <w:r w:rsidRPr="00D630D1">
              <w:t>54</w:t>
            </w:r>
          </w:p>
        </w:tc>
        <w:tc>
          <w:tcPr>
            <w:tcW w:w="646" w:type="pct"/>
            <w:vAlign w:val="center"/>
          </w:tcPr>
          <w:p w:rsidR="00117C3D" w:rsidRPr="00D630D1" w:rsidRDefault="008B5B84" w:rsidP="00457C87">
            <w:pPr>
              <w:pStyle w:val="aff2"/>
            </w:pPr>
            <w:r w:rsidRPr="00D630D1">
              <w:t>52</w:t>
            </w:r>
          </w:p>
        </w:tc>
        <w:tc>
          <w:tcPr>
            <w:tcW w:w="646" w:type="pct"/>
            <w:vAlign w:val="center"/>
          </w:tcPr>
          <w:p w:rsidR="00117C3D" w:rsidRPr="00D630D1" w:rsidRDefault="008B5B84" w:rsidP="00457C87">
            <w:pPr>
              <w:pStyle w:val="aff2"/>
            </w:pPr>
            <w:r w:rsidRPr="00D630D1">
              <w:t>46</w:t>
            </w:r>
          </w:p>
        </w:tc>
      </w:tr>
      <w:tr w:rsidR="001F4A69" w:rsidRPr="00D630D1" w:rsidTr="00457C87">
        <w:trPr>
          <w:trHeight w:val="20"/>
          <w:jc w:val="center"/>
        </w:trPr>
        <w:tc>
          <w:tcPr>
            <w:tcW w:w="1122" w:type="pct"/>
            <w:vAlign w:val="center"/>
          </w:tcPr>
          <w:p w:rsidR="00117C3D" w:rsidRPr="00D630D1" w:rsidRDefault="008B5B84" w:rsidP="00457C87">
            <w:pPr>
              <w:pStyle w:val="aff2"/>
            </w:pPr>
            <w:r w:rsidRPr="00D630D1">
              <w:t>吊管机</w:t>
            </w:r>
          </w:p>
        </w:tc>
        <w:tc>
          <w:tcPr>
            <w:tcW w:w="646" w:type="pct"/>
            <w:vAlign w:val="center"/>
          </w:tcPr>
          <w:p w:rsidR="00117C3D" w:rsidRPr="00D630D1" w:rsidRDefault="008B5B84" w:rsidP="00457C87">
            <w:pPr>
              <w:pStyle w:val="aff2"/>
            </w:pPr>
            <w:r w:rsidRPr="00D630D1">
              <w:t>68</w:t>
            </w:r>
          </w:p>
        </w:tc>
        <w:tc>
          <w:tcPr>
            <w:tcW w:w="649" w:type="pct"/>
            <w:vAlign w:val="center"/>
          </w:tcPr>
          <w:p w:rsidR="00117C3D" w:rsidRPr="00D630D1" w:rsidRDefault="008B5B84" w:rsidP="00457C87">
            <w:pPr>
              <w:pStyle w:val="aff2"/>
            </w:pPr>
            <w:r w:rsidRPr="00D630D1">
              <w:t>62</w:t>
            </w:r>
          </w:p>
        </w:tc>
        <w:tc>
          <w:tcPr>
            <w:tcW w:w="646" w:type="pct"/>
            <w:vAlign w:val="center"/>
          </w:tcPr>
          <w:p w:rsidR="00117C3D" w:rsidRPr="00D630D1" w:rsidRDefault="008B5B84" w:rsidP="00457C87">
            <w:pPr>
              <w:pStyle w:val="aff2"/>
            </w:pPr>
            <w:r w:rsidRPr="00D630D1">
              <w:t>56</w:t>
            </w:r>
          </w:p>
        </w:tc>
        <w:tc>
          <w:tcPr>
            <w:tcW w:w="646" w:type="pct"/>
            <w:vAlign w:val="center"/>
          </w:tcPr>
          <w:p w:rsidR="00117C3D" w:rsidRPr="00D630D1" w:rsidRDefault="008B5B84" w:rsidP="00457C87">
            <w:pPr>
              <w:pStyle w:val="aff2"/>
            </w:pPr>
            <w:r w:rsidRPr="00D630D1">
              <w:t>50</w:t>
            </w:r>
          </w:p>
        </w:tc>
        <w:tc>
          <w:tcPr>
            <w:tcW w:w="646" w:type="pct"/>
            <w:vAlign w:val="center"/>
          </w:tcPr>
          <w:p w:rsidR="00117C3D" w:rsidRPr="00D630D1" w:rsidRDefault="008B5B84" w:rsidP="00457C87">
            <w:pPr>
              <w:pStyle w:val="aff2"/>
            </w:pPr>
            <w:r w:rsidRPr="00D630D1">
              <w:t>48</w:t>
            </w:r>
          </w:p>
        </w:tc>
        <w:tc>
          <w:tcPr>
            <w:tcW w:w="646" w:type="pct"/>
            <w:vAlign w:val="center"/>
          </w:tcPr>
          <w:p w:rsidR="00117C3D" w:rsidRPr="00D630D1" w:rsidRDefault="008B5B84" w:rsidP="00457C87">
            <w:pPr>
              <w:pStyle w:val="aff2"/>
            </w:pPr>
            <w:r w:rsidRPr="00D630D1">
              <w:t>42</w:t>
            </w:r>
          </w:p>
        </w:tc>
      </w:tr>
      <w:tr w:rsidR="001F4A69" w:rsidRPr="00D630D1" w:rsidTr="00457C87">
        <w:trPr>
          <w:trHeight w:val="20"/>
          <w:jc w:val="center"/>
        </w:trPr>
        <w:tc>
          <w:tcPr>
            <w:tcW w:w="1122" w:type="pct"/>
            <w:vAlign w:val="center"/>
          </w:tcPr>
          <w:p w:rsidR="00117C3D" w:rsidRPr="00D630D1" w:rsidRDefault="008B5B84" w:rsidP="00457C87">
            <w:pPr>
              <w:pStyle w:val="aff2"/>
            </w:pPr>
            <w:r w:rsidRPr="00D630D1">
              <w:t>电焊机</w:t>
            </w:r>
          </w:p>
        </w:tc>
        <w:tc>
          <w:tcPr>
            <w:tcW w:w="646" w:type="pct"/>
            <w:vAlign w:val="center"/>
          </w:tcPr>
          <w:p w:rsidR="00117C3D" w:rsidRPr="00D630D1" w:rsidRDefault="008B5B84" w:rsidP="00457C87">
            <w:pPr>
              <w:pStyle w:val="aff2"/>
            </w:pPr>
            <w:r w:rsidRPr="00D630D1">
              <w:t>65</w:t>
            </w:r>
          </w:p>
        </w:tc>
        <w:tc>
          <w:tcPr>
            <w:tcW w:w="649" w:type="pct"/>
            <w:vAlign w:val="center"/>
          </w:tcPr>
          <w:p w:rsidR="00117C3D" w:rsidRPr="00D630D1" w:rsidRDefault="008B5B84" w:rsidP="00457C87">
            <w:pPr>
              <w:pStyle w:val="aff2"/>
            </w:pPr>
            <w:r w:rsidRPr="00D630D1">
              <w:t>59</w:t>
            </w:r>
          </w:p>
        </w:tc>
        <w:tc>
          <w:tcPr>
            <w:tcW w:w="646" w:type="pct"/>
            <w:vAlign w:val="center"/>
          </w:tcPr>
          <w:p w:rsidR="00117C3D" w:rsidRPr="00D630D1" w:rsidRDefault="008B5B84" w:rsidP="00457C87">
            <w:pPr>
              <w:pStyle w:val="aff2"/>
            </w:pPr>
            <w:r w:rsidRPr="00D630D1">
              <w:t>53</w:t>
            </w:r>
          </w:p>
        </w:tc>
        <w:tc>
          <w:tcPr>
            <w:tcW w:w="646" w:type="pct"/>
            <w:vAlign w:val="center"/>
          </w:tcPr>
          <w:p w:rsidR="00117C3D" w:rsidRPr="00D630D1" w:rsidRDefault="008B5B84" w:rsidP="00457C87">
            <w:pPr>
              <w:pStyle w:val="aff2"/>
            </w:pPr>
            <w:r w:rsidRPr="00D630D1">
              <w:t>47</w:t>
            </w:r>
          </w:p>
        </w:tc>
        <w:tc>
          <w:tcPr>
            <w:tcW w:w="646" w:type="pct"/>
            <w:vAlign w:val="center"/>
          </w:tcPr>
          <w:p w:rsidR="00117C3D" w:rsidRPr="00D630D1" w:rsidRDefault="008B5B84" w:rsidP="00457C87">
            <w:pPr>
              <w:pStyle w:val="aff2"/>
            </w:pPr>
            <w:r w:rsidRPr="00D630D1">
              <w:t>45</w:t>
            </w:r>
          </w:p>
        </w:tc>
        <w:tc>
          <w:tcPr>
            <w:tcW w:w="646" w:type="pct"/>
            <w:vAlign w:val="center"/>
          </w:tcPr>
          <w:p w:rsidR="00117C3D" w:rsidRPr="00D630D1" w:rsidRDefault="008B5B84" w:rsidP="00457C87">
            <w:pPr>
              <w:pStyle w:val="aff2"/>
            </w:pPr>
            <w:r w:rsidRPr="00D630D1">
              <w:t>39</w:t>
            </w:r>
          </w:p>
        </w:tc>
      </w:tr>
      <w:tr w:rsidR="001F4A69" w:rsidRPr="00D630D1" w:rsidTr="00457C87">
        <w:trPr>
          <w:trHeight w:val="20"/>
          <w:jc w:val="center"/>
        </w:trPr>
        <w:tc>
          <w:tcPr>
            <w:tcW w:w="1122" w:type="pct"/>
            <w:vAlign w:val="center"/>
          </w:tcPr>
          <w:p w:rsidR="00117C3D" w:rsidRPr="00D630D1" w:rsidRDefault="008B5B84" w:rsidP="00457C87">
            <w:pPr>
              <w:pStyle w:val="aff2"/>
            </w:pPr>
            <w:r w:rsidRPr="00D630D1">
              <w:t>推土机</w:t>
            </w:r>
          </w:p>
        </w:tc>
        <w:tc>
          <w:tcPr>
            <w:tcW w:w="646" w:type="pct"/>
            <w:vAlign w:val="center"/>
          </w:tcPr>
          <w:p w:rsidR="00117C3D" w:rsidRPr="00D630D1" w:rsidRDefault="008B5B84" w:rsidP="00457C87">
            <w:pPr>
              <w:pStyle w:val="aff2"/>
            </w:pPr>
            <w:r w:rsidRPr="00D630D1">
              <w:t>70</w:t>
            </w:r>
          </w:p>
        </w:tc>
        <w:tc>
          <w:tcPr>
            <w:tcW w:w="649" w:type="pct"/>
            <w:vAlign w:val="center"/>
          </w:tcPr>
          <w:p w:rsidR="00117C3D" w:rsidRPr="00D630D1" w:rsidRDefault="008B5B84" w:rsidP="00457C87">
            <w:pPr>
              <w:pStyle w:val="aff2"/>
            </w:pPr>
            <w:r w:rsidRPr="00D630D1">
              <w:t>64</w:t>
            </w:r>
          </w:p>
        </w:tc>
        <w:tc>
          <w:tcPr>
            <w:tcW w:w="646" w:type="pct"/>
            <w:vAlign w:val="center"/>
          </w:tcPr>
          <w:p w:rsidR="00117C3D" w:rsidRPr="00D630D1" w:rsidRDefault="008B5B84" w:rsidP="00457C87">
            <w:pPr>
              <w:pStyle w:val="aff2"/>
            </w:pPr>
            <w:r w:rsidRPr="00D630D1">
              <w:t>58</w:t>
            </w:r>
          </w:p>
        </w:tc>
        <w:tc>
          <w:tcPr>
            <w:tcW w:w="646" w:type="pct"/>
            <w:vAlign w:val="center"/>
          </w:tcPr>
          <w:p w:rsidR="00117C3D" w:rsidRPr="00D630D1" w:rsidRDefault="008B5B84" w:rsidP="00457C87">
            <w:pPr>
              <w:pStyle w:val="aff2"/>
            </w:pPr>
            <w:r w:rsidRPr="00D630D1">
              <w:t>52</w:t>
            </w:r>
          </w:p>
        </w:tc>
        <w:tc>
          <w:tcPr>
            <w:tcW w:w="646" w:type="pct"/>
            <w:vAlign w:val="center"/>
          </w:tcPr>
          <w:p w:rsidR="00117C3D" w:rsidRPr="00D630D1" w:rsidRDefault="008B5B84" w:rsidP="00457C87">
            <w:pPr>
              <w:pStyle w:val="aff2"/>
            </w:pPr>
            <w:r w:rsidRPr="00D630D1">
              <w:t>50</w:t>
            </w:r>
          </w:p>
        </w:tc>
        <w:tc>
          <w:tcPr>
            <w:tcW w:w="646" w:type="pct"/>
            <w:vAlign w:val="center"/>
          </w:tcPr>
          <w:p w:rsidR="00117C3D" w:rsidRPr="00D630D1" w:rsidRDefault="008B5B84" w:rsidP="00457C87">
            <w:pPr>
              <w:pStyle w:val="aff2"/>
            </w:pPr>
            <w:r w:rsidRPr="00D630D1">
              <w:t>44</w:t>
            </w:r>
          </w:p>
        </w:tc>
      </w:tr>
      <w:tr w:rsidR="001F4A69" w:rsidRPr="00D630D1" w:rsidTr="00457C87">
        <w:trPr>
          <w:trHeight w:val="20"/>
          <w:jc w:val="center"/>
        </w:trPr>
        <w:tc>
          <w:tcPr>
            <w:tcW w:w="1122" w:type="pct"/>
            <w:vAlign w:val="center"/>
          </w:tcPr>
          <w:p w:rsidR="00117C3D" w:rsidRPr="00D630D1" w:rsidRDefault="008B5B84" w:rsidP="00457C87">
            <w:pPr>
              <w:pStyle w:val="aff2"/>
            </w:pPr>
            <w:r w:rsidRPr="00D630D1">
              <w:t>混凝土搅拌机</w:t>
            </w:r>
          </w:p>
        </w:tc>
        <w:tc>
          <w:tcPr>
            <w:tcW w:w="646" w:type="pct"/>
            <w:vAlign w:val="center"/>
          </w:tcPr>
          <w:p w:rsidR="00117C3D" w:rsidRPr="00D630D1" w:rsidRDefault="008B5B84" w:rsidP="00457C87">
            <w:pPr>
              <w:pStyle w:val="aff2"/>
            </w:pPr>
            <w:r w:rsidRPr="00D630D1">
              <w:t>75</w:t>
            </w:r>
          </w:p>
        </w:tc>
        <w:tc>
          <w:tcPr>
            <w:tcW w:w="649" w:type="pct"/>
            <w:vAlign w:val="center"/>
          </w:tcPr>
          <w:p w:rsidR="00117C3D" w:rsidRPr="00D630D1" w:rsidRDefault="008B5B84" w:rsidP="00457C87">
            <w:pPr>
              <w:pStyle w:val="aff2"/>
            </w:pPr>
            <w:r w:rsidRPr="00D630D1">
              <w:t>69</w:t>
            </w:r>
          </w:p>
        </w:tc>
        <w:tc>
          <w:tcPr>
            <w:tcW w:w="646" w:type="pct"/>
            <w:vAlign w:val="center"/>
          </w:tcPr>
          <w:p w:rsidR="00117C3D" w:rsidRPr="00D630D1" w:rsidRDefault="008B5B84" w:rsidP="00457C87">
            <w:pPr>
              <w:pStyle w:val="aff2"/>
            </w:pPr>
            <w:r w:rsidRPr="00D630D1">
              <w:t>63</w:t>
            </w:r>
          </w:p>
        </w:tc>
        <w:tc>
          <w:tcPr>
            <w:tcW w:w="646" w:type="pct"/>
            <w:vAlign w:val="center"/>
          </w:tcPr>
          <w:p w:rsidR="00117C3D" w:rsidRPr="00D630D1" w:rsidRDefault="008B5B84" w:rsidP="00457C87">
            <w:pPr>
              <w:pStyle w:val="aff2"/>
            </w:pPr>
            <w:r w:rsidRPr="00D630D1">
              <w:t>57</w:t>
            </w:r>
          </w:p>
        </w:tc>
        <w:tc>
          <w:tcPr>
            <w:tcW w:w="646" w:type="pct"/>
            <w:vAlign w:val="center"/>
          </w:tcPr>
          <w:p w:rsidR="00117C3D" w:rsidRPr="00D630D1" w:rsidRDefault="008B5B84" w:rsidP="00457C87">
            <w:pPr>
              <w:pStyle w:val="aff2"/>
            </w:pPr>
            <w:r w:rsidRPr="00D630D1">
              <w:t>55</w:t>
            </w:r>
          </w:p>
        </w:tc>
        <w:tc>
          <w:tcPr>
            <w:tcW w:w="646" w:type="pct"/>
            <w:vAlign w:val="center"/>
          </w:tcPr>
          <w:p w:rsidR="00117C3D" w:rsidRPr="00D630D1" w:rsidRDefault="008B5B84" w:rsidP="00457C87">
            <w:pPr>
              <w:pStyle w:val="aff2"/>
            </w:pPr>
            <w:r w:rsidRPr="00D630D1">
              <w:t>49</w:t>
            </w:r>
          </w:p>
        </w:tc>
      </w:tr>
      <w:tr w:rsidR="001F4A69" w:rsidRPr="00D630D1" w:rsidTr="00457C87">
        <w:trPr>
          <w:trHeight w:val="20"/>
          <w:jc w:val="center"/>
        </w:trPr>
        <w:tc>
          <w:tcPr>
            <w:tcW w:w="1122" w:type="pct"/>
            <w:vAlign w:val="center"/>
          </w:tcPr>
          <w:p w:rsidR="00117C3D" w:rsidRPr="00D630D1" w:rsidRDefault="008B5B84" w:rsidP="00457C87">
            <w:pPr>
              <w:pStyle w:val="aff2"/>
            </w:pPr>
            <w:r w:rsidRPr="00D630D1">
              <w:t>混凝土翻斗车</w:t>
            </w:r>
          </w:p>
        </w:tc>
        <w:tc>
          <w:tcPr>
            <w:tcW w:w="646" w:type="pct"/>
            <w:vAlign w:val="center"/>
          </w:tcPr>
          <w:p w:rsidR="00117C3D" w:rsidRPr="00D630D1" w:rsidRDefault="008B5B84" w:rsidP="00457C87">
            <w:pPr>
              <w:pStyle w:val="aff2"/>
            </w:pPr>
            <w:r w:rsidRPr="00D630D1">
              <w:t>75</w:t>
            </w:r>
          </w:p>
        </w:tc>
        <w:tc>
          <w:tcPr>
            <w:tcW w:w="649" w:type="pct"/>
            <w:vAlign w:val="center"/>
          </w:tcPr>
          <w:p w:rsidR="00117C3D" w:rsidRPr="00D630D1" w:rsidRDefault="008B5B84" w:rsidP="00457C87">
            <w:pPr>
              <w:pStyle w:val="aff2"/>
            </w:pPr>
            <w:r w:rsidRPr="00D630D1">
              <w:t>69</w:t>
            </w:r>
          </w:p>
        </w:tc>
        <w:tc>
          <w:tcPr>
            <w:tcW w:w="646" w:type="pct"/>
            <w:vAlign w:val="center"/>
          </w:tcPr>
          <w:p w:rsidR="00117C3D" w:rsidRPr="00D630D1" w:rsidRDefault="008B5B84" w:rsidP="00457C87">
            <w:pPr>
              <w:pStyle w:val="aff2"/>
            </w:pPr>
            <w:r w:rsidRPr="00D630D1">
              <w:t>63</w:t>
            </w:r>
          </w:p>
        </w:tc>
        <w:tc>
          <w:tcPr>
            <w:tcW w:w="646" w:type="pct"/>
            <w:vAlign w:val="center"/>
          </w:tcPr>
          <w:p w:rsidR="00117C3D" w:rsidRPr="00D630D1" w:rsidRDefault="008B5B84" w:rsidP="00457C87">
            <w:pPr>
              <w:pStyle w:val="aff2"/>
            </w:pPr>
            <w:r w:rsidRPr="00D630D1">
              <w:t>57</w:t>
            </w:r>
          </w:p>
        </w:tc>
        <w:tc>
          <w:tcPr>
            <w:tcW w:w="646" w:type="pct"/>
            <w:vAlign w:val="center"/>
          </w:tcPr>
          <w:p w:rsidR="00117C3D" w:rsidRPr="00D630D1" w:rsidRDefault="008B5B84" w:rsidP="00457C87">
            <w:pPr>
              <w:pStyle w:val="aff2"/>
            </w:pPr>
            <w:r w:rsidRPr="00D630D1">
              <w:t>55</w:t>
            </w:r>
          </w:p>
        </w:tc>
        <w:tc>
          <w:tcPr>
            <w:tcW w:w="646" w:type="pct"/>
            <w:vAlign w:val="center"/>
          </w:tcPr>
          <w:p w:rsidR="00117C3D" w:rsidRPr="00D630D1" w:rsidRDefault="008B5B84" w:rsidP="00457C87">
            <w:pPr>
              <w:pStyle w:val="aff2"/>
            </w:pPr>
            <w:r w:rsidRPr="00D630D1">
              <w:t>49</w:t>
            </w:r>
          </w:p>
        </w:tc>
      </w:tr>
      <w:tr w:rsidR="001F4A69" w:rsidRPr="00D630D1" w:rsidTr="00457C87">
        <w:trPr>
          <w:trHeight w:val="20"/>
          <w:jc w:val="center"/>
        </w:trPr>
        <w:tc>
          <w:tcPr>
            <w:tcW w:w="1122" w:type="pct"/>
            <w:vAlign w:val="center"/>
          </w:tcPr>
          <w:p w:rsidR="00117C3D" w:rsidRPr="00D630D1" w:rsidRDefault="008B5B84" w:rsidP="00457C87">
            <w:pPr>
              <w:pStyle w:val="aff2"/>
            </w:pPr>
            <w:r w:rsidRPr="00D630D1">
              <w:t>切割机</w:t>
            </w:r>
          </w:p>
        </w:tc>
        <w:tc>
          <w:tcPr>
            <w:tcW w:w="646" w:type="pct"/>
            <w:vAlign w:val="center"/>
          </w:tcPr>
          <w:p w:rsidR="00117C3D" w:rsidRPr="00D630D1" w:rsidRDefault="008B5B84" w:rsidP="00457C87">
            <w:pPr>
              <w:pStyle w:val="aff2"/>
            </w:pPr>
            <w:r w:rsidRPr="00D630D1">
              <w:t>75</w:t>
            </w:r>
          </w:p>
        </w:tc>
        <w:tc>
          <w:tcPr>
            <w:tcW w:w="649" w:type="pct"/>
            <w:vAlign w:val="center"/>
          </w:tcPr>
          <w:p w:rsidR="00117C3D" w:rsidRPr="00D630D1" w:rsidRDefault="008B5B84" w:rsidP="00457C87">
            <w:pPr>
              <w:pStyle w:val="aff2"/>
            </w:pPr>
            <w:r w:rsidRPr="00D630D1">
              <w:t>69</w:t>
            </w:r>
          </w:p>
        </w:tc>
        <w:tc>
          <w:tcPr>
            <w:tcW w:w="646" w:type="pct"/>
            <w:vAlign w:val="center"/>
          </w:tcPr>
          <w:p w:rsidR="00117C3D" w:rsidRPr="00D630D1" w:rsidRDefault="008B5B84" w:rsidP="00457C87">
            <w:pPr>
              <w:pStyle w:val="aff2"/>
            </w:pPr>
            <w:r w:rsidRPr="00D630D1">
              <w:t>63</w:t>
            </w:r>
          </w:p>
        </w:tc>
        <w:tc>
          <w:tcPr>
            <w:tcW w:w="646" w:type="pct"/>
            <w:vAlign w:val="center"/>
          </w:tcPr>
          <w:p w:rsidR="00117C3D" w:rsidRPr="00D630D1" w:rsidRDefault="008B5B84" w:rsidP="00457C87">
            <w:pPr>
              <w:pStyle w:val="aff2"/>
            </w:pPr>
            <w:r w:rsidRPr="00D630D1">
              <w:t>57</w:t>
            </w:r>
          </w:p>
        </w:tc>
        <w:tc>
          <w:tcPr>
            <w:tcW w:w="646" w:type="pct"/>
            <w:vAlign w:val="center"/>
          </w:tcPr>
          <w:p w:rsidR="00117C3D" w:rsidRPr="00D630D1" w:rsidRDefault="008B5B84" w:rsidP="00457C87">
            <w:pPr>
              <w:pStyle w:val="aff2"/>
            </w:pPr>
            <w:r w:rsidRPr="00D630D1">
              <w:t>55</w:t>
            </w:r>
          </w:p>
        </w:tc>
        <w:tc>
          <w:tcPr>
            <w:tcW w:w="646" w:type="pct"/>
            <w:vAlign w:val="center"/>
          </w:tcPr>
          <w:p w:rsidR="00117C3D" w:rsidRPr="00D630D1" w:rsidRDefault="008B5B84" w:rsidP="00457C87">
            <w:pPr>
              <w:pStyle w:val="aff2"/>
            </w:pPr>
            <w:r w:rsidRPr="00D630D1">
              <w:t>49</w:t>
            </w:r>
          </w:p>
        </w:tc>
      </w:tr>
      <w:tr w:rsidR="001F4A69" w:rsidRPr="00D630D1" w:rsidTr="00457C87">
        <w:trPr>
          <w:trHeight w:val="20"/>
          <w:jc w:val="center"/>
        </w:trPr>
        <w:tc>
          <w:tcPr>
            <w:tcW w:w="1122" w:type="pct"/>
            <w:vAlign w:val="center"/>
          </w:tcPr>
          <w:p w:rsidR="00117C3D" w:rsidRPr="00D630D1" w:rsidRDefault="008B5B84" w:rsidP="00457C87">
            <w:pPr>
              <w:pStyle w:val="aff2"/>
            </w:pPr>
            <w:r w:rsidRPr="00D630D1">
              <w:t>柴油发电机</w:t>
            </w:r>
          </w:p>
        </w:tc>
        <w:tc>
          <w:tcPr>
            <w:tcW w:w="646" w:type="pct"/>
            <w:vAlign w:val="center"/>
          </w:tcPr>
          <w:p w:rsidR="00117C3D" w:rsidRPr="00D630D1" w:rsidRDefault="008B5B84" w:rsidP="00457C87">
            <w:pPr>
              <w:pStyle w:val="aff2"/>
            </w:pPr>
            <w:r w:rsidRPr="00D630D1">
              <w:t>80</w:t>
            </w:r>
          </w:p>
        </w:tc>
        <w:tc>
          <w:tcPr>
            <w:tcW w:w="649" w:type="pct"/>
            <w:vAlign w:val="center"/>
          </w:tcPr>
          <w:p w:rsidR="00117C3D" w:rsidRPr="00D630D1" w:rsidRDefault="008B5B84" w:rsidP="00457C87">
            <w:pPr>
              <w:pStyle w:val="aff2"/>
            </w:pPr>
            <w:r w:rsidRPr="00D630D1">
              <w:t>74</w:t>
            </w:r>
          </w:p>
        </w:tc>
        <w:tc>
          <w:tcPr>
            <w:tcW w:w="646" w:type="pct"/>
            <w:vAlign w:val="center"/>
          </w:tcPr>
          <w:p w:rsidR="00117C3D" w:rsidRPr="00D630D1" w:rsidRDefault="008B5B84" w:rsidP="00457C87">
            <w:pPr>
              <w:pStyle w:val="aff2"/>
            </w:pPr>
            <w:r w:rsidRPr="00D630D1">
              <w:t>68</w:t>
            </w:r>
          </w:p>
        </w:tc>
        <w:tc>
          <w:tcPr>
            <w:tcW w:w="646" w:type="pct"/>
            <w:vAlign w:val="center"/>
          </w:tcPr>
          <w:p w:rsidR="00117C3D" w:rsidRPr="00D630D1" w:rsidRDefault="008B5B84" w:rsidP="00457C87">
            <w:pPr>
              <w:pStyle w:val="aff2"/>
            </w:pPr>
            <w:r w:rsidRPr="00D630D1">
              <w:t>62</w:t>
            </w:r>
          </w:p>
        </w:tc>
        <w:tc>
          <w:tcPr>
            <w:tcW w:w="646" w:type="pct"/>
            <w:vAlign w:val="center"/>
          </w:tcPr>
          <w:p w:rsidR="00117C3D" w:rsidRPr="00D630D1" w:rsidRDefault="008B5B84" w:rsidP="00457C87">
            <w:pPr>
              <w:pStyle w:val="aff2"/>
            </w:pPr>
            <w:r w:rsidRPr="00D630D1">
              <w:t>60</w:t>
            </w:r>
          </w:p>
        </w:tc>
        <w:tc>
          <w:tcPr>
            <w:tcW w:w="646" w:type="pct"/>
            <w:vAlign w:val="center"/>
          </w:tcPr>
          <w:p w:rsidR="00117C3D" w:rsidRPr="00D630D1" w:rsidRDefault="008B5B84" w:rsidP="00457C87">
            <w:pPr>
              <w:pStyle w:val="aff2"/>
            </w:pPr>
            <w:r w:rsidRPr="00D630D1">
              <w:t>54</w:t>
            </w:r>
          </w:p>
        </w:tc>
      </w:tr>
      <w:tr w:rsidR="001F4A69" w:rsidRPr="00D630D1" w:rsidTr="00457C87">
        <w:trPr>
          <w:trHeight w:val="20"/>
          <w:jc w:val="center"/>
        </w:trPr>
        <w:tc>
          <w:tcPr>
            <w:tcW w:w="1122" w:type="pct"/>
            <w:vAlign w:val="center"/>
          </w:tcPr>
          <w:p w:rsidR="00117C3D" w:rsidRPr="00D630D1" w:rsidRDefault="008B5B84" w:rsidP="00457C87">
            <w:pPr>
              <w:pStyle w:val="aff2"/>
            </w:pPr>
            <w:r w:rsidRPr="00D630D1">
              <w:t>混凝土震动棒</w:t>
            </w:r>
          </w:p>
        </w:tc>
        <w:tc>
          <w:tcPr>
            <w:tcW w:w="646" w:type="pct"/>
            <w:vAlign w:val="center"/>
          </w:tcPr>
          <w:p w:rsidR="00117C3D" w:rsidRPr="00D630D1" w:rsidRDefault="008B5B84" w:rsidP="00457C87">
            <w:pPr>
              <w:pStyle w:val="aff2"/>
            </w:pPr>
            <w:r w:rsidRPr="00D630D1">
              <w:t>85</w:t>
            </w:r>
          </w:p>
        </w:tc>
        <w:tc>
          <w:tcPr>
            <w:tcW w:w="649" w:type="pct"/>
            <w:vAlign w:val="center"/>
          </w:tcPr>
          <w:p w:rsidR="00117C3D" w:rsidRPr="00D630D1" w:rsidRDefault="008B5B84" w:rsidP="00457C87">
            <w:pPr>
              <w:pStyle w:val="aff2"/>
            </w:pPr>
            <w:r w:rsidRPr="00D630D1">
              <w:t>79</w:t>
            </w:r>
          </w:p>
        </w:tc>
        <w:tc>
          <w:tcPr>
            <w:tcW w:w="646" w:type="pct"/>
            <w:vAlign w:val="center"/>
          </w:tcPr>
          <w:p w:rsidR="00117C3D" w:rsidRPr="00D630D1" w:rsidRDefault="008B5B84" w:rsidP="00457C87">
            <w:pPr>
              <w:pStyle w:val="aff2"/>
            </w:pPr>
            <w:r w:rsidRPr="00D630D1">
              <w:t>73</w:t>
            </w:r>
          </w:p>
        </w:tc>
        <w:tc>
          <w:tcPr>
            <w:tcW w:w="646" w:type="pct"/>
            <w:vAlign w:val="center"/>
          </w:tcPr>
          <w:p w:rsidR="00117C3D" w:rsidRPr="00D630D1" w:rsidRDefault="008B5B84" w:rsidP="00457C87">
            <w:pPr>
              <w:pStyle w:val="aff2"/>
            </w:pPr>
            <w:r w:rsidRPr="00D630D1">
              <w:t>67</w:t>
            </w:r>
          </w:p>
        </w:tc>
        <w:tc>
          <w:tcPr>
            <w:tcW w:w="646" w:type="pct"/>
            <w:vAlign w:val="center"/>
          </w:tcPr>
          <w:p w:rsidR="00117C3D" w:rsidRPr="00D630D1" w:rsidRDefault="008B5B84" w:rsidP="00457C87">
            <w:pPr>
              <w:pStyle w:val="aff2"/>
            </w:pPr>
            <w:r w:rsidRPr="00D630D1">
              <w:t>65</w:t>
            </w:r>
          </w:p>
        </w:tc>
        <w:tc>
          <w:tcPr>
            <w:tcW w:w="646" w:type="pct"/>
            <w:vAlign w:val="center"/>
          </w:tcPr>
          <w:p w:rsidR="00117C3D" w:rsidRPr="00D630D1" w:rsidRDefault="008B5B84" w:rsidP="00457C87">
            <w:pPr>
              <w:pStyle w:val="aff2"/>
            </w:pPr>
            <w:r w:rsidRPr="00D630D1">
              <w:t>59</w:t>
            </w:r>
          </w:p>
        </w:tc>
      </w:tr>
    </w:tbl>
    <w:p w:rsidR="00117C3D" w:rsidRPr="00D630D1" w:rsidRDefault="008B5B84" w:rsidP="00457C87">
      <w:pPr>
        <w:pStyle w:val="afa"/>
        <w:ind w:firstLine="480"/>
      </w:pPr>
      <w:r w:rsidRPr="00D630D1">
        <w:t>在线路施工中，使用挖掘机的时间较长，噪声强度较高，持续时间较长，而其它施工机械如混凝土震捣棒、混凝土搅拌机、混凝土翻斗车、切割机、推土机等一般间歇使用，且施工时间较短，故挖掘机施工噪声基本反映了管线施工噪声的影响水平。</w:t>
      </w:r>
    </w:p>
    <w:p w:rsidR="00117C3D" w:rsidRPr="00D630D1" w:rsidRDefault="008B5B84" w:rsidP="00457C87">
      <w:pPr>
        <w:pStyle w:val="afa"/>
        <w:ind w:firstLine="480"/>
      </w:pPr>
      <w:r w:rsidRPr="00D630D1">
        <w:t>从计算结果可以看出：主要机械在</w:t>
      </w:r>
      <w:r w:rsidRPr="00D630D1">
        <w:t>40m</w:t>
      </w:r>
      <w:r w:rsidRPr="00D630D1">
        <w:t>以外均不超过建筑物施工场界昼间噪声限值</w:t>
      </w:r>
      <w:r w:rsidRPr="00D630D1">
        <w:t>75dB</w:t>
      </w:r>
      <w:r w:rsidRPr="00D630D1">
        <w:t>（</w:t>
      </w:r>
      <w:r w:rsidRPr="00D630D1">
        <w:t>A</w:t>
      </w:r>
      <w:r w:rsidRPr="00D630D1">
        <w:t>），而在夜间若不超过</w:t>
      </w:r>
      <w:r w:rsidRPr="00D630D1">
        <w:t>55dB</w:t>
      </w:r>
      <w:r w:rsidRPr="00D630D1">
        <w:t>（</w:t>
      </w:r>
      <w:r w:rsidRPr="00D630D1">
        <w:t>A</w:t>
      </w:r>
      <w:r w:rsidRPr="00D630D1">
        <w:t>）的标准，其距离要远到</w:t>
      </w:r>
      <w:r w:rsidRPr="00D630D1">
        <w:t>200m</w:t>
      </w:r>
      <w:r w:rsidRPr="00D630D1">
        <w:t>以上，且不适用产噪设备较大的混凝土震动棒。</w:t>
      </w:r>
    </w:p>
    <w:p w:rsidR="00117C3D" w:rsidRPr="00D630D1" w:rsidRDefault="008B5B84" w:rsidP="001F4A69">
      <w:pPr>
        <w:pStyle w:val="afa"/>
        <w:ind w:firstLine="480"/>
      </w:pPr>
      <w:r w:rsidRPr="00D630D1">
        <w:t>由于管线所经地区敏感目标主要是农村居住区。对于采用机械施工的地段，预测参照《声环境质量噪声标准》进行评价。</w:t>
      </w:r>
    </w:p>
    <w:p w:rsidR="00117C3D" w:rsidRPr="00D630D1" w:rsidRDefault="008B5B84" w:rsidP="001F4A69">
      <w:pPr>
        <w:pStyle w:val="afa"/>
        <w:ind w:firstLine="480"/>
      </w:pPr>
      <w:r w:rsidRPr="00D630D1">
        <w:t>本项目的施工机械混凝土搅拌机、混凝土翻斗机、切割机和柴油发电机基本在站场施工时使用，使用频率低，挖掘机使用频率最高，因此，以挖掘机为代表说明本项目施工期噪声影响，计算结果可知，本项目施工期设备噪声声级值以施工管道沿线向外逐渐减弱，距声源</w:t>
      </w:r>
      <w:r w:rsidRPr="00D630D1">
        <w:t>200m</w:t>
      </w:r>
      <w:r w:rsidRPr="00D630D1">
        <w:t>以外挖掘机的噪声声级值已低于</w:t>
      </w:r>
      <w:r w:rsidRPr="00D630D1">
        <w:t>54dB</w:t>
      </w:r>
      <w:r w:rsidR="001231CF" w:rsidRPr="00D630D1">
        <w:rPr>
          <w:rFonts w:hint="eastAsia"/>
        </w:rPr>
        <w:t>（</w:t>
      </w:r>
      <w:r w:rsidR="001231CF" w:rsidRPr="00D630D1">
        <w:t>A</w:t>
      </w:r>
      <w:r w:rsidR="001231CF" w:rsidRPr="00D630D1">
        <w:rPr>
          <w:rFonts w:hint="eastAsia"/>
        </w:rPr>
        <w:t>）</w:t>
      </w:r>
      <w:r w:rsidRPr="00D630D1">
        <w:t>。根据调查，管线沿线两侧</w:t>
      </w:r>
      <w:r w:rsidRPr="00D630D1">
        <w:t>200m</w:t>
      </w:r>
      <w:r w:rsidRPr="00D630D1">
        <w:t>内，自然村分布较少，这些敏感点的声环境在施工期会受到施工噪声的影响，噪声水平有不同程度的增加；距管线较近的村庄噪声值会超过标准限值。但是，施工噪声是短暂的且具有分散性，一般在白天施工，不会对夜间声环境产生影响</w:t>
      </w:r>
      <w:r w:rsidR="00F6383E" w:rsidRPr="00D630D1">
        <w:rPr>
          <w:rFonts w:hint="eastAsia"/>
        </w:rPr>
        <w:t>，同时</w:t>
      </w:r>
      <w:r w:rsidR="00F6383E" w:rsidRPr="00D630D1">
        <w:t>施工沿线居民集中点设挡声板</w:t>
      </w:r>
      <w:r w:rsidRPr="00D630D1">
        <w:t>。因此，一般施工噪声对周围居民的生活影响不是很大。</w:t>
      </w:r>
    </w:p>
    <w:p w:rsidR="00117C3D" w:rsidRPr="00D630D1" w:rsidRDefault="008B5B84" w:rsidP="001F4A69">
      <w:pPr>
        <w:pStyle w:val="afa"/>
        <w:ind w:firstLine="480"/>
      </w:pPr>
      <w:r w:rsidRPr="00D630D1">
        <w:t>（</w:t>
      </w:r>
      <w:r w:rsidRPr="00D630D1">
        <w:t>3</w:t>
      </w:r>
      <w:r w:rsidRPr="00D630D1">
        <w:t>）施工期噪声对敏感点影响分析</w:t>
      </w:r>
    </w:p>
    <w:p w:rsidR="00117C3D" w:rsidRPr="00D630D1" w:rsidRDefault="001F4A69" w:rsidP="001F4A69">
      <w:pPr>
        <w:pStyle w:val="afa"/>
        <w:ind w:firstLine="480"/>
      </w:pPr>
      <w:r w:rsidRPr="00D630D1">
        <w:rPr>
          <w:rFonts w:hint="eastAsia"/>
        </w:rPr>
        <w:t>由于本工程施工期较短，施工机械使用较少，同时，项目施工噪声是暂时的，将随着施工期的结束而消失，在采取限值车辆行驶速度、合理安排作业时间、采用低噪声设备等措施后，目施工不会对评价范围内声环境造成明显不利影响。</w:t>
      </w:r>
    </w:p>
    <w:p w:rsidR="0018209F" w:rsidRPr="00D630D1" w:rsidRDefault="0018209F" w:rsidP="0018209F">
      <w:pPr>
        <w:pStyle w:val="afa"/>
        <w:ind w:firstLine="482"/>
      </w:pPr>
      <w:r w:rsidRPr="00D630D1">
        <w:rPr>
          <w:b/>
          <w:bCs/>
        </w:rPr>
        <w:t>6.1.5</w:t>
      </w:r>
      <w:r w:rsidRPr="00D630D1">
        <w:rPr>
          <w:rFonts w:hint="eastAsia"/>
          <w:b/>
          <w:bCs/>
        </w:rPr>
        <w:t>.2</w:t>
      </w:r>
      <w:r w:rsidRPr="00D630D1">
        <w:rPr>
          <w:rFonts w:hint="eastAsia"/>
          <w:b/>
          <w:bCs/>
        </w:rPr>
        <w:t>钻井施工</w:t>
      </w:r>
    </w:p>
    <w:p w:rsidR="0018209F" w:rsidRPr="00D630D1" w:rsidRDefault="0018209F" w:rsidP="0018209F">
      <w:pPr>
        <w:numPr>
          <w:ilvl w:val="4"/>
          <w:numId w:val="0"/>
        </w:numPr>
        <w:topLinePunct w:val="0"/>
        <w:adjustRightInd/>
        <w:snapToGrid w:val="0"/>
        <w:spacing w:line="331" w:lineRule="auto"/>
        <w:ind w:left="26" w:firstLine="400"/>
        <w:rPr>
          <w:rFonts w:ascii="Times New Roman" w:cs="Times New Roman"/>
          <w:kern w:val="2"/>
        </w:rPr>
      </w:pPr>
      <w:r w:rsidRPr="00D630D1">
        <w:rPr>
          <w:rFonts w:ascii="Times New Roman" w:hAnsi="宋体" w:cs="Times New Roman" w:hint="eastAsia"/>
          <w:kern w:val="2"/>
        </w:rPr>
        <w:t>1</w:t>
      </w:r>
      <w:r w:rsidRPr="00D630D1">
        <w:rPr>
          <w:rFonts w:ascii="Times New Roman" w:hAnsi="宋体" w:cs="Times New Roman" w:hint="eastAsia"/>
          <w:kern w:val="2"/>
        </w:rPr>
        <w:t>、</w:t>
      </w:r>
      <w:r w:rsidRPr="00D630D1">
        <w:rPr>
          <w:rFonts w:ascii="Times New Roman" w:hAnsi="宋体" w:cs="Times New Roman"/>
          <w:kern w:val="2"/>
        </w:rPr>
        <w:t>常规钻钻井阶段</w:t>
      </w:r>
    </w:p>
    <w:p w:rsidR="0018209F" w:rsidRPr="00D630D1" w:rsidRDefault="0018209F" w:rsidP="0018209F">
      <w:pPr>
        <w:topLinePunct w:val="0"/>
        <w:snapToGrid w:val="0"/>
        <w:spacing w:line="331" w:lineRule="auto"/>
        <w:ind w:firstLineChars="0" w:firstLine="476"/>
        <w:rPr>
          <w:rFonts w:ascii="Times New Roman" w:cs="Times New Roman"/>
          <w:kern w:val="2"/>
        </w:rPr>
      </w:pPr>
      <w:r w:rsidRPr="00D630D1">
        <w:rPr>
          <w:rFonts w:ascii="Times New Roman" w:hAnsi="宋体" w:cs="Times New Roman"/>
          <w:kern w:val="2"/>
        </w:rPr>
        <w:lastRenderedPageBreak/>
        <w:t>①噪声源强</w:t>
      </w:r>
    </w:p>
    <w:p w:rsidR="0018209F" w:rsidRPr="00D630D1" w:rsidRDefault="0018209F" w:rsidP="0018209F">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t>钻井过程中的噪声主要包括正常钻井施工过程中的机械、设备运行和施工过程产生的噪声，其产生情况为：钻机、振动筛、泥浆泵、离心机以及其他各种机械转动所产生的噪声。设备的噪声值见表</w:t>
      </w:r>
      <w:r w:rsidRPr="00D630D1">
        <w:rPr>
          <w:rFonts w:ascii="Times New Roman" w:cs="Times New Roman"/>
        </w:rPr>
        <w:t>6.</w:t>
      </w:r>
      <w:r w:rsidRPr="00D630D1">
        <w:rPr>
          <w:rFonts w:ascii="Times New Roman" w:cs="Times New Roman" w:hint="eastAsia"/>
        </w:rPr>
        <w:t>1</w:t>
      </w:r>
      <w:r w:rsidRPr="00D630D1">
        <w:rPr>
          <w:rFonts w:ascii="Times New Roman" w:cs="Times New Roman"/>
        </w:rPr>
        <w:t>-</w:t>
      </w:r>
      <w:r w:rsidR="00BE68D7" w:rsidRPr="00D630D1">
        <w:rPr>
          <w:rFonts w:ascii="Times New Roman" w:cs="Times New Roman" w:hint="eastAsia"/>
        </w:rPr>
        <w:t>4</w:t>
      </w:r>
      <w:r w:rsidRPr="00D630D1">
        <w:rPr>
          <w:rFonts w:ascii="Times New Roman" w:hAnsi="宋体" w:cs="Times New Roman"/>
          <w:kern w:val="2"/>
        </w:rPr>
        <w:t>。</w:t>
      </w:r>
    </w:p>
    <w:p w:rsidR="0018209F" w:rsidRPr="00D630D1" w:rsidRDefault="0018209F" w:rsidP="00F96E37">
      <w:pPr>
        <w:topLinePunct w:val="0"/>
        <w:snapToGrid w:val="0"/>
        <w:spacing w:beforeLines="50"/>
        <w:ind w:firstLineChars="0" w:firstLine="480"/>
        <w:jc w:val="center"/>
        <w:rPr>
          <w:rFonts w:ascii="Times New Roman" w:cs="Times New Roman"/>
          <w:kern w:val="2"/>
          <w:sz w:val="21"/>
          <w:szCs w:val="20"/>
        </w:rPr>
      </w:pPr>
      <w:bookmarkStart w:id="492" w:name="_Ref496287886"/>
      <w:r w:rsidRPr="00D630D1">
        <w:rPr>
          <w:rFonts w:ascii="Times New Roman" w:cs="Times New Roman"/>
          <w:kern w:val="2"/>
          <w:sz w:val="21"/>
          <w:szCs w:val="20"/>
        </w:rPr>
        <w:t>表</w:t>
      </w:r>
      <w:bookmarkEnd w:id="492"/>
      <w:r w:rsidRPr="00D630D1">
        <w:rPr>
          <w:rFonts w:ascii="Times New Roman" w:cs="Times New Roman"/>
          <w:kern w:val="2"/>
          <w:sz w:val="21"/>
          <w:szCs w:val="20"/>
        </w:rPr>
        <w:t>6.</w:t>
      </w:r>
      <w:r w:rsidRPr="00D630D1">
        <w:rPr>
          <w:rFonts w:ascii="Times New Roman" w:cs="Times New Roman" w:hint="eastAsia"/>
          <w:kern w:val="2"/>
          <w:sz w:val="21"/>
          <w:szCs w:val="20"/>
        </w:rPr>
        <w:t>1</w:t>
      </w:r>
      <w:r w:rsidRPr="00D630D1">
        <w:rPr>
          <w:rFonts w:ascii="Times New Roman" w:cs="Times New Roman"/>
          <w:kern w:val="2"/>
          <w:sz w:val="21"/>
          <w:szCs w:val="20"/>
        </w:rPr>
        <w:t>-</w:t>
      </w:r>
      <w:r w:rsidR="00BE68D7" w:rsidRPr="00D630D1">
        <w:rPr>
          <w:rFonts w:ascii="Times New Roman" w:cs="Times New Roman" w:hint="eastAsia"/>
          <w:kern w:val="2"/>
          <w:sz w:val="21"/>
          <w:szCs w:val="20"/>
        </w:rPr>
        <w:t>4</w:t>
      </w:r>
      <w:r w:rsidRPr="00D630D1">
        <w:rPr>
          <w:rFonts w:ascii="Times New Roman" w:cs="Times New Roman"/>
          <w:kern w:val="2"/>
          <w:sz w:val="21"/>
          <w:szCs w:val="20"/>
        </w:rPr>
        <w:t xml:space="preserve">  </w:t>
      </w:r>
      <w:r w:rsidRPr="00D630D1">
        <w:rPr>
          <w:rFonts w:ascii="Times New Roman" w:cs="Times New Roman"/>
          <w:kern w:val="2"/>
          <w:sz w:val="21"/>
          <w:szCs w:val="20"/>
        </w:rPr>
        <w:t>常规钻钻井作业过程中采取降噪措施后的噪声源强</w:t>
      </w:r>
    </w:p>
    <w:tbl>
      <w:tblPr>
        <w:tblW w:w="8248" w:type="dxa"/>
        <w:jc w:val="center"/>
        <w:tblBorders>
          <w:top w:val="single" w:sz="4" w:space="0" w:color="auto"/>
          <w:left w:val="single" w:sz="4" w:space="0" w:color="auto"/>
          <w:bottom w:val="single" w:sz="4" w:space="0" w:color="auto"/>
          <w:right w:val="single" w:sz="4" w:space="0" w:color="auto"/>
          <w:insideH w:val="single" w:sz="4" w:space="0" w:color="auto"/>
          <w:insideV w:val="single" w:sz="6" w:space="0" w:color="auto"/>
        </w:tblBorders>
        <w:tblLayout w:type="fixed"/>
        <w:tblCellMar>
          <w:left w:w="6" w:type="dxa"/>
          <w:right w:w="6" w:type="dxa"/>
        </w:tblCellMar>
        <w:tblLook w:val="0000"/>
      </w:tblPr>
      <w:tblGrid>
        <w:gridCol w:w="709"/>
        <w:gridCol w:w="1000"/>
        <w:gridCol w:w="713"/>
        <w:gridCol w:w="1426"/>
        <w:gridCol w:w="1142"/>
        <w:gridCol w:w="1558"/>
        <w:gridCol w:w="1700"/>
      </w:tblGrid>
      <w:tr w:rsidR="0018209F" w:rsidRPr="00D630D1" w:rsidTr="0018209F">
        <w:trPr>
          <w:trHeight w:val="554"/>
          <w:tblHeader/>
          <w:jc w:val="center"/>
        </w:trPr>
        <w:tc>
          <w:tcPr>
            <w:tcW w:w="70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序号</w:t>
            </w:r>
          </w:p>
        </w:tc>
        <w:tc>
          <w:tcPr>
            <w:tcW w:w="10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声源名称</w:t>
            </w:r>
          </w:p>
        </w:tc>
        <w:tc>
          <w:tcPr>
            <w:tcW w:w="713"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数量（台）</w:t>
            </w:r>
          </w:p>
        </w:tc>
        <w:tc>
          <w:tcPr>
            <w:tcW w:w="142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降噪前声级</w:t>
            </w:r>
          </w:p>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w:t>
            </w:r>
            <w:r w:rsidRPr="00D630D1">
              <w:rPr>
                <w:rFonts w:ascii="Times New Roman" w:cs="Times New Roman"/>
                <w:kern w:val="2"/>
                <w:sz w:val="21"/>
                <w:szCs w:val="21"/>
              </w:rPr>
              <w:t>dB</w:t>
            </w:r>
            <w:r w:rsidRPr="00D630D1">
              <w:rPr>
                <w:rFonts w:ascii="Times New Roman" w:hAnsi="宋体" w:cs="Times New Roman"/>
                <w:kern w:val="2"/>
                <w:sz w:val="21"/>
                <w:szCs w:val="21"/>
              </w:rPr>
              <w:t>（</w:t>
            </w:r>
            <w:r w:rsidRPr="00D630D1">
              <w:rPr>
                <w:rFonts w:ascii="Times New Roman" w:cs="Times New Roman"/>
                <w:kern w:val="2"/>
                <w:sz w:val="21"/>
                <w:szCs w:val="21"/>
              </w:rPr>
              <w:t>A</w:t>
            </w:r>
            <w:r w:rsidRPr="00D630D1">
              <w:rPr>
                <w:rFonts w:ascii="Times New Roman" w:hAnsi="宋体" w:cs="Times New Roman"/>
                <w:kern w:val="2"/>
                <w:sz w:val="21"/>
                <w:szCs w:val="21"/>
              </w:rPr>
              <w:t>））</w:t>
            </w:r>
          </w:p>
        </w:tc>
        <w:tc>
          <w:tcPr>
            <w:tcW w:w="1142"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声源高度（</w:t>
            </w:r>
            <w:r w:rsidRPr="00D630D1">
              <w:rPr>
                <w:rFonts w:ascii="Times New Roman" w:cs="Times New Roman"/>
                <w:kern w:val="2"/>
                <w:sz w:val="21"/>
                <w:szCs w:val="21"/>
              </w:rPr>
              <w:t>m</w:t>
            </w:r>
            <w:r w:rsidRPr="00D630D1">
              <w:rPr>
                <w:rFonts w:ascii="Times New Roman" w:hAnsi="宋体" w:cs="Times New Roman"/>
                <w:kern w:val="2"/>
                <w:sz w:val="21"/>
                <w:szCs w:val="21"/>
              </w:rPr>
              <w:t>）</w:t>
            </w:r>
          </w:p>
        </w:tc>
        <w:tc>
          <w:tcPr>
            <w:tcW w:w="155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降噪措施</w:t>
            </w:r>
          </w:p>
        </w:tc>
        <w:tc>
          <w:tcPr>
            <w:tcW w:w="17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降噪后声级</w:t>
            </w:r>
          </w:p>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w:t>
            </w:r>
            <w:r w:rsidRPr="00D630D1">
              <w:rPr>
                <w:rFonts w:ascii="Times New Roman" w:cs="Times New Roman"/>
                <w:kern w:val="2"/>
                <w:sz w:val="21"/>
                <w:szCs w:val="21"/>
              </w:rPr>
              <w:t>dB</w:t>
            </w:r>
            <w:r w:rsidRPr="00D630D1">
              <w:rPr>
                <w:rFonts w:ascii="Times New Roman" w:hAnsi="宋体" w:cs="Times New Roman"/>
                <w:kern w:val="2"/>
                <w:sz w:val="21"/>
                <w:szCs w:val="21"/>
              </w:rPr>
              <w:t>（</w:t>
            </w:r>
            <w:r w:rsidRPr="00D630D1">
              <w:rPr>
                <w:rFonts w:ascii="Times New Roman" w:cs="Times New Roman"/>
                <w:kern w:val="2"/>
                <w:sz w:val="21"/>
                <w:szCs w:val="21"/>
              </w:rPr>
              <w:t>A</w:t>
            </w:r>
            <w:r w:rsidRPr="00D630D1">
              <w:rPr>
                <w:rFonts w:ascii="Times New Roman" w:hAnsi="宋体" w:cs="Times New Roman"/>
                <w:kern w:val="2"/>
                <w:sz w:val="21"/>
                <w:szCs w:val="21"/>
              </w:rPr>
              <w:t>））</w:t>
            </w:r>
          </w:p>
        </w:tc>
      </w:tr>
      <w:tr w:rsidR="0018209F" w:rsidRPr="00D630D1" w:rsidTr="0018209F">
        <w:trPr>
          <w:trHeight w:val="277"/>
          <w:jc w:val="center"/>
        </w:trPr>
        <w:tc>
          <w:tcPr>
            <w:tcW w:w="70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p>
        </w:tc>
        <w:tc>
          <w:tcPr>
            <w:tcW w:w="10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钻机</w:t>
            </w:r>
          </w:p>
        </w:tc>
        <w:tc>
          <w:tcPr>
            <w:tcW w:w="713"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p>
        </w:tc>
        <w:tc>
          <w:tcPr>
            <w:tcW w:w="142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95</w:t>
            </w:r>
          </w:p>
        </w:tc>
        <w:tc>
          <w:tcPr>
            <w:tcW w:w="1142"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w:t>
            </w:r>
          </w:p>
        </w:tc>
        <w:tc>
          <w:tcPr>
            <w:tcW w:w="155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17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95</w:t>
            </w:r>
          </w:p>
        </w:tc>
      </w:tr>
      <w:tr w:rsidR="0018209F" w:rsidRPr="00D630D1" w:rsidTr="0018209F">
        <w:trPr>
          <w:trHeight w:val="277"/>
          <w:jc w:val="center"/>
        </w:trPr>
        <w:tc>
          <w:tcPr>
            <w:tcW w:w="70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10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泥浆泵</w:t>
            </w:r>
          </w:p>
        </w:tc>
        <w:tc>
          <w:tcPr>
            <w:tcW w:w="713"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w:t>
            </w:r>
          </w:p>
        </w:tc>
        <w:tc>
          <w:tcPr>
            <w:tcW w:w="142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95</w:t>
            </w:r>
          </w:p>
        </w:tc>
        <w:tc>
          <w:tcPr>
            <w:tcW w:w="1142"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155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加衬弹性垫料</w:t>
            </w:r>
          </w:p>
        </w:tc>
        <w:tc>
          <w:tcPr>
            <w:tcW w:w="17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80</w:t>
            </w:r>
            <w:r w:rsidRPr="00D630D1">
              <w:rPr>
                <w:rFonts w:ascii="Times New Roman" w:hAnsi="宋体" w:cs="Times New Roman"/>
                <w:kern w:val="2"/>
                <w:sz w:val="21"/>
                <w:szCs w:val="21"/>
              </w:rPr>
              <w:t>～</w:t>
            </w:r>
            <w:r w:rsidRPr="00D630D1">
              <w:rPr>
                <w:rFonts w:ascii="Times New Roman" w:cs="Times New Roman"/>
                <w:kern w:val="2"/>
                <w:sz w:val="21"/>
                <w:szCs w:val="21"/>
              </w:rPr>
              <w:t>90</w:t>
            </w:r>
          </w:p>
        </w:tc>
      </w:tr>
      <w:tr w:rsidR="0018209F" w:rsidRPr="00D630D1" w:rsidTr="0018209F">
        <w:trPr>
          <w:trHeight w:val="277"/>
          <w:jc w:val="center"/>
        </w:trPr>
        <w:tc>
          <w:tcPr>
            <w:tcW w:w="70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w:t>
            </w:r>
          </w:p>
        </w:tc>
        <w:tc>
          <w:tcPr>
            <w:tcW w:w="10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振动筛</w:t>
            </w:r>
          </w:p>
        </w:tc>
        <w:tc>
          <w:tcPr>
            <w:tcW w:w="713"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w:t>
            </w:r>
          </w:p>
        </w:tc>
        <w:tc>
          <w:tcPr>
            <w:tcW w:w="142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80</w:t>
            </w:r>
            <w:r w:rsidRPr="00D630D1">
              <w:rPr>
                <w:rFonts w:ascii="Times New Roman" w:hAnsi="宋体" w:cs="Times New Roman"/>
                <w:kern w:val="2"/>
                <w:sz w:val="21"/>
                <w:szCs w:val="21"/>
              </w:rPr>
              <w:t>～</w:t>
            </w:r>
            <w:r w:rsidRPr="00D630D1">
              <w:rPr>
                <w:rFonts w:ascii="Times New Roman" w:cs="Times New Roman"/>
                <w:kern w:val="2"/>
                <w:sz w:val="21"/>
                <w:szCs w:val="21"/>
              </w:rPr>
              <w:t>90</w:t>
            </w:r>
          </w:p>
        </w:tc>
        <w:tc>
          <w:tcPr>
            <w:tcW w:w="1142"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155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加衬弹性垫料</w:t>
            </w:r>
          </w:p>
        </w:tc>
        <w:tc>
          <w:tcPr>
            <w:tcW w:w="17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75</w:t>
            </w:r>
            <w:r w:rsidRPr="00D630D1">
              <w:rPr>
                <w:rFonts w:ascii="Times New Roman" w:hAnsi="宋体" w:cs="Times New Roman"/>
                <w:kern w:val="2"/>
                <w:sz w:val="21"/>
                <w:szCs w:val="21"/>
              </w:rPr>
              <w:t>～</w:t>
            </w:r>
            <w:r w:rsidRPr="00D630D1">
              <w:rPr>
                <w:rFonts w:ascii="Times New Roman" w:cs="Times New Roman"/>
                <w:kern w:val="2"/>
                <w:sz w:val="21"/>
                <w:szCs w:val="21"/>
              </w:rPr>
              <w:t>85</w:t>
            </w:r>
          </w:p>
        </w:tc>
      </w:tr>
      <w:tr w:rsidR="0018209F" w:rsidRPr="00D630D1" w:rsidTr="0018209F">
        <w:trPr>
          <w:trHeight w:val="293"/>
          <w:jc w:val="center"/>
        </w:trPr>
        <w:tc>
          <w:tcPr>
            <w:tcW w:w="70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w:t>
            </w:r>
          </w:p>
        </w:tc>
        <w:tc>
          <w:tcPr>
            <w:tcW w:w="10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离心机</w:t>
            </w:r>
          </w:p>
        </w:tc>
        <w:tc>
          <w:tcPr>
            <w:tcW w:w="713"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142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80</w:t>
            </w:r>
            <w:r w:rsidRPr="00D630D1">
              <w:rPr>
                <w:rFonts w:ascii="Times New Roman" w:hAnsi="宋体" w:cs="Times New Roman"/>
                <w:kern w:val="2"/>
                <w:sz w:val="21"/>
                <w:szCs w:val="21"/>
              </w:rPr>
              <w:t>～</w:t>
            </w:r>
            <w:r w:rsidRPr="00D630D1">
              <w:rPr>
                <w:rFonts w:ascii="Times New Roman" w:cs="Times New Roman"/>
                <w:kern w:val="2"/>
                <w:sz w:val="21"/>
                <w:szCs w:val="21"/>
              </w:rPr>
              <w:t>90</w:t>
            </w:r>
          </w:p>
        </w:tc>
        <w:tc>
          <w:tcPr>
            <w:tcW w:w="1142"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155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加衬弹性垫料</w:t>
            </w:r>
          </w:p>
        </w:tc>
        <w:tc>
          <w:tcPr>
            <w:tcW w:w="17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75</w:t>
            </w:r>
            <w:r w:rsidRPr="00D630D1">
              <w:rPr>
                <w:rFonts w:ascii="Times New Roman" w:hAnsi="宋体" w:cs="Times New Roman"/>
                <w:kern w:val="2"/>
                <w:sz w:val="21"/>
                <w:szCs w:val="21"/>
              </w:rPr>
              <w:t>～</w:t>
            </w:r>
            <w:r w:rsidRPr="00D630D1">
              <w:rPr>
                <w:rFonts w:ascii="Times New Roman" w:cs="Times New Roman"/>
                <w:kern w:val="2"/>
                <w:sz w:val="21"/>
                <w:szCs w:val="21"/>
              </w:rPr>
              <w:t>85</w:t>
            </w:r>
          </w:p>
        </w:tc>
      </w:tr>
    </w:tbl>
    <w:p w:rsidR="0018209F" w:rsidRPr="00D630D1" w:rsidRDefault="0018209F" w:rsidP="0018209F">
      <w:pPr>
        <w:topLinePunct w:val="0"/>
        <w:snapToGrid w:val="0"/>
        <w:spacing w:line="331" w:lineRule="auto"/>
        <w:ind w:firstLineChars="197" w:firstLine="473"/>
        <w:rPr>
          <w:rFonts w:ascii="Times New Roman" w:cs="Times New Roman"/>
          <w:kern w:val="2"/>
        </w:rPr>
      </w:pPr>
      <w:r w:rsidRPr="00D630D1">
        <w:rPr>
          <w:rFonts w:hAnsi="宋体" w:cs="Times New Roman" w:hint="eastAsia"/>
          <w:kern w:val="2"/>
        </w:rPr>
        <w:t>②</w:t>
      </w:r>
      <w:r w:rsidRPr="00D630D1">
        <w:rPr>
          <w:rFonts w:ascii="Times New Roman" w:hAnsi="宋体" w:cs="Times New Roman"/>
          <w:kern w:val="2"/>
        </w:rPr>
        <w:t>预测结果</w:t>
      </w:r>
    </w:p>
    <w:p w:rsidR="0018209F" w:rsidRPr="00D630D1" w:rsidRDefault="0018209F" w:rsidP="0018209F">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t>井场四周环境噪声预测结果见表</w:t>
      </w:r>
      <w:r w:rsidRPr="00D630D1">
        <w:rPr>
          <w:rFonts w:ascii="Times New Roman" w:cs="Times New Roman"/>
        </w:rPr>
        <w:t>6.</w:t>
      </w:r>
      <w:r w:rsidRPr="00D630D1">
        <w:rPr>
          <w:rFonts w:ascii="Times New Roman" w:cs="Times New Roman" w:hint="eastAsia"/>
        </w:rPr>
        <w:t>1</w:t>
      </w:r>
      <w:r w:rsidRPr="00D630D1">
        <w:rPr>
          <w:rFonts w:ascii="Times New Roman" w:cs="Times New Roman"/>
        </w:rPr>
        <w:t>-</w:t>
      </w:r>
      <w:r w:rsidR="00BE68D7" w:rsidRPr="00D630D1">
        <w:rPr>
          <w:rFonts w:ascii="Times New Roman" w:cs="Times New Roman" w:hint="eastAsia"/>
        </w:rPr>
        <w:t>5</w:t>
      </w:r>
      <w:r w:rsidRPr="00D630D1">
        <w:rPr>
          <w:rFonts w:ascii="Times New Roman" w:hAnsi="宋体" w:cs="Times New Roman"/>
          <w:kern w:val="2"/>
        </w:rPr>
        <w:t>。</w:t>
      </w:r>
    </w:p>
    <w:p w:rsidR="0018209F" w:rsidRPr="00D630D1" w:rsidRDefault="0018209F" w:rsidP="0018209F">
      <w:pPr>
        <w:topLinePunct w:val="0"/>
        <w:adjustRightInd/>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表</w:t>
      </w:r>
      <w:r w:rsidRPr="00D630D1">
        <w:rPr>
          <w:rFonts w:ascii="Times New Roman" w:cs="Times New Roman"/>
          <w:bCs/>
          <w:kern w:val="2"/>
          <w:sz w:val="21"/>
        </w:rPr>
        <w:t>6.</w:t>
      </w:r>
      <w:r w:rsidRPr="00D630D1">
        <w:rPr>
          <w:rFonts w:ascii="Times New Roman" w:cs="Times New Roman" w:hint="eastAsia"/>
          <w:bCs/>
          <w:kern w:val="2"/>
          <w:sz w:val="21"/>
        </w:rPr>
        <w:t>1</w:t>
      </w:r>
      <w:r w:rsidRPr="00D630D1">
        <w:rPr>
          <w:rFonts w:ascii="Times New Roman" w:cs="Times New Roman"/>
          <w:bCs/>
          <w:kern w:val="2"/>
          <w:sz w:val="21"/>
        </w:rPr>
        <w:t>-</w:t>
      </w:r>
      <w:r w:rsidR="00BE68D7" w:rsidRPr="00D630D1">
        <w:rPr>
          <w:rFonts w:ascii="Times New Roman" w:cs="Times New Roman" w:hint="eastAsia"/>
          <w:bCs/>
          <w:kern w:val="2"/>
          <w:sz w:val="21"/>
        </w:rPr>
        <w:t>5</w:t>
      </w:r>
      <w:r w:rsidRPr="00D630D1">
        <w:rPr>
          <w:rFonts w:ascii="Times New Roman" w:cs="Times New Roman"/>
          <w:bCs/>
          <w:kern w:val="2"/>
          <w:sz w:val="21"/>
        </w:rPr>
        <w:t xml:space="preserve">  </w:t>
      </w:r>
      <w:r w:rsidRPr="00D630D1">
        <w:rPr>
          <w:rFonts w:ascii="Times New Roman" w:cs="Times New Roman"/>
          <w:kern w:val="2"/>
          <w:sz w:val="21"/>
        </w:rPr>
        <w:t>钻井工程噪声预测（常规钻）</w:t>
      </w:r>
      <w:r w:rsidRPr="00D630D1">
        <w:rPr>
          <w:rFonts w:ascii="Times New Roman" w:cs="Times New Roman"/>
          <w:bCs/>
          <w:kern w:val="2"/>
          <w:sz w:val="21"/>
        </w:rPr>
        <w:t xml:space="preserve">    </w:t>
      </w:r>
      <w:r w:rsidRPr="00D630D1">
        <w:rPr>
          <w:rFonts w:ascii="Times New Roman" w:cs="Times New Roman"/>
          <w:bCs/>
          <w:kern w:val="2"/>
          <w:sz w:val="21"/>
        </w:rPr>
        <w:t>单位：</w:t>
      </w:r>
      <w:r w:rsidRPr="00D630D1">
        <w:rPr>
          <w:rFonts w:ascii="Times New Roman" w:cs="Times New Roman"/>
          <w:bCs/>
          <w:kern w:val="2"/>
          <w:sz w:val="21"/>
        </w:rPr>
        <w:t>dB(A)</w:t>
      </w:r>
    </w:p>
    <w:tbl>
      <w:tblPr>
        <w:tblW w:w="8080" w:type="dxa"/>
        <w:jc w:val="center"/>
        <w:tblInd w:w="4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992"/>
        <w:gridCol w:w="1326"/>
        <w:gridCol w:w="1098"/>
        <w:gridCol w:w="1196"/>
        <w:gridCol w:w="1189"/>
        <w:gridCol w:w="1080"/>
        <w:gridCol w:w="1199"/>
      </w:tblGrid>
      <w:tr w:rsidR="0018209F" w:rsidRPr="00D630D1" w:rsidTr="0018209F">
        <w:trPr>
          <w:trHeight w:val="441"/>
          <w:jc w:val="center"/>
        </w:trPr>
        <w:tc>
          <w:tcPr>
            <w:tcW w:w="992" w:type="dxa"/>
            <w:vMerge w:val="restart"/>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噪声源</w:t>
            </w:r>
          </w:p>
        </w:tc>
        <w:tc>
          <w:tcPr>
            <w:tcW w:w="1326" w:type="dxa"/>
            <w:vMerge w:val="restart"/>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源强（采取各种措施衰减后）</w:t>
            </w:r>
          </w:p>
        </w:tc>
        <w:tc>
          <w:tcPr>
            <w:tcW w:w="4563" w:type="dxa"/>
            <w:gridSpan w:val="4"/>
            <w:tcBorders>
              <w:bottom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在各厂界噪声贡献值</w:t>
            </w:r>
          </w:p>
        </w:tc>
        <w:tc>
          <w:tcPr>
            <w:tcW w:w="1199" w:type="dxa"/>
            <w:vMerge w:val="restart"/>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达标情况</w:t>
            </w:r>
          </w:p>
        </w:tc>
      </w:tr>
      <w:tr w:rsidR="0018209F" w:rsidRPr="00D630D1" w:rsidTr="0018209F">
        <w:trPr>
          <w:trHeight w:val="182"/>
          <w:jc w:val="center"/>
        </w:trPr>
        <w:tc>
          <w:tcPr>
            <w:tcW w:w="992" w:type="dxa"/>
            <w:vMerge/>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p>
        </w:tc>
        <w:tc>
          <w:tcPr>
            <w:tcW w:w="1326" w:type="dxa"/>
            <w:vMerge/>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p>
        </w:tc>
        <w:tc>
          <w:tcPr>
            <w:tcW w:w="1098" w:type="dxa"/>
            <w:tcBorders>
              <w:top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东厂界</w:t>
            </w:r>
          </w:p>
        </w:tc>
        <w:tc>
          <w:tcPr>
            <w:tcW w:w="1196" w:type="dxa"/>
            <w:tcBorders>
              <w:top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南厂界</w:t>
            </w:r>
          </w:p>
        </w:tc>
        <w:tc>
          <w:tcPr>
            <w:tcW w:w="1189" w:type="dxa"/>
            <w:tcBorders>
              <w:top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西厂界</w:t>
            </w:r>
          </w:p>
        </w:tc>
        <w:tc>
          <w:tcPr>
            <w:tcW w:w="1080" w:type="dxa"/>
            <w:tcBorders>
              <w:top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北厂界</w:t>
            </w:r>
          </w:p>
        </w:tc>
        <w:tc>
          <w:tcPr>
            <w:tcW w:w="1199" w:type="dxa"/>
            <w:vMerge/>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p>
        </w:tc>
      </w:tr>
      <w:tr w:rsidR="00FD4E4E" w:rsidRPr="00D630D1" w:rsidTr="0018209F">
        <w:trPr>
          <w:trHeight w:val="274"/>
          <w:jc w:val="center"/>
        </w:trPr>
        <w:tc>
          <w:tcPr>
            <w:tcW w:w="992"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钻机</w:t>
            </w:r>
          </w:p>
        </w:tc>
        <w:tc>
          <w:tcPr>
            <w:tcW w:w="1326"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95</w:t>
            </w:r>
          </w:p>
        </w:tc>
        <w:tc>
          <w:tcPr>
            <w:tcW w:w="1098" w:type="dxa"/>
            <w:shd w:val="clear" w:color="auto" w:fill="auto"/>
            <w:vAlign w:val="center"/>
          </w:tcPr>
          <w:p w:rsidR="00FD4E4E" w:rsidRPr="00D630D1" w:rsidRDefault="00FD4E4E" w:rsidP="00FD4E4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64.1</w:t>
            </w:r>
          </w:p>
        </w:tc>
        <w:tc>
          <w:tcPr>
            <w:tcW w:w="1196"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58.5</w:t>
            </w:r>
          </w:p>
        </w:tc>
        <w:tc>
          <w:tcPr>
            <w:tcW w:w="1189"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64.3</w:t>
            </w:r>
          </w:p>
        </w:tc>
        <w:tc>
          <w:tcPr>
            <w:tcW w:w="1080"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63.3</w:t>
            </w:r>
          </w:p>
        </w:tc>
        <w:tc>
          <w:tcPr>
            <w:tcW w:w="1199" w:type="dxa"/>
            <w:vMerge w:val="restart"/>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昼间达标，夜间超标</w:t>
            </w:r>
          </w:p>
        </w:tc>
      </w:tr>
      <w:tr w:rsidR="00FD4E4E" w:rsidRPr="00D630D1" w:rsidTr="0018209F">
        <w:trPr>
          <w:trHeight w:val="91"/>
          <w:jc w:val="center"/>
        </w:trPr>
        <w:tc>
          <w:tcPr>
            <w:tcW w:w="992"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泥浆泵</w:t>
            </w:r>
          </w:p>
        </w:tc>
        <w:tc>
          <w:tcPr>
            <w:tcW w:w="1326"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80</w:t>
            </w:r>
            <w:r w:rsidRPr="00D630D1">
              <w:rPr>
                <w:rFonts w:ascii="Times New Roman" w:hAnsi="宋体" w:cs="Times New Roman"/>
                <w:kern w:val="2"/>
                <w:sz w:val="21"/>
                <w:szCs w:val="21"/>
              </w:rPr>
              <w:t>～</w:t>
            </w:r>
            <w:r w:rsidRPr="00D630D1">
              <w:rPr>
                <w:rFonts w:ascii="Times New Roman" w:cs="Times New Roman"/>
                <w:kern w:val="2"/>
                <w:sz w:val="21"/>
                <w:szCs w:val="21"/>
              </w:rPr>
              <w:t>90</w:t>
            </w:r>
          </w:p>
        </w:tc>
        <w:tc>
          <w:tcPr>
            <w:tcW w:w="1098" w:type="dxa"/>
            <w:shd w:val="clear" w:color="auto" w:fill="auto"/>
            <w:vAlign w:val="center"/>
          </w:tcPr>
          <w:p w:rsidR="00FD4E4E" w:rsidRPr="00D630D1" w:rsidRDefault="00FD4E4E" w:rsidP="00FD4E4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58.9</w:t>
            </w:r>
          </w:p>
        </w:tc>
        <w:tc>
          <w:tcPr>
            <w:tcW w:w="1196"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53.6</w:t>
            </w:r>
          </w:p>
        </w:tc>
        <w:tc>
          <w:tcPr>
            <w:tcW w:w="1189"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59.8</w:t>
            </w:r>
          </w:p>
        </w:tc>
        <w:tc>
          <w:tcPr>
            <w:tcW w:w="1080"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57.9</w:t>
            </w:r>
          </w:p>
        </w:tc>
        <w:tc>
          <w:tcPr>
            <w:tcW w:w="1199" w:type="dxa"/>
            <w:vMerge/>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p>
        </w:tc>
      </w:tr>
      <w:tr w:rsidR="00FD4E4E" w:rsidRPr="00D630D1" w:rsidTr="0018209F">
        <w:trPr>
          <w:trHeight w:val="274"/>
          <w:jc w:val="center"/>
        </w:trPr>
        <w:tc>
          <w:tcPr>
            <w:tcW w:w="992"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振动筛</w:t>
            </w:r>
          </w:p>
        </w:tc>
        <w:tc>
          <w:tcPr>
            <w:tcW w:w="1326"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75</w:t>
            </w:r>
            <w:r w:rsidRPr="00D630D1">
              <w:rPr>
                <w:rFonts w:ascii="Times New Roman" w:hAnsi="宋体" w:cs="Times New Roman"/>
                <w:kern w:val="2"/>
                <w:sz w:val="21"/>
                <w:szCs w:val="21"/>
              </w:rPr>
              <w:t>～</w:t>
            </w:r>
            <w:r w:rsidRPr="00D630D1">
              <w:rPr>
                <w:rFonts w:ascii="Times New Roman" w:cs="Times New Roman"/>
                <w:kern w:val="2"/>
                <w:sz w:val="21"/>
                <w:szCs w:val="21"/>
              </w:rPr>
              <w:t>85</w:t>
            </w:r>
          </w:p>
        </w:tc>
        <w:tc>
          <w:tcPr>
            <w:tcW w:w="1098" w:type="dxa"/>
            <w:shd w:val="clear" w:color="auto" w:fill="auto"/>
            <w:vAlign w:val="center"/>
          </w:tcPr>
          <w:p w:rsidR="00FD4E4E" w:rsidRPr="00D630D1" w:rsidRDefault="00FD4E4E" w:rsidP="00FD4E4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54.2</w:t>
            </w:r>
          </w:p>
        </w:tc>
        <w:tc>
          <w:tcPr>
            <w:tcW w:w="1196"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48.8</w:t>
            </w:r>
          </w:p>
        </w:tc>
        <w:tc>
          <w:tcPr>
            <w:tcW w:w="1189"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54.5</w:t>
            </w:r>
          </w:p>
        </w:tc>
        <w:tc>
          <w:tcPr>
            <w:tcW w:w="1080"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52.6</w:t>
            </w:r>
          </w:p>
        </w:tc>
        <w:tc>
          <w:tcPr>
            <w:tcW w:w="1199" w:type="dxa"/>
            <w:vMerge/>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p>
        </w:tc>
      </w:tr>
      <w:tr w:rsidR="00FD4E4E" w:rsidRPr="00D630D1" w:rsidTr="0018209F">
        <w:trPr>
          <w:trHeight w:val="274"/>
          <w:jc w:val="center"/>
        </w:trPr>
        <w:tc>
          <w:tcPr>
            <w:tcW w:w="992"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离心机</w:t>
            </w:r>
          </w:p>
        </w:tc>
        <w:tc>
          <w:tcPr>
            <w:tcW w:w="1326"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75</w:t>
            </w:r>
            <w:r w:rsidRPr="00D630D1">
              <w:rPr>
                <w:rFonts w:ascii="Times New Roman" w:hAnsi="宋体" w:cs="Times New Roman"/>
                <w:kern w:val="2"/>
                <w:sz w:val="21"/>
                <w:szCs w:val="21"/>
              </w:rPr>
              <w:t>～</w:t>
            </w:r>
            <w:r w:rsidRPr="00D630D1">
              <w:rPr>
                <w:rFonts w:ascii="Times New Roman" w:cs="Times New Roman"/>
                <w:kern w:val="2"/>
                <w:sz w:val="21"/>
                <w:szCs w:val="21"/>
              </w:rPr>
              <w:t>85</w:t>
            </w:r>
          </w:p>
        </w:tc>
        <w:tc>
          <w:tcPr>
            <w:tcW w:w="1098" w:type="dxa"/>
            <w:shd w:val="clear" w:color="auto" w:fill="auto"/>
            <w:vAlign w:val="center"/>
          </w:tcPr>
          <w:p w:rsidR="00FD4E4E" w:rsidRPr="00D630D1" w:rsidRDefault="00FD4E4E" w:rsidP="00FD4E4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53.8</w:t>
            </w:r>
          </w:p>
        </w:tc>
        <w:tc>
          <w:tcPr>
            <w:tcW w:w="1196"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50.9</w:t>
            </w:r>
          </w:p>
        </w:tc>
        <w:tc>
          <w:tcPr>
            <w:tcW w:w="1189"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54.2</w:t>
            </w:r>
          </w:p>
        </w:tc>
        <w:tc>
          <w:tcPr>
            <w:tcW w:w="1080"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50.6</w:t>
            </w:r>
          </w:p>
        </w:tc>
        <w:tc>
          <w:tcPr>
            <w:tcW w:w="1199" w:type="dxa"/>
            <w:vMerge/>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p>
        </w:tc>
      </w:tr>
      <w:tr w:rsidR="00FD4E4E" w:rsidRPr="00D630D1" w:rsidTr="0018209F">
        <w:trPr>
          <w:trHeight w:val="274"/>
          <w:jc w:val="center"/>
        </w:trPr>
        <w:tc>
          <w:tcPr>
            <w:tcW w:w="2318" w:type="dxa"/>
            <w:gridSpan w:val="2"/>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叠加值</w:t>
            </w:r>
          </w:p>
        </w:tc>
        <w:tc>
          <w:tcPr>
            <w:tcW w:w="1098" w:type="dxa"/>
            <w:shd w:val="clear" w:color="auto" w:fill="auto"/>
            <w:vAlign w:val="center"/>
          </w:tcPr>
          <w:p w:rsidR="00FD4E4E" w:rsidRPr="00D630D1" w:rsidRDefault="00FD4E4E" w:rsidP="00FD4E4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65.2</w:t>
            </w:r>
          </w:p>
        </w:tc>
        <w:tc>
          <w:tcPr>
            <w:tcW w:w="1196"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59.6</w:t>
            </w:r>
          </w:p>
        </w:tc>
        <w:tc>
          <w:tcPr>
            <w:tcW w:w="1189"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65.</w:t>
            </w:r>
            <w:r w:rsidRPr="00D630D1">
              <w:rPr>
                <w:rFonts w:ascii="Times New Roman" w:cs="Times New Roman" w:hint="eastAsia"/>
                <w:kern w:val="2"/>
                <w:sz w:val="21"/>
              </w:rPr>
              <w:t>5</w:t>
            </w:r>
          </w:p>
        </w:tc>
        <w:tc>
          <w:tcPr>
            <w:tcW w:w="1080"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64.2</w:t>
            </w:r>
          </w:p>
        </w:tc>
        <w:tc>
          <w:tcPr>
            <w:tcW w:w="1199" w:type="dxa"/>
            <w:vMerge/>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p>
        </w:tc>
      </w:tr>
    </w:tbl>
    <w:p w:rsidR="0018209F" w:rsidRPr="00D630D1" w:rsidRDefault="0018209F" w:rsidP="0018209F">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t>预测结果表明：常规钻钻井过程中井场东、南、西、北边界噪声贡献值分别为</w:t>
      </w:r>
      <w:r w:rsidR="00FD4E4E" w:rsidRPr="00D630D1">
        <w:rPr>
          <w:rFonts w:ascii="Times New Roman" w:cs="Times New Roman"/>
          <w:kern w:val="2"/>
        </w:rPr>
        <w:t>65.2dB</w:t>
      </w:r>
      <w:r w:rsidR="00FD4E4E" w:rsidRPr="00D630D1">
        <w:rPr>
          <w:rFonts w:ascii="Times New Roman" w:hAnsi="宋体" w:cs="Times New Roman"/>
          <w:kern w:val="2"/>
        </w:rPr>
        <w:t>（</w:t>
      </w:r>
      <w:r w:rsidR="00FD4E4E" w:rsidRPr="00D630D1">
        <w:rPr>
          <w:rFonts w:ascii="Times New Roman" w:cs="Times New Roman"/>
          <w:kern w:val="2"/>
        </w:rPr>
        <w:t>A</w:t>
      </w:r>
      <w:r w:rsidR="00FD4E4E" w:rsidRPr="00D630D1">
        <w:rPr>
          <w:rFonts w:ascii="Times New Roman" w:hAnsi="宋体" w:cs="Times New Roman"/>
          <w:kern w:val="2"/>
        </w:rPr>
        <w:t>）、</w:t>
      </w:r>
      <w:r w:rsidRPr="00D630D1">
        <w:rPr>
          <w:rFonts w:ascii="Times New Roman" w:cs="Times New Roman"/>
          <w:kern w:val="2"/>
        </w:rPr>
        <w:t>59.6dB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w:t>
      </w:r>
      <w:r w:rsidRPr="00D630D1">
        <w:rPr>
          <w:rFonts w:ascii="Times New Roman" w:cs="Times New Roman"/>
          <w:kern w:val="2"/>
        </w:rPr>
        <w:t>65.5dB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w:t>
      </w:r>
      <w:r w:rsidRPr="00D630D1">
        <w:rPr>
          <w:rFonts w:ascii="Times New Roman" w:cs="Times New Roman"/>
          <w:kern w:val="2"/>
        </w:rPr>
        <w:t>64.2dB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），昼间可以满足《建筑施工场界环境噪声排放标准》（</w:t>
      </w:r>
      <w:r w:rsidRPr="00D630D1">
        <w:rPr>
          <w:rFonts w:ascii="Times New Roman" w:cs="Times New Roman"/>
          <w:kern w:val="2"/>
        </w:rPr>
        <w:t>GB 12523-2011</w:t>
      </w:r>
      <w:r w:rsidRPr="00D630D1">
        <w:rPr>
          <w:rFonts w:ascii="Times New Roman" w:hAnsi="宋体" w:cs="Times New Roman"/>
          <w:kern w:val="2"/>
        </w:rPr>
        <w:t>）（昼间</w:t>
      </w:r>
      <w:r w:rsidRPr="00D630D1">
        <w:rPr>
          <w:rFonts w:ascii="Times New Roman" w:cs="Times New Roman"/>
          <w:kern w:val="2"/>
        </w:rPr>
        <w:t>70 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），夜间</w:t>
      </w:r>
      <w:r w:rsidRPr="00D630D1">
        <w:rPr>
          <w:rFonts w:ascii="Times New Roman" w:cs="Times New Roman"/>
          <w:kern w:val="2"/>
        </w:rPr>
        <w:t>55 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）），夜间无法满足《建筑施工场界环境噪声排放标准》（</w:t>
      </w:r>
      <w:r w:rsidRPr="00D630D1">
        <w:rPr>
          <w:rFonts w:ascii="Times New Roman" w:cs="Times New Roman"/>
          <w:kern w:val="2"/>
        </w:rPr>
        <w:t>GB 12523-2011</w:t>
      </w:r>
      <w:r w:rsidRPr="00D630D1">
        <w:rPr>
          <w:rFonts w:ascii="Times New Roman" w:hAnsi="宋体" w:cs="Times New Roman"/>
          <w:kern w:val="2"/>
        </w:rPr>
        <w:t>）（昼间</w:t>
      </w:r>
      <w:r w:rsidRPr="00D630D1">
        <w:rPr>
          <w:rFonts w:ascii="Times New Roman" w:cs="Times New Roman"/>
          <w:kern w:val="2"/>
        </w:rPr>
        <w:t>70dB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），夜间</w:t>
      </w:r>
      <w:r w:rsidRPr="00D630D1">
        <w:rPr>
          <w:rFonts w:ascii="Times New Roman" w:cs="Times New Roman"/>
          <w:kern w:val="2"/>
        </w:rPr>
        <w:t>55dB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w:t>
      </w:r>
    </w:p>
    <w:p w:rsidR="0018209F" w:rsidRPr="00D630D1" w:rsidRDefault="0018209F" w:rsidP="0018209F">
      <w:pPr>
        <w:numPr>
          <w:ilvl w:val="4"/>
          <w:numId w:val="0"/>
        </w:numPr>
        <w:topLinePunct w:val="0"/>
        <w:adjustRightInd/>
        <w:snapToGrid w:val="0"/>
        <w:spacing w:line="331" w:lineRule="auto"/>
        <w:ind w:left="26" w:firstLine="400"/>
        <w:rPr>
          <w:rFonts w:ascii="Times New Roman" w:cs="Times New Roman"/>
          <w:kern w:val="2"/>
        </w:rPr>
      </w:pPr>
      <w:r w:rsidRPr="00D630D1">
        <w:rPr>
          <w:rFonts w:ascii="Times New Roman" w:hAnsi="宋体" w:cs="Times New Roman" w:hint="eastAsia"/>
          <w:kern w:val="2"/>
        </w:rPr>
        <w:t>2</w:t>
      </w:r>
      <w:r w:rsidRPr="00D630D1">
        <w:rPr>
          <w:rFonts w:ascii="Times New Roman" w:hAnsi="宋体" w:cs="Times New Roman" w:hint="eastAsia"/>
          <w:kern w:val="2"/>
        </w:rPr>
        <w:t>、</w:t>
      </w:r>
      <w:r w:rsidRPr="00D630D1">
        <w:rPr>
          <w:rFonts w:ascii="Times New Roman" w:hAnsi="宋体" w:cs="Times New Roman"/>
          <w:kern w:val="2"/>
        </w:rPr>
        <w:t>气体钻钻井阶段</w:t>
      </w:r>
    </w:p>
    <w:p w:rsidR="0018209F" w:rsidRPr="00D630D1" w:rsidRDefault="0018209F" w:rsidP="0018209F">
      <w:pPr>
        <w:topLinePunct w:val="0"/>
        <w:snapToGrid w:val="0"/>
        <w:spacing w:line="331" w:lineRule="auto"/>
        <w:ind w:firstLineChars="0" w:firstLine="476"/>
        <w:rPr>
          <w:rFonts w:ascii="Times New Roman" w:cs="Times New Roman"/>
          <w:kern w:val="2"/>
        </w:rPr>
      </w:pPr>
      <w:r w:rsidRPr="00D630D1">
        <w:rPr>
          <w:rFonts w:ascii="Times New Roman" w:hAnsi="宋体" w:cs="Times New Roman"/>
          <w:kern w:val="2"/>
        </w:rPr>
        <w:t>①噪声源强</w:t>
      </w:r>
    </w:p>
    <w:p w:rsidR="0018209F" w:rsidRPr="00D630D1" w:rsidRDefault="0018209F" w:rsidP="0018209F">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t>气体钻（空气或氮气）钻井过程中的噪声主要包括正常钻井施工过程中的机械、设备运行和施工过程产生的噪声，其产生情况为：钻机、空压机、增压机以及其他各种机械转动所产生的噪声。同时在钻井过程中平稳操作，避免特种作业时产生非正常的噪声。主要噪声源的噪声值见表</w:t>
      </w:r>
      <w:r w:rsidRPr="00D630D1">
        <w:rPr>
          <w:rFonts w:ascii="Times New Roman" w:cs="Times New Roman"/>
        </w:rPr>
        <w:t>6.</w:t>
      </w:r>
      <w:r w:rsidRPr="00D630D1">
        <w:rPr>
          <w:rFonts w:ascii="Times New Roman" w:cs="Times New Roman" w:hint="eastAsia"/>
        </w:rPr>
        <w:t>1</w:t>
      </w:r>
      <w:r w:rsidRPr="00D630D1">
        <w:rPr>
          <w:rFonts w:ascii="Times New Roman" w:cs="Times New Roman"/>
        </w:rPr>
        <w:t>-</w:t>
      </w:r>
      <w:r w:rsidR="007A3F35" w:rsidRPr="00D630D1">
        <w:rPr>
          <w:rFonts w:ascii="Times New Roman" w:cs="Times New Roman" w:hint="eastAsia"/>
        </w:rPr>
        <w:t>6</w:t>
      </w:r>
      <w:r w:rsidRPr="00D630D1">
        <w:rPr>
          <w:rFonts w:ascii="Times New Roman" w:hAnsi="宋体" w:cs="Times New Roman"/>
          <w:kern w:val="2"/>
        </w:rPr>
        <w:t>。</w:t>
      </w:r>
    </w:p>
    <w:p w:rsidR="0018209F" w:rsidRPr="00D630D1" w:rsidRDefault="0018209F" w:rsidP="00F96E37">
      <w:pPr>
        <w:topLinePunct w:val="0"/>
        <w:snapToGrid w:val="0"/>
        <w:spacing w:beforeLines="50"/>
        <w:ind w:firstLineChars="0" w:firstLine="480"/>
        <w:jc w:val="center"/>
        <w:rPr>
          <w:rFonts w:ascii="Times New Roman" w:cs="Times New Roman"/>
          <w:kern w:val="2"/>
          <w:sz w:val="21"/>
          <w:szCs w:val="20"/>
        </w:rPr>
      </w:pPr>
      <w:bookmarkStart w:id="493" w:name="_Ref496287902"/>
      <w:r w:rsidRPr="00D630D1">
        <w:rPr>
          <w:rFonts w:ascii="Times New Roman" w:cs="Times New Roman"/>
          <w:kern w:val="2"/>
          <w:sz w:val="21"/>
          <w:szCs w:val="20"/>
        </w:rPr>
        <w:t>表</w:t>
      </w:r>
      <w:r w:rsidRPr="00D630D1">
        <w:rPr>
          <w:rFonts w:ascii="Times New Roman" w:cs="Times New Roman"/>
          <w:kern w:val="2"/>
          <w:sz w:val="21"/>
          <w:szCs w:val="20"/>
        </w:rPr>
        <w:t>6.</w:t>
      </w:r>
      <w:r w:rsidRPr="00D630D1">
        <w:rPr>
          <w:rFonts w:ascii="Times New Roman" w:cs="Times New Roman" w:hint="eastAsia"/>
          <w:kern w:val="2"/>
          <w:sz w:val="21"/>
          <w:szCs w:val="20"/>
        </w:rPr>
        <w:t>1</w:t>
      </w:r>
      <w:r w:rsidRPr="00D630D1">
        <w:rPr>
          <w:rFonts w:ascii="Times New Roman" w:cs="Times New Roman"/>
          <w:kern w:val="2"/>
          <w:sz w:val="21"/>
          <w:szCs w:val="20"/>
        </w:rPr>
        <w:t>-</w:t>
      </w:r>
      <w:bookmarkEnd w:id="493"/>
      <w:r w:rsidR="007A3F35" w:rsidRPr="00D630D1">
        <w:rPr>
          <w:rFonts w:ascii="Times New Roman" w:cs="Times New Roman" w:hint="eastAsia"/>
          <w:kern w:val="2"/>
          <w:sz w:val="21"/>
          <w:szCs w:val="20"/>
        </w:rPr>
        <w:t>6</w:t>
      </w:r>
      <w:r w:rsidRPr="00D630D1">
        <w:rPr>
          <w:rFonts w:ascii="Times New Roman" w:cs="Times New Roman"/>
          <w:kern w:val="2"/>
          <w:sz w:val="21"/>
          <w:szCs w:val="20"/>
        </w:rPr>
        <w:t xml:space="preserve">  </w:t>
      </w:r>
      <w:r w:rsidRPr="00D630D1">
        <w:rPr>
          <w:rFonts w:ascii="Times New Roman" w:cs="Times New Roman"/>
          <w:kern w:val="2"/>
          <w:sz w:val="21"/>
          <w:szCs w:val="20"/>
        </w:rPr>
        <w:t>气体钻钻井作业过程中采取降噪措施后的噪声源强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47"/>
        <w:gridCol w:w="1003"/>
        <w:gridCol w:w="1368"/>
        <w:gridCol w:w="1441"/>
        <w:gridCol w:w="1528"/>
        <w:gridCol w:w="1590"/>
        <w:gridCol w:w="1245"/>
      </w:tblGrid>
      <w:tr w:rsidR="0018209F" w:rsidRPr="00D630D1" w:rsidTr="0018209F">
        <w:trPr>
          <w:trHeight w:val="551"/>
          <w:jc w:val="center"/>
        </w:trPr>
        <w:tc>
          <w:tcPr>
            <w:tcW w:w="331"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序号</w:t>
            </w:r>
          </w:p>
        </w:tc>
        <w:tc>
          <w:tcPr>
            <w:tcW w:w="95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声源名称</w:t>
            </w:r>
          </w:p>
        </w:tc>
        <w:tc>
          <w:tcPr>
            <w:tcW w:w="130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数量（台）</w:t>
            </w:r>
          </w:p>
        </w:tc>
        <w:tc>
          <w:tcPr>
            <w:tcW w:w="137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降噪前声级（</w:t>
            </w:r>
            <w:r w:rsidRPr="00D630D1">
              <w:rPr>
                <w:rFonts w:ascii="Times New Roman" w:cs="Times New Roman"/>
                <w:kern w:val="2"/>
                <w:sz w:val="21"/>
                <w:szCs w:val="21"/>
              </w:rPr>
              <w:t>dB</w:t>
            </w:r>
            <w:r w:rsidRPr="00D630D1">
              <w:rPr>
                <w:rFonts w:ascii="Times New Roman" w:hAnsi="宋体" w:cs="Times New Roman"/>
                <w:kern w:val="2"/>
                <w:sz w:val="21"/>
                <w:szCs w:val="21"/>
              </w:rPr>
              <w:t>（</w:t>
            </w:r>
            <w:r w:rsidRPr="00D630D1">
              <w:rPr>
                <w:rFonts w:ascii="Times New Roman" w:cs="Times New Roman"/>
                <w:kern w:val="2"/>
                <w:sz w:val="21"/>
                <w:szCs w:val="21"/>
              </w:rPr>
              <w:t>A</w:t>
            </w:r>
            <w:r w:rsidRPr="00D630D1">
              <w:rPr>
                <w:rFonts w:ascii="Times New Roman" w:hAnsi="宋体" w:cs="Times New Roman"/>
                <w:kern w:val="2"/>
                <w:sz w:val="21"/>
                <w:szCs w:val="21"/>
              </w:rPr>
              <w:t>））</w:t>
            </w:r>
          </w:p>
        </w:tc>
        <w:tc>
          <w:tcPr>
            <w:tcW w:w="145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声源高度（</w:t>
            </w:r>
            <w:r w:rsidRPr="00D630D1">
              <w:rPr>
                <w:rFonts w:ascii="Times New Roman" w:cs="Times New Roman"/>
                <w:kern w:val="2"/>
                <w:sz w:val="21"/>
                <w:szCs w:val="21"/>
              </w:rPr>
              <w:t>m</w:t>
            </w:r>
            <w:r w:rsidRPr="00D630D1">
              <w:rPr>
                <w:rFonts w:ascii="Times New Roman" w:hAnsi="宋体" w:cs="Times New Roman"/>
                <w:kern w:val="2"/>
                <w:sz w:val="21"/>
                <w:szCs w:val="21"/>
              </w:rPr>
              <w:t>）</w:t>
            </w:r>
          </w:p>
        </w:tc>
        <w:tc>
          <w:tcPr>
            <w:tcW w:w="151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降噪措施</w:t>
            </w:r>
          </w:p>
        </w:tc>
        <w:tc>
          <w:tcPr>
            <w:tcW w:w="118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降噪后声级</w:t>
            </w:r>
          </w:p>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w:t>
            </w:r>
            <w:r w:rsidRPr="00D630D1">
              <w:rPr>
                <w:rFonts w:ascii="Times New Roman" w:cs="Times New Roman"/>
                <w:kern w:val="2"/>
                <w:sz w:val="21"/>
                <w:szCs w:val="21"/>
              </w:rPr>
              <w:t>dB</w:t>
            </w:r>
            <w:r w:rsidRPr="00D630D1">
              <w:rPr>
                <w:rFonts w:ascii="Times New Roman" w:hAnsi="宋体" w:cs="Times New Roman"/>
                <w:kern w:val="2"/>
                <w:sz w:val="21"/>
                <w:szCs w:val="21"/>
              </w:rPr>
              <w:t>（</w:t>
            </w:r>
            <w:r w:rsidRPr="00D630D1">
              <w:rPr>
                <w:rFonts w:ascii="Times New Roman" w:cs="Times New Roman"/>
                <w:kern w:val="2"/>
                <w:sz w:val="21"/>
                <w:szCs w:val="21"/>
              </w:rPr>
              <w:t>A</w:t>
            </w:r>
            <w:r w:rsidRPr="00D630D1">
              <w:rPr>
                <w:rFonts w:ascii="Times New Roman" w:hAnsi="宋体" w:cs="Times New Roman"/>
                <w:kern w:val="2"/>
                <w:sz w:val="21"/>
                <w:szCs w:val="21"/>
              </w:rPr>
              <w:t>））</w:t>
            </w:r>
          </w:p>
        </w:tc>
      </w:tr>
      <w:tr w:rsidR="0018209F" w:rsidRPr="00D630D1" w:rsidTr="0018209F">
        <w:trPr>
          <w:trHeight w:val="260"/>
          <w:jc w:val="center"/>
        </w:trPr>
        <w:tc>
          <w:tcPr>
            <w:tcW w:w="331"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lastRenderedPageBreak/>
              <w:t>1</w:t>
            </w:r>
          </w:p>
        </w:tc>
        <w:tc>
          <w:tcPr>
            <w:tcW w:w="95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钻机</w:t>
            </w:r>
          </w:p>
        </w:tc>
        <w:tc>
          <w:tcPr>
            <w:tcW w:w="130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p>
        </w:tc>
        <w:tc>
          <w:tcPr>
            <w:tcW w:w="137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95</w:t>
            </w:r>
          </w:p>
        </w:tc>
        <w:tc>
          <w:tcPr>
            <w:tcW w:w="145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w:t>
            </w:r>
          </w:p>
        </w:tc>
        <w:tc>
          <w:tcPr>
            <w:tcW w:w="151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c>
          <w:tcPr>
            <w:tcW w:w="118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95</w:t>
            </w:r>
          </w:p>
        </w:tc>
      </w:tr>
      <w:tr w:rsidR="0018209F" w:rsidRPr="00D630D1" w:rsidTr="0018209F">
        <w:trPr>
          <w:trHeight w:val="276"/>
          <w:jc w:val="center"/>
        </w:trPr>
        <w:tc>
          <w:tcPr>
            <w:tcW w:w="331"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95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空压机</w:t>
            </w:r>
          </w:p>
        </w:tc>
        <w:tc>
          <w:tcPr>
            <w:tcW w:w="130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w:t>
            </w:r>
            <w:r w:rsidRPr="00D630D1">
              <w:rPr>
                <w:rFonts w:ascii="Times New Roman" w:hAnsi="宋体" w:cs="Times New Roman"/>
                <w:kern w:val="2"/>
                <w:sz w:val="21"/>
                <w:szCs w:val="21"/>
              </w:rPr>
              <w:t>（</w:t>
            </w:r>
            <w:r w:rsidRPr="00D630D1">
              <w:rPr>
                <w:rFonts w:ascii="Times New Roman" w:cs="Times New Roman"/>
                <w:kern w:val="2"/>
                <w:sz w:val="21"/>
                <w:szCs w:val="21"/>
              </w:rPr>
              <w:t>6</w:t>
            </w:r>
            <w:r w:rsidRPr="00D630D1">
              <w:rPr>
                <w:rFonts w:ascii="Times New Roman" w:hAnsi="宋体" w:cs="Times New Roman"/>
                <w:kern w:val="2"/>
                <w:sz w:val="21"/>
                <w:szCs w:val="21"/>
              </w:rPr>
              <w:t>用</w:t>
            </w:r>
            <w:r w:rsidRPr="00D630D1">
              <w:rPr>
                <w:rFonts w:ascii="Times New Roman" w:cs="Times New Roman"/>
                <w:kern w:val="2"/>
                <w:sz w:val="21"/>
                <w:szCs w:val="21"/>
              </w:rPr>
              <w:t>2</w:t>
            </w:r>
            <w:r w:rsidRPr="00D630D1">
              <w:rPr>
                <w:rFonts w:ascii="Times New Roman" w:hAnsi="宋体" w:cs="Times New Roman"/>
                <w:kern w:val="2"/>
                <w:sz w:val="21"/>
                <w:szCs w:val="21"/>
              </w:rPr>
              <w:t>备）</w:t>
            </w:r>
          </w:p>
        </w:tc>
        <w:tc>
          <w:tcPr>
            <w:tcW w:w="137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90</w:t>
            </w:r>
            <w:r w:rsidRPr="00D630D1">
              <w:rPr>
                <w:rFonts w:ascii="Times New Roman" w:hAnsi="宋体" w:cs="Times New Roman"/>
                <w:kern w:val="2"/>
                <w:sz w:val="21"/>
                <w:szCs w:val="21"/>
              </w:rPr>
              <w:t>～</w:t>
            </w:r>
            <w:r w:rsidRPr="00D630D1">
              <w:rPr>
                <w:rFonts w:ascii="Times New Roman" w:cs="Times New Roman"/>
                <w:kern w:val="2"/>
                <w:sz w:val="21"/>
                <w:szCs w:val="21"/>
              </w:rPr>
              <w:t>95</w:t>
            </w:r>
          </w:p>
        </w:tc>
        <w:tc>
          <w:tcPr>
            <w:tcW w:w="145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151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加衬弹性垫料</w:t>
            </w:r>
          </w:p>
        </w:tc>
        <w:tc>
          <w:tcPr>
            <w:tcW w:w="118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90</w:t>
            </w:r>
          </w:p>
        </w:tc>
      </w:tr>
      <w:tr w:rsidR="0018209F" w:rsidRPr="00D630D1" w:rsidTr="0018209F">
        <w:trPr>
          <w:trHeight w:val="291"/>
          <w:jc w:val="center"/>
        </w:trPr>
        <w:tc>
          <w:tcPr>
            <w:tcW w:w="331"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w:t>
            </w:r>
          </w:p>
        </w:tc>
        <w:tc>
          <w:tcPr>
            <w:tcW w:w="95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增压机</w:t>
            </w:r>
          </w:p>
        </w:tc>
        <w:tc>
          <w:tcPr>
            <w:tcW w:w="130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w:t>
            </w:r>
          </w:p>
        </w:tc>
        <w:tc>
          <w:tcPr>
            <w:tcW w:w="137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90</w:t>
            </w:r>
            <w:r w:rsidRPr="00D630D1">
              <w:rPr>
                <w:rFonts w:ascii="Times New Roman" w:hAnsi="宋体" w:cs="Times New Roman"/>
                <w:kern w:val="2"/>
                <w:sz w:val="21"/>
                <w:szCs w:val="21"/>
              </w:rPr>
              <w:t>～</w:t>
            </w:r>
            <w:r w:rsidRPr="00D630D1">
              <w:rPr>
                <w:rFonts w:ascii="Times New Roman" w:cs="Times New Roman"/>
                <w:kern w:val="2"/>
                <w:sz w:val="21"/>
                <w:szCs w:val="21"/>
              </w:rPr>
              <w:t>95</w:t>
            </w:r>
          </w:p>
        </w:tc>
        <w:tc>
          <w:tcPr>
            <w:tcW w:w="145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151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加衬弹性垫料</w:t>
            </w:r>
          </w:p>
        </w:tc>
        <w:tc>
          <w:tcPr>
            <w:tcW w:w="1189"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90</w:t>
            </w:r>
          </w:p>
        </w:tc>
      </w:tr>
    </w:tbl>
    <w:p w:rsidR="0018209F" w:rsidRPr="00D630D1" w:rsidRDefault="0018209F" w:rsidP="0018209F">
      <w:pPr>
        <w:topLinePunct w:val="0"/>
        <w:snapToGrid w:val="0"/>
        <w:spacing w:line="331" w:lineRule="auto"/>
        <w:ind w:firstLineChars="0" w:firstLine="476"/>
        <w:rPr>
          <w:rFonts w:ascii="Times New Roman" w:cs="Times New Roman"/>
          <w:kern w:val="2"/>
        </w:rPr>
      </w:pPr>
      <w:r w:rsidRPr="00D630D1">
        <w:rPr>
          <w:rFonts w:ascii="Times New Roman" w:hAnsi="宋体" w:cs="Times New Roman"/>
          <w:kern w:val="2"/>
        </w:rPr>
        <w:t>②预测结果</w:t>
      </w:r>
    </w:p>
    <w:p w:rsidR="0018209F" w:rsidRPr="00D630D1" w:rsidRDefault="0018209F" w:rsidP="0018209F">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t>井场四周环境噪声预测结果见表</w:t>
      </w:r>
      <w:r w:rsidRPr="00D630D1">
        <w:rPr>
          <w:rFonts w:ascii="Times New Roman" w:cs="Times New Roman"/>
        </w:rPr>
        <w:t>6.</w:t>
      </w:r>
      <w:r w:rsidRPr="00D630D1">
        <w:rPr>
          <w:rFonts w:ascii="Times New Roman" w:cs="Times New Roman" w:hint="eastAsia"/>
        </w:rPr>
        <w:t>1</w:t>
      </w:r>
      <w:r w:rsidRPr="00D630D1">
        <w:rPr>
          <w:rFonts w:ascii="Times New Roman" w:cs="Times New Roman"/>
        </w:rPr>
        <w:t>-</w:t>
      </w:r>
      <w:r w:rsidR="007A3F35" w:rsidRPr="00D630D1">
        <w:rPr>
          <w:rFonts w:ascii="Times New Roman" w:cs="Times New Roman" w:hint="eastAsia"/>
        </w:rPr>
        <w:t>7</w:t>
      </w:r>
      <w:r w:rsidRPr="00D630D1">
        <w:rPr>
          <w:rFonts w:ascii="Times New Roman" w:hAnsi="宋体" w:cs="Times New Roman"/>
          <w:kern w:val="2"/>
        </w:rPr>
        <w:t>。</w:t>
      </w:r>
    </w:p>
    <w:p w:rsidR="0018209F" w:rsidRPr="00D630D1" w:rsidRDefault="0018209F" w:rsidP="0018209F">
      <w:pPr>
        <w:topLinePunct w:val="0"/>
        <w:adjustRightInd/>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表</w:t>
      </w:r>
      <w:r w:rsidRPr="00D630D1">
        <w:rPr>
          <w:rFonts w:ascii="Times New Roman" w:cs="Times New Roman"/>
          <w:bCs/>
          <w:kern w:val="2"/>
          <w:sz w:val="21"/>
        </w:rPr>
        <w:t>6.</w:t>
      </w:r>
      <w:r w:rsidRPr="00D630D1">
        <w:rPr>
          <w:rFonts w:ascii="Times New Roman" w:cs="Times New Roman" w:hint="eastAsia"/>
          <w:bCs/>
          <w:kern w:val="2"/>
          <w:sz w:val="21"/>
        </w:rPr>
        <w:t>1</w:t>
      </w:r>
      <w:r w:rsidRPr="00D630D1">
        <w:rPr>
          <w:rFonts w:ascii="Times New Roman" w:cs="Times New Roman"/>
          <w:bCs/>
          <w:kern w:val="2"/>
          <w:sz w:val="21"/>
        </w:rPr>
        <w:t>-</w:t>
      </w:r>
      <w:r w:rsidR="007A3F35" w:rsidRPr="00D630D1">
        <w:rPr>
          <w:rFonts w:ascii="Times New Roman" w:cs="Times New Roman" w:hint="eastAsia"/>
          <w:bCs/>
          <w:kern w:val="2"/>
          <w:sz w:val="21"/>
        </w:rPr>
        <w:t>7</w:t>
      </w:r>
      <w:r w:rsidRPr="00D630D1">
        <w:rPr>
          <w:rFonts w:ascii="Times New Roman" w:cs="Times New Roman"/>
          <w:bCs/>
          <w:kern w:val="2"/>
          <w:sz w:val="21"/>
        </w:rPr>
        <w:t xml:space="preserve">  </w:t>
      </w:r>
      <w:r w:rsidRPr="00D630D1">
        <w:rPr>
          <w:rFonts w:ascii="Times New Roman" w:cs="Times New Roman"/>
          <w:kern w:val="2"/>
          <w:sz w:val="21"/>
        </w:rPr>
        <w:t>钻井工程噪声预测（气体钻）</w:t>
      </w:r>
      <w:r w:rsidRPr="00D630D1">
        <w:rPr>
          <w:rFonts w:ascii="Times New Roman" w:cs="Times New Roman"/>
          <w:bCs/>
          <w:kern w:val="2"/>
          <w:sz w:val="21"/>
        </w:rPr>
        <w:t xml:space="preserve">    </w:t>
      </w:r>
      <w:r w:rsidRPr="00D630D1">
        <w:rPr>
          <w:rFonts w:ascii="Times New Roman" w:cs="Times New Roman"/>
          <w:bCs/>
          <w:kern w:val="2"/>
          <w:sz w:val="21"/>
        </w:rPr>
        <w:t>单位：</w:t>
      </w:r>
      <w:r w:rsidRPr="00D630D1">
        <w:rPr>
          <w:rFonts w:ascii="Times New Roman" w:cs="Times New Roman"/>
          <w:bCs/>
          <w:kern w:val="2"/>
          <w:sz w:val="21"/>
        </w:rPr>
        <w:t>dB(A)</w:t>
      </w:r>
    </w:p>
    <w:tbl>
      <w:tblPr>
        <w:tblW w:w="8169" w:type="dxa"/>
        <w:jc w:val="center"/>
        <w:tblInd w:w="4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993"/>
        <w:gridCol w:w="1322"/>
        <w:gridCol w:w="1096"/>
        <w:gridCol w:w="1194"/>
        <w:gridCol w:w="1187"/>
        <w:gridCol w:w="1078"/>
        <w:gridCol w:w="1299"/>
      </w:tblGrid>
      <w:tr w:rsidR="0018209F" w:rsidRPr="00D630D1" w:rsidTr="0018209F">
        <w:trPr>
          <w:trHeight w:val="370"/>
          <w:jc w:val="center"/>
        </w:trPr>
        <w:tc>
          <w:tcPr>
            <w:tcW w:w="993" w:type="dxa"/>
            <w:vMerge w:val="restart"/>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噪声源</w:t>
            </w:r>
          </w:p>
        </w:tc>
        <w:tc>
          <w:tcPr>
            <w:tcW w:w="1322" w:type="dxa"/>
            <w:vMerge w:val="restart"/>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源强（采取各种措施衰减后）</w:t>
            </w:r>
          </w:p>
        </w:tc>
        <w:tc>
          <w:tcPr>
            <w:tcW w:w="4555" w:type="dxa"/>
            <w:gridSpan w:val="4"/>
            <w:tcBorders>
              <w:bottom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在各厂界噪声贡献值</w:t>
            </w:r>
          </w:p>
        </w:tc>
        <w:tc>
          <w:tcPr>
            <w:tcW w:w="1299" w:type="dxa"/>
            <w:vMerge w:val="restart"/>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达标情况</w:t>
            </w:r>
          </w:p>
        </w:tc>
      </w:tr>
      <w:tr w:rsidR="0018209F" w:rsidRPr="00D630D1" w:rsidTr="0018209F">
        <w:trPr>
          <w:trHeight w:val="153"/>
          <w:jc w:val="center"/>
        </w:trPr>
        <w:tc>
          <w:tcPr>
            <w:tcW w:w="993" w:type="dxa"/>
            <w:vMerge/>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p>
        </w:tc>
        <w:tc>
          <w:tcPr>
            <w:tcW w:w="1322" w:type="dxa"/>
            <w:vMerge/>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p>
        </w:tc>
        <w:tc>
          <w:tcPr>
            <w:tcW w:w="1096" w:type="dxa"/>
            <w:tcBorders>
              <w:top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东厂界</w:t>
            </w:r>
          </w:p>
        </w:tc>
        <w:tc>
          <w:tcPr>
            <w:tcW w:w="1194" w:type="dxa"/>
            <w:tcBorders>
              <w:top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南厂界</w:t>
            </w:r>
          </w:p>
        </w:tc>
        <w:tc>
          <w:tcPr>
            <w:tcW w:w="1187" w:type="dxa"/>
            <w:tcBorders>
              <w:top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西厂界</w:t>
            </w:r>
          </w:p>
        </w:tc>
        <w:tc>
          <w:tcPr>
            <w:tcW w:w="1078" w:type="dxa"/>
            <w:tcBorders>
              <w:top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北厂界</w:t>
            </w:r>
          </w:p>
        </w:tc>
        <w:tc>
          <w:tcPr>
            <w:tcW w:w="1299" w:type="dxa"/>
            <w:vMerge/>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p>
        </w:tc>
      </w:tr>
      <w:tr w:rsidR="00FD4E4E" w:rsidRPr="00D630D1" w:rsidTr="0018209F">
        <w:trPr>
          <w:trHeight w:val="229"/>
          <w:jc w:val="center"/>
        </w:trPr>
        <w:tc>
          <w:tcPr>
            <w:tcW w:w="993"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钻机</w:t>
            </w:r>
          </w:p>
        </w:tc>
        <w:tc>
          <w:tcPr>
            <w:tcW w:w="1322"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95</w:t>
            </w:r>
          </w:p>
        </w:tc>
        <w:tc>
          <w:tcPr>
            <w:tcW w:w="1096" w:type="dxa"/>
            <w:shd w:val="clear" w:color="auto" w:fill="auto"/>
            <w:vAlign w:val="center"/>
          </w:tcPr>
          <w:p w:rsidR="00FD4E4E" w:rsidRPr="00D630D1" w:rsidRDefault="00FD4E4E" w:rsidP="00FD4E4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64.1</w:t>
            </w:r>
          </w:p>
        </w:tc>
        <w:tc>
          <w:tcPr>
            <w:tcW w:w="1194"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58.9</w:t>
            </w:r>
          </w:p>
        </w:tc>
        <w:tc>
          <w:tcPr>
            <w:tcW w:w="1187"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64.3</w:t>
            </w:r>
          </w:p>
        </w:tc>
        <w:tc>
          <w:tcPr>
            <w:tcW w:w="1078"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63.3</w:t>
            </w:r>
          </w:p>
        </w:tc>
        <w:tc>
          <w:tcPr>
            <w:tcW w:w="1299" w:type="dxa"/>
            <w:vMerge w:val="restart"/>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昼间达标，夜间超标</w:t>
            </w:r>
          </w:p>
        </w:tc>
      </w:tr>
      <w:tr w:rsidR="00FD4E4E" w:rsidRPr="00D630D1" w:rsidTr="0018209F">
        <w:trPr>
          <w:trHeight w:val="76"/>
          <w:jc w:val="center"/>
        </w:trPr>
        <w:tc>
          <w:tcPr>
            <w:tcW w:w="993"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空压机</w:t>
            </w:r>
          </w:p>
        </w:tc>
        <w:tc>
          <w:tcPr>
            <w:tcW w:w="1322"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90</w:t>
            </w:r>
          </w:p>
        </w:tc>
        <w:tc>
          <w:tcPr>
            <w:tcW w:w="1096" w:type="dxa"/>
            <w:shd w:val="clear" w:color="auto" w:fill="auto"/>
            <w:vAlign w:val="center"/>
          </w:tcPr>
          <w:p w:rsidR="00FD4E4E" w:rsidRPr="00D630D1" w:rsidRDefault="00FD4E4E" w:rsidP="00FD4E4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64.5</w:t>
            </w:r>
          </w:p>
        </w:tc>
        <w:tc>
          <w:tcPr>
            <w:tcW w:w="1194"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55.8</w:t>
            </w:r>
          </w:p>
        </w:tc>
        <w:tc>
          <w:tcPr>
            <w:tcW w:w="1187"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58.2</w:t>
            </w:r>
          </w:p>
        </w:tc>
        <w:tc>
          <w:tcPr>
            <w:tcW w:w="1078"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54.7</w:t>
            </w:r>
          </w:p>
        </w:tc>
        <w:tc>
          <w:tcPr>
            <w:tcW w:w="1299" w:type="dxa"/>
            <w:vMerge/>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p>
        </w:tc>
      </w:tr>
      <w:tr w:rsidR="00FD4E4E" w:rsidRPr="00D630D1" w:rsidTr="0018209F">
        <w:trPr>
          <w:trHeight w:val="229"/>
          <w:jc w:val="center"/>
        </w:trPr>
        <w:tc>
          <w:tcPr>
            <w:tcW w:w="993"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增压机</w:t>
            </w:r>
          </w:p>
        </w:tc>
        <w:tc>
          <w:tcPr>
            <w:tcW w:w="1322"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85</w:t>
            </w:r>
            <w:r w:rsidRPr="00D630D1">
              <w:rPr>
                <w:rFonts w:ascii="Times New Roman" w:hAnsi="宋体" w:cs="Times New Roman"/>
                <w:kern w:val="2"/>
                <w:sz w:val="21"/>
                <w:szCs w:val="21"/>
              </w:rPr>
              <w:t>～</w:t>
            </w:r>
            <w:r w:rsidRPr="00D630D1">
              <w:rPr>
                <w:rFonts w:ascii="Times New Roman" w:cs="Times New Roman"/>
                <w:kern w:val="2"/>
                <w:sz w:val="21"/>
                <w:szCs w:val="21"/>
              </w:rPr>
              <w:t>90</w:t>
            </w:r>
          </w:p>
        </w:tc>
        <w:tc>
          <w:tcPr>
            <w:tcW w:w="1096" w:type="dxa"/>
            <w:shd w:val="clear" w:color="auto" w:fill="auto"/>
            <w:vAlign w:val="center"/>
          </w:tcPr>
          <w:p w:rsidR="00FD4E4E" w:rsidRPr="00D630D1" w:rsidRDefault="00FD4E4E" w:rsidP="00FD4E4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54.6</w:t>
            </w:r>
          </w:p>
        </w:tc>
        <w:tc>
          <w:tcPr>
            <w:tcW w:w="1194"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51.4</w:t>
            </w:r>
          </w:p>
        </w:tc>
        <w:tc>
          <w:tcPr>
            <w:tcW w:w="1187"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54.5</w:t>
            </w:r>
          </w:p>
        </w:tc>
        <w:tc>
          <w:tcPr>
            <w:tcW w:w="1078"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50.9</w:t>
            </w:r>
          </w:p>
        </w:tc>
        <w:tc>
          <w:tcPr>
            <w:tcW w:w="1299" w:type="dxa"/>
            <w:vMerge/>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p>
        </w:tc>
      </w:tr>
      <w:tr w:rsidR="00FD4E4E" w:rsidRPr="00D630D1" w:rsidTr="0018209F">
        <w:trPr>
          <w:trHeight w:val="242"/>
          <w:jc w:val="center"/>
        </w:trPr>
        <w:tc>
          <w:tcPr>
            <w:tcW w:w="2315" w:type="dxa"/>
            <w:gridSpan w:val="2"/>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叠加值</w:t>
            </w:r>
          </w:p>
        </w:tc>
        <w:tc>
          <w:tcPr>
            <w:tcW w:w="1096" w:type="dxa"/>
            <w:shd w:val="clear" w:color="auto" w:fill="auto"/>
            <w:vAlign w:val="center"/>
          </w:tcPr>
          <w:p w:rsidR="00FD4E4E" w:rsidRPr="00D630D1" w:rsidRDefault="00FD4E4E" w:rsidP="00FD4E4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66.8</w:t>
            </w:r>
          </w:p>
        </w:tc>
        <w:tc>
          <w:tcPr>
            <w:tcW w:w="1194" w:type="dxa"/>
            <w:shd w:val="clear" w:color="auto" w:fill="auto"/>
            <w:vAlign w:val="center"/>
          </w:tcPr>
          <w:p w:rsidR="00FD4E4E" w:rsidRPr="00D630D1" w:rsidRDefault="00FD4E4E" w:rsidP="00FD4E4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60.6</w:t>
            </w:r>
          </w:p>
        </w:tc>
        <w:tc>
          <w:tcPr>
            <w:tcW w:w="1187"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65.6</w:t>
            </w:r>
          </w:p>
        </w:tc>
        <w:tc>
          <w:tcPr>
            <w:tcW w:w="1078"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63.9</w:t>
            </w:r>
          </w:p>
        </w:tc>
        <w:tc>
          <w:tcPr>
            <w:tcW w:w="1299" w:type="dxa"/>
            <w:vMerge/>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p>
        </w:tc>
      </w:tr>
    </w:tbl>
    <w:p w:rsidR="0018209F" w:rsidRPr="00D630D1" w:rsidRDefault="0018209F" w:rsidP="0018209F">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t>预测结果表明：气体钻钻井过程中井场东、南、西、北边界噪声贡献值分别为</w:t>
      </w:r>
      <w:r w:rsidR="00FD4E4E" w:rsidRPr="00D630D1">
        <w:rPr>
          <w:rFonts w:ascii="Times New Roman" w:cs="Times New Roman"/>
          <w:kern w:val="2"/>
        </w:rPr>
        <w:t>66.8dB</w:t>
      </w:r>
      <w:r w:rsidR="00FD4E4E" w:rsidRPr="00D630D1">
        <w:rPr>
          <w:rFonts w:ascii="Times New Roman" w:hAnsi="宋体" w:cs="Times New Roman"/>
          <w:kern w:val="2"/>
        </w:rPr>
        <w:t>（</w:t>
      </w:r>
      <w:r w:rsidR="00FD4E4E" w:rsidRPr="00D630D1">
        <w:rPr>
          <w:rFonts w:ascii="Times New Roman" w:cs="Times New Roman"/>
          <w:kern w:val="2"/>
        </w:rPr>
        <w:t>A</w:t>
      </w:r>
      <w:r w:rsidR="00FD4E4E" w:rsidRPr="00D630D1">
        <w:rPr>
          <w:rFonts w:ascii="Times New Roman" w:hAnsi="宋体" w:cs="Times New Roman"/>
          <w:kern w:val="2"/>
        </w:rPr>
        <w:t>）、</w:t>
      </w:r>
      <w:r w:rsidRPr="00D630D1">
        <w:rPr>
          <w:rFonts w:ascii="Times New Roman" w:cs="Times New Roman"/>
          <w:kern w:val="2"/>
        </w:rPr>
        <w:t>60.6dB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w:t>
      </w:r>
      <w:r w:rsidRPr="00D630D1">
        <w:rPr>
          <w:rFonts w:ascii="Times New Roman" w:cs="Times New Roman"/>
          <w:kern w:val="2"/>
        </w:rPr>
        <w:t>65.6dB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w:t>
      </w:r>
      <w:r w:rsidRPr="00D630D1">
        <w:rPr>
          <w:rFonts w:ascii="Times New Roman" w:cs="Times New Roman"/>
          <w:kern w:val="2"/>
        </w:rPr>
        <w:t>63.9dB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），昼间可以满足《建筑施工场界环境噪声排放标准》（</w:t>
      </w:r>
      <w:r w:rsidRPr="00D630D1">
        <w:rPr>
          <w:rFonts w:ascii="Times New Roman" w:cs="Times New Roman"/>
          <w:kern w:val="2"/>
        </w:rPr>
        <w:t>GB 12523-2011</w:t>
      </w:r>
      <w:r w:rsidRPr="00D630D1">
        <w:rPr>
          <w:rFonts w:ascii="Times New Roman" w:hAnsi="宋体" w:cs="Times New Roman"/>
          <w:kern w:val="2"/>
        </w:rPr>
        <w:t>）（昼间</w:t>
      </w:r>
      <w:r w:rsidRPr="00D630D1">
        <w:rPr>
          <w:rFonts w:ascii="Times New Roman" w:cs="Times New Roman"/>
          <w:kern w:val="2"/>
        </w:rPr>
        <w:t>70dB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），夜间</w:t>
      </w:r>
      <w:r w:rsidRPr="00D630D1">
        <w:rPr>
          <w:rFonts w:ascii="Times New Roman" w:cs="Times New Roman"/>
          <w:kern w:val="2"/>
        </w:rPr>
        <w:t>55dB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）），夜间无法满足《建筑施工场界环境噪声排放标准》（</w:t>
      </w:r>
      <w:r w:rsidRPr="00D630D1">
        <w:rPr>
          <w:rFonts w:ascii="Times New Roman" w:cs="Times New Roman"/>
          <w:kern w:val="2"/>
        </w:rPr>
        <w:t>GB 12523-2011</w:t>
      </w:r>
      <w:r w:rsidRPr="00D630D1">
        <w:rPr>
          <w:rFonts w:ascii="Times New Roman" w:hAnsi="宋体" w:cs="Times New Roman"/>
          <w:kern w:val="2"/>
        </w:rPr>
        <w:t>）（昼间</w:t>
      </w:r>
      <w:r w:rsidRPr="00D630D1">
        <w:rPr>
          <w:rFonts w:ascii="Times New Roman" w:cs="Times New Roman"/>
          <w:kern w:val="2"/>
        </w:rPr>
        <w:t>70dB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），夜间</w:t>
      </w:r>
      <w:r w:rsidRPr="00D630D1">
        <w:rPr>
          <w:rFonts w:ascii="Times New Roman" w:cs="Times New Roman"/>
          <w:kern w:val="2"/>
        </w:rPr>
        <w:t>55dB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w:t>
      </w:r>
    </w:p>
    <w:p w:rsidR="0018209F" w:rsidRPr="00D630D1" w:rsidRDefault="0018209F" w:rsidP="0018209F">
      <w:pPr>
        <w:pStyle w:val="afa"/>
        <w:ind w:firstLine="480"/>
        <w:rPr>
          <w:kern w:val="2"/>
          <w:szCs w:val="24"/>
        </w:rPr>
      </w:pPr>
      <w:r w:rsidRPr="00D630D1">
        <w:rPr>
          <w:kern w:val="2"/>
          <w:szCs w:val="24"/>
        </w:rPr>
        <w:t>施工期需采取的降噪措施：项目施工过程中采取合理安排施工时间、选用低噪声设备（采用网电）、加强施工管理和设备维护、控制汽车鸣笛等降噪措施。</w:t>
      </w:r>
    </w:p>
    <w:p w:rsidR="0018209F" w:rsidRPr="00D630D1" w:rsidRDefault="0018209F" w:rsidP="0018209F">
      <w:pPr>
        <w:topLinePunct w:val="0"/>
        <w:snapToGrid w:val="0"/>
        <w:spacing w:line="331" w:lineRule="auto"/>
        <w:ind w:firstLine="480"/>
        <w:rPr>
          <w:rFonts w:ascii="Times New Roman" w:cs="Times New Roman"/>
          <w:kern w:val="2"/>
        </w:rPr>
      </w:pPr>
      <w:r w:rsidRPr="00D630D1">
        <w:rPr>
          <w:rFonts w:ascii="Times New Roman" w:cs="Times New Roman" w:hint="eastAsia"/>
          <w:kern w:val="2"/>
        </w:rPr>
        <w:t>3</w:t>
      </w:r>
      <w:r w:rsidRPr="00D630D1">
        <w:rPr>
          <w:rFonts w:ascii="Times New Roman" w:cs="Times New Roman" w:hint="eastAsia"/>
          <w:kern w:val="2"/>
        </w:rPr>
        <w:t>、完井阶段</w:t>
      </w:r>
    </w:p>
    <w:p w:rsidR="0018209F" w:rsidRPr="00D630D1" w:rsidRDefault="0018209F" w:rsidP="0018209F">
      <w:pPr>
        <w:topLinePunct w:val="0"/>
        <w:snapToGrid w:val="0"/>
        <w:spacing w:line="331" w:lineRule="auto"/>
        <w:ind w:firstLine="480"/>
        <w:rPr>
          <w:rFonts w:ascii="Times New Roman" w:cs="Times New Roman"/>
          <w:kern w:val="2"/>
        </w:rPr>
      </w:pPr>
      <w:r w:rsidRPr="00D630D1">
        <w:rPr>
          <w:rFonts w:ascii="Times New Roman" w:cs="Times New Roman"/>
          <w:kern w:val="2"/>
        </w:rPr>
        <w:t>1</w:t>
      </w:r>
      <w:r w:rsidRPr="00D630D1">
        <w:rPr>
          <w:rFonts w:ascii="Times New Roman" w:hAnsi="宋体" w:cs="Times New Roman"/>
          <w:kern w:val="2"/>
        </w:rPr>
        <w:t>）压裂噪声环境影响预测及分析</w:t>
      </w:r>
    </w:p>
    <w:p w:rsidR="0018209F" w:rsidRPr="00D630D1" w:rsidRDefault="0018209F" w:rsidP="0018209F">
      <w:pPr>
        <w:topLinePunct w:val="0"/>
        <w:snapToGrid w:val="0"/>
        <w:spacing w:line="331" w:lineRule="auto"/>
        <w:ind w:firstLineChars="0" w:firstLine="476"/>
        <w:rPr>
          <w:rFonts w:ascii="Times New Roman" w:cs="Times New Roman"/>
          <w:kern w:val="2"/>
        </w:rPr>
      </w:pPr>
      <w:r w:rsidRPr="00D630D1">
        <w:rPr>
          <w:rFonts w:ascii="Times New Roman" w:hAnsi="宋体" w:cs="Times New Roman"/>
          <w:kern w:val="2"/>
        </w:rPr>
        <w:t>①噪声源强</w:t>
      </w:r>
    </w:p>
    <w:p w:rsidR="0018209F" w:rsidRPr="00D630D1" w:rsidRDefault="0018209F" w:rsidP="0018209F">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t>压裂作业时产生的噪声主要有压裂泵噪声。主要噪声源的噪声值见表</w:t>
      </w:r>
      <w:r w:rsidRPr="00D630D1">
        <w:rPr>
          <w:rFonts w:ascii="Times New Roman" w:cs="Times New Roman"/>
        </w:rPr>
        <w:t>6.</w:t>
      </w:r>
      <w:r w:rsidRPr="00D630D1">
        <w:rPr>
          <w:rFonts w:ascii="Times New Roman" w:cs="Times New Roman" w:hint="eastAsia"/>
        </w:rPr>
        <w:t>1</w:t>
      </w:r>
      <w:r w:rsidRPr="00D630D1">
        <w:rPr>
          <w:rFonts w:ascii="Times New Roman" w:cs="Times New Roman"/>
        </w:rPr>
        <w:t>-</w:t>
      </w:r>
      <w:r w:rsidR="007A3F35" w:rsidRPr="00D630D1">
        <w:rPr>
          <w:rFonts w:ascii="Times New Roman" w:cs="Times New Roman" w:hint="eastAsia"/>
        </w:rPr>
        <w:t>8</w:t>
      </w:r>
      <w:r w:rsidRPr="00D630D1">
        <w:rPr>
          <w:rFonts w:ascii="Times New Roman" w:hAnsi="宋体" w:cs="Times New Roman"/>
          <w:kern w:val="2"/>
        </w:rPr>
        <w:t>。</w:t>
      </w:r>
    </w:p>
    <w:p w:rsidR="0018209F" w:rsidRPr="00D630D1" w:rsidRDefault="0018209F" w:rsidP="00F96E37">
      <w:pPr>
        <w:topLinePunct w:val="0"/>
        <w:snapToGrid w:val="0"/>
        <w:spacing w:beforeLines="50"/>
        <w:ind w:firstLineChars="0" w:firstLine="480"/>
        <w:jc w:val="center"/>
        <w:rPr>
          <w:rFonts w:ascii="Times New Roman" w:cs="Times New Roman"/>
          <w:kern w:val="2"/>
          <w:sz w:val="21"/>
          <w:szCs w:val="20"/>
        </w:rPr>
      </w:pPr>
      <w:bookmarkStart w:id="494" w:name="_Ref496288080"/>
      <w:r w:rsidRPr="00D630D1">
        <w:rPr>
          <w:rFonts w:ascii="Times New Roman" w:cs="Times New Roman"/>
          <w:kern w:val="2"/>
          <w:sz w:val="21"/>
          <w:szCs w:val="20"/>
        </w:rPr>
        <w:t>表</w:t>
      </w:r>
      <w:r w:rsidRPr="00D630D1">
        <w:rPr>
          <w:rFonts w:ascii="Times New Roman" w:cs="Times New Roman"/>
          <w:kern w:val="2"/>
          <w:sz w:val="21"/>
          <w:szCs w:val="20"/>
        </w:rPr>
        <w:t>6.</w:t>
      </w:r>
      <w:r w:rsidRPr="00D630D1">
        <w:rPr>
          <w:rFonts w:ascii="Times New Roman" w:cs="Times New Roman" w:hint="eastAsia"/>
          <w:kern w:val="2"/>
          <w:sz w:val="21"/>
          <w:szCs w:val="20"/>
        </w:rPr>
        <w:t>1</w:t>
      </w:r>
      <w:r w:rsidRPr="00D630D1">
        <w:rPr>
          <w:rFonts w:ascii="Times New Roman" w:cs="Times New Roman"/>
          <w:kern w:val="2"/>
          <w:sz w:val="21"/>
          <w:szCs w:val="20"/>
        </w:rPr>
        <w:t>-</w:t>
      </w:r>
      <w:bookmarkEnd w:id="494"/>
      <w:r w:rsidR="007A3F35" w:rsidRPr="00D630D1">
        <w:rPr>
          <w:rFonts w:ascii="Times New Roman" w:cs="Times New Roman" w:hint="eastAsia"/>
          <w:kern w:val="2"/>
          <w:sz w:val="21"/>
          <w:szCs w:val="20"/>
        </w:rPr>
        <w:t>8</w:t>
      </w:r>
      <w:r w:rsidRPr="00D630D1">
        <w:rPr>
          <w:rFonts w:ascii="Times New Roman" w:cs="Times New Roman"/>
          <w:kern w:val="2"/>
          <w:sz w:val="21"/>
          <w:szCs w:val="20"/>
        </w:rPr>
        <w:t xml:space="preserve">  </w:t>
      </w:r>
      <w:r w:rsidRPr="00D630D1">
        <w:rPr>
          <w:rFonts w:ascii="Times New Roman" w:cs="Times New Roman"/>
          <w:kern w:val="2"/>
          <w:sz w:val="21"/>
          <w:szCs w:val="20"/>
        </w:rPr>
        <w:t>压裂作业过程中采取降噪措施后的噪声源强</w:t>
      </w: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6" w:space="0" w:color="auto"/>
        </w:tblBorders>
        <w:tblLayout w:type="fixed"/>
        <w:tblCellMar>
          <w:left w:w="6" w:type="dxa"/>
          <w:right w:w="6" w:type="dxa"/>
        </w:tblCellMar>
        <w:tblLook w:val="0000"/>
      </w:tblPr>
      <w:tblGrid>
        <w:gridCol w:w="1040"/>
        <w:gridCol w:w="1020"/>
        <w:gridCol w:w="1506"/>
        <w:gridCol w:w="1195"/>
        <w:gridCol w:w="1648"/>
        <w:gridCol w:w="1808"/>
      </w:tblGrid>
      <w:tr w:rsidR="0018209F" w:rsidRPr="00D630D1" w:rsidTr="0018209F">
        <w:trPr>
          <w:trHeight w:val="491"/>
          <w:jc w:val="center"/>
        </w:trPr>
        <w:tc>
          <w:tcPr>
            <w:tcW w:w="104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声源名称</w:t>
            </w:r>
          </w:p>
        </w:tc>
        <w:tc>
          <w:tcPr>
            <w:tcW w:w="102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数量（台）</w:t>
            </w:r>
          </w:p>
        </w:tc>
        <w:tc>
          <w:tcPr>
            <w:tcW w:w="150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降噪前声级</w:t>
            </w:r>
          </w:p>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w:t>
            </w:r>
            <w:r w:rsidRPr="00D630D1">
              <w:rPr>
                <w:rFonts w:ascii="Times New Roman" w:cs="Times New Roman"/>
                <w:kern w:val="2"/>
                <w:sz w:val="21"/>
                <w:szCs w:val="21"/>
              </w:rPr>
              <w:t>dB</w:t>
            </w:r>
            <w:r w:rsidRPr="00D630D1">
              <w:rPr>
                <w:rFonts w:ascii="Times New Roman" w:hAnsi="宋体" w:cs="Times New Roman"/>
                <w:kern w:val="2"/>
                <w:sz w:val="21"/>
                <w:szCs w:val="21"/>
              </w:rPr>
              <w:t>（</w:t>
            </w:r>
            <w:r w:rsidRPr="00D630D1">
              <w:rPr>
                <w:rFonts w:ascii="Times New Roman" w:cs="Times New Roman"/>
                <w:kern w:val="2"/>
                <w:sz w:val="21"/>
                <w:szCs w:val="21"/>
              </w:rPr>
              <w:t>A</w:t>
            </w:r>
            <w:r w:rsidRPr="00D630D1">
              <w:rPr>
                <w:rFonts w:ascii="Times New Roman" w:hAnsi="宋体" w:cs="Times New Roman"/>
                <w:kern w:val="2"/>
                <w:sz w:val="21"/>
                <w:szCs w:val="21"/>
              </w:rPr>
              <w:t>））</w:t>
            </w:r>
          </w:p>
        </w:tc>
        <w:tc>
          <w:tcPr>
            <w:tcW w:w="1195"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声源高度（</w:t>
            </w:r>
            <w:r w:rsidRPr="00D630D1">
              <w:rPr>
                <w:rFonts w:ascii="Times New Roman" w:cs="Times New Roman"/>
                <w:kern w:val="2"/>
                <w:sz w:val="21"/>
                <w:szCs w:val="21"/>
              </w:rPr>
              <w:t>m</w:t>
            </w:r>
            <w:r w:rsidRPr="00D630D1">
              <w:rPr>
                <w:rFonts w:ascii="Times New Roman" w:hAnsi="宋体" w:cs="Times New Roman"/>
                <w:kern w:val="2"/>
                <w:sz w:val="21"/>
                <w:szCs w:val="21"/>
              </w:rPr>
              <w:t>）</w:t>
            </w:r>
          </w:p>
        </w:tc>
        <w:tc>
          <w:tcPr>
            <w:tcW w:w="164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降噪措施</w:t>
            </w:r>
          </w:p>
        </w:tc>
        <w:tc>
          <w:tcPr>
            <w:tcW w:w="180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降噪后声级</w:t>
            </w:r>
          </w:p>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w:t>
            </w:r>
            <w:r w:rsidRPr="00D630D1">
              <w:rPr>
                <w:rFonts w:ascii="Times New Roman" w:cs="Times New Roman"/>
                <w:kern w:val="2"/>
                <w:sz w:val="21"/>
                <w:szCs w:val="21"/>
              </w:rPr>
              <w:t>dB</w:t>
            </w:r>
            <w:r w:rsidRPr="00D630D1">
              <w:rPr>
                <w:rFonts w:ascii="Times New Roman" w:hAnsi="宋体" w:cs="Times New Roman"/>
                <w:kern w:val="2"/>
                <w:sz w:val="21"/>
                <w:szCs w:val="21"/>
              </w:rPr>
              <w:t>（</w:t>
            </w:r>
            <w:r w:rsidRPr="00D630D1">
              <w:rPr>
                <w:rFonts w:ascii="Times New Roman" w:cs="Times New Roman"/>
                <w:kern w:val="2"/>
                <w:sz w:val="21"/>
                <w:szCs w:val="21"/>
              </w:rPr>
              <w:t>A</w:t>
            </w:r>
            <w:r w:rsidRPr="00D630D1">
              <w:rPr>
                <w:rFonts w:ascii="Times New Roman" w:hAnsi="宋体" w:cs="Times New Roman"/>
                <w:kern w:val="2"/>
                <w:sz w:val="21"/>
                <w:szCs w:val="21"/>
              </w:rPr>
              <w:t>））</w:t>
            </w:r>
          </w:p>
        </w:tc>
      </w:tr>
      <w:tr w:rsidR="0018209F" w:rsidRPr="00D630D1" w:rsidTr="0018209F">
        <w:trPr>
          <w:trHeight w:val="245"/>
          <w:jc w:val="center"/>
        </w:trPr>
        <w:tc>
          <w:tcPr>
            <w:tcW w:w="104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压裂泵</w:t>
            </w:r>
          </w:p>
        </w:tc>
        <w:tc>
          <w:tcPr>
            <w:tcW w:w="102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w:t>
            </w:r>
          </w:p>
        </w:tc>
        <w:tc>
          <w:tcPr>
            <w:tcW w:w="1506"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95</w:t>
            </w:r>
            <w:r w:rsidRPr="00D630D1">
              <w:rPr>
                <w:rFonts w:ascii="Times New Roman" w:hAnsi="宋体" w:cs="Times New Roman"/>
                <w:kern w:val="2"/>
                <w:sz w:val="21"/>
                <w:szCs w:val="21"/>
              </w:rPr>
              <w:t>～</w:t>
            </w:r>
            <w:r w:rsidRPr="00D630D1">
              <w:rPr>
                <w:rFonts w:ascii="Times New Roman" w:cs="Times New Roman"/>
                <w:kern w:val="2"/>
                <w:sz w:val="21"/>
                <w:szCs w:val="21"/>
              </w:rPr>
              <w:t>100</w:t>
            </w:r>
          </w:p>
        </w:tc>
        <w:tc>
          <w:tcPr>
            <w:tcW w:w="1195"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164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加衬弹性垫料</w:t>
            </w:r>
          </w:p>
        </w:tc>
        <w:tc>
          <w:tcPr>
            <w:tcW w:w="1808"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90</w:t>
            </w:r>
            <w:r w:rsidRPr="00D630D1">
              <w:rPr>
                <w:rFonts w:ascii="Times New Roman" w:hAnsi="宋体" w:cs="Times New Roman"/>
                <w:kern w:val="2"/>
                <w:sz w:val="21"/>
                <w:szCs w:val="21"/>
              </w:rPr>
              <w:t>～</w:t>
            </w:r>
            <w:r w:rsidRPr="00D630D1">
              <w:rPr>
                <w:rFonts w:ascii="Times New Roman" w:cs="Times New Roman"/>
                <w:kern w:val="2"/>
                <w:sz w:val="21"/>
                <w:szCs w:val="21"/>
              </w:rPr>
              <w:t>95</w:t>
            </w:r>
          </w:p>
        </w:tc>
      </w:tr>
    </w:tbl>
    <w:p w:rsidR="0018209F" w:rsidRPr="00D630D1" w:rsidRDefault="0018209F" w:rsidP="0018209F">
      <w:pPr>
        <w:topLinePunct w:val="0"/>
        <w:snapToGrid w:val="0"/>
        <w:spacing w:line="331" w:lineRule="auto"/>
        <w:ind w:firstLineChars="0" w:firstLine="476"/>
        <w:rPr>
          <w:rFonts w:ascii="Times New Roman" w:cs="Times New Roman"/>
          <w:kern w:val="2"/>
        </w:rPr>
      </w:pPr>
      <w:r w:rsidRPr="00D630D1">
        <w:rPr>
          <w:rFonts w:ascii="Times New Roman" w:hAnsi="宋体" w:cs="Times New Roman"/>
          <w:kern w:val="2"/>
        </w:rPr>
        <w:t>②预测结果</w:t>
      </w:r>
    </w:p>
    <w:p w:rsidR="0018209F" w:rsidRPr="00D630D1" w:rsidRDefault="0018209F" w:rsidP="0018209F">
      <w:pPr>
        <w:widowControl/>
        <w:topLinePunct w:val="0"/>
        <w:snapToGrid w:val="0"/>
        <w:spacing w:line="331" w:lineRule="auto"/>
        <w:ind w:firstLine="480"/>
        <w:rPr>
          <w:rFonts w:ascii="Times New Roman" w:hAnsi="宋体" w:cs="Times New Roman"/>
          <w:kern w:val="2"/>
        </w:rPr>
      </w:pPr>
      <w:r w:rsidRPr="00D630D1">
        <w:rPr>
          <w:rFonts w:ascii="Times New Roman" w:hAnsi="宋体" w:cs="Times New Roman"/>
          <w:kern w:val="2"/>
        </w:rPr>
        <w:t>压裂作业过程井场边界四周环境噪声预测结果见表</w:t>
      </w:r>
      <w:r w:rsidRPr="00D630D1">
        <w:rPr>
          <w:rFonts w:ascii="Times New Roman" w:cs="Times New Roman"/>
        </w:rPr>
        <w:t>6.</w:t>
      </w:r>
      <w:r w:rsidRPr="00D630D1">
        <w:rPr>
          <w:rFonts w:ascii="Times New Roman" w:cs="Times New Roman" w:hint="eastAsia"/>
        </w:rPr>
        <w:t>1</w:t>
      </w:r>
      <w:r w:rsidRPr="00D630D1">
        <w:rPr>
          <w:rFonts w:ascii="Times New Roman" w:cs="Times New Roman"/>
        </w:rPr>
        <w:t>-</w:t>
      </w:r>
      <w:r w:rsidR="007A3F35" w:rsidRPr="00D630D1">
        <w:rPr>
          <w:rFonts w:ascii="Times New Roman" w:cs="Times New Roman" w:hint="eastAsia"/>
        </w:rPr>
        <w:t>9</w:t>
      </w:r>
      <w:r w:rsidRPr="00D630D1">
        <w:rPr>
          <w:rFonts w:ascii="Times New Roman" w:hAnsi="宋体" w:cs="Times New Roman"/>
          <w:kern w:val="2"/>
        </w:rPr>
        <w:t>。</w:t>
      </w:r>
    </w:p>
    <w:p w:rsidR="0018209F" w:rsidRPr="00D630D1" w:rsidRDefault="0018209F" w:rsidP="0018209F">
      <w:pPr>
        <w:topLinePunct w:val="0"/>
        <w:adjustRightInd/>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表</w:t>
      </w:r>
      <w:r w:rsidRPr="00D630D1">
        <w:rPr>
          <w:rFonts w:ascii="Times New Roman" w:cs="Times New Roman"/>
          <w:bCs/>
          <w:kern w:val="2"/>
          <w:sz w:val="21"/>
        </w:rPr>
        <w:t>6.</w:t>
      </w:r>
      <w:r w:rsidRPr="00D630D1">
        <w:rPr>
          <w:rFonts w:ascii="Times New Roman" w:cs="Times New Roman" w:hint="eastAsia"/>
          <w:bCs/>
          <w:kern w:val="2"/>
          <w:sz w:val="21"/>
        </w:rPr>
        <w:t>1</w:t>
      </w:r>
      <w:r w:rsidRPr="00D630D1">
        <w:rPr>
          <w:rFonts w:ascii="Times New Roman" w:cs="Times New Roman"/>
          <w:bCs/>
          <w:kern w:val="2"/>
          <w:sz w:val="21"/>
        </w:rPr>
        <w:t>-</w:t>
      </w:r>
      <w:r w:rsidR="007A3F35" w:rsidRPr="00D630D1">
        <w:rPr>
          <w:rFonts w:ascii="Times New Roman" w:cs="Times New Roman" w:hint="eastAsia"/>
          <w:bCs/>
          <w:kern w:val="2"/>
          <w:sz w:val="21"/>
        </w:rPr>
        <w:t>9</w:t>
      </w:r>
      <w:r w:rsidRPr="00D630D1">
        <w:rPr>
          <w:rFonts w:ascii="Times New Roman" w:cs="Times New Roman"/>
          <w:bCs/>
          <w:kern w:val="2"/>
          <w:sz w:val="21"/>
        </w:rPr>
        <w:t xml:space="preserve">  </w:t>
      </w:r>
      <w:r w:rsidRPr="00D630D1">
        <w:rPr>
          <w:rFonts w:ascii="Times New Roman" w:cs="Times New Roman"/>
          <w:kern w:val="2"/>
          <w:sz w:val="21"/>
        </w:rPr>
        <w:t>压裂作业过程噪声预测</w:t>
      </w:r>
      <w:r w:rsidRPr="00D630D1">
        <w:rPr>
          <w:rFonts w:ascii="Times New Roman" w:cs="Times New Roman"/>
          <w:bCs/>
          <w:kern w:val="2"/>
          <w:sz w:val="21"/>
        </w:rPr>
        <w:t xml:space="preserve">    </w:t>
      </w:r>
      <w:r w:rsidRPr="00D630D1">
        <w:rPr>
          <w:rFonts w:ascii="Times New Roman" w:cs="Times New Roman"/>
          <w:bCs/>
          <w:kern w:val="2"/>
          <w:sz w:val="21"/>
        </w:rPr>
        <w:t>单位：</w:t>
      </w:r>
      <w:r w:rsidRPr="00D630D1">
        <w:rPr>
          <w:rFonts w:ascii="Times New Roman" w:cs="Times New Roman"/>
          <w:bCs/>
          <w:kern w:val="2"/>
          <w:sz w:val="21"/>
        </w:rPr>
        <w:t>dB</w:t>
      </w:r>
      <w:r w:rsidR="007A3F35" w:rsidRPr="00D630D1">
        <w:rPr>
          <w:rFonts w:ascii="Times New Roman" w:cs="Times New Roman" w:hint="eastAsia"/>
          <w:bCs/>
          <w:kern w:val="2"/>
          <w:sz w:val="21"/>
        </w:rPr>
        <w:t>（</w:t>
      </w:r>
      <w:r w:rsidR="007A3F35" w:rsidRPr="00D630D1">
        <w:rPr>
          <w:rFonts w:ascii="Times New Roman" w:cs="Times New Roman"/>
          <w:bCs/>
          <w:kern w:val="2"/>
          <w:sz w:val="21"/>
        </w:rPr>
        <w:t>A</w:t>
      </w:r>
      <w:r w:rsidR="007A3F35" w:rsidRPr="00D630D1">
        <w:rPr>
          <w:rFonts w:ascii="Times New Roman" w:cs="Times New Roman" w:hint="eastAsia"/>
          <w:bCs/>
          <w:kern w:val="2"/>
          <w:sz w:val="21"/>
        </w:rPr>
        <w:t>）</w:t>
      </w:r>
    </w:p>
    <w:tbl>
      <w:tblPr>
        <w:tblW w:w="826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955"/>
        <w:gridCol w:w="1498"/>
        <w:gridCol w:w="1088"/>
        <w:gridCol w:w="1185"/>
        <w:gridCol w:w="1178"/>
        <w:gridCol w:w="1071"/>
        <w:gridCol w:w="1290"/>
      </w:tblGrid>
      <w:tr w:rsidR="0018209F" w:rsidRPr="00D630D1" w:rsidTr="0018209F">
        <w:trPr>
          <w:trHeight w:val="435"/>
          <w:jc w:val="center"/>
        </w:trPr>
        <w:tc>
          <w:tcPr>
            <w:tcW w:w="955" w:type="dxa"/>
            <w:vMerge w:val="restart"/>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噪声源</w:t>
            </w:r>
          </w:p>
        </w:tc>
        <w:tc>
          <w:tcPr>
            <w:tcW w:w="1498" w:type="dxa"/>
            <w:vMerge w:val="restart"/>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源强（采取各种措施衰减后）</w:t>
            </w:r>
          </w:p>
        </w:tc>
        <w:tc>
          <w:tcPr>
            <w:tcW w:w="4522" w:type="dxa"/>
            <w:gridSpan w:val="4"/>
            <w:tcBorders>
              <w:bottom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在各厂界噪声贡献值</w:t>
            </w:r>
          </w:p>
        </w:tc>
        <w:tc>
          <w:tcPr>
            <w:tcW w:w="1290" w:type="dxa"/>
            <w:vMerge w:val="restart"/>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达标情况</w:t>
            </w:r>
          </w:p>
        </w:tc>
      </w:tr>
      <w:tr w:rsidR="0018209F" w:rsidRPr="00D630D1" w:rsidTr="0018209F">
        <w:trPr>
          <w:trHeight w:val="180"/>
          <w:jc w:val="center"/>
        </w:trPr>
        <w:tc>
          <w:tcPr>
            <w:tcW w:w="955" w:type="dxa"/>
            <w:vMerge/>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p>
        </w:tc>
        <w:tc>
          <w:tcPr>
            <w:tcW w:w="1498" w:type="dxa"/>
            <w:vMerge/>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p>
        </w:tc>
        <w:tc>
          <w:tcPr>
            <w:tcW w:w="1088" w:type="dxa"/>
            <w:tcBorders>
              <w:top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东厂界</w:t>
            </w:r>
          </w:p>
        </w:tc>
        <w:tc>
          <w:tcPr>
            <w:tcW w:w="1185" w:type="dxa"/>
            <w:tcBorders>
              <w:top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南厂界</w:t>
            </w:r>
          </w:p>
        </w:tc>
        <w:tc>
          <w:tcPr>
            <w:tcW w:w="1178" w:type="dxa"/>
            <w:tcBorders>
              <w:top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西厂界</w:t>
            </w:r>
          </w:p>
        </w:tc>
        <w:tc>
          <w:tcPr>
            <w:tcW w:w="1071" w:type="dxa"/>
            <w:tcBorders>
              <w:top w:val="single" w:sz="4" w:space="0" w:color="auto"/>
            </w:tcBorders>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北厂界</w:t>
            </w:r>
          </w:p>
        </w:tc>
        <w:tc>
          <w:tcPr>
            <w:tcW w:w="1290" w:type="dxa"/>
            <w:vMerge/>
            <w:shd w:val="clear" w:color="auto" w:fill="auto"/>
            <w:vAlign w:val="center"/>
          </w:tcPr>
          <w:p w:rsidR="0018209F" w:rsidRPr="00D630D1" w:rsidRDefault="0018209F" w:rsidP="0018209F">
            <w:pPr>
              <w:topLinePunct w:val="0"/>
              <w:adjustRightInd/>
              <w:spacing w:line="240" w:lineRule="auto"/>
              <w:ind w:firstLineChars="0" w:firstLine="0"/>
              <w:jc w:val="center"/>
              <w:rPr>
                <w:rFonts w:ascii="Times New Roman" w:cs="Times New Roman"/>
                <w:kern w:val="2"/>
                <w:sz w:val="21"/>
              </w:rPr>
            </w:pPr>
          </w:p>
        </w:tc>
      </w:tr>
      <w:tr w:rsidR="00FD4E4E" w:rsidRPr="00D630D1" w:rsidTr="0018209F">
        <w:trPr>
          <w:trHeight w:val="540"/>
          <w:jc w:val="center"/>
        </w:trPr>
        <w:tc>
          <w:tcPr>
            <w:tcW w:w="955"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压裂泵</w:t>
            </w:r>
          </w:p>
        </w:tc>
        <w:tc>
          <w:tcPr>
            <w:tcW w:w="1498" w:type="dxa"/>
            <w:shd w:val="clear" w:color="auto" w:fill="auto"/>
            <w:vAlign w:val="center"/>
          </w:tcPr>
          <w:p w:rsidR="00FD4E4E" w:rsidRPr="00D630D1" w:rsidRDefault="00FD4E4E"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90</w:t>
            </w:r>
            <w:r w:rsidRPr="00D630D1">
              <w:rPr>
                <w:rFonts w:ascii="Times New Roman" w:hAnsi="宋体" w:cs="Times New Roman"/>
                <w:kern w:val="2"/>
                <w:sz w:val="21"/>
                <w:szCs w:val="21"/>
              </w:rPr>
              <w:t>～</w:t>
            </w:r>
            <w:r w:rsidRPr="00D630D1">
              <w:rPr>
                <w:rFonts w:ascii="Times New Roman" w:cs="Times New Roman"/>
                <w:kern w:val="2"/>
                <w:sz w:val="21"/>
                <w:szCs w:val="21"/>
              </w:rPr>
              <w:t>95</w:t>
            </w:r>
          </w:p>
        </w:tc>
        <w:tc>
          <w:tcPr>
            <w:tcW w:w="1088" w:type="dxa"/>
            <w:shd w:val="clear" w:color="auto" w:fill="auto"/>
            <w:vAlign w:val="center"/>
          </w:tcPr>
          <w:p w:rsidR="00FD4E4E" w:rsidRPr="00D630D1" w:rsidRDefault="00FD4E4E" w:rsidP="00FD4E4E">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64.4</w:t>
            </w:r>
          </w:p>
        </w:tc>
        <w:tc>
          <w:tcPr>
            <w:tcW w:w="1185"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58.5</w:t>
            </w:r>
          </w:p>
        </w:tc>
        <w:tc>
          <w:tcPr>
            <w:tcW w:w="1178"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64.3</w:t>
            </w:r>
          </w:p>
        </w:tc>
        <w:tc>
          <w:tcPr>
            <w:tcW w:w="1071" w:type="dxa"/>
            <w:shd w:val="clear" w:color="auto" w:fill="auto"/>
            <w:vAlign w:val="center"/>
          </w:tcPr>
          <w:p w:rsidR="00FD4E4E" w:rsidRPr="00D630D1" w:rsidRDefault="00FD4E4E" w:rsidP="00EA7E77">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63.4</w:t>
            </w:r>
          </w:p>
        </w:tc>
        <w:tc>
          <w:tcPr>
            <w:tcW w:w="1290" w:type="dxa"/>
            <w:shd w:val="clear" w:color="auto" w:fill="auto"/>
            <w:vAlign w:val="center"/>
          </w:tcPr>
          <w:p w:rsidR="00FD4E4E" w:rsidRPr="00D630D1" w:rsidRDefault="00FD4E4E" w:rsidP="0018209F">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昼间达标，夜间超标</w:t>
            </w:r>
          </w:p>
        </w:tc>
      </w:tr>
    </w:tbl>
    <w:p w:rsidR="0018209F" w:rsidRPr="00D630D1" w:rsidRDefault="0018209F" w:rsidP="0018209F">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lastRenderedPageBreak/>
        <w:t>预测结果表明：压裂作业过程中井场东、南、西、北边界噪声贡献值分别为</w:t>
      </w:r>
      <w:r w:rsidR="00FD4E4E" w:rsidRPr="00D630D1">
        <w:rPr>
          <w:rFonts w:ascii="Times New Roman" w:cs="Times New Roman"/>
          <w:kern w:val="2"/>
        </w:rPr>
        <w:t>64. 4dB</w:t>
      </w:r>
      <w:r w:rsidR="00FD4E4E" w:rsidRPr="00D630D1">
        <w:rPr>
          <w:rFonts w:ascii="Times New Roman" w:hAnsi="宋体" w:cs="Times New Roman"/>
          <w:kern w:val="2"/>
        </w:rPr>
        <w:t>（</w:t>
      </w:r>
      <w:r w:rsidR="00FD4E4E" w:rsidRPr="00D630D1">
        <w:rPr>
          <w:rFonts w:ascii="Times New Roman" w:cs="Times New Roman"/>
          <w:kern w:val="2"/>
        </w:rPr>
        <w:t>A</w:t>
      </w:r>
      <w:r w:rsidR="00FD4E4E" w:rsidRPr="00D630D1">
        <w:rPr>
          <w:rFonts w:ascii="Times New Roman" w:hAnsi="宋体" w:cs="Times New Roman"/>
          <w:kern w:val="2"/>
        </w:rPr>
        <w:t>）、</w:t>
      </w:r>
      <w:r w:rsidRPr="00D630D1">
        <w:rPr>
          <w:rFonts w:ascii="Times New Roman" w:cs="Times New Roman"/>
          <w:kern w:val="2"/>
        </w:rPr>
        <w:t>58.5dB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w:t>
      </w:r>
      <w:r w:rsidRPr="00D630D1">
        <w:rPr>
          <w:rFonts w:ascii="Times New Roman" w:cs="Times New Roman"/>
          <w:kern w:val="2"/>
        </w:rPr>
        <w:t>64.3dB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w:t>
      </w:r>
      <w:r w:rsidRPr="00D630D1">
        <w:rPr>
          <w:rFonts w:ascii="Times New Roman" w:cs="Times New Roman"/>
          <w:kern w:val="2"/>
        </w:rPr>
        <w:t>63.4dB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），昼间可以满足《建筑施工场界环境噪声排放标准》（</w:t>
      </w:r>
      <w:r w:rsidRPr="00D630D1">
        <w:rPr>
          <w:rFonts w:ascii="Times New Roman" w:cs="Times New Roman"/>
          <w:kern w:val="2"/>
        </w:rPr>
        <w:t>GB 12523-2011</w:t>
      </w:r>
      <w:r w:rsidRPr="00D630D1">
        <w:rPr>
          <w:rFonts w:ascii="Times New Roman" w:hAnsi="宋体" w:cs="Times New Roman"/>
          <w:kern w:val="2"/>
        </w:rPr>
        <w:t>）（昼间</w:t>
      </w:r>
      <w:r w:rsidRPr="00D630D1">
        <w:rPr>
          <w:rFonts w:ascii="Times New Roman" w:cs="Times New Roman"/>
          <w:kern w:val="2"/>
        </w:rPr>
        <w:t>70dB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）），夜间无法满足《建筑施工场界环境噪声排放标准》（</w:t>
      </w:r>
      <w:r w:rsidRPr="00D630D1">
        <w:rPr>
          <w:rFonts w:ascii="Times New Roman" w:cs="Times New Roman"/>
          <w:kern w:val="2"/>
        </w:rPr>
        <w:t>GB 12523-2011</w:t>
      </w:r>
      <w:r w:rsidRPr="00D630D1">
        <w:rPr>
          <w:rFonts w:ascii="Times New Roman" w:hAnsi="宋体" w:cs="Times New Roman"/>
          <w:kern w:val="2"/>
        </w:rPr>
        <w:t>）（夜间</w:t>
      </w:r>
      <w:r w:rsidRPr="00D630D1">
        <w:rPr>
          <w:rFonts w:ascii="Times New Roman" w:cs="Times New Roman"/>
          <w:kern w:val="2"/>
        </w:rPr>
        <w:t>55dB</w:t>
      </w:r>
      <w:r w:rsidRPr="00D630D1">
        <w:rPr>
          <w:rFonts w:ascii="Times New Roman" w:hAnsi="宋体" w:cs="Times New Roman"/>
          <w:kern w:val="2"/>
        </w:rPr>
        <w:t>（</w:t>
      </w:r>
      <w:r w:rsidRPr="00D630D1">
        <w:rPr>
          <w:rFonts w:ascii="Times New Roman" w:cs="Times New Roman"/>
          <w:kern w:val="2"/>
        </w:rPr>
        <w:t>A</w:t>
      </w:r>
      <w:r w:rsidRPr="00D630D1">
        <w:rPr>
          <w:rFonts w:ascii="Times New Roman" w:hAnsi="宋体" w:cs="Times New Roman"/>
          <w:kern w:val="2"/>
        </w:rPr>
        <w:t>））。尽可能将压裂作业安排在昼间，减少夜间施工对周围声环境的影响。</w:t>
      </w:r>
    </w:p>
    <w:p w:rsidR="0018209F" w:rsidRPr="00D630D1" w:rsidRDefault="0018209F" w:rsidP="0018209F">
      <w:pPr>
        <w:widowControl/>
        <w:topLinePunct w:val="0"/>
        <w:snapToGrid w:val="0"/>
        <w:spacing w:line="331" w:lineRule="auto"/>
        <w:ind w:firstLine="480"/>
        <w:rPr>
          <w:rFonts w:ascii="Times New Roman" w:cs="Times New Roman"/>
          <w:kern w:val="2"/>
        </w:rPr>
      </w:pPr>
      <w:r w:rsidRPr="00D630D1">
        <w:rPr>
          <w:rFonts w:ascii="Times New Roman" w:cs="Times New Roman"/>
          <w:kern w:val="2"/>
        </w:rPr>
        <w:t>2</w:t>
      </w:r>
      <w:r w:rsidRPr="00D630D1">
        <w:rPr>
          <w:rFonts w:ascii="Times New Roman" w:hAnsi="宋体" w:cs="Times New Roman"/>
          <w:kern w:val="2"/>
        </w:rPr>
        <w:t>）测试放喷噪声环境影响预测及分析</w:t>
      </w:r>
    </w:p>
    <w:p w:rsidR="0018209F" w:rsidRPr="00D630D1" w:rsidRDefault="0018209F" w:rsidP="0018209F">
      <w:pPr>
        <w:topLinePunct w:val="0"/>
        <w:snapToGrid w:val="0"/>
        <w:spacing w:line="331" w:lineRule="auto"/>
        <w:ind w:firstLineChars="0" w:firstLine="476"/>
        <w:rPr>
          <w:rFonts w:ascii="Times New Roman" w:cs="Times New Roman"/>
          <w:kern w:val="2"/>
        </w:rPr>
      </w:pPr>
      <w:r w:rsidRPr="00D630D1">
        <w:rPr>
          <w:rFonts w:ascii="Times New Roman" w:hAnsi="宋体" w:cs="Times New Roman"/>
          <w:kern w:val="2"/>
        </w:rPr>
        <w:t>①噪声源强</w:t>
      </w:r>
    </w:p>
    <w:p w:rsidR="0018209F" w:rsidRPr="00D630D1" w:rsidRDefault="0018209F" w:rsidP="0018209F">
      <w:pPr>
        <w:widowControl/>
        <w:topLinePunct w:val="0"/>
        <w:snapToGrid w:val="0"/>
        <w:spacing w:line="331" w:lineRule="auto"/>
        <w:ind w:firstLine="480"/>
        <w:rPr>
          <w:rFonts w:ascii="Times New Roman" w:hAnsi="宋体" w:cs="Times New Roman"/>
          <w:kern w:val="2"/>
        </w:rPr>
      </w:pPr>
      <w:r w:rsidRPr="00D630D1">
        <w:rPr>
          <w:rFonts w:ascii="Times New Roman" w:hAnsi="宋体" w:cs="Times New Roman"/>
          <w:kern w:val="2"/>
        </w:rPr>
        <w:t>测试放喷时产生的噪声主要有放喷气流噪声。主要噪声源的噪声值见表</w:t>
      </w:r>
      <w:r w:rsidRPr="00D630D1">
        <w:rPr>
          <w:rFonts w:ascii="Times New Roman" w:cs="Times New Roman"/>
        </w:rPr>
        <w:t>6.</w:t>
      </w:r>
      <w:r w:rsidRPr="00D630D1">
        <w:rPr>
          <w:rFonts w:ascii="Times New Roman" w:cs="Times New Roman" w:hint="eastAsia"/>
        </w:rPr>
        <w:t>1</w:t>
      </w:r>
      <w:r w:rsidRPr="00D630D1">
        <w:rPr>
          <w:rFonts w:ascii="Times New Roman" w:cs="Times New Roman"/>
        </w:rPr>
        <w:t>-</w:t>
      </w:r>
      <w:r w:rsidRPr="00D630D1">
        <w:rPr>
          <w:rFonts w:ascii="Times New Roman" w:cs="Times New Roman" w:hint="eastAsia"/>
        </w:rPr>
        <w:t>1</w:t>
      </w:r>
      <w:r w:rsidR="007A3F35" w:rsidRPr="00D630D1">
        <w:rPr>
          <w:rFonts w:ascii="Times New Roman" w:cs="Times New Roman" w:hint="eastAsia"/>
        </w:rPr>
        <w:t>0</w:t>
      </w:r>
      <w:r w:rsidRPr="00D630D1">
        <w:rPr>
          <w:rFonts w:ascii="Times New Roman" w:hAnsi="宋体" w:cs="Times New Roman"/>
          <w:kern w:val="2"/>
        </w:rPr>
        <w:t>。</w:t>
      </w:r>
    </w:p>
    <w:p w:rsidR="0018209F" w:rsidRPr="00D630D1" w:rsidRDefault="0018209F" w:rsidP="00F96E37">
      <w:pPr>
        <w:topLinePunct w:val="0"/>
        <w:snapToGrid w:val="0"/>
        <w:spacing w:beforeLines="50"/>
        <w:ind w:firstLineChars="0" w:firstLine="480"/>
        <w:jc w:val="center"/>
        <w:rPr>
          <w:rFonts w:ascii="Times New Roman" w:cs="Times New Roman"/>
          <w:kern w:val="2"/>
          <w:sz w:val="21"/>
          <w:szCs w:val="20"/>
        </w:rPr>
      </w:pPr>
      <w:bookmarkStart w:id="495" w:name="_Ref496288342"/>
      <w:r w:rsidRPr="00D630D1">
        <w:rPr>
          <w:rFonts w:ascii="Times New Roman" w:cs="Times New Roman"/>
          <w:kern w:val="2"/>
          <w:sz w:val="21"/>
          <w:szCs w:val="20"/>
        </w:rPr>
        <w:t>表</w:t>
      </w:r>
      <w:bookmarkEnd w:id="495"/>
      <w:r w:rsidRPr="00D630D1">
        <w:rPr>
          <w:rFonts w:ascii="Times New Roman" w:cs="Times New Roman"/>
          <w:kern w:val="2"/>
          <w:sz w:val="21"/>
          <w:szCs w:val="20"/>
        </w:rPr>
        <w:t>6.</w:t>
      </w:r>
      <w:r w:rsidRPr="00D630D1">
        <w:rPr>
          <w:rFonts w:ascii="Times New Roman" w:cs="Times New Roman" w:hint="eastAsia"/>
          <w:kern w:val="2"/>
          <w:sz w:val="21"/>
          <w:szCs w:val="20"/>
        </w:rPr>
        <w:t>1</w:t>
      </w:r>
      <w:r w:rsidRPr="00D630D1">
        <w:rPr>
          <w:rFonts w:ascii="Times New Roman" w:cs="Times New Roman"/>
          <w:kern w:val="2"/>
          <w:sz w:val="21"/>
          <w:szCs w:val="20"/>
        </w:rPr>
        <w:t>-</w:t>
      </w:r>
      <w:r w:rsidRPr="00D630D1">
        <w:rPr>
          <w:rFonts w:ascii="Times New Roman" w:cs="Times New Roman" w:hint="eastAsia"/>
          <w:kern w:val="2"/>
          <w:sz w:val="21"/>
          <w:szCs w:val="20"/>
        </w:rPr>
        <w:t>1</w:t>
      </w:r>
      <w:r w:rsidR="007A3F35" w:rsidRPr="00D630D1">
        <w:rPr>
          <w:rFonts w:ascii="Times New Roman" w:cs="Times New Roman" w:hint="eastAsia"/>
          <w:kern w:val="2"/>
          <w:sz w:val="21"/>
          <w:szCs w:val="20"/>
        </w:rPr>
        <w:t>0</w:t>
      </w:r>
      <w:r w:rsidRPr="00D630D1">
        <w:rPr>
          <w:rFonts w:ascii="Times New Roman" w:cs="Times New Roman"/>
          <w:kern w:val="2"/>
          <w:sz w:val="21"/>
          <w:szCs w:val="20"/>
        </w:rPr>
        <w:t xml:space="preserve">  </w:t>
      </w:r>
      <w:r w:rsidRPr="00D630D1">
        <w:rPr>
          <w:rFonts w:ascii="Times New Roman" w:cs="Times New Roman"/>
          <w:kern w:val="2"/>
          <w:sz w:val="21"/>
          <w:szCs w:val="20"/>
        </w:rPr>
        <w:t>测试放喷时噪声源强</w:t>
      </w:r>
    </w:p>
    <w:tbl>
      <w:tblPr>
        <w:tblW w:w="8224" w:type="dxa"/>
        <w:jc w:val="center"/>
        <w:tblBorders>
          <w:top w:val="single" w:sz="4" w:space="0" w:color="auto"/>
          <w:left w:val="single" w:sz="4" w:space="0" w:color="auto"/>
          <w:bottom w:val="single" w:sz="4" w:space="0" w:color="auto"/>
          <w:right w:val="single" w:sz="4" w:space="0" w:color="auto"/>
          <w:insideH w:val="single" w:sz="4" w:space="0" w:color="auto"/>
          <w:insideV w:val="single" w:sz="6" w:space="0" w:color="auto"/>
        </w:tblBorders>
        <w:tblLayout w:type="fixed"/>
        <w:tblCellMar>
          <w:left w:w="6" w:type="dxa"/>
          <w:right w:w="6" w:type="dxa"/>
        </w:tblCellMar>
        <w:tblLook w:val="0000"/>
      </w:tblPr>
      <w:tblGrid>
        <w:gridCol w:w="704"/>
        <w:gridCol w:w="997"/>
        <w:gridCol w:w="711"/>
        <w:gridCol w:w="1423"/>
        <w:gridCol w:w="1138"/>
        <w:gridCol w:w="1460"/>
        <w:gridCol w:w="1791"/>
      </w:tblGrid>
      <w:tr w:rsidR="0018209F" w:rsidRPr="00D630D1" w:rsidTr="0018209F">
        <w:trPr>
          <w:trHeight w:val="512"/>
          <w:jc w:val="center"/>
        </w:trPr>
        <w:tc>
          <w:tcPr>
            <w:tcW w:w="70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序号</w:t>
            </w:r>
          </w:p>
        </w:tc>
        <w:tc>
          <w:tcPr>
            <w:tcW w:w="997"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声源名称</w:t>
            </w:r>
          </w:p>
        </w:tc>
        <w:tc>
          <w:tcPr>
            <w:tcW w:w="711"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数量（台）</w:t>
            </w:r>
          </w:p>
        </w:tc>
        <w:tc>
          <w:tcPr>
            <w:tcW w:w="1423"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降噪前声级</w:t>
            </w:r>
          </w:p>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w:t>
            </w:r>
            <w:r w:rsidRPr="00D630D1">
              <w:rPr>
                <w:rFonts w:ascii="Times New Roman" w:cs="Times New Roman"/>
                <w:kern w:val="2"/>
                <w:sz w:val="21"/>
                <w:szCs w:val="21"/>
              </w:rPr>
              <w:t>dB</w:t>
            </w:r>
            <w:r w:rsidRPr="00D630D1">
              <w:rPr>
                <w:rFonts w:ascii="Times New Roman" w:hAnsi="宋体" w:cs="Times New Roman"/>
                <w:kern w:val="2"/>
                <w:sz w:val="21"/>
                <w:szCs w:val="21"/>
              </w:rPr>
              <w:t>（</w:t>
            </w:r>
            <w:r w:rsidRPr="00D630D1">
              <w:rPr>
                <w:rFonts w:ascii="Times New Roman" w:cs="Times New Roman"/>
                <w:kern w:val="2"/>
                <w:sz w:val="21"/>
                <w:szCs w:val="21"/>
              </w:rPr>
              <w:t>A</w:t>
            </w:r>
            <w:r w:rsidRPr="00D630D1">
              <w:rPr>
                <w:rFonts w:ascii="Times New Roman" w:hAnsi="宋体" w:cs="Times New Roman"/>
                <w:kern w:val="2"/>
                <w:sz w:val="21"/>
                <w:szCs w:val="21"/>
              </w:rPr>
              <w:t>））</w:t>
            </w:r>
          </w:p>
        </w:tc>
        <w:tc>
          <w:tcPr>
            <w:tcW w:w="1138" w:type="dxa"/>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声源高度（</w:t>
            </w:r>
            <w:r w:rsidRPr="00D630D1">
              <w:rPr>
                <w:rFonts w:ascii="Times New Roman" w:cs="Times New Roman"/>
                <w:kern w:val="2"/>
                <w:sz w:val="21"/>
                <w:szCs w:val="21"/>
              </w:rPr>
              <w:t>m</w:t>
            </w:r>
            <w:r w:rsidRPr="00D630D1">
              <w:rPr>
                <w:rFonts w:ascii="Times New Roman" w:hAnsi="宋体" w:cs="Times New Roman"/>
                <w:kern w:val="2"/>
                <w:sz w:val="21"/>
                <w:szCs w:val="21"/>
              </w:rPr>
              <w:t>）</w:t>
            </w:r>
          </w:p>
        </w:tc>
        <w:tc>
          <w:tcPr>
            <w:tcW w:w="1460" w:type="dxa"/>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降噪措施</w:t>
            </w:r>
          </w:p>
        </w:tc>
        <w:tc>
          <w:tcPr>
            <w:tcW w:w="1791" w:type="dxa"/>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降噪后声级</w:t>
            </w:r>
          </w:p>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w:t>
            </w:r>
            <w:r w:rsidRPr="00D630D1">
              <w:rPr>
                <w:rFonts w:ascii="Times New Roman" w:cs="Times New Roman"/>
                <w:kern w:val="2"/>
                <w:sz w:val="21"/>
                <w:szCs w:val="21"/>
              </w:rPr>
              <w:t>dB</w:t>
            </w:r>
            <w:r w:rsidRPr="00D630D1">
              <w:rPr>
                <w:rFonts w:ascii="Times New Roman" w:hAnsi="宋体" w:cs="Times New Roman"/>
                <w:kern w:val="2"/>
                <w:sz w:val="21"/>
                <w:szCs w:val="21"/>
              </w:rPr>
              <w:t>（</w:t>
            </w:r>
            <w:r w:rsidRPr="00D630D1">
              <w:rPr>
                <w:rFonts w:ascii="Times New Roman" w:cs="Times New Roman"/>
                <w:kern w:val="2"/>
                <w:sz w:val="21"/>
                <w:szCs w:val="21"/>
              </w:rPr>
              <w:t>A</w:t>
            </w:r>
            <w:r w:rsidRPr="00D630D1">
              <w:rPr>
                <w:rFonts w:ascii="Times New Roman" w:hAnsi="宋体" w:cs="Times New Roman"/>
                <w:kern w:val="2"/>
                <w:sz w:val="21"/>
                <w:szCs w:val="21"/>
              </w:rPr>
              <w:t>））</w:t>
            </w:r>
          </w:p>
        </w:tc>
      </w:tr>
      <w:tr w:rsidR="0018209F" w:rsidRPr="00D630D1" w:rsidTr="0018209F">
        <w:trPr>
          <w:trHeight w:val="270"/>
          <w:jc w:val="center"/>
        </w:trPr>
        <w:tc>
          <w:tcPr>
            <w:tcW w:w="70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p>
        </w:tc>
        <w:tc>
          <w:tcPr>
            <w:tcW w:w="997"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highlight w:val="yellow"/>
              </w:rPr>
            </w:pPr>
            <w:r w:rsidRPr="00D630D1">
              <w:rPr>
                <w:rFonts w:ascii="Times New Roman" w:hAnsi="宋体" w:cs="Times New Roman"/>
                <w:kern w:val="2"/>
                <w:sz w:val="21"/>
                <w:szCs w:val="21"/>
              </w:rPr>
              <w:t>测试放喷</w:t>
            </w:r>
          </w:p>
        </w:tc>
        <w:tc>
          <w:tcPr>
            <w:tcW w:w="711"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highlight w:val="yellow"/>
              </w:rPr>
            </w:pPr>
            <w:r w:rsidRPr="00D630D1">
              <w:rPr>
                <w:rFonts w:ascii="Times New Roman" w:cs="Times New Roman"/>
                <w:kern w:val="2"/>
                <w:sz w:val="21"/>
                <w:szCs w:val="21"/>
              </w:rPr>
              <w:t>1</w:t>
            </w:r>
          </w:p>
        </w:tc>
        <w:tc>
          <w:tcPr>
            <w:tcW w:w="1423"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highlight w:val="yellow"/>
              </w:rPr>
            </w:pPr>
            <w:r w:rsidRPr="00D630D1">
              <w:rPr>
                <w:rFonts w:ascii="Times New Roman" w:cs="Times New Roman"/>
                <w:kern w:val="2"/>
                <w:sz w:val="21"/>
                <w:szCs w:val="21"/>
              </w:rPr>
              <w:t>95</w:t>
            </w:r>
            <w:r w:rsidRPr="00D630D1">
              <w:rPr>
                <w:rFonts w:ascii="Times New Roman" w:hAnsi="宋体" w:cs="Times New Roman"/>
                <w:kern w:val="2"/>
                <w:sz w:val="21"/>
                <w:szCs w:val="21"/>
              </w:rPr>
              <w:t>～</w:t>
            </w:r>
            <w:r w:rsidRPr="00D630D1">
              <w:rPr>
                <w:rFonts w:ascii="Times New Roman" w:cs="Times New Roman"/>
                <w:kern w:val="2"/>
                <w:sz w:val="21"/>
                <w:szCs w:val="21"/>
              </w:rPr>
              <w:t>105</w:t>
            </w:r>
          </w:p>
        </w:tc>
        <w:tc>
          <w:tcPr>
            <w:tcW w:w="1138" w:type="dxa"/>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0.2</w:t>
            </w:r>
          </w:p>
        </w:tc>
        <w:tc>
          <w:tcPr>
            <w:tcW w:w="1460" w:type="dxa"/>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无</w:t>
            </w:r>
          </w:p>
        </w:tc>
        <w:tc>
          <w:tcPr>
            <w:tcW w:w="1791" w:type="dxa"/>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95</w:t>
            </w:r>
            <w:r w:rsidRPr="00D630D1">
              <w:rPr>
                <w:rFonts w:ascii="Times New Roman" w:hAnsi="宋体" w:cs="Times New Roman"/>
                <w:kern w:val="2"/>
                <w:sz w:val="21"/>
                <w:szCs w:val="21"/>
              </w:rPr>
              <w:t>～</w:t>
            </w:r>
            <w:r w:rsidRPr="00D630D1">
              <w:rPr>
                <w:rFonts w:ascii="Times New Roman" w:cs="Times New Roman"/>
                <w:kern w:val="2"/>
                <w:sz w:val="21"/>
                <w:szCs w:val="21"/>
              </w:rPr>
              <w:t>105</w:t>
            </w:r>
          </w:p>
        </w:tc>
      </w:tr>
    </w:tbl>
    <w:p w:rsidR="0018209F" w:rsidRPr="00D630D1" w:rsidRDefault="0018209F" w:rsidP="0018209F">
      <w:pPr>
        <w:topLinePunct w:val="0"/>
        <w:snapToGrid w:val="0"/>
        <w:spacing w:line="331" w:lineRule="auto"/>
        <w:ind w:firstLineChars="0" w:firstLine="476"/>
        <w:rPr>
          <w:rFonts w:ascii="Times New Roman" w:cs="Times New Roman"/>
          <w:kern w:val="2"/>
        </w:rPr>
      </w:pPr>
      <w:r w:rsidRPr="00D630D1">
        <w:rPr>
          <w:rFonts w:ascii="Times New Roman" w:hAnsi="宋体" w:cs="Times New Roman"/>
          <w:kern w:val="2"/>
        </w:rPr>
        <w:t>②预测结果</w:t>
      </w:r>
    </w:p>
    <w:p w:rsidR="0018209F" w:rsidRPr="00D630D1" w:rsidRDefault="0018209F" w:rsidP="0018209F">
      <w:pPr>
        <w:topLinePunct w:val="0"/>
        <w:snapToGrid w:val="0"/>
        <w:ind w:firstLineChars="0" w:firstLine="476"/>
        <w:rPr>
          <w:rFonts w:ascii="Times New Roman" w:cs="Times New Roman"/>
          <w:kern w:val="2"/>
        </w:rPr>
      </w:pPr>
      <w:r w:rsidRPr="00D630D1">
        <w:rPr>
          <w:rFonts w:ascii="Times New Roman" w:hAnsi="宋体" w:cs="Times New Roman"/>
          <w:kern w:val="2"/>
        </w:rPr>
        <w:t>本项目放喷池声评价范围内无声环境敏感点，因此，不进行敏感点噪声预测，根据相关规定，测试放喷之前，必须临时疏散</w:t>
      </w:r>
      <w:r w:rsidRPr="00D630D1">
        <w:rPr>
          <w:rFonts w:ascii="Times New Roman" w:cs="Times New Roman"/>
          <w:kern w:val="2"/>
        </w:rPr>
        <w:t>500m</w:t>
      </w:r>
      <w:r w:rsidRPr="00D630D1">
        <w:rPr>
          <w:rFonts w:ascii="Times New Roman" w:hAnsi="宋体" w:cs="Times New Roman"/>
          <w:kern w:val="2"/>
        </w:rPr>
        <w:t>范围内的居民，且测试放喷时间较短，一般只有</w:t>
      </w:r>
      <w:r w:rsidRPr="00D630D1">
        <w:rPr>
          <w:rFonts w:ascii="Times New Roman" w:cs="Times New Roman"/>
          <w:kern w:val="2"/>
        </w:rPr>
        <w:t>4h</w:t>
      </w:r>
      <w:r w:rsidRPr="00D630D1">
        <w:rPr>
          <w:rFonts w:ascii="Times New Roman" w:hAnsi="宋体" w:cs="Times New Roman"/>
          <w:kern w:val="2"/>
        </w:rPr>
        <w:t>～</w:t>
      </w:r>
      <w:r w:rsidRPr="00D630D1">
        <w:rPr>
          <w:rFonts w:ascii="Times New Roman" w:cs="Times New Roman"/>
          <w:kern w:val="2"/>
        </w:rPr>
        <w:t>6h</w:t>
      </w:r>
      <w:r w:rsidRPr="00D630D1">
        <w:rPr>
          <w:rFonts w:ascii="Times New Roman" w:hAnsi="宋体" w:cs="Times New Roman"/>
          <w:kern w:val="2"/>
        </w:rPr>
        <w:t>。因此，测试放喷对周围居民影响较小。</w:t>
      </w:r>
    </w:p>
    <w:p w:rsidR="0018209F" w:rsidRPr="00D630D1" w:rsidRDefault="0018209F" w:rsidP="0018209F">
      <w:pPr>
        <w:topLinePunct w:val="0"/>
        <w:snapToGrid w:val="0"/>
        <w:ind w:firstLineChars="196" w:firstLine="470"/>
        <w:rPr>
          <w:rFonts w:ascii="Times New Roman" w:cs="Times New Roman"/>
          <w:bCs/>
          <w:kern w:val="2"/>
        </w:rPr>
      </w:pPr>
      <w:r w:rsidRPr="00D630D1">
        <w:rPr>
          <w:rFonts w:ascii="Times New Roman" w:cs="Times New Roman"/>
          <w:bCs/>
          <w:kern w:val="2"/>
        </w:rPr>
        <w:t>3</w:t>
      </w:r>
      <w:r w:rsidRPr="00D630D1">
        <w:rPr>
          <w:rFonts w:ascii="Times New Roman" w:cs="Times New Roman"/>
          <w:bCs/>
          <w:kern w:val="2"/>
        </w:rPr>
        <w:t>）影响人群分析</w:t>
      </w:r>
    </w:p>
    <w:p w:rsidR="0018209F" w:rsidRPr="00D630D1" w:rsidRDefault="0018209F" w:rsidP="0018209F">
      <w:pPr>
        <w:widowControl/>
        <w:topLinePunct w:val="0"/>
        <w:snapToGrid w:val="0"/>
        <w:ind w:firstLine="480"/>
        <w:rPr>
          <w:rFonts w:ascii="Times New Roman" w:cs="Times New Roman"/>
          <w:kern w:val="2"/>
        </w:rPr>
      </w:pPr>
      <w:r w:rsidRPr="00D630D1">
        <w:rPr>
          <w:rFonts w:ascii="Times New Roman" w:hAnsi="宋体" w:cs="Times New Roman"/>
          <w:kern w:val="2"/>
        </w:rPr>
        <w:t>钻井作业期间无超标人群；放喷池测试放喷期间期间无超标人群。本项目超标范围内影响人群情况见表</w:t>
      </w:r>
      <w:r w:rsidRPr="00D630D1">
        <w:rPr>
          <w:rFonts w:ascii="Times New Roman" w:cs="Times New Roman"/>
        </w:rPr>
        <w:t>6.</w:t>
      </w:r>
      <w:r w:rsidRPr="00D630D1">
        <w:rPr>
          <w:rFonts w:ascii="Times New Roman" w:cs="Times New Roman" w:hint="eastAsia"/>
        </w:rPr>
        <w:t>1</w:t>
      </w:r>
      <w:r w:rsidRPr="00D630D1">
        <w:rPr>
          <w:rFonts w:ascii="Times New Roman" w:cs="Times New Roman"/>
        </w:rPr>
        <w:t>-</w:t>
      </w:r>
      <w:r w:rsidRPr="00D630D1">
        <w:rPr>
          <w:rFonts w:ascii="Times New Roman" w:cs="Times New Roman" w:hint="eastAsia"/>
        </w:rPr>
        <w:t>1</w:t>
      </w:r>
      <w:r w:rsidR="007A3F35" w:rsidRPr="00D630D1">
        <w:rPr>
          <w:rFonts w:ascii="Times New Roman" w:cs="Times New Roman" w:hint="eastAsia"/>
        </w:rPr>
        <w:t>1</w:t>
      </w:r>
      <w:r w:rsidRPr="00D630D1">
        <w:rPr>
          <w:rFonts w:ascii="Times New Roman" w:hAnsi="宋体" w:cs="Times New Roman"/>
          <w:kern w:val="2"/>
        </w:rPr>
        <w:t>。</w:t>
      </w:r>
    </w:p>
    <w:p w:rsidR="0018209F" w:rsidRPr="00D630D1" w:rsidRDefault="0018209F" w:rsidP="00F96E37">
      <w:pPr>
        <w:topLinePunct w:val="0"/>
        <w:snapToGrid w:val="0"/>
        <w:spacing w:beforeLines="50"/>
        <w:ind w:firstLineChars="0" w:firstLine="480"/>
        <w:jc w:val="center"/>
        <w:rPr>
          <w:rFonts w:ascii="Times New Roman" w:cs="Times New Roman"/>
          <w:kern w:val="2"/>
          <w:sz w:val="21"/>
          <w:szCs w:val="20"/>
        </w:rPr>
      </w:pPr>
      <w:bookmarkStart w:id="496" w:name="_Ref472067769"/>
      <w:r w:rsidRPr="00D630D1">
        <w:rPr>
          <w:rFonts w:ascii="Times New Roman" w:cs="Times New Roman"/>
          <w:kern w:val="2"/>
          <w:sz w:val="21"/>
          <w:szCs w:val="20"/>
        </w:rPr>
        <w:t>表</w:t>
      </w:r>
      <w:bookmarkEnd w:id="496"/>
      <w:r w:rsidRPr="00D630D1">
        <w:rPr>
          <w:rFonts w:ascii="Times New Roman" w:cs="Times New Roman"/>
          <w:kern w:val="2"/>
          <w:sz w:val="21"/>
          <w:szCs w:val="20"/>
        </w:rPr>
        <w:t>6.</w:t>
      </w:r>
      <w:r w:rsidRPr="00D630D1">
        <w:rPr>
          <w:rFonts w:ascii="Times New Roman" w:cs="Times New Roman" w:hint="eastAsia"/>
          <w:kern w:val="2"/>
          <w:sz w:val="21"/>
          <w:szCs w:val="20"/>
        </w:rPr>
        <w:t>1</w:t>
      </w:r>
      <w:r w:rsidRPr="00D630D1">
        <w:rPr>
          <w:rFonts w:ascii="Times New Roman" w:cs="Times New Roman"/>
          <w:kern w:val="2"/>
          <w:sz w:val="21"/>
          <w:szCs w:val="20"/>
        </w:rPr>
        <w:t>-</w:t>
      </w:r>
      <w:r w:rsidRPr="00D630D1">
        <w:rPr>
          <w:rFonts w:ascii="Times New Roman" w:cs="Times New Roman" w:hint="eastAsia"/>
          <w:kern w:val="2"/>
          <w:sz w:val="21"/>
          <w:szCs w:val="20"/>
        </w:rPr>
        <w:t>1</w:t>
      </w:r>
      <w:r w:rsidR="007A3F35" w:rsidRPr="00D630D1">
        <w:rPr>
          <w:rFonts w:ascii="Times New Roman" w:cs="Times New Roman" w:hint="eastAsia"/>
          <w:kern w:val="2"/>
          <w:sz w:val="21"/>
          <w:szCs w:val="20"/>
        </w:rPr>
        <w:t>1</w:t>
      </w:r>
      <w:r w:rsidRPr="00D630D1">
        <w:rPr>
          <w:rFonts w:ascii="Times New Roman" w:cs="Times New Roman"/>
          <w:kern w:val="2"/>
          <w:sz w:val="21"/>
          <w:szCs w:val="20"/>
        </w:rPr>
        <w:t xml:space="preserve">  </w:t>
      </w:r>
      <w:r w:rsidRPr="00D630D1">
        <w:rPr>
          <w:rFonts w:ascii="Times New Roman" w:cs="Times New Roman"/>
          <w:kern w:val="2"/>
          <w:sz w:val="21"/>
          <w:szCs w:val="20"/>
        </w:rPr>
        <w:t>噪声超标范围内影响人群情况</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94"/>
        <w:gridCol w:w="824"/>
        <w:gridCol w:w="824"/>
        <w:gridCol w:w="764"/>
        <w:gridCol w:w="885"/>
        <w:gridCol w:w="824"/>
        <w:gridCol w:w="1050"/>
        <w:gridCol w:w="600"/>
        <w:gridCol w:w="857"/>
      </w:tblGrid>
      <w:tr w:rsidR="0018209F" w:rsidRPr="00D630D1" w:rsidTr="0018209F">
        <w:trPr>
          <w:trHeight w:val="73"/>
          <w:jc w:val="center"/>
        </w:trPr>
        <w:tc>
          <w:tcPr>
            <w:tcW w:w="1594" w:type="dxa"/>
            <w:vMerge w:val="restart"/>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项目</w:t>
            </w:r>
          </w:p>
        </w:tc>
        <w:tc>
          <w:tcPr>
            <w:tcW w:w="1648" w:type="dxa"/>
            <w:gridSpan w:val="2"/>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钻井作业</w:t>
            </w:r>
          </w:p>
        </w:tc>
        <w:tc>
          <w:tcPr>
            <w:tcW w:w="1649" w:type="dxa"/>
            <w:gridSpan w:val="2"/>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压裂作业</w:t>
            </w:r>
          </w:p>
        </w:tc>
        <w:tc>
          <w:tcPr>
            <w:tcW w:w="1874" w:type="dxa"/>
            <w:gridSpan w:val="2"/>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测试放喷（主）</w:t>
            </w:r>
          </w:p>
        </w:tc>
        <w:tc>
          <w:tcPr>
            <w:tcW w:w="1457" w:type="dxa"/>
            <w:gridSpan w:val="2"/>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测试放喷（副）</w:t>
            </w:r>
          </w:p>
        </w:tc>
      </w:tr>
      <w:tr w:rsidR="0018209F" w:rsidRPr="00D630D1" w:rsidTr="0018209F">
        <w:trPr>
          <w:trHeight w:val="80"/>
          <w:jc w:val="center"/>
        </w:trPr>
        <w:tc>
          <w:tcPr>
            <w:tcW w:w="1594" w:type="dxa"/>
            <w:vMerge/>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p>
        </w:tc>
        <w:tc>
          <w:tcPr>
            <w:tcW w:w="82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昼间</w:t>
            </w:r>
          </w:p>
        </w:tc>
        <w:tc>
          <w:tcPr>
            <w:tcW w:w="82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夜间</w:t>
            </w:r>
          </w:p>
        </w:tc>
        <w:tc>
          <w:tcPr>
            <w:tcW w:w="76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昼间</w:t>
            </w:r>
          </w:p>
        </w:tc>
        <w:tc>
          <w:tcPr>
            <w:tcW w:w="885"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夜间</w:t>
            </w:r>
          </w:p>
        </w:tc>
        <w:tc>
          <w:tcPr>
            <w:tcW w:w="82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昼间</w:t>
            </w:r>
          </w:p>
        </w:tc>
        <w:tc>
          <w:tcPr>
            <w:tcW w:w="105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夜间</w:t>
            </w:r>
          </w:p>
        </w:tc>
        <w:tc>
          <w:tcPr>
            <w:tcW w:w="6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昼间</w:t>
            </w:r>
          </w:p>
        </w:tc>
        <w:tc>
          <w:tcPr>
            <w:tcW w:w="857"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夜间</w:t>
            </w:r>
          </w:p>
        </w:tc>
      </w:tr>
      <w:tr w:rsidR="0018209F" w:rsidRPr="00D630D1" w:rsidTr="0018209F">
        <w:trPr>
          <w:trHeight w:val="207"/>
          <w:jc w:val="center"/>
        </w:trPr>
        <w:tc>
          <w:tcPr>
            <w:tcW w:w="159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受影响人群</w:t>
            </w:r>
          </w:p>
        </w:tc>
        <w:tc>
          <w:tcPr>
            <w:tcW w:w="82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w:t>
            </w:r>
          </w:p>
        </w:tc>
        <w:tc>
          <w:tcPr>
            <w:tcW w:w="82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w:t>
            </w:r>
          </w:p>
        </w:tc>
        <w:tc>
          <w:tcPr>
            <w:tcW w:w="76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w:t>
            </w:r>
          </w:p>
        </w:tc>
        <w:tc>
          <w:tcPr>
            <w:tcW w:w="885"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w:t>
            </w:r>
          </w:p>
        </w:tc>
        <w:tc>
          <w:tcPr>
            <w:tcW w:w="82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w:t>
            </w:r>
          </w:p>
        </w:tc>
        <w:tc>
          <w:tcPr>
            <w:tcW w:w="105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w:t>
            </w:r>
          </w:p>
        </w:tc>
        <w:tc>
          <w:tcPr>
            <w:tcW w:w="6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w:t>
            </w:r>
          </w:p>
        </w:tc>
        <w:tc>
          <w:tcPr>
            <w:tcW w:w="857"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w:t>
            </w:r>
          </w:p>
        </w:tc>
      </w:tr>
      <w:tr w:rsidR="0018209F" w:rsidRPr="00D630D1" w:rsidTr="0018209F">
        <w:trPr>
          <w:trHeight w:val="207"/>
          <w:jc w:val="center"/>
        </w:trPr>
        <w:tc>
          <w:tcPr>
            <w:tcW w:w="159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标准值（</w:t>
            </w:r>
            <w:r w:rsidRPr="00D630D1">
              <w:rPr>
                <w:rFonts w:ascii="Times New Roman" w:cs="Times New Roman"/>
                <w:kern w:val="2"/>
                <w:sz w:val="21"/>
                <w:szCs w:val="21"/>
              </w:rPr>
              <w:t>dB</w:t>
            </w:r>
            <w:r w:rsidRPr="00D630D1">
              <w:rPr>
                <w:rFonts w:ascii="Times New Roman" w:hAnsi="宋体" w:cs="Times New Roman"/>
                <w:kern w:val="2"/>
                <w:sz w:val="21"/>
                <w:szCs w:val="21"/>
              </w:rPr>
              <w:t>（</w:t>
            </w:r>
            <w:r w:rsidRPr="00D630D1">
              <w:rPr>
                <w:rFonts w:ascii="Times New Roman" w:cs="Times New Roman"/>
                <w:kern w:val="2"/>
                <w:sz w:val="21"/>
                <w:szCs w:val="21"/>
              </w:rPr>
              <w:t>A</w:t>
            </w:r>
            <w:r w:rsidRPr="00D630D1">
              <w:rPr>
                <w:rFonts w:ascii="Times New Roman" w:hAnsi="宋体" w:cs="Times New Roman"/>
                <w:kern w:val="2"/>
                <w:sz w:val="21"/>
                <w:szCs w:val="21"/>
              </w:rPr>
              <w:t>））</w:t>
            </w:r>
          </w:p>
        </w:tc>
        <w:tc>
          <w:tcPr>
            <w:tcW w:w="82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60</w:t>
            </w:r>
          </w:p>
        </w:tc>
        <w:tc>
          <w:tcPr>
            <w:tcW w:w="82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50</w:t>
            </w:r>
          </w:p>
        </w:tc>
        <w:tc>
          <w:tcPr>
            <w:tcW w:w="76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60</w:t>
            </w:r>
          </w:p>
        </w:tc>
        <w:tc>
          <w:tcPr>
            <w:tcW w:w="885"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50</w:t>
            </w:r>
          </w:p>
        </w:tc>
        <w:tc>
          <w:tcPr>
            <w:tcW w:w="824"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60</w:t>
            </w:r>
          </w:p>
        </w:tc>
        <w:tc>
          <w:tcPr>
            <w:tcW w:w="105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50</w:t>
            </w:r>
          </w:p>
        </w:tc>
        <w:tc>
          <w:tcPr>
            <w:tcW w:w="600"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60</w:t>
            </w:r>
          </w:p>
        </w:tc>
        <w:tc>
          <w:tcPr>
            <w:tcW w:w="857" w:type="dxa"/>
            <w:vAlign w:val="center"/>
          </w:tcPr>
          <w:p w:rsidR="0018209F" w:rsidRPr="00D630D1" w:rsidRDefault="0018209F" w:rsidP="0018209F">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50</w:t>
            </w:r>
          </w:p>
        </w:tc>
      </w:tr>
    </w:tbl>
    <w:p w:rsidR="0018209F" w:rsidRPr="00D630D1" w:rsidRDefault="0018209F" w:rsidP="0018209F">
      <w:pPr>
        <w:pStyle w:val="afa"/>
        <w:ind w:firstLine="480"/>
        <w:rPr>
          <w:szCs w:val="24"/>
        </w:rPr>
      </w:pPr>
      <w:r w:rsidRPr="00D630D1">
        <w:rPr>
          <w:kern w:val="2"/>
          <w:szCs w:val="24"/>
        </w:rPr>
        <w:t>测试放喷均应尽可能避开夜间施工。</w:t>
      </w:r>
    </w:p>
    <w:p w:rsidR="00117C3D" w:rsidRPr="00D630D1" w:rsidRDefault="00ED0BBC">
      <w:pPr>
        <w:pStyle w:val="3"/>
        <w:rPr>
          <w:rFonts w:eastAsia="宋体"/>
        </w:rPr>
      </w:pPr>
      <w:bookmarkStart w:id="497" w:name="bookmark45"/>
      <w:bookmarkStart w:id="498" w:name="bookmark44"/>
      <w:bookmarkStart w:id="499" w:name="_Toc12288667"/>
      <w:bookmarkStart w:id="500" w:name="_Toc19816065"/>
      <w:bookmarkEnd w:id="497"/>
      <w:bookmarkEnd w:id="498"/>
      <w:r w:rsidRPr="00D630D1">
        <w:rPr>
          <w:rFonts w:eastAsia="宋体"/>
        </w:rPr>
        <w:t>6</w:t>
      </w:r>
      <w:r w:rsidR="008B5B84" w:rsidRPr="00D630D1">
        <w:rPr>
          <w:rFonts w:eastAsia="宋体"/>
        </w:rPr>
        <w:t>.</w:t>
      </w:r>
      <w:r w:rsidR="001F4A69" w:rsidRPr="00D630D1">
        <w:rPr>
          <w:rFonts w:eastAsia="宋体"/>
        </w:rPr>
        <w:t>1</w:t>
      </w:r>
      <w:r w:rsidR="008B5B84" w:rsidRPr="00D630D1">
        <w:rPr>
          <w:rFonts w:eastAsia="宋体"/>
        </w:rPr>
        <w:t>.</w:t>
      </w:r>
      <w:r w:rsidR="001F4A69" w:rsidRPr="00D630D1">
        <w:rPr>
          <w:rFonts w:eastAsia="宋体"/>
        </w:rPr>
        <w:t>6</w:t>
      </w:r>
      <w:r w:rsidR="008B5B84" w:rsidRPr="00D630D1">
        <w:rPr>
          <w:rFonts w:eastAsia="宋体"/>
        </w:rPr>
        <w:t xml:space="preserve"> </w:t>
      </w:r>
      <w:r w:rsidR="008B5B84" w:rsidRPr="00D630D1">
        <w:rPr>
          <w:rFonts w:eastAsia="宋体"/>
        </w:rPr>
        <w:t>施工期产生固体废物的影响</w:t>
      </w:r>
      <w:bookmarkEnd w:id="499"/>
      <w:bookmarkEnd w:id="500"/>
    </w:p>
    <w:p w:rsidR="00ED0BBC" w:rsidRPr="00D630D1" w:rsidRDefault="00ED0BBC" w:rsidP="00ED0BBC">
      <w:pPr>
        <w:pStyle w:val="afa"/>
        <w:ind w:firstLine="480"/>
      </w:pPr>
      <w:r w:rsidRPr="00D630D1">
        <w:t>施工期产生的固体废物主要为生活垃圾、施工废料、</w:t>
      </w:r>
      <w:r w:rsidR="007A3ABD" w:rsidRPr="00D630D1">
        <w:rPr>
          <w:rFonts w:hint="eastAsia"/>
        </w:rPr>
        <w:t>土石方、</w:t>
      </w:r>
      <w:r w:rsidR="007A3ABD" w:rsidRPr="00D630D1">
        <w:t>钻井岩屑</w:t>
      </w:r>
      <w:r w:rsidR="007A3ABD" w:rsidRPr="00D630D1">
        <w:rPr>
          <w:rFonts w:hint="eastAsia"/>
        </w:rPr>
        <w:t>、</w:t>
      </w:r>
      <w:r w:rsidR="007A3ABD" w:rsidRPr="00D630D1">
        <w:t>废泥浆</w:t>
      </w:r>
      <w:r w:rsidR="007A3ABD" w:rsidRPr="00D630D1">
        <w:rPr>
          <w:rFonts w:hint="eastAsia"/>
        </w:rPr>
        <w:t>、废油</w:t>
      </w:r>
      <w:r w:rsidR="00A504C7" w:rsidRPr="00D630D1">
        <w:t>等</w:t>
      </w:r>
      <w:r w:rsidRPr="00D630D1">
        <w:t>。</w:t>
      </w:r>
    </w:p>
    <w:p w:rsidR="00ED0BBC" w:rsidRPr="00D630D1" w:rsidRDefault="00ED0BBC" w:rsidP="00ED0BBC">
      <w:pPr>
        <w:pStyle w:val="afa"/>
        <w:ind w:firstLine="482"/>
        <w:rPr>
          <w:b/>
          <w:bCs/>
        </w:rPr>
      </w:pPr>
      <w:bookmarkStart w:id="501" w:name="_Hlk82897241"/>
      <w:r w:rsidRPr="00D630D1">
        <w:rPr>
          <w:b/>
          <w:bCs/>
        </w:rPr>
        <w:t>1</w:t>
      </w:r>
      <w:r w:rsidRPr="00D630D1">
        <w:rPr>
          <w:b/>
          <w:bCs/>
        </w:rPr>
        <w:t>、生活垃圾</w:t>
      </w:r>
    </w:p>
    <w:p w:rsidR="00ED0BBC" w:rsidRPr="00D630D1" w:rsidRDefault="00ED0BBC" w:rsidP="00ED0BBC">
      <w:pPr>
        <w:pStyle w:val="afa"/>
        <w:ind w:firstLine="480"/>
      </w:pPr>
      <w:r w:rsidRPr="00D630D1">
        <w:t>施工人员垃圾</w:t>
      </w:r>
      <w:r w:rsidR="00034734" w:rsidRPr="00D630D1">
        <w:rPr>
          <w:rFonts w:hint="eastAsia"/>
        </w:rPr>
        <w:t>经</w:t>
      </w:r>
      <w:r w:rsidR="00C106D4" w:rsidRPr="00D630D1">
        <w:rPr>
          <w:rFonts w:hint="eastAsia"/>
        </w:rPr>
        <w:t>垃圾</w:t>
      </w:r>
      <w:r w:rsidR="00C106D4" w:rsidRPr="00D630D1">
        <w:t>收集设施收集</w:t>
      </w:r>
      <w:r w:rsidRPr="00D630D1">
        <w:t>，统一送环卫部门处理。因此，施工期施工人员生活垃圾不会对当地环境造成影响。</w:t>
      </w:r>
    </w:p>
    <w:p w:rsidR="00ED0BBC" w:rsidRPr="00D630D1" w:rsidRDefault="00ED0BBC" w:rsidP="00ED0BBC">
      <w:pPr>
        <w:pStyle w:val="afa"/>
        <w:ind w:firstLine="482"/>
        <w:rPr>
          <w:b/>
          <w:bCs/>
        </w:rPr>
      </w:pPr>
      <w:r w:rsidRPr="00D630D1">
        <w:rPr>
          <w:b/>
          <w:bCs/>
        </w:rPr>
        <w:t>2</w:t>
      </w:r>
      <w:r w:rsidRPr="00D630D1">
        <w:rPr>
          <w:b/>
          <w:bCs/>
        </w:rPr>
        <w:t>、施工废料</w:t>
      </w:r>
    </w:p>
    <w:p w:rsidR="00507B82" w:rsidRPr="00D630D1" w:rsidRDefault="00507B82" w:rsidP="00507B82">
      <w:pPr>
        <w:pStyle w:val="afa"/>
        <w:ind w:firstLine="480"/>
      </w:pPr>
      <w:r w:rsidRPr="00D630D1">
        <w:lastRenderedPageBreak/>
        <w:t>项目管线防腐层均在厂家预制完成，现场无防腐层废料产生，施工废料为管道焊接后废弃的废焊条、焊渣（属于一般固废）及接口处废弃防腐材料及少量废油漆桶。施工废料部分可回收利用，剩余废料交由当地环卫部门处置；一定量的废弃防腐材料及少量废油漆桶由施工单位集中收集，然后交有资质单位处置。</w:t>
      </w:r>
      <w:r w:rsidRPr="00D630D1">
        <w:t>X</w:t>
      </w:r>
      <w:r w:rsidRPr="00D630D1">
        <w:t>射线探伤产生一些废弃物（浸润液、感光废弃材料等），由工程探伤检验专业队伍集中收集处置，不在本次评价范围内。</w:t>
      </w:r>
    </w:p>
    <w:p w:rsidR="00ED0BBC" w:rsidRPr="00D630D1" w:rsidRDefault="00ED0BBC" w:rsidP="00ED0BBC">
      <w:pPr>
        <w:pStyle w:val="afa"/>
        <w:ind w:firstLine="482"/>
        <w:rPr>
          <w:b/>
          <w:bCs/>
        </w:rPr>
      </w:pPr>
      <w:r w:rsidRPr="00D630D1">
        <w:rPr>
          <w:b/>
          <w:bCs/>
        </w:rPr>
        <w:t>3</w:t>
      </w:r>
      <w:r w:rsidRPr="00D630D1">
        <w:rPr>
          <w:b/>
          <w:bCs/>
        </w:rPr>
        <w:t>、土石方</w:t>
      </w:r>
    </w:p>
    <w:p w:rsidR="00562990" w:rsidRPr="00D630D1" w:rsidRDefault="00ED0BBC" w:rsidP="00ED0BBC">
      <w:pPr>
        <w:pStyle w:val="afa"/>
        <w:ind w:firstLine="480"/>
      </w:pPr>
      <w:r w:rsidRPr="00D630D1">
        <w:t>项目</w:t>
      </w:r>
      <w:r w:rsidR="00562990" w:rsidRPr="00D630D1">
        <w:rPr>
          <w:rFonts w:hint="eastAsia"/>
        </w:rPr>
        <w:t>管沟</w:t>
      </w:r>
      <w:r w:rsidRPr="00D630D1">
        <w:t>土石方挖填平衡</w:t>
      </w:r>
      <w:r w:rsidR="00562990" w:rsidRPr="00D630D1">
        <w:rPr>
          <w:rFonts w:hint="eastAsia"/>
        </w:rPr>
        <w:t>，</w:t>
      </w:r>
      <w:r w:rsidR="009753F2" w:rsidRPr="00D630D1">
        <w:rPr>
          <w:rFonts w:hint="eastAsia"/>
        </w:rPr>
        <w:t>无</w:t>
      </w:r>
      <w:r w:rsidR="00CF4EB8" w:rsidRPr="00D630D1">
        <w:t>弃方</w:t>
      </w:r>
      <w:r w:rsidR="009753F2" w:rsidRPr="00D630D1">
        <w:rPr>
          <w:rFonts w:hint="eastAsia"/>
        </w:rPr>
        <w:t>产生</w:t>
      </w:r>
      <w:r w:rsidR="00562990" w:rsidRPr="00D630D1">
        <w:t>。</w:t>
      </w:r>
    </w:p>
    <w:p w:rsidR="007A3ABD" w:rsidRPr="00D630D1" w:rsidRDefault="007A3ABD" w:rsidP="007A3ABD">
      <w:pPr>
        <w:pStyle w:val="afa"/>
        <w:ind w:firstLine="482"/>
        <w:rPr>
          <w:b/>
          <w:bCs/>
        </w:rPr>
      </w:pPr>
      <w:r w:rsidRPr="00D630D1">
        <w:rPr>
          <w:rFonts w:hint="eastAsia"/>
          <w:b/>
          <w:bCs/>
        </w:rPr>
        <w:t>4</w:t>
      </w:r>
      <w:r w:rsidRPr="00D630D1">
        <w:rPr>
          <w:b/>
          <w:bCs/>
        </w:rPr>
        <w:t>、</w:t>
      </w:r>
      <w:r w:rsidRPr="00D630D1">
        <w:rPr>
          <w:rFonts w:hint="eastAsia"/>
          <w:b/>
          <w:bCs/>
        </w:rPr>
        <w:t>钻井岩屑</w:t>
      </w:r>
    </w:p>
    <w:p w:rsidR="007A3ABD" w:rsidRPr="00D630D1" w:rsidRDefault="007A3ABD" w:rsidP="007A3ABD">
      <w:pPr>
        <w:pStyle w:val="SSEC20150323"/>
        <w:ind w:firstLine="480"/>
        <w:rPr>
          <w:rFonts w:ascii="Times New Roman" w:hAnsi="Times New Roman"/>
        </w:rPr>
      </w:pPr>
      <w:r w:rsidRPr="00D630D1">
        <w:rPr>
          <w:rFonts w:ascii="Times New Roman"/>
        </w:rPr>
        <w:t>本项目采取清洁化操作平台</w:t>
      </w:r>
      <w:r w:rsidRPr="00D630D1">
        <w:rPr>
          <w:bCs/>
          <w:spacing w:val="10"/>
        </w:rPr>
        <w:t>，并采取泥浆不落地措施</w:t>
      </w:r>
      <w:r w:rsidRPr="00D630D1">
        <w:rPr>
          <w:rFonts w:ascii="Times New Roman"/>
        </w:rPr>
        <w:t>，</w:t>
      </w:r>
      <w:r w:rsidR="00EA7E77">
        <w:rPr>
          <w:rFonts w:ascii="Times New Roman" w:hint="eastAsia"/>
        </w:rPr>
        <w:t>水基</w:t>
      </w:r>
      <w:r w:rsidR="00EA7E77" w:rsidRPr="00D630D1">
        <w:rPr>
          <w:rFonts w:ascii="Times New Roman"/>
        </w:rPr>
        <w:t>岩屑</w:t>
      </w:r>
      <w:r w:rsidRPr="00D630D1">
        <w:rPr>
          <w:rFonts w:ascii="Times New Roman"/>
        </w:rPr>
        <w:t>按照《达州市生态环境局办公室关于</w:t>
      </w:r>
      <w:r w:rsidRPr="00D630D1">
        <w:rPr>
          <w:rFonts w:ascii="Times New Roman" w:hint="eastAsia"/>
        </w:rPr>
        <w:t>进一步</w:t>
      </w:r>
      <w:r w:rsidRPr="00D630D1">
        <w:rPr>
          <w:rFonts w:ascii="Times New Roman"/>
        </w:rPr>
        <w:t>加强固体废物污染防治工作的通知》（达市环办发〔</w:t>
      </w:r>
      <w:r w:rsidRPr="00D630D1">
        <w:rPr>
          <w:rFonts w:ascii="Times New Roman" w:hAnsi="Times New Roman"/>
        </w:rPr>
        <w:t>20</w:t>
      </w:r>
      <w:r w:rsidRPr="00D630D1">
        <w:rPr>
          <w:rFonts w:ascii="Times New Roman" w:hAnsi="Times New Roman" w:hint="eastAsia"/>
        </w:rPr>
        <w:t>21</w:t>
      </w:r>
      <w:r w:rsidRPr="00D630D1">
        <w:rPr>
          <w:rFonts w:ascii="Times New Roman"/>
        </w:rPr>
        <w:t>〕</w:t>
      </w:r>
      <w:r w:rsidRPr="00D630D1">
        <w:rPr>
          <w:rFonts w:ascii="Times New Roman" w:hAnsi="Times New Roman" w:hint="eastAsia"/>
        </w:rPr>
        <w:t>24</w:t>
      </w:r>
      <w:r w:rsidRPr="00D630D1">
        <w:rPr>
          <w:rFonts w:ascii="Times New Roman"/>
        </w:rPr>
        <w:t>号）要求，就近交给依法取得生态环境部门关于利用和处置相关工业固体废物项目环评批复、具有处理处置相应固体废物能力并配套建设有废气、废水、固废等污染物治理设施的单位</w:t>
      </w:r>
      <w:r w:rsidRPr="00D630D1">
        <w:rPr>
          <w:rFonts w:ascii="Times New Roman" w:hint="eastAsia"/>
        </w:rPr>
        <w:t>进行资源化利用</w:t>
      </w:r>
      <w:r w:rsidR="00EA7E77">
        <w:rPr>
          <w:rFonts w:ascii="Times New Roman" w:hint="eastAsia"/>
        </w:rPr>
        <w:t>；油基岩屑</w:t>
      </w:r>
      <w:r w:rsidR="00EA7E77" w:rsidRPr="00D630D1">
        <w:t>属危险废物（</w:t>
      </w:r>
      <w:r w:rsidR="00EA7E77" w:rsidRPr="00EA7E77">
        <w:rPr>
          <w:rFonts w:ascii="Times New Roman" w:hAnsi="Times New Roman"/>
        </w:rPr>
        <w:t>HW08</w:t>
      </w:r>
      <w:r w:rsidR="00EA7E77" w:rsidRPr="00EA7E77">
        <w:rPr>
          <w:rFonts w:ascii="Times New Roman"/>
        </w:rPr>
        <w:t>废矿物油与含矿物油废物</w:t>
      </w:r>
      <w:r w:rsidR="00EA7E77" w:rsidRPr="00D630D1">
        <w:t>）</w:t>
      </w:r>
      <w:r w:rsidR="00EA7E77">
        <w:rPr>
          <w:rFonts w:hint="eastAsia"/>
        </w:rPr>
        <w:t>，</w:t>
      </w:r>
      <w:r w:rsidR="00EA7E77" w:rsidRPr="00867A54">
        <w:rPr>
          <w:rFonts w:ascii="Times New Roman" w:hint="eastAsia"/>
        </w:rPr>
        <w:t>存于危废暂存间，定期交由资质单位处置</w:t>
      </w:r>
      <w:r w:rsidRPr="00D630D1">
        <w:rPr>
          <w:rFonts w:ascii="Times New Roman"/>
        </w:rPr>
        <w:t>。</w:t>
      </w:r>
    </w:p>
    <w:p w:rsidR="007A3ABD" w:rsidRPr="00D630D1" w:rsidRDefault="007A3ABD" w:rsidP="007A3ABD">
      <w:pPr>
        <w:pStyle w:val="afa"/>
        <w:ind w:firstLine="482"/>
        <w:rPr>
          <w:b/>
          <w:bCs/>
        </w:rPr>
      </w:pPr>
      <w:r w:rsidRPr="00D630D1">
        <w:rPr>
          <w:rFonts w:hint="eastAsia"/>
          <w:b/>
          <w:bCs/>
        </w:rPr>
        <w:t>5</w:t>
      </w:r>
      <w:r w:rsidRPr="00D630D1">
        <w:rPr>
          <w:b/>
          <w:bCs/>
        </w:rPr>
        <w:t>、</w:t>
      </w:r>
      <w:r w:rsidRPr="00D630D1">
        <w:rPr>
          <w:rFonts w:hint="eastAsia"/>
          <w:b/>
          <w:bCs/>
        </w:rPr>
        <w:t>废泥浆</w:t>
      </w:r>
    </w:p>
    <w:p w:rsidR="007A3ABD" w:rsidRPr="00D630D1" w:rsidRDefault="007A3ABD" w:rsidP="007A3ABD">
      <w:pPr>
        <w:pStyle w:val="SSEC20150323"/>
        <w:ind w:firstLine="480"/>
        <w:rPr>
          <w:rFonts w:ascii="Times New Roman" w:hAnsi="Times New Roman"/>
        </w:rPr>
      </w:pPr>
      <w:r w:rsidRPr="00D630D1">
        <w:rPr>
          <w:rFonts w:ascii="Times New Roman"/>
        </w:rPr>
        <w:t>废弃泥浆采用清洁化操作平台，并采取泥浆不落地措施</w:t>
      </w:r>
      <w:r w:rsidRPr="00D630D1">
        <w:rPr>
          <w:rFonts w:ascii="Times New Roman" w:hint="eastAsia"/>
        </w:rPr>
        <w:t>，</w:t>
      </w:r>
      <w:r w:rsidR="00EA7E77">
        <w:rPr>
          <w:rFonts w:ascii="Times New Roman" w:hint="eastAsia"/>
        </w:rPr>
        <w:t>废水基</w:t>
      </w:r>
      <w:r w:rsidR="00EA7E77" w:rsidRPr="00D630D1">
        <w:rPr>
          <w:rFonts w:ascii="Times New Roman"/>
        </w:rPr>
        <w:t>泥浆</w:t>
      </w:r>
      <w:r w:rsidRPr="00D630D1">
        <w:rPr>
          <w:rFonts w:ascii="Times New Roman"/>
        </w:rPr>
        <w:t>按照《达州市生态环境局办公室关于</w:t>
      </w:r>
      <w:r w:rsidRPr="00D630D1">
        <w:rPr>
          <w:rFonts w:ascii="Times New Roman" w:hint="eastAsia"/>
        </w:rPr>
        <w:t>进一步</w:t>
      </w:r>
      <w:r w:rsidRPr="00D630D1">
        <w:rPr>
          <w:rFonts w:ascii="Times New Roman"/>
        </w:rPr>
        <w:t>加强固体废物污染防治工作的通知》（达市环办发〔</w:t>
      </w:r>
      <w:r w:rsidRPr="00D630D1">
        <w:rPr>
          <w:rFonts w:ascii="Times New Roman" w:hAnsi="Times New Roman"/>
        </w:rPr>
        <w:t>20</w:t>
      </w:r>
      <w:r w:rsidRPr="00D630D1">
        <w:rPr>
          <w:rFonts w:ascii="Times New Roman" w:hAnsi="Times New Roman" w:hint="eastAsia"/>
        </w:rPr>
        <w:t>21</w:t>
      </w:r>
      <w:r w:rsidRPr="00D630D1">
        <w:rPr>
          <w:rFonts w:ascii="Times New Roman"/>
        </w:rPr>
        <w:t>〕</w:t>
      </w:r>
      <w:r w:rsidRPr="00D630D1">
        <w:rPr>
          <w:rFonts w:ascii="Times New Roman" w:hAnsi="Times New Roman" w:hint="eastAsia"/>
        </w:rPr>
        <w:t>24</w:t>
      </w:r>
      <w:r w:rsidRPr="00D630D1">
        <w:rPr>
          <w:rFonts w:ascii="Times New Roman"/>
        </w:rPr>
        <w:t>号）要求，就近交给依法取得生态环境部门关于利用和处置相关工业固体废物项目环评批复、具有处理处置相应固体废物能力并配套建设有废气、废水、固废等污染物治理设施的单位</w:t>
      </w:r>
      <w:r w:rsidRPr="00D630D1">
        <w:rPr>
          <w:rFonts w:ascii="Times New Roman" w:hint="eastAsia"/>
        </w:rPr>
        <w:t>进行资源化利用</w:t>
      </w:r>
      <w:r w:rsidR="00EA7E77">
        <w:rPr>
          <w:rFonts w:ascii="Times New Roman" w:hint="eastAsia"/>
        </w:rPr>
        <w:t>；废油基泥浆</w:t>
      </w:r>
      <w:r w:rsidR="00EA7E77" w:rsidRPr="00D630D1">
        <w:t>属危险废物（</w:t>
      </w:r>
      <w:r w:rsidR="00EA7E77" w:rsidRPr="00EA7E77">
        <w:rPr>
          <w:rFonts w:ascii="Times New Roman" w:hAnsi="Times New Roman"/>
        </w:rPr>
        <w:t>HW08</w:t>
      </w:r>
      <w:r w:rsidR="00EA7E77" w:rsidRPr="00EA7E77">
        <w:rPr>
          <w:rFonts w:ascii="Times New Roman"/>
        </w:rPr>
        <w:t>废矿物油与含矿物油废物</w:t>
      </w:r>
      <w:r w:rsidR="00EA7E77" w:rsidRPr="00D630D1">
        <w:t>）</w:t>
      </w:r>
      <w:r w:rsidR="00EA7E77">
        <w:rPr>
          <w:rFonts w:hint="eastAsia"/>
        </w:rPr>
        <w:t>，</w:t>
      </w:r>
      <w:r w:rsidR="00EA7E77" w:rsidRPr="00867A54">
        <w:rPr>
          <w:rFonts w:ascii="Times New Roman" w:hint="eastAsia"/>
        </w:rPr>
        <w:t>存于危废暂存间，定期交由资质单位处置</w:t>
      </w:r>
      <w:r w:rsidRPr="00D630D1">
        <w:rPr>
          <w:rFonts w:ascii="Times New Roman"/>
        </w:rPr>
        <w:t>。</w:t>
      </w:r>
    </w:p>
    <w:p w:rsidR="007A3ABD" w:rsidRPr="00D630D1" w:rsidRDefault="007A3ABD" w:rsidP="007A3ABD">
      <w:pPr>
        <w:pStyle w:val="afa"/>
        <w:ind w:firstLine="482"/>
        <w:rPr>
          <w:b/>
          <w:bCs/>
        </w:rPr>
      </w:pPr>
      <w:r w:rsidRPr="00D630D1">
        <w:rPr>
          <w:rFonts w:hint="eastAsia"/>
          <w:b/>
          <w:bCs/>
        </w:rPr>
        <w:t>6</w:t>
      </w:r>
      <w:r w:rsidRPr="00D630D1">
        <w:rPr>
          <w:b/>
          <w:bCs/>
        </w:rPr>
        <w:t>、</w:t>
      </w:r>
      <w:r w:rsidRPr="00D630D1">
        <w:rPr>
          <w:rFonts w:hint="eastAsia"/>
          <w:b/>
        </w:rPr>
        <w:t>废油</w:t>
      </w:r>
    </w:p>
    <w:p w:rsidR="007A3ABD" w:rsidRPr="00D630D1" w:rsidRDefault="007A3ABD" w:rsidP="007A3ABD">
      <w:pPr>
        <w:pStyle w:val="af8"/>
        <w:ind w:firstLine="480"/>
      </w:pPr>
      <w:r w:rsidRPr="00D630D1">
        <w:t>钻井过程中废油</w:t>
      </w:r>
      <w:r w:rsidRPr="00D630D1">
        <w:rPr>
          <w:rFonts w:hint="eastAsia"/>
        </w:rPr>
        <w:t>暂存于危废暂存间，面积约</w:t>
      </w:r>
      <w:r w:rsidR="00C04B07">
        <w:rPr>
          <w:rFonts w:hint="eastAsia"/>
        </w:rPr>
        <w:t>10</w:t>
      </w:r>
      <w:r w:rsidRPr="00D630D1">
        <w:rPr>
          <w:rFonts w:hint="eastAsia"/>
        </w:rPr>
        <w:t>m</w:t>
      </w:r>
      <w:r w:rsidRPr="00D630D1">
        <w:rPr>
          <w:rFonts w:hint="eastAsia"/>
          <w:vertAlign w:val="superscript"/>
        </w:rPr>
        <w:t>2</w:t>
      </w:r>
      <w:r w:rsidRPr="00D630D1">
        <w:rPr>
          <w:rFonts w:hint="eastAsia"/>
        </w:rPr>
        <w:t>，暂存间地面采取四防措施（防风、防雨、防晒、防渗漏），并</w:t>
      </w:r>
      <w:r w:rsidRPr="00D630D1">
        <w:t>及时清运</w:t>
      </w:r>
      <w:r w:rsidRPr="00D630D1">
        <w:rPr>
          <w:rFonts w:hint="eastAsia"/>
        </w:rPr>
        <w:t>至企业净化厂</w:t>
      </w:r>
      <w:r w:rsidRPr="00D630D1">
        <w:t>危险废物贮存仓库</w:t>
      </w:r>
      <w:r w:rsidRPr="00D630D1">
        <w:rPr>
          <w:rFonts w:hint="eastAsia"/>
        </w:rPr>
        <w:t>（运距约</w:t>
      </w:r>
      <w:r w:rsidRPr="00D630D1">
        <w:rPr>
          <w:rFonts w:hint="eastAsia"/>
        </w:rPr>
        <w:t>2</w:t>
      </w:r>
      <w:r w:rsidR="00E21449">
        <w:rPr>
          <w:rFonts w:hint="eastAsia"/>
        </w:rPr>
        <w:t>2</w:t>
      </w:r>
      <w:r w:rsidRPr="00D630D1">
        <w:rPr>
          <w:rFonts w:hint="eastAsia"/>
        </w:rPr>
        <w:t>km</w:t>
      </w:r>
      <w:r w:rsidRPr="00D630D1">
        <w:rPr>
          <w:rFonts w:hint="eastAsia"/>
        </w:rPr>
        <w:t>）</w:t>
      </w:r>
      <w:r w:rsidRPr="00D630D1">
        <w:t>，</w:t>
      </w:r>
      <w:r w:rsidRPr="00D630D1">
        <w:rPr>
          <w:rFonts w:hint="eastAsia"/>
        </w:rPr>
        <w:t>定期</w:t>
      </w:r>
      <w:r w:rsidRPr="00D630D1">
        <w:t>送有资质单位处理。废油属危险废物（《国家危险废物名录》（</w:t>
      </w:r>
      <w:r w:rsidRPr="00D630D1">
        <w:t>20</w:t>
      </w:r>
      <w:r w:rsidRPr="00D630D1">
        <w:rPr>
          <w:rFonts w:hint="eastAsia"/>
        </w:rPr>
        <w:t>21</w:t>
      </w:r>
      <w:r w:rsidRPr="00D630D1">
        <w:t>年</w:t>
      </w:r>
      <w:r w:rsidRPr="00D630D1">
        <w:rPr>
          <w:rFonts w:hint="eastAsia"/>
        </w:rPr>
        <w:t>1</w:t>
      </w:r>
      <w:r w:rsidRPr="00D630D1">
        <w:t>月</w:t>
      </w:r>
      <w:r w:rsidRPr="00D630D1">
        <w:t>1</w:t>
      </w:r>
      <w:r w:rsidRPr="00D630D1">
        <w:t>日）中</w:t>
      </w:r>
      <w:r w:rsidRPr="00D630D1">
        <w:t>HW08</w:t>
      </w:r>
      <w:r w:rsidRPr="00D630D1">
        <w:t>废矿物油</w:t>
      </w:r>
      <w:r w:rsidRPr="00D630D1">
        <w:rPr>
          <w:rFonts w:hint="eastAsia"/>
        </w:rPr>
        <w:t>与含矿物油废物</w:t>
      </w:r>
      <w:r w:rsidRPr="00D630D1">
        <w:t>），</w:t>
      </w:r>
      <w:r w:rsidR="00EA7E77" w:rsidRPr="00867A54">
        <w:rPr>
          <w:rFonts w:hint="eastAsia"/>
        </w:rPr>
        <w:t>定期交由资质单位处置</w:t>
      </w:r>
      <w:r w:rsidRPr="00D630D1">
        <w:t>。本项目对废油的收集、贮存和运输应满足《危险废物收集</w:t>
      </w:r>
      <w:r w:rsidRPr="00D630D1">
        <w:t xml:space="preserve"> </w:t>
      </w:r>
      <w:r w:rsidRPr="00D630D1">
        <w:t>贮存</w:t>
      </w:r>
      <w:r w:rsidRPr="00D630D1">
        <w:t xml:space="preserve"> </w:t>
      </w:r>
      <w:r w:rsidRPr="00D630D1">
        <w:t>运输技术规范》（</w:t>
      </w:r>
      <w:r w:rsidRPr="00D630D1">
        <w:t>HJ 2025-2012</w:t>
      </w:r>
      <w:r w:rsidRPr="00D630D1">
        <w:t>）的相关规定</w:t>
      </w:r>
      <w:r w:rsidRPr="00D630D1">
        <w:rPr>
          <w:rFonts w:hint="eastAsia"/>
        </w:rPr>
        <w:t>，</w:t>
      </w:r>
      <w:r w:rsidRPr="00D630D1">
        <w:t>建设单位做好钻井固废转移记录。</w:t>
      </w:r>
    </w:p>
    <w:bookmarkEnd w:id="501"/>
    <w:p w:rsidR="001F4A69" w:rsidRPr="00D630D1" w:rsidRDefault="001F4A69" w:rsidP="001F4A69">
      <w:pPr>
        <w:pStyle w:val="3"/>
        <w:rPr>
          <w:rFonts w:eastAsia="宋体"/>
        </w:rPr>
      </w:pPr>
      <w:r w:rsidRPr="00D630D1">
        <w:rPr>
          <w:rFonts w:eastAsia="宋体"/>
        </w:rPr>
        <w:lastRenderedPageBreak/>
        <w:t xml:space="preserve">6.1.7 </w:t>
      </w:r>
      <w:r w:rsidRPr="00D630D1">
        <w:rPr>
          <w:rFonts w:eastAsia="宋体" w:hint="eastAsia"/>
        </w:rPr>
        <w:t>对基础设施影响分析</w:t>
      </w:r>
    </w:p>
    <w:p w:rsidR="001F4A69" w:rsidRPr="00D630D1" w:rsidRDefault="001F4A69" w:rsidP="001F4A69">
      <w:pPr>
        <w:pStyle w:val="afa"/>
        <w:ind w:firstLine="482"/>
        <w:rPr>
          <w:b/>
          <w:bCs/>
        </w:rPr>
      </w:pPr>
      <w:r w:rsidRPr="00D630D1">
        <w:rPr>
          <w:rFonts w:hAnsi="Calibri" w:hint="eastAsia"/>
          <w:b/>
          <w:bCs/>
        </w:rPr>
        <w:t>1</w:t>
      </w:r>
      <w:r w:rsidRPr="00D630D1">
        <w:rPr>
          <w:rFonts w:hAnsi="Calibri" w:hint="eastAsia"/>
          <w:b/>
          <w:bCs/>
        </w:rPr>
        <w:t>、</w:t>
      </w:r>
      <w:r w:rsidRPr="00D630D1">
        <w:rPr>
          <w:rFonts w:hint="eastAsia"/>
          <w:b/>
          <w:bCs/>
        </w:rPr>
        <w:t>对区域其他管道的影响</w:t>
      </w:r>
    </w:p>
    <w:p w:rsidR="001F4A69" w:rsidRPr="00D630D1" w:rsidRDefault="001F4A69" w:rsidP="001F4A69">
      <w:pPr>
        <w:pStyle w:val="afa"/>
        <w:ind w:firstLine="480"/>
      </w:pPr>
      <w:r w:rsidRPr="00D630D1">
        <w:rPr>
          <w:rFonts w:hint="eastAsia"/>
        </w:rPr>
        <w:t>根据工程设计资料和现场踏勘，工程管道沿线区域存在现状天然气管网、国防光缆等，工程管线在路由设计时已留出一定的安全距离，原则上不会对已有管线造成影响。在实际施工中，若调查内容与实际情况有出入，以管线的实际埋设情况为准，如果有线路重合则申请更改该段路线；如果线路交叉，施工时需加强管理，做到文明施工，分层开挖，严禁对交叉管线造成影响和破坏，以免对环境造成次生污染。</w:t>
      </w:r>
    </w:p>
    <w:p w:rsidR="001F4A69" w:rsidRPr="00D630D1" w:rsidRDefault="001F4A69" w:rsidP="001F4A69">
      <w:pPr>
        <w:pStyle w:val="afa"/>
        <w:ind w:firstLine="482"/>
        <w:rPr>
          <w:b/>
          <w:bCs/>
        </w:rPr>
      </w:pPr>
      <w:r w:rsidRPr="00D630D1">
        <w:rPr>
          <w:rFonts w:hint="eastAsia"/>
          <w:b/>
          <w:bCs/>
        </w:rPr>
        <w:t>2</w:t>
      </w:r>
      <w:r w:rsidRPr="00D630D1">
        <w:rPr>
          <w:rFonts w:hint="eastAsia"/>
          <w:b/>
          <w:bCs/>
        </w:rPr>
        <w:t>、对交通的影响</w:t>
      </w:r>
    </w:p>
    <w:p w:rsidR="001F4A69" w:rsidRPr="00D630D1" w:rsidRDefault="001F4A69" w:rsidP="001F4A69">
      <w:pPr>
        <w:pStyle w:val="afa"/>
        <w:ind w:firstLine="480"/>
      </w:pPr>
      <w:r w:rsidRPr="00D630D1">
        <w:rPr>
          <w:rFonts w:hint="eastAsia"/>
        </w:rPr>
        <w:t>本工程天然气管道为埋地敷设，施工期施工机械工作时会临时占用道路，施工车辆进出施工场地会增加区域的道路交通量，提高交通噪声影响值，给周边居民的出行带来不便。本工程施工期分段施工，施工机械作业时间较短，尽量减小对管线沿途道路交通的影响。建设单位制定好施工方案和计划，减少对交通的影响，并提前向社会公布，对于出入施工场地的车辆，实施清洁工作，避免影响周边环境。施工期合理安排施工时间，把施工对居民的生活和出行造成的影响降到最低程度。</w:t>
      </w:r>
    </w:p>
    <w:p w:rsidR="001F4A69" w:rsidRPr="00D630D1" w:rsidRDefault="001F4A69" w:rsidP="001F4A69">
      <w:pPr>
        <w:pStyle w:val="2"/>
        <w:spacing w:before="120"/>
        <w:rPr>
          <w:rFonts w:cs="Times New Roman"/>
        </w:rPr>
      </w:pPr>
      <w:bookmarkStart w:id="502" w:name="_Toc81515290"/>
      <w:r w:rsidRPr="00D630D1">
        <w:rPr>
          <w:rFonts w:cs="Times New Roman"/>
        </w:rPr>
        <w:t xml:space="preserve">6.2 </w:t>
      </w:r>
      <w:r w:rsidRPr="00D630D1">
        <w:rPr>
          <w:rFonts w:cs="Times New Roman" w:hint="eastAsia"/>
        </w:rPr>
        <w:t>运营期环境影响预测及评价</w:t>
      </w:r>
      <w:bookmarkEnd w:id="502"/>
    </w:p>
    <w:p w:rsidR="00B25135" w:rsidRPr="00D630D1" w:rsidRDefault="00B25135" w:rsidP="00B25135">
      <w:pPr>
        <w:pStyle w:val="3"/>
        <w:rPr>
          <w:rFonts w:eastAsia="宋体"/>
        </w:rPr>
      </w:pPr>
      <w:r w:rsidRPr="00D630D1">
        <w:rPr>
          <w:rFonts w:eastAsia="宋体"/>
        </w:rPr>
        <w:t xml:space="preserve">6.2.1 </w:t>
      </w:r>
      <w:r w:rsidRPr="00D630D1">
        <w:rPr>
          <w:rFonts w:eastAsia="宋体" w:hint="eastAsia"/>
        </w:rPr>
        <w:t>运营期</w:t>
      </w:r>
      <w:r w:rsidRPr="00D630D1">
        <w:rPr>
          <w:rFonts w:eastAsia="宋体"/>
        </w:rPr>
        <w:t>生态影响分析</w:t>
      </w:r>
    </w:p>
    <w:p w:rsidR="001F4A69" w:rsidRPr="00D630D1" w:rsidRDefault="00455E0D" w:rsidP="00455E0D">
      <w:pPr>
        <w:pStyle w:val="afa"/>
        <w:ind w:firstLine="482"/>
        <w:rPr>
          <w:b/>
          <w:bCs/>
        </w:rPr>
      </w:pPr>
      <w:r w:rsidRPr="00D630D1">
        <w:rPr>
          <w:rFonts w:hint="eastAsia"/>
          <w:b/>
          <w:bCs/>
        </w:rPr>
        <w:t>1</w:t>
      </w:r>
      <w:r w:rsidRPr="00D630D1">
        <w:rPr>
          <w:b/>
          <w:bCs/>
        </w:rPr>
        <w:t>、</w:t>
      </w:r>
      <w:r w:rsidRPr="00D630D1">
        <w:rPr>
          <w:rFonts w:hint="eastAsia"/>
          <w:b/>
          <w:bCs/>
        </w:rPr>
        <w:t>对沿线景观生态环境的影响</w:t>
      </w:r>
    </w:p>
    <w:p w:rsidR="00455E0D" w:rsidRPr="00D630D1" w:rsidRDefault="00455E0D" w:rsidP="00455E0D">
      <w:pPr>
        <w:pStyle w:val="afa"/>
        <w:ind w:firstLine="480"/>
      </w:pPr>
      <w:r w:rsidRPr="00D630D1">
        <w:rPr>
          <w:rFonts w:hint="eastAsia"/>
        </w:rPr>
        <w:t>管线两侧各</w:t>
      </w:r>
      <w:r w:rsidRPr="00D630D1">
        <w:t>5m</w:t>
      </w:r>
      <w:r w:rsidRPr="00D630D1">
        <w:rPr>
          <w:rFonts w:hint="eastAsia"/>
        </w:rPr>
        <w:t>范围内的林地段施工结束后，原有林地景观类型发生变化。本项目施工结束后，沿线工程扰动区内的农田可恢复农业生产。</w:t>
      </w:r>
    </w:p>
    <w:p w:rsidR="001F4A69" w:rsidRPr="00D630D1" w:rsidRDefault="00455E0D" w:rsidP="00455E0D">
      <w:pPr>
        <w:pStyle w:val="afa"/>
        <w:ind w:firstLine="480"/>
      </w:pPr>
      <w:r w:rsidRPr="00D630D1">
        <w:rPr>
          <w:rFonts w:hint="eastAsia"/>
        </w:rPr>
        <w:t>总体而言，本项目集输管线敷设在地下，进行密闭输送，运营后沿线工程扰动区域内的原有人工植被及自然植被逐渐恢复，对沿线区域景观生态环境影响相对较小。</w:t>
      </w:r>
    </w:p>
    <w:p w:rsidR="001F4A69" w:rsidRPr="00D630D1" w:rsidRDefault="00455E0D" w:rsidP="00455E0D">
      <w:pPr>
        <w:pStyle w:val="afa"/>
        <w:ind w:firstLine="482"/>
        <w:rPr>
          <w:b/>
          <w:bCs/>
        </w:rPr>
      </w:pPr>
      <w:r w:rsidRPr="00D630D1">
        <w:rPr>
          <w:rFonts w:hint="eastAsia"/>
          <w:b/>
          <w:bCs/>
        </w:rPr>
        <w:t>2</w:t>
      </w:r>
      <w:r w:rsidRPr="00D630D1">
        <w:rPr>
          <w:b/>
          <w:bCs/>
        </w:rPr>
        <w:t>、</w:t>
      </w:r>
      <w:r w:rsidRPr="00D630D1">
        <w:rPr>
          <w:rFonts w:hint="eastAsia"/>
          <w:b/>
          <w:bCs/>
        </w:rPr>
        <w:t>对沿线动植物的影响</w:t>
      </w:r>
    </w:p>
    <w:p w:rsidR="001F4A69" w:rsidRPr="00D630D1" w:rsidRDefault="00455E0D" w:rsidP="00455E0D">
      <w:pPr>
        <w:pStyle w:val="afa"/>
        <w:ind w:firstLine="480"/>
      </w:pPr>
      <w:r w:rsidRPr="00D630D1">
        <w:rPr>
          <w:rFonts w:hint="eastAsia"/>
        </w:rPr>
        <w:t>线性工程营运期对动植物的影响从景观生态功能和生态关系角度分析，集输管线等线性工程建设会对沿线工程扰动区域地表及其周围一定范围区域造成一定的景观隔离；但从生物传播关系来看，这种隔离作用仅限于对土壤微生物及以根系作为传播途径的植物的影响，对以花粉、种子为传播途径的植物以及动物的</w:t>
      </w:r>
      <w:r w:rsidRPr="00D630D1">
        <w:rPr>
          <w:rFonts w:hint="eastAsia"/>
        </w:rPr>
        <w:lastRenderedPageBreak/>
        <w:t>生态隔离影响较小。从生态系统中的食物链关系以及更广范围的生物互惠关系来看，由于建设过程持续时间较短，项目在区域总面积中所占比重较小，其影响较小。因此项目的建设对沿线的动植物影响较小。</w:t>
      </w:r>
    </w:p>
    <w:p w:rsidR="001F4A69" w:rsidRPr="00D630D1" w:rsidRDefault="00455E0D" w:rsidP="00455E0D">
      <w:pPr>
        <w:pStyle w:val="afa"/>
        <w:ind w:firstLine="482"/>
        <w:rPr>
          <w:b/>
          <w:bCs/>
        </w:rPr>
      </w:pPr>
      <w:r w:rsidRPr="00D630D1">
        <w:rPr>
          <w:rFonts w:hint="eastAsia"/>
          <w:b/>
          <w:bCs/>
        </w:rPr>
        <w:t>3</w:t>
      </w:r>
      <w:r w:rsidRPr="00D630D1">
        <w:rPr>
          <w:b/>
          <w:bCs/>
        </w:rPr>
        <w:t>、</w:t>
      </w:r>
      <w:r w:rsidRPr="00D630D1">
        <w:rPr>
          <w:rFonts w:hint="eastAsia"/>
          <w:b/>
          <w:bCs/>
        </w:rPr>
        <w:t>对生态系统结构完整性和功能连续性的影响分析</w:t>
      </w:r>
    </w:p>
    <w:p w:rsidR="00455E0D" w:rsidRPr="00D630D1" w:rsidRDefault="00455E0D" w:rsidP="00455E0D">
      <w:pPr>
        <w:pStyle w:val="afa"/>
        <w:ind w:firstLine="480"/>
      </w:pPr>
      <w:r w:rsidRPr="00D630D1">
        <w:rPr>
          <w:rFonts w:hint="eastAsia"/>
        </w:rPr>
        <w:t>拟建管道沿线区域主要植被类型为林地和农田植被。构成这些植被类型的种类为适应该区域的物种，具有种群数量大、适应性强的特点。项目建设过程会占用一定面积的林地及耕地，会减少部分植被类型的分布面积，但不会造成沿线植被类型分布状况和植物群落结构的改变。</w:t>
      </w:r>
    </w:p>
    <w:p w:rsidR="00455E0D" w:rsidRPr="00D630D1" w:rsidRDefault="00455E0D" w:rsidP="00455E0D">
      <w:pPr>
        <w:pStyle w:val="afa"/>
        <w:ind w:firstLine="480"/>
      </w:pPr>
      <w:r w:rsidRPr="00D630D1">
        <w:rPr>
          <w:rFonts w:hint="eastAsia"/>
        </w:rPr>
        <w:t>对于森林植被而言，呈带状分布的施工作业不会阻隔植物的散布。植物通过花粉流仍能进行基因交流，种子生产和种子库更新等过程也不会被打断，因此，现有植物群落的物种组成不会因此发生改变，生物多样性也不会受较大的影响。由不同植物群落组成的生态系统结构也不会发生改变，生态系统的物质循环和能量流动及其中的生态关系仍能延续。</w:t>
      </w:r>
    </w:p>
    <w:p w:rsidR="00455E0D" w:rsidRPr="00D630D1" w:rsidRDefault="00455E0D" w:rsidP="00455E0D">
      <w:pPr>
        <w:pStyle w:val="afa"/>
        <w:ind w:firstLine="480"/>
      </w:pPr>
      <w:r w:rsidRPr="00D630D1">
        <w:rPr>
          <w:rFonts w:hint="eastAsia"/>
        </w:rPr>
        <w:t>对于农田生态系统而言，小麦、玉米、马铃薯及蔬菜等农作物均为常见的物种，因此不会改变农田生态系统的结构和功能，因此，农田生态系统的持续生产能力不会下降，系统的运行连续性不会破坏。</w:t>
      </w:r>
    </w:p>
    <w:p w:rsidR="00455E0D" w:rsidRPr="00D630D1" w:rsidRDefault="00455E0D" w:rsidP="00455E0D">
      <w:pPr>
        <w:pStyle w:val="afa"/>
        <w:ind w:firstLine="480"/>
      </w:pPr>
      <w:r w:rsidRPr="00D630D1">
        <w:rPr>
          <w:rFonts w:hint="eastAsia"/>
        </w:rPr>
        <w:t>综上所述，本区域内绝大部分的植被面积和植被类型没有发生变化，亦即对本区域生态环境起控制作用的组分未变动，生境的异质性没有发生大的改变，因此，项目建设不会改变现有生态系统的完整性和功能的连续性。</w:t>
      </w:r>
    </w:p>
    <w:p w:rsidR="007679D9" w:rsidRPr="00D630D1" w:rsidRDefault="007679D9" w:rsidP="007679D9">
      <w:pPr>
        <w:pStyle w:val="3"/>
        <w:rPr>
          <w:rFonts w:eastAsia="宋体"/>
        </w:rPr>
      </w:pPr>
      <w:r w:rsidRPr="00D630D1">
        <w:rPr>
          <w:rFonts w:eastAsia="宋体"/>
        </w:rPr>
        <w:t xml:space="preserve">6.2.2 </w:t>
      </w:r>
      <w:r w:rsidRPr="00D630D1">
        <w:rPr>
          <w:rFonts w:eastAsia="宋体" w:hint="eastAsia"/>
        </w:rPr>
        <w:t>环境空气影响分析</w:t>
      </w:r>
    </w:p>
    <w:p w:rsidR="007679D9" w:rsidRPr="00D630D1" w:rsidRDefault="007679D9" w:rsidP="007679D9">
      <w:pPr>
        <w:pStyle w:val="afa"/>
        <w:ind w:firstLine="482"/>
        <w:rPr>
          <w:b/>
          <w:bCs/>
        </w:rPr>
      </w:pPr>
      <w:r w:rsidRPr="00D630D1">
        <w:rPr>
          <w:rFonts w:hint="eastAsia"/>
          <w:b/>
          <w:bCs/>
        </w:rPr>
        <w:t>1</w:t>
      </w:r>
      <w:r w:rsidRPr="00D630D1">
        <w:rPr>
          <w:rFonts w:hint="eastAsia"/>
          <w:b/>
          <w:bCs/>
        </w:rPr>
        <w:t>、正常工况</w:t>
      </w:r>
    </w:p>
    <w:p w:rsidR="007679D9" w:rsidRPr="00D630D1" w:rsidRDefault="007679D9" w:rsidP="007679D9">
      <w:pPr>
        <w:pStyle w:val="afa"/>
        <w:ind w:firstLine="480"/>
      </w:pPr>
      <w:r w:rsidRPr="00D630D1">
        <w:rPr>
          <w:rFonts w:hint="eastAsia"/>
        </w:rPr>
        <w:t>由于输气管道敷设在地下，进行密闭输送，管道进行了防腐处理，在正常情况下，不会有废气排放，不会对大气环境造成不利影响。项目主要排放废气为</w:t>
      </w:r>
      <w:r w:rsidR="002C00AE">
        <w:rPr>
          <w:rFonts w:hint="eastAsia"/>
        </w:rPr>
        <w:t>普光</w:t>
      </w:r>
      <w:r w:rsidR="002C00AE">
        <w:rPr>
          <w:rFonts w:hint="eastAsia"/>
        </w:rPr>
        <w:t>12</w:t>
      </w:r>
      <w:r w:rsidR="002C00AE">
        <w:rPr>
          <w:rFonts w:hint="eastAsia"/>
        </w:rPr>
        <w:t>采气站</w:t>
      </w:r>
      <w:r w:rsidRPr="00D630D1">
        <w:rPr>
          <w:rFonts w:hint="eastAsia"/>
        </w:rPr>
        <w:t>水套炉燃烧废气。</w:t>
      </w:r>
    </w:p>
    <w:p w:rsidR="007679D9" w:rsidRPr="00D630D1" w:rsidRDefault="001231CF" w:rsidP="007679D9">
      <w:pPr>
        <w:pStyle w:val="afa"/>
        <w:ind w:firstLine="480"/>
      </w:pPr>
      <w:r w:rsidRPr="00D630D1">
        <w:rPr>
          <w:rFonts w:hint="eastAsia"/>
        </w:rPr>
        <w:t>新建的</w:t>
      </w:r>
      <w:r w:rsidR="002C00AE">
        <w:rPr>
          <w:rFonts w:hint="eastAsia"/>
        </w:rPr>
        <w:t>普光</w:t>
      </w:r>
      <w:r w:rsidR="002C00AE">
        <w:rPr>
          <w:rFonts w:hint="eastAsia"/>
        </w:rPr>
        <w:t>12</w:t>
      </w:r>
      <w:r w:rsidR="002C00AE">
        <w:rPr>
          <w:rFonts w:hint="eastAsia"/>
        </w:rPr>
        <w:t>采气站</w:t>
      </w:r>
      <w:r w:rsidRPr="00D630D1">
        <w:rPr>
          <w:rFonts w:hint="eastAsia"/>
        </w:rPr>
        <w:t>为</w:t>
      </w:r>
      <w:r w:rsidR="00DD3EA1">
        <w:rPr>
          <w:rFonts w:hint="eastAsia"/>
        </w:rPr>
        <w:t>有人值守站</w:t>
      </w:r>
      <w:r w:rsidRPr="00D630D1">
        <w:rPr>
          <w:rFonts w:hint="eastAsia"/>
        </w:rPr>
        <w:t>，</w:t>
      </w:r>
      <w:r w:rsidR="007679D9" w:rsidRPr="00D630D1">
        <w:rPr>
          <w:rFonts w:hint="eastAsia"/>
        </w:rPr>
        <w:t>正常工况下仅有水套炉燃料燃烧产生的废气，该水套炉所使用的天然气来源于净化厂净化后返输天然气</w:t>
      </w:r>
      <w:r w:rsidR="002F70C4" w:rsidRPr="00D630D1">
        <w:rPr>
          <w:rFonts w:hint="eastAsia"/>
        </w:rPr>
        <w:t>，</w:t>
      </w:r>
      <w:r w:rsidR="00BE68D7" w:rsidRPr="00D630D1">
        <w:rPr>
          <w:rFonts w:hint="eastAsia"/>
        </w:rPr>
        <w:t>经新建</w:t>
      </w:r>
      <w:r w:rsidR="002F70C4" w:rsidRPr="00D630D1">
        <w:t>燃气返输管线进行返输</w:t>
      </w:r>
      <w:r w:rsidR="007679D9" w:rsidRPr="00D630D1">
        <w:rPr>
          <w:rFonts w:hint="eastAsia"/>
        </w:rPr>
        <w:t>，不含硫化氢，主要成分为甲烷，燃烧后其主要污染物为</w:t>
      </w:r>
      <w:r w:rsidR="007679D9" w:rsidRPr="00D630D1">
        <w:t>NO</w:t>
      </w:r>
      <w:r w:rsidR="007679D9" w:rsidRPr="00D630D1">
        <w:rPr>
          <w:sz w:val="16"/>
          <w:szCs w:val="16"/>
        </w:rPr>
        <w:t>X</w:t>
      </w:r>
      <w:r w:rsidR="007679D9" w:rsidRPr="00D630D1">
        <w:rPr>
          <w:rFonts w:hint="eastAsia"/>
        </w:rPr>
        <w:t>。根据工程分析，本项目所使用的水套燃烧废气中</w:t>
      </w:r>
      <w:r w:rsidR="007679D9" w:rsidRPr="00D630D1">
        <w:t>NO</w:t>
      </w:r>
      <w:r w:rsidR="007679D9" w:rsidRPr="00D630D1">
        <w:rPr>
          <w:vertAlign w:val="subscript"/>
        </w:rPr>
        <w:t>X</w:t>
      </w:r>
      <w:r w:rsidR="007679D9" w:rsidRPr="00D630D1">
        <w:rPr>
          <w:rFonts w:hint="eastAsia"/>
        </w:rPr>
        <w:t>排放量为</w:t>
      </w:r>
      <w:r w:rsidR="007679D9" w:rsidRPr="00D630D1">
        <w:t>23.81g/h</w:t>
      </w:r>
      <w:r w:rsidR="007679D9" w:rsidRPr="00D630D1">
        <w:rPr>
          <w:rFonts w:hint="eastAsia"/>
        </w:rPr>
        <w:t>、</w:t>
      </w:r>
      <w:r w:rsidR="007679D9" w:rsidRPr="00D630D1">
        <w:t>0.57kg/d</w:t>
      </w:r>
      <w:r w:rsidR="007679D9" w:rsidRPr="00D630D1">
        <w:rPr>
          <w:rFonts w:hint="eastAsia"/>
        </w:rPr>
        <w:t>、</w:t>
      </w:r>
      <w:r w:rsidR="007679D9" w:rsidRPr="00D630D1">
        <w:t>35.56kg/a</w:t>
      </w:r>
      <w:r w:rsidR="007679D9" w:rsidRPr="00D630D1">
        <w:rPr>
          <w:rFonts w:hint="eastAsia"/>
        </w:rPr>
        <w:t>，排放浓度为</w:t>
      </w:r>
      <w:r w:rsidR="007679D9" w:rsidRPr="00D630D1">
        <w:t>147.5mg/m</w:t>
      </w:r>
      <w:r w:rsidR="007679D9" w:rsidRPr="00D630D1">
        <w:rPr>
          <w:vertAlign w:val="superscript"/>
        </w:rPr>
        <w:t>3</w:t>
      </w:r>
      <w:r w:rsidR="007679D9" w:rsidRPr="00D630D1">
        <w:rPr>
          <w:rFonts w:hint="eastAsia"/>
        </w:rPr>
        <w:t>。通过水套炉自带的</w:t>
      </w:r>
      <w:r w:rsidR="007679D9" w:rsidRPr="00D630D1">
        <w:t>8m</w:t>
      </w:r>
      <w:r w:rsidR="007679D9" w:rsidRPr="00D630D1">
        <w:rPr>
          <w:rFonts w:hint="eastAsia"/>
        </w:rPr>
        <w:t>高的排气筒外排，能</w:t>
      </w:r>
      <w:r w:rsidR="007679D9" w:rsidRPr="00D630D1">
        <w:rPr>
          <w:rFonts w:hint="eastAsia"/>
        </w:rPr>
        <w:lastRenderedPageBreak/>
        <w:t>够满足《锅炉大气污染物排放标准》（</w:t>
      </w:r>
      <w:r w:rsidR="007679D9" w:rsidRPr="00D630D1">
        <w:t>GB13271-2014</w:t>
      </w:r>
      <w:r w:rsidR="007679D9" w:rsidRPr="00D630D1">
        <w:rPr>
          <w:rFonts w:hint="eastAsia"/>
        </w:rPr>
        <w:t>）中表</w:t>
      </w:r>
      <w:r w:rsidR="007679D9" w:rsidRPr="00D630D1">
        <w:t>2</w:t>
      </w:r>
      <w:r w:rsidR="007679D9" w:rsidRPr="00D630D1">
        <w:rPr>
          <w:rFonts w:hint="eastAsia"/>
        </w:rPr>
        <w:t>新建锅炉大气污染物排放限值燃气锅炉排放标准要求。水套炉位于地势开阔的空旷地带，大气扩散条件良好，故水套炉燃烧废气不会对周边大气环境造成明显不利影响。</w:t>
      </w:r>
    </w:p>
    <w:p w:rsidR="003371DA" w:rsidRPr="00D630D1" w:rsidRDefault="003371DA" w:rsidP="003371DA">
      <w:pPr>
        <w:pStyle w:val="afa"/>
        <w:ind w:firstLine="482"/>
        <w:rPr>
          <w:b/>
          <w:bCs/>
        </w:rPr>
      </w:pPr>
      <w:r w:rsidRPr="00D630D1">
        <w:rPr>
          <w:rFonts w:hint="eastAsia"/>
          <w:b/>
          <w:bCs/>
        </w:rPr>
        <w:t>（</w:t>
      </w:r>
      <w:r w:rsidRPr="00D630D1">
        <w:rPr>
          <w:rFonts w:hint="eastAsia"/>
          <w:b/>
          <w:bCs/>
        </w:rPr>
        <w:t>1</w:t>
      </w:r>
      <w:r w:rsidRPr="00D630D1">
        <w:rPr>
          <w:rFonts w:hint="eastAsia"/>
          <w:b/>
          <w:bCs/>
        </w:rPr>
        <w:t>）大气评价等级及评价内容</w:t>
      </w:r>
    </w:p>
    <w:p w:rsidR="0011179D" w:rsidRPr="00D630D1" w:rsidRDefault="007679D9" w:rsidP="003371DA">
      <w:pPr>
        <w:pStyle w:val="afa"/>
        <w:ind w:firstLine="480"/>
      </w:pPr>
      <w:r w:rsidRPr="00D630D1">
        <w:rPr>
          <w:rFonts w:hint="eastAsia"/>
        </w:rPr>
        <w:t>根据</w:t>
      </w:r>
      <w:r w:rsidR="0011179D" w:rsidRPr="00D630D1">
        <w:rPr>
          <w:lang w:val="de-DE"/>
        </w:rPr>
        <w:t>《环境影响评价技术导则</w:t>
      </w:r>
      <w:r w:rsidR="0011179D" w:rsidRPr="00D630D1">
        <w:rPr>
          <w:lang w:val="de-DE"/>
        </w:rPr>
        <w:t>-</w:t>
      </w:r>
      <w:r w:rsidR="0011179D" w:rsidRPr="00D630D1">
        <w:rPr>
          <w:lang w:val="de-DE"/>
        </w:rPr>
        <w:t>大气环境》（</w:t>
      </w:r>
      <w:r w:rsidR="0011179D" w:rsidRPr="00D630D1">
        <w:rPr>
          <w:lang w:val="de-DE"/>
        </w:rPr>
        <w:t>HJ2.2-2018</w:t>
      </w:r>
      <w:r w:rsidR="0011179D" w:rsidRPr="00D630D1">
        <w:rPr>
          <w:lang w:val="de-DE"/>
        </w:rPr>
        <w:t>）中附录</w:t>
      </w:r>
      <w:r w:rsidR="0011179D" w:rsidRPr="00D630D1">
        <w:rPr>
          <w:lang w:val="de-DE"/>
        </w:rPr>
        <w:t>A</w:t>
      </w:r>
      <w:r w:rsidR="0011179D" w:rsidRPr="00D630D1">
        <w:rPr>
          <w:lang w:val="de-DE"/>
        </w:rPr>
        <w:t>推荐模型中估算模型分别计算项目污染源的最大环境影响，然后按评价工作分级判据进行分级。</w:t>
      </w:r>
    </w:p>
    <w:p w:rsidR="0011179D" w:rsidRPr="00D630D1" w:rsidRDefault="0011179D" w:rsidP="003371DA">
      <w:pPr>
        <w:pStyle w:val="afa"/>
        <w:ind w:firstLine="480"/>
        <w:rPr>
          <w:lang w:val="de-DE"/>
        </w:rPr>
      </w:pPr>
      <w:r w:rsidRPr="00D630D1">
        <w:t>根据项目污染源初步调查结果，分别计算项目排放主要污染源的</w:t>
      </w:r>
      <w:r w:rsidRPr="00D630D1">
        <w:rPr>
          <w:lang w:val="de-DE"/>
        </w:rPr>
        <w:t>最大地面空气质量浓度占标率</w:t>
      </w:r>
      <w:r w:rsidRPr="00D630D1">
        <w:rPr>
          <w:lang w:val="de-DE"/>
        </w:rPr>
        <w:t>P</w:t>
      </w:r>
      <w:r w:rsidRPr="00D630D1">
        <w:rPr>
          <w:vertAlign w:val="subscript"/>
          <w:lang w:val="de-DE"/>
        </w:rPr>
        <w:t>i</w:t>
      </w:r>
      <w:r w:rsidRPr="00D630D1">
        <w:rPr>
          <w:lang w:val="de-DE"/>
        </w:rPr>
        <w:t>（第</w:t>
      </w:r>
      <w:r w:rsidRPr="00D630D1">
        <w:rPr>
          <w:lang w:val="de-DE"/>
        </w:rPr>
        <w:t>i</w:t>
      </w:r>
      <w:r w:rsidRPr="00D630D1">
        <w:rPr>
          <w:lang w:val="de-DE"/>
        </w:rPr>
        <w:t>个污染物，简称</w:t>
      </w:r>
      <w:r w:rsidRPr="00D630D1">
        <w:rPr>
          <w:lang w:val="de-DE"/>
        </w:rPr>
        <w:t>“</w:t>
      </w:r>
      <w:r w:rsidRPr="00D630D1">
        <w:rPr>
          <w:lang w:val="de-DE"/>
        </w:rPr>
        <w:t>最大浓度占标率</w:t>
      </w:r>
      <w:r w:rsidRPr="00D630D1">
        <w:rPr>
          <w:lang w:val="de-DE"/>
        </w:rPr>
        <w:t>”</w:t>
      </w:r>
      <w:r w:rsidRPr="00D630D1">
        <w:rPr>
          <w:lang w:val="de-DE"/>
        </w:rPr>
        <w:t>），及第</w:t>
      </w:r>
      <w:r w:rsidRPr="00D630D1">
        <w:rPr>
          <w:lang w:val="de-DE"/>
        </w:rPr>
        <w:t>i</w:t>
      </w:r>
      <w:r w:rsidRPr="00D630D1">
        <w:rPr>
          <w:lang w:val="de-DE"/>
        </w:rPr>
        <w:t>个污染物的地面空气质量浓度达到标准值的</w:t>
      </w:r>
      <w:r w:rsidRPr="00D630D1">
        <w:rPr>
          <w:lang w:val="de-DE"/>
        </w:rPr>
        <w:t>10%</w:t>
      </w:r>
      <w:r w:rsidRPr="00D630D1">
        <w:rPr>
          <w:lang w:val="de-DE"/>
        </w:rPr>
        <w:t>时所对应的最远距离</w:t>
      </w:r>
      <w:r w:rsidRPr="00D630D1">
        <w:rPr>
          <w:lang w:val="de-DE"/>
        </w:rPr>
        <w:t>D</w:t>
      </w:r>
      <w:r w:rsidRPr="00D630D1">
        <w:rPr>
          <w:vertAlign w:val="subscript"/>
          <w:lang w:val="de-DE"/>
        </w:rPr>
        <w:t>10%</w:t>
      </w:r>
      <w:r w:rsidRPr="00D630D1">
        <w:rPr>
          <w:lang w:val="de-DE"/>
        </w:rPr>
        <w:t>。其中</w:t>
      </w:r>
      <w:r w:rsidRPr="00D630D1">
        <w:rPr>
          <w:lang w:val="de-DE"/>
        </w:rPr>
        <w:t>P</w:t>
      </w:r>
      <w:r w:rsidRPr="00D630D1">
        <w:rPr>
          <w:vertAlign w:val="subscript"/>
          <w:lang w:val="de-DE"/>
        </w:rPr>
        <w:t>i</w:t>
      </w:r>
      <w:r w:rsidRPr="00D630D1">
        <w:rPr>
          <w:lang w:val="de-DE"/>
        </w:rPr>
        <w:t>定义公式（</w:t>
      </w:r>
      <w:r w:rsidRPr="00D630D1">
        <w:rPr>
          <w:lang w:val="de-DE"/>
        </w:rPr>
        <w:t>1</w:t>
      </w:r>
      <w:r w:rsidRPr="00D630D1">
        <w:rPr>
          <w:lang w:val="de-DE"/>
        </w:rPr>
        <w:t>）：</w:t>
      </w:r>
    </w:p>
    <w:p w:rsidR="0011179D" w:rsidRPr="00D630D1" w:rsidRDefault="0011179D" w:rsidP="0011179D">
      <w:pPr>
        <w:snapToGrid w:val="0"/>
        <w:ind w:firstLine="560"/>
        <w:jc w:val="center"/>
        <w:rPr>
          <w:rFonts w:ascii="Times New Roman" w:cs="Times New Roman"/>
          <w:bCs/>
        </w:rPr>
      </w:pPr>
      <w:r w:rsidRPr="00D630D1">
        <w:rPr>
          <w:rFonts w:ascii="Times New Roman" w:cs="Times New Roman"/>
          <w:sz w:val="28"/>
        </w:rPr>
        <w:t xml:space="preserve">                  </w:t>
      </w:r>
      <w:r w:rsidRPr="00D630D1">
        <w:rPr>
          <w:rFonts w:ascii="Times New Roman" w:cs="Times New Roman"/>
          <w:position w:val="-30"/>
          <w:sz w:val="28"/>
        </w:rPr>
        <w:object w:dxaOrig="1619" w:dyaOrig="699">
          <v:shape id="对象 13" o:spid="_x0000_i1028" type="#_x0000_t75" style="width:79.2pt;height:36pt;mso-position-horizontal-relative:page;mso-position-vertical-relative:page" o:ole="">
            <v:imagedata r:id="rId19" o:title=""/>
          </v:shape>
          <o:OLEObject Type="Embed" ProgID="Equation.3" ShapeID="对象 13" DrawAspect="Content" ObjectID="_1723238842" r:id="rId92"/>
        </w:object>
      </w:r>
      <w:r w:rsidRPr="00D630D1">
        <w:rPr>
          <w:rFonts w:ascii="Times New Roman" w:cs="Times New Roman"/>
          <w:sz w:val="28"/>
        </w:rPr>
        <w:t xml:space="preserve">                </w:t>
      </w:r>
      <w:r w:rsidRPr="00D630D1">
        <w:rPr>
          <w:rFonts w:ascii="Times New Roman" w:cs="Times New Roman"/>
        </w:rPr>
        <w:t>（</w:t>
      </w:r>
      <w:r w:rsidRPr="00D630D1">
        <w:rPr>
          <w:rFonts w:ascii="Times New Roman" w:cs="Times New Roman"/>
        </w:rPr>
        <w:t>1</w:t>
      </w:r>
      <w:r w:rsidRPr="00D630D1">
        <w:rPr>
          <w:rFonts w:ascii="Times New Roman" w:cs="Times New Roman"/>
        </w:rPr>
        <w:t>）</w:t>
      </w:r>
    </w:p>
    <w:p w:rsidR="0011179D" w:rsidRPr="00D630D1" w:rsidRDefault="0011179D" w:rsidP="0011179D">
      <w:pPr>
        <w:snapToGrid w:val="0"/>
        <w:ind w:firstLine="480"/>
        <w:rPr>
          <w:rFonts w:ascii="Times New Roman" w:cs="Times New Roman"/>
        </w:rPr>
      </w:pPr>
      <w:r w:rsidRPr="00D630D1">
        <w:rPr>
          <w:rFonts w:ascii="Times New Roman" w:cs="Times New Roman"/>
        </w:rPr>
        <w:t>式中：</w:t>
      </w:r>
      <w:r w:rsidRPr="00D630D1">
        <w:rPr>
          <w:rFonts w:ascii="Times New Roman" w:cs="Times New Roman"/>
        </w:rPr>
        <w:t>P</w:t>
      </w:r>
      <w:r w:rsidRPr="00D630D1">
        <w:rPr>
          <w:rFonts w:ascii="Times New Roman" w:cs="Times New Roman"/>
          <w:vertAlign w:val="subscript"/>
        </w:rPr>
        <w:t>i</w:t>
      </w:r>
      <w:r w:rsidRPr="00D630D1">
        <w:rPr>
          <w:rFonts w:ascii="Times New Roman" w:cs="Times New Roman"/>
        </w:rPr>
        <w:t>——</w:t>
      </w:r>
      <w:r w:rsidRPr="00D630D1">
        <w:rPr>
          <w:rFonts w:ascii="Times New Roman" w:cs="Times New Roman"/>
        </w:rPr>
        <w:t>第</w:t>
      </w:r>
      <w:r w:rsidRPr="00D630D1">
        <w:rPr>
          <w:rFonts w:ascii="Times New Roman" w:cs="Times New Roman"/>
        </w:rPr>
        <w:t>i</w:t>
      </w:r>
      <w:r w:rsidRPr="00D630D1">
        <w:rPr>
          <w:rFonts w:ascii="Times New Roman" w:cs="Times New Roman"/>
        </w:rPr>
        <w:t>个污染物的最大地面空气质量浓度占标率，</w:t>
      </w:r>
      <w:r w:rsidRPr="00D630D1">
        <w:rPr>
          <w:rFonts w:ascii="Times New Roman" w:cs="Times New Roman"/>
        </w:rPr>
        <w:t>%</w:t>
      </w:r>
      <w:r w:rsidRPr="00D630D1">
        <w:rPr>
          <w:rFonts w:ascii="Times New Roman" w:cs="Times New Roman"/>
        </w:rPr>
        <w:t>；</w:t>
      </w:r>
    </w:p>
    <w:p w:rsidR="0011179D" w:rsidRPr="00D630D1" w:rsidRDefault="0011179D" w:rsidP="0011179D">
      <w:pPr>
        <w:snapToGrid w:val="0"/>
        <w:ind w:firstLine="480"/>
        <w:rPr>
          <w:rFonts w:ascii="Times New Roman" w:cs="Times New Roman"/>
        </w:rPr>
      </w:pPr>
      <w:r w:rsidRPr="00D630D1">
        <w:rPr>
          <w:rFonts w:ascii="Times New Roman" w:cs="Times New Roman"/>
        </w:rPr>
        <w:t>C</w:t>
      </w:r>
      <w:r w:rsidRPr="00D630D1">
        <w:rPr>
          <w:rFonts w:ascii="Times New Roman" w:cs="Times New Roman"/>
          <w:vertAlign w:val="subscript"/>
        </w:rPr>
        <w:t>i</w:t>
      </w:r>
      <w:r w:rsidRPr="00D630D1">
        <w:rPr>
          <w:rFonts w:ascii="Times New Roman" w:cs="Times New Roman"/>
        </w:rPr>
        <w:t>——</w:t>
      </w:r>
      <w:r w:rsidRPr="00D630D1">
        <w:rPr>
          <w:rFonts w:ascii="Times New Roman" w:cs="Times New Roman"/>
        </w:rPr>
        <w:t>采用估算模式计算出的第</w:t>
      </w:r>
      <w:r w:rsidRPr="00D630D1">
        <w:rPr>
          <w:rFonts w:ascii="Times New Roman" w:cs="Times New Roman"/>
        </w:rPr>
        <w:t>i</w:t>
      </w:r>
      <w:r w:rsidRPr="00D630D1">
        <w:rPr>
          <w:rFonts w:ascii="Times New Roman" w:cs="Times New Roman"/>
        </w:rPr>
        <w:t>个污染物的最大</w:t>
      </w:r>
      <w:r w:rsidRPr="00D630D1">
        <w:rPr>
          <w:rFonts w:ascii="Times New Roman" w:cs="Times New Roman"/>
        </w:rPr>
        <w:t>1h</w:t>
      </w:r>
      <w:r w:rsidRPr="00D630D1">
        <w:rPr>
          <w:rFonts w:ascii="Times New Roman" w:cs="Times New Roman"/>
        </w:rPr>
        <w:t>地面空气质量浓度，</w:t>
      </w:r>
      <w:r w:rsidRPr="00D630D1">
        <w:rPr>
          <w:rFonts w:ascii="Times New Roman" w:cs="Times New Roman"/>
        </w:rPr>
        <w:t>ug/m</w:t>
      </w:r>
      <w:r w:rsidRPr="00D630D1">
        <w:rPr>
          <w:rFonts w:ascii="Times New Roman" w:cs="Times New Roman"/>
          <w:vertAlign w:val="superscript"/>
        </w:rPr>
        <w:t>3</w:t>
      </w:r>
      <w:r w:rsidRPr="00D630D1">
        <w:rPr>
          <w:rFonts w:ascii="Times New Roman" w:cs="Times New Roman"/>
        </w:rPr>
        <w:t>；</w:t>
      </w:r>
    </w:p>
    <w:p w:rsidR="0011179D" w:rsidRPr="00D630D1" w:rsidRDefault="0011179D" w:rsidP="0011179D">
      <w:pPr>
        <w:snapToGrid w:val="0"/>
        <w:ind w:firstLine="480"/>
        <w:rPr>
          <w:rFonts w:ascii="Times New Roman" w:cs="Times New Roman"/>
        </w:rPr>
      </w:pPr>
      <w:r w:rsidRPr="00D630D1">
        <w:rPr>
          <w:rFonts w:ascii="Times New Roman" w:cs="Times New Roman"/>
        </w:rPr>
        <w:t>C</w:t>
      </w:r>
      <w:r w:rsidRPr="00D630D1">
        <w:rPr>
          <w:rFonts w:ascii="Times New Roman" w:cs="Times New Roman"/>
          <w:vertAlign w:val="subscript"/>
        </w:rPr>
        <w:t>oi</w:t>
      </w:r>
      <w:r w:rsidRPr="00D630D1">
        <w:rPr>
          <w:rFonts w:ascii="Times New Roman" w:cs="Times New Roman"/>
        </w:rPr>
        <w:t>——</w:t>
      </w:r>
      <w:r w:rsidRPr="00D630D1">
        <w:rPr>
          <w:rFonts w:ascii="Times New Roman" w:cs="Times New Roman"/>
        </w:rPr>
        <w:t>第</w:t>
      </w:r>
      <w:r w:rsidRPr="00D630D1">
        <w:rPr>
          <w:rFonts w:ascii="Times New Roman" w:cs="Times New Roman"/>
        </w:rPr>
        <w:t>i</w:t>
      </w:r>
      <w:r w:rsidRPr="00D630D1">
        <w:rPr>
          <w:rFonts w:ascii="Times New Roman" w:cs="Times New Roman"/>
        </w:rPr>
        <w:t>个污染物的环境空气质量浓度标准，</w:t>
      </w:r>
      <w:r w:rsidRPr="00D630D1">
        <w:rPr>
          <w:rFonts w:ascii="Times New Roman" w:cs="Times New Roman"/>
        </w:rPr>
        <w:t>ug/m</w:t>
      </w:r>
      <w:r w:rsidRPr="00D630D1">
        <w:rPr>
          <w:rFonts w:ascii="Times New Roman" w:cs="Times New Roman"/>
          <w:vertAlign w:val="superscript"/>
        </w:rPr>
        <w:t>3</w:t>
      </w:r>
      <w:r w:rsidRPr="00D630D1">
        <w:rPr>
          <w:rFonts w:ascii="Times New Roman" w:cs="Times New Roman"/>
        </w:rPr>
        <w:t>。</w:t>
      </w:r>
    </w:p>
    <w:p w:rsidR="0011179D" w:rsidRPr="00D630D1" w:rsidRDefault="0011179D" w:rsidP="003371DA">
      <w:pPr>
        <w:pStyle w:val="afa"/>
        <w:ind w:firstLine="480"/>
      </w:pPr>
      <w:r w:rsidRPr="00D630D1">
        <w:t>评价工作等级按下表的分级判据进行划分。最大地面空气质量浓度占标率按公式（</w:t>
      </w:r>
      <w:r w:rsidRPr="00D630D1">
        <w:t>1</w:t>
      </w:r>
      <w:r w:rsidRPr="00D630D1">
        <w:t>）计算，如污染物数</w:t>
      </w:r>
      <w:r w:rsidRPr="00D630D1">
        <w:t>i</w:t>
      </w:r>
      <w:r w:rsidRPr="00D630D1">
        <w:t>大于</w:t>
      </w:r>
      <w:r w:rsidRPr="00D630D1">
        <w:t>1</w:t>
      </w:r>
      <w:r w:rsidRPr="00D630D1">
        <w:t>，取</w:t>
      </w:r>
      <w:r w:rsidRPr="00D630D1">
        <w:t>P</w:t>
      </w:r>
      <w:r w:rsidRPr="00D630D1">
        <w:t>值中最大者</w:t>
      </w:r>
      <w:r w:rsidRPr="00D630D1">
        <w:t>P</w:t>
      </w:r>
      <w:r w:rsidRPr="00D630D1">
        <w:rPr>
          <w:vertAlign w:val="subscript"/>
        </w:rPr>
        <w:t>max</w:t>
      </w:r>
      <w:r w:rsidRPr="00D630D1">
        <w:t>。</w:t>
      </w:r>
    </w:p>
    <w:p w:rsidR="0011179D" w:rsidRPr="00D630D1" w:rsidRDefault="0011179D" w:rsidP="0011179D">
      <w:pPr>
        <w:pStyle w:val="10"/>
      </w:pPr>
      <w:r w:rsidRPr="00D630D1">
        <w:t>表</w:t>
      </w:r>
      <w:r w:rsidRPr="00D630D1">
        <w:t xml:space="preserve">6.2-1  </w:t>
      </w:r>
      <w:r w:rsidRPr="00D630D1">
        <w:t>评价工作等级</w:t>
      </w:r>
    </w:p>
    <w:tbl>
      <w:tblPr>
        <w:tblW w:w="9037"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3061"/>
        <w:gridCol w:w="5976"/>
      </w:tblGrid>
      <w:tr w:rsidR="0011179D" w:rsidRPr="00D630D1" w:rsidTr="000C5DAE">
        <w:trPr>
          <w:trHeight w:val="228"/>
          <w:jc w:val="center"/>
        </w:trPr>
        <w:tc>
          <w:tcPr>
            <w:tcW w:w="3061" w:type="dxa"/>
            <w:vAlign w:val="center"/>
          </w:tcPr>
          <w:p w:rsidR="0011179D" w:rsidRPr="00D630D1" w:rsidRDefault="0011179D" w:rsidP="0011179D">
            <w:pPr>
              <w:pStyle w:val="1L"/>
              <w:rPr>
                <w:b/>
                <w:bCs w:val="0"/>
              </w:rPr>
            </w:pPr>
            <w:r w:rsidRPr="00D630D1">
              <w:rPr>
                <w:b/>
                <w:bCs w:val="0"/>
              </w:rPr>
              <w:t>评价工作等级</w:t>
            </w:r>
          </w:p>
        </w:tc>
        <w:tc>
          <w:tcPr>
            <w:tcW w:w="5976" w:type="dxa"/>
            <w:vAlign w:val="center"/>
          </w:tcPr>
          <w:p w:rsidR="0011179D" w:rsidRPr="00D630D1" w:rsidRDefault="0011179D" w:rsidP="0011179D">
            <w:pPr>
              <w:pStyle w:val="1L"/>
              <w:rPr>
                <w:b/>
                <w:bCs w:val="0"/>
              </w:rPr>
            </w:pPr>
            <w:r w:rsidRPr="00D630D1">
              <w:rPr>
                <w:b/>
                <w:bCs w:val="0"/>
              </w:rPr>
              <w:t>评价工作分级判据</w:t>
            </w:r>
          </w:p>
        </w:tc>
      </w:tr>
      <w:tr w:rsidR="0011179D" w:rsidRPr="00D630D1" w:rsidTr="000C5DAE">
        <w:trPr>
          <w:trHeight w:val="228"/>
          <w:jc w:val="center"/>
        </w:trPr>
        <w:tc>
          <w:tcPr>
            <w:tcW w:w="3061" w:type="dxa"/>
            <w:vAlign w:val="center"/>
          </w:tcPr>
          <w:p w:rsidR="0011179D" w:rsidRPr="00D630D1" w:rsidRDefault="0011179D" w:rsidP="0011179D">
            <w:pPr>
              <w:pStyle w:val="1L"/>
            </w:pPr>
            <w:r w:rsidRPr="00D630D1">
              <w:t>一级评价</w:t>
            </w:r>
          </w:p>
        </w:tc>
        <w:tc>
          <w:tcPr>
            <w:tcW w:w="5976" w:type="dxa"/>
            <w:vAlign w:val="center"/>
          </w:tcPr>
          <w:p w:rsidR="0011179D" w:rsidRPr="00D630D1" w:rsidRDefault="0011179D" w:rsidP="0011179D">
            <w:pPr>
              <w:pStyle w:val="1L"/>
            </w:pPr>
            <w:r w:rsidRPr="00D630D1">
              <w:t>P</w:t>
            </w:r>
            <w:r w:rsidRPr="00D630D1">
              <w:rPr>
                <w:vertAlign w:val="subscript"/>
              </w:rPr>
              <w:t>max</w:t>
            </w:r>
            <w:r w:rsidRPr="00D630D1">
              <w:t>≥10%</w:t>
            </w:r>
          </w:p>
        </w:tc>
      </w:tr>
      <w:tr w:rsidR="0011179D" w:rsidRPr="00D630D1" w:rsidTr="000C5DAE">
        <w:trPr>
          <w:trHeight w:val="217"/>
          <w:jc w:val="center"/>
        </w:trPr>
        <w:tc>
          <w:tcPr>
            <w:tcW w:w="3061" w:type="dxa"/>
            <w:vAlign w:val="center"/>
          </w:tcPr>
          <w:p w:rsidR="0011179D" w:rsidRPr="00D630D1" w:rsidRDefault="0011179D" w:rsidP="0011179D">
            <w:pPr>
              <w:pStyle w:val="1L"/>
            </w:pPr>
            <w:r w:rsidRPr="00D630D1">
              <w:t>二级评价</w:t>
            </w:r>
          </w:p>
        </w:tc>
        <w:tc>
          <w:tcPr>
            <w:tcW w:w="5976" w:type="dxa"/>
            <w:vAlign w:val="center"/>
          </w:tcPr>
          <w:p w:rsidR="0011179D" w:rsidRPr="00D630D1" w:rsidRDefault="0011179D" w:rsidP="0011179D">
            <w:pPr>
              <w:pStyle w:val="1L"/>
            </w:pPr>
            <w:r w:rsidRPr="00D630D1">
              <w:t>1≤P</w:t>
            </w:r>
            <w:r w:rsidRPr="00D630D1">
              <w:rPr>
                <w:vertAlign w:val="subscript"/>
              </w:rPr>
              <w:t>max</w:t>
            </w:r>
            <w:r w:rsidRPr="00D630D1">
              <w:t>&lt;10%</w:t>
            </w:r>
          </w:p>
        </w:tc>
      </w:tr>
      <w:tr w:rsidR="0011179D" w:rsidRPr="00D630D1" w:rsidTr="000C5DAE">
        <w:trPr>
          <w:trHeight w:val="228"/>
          <w:jc w:val="center"/>
        </w:trPr>
        <w:tc>
          <w:tcPr>
            <w:tcW w:w="3061" w:type="dxa"/>
            <w:vAlign w:val="center"/>
          </w:tcPr>
          <w:p w:rsidR="0011179D" w:rsidRPr="00D630D1" w:rsidRDefault="0011179D" w:rsidP="0011179D">
            <w:pPr>
              <w:pStyle w:val="1L"/>
            </w:pPr>
            <w:r w:rsidRPr="00D630D1">
              <w:t>三级评价</w:t>
            </w:r>
          </w:p>
        </w:tc>
        <w:tc>
          <w:tcPr>
            <w:tcW w:w="5976" w:type="dxa"/>
            <w:vAlign w:val="center"/>
          </w:tcPr>
          <w:p w:rsidR="0011179D" w:rsidRPr="00D630D1" w:rsidRDefault="0011179D" w:rsidP="0011179D">
            <w:pPr>
              <w:pStyle w:val="1L"/>
            </w:pPr>
            <w:r w:rsidRPr="00D630D1">
              <w:t>P</w:t>
            </w:r>
            <w:r w:rsidRPr="00D630D1">
              <w:rPr>
                <w:vertAlign w:val="subscript"/>
              </w:rPr>
              <w:t>max</w:t>
            </w:r>
            <w:r w:rsidRPr="00D630D1">
              <w:t>&lt;1%</w:t>
            </w:r>
          </w:p>
        </w:tc>
      </w:tr>
    </w:tbl>
    <w:p w:rsidR="003371DA" w:rsidRPr="00D630D1" w:rsidRDefault="003371DA" w:rsidP="003371DA">
      <w:pPr>
        <w:pStyle w:val="afa"/>
        <w:ind w:firstLine="482"/>
        <w:rPr>
          <w:b/>
          <w:bCs/>
        </w:rPr>
      </w:pPr>
      <w:r w:rsidRPr="00D630D1">
        <w:rPr>
          <w:b/>
          <w:bCs/>
        </w:rPr>
        <w:t>（</w:t>
      </w:r>
      <w:r w:rsidRPr="00D630D1">
        <w:rPr>
          <w:b/>
          <w:bCs/>
        </w:rPr>
        <w:t>2</w:t>
      </w:r>
      <w:r w:rsidRPr="00D630D1">
        <w:rPr>
          <w:b/>
          <w:bCs/>
        </w:rPr>
        <w:t>）估算模型参数</w:t>
      </w:r>
    </w:p>
    <w:p w:rsidR="003371DA" w:rsidRPr="00D630D1" w:rsidRDefault="003371DA" w:rsidP="003371DA">
      <w:pPr>
        <w:pStyle w:val="afa"/>
        <w:ind w:firstLine="480"/>
        <w:rPr>
          <w:lang w:val="de-DE"/>
        </w:rPr>
      </w:pPr>
      <w:r w:rsidRPr="00D630D1">
        <w:rPr>
          <w:lang w:val="de-DE"/>
        </w:rPr>
        <w:t>估算模型参数见下表：</w:t>
      </w:r>
    </w:p>
    <w:p w:rsidR="003371DA" w:rsidRPr="00D630D1" w:rsidRDefault="003371DA" w:rsidP="003371DA">
      <w:pPr>
        <w:pStyle w:val="10"/>
        <w:rPr>
          <w:rFonts w:cs="Times New Roman"/>
        </w:rPr>
      </w:pPr>
      <w:r w:rsidRPr="00D630D1">
        <w:rPr>
          <w:rFonts w:cs="Times New Roman"/>
        </w:rPr>
        <w:t>表</w:t>
      </w:r>
      <w:r w:rsidRPr="00D630D1">
        <w:rPr>
          <w:rFonts w:cs="Times New Roman"/>
        </w:rPr>
        <w:t xml:space="preserve">6.2-2  </w:t>
      </w:r>
      <w:r w:rsidRPr="00D630D1">
        <w:rPr>
          <w:rFonts w:cs="Times New Roman"/>
        </w:rPr>
        <w:t>污染物计算参数选取表</w:t>
      </w:r>
    </w:p>
    <w:tbl>
      <w:tblPr>
        <w:tblW w:w="9007" w:type="dxa"/>
        <w:jc w:val="center"/>
        <w:tblBorders>
          <w:top w:val="single" w:sz="12" w:space="0" w:color="auto"/>
          <w:bottom w:val="single" w:sz="12" w:space="0" w:color="auto"/>
          <w:insideH w:val="single" w:sz="2" w:space="0" w:color="auto"/>
          <w:insideV w:val="single" w:sz="2" w:space="0" w:color="auto"/>
        </w:tblBorders>
        <w:tblLayout w:type="fixed"/>
        <w:tblCellMar>
          <w:left w:w="0" w:type="dxa"/>
          <w:right w:w="0" w:type="dxa"/>
        </w:tblCellMar>
        <w:tblLook w:val="0000"/>
      </w:tblPr>
      <w:tblGrid>
        <w:gridCol w:w="2693"/>
        <w:gridCol w:w="3121"/>
        <w:gridCol w:w="3193"/>
      </w:tblGrid>
      <w:tr w:rsidR="003371DA" w:rsidRPr="00D630D1" w:rsidTr="000C5DAE">
        <w:trPr>
          <w:trHeight w:val="238"/>
          <w:jc w:val="center"/>
        </w:trPr>
        <w:tc>
          <w:tcPr>
            <w:tcW w:w="5814" w:type="dxa"/>
            <w:gridSpan w:val="2"/>
            <w:vAlign w:val="center"/>
          </w:tcPr>
          <w:p w:rsidR="003371DA" w:rsidRPr="00D630D1" w:rsidRDefault="003371DA" w:rsidP="003371DA">
            <w:pPr>
              <w:pStyle w:val="1L"/>
              <w:rPr>
                <w:b/>
                <w:bCs w:val="0"/>
              </w:rPr>
            </w:pPr>
            <w:r w:rsidRPr="00D630D1">
              <w:rPr>
                <w:b/>
                <w:bCs w:val="0"/>
              </w:rPr>
              <w:t>参数</w:t>
            </w:r>
          </w:p>
        </w:tc>
        <w:tc>
          <w:tcPr>
            <w:tcW w:w="3193" w:type="dxa"/>
            <w:vAlign w:val="center"/>
          </w:tcPr>
          <w:p w:rsidR="003371DA" w:rsidRPr="00D630D1" w:rsidRDefault="003371DA" w:rsidP="003371DA">
            <w:pPr>
              <w:pStyle w:val="1L"/>
              <w:rPr>
                <w:b/>
                <w:bCs w:val="0"/>
              </w:rPr>
            </w:pPr>
            <w:r w:rsidRPr="00D630D1">
              <w:rPr>
                <w:b/>
                <w:bCs w:val="0"/>
              </w:rPr>
              <w:t>取值</w:t>
            </w:r>
          </w:p>
        </w:tc>
      </w:tr>
      <w:tr w:rsidR="003371DA" w:rsidRPr="00D630D1" w:rsidTr="000C5DAE">
        <w:trPr>
          <w:trHeight w:val="238"/>
          <w:jc w:val="center"/>
        </w:trPr>
        <w:tc>
          <w:tcPr>
            <w:tcW w:w="2693" w:type="dxa"/>
            <w:vMerge w:val="restart"/>
            <w:vAlign w:val="center"/>
          </w:tcPr>
          <w:p w:rsidR="003371DA" w:rsidRPr="00D630D1" w:rsidRDefault="003371DA" w:rsidP="003371DA">
            <w:pPr>
              <w:pStyle w:val="1L"/>
            </w:pPr>
            <w:r w:rsidRPr="00D630D1">
              <w:t>城市农村</w:t>
            </w:r>
            <w:r w:rsidRPr="00D630D1">
              <w:t>/</w:t>
            </w:r>
            <w:r w:rsidRPr="00D630D1">
              <w:t>选项</w:t>
            </w:r>
          </w:p>
        </w:tc>
        <w:tc>
          <w:tcPr>
            <w:tcW w:w="3120" w:type="dxa"/>
            <w:vAlign w:val="center"/>
          </w:tcPr>
          <w:p w:rsidR="003371DA" w:rsidRPr="00D630D1" w:rsidRDefault="003371DA" w:rsidP="003371DA">
            <w:pPr>
              <w:pStyle w:val="1L"/>
            </w:pPr>
            <w:r w:rsidRPr="00D630D1">
              <w:rPr>
                <w:kern w:val="0"/>
              </w:rPr>
              <w:t>城市</w:t>
            </w:r>
            <w:r w:rsidRPr="00D630D1">
              <w:rPr>
                <w:kern w:val="0"/>
              </w:rPr>
              <w:t>/</w:t>
            </w:r>
            <w:r w:rsidRPr="00D630D1">
              <w:rPr>
                <w:kern w:val="0"/>
              </w:rPr>
              <w:t>农村</w:t>
            </w:r>
          </w:p>
        </w:tc>
        <w:tc>
          <w:tcPr>
            <w:tcW w:w="3193" w:type="dxa"/>
            <w:vAlign w:val="center"/>
          </w:tcPr>
          <w:p w:rsidR="003371DA" w:rsidRPr="00D630D1" w:rsidRDefault="003371DA" w:rsidP="003371DA">
            <w:pPr>
              <w:pStyle w:val="1L"/>
            </w:pPr>
            <w:r w:rsidRPr="00D630D1">
              <w:t>农村</w:t>
            </w:r>
          </w:p>
        </w:tc>
      </w:tr>
      <w:tr w:rsidR="003371DA" w:rsidRPr="00D630D1" w:rsidTr="000C5DAE">
        <w:trPr>
          <w:trHeight w:val="238"/>
          <w:jc w:val="center"/>
        </w:trPr>
        <w:tc>
          <w:tcPr>
            <w:tcW w:w="2693" w:type="dxa"/>
            <w:vMerge/>
            <w:vAlign w:val="center"/>
          </w:tcPr>
          <w:p w:rsidR="003371DA" w:rsidRPr="00D630D1" w:rsidRDefault="003371DA" w:rsidP="003371DA">
            <w:pPr>
              <w:pStyle w:val="1L"/>
            </w:pPr>
          </w:p>
        </w:tc>
        <w:tc>
          <w:tcPr>
            <w:tcW w:w="3120" w:type="dxa"/>
            <w:vAlign w:val="center"/>
          </w:tcPr>
          <w:p w:rsidR="003371DA" w:rsidRPr="00D630D1" w:rsidRDefault="003371DA" w:rsidP="001231CF">
            <w:pPr>
              <w:pStyle w:val="1L"/>
            </w:pPr>
            <w:r w:rsidRPr="00D630D1">
              <w:t>人口数</w:t>
            </w:r>
            <w:r w:rsidR="001231CF" w:rsidRPr="00D630D1">
              <w:rPr>
                <w:rFonts w:hint="eastAsia"/>
              </w:rPr>
              <w:t>（</w:t>
            </w:r>
            <w:r w:rsidR="001231CF" w:rsidRPr="00D630D1">
              <w:t>城市人口数</w:t>
            </w:r>
            <w:r w:rsidR="001231CF" w:rsidRPr="00D630D1">
              <w:rPr>
                <w:rFonts w:hint="eastAsia"/>
              </w:rPr>
              <w:t>）</w:t>
            </w:r>
          </w:p>
        </w:tc>
        <w:tc>
          <w:tcPr>
            <w:tcW w:w="3193" w:type="dxa"/>
            <w:vAlign w:val="center"/>
          </w:tcPr>
          <w:p w:rsidR="003371DA" w:rsidRPr="00D630D1" w:rsidRDefault="003371DA" w:rsidP="003371DA">
            <w:pPr>
              <w:pStyle w:val="1L"/>
            </w:pPr>
            <w:r w:rsidRPr="00D630D1">
              <w:t>/</w:t>
            </w:r>
          </w:p>
        </w:tc>
      </w:tr>
      <w:tr w:rsidR="003371DA" w:rsidRPr="00D630D1" w:rsidTr="000C5DAE">
        <w:trPr>
          <w:trHeight w:val="238"/>
          <w:jc w:val="center"/>
        </w:trPr>
        <w:tc>
          <w:tcPr>
            <w:tcW w:w="5814" w:type="dxa"/>
            <w:gridSpan w:val="2"/>
            <w:vAlign w:val="center"/>
          </w:tcPr>
          <w:p w:rsidR="003371DA" w:rsidRPr="00D630D1" w:rsidRDefault="003371DA" w:rsidP="003371DA">
            <w:pPr>
              <w:pStyle w:val="1L"/>
            </w:pPr>
            <w:r w:rsidRPr="00D630D1">
              <w:t>最高环境温度</w:t>
            </w:r>
            <w:r w:rsidRPr="00D630D1">
              <w:t>/</w:t>
            </w:r>
            <w:r w:rsidRPr="00D630D1">
              <w:rPr>
                <w:rFonts w:ascii="宋体" w:hAnsi="宋体" w:cs="宋体" w:hint="eastAsia"/>
              </w:rPr>
              <w:t>℃</w:t>
            </w:r>
          </w:p>
        </w:tc>
        <w:tc>
          <w:tcPr>
            <w:tcW w:w="3193" w:type="dxa"/>
            <w:vAlign w:val="center"/>
          </w:tcPr>
          <w:p w:rsidR="003371DA" w:rsidRPr="00D630D1" w:rsidRDefault="003371DA" w:rsidP="003371DA">
            <w:pPr>
              <w:pStyle w:val="1L"/>
            </w:pPr>
            <w:r w:rsidRPr="00D630D1">
              <w:t>41.3</w:t>
            </w:r>
          </w:p>
        </w:tc>
      </w:tr>
      <w:tr w:rsidR="003371DA" w:rsidRPr="00D630D1" w:rsidTr="000C5DAE">
        <w:trPr>
          <w:trHeight w:val="238"/>
          <w:jc w:val="center"/>
        </w:trPr>
        <w:tc>
          <w:tcPr>
            <w:tcW w:w="5814" w:type="dxa"/>
            <w:gridSpan w:val="2"/>
            <w:vAlign w:val="center"/>
          </w:tcPr>
          <w:p w:rsidR="003371DA" w:rsidRPr="00D630D1" w:rsidRDefault="003371DA" w:rsidP="003371DA">
            <w:pPr>
              <w:pStyle w:val="1L"/>
            </w:pPr>
            <w:r w:rsidRPr="00D630D1">
              <w:t>最低环境温度</w:t>
            </w:r>
            <w:r w:rsidRPr="00D630D1">
              <w:t>/</w:t>
            </w:r>
            <w:r w:rsidRPr="00D630D1">
              <w:rPr>
                <w:rFonts w:ascii="宋体" w:hAnsi="宋体" w:cs="宋体" w:hint="eastAsia"/>
              </w:rPr>
              <w:t>℃</w:t>
            </w:r>
          </w:p>
        </w:tc>
        <w:tc>
          <w:tcPr>
            <w:tcW w:w="3193" w:type="dxa"/>
            <w:vAlign w:val="center"/>
          </w:tcPr>
          <w:p w:rsidR="003371DA" w:rsidRPr="00D630D1" w:rsidRDefault="003371DA" w:rsidP="003371DA">
            <w:pPr>
              <w:pStyle w:val="1L"/>
            </w:pPr>
            <w:r w:rsidRPr="00D630D1">
              <w:t>-5.3</w:t>
            </w:r>
          </w:p>
        </w:tc>
      </w:tr>
      <w:tr w:rsidR="003371DA" w:rsidRPr="00D630D1" w:rsidTr="000C5DAE">
        <w:trPr>
          <w:trHeight w:val="238"/>
          <w:jc w:val="center"/>
        </w:trPr>
        <w:tc>
          <w:tcPr>
            <w:tcW w:w="5814" w:type="dxa"/>
            <w:gridSpan w:val="2"/>
            <w:vAlign w:val="center"/>
          </w:tcPr>
          <w:p w:rsidR="003371DA" w:rsidRPr="00D630D1" w:rsidRDefault="003371DA" w:rsidP="003371DA">
            <w:pPr>
              <w:pStyle w:val="1L"/>
            </w:pPr>
            <w:r w:rsidRPr="00D630D1">
              <w:t>土地利用类型</w:t>
            </w:r>
          </w:p>
        </w:tc>
        <w:tc>
          <w:tcPr>
            <w:tcW w:w="3193" w:type="dxa"/>
            <w:vAlign w:val="center"/>
          </w:tcPr>
          <w:p w:rsidR="003371DA" w:rsidRPr="00D630D1" w:rsidRDefault="003371DA" w:rsidP="003371DA">
            <w:pPr>
              <w:pStyle w:val="1L"/>
            </w:pPr>
            <w:r w:rsidRPr="00D630D1">
              <w:rPr>
                <w:rFonts w:hint="eastAsia"/>
              </w:rPr>
              <w:t>农村</w:t>
            </w:r>
          </w:p>
        </w:tc>
      </w:tr>
      <w:tr w:rsidR="003371DA" w:rsidRPr="00D630D1" w:rsidTr="000C5DAE">
        <w:trPr>
          <w:trHeight w:val="238"/>
          <w:jc w:val="center"/>
        </w:trPr>
        <w:tc>
          <w:tcPr>
            <w:tcW w:w="5814" w:type="dxa"/>
            <w:gridSpan w:val="2"/>
            <w:vAlign w:val="center"/>
          </w:tcPr>
          <w:p w:rsidR="003371DA" w:rsidRPr="00D630D1" w:rsidRDefault="003371DA" w:rsidP="003371DA">
            <w:pPr>
              <w:pStyle w:val="1L"/>
            </w:pPr>
            <w:r w:rsidRPr="00D630D1">
              <w:t>区域湿度条件</w:t>
            </w:r>
          </w:p>
        </w:tc>
        <w:tc>
          <w:tcPr>
            <w:tcW w:w="3193" w:type="dxa"/>
            <w:vAlign w:val="center"/>
          </w:tcPr>
          <w:p w:rsidR="003371DA" w:rsidRPr="00D630D1" w:rsidRDefault="003371DA" w:rsidP="003371DA">
            <w:pPr>
              <w:pStyle w:val="1L"/>
            </w:pPr>
            <w:r w:rsidRPr="00D630D1">
              <w:rPr>
                <w:rFonts w:hint="eastAsia"/>
                <w:kern w:val="0"/>
              </w:rPr>
              <w:t>湿润</w:t>
            </w:r>
          </w:p>
        </w:tc>
      </w:tr>
      <w:tr w:rsidR="003371DA" w:rsidRPr="00D630D1" w:rsidTr="000C5DAE">
        <w:trPr>
          <w:trHeight w:val="132"/>
          <w:jc w:val="center"/>
        </w:trPr>
        <w:tc>
          <w:tcPr>
            <w:tcW w:w="2693" w:type="dxa"/>
            <w:vMerge w:val="restart"/>
            <w:vAlign w:val="center"/>
          </w:tcPr>
          <w:p w:rsidR="003371DA" w:rsidRPr="00D630D1" w:rsidRDefault="003371DA" w:rsidP="003371DA">
            <w:pPr>
              <w:pStyle w:val="1L"/>
            </w:pPr>
            <w:r w:rsidRPr="00D630D1">
              <w:rPr>
                <w:kern w:val="0"/>
              </w:rPr>
              <w:lastRenderedPageBreak/>
              <w:t>是否考虑地形</w:t>
            </w:r>
          </w:p>
        </w:tc>
        <w:tc>
          <w:tcPr>
            <w:tcW w:w="3120" w:type="dxa"/>
            <w:vAlign w:val="center"/>
          </w:tcPr>
          <w:p w:rsidR="003371DA" w:rsidRPr="00D630D1" w:rsidRDefault="003371DA" w:rsidP="003371DA">
            <w:pPr>
              <w:pStyle w:val="1L"/>
            </w:pPr>
            <w:r w:rsidRPr="00D630D1">
              <w:t>考虑地形</w:t>
            </w:r>
          </w:p>
        </w:tc>
        <w:tc>
          <w:tcPr>
            <w:tcW w:w="3193" w:type="dxa"/>
            <w:vAlign w:val="center"/>
          </w:tcPr>
          <w:p w:rsidR="003371DA" w:rsidRPr="00D630D1" w:rsidRDefault="003371DA" w:rsidP="003371DA">
            <w:pPr>
              <w:pStyle w:val="1L"/>
            </w:pPr>
            <w:r w:rsidRPr="00D630D1">
              <w:t>是</w:t>
            </w:r>
          </w:p>
        </w:tc>
      </w:tr>
      <w:tr w:rsidR="003371DA" w:rsidRPr="00D630D1" w:rsidTr="000C5DAE">
        <w:trPr>
          <w:trHeight w:val="132"/>
          <w:jc w:val="center"/>
        </w:trPr>
        <w:tc>
          <w:tcPr>
            <w:tcW w:w="2693" w:type="dxa"/>
            <w:vMerge/>
            <w:vAlign w:val="center"/>
          </w:tcPr>
          <w:p w:rsidR="003371DA" w:rsidRPr="00D630D1" w:rsidRDefault="003371DA" w:rsidP="003371DA">
            <w:pPr>
              <w:pStyle w:val="1L"/>
            </w:pPr>
          </w:p>
        </w:tc>
        <w:tc>
          <w:tcPr>
            <w:tcW w:w="3120" w:type="dxa"/>
            <w:vAlign w:val="center"/>
          </w:tcPr>
          <w:p w:rsidR="003371DA" w:rsidRPr="00D630D1" w:rsidRDefault="003371DA" w:rsidP="003371DA">
            <w:pPr>
              <w:pStyle w:val="1L"/>
            </w:pPr>
            <w:r w:rsidRPr="00D630D1">
              <w:rPr>
                <w:kern w:val="0"/>
              </w:rPr>
              <w:t>地形数据分辨率</w:t>
            </w:r>
            <w:r w:rsidRPr="00D630D1">
              <w:rPr>
                <w:kern w:val="0"/>
              </w:rPr>
              <w:t>(m)</w:t>
            </w:r>
          </w:p>
        </w:tc>
        <w:tc>
          <w:tcPr>
            <w:tcW w:w="3193" w:type="dxa"/>
            <w:vAlign w:val="center"/>
          </w:tcPr>
          <w:p w:rsidR="003371DA" w:rsidRPr="00D630D1" w:rsidRDefault="003371DA" w:rsidP="003371DA">
            <w:pPr>
              <w:pStyle w:val="1L"/>
            </w:pPr>
            <w:r w:rsidRPr="00D630D1">
              <w:t>90*90</w:t>
            </w:r>
          </w:p>
        </w:tc>
      </w:tr>
      <w:tr w:rsidR="003371DA" w:rsidRPr="00D630D1" w:rsidTr="000C5DAE">
        <w:trPr>
          <w:trHeight w:val="88"/>
          <w:jc w:val="center"/>
        </w:trPr>
        <w:tc>
          <w:tcPr>
            <w:tcW w:w="2693" w:type="dxa"/>
            <w:vMerge w:val="restart"/>
            <w:vAlign w:val="center"/>
          </w:tcPr>
          <w:p w:rsidR="003371DA" w:rsidRPr="00D630D1" w:rsidRDefault="003371DA" w:rsidP="003371DA">
            <w:pPr>
              <w:pStyle w:val="1L"/>
            </w:pPr>
            <w:r w:rsidRPr="00D630D1">
              <w:rPr>
                <w:kern w:val="0"/>
              </w:rPr>
              <w:t>是否考虑岸线熏烟</w:t>
            </w:r>
          </w:p>
        </w:tc>
        <w:tc>
          <w:tcPr>
            <w:tcW w:w="3120" w:type="dxa"/>
            <w:vAlign w:val="center"/>
          </w:tcPr>
          <w:p w:rsidR="003371DA" w:rsidRPr="00D630D1" w:rsidRDefault="003371DA" w:rsidP="003371DA">
            <w:pPr>
              <w:pStyle w:val="1L"/>
            </w:pPr>
            <w:r w:rsidRPr="00D630D1">
              <w:t>考虑岸线熏烟</w:t>
            </w:r>
          </w:p>
        </w:tc>
        <w:tc>
          <w:tcPr>
            <w:tcW w:w="3193" w:type="dxa"/>
            <w:vAlign w:val="center"/>
          </w:tcPr>
          <w:p w:rsidR="003371DA" w:rsidRPr="00D630D1" w:rsidRDefault="003371DA" w:rsidP="003371DA">
            <w:pPr>
              <w:pStyle w:val="1L"/>
            </w:pPr>
            <w:r w:rsidRPr="00D630D1">
              <w:t>否</w:t>
            </w:r>
          </w:p>
        </w:tc>
      </w:tr>
      <w:tr w:rsidR="003371DA" w:rsidRPr="00D630D1" w:rsidTr="000C5DAE">
        <w:trPr>
          <w:trHeight w:val="88"/>
          <w:jc w:val="center"/>
        </w:trPr>
        <w:tc>
          <w:tcPr>
            <w:tcW w:w="2693" w:type="dxa"/>
            <w:vMerge/>
            <w:vAlign w:val="center"/>
          </w:tcPr>
          <w:p w:rsidR="003371DA" w:rsidRPr="00D630D1" w:rsidRDefault="003371DA" w:rsidP="003371DA">
            <w:pPr>
              <w:pStyle w:val="1L"/>
            </w:pPr>
          </w:p>
        </w:tc>
        <w:tc>
          <w:tcPr>
            <w:tcW w:w="3120" w:type="dxa"/>
            <w:vAlign w:val="center"/>
          </w:tcPr>
          <w:p w:rsidR="003371DA" w:rsidRPr="00D630D1" w:rsidRDefault="003371DA" w:rsidP="003371DA">
            <w:pPr>
              <w:pStyle w:val="1L"/>
            </w:pPr>
            <w:r w:rsidRPr="00D630D1">
              <w:rPr>
                <w:kern w:val="0"/>
              </w:rPr>
              <w:t>岸线距离</w:t>
            </w:r>
            <w:r w:rsidRPr="00D630D1">
              <w:rPr>
                <w:kern w:val="0"/>
              </w:rPr>
              <w:t>/km</w:t>
            </w:r>
          </w:p>
        </w:tc>
        <w:tc>
          <w:tcPr>
            <w:tcW w:w="3193" w:type="dxa"/>
            <w:vAlign w:val="center"/>
          </w:tcPr>
          <w:p w:rsidR="003371DA" w:rsidRPr="00D630D1" w:rsidRDefault="003371DA" w:rsidP="003371DA">
            <w:pPr>
              <w:pStyle w:val="1L"/>
            </w:pPr>
            <w:r w:rsidRPr="00D630D1">
              <w:t>/</w:t>
            </w:r>
          </w:p>
        </w:tc>
      </w:tr>
      <w:tr w:rsidR="003371DA" w:rsidRPr="00D630D1" w:rsidTr="000C5DAE">
        <w:trPr>
          <w:trHeight w:val="88"/>
          <w:jc w:val="center"/>
        </w:trPr>
        <w:tc>
          <w:tcPr>
            <w:tcW w:w="2693" w:type="dxa"/>
            <w:vMerge/>
            <w:vAlign w:val="center"/>
          </w:tcPr>
          <w:p w:rsidR="003371DA" w:rsidRPr="00D630D1" w:rsidRDefault="003371DA" w:rsidP="003371DA">
            <w:pPr>
              <w:pStyle w:val="1L"/>
            </w:pPr>
          </w:p>
        </w:tc>
        <w:tc>
          <w:tcPr>
            <w:tcW w:w="3120" w:type="dxa"/>
            <w:vAlign w:val="center"/>
          </w:tcPr>
          <w:p w:rsidR="003371DA" w:rsidRPr="00D630D1" w:rsidRDefault="003371DA" w:rsidP="003371DA">
            <w:pPr>
              <w:pStyle w:val="1L"/>
            </w:pPr>
            <w:r w:rsidRPr="00D630D1">
              <w:rPr>
                <w:kern w:val="0"/>
              </w:rPr>
              <w:t>岸线方向</w:t>
            </w:r>
            <w:r w:rsidRPr="00D630D1">
              <w:rPr>
                <w:kern w:val="0"/>
              </w:rPr>
              <w:t>/o</w:t>
            </w:r>
          </w:p>
        </w:tc>
        <w:tc>
          <w:tcPr>
            <w:tcW w:w="3193" w:type="dxa"/>
            <w:vAlign w:val="center"/>
          </w:tcPr>
          <w:p w:rsidR="003371DA" w:rsidRPr="00D630D1" w:rsidRDefault="003371DA" w:rsidP="003371DA">
            <w:pPr>
              <w:pStyle w:val="1L"/>
            </w:pPr>
            <w:r w:rsidRPr="00D630D1">
              <w:t>/</w:t>
            </w:r>
          </w:p>
        </w:tc>
      </w:tr>
    </w:tbl>
    <w:p w:rsidR="003371DA" w:rsidRPr="00D630D1" w:rsidRDefault="003371DA" w:rsidP="003371DA">
      <w:pPr>
        <w:pStyle w:val="afa"/>
        <w:ind w:firstLine="482"/>
        <w:rPr>
          <w:b/>
          <w:bCs/>
        </w:rPr>
      </w:pPr>
      <w:r w:rsidRPr="00D630D1">
        <w:rPr>
          <w:rFonts w:hint="eastAsia"/>
          <w:b/>
          <w:bCs/>
        </w:rPr>
        <w:t>（</w:t>
      </w:r>
      <w:r w:rsidRPr="00D630D1">
        <w:rPr>
          <w:b/>
          <w:bCs/>
        </w:rPr>
        <w:t>3</w:t>
      </w:r>
      <w:r w:rsidRPr="00D630D1">
        <w:rPr>
          <w:rFonts w:hint="eastAsia"/>
          <w:b/>
          <w:bCs/>
        </w:rPr>
        <w:t>）主要污染源估算模型计算结果</w:t>
      </w:r>
    </w:p>
    <w:p w:rsidR="00455E0D" w:rsidRPr="00D630D1" w:rsidRDefault="003371DA" w:rsidP="003371DA">
      <w:pPr>
        <w:pStyle w:val="afa"/>
        <w:ind w:firstLine="480"/>
      </w:pPr>
      <w:r w:rsidRPr="00D630D1">
        <w:rPr>
          <w:rFonts w:hint="eastAsia"/>
        </w:rPr>
        <w:t>项目废气污染物排放情况及估算参数选择情况见下表：</w:t>
      </w:r>
    </w:p>
    <w:p w:rsidR="003371DA" w:rsidRPr="00D630D1" w:rsidRDefault="003371DA" w:rsidP="003371DA">
      <w:pPr>
        <w:pStyle w:val="10"/>
        <w:rPr>
          <w:rFonts w:cs="Times New Roman"/>
        </w:rPr>
      </w:pPr>
      <w:r w:rsidRPr="00D630D1">
        <w:rPr>
          <w:rFonts w:cs="Times New Roman"/>
        </w:rPr>
        <w:t>表</w:t>
      </w:r>
      <w:r w:rsidRPr="00D630D1">
        <w:rPr>
          <w:rFonts w:cs="Times New Roman"/>
        </w:rPr>
        <w:t xml:space="preserve">6.2-3  </w:t>
      </w:r>
      <w:r w:rsidRPr="00D630D1">
        <w:rPr>
          <w:rFonts w:cs="Times New Roman" w:hint="eastAsia"/>
        </w:rPr>
        <w:t>项目点源参数调查清单</w:t>
      </w:r>
    </w:p>
    <w:tbl>
      <w:tblPr>
        <w:tblW w:w="9182" w:type="dxa"/>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tblPr>
      <w:tblGrid>
        <w:gridCol w:w="1414"/>
        <w:gridCol w:w="1003"/>
        <w:gridCol w:w="1224"/>
        <w:gridCol w:w="934"/>
        <w:gridCol w:w="997"/>
        <w:gridCol w:w="1091"/>
        <w:gridCol w:w="892"/>
        <w:gridCol w:w="1627"/>
      </w:tblGrid>
      <w:tr w:rsidR="00DB79DB" w:rsidRPr="00D630D1" w:rsidTr="000C5DAE">
        <w:trPr>
          <w:trHeight w:val="118"/>
          <w:jc w:val="center"/>
        </w:trPr>
        <w:tc>
          <w:tcPr>
            <w:tcW w:w="1414" w:type="dxa"/>
            <w:vMerge w:val="restart"/>
            <w:vAlign w:val="center"/>
          </w:tcPr>
          <w:p w:rsidR="00DB79DB" w:rsidRPr="00D630D1" w:rsidRDefault="00DB79DB" w:rsidP="00DB79DB">
            <w:pPr>
              <w:pStyle w:val="1L"/>
              <w:rPr>
                <w:b/>
                <w:bCs w:val="0"/>
                <w:szCs w:val="21"/>
              </w:rPr>
            </w:pPr>
            <w:r w:rsidRPr="00D630D1">
              <w:rPr>
                <w:b/>
                <w:bCs w:val="0"/>
                <w:szCs w:val="21"/>
              </w:rPr>
              <w:t>名称</w:t>
            </w:r>
          </w:p>
        </w:tc>
        <w:tc>
          <w:tcPr>
            <w:tcW w:w="1003" w:type="dxa"/>
            <w:vMerge w:val="restart"/>
            <w:tcBorders>
              <w:right w:val="single" w:sz="2" w:space="0" w:color="auto"/>
            </w:tcBorders>
            <w:vAlign w:val="center"/>
          </w:tcPr>
          <w:p w:rsidR="00DB79DB" w:rsidRPr="00D630D1" w:rsidRDefault="00DB79DB" w:rsidP="00DB79DB">
            <w:pPr>
              <w:pStyle w:val="Default"/>
              <w:jc w:val="center"/>
              <w:rPr>
                <w:b/>
                <w:color w:val="auto"/>
                <w:sz w:val="21"/>
                <w:szCs w:val="21"/>
              </w:rPr>
            </w:pPr>
            <w:r w:rsidRPr="00D630D1">
              <w:rPr>
                <w:rFonts w:hint="eastAsia"/>
                <w:b/>
                <w:color w:val="auto"/>
                <w:sz w:val="21"/>
                <w:szCs w:val="21"/>
              </w:rPr>
              <w:t>排气筒高度</w:t>
            </w:r>
            <w:r w:rsidRPr="00D630D1">
              <w:rPr>
                <w:rFonts w:ascii="Times New Roman" w:hAnsi="Times New Roman" w:cs="Times New Roman"/>
                <w:b/>
                <w:color w:val="auto"/>
                <w:sz w:val="21"/>
                <w:szCs w:val="21"/>
              </w:rPr>
              <w:t>/m</w:t>
            </w:r>
          </w:p>
        </w:tc>
        <w:tc>
          <w:tcPr>
            <w:tcW w:w="1224" w:type="dxa"/>
            <w:vMerge w:val="restart"/>
            <w:tcBorders>
              <w:left w:val="single" w:sz="2" w:space="0" w:color="auto"/>
            </w:tcBorders>
            <w:vAlign w:val="center"/>
          </w:tcPr>
          <w:p w:rsidR="00DB79DB" w:rsidRPr="00D630D1" w:rsidRDefault="00DB79DB" w:rsidP="00DB79DB">
            <w:pPr>
              <w:pStyle w:val="Default"/>
              <w:jc w:val="center"/>
              <w:rPr>
                <w:b/>
                <w:color w:val="auto"/>
                <w:sz w:val="21"/>
                <w:szCs w:val="21"/>
              </w:rPr>
            </w:pPr>
            <w:r w:rsidRPr="00D630D1">
              <w:rPr>
                <w:rFonts w:hint="eastAsia"/>
                <w:b/>
                <w:color w:val="auto"/>
                <w:sz w:val="21"/>
                <w:szCs w:val="21"/>
              </w:rPr>
              <w:t>排气筒出口内径</w:t>
            </w:r>
            <w:r w:rsidRPr="00D630D1">
              <w:rPr>
                <w:rFonts w:ascii="Times New Roman" w:hAnsi="Times New Roman" w:cs="Times New Roman"/>
                <w:b/>
                <w:color w:val="auto"/>
                <w:sz w:val="21"/>
                <w:szCs w:val="21"/>
              </w:rPr>
              <w:t>m</w:t>
            </w:r>
          </w:p>
        </w:tc>
        <w:tc>
          <w:tcPr>
            <w:tcW w:w="934" w:type="dxa"/>
            <w:vMerge w:val="restart"/>
            <w:vAlign w:val="center"/>
          </w:tcPr>
          <w:p w:rsidR="00DB79DB" w:rsidRPr="00D630D1" w:rsidRDefault="00DB79DB" w:rsidP="00DB79DB">
            <w:pPr>
              <w:pStyle w:val="Default"/>
              <w:jc w:val="center"/>
              <w:rPr>
                <w:b/>
                <w:color w:val="auto"/>
                <w:sz w:val="21"/>
                <w:szCs w:val="21"/>
              </w:rPr>
            </w:pPr>
            <w:r w:rsidRPr="00D630D1">
              <w:rPr>
                <w:rFonts w:hint="eastAsia"/>
                <w:b/>
                <w:color w:val="auto"/>
                <w:sz w:val="21"/>
                <w:szCs w:val="21"/>
              </w:rPr>
              <w:t>烟气流量</w:t>
            </w:r>
            <w:r w:rsidRPr="00D630D1">
              <w:rPr>
                <w:rFonts w:ascii="Times New Roman" w:hAnsi="Times New Roman" w:cs="Times New Roman"/>
                <w:b/>
                <w:color w:val="auto"/>
                <w:sz w:val="21"/>
                <w:szCs w:val="21"/>
              </w:rPr>
              <w:t>m</w:t>
            </w:r>
            <w:r w:rsidRPr="00D630D1">
              <w:rPr>
                <w:rFonts w:ascii="Times New Roman" w:hAnsi="Times New Roman" w:cs="Times New Roman"/>
                <w:b/>
                <w:color w:val="auto"/>
                <w:sz w:val="21"/>
                <w:szCs w:val="21"/>
                <w:vertAlign w:val="superscript"/>
              </w:rPr>
              <w:t>3</w:t>
            </w:r>
            <w:r w:rsidRPr="00D630D1">
              <w:rPr>
                <w:rFonts w:ascii="Times New Roman" w:hAnsi="Times New Roman" w:cs="Times New Roman"/>
                <w:b/>
                <w:color w:val="auto"/>
                <w:sz w:val="21"/>
                <w:szCs w:val="21"/>
              </w:rPr>
              <w:t>/h</w:t>
            </w:r>
          </w:p>
        </w:tc>
        <w:tc>
          <w:tcPr>
            <w:tcW w:w="997" w:type="dxa"/>
            <w:vMerge w:val="restart"/>
            <w:vAlign w:val="center"/>
          </w:tcPr>
          <w:p w:rsidR="00DB79DB" w:rsidRPr="00D630D1" w:rsidRDefault="00DB79DB" w:rsidP="00DB79DB">
            <w:pPr>
              <w:pStyle w:val="Default"/>
              <w:jc w:val="center"/>
              <w:rPr>
                <w:b/>
                <w:color w:val="auto"/>
                <w:sz w:val="21"/>
                <w:szCs w:val="21"/>
              </w:rPr>
            </w:pPr>
            <w:r w:rsidRPr="00D630D1">
              <w:rPr>
                <w:rFonts w:hint="eastAsia"/>
                <w:b/>
                <w:color w:val="auto"/>
                <w:sz w:val="21"/>
                <w:szCs w:val="21"/>
              </w:rPr>
              <w:t>烟气温度℃</w:t>
            </w:r>
          </w:p>
        </w:tc>
        <w:tc>
          <w:tcPr>
            <w:tcW w:w="1091" w:type="dxa"/>
            <w:vMerge w:val="restart"/>
            <w:vAlign w:val="center"/>
          </w:tcPr>
          <w:p w:rsidR="00DB79DB" w:rsidRPr="00D630D1" w:rsidRDefault="00DB79DB" w:rsidP="00DB79DB">
            <w:pPr>
              <w:pStyle w:val="Default"/>
              <w:jc w:val="center"/>
              <w:rPr>
                <w:b/>
                <w:color w:val="auto"/>
                <w:sz w:val="21"/>
                <w:szCs w:val="21"/>
              </w:rPr>
            </w:pPr>
            <w:r w:rsidRPr="00D630D1">
              <w:rPr>
                <w:rFonts w:hint="eastAsia"/>
                <w:b/>
                <w:color w:val="auto"/>
                <w:sz w:val="21"/>
                <w:szCs w:val="21"/>
              </w:rPr>
              <w:t>年排放小时数</w:t>
            </w:r>
            <w:r w:rsidRPr="00D630D1">
              <w:rPr>
                <w:rFonts w:ascii="Times New Roman" w:hAnsi="Times New Roman" w:cs="Times New Roman"/>
                <w:b/>
                <w:color w:val="auto"/>
                <w:sz w:val="21"/>
                <w:szCs w:val="21"/>
              </w:rPr>
              <w:t>/h</w:t>
            </w:r>
          </w:p>
        </w:tc>
        <w:tc>
          <w:tcPr>
            <w:tcW w:w="892" w:type="dxa"/>
            <w:vMerge w:val="restart"/>
            <w:vAlign w:val="center"/>
          </w:tcPr>
          <w:p w:rsidR="00DB79DB" w:rsidRPr="00D630D1" w:rsidRDefault="00DB79DB" w:rsidP="00DB79DB">
            <w:pPr>
              <w:pStyle w:val="Default"/>
              <w:jc w:val="center"/>
              <w:rPr>
                <w:b/>
                <w:color w:val="auto"/>
                <w:sz w:val="21"/>
                <w:szCs w:val="21"/>
              </w:rPr>
            </w:pPr>
            <w:r w:rsidRPr="00D630D1">
              <w:rPr>
                <w:rFonts w:hint="eastAsia"/>
                <w:b/>
                <w:color w:val="auto"/>
                <w:sz w:val="21"/>
                <w:szCs w:val="21"/>
              </w:rPr>
              <w:t>排放工况</w:t>
            </w:r>
          </w:p>
        </w:tc>
        <w:tc>
          <w:tcPr>
            <w:tcW w:w="1627" w:type="dxa"/>
            <w:vAlign w:val="center"/>
          </w:tcPr>
          <w:p w:rsidR="00DB79DB" w:rsidRPr="00D630D1" w:rsidRDefault="00DB79DB" w:rsidP="00DB79DB">
            <w:pPr>
              <w:pStyle w:val="1L"/>
              <w:rPr>
                <w:b/>
                <w:bCs w:val="0"/>
                <w:snapToGrid w:val="0"/>
                <w:szCs w:val="21"/>
              </w:rPr>
            </w:pPr>
            <w:r w:rsidRPr="00D630D1">
              <w:rPr>
                <w:b/>
                <w:bCs w:val="0"/>
                <w:snapToGrid w:val="0"/>
                <w:szCs w:val="21"/>
              </w:rPr>
              <w:t>污染物排放速率</w:t>
            </w:r>
            <w:r w:rsidRPr="00D630D1">
              <w:rPr>
                <w:b/>
                <w:bCs w:val="0"/>
                <w:snapToGrid w:val="0"/>
                <w:szCs w:val="21"/>
              </w:rPr>
              <w:t>/</w:t>
            </w:r>
            <w:r w:rsidRPr="00D630D1">
              <w:rPr>
                <w:b/>
                <w:bCs w:val="0"/>
                <w:snapToGrid w:val="0"/>
                <w:szCs w:val="21"/>
              </w:rPr>
              <w:t>（</w:t>
            </w:r>
            <w:r w:rsidRPr="00D630D1">
              <w:rPr>
                <w:b/>
                <w:bCs w:val="0"/>
                <w:snapToGrid w:val="0"/>
                <w:szCs w:val="21"/>
              </w:rPr>
              <w:t>kg/h</w:t>
            </w:r>
            <w:r w:rsidRPr="00D630D1">
              <w:rPr>
                <w:b/>
                <w:bCs w:val="0"/>
                <w:snapToGrid w:val="0"/>
                <w:szCs w:val="21"/>
              </w:rPr>
              <w:t>）</w:t>
            </w:r>
          </w:p>
        </w:tc>
      </w:tr>
      <w:tr w:rsidR="00DB79DB" w:rsidRPr="00D630D1" w:rsidTr="000C5DAE">
        <w:trPr>
          <w:trHeight w:val="47"/>
          <w:jc w:val="center"/>
        </w:trPr>
        <w:tc>
          <w:tcPr>
            <w:tcW w:w="1414" w:type="dxa"/>
            <w:vMerge/>
            <w:vAlign w:val="center"/>
          </w:tcPr>
          <w:p w:rsidR="00DB79DB" w:rsidRPr="00D630D1" w:rsidRDefault="00DB79DB" w:rsidP="00DB79DB">
            <w:pPr>
              <w:pStyle w:val="1L"/>
              <w:rPr>
                <w:b/>
                <w:bCs w:val="0"/>
                <w:szCs w:val="21"/>
              </w:rPr>
            </w:pPr>
          </w:p>
        </w:tc>
        <w:tc>
          <w:tcPr>
            <w:tcW w:w="1003" w:type="dxa"/>
            <w:vMerge/>
            <w:tcBorders>
              <w:right w:val="single" w:sz="2" w:space="0" w:color="auto"/>
            </w:tcBorders>
            <w:vAlign w:val="center"/>
          </w:tcPr>
          <w:p w:rsidR="00DB79DB" w:rsidRPr="00D630D1" w:rsidRDefault="00DB79DB" w:rsidP="00DB79DB">
            <w:pPr>
              <w:pStyle w:val="1L"/>
              <w:rPr>
                <w:b/>
                <w:bCs w:val="0"/>
                <w:szCs w:val="21"/>
              </w:rPr>
            </w:pPr>
          </w:p>
        </w:tc>
        <w:tc>
          <w:tcPr>
            <w:tcW w:w="1224" w:type="dxa"/>
            <w:vMerge/>
            <w:tcBorders>
              <w:left w:val="single" w:sz="2" w:space="0" w:color="auto"/>
            </w:tcBorders>
            <w:vAlign w:val="center"/>
          </w:tcPr>
          <w:p w:rsidR="00DB79DB" w:rsidRPr="00D630D1" w:rsidRDefault="00DB79DB" w:rsidP="00DB79DB">
            <w:pPr>
              <w:pStyle w:val="1L"/>
              <w:rPr>
                <w:b/>
                <w:bCs w:val="0"/>
                <w:szCs w:val="21"/>
              </w:rPr>
            </w:pPr>
          </w:p>
        </w:tc>
        <w:tc>
          <w:tcPr>
            <w:tcW w:w="934" w:type="dxa"/>
            <w:vMerge/>
            <w:vAlign w:val="center"/>
          </w:tcPr>
          <w:p w:rsidR="00DB79DB" w:rsidRPr="00D630D1" w:rsidRDefault="00DB79DB" w:rsidP="00DB79DB">
            <w:pPr>
              <w:pStyle w:val="1L"/>
              <w:rPr>
                <w:b/>
                <w:bCs w:val="0"/>
                <w:szCs w:val="21"/>
              </w:rPr>
            </w:pPr>
          </w:p>
        </w:tc>
        <w:tc>
          <w:tcPr>
            <w:tcW w:w="997" w:type="dxa"/>
            <w:vMerge/>
            <w:vAlign w:val="center"/>
          </w:tcPr>
          <w:p w:rsidR="00DB79DB" w:rsidRPr="00D630D1" w:rsidRDefault="00DB79DB" w:rsidP="00DB79DB">
            <w:pPr>
              <w:pStyle w:val="1L"/>
              <w:rPr>
                <w:b/>
                <w:bCs w:val="0"/>
                <w:szCs w:val="21"/>
              </w:rPr>
            </w:pPr>
          </w:p>
        </w:tc>
        <w:tc>
          <w:tcPr>
            <w:tcW w:w="1091" w:type="dxa"/>
            <w:vMerge/>
            <w:vAlign w:val="center"/>
          </w:tcPr>
          <w:p w:rsidR="00DB79DB" w:rsidRPr="00D630D1" w:rsidRDefault="00DB79DB" w:rsidP="00DB79DB">
            <w:pPr>
              <w:pStyle w:val="1L"/>
              <w:rPr>
                <w:b/>
                <w:bCs w:val="0"/>
                <w:szCs w:val="21"/>
              </w:rPr>
            </w:pPr>
          </w:p>
        </w:tc>
        <w:tc>
          <w:tcPr>
            <w:tcW w:w="892" w:type="dxa"/>
            <w:vMerge/>
            <w:vAlign w:val="center"/>
          </w:tcPr>
          <w:p w:rsidR="00DB79DB" w:rsidRPr="00D630D1" w:rsidRDefault="00DB79DB" w:rsidP="00DB79DB">
            <w:pPr>
              <w:pStyle w:val="1L"/>
              <w:rPr>
                <w:b/>
                <w:bCs w:val="0"/>
                <w:szCs w:val="21"/>
              </w:rPr>
            </w:pPr>
          </w:p>
        </w:tc>
        <w:tc>
          <w:tcPr>
            <w:tcW w:w="1627" w:type="dxa"/>
            <w:vAlign w:val="center"/>
          </w:tcPr>
          <w:p w:rsidR="00DB79DB" w:rsidRPr="00D630D1" w:rsidRDefault="00DB79DB" w:rsidP="00DB79DB">
            <w:pPr>
              <w:pStyle w:val="1L"/>
              <w:rPr>
                <w:b/>
                <w:bCs w:val="0"/>
                <w:snapToGrid w:val="0"/>
                <w:szCs w:val="21"/>
              </w:rPr>
            </w:pPr>
            <w:r w:rsidRPr="00D630D1">
              <w:rPr>
                <w:rFonts w:hint="eastAsia"/>
                <w:b/>
                <w:bCs w:val="0"/>
                <w:snapToGrid w:val="0"/>
                <w:szCs w:val="21"/>
              </w:rPr>
              <w:t>氮氧化物</w:t>
            </w:r>
          </w:p>
        </w:tc>
      </w:tr>
      <w:tr w:rsidR="001231CF" w:rsidRPr="00D630D1" w:rsidTr="000C5DAE">
        <w:trPr>
          <w:trHeight w:val="183"/>
          <w:jc w:val="center"/>
        </w:trPr>
        <w:tc>
          <w:tcPr>
            <w:tcW w:w="1414" w:type="dxa"/>
            <w:vAlign w:val="center"/>
          </w:tcPr>
          <w:p w:rsidR="001231CF" w:rsidRPr="00D630D1" w:rsidRDefault="001231CF" w:rsidP="002169CB">
            <w:pPr>
              <w:pStyle w:val="10"/>
              <w:spacing w:line="240" w:lineRule="auto"/>
              <w:rPr>
                <w:rFonts w:cs="Times New Roman"/>
                <w:b w:val="0"/>
                <w:bCs/>
                <w:szCs w:val="21"/>
              </w:rPr>
            </w:pPr>
            <w:r w:rsidRPr="00D630D1">
              <w:rPr>
                <w:rFonts w:cs="Times New Roman"/>
                <w:b w:val="0"/>
                <w:bCs/>
                <w:szCs w:val="21"/>
              </w:rPr>
              <w:t>水套炉排气筒</w:t>
            </w:r>
          </w:p>
        </w:tc>
        <w:tc>
          <w:tcPr>
            <w:tcW w:w="1003" w:type="dxa"/>
            <w:vAlign w:val="center"/>
          </w:tcPr>
          <w:p w:rsidR="001231CF" w:rsidRPr="00D630D1" w:rsidRDefault="001231CF" w:rsidP="00DB79DB">
            <w:pPr>
              <w:pStyle w:val="1L"/>
            </w:pPr>
            <w:r w:rsidRPr="00D630D1">
              <w:rPr>
                <w:rFonts w:hint="eastAsia"/>
              </w:rPr>
              <w:t>8</w:t>
            </w:r>
          </w:p>
        </w:tc>
        <w:tc>
          <w:tcPr>
            <w:tcW w:w="1224" w:type="dxa"/>
            <w:vAlign w:val="center"/>
          </w:tcPr>
          <w:p w:rsidR="001231CF" w:rsidRPr="00D630D1" w:rsidRDefault="001231CF" w:rsidP="00DB79DB">
            <w:pPr>
              <w:pStyle w:val="1L"/>
            </w:pPr>
            <w:r w:rsidRPr="00D630D1">
              <w:rPr>
                <w:rFonts w:hint="eastAsia"/>
              </w:rPr>
              <w:t>0</w:t>
            </w:r>
            <w:r w:rsidRPr="00D630D1">
              <w:t>.15</w:t>
            </w:r>
          </w:p>
        </w:tc>
        <w:tc>
          <w:tcPr>
            <w:tcW w:w="934" w:type="dxa"/>
            <w:vAlign w:val="center"/>
          </w:tcPr>
          <w:p w:rsidR="001231CF" w:rsidRPr="00D630D1" w:rsidRDefault="001231CF" w:rsidP="00DB79DB">
            <w:pPr>
              <w:pStyle w:val="1L"/>
              <w:rPr>
                <w:snapToGrid w:val="0"/>
              </w:rPr>
            </w:pPr>
            <w:r w:rsidRPr="00D630D1">
              <w:rPr>
                <w:snapToGrid w:val="0"/>
              </w:rPr>
              <w:t>80.82</w:t>
            </w:r>
          </w:p>
        </w:tc>
        <w:tc>
          <w:tcPr>
            <w:tcW w:w="997" w:type="dxa"/>
            <w:vAlign w:val="center"/>
          </w:tcPr>
          <w:p w:rsidR="001231CF" w:rsidRPr="00D630D1" w:rsidRDefault="001231CF" w:rsidP="00DB79DB">
            <w:pPr>
              <w:pStyle w:val="1L"/>
              <w:rPr>
                <w:snapToGrid w:val="0"/>
              </w:rPr>
            </w:pPr>
            <w:r w:rsidRPr="00D630D1">
              <w:rPr>
                <w:snapToGrid w:val="0"/>
              </w:rPr>
              <w:t>100</w:t>
            </w:r>
          </w:p>
        </w:tc>
        <w:tc>
          <w:tcPr>
            <w:tcW w:w="1091" w:type="dxa"/>
            <w:vAlign w:val="center"/>
          </w:tcPr>
          <w:p w:rsidR="001231CF" w:rsidRPr="00D630D1" w:rsidRDefault="001231CF" w:rsidP="00DB79DB">
            <w:pPr>
              <w:pStyle w:val="1L"/>
              <w:rPr>
                <w:snapToGrid w:val="0"/>
              </w:rPr>
            </w:pPr>
            <w:r w:rsidRPr="00D630D1">
              <w:rPr>
                <w:rFonts w:hint="eastAsia"/>
                <w:snapToGrid w:val="0"/>
              </w:rPr>
              <w:t>1536</w:t>
            </w:r>
            <w:r w:rsidRPr="00D630D1">
              <w:rPr>
                <w:rFonts w:hint="eastAsia"/>
                <w:snapToGrid w:val="0"/>
              </w:rPr>
              <w:t>（</w:t>
            </w:r>
            <w:r w:rsidRPr="00D630D1">
              <w:rPr>
                <w:rFonts w:hint="eastAsia"/>
                <w:snapToGrid w:val="0"/>
              </w:rPr>
              <w:t>64*24</w:t>
            </w:r>
            <w:r w:rsidRPr="00D630D1">
              <w:rPr>
                <w:rFonts w:hint="eastAsia"/>
                <w:snapToGrid w:val="0"/>
              </w:rPr>
              <w:t>）</w:t>
            </w:r>
          </w:p>
        </w:tc>
        <w:tc>
          <w:tcPr>
            <w:tcW w:w="892" w:type="dxa"/>
            <w:vAlign w:val="center"/>
          </w:tcPr>
          <w:p w:rsidR="001231CF" w:rsidRPr="00D630D1" w:rsidRDefault="001231CF" w:rsidP="00DB79DB">
            <w:pPr>
              <w:pStyle w:val="1L"/>
              <w:rPr>
                <w:snapToGrid w:val="0"/>
              </w:rPr>
            </w:pPr>
            <w:r w:rsidRPr="00D630D1">
              <w:rPr>
                <w:rFonts w:hint="eastAsia"/>
                <w:snapToGrid w:val="0"/>
              </w:rPr>
              <w:t>正常工况</w:t>
            </w:r>
          </w:p>
        </w:tc>
        <w:tc>
          <w:tcPr>
            <w:tcW w:w="1627" w:type="dxa"/>
            <w:vAlign w:val="center"/>
          </w:tcPr>
          <w:p w:rsidR="001231CF" w:rsidRPr="00D630D1" w:rsidRDefault="001231CF" w:rsidP="00DB79DB">
            <w:pPr>
              <w:pStyle w:val="1L"/>
              <w:rPr>
                <w:snapToGrid w:val="0"/>
              </w:rPr>
            </w:pPr>
            <w:r w:rsidRPr="00D630D1">
              <w:rPr>
                <w:snapToGrid w:val="0"/>
              </w:rPr>
              <w:t>0.0238</w:t>
            </w:r>
            <w:r w:rsidRPr="00D630D1">
              <w:rPr>
                <w:rFonts w:hint="eastAsia"/>
                <w:snapToGrid w:val="0"/>
              </w:rPr>
              <w:t>1</w:t>
            </w:r>
          </w:p>
        </w:tc>
      </w:tr>
    </w:tbl>
    <w:p w:rsidR="00DB79DB" w:rsidRPr="00D630D1" w:rsidRDefault="00DB79DB" w:rsidP="00DB79DB">
      <w:pPr>
        <w:pStyle w:val="afa"/>
        <w:ind w:firstLine="482"/>
        <w:rPr>
          <w:b/>
          <w:bCs/>
        </w:rPr>
      </w:pPr>
      <w:r w:rsidRPr="00D630D1">
        <w:rPr>
          <w:b/>
          <w:bCs/>
        </w:rPr>
        <w:t>（</w:t>
      </w:r>
      <w:r w:rsidRPr="00D630D1">
        <w:rPr>
          <w:b/>
          <w:bCs/>
        </w:rPr>
        <w:t>4</w:t>
      </w:r>
      <w:r w:rsidRPr="00D630D1">
        <w:rPr>
          <w:b/>
          <w:bCs/>
        </w:rPr>
        <w:t>）评价因子和评价标准</w:t>
      </w:r>
    </w:p>
    <w:p w:rsidR="00DB79DB" w:rsidRPr="00D630D1" w:rsidRDefault="00DB79DB" w:rsidP="00DB79DB">
      <w:pPr>
        <w:pStyle w:val="afa"/>
        <w:ind w:firstLine="480"/>
        <w:rPr>
          <w:lang w:val="de-DE"/>
        </w:rPr>
      </w:pPr>
      <w:r w:rsidRPr="00D630D1">
        <w:rPr>
          <w:lang w:val="de-DE"/>
        </w:rPr>
        <w:t>评价因子和评价标准表见下表：</w:t>
      </w:r>
    </w:p>
    <w:p w:rsidR="00DB79DB" w:rsidRPr="00D630D1" w:rsidRDefault="00DB79DB" w:rsidP="00DB79DB">
      <w:pPr>
        <w:pStyle w:val="10"/>
        <w:rPr>
          <w:rFonts w:cs="Times New Roman"/>
        </w:rPr>
      </w:pPr>
      <w:r w:rsidRPr="00D630D1">
        <w:rPr>
          <w:rFonts w:cs="Times New Roman"/>
        </w:rPr>
        <w:t>表</w:t>
      </w:r>
      <w:r w:rsidRPr="00D630D1">
        <w:rPr>
          <w:rFonts w:cs="Times New Roman"/>
        </w:rPr>
        <w:t>6.2</w:t>
      </w:r>
      <w:r w:rsidRPr="00D630D1">
        <w:rPr>
          <w:rFonts w:cs="Times New Roman" w:hint="eastAsia"/>
        </w:rPr>
        <w:t>-</w:t>
      </w:r>
      <w:r w:rsidRPr="00D630D1">
        <w:rPr>
          <w:rFonts w:cs="Times New Roman"/>
        </w:rPr>
        <w:t xml:space="preserve">4  </w:t>
      </w:r>
      <w:r w:rsidRPr="00D630D1">
        <w:rPr>
          <w:rFonts w:cs="Times New Roman"/>
        </w:rPr>
        <w:t>评价因子和评价标准表</w:t>
      </w:r>
    </w:p>
    <w:tbl>
      <w:tblPr>
        <w:tblW w:w="9182"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149"/>
        <w:gridCol w:w="1294"/>
        <w:gridCol w:w="1240"/>
        <w:gridCol w:w="1326"/>
        <w:gridCol w:w="4173"/>
      </w:tblGrid>
      <w:tr w:rsidR="00DB79DB" w:rsidRPr="00D630D1" w:rsidTr="00DB79DB">
        <w:trPr>
          <w:trHeight w:val="265"/>
          <w:jc w:val="center"/>
        </w:trPr>
        <w:tc>
          <w:tcPr>
            <w:tcW w:w="1149" w:type="dxa"/>
            <w:tcBorders>
              <w:top w:val="single" w:sz="12" w:space="0" w:color="auto"/>
              <w:bottom w:val="single" w:sz="4" w:space="0" w:color="auto"/>
            </w:tcBorders>
            <w:vAlign w:val="center"/>
          </w:tcPr>
          <w:p w:rsidR="00DB79DB" w:rsidRPr="00D630D1" w:rsidRDefault="00DB79DB" w:rsidP="00DB79DB">
            <w:pPr>
              <w:pStyle w:val="1L"/>
              <w:rPr>
                <w:b/>
                <w:bCs w:val="0"/>
                <w:lang w:val="de-DE"/>
              </w:rPr>
            </w:pPr>
            <w:r w:rsidRPr="00D630D1">
              <w:rPr>
                <w:b/>
                <w:bCs w:val="0"/>
                <w:lang w:val="de-DE"/>
              </w:rPr>
              <w:t>评价因子</w:t>
            </w:r>
          </w:p>
        </w:tc>
        <w:tc>
          <w:tcPr>
            <w:tcW w:w="1294" w:type="dxa"/>
            <w:tcBorders>
              <w:top w:val="single" w:sz="12" w:space="0" w:color="auto"/>
              <w:bottom w:val="single" w:sz="4" w:space="0" w:color="auto"/>
            </w:tcBorders>
            <w:vAlign w:val="center"/>
          </w:tcPr>
          <w:p w:rsidR="00DB79DB" w:rsidRPr="00D630D1" w:rsidRDefault="00DB79DB" w:rsidP="00DB79DB">
            <w:pPr>
              <w:pStyle w:val="1L"/>
              <w:rPr>
                <w:b/>
                <w:bCs w:val="0"/>
                <w:lang w:val="de-DE"/>
              </w:rPr>
            </w:pPr>
            <w:r w:rsidRPr="00D630D1">
              <w:rPr>
                <w:b/>
                <w:bCs w:val="0"/>
                <w:lang w:val="de-DE"/>
              </w:rPr>
              <w:t>评价时段</w:t>
            </w:r>
          </w:p>
        </w:tc>
        <w:tc>
          <w:tcPr>
            <w:tcW w:w="1240" w:type="dxa"/>
            <w:tcBorders>
              <w:top w:val="single" w:sz="12" w:space="0" w:color="auto"/>
              <w:bottom w:val="single" w:sz="4" w:space="0" w:color="auto"/>
            </w:tcBorders>
            <w:vAlign w:val="center"/>
          </w:tcPr>
          <w:p w:rsidR="00DB79DB" w:rsidRPr="00D630D1" w:rsidRDefault="00DB79DB" w:rsidP="00DB79DB">
            <w:pPr>
              <w:pStyle w:val="1L"/>
              <w:rPr>
                <w:b/>
                <w:bCs w:val="0"/>
                <w:lang w:val="de-DE"/>
              </w:rPr>
            </w:pPr>
            <w:r w:rsidRPr="00D630D1">
              <w:rPr>
                <w:b/>
                <w:bCs w:val="0"/>
                <w:lang w:val="de-DE"/>
              </w:rPr>
              <w:t>标准值（</w:t>
            </w:r>
            <w:r w:rsidRPr="00D630D1">
              <w:rPr>
                <w:b/>
                <w:bCs w:val="0"/>
                <w:lang w:val="de-DE"/>
              </w:rPr>
              <w:t>ug/m</w:t>
            </w:r>
            <w:r w:rsidRPr="00D630D1">
              <w:rPr>
                <w:b/>
                <w:bCs w:val="0"/>
                <w:vertAlign w:val="superscript"/>
                <w:lang w:val="de-DE"/>
              </w:rPr>
              <w:t>3</w:t>
            </w:r>
            <w:r w:rsidRPr="00D630D1">
              <w:rPr>
                <w:b/>
                <w:bCs w:val="0"/>
                <w:lang w:val="de-DE"/>
              </w:rPr>
              <w:t>）</w:t>
            </w:r>
          </w:p>
        </w:tc>
        <w:tc>
          <w:tcPr>
            <w:tcW w:w="1326" w:type="dxa"/>
            <w:tcBorders>
              <w:top w:val="single" w:sz="12" w:space="0" w:color="auto"/>
              <w:bottom w:val="single" w:sz="4" w:space="0" w:color="auto"/>
            </w:tcBorders>
            <w:vAlign w:val="center"/>
          </w:tcPr>
          <w:p w:rsidR="00DB79DB" w:rsidRPr="00D630D1" w:rsidRDefault="00DB79DB" w:rsidP="00DB79DB">
            <w:pPr>
              <w:pStyle w:val="1L"/>
              <w:rPr>
                <w:b/>
                <w:bCs w:val="0"/>
                <w:lang w:val="de-DE"/>
              </w:rPr>
            </w:pPr>
            <w:r w:rsidRPr="00D630D1">
              <w:rPr>
                <w:b/>
                <w:bCs w:val="0"/>
                <w:lang w:val="de-DE"/>
              </w:rPr>
              <w:t>功能区</w:t>
            </w:r>
          </w:p>
        </w:tc>
        <w:tc>
          <w:tcPr>
            <w:tcW w:w="4171" w:type="dxa"/>
            <w:tcBorders>
              <w:top w:val="single" w:sz="12" w:space="0" w:color="auto"/>
              <w:bottom w:val="single" w:sz="4" w:space="0" w:color="auto"/>
            </w:tcBorders>
            <w:vAlign w:val="center"/>
          </w:tcPr>
          <w:p w:rsidR="00DB79DB" w:rsidRPr="00D630D1" w:rsidRDefault="00DB79DB" w:rsidP="00DB79DB">
            <w:pPr>
              <w:pStyle w:val="1L"/>
              <w:rPr>
                <w:b/>
                <w:bCs w:val="0"/>
                <w:lang w:val="de-DE"/>
              </w:rPr>
            </w:pPr>
            <w:r w:rsidRPr="00D630D1">
              <w:rPr>
                <w:b/>
                <w:bCs w:val="0"/>
                <w:lang w:val="de-DE"/>
              </w:rPr>
              <w:t>标准来源</w:t>
            </w:r>
          </w:p>
        </w:tc>
      </w:tr>
      <w:tr w:rsidR="00DB79DB" w:rsidRPr="00D630D1" w:rsidTr="00DB79DB">
        <w:trPr>
          <w:trHeight w:val="130"/>
          <w:jc w:val="center"/>
        </w:trPr>
        <w:tc>
          <w:tcPr>
            <w:tcW w:w="1149" w:type="dxa"/>
            <w:tcBorders>
              <w:top w:val="single" w:sz="4" w:space="0" w:color="auto"/>
              <w:bottom w:val="single" w:sz="4" w:space="0" w:color="auto"/>
            </w:tcBorders>
            <w:vAlign w:val="center"/>
          </w:tcPr>
          <w:p w:rsidR="00DB79DB" w:rsidRPr="00D630D1" w:rsidRDefault="00DB79DB" w:rsidP="00DB79DB">
            <w:pPr>
              <w:pStyle w:val="1L"/>
              <w:rPr>
                <w:lang w:val="de-DE"/>
              </w:rPr>
            </w:pPr>
            <w:r w:rsidRPr="00D630D1">
              <w:rPr>
                <w:rFonts w:hint="eastAsia"/>
                <w:lang w:val="de-DE"/>
              </w:rPr>
              <w:t>氮氧化物</w:t>
            </w:r>
          </w:p>
        </w:tc>
        <w:tc>
          <w:tcPr>
            <w:tcW w:w="1294" w:type="dxa"/>
            <w:tcBorders>
              <w:top w:val="single" w:sz="4" w:space="0" w:color="auto"/>
              <w:bottom w:val="single" w:sz="4" w:space="0" w:color="auto"/>
            </w:tcBorders>
            <w:vAlign w:val="center"/>
          </w:tcPr>
          <w:p w:rsidR="00DB79DB" w:rsidRPr="00D630D1" w:rsidRDefault="00DB79DB" w:rsidP="00DB79DB">
            <w:pPr>
              <w:pStyle w:val="1L"/>
              <w:rPr>
                <w:lang w:val="de-DE"/>
              </w:rPr>
            </w:pPr>
            <w:r w:rsidRPr="00D630D1">
              <w:rPr>
                <w:lang w:val="de-DE"/>
              </w:rPr>
              <w:t>1</w:t>
            </w:r>
            <w:r w:rsidRPr="00D630D1">
              <w:rPr>
                <w:lang w:val="de-DE"/>
              </w:rPr>
              <w:t>小时平均</w:t>
            </w:r>
          </w:p>
        </w:tc>
        <w:tc>
          <w:tcPr>
            <w:tcW w:w="1240" w:type="dxa"/>
            <w:tcBorders>
              <w:top w:val="single" w:sz="4" w:space="0" w:color="auto"/>
              <w:bottom w:val="single" w:sz="4" w:space="0" w:color="auto"/>
            </w:tcBorders>
            <w:vAlign w:val="center"/>
          </w:tcPr>
          <w:p w:rsidR="00DB79DB" w:rsidRPr="00D630D1" w:rsidRDefault="00DB79DB" w:rsidP="00DB79DB">
            <w:pPr>
              <w:pStyle w:val="1L"/>
              <w:rPr>
                <w:lang w:val="de-DE"/>
              </w:rPr>
            </w:pPr>
            <w:r w:rsidRPr="00D630D1">
              <w:rPr>
                <w:lang w:val="de-DE"/>
              </w:rPr>
              <w:t>250</w:t>
            </w:r>
          </w:p>
        </w:tc>
        <w:tc>
          <w:tcPr>
            <w:tcW w:w="1326" w:type="dxa"/>
            <w:tcBorders>
              <w:top w:val="single" w:sz="4" w:space="0" w:color="auto"/>
              <w:bottom w:val="single" w:sz="4" w:space="0" w:color="auto"/>
            </w:tcBorders>
            <w:vAlign w:val="center"/>
          </w:tcPr>
          <w:p w:rsidR="00DB79DB" w:rsidRPr="00D630D1" w:rsidRDefault="00DB79DB" w:rsidP="00DB79DB">
            <w:pPr>
              <w:pStyle w:val="1L"/>
              <w:rPr>
                <w:lang w:val="de-DE"/>
              </w:rPr>
            </w:pPr>
            <w:r w:rsidRPr="00D630D1">
              <w:rPr>
                <w:lang w:val="de-DE"/>
              </w:rPr>
              <w:t>二类限区</w:t>
            </w:r>
          </w:p>
        </w:tc>
        <w:tc>
          <w:tcPr>
            <w:tcW w:w="4171" w:type="dxa"/>
            <w:tcBorders>
              <w:top w:val="single" w:sz="4" w:space="0" w:color="auto"/>
              <w:bottom w:val="single" w:sz="4" w:space="0" w:color="auto"/>
            </w:tcBorders>
            <w:vAlign w:val="center"/>
          </w:tcPr>
          <w:p w:rsidR="00DB79DB" w:rsidRPr="00D630D1" w:rsidRDefault="00DB79DB" w:rsidP="00DB79DB">
            <w:pPr>
              <w:pStyle w:val="1L"/>
              <w:rPr>
                <w:lang w:val="de-DE"/>
              </w:rPr>
            </w:pPr>
            <w:r w:rsidRPr="00D630D1">
              <w:t>《环境空气质量标准》（</w:t>
            </w:r>
            <w:r w:rsidRPr="00D630D1">
              <w:t>GB3095-2012</w:t>
            </w:r>
            <w:r w:rsidRPr="00D630D1">
              <w:t>）</w:t>
            </w:r>
          </w:p>
        </w:tc>
      </w:tr>
      <w:tr w:rsidR="00DB79DB" w:rsidRPr="00D630D1" w:rsidTr="00DB79DB">
        <w:trPr>
          <w:trHeight w:val="66"/>
          <w:jc w:val="center"/>
        </w:trPr>
        <w:tc>
          <w:tcPr>
            <w:tcW w:w="9182" w:type="dxa"/>
            <w:gridSpan w:val="5"/>
            <w:tcBorders>
              <w:top w:val="single" w:sz="4" w:space="0" w:color="auto"/>
              <w:bottom w:val="single" w:sz="12" w:space="0" w:color="auto"/>
            </w:tcBorders>
            <w:vAlign w:val="center"/>
          </w:tcPr>
          <w:p w:rsidR="00DB79DB" w:rsidRPr="00D630D1" w:rsidRDefault="00DB79DB" w:rsidP="00DB79DB">
            <w:pPr>
              <w:pStyle w:val="1L"/>
              <w:jc w:val="both"/>
              <w:rPr>
                <w:sz w:val="18"/>
                <w:lang w:val="de-DE"/>
              </w:rPr>
            </w:pPr>
            <w:r w:rsidRPr="00D630D1">
              <w:rPr>
                <w:sz w:val="18"/>
                <w:lang w:val="de-DE"/>
              </w:rPr>
              <w:t>注：按照（</w:t>
            </w:r>
            <w:r w:rsidRPr="00D630D1">
              <w:rPr>
                <w:sz w:val="18"/>
                <w:lang w:val="de-DE"/>
              </w:rPr>
              <w:t>HJ2.2-2018</w:t>
            </w:r>
            <w:r w:rsidRPr="00D630D1">
              <w:rPr>
                <w:sz w:val="18"/>
                <w:lang w:val="de-DE"/>
              </w:rPr>
              <w:t>）</w:t>
            </w:r>
            <w:r w:rsidRPr="00D630D1">
              <w:rPr>
                <w:sz w:val="18"/>
                <w:lang w:val="de-DE"/>
              </w:rPr>
              <w:t>5.3.2</w:t>
            </w:r>
            <w:r w:rsidRPr="00D630D1">
              <w:rPr>
                <w:sz w:val="18"/>
                <w:lang w:val="de-DE"/>
              </w:rPr>
              <w:t>评价分级方法：日平均浓度限值可按</w:t>
            </w:r>
            <w:r w:rsidRPr="00D630D1">
              <w:rPr>
                <w:sz w:val="18"/>
                <w:lang w:val="de-DE"/>
              </w:rPr>
              <w:t>3</w:t>
            </w:r>
            <w:r w:rsidRPr="00D630D1">
              <w:rPr>
                <w:sz w:val="18"/>
                <w:lang w:val="de-DE"/>
              </w:rPr>
              <w:t>倍折算为</w:t>
            </w:r>
            <w:r w:rsidRPr="00D630D1">
              <w:rPr>
                <w:sz w:val="18"/>
                <w:lang w:val="de-DE"/>
              </w:rPr>
              <w:t>1h</w:t>
            </w:r>
            <w:r w:rsidRPr="00D630D1">
              <w:rPr>
                <w:sz w:val="18"/>
                <w:lang w:val="de-DE"/>
              </w:rPr>
              <w:t>平均质量浓度限值。</w:t>
            </w:r>
          </w:p>
        </w:tc>
      </w:tr>
    </w:tbl>
    <w:p w:rsidR="00DB79DB" w:rsidRPr="00D630D1" w:rsidRDefault="00DB79DB" w:rsidP="00DB79DB">
      <w:pPr>
        <w:pStyle w:val="afa"/>
        <w:ind w:firstLine="482"/>
        <w:rPr>
          <w:b/>
          <w:bCs/>
        </w:rPr>
      </w:pPr>
      <w:r w:rsidRPr="00D630D1">
        <w:rPr>
          <w:b/>
          <w:bCs/>
        </w:rPr>
        <w:t>（</w:t>
      </w:r>
      <w:r w:rsidRPr="00D630D1">
        <w:rPr>
          <w:b/>
          <w:bCs/>
        </w:rPr>
        <w:t>5</w:t>
      </w:r>
      <w:r w:rsidRPr="00D630D1">
        <w:rPr>
          <w:b/>
          <w:bCs/>
        </w:rPr>
        <w:t>）主要污染源估算模型计算结果</w:t>
      </w:r>
    </w:p>
    <w:p w:rsidR="00DB79DB" w:rsidRPr="00D630D1" w:rsidRDefault="00DB79DB" w:rsidP="00DB79DB">
      <w:pPr>
        <w:pStyle w:val="afa"/>
        <w:ind w:firstLine="480"/>
      </w:pPr>
      <w:r w:rsidRPr="00D630D1">
        <w:t>根据本项目大气污染物排放情况，按照估算模式计算各污染物的最大地面浓度占标率</w:t>
      </w:r>
      <w:r w:rsidRPr="00D630D1">
        <w:t>P</w:t>
      </w:r>
      <w:r w:rsidRPr="00D630D1">
        <w:t>值，估算模型计算结果见下表：</w:t>
      </w:r>
    </w:p>
    <w:p w:rsidR="00DB79DB" w:rsidRPr="00D630D1" w:rsidRDefault="00DB79DB" w:rsidP="00DB79DB">
      <w:pPr>
        <w:pStyle w:val="10"/>
        <w:rPr>
          <w:rFonts w:cs="Times New Roman"/>
        </w:rPr>
      </w:pPr>
      <w:bookmarkStart w:id="503" w:name="_Hlk54557602"/>
      <w:r w:rsidRPr="00D630D1">
        <w:rPr>
          <w:rFonts w:cs="Times New Roman"/>
        </w:rPr>
        <w:t>表</w:t>
      </w:r>
      <w:r w:rsidRPr="00D630D1">
        <w:rPr>
          <w:rFonts w:cs="Times New Roman"/>
        </w:rPr>
        <w:t xml:space="preserve">6.2-5  </w:t>
      </w:r>
      <w:r w:rsidRPr="00D630D1">
        <w:rPr>
          <w:rFonts w:cs="Times New Roman"/>
        </w:rPr>
        <w:t>本项目大气环境影响估算结果表</w:t>
      </w:r>
    </w:p>
    <w:tbl>
      <w:tblPr>
        <w:tblW w:w="8915" w:type="dxa"/>
        <w:jc w:val="center"/>
        <w:tblBorders>
          <w:top w:val="single" w:sz="12" w:space="0" w:color="auto"/>
          <w:bottom w:val="single" w:sz="12" w:space="0" w:color="auto"/>
          <w:insideH w:val="single" w:sz="2" w:space="0" w:color="auto"/>
          <w:insideV w:val="single" w:sz="2" w:space="0" w:color="auto"/>
        </w:tblBorders>
        <w:tblLayout w:type="fixed"/>
        <w:tblCellMar>
          <w:left w:w="28" w:type="dxa"/>
          <w:right w:w="28" w:type="dxa"/>
        </w:tblCellMar>
        <w:tblLook w:val="04A0"/>
      </w:tblPr>
      <w:tblGrid>
        <w:gridCol w:w="514"/>
        <w:gridCol w:w="1754"/>
        <w:gridCol w:w="709"/>
        <w:gridCol w:w="1366"/>
        <w:gridCol w:w="1051"/>
        <w:gridCol w:w="916"/>
        <w:gridCol w:w="1065"/>
        <w:gridCol w:w="661"/>
        <w:gridCol w:w="879"/>
      </w:tblGrid>
      <w:tr w:rsidR="00DB79DB" w:rsidRPr="00D630D1" w:rsidTr="004E24E2">
        <w:trPr>
          <w:trHeight w:val="480"/>
          <w:jc w:val="center"/>
        </w:trPr>
        <w:tc>
          <w:tcPr>
            <w:tcW w:w="514" w:type="dxa"/>
            <w:shd w:val="clear" w:color="auto" w:fill="auto"/>
            <w:vAlign w:val="center"/>
          </w:tcPr>
          <w:p w:rsidR="00DB79DB" w:rsidRPr="00D630D1" w:rsidRDefault="00DB79DB" w:rsidP="00DB79DB">
            <w:pPr>
              <w:pStyle w:val="1L"/>
              <w:rPr>
                <w:b/>
                <w:bCs w:val="0"/>
              </w:rPr>
            </w:pPr>
            <w:r w:rsidRPr="00D630D1">
              <w:rPr>
                <w:b/>
                <w:bCs w:val="0"/>
              </w:rPr>
              <w:t>类别</w:t>
            </w:r>
          </w:p>
        </w:tc>
        <w:tc>
          <w:tcPr>
            <w:tcW w:w="1754" w:type="dxa"/>
            <w:shd w:val="clear" w:color="auto" w:fill="auto"/>
            <w:vAlign w:val="center"/>
          </w:tcPr>
          <w:p w:rsidR="00DB79DB" w:rsidRPr="00D630D1" w:rsidRDefault="00DB79DB" w:rsidP="00DB79DB">
            <w:pPr>
              <w:pStyle w:val="1L"/>
              <w:rPr>
                <w:b/>
                <w:bCs w:val="0"/>
                <w:snapToGrid w:val="0"/>
              </w:rPr>
            </w:pPr>
            <w:r w:rsidRPr="00D630D1">
              <w:rPr>
                <w:b/>
                <w:bCs w:val="0"/>
              </w:rPr>
              <w:t>污染源名称</w:t>
            </w:r>
          </w:p>
        </w:tc>
        <w:tc>
          <w:tcPr>
            <w:tcW w:w="709" w:type="dxa"/>
            <w:shd w:val="clear" w:color="auto" w:fill="auto"/>
            <w:vAlign w:val="center"/>
          </w:tcPr>
          <w:p w:rsidR="00DB79DB" w:rsidRPr="00D630D1" w:rsidRDefault="00DB79DB" w:rsidP="00DB79DB">
            <w:pPr>
              <w:pStyle w:val="1L"/>
              <w:rPr>
                <w:b/>
                <w:bCs w:val="0"/>
                <w:snapToGrid w:val="0"/>
              </w:rPr>
            </w:pPr>
            <w:r w:rsidRPr="00D630D1">
              <w:rPr>
                <w:b/>
                <w:bCs w:val="0"/>
                <w:snapToGrid w:val="0"/>
              </w:rPr>
              <w:t>污染物</w:t>
            </w:r>
          </w:p>
        </w:tc>
        <w:tc>
          <w:tcPr>
            <w:tcW w:w="1366" w:type="dxa"/>
            <w:shd w:val="clear" w:color="auto" w:fill="auto"/>
            <w:vAlign w:val="center"/>
          </w:tcPr>
          <w:p w:rsidR="00DB79DB" w:rsidRPr="00D630D1" w:rsidRDefault="00DB79DB" w:rsidP="00DB79DB">
            <w:pPr>
              <w:pStyle w:val="1L"/>
              <w:rPr>
                <w:b/>
                <w:bCs w:val="0"/>
                <w:snapToGrid w:val="0"/>
              </w:rPr>
            </w:pPr>
            <w:r w:rsidRPr="00D630D1">
              <w:rPr>
                <w:b/>
                <w:bCs w:val="0"/>
                <w:snapToGrid w:val="0"/>
              </w:rPr>
              <w:t>最大落地浓度</w:t>
            </w:r>
            <w:r w:rsidRPr="00D630D1">
              <w:rPr>
                <w:b/>
                <w:bCs w:val="0"/>
              </w:rPr>
              <w:t>（</w:t>
            </w:r>
            <w:r w:rsidRPr="00D630D1">
              <w:rPr>
                <w:b/>
                <w:bCs w:val="0"/>
              </w:rPr>
              <w:t>μg/m</w:t>
            </w:r>
            <w:r w:rsidRPr="00D630D1">
              <w:rPr>
                <w:b/>
                <w:bCs w:val="0"/>
                <w:vertAlign w:val="superscript"/>
              </w:rPr>
              <w:t>3</w:t>
            </w:r>
            <w:r w:rsidRPr="00D630D1">
              <w:rPr>
                <w:b/>
                <w:bCs w:val="0"/>
              </w:rPr>
              <w:t>）</w:t>
            </w:r>
          </w:p>
        </w:tc>
        <w:tc>
          <w:tcPr>
            <w:tcW w:w="1051" w:type="dxa"/>
            <w:shd w:val="clear" w:color="auto" w:fill="auto"/>
            <w:vAlign w:val="center"/>
          </w:tcPr>
          <w:p w:rsidR="00DB79DB" w:rsidRPr="00D630D1" w:rsidRDefault="00DB79DB" w:rsidP="00DB79DB">
            <w:pPr>
              <w:pStyle w:val="1L"/>
              <w:rPr>
                <w:b/>
                <w:bCs w:val="0"/>
              </w:rPr>
            </w:pPr>
            <w:r w:rsidRPr="00D630D1">
              <w:rPr>
                <w:b/>
                <w:bCs w:val="0"/>
              </w:rPr>
              <w:t>最大浓度落地点</w:t>
            </w:r>
            <w:r w:rsidRPr="00D630D1">
              <w:rPr>
                <w:b/>
                <w:bCs w:val="0"/>
              </w:rPr>
              <w:t>(m)</w:t>
            </w:r>
          </w:p>
        </w:tc>
        <w:tc>
          <w:tcPr>
            <w:tcW w:w="916" w:type="dxa"/>
            <w:shd w:val="clear" w:color="auto" w:fill="auto"/>
            <w:vAlign w:val="center"/>
          </w:tcPr>
          <w:p w:rsidR="00DB79DB" w:rsidRPr="00D630D1" w:rsidRDefault="00DB79DB" w:rsidP="00DB79DB">
            <w:pPr>
              <w:pStyle w:val="1L"/>
              <w:rPr>
                <w:b/>
                <w:bCs w:val="0"/>
              </w:rPr>
            </w:pPr>
            <w:r w:rsidRPr="00D630D1">
              <w:rPr>
                <w:b/>
                <w:bCs w:val="0"/>
              </w:rPr>
              <w:t>评价标准</w:t>
            </w:r>
            <w:r w:rsidRPr="00D630D1">
              <w:rPr>
                <w:b/>
                <w:bCs w:val="0"/>
              </w:rPr>
              <w:t>(μg/m</w:t>
            </w:r>
            <w:r w:rsidRPr="00D630D1">
              <w:rPr>
                <w:b/>
                <w:bCs w:val="0"/>
                <w:vertAlign w:val="superscript"/>
              </w:rPr>
              <w:t>3</w:t>
            </w:r>
            <w:r w:rsidRPr="00D630D1">
              <w:rPr>
                <w:b/>
                <w:bCs w:val="0"/>
              </w:rPr>
              <w:t>)</w:t>
            </w:r>
          </w:p>
        </w:tc>
        <w:tc>
          <w:tcPr>
            <w:tcW w:w="1065" w:type="dxa"/>
            <w:shd w:val="clear" w:color="auto" w:fill="auto"/>
            <w:vAlign w:val="center"/>
          </w:tcPr>
          <w:p w:rsidR="00DB79DB" w:rsidRPr="00D630D1" w:rsidRDefault="00DB79DB" w:rsidP="00DB79DB">
            <w:pPr>
              <w:pStyle w:val="1L"/>
              <w:rPr>
                <w:b/>
                <w:bCs w:val="0"/>
                <w:snapToGrid w:val="0"/>
              </w:rPr>
            </w:pPr>
            <w:r w:rsidRPr="00D630D1">
              <w:rPr>
                <w:b/>
                <w:bCs w:val="0"/>
                <w:snapToGrid w:val="0"/>
              </w:rPr>
              <w:t>最大占标率</w:t>
            </w:r>
            <w:r w:rsidRPr="00D630D1">
              <w:rPr>
                <w:b/>
                <w:bCs w:val="0"/>
                <w:snapToGrid w:val="0"/>
              </w:rPr>
              <w:t>Pi(%)</w:t>
            </w:r>
          </w:p>
        </w:tc>
        <w:tc>
          <w:tcPr>
            <w:tcW w:w="661" w:type="dxa"/>
            <w:shd w:val="clear" w:color="auto" w:fill="auto"/>
            <w:vAlign w:val="center"/>
          </w:tcPr>
          <w:p w:rsidR="00DB79DB" w:rsidRPr="00D630D1" w:rsidRDefault="00DB79DB" w:rsidP="00DB79DB">
            <w:pPr>
              <w:pStyle w:val="1L"/>
              <w:rPr>
                <w:b/>
                <w:bCs w:val="0"/>
                <w:snapToGrid w:val="0"/>
                <w:vertAlign w:val="subscript"/>
              </w:rPr>
            </w:pPr>
            <w:r w:rsidRPr="00D630D1">
              <w:rPr>
                <w:b/>
                <w:bCs w:val="0"/>
                <w:snapToGrid w:val="0"/>
              </w:rPr>
              <w:t>D</w:t>
            </w:r>
            <w:r w:rsidRPr="00D630D1">
              <w:rPr>
                <w:b/>
                <w:bCs w:val="0"/>
                <w:snapToGrid w:val="0"/>
                <w:vertAlign w:val="subscript"/>
              </w:rPr>
              <w:t>10%</w:t>
            </w:r>
          </w:p>
          <w:p w:rsidR="00DB79DB" w:rsidRPr="00D630D1" w:rsidRDefault="00DB79DB" w:rsidP="00DB79DB">
            <w:pPr>
              <w:pStyle w:val="1L"/>
              <w:rPr>
                <w:b/>
                <w:bCs w:val="0"/>
                <w:snapToGrid w:val="0"/>
              </w:rPr>
            </w:pPr>
            <w:r w:rsidRPr="00D630D1">
              <w:rPr>
                <w:b/>
                <w:bCs w:val="0"/>
                <w:snapToGrid w:val="0"/>
              </w:rPr>
              <w:t>(m)</w:t>
            </w:r>
          </w:p>
        </w:tc>
        <w:tc>
          <w:tcPr>
            <w:tcW w:w="879" w:type="dxa"/>
            <w:shd w:val="clear" w:color="auto" w:fill="auto"/>
            <w:vAlign w:val="center"/>
          </w:tcPr>
          <w:p w:rsidR="00DB79DB" w:rsidRPr="00D630D1" w:rsidRDefault="00DB79DB" w:rsidP="00DB79DB">
            <w:pPr>
              <w:pStyle w:val="1L"/>
              <w:rPr>
                <w:b/>
                <w:bCs w:val="0"/>
                <w:snapToGrid w:val="0"/>
              </w:rPr>
            </w:pPr>
            <w:r w:rsidRPr="00D630D1">
              <w:rPr>
                <w:b/>
                <w:bCs w:val="0"/>
                <w:snapToGrid w:val="0"/>
              </w:rPr>
              <w:t>推荐评价级别</w:t>
            </w:r>
          </w:p>
        </w:tc>
      </w:tr>
      <w:tr w:rsidR="00BE68D7" w:rsidRPr="00D630D1" w:rsidTr="004E24E2">
        <w:trPr>
          <w:trHeight w:val="220"/>
          <w:jc w:val="center"/>
        </w:trPr>
        <w:tc>
          <w:tcPr>
            <w:tcW w:w="514" w:type="dxa"/>
            <w:shd w:val="clear" w:color="auto" w:fill="auto"/>
            <w:vAlign w:val="center"/>
          </w:tcPr>
          <w:p w:rsidR="00BE68D7" w:rsidRPr="00D630D1" w:rsidRDefault="00BE68D7" w:rsidP="00DB79DB">
            <w:pPr>
              <w:pStyle w:val="1L"/>
            </w:pPr>
            <w:r w:rsidRPr="00D630D1">
              <w:rPr>
                <w:rFonts w:hint="eastAsia"/>
              </w:rPr>
              <w:t>点</w:t>
            </w:r>
            <w:r w:rsidRPr="00D630D1">
              <w:t>源</w:t>
            </w:r>
          </w:p>
        </w:tc>
        <w:tc>
          <w:tcPr>
            <w:tcW w:w="1754" w:type="dxa"/>
            <w:shd w:val="clear" w:color="auto" w:fill="auto"/>
            <w:vAlign w:val="center"/>
          </w:tcPr>
          <w:p w:rsidR="00BE68D7" w:rsidRPr="00D630D1" w:rsidRDefault="00BE68D7" w:rsidP="002169CB">
            <w:pPr>
              <w:pStyle w:val="10"/>
              <w:spacing w:line="240" w:lineRule="auto"/>
              <w:rPr>
                <w:rFonts w:cs="Times New Roman"/>
                <w:b w:val="0"/>
                <w:bCs/>
                <w:szCs w:val="21"/>
              </w:rPr>
            </w:pPr>
            <w:r w:rsidRPr="00D630D1">
              <w:rPr>
                <w:rFonts w:cs="Times New Roman"/>
                <w:b w:val="0"/>
                <w:bCs/>
                <w:szCs w:val="21"/>
              </w:rPr>
              <w:t>水套炉排气筒</w:t>
            </w:r>
          </w:p>
        </w:tc>
        <w:tc>
          <w:tcPr>
            <w:tcW w:w="709" w:type="dxa"/>
            <w:shd w:val="clear" w:color="auto" w:fill="auto"/>
            <w:vAlign w:val="center"/>
          </w:tcPr>
          <w:p w:rsidR="00BE68D7" w:rsidRPr="00D630D1" w:rsidRDefault="00BE68D7" w:rsidP="0054593A">
            <w:pPr>
              <w:pStyle w:val="1L"/>
            </w:pPr>
            <w:r w:rsidRPr="00D630D1">
              <w:t>NO</w:t>
            </w:r>
            <w:r w:rsidRPr="00D630D1">
              <w:rPr>
                <w:vertAlign w:val="subscript"/>
              </w:rPr>
              <w:t>X</w:t>
            </w:r>
          </w:p>
        </w:tc>
        <w:tc>
          <w:tcPr>
            <w:tcW w:w="1366" w:type="dxa"/>
            <w:shd w:val="clear" w:color="auto" w:fill="auto"/>
            <w:vAlign w:val="center"/>
          </w:tcPr>
          <w:p w:rsidR="00BE68D7" w:rsidRPr="00D630D1" w:rsidRDefault="00BE68D7" w:rsidP="0054593A">
            <w:pPr>
              <w:pStyle w:val="1L"/>
              <w:rPr>
                <w:kern w:val="0"/>
              </w:rPr>
            </w:pPr>
            <w:r w:rsidRPr="00D630D1">
              <w:rPr>
                <w:bCs w:val="0"/>
                <w:szCs w:val="21"/>
              </w:rPr>
              <w:t>0.00</w:t>
            </w:r>
            <w:r w:rsidRPr="00D630D1">
              <w:rPr>
                <w:rFonts w:hint="eastAsia"/>
                <w:bCs w:val="0"/>
                <w:szCs w:val="21"/>
              </w:rPr>
              <w:t>58</w:t>
            </w:r>
          </w:p>
        </w:tc>
        <w:tc>
          <w:tcPr>
            <w:tcW w:w="1051" w:type="dxa"/>
            <w:shd w:val="clear" w:color="auto" w:fill="auto"/>
            <w:vAlign w:val="center"/>
          </w:tcPr>
          <w:p w:rsidR="00BE68D7" w:rsidRPr="00D630D1" w:rsidRDefault="00BE68D7" w:rsidP="0054593A">
            <w:pPr>
              <w:pStyle w:val="1L"/>
              <w:rPr>
                <w:kern w:val="0"/>
              </w:rPr>
            </w:pPr>
            <w:r w:rsidRPr="00D630D1">
              <w:rPr>
                <w:rFonts w:hint="eastAsia"/>
                <w:kern w:val="0"/>
              </w:rPr>
              <w:t>26</w:t>
            </w:r>
          </w:p>
        </w:tc>
        <w:tc>
          <w:tcPr>
            <w:tcW w:w="916" w:type="dxa"/>
            <w:shd w:val="clear" w:color="auto" w:fill="auto"/>
            <w:vAlign w:val="center"/>
          </w:tcPr>
          <w:p w:rsidR="00BE68D7" w:rsidRPr="00D630D1" w:rsidRDefault="00BE68D7" w:rsidP="0054593A">
            <w:pPr>
              <w:pStyle w:val="1L"/>
            </w:pPr>
            <w:r w:rsidRPr="00D630D1">
              <w:t>250</w:t>
            </w:r>
          </w:p>
        </w:tc>
        <w:tc>
          <w:tcPr>
            <w:tcW w:w="1065" w:type="dxa"/>
            <w:shd w:val="clear" w:color="auto" w:fill="auto"/>
            <w:vAlign w:val="center"/>
          </w:tcPr>
          <w:p w:rsidR="00BE68D7" w:rsidRPr="00D630D1" w:rsidRDefault="00BE68D7" w:rsidP="0054593A">
            <w:pPr>
              <w:pStyle w:val="1L"/>
              <w:rPr>
                <w:kern w:val="0"/>
              </w:rPr>
            </w:pPr>
            <w:r w:rsidRPr="00D630D1">
              <w:rPr>
                <w:rFonts w:hint="eastAsia"/>
                <w:kern w:val="0"/>
              </w:rPr>
              <w:t>2.33</w:t>
            </w:r>
          </w:p>
        </w:tc>
        <w:tc>
          <w:tcPr>
            <w:tcW w:w="661" w:type="dxa"/>
            <w:shd w:val="clear" w:color="auto" w:fill="auto"/>
            <w:vAlign w:val="center"/>
          </w:tcPr>
          <w:p w:rsidR="00BE68D7" w:rsidRPr="00D630D1" w:rsidRDefault="00BE68D7" w:rsidP="0054593A">
            <w:pPr>
              <w:pStyle w:val="1L"/>
            </w:pPr>
            <w:r w:rsidRPr="00D630D1">
              <w:t>/</w:t>
            </w:r>
          </w:p>
        </w:tc>
        <w:tc>
          <w:tcPr>
            <w:tcW w:w="879" w:type="dxa"/>
            <w:shd w:val="clear" w:color="auto" w:fill="auto"/>
            <w:vAlign w:val="center"/>
          </w:tcPr>
          <w:p w:rsidR="00BE68D7" w:rsidRPr="00D630D1" w:rsidRDefault="00BE68D7" w:rsidP="0054593A">
            <w:pPr>
              <w:pStyle w:val="1L"/>
            </w:pPr>
            <w:r w:rsidRPr="00D630D1">
              <w:t>II</w:t>
            </w:r>
          </w:p>
        </w:tc>
      </w:tr>
    </w:tbl>
    <w:p w:rsidR="00DB79DB" w:rsidRPr="00D630D1" w:rsidRDefault="00DB79DB" w:rsidP="00DB79DB">
      <w:pPr>
        <w:pStyle w:val="afa"/>
        <w:ind w:firstLine="480"/>
      </w:pPr>
      <w:r w:rsidRPr="00D630D1">
        <w:t>由上表可知，项目污染物最大落地浓度占标率</w:t>
      </w:r>
      <w:r w:rsidRPr="00D630D1">
        <w:t>P</w:t>
      </w:r>
      <w:r w:rsidRPr="00D630D1">
        <w:rPr>
          <w:vertAlign w:val="subscript"/>
        </w:rPr>
        <w:t>max</w:t>
      </w:r>
      <w:r w:rsidRPr="00D630D1">
        <w:t>=</w:t>
      </w:r>
      <w:r w:rsidR="001231CF" w:rsidRPr="00D630D1">
        <w:rPr>
          <w:rFonts w:hint="eastAsia"/>
        </w:rPr>
        <w:t>2.33</w:t>
      </w:r>
      <w:r w:rsidRPr="00D630D1">
        <w:t>%</w:t>
      </w:r>
      <w:r w:rsidRPr="00D630D1">
        <w:t>（</w:t>
      </w:r>
      <w:r w:rsidRPr="00D630D1">
        <w:t>1%≤Pmax&lt;10%</w:t>
      </w:r>
      <w:r w:rsidRPr="00D630D1">
        <w:t>），根据《环境影响评价技术导则</w:t>
      </w:r>
      <w:r w:rsidRPr="00D630D1">
        <w:t xml:space="preserve"> </w:t>
      </w:r>
      <w:r w:rsidRPr="00D630D1">
        <w:t>大气环境》（</w:t>
      </w:r>
      <w:r w:rsidRPr="00D630D1">
        <w:t>HJ2.2-2018</w:t>
      </w:r>
      <w:r w:rsidRPr="00D630D1">
        <w:t>）中的相关要求，本项目大气评价等级为二级评价。</w:t>
      </w:r>
    </w:p>
    <w:bookmarkEnd w:id="503"/>
    <w:p w:rsidR="00DB79DB" w:rsidRPr="00D630D1" w:rsidRDefault="00DB79DB" w:rsidP="00DB79DB">
      <w:pPr>
        <w:pStyle w:val="afa"/>
        <w:ind w:firstLine="482"/>
        <w:rPr>
          <w:b/>
          <w:bCs/>
        </w:rPr>
      </w:pPr>
      <w:r w:rsidRPr="00D630D1">
        <w:rPr>
          <w:b/>
          <w:bCs/>
        </w:rPr>
        <w:t>（</w:t>
      </w:r>
      <w:r w:rsidRPr="00D630D1">
        <w:rPr>
          <w:b/>
          <w:bCs/>
        </w:rPr>
        <w:t>6</w:t>
      </w:r>
      <w:r w:rsidRPr="00D630D1">
        <w:rPr>
          <w:b/>
          <w:bCs/>
        </w:rPr>
        <w:t>）大气防护距离计算</w:t>
      </w:r>
    </w:p>
    <w:p w:rsidR="00DB79DB" w:rsidRPr="00D630D1" w:rsidRDefault="00DB79DB" w:rsidP="00DB79DB">
      <w:pPr>
        <w:pStyle w:val="afa"/>
        <w:ind w:firstLine="480"/>
      </w:pPr>
      <w:r w:rsidRPr="00D630D1">
        <w:rPr>
          <w:rFonts w:hint="eastAsia"/>
        </w:rPr>
        <w:t>根据本环评采用的《环境影响评价技术导则</w:t>
      </w:r>
      <w:r w:rsidRPr="00D630D1">
        <w:rPr>
          <w:rFonts w:hint="eastAsia"/>
        </w:rPr>
        <w:t xml:space="preserve"> </w:t>
      </w:r>
      <w:r w:rsidRPr="00D630D1">
        <w:rPr>
          <w:rFonts w:hint="eastAsia"/>
        </w:rPr>
        <w:t>大气环境》（</w:t>
      </w:r>
      <w:r w:rsidRPr="00D630D1">
        <w:t>HJ2.2-2018</w:t>
      </w:r>
      <w:r w:rsidRPr="00D630D1">
        <w:rPr>
          <w:rFonts w:hint="eastAsia"/>
        </w:rPr>
        <w:t>），确定大气评价等级为二级，不进行进一步预测，故不设置大气环境防护距离。</w:t>
      </w:r>
    </w:p>
    <w:p w:rsidR="00DB79DB" w:rsidRPr="00D630D1" w:rsidRDefault="00DB79DB" w:rsidP="00DB79DB">
      <w:pPr>
        <w:pStyle w:val="afa"/>
        <w:ind w:firstLine="482"/>
        <w:rPr>
          <w:b/>
          <w:bCs/>
          <w:lang w:val="de-DE"/>
        </w:rPr>
      </w:pPr>
      <w:r w:rsidRPr="00D630D1">
        <w:rPr>
          <w:b/>
          <w:bCs/>
          <w:lang w:val="de-DE"/>
        </w:rPr>
        <w:t>（</w:t>
      </w:r>
      <w:r w:rsidRPr="00D630D1">
        <w:rPr>
          <w:b/>
          <w:bCs/>
          <w:lang w:val="de-DE"/>
        </w:rPr>
        <w:t>7</w:t>
      </w:r>
      <w:r w:rsidRPr="00D630D1">
        <w:rPr>
          <w:b/>
          <w:bCs/>
          <w:lang w:val="de-DE"/>
        </w:rPr>
        <w:t>）</w:t>
      </w:r>
      <w:r w:rsidRPr="00D630D1">
        <w:rPr>
          <w:b/>
          <w:bCs/>
        </w:rPr>
        <w:t>污染物排放量核算</w:t>
      </w:r>
    </w:p>
    <w:p w:rsidR="00DB79DB" w:rsidRPr="00D630D1" w:rsidRDefault="00DB79DB" w:rsidP="00DB79DB">
      <w:pPr>
        <w:pStyle w:val="afa"/>
        <w:ind w:firstLine="480"/>
      </w:pPr>
      <w:r w:rsidRPr="00D630D1">
        <w:t>本项目大气评价等级为二级评价，根据《环境影响评价技术导则</w:t>
      </w:r>
      <w:r w:rsidRPr="00D630D1">
        <w:t xml:space="preserve"> </w:t>
      </w:r>
      <w:r w:rsidRPr="00D630D1">
        <w:t>大气环境》（</w:t>
      </w:r>
      <w:r w:rsidRPr="00D630D1">
        <w:t>HJ2.2-2018</w:t>
      </w:r>
      <w:r w:rsidRPr="00D630D1">
        <w:t>）</w:t>
      </w:r>
      <w:r w:rsidRPr="00D630D1">
        <w:t>“8.1.2</w:t>
      </w:r>
      <w:r w:rsidRPr="00D630D1">
        <w:t>二级评价项目不进行进一步预测与评价，只对污染物排放</w:t>
      </w:r>
      <w:r w:rsidRPr="00D630D1">
        <w:lastRenderedPageBreak/>
        <w:t>量进行核算。</w:t>
      </w:r>
      <w:r w:rsidRPr="00D630D1">
        <w:t>”</w:t>
      </w:r>
      <w:r w:rsidRPr="00D630D1">
        <w:t>的规定，需要对本项目废气污染物排放量进行核算，主要包括无组织排放量核算、大气污染物年排放量核算。具体内容如下。</w:t>
      </w:r>
    </w:p>
    <w:p w:rsidR="00DB79DB" w:rsidRPr="00D630D1" w:rsidRDefault="00DB79DB" w:rsidP="00DB79DB">
      <w:pPr>
        <w:pStyle w:val="afa"/>
        <w:ind w:firstLine="480"/>
      </w:pPr>
      <w:r w:rsidRPr="00D630D1">
        <w:rPr>
          <w:rFonts w:ascii="宋体" w:hAnsi="宋体" w:cs="宋体" w:hint="eastAsia"/>
        </w:rPr>
        <w:t>①</w:t>
      </w:r>
      <w:r w:rsidRPr="00D630D1">
        <w:rPr>
          <w:rFonts w:hint="eastAsia"/>
        </w:rPr>
        <w:t>有组织排放核算</w:t>
      </w:r>
    </w:p>
    <w:p w:rsidR="00DB79DB" w:rsidRPr="00D630D1" w:rsidRDefault="00DB79DB" w:rsidP="00DB79DB">
      <w:pPr>
        <w:pStyle w:val="afa"/>
        <w:ind w:firstLine="480"/>
      </w:pPr>
      <w:r w:rsidRPr="00D630D1">
        <w:t>项目</w:t>
      </w:r>
      <w:r w:rsidRPr="00D630D1">
        <w:rPr>
          <w:rFonts w:hint="eastAsia"/>
        </w:rPr>
        <w:t>有</w:t>
      </w:r>
      <w:r w:rsidRPr="00D630D1">
        <w:t>组织排放量核算具体情况详见下表。</w:t>
      </w:r>
    </w:p>
    <w:p w:rsidR="00DB79DB" w:rsidRPr="00D630D1" w:rsidRDefault="00DB79DB" w:rsidP="00DB79DB">
      <w:pPr>
        <w:pStyle w:val="10"/>
        <w:rPr>
          <w:rFonts w:cs="Times New Roman"/>
        </w:rPr>
      </w:pPr>
      <w:r w:rsidRPr="00D630D1">
        <w:rPr>
          <w:rFonts w:cs="Times New Roman"/>
        </w:rPr>
        <w:t>表</w:t>
      </w:r>
      <w:r w:rsidRPr="00D630D1">
        <w:rPr>
          <w:rFonts w:cs="Times New Roman"/>
        </w:rPr>
        <w:t xml:space="preserve">6.2-6  </w:t>
      </w:r>
      <w:r w:rsidRPr="00D630D1">
        <w:rPr>
          <w:rFonts w:cs="Times New Roman"/>
        </w:rPr>
        <w:t>项目大气污染物无组织废气排放量核算表</w:t>
      </w:r>
    </w:p>
    <w:tbl>
      <w:tblPr>
        <w:tblW w:w="8972" w:type="dxa"/>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tblPr>
      <w:tblGrid>
        <w:gridCol w:w="851"/>
        <w:gridCol w:w="1609"/>
        <w:gridCol w:w="1084"/>
        <w:gridCol w:w="2410"/>
        <w:gridCol w:w="1417"/>
        <w:gridCol w:w="1601"/>
      </w:tblGrid>
      <w:tr w:rsidR="00DB79DB" w:rsidRPr="00D630D1" w:rsidTr="001231CF">
        <w:trPr>
          <w:trHeight w:val="524"/>
          <w:jc w:val="center"/>
        </w:trPr>
        <w:tc>
          <w:tcPr>
            <w:tcW w:w="851" w:type="dxa"/>
            <w:shd w:val="clear" w:color="auto" w:fill="auto"/>
            <w:vAlign w:val="center"/>
          </w:tcPr>
          <w:p w:rsidR="00DB79DB" w:rsidRPr="00D630D1" w:rsidRDefault="00DB79DB" w:rsidP="00DB79DB">
            <w:pPr>
              <w:pStyle w:val="1L"/>
              <w:rPr>
                <w:b/>
                <w:bCs w:val="0"/>
              </w:rPr>
            </w:pPr>
            <w:bookmarkStart w:id="504" w:name="_Hlk1736008"/>
            <w:r w:rsidRPr="00D630D1">
              <w:rPr>
                <w:b/>
                <w:bCs w:val="0"/>
              </w:rPr>
              <w:t>序号</w:t>
            </w:r>
          </w:p>
        </w:tc>
        <w:tc>
          <w:tcPr>
            <w:tcW w:w="1609" w:type="dxa"/>
            <w:shd w:val="clear" w:color="auto" w:fill="auto"/>
            <w:vAlign w:val="center"/>
          </w:tcPr>
          <w:p w:rsidR="00DB79DB" w:rsidRPr="00D630D1" w:rsidRDefault="00DB79DB" w:rsidP="00DB79DB">
            <w:pPr>
              <w:pStyle w:val="1L"/>
              <w:rPr>
                <w:b/>
                <w:bCs w:val="0"/>
              </w:rPr>
            </w:pPr>
            <w:r w:rsidRPr="00D630D1">
              <w:rPr>
                <w:rFonts w:hint="eastAsia"/>
                <w:b/>
                <w:bCs w:val="0"/>
              </w:rPr>
              <w:t>排放口编号</w:t>
            </w:r>
          </w:p>
        </w:tc>
        <w:tc>
          <w:tcPr>
            <w:tcW w:w="1084" w:type="dxa"/>
            <w:shd w:val="clear" w:color="auto" w:fill="auto"/>
            <w:vAlign w:val="center"/>
          </w:tcPr>
          <w:p w:rsidR="00DB79DB" w:rsidRPr="00D630D1" w:rsidRDefault="00DB79DB" w:rsidP="00DB79DB">
            <w:pPr>
              <w:pStyle w:val="1L"/>
              <w:rPr>
                <w:b/>
                <w:bCs w:val="0"/>
              </w:rPr>
            </w:pPr>
            <w:r w:rsidRPr="00D630D1">
              <w:rPr>
                <w:rFonts w:hint="eastAsia"/>
                <w:b/>
                <w:bCs w:val="0"/>
              </w:rPr>
              <w:t>污染物</w:t>
            </w:r>
          </w:p>
        </w:tc>
        <w:tc>
          <w:tcPr>
            <w:tcW w:w="2410" w:type="dxa"/>
            <w:shd w:val="clear" w:color="auto" w:fill="auto"/>
            <w:vAlign w:val="center"/>
          </w:tcPr>
          <w:p w:rsidR="00DB79DB" w:rsidRPr="00D630D1" w:rsidRDefault="00DB79DB" w:rsidP="00DB79DB">
            <w:pPr>
              <w:pStyle w:val="1L"/>
              <w:rPr>
                <w:b/>
                <w:bCs w:val="0"/>
              </w:rPr>
            </w:pPr>
            <w:r w:rsidRPr="00D630D1">
              <w:rPr>
                <w:rFonts w:hint="eastAsia"/>
                <w:b/>
                <w:bCs w:val="0"/>
              </w:rPr>
              <w:t>核算排放浓度</w:t>
            </w:r>
            <w:r w:rsidRPr="00D630D1">
              <w:rPr>
                <w:rFonts w:hint="eastAsia"/>
                <w:b/>
                <w:bCs w:val="0"/>
              </w:rPr>
              <w:t>/</w:t>
            </w:r>
            <w:r w:rsidRPr="00D630D1">
              <w:rPr>
                <w:rFonts w:hint="eastAsia"/>
                <w:b/>
                <w:bCs w:val="0"/>
              </w:rPr>
              <w:t>（</w:t>
            </w:r>
            <w:r w:rsidRPr="00D630D1">
              <w:rPr>
                <w:rFonts w:hint="eastAsia"/>
                <w:b/>
                <w:bCs w:val="0"/>
              </w:rPr>
              <w:t>mg/m</w:t>
            </w:r>
            <w:r w:rsidRPr="00D630D1">
              <w:rPr>
                <w:rFonts w:hint="eastAsia"/>
                <w:b/>
                <w:bCs w:val="0"/>
                <w:vertAlign w:val="superscript"/>
              </w:rPr>
              <w:t>3</w:t>
            </w:r>
            <w:r w:rsidRPr="00D630D1">
              <w:rPr>
                <w:rFonts w:hint="eastAsia"/>
                <w:b/>
                <w:bCs w:val="0"/>
              </w:rPr>
              <w:t>）</w:t>
            </w:r>
          </w:p>
        </w:tc>
        <w:tc>
          <w:tcPr>
            <w:tcW w:w="1417" w:type="dxa"/>
            <w:shd w:val="clear" w:color="auto" w:fill="auto"/>
            <w:vAlign w:val="center"/>
          </w:tcPr>
          <w:p w:rsidR="00DB79DB" w:rsidRPr="00D630D1" w:rsidRDefault="00DB79DB" w:rsidP="00DB79DB">
            <w:pPr>
              <w:pStyle w:val="1L"/>
              <w:rPr>
                <w:b/>
                <w:bCs w:val="0"/>
              </w:rPr>
            </w:pPr>
            <w:r w:rsidRPr="00D630D1">
              <w:rPr>
                <w:rFonts w:hint="eastAsia"/>
                <w:b/>
                <w:bCs w:val="0"/>
              </w:rPr>
              <w:t>核算排放速率</w:t>
            </w:r>
            <w:r w:rsidRPr="00D630D1">
              <w:rPr>
                <w:rFonts w:hint="eastAsia"/>
                <w:b/>
                <w:bCs w:val="0"/>
              </w:rPr>
              <w:t>/</w:t>
            </w:r>
            <w:r w:rsidRPr="00D630D1">
              <w:rPr>
                <w:rFonts w:hint="eastAsia"/>
                <w:b/>
                <w:bCs w:val="0"/>
              </w:rPr>
              <w:t>（</w:t>
            </w:r>
            <w:r w:rsidRPr="00D630D1">
              <w:rPr>
                <w:rFonts w:hint="eastAsia"/>
                <w:b/>
                <w:bCs w:val="0"/>
              </w:rPr>
              <w:t>kg/h</w:t>
            </w:r>
            <w:r w:rsidRPr="00D630D1">
              <w:rPr>
                <w:rFonts w:hint="eastAsia"/>
                <w:b/>
                <w:bCs w:val="0"/>
              </w:rPr>
              <w:t>）</w:t>
            </w:r>
          </w:p>
        </w:tc>
        <w:tc>
          <w:tcPr>
            <w:tcW w:w="1601" w:type="dxa"/>
            <w:shd w:val="clear" w:color="auto" w:fill="auto"/>
            <w:vAlign w:val="center"/>
          </w:tcPr>
          <w:p w:rsidR="00DB79DB" w:rsidRPr="00D630D1" w:rsidRDefault="00DB79DB" w:rsidP="00DB79DB">
            <w:pPr>
              <w:pStyle w:val="1L"/>
              <w:rPr>
                <w:b/>
                <w:bCs w:val="0"/>
              </w:rPr>
            </w:pPr>
            <w:r w:rsidRPr="00D630D1">
              <w:rPr>
                <w:rFonts w:hint="eastAsia"/>
                <w:b/>
                <w:bCs w:val="0"/>
              </w:rPr>
              <w:t>核算年排放量</w:t>
            </w:r>
            <w:r w:rsidRPr="00D630D1">
              <w:rPr>
                <w:rFonts w:hint="eastAsia"/>
                <w:b/>
                <w:bCs w:val="0"/>
              </w:rPr>
              <w:t>/</w:t>
            </w:r>
            <w:r w:rsidRPr="00D630D1">
              <w:rPr>
                <w:rFonts w:hint="eastAsia"/>
                <w:b/>
                <w:bCs w:val="0"/>
              </w:rPr>
              <w:t>（</w:t>
            </w:r>
            <w:r w:rsidRPr="00D630D1">
              <w:rPr>
                <w:rFonts w:hint="eastAsia"/>
                <w:b/>
                <w:bCs w:val="0"/>
              </w:rPr>
              <w:t>t/a</w:t>
            </w:r>
            <w:r w:rsidRPr="00D630D1">
              <w:rPr>
                <w:rFonts w:hint="eastAsia"/>
                <w:b/>
                <w:bCs w:val="0"/>
              </w:rPr>
              <w:t>）</w:t>
            </w:r>
          </w:p>
        </w:tc>
      </w:tr>
      <w:tr w:rsidR="00DB79DB" w:rsidRPr="00D630D1" w:rsidTr="00DB79DB">
        <w:trPr>
          <w:trHeight w:val="90"/>
          <w:jc w:val="center"/>
        </w:trPr>
        <w:tc>
          <w:tcPr>
            <w:tcW w:w="8972" w:type="dxa"/>
            <w:gridSpan w:val="6"/>
            <w:shd w:val="clear" w:color="auto" w:fill="auto"/>
            <w:vAlign w:val="center"/>
          </w:tcPr>
          <w:p w:rsidR="00DB79DB" w:rsidRPr="00D630D1" w:rsidRDefault="00DB79DB" w:rsidP="00DB79DB">
            <w:pPr>
              <w:pStyle w:val="1L"/>
              <w:rPr>
                <w:b/>
                <w:bCs w:val="0"/>
              </w:rPr>
            </w:pPr>
            <w:r w:rsidRPr="00D630D1">
              <w:rPr>
                <w:rFonts w:hint="eastAsia"/>
                <w:b/>
                <w:bCs w:val="0"/>
              </w:rPr>
              <w:t>主要排放口</w:t>
            </w:r>
          </w:p>
        </w:tc>
      </w:tr>
      <w:tr w:rsidR="00BE68D7" w:rsidRPr="00D630D1" w:rsidTr="001231CF">
        <w:trPr>
          <w:trHeight w:val="335"/>
          <w:jc w:val="center"/>
        </w:trPr>
        <w:tc>
          <w:tcPr>
            <w:tcW w:w="851" w:type="dxa"/>
            <w:shd w:val="clear" w:color="auto" w:fill="auto"/>
            <w:vAlign w:val="center"/>
          </w:tcPr>
          <w:p w:rsidR="00BE68D7" w:rsidRPr="00D630D1" w:rsidRDefault="00BE68D7" w:rsidP="00DB79DB">
            <w:pPr>
              <w:pStyle w:val="1L"/>
            </w:pPr>
            <w:bookmarkStart w:id="505" w:name="_Hlk42933987"/>
            <w:r w:rsidRPr="00D630D1">
              <w:t>1</w:t>
            </w:r>
          </w:p>
        </w:tc>
        <w:tc>
          <w:tcPr>
            <w:tcW w:w="1609" w:type="dxa"/>
            <w:shd w:val="clear" w:color="auto" w:fill="auto"/>
            <w:vAlign w:val="center"/>
          </w:tcPr>
          <w:p w:rsidR="00BE68D7" w:rsidRPr="00D630D1" w:rsidRDefault="00BE68D7" w:rsidP="00DB79DB">
            <w:pPr>
              <w:pStyle w:val="1L"/>
            </w:pPr>
            <w:r w:rsidRPr="00D630D1">
              <w:rPr>
                <w:rFonts w:hint="eastAsia"/>
              </w:rPr>
              <w:t>水套炉排气筒</w:t>
            </w:r>
          </w:p>
        </w:tc>
        <w:tc>
          <w:tcPr>
            <w:tcW w:w="1084" w:type="dxa"/>
            <w:shd w:val="clear" w:color="auto" w:fill="auto"/>
            <w:vAlign w:val="center"/>
          </w:tcPr>
          <w:p w:rsidR="00BE68D7" w:rsidRPr="00D630D1" w:rsidRDefault="00BE68D7" w:rsidP="0054593A">
            <w:pPr>
              <w:pStyle w:val="1L"/>
            </w:pPr>
            <w:r w:rsidRPr="00D630D1">
              <w:rPr>
                <w:rFonts w:hint="eastAsia"/>
              </w:rPr>
              <w:t>氮氧化物</w:t>
            </w:r>
          </w:p>
        </w:tc>
        <w:tc>
          <w:tcPr>
            <w:tcW w:w="2410" w:type="dxa"/>
            <w:shd w:val="clear" w:color="auto" w:fill="auto"/>
            <w:vAlign w:val="center"/>
          </w:tcPr>
          <w:p w:rsidR="00BE68D7" w:rsidRPr="00D630D1" w:rsidRDefault="00BE68D7" w:rsidP="0054593A">
            <w:pPr>
              <w:pStyle w:val="1L"/>
            </w:pPr>
            <w:r w:rsidRPr="00D630D1">
              <w:rPr>
                <w:rFonts w:hint="eastAsia"/>
              </w:rPr>
              <w:t>1</w:t>
            </w:r>
            <w:r w:rsidRPr="00D630D1">
              <w:t>47.5</w:t>
            </w:r>
          </w:p>
        </w:tc>
        <w:tc>
          <w:tcPr>
            <w:tcW w:w="1417" w:type="dxa"/>
            <w:shd w:val="clear" w:color="auto" w:fill="auto"/>
            <w:vAlign w:val="center"/>
          </w:tcPr>
          <w:p w:rsidR="00BE68D7" w:rsidRPr="00D630D1" w:rsidRDefault="00BE68D7" w:rsidP="0054593A">
            <w:pPr>
              <w:pStyle w:val="1L"/>
            </w:pPr>
            <w:r w:rsidRPr="00D630D1">
              <w:rPr>
                <w:rFonts w:hint="eastAsia"/>
              </w:rPr>
              <w:t>0</w:t>
            </w:r>
            <w:r w:rsidRPr="00D630D1">
              <w:t>.0238</w:t>
            </w:r>
            <w:r w:rsidRPr="00D630D1">
              <w:rPr>
                <w:rFonts w:hint="eastAsia"/>
              </w:rPr>
              <w:t>1</w:t>
            </w:r>
          </w:p>
        </w:tc>
        <w:tc>
          <w:tcPr>
            <w:tcW w:w="1601" w:type="dxa"/>
            <w:shd w:val="clear" w:color="auto" w:fill="auto"/>
            <w:vAlign w:val="center"/>
          </w:tcPr>
          <w:p w:rsidR="00BE68D7" w:rsidRPr="00D630D1" w:rsidRDefault="00BE68D7" w:rsidP="0054593A">
            <w:pPr>
              <w:pStyle w:val="1L"/>
            </w:pPr>
            <w:r w:rsidRPr="00D630D1">
              <w:t>0.03556</w:t>
            </w:r>
          </w:p>
        </w:tc>
      </w:tr>
      <w:tr w:rsidR="00BE68D7" w:rsidRPr="00D630D1" w:rsidTr="001231CF">
        <w:trPr>
          <w:trHeight w:val="335"/>
          <w:jc w:val="center"/>
        </w:trPr>
        <w:tc>
          <w:tcPr>
            <w:tcW w:w="2460" w:type="dxa"/>
            <w:gridSpan w:val="2"/>
            <w:shd w:val="clear" w:color="auto" w:fill="auto"/>
            <w:vAlign w:val="center"/>
          </w:tcPr>
          <w:p w:rsidR="00BE68D7" w:rsidRPr="00D630D1" w:rsidRDefault="00BE68D7" w:rsidP="00DB79DB">
            <w:pPr>
              <w:pStyle w:val="1L"/>
            </w:pPr>
            <w:r w:rsidRPr="00D630D1">
              <w:rPr>
                <w:rFonts w:hint="eastAsia"/>
              </w:rPr>
              <w:t>有组织排放合计</w:t>
            </w:r>
          </w:p>
        </w:tc>
        <w:tc>
          <w:tcPr>
            <w:tcW w:w="4911" w:type="dxa"/>
            <w:gridSpan w:val="3"/>
            <w:shd w:val="clear" w:color="auto" w:fill="auto"/>
            <w:vAlign w:val="center"/>
          </w:tcPr>
          <w:p w:rsidR="00BE68D7" w:rsidRPr="00D630D1" w:rsidRDefault="00BE68D7" w:rsidP="00DB79DB">
            <w:pPr>
              <w:pStyle w:val="1L"/>
            </w:pPr>
            <w:r w:rsidRPr="00D630D1">
              <w:rPr>
                <w:rFonts w:hint="eastAsia"/>
              </w:rPr>
              <w:t>氮氧化物</w:t>
            </w:r>
          </w:p>
        </w:tc>
        <w:tc>
          <w:tcPr>
            <w:tcW w:w="1601" w:type="dxa"/>
            <w:shd w:val="clear" w:color="auto" w:fill="auto"/>
            <w:vAlign w:val="center"/>
          </w:tcPr>
          <w:p w:rsidR="00BE68D7" w:rsidRPr="00D630D1" w:rsidRDefault="00BE68D7" w:rsidP="001231CF">
            <w:pPr>
              <w:pStyle w:val="1L"/>
            </w:pPr>
            <w:r w:rsidRPr="00D630D1">
              <w:t>0.03556</w:t>
            </w:r>
          </w:p>
        </w:tc>
      </w:tr>
    </w:tbl>
    <w:bookmarkEnd w:id="504"/>
    <w:bookmarkEnd w:id="505"/>
    <w:p w:rsidR="00DB79DB" w:rsidRPr="00D630D1" w:rsidRDefault="00DB79DB" w:rsidP="00DB79DB">
      <w:pPr>
        <w:pStyle w:val="afa"/>
        <w:ind w:firstLine="480"/>
      </w:pPr>
      <w:r w:rsidRPr="00D630D1">
        <w:rPr>
          <w:rFonts w:hint="eastAsia"/>
        </w:rPr>
        <w:t>②大气污染物年排放量核算</w:t>
      </w:r>
    </w:p>
    <w:p w:rsidR="003371DA" w:rsidRPr="00D630D1" w:rsidRDefault="00DB79DB" w:rsidP="00DB79DB">
      <w:pPr>
        <w:pStyle w:val="10"/>
      </w:pPr>
      <w:r w:rsidRPr="00D630D1">
        <w:rPr>
          <w:rFonts w:hint="eastAsia"/>
        </w:rPr>
        <w:t>表</w:t>
      </w:r>
      <w:r w:rsidRPr="00D630D1">
        <w:rPr>
          <w:bCs/>
        </w:rPr>
        <w:t xml:space="preserve">6.2-7 </w:t>
      </w:r>
      <w:r w:rsidRPr="00D630D1">
        <w:rPr>
          <w:rFonts w:hint="eastAsia"/>
        </w:rPr>
        <w:t>大气污染物年排放量核算表</w:t>
      </w:r>
    </w:p>
    <w:tbl>
      <w:tblPr>
        <w:tblW w:w="9015"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2111"/>
        <w:gridCol w:w="3376"/>
        <w:gridCol w:w="3528"/>
      </w:tblGrid>
      <w:tr w:rsidR="00DB79DB" w:rsidRPr="00D630D1" w:rsidTr="000C5DAE">
        <w:trPr>
          <w:trHeight w:val="259"/>
          <w:jc w:val="center"/>
        </w:trPr>
        <w:tc>
          <w:tcPr>
            <w:tcW w:w="2111" w:type="dxa"/>
            <w:vAlign w:val="center"/>
          </w:tcPr>
          <w:p w:rsidR="00DB79DB" w:rsidRPr="00D630D1" w:rsidRDefault="00DB79DB" w:rsidP="004E24E2">
            <w:pPr>
              <w:pStyle w:val="1L"/>
              <w:rPr>
                <w:b/>
                <w:bCs w:val="0"/>
                <w:lang w:val="de-DE"/>
              </w:rPr>
            </w:pPr>
            <w:r w:rsidRPr="00D630D1">
              <w:rPr>
                <w:rFonts w:hint="eastAsia"/>
                <w:b/>
                <w:bCs w:val="0"/>
                <w:lang w:val="de-DE"/>
              </w:rPr>
              <w:t>序号</w:t>
            </w:r>
          </w:p>
        </w:tc>
        <w:tc>
          <w:tcPr>
            <w:tcW w:w="3376" w:type="dxa"/>
            <w:vAlign w:val="center"/>
          </w:tcPr>
          <w:p w:rsidR="00DB79DB" w:rsidRPr="00D630D1" w:rsidRDefault="00DB79DB" w:rsidP="004E24E2">
            <w:pPr>
              <w:pStyle w:val="1L"/>
              <w:rPr>
                <w:b/>
                <w:bCs w:val="0"/>
                <w:lang w:val="de-DE"/>
              </w:rPr>
            </w:pPr>
            <w:r w:rsidRPr="00D630D1">
              <w:rPr>
                <w:rFonts w:hint="eastAsia"/>
                <w:b/>
                <w:bCs w:val="0"/>
                <w:lang w:val="de-DE"/>
              </w:rPr>
              <w:t>污染物</w:t>
            </w:r>
          </w:p>
        </w:tc>
        <w:tc>
          <w:tcPr>
            <w:tcW w:w="3528" w:type="dxa"/>
            <w:vAlign w:val="center"/>
          </w:tcPr>
          <w:p w:rsidR="00DB79DB" w:rsidRPr="00D630D1" w:rsidRDefault="00DB79DB" w:rsidP="004E24E2">
            <w:pPr>
              <w:pStyle w:val="1L"/>
              <w:rPr>
                <w:b/>
                <w:bCs w:val="0"/>
                <w:lang w:val="de-DE"/>
              </w:rPr>
            </w:pPr>
            <w:r w:rsidRPr="00D630D1">
              <w:rPr>
                <w:rFonts w:hint="eastAsia"/>
                <w:b/>
                <w:bCs w:val="0"/>
                <w:lang w:val="de-DE"/>
              </w:rPr>
              <w:t>年排放量</w:t>
            </w:r>
            <w:r w:rsidRPr="00D630D1">
              <w:rPr>
                <w:rFonts w:hint="eastAsia"/>
                <w:b/>
                <w:bCs w:val="0"/>
                <w:lang w:val="de-DE"/>
              </w:rPr>
              <w:t>/</w:t>
            </w:r>
            <w:r w:rsidRPr="00D630D1">
              <w:rPr>
                <w:rFonts w:hint="eastAsia"/>
                <w:b/>
                <w:bCs w:val="0"/>
                <w:lang w:val="de-DE"/>
              </w:rPr>
              <w:t>（</w:t>
            </w:r>
            <w:r w:rsidRPr="00D630D1">
              <w:rPr>
                <w:rFonts w:hint="eastAsia"/>
                <w:b/>
                <w:bCs w:val="0"/>
                <w:lang w:val="de-DE"/>
              </w:rPr>
              <w:t>t/a</w:t>
            </w:r>
            <w:r w:rsidRPr="00D630D1">
              <w:rPr>
                <w:rFonts w:hint="eastAsia"/>
                <w:b/>
                <w:bCs w:val="0"/>
                <w:lang w:val="de-DE"/>
              </w:rPr>
              <w:t>）</w:t>
            </w:r>
          </w:p>
        </w:tc>
      </w:tr>
      <w:tr w:rsidR="00DB79DB" w:rsidRPr="00D630D1" w:rsidTr="000C5DAE">
        <w:trPr>
          <w:trHeight w:val="127"/>
          <w:jc w:val="center"/>
        </w:trPr>
        <w:tc>
          <w:tcPr>
            <w:tcW w:w="2111" w:type="dxa"/>
            <w:vAlign w:val="center"/>
          </w:tcPr>
          <w:p w:rsidR="00DB79DB" w:rsidRPr="00D630D1" w:rsidRDefault="00DB79DB" w:rsidP="004E24E2">
            <w:pPr>
              <w:pStyle w:val="1L"/>
              <w:rPr>
                <w:lang w:val="de-DE"/>
              </w:rPr>
            </w:pPr>
            <w:r w:rsidRPr="00D630D1">
              <w:rPr>
                <w:rFonts w:hint="eastAsia"/>
                <w:lang w:val="de-DE"/>
              </w:rPr>
              <w:t>1</w:t>
            </w:r>
          </w:p>
        </w:tc>
        <w:tc>
          <w:tcPr>
            <w:tcW w:w="3376" w:type="dxa"/>
            <w:vAlign w:val="center"/>
          </w:tcPr>
          <w:p w:rsidR="00DB79DB" w:rsidRPr="00D630D1" w:rsidRDefault="00DB79DB" w:rsidP="004E24E2">
            <w:pPr>
              <w:pStyle w:val="1L"/>
              <w:rPr>
                <w:lang w:val="de-DE"/>
              </w:rPr>
            </w:pPr>
            <w:r w:rsidRPr="00D630D1">
              <w:rPr>
                <w:rFonts w:hint="eastAsia"/>
                <w:lang w:val="de-DE"/>
              </w:rPr>
              <w:t>氮氧化物</w:t>
            </w:r>
          </w:p>
        </w:tc>
        <w:tc>
          <w:tcPr>
            <w:tcW w:w="3528" w:type="dxa"/>
            <w:vAlign w:val="center"/>
          </w:tcPr>
          <w:p w:rsidR="00DB79DB" w:rsidRPr="00D630D1" w:rsidRDefault="00BE68D7" w:rsidP="001231CF">
            <w:pPr>
              <w:pStyle w:val="1L"/>
              <w:rPr>
                <w:lang w:val="de-DE"/>
              </w:rPr>
            </w:pPr>
            <w:r w:rsidRPr="00D630D1">
              <w:t>0.03556</w:t>
            </w:r>
          </w:p>
        </w:tc>
      </w:tr>
    </w:tbl>
    <w:p w:rsidR="003371DA" w:rsidRPr="00D630D1" w:rsidRDefault="00DB79DB" w:rsidP="000C5DAE">
      <w:pPr>
        <w:pStyle w:val="afa"/>
        <w:ind w:firstLine="482"/>
        <w:rPr>
          <w:b/>
          <w:bCs/>
        </w:rPr>
      </w:pPr>
      <w:r w:rsidRPr="00D630D1">
        <w:rPr>
          <w:rFonts w:hint="eastAsia"/>
          <w:b/>
          <w:bCs/>
        </w:rPr>
        <w:t>2</w:t>
      </w:r>
      <w:r w:rsidRPr="00D630D1">
        <w:rPr>
          <w:b/>
          <w:bCs/>
        </w:rPr>
        <w:t>、</w:t>
      </w:r>
      <w:r w:rsidRPr="00D630D1">
        <w:rPr>
          <w:rFonts w:hint="eastAsia"/>
          <w:b/>
          <w:bCs/>
        </w:rPr>
        <w:t>非正常工况</w:t>
      </w:r>
    </w:p>
    <w:p w:rsidR="003371DA" w:rsidRPr="00D630D1" w:rsidRDefault="000C5DAE" w:rsidP="000C5DAE">
      <w:pPr>
        <w:pStyle w:val="afa"/>
        <w:ind w:firstLine="480"/>
      </w:pPr>
      <w:r w:rsidRPr="00D630D1">
        <w:rPr>
          <w:rFonts w:hint="eastAsia"/>
        </w:rPr>
        <w:t>非正常工况，在事故或检修放空期间会产生放空废气，本工程天然气中含硫，少量的天然气通过放空管燃烧后在放空区会产生氮氧化物和</w:t>
      </w:r>
      <w:r w:rsidRPr="00D630D1">
        <w:rPr>
          <w:rFonts w:hint="eastAsia"/>
        </w:rPr>
        <w:t>S</w:t>
      </w:r>
      <w:r w:rsidRPr="00D630D1">
        <w:t>O</w:t>
      </w:r>
      <w:r w:rsidRPr="00D630D1">
        <w:rPr>
          <w:vertAlign w:val="subscript"/>
        </w:rPr>
        <w:t>2</w:t>
      </w:r>
      <w:r w:rsidRPr="00D630D1">
        <w:rPr>
          <w:rFonts w:hint="eastAsia"/>
        </w:rPr>
        <w:t>，但由于事故及检修频率低，每次外排氮氧化物和</w:t>
      </w:r>
      <w:r w:rsidRPr="00D630D1">
        <w:rPr>
          <w:rFonts w:hint="eastAsia"/>
        </w:rPr>
        <w:t>S</w:t>
      </w:r>
      <w:r w:rsidRPr="00D630D1">
        <w:t>O</w:t>
      </w:r>
      <w:r w:rsidRPr="00D630D1">
        <w:rPr>
          <w:vertAlign w:val="subscript"/>
        </w:rPr>
        <w:t>2</w:t>
      </w:r>
      <w:r w:rsidRPr="00D630D1">
        <w:rPr>
          <w:rFonts w:hint="eastAsia"/>
        </w:rPr>
        <w:t>较少，通过放空区放空管高空排放，且</w:t>
      </w:r>
      <w:r w:rsidR="002C00AE">
        <w:rPr>
          <w:rFonts w:hint="eastAsia"/>
        </w:rPr>
        <w:t>普光</w:t>
      </w:r>
      <w:r w:rsidR="002C00AE">
        <w:rPr>
          <w:rFonts w:hint="eastAsia"/>
        </w:rPr>
        <w:t>12</w:t>
      </w:r>
      <w:r w:rsidR="002C00AE">
        <w:rPr>
          <w:rFonts w:hint="eastAsia"/>
        </w:rPr>
        <w:t>采气站</w:t>
      </w:r>
      <w:r w:rsidRPr="00D630D1">
        <w:rPr>
          <w:rFonts w:hint="eastAsia"/>
        </w:rPr>
        <w:t>放空区位于地势开阔的空旷地带，大气扩散条件良好，</w:t>
      </w:r>
      <w:r w:rsidR="00A11619" w:rsidRPr="00D630D1">
        <w:rPr>
          <w:rFonts w:hint="eastAsia"/>
        </w:rPr>
        <w:t>放空时疏散</w:t>
      </w:r>
      <w:r w:rsidR="00A11619" w:rsidRPr="00D630D1">
        <w:t>附近的居民</w:t>
      </w:r>
      <w:r w:rsidR="00A11619" w:rsidRPr="00D630D1">
        <w:rPr>
          <w:rFonts w:hint="eastAsia"/>
        </w:rPr>
        <w:t>，</w:t>
      </w:r>
      <w:r w:rsidRPr="00D630D1">
        <w:rPr>
          <w:rFonts w:hint="eastAsia"/>
        </w:rPr>
        <w:t>放空废气不会对周边大气环境造成明显不利影响。</w:t>
      </w:r>
    </w:p>
    <w:p w:rsidR="000C5DAE" w:rsidRPr="00D630D1" w:rsidRDefault="000C5DAE" w:rsidP="000C5DAE">
      <w:pPr>
        <w:pStyle w:val="3"/>
        <w:rPr>
          <w:rFonts w:eastAsia="宋体"/>
        </w:rPr>
      </w:pPr>
      <w:r w:rsidRPr="00D630D1">
        <w:rPr>
          <w:rFonts w:eastAsia="宋体"/>
        </w:rPr>
        <w:t xml:space="preserve">6.2.3 </w:t>
      </w:r>
      <w:r w:rsidRPr="00D630D1">
        <w:rPr>
          <w:rFonts w:eastAsia="宋体" w:hint="eastAsia"/>
        </w:rPr>
        <w:t>地表水环境影响分析</w:t>
      </w:r>
    </w:p>
    <w:p w:rsidR="00455E0D" w:rsidRPr="00D630D1" w:rsidRDefault="000C5DAE" w:rsidP="000C5DAE">
      <w:pPr>
        <w:pStyle w:val="afa"/>
        <w:ind w:firstLine="482"/>
        <w:rPr>
          <w:b/>
          <w:bCs/>
        </w:rPr>
      </w:pPr>
      <w:r w:rsidRPr="00D630D1">
        <w:rPr>
          <w:rFonts w:hint="eastAsia"/>
          <w:b/>
          <w:bCs/>
        </w:rPr>
        <w:t>1</w:t>
      </w:r>
      <w:r w:rsidRPr="00D630D1">
        <w:rPr>
          <w:b/>
          <w:bCs/>
        </w:rPr>
        <w:t>、</w:t>
      </w:r>
      <w:r w:rsidRPr="00D630D1">
        <w:rPr>
          <w:rFonts w:hint="eastAsia"/>
          <w:b/>
          <w:bCs/>
        </w:rPr>
        <w:t>评价等级判定</w:t>
      </w:r>
    </w:p>
    <w:p w:rsidR="00B74C46" w:rsidRPr="00D630D1" w:rsidRDefault="000C5DAE" w:rsidP="000C5DAE">
      <w:pPr>
        <w:pStyle w:val="afa"/>
        <w:ind w:firstLine="480"/>
      </w:pPr>
      <w:r w:rsidRPr="00D630D1">
        <w:t>根据《环境影响评价技术导则</w:t>
      </w:r>
      <w:r w:rsidRPr="00D630D1">
        <w:t xml:space="preserve"> </w:t>
      </w:r>
      <w:r w:rsidRPr="00D630D1">
        <w:t>地表水环境》（</w:t>
      </w:r>
      <w:r w:rsidRPr="00D630D1">
        <w:t>HJ2.3-2018</w:t>
      </w:r>
      <w:r w:rsidR="00BE68D7" w:rsidRPr="00D630D1">
        <w:t>）中关于项目评价等级与评价范围的规定及工程分析</w:t>
      </w:r>
      <w:r w:rsidRPr="00D630D1">
        <w:t>。</w:t>
      </w:r>
      <w:r w:rsidR="007200A5" w:rsidRPr="00D630D1">
        <w:t>本项目运营期产生的气田水</w:t>
      </w:r>
      <w:r w:rsidR="007200A5" w:rsidRPr="002C36C4">
        <w:rPr>
          <w:rFonts w:hint="eastAsia"/>
        </w:rPr>
        <w:t>暂存于污水缓冲罐</w:t>
      </w:r>
      <w:r w:rsidR="007200A5" w:rsidRPr="00D630D1">
        <w:t>，然后通过密闭罐车拉运至大湾</w:t>
      </w:r>
      <w:r w:rsidR="007200A5" w:rsidRPr="00D630D1">
        <w:t>403</w:t>
      </w:r>
      <w:r w:rsidR="007200A5" w:rsidRPr="00D630D1">
        <w:t>污水站处理达到《气田水回注方法》（</w:t>
      </w:r>
      <w:r w:rsidR="007200A5" w:rsidRPr="00D630D1">
        <w:t>SY/T 6596</w:t>
      </w:r>
      <w:r w:rsidR="007200A5" w:rsidRPr="00D630D1">
        <w:rPr>
          <w:rFonts w:hint="eastAsia"/>
        </w:rPr>
        <w:t>-</w:t>
      </w:r>
      <w:r w:rsidR="007200A5" w:rsidRPr="00D630D1">
        <w:t>2016</w:t>
      </w:r>
      <w:r w:rsidR="007200A5" w:rsidRPr="00D630D1">
        <w:t>）中注入水基本要求后管输至毛开</w:t>
      </w:r>
      <w:r w:rsidR="007200A5" w:rsidRPr="00D630D1">
        <w:t>1</w:t>
      </w:r>
      <w:r w:rsidR="007200A5" w:rsidRPr="00D630D1">
        <w:t>井回注站回注处理，不外排</w:t>
      </w:r>
      <w:r w:rsidR="007200A5">
        <w:rPr>
          <w:rFonts w:hint="eastAsia"/>
        </w:rPr>
        <w:t>；值守</w:t>
      </w:r>
      <w:r w:rsidR="007200A5" w:rsidRPr="000819D9">
        <w:t>人员生活</w:t>
      </w:r>
      <w:r w:rsidR="007200A5" w:rsidRPr="000819D9">
        <w:rPr>
          <w:rFonts w:hint="eastAsia"/>
        </w:rPr>
        <w:t>污水</w:t>
      </w:r>
      <w:r w:rsidR="007200A5">
        <w:rPr>
          <w:rFonts w:hint="eastAsia"/>
        </w:rPr>
        <w:t>经</w:t>
      </w:r>
      <w:r w:rsidR="007200A5" w:rsidRPr="000819D9">
        <w:t>生态环保厕所收集后，用作周边农肥，不外排</w:t>
      </w:r>
      <w:r w:rsidR="00006097" w:rsidRPr="00D630D1">
        <w:t>。</w:t>
      </w:r>
      <w:r w:rsidRPr="00D630D1">
        <w:t>因此，本项目地表水环境影响评价等级定为水污染影响型三级</w:t>
      </w:r>
      <w:r w:rsidRPr="00D630D1">
        <w:t>B</w:t>
      </w:r>
      <w:r w:rsidRPr="00D630D1">
        <w:t>。</w:t>
      </w:r>
    </w:p>
    <w:p w:rsidR="000C5DAE" w:rsidRPr="00D630D1" w:rsidRDefault="000C5DAE" w:rsidP="000C5DAE">
      <w:pPr>
        <w:pStyle w:val="afa"/>
        <w:ind w:firstLine="480"/>
      </w:pPr>
      <w:r w:rsidRPr="00D630D1">
        <w:t>根据建设项目水文要素影响分析，项目管道</w:t>
      </w:r>
      <w:r w:rsidR="005F0550" w:rsidRPr="00D630D1">
        <w:rPr>
          <w:rFonts w:hint="eastAsia"/>
        </w:rPr>
        <w:t>不涉及河流或沟渠</w:t>
      </w:r>
      <w:r w:rsidRPr="00D630D1">
        <w:t>穿越，故不涉及水文要素影响。</w:t>
      </w:r>
    </w:p>
    <w:p w:rsidR="00B74C46" w:rsidRPr="00D630D1" w:rsidRDefault="00B74C46" w:rsidP="00B74C46">
      <w:pPr>
        <w:pStyle w:val="afa"/>
        <w:ind w:firstLine="482"/>
        <w:rPr>
          <w:b/>
          <w:bCs/>
        </w:rPr>
      </w:pPr>
      <w:r w:rsidRPr="00D630D1">
        <w:rPr>
          <w:b/>
          <w:bCs/>
        </w:rPr>
        <w:t>2</w:t>
      </w:r>
      <w:r w:rsidRPr="00D630D1">
        <w:rPr>
          <w:b/>
          <w:bCs/>
        </w:rPr>
        <w:t>、</w:t>
      </w:r>
      <w:r w:rsidRPr="00D630D1">
        <w:rPr>
          <w:rFonts w:hint="eastAsia"/>
          <w:b/>
          <w:bCs/>
        </w:rPr>
        <w:t>环境影响分析</w:t>
      </w:r>
    </w:p>
    <w:p w:rsidR="00B74C46" w:rsidRPr="00D630D1" w:rsidRDefault="00B74C46" w:rsidP="00B74C46">
      <w:pPr>
        <w:pStyle w:val="afa"/>
        <w:ind w:firstLine="482"/>
        <w:rPr>
          <w:b/>
          <w:bCs/>
        </w:rPr>
      </w:pPr>
      <w:r w:rsidRPr="00D630D1">
        <w:rPr>
          <w:rFonts w:hint="eastAsia"/>
          <w:b/>
          <w:bCs/>
        </w:rPr>
        <w:t>（</w:t>
      </w:r>
      <w:r w:rsidRPr="00D630D1">
        <w:rPr>
          <w:rFonts w:hint="eastAsia"/>
          <w:b/>
          <w:bCs/>
        </w:rPr>
        <w:t>1</w:t>
      </w:r>
      <w:r w:rsidRPr="00D630D1">
        <w:rPr>
          <w:rFonts w:hint="eastAsia"/>
          <w:b/>
          <w:bCs/>
        </w:rPr>
        <w:t>）集输管线</w:t>
      </w:r>
    </w:p>
    <w:p w:rsidR="000C5DAE" w:rsidRPr="00D630D1" w:rsidRDefault="00B74C46" w:rsidP="00B74C46">
      <w:pPr>
        <w:pStyle w:val="afa"/>
        <w:ind w:firstLine="480"/>
      </w:pPr>
      <w:r w:rsidRPr="00D630D1">
        <w:lastRenderedPageBreak/>
        <w:t>正常工况下，由于输气管线是全封闭系统，输运的天然气不会与</w:t>
      </w:r>
      <w:r w:rsidR="00BE68D7" w:rsidRPr="00D630D1">
        <w:rPr>
          <w:rFonts w:hint="eastAsia"/>
        </w:rPr>
        <w:t>地表水体</w:t>
      </w:r>
      <w:r w:rsidRPr="00D630D1">
        <w:t>之间发生联系，采用外防腐层和强制电流阴极保护联合方式，如不发生泄漏事故，正常运营期对</w:t>
      </w:r>
      <w:r w:rsidR="00BE68D7" w:rsidRPr="00D630D1">
        <w:rPr>
          <w:rFonts w:hint="eastAsia"/>
        </w:rPr>
        <w:t>地表水</w:t>
      </w:r>
      <w:r w:rsidRPr="00D630D1">
        <w:t>不会造成影响；在发生泄漏事故时，由于天然气中以</w:t>
      </w:r>
      <w:r w:rsidRPr="00D630D1">
        <w:t>CH</w:t>
      </w:r>
      <w:r w:rsidRPr="00D630D1">
        <w:rPr>
          <w:vertAlign w:val="subscript"/>
        </w:rPr>
        <w:t>4</w:t>
      </w:r>
      <w:r w:rsidRPr="00D630D1">
        <w:t>为主，在水中的溶解度极低，因此对水环境基本无影响。</w:t>
      </w:r>
    </w:p>
    <w:p w:rsidR="000C5DAE" w:rsidRPr="00D630D1" w:rsidRDefault="00B74C46" w:rsidP="00ED0BBC">
      <w:pPr>
        <w:pStyle w:val="afa"/>
        <w:ind w:firstLine="482"/>
        <w:rPr>
          <w:b/>
          <w:bCs/>
        </w:rPr>
      </w:pPr>
      <w:r w:rsidRPr="00D630D1">
        <w:rPr>
          <w:rFonts w:hint="eastAsia"/>
          <w:b/>
          <w:bCs/>
        </w:rPr>
        <w:t>（</w:t>
      </w:r>
      <w:r w:rsidRPr="00D630D1">
        <w:rPr>
          <w:rFonts w:hint="eastAsia"/>
          <w:b/>
          <w:bCs/>
        </w:rPr>
        <w:t>2</w:t>
      </w:r>
      <w:r w:rsidRPr="00D630D1">
        <w:rPr>
          <w:rFonts w:hint="eastAsia"/>
          <w:b/>
          <w:bCs/>
        </w:rPr>
        <w:t>）</w:t>
      </w:r>
      <w:r w:rsidR="00D96431" w:rsidRPr="00D630D1">
        <w:rPr>
          <w:rFonts w:hint="eastAsia"/>
          <w:b/>
          <w:bCs/>
        </w:rPr>
        <w:t>采</w:t>
      </w:r>
      <w:r w:rsidRPr="00D630D1">
        <w:rPr>
          <w:rFonts w:hint="eastAsia"/>
          <w:b/>
          <w:bCs/>
        </w:rPr>
        <w:t>气站</w:t>
      </w:r>
    </w:p>
    <w:p w:rsidR="000C5DAE" w:rsidRPr="00D630D1" w:rsidRDefault="007200A5" w:rsidP="00ED0BBC">
      <w:pPr>
        <w:pStyle w:val="afa"/>
        <w:ind w:firstLine="480"/>
      </w:pPr>
      <w:r w:rsidRPr="007200A5">
        <w:rPr>
          <w:szCs w:val="22"/>
        </w:rPr>
        <w:t>本项目运营期产生的气田水</w:t>
      </w:r>
      <w:r w:rsidRPr="007200A5">
        <w:rPr>
          <w:rFonts w:hint="eastAsia"/>
          <w:szCs w:val="22"/>
        </w:rPr>
        <w:t>暂存于污水缓冲罐</w:t>
      </w:r>
      <w:r w:rsidRPr="007200A5">
        <w:rPr>
          <w:szCs w:val="22"/>
        </w:rPr>
        <w:t>，然后通过密闭罐车拉运至大湾</w:t>
      </w:r>
      <w:r w:rsidRPr="007200A5">
        <w:rPr>
          <w:szCs w:val="22"/>
        </w:rPr>
        <w:t>403</w:t>
      </w:r>
      <w:r w:rsidRPr="007200A5">
        <w:rPr>
          <w:szCs w:val="22"/>
        </w:rPr>
        <w:t>污水站处理达到《气田水回注方法》（</w:t>
      </w:r>
      <w:r w:rsidRPr="007200A5">
        <w:rPr>
          <w:szCs w:val="22"/>
        </w:rPr>
        <w:t>SY/T 6596</w:t>
      </w:r>
      <w:r w:rsidRPr="007200A5">
        <w:rPr>
          <w:rFonts w:hint="eastAsia"/>
          <w:szCs w:val="22"/>
        </w:rPr>
        <w:t>-</w:t>
      </w:r>
      <w:r w:rsidRPr="007200A5">
        <w:rPr>
          <w:szCs w:val="22"/>
        </w:rPr>
        <w:t>2016</w:t>
      </w:r>
      <w:r w:rsidRPr="007200A5">
        <w:rPr>
          <w:szCs w:val="22"/>
        </w:rPr>
        <w:t>）中注入水基本要求后管输至毛开</w:t>
      </w:r>
      <w:r w:rsidRPr="007200A5">
        <w:rPr>
          <w:szCs w:val="22"/>
        </w:rPr>
        <w:t>1</w:t>
      </w:r>
      <w:r w:rsidRPr="007200A5">
        <w:rPr>
          <w:szCs w:val="22"/>
        </w:rPr>
        <w:t>井回注站回注处理，不外排</w:t>
      </w:r>
      <w:r w:rsidRPr="007200A5">
        <w:rPr>
          <w:rFonts w:hint="eastAsia"/>
          <w:szCs w:val="22"/>
        </w:rPr>
        <w:t>；值守</w:t>
      </w:r>
      <w:r w:rsidRPr="007200A5">
        <w:rPr>
          <w:szCs w:val="22"/>
        </w:rPr>
        <w:t>人员生活</w:t>
      </w:r>
      <w:r w:rsidRPr="007200A5">
        <w:rPr>
          <w:rFonts w:hint="eastAsia"/>
          <w:szCs w:val="22"/>
        </w:rPr>
        <w:t>污水经</w:t>
      </w:r>
      <w:r w:rsidRPr="007200A5">
        <w:rPr>
          <w:szCs w:val="22"/>
        </w:rPr>
        <w:t>生态环保厕所收集后，用作周边农肥，不外排</w:t>
      </w:r>
      <w:r w:rsidR="00006097" w:rsidRPr="00D630D1">
        <w:t>。</w:t>
      </w:r>
    </w:p>
    <w:p w:rsidR="00A00E8E" w:rsidRPr="00D630D1" w:rsidRDefault="00A00E8E" w:rsidP="00A00E8E">
      <w:pPr>
        <w:pStyle w:val="3"/>
        <w:rPr>
          <w:rFonts w:eastAsia="宋体"/>
        </w:rPr>
      </w:pPr>
      <w:r w:rsidRPr="00D630D1">
        <w:rPr>
          <w:rFonts w:eastAsia="宋体"/>
        </w:rPr>
        <w:t xml:space="preserve">6.2.4 </w:t>
      </w:r>
      <w:r w:rsidRPr="00D630D1">
        <w:rPr>
          <w:rFonts w:eastAsia="宋体" w:hint="eastAsia"/>
        </w:rPr>
        <w:t>地下水环境影响分析</w:t>
      </w:r>
    </w:p>
    <w:p w:rsidR="00B74C46" w:rsidRPr="00D630D1" w:rsidRDefault="00DA703F" w:rsidP="00ED0BBC">
      <w:pPr>
        <w:pStyle w:val="afa"/>
        <w:ind w:firstLine="480"/>
        <w:rPr>
          <w:rFonts w:ascii="宋体" w:cs="宋体"/>
        </w:rPr>
      </w:pPr>
      <w:r w:rsidRPr="00D630D1">
        <w:rPr>
          <w:rFonts w:ascii="宋体" w:cs="宋体" w:hint="eastAsia"/>
        </w:rPr>
        <w:t>本项目各可能影响地下水的环节中，</w:t>
      </w:r>
      <w:r w:rsidR="00EF360A" w:rsidRPr="00D630D1">
        <w:rPr>
          <w:rFonts w:ascii="宋体" w:cs="宋体" w:hint="eastAsia"/>
        </w:rPr>
        <w:t>污水缓冲罐</w:t>
      </w:r>
      <w:r w:rsidR="00251CEC" w:rsidRPr="00D630D1">
        <w:rPr>
          <w:rFonts w:ascii="宋体" w:cs="宋体" w:hint="eastAsia"/>
        </w:rPr>
        <w:t>四周</w:t>
      </w:r>
      <w:r w:rsidRPr="00D630D1">
        <w:rPr>
          <w:rFonts w:ascii="宋体" w:cs="宋体" w:hint="eastAsia"/>
        </w:rPr>
        <w:t>设有防渗围堰，主要污染因素为跑冒滴漏和事故状态下废水泄漏，泄漏后废水在围堰内收集，不会深入地下造成地下水污染。因此本项目非正常情况下地下水环境影响重点分析</w:t>
      </w:r>
      <w:r w:rsidR="00EF360A" w:rsidRPr="00D630D1">
        <w:rPr>
          <w:rFonts w:ascii="宋体" w:cs="宋体" w:hint="eastAsia"/>
        </w:rPr>
        <w:t>污水缓冲罐</w:t>
      </w:r>
      <w:r w:rsidR="0013064A" w:rsidRPr="00D630D1">
        <w:rPr>
          <w:rFonts w:ascii="宋体" w:cs="宋体" w:hint="eastAsia"/>
        </w:rPr>
        <w:t>泄漏，</w:t>
      </w:r>
      <w:r w:rsidR="0013064A" w:rsidRPr="00D630D1">
        <w:rPr>
          <w:rFonts w:hint="eastAsia"/>
        </w:rPr>
        <w:t>且防渗设施失效而导致泄</w:t>
      </w:r>
      <w:r w:rsidR="001205FA" w:rsidRPr="00D630D1">
        <w:rPr>
          <w:rFonts w:hint="eastAsia"/>
        </w:rPr>
        <w:t>漏</w:t>
      </w:r>
      <w:r w:rsidR="00D31DA2" w:rsidRPr="00D630D1">
        <w:rPr>
          <w:rFonts w:hAnsi="宋体" w:hint="eastAsia"/>
          <w:kern w:val="2"/>
        </w:rPr>
        <w:t>压裂、洗井</w:t>
      </w:r>
      <w:r w:rsidR="00D31DA2" w:rsidRPr="00D630D1">
        <w:rPr>
          <w:rFonts w:hAnsi="宋体"/>
          <w:kern w:val="2"/>
        </w:rPr>
        <w:t>废水</w:t>
      </w:r>
      <w:r w:rsidR="0013064A" w:rsidRPr="00D630D1">
        <w:rPr>
          <w:rFonts w:hint="eastAsia"/>
        </w:rPr>
        <w:t>直接进入潜水含水层</w:t>
      </w:r>
      <w:r w:rsidRPr="00D630D1">
        <w:rPr>
          <w:rFonts w:ascii="宋体" w:cs="宋体" w:hint="eastAsia"/>
        </w:rPr>
        <w:t>对地下水环境的影响。</w:t>
      </w:r>
    </w:p>
    <w:p w:rsidR="00DA703F" w:rsidRPr="00D630D1" w:rsidRDefault="00DA703F" w:rsidP="0089329A">
      <w:pPr>
        <w:pStyle w:val="afa"/>
        <w:ind w:firstLine="482"/>
        <w:rPr>
          <w:b/>
          <w:bCs/>
        </w:rPr>
      </w:pPr>
      <w:r w:rsidRPr="00D630D1">
        <w:rPr>
          <w:rFonts w:hint="eastAsia"/>
          <w:b/>
          <w:bCs/>
        </w:rPr>
        <w:t>1</w:t>
      </w:r>
      <w:r w:rsidRPr="00D630D1">
        <w:rPr>
          <w:b/>
          <w:bCs/>
        </w:rPr>
        <w:t>、</w:t>
      </w:r>
      <w:r w:rsidRPr="00D630D1">
        <w:rPr>
          <w:rFonts w:hint="eastAsia"/>
          <w:b/>
          <w:bCs/>
        </w:rPr>
        <w:t>评价区和场地环境水文地质条件</w:t>
      </w:r>
    </w:p>
    <w:p w:rsidR="00DA703F" w:rsidRPr="00D630D1" w:rsidRDefault="00DA703F" w:rsidP="00DA703F">
      <w:pPr>
        <w:pStyle w:val="afa"/>
        <w:ind w:firstLine="480"/>
        <w:rPr>
          <w:rFonts w:hAnsi="Calibri"/>
        </w:rPr>
      </w:pPr>
      <w:r w:rsidRPr="00D630D1">
        <w:rPr>
          <w:rFonts w:hAnsi="Calibri" w:hint="eastAsia"/>
        </w:rPr>
        <w:t>管道敷设线路通过地区地下水类型均为第四系全新统松散层孔隙上层滞水、碎屑岩类基岩风化裂隙水。</w:t>
      </w:r>
    </w:p>
    <w:p w:rsidR="00DA703F" w:rsidRPr="00D630D1" w:rsidRDefault="00DA703F" w:rsidP="00DA703F">
      <w:pPr>
        <w:pStyle w:val="afa"/>
        <w:ind w:firstLine="480"/>
        <w:rPr>
          <w:rFonts w:hAnsi="Calibri"/>
        </w:rPr>
      </w:pPr>
      <w:r w:rsidRPr="00D630D1">
        <w:rPr>
          <w:rFonts w:hAnsi="Calibri" w:hint="eastAsia"/>
        </w:rPr>
        <w:t>第四系全新统松散层孔隙上层滞水，线路分布的沟谷粉质粘土层中局部具有上层滞水，主要接受大气降雨及斜坡、沟谷地表水漫灌补给，埋藏深度不一，水量较贫乏，对管道敷设施工影响较小。</w:t>
      </w:r>
    </w:p>
    <w:p w:rsidR="00DA703F" w:rsidRPr="00D630D1" w:rsidRDefault="00DA703F" w:rsidP="00DA703F">
      <w:pPr>
        <w:pStyle w:val="afa"/>
        <w:ind w:firstLine="480"/>
        <w:rPr>
          <w:rFonts w:ascii="宋体" w:cs="宋体"/>
        </w:rPr>
      </w:pPr>
      <w:r w:rsidRPr="00D630D1">
        <w:rPr>
          <w:rFonts w:ascii="宋体" w:hAnsi="Calibri" w:cs="宋体" w:hint="eastAsia"/>
        </w:rPr>
        <w:t>基岩风化裂隙水：主要赋存于场地区下伏、出露的基岩风化裂隙与构造裂隙中。根据现场勘察，勘察深度内未见该类地下水出露。该类地下水主要接受地下水径流补给（出露区可接受大气降雨补给），一般埋深大于</w:t>
      </w:r>
      <w:r w:rsidR="00AB4A38" w:rsidRPr="00D630D1">
        <w:rPr>
          <w:rFonts w:hint="eastAsia"/>
        </w:rPr>
        <w:t>4</w:t>
      </w:r>
      <w:r w:rsidRPr="00D630D1">
        <w:t>m</w:t>
      </w:r>
      <w:r w:rsidRPr="00D630D1">
        <w:rPr>
          <w:rFonts w:ascii="宋体" w:cs="宋体" w:hint="eastAsia"/>
        </w:rPr>
        <w:t>，埋深较大，水量较少，仅在裂隙发育、贯通性好，以及补给源较充分地段可形成局部富水。该类地下水对管道敷设施工、运营影响较小。</w:t>
      </w:r>
    </w:p>
    <w:p w:rsidR="0089329A" w:rsidRPr="00D630D1" w:rsidRDefault="0089329A" w:rsidP="0089329A">
      <w:pPr>
        <w:pStyle w:val="afa"/>
        <w:ind w:firstLine="482"/>
        <w:rPr>
          <w:b/>
          <w:bCs/>
        </w:rPr>
      </w:pPr>
      <w:r w:rsidRPr="00D630D1">
        <w:rPr>
          <w:b/>
          <w:bCs/>
        </w:rPr>
        <w:t>2</w:t>
      </w:r>
      <w:r w:rsidRPr="00D630D1">
        <w:rPr>
          <w:b/>
          <w:bCs/>
        </w:rPr>
        <w:t>、</w:t>
      </w:r>
      <w:r w:rsidRPr="00D630D1">
        <w:rPr>
          <w:rFonts w:hint="eastAsia"/>
          <w:b/>
          <w:bCs/>
        </w:rPr>
        <w:t>地下水补径排条件和地下水环境质量现状</w:t>
      </w:r>
    </w:p>
    <w:p w:rsidR="00DA703F" w:rsidRPr="00D630D1" w:rsidRDefault="0089329A" w:rsidP="0089329A">
      <w:pPr>
        <w:pStyle w:val="afa"/>
        <w:ind w:firstLine="480"/>
      </w:pPr>
      <w:r w:rsidRPr="00D630D1">
        <w:rPr>
          <w:rFonts w:hint="eastAsia"/>
        </w:rPr>
        <w:t>项目管线经过地区地下水以大气补给为主。根据地下水现状监测结果，可知项目监测点位地下水化学类型为</w:t>
      </w:r>
      <w:r w:rsidR="00B81A7E" w:rsidRPr="00D630D1">
        <w:t>HCO</w:t>
      </w:r>
      <w:r w:rsidR="00B81A7E" w:rsidRPr="00D630D1">
        <w:rPr>
          <w:vertAlign w:val="subscript"/>
        </w:rPr>
        <w:t>3</w:t>
      </w:r>
      <w:r w:rsidR="00B81A7E" w:rsidRPr="00D630D1">
        <w:t>-Mg-Ca</w:t>
      </w:r>
      <w:r w:rsidRPr="00D630D1">
        <w:rPr>
          <w:rFonts w:hint="eastAsia"/>
        </w:rPr>
        <w:t>型水，各监测点地下水各项指标</w:t>
      </w:r>
      <w:r w:rsidRPr="00D630D1">
        <w:rPr>
          <w:rFonts w:hint="eastAsia"/>
        </w:rPr>
        <w:lastRenderedPageBreak/>
        <w:t>均满足《地下水质量标准》（</w:t>
      </w:r>
      <w:r w:rsidRPr="00D630D1">
        <w:t>GB/T14848-2017</w:t>
      </w:r>
      <w:r w:rsidRPr="00D630D1">
        <w:rPr>
          <w:rFonts w:hint="eastAsia"/>
        </w:rPr>
        <w:t>）中</w:t>
      </w:r>
      <w:r w:rsidRPr="00D630D1">
        <w:t>Ⅲ</w:t>
      </w:r>
      <w:r w:rsidRPr="00D630D1">
        <w:rPr>
          <w:rFonts w:hint="eastAsia"/>
        </w:rPr>
        <w:t>类标准要求，总体来说，项目评价区内地下水水质较好。</w:t>
      </w:r>
    </w:p>
    <w:p w:rsidR="0089329A" w:rsidRPr="00D630D1" w:rsidRDefault="0089329A" w:rsidP="0089329A">
      <w:pPr>
        <w:ind w:firstLine="490"/>
        <w:rPr>
          <w:rFonts w:ascii="Times New Roman" w:cs="Times New Roman"/>
          <w:b/>
          <w:bCs/>
          <w:spacing w:val="2"/>
          <w:kern w:val="2"/>
          <w:position w:val="2"/>
          <w:szCs w:val="22"/>
        </w:rPr>
      </w:pPr>
      <w:r w:rsidRPr="00D630D1">
        <w:rPr>
          <w:rFonts w:ascii="Times New Roman" w:cs="Times New Roman"/>
          <w:b/>
          <w:bCs/>
          <w:spacing w:val="2"/>
          <w:kern w:val="2"/>
          <w:position w:val="2"/>
          <w:szCs w:val="22"/>
        </w:rPr>
        <w:t>3</w:t>
      </w:r>
      <w:r w:rsidRPr="00D630D1">
        <w:rPr>
          <w:rFonts w:ascii="Times New Roman" w:cs="Times New Roman"/>
          <w:b/>
          <w:bCs/>
          <w:spacing w:val="2"/>
          <w:kern w:val="2"/>
          <w:position w:val="2"/>
          <w:szCs w:val="22"/>
        </w:rPr>
        <w:t>、评价等级</w:t>
      </w:r>
    </w:p>
    <w:p w:rsidR="00EA7E77" w:rsidRDefault="00EA7E77" w:rsidP="00B81A7E">
      <w:pPr>
        <w:pStyle w:val="afa"/>
        <w:ind w:firstLine="480"/>
      </w:pPr>
      <w:r w:rsidRPr="00D630D1">
        <w:t>根据《环境影响评价技术导则</w:t>
      </w:r>
      <w:r w:rsidRPr="00D630D1">
        <w:t xml:space="preserve"> </w:t>
      </w:r>
      <w:r w:rsidRPr="00D630D1">
        <w:t>地下水环境》（</w:t>
      </w:r>
      <w:r w:rsidRPr="00D630D1">
        <w:t>HJ610-2016</w:t>
      </w:r>
      <w:r w:rsidRPr="00D630D1">
        <w:t>）第</w:t>
      </w:r>
      <w:r w:rsidRPr="00D630D1">
        <w:t>6.2.2.4</w:t>
      </w:r>
      <w:r w:rsidRPr="00D630D1">
        <w:t>条：线性工程根据所涉地下水环境敏感程度和主要站场位置（如输油站、泵站、加油站、机务段、服务站等）进行分段判定评价等级。本项目</w:t>
      </w:r>
      <w:r w:rsidRPr="00D630D1">
        <w:rPr>
          <w:rFonts w:hint="eastAsia"/>
        </w:rPr>
        <w:t>按</w:t>
      </w:r>
      <w:r>
        <w:rPr>
          <w:rFonts w:hint="eastAsia"/>
        </w:rPr>
        <w:t>3</w:t>
      </w:r>
      <w:r w:rsidRPr="00D630D1">
        <w:t>段进行评价，即</w:t>
      </w:r>
      <w:r>
        <w:t>普光</w:t>
      </w:r>
      <w:r>
        <w:t>12</w:t>
      </w:r>
      <w:r>
        <w:t>采气站</w:t>
      </w:r>
      <w:r w:rsidRPr="00D630D1">
        <w:rPr>
          <w:rFonts w:hint="eastAsia"/>
        </w:rPr>
        <w:t>、</w:t>
      </w:r>
      <w:r>
        <w:t>普光</w:t>
      </w:r>
      <w:r>
        <w:t>12</w:t>
      </w:r>
      <w:r>
        <w:t>采气站</w:t>
      </w:r>
      <w:r w:rsidRPr="00D630D1">
        <w:t>~</w:t>
      </w:r>
      <w:r>
        <w:rPr>
          <w:rFonts w:hint="eastAsia"/>
        </w:rPr>
        <w:t>普陆</w:t>
      </w:r>
      <w:r>
        <w:rPr>
          <w:rFonts w:hint="eastAsia"/>
        </w:rPr>
        <w:t>3</w:t>
      </w:r>
      <w:r>
        <w:rPr>
          <w:rFonts w:hint="eastAsia"/>
        </w:rPr>
        <w:t>集气站</w:t>
      </w:r>
      <w:r w:rsidRPr="00D630D1">
        <w:rPr>
          <w:rFonts w:hint="eastAsia"/>
        </w:rPr>
        <w:t>集气管道</w:t>
      </w:r>
      <w:r>
        <w:rPr>
          <w:rFonts w:hint="eastAsia"/>
        </w:rPr>
        <w:t>、</w:t>
      </w:r>
      <w:r w:rsidRPr="00D57583">
        <w:t>普陆</w:t>
      </w:r>
      <w:r w:rsidRPr="00D57583">
        <w:rPr>
          <w:rFonts w:hint="eastAsia"/>
        </w:rPr>
        <w:t>3</w:t>
      </w:r>
      <w:r w:rsidRPr="00D57583">
        <w:rPr>
          <w:rFonts w:hint="eastAsia"/>
        </w:rPr>
        <w:t>集气站</w:t>
      </w:r>
      <w:r w:rsidRPr="00D630D1">
        <w:t>~</w:t>
      </w:r>
      <w:r w:rsidRPr="00D57583">
        <w:rPr>
          <w:rFonts w:hint="eastAsia"/>
        </w:rPr>
        <w:t>P105</w:t>
      </w:r>
      <w:r w:rsidRPr="00D57583">
        <w:rPr>
          <w:rFonts w:hint="eastAsia"/>
        </w:rPr>
        <w:t>集气站</w:t>
      </w:r>
      <w:r w:rsidRPr="00D630D1">
        <w:rPr>
          <w:rFonts w:hint="eastAsia"/>
        </w:rPr>
        <w:t>集气管道</w:t>
      </w:r>
      <w:r w:rsidRPr="00D630D1">
        <w:t>。根据《环境影响评价技术导则</w:t>
      </w:r>
      <w:r w:rsidRPr="00D630D1">
        <w:t xml:space="preserve"> </w:t>
      </w:r>
      <w:r w:rsidRPr="00D630D1">
        <w:t>地下水环境》（</w:t>
      </w:r>
      <w:r w:rsidRPr="00D630D1">
        <w:t>HJ610-2016</w:t>
      </w:r>
      <w:r w:rsidRPr="00D630D1">
        <w:t>）附录</w:t>
      </w:r>
      <w:r w:rsidRPr="00D630D1">
        <w:t>A</w:t>
      </w:r>
      <w:r w:rsidRPr="00D630D1">
        <w:t>，</w:t>
      </w:r>
      <w:r w:rsidRPr="00D630D1">
        <w:t xml:space="preserve"> </w:t>
      </w:r>
      <w:r>
        <w:t>普光</w:t>
      </w:r>
      <w:r>
        <w:t>12</w:t>
      </w:r>
      <w:r>
        <w:t>采气站</w:t>
      </w:r>
      <w:r w:rsidRPr="00D630D1">
        <w:t>属于</w:t>
      </w:r>
      <w:r w:rsidRPr="00D630D1">
        <w:t>“F</w:t>
      </w:r>
      <w:r w:rsidRPr="00D630D1">
        <w:t>石油、天然气第</w:t>
      </w:r>
      <w:r w:rsidRPr="00D630D1">
        <w:t>38</w:t>
      </w:r>
      <w:r w:rsidRPr="00D630D1">
        <w:t>项天然气、页岩气开采（含净化）</w:t>
      </w:r>
      <w:r w:rsidRPr="00D630D1">
        <w:t>”</w:t>
      </w:r>
      <w:r w:rsidRPr="00D630D1">
        <w:t>，编制环评报告书的</w:t>
      </w:r>
      <w:r w:rsidRPr="00D630D1">
        <w:rPr>
          <w:rFonts w:ascii="宋体" w:hAnsi="宋体" w:cs="宋体" w:hint="eastAsia"/>
        </w:rPr>
        <w:t>Ⅱ</w:t>
      </w:r>
      <w:r w:rsidRPr="00D630D1">
        <w:t>类建设项目；集输管线属于</w:t>
      </w:r>
      <w:r w:rsidRPr="00D630D1">
        <w:t>“F</w:t>
      </w:r>
      <w:r w:rsidRPr="00D630D1">
        <w:t>石油、天然气第</w:t>
      </w:r>
      <w:r w:rsidRPr="00D630D1">
        <w:t>41</w:t>
      </w:r>
      <w:r w:rsidRPr="00D630D1">
        <w:t>项石油、天然气、成品油管线（不含城市天然气管线）</w:t>
      </w:r>
      <w:r w:rsidRPr="00D630D1">
        <w:t>”</w:t>
      </w:r>
      <w:r w:rsidRPr="00D630D1">
        <w:t>，编制环评报告书的</w:t>
      </w:r>
      <w:r w:rsidRPr="00D630D1">
        <w:rPr>
          <w:rFonts w:ascii="宋体" w:hAnsi="宋体" w:cs="宋体" w:hint="eastAsia"/>
        </w:rPr>
        <w:t>Ⅲ</w:t>
      </w:r>
      <w:r w:rsidRPr="00D630D1">
        <w:t>类建设项目。</w:t>
      </w:r>
    </w:p>
    <w:p w:rsidR="00B81A7E" w:rsidRPr="00D630D1" w:rsidRDefault="00B81A7E" w:rsidP="00B81A7E">
      <w:pPr>
        <w:pStyle w:val="afa"/>
        <w:ind w:firstLine="480"/>
      </w:pPr>
      <w:r w:rsidRPr="00D630D1">
        <w:t>根据《环境影响评价技术导则</w:t>
      </w:r>
      <w:r w:rsidRPr="00D630D1">
        <w:t xml:space="preserve"> </w:t>
      </w:r>
      <w:r w:rsidRPr="00D630D1">
        <w:t>地下水环境》（</w:t>
      </w:r>
      <w:r w:rsidRPr="00D630D1">
        <w:t>HJ610-2016</w:t>
      </w:r>
      <w:r w:rsidRPr="00D630D1">
        <w:t>）中地下水环境影响评价工作等级划分原则，地下水评价工作等级应依据建设项目行业类别和地下水环境敏感程度分级进行判定。由于项目集输管线输送介质为气液分离后的天然气，输气管线是全封闭系统，采用外防腐层和强制电流阴极保护联合方式，对地下水不会造成影响。当管线发生破裂事故，其泄漏的天然气绝大部分进行大气环境中，因此项目管线本工程不论在施工期或运营期排放的污、废水量都极小，且污染物类型简单，不易对地下水造成污染影响。</w:t>
      </w:r>
    </w:p>
    <w:p w:rsidR="00B81A7E" w:rsidRPr="00D630D1" w:rsidRDefault="00B81A7E" w:rsidP="00B81A7E">
      <w:pPr>
        <w:pStyle w:val="afa"/>
        <w:ind w:firstLine="480"/>
      </w:pPr>
      <w:r w:rsidRPr="00D630D1">
        <w:t>根据现场调查和资料收集，评价区范围内有居民分布，井场周围分散居民主要以浅层地下水（山泉出露水为主）作为生活饮用水源</w:t>
      </w:r>
      <w:r w:rsidRPr="00D630D1">
        <w:rPr>
          <w:rFonts w:hint="eastAsia"/>
        </w:rPr>
        <w:t>，</w:t>
      </w:r>
      <w:r w:rsidRPr="00D630D1">
        <w:t>属于</w:t>
      </w:r>
      <w:r w:rsidRPr="00D630D1">
        <w:rPr>
          <w:bCs/>
        </w:rPr>
        <w:t>分散式饮用水水源地</w:t>
      </w:r>
      <w:r w:rsidRPr="00D630D1">
        <w:t>。因此，评价区地下水环境敏感程度定为</w:t>
      </w:r>
      <w:r w:rsidRPr="00D630D1">
        <w:t>“</w:t>
      </w:r>
      <w:r w:rsidRPr="00D630D1">
        <w:rPr>
          <w:rFonts w:hint="eastAsia"/>
        </w:rPr>
        <w:t>较</w:t>
      </w:r>
      <w:r w:rsidRPr="00D630D1">
        <w:t>敏感</w:t>
      </w:r>
      <w:r w:rsidRPr="00D630D1">
        <w:t>”</w:t>
      </w:r>
      <w:r w:rsidRPr="00D630D1">
        <w:t>。地下水环境敏感程度识别详见表</w:t>
      </w:r>
      <w:r w:rsidRPr="00D630D1">
        <w:rPr>
          <w:rFonts w:hint="eastAsia"/>
        </w:rPr>
        <w:t>6</w:t>
      </w:r>
      <w:r w:rsidRPr="00D630D1">
        <w:t>.</w:t>
      </w:r>
      <w:r w:rsidRPr="00D630D1">
        <w:rPr>
          <w:rFonts w:hint="eastAsia"/>
        </w:rPr>
        <w:t>2</w:t>
      </w:r>
      <w:r w:rsidRPr="00D630D1">
        <w:t>-</w:t>
      </w:r>
      <w:r w:rsidRPr="00D630D1">
        <w:rPr>
          <w:rFonts w:hint="eastAsia"/>
        </w:rPr>
        <w:t>8</w:t>
      </w:r>
      <w:r w:rsidRPr="00D630D1">
        <w:t>。</w:t>
      </w:r>
    </w:p>
    <w:p w:rsidR="00B81A7E" w:rsidRPr="00D630D1" w:rsidRDefault="00B81A7E" w:rsidP="00B81A7E">
      <w:pPr>
        <w:pStyle w:val="10"/>
        <w:rPr>
          <w:rFonts w:cs="Times New Roman"/>
        </w:rPr>
      </w:pPr>
      <w:r w:rsidRPr="00D630D1">
        <w:rPr>
          <w:rFonts w:cs="Times New Roman"/>
        </w:rPr>
        <w:t>表</w:t>
      </w:r>
      <w:r w:rsidRPr="00D630D1">
        <w:rPr>
          <w:rFonts w:cs="Times New Roman"/>
        </w:rPr>
        <w:t>6.2</w:t>
      </w:r>
      <w:r w:rsidRPr="00D630D1">
        <w:rPr>
          <w:rFonts w:cs="Times New Roman" w:hint="eastAsia"/>
        </w:rPr>
        <w:t>-</w:t>
      </w:r>
      <w:r w:rsidRPr="00D630D1">
        <w:rPr>
          <w:rFonts w:cs="Times New Roman"/>
        </w:rPr>
        <w:t xml:space="preserve">8  </w:t>
      </w:r>
      <w:r w:rsidRPr="00D630D1">
        <w:rPr>
          <w:rFonts w:cs="Times New Roman"/>
        </w:rPr>
        <w:t>地下水环境敏感程度分级表</w:t>
      </w:r>
    </w:p>
    <w:tbl>
      <w:tblPr>
        <w:tblW w:w="5199" w:type="pct"/>
        <w:jc w:val="center"/>
        <w:tblCellMar>
          <w:left w:w="0" w:type="dxa"/>
          <w:right w:w="0" w:type="dxa"/>
        </w:tblCellMar>
        <w:tblLook w:val="04A0"/>
      </w:tblPr>
      <w:tblGrid>
        <w:gridCol w:w="1277"/>
        <w:gridCol w:w="7360"/>
      </w:tblGrid>
      <w:tr w:rsidR="00B81A7E" w:rsidRPr="00D630D1" w:rsidTr="002169CB">
        <w:trPr>
          <w:trHeight w:val="19"/>
          <w:jc w:val="center"/>
        </w:trPr>
        <w:tc>
          <w:tcPr>
            <w:tcW w:w="739" w:type="pct"/>
            <w:tcBorders>
              <w:top w:val="single" w:sz="12" w:space="0" w:color="000000"/>
              <w:left w:val="nil"/>
              <w:bottom w:val="single" w:sz="4"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分级</w:t>
            </w:r>
          </w:p>
        </w:tc>
        <w:tc>
          <w:tcPr>
            <w:tcW w:w="4261" w:type="pct"/>
            <w:tcBorders>
              <w:top w:val="single" w:sz="12" w:space="0" w:color="000000"/>
              <w:left w:val="single" w:sz="4" w:space="0" w:color="000000"/>
              <w:bottom w:val="single" w:sz="4" w:space="0" w:color="000000"/>
              <w:right w:val="nil"/>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地下水环境敏感特征</w:t>
            </w:r>
          </w:p>
        </w:tc>
      </w:tr>
      <w:tr w:rsidR="00B81A7E" w:rsidRPr="00D630D1" w:rsidTr="002169CB">
        <w:trPr>
          <w:trHeight w:val="19"/>
          <w:jc w:val="center"/>
        </w:trPr>
        <w:tc>
          <w:tcPr>
            <w:tcW w:w="739" w:type="pct"/>
            <w:tcBorders>
              <w:top w:val="single" w:sz="4" w:space="0" w:color="000000"/>
              <w:left w:val="nil"/>
              <w:bottom w:val="single" w:sz="4"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敏感</w:t>
            </w:r>
          </w:p>
        </w:tc>
        <w:tc>
          <w:tcPr>
            <w:tcW w:w="4261" w:type="pct"/>
            <w:tcBorders>
              <w:top w:val="single" w:sz="4" w:space="0" w:color="000000"/>
              <w:left w:val="single" w:sz="4" w:space="0" w:color="000000"/>
              <w:bottom w:val="single" w:sz="4" w:space="0" w:color="000000"/>
              <w:right w:val="nil"/>
            </w:tcBorders>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集中式饮用水水源（包括已建成的在用、备用、应急水源地，在建和规划的水源地）准保护区；除集中式饮用水水源地以外的国家或地方政府设定的与地下水环境相关的其它保护区，如热水、矿泉水、温泉等特殊地下水资源保护区。</w:t>
            </w:r>
          </w:p>
        </w:tc>
      </w:tr>
      <w:tr w:rsidR="00B81A7E" w:rsidRPr="00D630D1" w:rsidTr="002169CB">
        <w:trPr>
          <w:trHeight w:val="19"/>
          <w:jc w:val="center"/>
        </w:trPr>
        <w:tc>
          <w:tcPr>
            <w:tcW w:w="739" w:type="pct"/>
            <w:tcBorders>
              <w:top w:val="single" w:sz="4" w:space="0" w:color="000000"/>
              <w:left w:val="nil"/>
              <w:bottom w:val="single" w:sz="4"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较敏感（</w:t>
            </w:r>
            <w:r w:rsidRPr="00D630D1">
              <w:rPr>
                <w:rFonts w:ascii="Times New Roman" w:cs="Times New Roman"/>
                <w:kern w:val="2"/>
                <w:sz w:val="21"/>
              </w:rPr>
              <w:t>√</w:t>
            </w:r>
            <w:r w:rsidRPr="00D630D1">
              <w:rPr>
                <w:rFonts w:ascii="Times New Roman" w:cs="Times New Roman"/>
                <w:kern w:val="2"/>
                <w:sz w:val="21"/>
              </w:rPr>
              <w:t>）</w:t>
            </w:r>
          </w:p>
        </w:tc>
        <w:tc>
          <w:tcPr>
            <w:tcW w:w="4261" w:type="pct"/>
            <w:tcBorders>
              <w:top w:val="single" w:sz="4" w:space="0" w:color="000000"/>
              <w:left w:val="single" w:sz="4" w:space="0" w:color="000000"/>
              <w:bottom w:val="single" w:sz="4" w:space="0" w:color="000000"/>
              <w:right w:val="nil"/>
            </w:tcBorders>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集中式饮用水水源（包括已建成的在用、备用、应急水源，在建和规划的饮用水水源）准保护区以外的补给径流区；未划定准保护区的集中水式饮用水水源，其保护区以外的补给径流区；</w:t>
            </w:r>
            <w:r w:rsidRPr="00D630D1">
              <w:rPr>
                <w:rFonts w:ascii="Times New Roman" w:cs="Times New Roman"/>
                <w:bCs/>
                <w:kern w:val="2"/>
                <w:sz w:val="21"/>
              </w:rPr>
              <w:t>分散式饮用水水源地；</w:t>
            </w:r>
            <w:r w:rsidRPr="00D630D1">
              <w:rPr>
                <w:rFonts w:ascii="Times New Roman" w:cs="Times New Roman"/>
                <w:kern w:val="2"/>
                <w:sz w:val="21"/>
              </w:rPr>
              <w:t>特殊地下水资源（如矿泉水、温泉等）保护区以外的分布区等其他未列入上述敏感分级的环境敏感区。</w:t>
            </w:r>
          </w:p>
        </w:tc>
      </w:tr>
      <w:tr w:rsidR="00B81A7E" w:rsidRPr="00D630D1" w:rsidTr="002169CB">
        <w:trPr>
          <w:trHeight w:val="19"/>
          <w:jc w:val="center"/>
        </w:trPr>
        <w:tc>
          <w:tcPr>
            <w:tcW w:w="739" w:type="pct"/>
            <w:tcBorders>
              <w:top w:val="single" w:sz="4" w:space="0" w:color="000000"/>
              <w:left w:val="nil"/>
              <w:bottom w:val="single" w:sz="12"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lastRenderedPageBreak/>
              <w:t>不敏感</w:t>
            </w:r>
          </w:p>
        </w:tc>
        <w:tc>
          <w:tcPr>
            <w:tcW w:w="4261" w:type="pct"/>
            <w:tcBorders>
              <w:top w:val="single" w:sz="4" w:space="0" w:color="000000"/>
              <w:left w:val="single" w:sz="4" w:space="0" w:color="000000"/>
              <w:bottom w:val="single" w:sz="12" w:space="0" w:color="000000"/>
              <w:right w:val="nil"/>
            </w:tcBorders>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上述地区之外的其它地区。</w:t>
            </w:r>
          </w:p>
        </w:tc>
      </w:tr>
    </w:tbl>
    <w:p w:rsidR="00B81A7E" w:rsidRPr="00D630D1" w:rsidRDefault="00B81A7E" w:rsidP="00B81A7E">
      <w:pPr>
        <w:pStyle w:val="afa"/>
        <w:ind w:firstLine="480"/>
      </w:pPr>
      <w:r w:rsidRPr="00D630D1">
        <w:t>根据《环境影响评价技术导则地下水环境》（</w:t>
      </w:r>
      <w:r w:rsidRPr="00D630D1">
        <w:t>HJ610-2016</w:t>
      </w:r>
      <w:r w:rsidRPr="00D630D1">
        <w:t>）建设项目地下水环境影响评价工作等级划分见表</w:t>
      </w:r>
      <w:r w:rsidRPr="00D630D1">
        <w:rPr>
          <w:rFonts w:hint="eastAsia"/>
        </w:rPr>
        <w:t>6</w:t>
      </w:r>
      <w:r w:rsidRPr="00D630D1">
        <w:t>.</w:t>
      </w:r>
      <w:r w:rsidRPr="00D630D1">
        <w:rPr>
          <w:rFonts w:hint="eastAsia"/>
        </w:rPr>
        <w:t>2</w:t>
      </w:r>
      <w:r w:rsidRPr="00D630D1">
        <w:t>-</w:t>
      </w:r>
      <w:r w:rsidRPr="00D630D1">
        <w:rPr>
          <w:rFonts w:hint="eastAsia"/>
        </w:rPr>
        <w:t>9</w:t>
      </w:r>
      <w:r w:rsidRPr="00D630D1">
        <w:t>。</w:t>
      </w:r>
    </w:p>
    <w:p w:rsidR="00B81A7E" w:rsidRPr="00D630D1" w:rsidRDefault="00B81A7E" w:rsidP="00B81A7E">
      <w:pPr>
        <w:pStyle w:val="10"/>
        <w:rPr>
          <w:rFonts w:cs="Times New Roman"/>
        </w:rPr>
      </w:pPr>
      <w:r w:rsidRPr="00D630D1">
        <w:rPr>
          <w:rFonts w:cs="Times New Roman"/>
        </w:rPr>
        <w:t>表</w:t>
      </w:r>
      <w:r w:rsidRPr="00D630D1">
        <w:rPr>
          <w:rFonts w:cs="Times New Roman" w:hint="eastAsia"/>
        </w:rPr>
        <w:t>6</w:t>
      </w:r>
      <w:r w:rsidRPr="00D630D1">
        <w:rPr>
          <w:rFonts w:cs="Times New Roman"/>
        </w:rPr>
        <w:t>.</w:t>
      </w:r>
      <w:r w:rsidRPr="00D630D1">
        <w:rPr>
          <w:rFonts w:cs="Times New Roman" w:hint="eastAsia"/>
        </w:rPr>
        <w:t>2</w:t>
      </w:r>
      <w:r w:rsidRPr="00D630D1">
        <w:rPr>
          <w:rFonts w:cs="Times New Roman"/>
        </w:rPr>
        <w:t>-</w:t>
      </w:r>
      <w:r w:rsidRPr="00D630D1">
        <w:rPr>
          <w:rFonts w:cs="Times New Roman" w:hint="eastAsia"/>
        </w:rPr>
        <w:t>9</w:t>
      </w:r>
      <w:r w:rsidRPr="00D630D1">
        <w:rPr>
          <w:rFonts w:cs="Times New Roman"/>
        </w:rPr>
        <w:t xml:space="preserve">  </w:t>
      </w:r>
      <w:r w:rsidRPr="00D630D1">
        <w:rPr>
          <w:rFonts w:cs="Times New Roman"/>
        </w:rPr>
        <w:t>地下水环境影响评价工作等级分级表</w:t>
      </w:r>
    </w:p>
    <w:tbl>
      <w:tblPr>
        <w:tblW w:w="5126" w:type="pct"/>
        <w:jc w:val="center"/>
        <w:tblCellMar>
          <w:left w:w="0" w:type="dxa"/>
          <w:right w:w="0" w:type="dxa"/>
        </w:tblCellMar>
        <w:tblLook w:val="04A0"/>
      </w:tblPr>
      <w:tblGrid>
        <w:gridCol w:w="3108"/>
        <w:gridCol w:w="1824"/>
        <w:gridCol w:w="1829"/>
        <w:gridCol w:w="1754"/>
      </w:tblGrid>
      <w:tr w:rsidR="00B81A7E" w:rsidRPr="00D630D1" w:rsidTr="002169CB">
        <w:trPr>
          <w:trHeight w:val="19"/>
          <w:jc w:val="center"/>
        </w:trPr>
        <w:tc>
          <w:tcPr>
            <w:tcW w:w="1825" w:type="pct"/>
            <w:tcBorders>
              <w:top w:val="single" w:sz="12" w:space="0" w:color="000000"/>
              <w:left w:val="nil"/>
              <w:bottom w:val="single" w:sz="4" w:space="0" w:color="000000"/>
              <w:right w:val="single" w:sz="4" w:space="0" w:color="000000"/>
              <w:tl2br w:val="single" w:sz="4" w:space="0" w:color="auto"/>
            </w:tcBorders>
          </w:tcPr>
          <w:p w:rsidR="00B81A7E" w:rsidRPr="00D630D1" w:rsidRDefault="00B81A7E" w:rsidP="002169CB">
            <w:pPr>
              <w:topLinePunct w:val="0"/>
              <w:adjustRightInd/>
              <w:spacing w:line="240" w:lineRule="auto"/>
              <w:ind w:firstLineChars="0" w:firstLine="0"/>
              <w:jc w:val="right"/>
              <w:rPr>
                <w:rFonts w:ascii="Times New Roman" w:cs="Times New Roman"/>
                <w:b/>
                <w:bCs/>
                <w:kern w:val="2"/>
                <w:sz w:val="21"/>
              </w:rPr>
            </w:pPr>
            <w:r w:rsidRPr="00D630D1">
              <w:rPr>
                <w:rFonts w:ascii="Times New Roman" w:cs="Times New Roman"/>
                <w:b/>
                <w:bCs/>
                <w:kern w:val="2"/>
                <w:sz w:val="21"/>
              </w:rPr>
              <w:t>类别</w:t>
            </w:r>
          </w:p>
          <w:p w:rsidR="00B81A7E" w:rsidRPr="00D630D1" w:rsidRDefault="00B81A7E" w:rsidP="002169CB">
            <w:pPr>
              <w:topLinePunct w:val="0"/>
              <w:adjustRightInd/>
              <w:spacing w:line="240" w:lineRule="auto"/>
              <w:ind w:firstLineChars="0" w:firstLine="0"/>
              <w:rPr>
                <w:rFonts w:ascii="Times New Roman" w:cs="Times New Roman"/>
                <w:b/>
                <w:bCs/>
                <w:kern w:val="2"/>
                <w:sz w:val="21"/>
              </w:rPr>
            </w:pPr>
            <w:r w:rsidRPr="00D630D1">
              <w:rPr>
                <w:rFonts w:ascii="Times New Roman" w:cs="Times New Roman"/>
                <w:b/>
                <w:bCs/>
                <w:kern w:val="2"/>
                <w:sz w:val="21"/>
              </w:rPr>
              <w:t>环境敏感程度</w:t>
            </w:r>
          </w:p>
        </w:tc>
        <w:tc>
          <w:tcPr>
            <w:tcW w:w="1071" w:type="pct"/>
            <w:tcBorders>
              <w:top w:val="single" w:sz="12" w:space="0" w:color="000000"/>
              <w:left w:val="single" w:sz="4" w:space="0" w:color="000000"/>
              <w:bottom w:val="single" w:sz="4"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Ⅰ</w:t>
            </w:r>
            <w:r w:rsidRPr="00D630D1">
              <w:rPr>
                <w:rFonts w:ascii="Times New Roman" w:cs="Times New Roman"/>
                <w:b/>
                <w:bCs/>
                <w:kern w:val="2"/>
                <w:sz w:val="21"/>
              </w:rPr>
              <w:t>类项目</w:t>
            </w:r>
          </w:p>
        </w:tc>
        <w:tc>
          <w:tcPr>
            <w:tcW w:w="1074" w:type="pct"/>
            <w:tcBorders>
              <w:top w:val="single" w:sz="12" w:space="0" w:color="000000"/>
              <w:left w:val="single" w:sz="4" w:space="0" w:color="000000"/>
              <w:bottom w:val="single" w:sz="4"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Ⅱ</w:t>
            </w:r>
            <w:r w:rsidRPr="00D630D1">
              <w:rPr>
                <w:rFonts w:ascii="Times New Roman" w:cs="Times New Roman"/>
                <w:b/>
                <w:bCs/>
                <w:kern w:val="2"/>
                <w:sz w:val="21"/>
              </w:rPr>
              <w:t>类项目</w:t>
            </w:r>
          </w:p>
        </w:tc>
        <w:tc>
          <w:tcPr>
            <w:tcW w:w="1030" w:type="pct"/>
            <w:tcBorders>
              <w:top w:val="single" w:sz="12" w:space="0" w:color="000000"/>
              <w:left w:val="single" w:sz="4" w:space="0" w:color="000000"/>
              <w:bottom w:val="single" w:sz="4" w:space="0" w:color="000000"/>
              <w:right w:val="nil"/>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b/>
                <w:bCs/>
                <w:kern w:val="2"/>
                <w:sz w:val="21"/>
              </w:rPr>
            </w:pPr>
            <w:r w:rsidRPr="00D630D1">
              <w:rPr>
                <w:rFonts w:ascii="Times New Roman" w:cs="Times New Roman"/>
                <w:b/>
                <w:bCs/>
                <w:kern w:val="2"/>
                <w:sz w:val="21"/>
              </w:rPr>
              <w:t>Ⅲ</w:t>
            </w:r>
            <w:r w:rsidRPr="00D630D1">
              <w:rPr>
                <w:rFonts w:ascii="Times New Roman" w:cs="Times New Roman"/>
                <w:b/>
                <w:bCs/>
                <w:kern w:val="2"/>
                <w:sz w:val="21"/>
              </w:rPr>
              <w:t>类项目</w:t>
            </w:r>
          </w:p>
        </w:tc>
      </w:tr>
      <w:tr w:rsidR="00B81A7E" w:rsidRPr="00D630D1" w:rsidTr="002169CB">
        <w:trPr>
          <w:trHeight w:val="19"/>
          <w:jc w:val="center"/>
        </w:trPr>
        <w:tc>
          <w:tcPr>
            <w:tcW w:w="1825" w:type="pct"/>
            <w:tcBorders>
              <w:top w:val="single" w:sz="4" w:space="0" w:color="000000"/>
              <w:left w:val="nil"/>
              <w:bottom w:val="single" w:sz="4"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敏感</w:t>
            </w:r>
          </w:p>
        </w:tc>
        <w:tc>
          <w:tcPr>
            <w:tcW w:w="1071" w:type="pct"/>
            <w:tcBorders>
              <w:top w:val="single" w:sz="4" w:space="0" w:color="000000"/>
              <w:left w:val="single" w:sz="4" w:space="0" w:color="000000"/>
              <w:bottom w:val="single" w:sz="4"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一</w:t>
            </w:r>
          </w:p>
        </w:tc>
        <w:tc>
          <w:tcPr>
            <w:tcW w:w="1074" w:type="pct"/>
            <w:tcBorders>
              <w:top w:val="single" w:sz="4" w:space="0" w:color="000000"/>
              <w:left w:val="single" w:sz="4" w:space="0" w:color="000000"/>
              <w:bottom w:val="single" w:sz="4"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一</w:t>
            </w:r>
          </w:p>
        </w:tc>
        <w:tc>
          <w:tcPr>
            <w:tcW w:w="1030" w:type="pct"/>
            <w:tcBorders>
              <w:top w:val="single" w:sz="4" w:space="0" w:color="000000"/>
              <w:left w:val="single" w:sz="4" w:space="0" w:color="000000"/>
              <w:bottom w:val="single" w:sz="4" w:space="0" w:color="000000"/>
              <w:right w:val="nil"/>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二</w:t>
            </w:r>
          </w:p>
        </w:tc>
      </w:tr>
      <w:tr w:rsidR="00B81A7E" w:rsidRPr="00D630D1" w:rsidTr="002169CB">
        <w:trPr>
          <w:trHeight w:val="19"/>
          <w:jc w:val="center"/>
        </w:trPr>
        <w:tc>
          <w:tcPr>
            <w:tcW w:w="1825" w:type="pct"/>
            <w:tcBorders>
              <w:top w:val="single" w:sz="4" w:space="0" w:color="000000"/>
              <w:left w:val="nil"/>
              <w:bottom w:val="single" w:sz="4"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较敏感</w:t>
            </w:r>
          </w:p>
        </w:tc>
        <w:tc>
          <w:tcPr>
            <w:tcW w:w="1071" w:type="pct"/>
            <w:tcBorders>
              <w:top w:val="single" w:sz="4" w:space="0" w:color="000000"/>
              <w:left w:val="single" w:sz="4" w:space="0" w:color="000000"/>
              <w:bottom w:val="single" w:sz="4"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一</w:t>
            </w:r>
          </w:p>
        </w:tc>
        <w:tc>
          <w:tcPr>
            <w:tcW w:w="1074" w:type="pct"/>
            <w:tcBorders>
              <w:top w:val="single" w:sz="4" w:space="0" w:color="000000"/>
              <w:left w:val="single" w:sz="4" w:space="0" w:color="000000"/>
              <w:bottom w:val="single" w:sz="4"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二</w:t>
            </w:r>
            <w:r w:rsidRPr="00D630D1">
              <w:rPr>
                <w:rFonts w:ascii="Times New Roman" w:cs="Times New Roman"/>
                <w:bCs/>
                <w:kern w:val="2"/>
                <w:sz w:val="21"/>
              </w:rPr>
              <w:t>（</w:t>
            </w:r>
            <w:r w:rsidRPr="00D630D1">
              <w:rPr>
                <w:rFonts w:ascii="Times New Roman" w:cs="Times New Roman"/>
                <w:bCs/>
                <w:kern w:val="2"/>
                <w:sz w:val="21"/>
              </w:rPr>
              <w:t>√</w:t>
            </w:r>
            <w:r w:rsidRPr="00D630D1">
              <w:rPr>
                <w:rFonts w:ascii="Times New Roman" w:cs="Times New Roman"/>
                <w:bCs/>
                <w:kern w:val="2"/>
                <w:sz w:val="21"/>
              </w:rPr>
              <w:t>）</w:t>
            </w:r>
          </w:p>
        </w:tc>
        <w:tc>
          <w:tcPr>
            <w:tcW w:w="1030" w:type="pct"/>
            <w:tcBorders>
              <w:top w:val="single" w:sz="4" w:space="0" w:color="000000"/>
              <w:left w:val="single" w:sz="4" w:space="0" w:color="000000"/>
              <w:bottom w:val="single" w:sz="4" w:space="0" w:color="000000"/>
              <w:right w:val="nil"/>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bCs/>
                <w:kern w:val="2"/>
                <w:sz w:val="21"/>
              </w:rPr>
            </w:pPr>
            <w:r w:rsidRPr="00D630D1">
              <w:rPr>
                <w:rFonts w:ascii="Times New Roman" w:cs="Times New Roman"/>
                <w:bCs/>
                <w:kern w:val="2"/>
                <w:sz w:val="21"/>
              </w:rPr>
              <w:t>三（</w:t>
            </w:r>
            <w:r w:rsidRPr="00D630D1">
              <w:rPr>
                <w:rFonts w:ascii="Times New Roman" w:cs="Times New Roman"/>
                <w:bCs/>
                <w:kern w:val="2"/>
                <w:sz w:val="21"/>
              </w:rPr>
              <w:t>√</w:t>
            </w:r>
            <w:r w:rsidRPr="00D630D1">
              <w:rPr>
                <w:rFonts w:ascii="Times New Roman" w:cs="Times New Roman"/>
                <w:bCs/>
                <w:kern w:val="2"/>
                <w:sz w:val="21"/>
              </w:rPr>
              <w:t>）</w:t>
            </w:r>
          </w:p>
        </w:tc>
      </w:tr>
      <w:tr w:rsidR="00B81A7E" w:rsidRPr="00D630D1" w:rsidTr="002169CB">
        <w:trPr>
          <w:trHeight w:val="19"/>
          <w:jc w:val="center"/>
        </w:trPr>
        <w:tc>
          <w:tcPr>
            <w:tcW w:w="1825" w:type="pct"/>
            <w:tcBorders>
              <w:top w:val="single" w:sz="4" w:space="0" w:color="000000"/>
              <w:left w:val="nil"/>
              <w:bottom w:val="single" w:sz="12"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不敏感</w:t>
            </w:r>
          </w:p>
        </w:tc>
        <w:tc>
          <w:tcPr>
            <w:tcW w:w="1071" w:type="pct"/>
            <w:tcBorders>
              <w:top w:val="single" w:sz="4" w:space="0" w:color="000000"/>
              <w:left w:val="single" w:sz="4" w:space="0" w:color="000000"/>
              <w:bottom w:val="single" w:sz="12"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二</w:t>
            </w:r>
          </w:p>
        </w:tc>
        <w:tc>
          <w:tcPr>
            <w:tcW w:w="1074" w:type="pct"/>
            <w:tcBorders>
              <w:top w:val="single" w:sz="4" w:space="0" w:color="000000"/>
              <w:left w:val="single" w:sz="4" w:space="0" w:color="000000"/>
              <w:bottom w:val="single" w:sz="12" w:space="0" w:color="000000"/>
              <w:right w:val="single" w:sz="4" w:space="0" w:color="000000"/>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三</w:t>
            </w:r>
          </w:p>
        </w:tc>
        <w:tc>
          <w:tcPr>
            <w:tcW w:w="1030" w:type="pct"/>
            <w:tcBorders>
              <w:top w:val="single" w:sz="4" w:space="0" w:color="000000"/>
              <w:left w:val="single" w:sz="4" w:space="0" w:color="000000"/>
              <w:bottom w:val="single" w:sz="12" w:space="0" w:color="000000"/>
              <w:right w:val="nil"/>
            </w:tcBorders>
            <w:vAlign w:val="center"/>
          </w:tcPr>
          <w:p w:rsidR="00B81A7E" w:rsidRPr="00D630D1" w:rsidRDefault="00B81A7E" w:rsidP="002169CB">
            <w:pPr>
              <w:topLinePunct w:val="0"/>
              <w:adjustRightInd/>
              <w:spacing w:line="240" w:lineRule="auto"/>
              <w:ind w:firstLineChars="0" w:firstLine="0"/>
              <w:jc w:val="center"/>
              <w:rPr>
                <w:rFonts w:ascii="Times New Roman" w:cs="Times New Roman"/>
                <w:kern w:val="2"/>
                <w:sz w:val="21"/>
              </w:rPr>
            </w:pPr>
            <w:r w:rsidRPr="00D630D1">
              <w:rPr>
                <w:rFonts w:ascii="Times New Roman" w:cs="Times New Roman"/>
                <w:kern w:val="2"/>
                <w:sz w:val="21"/>
              </w:rPr>
              <w:t>三</w:t>
            </w:r>
          </w:p>
        </w:tc>
      </w:tr>
    </w:tbl>
    <w:p w:rsidR="006C6B57" w:rsidRPr="00D630D1" w:rsidRDefault="006C6B57" w:rsidP="0089329A">
      <w:pPr>
        <w:pStyle w:val="afa"/>
        <w:ind w:firstLine="480"/>
      </w:pPr>
      <w:r w:rsidRPr="00D630D1">
        <w:t>综合以上</w:t>
      </w:r>
      <w:r w:rsidRPr="00D630D1">
        <w:t>“</w:t>
      </w:r>
      <w:r w:rsidRPr="00D630D1">
        <w:t>项目类别</w:t>
      </w:r>
      <w:r w:rsidRPr="00D630D1">
        <w:t>”</w:t>
      </w:r>
      <w:r w:rsidRPr="00D630D1">
        <w:t>和</w:t>
      </w:r>
      <w:r w:rsidRPr="00D630D1">
        <w:t>“</w:t>
      </w:r>
      <w:r w:rsidRPr="00D630D1">
        <w:t>地下水环境敏感程度分级</w:t>
      </w:r>
      <w:r w:rsidRPr="00D630D1">
        <w:t>”</w:t>
      </w:r>
      <w:r w:rsidRPr="00D630D1">
        <w:t>结果，查询《环境影响评价技术导则</w:t>
      </w:r>
      <w:r w:rsidRPr="00D630D1">
        <w:t xml:space="preserve"> </w:t>
      </w:r>
      <w:r w:rsidRPr="00D630D1">
        <w:t>地下水环境》（</w:t>
      </w:r>
      <w:r w:rsidRPr="00D630D1">
        <w:t>HJ610-2016</w:t>
      </w:r>
      <w:r w:rsidRPr="00D630D1">
        <w:t>）建设项目评价工作等级分级表，确定本次建设项目中涉及的</w:t>
      </w:r>
      <w:r w:rsidR="002C00AE">
        <w:t>普光</w:t>
      </w:r>
      <w:r w:rsidR="002C00AE">
        <w:t>12</w:t>
      </w:r>
      <w:r w:rsidR="002C00AE">
        <w:t>采气站</w:t>
      </w:r>
      <w:r w:rsidR="00BE68D7" w:rsidRPr="00D630D1">
        <w:t>评价工作等级</w:t>
      </w:r>
      <w:r w:rsidRPr="00D630D1">
        <w:t>为</w:t>
      </w:r>
      <w:r w:rsidRPr="00D630D1">
        <w:t>“</w:t>
      </w:r>
      <w:r w:rsidRPr="00D630D1">
        <w:rPr>
          <w:rFonts w:hint="eastAsia"/>
        </w:rPr>
        <w:t>二</w:t>
      </w:r>
      <w:r w:rsidRPr="00D630D1">
        <w:t>级</w:t>
      </w:r>
      <w:r w:rsidRPr="00D630D1">
        <w:t>”</w:t>
      </w:r>
      <w:r w:rsidRPr="00D630D1">
        <w:rPr>
          <w:rFonts w:hint="eastAsia"/>
        </w:rPr>
        <w:t>，</w:t>
      </w:r>
      <w:r w:rsidRPr="00D630D1">
        <w:t xml:space="preserve"> </w:t>
      </w:r>
      <w:r w:rsidR="00DD3EA1">
        <w:t>普光</w:t>
      </w:r>
      <w:r w:rsidR="00DD3EA1">
        <w:t>12</w:t>
      </w:r>
      <w:r w:rsidR="00DD3EA1">
        <w:t>采气站</w:t>
      </w:r>
      <w:r w:rsidR="00BE68D7" w:rsidRPr="00D630D1">
        <w:t>~</w:t>
      </w:r>
      <w:r w:rsidR="00D57583">
        <w:rPr>
          <w:rFonts w:hint="eastAsia"/>
        </w:rPr>
        <w:t>普陆</w:t>
      </w:r>
      <w:r w:rsidR="00D57583">
        <w:rPr>
          <w:rFonts w:hint="eastAsia"/>
        </w:rPr>
        <w:t>3</w:t>
      </w:r>
      <w:r w:rsidR="00D57583">
        <w:rPr>
          <w:rFonts w:hint="eastAsia"/>
        </w:rPr>
        <w:t>集气站</w:t>
      </w:r>
      <w:r w:rsidR="00BE68D7" w:rsidRPr="00D630D1">
        <w:rPr>
          <w:rFonts w:hint="eastAsia"/>
        </w:rPr>
        <w:t>集气管道</w:t>
      </w:r>
      <w:r w:rsidR="00C841CB">
        <w:rPr>
          <w:rFonts w:hint="eastAsia"/>
        </w:rPr>
        <w:t>、、</w:t>
      </w:r>
      <w:r w:rsidR="00C841CB" w:rsidRPr="00D57583">
        <w:t>普陆</w:t>
      </w:r>
      <w:r w:rsidR="00C841CB" w:rsidRPr="00D57583">
        <w:rPr>
          <w:rFonts w:hint="eastAsia"/>
        </w:rPr>
        <w:t>3</w:t>
      </w:r>
      <w:r w:rsidR="00C841CB" w:rsidRPr="00D57583">
        <w:rPr>
          <w:rFonts w:hint="eastAsia"/>
        </w:rPr>
        <w:t>集气站</w:t>
      </w:r>
      <w:r w:rsidR="00C841CB" w:rsidRPr="00D630D1">
        <w:t>~</w:t>
      </w:r>
      <w:r w:rsidR="00C841CB" w:rsidRPr="00D57583">
        <w:rPr>
          <w:rFonts w:hint="eastAsia"/>
        </w:rPr>
        <w:t>P105</w:t>
      </w:r>
      <w:r w:rsidR="00C841CB" w:rsidRPr="00D57583">
        <w:rPr>
          <w:rFonts w:hint="eastAsia"/>
        </w:rPr>
        <w:t>集气站</w:t>
      </w:r>
      <w:r w:rsidR="00C841CB" w:rsidRPr="00D630D1">
        <w:rPr>
          <w:rFonts w:hint="eastAsia"/>
        </w:rPr>
        <w:t>集气管道</w:t>
      </w:r>
      <w:r w:rsidRPr="00D630D1">
        <w:t>评价工作等级均为</w:t>
      </w:r>
      <w:r w:rsidRPr="00D630D1">
        <w:t>“</w:t>
      </w:r>
      <w:r w:rsidRPr="00D630D1">
        <w:rPr>
          <w:rFonts w:hint="eastAsia"/>
        </w:rPr>
        <w:t>三</w:t>
      </w:r>
      <w:r w:rsidRPr="00D630D1">
        <w:t>级</w:t>
      </w:r>
      <w:r w:rsidRPr="00D630D1">
        <w:t>”</w:t>
      </w:r>
      <w:r w:rsidRPr="00D630D1">
        <w:t>。</w:t>
      </w:r>
    </w:p>
    <w:p w:rsidR="00DA703F" w:rsidRPr="00D630D1" w:rsidRDefault="0089329A" w:rsidP="0089329A">
      <w:pPr>
        <w:pStyle w:val="afa"/>
        <w:ind w:firstLine="482"/>
        <w:rPr>
          <w:b/>
          <w:bCs/>
        </w:rPr>
      </w:pPr>
      <w:r w:rsidRPr="00D630D1">
        <w:rPr>
          <w:rFonts w:hint="eastAsia"/>
          <w:b/>
          <w:bCs/>
        </w:rPr>
        <w:t>4</w:t>
      </w:r>
      <w:r w:rsidRPr="00D630D1">
        <w:rPr>
          <w:b/>
          <w:bCs/>
        </w:rPr>
        <w:t>、</w:t>
      </w:r>
      <w:r w:rsidRPr="00D630D1">
        <w:rPr>
          <w:rFonts w:hint="eastAsia"/>
          <w:b/>
          <w:bCs/>
        </w:rPr>
        <w:t>地下水环境影响预测与分析</w:t>
      </w:r>
    </w:p>
    <w:p w:rsidR="0089329A" w:rsidRPr="00D630D1" w:rsidRDefault="0089329A" w:rsidP="00ED0BBC">
      <w:pPr>
        <w:pStyle w:val="afa"/>
        <w:ind w:firstLine="480"/>
        <w:rPr>
          <w:highlight w:val="yellow"/>
        </w:rPr>
      </w:pPr>
      <w:r w:rsidRPr="00D630D1">
        <w:rPr>
          <w:rFonts w:hint="eastAsia"/>
        </w:rPr>
        <w:t>根据</w:t>
      </w:r>
      <w:r w:rsidRPr="00D630D1">
        <w:t>《环境影响评价技术导则</w:t>
      </w:r>
      <w:r w:rsidRPr="00D630D1">
        <w:t xml:space="preserve"> </w:t>
      </w:r>
      <w:r w:rsidRPr="00D630D1">
        <w:t>地下水环境》（</w:t>
      </w:r>
      <w:r w:rsidRPr="00D630D1">
        <w:t>HJ610-2016</w:t>
      </w:r>
      <w:r w:rsidRPr="00D630D1">
        <w:t>）</w:t>
      </w:r>
      <w:r w:rsidRPr="00D630D1">
        <w:rPr>
          <w:rFonts w:hint="eastAsia"/>
        </w:rPr>
        <w:t>7</w:t>
      </w:r>
      <w:r w:rsidRPr="00D630D1">
        <w:t>.4.3</w:t>
      </w:r>
      <w:r w:rsidRPr="00D630D1">
        <w:rPr>
          <w:rFonts w:hint="eastAsia"/>
        </w:rPr>
        <w:t>“</w:t>
      </w:r>
      <w:r w:rsidR="00B81A7E" w:rsidRPr="00D630D1">
        <w:rPr>
          <w:rFonts w:hint="eastAsia"/>
        </w:rPr>
        <w:t>二</w:t>
      </w:r>
      <w:r w:rsidRPr="00D630D1">
        <w:rPr>
          <w:rFonts w:hint="eastAsia"/>
        </w:rPr>
        <w:t>级评价要求”“采用</w:t>
      </w:r>
      <w:r w:rsidR="000851B1" w:rsidRPr="00D630D1">
        <w:rPr>
          <w:rFonts w:hint="eastAsia"/>
        </w:rPr>
        <w:t>数值法或</w:t>
      </w:r>
      <w:r w:rsidRPr="00D630D1">
        <w:rPr>
          <w:rFonts w:hint="eastAsia"/>
        </w:rPr>
        <w:t>解析法进行地下水影响分析与评价”</w:t>
      </w:r>
      <w:r w:rsidR="006C6B57" w:rsidRPr="00D630D1">
        <w:rPr>
          <w:rFonts w:hint="eastAsia"/>
        </w:rPr>
        <w:t>，主要针对</w:t>
      </w:r>
      <w:r w:rsidR="00D57583">
        <w:t>普陆</w:t>
      </w:r>
      <w:r w:rsidR="00D57583">
        <w:t>3</w:t>
      </w:r>
      <w:r w:rsidR="00D57583">
        <w:t>集气站</w:t>
      </w:r>
      <w:r w:rsidR="00EF360A" w:rsidRPr="00D630D1">
        <w:t>污水缓冲罐</w:t>
      </w:r>
      <w:r w:rsidR="006C6B57" w:rsidRPr="00D630D1">
        <w:t>对地下水环境影响进行预测和分析</w:t>
      </w:r>
      <w:r w:rsidRPr="00D630D1">
        <w:rPr>
          <w:rFonts w:hint="eastAsia"/>
        </w:rPr>
        <w:t>。</w:t>
      </w:r>
    </w:p>
    <w:p w:rsidR="001E48DD" w:rsidRPr="00D630D1" w:rsidRDefault="001E48DD" w:rsidP="001E48DD">
      <w:pPr>
        <w:pStyle w:val="afa"/>
        <w:ind w:firstLine="482"/>
        <w:rPr>
          <w:b/>
          <w:bCs/>
        </w:rPr>
      </w:pPr>
      <w:r w:rsidRPr="00D630D1">
        <w:rPr>
          <w:rFonts w:hint="eastAsia"/>
          <w:b/>
          <w:bCs/>
        </w:rPr>
        <w:t>（</w:t>
      </w:r>
      <w:r w:rsidRPr="00D630D1">
        <w:rPr>
          <w:rFonts w:hint="eastAsia"/>
          <w:b/>
          <w:bCs/>
        </w:rPr>
        <w:t>1</w:t>
      </w:r>
      <w:r w:rsidRPr="00D630D1">
        <w:rPr>
          <w:rFonts w:hint="eastAsia"/>
          <w:b/>
          <w:bCs/>
        </w:rPr>
        <w:t>）预测时段</w:t>
      </w:r>
    </w:p>
    <w:p w:rsidR="001E48DD" w:rsidRPr="00D630D1" w:rsidRDefault="00FF6C0C" w:rsidP="00FF6C0C">
      <w:pPr>
        <w:pStyle w:val="afa"/>
        <w:ind w:firstLine="480"/>
      </w:pPr>
      <w:r w:rsidRPr="00D630D1">
        <w:rPr>
          <w:rFonts w:hint="eastAsia"/>
        </w:rPr>
        <w:t>根据《建设项目环境影响评价技术导则地下水环境》（</w:t>
      </w:r>
      <w:r w:rsidRPr="00D630D1">
        <w:t>HJ610-2016</w:t>
      </w:r>
      <w:r w:rsidRPr="00D630D1">
        <w:rPr>
          <w:rFonts w:hint="eastAsia"/>
        </w:rPr>
        <w:t>），结合本项目特点，将生产运营期地下水环境影响预测时段限定为</w:t>
      </w:r>
      <w:r w:rsidRPr="00D630D1">
        <w:t>100</w:t>
      </w:r>
      <w:r w:rsidRPr="00D630D1">
        <w:rPr>
          <w:rFonts w:hint="eastAsia"/>
        </w:rPr>
        <w:t>天、</w:t>
      </w:r>
      <w:r w:rsidR="0013064A" w:rsidRPr="00D630D1">
        <w:rPr>
          <w:rFonts w:hint="eastAsia"/>
        </w:rPr>
        <w:t>365</w:t>
      </w:r>
      <w:r w:rsidRPr="00D630D1">
        <w:rPr>
          <w:rFonts w:hint="eastAsia"/>
        </w:rPr>
        <w:t>天。</w:t>
      </w:r>
    </w:p>
    <w:p w:rsidR="0089329A" w:rsidRPr="00D630D1" w:rsidRDefault="00475E3C" w:rsidP="00ED0BBC">
      <w:pPr>
        <w:pStyle w:val="afa"/>
        <w:ind w:firstLine="482"/>
        <w:rPr>
          <w:b/>
          <w:bCs/>
        </w:rPr>
      </w:pPr>
      <w:r w:rsidRPr="00D630D1">
        <w:rPr>
          <w:rFonts w:hint="eastAsia"/>
          <w:b/>
          <w:bCs/>
        </w:rPr>
        <w:t>（</w:t>
      </w:r>
      <w:r w:rsidR="00FF6C0C" w:rsidRPr="00D630D1">
        <w:rPr>
          <w:b/>
          <w:bCs/>
        </w:rPr>
        <w:t>2</w:t>
      </w:r>
      <w:r w:rsidRPr="00D630D1">
        <w:rPr>
          <w:rFonts w:hint="eastAsia"/>
          <w:b/>
          <w:bCs/>
        </w:rPr>
        <w:t>）情景设置</w:t>
      </w:r>
    </w:p>
    <w:p w:rsidR="0089329A" w:rsidRPr="00D630D1" w:rsidRDefault="00475E3C" w:rsidP="00475E3C">
      <w:pPr>
        <w:pStyle w:val="afa"/>
        <w:ind w:firstLine="480"/>
      </w:pPr>
      <w:r w:rsidRPr="00D630D1">
        <w:rPr>
          <w:rFonts w:hint="eastAsia"/>
        </w:rPr>
        <w:t>按照《环境影响评价技术导则地下水环境》（</w:t>
      </w:r>
      <w:r w:rsidRPr="00D630D1">
        <w:t>HJ610-2016</w:t>
      </w:r>
      <w:r w:rsidRPr="00D630D1">
        <w:rPr>
          <w:rFonts w:hint="eastAsia"/>
        </w:rPr>
        <w:t>）要求，根据分析，项目地下水污染源主要是指</w:t>
      </w:r>
      <w:r w:rsidR="00EF360A" w:rsidRPr="00D630D1">
        <w:rPr>
          <w:rFonts w:ascii="宋体" w:cs="宋体" w:hint="eastAsia"/>
        </w:rPr>
        <w:t>污水缓冲罐</w:t>
      </w:r>
      <w:r w:rsidRPr="00D630D1">
        <w:rPr>
          <w:rFonts w:hint="eastAsia"/>
        </w:rPr>
        <w:t>泄</w:t>
      </w:r>
      <w:r w:rsidR="00251CEC" w:rsidRPr="00D630D1">
        <w:rPr>
          <w:rFonts w:hint="eastAsia"/>
        </w:rPr>
        <w:t>漏</w:t>
      </w:r>
      <w:r w:rsidRPr="00D630D1">
        <w:rPr>
          <w:rFonts w:hint="eastAsia"/>
        </w:rPr>
        <w:t>且</w:t>
      </w:r>
      <w:r w:rsidR="0013064A" w:rsidRPr="00D630D1">
        <w:rPr>
          <w:rFonts w:hint="eastAsia"/>
        </w:rPr>
        <w:t>防渗设施失效</w:t>
      </w:r>
      <w:r w:rsidRPr="00D630D1">
        <w:rPr>
          <w:rFonts w:hint="eastAsia"/>
        </w:rPr>
        <w:t>，而主要预测点为</w:t>
      </w:r>
      <w:r w:rsidR="00EF360A" w:rsidRPr="00D630D1">
        <w:rPr>
          <w:rFonts w:ascii="宋体" w:cs="宋体" w:hint="eastAsia"/>
        </w:rPr>
        <w:t>污水缓冲罐</w:t>
      </w:r>
      <w:r w:rsidRPr="00D630D1">
        <w:rPr>
          <w:rFonts w:hint="eastAsia"/>
        </w:rPr>
        <w:t>，本次预测忽略正常工况对周边地下水的影响，主要分析在非正常状况下</w:t>
      </w:r>
      <w:r w:rsidR="00EF360A" w:rsidRPr="00D630D1">
        <w:rPr>
          <w:rFonts w:ascii="宋体" w:cs="宋体" w:hint="eastAsia"/>
        </w:rPr>
        <w:t>污水缓冲罐</w:t>
      </w:r>
      <w:r w:rsidRPr="00D630D1">
        <w:rPr>
          <w:rFonts w:hint="eastAsia"/>
        </w:rPr>
        <w:t>破损</w:t>
      </w:r>
      <w:r w:rsidR="0013064A" w:rsidRPr="00D630D1">
        <w:rPr>
          <w:rFonts w:hint="eastAsia"/>
        </w:rPr>
        <w:t>且防渗设施失效，而导致泄</w:t>
      </w:r>
      <w:r w:rsidR="00251CEC" w:rsidRPr="00D630D1">
        <w:rPr>
          <w:rFonts w:hint="eastAsia"/>
        </w:rPr>
        <w:t>漏</w:t>
      </w:r>
      <w:r w:rsidR="00D31DA2" w:rsidRPr="00D630D1">
        <w:rPr>
          <w:rFonts w:hAnsi="宋体" w:hint="eastAsia"/>
          <w:kern w:val="2"/>
        </w:rPr>
        <w:t>压裂、洗井废水</w:t>
      </w:r>
      <w:r w:rsidR="0013064A" w:rsidRPr="00D630D1">
        <w:rPr>
          <w:rFonts w:hint="eastAsia"/>
        </w:rPr>
        <w:t>直接进入潜水含水层</w:t>
      </w:r>
      <w:r w:rsidR="00B9506A" w:rsidRPr="00D630D1">
        <w:rPr>
          <w:rFonts w:hint="eastAsia"/>
        </w:rPr>
        <w:t>。</w:t>
      </w:r>
      <w:r w:rsidRPr="00D630D1">
        <w:rPr>
          <w:rFonts w:hint="eastAsia"/>
        </w:rPr>
        <w:t>考虑最不利情况，</w:t>
      </w:r>
      <w:r w:rsidR="0013064A" w:rsidRPr="00D630D1">
        <w:rPr>
          <w:rFonts w:hint="eastAsia"/>
        </w:rPr>
        <w:t>考虑</w:t>
      </w:r>
      <w:r w:rsidR="00D31DA2" w:rsidRPr="00D630D1">
        <w:rPr>
          <w:rFonts w:hAnsi="宋体" w:hint="eastAsia"/>
          <w:kern w:val="2"/>
        </w:rPr>
        <w:t>压裂、洗井废水</w:t>
      </w:r>
      <w:r w:rsidR="0013064A" w:rsidRPr="00D630D1">
        <w:rPr>
          <w:rFonts w:hint="eastAsia"/>
        </w:rPr>
        <w:t>全部全部</w:t>
      </w:r>
      <w:r w:rsidRPr="00D630D1">
        <w:rPr>
          <w:rFonts w:hint="eastAsia"/>
        </w:rPr>
        <w:t>泄</w:t>
      </w:r>
      <w:r w:rsidR="00251CEC" w:rsidRPr="00D630D1">
        <w:rPr>
          <w:rFonts w:hint="eastAsia"/>
        </w:rPr>
        <w:t>漏</w:t>
      </w:r>
      <w:r w:rsidRPr="00D630D1">
        <w:rPr>
          <w:rFonts w:hint="eastAsia"/>
        </w:rPr>
        <w:t>。结合本项目各阶段工程分析，并结合地下水环境现状调查评价，选取合适的评价方法，确定评价范围、识别预测时段和选取预测因子，从而对周边地下水环境影响的范围及程度，对本项目进行地下水水质影响预测。</w:t>
      </w:r>
    </w:p>
    <w:p w:rsidR="00475E3C" w:rsidRPr="00D630D1" w:rsidRDefault="00B9506A" w:rsidP="00475E3C">
      <w:pPr>
        <w:pStyle w:val="afa"/>
        <w:ind w:firstLine="482"/>
        <w:rPr>
          <w:b/>
          <w:bCs/>
        </w:rPr>
      </w:pPr>
      <w:r w:rsidRPr="00D630D1">
        <w:rPr>
          <w:rFonts w:hint="eastAsia"/>
          <w:b/>
          <w:bCs/>
        </w:rPr>
        <w:t>（</w:t>
      </w:r>
      <w:r w:rsidR="00FF6C0C" w:rsidRPr="00D630D1">
        <w:rPr>
          <w:b/>
          <w:bCs/>
        </w:rPr>
        <w:t>3</w:t>
      </w:r>
      <w:r w:rsidRPr="00D630D1">
        <w:rPr>
          <w:rFonts w:hint="eastAsia"/>
          <w:b/>
          <w:bCs/>
        </w:rPr>
        <w:t>）预测因子</w:t>
      </w:r>
    </w:p>
    <w:p w:rsidR="00B9506A" w:rsidRPr="00D630D1" w:rsidRDefault="00B9506A" w:rsidP="00B9506A">
      <w:pPr>
        <w:pStyle w:val="afa"/>
        <w:ind w:firstLine="480"/>
      </w:pPr>
      <w:r w:rsidRPr="00D630D1">
        <w:rPr>
          <w:rFonts w:hint="eastAsia"/>
        </w:rPr>
        <w:lastRenderedPageBreak/>
        <w:t>根据导则要求，并结合项目特点，预测因子选择应在导则要求的基础上，充分考虑选取与其排放的污染物有关的特征因子。根据废水排放中污染物排放量和排放浓度，预测因子为建设项目排放的污染物有关的特征因子。本次选取对地下水环境质量影响负荷较大的石油类进行影响预测与评估。</w:t>
      </w:r>
    </w:p>
    <w:p w:rsidR="00475E3C" w:rsidRPr="00D630D1" w:rsidRDefault="00B9506A" w:rsidP="00B9506A">
      <w:pPr>
        <w:pStyle w:val="afa"/>
        <w:ind w:firstLine="480"/>
      </w:pPr>
      <w:r w:rsidRPr="00D630D1">
        <w:rPr>
          <w:rFonts w:ascii="宋体" w:cs="宋体" w:hint="eastAsia"/>
        </w:rPr>
        <w:t>由于《地下水质量标准》（</w:t>
      </w:r>
      <w:r w:rsidRPr="00D630D1">
        <w:t>GB/T14848-2017</w:t>
      </w:r>
      <w:r w:rsidRPr="00D630D1">
        <w:rPr>
          <w:rFonts w:ascii="宋体" w:cs="宋体" w:hint="eastAsia"/>
        </w:rPr>
        <w:t>）中没有石油类相关指标，因此参照执行《地表水质量标准》（</w:t>
      </w:r>
      <w:r w:rsidRPr="00D630D1">
        <w:t>GB3838-2002</w:t>
      </w:r>
      <w:r w:rsidRPr="00D630D1">
        <w:rPr>
          <w:rFonts w:ascii="宋体" w:cs="宋体" w:hint="eastAsia"/>
        </w:rPr>
        <w:t>）中</w:t>
      </w:r>
      <w:r w:rsidRPr="00D630D1">
        <w:t>Ⅲ</w:t>
      </w:r>
      <w:r w:rsidRPr="00D630D1">
        <w:rPr>
          <w:rFonts w:ascii="宋体" w:cs="宋体" w:hint="eastAsia"/>
        </w:rPr>
        <w:t>类标准（</w:t>
      </w:r>
      <w:r w:rsidRPr="00D630D1">
        <w:t>500μg/L</w:t>
      </w:r>
      <w:r w:rsidRPr="00D630D1">
        <w:rPr>
          <w:rFonts w:ascii="宋体" w:cs="宋体" w:hint="eastAsia"/>
        </w:rPr>
        <w:t>）超过《地下水质量标准》（</w:t>
      </w:r>
      <w:r w:rsidRPr="00D630D1">
        <w:t>GB/T14848-2017</w:t>
      </w:r>
      <w:r w:rsidRPr="00D630D1">
        <w:rPr>
          <w:rFonts w:ascii="宋体" w:cs="宋体" w:hint="eastAsia"/>
        </w:rPr>
        <w:t>）的</w:t>
      </w:r>
      <w:r w:rsidRPr="00D630D1">
        <w:t>Ⅲ</w:t>
      </w:r>
      <w:r w:rsidRPr="00D630D1">
        <w:rPr>
          <w:rFonts w:ascii="宋体" w:cs="宋体" w:hint="eastAsia"/>
        </w:rPr>
        <w:t>类标准（</w:t>
      </w:r>
      <w:r w:rsidRPr="00D630D1">
        <w:t>0.05mg/L</w:t>
      </w:r>
      <w:r w:rsidRPr="00D630D1">
        <w:rPr>
          <w:rFonts w:ascii="宋体" w:cs="宋体" w:hint="eastAsia"/>
        </w:rPr>
        <w:t>），并对超过该标准的范围进行定量描述，影响范围以检测方法检出限（</w:t>
      </w:r>
      <w:r w:rsidRPr="00D630D1">
        <w:t>0.01mg/L</w:t>
      </w:r>
      <w:r w:rsidRPr="00D630D1">
        <w:rPr>
          <w:rFonts w:ascii="宋体" w:cs="宋体" w:hint="eastAsia"/>
        </w:rPr>
        <w:t>）作为影响限值。</w:t>
      </w:r>
    </w:p>
    <w:p w:rsidR="00475E3C" w:rsidRPr="00D630D1" w:rsidRDefault="00B9506A" w:rsidP="00475E3C">
      <w:pPr>
        <w:pStyle w:val="afa"/>
        <w:ind w:firstLine="482"/>
        <w:rPr>
          <w:b/>
          <w:bCs/>
        </w:rPr>
      </w:pPr>
      <w:r w:rsidRPr="00D630D1">
        <w:rPr>
          <w:rFonts w:hint="eastAsia"/>
          <w:b/>
          <w:bCs/>
        </w:rPr>
        <w:t>（</w:t>
      </w:r>
      <w:r w:rsidR="00FF6C0C" w:rsidRPr="00D630D1">
        <w:rPr>
          <w:b/>
          <w:bCs/>
        </w:rPr>
        <w:t>4</w:t>
      </w:r>
      <w:r w:rsidRPr="00D630D1">
        <w:rPr>
          <w:rFonts w:hint="eastAsia"/>
          <w:b/>
          <w:bCs/>
        </w:rPr>
        <w:t>）预测源强</w:t>
      </w:r>
    </w:p>
    <w:p w:rsidR="003B6DBD" w:rsidRPr="00D630D1" w:rsidRDefault="0013064A" w:rsidP="0013064A">
      <w:pPr>
        <w:pStyle w:val="afa"/>
        <w:ind w:firstLine="480"/>
      </w:pPr>
      <w:r w:rsidRPr="00D630D1">
        <w:rPr>
          <w:rFonts w:hint="eastAsia"/>
        </w:rPr>
        <w:t>本项目</w:t>
      </w:r>
      <w:r w:rsidR="00EF360A" w:rsidRPr="00D630D1">
        <w:rPr>
          <w:rFonts w:ascii="宋体" w:cs="宋体" w:hint="eastAsia"/>
        </w:rPr>
        <w:t>污水缓冲罐</w:t>
      </w:r>
      <w:r w:rsidRPr="00D630D1">
        <w:rPr>
          <w:rFonts w:hint="eastAsia"/>
        </w:rPr>
        <w:t>容积约</w:t>
      </w:r>
      <w:r w:rsidR="00D54C27" w:rsidRPr="00D630D1">
        <w:rPr>
          <w:rFonts w:hint="eastAsia"/>
        </w:rPr>
        <w:t>25.12</w:t>
      </w:r>
      <w:r w:rsidRPr="00D630D1">
        <w:t>m</w:t>
      </w:r>
      <w:r w:rsidRPr="00D630D1">
        <w:rPr>
          <w:vertAlign w:val="superscript"/>
        </w:rPr>
        <w:t>3</w:t>
      </w:r>
      <w:r w:rsidRPr="00D630D1">
        <w:rPr>
          <w:rFonts w:hint="eastAsia"/>
        </w:rPr>
        <w:t>，</w:t>
      </w:r>
      <w:r w:rsidR="00D54C27" w:rsidRPr="00D630D1">
        <w:rPr>
          <w:rFonts w:hint="eastAsia"/>
        </w:rPr>
        <w:t>压裂、洗井废水</w:t>
      </w:r>
      <w:r w:rsidRPr="00D630D1">
        <w:rPr>
          <w:rFonts w:hint="eastAsia"/>
        </w:rPr>
        <w:t>最大</w:t>
      </w:r>
      <w:r w:rsidR="00875654" w:rsidRPr="00D630D1">
        <w:rPr>
          <w:rFonts w:ascii="宋体" w:cs="宋体" w:hint="eastAsia"/>
        </w:rPr>
        <w:t>储存量</w:t>
      </w:r>
      <w:r w:rsidRPr="00D630D1">
        <w:rPr>
          <w:rFonts w:hint="eastAsia"/>
        </w:rPr>
        <w:t>按</w:t>
      </w:r>
      <w:r w:rsidR="00D54C27" w:rsidRPr="00D630D1">
        <w:rPr>
          <w:rFonts w:hint="eastAsia"/>
        </w:rPr>
        <w:t>25.12</w:t>
      </w:r>
      <w:r w:rsidRPr="00D630D1">
        <w:t>m</w:t>
      </w:r>
      <w:r w:rsidRPr="00D630D1">
        <w:rPr>
          <w:vertAlign w:val="superscript"/>
        </w:rPr>
        <w:t>3</w:t>
      </w:r>
      <w:r w:rsidRPr="00D630D1">
        <w:rPr>
          <w:rFonts w:hint="eastAsia"/>
        </w:rPr>
        <w:t>计，假定</w:t>
      </w:r>
      <w:r w:rsidR="00EF360A" w:rsidRPr="00D630D1">
        <w:rPr>
          <w:rFonts w:ascii="宋体" w:cs="宋体" w:hint="eastAsia"/>
        </w:rPr>
        <w:t>污水缓冲罐</w:t>
      </w:r>
      <w:r w:rsidRPr="00D630D1">
        <w:rPr>
          <w:rFonts w:hint="eastAsia"/>
        </w:rPr>
        <w:t>发生泄漏，</w:t>
      </w:r>
      <w:r w:rsidR="00EF360A" w:rsidRPr="00D630D1">
        <w:rPr>
          <w:rFonts w:ascii="宋体" w:cs="宋体" w:hint="eastAsia"/>
        </w:rPr>
        <w:t>污水缓冲罐</w:t>
      </w:r>
      <w:r w:rsidRPr="00D630D1">
        <w:rPr>
          <w:rFonts w:hint="eastAsia"/>
        </w:rPr>
        <w:t>储存的</w:t>
      </w:r>
      <w:r w:rsidR="00D31DA2" w:rsidRPr="00D630D1">
        <w:rPr>
          <w:rFonts w:hint="eastAsia"/>
        </w:rPr>
        <w:t>压裂、洗井废水</w:t>
      </w:r>
      <w:r w:rsidRPr="00D630D1">
        <w:rPr>
          <w:rFonts w:hint="eastAsia"/>
        </w:rPr>
        <w:t>全部渗漏到地下水含水层中，对地下水水质造成污染。则泄漏量为</w:t>
      </w:r>
      <w:r w:rsidR="00D54C27" w:rsidRPr="00D630D1">
        <w:rPr>
          <w:rFonts w:hint="eastAsia"/>
        </w:rPr>
        <w:t>25.12</w:t>
      </w:r>
      <w:r w:rsidRPr="00D630D1">
        <w:t>m</w:t>
      </w:r>
      <w:r w:rsidRPr="00D630D1">
        <w:rPr>
          <w:vertAlign w:val="superscript"/>
        </w:rPr>
        <w:t>3</w:t>
      </w:r>
      <w:r w:rsidRPr="00D630D1">
        <w:rPr>
          <w:rFonts w:hint="eastAsia"/>
        </w:rPr>
        <w:t>。</w:t>
      </w:r>
      <w:r w:rsidR="00854FF3" w:rsidRPr="00D630D1">
        <w:rPr>
          <w:rFonts w:hint="eastAsia"/>
        </w:rPr>
        <w:t>根据</w:t>
      </w:r>
      <w:r w:rsidR="00D31DA2" w:rsidRPr="00D630D1">
        <w:rPr>
          <w:rFonts w:hint="eastAsia"/>
        </w:rPr>
        <w:t>压裂、洗井废水</w:t>
      </w:r>
      <w:r w:rsidR="00854FF3" w:rsidRPr="00D630D1">
        <w:rPr>
          <w:rFonts w:hint="eastAsia"/>
        </w:rPr>
        <w:t>水质，主要超标污染物为石油类，事故污染物预测强度见表</w:t>
      </w:r>
      <w:r w:rsidR="00854FF3" w:rsidRPr="00D630D1">
        <w:rPr>
          <w:rFonts w:hint="eastAsia"/>
        </w:rPr>
        <w:t>6</w:t>
      </w:r>
      <w:r w:rsidR="00854FF3" w:rsidRPr="00D630D1">
        <w:t>.2-</w:t>
      </w:r>
      <w:r w:rsidR="00854FF3" w:rsidRPr="00D630D1">
        <w:rPr>
          <w:rFonts w:hint="eastAsia"/>
        </w:rPr>
        <w:t>10</w:t>
      </w:r>
      <w:r w:rsidR="00854FF3" w:rsidRPr="00D630D1">
        <w:rPr>
          <w:rFonts w:hint="eastAsia"/>
        </w:rPr>
        <w:t>。</w:t>
      </w:r>
    </w:p>
    <w:p w:rsidR="00854FF3" w:rsidRPr="00D630D1" w:rsidRDefault="00854FF3" w:rsidP="00854FF3">
      <w:pPr>
        <w:pStyle w:val="a5"/>
        <w:spacing w:before="120"/>
        <w:ind w:firstLine="422"/>
        <w:jc w:val="center"/>
        <w:rPr>
          <w:rFonts w:ascii="Times New Roman" w:eastAsia="宋体" w:hAnsi="Times New Roman"/>
          <w:sz w:val="21"/>
          <w:szCs w:val="21"/>
        </w:rPr>
      </w:pPr>
      <w:bookmarkStart w:id="506" w:name="_Ref474413801"/>
      <w:r w:rsidRPr="00D630D1">
        <w:rPr>
          <w:rFonts w:ascii="Times New Roman" w:eastAsia="宋体" w:hAnsi="Times New Roman"/>
          <w:b/>
          <w:sz w:val="21"/>
          <w:szCs w:val="21"/>
        </w:rPr>
        <w:t>表</w:t>
      </w:r>
      <w:bookmarkEnd w:id="506"/>
      <w:r w:rsidR="00CF7B73" w:rsidRPr="00D630D1">
        <w:rPr>
          <w:rFonts w:ascii="Times New Roman" w:eastAsia="宋体" w:hAnsi="Times New Roman" w:hint="eastAsia"/>
          <w:b/>
          <w:sz w:val="21"/>
          <w:szCs w:val="21"/>
        </w:rPr>
        <w:t>6</w:t>
      </w:r>
      <w:r w:rsidRPr="00D630D1">
        <w:rPr>
          <w:rFonts w:ascii="Times New Roman" w:eastAsia="宋体" w:hAnsi="Times New Roman"/>
          <w:b/>
          <w:sz w:val="21"/>
          <w:szCs w:val="21"/>
        </w:rPr>
        <w:t>.2-</w:t>
      </w:r>
      <w:r w:rsidR="00CF7B73" w:rsidRPr="00D630D1">
        <w:rPr>
          <w:rFonts w:ascii="Times New Roman" w:eastAsia="宋体" w:hAnsi="Times New Roman" w:hint="eastAsia"/>
          <w:b/>
          <w:sz w:val="21"/>
          <w:szCs w:val="21"/>
        </w:rPr>
        <w:t>10</w:t>
      </w:r>
      <w:r w:rsidRPr="00D630D1">
        <w:rPr>
          <w:rFonts w:ascii="Times New Roman" w:eastAsia="宋体" w:hAnsi="Times New Roman"/>
          <w:b/>
          <w:sz w:val="21"/>
          <w:szCs w:val="21"/>
        </w:rPr>
        <w:t xml:space="preserve">  </w:t>
      </w:r>
      <w:r w:rsidRPr="00D630D1">
        <w:rPr>
          <w:rFonts w:ascii="Times New Roman" w:eastAsia="宋体" w:hAnsi="Times New Roman"/>
          <w:b/>
          <w:sz w:val="21"/>
          <w:szCs w:val="21"/>
        </w:rPr>
        <w:t>事故情况下污染物预测源强</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456"/>
        <w:gridCol w:w="2288"/>
        <w:gridCol w:w="1488"/>
        <w:gridCol w:w="1676"/>
        <w:gridCol w:w="1614"/>
      </w:tblGrid>
      <w:tr w:rsidR="00854FF3" w:rsidRPr="00D630D1" w:rsidTr="00854FF3">
        <w:trPr>
          <w:trHeight w:val="498"/>
          <w:jc w:val="center"/>
        </w:trPr>
        <w:tc>
          <w:tcPr>
            <w:tcW w:w="1583" w:type="dxa"/>
            <w:vAlign w:val="center"/>
          </w:tcPr>
          <w:p w:rsidR="00854FF3" w:rsidRPr="00D630D1" w:rsidRDefault="00854FF3" w:rsidP="00854FF3">
            <w:pPr>
              <w:pStyle w:val="SSEC201503230"/>
              <w:rPr>
                <w:rFonts w:ascii="Times New Roman" w:hAnsi="Times New Roman"/>
                <w:b/>
              </w:rPr>
            </w:pPr>
            <w:r w:rsidRPr="00D630D1">
              <w:rPr>
                <w:rFonts w:cs="宋体" w:hint="eastAsia"/>
                <w:b/>
              </w:rPr>
              <w:t>泄漏位置</w:t>
            </w:r>
          </w:p>
        </w:tc>
        <w:tc>
          <w:tcPr>
            <w:tcW w:w="2502" w:type="dxa"/>
            <w:vAlign w:val="center"/>
          </w:tcPr>
          <w:p w:rsidR="00854FF3" w:rsidRPr="00D630D1" w:rsidRDefault="00854FF3" w:rsidP="00854FF3">
            <w:pPr>
              <w:pStyle w:val="SSEC201503230"/>
              <w:rPr>
                <w:rFonts w:ascii="Times New Roman" w:hAnsi="Times New Roman"/>
                <w:b/>
              </w:rPr>
            </w:pPr>
            <w:r w:rsidRPr="00D630D1">
              <w:rPr>
                <w:rFonts w:cs="宋体" w:hint="eastAsia"/>
                <w:b/>
              </w:rPr>
              <w:t>渗漏废水或压裂液量</w:t>
            </w:r>
          </w:p>
          <w:p w:rsidR="00854FF3" w:rsidRPr="00D630D1" w:rsidRDefault="00854FF3" w:rsidP="00854FF3">
            <w:pPr>
              <w:pStyle w:val="SSEC201503230"/>
              <w:rPr>
                <w:rFonts w:ascii="Times New Roman" w:hAnsi="Times New Roman"/>
                <w:b/>
              </w:rPr>
            </w:pPr>
            <w:r w:rsidRPr="00D630D1">
              <w:rPr>
                <w:rFonts w:cs="宋体" w:hint="eastAsia"/>
                <w:b/>
              </w:rPr>
              <w:t>（</w:t>
            </w:r>
            <w:r w:rsidRPr="00D630D1">
              <w:rPr>
                <w:rFonts w:ascii="Times New Roman" w:hAnsi="Times New Roman"/>
                <w:b/>
              </w:rPr>
              <w:t>m</w:t>
            </w:r>
            <w:r w:rsidRPr="00D630D1">
              <w:rPr>
                <w:rFonts w:ascii="Times New Roman" w:hAnsi="Times New Roman"/>
                <w:b/>
                <w:vertAlign w:val="superscript"/>
              </w:rPr>
              <w:t>3</w:t>
            </w:r>
            <w:r w:rsidRPr="00D630D1">
              <w:rPr>
                <w:rFonts w:cs="宋体" w:hint="eastAsia"/>
                <w:b/>
              </w:rPr>
              <w:t>）</w:t>
            </w:r>
          </w:p>
        </w:tc>
        <w:tc>
          <w:tcPr>
            <w:tcW w:w="1618" w:type="dxa"/>
            <w:vAlign w:val="center"/>
          </w:tcPr>
          <w:p w:rsidR="00854FF3" w:rsidRPr="00D630D1" w:rsidRDefault="00854FF3" w:rsidP="00854FF3">
            <w:pPr>
              <w:pStyle w:val="SSEC201503230"/>
              <w:rPr>
                <w:rFonts w:ascii="Times New Roman" w:hAnsi="Times New Roman"/>
                <w:b/>
              </w:rPr>
            </w:pPr>
            <w:r w:rsidRPr="00D630D1">
              <w:rPr>
                <w:rFonts w:cs="宋体" w:hint="eastAsia"/>
                <w:b/>
              </w:rPr>
              <w:t>污染物</w:t>
            </w:r>
          </w:p>
        </w:tc>
        <w:tc>
          <w:tcPr>
            <w:tcW w:w="1826" w:type="dxa"/>
            <w:vAlign w:val="center"/>
          </w:tcPr>
          <w:p w:rsidR="00854FF3" w:rsidRPr="00D630D1" w:rsidRDefault="00854FF3" w:rsidP="00854FF3">
            <w:pPr>
              <w:pStyle w:val="SSEC201503230"/>
              <w:rPr>
                <w:rFonts w:ascii="Times New Roman" w:hAnsi="Times New Roman"/>
                <w:b/>
              </w:rPr>
            </w:pPr>
            <w:r w:rsidRPr="00D630D1">
              <w:rPr>
                <w:rFonts w:cs="宋体" w:hint="eastAsia"/>
                <w:b/>
              </w:rPr>
              <w:t>污染物浓度（</w:t>
            </w:r>
            <w:r w:rsidRPr="00D630D1">
              <w:rPr>
                <w:rFonts w:ascii="Times New Roman" w:hAnsi="Times New Roman"/>
                <w:b/>
              </w:rPr>
              <w:t>mg/L</w:t>
            </w:r>
            <w:r w:rsidRPr="00D630D1">
              <w:rPr>
                <w:rFonts w:cs="宋体" w:hint="eastAsia"/>
                <w:b/>
              </w:rPr>
              <w:t>）</w:t>
            </w:r>
          </w:p>
        </w:tc>
        <w:tc>
          <w:tcPr>
            <w:tcW w:w="1757" w:type="dxa"/>
            <w:vAlign w:val="center"/>
          </w:tcPr>
          <w:p w:rsidR="00854FF3" w:rsidRPr="00D630D1" w:rsidRDefault="00854FF3" w:rsidP="00854FF3">
            <w:pPr>
              <w:pStyle w:val="SSEC201503230"/>
              <w:rPr>
                <w:rFonts w:ascii="Times New Roman" w:hAnsi="Times New Roman"/>
                <w:b/>
              </w:rPr>
            </w:pPr>
            <w:r w:rsidRPr="00D630D1">
              <w:rPr>
                <w:rFonts w:cs="宋体" w:hint="eastAsia"/>
                <w:b/>
              </w:rPr>
              <w:t>污染物渗漏量（</w:t>
            </w:r>
            <w:r w:rsidRPr="00D630D1">
              <w:rPr>
                <w:rFonts w:ascii="Times New Roman" w:hAnsi="Times New Roman"/>
                <w:b/>
              </w:rPr>
              <w:t>kg</w:t>
            </w:r>
            <w:r w:rsidRPr="00D630D1">
              <w:rPr>
                <w:rFonts w:cs="宋体" w:hint="eastAsia"/>
                <w:b/>
              </w:rPr>
              <w:t>）</w:t>
            </w:r>
          </w:p>
        </w:tc>
      </w:tr>
      <w:tr w:rsidR="00854FF3" w:rsidRPr="00D630D1" w:rsidTr="00854FF3">
        <w:trPr>
          <w:trHeight w:val="239"/>
          <w:jc w:val="center"/>
        </w:trPr>
        <w:tc>
          <w:tcPr>
            <w:tcW w:w="1583" w:type="dxa"/>
            <w:vAlign w:val="center"/>
          </w:tcPr>
          <w:p w:rsidR="00854FF3" w:rsidRPr="00D630D1" w:rsidRDefault="00EF360A" w:rsidP="00854FF3">
            <w:pPr>
              <w:pStyle w:val="SSEC201503230"/>
              <w:rPr>
                <w:rFonts w:ascii="Times New Roman" w:hAnsi="Times New Roman"/>
              </w:rPr>
            </w:pPr>
            <w:r w:rsidRPr="00D630D1">
              <w:rPr>
                <w:rFonts w:cs="宋体" w:hint="eastAsia"/>
              </w:rPr>
              <w:t>污水缓冲罐</w:t>
            </w:r>
          </w:p>
        </w:tc>
        <w:tc>
          <w:tcPr>
            <w:tcW w:w="2502" w:type="dxa"/>
            <w:vAlign w:val="center"/>
          </w:tcPr>
          <w:p w:rsidR="00854FF3" w:rsidRPr="00D630D1" w:rsidRDefault="00D54C27" w:rsidP="00854FF3">
            <w:pPr>
              <w:pStyle w:val="SSEC201503230"/>
              <w:rPr>
                <w:rFonts w:ascii="Times New Roman" w:hAnsi="Times New Roman"/>
              </w:rPr>
            </w:pPr>
            <w:r w:rsidRPr="00D630D1">
              <w:rPr>
                <w:rFonts w:ascii="Times New Roman" w:hAnsi="Times New Roman" w:hint="eastAsia"/>
              </w:rPr>
              <w:t>25.12</w:t>
            </w:r>
          </w:p>
        </w:tc>
        <w:tc>
          <w:tcPr>
            <w:tcW w:w="1618" w:type="dxa"/>
            <w:vAlign w:val="center"/>
          </w:tcPr>
          <w:p w:rsidR="00854FF3" w:rsidRPr="00D630D1" w:rsidRDefault="00854FF3" w:rsidP="00854FF3">
            <w:pPr>
              <w:pStyle w:val="SSEC201503230"/>
              <w:rPr>
                <w:rFonts w:ascii="Times New Roman" w:hAnsi="Times New Roman"/>
              </w:rPr>
            </w:pPr>
            <w:r w:rsidRPr="00D630D1">
              <w:rPr>
                <w:rFonts w:cs="宋体" w:hint="eastAsia"/>
              </w:rPr>
              <w:t>石油类</w:t>
            </w:r>
          </w:p>
        </w:tc>
        <w:tc>
          <w:tcPr>
            <w:tcW w:w="1826" w:type="dxa"/>
            <w:vAlign w:val="center"/>
          </w:tcPr>
          <w:p w:rsidR="00854FF3" w:rsidRPr="00D630D1" w:rsidRDefault="00854FF3" w:rsidP="00854FF3">
            <w:pPr>
              <w:pStyle w:val="SSEC201503230"/>
              <w:rPr>
                <w:rFonts w:ascii="Times New Roman" w:hAnsi="Times New Roman"/>
              </w:rPr>
            </w:pPr>
            <w:r w:rsidRPr="00D630D1">
              <w:rPr>
                <w:rFonts w:ascii="Times New Roman" w:hAnsi="Times New Roman" w:hint="eastAsia"/>
              </w:rPr>
              <w:t>2</w:t>
            </w:r>
            <w:r w:rsidRPr="00D630D1">
              <w:rPr>
                <w:rFonts w:ascii="Times New Roman" w:hAnsi="Times New Roman"/>
              </w:rPr>
              <w:t>00</w:t>
            </w:r>
          </w:p>
        </w:tc>
        <w:tc>
          <w:tcPr>
            <w:tcW w:w="1757" w:type="dxa"/>
            <w:vAlign w:val="center"/>
          </w:tcPr>
          <w:p w:rsidR="00854FF3" w:rsidRPr="00D630D1" w:rsidRDefault="00D54C27" w:rsidP="00854FF3">
            <w:pPr>
              <w:pStyle w:val="SSEC201503230"/>
              <w:rPr>
                <w:rFonts w:ascii="Times New Roman" w:hAnsi="Times New Roman"/>
              </w:rPr>
            </w:pPr>
            <w:r w:rsidRPr="00D630D1">
              <w:rPr>
                <w:rFonts w:ascii="Times New Roman" w:hAnsi="Times New Roman" w:hint="eastAsia"/>
              </w:rPr>
              <w:t>5.024</w:t>
            </w:r>
          </w:p>
        </w:tc>
      </w:tr>
    </w:tbl>
    <w:p w:rsidR="001E48DD" w:rsidRPr="00D630D1" w:rsidRDefault="001E48DD" w:rsidP="001E48DD">
      <w:pPr>
        <w:pStyle w:val="afa"/>
        <w:ind w:firstLine="482"/>
        <w:rPr>
          <w:b/>
          <w:bCs/>
        </w:rPr>
      </w:pPr>
      <w:r w:rsidRPr="00D630D1">
        <w:rPr>
          <w:rFonts w:hint="eastAsia"/>
          <w:b/>
          <w:bCs/>
        </w:rPr>
        <w:t>（</w:t>
      </w:r>
      <w:r w:rsidR="00FF6C0C" w:rsidRPr="00D630D1">
        <w:rPr>
          <w:b/>
          <w:bCs/>
        </w:rPr>
        <w:t>5</w:t>
      </w:r>
      <w:r w:rsidRPr="00D630D1">
        <w:rPr>
          <w:rFonts w:hint="eastAsia"/>
          <w:b/>
          <w:bCs/>
        </w:rPr>
        <w:t>）预测模型概化</w:t>
      </w:r>
    </w:p>
    <w:p w:rsidR="0013064A" w:rsidRPr="00D630D1" w:rsidRDefault="0013064A" w:rsidP="0013064A">
      <w:pPr>
        <w:pStyle w:val="afa"/>
        <w:ind w:firstLine="480"/>
      </w:pPr>
      <w:r w:rsidRPr="00D630D1">
        <w:rPr>
          <w:rFonts w:hint="eastAsia"/>
        </w:rPr>
        <w:t>当</w:t>
      </w:r>
      <w:r w:rsidR="00EF360A" w:rsidRPr="00D630D1">
        <w:rPr>
          <w:rFonts w:ascii="宋体" w:cs="宋体" w:hint="eastAsia"/>
        </w:rPr>
        <w:t>污水缓冲罐</w:t>
      </w:r>
      <w:r w:rsidRPr="00D630D1">
        <w:rPr>
          <w:rFonts w:hint="eastAsia"/>
        </w:rPr>
        <w:t>发生泄漏后，首先在包气带中垂直向下迁移，并进入到含水层中。污染物进入地下水后，以对流和弥散作用为主。另外，污染物在含水层的迁移行为还包括吸附解析、挥发和生物降解。</w:t>
      </w:r>
    </w:p>
    <w:p w:rsidR="0013064A" w:rsidRPr="00D630D1" w:rsidRDefault="0013064A" w:rsidP="0013064A">
      <w:pPr>
        <w:pStyle w:val="afa"/>
        <w:ind w:firstLine="480"/>
      </w:pPr>
      <w:r w:rsidRPr="00D630D1">
        <w:rPr>
          <w:rFonts w:hint="eastAsia"/>
        </w:rPr>
        <w:t>a.</w:t>
      </w:r>
      <w:r w:rsidRPr="00D630D1">
        <w:rPr>
          <w:rFonts w:hint="eastAsia"/>
        </w:rPr>
        <w:t>预测模型</w:t>
      </w:r>
    </w:p>
    <w:p w:rsidR="0013064A" w:rsidRPr="00D630D1" w:rsidRDefault="0013064A" w:rsidP="0013064A">
      <w:pPr>
        <w:pStyle w:val="afa"/>
        <w:ind w:firstLine="480"/>
      </w:pPr>
      <w:r w:rsidRPr="00D630D1">
        <w:rPr>
          <w:rFonts w:hint="eastAsia"/>
        </w:rPr>
        <w:t>根据本项目污染物的理化特征，出于保守性考虑，本次地下水污染模拟过程中未考虑污染物在含水层中的挥发、吸附解析和生物化学反应。建设项目地下水流向呈一维流动，地下水位动态稳定，因此污染物在含水层中的迁移，可概化为瞬时注入示踪剂（平面瞬时点源）的一维稳定流动二维水动力弥散问题，本次评价选用《环境影响评价技术导则地下水环境》（</w:t>
      </w:r>
      <w:r w:rsidRPr="00D630D1">
        <w:t>HJ610-2016</w:t>
      </w:r>
      <w:r w:rsidRPr="00D630D1">
        <w:rPr>
          <w:rFonts w:hint="eastAsia"/>
        </w:rPr>
        <w:t>）附录</w:t>
      </w:r>
      <w:r w:rsidRPr="00D630D1">
        <w:t>D.1.2.2.1</w:t>
      </w:r>
      <w:r w:rsidRPr="00D630D1">
        <w:rPr>
          <w:rFonts w:hint="eastAsia"/>
        </w:rPr>
        <w:t>推荐的常用地下水评价预测模型中污染物瞬时源浓度的解析解预测模型，解析解模型如下所示：</w:t>
      </w:r>
    </w:p>
    <w:p w:rsidR="0013064A" w:rsidRPr="00D630D1" w:rsidRDefault="0013064A" w:rsidP="0013064A">
      <w:pPr>
        <w:pStyle w:val="afa"/>
        <w:ind w:firstLine="480"/>
      </w:pPr>
      <w:r w:rsidRPr="00D630D1">
        <w:rPr>
          <w:rFonts w:hint="eastAsia"/>
        </w:rPr>
        <w:lastRenderedPageBreak/>
        <w:t>附录</w:t>
      </w:r>
      <w:r w:rsidRPr="00D630D1">
        <w:t xml:space="preserve">D.1.2.2.1 </w:t>
      </w:r>
      <w:r w:rsidRPr="00D630D1">
        <w:rPr>
          <w:rFonts w:hint="eastAsia"/>
        </w:rPr>
        <w:t>瞬时注入示踪剂</w:t>
      </w:r>
      <w:r w:rsidRPr="00D630D1">
        <w:t>—</w:t>
      </w:r>
      <w:r w:rsidRPr="00D630D1">
        <w:rPr>
          <w:rFonts w:hint="eastAsia"/>
        </w:rPr>
        <w:t>平面瞬时点源</w:t>
      </w:r>
    </w:p>
    <w:p w:rsidR="0013064A" w:rsidRPr="00D630D1" w:rsidRDefault="0013064A" w:rsidP="0013064A">
      <w:pPr>
        <w:pStyle w:val="afa"/>
        <w:ind w:firstLine="480"/>
      </w:pPr>
      <w:r w:rsidRPr="00D630D1">
        <w:object w:dxaOrig="3659" w:dyaOrig="859">
          <v:shape id="_x0000_i1029" type="#_x0000_t75" style="width:205.2pt;height:46.8pt;mso-position-horizontal-relative:page;mso-position-vertical-relative:page" o:ole="">
            <v:imagedata r:id="rId93" o:title=""/>
          </v:shape>
          <o:OLEObject Type="Embed" ProgID="Equation.DSMT4" ShapeID="_x0000_i1029" DrawAspect="Content" ObjectID="_1723238843" r:id="rId94"/>
        </w:object>
      </w:r>
    </w:p>
    <w:p w:rsidR="0013064A" w:rsidRPr="00D630D1" w:rsidRDefault="0013064A" w:rsidP="0013064A">
      <w:pPr>
        <w:pStyle w:val="afa"/>
        <w:ind w:firstLine="480"/>
      </w:pPr>
    </w:p>
    <w:p w:rsidR="0013064A" w:rsidRPr="00D630D1" w:rsidRDefault="0013064A" w:rsidP="0013064A">
      <w:pPr>
        <w:pStyle w:val="afa"/>
        <w:ind w:firstLine="480"/>
      </w:pPr>
      <w:r w:rsidRPr="00D630D1">
        <w:rPr>
          <w:rFonts w:hint="eastAsia"/>
        </w:rPr>
        <w:t>式中：</w:t>
      </w:r>
      <w:r w:rsidRPr="00D630D1">
        <w:object w:dxaOrig="419" w:dyaOrig="258">
          <v:shape id="对象 14" o:spid="_x0000_i1030" type="#_x0000_t75" style="width:19.8pt;height:10.8pt;mso-position-horizontal-relative:page;mso-position-vertical-relative:page" o:ole="">
            <v:imagedata r:id="rId95" o:title=""/>
          </v:shape>
          <o:OLEObject Type="Embed" ProgID="Equation.DSMT4" ShapeID="对象 14" DrawAspect="Content" ObjectID="_1723238844" r:id="rId96"/>
        </w:object>
      </w:r>
      <w:r w:rsidRPr="00D630D1">
        <w:t>—</w:t>
      </w:r>
      <w:r w:rsidRPr="00D630D1">
        <w:rPr>
          <w:rFonts w:hint="eastAsia"/>
        </w:rPr>
        <w:t>计算点处的位置坐标；</w:t>
      </w:r>
    </w:p>
    <w:p w:rsidR="0013064A" w:rsidRPr="00D630D1" w:rsidRDefault="0013064A" w:rsidP="0013064A">
      <w:pPr>
        <w:pStyle w:val="afa"/>
        <w:ind w:firstLine="480"/>
      </w:pPr>
      <w:r w:rsidRPr="00D630D1">
        <w:t>t—</w:t>
      </w:r>
      <w:r w:rsidRPr="00D630D1">
        <w:rPr>
          <w:rFonts w:hint="eastAsia"/>
        </w:rPr>
        <w:t>时间，</w:t>
      </w:r>
      <w:r w:rsidRPr="00D630D1">
        <w:t>d</w:t>
      </w:r>
      <w:r w:rsidRPr="00D630D1">
        <w:rPr>
          <w:rFonts w:hint="eastAsia"/>
        </w:rPr>
        <w:t>；</w:t>
      </w:r>
    </w:p>
    <w:p w:rsidR="0013064A" w:rsidRPr="00D630D1" w:rsidRDefault="0013064A" w:rsidP="0013064A">
      <w:pPr>
        <w:pStyle w:val="afa"/>
        <w:ind w:firstLine="480"/>
      </w:pPr>
      <w:r w:rsidRPr="00D630D1">
        <w:object w:dxaOrig="919" w:dyaOrig="319">
          <v:shape id="对象 15" o:spid="_x0000_i1031" type="#_x0000_t75" style="width:46.8pt;height:18pt;mso-position-horizontal-relative:page;mso-position-vertical-relative:page" o:ole="">
            <v:imagedata r:id="rId97" o:title=""/>
          </v:shape>
          <o:OLEObject Type="Embed" ProgID="Equation.DSMT4" ShapeID="对象 15" DrawAspect="Content" ObjectID="_1723238845" r:id="rId98"/>
        </w:object>
      </w:r>
      <w:r w:rsidRPr="00D630D1">
        <w:t>—t</w:t>
      </w:r>
      <w:r w:rsidRPr="00D630D1">
        <w:rPr>
          <w:rFonts w:hint="eastAsia"/>
        </w:rPr>
        <w:t>时刻点</w:t>
      </w:r>
      <w:r w:rsidRPr="00D630D1">
        <w:t>x</w:t>
      </w:r>
      <w:r w:rsidRPr="00D630D1">
        <w:rPr>
          <w:rFonts w:hint="eastAsia"/>
        </w:rPr>
        <w:t>，</w:t>
      </w:r>
      <w:r w:rsidRPr="00D630D1">
        <w:t>y</w:t>
      </w:r>
      <w:r w:rsidRPr="00D630D1">
        <w:rPr>
          <w:rFonts w:hint="eastAsia"/>
        </w:rPr>
        <w:t>处的示踪剂质量浓度，</w:t>
      </w:r>
      <w:r w:rsidRPr="00D630D1">
        <w:t>mg/L</w:t>
      </w:r>
      <w:r w:rsidRPr="00D630D1">
        <w:rPr>
          <w:rFonts w:hint="eastAsia"/>
        </w:rPr>
        <w:t>；</w:t>
      </w:r>
    </w:p>
    <w:p w:rsidR="0013064A" w:rsidRPr="00D630D1" w:rsidRDefault="0013064A" w:rsidP="0013064A">
      <w:pPr>
        <w:pStyle w:val="afa"/>
        <w:ind w:firstLine="480"/>
      </w:pPr>
      <w:r w:rsidRPr="00D630D1">
        <w:object w:dxaOrig="379" w:dyaOrig="359">
          <v:shape id="对象 16" o:spid="_x0000_i1032" type="#_x0000_t75" style="width:18pt;height:18pt;mso-position-horizontal-relative:page;mso-position-vertical-relative:page" o:ole="">
            <v:imagedata r:id="rId99" o:title=""/>
          </v:shape>
          <o:OLEObject Type="Embed" ProgID="Equation.DSMT4" ShapeID="对象 16" DrawAspect="Content" ObjectID="_1723238846" r:id="rId100"/>
        </w:object>
      </w:r>
      <w:r w:rsidRPr="00D630D1">
        <w:t>—</w:t>
      </w:r>
      <w:r w:rsidRPr="00D630D1">
        <w:rPr>
          <w:rFonts w:hint="eastAsia"/>
        </w:rPr>
        <w:t>长度为</w:t>
      </w:r>
      <w:r w:rsidRPr="00D630D1">
        <w:t>M</w:t>
      </w:r>
      <w:r w:rsidRPr="00D630D1">
        <w:rPr>
          <w:rFonts w:hint="eastAsia"/>
        </w:rPr>
        <w:t>的线源瞬时注入的示踪剂质量，</w:t>
      </w:r>
      <w:r w:rsidRPr="00D630D1">
        <w:t>kg</w:t>
      </w:r>
      <w:r w:rsidRPr="00D630D1">
        <w:rPr>
          <w:rFonts w:hint="eastAsia"/>
        </w:rPr>
        <w:t>；</w:t>
      </w:r>
    </w:p>
    <w:p w:rsidR="0013064A" w:rsidRPr="00D630D1" w:rsidRDefault="0013064A" w:rsidP="0013064A">
      <w:pPr>
        <w:pStyle w:val="afa"/>
        <w:ind w:firstLine="480"/>
      </w:pPr>
      <w:r w:rsidRPr="00D630D1">
        <w:t>M—</w:t>
      </w:r>
      <w:r w:rsidRPr="00D630D1">
        <w:rPr>
          <w:rFonts w:hint="eastAsia"/>
        </w:rPr>
        <w:t>含水层厚度，</w:t>
      </w:r>
      <w:r w:rsidRPr="00D630D1">
        <w:t>m</w:t>
      </w:r>
      <w:r w:rsidRPr="00D630D1">
        <w:rPr>
          <w:rFonts w:hint="eastAsia"/>
        </w:rPr>
        <w:t>；</w:t>
      </w:r>
    </w:p>
    <w:p w:rsidR="0013064A" w:rsidRPr="00D630D1" w:rsidRDefault="0013064A" w:rsidP="0013064A">
      <w:pPr>
        <w:pStyle w:val="afa"/>
        <w:ind w:firstLine="480"/>
      </w:pPr>
      <w:r w:rsidRPr="00D630D1">
        <w:object w:dxaOrig="199" w:dyaOrig="219">
          <v:shape id="对象 17" o:spid="_x0000_i1033" type="#_x0000_t75" style="width:10.8pt;height:10.8pt;mso-position-horizontal-relative:page;mso-position-vertical-relative:page" o:ole="">
            <v:imagedata r:id="rId101" o:title=""/>
          </v:shape>
          <o:OLEObject Type="Embed" ProgID="Equation.DSMT4" ShapeID="对象 17" DrawAspect="Content" ObjectID="_1723238847" r:id="rId102"/>
        </w:object>
      </w:r>
      <w:r w:rsidRPr="00D630D1">
        <w:t>—</w:t>
      </w:r>
      <w:r w:rsidRPr="00D630D1">
        <w:rPr>
          <w:rFonts w:hint="eastAsia"/>
        </w:rPr>
        <w:t>水流速度，</w:t>
      </w:r>
      <w:r w:rsidRPr="00D630D1">
        <w:t>m/d</w:t>
      </w:r>
      <w:r w:rsidRPr="00D630D1">
        <w:rPr>
          <w:rFonts w:hint="eastAsia"/>
        </w:rPr>
        <w:t>；</w:t>
      </w:r>
    </w:p>
    <w:p w:rsidR="0013064A" w:rsidRPr="00D630D1" w:rsidRDefault="0013064A" w:rsidP="0013064A">
      <w:pPr>
        <w:pStyle w:val="afa"/>
        <w:ind w:firstLine="480"/>
      </w:pPr>
      <w:r w:rsidRPr="00D630D1">
        <w:object w:dxaOrig="199" w:dyaOrig="219">
          <v:shape id="对象 18" o:spid="_x0000_i1034" type="#_x0000_t75" style="width:10.8pt;height:10.8pt;mso-position-horizontal-relative:page;mso-position-vertical-relative:page" o:ole="">
            <v:imagedata r:id="rId103" o:title=""/>
          </v:shape>
          <o:OLEObject Type="Embed" ProgID="Equation.DSMT4" ShapeID="对象 18" DrawAspect="Content" ObjectID="_1723238848" r:id="rId104"/>
        </w:object>
      </w:r>
      <w:r w:rsidRPr="00D630D1">
        <w:t>—</w:t>
      </w:r>
      <w:r w:rsidRPr="00D630D1">
        <w:rPr>
          <w:rFonts w:hint="eastAsia"/>
        </w:rPr>
        <w:t>有效孔隙度；</w:t>
      </w:r>
    </w:p>
    <w:p w:rsidR="0013064A" w:rsidRPr="00D630D1" w:rsidRDefault="0013064A" w:rsidP="0013064A">
      <w:pPr>
        <w:pStyle w:val="afa"/>
        <w:ind w:firstLine="480"/>
      </w:pPr>
      <w:r w:rsidRPr="00D630D1">
        <w:object w:dxaOrig="339" w:dyaOrig="359">
          <v:shape id="对象 19" o:spid="_x0000_i1035" type="#_x0000_t75" style="width:18.9pt;height:18pt;mso-position-horizontal-relative:page;mso-position-vertical-relative:page" o:ole="">
            <v:imagedata r:id="rId105" o:title=""/>
          </v:shape>
          <o:OLEObject Type="Embed" ProgID="Equation.DSMT4" ShapeID="对象 19" DrawAspect="Content" ObjectID="_1723238849" r:id="rId106"/>
        </w:object>
      </w:r>
      <w:r w:rsidRPr="00D630D1">
        <w:t>—</w:t>
      </w:r>
      <w:r w:rsidRPr="00D630D1">
        <w:rPr>
          <w:rFonts w:hint="eastAsia"/>
        </w:rPr>
        <w:t>纵向弥散系数，</w:t>
      </w:r>
      <w:r w:rsidRPr="00D630D1">
        <w:t>m</w:t>
      </w:r>
      <w:r w:rsidRPr="00D630D1">
        <w:rPr>
          <w:vertAlign w:val="superscript"/>
        </w:rPr>
        <w:t>2</w:t>
      </w:r>
      <w:r w:rsidRPr="00D630D1">
        <w:t>/d</w:t>
      </w:r>
      <w:r w:rsidRPr="00D630D1">
        <w:rPr>
          <w:rFonts w:hint="eastAsia"/>
        </w:rPr>
        <w:t>；</w:t>
      </w:r>
    </w:p>
    <w:p w:rsidR="00FF6C0C" w:rsidRPr="00D630D1" w:rsidRDefault="0013064A" w:rsidP="0013064A">
      <w:pPr>
        <w:pStyle w:val="afa"/>
        <w:ind w:firstLineChars="500" w:firstLine="1200"/>
      </w:pPr>
      <w:r w:rsidRPr="00D630D1">
        <w:object w:dxaOrig="339" w:dyaOrig="359">
          <v:shape id="对象 20" o:spid="_x0000_i1036" type="#_x0000_t75" style="width:18.9pt;height:18pt;mso-position-horizontal-relative:page;mso-position-vertical-relative:page" o:ole="">
            <v:imagedata r:id="rId107" o:title=""/>
          </v:shape>
          <o:OLEObject Type="Embed" ProgID="Equation.DSMT4" ShapeID="对象 20" DrawAspect="Content" ObjectID="_1723238850" r:id="rId108"/>
        </w:object>
      </w:r>
      <w:r w:rsidRPr="00D630D1">
        <w:t>—</w:t>
      </w:r>
      <w:r w:rsidRPr="00D630D1">
        <w:rPr>
          <w:rFonts w:hint="eastAsia"/>
        </w:rPr>
        <w:t>纵向弥散系数，</w:t>
      </w:r>
      <w:r w:rsidRPr="00D630D1">
        <w:t>m</w:t>
      </w:r>
      <w:r w:rsidRPr="00D630D1">
        <w:rPr>
          <w:vertAlign w:val="superscript"/>
        </w:rPr>
        <w:t>2</w:t>
      </w:r>
      <w:r w:rsidRPr="00D630D1">
        <w:t>/d</w:t>
      </w:r>
      <w:r w:rsidR="00FF6C0C" w:rsidRPr="00D630D1">
        <w:t>。</w:t>
      </w:r>
    </w:p>
    <w:p w:rsidR="00FF6C0C" w:rsidRPr="00D630D1" w:rsidRDefault="00FF6C0C" w:rsidP="00FF6C0C">
      <w:pPr>
        <w:pStyle w:val="afa"/>
        <w:ind w:firstLine="480"/>
      </w:pPr>
      <w:r w:rsidRPr="00D630D1">
        <w:rPr>
          <w:rFonts w:hAnsi="Calibri" w:hint="eastAsia"/>
        </w:rPr>
        <w:t>b</w:t>
      </w:r>
      <w:r w:rsidRPr="00D630D1">
        <w:rPr>
          <w:rFonts w:hAnsi="Calibri"/>
        </w:rPr>
        <w:t>.</w:t>
      </w:r>
      <w:r w:rsidRPr="00D630D1">
        <w:rPr>
          <w:rFonts w:hint="eastAsia"/>
        </w:rPr>
        <w:t>水文地质参数</w:t>
      </w:r>
    </w:p>
    <w:p w:rsidR="00CF7B73" w:rsidRPr="00D630D1" w:rsidRDefault="00CF7B73" w:rsidP="00CF7B73">
      <w:pPr>
        <w:pStyle w:val="afa"/>
        <w:ind w:firstLine="480"/>
      </w:pPr>
      <w:r w:rsidRPr="00D630D1">
        <w:t>a</w:t>
      </w:r>
      <w:r w:rsidRPr="00D630D1">
        <w:t>）含水层厚度</w:t>
      </w:r>
      <w:r w:rsidRPr="00D630D1">
        <w:t>M</w:t>
      </w:r>
      <w:r w:rsidRPr="00D630D1">
        <w:t>：含水层主要为基岩裂隙水。根据水文地质资料，本地区含水层厚度约为</w:t>
      </w:r>
      <w:r w:rsidR="00AB4A38" w:rsidRPr="00D630D1">
        <w:rPr>
          <w:rFonts w:hint="eastAsia"/>
        </w:rPr>
        <w:t>4</w:t>
      </w:r>
      <w:r w:rsidRPr="00D630D1">
        <w:t>m</w:t>
      </w:r>
      <w:r w:rsidRPr="00D630D1">
        <w:t>。</w:t>
      </w:r>
    </w:p>
    <w:p w:rsidR="00CF7B73" w:rsidRPr="00D630D1" w:rsidRDefault="00CF7B73" w:rsidP="00CF7B73">
      <w:pPr>
        <w:pStyle w:val="afa"/>
        <w:ind w:firstLine="480"/>
      </w:pPr>
      <w:r w:rsidRPr="00D630D1">
        <w:t>b</w:t>
      </w:r>
      <w:r w:rsidRPr="00D630D1">
        <w:t>）瞬时注入的示踪剂质量</w:t>
      </w:r>
      <w:r w:rsidRPr="00D630D1">
        <w:object w:dxaOrig="379" w:dyaOrig="359">
          <v:shape id="对象 21" o:spid="_x0000_i1037" type="#_x0000_t75" style="width:18pt;height:18pt;mso-position-horizontal-relative:page;mso-position-vertical-relative:page" o:ole="">
            <v:imagedata r:id="rId99" o:title=""/>
          </v:shape>
          <o:OLEObject Type="Embed" ProgID="Equation.DSMT4" ShapeID="对象 21" DrawAspect="Content" ObjectID="_1723238851" r:id="rId109"/>
        </w:object>
      </w:r>
      <w:r w:rsidRPr="00D630D1">
        <w:t>：进入地下水的污染物质量见</w:t>
      </w:r>
      <w:r w:rsidR="002A3528" w:rsidRPr="00D630D1">
        <w:rPr>
          <w:rFonts w:hint="eastAsia"/>
        </w:rPr>
        <w:t>表</w:t>
      </w:r>
      <w:r w:rsidR="002A3528" w:rsidRPr="00D630D1">
        <w:rPr>
          <w:rFonts w:hint="eastAsia"/>
        </w:rPr>
        <w:t>6</w:t>
      </w:r>
      <w:r w:rsidR="002A3528" w:rsidRPr="00D630D1">
        <w:t>.2-</w:t>
      </w:r>
      <w:r w:rsidR="002A3528" w:rsidRPr="00D630D1">
        <w:rPr>
          <w:rFonts w:hint="eastAsia"/>
        </w:rPr>
        <w:t>10</w:t>
      </w:r>
      <w:r w:rsidRPr="00D630D1">
        <w:t>。</w:t>
      </w:r>
    </w:p>
    <w:p w:rsidR="00CF7B73" w:rsidRPr="00D630D1" w:rsidRDefault="00CF7B73" w:rsidP="00CF7B73">
      <w:pPr>
        <w:pStyle w:val="afa"/>
        <w:ind w:firstLine="480"/>
      </w:pPr>
      <w:r w:rsidRPr="00D630D1">
        <w:t>c</w:t>
      </w:r>
      <w:r w:rsidRPr="00D630D1">
        <w:t>）含水层的平均有效孔隙度</w:t>
      </w:r>
      <w:r w:rsidRPr="00D630D1">
        <w:object w:dxaOrig="199" w:dyaOrig="219">
          <v:shape id="对象 22" o:spid="_x0000_i1038" type="#_x0000_t75" style="width:10.8pt;height:10.8pt;mso-position-horizontal-relative:page;mso-position-vertical-relative:page" o:ole="">
            <v:imagedata r:id="rId103" o:title=""/>
          </v:shape>
          <o:OLEObject Type="Embed" ProgID="Equation.DSMT4" ShapeID="对象 22" DrawAspect="Content" ObjectID="_1723238852" r:id="rId110"/>
        </w:object>
      </w:r>
      <w:r w:rsidRPr="00D630D1">
        <w:t>：根据含水层岩性，参照《水文地质手册（第二版）》（中国地质调查局，</w:t>
      </w:r>
      <w:r w:rsidRPr="00D630D1">
        <w:t>2002</w:t>
      </w:r>
      <w:r w:rsidRPr="00D630D1">
        <w:t>年）经验数值，有效孔隙度取值</w:t>
      </w:r>
      <w:r w:rsidRPr="00D630D1">
        <w:t>0.042</w:t>
      </w:r>
      <w:r w:rsidRPr="00D630D1">
        <w:t>。</w:t>
      </w:r>
    </w:p>
    <w:p w:rsidR="00CF7B73" w:rsidRPr="00D630D1" w:rsidRDefault="00CF7B73" w:rsidP="00CF7B73">
      <w:pPr>
        <w:pStyle w:val="afa"/>
        <w:ind w:firstLine="480"/>
      </w:pPr>
      <w:r w:rsidRPr="00D630D1">
        <w:t>d</w:t>
      </w:r>
      <w:r w:rsidRPr="00D630D1">
        <w:t>）水流速度</w:t>
      </w:r>
      <w:r w:rsidRPr="00D630D1">
        <w:object w:dxaOrig="199" w:dyaOrig="219">
          <v:shape id="对象 23" o:spid="_x0000_i1039" type="#_x0000_t75" style="width:10.8pt;height:10.8pt;mso-position-horizontal-relative:page;mso-position-vertical-relative:page" o:ole="">
            <v:imagedata r:id="rId101" o:title=""/>
          </v:shape>
          <o:OLEObject Type="Embed" ProgID="Equation.DSMT4" ShapeID="对象 23" DrawAspect="Content" ObjectID="_1723238853" r:id="rId111"/>
        </w:object>
      </w:r>
      <w:r w:rsidRPr="00D630D1">
        <w:t>：</w:t>
      </w:r>
      <w:r w:rsidRPr="00D630D1">
        <w:rPr>
          <w:i/>
        </w:rPr>
        <w:t>u=KI/n</w:t>
      </w:r>
      <w:r w:rsidRPr="00D630D1">
        <w:t>式中</w:t>
      </w:r>
      <w:r w:rsidRPr="00D630D1">
        <w:rPr>
          <w:i/>
        </w:rPr>
        <w:t>I</w:t>
      </w:r>
      <w:r w:rsidRPr="00D630D1">
        <w:t>为地下水水力梯度，根据地勘报告计算为</w:t>
      </w:r>
      <w:r w:rsidRPr="00D630D1">
        <w:t>1.14%</w:t>
      </w:r>
      <w:r w:rsidRPr="00D630D1">
        <w:t>；</w:t>
      </w:r>
    </w:p>
    <w:p w:rsidR="00CF7B73" w:rsidRPr="00D630D1" w:rsidRDefault="00CF7B73" w:rsidP="00CF7B73">
      <w:pPr>
        <w:pStyle w:val="afa"/>
        <w:ind w:firstLine="480"/>
      </w:pPr>
      <w:r w:rsidRPr="00D630D1">
        <w:t>含水层主要为基岩风化带裂隙水，渗透系数取经验值</w:t>
      </w:r>
      <w:r w:rsidRPr="00D630D1">
        <w:t>0.2m/d</w:t>
      </w:r>
      <w:r w:rsidRPr="00D630D1">
        <w:t>，因此地下水渗流速度</w:t>
      </w:r>
      <w:r w:rsidRPr="00D630D1">
        <w:rPr>
          <w:i/>
        </w:rPr>
        <w:t>u=</w:t>
      </w:r>
      <w:r w:rsidRPr="00D630D1">
        <w:t>0.02m/d</w:t>
      </w:r>
      <w:r w:rsidRPr="00D630D1">
        <w:t>。</w:t>
      </w:r>
    </w:p>
    <w:p w:rsidR="00CF7B73" w:rsidRPr="00D630D1" w:rsidRDefault="00CF7B73" w:rsidP="00CF7B73">
      <w:pPr>
        <w:pStyle w:val="afa"/>
        <w:ind w:firstLine="480"/>
      </w:pPr>
      <w:r w:rsidRPr="00D630D1">
        <w:t>纵向弥散系数</w:t>
      </w:r>
      <w:r w:rsidRPr="00D630D1">
        <w:t>DL</w:t>
      </w:r>
      <w:r w:rsidRPr="00D630D1">
        <w:t>：</w:t>
      </w:r>
      <w:r w:rsidRPr="00D630D1">
        <w:object w:dxaOrig="940" w:dyaOrig="359">
          <v:shape id="对象 24" o:spid="_x0000_i1040" type="#_x0000_t75" style="width:46.8pt;height:18pt;mso-position-horizontal-relative:page;mso-position-vertical-relative:page" o:ole="">
            <v:imagedata r:id="rId112" o:title=""/>
          </v:shape>
          <o:OLEObject Type="Embed" ProgID="Equation.DSMT4" ShapeID="对象 24" DrawAspect="Content" ObjectID="_1723238854" r:id="rId113"/>
        </w:object>
      </w:r>
      <w:r w:rsidRPr="00D630D1">
        <w:t>，</w:t>
      </w:r>
      <w:r w:rsidRPr="00D630D1">
        <w:object w:dxaOrig="279" w:dyaOrig="359">
          <v:shape id="对象 25" o:spid="_x0000_i1041" type="#_x0000_t75" style="width:13.5pt;height:18pt;mso-position-horizontal-relative:page;mso-position-vertical-relative:page" o:ole="">
            <v:imagedata r:id="rId114" o:title=""/>
          </v:shape>
          <o:OLEObject Type="Embed" ProgID="Equation.DSMT4" ShapeID="对象 25" DrawAspect="Content" ObjectID="_1723238855" r:id="rId115"/>
        </w:object>
      </w:r>
      <w:r w:rsidRPr="00D630D1">
        <w:t>取经验系数</w:t>
      </w:r>
      <w:r w:rsidRPr="00D630D1">
        <w:t>6.9m</w:t>
      </w:r>
      <w:r w:rsidRPr="00D630D1">
        <w:t>。</w:t>
      </w:r>
    </w:p>
    <w:p w:rsidR="00CF7B73" w:rsidRPr="00D630D1" w:rsidRDefault="00CF7B73" w:rsidP="00CF7B73">
      <w:pPr>
        <w:pStyle w:val="afa"/>
        <w:ind w:firstLine="480"/>
      </w:pPr>
      <w:r w:rsidRPr="00D630D1">
        <w:t>横向弥散系数</w:t>
      </w:r>
      <w:r w:rsidRPr="00D630D1">
        <w:t>DT</w:t>
      </w:r>
      <w:r w:rsidRPr="00D630D1">
        <w:t>：</w:t>
      </w:r>
      <w:r w:rsidRPr="00D630D1">
        <w:object w:dxaOrig="940" w:dyaOrig="359">
          <v:shape id="对象 26" o:spid="_x0000_i1042" type="#_x0000_t75" style="width:46.8pt;height:18pt;mso-position-horizontal-relative:page;mso-position-vertical-relative:page" o:ole="">
            <v:imagedata r:id="rId116" o:title=""/>
          </v:shape>
          <o:OLEObject Type="Embed" ProgID="Equation.DSMT4" ShapeID="对象 26" DrawAspect="Content" ObjectID="_1723238856" r:id="rId117"/>
        </w:object>
      </w:r>
      <w:r w:rsidRPr="00D630D1">
        <w:t>，横</w:t>
      </w:r>
      <w:r w:rsidRPr="00D630D1">
        <w:t>/</w:t>
      </w:r>
      <w:r w:rsidRPr="00D630D1">
        <w:t>纵向弥散度</w:t>
      </w:r>
      <w:r w:rsidRPr="00D630D1">
        <w:object w:dxaOrig="659" w:dyaOrig="359">
          <v:shape id="对象 27" o:spid="_x0000_i1043" type="#_x0000_t75" style="width:33.3pt;height:18pt;mso-position-horizontal-relative:page;mso-position-vertical-relative:page" o:ole="">
            <v:imagedata r:id="rId118" o:title=""/>
          </v:shape>
          <o:OLEObject Type="Embed" ProgID="Equation.DSMT4" ShapeID="对象 27" DrawAspect="Content" ObjectID="_1723238857" r:id="rId119"/>
        </w:object>
      </w:r>
      <w:r w:rsidRPr="00D630D1">
        <w:t>比一般为</w:t>
      </w:r>
      <w:r w:rsidRPr="00D630D1">
        <w:t>0.06</w:t>
      </w:r>
      <w:r w:rsidRPr="00D630D1">
        <w:t>。</w:t>
      </w:r>
    </w:p>
    <w:p w:rsidR="00FF6C0C" w:rsidRPr="00D630D1" w:rsidRDefault="00CF7B73" w:rsidP="00CF7B73">
      <w:pPr>
        <w:pStyle w:val="afa"/>
        <w:ind w:firstLine="480"/>
      </w:pPr>
      <w:r w:rsidRPr="00D630D1">
        <w:rPr>
          <w:rFonts w:hint="eastAsia"/>
        </w:rPr>
        <w:t>井场区所在场地的水文地质参数取值表</w:t>
      </w:r>
      <w:r w:rsidRPr="00D630D1">
        <w:rPr>
          <w:rFonts w:hint="eastAsia"/>
        </w:rPr>
        <w:t>6</w:t>
      </w:r>
      <w:r w:rsidRPr="00D630D1">
        <w:t>.2-</w:t>
      </w:r>
      <w:r w:rsidRPr="00D630D1">
        <w:rPr>
          <w:rFonts w:hint="eastAsia"/>
        </w:rPr>
        <w:t>11</w:t>
      </w:r>
      <w:r w:rsidR="00FF6C0C" w:rsidRPr="00D630D1">
        <w:rPr>
          <w:rFonts w:cs="宋体" w:hint="eastAsia"/>
        </w:rPr>
        <w:t>。</w:t>
      </w:r>
    </w:p>
    <w:p w:rsidR="001E48DD" w:rsidRPr="00D630D1" w:rsidRDefault="00FF6C0C" w:rsidP="00FF6C0C">
      <w:pPr>
        <w:pStyle w:val="10"/>
      </w:pPr>
      <w:r w:rsidRPr="00D630D1">
        <w:rPr>
          <w:rFonts w:hint="eastAsia"/>
        </w:rPr>
        <w:t>表</w:t>
      </w:r>
      <w:r w:rsidRPr="00D630D1">
        <w:rPr>
          <w:rFonts w:cs="Times New Roman"/>
          <w:bCs/>
        </w:rPr>
        <w:t>6.2</w:t>
      </w:r>
      <w:r w:rsidRPr="00D630D1">
        <w:rPr>
          <w:rFonts w:cs="Times New Roman" w:hint="eastAsia"/>
          <w:bCs/>
        </w:rPr>
        <w:t>-</w:t>
      </w:r>
      <w:r w:rsidR="009E4484" w:rsidRPr="00D630D1">
        <w:rPr>
          <w:rFonts w:cs="Times New Roman"/>
          <w:bCs/>
        </w:rPr>
        <w:t>1</w:t>
      </w:r>
      <w:r w:rsidR="00CF7B73" w:rsidRPr="00D630D1">
        <w:rPr>
          <w:rFonts w:cs="Times New Roman" w:hint="eastAsia"/>
          <w:bCs/>
        </w:rPr>
        <w:t>1</w:t>
      </w:r>
      <w:r w:rsidRPr="00D630D1">
        <w:rPr>
          <w:rFonts w:cs="Times New Roman"/>
          <w:bCs/>
        </w:rPr>
        <w:t xml:space="preserve">  </w:t>
      </w:r>
      <w:r w:rsidR="00CF7B73" w:rsidRPr="00D630D1">
        <w:rPr>
          <w:rFonts w:hint="eastAsia"/>
        </w:rPr>
        <w:t>本项目所在地水文地质参数</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000"/>
      </w:tblPr>
      <w:tblGrid>
        <w:gridCol w:w="1049"/>
        <w:gridCol w:w="896"/>
        <w:gridCol w:w="866"/>
        <w:gridCol w:w="903"/>
        <w:gridCol w:w="1182"/>
        <w:gridCol w:w="1316"/>
        <w:gridCol w:w="1446"/>
        <w:gridCol w:w="864"/>
      </w:tblGrid>
      <w:tr w:rsidR="00CF7B73" w:rsidRPr="00D630D1" w:rsidTr="00CF7B73">
        <w:trPr>
          <w:trHeight w:val="340"/>
          <w:tblHeader/>
          <w:jc w:val="center"/>
        </w:trPr>
        <w:tc>
          <w:tcPr>
            <w:tcW w:w="1115" w:type="dxa"/>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hAnsi="宋体" w:hint="eastAsia"/>
                <w:kern w:val="2"/>
                <w:sz w:val="21"/>
                <w:szCs w:val="21"/>
              </w:rPr>
              <w:lastRenderedPageBreak/>
              <w:t>泄漏事故</w:t>
            </w:r>
          </w:p>
        </w:tc>
        <w:tc>
          <w:tcPr>
            <w:tcW w:w="1866" w:type="dxa"/>
            <w:gridSpan w:val="2"/>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hAnsi="宋体" w:hint="eastAsia"/>
                <w:kern w:val="2"/>
                <w:sz w:val="21"/>
                <w:szCs w:val="21"/>
              </w:rPr>
              <w:t>外泄污染物质量（</w:t>
            </w:r>
            <w:r w:rsidRPr="00D630D1">
              <w:rPr>
                <w:rFonts w:ascii="Times New Roman" w:eastAsia="Times New Roman" w:cs="Times New Roman"/>
                <w:kern w:val="2"/>
                <w:sz w:val="21"/>
                <w:szCs w:val="21"/>
              </w:rPr>
              <w:t>kg</w:t>
            </w:r>
            <w:r w:rsidRPr="00D630D1">
              <w:rPr>
                <w:rFonts w:hAnsi="宋体" w:hint="eastAsia"/>
                <w:kern w:val="2"/>
                <w:sz w:val="21"/>
                <w:szCs w:val="21"/>
              </w:rPr>
              <w:t>）</w:t>
            </w:r>
          </w:p>
        </w:tc>
        <w:tc>
          <w:tcPr>
            <w:tcW w:w="957" w:type="dxa"/>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hAnsi="宋体" w:hint="eastAsia"/>
                <w:kern w:val="2"/>
                <w:sz w:val="21"/>
                <w:szCs w:val="21"/>
              </w:rPr>
              <w:t>含水层厚度</w:t>
            </w:r>
            <w:r w:rsidRPr="00D630D1">
              <w:rPr>
                <w:rFonts w:ascii="Times New Roman" w:eastAsia="Times New Roman" w:cs="Times New Roman"/>
                <w:kern w:val="2"/>
                <w:sz w:val="21"/>
                <w:szCs w:val="21"/>
              </w:rPr>
              <w:t>M</w:t>
            </w:r>
            <w:r w:rsidRPr="00D630D1">
              <w:rPr>
                <w:rFonts w:hAnsi="宋体" w:hint="eastAsia"/>
                <w:kern w:val="2"/>
                <w:sz w:val="21"/>
                <w:szCs w:val="21"/>
              </w:rPr>
              <w:t>（</w:t>
            </w:r>
            <w:r w:rsidRPr="00D630D1">
              <w:rPr>
                <w:rFonts w:ascii="Times New Roman" w:eastAsia="Times New Roman" w:cs="Times New Roman"/>
                <w:kern w:val="2"/>
                <w:sz w:val="21"/>
                <w:szCs w:val="21"/>
              </w:rPr>
              <w:t>m</w:t>
            </w:r>
            <w:r w:rsidRPr="00D630D1">
              <w:rPr>
                <w:rFonts w:hAnsi="宋体" w:hint="eastAsia"/>
                <w:kern w:val="2"/>
                <w:sz w:val="21"/>
                <w:szCs w:val="21"/>
              </w:rPr>
              <w:t>）</w:t>
            </w:r>
          </w:p>
        </w:tc>
        <w:tc>
          <w:tcPr>
            <w:tcW w:w="1259" w:type="dxa"/>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hAnsi="宋体" w:hint="eastAsia"/>
                <w:kern w:val="2"/>
                <w:sz w:val="21"/>
                <w:szCs w:val="21"/>
              </w:rPr>
              <w:t>地下水流速</w:t>
            </w:r>
            <w:r w:rsidRPr="00D630D1">
              <w:rPr>
                <w:rFonts w:ascii="Times New Roman" w:eastAsia="Times New Roman" w:cs="Times New Roman"/>
                <w:kern w:val="2"/>
                <w:sz w:val="21"/>
                <w:szCs w:val="21"/>
              </w:rPr>
              <w:t>u</w:t>
            </w:r>
            <w:r w:rsidRPr="00D630D1">
              <w:rPr>
                <w:rFonts w:hAnsi="宋体" w:hint="eastAsia"/>
                <w:kern w:val="2"/>
                <w:sz w:val="21"/>
                <w:szCs w:val="21"/>
              </w:rPr>
              <w:t>（</w:t>
            </w:r>
            <w:r w:rsidRPr="00D630D1">
              <w:rPr>
                <w:rFonts w:ascii="Times New Roman" w:eastAsia="Times New Roman" w:cs="Times New Roman"/>
                <w:kern w:val="2"/>
                <w:sz w:val="21"/>
                <w:szCs w:val="21"/>
              </w:rPr>
              <w:t>m/d</w:t>
            </w:r>
            <w:r w:rsidRPr="00D630D1">
              <w:rPr>
                <w:rFonts w:hAnsi="宋体" w:hint="eastAsia"/>
                <w:kern w:val="2"/>
                <w:sz w:val="21"/>
                <w:szCs w:val="21"/>
              </w:rPr>
              <w:t>）</w:t>
            </w:r>
          </w:p>
        </w:tc>
        <w:tc>
          <w:tcPr>
            <w:tcW w:w="1404" w:type="dxa"/>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hAnsi="宋体" w:hint="eastAsia"/>
                <w:kern w:val="2"/>
                <w:sz w:val="21"/>
                <w:szCs w:val="21"/>
              </w:rPr>
              <w:t>纵向弥散系数</w:t>
            </w:r>
            <w:r w:rsidRPr="00D630D1">
              <w:rPr>
                <w:rFonts w:ascii="Times New Roman" w:eastAsia="Times New Roman" w:cs="Times New Roman"/>
                <w:kern w:val="2"/>
                <w:sz w:val="21"/>
                <w:szCs w:val="21"/>
              </w:rPr>
              <w:t>DL</w:t>
            </w:r>
            <w:r w:rsidRPr="00D630D1">
              <w:rPr>
                <w:rFonts w:hAnsi="宋体" w:hint="eastAsia"/>
                <w:kern w:val="2"/>
                <w:sz w:val="21"/>
                <w:szCs w:val="21"/>
              </w:rPr>
              <w:t>（</w:t>
            </w:r>
            <w:r w:rsidRPr="00D630D1">
              <w:rPr>
                <w:rFonts w:ascii="Times New Roman" w:eastAsia="Times New Roman" w:cs="Times New Roman"/>
                <w:kern w:val="2"/>
                <w:sz w:val="21"/>
                <w:szCs w:val="21"/>
              </w:rPr>
              <w:t>m</w:t>
            </w:r>
            <w:r w:rsidRPr="00D630D1">
              <w:rPr>
                <w:rFonts w:ascii="Times New Roman" w:eastAsia="Times New Roman" w:cs="Times New Roman"/>
                <w:kern w:val="2"/>
                <w:sz w:val="21"/>
                <w:szCs w:val="21"/>
                <w:vertAlign w:val="superscript"/>
              </w:rPr>
              <w:t>2</w:t>
            </w:r>
            <w:r w:rsidRPr="00D630D1">
              <w:rPr>
                <w:rFonts w:ascii="Times New Roman" w:eastAsia="Times New Roman" w:cs="Times New Roman"/>
                <w:kern w:val="2"/>
                <w:sz w:val="21"/>
                <w:szCs w:val="21"/>
              </w:rPr>
              <w:t>/d</w:t>
            </w:r>
            <w:r w:rsidRPr="00D630D1">
              <w:rPr>
                <w:rFonts w:hAnsi="宋体" w:hint="eastAsia"/>
                <w:kern w:val="2"/>
                <w:sz w:val="21"/>
                <w:szCs w:val="21"/>
              </w:rPr>
              <w:t>）</w:t>
            </w:r>
          </w:p>
        </w:tc>
        <w:tc>
          <w:tcPr>
            <w:tcW w:w="1544" w:type="dxa"/>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hAnsi="宋体" w:hint="eastAsia"/>
                <w:kern w:val="2"/>
                <w:sz w:val="21"/>
                <w:szCs w:val="21"/>
              </w:rPr>
              <w:t>横向弥散系数</w:t>
            </w:r>
            <w:r w:rsidRPr="00D630D1">
              <w:rPr>
                <w:rFonts w:ascii="Times New Roman" w:eastAsia="Times New Roman" w:cs="Times New Roman"/>
                <w:kern w:val="2"/>
                <w:sz w:val="21"/>
                <w:szCs w:val="21"/>
              </w:rPr>
              <w:t>DT</w:t>
            </w:r>
            <w:r w:rsidRPr="00D630D1">
              <w:rPr>
                <w:rFonts w:hAnsi="宋体" w:hint="eastAsia"/>
                <w:kern w:val="2"/>
                <w:sz w:val="21"/>
                <w:szCs w:val="21"/>
              </w:rPr>
              <w:t>（</w:t>
            </w:r>
            <w:r w:rsidRPr="00D630D1">
              <w:rPr>
                <w:rFonts w:ascii="Times New Roman" w:eastAsia="Times New Roman" w:cs="Times New Roman"/>
                <w:kern w:val="2"/>
                <w:sz w:val="21"/>
                <w:szCs w:val="21"/>
              </w:rPr>
              <w:t>m</w:t>
            </w:r>
            <w:r w:rsidRPr="00D630D1">
              <w:rPr>
                <w:rFonts w:ascii="Times New Roman" w:eastAsia="Times New Roman" w:cs="Times New Roman"/>
                <w:kern w:val="2"/>
                <w:sz w:val="21"/>
                <w:szCs w:val="21"/>
                <w:vertAlign w:val="superscript"/>
              </w:rPr>
              <w:t>2</w:t>
            </w:r>
            <w:r w:rsidRPr="00D630D1">
              <w:rPr>
                <w:rFonts w:ascii="Times New Roman" w:eastAsia="Times New Roman" w:cs="Times New Roman"/>
                <w:kern w:val="2"/>
                <w:sz w:val="21"/>
                <w:szCs w:val="21"/>
              </w:rPr>
              <w:t>/d</w:t>
            </w:r>
            <w:r w:rsidRPr="00D630D1">
              <w:rPr>
                <w:rFonts w:hAnsi="宋体" w:hint="eastAsia"/>
                <w:kern w:val="2"/>
                <w:sz w:val="21"/>
                <w:szCs w:val="21"/>
              </w:rPr>
              <w:t>）</w:t>
            </w:r>
          </w:p>
        </w:tc>
        <w:tc>
          <w:tcPr>
            <w:tcW w:w="915" w:type="dxa"/>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hAnsi="宋体" w:hint="eastAsia"/>
                <w:kern w:val="2"/>
                <w:sz w:val="21"/>
                <w:szCs w:val="21"/>
              </w:rPr>
              <w:t>有效孔隙度</w:t>
            </w:r>
            <w:r w:rsidRPr="00D630D1">
              <w:rPr>
                <w:rFonts w:ascii="Times New Roman" w:eastAsia="Times New Roman" w:cs="Times New Roman"/>
                <w:kern w:val="2"/>
                <w:sz w:val="21"/>
                <w:szCs w:val="21"/>
              </w:rPr>
              <w:t>n</w:t>
            </w:r>
          </w:p>
        </w:tc>
      </w:tr>
      <w:tr w:rsidR="00CF7B73" w:rsidRPr="00D630D1" w:rsidTr="00CF7B73">
        <w:trPr>
          <w:trHeight w:val="340"/>
          <w:jc w:val="center"/>
        </w:trPr>
        <w:tc>
          <w:tcPr>
            <w:tcW w:w="1115" w:type="dxa"/>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hAnsi="宋体" w:hint="eastAsia"/>
                <w:kern w:val="2"/>
                <w:sz w:val="21"/>
                <w:szCs w:val="21"/>
              </w:rPr>
              <w:t>污水泄漏</w:t>
            </w:r>
          </w:p>
        </w:tc>
        <w:tc>
          <w:tcPr>
            <w:tcW w:w="949" w:type="dxa"/>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hAnsi="宋体" w:hint="eastAsia"/>
                <w:kern w:val="2"/>
                <w:sz w:val="21"/>
                <w:szCs w:val="21"/>
              </w:rPr>
              <w:t>石油类</w:t>
            </w:r>
          </w:p>
        </w:tc>
        <w:tc>
          <w:tcPr>
            <w:tcW w:w="917" w:type="dxa"/>
            <w:vAlign w:val="center"/>
          </w:tcPr>
          <w:p w:rsidR="00CF7B73" w:rsidRPr="00D630D1" w:rsidRDefault="00D54C27" w:rsidP="00CF7B73">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hint="eastAsia"/>
                <w:kern w:val="2"/>
                <w:sz w:val="21"/>
                <w:szCs w:val="21"/>
              </w:rPr>
              <w:t>5.024</w:t>
            </w:r>
          </w:p>
        </w:tc>
        <w:tc>
          <w:tcPr>
            <w:tcW w:w="957" w:type="dxa"/>
            <w:vAlign w:val="center"/>
          </w:tcPr>
          <w:p w:rsidR="00CF7B73" w:rsidRPr="00D630D1" w:rsidRDefault="00AB4A38" w:rsidP="00CF7B73">
            <w:pPr>
              <w:topLinePunct w:val="0"/>
              <w:snapToGrid w:val="0"/>
              <w:spacing w:line="240" w:lineRule="auto"/>
              <w:ind w:firstLineChars="0" w:firstLine="0"/>
              <w:jc w:val="center"/>
              <w:textAlignment w:val="center"/>
              <w:rPr>
                <w:rFonts w:ascii="Times New Roman" w:cs="Times New Roman"/>
                <w:kern w:val="2"/>
                <w:sz w:val="21"/>
                <w:szCs w:val="21"/>
              </w:rPr>
            </w:pPr>
            <w:r w:rsidRPr="00D630D1">
              <w:rPr>
                <w:rFonts w:ascii="Times New Roman" w:cs="Times New Roman" w:hint="eastAsia"/>
                <w:kern w:val="2"/>
                <w:sz w:val="21"/>
                <w:szCs w:val="21"/>
              </w:rPr>
              <w:t>4</w:t>
            </w:r>
          </w:p>
        </w:tc>
        <w:tc>
          <w:tcPr>
            <w:tcW w:w="1259" w:type="dxa"/>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ascii="Times New Roman" w:eastAsia="Times New Roman" w:cs="Times New Roman"/>
                <w:kern w:val="2"/>
                <w:sz w:val="21"/>
                <w:szCs w:val="21"/>
              </w:rPr>
              <w:t>0.02</w:t>
            </w:r>
          </w:p>
        </w:tc>
        <w:tc>
          <w:tcPr>
            <w:tcW w:w="1404" w:type="dxa"/>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ascii="Times New Roman" w:eastAsia="Times New Roman" w:cs="Times New Roman"/>
                <w:kern w:val="2"/>
                <w:sz w:val="21"/>
                <w:szCs w:val="21"/>
              </w:rPr>
              <w:t>0.38</w:t>
            </w:r>
          </w:p>
        </w:tc>
        <w:tc>
          <w:tcPr>
            <w:tcW w:w="1544" w:type="dxa"/>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ascii="Times New Roman" w:eastAsia="Times New Roman" w:cs="Times New Roman"/>
                <w:kern w:val="2"/>
                <w:sz w:val="21"/>
                <w:szCs w:val="21"/>
              </w:rPr>
              <w:t>0.022</w:t>
            </w:r>
          </w:p>
        </w:tc>
        <w:tc>
          <w:tcPr>
            <w:tcW w:w="915" w:type="dxa"/>
            <w:vAlign w:val="center"/>
          </w:tcPr>
          <w:p w:rsidR="00CF7B73" w:rsidRPr="00D630D1" w:rsidRDefault="00CF7B73" w:rsidP="00CF7B73">
            <w:pPr>
              <w:topLinePunct w:val="0"/>
              <w:snapToGrid w:val="0"/>
              <w:spacing w:line="240" w:lineRule="auto"/>
              <w:ind w:firstLineChars="0" w:firstLine="0"/>
              <w:jc w:val="center"/>
              <w:textAlignment w:val="center"/>
              <w:rPr>
                <w:rFonts w:ascii="Times New Roman" w:eastAsia="Times New Roman" w:cs="Times New Roman"/>
                <w:kern w:val="2"/>
                <w:sz w:val="21"/>
                <w:szCs w:val="21"/>
              </w:rPr>
            </w:pPr>
            <w:r w:rsidRPr="00D630D1">
              <w:rPr>
                <w:rFonts w:ascii="Times New Roman" w:eastAsia="Times New Roman" w:cs="Times New Roman"/>
                <w:kern w:val="2"/>
                <w:sz w:val="21"/>
                <w:szCs w:val="21"/>
              </w:rPr>
              <w:t>0.042</w:t>
            </w:r>
          </w:p>
        </w:tc>
      </w:tr>
    </w:tbl>
    <w:p w:rsidR="00FF6C0C" w:rsidRPr="00D630D1" w:rsidRDefault="00FF6C0C" w:rsidP="00FF6C0C">
      <w:pPr>
        <w:pStyle w:val="afa"/>
        <w:ind w:firstLine="482"/>
        <w:rPr>
          <w:b/>
          <w:bCs/>
        </w:rPr>
      </w:pPr>
      <w:r w:rsidRPr="00D630D1">
        <w:rPr>
          <w:rFonts w:hint="eastAsia"/>
          <w:b/>
          <w:bCs/>
        </w:rPr>
        <w:t>（</w:t>
      </w:r>
      <w:r w:rsidRPr="00D630D1">
        <w:rPr>
          <w:b/>
          <w:bCs/>
        </w:rPr>
        <w:t>6</w:t>
      </w:r>
      <w:r w:rsidRPr="00D630D1">
        <w:rPr>
          <w:rFonts w:hint="eastAsia"/>
          <w:b/>
          <w:bCs/>
        </w:rPr>
        <w:t>）预测结果</w:t>
      </w:r>
    </w:p>
    <w:p w:rsidR="00FF6C0C" w:rsidRPr="00D630D1" w:rsidRDefault="00FF6C0C" w:rsidP="00FF6C0C">
      <w:pPr>
        <w:pStyle w:val="afa"/>
        <w:ind w:firstLine="480"/>
      </w:pPr>
      <w:r w:rsidRPr="00D630D1">
        <w:rPr>
          <w:rFonts w:hint="eastAsia"/>
        </w:rPr>
        <w:t>根据前文分析，将水文地质参数及污染源的源强，代入相应公式进行模型计算，对污染物石油类在地下水环境中的分布、程度进行分析，从而对污染事故对地下水的影响进行定量的评估，给出石油类的影响范围和程度。将石油类带入公式进行计算，得出预测结果，本次模型计算分别对</w:t>
      </w:r>
      <w:r w:rsidRPr="00D630D1">
        <w:t>100d</w:t>
      </w:r>
      <w:r w:rsidRPr="00D630D1">
        <w:rPr>
          <w:rFonts w:hint="eastAsia"/>
        </w:rPr>
        <w:t>、</w:t>
      </w:r>
      <w:r w:rsidR="00CF7B73" w:rsidRPr="00D630D1">
        <w:rPr>
          <w:rFonts w:hint="eastAsia"/>
        </w:rPr>
        <w:t>365</w:t>
      </w:r>
      <w:r w:rsidRPr="00D630D1">
        <w:t>d</w:t>
      </w:r>
      <w:r w:rsidRPr="00D630D1">
        <w:rPr>
          <w:rFonts w:hint="eastAsia"/>
        </w:rPr>
        <w:t>进行计算，主要成果见表</w:t>
      </w:r>
      <w:r w:rsidRPr="00D630D1">
        <w:rPr>
          <w:rFonts w:hint="eastAsia"/>
        </w:rPr>
        <w:t>6</w:t>
      </w:r>
      <w:r w:rsidRPr="00D630D1">
        <w:t>.2-</w:t>
      </w:r>
      <w:r w:rsidR="009E4484" w:rsidRPr="00D630D1">
        <w:t>1</w:t>
      </w:r>
      <w:r w:rsidR="007B1068" w:rsidRPr="00D630D1">
        <w:rPr>
          <w:rFonts w:hint="eastAsia"/>
        </w:rPr>
        <w:t>2</w:t>
      </w:r>
      <w:r w:rsidRPr="00D630D1">
        <w:rPr>
          <w:rFonts w:hint="eastAsia"/>
        </w:rPr>
        <w:t>。</w:t>
      </w:r>
    </w:p>
    <w:p w:rsidR="00FF6C0C" w:rsidRPr="00D630D1" w:rsidRDefault="00FF6C0C" w:rsidP="00FF6C0C">
      <w:pPr>
        <w:pStyle w:val="10"/>
        <w:ind w:firstLine="480"/>
      </w:pPr>
      <w:r w:rsidRPr="00D630D1">
        <w:rPr>
          <w:rFonts w:hint="eastAsia"/>
        </w:rPr>
        <w:t>表</w:t>
      </w:r>
      <w:r w:rsidRPr="00D630D1">
        <w:rPr>
          <w:rFonts w:cs="Times New Roman"/>
          <w:bCs/>
        </w:rPr>
        <w:t>6.2</w:t>
      </w:r>
      <w:r w:rsidRPr="00D630D1">
        <w:rPr>
          <w:rFonts w:cs="Times New Roman" w:hint="eastAsia"/>
          <w:bCs/>
        </w:rPr>
        <w:t>-</w:t>
      </w:r>
      <w:r w:rsidR="00CF7B73" w:rsidRPr="00D630D1">
        <w:rPr>
          <w:rFonts w:cs="Times New Roman"/>
          <w:bCs/>
        </w:rPr>
        <w:t>1</w:t>
      </w:r>
      <w:r w:rsidR="007B1068" w:rsidRPr="00D630D1">
        <w:rPr>
          <w:rFonts w:cs="Times New Roman" w:hint="eastAsia"/>
          <w:bCs/>
        </w:rPr>
        <w:t>2</w:t>
      </w:r>
      <w:r w:rsidRPr="00D630D1">
        <w:rPr>
          <w:rFonts w:cs="Times New Roman"/>
          <w:bCs/>
        </w:rPr>
        <w:t xml:space="preserve">  </w:t>
      </w:r>
      <w:r w:rsidRPr="00D630D1">
        <w:rPr>
          <w:rFonts w:hint="eastAsia"/>
        </w:rPr>
        <w:t>石油类非正常状况下含水层中运移情况结果汇总表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top w:w="15" w:type="dxa"/>
          <w:left w:w="15" w:type="dxa"/>
          <w:bottom w:w="15" w:type="dxa"/>
          <w:right w:w="15" w:type="dxa"/>
        </w:tblCellMar>
        <w:tblLook w:val="0000"/>
      </w:tblPr>
      <w:tblGrid>
        <w:gridCol w:w="1093"/>
        <w:gridCol w:w="961"/>
        <w:gridCol w:w="1613"/>
        <w:gridCol w:w="1174"/>
        <w:gridCol w:w="1227"/>
        <w:gridCol w:w="1094"/>
        <w:gridCol w:w="1174"/>
      </w:tblGrid>
      <w:tr w:rsidR="00CF7B73" w:rsidRPr="00D630D1" w:rsidTr="00CF7B73">
        <w:trPr>
          <w:trHeight w:val="240"/>
          <w:jc w:val="center"/>
        </w:trPr>
        <w:tc>
          <w:tcPr>
            <w:tcW w:w="1194" w:type="dxa"/>
            <w:vAlign w:val="center"/>
          </w:tcPr>
          <w:p w:rsidR="00CF7B73" w:rsidRPr="00D630D1" w:rsidRDefault="00CF7B73" w:rsidP="00CF7B73">
            <w:pPr>
              <w:pStyle w:val="SSEC201503230"/>
              <w:jc w:val="both"/>
              <w:rPr>
                <w:rFonts w:ascii="Times New Roman" w:hAnsi="Times New Roman"/>
                <w:b/>
              </w:rPr>
            </w:pPr>
            <w:r w:rsidRPr="00D630D1">
              <w:rPr>
                <w:rFonts w:cs="宋体" w:hint="eastAsia"/>
                <w:b/>
              </w:rPr>
              <w:t>污染物种类</w:t>
            </w:r>
          </w:p>
        </w:tc>
        <w:tc>
          <w:tcPr>
            <w:tcW w:w="1048" w:type="dxa"/>
            <w:vAlign w:val="center"/>
          </w:tcPr>
          <w:p w:rsidR="00CF7B73" w:rsidRPr="00D630D1" w:rsidRDefault="00CF7B73" w:rsidP="00CF7B73">
            <w:pPr>
              <w:pStyle w:val="SSEC201503230"/>
              <w:rPr>
                <w:rFonts w:ascii="Times New Roman" w:hAnsi="Times New Roman"/>
                <w:b/>
              </w:rPr>
            </w:pPr>
            <w:r w:rsidRPr="00D630D1">
              <w:rPr>
                <w:rFonts w:cs="宋体" w:hint="eastAsia"/>
                <w:b/>
              </w:rPr>
              <w:t>时间（</w:t>
            </w:r>
            <w:r w:rsidRPr="00D630D1">
              <w:rPr>
                <w:rFonts w:ascii="Times New Roman" w:hAnsi="Times New Roman"/>
                <w:b/>
              </w:rPr>
              <w:t>d</w:t>
            </w:r>
            <w:r w:rsidRPr="00D630D1">
              <w:rPr>
                <w:rFonts w:cs="宋体" w:hint="eastAsia"/>
                <w:b/>
              </w:rPr>
              <w:t>）</w:t>
            </w:r>
          </w:p>
        </w:tc>
        <w:tc>
          <w:tcPr>
            <w:tcW w:w="1762" w:type="dxa"/>
            <w:vAlign w:val="center"/>
          </w:tcPr>
          <w:p w:rsidR="00CF7B73" w:rsidRPr="00D630D1" w:rsidRDefault="00CF7B73" w:rsidP="00CF7B73">
            <w:pPr>
              <w:pStyle w:val="SSEC201503230"/>
              <w:rPr>
                <w:rFonts w:ascii="Times New Roman" w:hAnsi="Times New Roman"/>
                <w:b/>
              </w:rPr>
            </w:pPr>
            <w:r w:rsidRPr="00D630D1">
              <w:rPr>
                <w:rFonts w:cs="宋体" w:hint="eastAsia"/>
                <w:b/>
              </w:rPr>
              <w:t>下游最大值（</w:t>
            </w:r>
            <w:r w:rsidRPr="00D630D1">
              <w:rPr>
                <w:rFonts w:ascii="Times New Roman" w:hAnsi="Times New Roman"/>
                <w:b/>
              </w:rPr>
              <w:t>mg/L</w:t>
            </w:r>
            <w:r w:rsidRPr="00D630D1">
              <w:rPr>
                <w:rFonts w:cs="宋体" w:hint="eastAsia"/>
                <w:b/>
              </w:rPr>
              <w:t>）</w:t>
            </w:r>
          </w:p>
        </w:tc>
        <w:tc>
          <w:tcPr>
            <w:tcW w:w="1281" w:type="dxa"/>
            <w:vAlign w:val="center"/>
          </w:tcPr>
          <w:p w:rsidR="00CF7B73" w:rsidRPr="00D630D1" w:rsidRDefault="00CF7B73" w:rsidP="00CF7B73">
            <w:pPr>
              <w:pStyle w:val="SSEC201503230"/>
              <w:rPr>
                <w:rFonts w:ascii="Times New Roman" w:hAnsi="Times New Roman"/>
                <w:b/>
              </w:rPr>
            </w:pPr>
            <w:r w:rsidRPr="00D630D1">
              <w:rPr>
                <w:rFonts w:cs="宋体" w:hint="eastAsia"/>
                <w:b/>
              </w:rPr>
              <w:t>超标距离（</w:t>
            </w:r>
            <w:r w:rsidRPr="00D630D1">
              <w:rPr>
                <w:rFonts w:ascii="Times New Roman" w:hAnsi="Times New Roman"/>
                <w:b/>
              </w:rPr>
              <w:t>m</w:t>
            </w:r>
            <w:r w:rsidRPr="00D630D1">
              <w:rPr>
                <w:rFonts w:cs="宋体" w:hint="eastAsia"/>
                <w:b/>
              </w:rPr>
              <w:t>）</w:t>
            </w:r>
          </w:p>
        </w:tc>
        <w:tc>
          <w:tcPr>
            <w:tcW w:w="1340" w:type="dxa"/>
            <w:vAlign w:val="center"/>
          </w:tcPr>
          <w:p w:rsidR="00CF7B73" w:rsidRPr="00D630D1" w:rsidRDefault="00CF7B73" w:rsidP="00CF7B73">
            <w:pPr>
              <w:pStyle w:val="SSEC201503230"/>
              <w:rPr>
                <w:rFonts w:ascii="Times New Roman" w:hAnsi="Times New Roman"/>
                <w:b/>
              </w:rPr>
            </w:pPr>
            <w:r w:rsidRPr="00D630D1">
              <w:rPr>
                <w:rFonts w:cs="宋体" w:hint="eastAsia"/>
                <w:b/>
              </w:rPr>
              <w:t>超标面积（</w:t>
            </w:r>
            <w:r w:rsidRPr="00D630D1">
              <w:rPr>
                <w:rFonts w:ascii="Times New Roman" w:hAnsi="Times New Roman"/>
                <w:b/>
              </w:rPr>
              <w:t>m</w:t>
            </w:r>
            <w:r w:rsidRPr="00D630D1">
              <w:rPr>
                <w:rFonts w:ascii="Times New Roman" w:hAnsi="Times New Roman"/>
                <w:b/>
                <w:vertAlign w:val="superscript"/>
              </w:rPr>
              <w:t>2</w:t>
            </w:r>
            <w:r w:rsidRPr="00D630D1">
              <w:rPr>
                <w:rFonts w:cs="宋体" w:hint="eastAsia"/>
                <w:b/>
              </w:rPr>
              <w:t>）</w:t>
            </w:r>
          </w:p>
        </w:tc>
        <w:tc>
          <w:tcPr>
            <w:tcW w:w="1194" w:type="dxa"/>
            <w:vAlign w:val="center"/>
          </w:tcPr>
          <w:p w:rsidR="00CF7B73" w:rsidRPr="00D630D1" w:rsidRDefault="00CF7B73" w:rsidP="00CF7B73">
            <w:pPr>
              <w:pStyle w:val="SSEC201503230"/>
              <w:rPr>
                <w:rFonts w:ascii="Times New Roman" w:hAnsi="Times New Roman"/>
                <w:b/>
              </w:rPr>
            </w:pPr>
            <w:r w:rsidRPr="00D630D1">
              <w:rPr>
                <w:rFonts w:cs="宋体" w:hint="eastAsia"/>
                <w:b/>
              </w:rPr>
              <w:t>影响距离（</w:t>
            </w:r>
            <w:r w:rsidRPr="00D630D1">
              <w:rPr>
                <w:rFonts w:ascii="Times New Roman" w:hAnsi="Times New Roman"/>
                <w:b/>
              </w:rPr>
              <w:t>m</w:t>
            </w:r>
            <w:r w:rsidRPr="00D630D1">
              <w:rPr>
                <w:rFonts w:cs="宋体" w:hint="eastAsia"/>
                <w:b/>
              </w:rPr>
              <w:t>）</w:t>
            </w:r>
          </w:p>
        </w:tc>
        <w:tc>
          <w:tcPr>
            <w:tcW w:w="1281" w:type="dxa"/>
            <w:vAlign w:val="center"/>
          </w:tcPr>
          <w:p w:rsidR="00CF7B73" w:rsidRPr="00D630D1" w:rsidRDefault="00CF7B73" w:rsidP="00CF7B73">
            <w:pPr>
              <w:pStyle w:val="SSEC201503230"/>
              <w:rPr>
                <w:rFonts w:ascii="Times New Roman" w:hAnsi="Times New Roman"/>
                <w:b/>
              </w:rPr>
            </w:pPr>
            <w:r w:rsidRPr="00D630D1">
              <w:rPr>
                <w:rFonts w:cs="宋体" w:hint="eastAsia"/>
                <w:b/>
              </w:rPr>
              <w:t>影响面积（</w:t>
            </w:r>
            <w:r w:rsidRPr="00D630D1">
              <w:rPr>
                <w:rFonts w:ascii="Times New Roman" w:hAnsi="Times New Roman"/>
                <w:b/>
              </w:rPr>
              <w:t>m</w:t>
            </w:r>
            <w:r w:rsidRPr="00D630D1">
              <w:rPr>
                <w:rFonts w:ascii="Times New Roman" w:hAnsi="Times New Roman"/>
                <w:b/>
                <w:vertAlign w:val="superscript"/>
              </w:rPr>
              <w:t>2</w:t>
            </w:r>
            <w:r w:rsidRPr="00D630D1">
              <w:rPr>
                <w:rFonts w:cs="宋体" w:hint="eastAsia"/>
                <w:b/>
              </w:rPr>
              <w:t>）</w:t>
            </w:r>
          </w:p>
        </w:tc>
      </w:tr>
      <w:tr w:rsidR="00CF7B73" w:rsidRPr="00D630D1" w:rsidTr="00CF7B73">
        <w:trPr>
          <w:trHeight w:val="285"/>
          <w:jc w:val="center"/>
        </w:trPr>
        <w:tc>
          <w:tcPr>
            <w:tcW w:w="1194" w:type="dxa"/>
            <w:vMerge w:val="restart"/>
            <w:vAlign w:val="center"/>
          </w:tcPr>
          <w:p w:rsidR="00CF7B73" w:rsidRPr="00D630D1" w:rsidRDefault="00CF7B73" w:rsidP="00CF7B73">
            <w:pPr>
              <w:pStyle w:val="SSEC201503230"/>
              <w:rPr>
                <w:rFonts w:ascii="Times New Roman" w:hAnsi="Times New Roman"/>
              </w:rPr>
            </w:pPr>
            <w:r w:rsidRPr="00D630D1">
              <w:rPr>
                <w:rFonts w:cs="宋体" w:hint="eastAsia"/>
              </w:rPr>
              <w:t>石油类</w:t>
            </w:r>
          </w:p>
        </w:tc>
        <w:tc>
          <w:tcPr>
            <w:tcW w:w="1048" w:type="dxa"/>
            <w:vAlign w:val="center"/>
          </w:tcPr>
          <w:p w:rsidR="00CF7B73" w:rsidRPr="00D630D1" w:rsidRDefault="00CF7B73" w:rsidP="00CF7B73">
            <w:pPr>
              <w:pStyle w:val="SSEC201503230"/>
              <w:rPr>
                <w:rFonts w:ascii="Times New Roman" w:hAnsi="Times New Roman"/>
              </w:rPr>
            </w:pPr>
            <w:r w:rsidRPr="00D630D1">
              <w:rPr>
                <w:rFonts w:ascii="Times New Roman" w:hAnsi="Times New Roman"/>
              </w:rPr>
              <w:t>100</w:t>
            </w:r>
          </w:p>
        </w:tc>
        <w:tc>
          <w:tcPr>
            <w:tcW w:w="1762" w:type="dxa"/>
            <w:vAlign w:val="center"/>
          </w:tcPr>
          <w:p w:rsidR="00CF7B73" w:rsidRPr="00D630D1" w:rsidRDefault="00D31DA2" w:rsidP="00D31DA2">
            <w:pPr>
              <w:pStyle w:val="SSEC201503230"/>
              <w:rPr>
                <w:rFonts w:ascii="Times New Roman" w:hAnsi="Times New Roman"/>
              </w:rPr>
            </w:pPr>
            <w:r w:rsidRPr="00D630D1">
              <w:rPr>
                <w:rFonts w:ascii="Times New Roman" w:hAnsi="Times New Roman" w:hint="eastAsia"/>
              </w:rPr>
              <w:t>2</w:t>
            </w:r>
            <w:r w:rsidR="00332450" w:rsidRPr="00D630D1">
              <w:rPr>
                <w:rFonts w:ascii="Times New Roman" w:hAnsi="Times New Roman" w:hint="eastAsia"/>
              </w:rPr>
              <w:t>.</w:t>
            </w:r>
            <w:r w:rsidRPr="00D630D1">
              <w:rPr>
                <w:rFonts w:ascii="Times New Roman" w:hAnsi="Times New Roman" w:hint="eastAsia"/>
              </w:rPr>
              <w:t>45</w:t>
            </w:r>
          </w:p>
        </w:tc>
        <w:tc>
          <w:tcPr>
            <w:tcW w:w="1281" w:type="dxa"/>
            <w:vAlign w:val="center"/>
          </w:tcPr>
          <w:p w:rsidR="00CF7B73" w:rsidRPr="00D630D1" w:rsidRDefault="00D31DA2" w:rsidP="00CF7B73">
            <w:pPr>
              <w:pStyle w:val="SSEC201503230"/>
              <w:rPr>
                <w:rFonts w:ascii="Times New Roman" w:hAnsi="Times New Roman"/>
              </w:rPr>
            </w:pPr>
            <w:r w:rsidRPr="00D630D1">
              <w:rPr>
                <w:rFonts w:ascii="Times New Roman" w:hAnsi="Times New Roman" w:hint="eastAsia"/>
              </w:rPr>
              <w:t>3.68</w:t>
            </w:r>
          </w:p>
        </w:tc>
        <w:tc>
          <w:tcPr>
            <w:tcW w:w="1340" w:type="dxa"/>
            <w:vAlign w:val="center"/>
          </w:tcPr>
          <w:p w:rsidR="00CF7B73" w:rsidRPr="00D630D1" w:rsidRDefault="00D31DA2" w:rsidP="00CF7B73">
            <w:pPr>
              <w:pStyle w:val="SSEC201503230"/>
              <w:rPr>
                <w:rFonts w:ascii="Times New Roman" w:hAnsi="Times New Roman"/>
              </w:rPr>
            </w:pPr>
            <w:r w:rsidRPr="00D630D1">
              <w:rPr>
                <w:rFonts w:ascii="Times New Roman" w:hAnsi="Times New Roman" w:hint="eastAsia"/>
              </w:rPr>
              <w:t>89</w:t>
            </w:r>
          </w:p>
        </w:tc>
        <w:tc>
          <w:tcPr>
            <w:tcW w:w="1194" w:type="dxa"/>
            <w:vAlign w:val="center"/>
          </w:tcPr>
          <w:p w:rsidR="00CF7B73" w:rsidRPr="00D630D1" w:rsidRDefault="00332450" w:rsidP="00D31DA2">
            <w:pPr>
              <w:pStyle w:val="SSEC201503230"/>
              <w:rPr>
                <w:rFonts w:ascii="Times New Roman" w:hAnsi="Times New Roman"/>
              </w:rPr>
            </w:pPr>
            <w:r w:rsidRPr="00D630D1">
              <w:rPr>
                <w:rFonts w:ascii="Times New Roman" w:hAnsi="Times New Roman" w:hint="eastAsia"/>
              </w:rPr>
              <w:t>1</w:t>
            </w:r>
            <w:r w:rsidR="00D31DA2" w:rsidRPr="00D630D1">
              <w:rPr>
                <w:rFonts w:ascii="Times New Roman" w:hAnsi="Times New Roman" w:hint="eastAsia"/>
              </w:rPr>
              <w:t>2.78</w:t>
            </w:r>
          </w:p>
        </w:tc>
        <w:tc>
          <w:tcPr>
            <w:tcW w:w="1281" w:type="dxa"/>
            <w:vAlign w:val="center"/>
          </w:tcPr>
          <w:p w:rsidR="00CF7B73" w:rsidRPr="00D630D1" w:rsidRDefault="00D31DA2" w:rsidP="00CF7B73">
            <w:pPr>
              <w:pStyle w:val="SSEC201503230"/>
              <w:rPr>
                <w:rFonts w:ascii="Times New Roman" w:hAnsi="Times New Roman"/>
              </w:rPr>
            </w:pPr>
            <w:r w:rsidRPr="00D630D1">
              <w:rPr>
                <w:rFonts w:ascii="Times New Roman" w:hAnsi="Times New Roman" w:hint="eastAsia"/>
              </w:rPr>
              <w:t>85</w:t>
            </w:r>
          </w:p>
        </w:tc>
      </w:tr>
      <w:tr w:rsidR="00CF7B73" w:rsidRPr="00D630D1" w:rsidTr="00CF7B73">
        <w:trPr>
          <w:trHeight w:val="285"/>
          <w:jc w:val="center"/>
        </w:trPr>
        <w:tc>
          <w:tcPr>
            <w:tcW w:w="1194" w:type="dxa"/>
            <w:vMerge/>
            <w:vAlign w:val="center"/>
          </w:tcPr>
          <w:p w:rsidR="00CF7B73" w:rsidRPr="00D630D1" w:rsidRDefault="00CF7B73" w:rsidP="00CF7B73">
            <w:pPr>
              <w:pStyle w:val="SSEC201503230"/>
              <w:rPr>
                <w:rFonts w:ascii="Times New Roman" w:hAnsi="Times New Roman"/>
              </w:rPr>
            </w:pPr>
          </w:p>
        </w:tc>
        <w:tc>
          <w:tcPr>
            <w:tcW w:w="1048" w:type="dxa"/>
            <w:vAlign w:val="center"/>
          </w:tcPr>
          <w:p w:rsidR="00CF7B73" w:rsidRPr="00D630D1" w:rsidRDefault="00CF7B73" w:rsidP="00CF7B73">
            <w:pPr>
              <w:pStyle w:val="SSEC201503230"/>
              <w:rPr>
                <w:rFonts w:ascii="Times New Roman" w:hAnsi="Times New Roman"/>
              </w:rPr>
            </w:pPr>
            <w:r w:rsidRPr="00D630D1">
              <w:rPr>
                <w:rFonts w:ascii="Times New Roman" w:hAnsi="Times New Roman"/>
              </w:rPr>
              <w:t>365</w:t>
            </w:r>
          </w:p>
        </w:tc>
        <w:tc>
          <w:tcPr>
            <w:tcW w:w="1762" w:type="dxa"/>
            <w:vAlign w:val="center"/>
          </w:tcPr>
          <w:p w:rsidR="00CF7B73" w:rsidRPr="00D630D1" w:rsidRDefault="00CF7B73" w:rsidP="00D31DA2">
            <w:pPr>
              <w:pStyle w:val="SSEC201503230"/>
              <w:rPr>
                <w:rFonts w:ascii="Times New Roman" w:hAnsi="Times New Roman"/>
              </w:rPr>
            </w:pPr>
            <w:r w:rsidRPr="00D630D1">
              <w:rPr>
                <w:rFonts w:ascii="Times New Roman" w:hAnsi="Times New Roman" w:hint="eastAsia"/>
              </w:rPr>
              <w:t>0.</w:t>
            </w:r>
            <w:r w:rsidR="00D31DA2" w:rsidRPr="00D630D1">
              <w:rPr>
                <w:rFonts w:ascii="Times New Roman" w:hAnsi="Times New Roman" w:hint="eastAsia"/>
              </w:rPr>
              <w:t>87</w:t>
            </w:r>
          </w:p>
        </w:tc>
        <w:tc>
          <w:tcPr>
            <w:tcW w:w="1281" w:type="dxa"/>
            <w:vAlign w:val="center"/>
          </w:tcPr>
          <w:p w:rsidR="00CF7B73" w:rsidRPr="00D630D1" w:rsidRDefault="00D31DA2" w:rsidP="00332450">
            <w:pPr>
              <w:pStyle w:val="SSEC201503230"/>
              <w:rPr>
                <w:rFonts w:ascii="Times New Roman" w:hAnsi="Times New Roman"/>
              </w:rPr>
            </w:pPr>
            <w:r w:rsidRPr="00D630D1">
              <w:rPr>
                <w:rFonts w:ascii="Times New Roman" w:hAnsi="Times New Roman" w:hint="eastAsia"/>
              </w:rPr>
              <w:t>6.53</w:t>
            </w:r>
          </w:p>
        </w:tc>
        <w:tc>
          <w:tcPr>
            <w:tcW w:w="1340" w:type="dxa"/>
            <w:vAlign w:val="center"/>
          </w:tcPr>
          <w:p w:rsidR="00CF7B73" w:rsidRPr="00D630D1" w:rsidRDefault="00D22BB9" w:rsidP="00D31DA2">
            <w:pPr>
              <w:pStyle w:val="SSEC201503230"/>
              <w:rPr>
                <w:rFonts w:ascii="Times New Roman" w:hAnsi="Times New Roman"/>
              </w:rPr>
            </w:pPr>
            <w:r w:rsidRPr="00D630D1">
              <w:rPr>
                <w:rFonts w:ascii="Times New Roman" w:hAnsi="Times New Roman" w:hint="eastAsia"/>
              </w:rPr>
              <w:t>1</w:t>
            </w:r>
            <w:r w:rsidR="00D31DA2" w:rsidRPr="00D630D1">
              <w:rPr>
                <w:rFonts w:ascii="Times New Roman" w:hAnsi="Times New Roman" w:hint="eastAsia"/>
              </w:rPr>
              <w:t>25</w:t>
            </w:r>
          </w:p>
        </w:tc>
        <w:tc>
          <w:tcPr>
            <w:tcW w:w="1194" w:type="dxa"/>
            <w:vAlign w:val="center"/>
          </w:tcPr>
          <w:p w:rsidR="00CF7B73" w:rsidRPr="00D630D1" w:rsidRDefault="00332450" w:rsidP="00D31DA2">
            <w:pPr>
              <w:pStyle w:val="SSEC201503230"/>
              <w:rPr>
                <w:rFonts w:ascii="Times New Roman" w:hAnsi="Times New Roman"/>
              </w:rPr>
            </w:pPr>
            <w:r w:rsidRPr="00D630D1">
              <w:rPr>
                <w:rFonts w:ascii="Times New Roman" w:hAnsi="Times New Roman" w:hint="eastAsia"/>
              </w:rPr>
              <w:t>2</w:t>
            </w:r>
            <w:r w:rsidR="00D31DA2" w:rsidRPr="00D630D1">
              <w:rPr>
                <w:rFonts w:ascii="Times New Roman" w:hAnsi="Times New Roman" w:hint="eastAsia"/>
              </w:rPr>
              <w:t>6.35</w:t>
            </w:r>
          </w:p>
        </w:tc>
        <w:tc>
          <w:tcPr>
            <w:tcW w:w="1281" w:type="dxa"/>
            <w:vAlign w:val="center"/>
          </w:tcPr>
          <w:p w:rsidR="00CF7B73" w:rsidRPr="00D630D1" w:rsidRDefault="00D22BB9" w:rsidP="00D31DA2">
            <w:pPr>
              <w:pStyle w:val="SSEC201503230"/>
              <w:rPr>
                <w:rFonts w:ascii="Times New Roman" w:hAnsi="Times New Roman"/>
              </w:rPr>
            </w:pPr>
            <w:r w:rsidRPr="00D630D1">
              <w:rPr>
                <w:rFonts w:ascii="Times New Roman" w:hAnsi="Times New Roman" w:hint="eastAsia"/>
              </w:rPr>
              <w:t>1</w:t>
            </w:r>
            <w:r w:rsidR="00D31DA2" w:rsidRPr="00D630D1">
              <w:rPr>
                <w:rFonts w:ascii="Times New Roman" w:hAnsi="Times New Roman" w:hint="eastAsia"/>
              </w:rPr>
              <w:t>56</w:t>
            </w:r>
          </w:p>
        </w:tc>
      </w:tr>
    </w:tbl>
    <w:p w:rsidR="00326579" w:rsidRPr="00D630D1" w:rsidRDefault="00EE3E61" w:rsidP="00EE3E61">
      <w:pPr>
        <w:pStyle w:val="afa"/>
        <w:ind w:firstLine="480"/>
      </w:pPr>
      <w:r w:rsidRPr="00D630D1">
        <w:rPr>
          <w:rFonts w:hint="eastAsia"/>
        </w:rPr>
        <w:t>由上述分析可知，在非正常工况下，不考虑污染物在含</w:t>
      </w:r>
      <w:r w:rsidR="001205FA" w:rsidRPr="00D630D1">
        <w:rPr>
          <w:rFonts w:hint="eastAsia"/>
        </w:rPr>
        <w:t>水层的吸附、挥发、生物化学反应等情况，</w:t>
      </w:r>
      <w:r w:rsidR="00EF360A" w:rsidRPr="00D630D1">
        <w:rPr>
          <w:rFonts w:hint="eastAsia"/>
        </w:rPr>
        <w:t>压裂、洗井废水</w:t>
      </w:r>
      <w:r w:rsidR="001205FA" w:rsidRPr="00D630D1">
        <w:rPr>
          <w:rFonts w:hint="eastAsia"/>
        </w:rPr>
        <w:t>泄漏</w:t>
      </w:r>
      <w:r w:rsidRPr="00D630D1">
        <w:rPr>
          <w:rFonts w:hint="eastAsia"/>
        </w:rPr>
        <w:t>情况下地下水石油类</w:t>
      </w:r>
      <w:r w:rsidR="00CF7B73" w:rsidRPr="00D630D1">
        <w:rPr>
          <w:rFonts w:hint="eastAsia"/>
        </w:rPr>
        <w:t>预测结果：泄漏</w:t>
      </w:r>
      <w:r w:rsidR="00CF7B73" w:rsidRPr="00D630D1">
        <w:t>100</w:t>
      </w:r>
      <w:r w:rsidR="00CF7B73" w:rsidRPr="00D630D1">
        <w:rPr>
          <w:rFonts w:hint="eastAsia"/>
        </w:rPr>
        <w:t>天后，石油类在下游最大浓度为</w:t>
      </w:r>
      <w:r w:rsidR="00D31DA2" w:rsidRPr="00D630D1">
        <w:rPr>
          <w:rFonts w:hint="eastAsia"/>
        </w:rPr>
        <w:t>2.45</w:t>
      </w:r>
      <w:r w:rsidR="00CF7B73" w:rsidRPr="00D630D1">
        <w:t>mg/L</w:t>
      </w:r>
      <w:r w:rsidR="00CF7B73" w:rsidRPr="00D630D1">
        <w:rPr>
          <w:rFonts w:hint="eastAsia"/>
        </w:rPr>
        <w:t>，超标距离最远为</w:t>
      </w:r>
      <w:r w:rsidR="00D31DA2" w:rsidRPr="00D630D1">
        <w:rPr>
          <w:rFonts w:hint="eastAsia"/>
        </w:rPr>
        <w:t>3.68</w:t>
      </w:r>
      <w:r w:rsidR="00CF7B73" w:rsidRPr="00D630D1">
        <w:t>m</w:t>
      </w:r>
      <w:r w:rsidR="00CF7B73" w:rsidRPr="00D630D1">
        <w:rPr>
          <w:rFonts w:hint="eastAsia"/>
        </w:rPr>
        <w:t>，超标面积</w:t>
      </w:r>
      <w:r w:rsidR="00D31DA2" w:rsidRPr="00D630D1">
        <w:rPr>
          <w:rFonts w:hint="eastAsia"/>
        </w:rPr>
        <w:t>89</w:t>
      </w:r>
      <w:r w:rsidR="00CF7B73" w:rsidRPr="00D630D1">
        <w:t>m</w:t>
      </w:r>
      <w:r w:rsidR="00CF7B73" w:rsidRPr="00D630D1">
        <w:rPr>
          <w:vertAlign w:val="superscript"/>
        </w:rPr>
        <w:t>2</w:t>
      </w:r>
      <w:r w:rsidR="00CF7B73" w:rsidRPr="00D630D1">
        <w:rPr>
          <w:rFonts w:hint="eastAsia"/>
        </w:rPr>
        <w:t>，影响距离最远为下游</w:t>
      </w:r>
      <w:r w:rsidR="00D31DA2" w:rsidRPr="00D630D1">
        <w:rPr>
          <w:rFonts w:hint="eastAsia"/>
        </w:rPr>
        <w:t>12.78</w:t>
      </w:r>
      <w:r w:rsidR="00CF7B73" w:rsidRPr="00D630D1">
        <w:t>m</w:t>
      </w:r>
      <w:r w:rsidR="00CF7B73" w:rsidRPr="00D630D1">
        <w:rPr>
          <w:rFonts w:hint="eastAsia"/>
        </w:rPr>
        <w:t>，影响面积为</w:t>
      </w:r>
      <w:r w:rsidR="00D31DA2" w:rsidRPr="00D630D1">
        <w:rPr>
          <w:rFonts w:hint="eastAsia"/>
        </w:rPr>
        <w:t>85</w:t>
      </w:r>
      <w:r w:rsidR="00CF7B73" w:rsidRPr="00D630D1">
        <w:t>m</w:t>
      </w:r>
      <w:r w:rsidR="00CF7B73" w:rsidRPr="00D630D1">
        <w:rPr>
          <w:vertAlign w:val="superscript"/>
        </w:rPr>
        <w:t>2</w:t>
      </w:r>
      <w:r w:rsidR="00CF7B73" w:rsidRPr="00D630D1">
        <w:rPr>
          <w:rFonts w:hint="eastAsia"/>
        </w:rPr>
        <w:t>。泄漏</w:t>
      </w:r>
      <w:r w:rsidR="00CF7B73" w:rsidRPr="00D630D1">
        <w:t>365</w:t>
      </w:r>
      <w:r w:rsidR="00CF7B73" w:rsidRPr="00D630D1">
        <w:rPr>
          <w:rFonts w:hint="eastAsia"/>
        </w:rPr>
        <w:t>天后，下游最大浓度为</w:t>
      </w:r>
      <w:r w:rsidR="00332450" w:rsidRPr="00D630D1">
        <w:rPr>
          <w:rFonts w:hint="eastAsia"/>
        </w:rPr>
        <w:t>0.</w:t>
      </w:r>
      <w:r w:rsidR="00D31DA2" w:rsidRPr="00D630D1">
        <w:rPr>
          <w:rFonts w:hint="eastAsia"/>
        </w:rPr>
        <w:t>87</w:t>
      </w:r>
      <w:r w:rsidR="00CF7B73" w:rsidRPr="00D630D1">
        <w:t>mg/L</w:t>
      </w:r>
      <w:r w:rsidR="00CF7B73" w:rsidRPr="00D630D1">
        <w:rPr>
          <w:rFonts w:hint="eastAsia"/>
        </w:rPr>
        <w:t>，超标距离最远为</w:t>
      </w:r>
      <w:r w:rsidR="00D31DA2" w:rsidRPr="00D630D1">
        <w:rPr>
          <w:rFonts w:hint="eastAsia"/>
        </w:rPr>
        <w:t>6.53</w:t>
      </w:r>
      <w:r w:rsidR="00CF7B73" w:rsidRPr="00D630D1">
        <w:t>m</w:t>
      </w:r>
      <w:r w:rsidR="00CF7B73" w:rsidRPr="00D630D1">
        <w:rPr>
          <w:rFonts w:hint="eastAsia"/>
        </w:rPr>
        <w:t>，超标面积</w:t>
      </w:r>
      <w:r w:rsidR="00D22BB9" w:rsidRPr="00D630D1">
        <w:rPr>
          <w:rFonts w:hint="eastAsia"/>
        </w:rPr>
        <w:t>1</w:t>
      </w:r>
      <w:r w:rsidR="00D31DA2" w:rsidRPr="00D630D1">
        <w:rPr>
          <w:rFonts w:hint="eastAsia"/>
        </w:rPr>
        <w:t>25</w:t>
      </w:r>
      <w:r w:rsidR="00CF7B73" w:rsidRPr="00D630D1">
        <w:t>m</w:t>
      </w:r>
      <w:r w:rsidR="00CF7B73" w:rsidRPr="00D630D1">
        <w:rPr>
          <w:vertAlign w:val="superscript"/>
        </w:rPr>
        <w:t>2</w:t>
      </w:r>
      <w:r w:rsidR="00CF7B73" w:rsidRPr="00D630D1">
        <w:rPr>
          <w:rFonts w:hint="eastAsia"/>
        </w:rPr>
        <w:t>，影响距离最远为下游</w:t>
      </w:r>
      <w:r w:rsidR="00CF7B73" w:rsidRPr="00D630D1">
        <w:rPr>
          <w:rFonts w:hint="eastAsia"/>
        </w:rPr>
        <w:t>2</w:t>
      </w:r>
      <w:r w:rsidR="00D31DA2" w:rsidRPr="00D630D1">
        <w:rPr>
          <w:rFonts w:hint="eastAsia"/>
        </w:rPr>
        <w:t>6.3</w:t>
      </w:r>
      <w:r w:rsidR="00332450" w:rsidRPr="00D630D1">
        <w:rPr>
          <w:rFonts w:hint="eastAsia"/>
        </w:rPr>
        <w:t>5</w:t>
      </w:r>
      <w:r w:rsidR="00CF7B73" w:rsidRPr="00D630D1">
        <w:t>m</w:t>
      </w:r>
      <w:r w:rsidR="00CF7B73" w:rsidRPr="00D630D1">
        <w:rPr>
          <w:rFonts w:hint="eastAsia"/>
        </w:rPr>
        <w:t>，影响面积为</w:t>
      </w:r>
      <w:r w:rsidR="00D22BB9" w:rsidRPr="00D630D1">
        <w:rPr>
          <w:rFonts w:hint="eastAsia"/>
        </w:rPr>
        <w:t>1</w:t>
      </w:r>
      <w:r w:rsidR="00D31DA2" w:rsidRPr="00D630D1">
        <w:rPr>
          <w:rFonts w:hint="eastAsia"/>
        </w:rPr>
        <w:t>56</w:t>
      </w:r>
      <w:r w:rsidR="00CF7B73" w:rsidRPr="00D630D1">
        <w:t>m</w:t>
      </w:r>
      <w:r w:rsidR="00CF7B73" w:rsidRPr="00D630D1">
        <w:rPr>
          <w:vertAlign w:val="superscript"/>
        </w:rPr>
        <w:t>2</w:t>
      </w:r>
      <w:r w:rsidR="00CF7B73" w:rsidRPr="00D630D1">
        <w:rPr>
          <w:rFonts w:hint="eastAsia"/>
        </w:rPr>
        <w:t>。</w:t>
      </w:r>
      <w:r w:rsidR="002C00AE">
        <w:rPr>
          <w:rFonts w:hint="eastAsia"/>
        </w:rPr>
        <w:t>普光</w:t>
      </w:r>
      <w:r w:rsidR="002C00AE">
        <w:rPr>
          <w:rFonts w:hint="eastAsia"/>
        </w:rPr>
        <w:t>12</w:t>
      </w:r>
      <w:r w:rsidR="002C00AE">
        <w:rPr>
          <w:rFonts w:hint="eastAsia"/>
        </w:rPr>
        <w:t>采气站</w:t>
      </w:r>
      <w:r w:rsidR="007B1068" w:rsidRPr="00D630D1">
        <w:rPr>
          <w:rFonts w:hint="eastAsia"/>
        </w:rPr>
        <w:t>周边最近地下水敏感点为</w:t>
      </w:r>
      <w:r w:rsidR="00C841CB">
        <w:rPr>
          <w:rFonts w:hint="eastAsia"/>
        </w:rPr>
        <w:t>南</w:t>
      </w:r>
      <w:r w:rsidR="007B1068" w:rsidRPr="00D630D1">
        <w:rPr>
          <w:rFonts w:hint="eastAsia"/>
        </w:rPr>
        <w:t>侧</w:t>
      </w:r>
      <w:r w:rsidR="00C841CB">
        <w:rPr>
          <w:rFonts w:hint="eastAsia"/>
        </w:rPr>
        <w:t>26</w:t>
      </w:r>
      <w:r w:rsidR="00D31DA2" w:rsidRPr="00D630D1">
        <w:rPr>
          <w:rFonts w:hint="eastAsia"/>
        </w:rPr>
        <w:t>0</w:t>
      </w:r>
      <w:r w:rsidR="007B1068" w:rsidRPr="00D630D1">
        <w:rPr>
          <w:rFonts w:hint="eastAsia"/>
        </w:rPr>
        <w:t>m</w:t>
      </w:r>
      <w:r w:rsidR="007B1068" w:rsidRPr="00D630D1">
        <w:rPr>
          <w:rFonts w:hint="eastAsia"/>
        </w:rPr>
        <w:t>，因此</w:t>
      </w:r>
      <w:r w:rsidR="00CF7B73" w:rsidRPr="00D630D1">
        <w:rPr>
          <w:rFonts w:hint="eastAsia"/>
        </w:rPr>
        <w:t>污染物扩散影响范围内不涉及地下水环境敏感点</w:t>
      </w:r>
      <w:r w:rsidRPr="00D630D1">
        <w:rPr>
          <w:rFonts w:hint="eastAsia"/>
        </w:rPr>
        <w:t>。</w:t>
      </w:r>
    </w:p>
    <w:p w:rsidR="00EE3E61" w:rsidRPr="00D630D1" w:rsidRDefault="00EE3E61" w:rsidP="00EE3E61">
      <w:pPr>
        <w:pStyle w:val="afa"/>
        <w:ind w:firstLine="482"/>
        <w:rPr>
          <w:b/>
          <w:bCs/>
        </w:rPr>
      </w:pPr>
      <w:r w:rsidRPr="00D630D1">
        <w:rPr>
          <w:b/>
          <w:bCs/>
        </w:rPr>
        <w:t>5</w:t>
      </w:r>
      <w:r w:rsidRPr="00D630D1">
        <w:rPr>
          <w:b/>
          <w:bCs/>
        </w:rPr>
        <w:t>、</w:t>
      </w:r>
      <w:r w:rsidRPr="00D630D1">
        <w:rPr>
          <w:rFonts w:hint="eastAsia"/>
          <w:b/>
          <w:bCs/>
        </w:rPr>
        <w:t>地下水环境保护措施与对策</w:t>
      </w:r>
    </w:p>
    <w:p w:rsidR="00EE3E61" w:rsidRPr="00D630D1" w:rsidRDefault="00EE3E61" w:rsidP="00EE3E61">
      <w:pPr>
        <w:pStyle w:val="afa"/>
        <w:ind w:firstLine="480"/>
      </w:pPr>
      <w:r w:rsidRPr="00D630D1">
        <w:rPr>
          <w:rFonts w:hint="eastAsia"/>
        </w:rPr>
        <w:t>根据本工程建设对地下水环境影响的特点，建议本项目地下水环境保护措施按照</w:t>
      </w:r>
      <w:r w:rsidRPr="00D630D1">
        <w:t>“</w:t>
      </w:r>
      <w:r w:rsidRPr="00D630D1">
        <w:rPr>
          <w:rFonts w:hint="eastAsia"/>
        </w:rPr>
        <w:t>源头控制、分区防控、污染监控、应急响应</w:t>
      </w:r>
      <w:r w:rsidRPr="00D630D1">
        <w:t>”</w:t>
      </w:r>
      <w:r w:rsidRPr="00D630D1">
        <w:rPr>
          <w:rFonts w:hint="eastAsia"/>
        </w:rPr>
        <w:t>相结合的原则，从污染物的产生、入渗、扩散、应急响应等方面进行控制。</w:t>
      </w:r>
    </w:p>
    <w:p w:rsidR="00EE3E61" w:rsidRPr="00D630D1" w:rsidRDefault="00EE3E61" w:rsidP="00EE3E61">
      <w:pPr>
        <w:pStyle w:val="afa"/>
        <w:ind w:firstLine="480"/>
      </w:pPr>
      <w:r w:rsidRPr="00D630D1">
        <w:t>（</w:t>
      </w:r>
      <w:r w:rsidRPr="00D630D1">
        <w:rPr>
          <w:rFonts w:hint="eastAsia"/>
        </w:rPr>
        <w:t>1</w:t>
      </w:r>
      <w:r w:rsidRPr="00D630D1">
        <w:t>）</w:t>
      </w:r>
      <w:r w:rsidRPr="00D630D1">
        <w:rPr>
          <w:rFonts w:hint="eastAsia"/>
        </w:rPr>
        <w:t>源头控制措施</w:t>
      </w:r>
    </w:p>
    <w:p w:rsidR="00EE3E61" w:rsidRPr="00D630D1" w:rsidRDefault="00EE3E61" w:rsidP="00EE3E61">
      <w:pPr>
        <w:pStyle w:val="afa"/>
        <w:ind w:firstLine="480"/>
      </w:pPr>
      <w:r w:rsidRPr="00D630D1">
        <w:rPr>
          <w:rFonts w:hint="eastAsia"/>
        </w:rPr>
        <w:t>源头控制主要包括实施清洁生产及各类废物循环利用，减少污染物的排放量；在工艺、管道、设备、污水储存及处理构筑物采取相应措施，防止和降低污染物跑、冒、滴、漏，将污染物泄漏的环境风险事故降到最低限度。项目采用质量合格的</w:t>
      </w:r>
      <w:r w:rsidR="00EF360A" w:rsidRPr="00D630D1">
        <w:rPr>
          <w:rFonts w:ascii="宋体" w:cs="宋体" w:hint="eastAsia"/>
        </w:rPr>
        <w:t>污水缓冲罐</w:t>
      </w:r>
      <w:r w:rsidRPr="00D630D1">
        <w:rPr>
          <w:rFonts w:hint="eastAsia"/>
        </w:rPr>
        <w:t>，加强对储罐的检修维护，防止和降低</w:t>
      </w:r>
      <w:r w:rsidR="00EF360A" w:rsidRPr="00D630D1">
        <w:rPr>
          <w:rFonts w:hint="eastAsia"/>
        </w:rPr>
        <w:t>压裂、洗井废水</w:t>
      </w:r>
      <w:r w:rsidRPr="00D630D1">
        <w:rPr>
          <w:rFonts w:hint="eastAsia"/>
        </w:rPr>
        <w:t>的跑、冒、滴、漏。</w:t>
      </w:r>
    </w:p>
    <w:p w:rsidR="00EE3E61" w:rsidRPr="00D630D1" w:rsidRDefault="00EE3E61" w:rsidP="00EE3E61">
      <w:pPr>
        <w:pStyle w:val="afa"/>
        <w:ind w:firstLine="480"/>
      </w:pPr>
      <w:r w:rsidRPr="00D630D1">
        <w:rPr>
          <w:rFonts w:hint="eastAsia"/>
        </w:rPr>
        <w:lastRenderedPageBreak/>
        <w:t>（</w:t>
      </w:r>
      <w:r w:rsidRPr="00D630D1">
        <w:rPr>
          <w:rFonts w:hint="eastAsia"/>
        </w:rPr>
        <w:t>2</w:t>
      </w:r>
      <w:r w:rsidRPr="00D630D1">
        <w:rPr>
          <w:rFonts w:hint="eastAsia"/>
        </w:rPr>
        <w:t>）分区防渗措施</w:t>
      </w:r>
    </w:p>
    <w:p w:rsidR="00EE3E61" w:rsidRPr="00D630D1" w:rsidRDefault="00EE3E61" w:rsidP="00EE3E61">
      <w:pPr>
        <w:pStyle w:val="afa"/>
        <w:ind w:firstLine="480"/>
      </w:pPr>
      <w:r w:rsidRPr="00D630D1">
        <w:rPr>
          <w:rFonts w:hint="eastAsia"/>
        </w:rPr>
        <w:t>对本项目可能泄漏污染物的地面进行防渗处理，可有效防治污染物渗入地下，并及时地将泄漏、渗漏的污染物收集并进行集中处理。本项目通过将加强井场防渗等级，避免污染物入渗，采取了分区防渗措施。根据工程各功能单元可能产生污染的地区，划分为重点污染防治区、一般污染防治区。重点防渗区为对地下水环境有污染的物料或污染物泄漏后，不能及时发现和处理的区域或部位：包括井口区、</w:t>
      </w:r>
      <w:r w:rsidR="00EF360A" w:rsidRPr="00D630D1">
        <w:rPr>
          <w:rFonts w:hint="eastAsia"/>
        </w:rPr>
        <w:t>污水缓冲罐</w:t>
      </w:r>
      <w:r w:rsidR="00251CEC" w:rsidRPr="00D630D1">
        <w:rPr>
          <w:rFonts w:hint="eastAsia"/>
        </w:rPr>
        <w:t>区</w:t>
      </w:r>
      <w:r w:rsidRPr="00D630D1">
        <w:rPr>
          <w:rFonts w:hint="eastAsia"/>
        </w:rPr>
        <w:t>等区域，防渗等效黏土防渗层</w:t>
      </w:r>
      <w:r w:rsidRPr="00D630D1">
        <w:t>Mb</w:t>
      </w:r>
      <w:r w:rsidRPr="00D630D1">
        <w:rPr>
          <w:rFonts w:hint="eastAsia"/>
        </w:rPr>
        <w:t>≧</w:t>
      </w:r>
      <w:r w:rsidRPr="00D630D1">
        <w:t>6.0m</w:t>
      </w:r>
      <w:r w:rsidRPr="00D630D1">
        <w:rPr>
          <w:rFonts w:hint="eastAsia"/>
        </w:rPr>
        <w:t>，</w:t>
      </w:r>
      <w:r w:rsidRPr="00D630D1">
        <w:t>K≤1×10</w:t>
      </w:r>
      <w:r w:rsidRPr="00D630D1">
        <w:rPr>
          <w:vertAlign w:val="superscript"/>
        </w:rPr>
        <w:t>-7</w:t>
      </w:r>
      <w:r w:rsidRPr="00D630D1">
        <w:t>cm/s</w:t>
      </w:r>
      <w:r w:rsidRPr="00D630D1">
        <w:rPr>
          <w:rFonts w:hint="eastAsia"/>
        </w:rPr>
        <w:t>。一般防渗区为水套炉区域、工艺装置区等区域，防渗应满足等效黏土防渗层</w:t>
      </w:r>
      <w:r w:rsidRPr="00D630D1">
        <w:t>Mb</w:t>
      </w:r>
      <w:r w:rsidRPr="00D630D1">
        <w:rPr>
          <w:rFonts w:hint="eastAsia"/>
        </w:rPr>
        <w:t>≧</w:t>
      </w:r>
      <w:r w:rsidRPr="00D630D1">
        <w:t>1.5m</w:t>
      </w:r>
      <w:r w:rsidRPr="00D630D1">
        <w:rPr>
          <w:rFonts w:hint="eastAsia"/>
        </w:rPr>
        <w:t>，</w:t>
      </w:r>
      <w:r w:rsidRPr="00D630D1">
        <w:t>K≤1×10</w:t>
      </w:r>
      <w:r w:rsidRPr="00D630D1">
        <w:rPr>
          <w:vertAlign w:val="superscript"/>
        </w:rPr>
        <w:t>-7</w:t>
      </w:r>
      <w:r w:rsidRPr="00D630D1">
        <w:t>cm/s</w:t>
      </w:r>
      <w:r w:rsidRPr="00D630D1">
        <w:rPr>
          <w:rFonts w:hint="eastAsia"/>
        </w:rPr>
        <w:t>；其他区域为非防渗区。</w:t>
      </w:r>
    </w:p>
    <w:p w:rsidR="00EE3E61" w:rsidRPr="00D630D1" w:rsidRDefault="00EE3E61" w:rsidP="00EE3E61">
      <w:pPr>
        <w:pStyle w:val="afa"/>
        <w:ind w:firstLine="480"/>
      </w:pPr>
      <w:r w:rsidRPr="00D630D1">
        <w:rPr>
          <w:rFonts w:hint="eastAsia"/>
        </w:rPr>
        <w:t>以上防渗措施均按相关要求和规定执行。</w:t>
      </w:r>
      <w:r w:rsidR="00EF360A" w:rsidRPr="00D630D1">
        <w:rPr>
          <w:rFonts w:ascii="宋体" w:cs="宋体" w:hint="eastAsia"/>
        </w:rPr>
        <w:t>污水缓冲罐</w:t>
      </w:r>
      <w:r w:rsidR="00251CEC" w:rsidRPr="00D630D1">
        <w:rPr>
          <w:rFonts w:ascii="宋体" w:cs="宋体" w:hint="eastAsia"/>
        </w:rPr>
        <w:t>区</w:t>
      </w:r>
      <w:r w:rsidRPr="00D630D1">
        <w:rPr>
          <w:rFonts w:hint="eastAsia"/>
        </w:rPr>
        <w:t>围堰建设完毕后，用清水进行试漏，在无渗漏的前提下方可投入使用。工程采取以上措施后，在一定程度上可以切断地下水的污染途径，措施有效可行。</w:t>
      </w:r>
    </w:p>
    <w:p w:rsidR="00EE3E61" w:rsidRPr="00D630D1" w:rsidRDefault="00EE3E61" w:rsidP="00EE3E61">
      <w:pPr>
        <w:pStyle w:val="afa"/>
        <w:ind w:firstLine="480"/>
      </w:pPr>
      <w:r w:rsidRPr="00D630D1">
        <w:rPr>
          <w:rFonts w:hint="eastAsia"/>
        </w:rPr>
        <w:t>（</w:t>
      </w:r>
      <w:r w:rsidRPr="00D630D1">
        <w:rPr>
          <w:rFonts w:hint="eastAsia"/>
        </w:rPr>
        <w:t>3</w:t>
      </w:r>
      <w:r w:rsidRPr="00D630D1">
        <w:rPr>
          <w:rFonts w:hint="eastAsia"/>
        </w:rPr>
        <w:t>）地下水环境管理与监测措施</w:t>
      </w:r>
    </w:p>
    <w:p w:rsidR="00EE3E61" w:rsidRPr="00D630D1" w:rsidRDefault="00EE3E61" w:rsidP="00EE3E61">
      <w:pPr>
        <w:pStyle w:val="afa"/>
        <w:ind w:firstLine="480"/>
      </w:pPr>
      <w:r w:rsidRPr="00D630D1">
        <w:rPr>
          <w:rFonts w:hint="eastAsia"/>
        </w:rPr>
        <w:t>1</w:t>
      </w:r>
      <w:r w:rsidRPr="00D630D1">
        <w:rPr>
          <w:rFonts w:hint="eastAsia"/>
        </w:rPr>
        <w:t>）地下水环境管理</w:t>
      </w:r>
    </w:p>
    <w:p w:rsidR="00EE3E61" w:rsidRPr="00D630D1" w:rsidRDefault="00EE3E61" w:rsidP="00EE3E61">
      <w:pPr>
        <w:pStyle w:val="afa"/>
        <w:ind w:firstLine="480"/>
      </w:pPr>
      <w:r w:rsidRPr="00D630D1">
        <w:rPr>
          <w:rFonts w:hint="eastAsia"/>
        </w:rPr>
        <w:t>①</w:t>
      </w:r>
      <w:r w:rsidR="00EF360A" w:rsidRPr="00D630D1">
        <w:rPr>
          <w:rFonts w:hint="eastAsia"/>
        </w:rPr>
        <w:t>污水缓冲罐</w:t>
      </w:r>
      <w:r w:rsidR="00251CEC" w:rsidRPr="00D630D1">
        <w:rPr>
          <w:rFonts w:hint="eastAsia"/>
        </w:rPr>
        <w:t>四周设置围堰，并进行防渗处理，</w:t>
      </w:r>
      <w:r w:rsidRPr="00D630D1">
        <w:rPr>
          <w:rFonts w:hint="eastAsia"/>
        </w:rPr>
        <w:t>避免泄漏物料进入环境。</w:t>
      </w:r>
    </w:p>
    <w:p w:rsidR="00EE3E61" w:rsidRPr="00D630D1" w:rsidRDefault="00EE3E61" w:rsidP="00EE3E61">
      <w:pPr>
        <w:pStyle w:val="afa"/>
        <w:ind w:firstLine="480"/>
      </w:pPr>
      <w:r w:rsidRPr="00D630D1">
        <w:rPr>
          <w:rFonts w:hint="eastAsia"/>
        </w:rPr>
        <w:t>②做好日常安全检查，定期检测罐体的完好情况，避免</w:t>
      </w:r>
      <w:r w:rsidR="00EF360A" w:rsidRPr="00D630D1">
        <w:rPr>
          <w:rFonts w:hint="eastAsia"/>
        </w:rPr>
        <w:t>压裂、洗井废水</w:t>
      </w:r>
      <w:r w:rsidRPr="00D630D1">
        <w:rPr>
          <w:rFonts w:hint="eastAsia"/>
        </w:rPr>
        <w:t>泄漏导致环境风险事故。定期检查</w:t>
      </w:r>
      <w:r w:rsidR="00EF360A" w:rsidRPr="00D630D1">
        <w:rPr>
          <w:rFonts w:hint="eastAsia"/>
        </w:rPr>
        <w:t>污水缓冲罐</w:t>
      </w:r>
      <w:r w:rsidRPr="00D630D1">
        <w:rPr>
          <w:rFonts w:hint="eastAsia"/>
        </w:rPr>
        <w:t>安全保护系统（如截断阀、安全阀等），使管道在超压时能够得到安全处理。</w:t>
      </w:r>
    </w:p>
    <w:p w:rsidR="00EE3E61" w:rsidRPr="00D630D1" w:rsidRDefault="00EE3E61" w:rsidP="00EE3E61">
      <w:pPr>
        <w:pStyle w:val="afa"/>
        <w:ind w:firstLine="480"/>
      </w:pPr>
      <w:r w:rsidRPr="00D630D1">
        <w:rPr>
          <w:rFonts w:hint="eastAsia"/>
        </w:rPr>
        <w:t>③站场内按要求储备灭火毯、干沙等消防用品，可用作泄漏时吸收之用。</w:t>
      </w:r>
    </w:p>
    <w:p w:rsidR="00EE3E61" w:rsidRPr="00D630D1" w:rsidRDefault="00EE3E61" w:rsidP="00EE3E61">
      <w:pPr>
        <w:pStyle w:val="afa"/>
        <w:ind w:firstLine="480"/>
      </w:pPr>
      <w:r w:rsidRPr="00D630D1">
        <w:rPr>
          <w:rFonts w:hint="eastAsia"/>
        </w:rPr>
        <w:t>④</w:t>
      </w:r>
      <w:r w:rsidR="00332450" w:rsidRPr="00D630D1">
        <w:rPr>
          <w:rFonts w:hint="eastAsia"/>
        </w:rPr>
        <w:t>在发现污水管道泄漏时立即进行截断，减小对地下水和土壤环境影响。</w:t>
      </w:r>
    </w:p>
    <w:p w:rsidR="00EE3E61" w:rsidRPr="00D630D1" w:rsidRDefault="00EE3E61" w:rsidP="00EE3E61">
      <w:pPr>
        <w:pStyle w:val="afa"/>
        <w:ind w:firstLine="480"/>
      </w:pPr>
      <w:r w:rsidRPr="00D630D1">
        <w:rPr>
          <w:rFonts w:hint="eastAsia"/>
        </w:rPr>
        <w:t>2</w:t>
      </w:r>
      <w:r w:rsidRPr="00D630D1">
        <w:rPr>
          <w:rFonts w:hint="eastAsia"/>
        </w:rPr>
        <w:t>）地下水跟踪监测</w:t>
      </w:r>
    </w:p>
    <w:p w:rsidR="00EE3E61" w:rsidRPr="00D630D1" w:rsidRDefault="00EE3E61" w:rsidP="00EE3E61">
      <w:pPr>
        <w:pStyle w:val="afa"/>
        <w:ind w:firstLine="480"/>
      </w:pPr>
      <w:r w:rsidRPr="00D630D1">
        <w:rPr>
          <w:rFonts w:hint="eastAsia"/>
        </w:rPr>
        <w:t>为能及时了解、掌握区内地下水可能被污染的情况，建议对工程区定期进行地下水监测，以及时了解该区地下水状况，一旦发生污染，及时采取应急、补救措施，避免造成大范围的污染以至于达到无法补救的程度。</w:t>
      </w:r>
    </w:p>
    <w:p w:rsidR="00EE3E61" w:rsidRPr="00D630D1" w:rsidRDefault="00EE3E61" w:rsidP="00EE3E61">
      <w:pPr>
        <w:pStyle w:val="afa"/>
        <w:ind w:firstLine="480"/>
        <w:rPr>
          <w:rFonts w:ascii="宋体" w:cs="宋体"/>
        </w:rPr>
      </w:pPr>
      <w:r w:rsidRPr="00D630D1">
        <w:rPr>
          <w:rFonts w:ascii="宋体" w:cs="宋体" w:hint="eastAsia"/>
        </w:rPr>
        <w:t>按照《环境影响评价技术导则 地下水环境》（</w:t>
      </w:r>
      <w:r w:rsidRPr="00D630D1">
        <w:t>HJ 610-2016</w:t>
      </w:r>
      <w:r w:rsidRPr="00D630D1">
        <w:rPr>
          <w:rFonts w:ascii="宋体" w:cs="宋体" w:hint="eastAsia"/>
        </w:rPr>
        <w:t>）及《地下水环境监测技术规范》（</w:t>
      </w:r>
      <w:r w:rsidRPr="00D630D1">
        <w:t>HJ/T 164-2004</w:t>
      </w:r>
      <w:r w:rsidRPr="00D630D1">
        <w:rPr>
          <w:rFonts w:ascii="宋体" w:cs="宋体" w:hint="eastAsia"/>
        </w:rPr>
        <w:t>）的要求，本项目设置</w:t>
      </w:r>
      <w:r w:rsidRPr="00D630D1">
        <w:t>3</w:t>
      </w:r>
      <w:r w:rsidRPr="00D630D1">
        <w:rPr>
          <w:rFonts w:ascii="宋体" w:cs="宋体" w:hint="eastAsia"/>
        </w:rPr>
        <w:t>个地下水跟踪监测井，具体监测方案见下表。</w:t>
      </w:r>
    </w:p>
    <w:p w:rsidR="00EE3E61" w:rsidRPr="00D630D1" w:rsidRDefault="00EE3E61" w:rsidP="00EE3E61">
      <w:pPr>
        <w:pStyle w:val="10"/>
        <w:rPr>
          <w:rFonts w:ascii="宋体"/>
        </w:rPr>
      </w:pPr>
      <w:r w:rsidRPr="00D630D1">
        <w:rPr>
          <w:rFonts w:hint="eastAsia"/>
        </w:rPr>
        <w:t>表</w:t>
      </w:r>
      <w:r w:rsidRPr="00D630D1">
        <w:rPr>
          <w:rFonts w:cs="Times New Roman"/>
          <w:bCs/>
        </w:rPr>
        <w:t>6.2-</w:t>
      </w:r>
      <w:r w:rsidR="009E4484" w:rsidRPr="00D630D1">
        <w:rPr>
          <w:rFonts w:cs="Times New Roman"/>
          <w:bCs/>
        </w:rPr>
        <w:t>1</w:t>
      </w:r>
      <w:r w:rsidR="00332450" w:rsidRPr="00D630D1">
        <w:rPr>
          <w:rFonts w:cs="Times New Roman" w:hint="eastAsia"/>
          <w:bCs/>
        </w:rPr>
        <w:t>4</w:t>
      </w:r>
      <w:r w:rsidRPr="00D630D1">
        <w:rPr>
          <w:rFonts w:cs="Times New Roman"/>
          <w:bCs/>
        </w:rPr>
        <w:t xml:space="preserve">  </w:t>
      </w:r>
      <w:r w:rsidRPr="00D630D1">
        <w:rPr>
          <w:rFonts w:hint="eastAsia"/>
        </w:rPr>
        <w:t>地下水跟踪监测计划</w:t>
      </w:r>
    </w:p>
    <w:tbl>
      <w:tblPr>
        <w:tblW w:w="8853" w:type="dxa"/>
        <w:jc w:val="center"/>
        <w:tblBorders>
          <w:top w:val="single" w:sz="12" w:space="0" w:color="000000"/>
          <w:bottom w:val="single" w:sz="12" w:space="0" w:color="000000"/>
          <w:insideH w:val="single" w:sz="4" w:space="0" w:color="000000"/>
          <w:insideV w:val="single" w:sz="4" w:space="0" w:color="000000"/>
        </w:tblBorders>
        <w:tblLook w:val="04A0"/>
      </w:tblPr>
      <w:tblGrid>
        <w:gridCol w:w="1134"/>
        <w:gridCol w:w="2826"/>
        <w:gridCol w:w="1134"/>
        <w:gridCol w:w="1417"/>
        <w:gridCol w:w="2342"/>
      </w:tblGrid>
      <w:tr w:rsidR="006D2FAC" w:rsidRPr="00D630D1" w:rsidTr="008A1B18">
        <w:trPr>
          <w:trHeight w:val="251"/>
          <w:jc w:val="center"/>
        </w:trPr>
        <w:tc>
          <w:tcPr>
            <w:tcW w:w="1134" w:type="dxa"/>
            <w:vAlign w:val="center"/>
          </w:tcPr>
          <w:p w:rsidR="00EE3E61" w:rsidRPr="00D630D1" w:rsidRDefault="00EE3E61" w:rsidP="008A1B18">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监测项目</w:t>
            </w:r>
          </w:p>
        </w:tc>
        <w:tc>
          <w:tcPr>
            <w:tcW w:w="2826" w:type="dxa"/>
            <w:vAlign w:val="center"/>
          </w:tcPr>
          <w:p w:rsidR="00EE3E61" w:rsidRPr="00D630D1" w:rsidRDefault="00EE3E61" w:rsidP="008A1B18">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监测点位</w:t>
            </w:r>
          </w:p>
        </w:tc>
        <w:tc>
          <w:tcPr>
            <w:tcW w:w="1134" w:type="dxa"/>
            <w:vAlign w:val="center"/>
          </w:tcPr>
          <w:p w:rsidR="00EE3E61" w:rsidRPr="00D630D1" w:rsidRDefault="00EE3E61" w:rsidP="008A1B18">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监测因子</w:t>
            </w:r>
          </w:p>
        </w:tc>
        <w:tc>
          <w:tcPr>
            <w:tcW w:w="1417" w:type="dxa"/>
            <w:vAlign w:val="center"/>
          </w:tcPr>
          <w:p w:rsidR="00EE3E61" w:rsidRPr="00D630D1" w:rsidRDefault="00EE3E61" w:rsidP="008A1B18">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监测频率</w:t>
            </w:r>
          </w:p>
        </w:tc>
        <w:tc>
          <w:tcPr>
            <w:tcW w:w="2342" w:type="dxa"/>
            <w:vAlign w:val="center"/>
          </w:tcPr>
          <w:p w:rsidR="00EE3E61" w:rsidRPr="00D630D1" w:rsidRDefault="00EE3E61" w:rsidP="008A1B18">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执行标准</w:t>
            </w:r>
          </w:p>
        </w:tc>
      </w:tr>
      <w:tr w:rsidR="006D2FAC" w:rsidRPr="00D630D1" w:rsidTr="008A1B18">
        <w:trPr>
          <w:trHeight w:val="251"/>
          <w:jc w:val="center"/>
        </w:trPr>
        <w:tc>
          <w:tcPr>
            <w:tcW w:w="1134" w:type="dxa"/>
            <w:vAlign w:val="center"/>
          </w:tcPr>
          <w:p w:rsidR="00EE3E61" w:rsidRPr="00D630D1" w:rsidRDefault="00EE3E61" w:rsidP="008A1B18">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地下水</w:t>
            </w:r>
          </w:p>
        </w:tc>
        <w:tc>
          <w:tcPr>
            <w:tcW w:w="2826" w:type="dxa"/>
            <w:vAlign w:val="center"/>
          </w:tcPr>
          <w:p w:rsidR="00EE3E61" w:rsidRPr="00D630D1" w:rsidRDefault="002C00AE" w:rsidP="00C841CB">
            <w:pPr>
              <w:pStyle w:val="Default"/>
              <w:jc w:val="center"/>
              <w:rPr>
                <w:rFonts w:ascii="Times New Roman" w:hAnsi="Times New Roman" w:cs="Times New Roman"/>
                <w:color w:val="auto"/>
                <w:sz w:val="21"/>
                <w:szCs w:val="21"/>
              </w:rPr>
            </w:pPr>
            <w:r>
              <w:rPr>
                <w:rFonts w:ascii="Times New Roman" w:cs="Times New Roman" w:hint="eastAsia"/>
                <w:color w:val="auto"/>
                <w:kern w:val="2"/>
                <w:sz w:val="21"/>
                <w:szCs w:val="21"/>
              </w:rPr>
              <w:t>普光</w:t>
            </w:r>
            <w:r>
              <w:rPr>
                <w:rFonts w:ascii="Times New Roman" w:cs="Times New Roman" w:hint="eastAsia"/>
                <w:color w:val="auto"/>
                <w:kern w:val="2"/>
                <w:sz w:val="21"/>
                <w:szCs w:val="21"/>
              </w:rPr>
              <w:t>12</w:t>
            </w:r>
            <w:r>
              <w:rPr>
                <w:rFonts w:ascii="Times New Roman" w:cs="Times New Roman" w:hint="eastAsia"/>
                <w:color w:val="auto"/>
                <w:kern w:val="2"/>
                <w:sz w:val="21"/>
                <w:szCs w:val="21"/>
              </w:rPr>
              <w:t>采气站</w:t>
            </w:r>
            <w:r w:rsidR="00C841CB">
              <w:rPr>
                <w:rFonts w:ascii="Times New Roman" w:cs="Times New Roman" w:hint="eastAsia"/>
                <w:color w:val="auto"/>
                <w:kern w:val="2"/>
                <w:sz w:val="21"/>
                <w:szCs w:val="21"/>
              </w:rPr>
              <w:t>上游</w:t>
            </w:r>
            <w:r w:rsidR="008A1B18" w:rsidRPr="00D630D1">
              <w:rPr>
                <w:rFonts w:ascii="Times New Roman" w:cs="Times New Roman"/>
                <w:color w:val="auto"/>
                <w:kern w:val="2"/>
                <w:sz w:val="21"/>
                <w:szCs w:val="21"/>
              </w:rPr>
              <w:t>水井</w:t>
            </w:r>
            <w:r w:rsidR="008A1B18" w:rsidRPr="00D630D1">
              <w:rPr>
                <w:rFonts w:ascii="Times New Roman" w:cs="Times New Roman" w:hint="eastAsia"/>
                <w:color w:val="auto"/>
                <w:kern w:val="2"/>
                <w:sz w:val="21"/>
                <w:szCs w:val="21"/>
              </w:rPr>
              <w:t>（</w:t>
            </w:r>
            <w:r w:rsidR="008A1B18" w:rsidRPr="00D630D1">
              <w:rPr>
                <w:rFonts w:ascii="Times New Roman" w:cs="Times New Roman" w:hint="eastAsia"/>
                <w:color w:val="auto"/>
                <w:kern w:val="2"/>
                <w:sz w:val="21"/>
                <w:szCs w:val="21"/>
              </w:rPr>
              <w:t>E</w:t>
            </w:r>
            <w:r w:rsidR="008A1B18" w:rsidRPr="00D630D1">
              <w:rPr>
                <w:rFonts w:ascii="Times New Roman" w:cs="Times New Roman" w:hint="eastAsia"/>
                <w:color w:val="auto"/>
                <w:kern w:val="2"/>
                <w:sz w:val="21"/>
                <w:szCs w:val="21"/>
              </w:rPr>
              <w:t>：</w:t>
            </w:r>
            <w:r w:rsidR="00C841CB" w:rsidRPr="00D630D1">
              <w:rPr>
                <w:rFonts w:ascii="Times New Roman" w:cs="Times New Roman"/>
                <w:sz w:val="21"/>
                <w:szCs w:val="21"/>
              </w:rPr>
              <w:lastRenderedPageBreak/>
              <w:t>107.</w:t>
            </w:r>
            <w:r w:rsidR="00C841CB">
              <w:rPr>
                <w:rFonts w:ascii="Times New Roman" w:cs="Times New Roman" w:hint="eastAsia"/>
                <w:sz w:val="21"/>
                <w:szCs w:val="21"/>
              </w:rPr>
              <w:t>829839</w:t>
            </w:r>
            <w:r w:rsidR="008A1B18" w:rsidRPr="00D630D1">
              <w:rPr>
                <w:rFonts w:ascii="Times New Roman" w:cs="Times New Roman" w:hint="eastAsia"/>
                <w:color w:val="auto"/>
                <w:kern w:val="2"/>
                <w:sz w:val="21"/>
                <w:szCs w:val="21"/>
              </w:rPr>
              <w:t>N</w:t>
            </w:r>
            <w:r w:rsidR="008A1B18" w:rsidRPr="00D630D1">
              <w:rPr>
                <w:rFonts w:ascii="Times New Roman" w:cs="Times New Roman" w:hint="eastAsia"/>
                <w:color w:val="auto"/>
                <w:kern w:val="2"/>
                <w:sz w:val="21"/>
                <w:szCs w:val="21"/>
              </w:rPr>
              <w:t>：</w:t>
            </w:r>
            <w:r w:rsidR="00C841CB" w:rsidRPr="00D630D1">
              <w:rPr>
                <w:rFonts w:ascii="Times New Roman" w:cs="Times New Roman"/>
                <w:sz w:val="21"/>
                <w:szCs w:val="21"/>
              </w:rPr>
              <w:t>31.</w:t>
            </w:r>
            <w:r w:rsidR="00C841CB">
              <w:rPr>
                <w:rFonts w:ascii="Times New Roman" w:cs="Times New Roman" w:hint="eastAsia"/>
                <w:sz w:val="21"/>
                <w:szCs w:val="21"/>
              </w:rPr>
              <w:t>536162</w:t>
            </w:r>
            <w:r w:rsidR="008A1B18" w:rsidRPr="00D630D1">
              <w:rPr>
                <w:rFonts w:ascii="Times New Roman" w:cs="Times New Roman" w:hint="eastAsia"/>
                <w:color w:val="auto"/>
                <w:kern w:val="2"/>
                <w:sz w:val="21"/>
                <w:szCs w:val="21"/>
              </w:rPr>
              <w:t>）</w:t>
            </w:r>
            <w:r w:rsidR="00C841CB">
              <w:rPr>
                <w:rFonts w:ascii="Times New Roman" w:cs="Times New Roman"/>
                <w:color w:val="auto"/>
                <w:kern w:val="2"/>
                <w:sz w:val="21"/>
                <w:szCs w:val="21"/>
              </w:rPr>
              <w:t>、</w:t>
            </w:r>
            <w:r w:rsidR="00C841CB">
              <w:rPr>
                <w:rFonts w:ascii="Times New Roman" w:cs="Times New Roman" w:hint="eastAsia"/>
                <w:color w:val="auto"/>
                <w:kern w:val="2"/>
                <w:sz w:val="21"/>
                <w:szCs w:val="21"/>
              </w:rPr>
              <w:t>下游</w:t>
            </w:r>
            <w:r w:rsidR="008A1B18" w:rsidRPr="00D630D1">
              <w:rPr>
                <w:rFonts w:ascii="Times New Roman" w:cs="Times New Roman"/>
                <w:color w:val="auto"/>
                <w:kern w:val="2"/>
                <w:sz w:val="21"/>
                <w:szCs w:val="21"/>
              </w:rPr>
              <w:t>水井</w:t>
            </w:r>
            <w:r w:rsidR="008A1B18" w:rsidRPr="00D630D1">
              <w:rPr>
                <w:rFonts w:ascii="Times New Roman" w:cs="Times New Roman" w:hint="eastAsia"/>
                <w:color w:val="auto"/>
                <w:kern w:val="2"/>
                <w:sz w:val="21"/>
                <w:szCs w:val="21"/>
              </w:rPr>
              <w:t>（</w:t>
            </w:r>
            <w:r w:rsidR="004933A6" w:rsidRPr="00D630D1">
              <w:rPr>
                <w:rFonts w:ascii="Times New Roman" w:cs="Times New Roman" w:hint="eastAsia"/>
                <w:color w:val="auto"/>
                <w:kern w:val="2"/>
                <w:sz w:val="21"/>
                <w:szCs w:val="21"/>
              </w:rPr>
              <w:t>E</w:t>
            </w:r>
            <w:r w:rsidR="004933A6" w:rsidRPr="00D630D1">
              <w:rPr>
                <w:rFonts w:ascii="Times New Roman" w:cs="Times New Roman" w:hint="eastAsia"/>
                <w:color w:val="auto"/>
                <w:kern w:val="2"/>
                <w:sz w:val="21"/>
                <w:szCs w:val="21"/>
              </w:rPr>
              <w:t>：</w:t>
            </w:r>
            <w:r w:rsidR="00C841CB" w:rsidRPr="002C63AC">
              <w:rPr>
                <w:rFonts w:ascii="Times New Roman" w:cs="Times New Roman" w:hint="eastAsia"/>
                <w:sz w:val="21"/>
                <w:szCs w:val="21"/>
              </w:rPr>
              <w:t>107.</w:t>
            </w:r>
            <w:r w:rsidR="00C841CB">
              <w:rPr>
                <w:rFonts w:ascii="Times New Roman" w:cs="Times New Roman" w:hint="eastAsia"/>
                <w:sz w:val="21"/>
                <w:szCs w:val="21"/>
              </w:rPr>
              <w:t>821823</w:t>
            </w:r>
            <w:r w:rsidR="004933A6" w:rsidRPr="00D630D1">
              <w:rPr>
                <w:rFonts w:ascii="Times New Roman" w:cs="Times New Roman" w:hint="eastAsia"/>
                <w:color w:val="auto"/>
                <w:kern w:val="2"/>
                <w:sz w:val="21"/>
                <w:szCs w:val="21"/>
              </w:rPr>
              <w:t>N</w:t>
            </w:r>
            <w:r w:rsidR="004933A6" w:rsidRPr="00D630D1">
              <w:rPr>
                <w:rFonts w:ascii="Times New Roman" w:cs="Times New Roman" w:hint="eastAsia"/>
                <w:color w:val="auto"/>
                <w:kern w:val="2"/>
                <w:sz w:val="21"/>
                <w:szCs w:val="21"/>
              </w:rPr>
              <w:t>：</w:t>
            </w:r>
            <w:r w:rsidR="00C841CB" w:rsidRPr="002C63AC">
              <w:rPr>
                <w:rFonts w:ascii="Times New Roman" w:cs="Times New Roman" w:hint="eastAsia"/>
                <w:sz w:val="21"/>
                <w:szCs w:val="21"/>
              </w:rPr>
              <w:t>31.</w:t>
            </w:r>
            <w:r w:rsidR="00C841CB">
              <w:rPr>
                <w:rFonts w:ascii="Times New Roman" w:cs="Times New Roman" w:hint="eastAsia"/>
                <w:sz w:val="21"/>
                <w:szCs w:val="21"/>
              </w:rPr>
              <w:t>527882</w:t>
            </w:r>
            <w:r w:rsidR="008A1B18" w:rsidRPr="00D630D1">
              <w:rPr>
                <w:rFonts w:ascii="Times New Roman" w:cs="Times New Roman" w:hint="eastAsia"/>
                <w:color w:val="auto"/>
                <w:kern w:val="2"/>
                <w:sz w:val="21"/>
                <w:szCs w:val="21"/>
              </w:rPr>
              <w:t>）</w:t>
            </w:r>
            <w:r w:rsidR="008A1B18" w:rsidRPr="00D630D1">
              <w:rPr>
                <w:rFonts w:ascii="Times New Roman" w:cs="Times New Roman"/>
                <w:color w:val="auto"/>
                <w:kern w:val="2"/>
                <w:sz w:val="21"/>
                <w:szCs w:val="21"/>
              </w:rPr>
              <w:t>、下游水井</w:t>
            </w:r>
            <w:r w:rsidR="008A1B18" w:rsidRPr="00D630D1">
              <w:rPr>
                <w:rFonts w:ascii="Times New Roman" w:cs="Times New Roman" w:hint="eastAsia"/>
                <w:color w:val="auto"/>
                <w:kern w:val="2"/>
                <w:sz w:val="21"/>
                <w:szCs w:val="21"/>
              </w:rPr>
              <w:t>（</w:t>
            </w:r>
            <w:r w:rsidR="008A1B18" w:rsidRPr="00D630D1">
              <w:rPr>
                <w:rFonts w:ascii="Times New Roman" w:cs="Times New Roman" w:hint="eastAsia"/>
                <w:color w:val="auto"/>
                <w:kern w:val="2"/>
                <w:sz w:val="21"/>
                <w:szCs w:val="21"/>
              </w:rPr>
              <w:t>E</w:t>
            </w:r>
            <w:r w:rsidR="008A1B18" w:rsidRPr="00D630D1">
              <w:rPr>
                <w:rFonts w:ascii="Times New Roman" w:cs="Times New Roman" w:hint="eastAsia"/>
                <w:color w:val="auto"/>
                <w:kern w:val="2"/>
                <w:sz w:val="21"/>
                <w:szCs w:val="21"/>
              </w:rPr>
              <w:t>：</w:t>
            </w:r>
            <w:r w:rsidR="00C841CB" w:rsidRPr="00D630D1">
              <w:rPr>
                <w:rFonts w:ascii="Times New Roman" w:cs="Times New Roman"/>
                <w:sz w:val="21"/>
                <w:szCs w:val="21"/>
              </w:rPr>
              <w:t>107.</w:t>
            </w:r>
            <w:r w:rsidR="00C841CB">
              <w:rPr>
                <w:rFonts w:ascii="Times New Roman" w:cs="Times New Roman" w:hint="eastAsia"/>
                <w:sz w:val="21"/>
                <w:szCs w:val="21"/>
              </w:rPr>
              <w:t>803882</w:t>
            </w:r>
            <w:r w:rsidR="008A1B18" w:rsidRPr="00D630D1">
              <w:rPr>
                <w:rFonts w:ascii="Times New Roman" w:cs="Times New Roman" w:hint="eastAsia"/>
                <w:color w:val="auto"/>
                <w:kern w:val="2"/>
                <w:sz w:val="21"/>
                <w:szCs w:val="21"/>
              </w:rPr>
              <w:t>N</w:t>
            </w:r>
            <w:r w:rsidR="008A1B18" w:rsidRPr="00D630D1">
              <w:rPr>
                <w:rFonts w:ascii="Times New Roman" w:cs="Times New Roman" w:hint="eastAsia"/>
                <w:color w:val="auto"/>
                <w:kern w:val="2"/>
                <w:sz w:val="21"/>
                <w:szCs w:val="21"/>
              </w:rPr>
              <w:t>：</w:t>
            </w:r>
            <w:r w:rsidR="00C841CB" w:rsidRPr="00D630D1">
              <w:rPr>
                <w:rFonts w:ascii="Times New Roman" w:cs="Times New Roman"/>
                <w:sz w:val="21"/>
                <w:szCs w:val="21"/>
              </w:rPr>
              <w:t>31.</w:t>
            </w:r>
            <w:r w:rsidR="00C841CB">
              <w:rPr>
                <w:rFonts w:ascii="Times New Roman" w:cs="Times New Roman" w:hint="eastAsia"/>
                <w:sz w:val="21"/>
                <w:szCs w:val="21"/>
              </w:rPr>
              <w:t>534996</w:t>
            </w:r>
            <w:r w:rsidR="008A1B18" w:rsidRPr="00D630D1">
              <w:rPr>
                <w:rFonts w:ascii="Times New Roman" w:cs="Times New Roman" w:hint="eastAsia"/>
                <w:color w:val="auto"/>
                <w:kern w:val="2"/>
                <w:sz w:val="21"/>
                <w:szCs w:val="21"/>
              </w:rPr>
              <w:t>）</w:t>
            </w:r>
          </w:p>
        </w:tc>
        <w:tc>
          <w:tcPr>
            <w:tcW w:w="1134" w:type="dxa"/>
            <w:vAlign w:val="center"/>
          </w:tcPr>
          <w:p w:rsidR="00EE3E61" w:rsidRPr="00D630D1" w:rsidRDefault="00EE3E61" w:rsidP="008A1B18">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lastRenderedPageBreak/>
              <w:t>石油类</w:t>
            </w:r>
          </w:p>
        </w:tc>
        <w:tc>
          <w:tcPr>
            <w:tcW w:w="1417" w:type="dxa"/>
            <w:vAlign w:val="center"/>
          </w:tcPr>
          <w:p w:rsidR="00EE3E61" w:rsidRPr="00D630D1" w:rsidRDefault="00EE3E61" w:rsidP="008A1B18">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1</w:t>
            </w:r>
            <w:r w:rsidRPr="00D630D1">
              <w:rPr>
                <w:rFonts w:ascii="Times New Roman" w:hAnsi="Times New Roman" w:cs="Times New Roman"/>
                <w:color w:val="auto"/>
                <w:sz w:val="21"/>
                <w:szCs w:val="21"/>
              </w:rPr>
              <w:t>次</w:t>
            </w:r>
            <w:r w:rsidRPr="00D630D1">
              <w:rPr>
                <w:rFonts w:ascii="Times New Roman" w:hAnsi="Times New Roman" w:cs="Times New Roman"/>
                <w:color w:val="auto"/>
                <w:sz w:val="21"/>
                <w:szCs w:val="21"/>
              </w:rPr>
              <w:t>/</w:t>
            </w:r>
            <w:r w:rsidRPr="00D630D1">
              <w:rPr>
                <w:rFonts w:ascii="Times New Roman" w:hAnsi="Times New Roman" w:cs="Times New Roman"/>
                <w:color w:val="auto"/>
                <w:sz w:val="21"/>
                <w:szCs w:val="21"/>
              </w:rPr>
              <w:t>年</w:t>
            </w:r>
          </w:p>
        </w:tc>
        <w:tc>
          <w:tcPr>
            <w:tcW w:w="2342" w:type="dxa"/>
            <w:vAlign w:val="center"/>
          </w:tcPr>
          <w:p w:rsidR="00EE3E61" w:rsidRPr="00D630D1" w:rsidRDefault="00EE3E61" w:rsidP="008A1B18">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《地下水质量标准》</w:t>
            </w:r>
            <w:r w:rsidRPr="00D630D1">
              <w:rPr>
                <w:rFonts w:ascii="Times New Roman" w:hAnsi="Times New Roman" w:cs="Times New Roman"/>
                <w:color w:val="auto"/>
                <w:sz w:val="21"/>
                <w:szCs w:val="21"/>
              </w:rPr>
              <w:lastRenderedPageBreak/>
              <w:t>（</w:t>
            </w:r>
            <w:r w:rsidRPr="00D630D1">
              <w:rPr>
                <w:rFonts w:ascii="Times New Roman" w:hAnsi="Times New Roman" w:cs="Times New Roman"/>
                <w:color w:val="auto"/>
                <w:sz w:val="21"/>
                <w:szCs w:val="21"/>
              </w:rPr>
              <w:t>GB/T14848-2017</w:t>
            </w:r>
            <w:r w:rsidRPr="00D630D1">
              <w:rPr>
                <w:rFonts w:ascii="Times New Roman" w:hAnsi="Times New Roman" w:cs="Times New Roman"/>
                <w:color w:val="auto"/>
                <w:sz w:val="21"/>
                <w:szCs w:val="21"/>
              </w:rPr>
              <w:t>）中的</w:t>
            </w:r>
            <w:r w:rsidRPr="00D630D1">
              <w:rPr>
                <w:rFonts w:ascii="Times New Roman" w:hAnsi="Times New Roman" w:cs="Times New Roman"/>
                <w:color w:val="auto"/>
                <w:sz w:val="21"/>
                <w:szCs w:val="21"/>
              </w:rPr>
              <w:t>Ⅲ</w:t>
            </w:r>
            <w:r w:rsidRPr="00D630D1">
              <w:rPr>
                <w:rFonts w:ascii="Times New Roman" w:hAnsi="Times New Roman" w:cs="Times New Roman"/>
                <w:color w:val="auto"/>
                <w:sz w:val="21"/>
                <w:szCs w:val="21"/>
              </w:rPr>
              <w:t>类质量标准</w:t>
            </w:r>
          </w:p>
        </w:tc>
      </w:tr>
    </w:tbl>
    <w:p w:rsidR="00880633" w:rsidRPr="00D630D1" w:rsidRDefault="00880633" w:rsidP="00880633">
      <w:pPr>
        <w:pStyle w:val="afa"/>
        <w:ind w:firstLine="482"/>
        <w:rPr>
          <w:b/>
          <w:bCs/>
        </w:rPr>
      </w:pPr>
      <w:r w:rsidRPr="00D630D1">
        <w:rPr>
          <w:b/>
          <w:bCs/>
        </w:rPr>
        <w:lastRenderedPageBreak/>
        <w:t>6</w:t>
      </w:r>
      <w:r w:rsidRPr="00D630D1">
        <w:rPr>
          <w:b/>
          <w:bCs/>
        </w:rPr>
        <w:t>、</w:t>
      </w:r>
      <w:r w:rsidRPr="00D630D1">
        <w:rPr>
          <w:rFonts w:hint="eastAsia"/>
          <w:b/>
          <w:bCs/>
        </w:rPr>
        <w:t>小结</w:t>
      </w:r>
    </w:p>
    <w:p w:rsidR="003B6DBD" w:rsidRPr="00D630D1" w:rsidRDefault="00EF360A" w:rsidP="00475E3C">
      <w:pPr>
        <w:pStyle w:val="afa"/>
        <w:ind w:firstLine="480"/>
        <w:rPr>
          <w:highlight w:val="yellow"/>
        </w:rPr>
      </w:pPr>
      <w:r w:rsidRPr="00D630D1">
        <w:rPr>
          <w:rFonts w:hint="eastAsia"/>
        </w:rPr>
        <w:t>污水缓冲罐</w:t>
      </w:r>
      <w:r w:rsidR="00251CEC" w:rsidRPr="00D630D1">
        <w:rPr>
          <w:rFonts w:hint="eastAsia"/>
        </w:rPr>
        <w:t>四周设防渗围堰，并采取防渗措施，</w:t>
      </w:r>
      <w:r w:rsidR="00880633" w:rsidRPr="00D630D1">
        <w:rPr>
          <w:rFonts w:hint="eastAsia"/>
        </w:rPr>
        <w:t>一旦储罐发生破损泄</w:t>
      </w:r>
      <w:r w:rsidR="001205FA" w:rsidRPr="00D630D1">
        <w:rPr>
          <w:rFonts w:hint="eastAsia"/>
        </w:rPr>
        <w:t>漏</w:t>
      </w:r>
      <w:r w:rsidR="00880633" w:rsidRPr="00D630D1">
        <w:rPr>
          <w:rFonts w:hint="eastAsia"/>
        </w:rPr>
        <w:t>，可将废水收集在围堰内，再统一清理，不会对地下水</w:t>
      </w:r>
      <w:r w:rsidR="00332450" w:rsidRPr="00D630D1">
        <w:rPr>
          <w:rFonts w:hint="eastAsia"/>
        </w:rPr>
        <w:t>造成影响。井站在采取相应防渗措施后，确保不对周边地下水造成污染</w:t>
      </w:r>
      <w:r w:rsidR="00880633" w:rsidRPr="00D630D1">
        <w:rPr>
          <w:rFonts w:hint="eastAsia"/>
        </w:rPr>
        <w:t>。加强各项措施落实情况的监督和管理，防止造成地下水水质污染。项目运营期间不会对区域地下水环境造成影响。</w:t>
      </w:r>
    </w:p>
    <w:p w:rsidR="00A00E8E" w:rsidRPr="00D630D1" w:rsidRDefault="00A00E8E" w:rsidP="00A00E8E">
      <w:pPr>
        <w:pStyle w:val="3"/>
        <w:rPr>
          <w:rFonts w:eastAsia="宋体"/>
        </w:rPr>
      </w:pPr>
      <w:r w:rsidRPr="00D630D1">
        <w:rPr>
          <w:rFonts w:eastAsia="宋体"/>
        </w:rPr>
        <w:t xml:space="preserve">6.2.5 </w:t>
      </w:r>
      <w:r w:rsidRPr="00D630D1">
        <w:rPr>
          <w:rFonts w:eastAsia="宋体" w:hint="eastAsia"/>
        </w:rPr>
        <w:t>声环境影响分析</w:t>
      </w:r>
    </w:p>
    <w:p w:rsidR="004750C5" w:rsidRPr="00D630D1" w:rsidRDefault="004750C5" w:rsidP="00E352C5">
      <w:pPr>
        <w:pStyle w:val="afa"/>
        <w:ind w:firstLine="482"/>
        <w:rPr>
          <w:b/>
          <w:bCs/>
        </w:rPr>
      </w:pPr>
      <w:r w:rsidRPr="00D630D1">
        <w:rPr>
          <w:rFonts w:hint="eastAsia"/>
          <w:b/>
          <w:bCs/>
        </w:rPr>
        <w:t>1</w:t>
      </w:r>
      <w:r w:rsidRPr="00D630D1">
        <w:rPr>
          <w:rFonts w:hint="eastAsia"/>
          <w:b/>
          <w:bCs/>
        </w:rPr>
        <w:t>、站场正常生产噪声</w:t>
      </w:r>
    </w:p>
    <w:p w:rsidR="004750C5" w:rsidRPr="00D630D1" w:rsidRDefault="004750C5" w:rsidP="004750C5">
      <w:pPr>
        <w:pStyle w:val="afa"/>
        <w:ind w:firstLine="480"/>
      </w:pPr>
      <w:r w:rsidRPr="00D630D1">
        <w:rPr>
          <w:rFonts w:hint="eastAsia"/>
        </w:rPr>
        <w:t>本项目正常生产时站场内设备（分离器、水套加热炉、节流阀等）运行产生连续噪声，设备主要置于站场工艺装置区内，其噪声值约</w:t>
      </w:r>
      <w:r w:rsidRPr="00D630D1">
        <w:t>6</w:t>
      </w:r>
      <w:r w:rsidR="002169CB" w:rsidRPr="00D630D1">
        <w:rPr>
          <w:rFonts w:hint="eastAsia"/>
        </w:rPr>
        <w:t>2~68</w:t>
      </w:r>
      <w:r w:rsidRPr="00D630D1">
        <w:t>dB</w:t>
      </w:r>
      <w:r w:rsidRPr="00D630D1">
        <w:rPr>
          <w:rFonts w:hint="eastAsia"/>
        </w:rPr>
        <w:t>（</w:t>
      </w:r>
      <w:r w:rsidRPr="00D630D1">
        <w:t>A</w:t>
      </w:r>
      <w:r w:rsidRPr="00D630D1">
        <w:rPr>
          <w:rFonts w:hint="eastAsia"/>
        </w:rPr>
        <w:t>）；在工艺设计中考虑了减少工艺管线的弯头、三通等管件，并选用低噪声设备，经过隔声、吸声、减振措施后，其噪声值降至</w:t>
      </w:r>
      <w:r w:rsidRPr="00D630D1">
        <w:t>55dB</w:t>
      </w:r>
      <w:r w:rsidRPr="00D630D1">
        <w:rPr>
          <w:rFonts w:hint="eastAsia"/>
        </w:rPr>
        <w:t>（</w:t>
      </w:r>
      <w:r w:rsidRPr="00D630D1">
        <w:t>A</w:t>
      </w:r>
      <w:r w:rsidRPr="00D630D1">
        <w:rPr>
          <w:rFonts w:hint="eastAsia"/>
        </w:rPr>
        <w:t>）以下。在不考虑空气吸收、声波反射，而只考虑声能随距离衰减的情况下，其噪声衰减公式如下：</w:t>
      </w:r>
    </w:p>
    <w:p w:rsidR="004750C5" w:rsidRPr="00D630D1" w:rsidRDefault="009913C3" w:rsidP="004750C5">
      <w:pPr>
        <w:pStyle w:val="afa"/>
        <w:ind w:firstLine="480"/>
      </w:pPr>
      <m:oMathPara>
        <m:oMath>
          <m:sSub>
            <m:sSubPr>
              <m:ctrlPr>
                <w:rPr>
                  <w:rFonts w:ascii="Cambria Math" w:hAnsi="Cambria Math"/>
                </w:rPr>
              </m:ctrlPr>
            </m:sSubPr>
            <m:e>
              <m:r>
                <w:rPr>
                  <w:rFonts w:ascii="Cambria Math" w:hAnsi="Cambria Math"/>
                </w:rPr>
                <m:t>L</m:t>
              </m:r>
            </m:e>
            <m:sub>
              <m:r>
                <w:rPr>
                  <w:rFonts w:ascii="Cambria Math" w:hAnsi="Cambria Math" w:hint="eastAsia"/>
                </w:rPr>
                <m:t>m</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0</m:t>
              </m:r>
            </m:sub>
          </m:sSub>
          <m:r>
            <m:rPr>
              <m:sty m:val="p"/>
            </m:rPr>
            <w:rPr>
              <w:rFonts w:ascii="Cambria Math" w:hAnsi="Cambria Math"/>
            </w:rPr>
            <m:t>-20</m:t>
          </m:r>
          <m:func>
            <m:funcPr>
              <m:ctrlPr>
                <w:rPr>
                  <w:rFonts w:ascii="Cambria Math" w:hAnsi="Cambria Math"/>
                </w:rPr>
              </m:ctrlPr>
            </m:funcPr>
            <m:fName>
              <m:r>
                <m:rPr>
                  <m:sty m:val="p"/>
                </m:rPr>
                <w:rPr>
                  <w:rFonts w:ascii="Cambria Math" w:hAnsi="Cambria Math"/>
                </w:rPr>
                <m:t>lg</m:t>
              </m:r>
            </m:fName>
            <m:e>
              <m:d>
                <m:dPr>
                  <m:ctrlPr>
                    <w:rPr>
                      <w:rFonts w:ascii="Cambria Math" w:hAnsi="Cambria Math"/>
                    </w:rPr>
                  </m:ctrlPr>
                </m:dPr>
                <m:e>
                  <m:f>
                    <m:fPr>
                      <m:type m:val="lin"/>
                      <m:ctrlPr>
                        <w:rPr>
                          <w:rFonts w:ascii="Cambria Math" w:hAnsi="Cambria Math"/>
                        </w:rPr>
                      </m:ctrlPr>
                    </m:fPr>
                    <m:num>
                      <m:r>
                        <w:rPr>
                          <w:rFonts w:ascii="Cambria Math" w:hAnsi="Cambria Math"/>
                        </w:rPr>
                        <m:t>r</m:t>
                      </m:r>
                    </m:num>
                    <m:den>
                      <m:sSub>
                        <m:sSubPr>
                          <m:ctrlPr>
                            <w:rPr>
                              <w:rFonts w:ascii="Cambria Math" w:hAnsi="Cambria Math"/>
                            </w:rPr>
                          </m:ctrlPr>
                        </m:sSubPr>
                        <m:e>
                          <m:r>
                            <w:rPr>
                              <w:rFonts w:ascii="Cambria Math" w:hAnsi="Cambria Math"/>
                            </w:rPr>
                            <m:t>r</m:t>
                          </m:r>
                        </m:e>
                        <m:sub>
                          <m:r>
                            <m:rPr>
                              <m:sty m:val="p"/>
                            </m:rPr>
                            <w:rPr>
                              <w:rFonts w:ascii="Cambria Math" w:hAnsi="Cambria Math"/>
                            </w:rPr>
                            <m:t>0</m:t>
                          </m:r>
                        </m:sub>
                      </m:sSub>
                    </m:den>
                  </m:f>
                </m:e>
              </m:d>
            </m:e>
          </m:func>
        </m:oMath>
      </m:oMathPara>
    </w:p>
    <w:p w:rsidR="00E352C5" w:rsidRPr="00D630D1" w:rsidRDefault="009913C3" w:rsidP="004750C5">
      <w:pPr>
        <w:pStyle w:val="afa"/>
        <w:ind w:firstLine="480"/>
      </w:pPr>
      <m:oMath>
        <m:sSub>
          <m:sSubPr>
            <m:ctrlPr>
              <w:rPr>
                <w:rFonts w:ascii="Cambria Math" w:hAnsi="Cambria Math"/>
              </w:rPr>
            </m:ctrlPr>
          </m:sSubPr>
          <m:e>
            <m:r>
              <w:rPr>
                <w:rFonts w:ascii="Cambria Math" w:hAnsi="Cambria Math"/>
              </w:rPr>
              <m:t>L</m:t>
            </m:r>
          </m:e>
          <m:sub>
            <m:r>
              <w:rPr>
                <w:rFonts w:ascii="Cambria Math" w:hAnsi="Cambria Math" w:hint="eastAsia"/>
              </w:rPr>
              <m:t>m</m:t>
            </m:r>
          </m:sub>
        </m:sSub>
      </m:oMath>
      <w:r w:rsidR="00E352C5" w:rsidRPr="00D630D1">
        <w:t>——</w:t>
      </w:r>
      <w:r w:rsidR="004750C5" w:rsidRPr="00D630D1">
        <w:rPr>
          <w:rFonts w:hint="eastAsia"/>
        </w:rPr>
        <w:t>距离声源为</w:t>
      </w:r>
      <w:r w:rsidR="004750C5" w:rsidRPr="00D630D1">
        <w:rPr>
          <w:rFonts w:hint="eastAsia"/>
        </w:rPr>
        <w:t>r</w:t>
      </w:r>
      <w:r w:rsidR="004750C5" w:rsidRPr="00D630D1">
        <w:rPr>
          <w:rFonts w:hint="eastAsia"/>
        </w:rPr>
        <w:t>米处预测受声点噪声预测值</w:t>
      </w:r>
      <w:r w:rsidR="00E352C5" w:rsidRPr="00D630D1">
        <w:rPr>
          <w:rFonts w:hint="eastAsia"/>
        </w:rPr>
        <w:t>，</w:t>
      </w:r>
      <w:r w:rsidR="004750C5" w:rsidRPr="00D630D1">
        <w:t>dB</w:t>
      </w:r>
      <w:r w:rsidR="004750C5" w:rsidRPr="00D630D1">
        <w:rPr>
          <w:rFonts w:hint="eastAsia"/>
        </w:rPr>
        <w:t>（</w:t>
      </w:r>
      <w:r w:rsidR="004750C5" w:rsidRPr="00D630D1">
        <w:t>A</w:t>
      </w:r>
      <w:r w:rsidR="004750C5" w:rsidRPr="00D630D1">
        <w:rPr>
          <w:rFonts w:hint="eastAsia"/>
        </w:rPr>
        <w:t>）</w:t>
      </w:r>
      <w:r w:rsidR="004750C5" w:rsidRPr="00D630D1">
        <w:t>；</w:t>
      </w:r>
    </w:p>
    <w:p w:rsidR="00E352C5" w:rsidRPr="00D630D1" w:rsidRDefault="009913C3" w:rsidP="004750C5">
      <w:pPr>
        <w:pStyle w:val="afa"/>
        <w:ind w:firstLine="480"/>
      </w:pPr>
      <m:oMath>
        <m:sSub>
          <m:sSubPr>
            <m:ctrlPr>
              <w:rPr>
                <w:rFonts w:ascii="Cambria Math" w:hAnsi="Cambria Math"/>
              </w:rPr>
            </m:ctrlPr>
          </m:sSubPr>
          <m:e>
            <m:r>
              <w:rPr>
                <w:rFonts w:ascii="Cambria Math" w:hAnsi="Cambria Math"/>
              </w:rPr>
              <m:t>L</m:t>
            </m:r>
          </m:e>
          <m:sub>
            <m:r>
              <m:rPr>
                <m:sty m:val="p"/>
              </m:rPr>
              <w:rPr>
                <w:rFonts w:ascii="Cambria Math" w:hAnsi="Cambria Math"/>
              </w:rPr>
              <m:t>0</m:t>
            </m:r>
          </m:sub>
        </m:sSub>
      </m:oMath>
      <w:r w:rsidR="00E352C5" w:rsidRPr="00D630D1">
        <w:t>——</w:t>
      </w:r>
      <w:r w:rsidR="004750C5" w:rsidRPr="00D630D1">
        <w:rPr>
          <w:rFonts w:hint="eastAsia"/>
        </w:rPr>
        <w:t>距离声源为</w:t>
      </w:r>
      <w:r w:rsidR="004750C5" w:rsidRPr="00D630D1">
        <w:rPr>
          <w:rFonts w:hint="eastAsia"/>
        </w:rPr>
        <w:t>r</w:t>
      </w:r>
      <w:r w:rsidR="004750C5" w:rsidRPr="00D630D1">
        <w:rPr>
          <w:rFonts w:hint="eastAsia"/>
          <w:vertAlign w:val="subscript"/>
        </w:rPr>
        <w:t>0</w:t>
      </w:r>
      <w:r w:rsidR="004750C5" w:rsidRPr="00D630D1">
        <w:rPr>
          <w:rFonts w:hint="eastAsia"/>
        </w:rPr>
        <w:t>米处声源的总声级值</w:t>
      </w:r>
      <w:r w:rsidR="00E352C5" w:rsidRPr="00D630D1">
        <w:rPr>
          <w:rFonts w:hint="eastAsia"/>
        </w:rPr>
        <w:t>，</w:t>
      </w:r>
      <w:r w:rsidR="004750C5" w:rsidRPr="00D630D1">
        <w:t>dB</w:t>
      </w:r>
      <w:r w:rsidR="004750C5" w:rsidRPr="00D630D1">
        <w:rPr>
          <w:rFonts w:hint="eastAsia"/>
        </w:rPr>
        <w:t>（</w:t>
      </w:r>
      <w:r w:rsidR="004750C5" w:rsidRPr="00D630D1">
        <w:t>A</w:t>
      </w:r>
      <w:r w:rsidR="004750C5" w:rsidRPr="00D630D1">
        <w:rPr>
          <w:rFonts w:hint="eastAsia"/>
        </w:rPr>
        <w:t>）</w:t>
      </w:r>
      <w:r w:rsidR="00E352C5" w:rsidRPr="00D630D1">
        <w:rPr>
          <w:rFonts w:hint="eastAsia"/>
        </w:rPr>
        <w:t>；</w:t>
      </w:r>
    </w:p>
    <w:p w:rsidR="004750C5" w:rsidRPr="00D630D1" w:rsidRDefault="001A254A" w:rsidP="004750C5">
      <w:pPr>
        <w:pStyle w:val="afa"/>
        <w:ind w:firstLine="480"/>
      </w:pPr>
      <m:oMath>
        <m:r>
          <w:rPr>
            <w:rFonts w:ascii="Cambria Math" w:hAnsi="Cambria Math"/>
          </w:rPr>
          <m:t>r</m:t>
        </m:r>
      </m:oMath>
      <w:r w:rsidR="00E352C5" w:rsidRPr="00D630D1">
        <w:t>——</w:t>
      </w:r>
      <w:r w:rsidR="004750C5" w:rsidRPr="00D630D1">
        <w:rPr>
          <w:rFonts w:hint="eastAsia"/>
        </w:rPr>
        <w:t>预测受声点距离声源的预测距离</w:t>
      </w:r>
      <w:r w:rsidR="00E352C5" w:rsidRPr="00D630D1">
        <w:rPr>
          <w:rFonts w:hint="eastAsia"/>
        </w:rPr>
        <w:t>，</w:t>
      </w:r>
      <w:r w:rsidR="00E352C5" w:rsidRPr="00D630D1">
        <w:t>m</w:t>
      </w:r>
      <w:r w:rsidR="00E352C5" w:rsidRPr="00D630D1">
        <w:rPr>
          <w:rFonts w:hint="eastAsia"/>
        </w:rPr>
        <w:t>；</w:t>
      </w:r>
    </w:p>
    <w:p w:rsidR="00E352C5" w:rsidRPr="00D630D1" w:rsidRDefault="009913C3" w:rsidP="004750C5">
      <w:pPr>
        <w:pStyle w:val="afa"/>
        <w:ind w:firstLine="480"/>
      </w:pPr>
      <m:oMath>
        <m:sSub>
          <m:sSubPr>
            <m:ctrlPr>
              <w:rPr>
                <w:rFonts w:ascii="Cambria Math" w:hAnsi="Cambria Math"/>
              </w:rPr>
            </m:ctrlPr>
          </m:sSubPr>
          <m:e>
            <m:r>
              <w:rPr>
                <w:rFonts w:ascii="Cambria Math" w:hAnsi="Cambria Math"/>
              </w:rPr>
              <m:t>r</m:t>
            </m:r>
          </m:e>
          <m:sub>
            <m:r>
              <m:rPr>
                <m:sty m:val="p"/>
              </m:rPr>
              <w:rPr>
                <w:rFonts w:ascii="Cambria Math" w:hAnsi="Cambria Math"/>
              </w:rPr>
              <m:t>0</m:t>
            </m:r>
          </m:sub>
        </m:sSub>
      </m:oMath>
      <w:r w:rsidR="004750C5" w:rsidRPr="00D630D1">
        <w:t>——</w:t>
      </w:r>
      <w:r w:rsidR="004750C5" w:rsidRPr="00D630D1">
        <w:rPr>
          <w:rFonts w:hint="eastAsia"/>
        </w:rPr>
        <w:t>噪声受点</w:t>
      </w:r>
      <w:r w:rsidR="004750C5" w:rsidRPr="00D630D1">
        <w:t>r</w:t>
      </w:r>
      <w:r w:rsidR="004750C5" w:rsidRPr="00D630D1">
        <w:rPr>
          <w:vertAlign w:val="subscript"/>
        </w:rPr>
        <w:t>0</w:t>
      </w:r>
      <w:r w:rsidR="004750C5" w:rsidRPr="00D630D1">
        <w:rPr>
          <w:rFonts w:hint="eastAsia"/>
        </w:rPr>
        <w:t>处与噪声源的距离，</w:t>
      </w:r>
      <w:r w:rsidR="004750C5" w:rsidRPr="00D630D1">
        <w:t>m</w:t>
      </w:r>
      <w:r w:rsidR="004750C5" w:rsidRPr="00D630D1">
        <w:rPr>
          <w:rFonts w:hint="eastAsia"/>
        </w:rPr>
        <w:t>。</w:t>
      </w:r>
    </w:p>
    <w:p w:rsidR="004750C5" w:rsidRPr="00D630D1" w:rsidRDefault="004750C5" w:rsidP="004750C5">
      <w:pPr>
        <w:pStyle w:val="afa"/>
        <w:ind w:firstLine="480"/>
      </w:pPr>
      <w:r w:rsidRPr="00D630D1">
        <w:rPr>
          <w:rFonts w:hint="eastAsia"/>
        </w:rPr>
        <w:t>本项目</w:t>
      </w:r>
      <w:r w:rsidR="00D57583">
        <w:rPr>
          <w:rFonts w:hint="eastAsia"/>
        </w:rPr>
        <w:t>普陆</w:t>
      </w:r>
      <w:r w:rsidR="00D57583">
        <w:rPr>
          <w:rFonts w:hint="eastAsia"/>
        </w:rPr>
        <w:t>3</w:t>
      </w:r>
      <w:r w:rsidR="00D57583">
        <w:rPr>
          <w:rFonts w:hint="eastAsia"/>
        </w:rPr>
        <w:t>集气站</w:t>
      </w:r>
      <w:r w:rsidRPr="00D630D1">
        <w:rPr>
          <w:rFonts w:hint="eastAsia"/>
        </w:rPr>
        <w:t>内设置有水套炉等产噪设备，本次评价对</w:t>
      </w:r>
      <w:r w:rsidR="00D57583">
        <w:rPr>
          <w:rFonts w:hint="eastAsia"/>
        </w:rPr>
        <w:t>普陆</w:t>
      </w:r>
      <w:r w:rsidR="00D57583">
        <w:rPr>
          <w:rFonts w:hint="eastAsia"/>
        </w:rPr>
        <w:t>3</w:t>
      </w:r>
      <w:r w:rsidR="00D57583">
        <w:rPr>
          <w:rFonts w:hint="eastAsia"/>
        </w:rPr>
        <w:t>集气站</w:t>
      </w:r>
      <w:r w:rsidRPr="00D630D1">
        <w:rPr>
          <w:rFonts w:hint="eastAsia"/>
        </w:rPr>
        <w:t>进行噪声预测，厂界噪声预测情况见表</w:t>
      </w:r>
      <w:r w:rsidRPr="00D630D1">
        <w:rPr>
          <w:rFonts w:hint="eastAsia"/>
        </w:rPr>
        <w:t>6.2-</w:t>
      </w:r>
      <w:r w:rsidR="00284647" w:rsidRPr="00D630D1">
        <w:t>1</w:t>
      </w:r>
      <w:r w:rsidR="00332450" w:rsidRPr="00D630D1">
        <w:rPr>
          <w:rFonts w:hint="eastAsia"/>
        </w:rPr>
        <w:t>5</w:t>
      </w:r>
      <w:r w:rsidRPr="00D630D1">
        <w:rPr>
          <w:rFonts w:hint="eastAsia"/>
        </w:rPr>
        <w:t>。</w:t>
      </w:r>
    </w:p>
    <w:p w:rsidR="002169CB" w:rsidRPr="00D630D1" w:rsidRDefault="002169CB" w:rsidP="002169CB">
      <w:pPr>
        <w:pStyle w:val="10"/>
      </w:pPr>
      <w:r w:rsidRPr="00D630D1">
        <w:rPr>
          <w:rFonts w:hint="eastAsia"/>
        </w:rPr>
        <w:t>表</w:t>
      </w:r>
      <w:r w:rsidRPr="00D630D1">
        <w:t>6.2-1</w:t>
      </w:r>
      <w:r w:rsidR="004933A6" w:rsidRPr="00D630D1">
        <w:rPr>
          <w:rFonts w:hint="eastAsia"/>
        </w:rPr>
        <w:t>5</w:t>
      </w:r>
      <w:r w:rsidRPr="00D630D1">
        <w:t xml:space="preserve"> </w:t>
      </w:r>
      <w:r w:rsidR="00D57583">
        <w:rPr>
          <w:rFonts w:hint="eastAsia"/>
        </w:rPr>
        <w:t>普陆</w:t>
      </w:r>
      <w:r w:rsidR="00D57583">
        <w:rPr>
          <w:rFonts w:hint="eastAsia"/>
        </w:rPr>
        <w:t>3</w:t>
      </w:r>
      <w:r w:rsidR="00D57583">
        <w:rPr>
          <w:rFonts w:hint="eastAsia"/>
        </w:rPr>
        <w:t>集气站</w:t>
      </w:r>
      <w:r w:rsidRPr="00D630D1">
        <w:rPr>
          <w:rFonts w:hint="eastAsia"/>
        </w:rPr>
        <w:t>厂界噪声预测情况</w:t>
      </w:r>
      <w:r w:rsidRPr="00D630D1">
        <w:rPr>
          <w:rFonts w:hint="eastAsia"/>
        </w:rPr>
        <w:t xml:space="preserve"> </w:t>
      </w:r>
      <w:r w:rsidRPr="00D630D1">
        <w:t xml:space="preserve">  </w:t>
      </w:r>
      <w:r w:rsidRPr="00D630D1">
        <w:rPr>
          <w:rFonts w:hint="eastAsia"/>
        </w:rPr>
        <w:t>单位：</w:t>
      </w:r>
      <w:r w:rsidRPr="00D630D1">
        <w:t>dB</w:t>
      </w:r>
      <w:r w:rsidRPr="00D630D1">
        <w:rPr>
          <w:rFonts w:hint="eastAsia"/>
        </w:rPr>
        <w:t>（</w:t>
      </w:r>
      <w:r w:rsidRPr="00D630D1">
        <w:t>A</w:t>
      </w:r>
      <w:r w:rsidRPr="00D630D1">
        <w:rPr>
          <w:rFonts w:hint="eastAsia"/>
        </w:rPr>
        <w:t>）</w:t>
      </w:r>
    </w:p>
    <w:tbl>
      <w:tblPr>
        <w:tblW w:w="8777" w:type="dxa"/>
        <w:jc w:val="center"/>
        <w:tblBorders>
          <w:top w:val="single" w:sz="12" w:space="0" w:color="000000"/>
          <w:bottom w:val="single" w:sz="12" w:space="0" w:color="000000"/>
          <w:insideH w:val="single" w:sz="2" w:space="0" w:color="000000"/>
          <w:insideV w:val="single" w:sz="2" w:space="0" w:color="000000"/>
        </w:tblBorders>
        <w:tblLook w:val="04A0"/>
      </w:tblPr>
      <w:tblGrid>
        <w:gridCol w:w="1345"/>
        <w:gridCol w:w="900"/>
        <w:gridCol w:w="679"/>
        <w:gridCol w:w="975"/>
        <w:gridCol w:w="976"/>
        <w:gridCol w:w="975"/>
        <w:gridCol w:w="976"/>
        <w:gridCol w:w="975"/>
        <w:gridCol w:w="976"/>
      </w:tblGrid>
      <w:tr w:rsidR="002169CB" w:rsidRPr="00D630D1" w:rsidTr="002169CB">
        <w:trPr>
          <w:trHeight w:val="258"/>
          <w:jc w:val="center"/>
        </w:trPr>
        <w:tc>
          <w:tcPr>
            <w:tcW w:w="1345" w:type="dxa"/>
            <w:vMerge w:val="restart"/>
            <w:vAlign w:val="center"/>
          </w:tcPr>
          <w:p w:rsidR="002169CB" w:rsidRPr="00D630D1" w:rsidRDefault="002169CB" w:rsidP="002169CB">
            <w:pPr>
              <w:pStyle w:val="afa"/>
              <w:spacing w:line="240" w:lineRule="auto"/>
              <w:ind w:firstLineChars="0" w:firstLine="0"/>
              <w:jc w:val="center"/>
              <w:rPr>
                <w:b/>
                <w:bCs/>
                <w:sz w:val="21"/>
                <w:szCs w:val="21"/>
              </w:rPr>
            </w:pPr>
            <w:r w:rsidRPr="00D630D1">
              <w:rPr>
                <w:rFonts w:hint="eastAsia"/>
                <w:b/>
                <w:bCs/>
                <w:sz w:val="21"/>
                <w:szCs w:val="21"/>
              </w:rPr>
              <w:t>预测点位</w:t>
            </w:r>
          </w:p>
        </w:tc>
        <w:tc>
          <w:tcPr>
            <w:tcW w:w="900" w:type="dxa"/>
            <w:vMerge w:val="restart"/>
            <w:vAlign w:val="center"/>
          </w:tcPr>
          <w:p w:rsidR="002169CB" w:rsidRPr="00D630D1" w:rsidRDefault="002169CB" w:rsidP="002169CB">
            <w:pPr>
              <w:pStyle w:val="afa"/>
              <w:spacing w:line="240" w:lineRule="auto"/>
              <w:ind w:firstLineChars="0" w:firstLine="0"/>
              <w:jc w:val="center"/>
              <w:rPr>
                <w:b/>
                <w:bCs/>
                <w:sz w:val="21"/>
                <w:szCs w:val="21"/>
              </w:rPr>
            </w:pPr>
            <w:r w:rsidRPr="00D630D1">
              <w:rPr>
                <w:rFonts w:hint="eastAsia"/>
                <w:b/>
                <w:bCs/>
                <w:sz w:val="21"/>
                <w:szCs w:val="21"/>
              </w:rPr>
              <w:t>距离（</w:t>
            </w:r>
            <w:r w:rsidRPr="00D630D1">
              <w:rPr>
                <w:rFonts w:hint="eastAsia"/>
                <w:b/>
                <w:bCs/>
                <w:sz w:val="21"/>
                <w:szCs w:val="21"/>
              </w:rPr>
              <w:t>m</w:t>
            </w:r>
            <w:r w:rsidRPr="00D630D1">
              <w:rPr>
                <w:rFonts w:hint="eastAsia"/>
                <w:b/>
                <w:bCs/>
                <w:sz w:val="21"/>
                <w:szCs w:val="21"/>
              </w:rPr>
              <w:t>）</w:t>
            </w:r>
          </w:p>
        </w:tc>
        <w:tc>
          <w:tcPr>
            <w:tcW w:w="679" w:type="dxa"/>
            <w:vMerge w:val="restart"/>
            <w:vAlign w:val="center"/>
          </w:tcPr>
          <w:p w:rsidR="002169CB" w:rsidRPr="00D630D1" w:rsidRDefault="002169CB" w:rsidP="002169CB">
            <w:pPr>
              <w:pStyle w:val="afa"/>
              <w:spacing w:line="240" w:lineRule="auto"/>
              <w:ind w:firstLineChars="0" w:firstLine="0"/>
              <w:jc w:val="center"/>
              <w:rPr>
                <w:b/>
                <w:bCs/>
                <w:sz w:val="21"/>
                <w:szCs w:val="21"/>
              </w:rPr>
            </w:pPr>
            <w:r w:rsidRPr="00D630D1">
              <w:rPr>
                <w:rFonts w:hint="eastAsia"/>
                <w:b/>
                <w:bCs/>
                <w:sz w:val="21"/>
                <w:szCs w:val="21"/>
              </w:rPr>
              <w:t>贡献值</w:t>
            </w:r>
          </w:p>
        </w:tc>
        <w:tc>
          <w:tcPr>
            <w:tcW w:w="1951" w:type="dxa"/>
            <w:gridSpan w:val="2"/>
            <w:vAlign w:val="center"/>
          </w:tcPr>
          <w:p w:rsidR="002169CB" w:rsidRPr="00D630D1" w:rsidRDefault="002169CB" w:rsidP="002169CB">
            <w:pPr>
              <w:pStyle w:val="afa"/>
              <w:spacing w:line="240" w:lineRule="auto"/>
              <w:ind w:firstLineChars="0" w:firstLine="0"/>
              <w:jc w:val="center"/>
              <w:rPr>
                <w:b/>
                <w:bCs/>
                <w:sz w:val="21"/>
                <w:szCs w:val="21"/>
              </w:rPr>
            </w:pPr>
            <w:r w:rsidRPr="00D630D1">
              <w:rPr>
                <w:rFonts w:hint="eastAsia"/>
                <w:b/>
                <w:bCs/>
                <w:sz w:val="21"/>
                <w:szCs w:val="21"/>
              </w:rPr>
              <w:t>背景值</w:t>
            </w:r>
          </w:p>
        </w:tc>
        <w:tc>
          <w:tcPr>
            <w:tcW w:w="1951" w:type="dxa"/>
            <w:gridSpan w:val="2"/>
            <w:vAlign w:val="center"/>
          </w:tcPr>
          <w:p w:rsidR="002169CB" w:rsidRPr="00D630D1" w:rsidRDefault="002169CB" w:rsidP="002169CB">
            <w:pPr>
              <w:pStyle w:val="afa"/>
              <w:spacing w:line="240" w:lineRule="auto"/>
              <w:ind w:firstLineChars="0" w:firstLine="0"/>
              <w:jc w:val="center"/>
              <w:rPr>
                <w:b/>
                <w:bCs/>
                <w:sz w:val="21"/>
                <w:szCs w:val="21"/>
              </w:rPr>
            </w:pPr>
            <w:r w:rsidRPr="00D630D1">
              <w:rPr>
                <w:rFonts w:hint="eastAsia"/>
                <w:b/>
                <w:bCs/>
                <w:sz w:val="21"/>
                <w:szCs w:val="21"/>
              </w:rPr>
              <w:t>预测值</w:t>
            </w:r>
          </w:p>
        </w:tc>
        <w:tc>
          <w:tcPr>
            <w:tcW w:w="1951" w:type="dxa"/>
            <w:gridSpan w:val="2"/>
            <w:vAlign w:val="center"/>
          </w:tcPr>
          <w:p w:rsidR="002169CB" w:rsidRPr="00D630D1" w:rsidRDefault="002169CB" w:rsidP="002169CB">
            <w:pPr>
              <w:pStyle w:val="afa"/>
              <w:spacing w:line="240" w:lineRule="auto"/>
              <w:ind w:firstLineChars="0" w:firstLine="0"/>
              <w:jc w:val="center"/>
              <w:rPr>
                <w:b/>
                <w:bCs/>
                <w:sz w:val="21"/>
                <w:szCs w:val="21"/>
              </w:rPr>
            </w:pPr>
            <w:r w:rsidRPr="00D630D1">
              <w:rPr>
                <w:rFonts w:hint="eastAsia"/>
                <w:b/>
                <w:bCs/>
                <w:sz w:val="21"/>
                <w:szCs w:val="21"/>
              </w:rPr>
              <w:t>评价结果</w:t>
            </w:r>
          </w:p>
        </w:tc>
      </w:tr>
      <w:tr w:rsidR="002169CB" w:rsidRPr="00D630D1" w:rsidTr="002169CB">
        <w:trPr>
          <w:trHeight w:val="268"/>
          <w:jc w:val="center"/>
        </w:trPr>
        <w:tc>
          <w:tcPr>
            <w:tcW w:w="1345" w:type="dxa"/>
            <w:vMerge/>
            <w:vAlign w:val="center"/>
          </w:tcPr>
          <w:p w:rsidR="002169CB" w:rsidRPr="00D630D1" w:rsidRDefault="002169CB" w:rsidP="002169CB">
            <w:pPr>
              <w:pStyle w:val="afa"/>
              <w:spacing w:line="240" w:lineRule="auto"/>
              <w:ind w:firstLineChars="0" w:firstLine="0"/>
              <w:jc w:val="center"/>
              <w:rPr>
                <w:b/>
                <w:bCs/>
                <w:sz w:val="21"/>
                <w:szCs w:val="21"/>
              </w:rPr>
            </w:pPr>
          </w:p>
        </w:tc>
        <w:tc>
          <w:tcPr>
            <w:tcW w:w="900" w:type="dxa"/>
            <w:vMerge/>
            <w:vAlign w:val="center"/>
          </w:tcPr>
          <w:p w:rsidR="002169CB" w:rsidRPr="00D630D1" w:rsidRDefault="002169CB" w:rsidP="002169CB">
            <w:pPr>
              <w:pStyle w:val="afa"/>
              <w:spacing w:line="240" w:lineRule="auto"/>
              <w:ind w:firstLineChars="0" w:firstLine="0"/>
              <w:jc w:val="center"/>
              <w:rPr>
                <w:b/>
                <w:bCs/>
                <w:sz w:val="21"/>
                <w:szCs w:val="21"/>
              </w:rPr>
            </w:pPr>
          </w:p>
        </w:tc>
        <w:tc>
          <w:tcPr>
            <w:tcW w:w="679" w:type="dxa"/>
            <w:vMerge/>
            <w:vAlign w:val="center"/>
          </w:tcPr>
          <w:p w:rsidR="002169CB" w:rsidRPr="00D630D1" w:rsidRDefault="002169CB" w:rsidP="002169CB">
            <w:pPr>
              <w:pStyle w:val="afa"/>
              <w:spacing w:line="240" w:lineRule="auto"/>
              <w:ind w:firstLineChars="0" w:firstLine="0"/>
              <w:jc w:val="center"/>
              <w:rPr>
                <w:b/>
                <w:bCs/>
                <w:sz w:val="21"/>
                <w:szCs w:val="21"/>
              </w:rPr>
            </w:pPr>
          </w:p>
        </w:tc>
        <w:tc>
          <w:tcPr>
            <w:tcW w:w="975" w:type="dxa"/>
            <w:vAlign w:val="center"/>
          </w:tcPr>
          <w:p w:rsidR="002169CB" w:rsidRPr="00D630D1" w:rsidRDefault="002169CB" w:rsidP="002169CB">
            <w:pPr>
              <w:pStyle w:val="afa"/>
              <w:spacing w:line="240" w:lineRule="auto"/>
              <w:ind w:firstLineChars="0" w:firstLine="0"/>
              <w:jc w:val="center"/>
              <w:rPr>
                <w:b/>
                <w:bCs/>
                <w:sz w:val="21"/>
                <w:szCs w:val="21"/>
              </w:rPr>
            </w:pPr>
            <w:r w:rsidRPr="00D630D1">
              <w:rPr>
                <w:rFonts w:hint="eastAsia"/>
                <w:b/>
                <w:bCs/>
                <w:sz w:val="21"/>
                <w:szCs w:val="21"/>
              </w:rPr>
              <w:t>昼间</w:t>
            </w:r>
          </w:p>
        </w:tc>
        <w:tc>
          <w:tcPr>
            <w:tcW w:w="976" w:type="dxa"/>
            <w:vAlign w:val="center"/>
          </w:tcPr>
          <w:p w:rsidR="002169CB" w:rsidRPr="00D630D1" w:rsidRDefault="002169CB" w:rsidP="002169CB">
            <w:pPr>
              <w:pStyle w:val="afa"/>
              <w:spacing w:line="240" w:lineRule="auto"/>
              <w:ind w:firstLineChars="0" w:firstLine="0"/>
              <w:jc w:val="center"/>
              <w:rPr>
                <w:b/>
                <w:bCs/>
                <w:sz w:val="21"/>
                <w:szCs w:val="21"/>
              </w:rPr>
            </w:pPr>
            <w:r w:rsidRPr="00D630D1">
              <w:rPr>
                <w:rFonts w:hint="eastAsia"/>
                <w:b/>
                <w:bCs/>
                <w:sz w:val="21"/>
                <w:szCs w:val="21"/>
              </w:rPr>
              <w:t>夜间</w:t>
            </w:r>
          </w:p>
        </w:tc>
        <w:tc>
          <w:tcPr>
            <w:tcW w:w="975" w:type="dxa"/>
            <w:vAlign w:val="center"/>
          </w:tcPr>
          <w:p w:rsidR="002169CB" w:rsidRPr="00D630D1" w:rsidRDefault="002169CB" w:rsidP="002169CB">
            <w:pPr>
              <w:pStyle w:val="afa"/>
              <w:spacing w:line="240" w:lineRule="auto"/>
              <w:ind w:firstLineChars="0" w:firstLine="0"/>
              <w:jc w:val="center"/>
              <w:rPr>
                <w:b/>
                <w:bCs/>
                <w:sz w:val="21"/>
                <w:szCs w:val="21"/>
              </w:rPr>
            </w:pPr>
            <w:r w:rsidRPr="00D630D1">
              <w:rPr>
                <w:rFonts w:hint="eastAsia"/>
                <w:b/>
                <w:bCs/>
                <w:sz w:val="21"/>
                <w:szCs w:val="21"/>
              </w:rPr>
              <w:t>昼间</w:t>
            </w:r>
          </w:p>
        </w:tc>
        <w:tc>
          <w:tcPr>
            <w:tcW w:w="976" w:type="dxa"/>
            <w:vAlign w:val="center"/>
          </w:tcPr>
          <w:p w:rsidR="002169CB" w:rsidRPr="00D630D1" w:rsidRDefault="002169CB" w:rsidP="002169CB">
            <w:pPr>
              <w:pStyle w:val="afa"/>
              <w:spacing w:line="240" w:lineRule="auto"/>
              <w:ind w:firstLineChars="0" w:firstLine="0"/>
              <w:jc w:val="center"/>
              <w:rPr>
                <w:b/>
                <w:bCs/>
                <w:sz w:val="21"/>
                <w:szCs w:val="21"/>
              </w:rPr>
            </w:pPr>
            <w:r w:rsidRPr="00D630D1">
              <w:rPr>
                <w:rFonts w:hint="eastAsia"/>
                <w:b/>
                <w:bCs/>
                <w:sz w:val="21"/>
                <w:szCs w:val="21"/>
              </w:rPr>
              <w:t>夜间</w:t>
            </w:r>
          </w:p>
        </w:tc>
        <w:tc>
          <w:tcPr>
            <w:tcW w:w="975" w:type="dxa"/>
            <w:vAlign w:val="center"/>
          </w:tcPr>
          <w:p w:rsidR="002169CB" w:rsidRPr="00D630D1" w:rsidRDefault="002169CB" w:rsidP="002169CB">
            <w:pPr>
              <w:pStyle w:val="afa"/>
              <w:spacing w:line="240" w:lineRule="auto"/>
              <w:ind w:firstLineChars="0" w:firstLine="0"/>
              <w:jc w:val="center"/>
              <w:rPr>
                <w:b/>
                <w:bCs/>
                <w:sz w:val="21"/>
                <w:szCs w:val="21"/>
              </w:rPr>
            </w:pPr>
            <w:r w:rsidRPr="00D630D1">
              <w:rPr>
                <w:rFonts w:hint="eastAsia"/>
                <w:b/>
                <w:bCs/>
                <w:sz w:val="21"/>
                <w:szCs w:val="21"/>
              </w:rPr>
              <w:t>昼间</w:t>
            </w:r>
          </w:p>
        </w:tc>
        <w:tc>
          <w:tcPr>
            <w:tcW w:w="976" w:type="dxa"/>
            <w:vAlign w:val="center"/>
          </w:tcPr>
          <w:p w:rsidR="002169CB" w:rsidRPr="00D630D1" w:rsidRDefault="002169CB" w:rsidP="002169CB">
            <w:pPr>
              <w:pStyle w:val="afa"/>
              <w:spacing w:line="240" w:lineRule="auto"/>
              <w:ind w:firstLineChars="0" w:firstLine="0"/>
              <w:jc w:val="center"/>
              <w:rPr>
                <w:b/>
                <w:bCs/>
                <w:sz w:val="21"/>
                <w:szCs w:val="21"/>
              </w:rPr>
            </w:pPr>
            <w:r w:rsidRPr="00D630D1">
              <w:rPr>
                <w:rFonts w:hint="eastAsia"/>
                <w:b/>
                <w:bCs/>
                <w:sz w:val="21"/>
                <w:szCs w:val="21"/>
              </w:rPr>
              <w:t>夜间</w:t>
            </w:r>
          </w:p>
        </w:tc>
      </w:tr>
      <w:tr w:rsidR="006D62D6" w:rsidRPr="00D630D1" w:rsidTr="002169CB">
        <w:trPr>
          <w:trHeight w:val="259"/>
          <w:jc w:val="center"/>
        </w:trPr>
        <w:tc>
          <w:tcPr>
            <w:tcW w:w="1345"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东侧</w:t>
            </w:r>
          </w:p>
        </w:tc>
        <w:tc>
          <w:tcPr>
            <w:tcW w:w="900" w:type="dxa"/>
            <w:vAlign w:val="center"/>
          </w:tcPr>
          <w:p w:rsidR="006D62D6" w:rsidRPr="00D630D1" w:rsidRDefault="006D62D6" w:rsidP="00E00516">
            <w:pPr>
              <w:pStyle w:val="afa"/>
              <w:spacing w:line="240" w:lineRule="auto"/>
              <w:ind w:firstLineChars="0" w:firstLine="0"/>
              <w:jc w:val="center"/>
              <w:rPr>
                <w:sz w:val="21"/>
                <w:szCs w:val="21"/>
              </w:rPr>
            </w:pPr>
            <w:r w:rsidRPr="00D630D1">
              <w:rPr>
                <w:rFonts w:hint="eastAsia"/>
                <w:sz w:val="21"/>
                <w:szCs w:val="21"/>
              </w:rPr>
              <w:t>25</w:t>
            </w:r>
          </w:p>
        </w:tc>
        <w:tc>
          <w:tcPr>
            <w:tcW w:w="679"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42</w:t>
            </w:r>
          </w:p>
        </w:tc>
        <w:tc>
          <w:tcPr>
            <w:tcW w:w="975"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w:t>
            </w:r>
          </w:p>
        </w:tc>
        <w:tc>
          <w:tcPr>
            <w:tcW w:w="976"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w:t>
            </w:r>
          </w:p>
        </w:tc>
        <w:tc>
          <w:tcPr>
            <w:tcW w:w="975" w:type="dxa"/>
            <w:vAlign w:val="center"/>
          </w:tcPr>
          <w:p w:rsidR="006D62D6" w:rsidRPr="00D630D1" w:rsidRDefault="006D62D6" w:rsidP="00E00516">
            <w:pPr>
              <w:pStyle w:val="afa"/>
              <w:spacing w:line="240" w:lineRule="auto"/>
              <w:ind w:firstLineChars="0" w:firstLine="0"/>
              <w:jc w:val="center"/>
              <w:rPr>
                <w:sz w:val="21"/>
                <w:szCs w:val="21"/>
              </w:rPr>
            </w:pPr>
            <w:r w:rsidRPr="00D630D1">
              <w:rPr>
                <w:rFonts w:hint="eastAsia"/>
                <w:sz w:val="21"/>
                <w:szCs w:val="21"/>
              </w:rPr>
              <w:t>42</w:t>
            </w:r>
          </w:p>
        </w:tc>
        <w:tc>
          <w:tcPr>
            <w:tcW w:w="976" w:type="dxa"/>
            <w:vAlign w:val="center"/>
          </w:tcPr>
          <w:p w:rsidR="006D62D6" w:rsidRPr="00D630D1" w:rsidRDefault="006D62D6" w:rsidP="00E00516">
            <w:pPr>
              <w:pStyle w:val="afa"/>
              <w:spacing w:line="240" w:lineRule="auto"/>
              <w:ind w:firstLineChars="0" w:firstLine="0"/>
              <w:jc w:val="center"/>
              <w:rPr>
                <w:sz w:val="21"/>
                <w:szCs w:val="21"/>
              </w:rPr>
            </w:pPr>
            <w:r w:rsidRPr="00D630D1">
              <w:rPr>
                <w:rFonts w:hint="eastAsia"/>
                <w:sz w:val="21"/>
                <w:szCs w:val="21"/>
              </w:rPr>
              <w:t>42</w:t>
            </w:r>
          </w:p>
        </w:tc>
        <w:tc>
          <w:tcPr>
            <w:tcW w:w="975" w:type="dxa"/>
            <w:vAlign w:val="center"/>
          </w:tcPr>
          <w:p w:rsidR="006D62D6" w:rsidRPr="00D630D1" w:rsidRDefault="006D62D6" w:rsidP="002169CB">
            <w:pPr>
              <w:pStyle w:val="afa"/>
              <w:spacing w:line="240" w:lineRule="auto"/>
              <w:ind w:firstLineChars="0" w:firstLine="0"/>
              <w:jc w:val="center"/>
              <w:rPr>
                <w:sz w:val="21"/>
                <w:szCs w:val="21"/>
              </w:rPr>
            </w:pPr>
            <w:r w:rsidRPr="00D630D1">
              <w:rPr>
                <w:sz w:val="21"/>
                <w:szCs w:val="21"/>
              </w:rPr>
              <w:t>达标</w:t>
            </w:r>
          </w:p>
        </w:tc>
        <w:tc>
          <w:tcPr>
            <w:tcW w:w="976" w:type="dxa"/>
          </w:tcPr>
          <w:p w:rsidR="006D62D6" w:rsidRPr="00D630D1" w:rsidRDefault="006D62D6" w:rsidP="002169CB">
            <w:pPr>
              <w:pStyle w:val="afa"/>
              <w:spacing w:line="240" w:lineRule="auto"/>
              <w:ind w:firstLineChars="0" w:firstLine="0"/>
              <w:jc w:val="center"/>
              <w:rPr>
                <w:sz w:val="21"/>
                <w:szCs w:val="21"/>
              </w:rPr>
            </w:pPr>
            <w:r w:rsidRPr="00D630D1">
              <w:rPr>
                <w:sz w:val="21"/>
                <w:szCs w:val="21"/>
              </w:rPr>
              <w:t>达标</w:t>
            </w:r>
          </w:p>
        </w:tc>
      </w:tr>
      <w:tr w:rsidR="006D62D6" w:rsidRPr="00D630D1" w:rsidTr="002169CB">
        <w:trPr>
          <w:trHeight w:val="259"/>
          <w:jc w:val="center"/>
        </w:trPr>
        <w:tc>
          <w:tcPr>
            <w:tcW w:w="1345"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南侧</w:t>
            </w:r>
          </w:p>
        </w:tc>
        <w:tc>
          <w:tcPr>
            <w:tcW w:w="900" w:type="dxa"/>
            <w:vAlign w:val="center"/>
          </w:tcPr>
          <w:p w:rsidR="006D62D6" w:rsidRPr="00D630D1" w:rsidRDefault="006D62D6" w:rsidP="006D62D6">
            <w:pPr>
              <w:pStyle w:val="afa"/>
              <w:spacing w:line="240" w:lineRule="auto"/>
              <w:ind w:firstLineChars="0" w:firstLine="0"/>
              <w:jc w:val="center"/>
              <w:rPr>
                <w:sz w:val="21"/>
                <w:szCs w:val="21"/>
              </w:rPr>
            </w:pPr>
            <w:r w:rsidRPr="00D630D1">
              <w:rPr>
                <w:rFonts w:hint="eastAsia"/>
                <w:sz w:val="21"/>
                <w:szCs w:val="21"/>
              </w:rPr>
              <w:t>100</w:t>
            </w:r>
          </w:p>
        </w:tc>
        <w:tc>
          <w:tcPr>
            <w:tcW w:w="679" w:type="dxa"/>
            <w:vAlign w:val="center"/>
          </w:tcPr>
          <w:p w:rsidR="006D62D6" w:rsidRPr="00D630D1" w:rsidRDefault="006D62D6" w:rsidP="006D62D6">
            <w:pPr>
              <w:pStyle w:val="afa"/>
              <w:spacing w:line="240" w:lineRule="auto"/>
              <w:ind w:firstLineChars="0" w:firstLine="0"/>
              <w:jc w:val="center"/>
              <w:rPr>
                <w:sz w:val="21"/>
                <w:szCs w:val="21"/>
              </w:rPr>
            </w:pPr>
            <w:r w:rsidRPr="00D630D1">
              <w:rPr>
                <w:rFonts w:hint="eastAsia"/>
                <w:sz w:val="21"/>
                <w:szCs w:val="21"/>
              </w:rPr>
              <w:t>30.1</w:t>
            </w:r>
          </w:p>
        </w:tc>
        <w:tc>
          <w:tcPr>
            <w:tcW w:w="975"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w:t>
            </w:r>
          </w:p>
        </w:tc>
        <w:tc>
          <w:tcPr>
            <w:tcW w:w="976"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w:t>
            </w:r>
          </w:p>
        </w:tc>
        <w:tc>
          <w:tcPr>
            <w:tcW w:w="975" w:type="dxa"/>
            <w:vAlign w:val="center"/>
          </w:tcPr>
          <w:p w:rsidR="006D62D6" w:rsidRPr="00D630D1" w:rsidRDefault="006D62D6" w:rsidP="00E00516">
            <w:pPr>
              <w:pStyle w:val="afa"/>
              <w:spacing w:line="240" w:lineRule="auto"/>
              <w:ind w:firstLineChars="0" w:firstLine="0"/>
              <w:jc w:val="center"/>
              <w:rPr>
                <w:sz w:val="21"/>
                <w:szCs w:val="21"/>
              </w:rPr>
            </w:pPr>
            <w:r w:rsidRPr="00D630D1">
              <w:rPr>
                <w:rFonts w:hint="eastAsia"/>
                <w:sz w:val="21"/>
                <w:szCs w:val="21"/>
              </w:rPr>
              <w:t>30.1</w:t>
            </w:r>
          </w:p>
        </w:tc>
        <w:tc>
          <w:tcPr>
            <w:tcW w:w="976" w:type="dxa"/>
            <w:vAlign w:val="center"/>
          </w:tcPr>
          <w:p w:rsidR="006D62D6" w:rsidRPr="00D630D1" w:rsidRDefault="006D62D6" w:rsidP="00E00516">
            <w:pPr>
              <w:pStyle w:val="afa"/>
              <w:spacing w:line="240" w:lineRule="auto"/>
              <w:ind w:firstLineChars="0" w:firstLine="0"/>
              <w:jc w:val="center"/>
              <w:rPr>
                <w:sz w:val="21"/>
                <w:szCs w:val="21"/>
              </w:rPr>
            </w:pPr>
            <w:r w:rsidRPr="00D630D1">
              <w:rPr>
                <w:rFonts w:hint="eastAsia"/>
                <w:sz w:val="21"/>
                <w:szCs w:val="21"/>
              </w:rPr>
              <w:t>30.1</w:t>
            </w:r>
          </w:p>
        </w:tc>
        <w:tc>
          <w:tcPr>
            <w:tcW w:w="975" w:type="dxa"/>
          </w:tcPr>
          <w:p w:rsidR="006D62D6" w:rsidRPr="00D630D1" w:rsidRDefault="006D62D6" w:rsidP="002169CB">
            <w:pPr>
              <w:pStyle w:val="afa"/>
              <w:spacing w:line="240" w:lineRule="auto"/>
              <w:ind w:firstLineChars="0" w:firstLine="0"/>
              <w:jc w:val="center"/>
              <w:rPr>
                <w:sz w:val="21"/>
                <w:szCs w:val="21"/>
              </w:rPr>
            </w:pPr>
            <w:r w:rsidRPr="00D630D1">
              <w:rPr>
                <w:sz w:val="21"/>
                <w:szCs w:val="21"/>
              </w:rPr>
              <w:t>达标</w:t>
            </w:r>
          </w:p>
        </w:tc>
        <w:tc>
          <w:tcPr>
            <w:tcW w:w="976" w:type="dxa"/>
          </w:tcPr>
          <w:p w:rsidR="006D62D6" w:rsidRPr="00D630D1" w:rsidRDefault="006D62D6" w:rsidP="002169CB">
            <w:pPr>
              <w:pStyle w:val="afa"/>
              <w:spacing w:line="240" w:lineRule="auto"/>
              <w:ind w:firstLineChars="0" w:firstLine="0"/>
              <w:jc w:val="center"/>
              <w:rPr>
                <w:sz w:val="21"/>
                <w:szCs w:val="21"/>
              </w:rPr>
            </w:pPr>
            <w:r w:rsidRPr="00D630D1">
              <w:rPr>
                <w:sz w:val="21"/>
                <w:szCs w:val="21"/>
              </w:rPr>
              <w:t>达标</w:t>
            </w:r>
          </w:p>
        </w:tc>
      </w:tr>
      <w:tr w:rsidR="006D62D6" w:rsidRPr="00D630D1" w:rsidTr="002169CB">
        <w:trPr>
          <w:trHeight w:val="259"/>
          <w:jc w:val="center"/>
        </w:trPr>
        <w:tc>
          <w:tcPr>
            <w:tcW w:w="1345"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西侧</w:t>
            </w:r>
          </w:p>
        </w:tc>
        <w:tc>
          <w:tcPr>
            <w:tcW w:w="900" w:type="dxa"/>
            <w:vAlign w:val="center"/>
          </w:tcPr>
          <w:p w:rsidR="006D62D6" w:rsidRPr="00D630D1" w:rsidRDefault="006D62D6" w:rsidP="00E00516">
            <w:pPr>
              <w:pStyle w:val="afa"/>
              <w:spacing w:line="240" w:lineRule="auto"/>
              <w:ind w:firstLineChars="0" w:firstLine="0"/>
              <w:jc w:val="center"/>
              <w:rPr>
                <w:sz w:val="21"/>
                <w:szCs w:val="21"/>
              </w:rPr>
            </w:pPr>
            <w:r w:rsidRPr="00D630D1">
              <w:rPr>
                <w:rFonts w:hint="eastAsia"/>
                <w:sz w:val="21"/>
                <w:szCs w:val="21"/>
              </w:rPr>
              <w:t>30</w:t>
            </w:r>
          </w:p>
        </w:tc>
        <w:tc>
          <w:tcPr>
            <w:tcW w:w="679"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40.5</w:t>
            </w:r>
          </w:p>
        </w:tc>
        <w:tc>
          <w:tcPr>
            <w:tcW w:w="975"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w:t>
            </w:r>
          </w:p>
        </w:tc>
        <w:tc>
          <w:tcPr>
            <w:tcW w:w="976"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w:t>
            </w:r>
          </w:p>
        </w:tc>
        <w:tc>
          <w:tcPr>
            <w:tcW w:w="975" w:type="dxa"/>
            <w:vAlign w:val="center"/>
          </w:tcPr>
          <w:p w:rsidR="006D62D6" w:rsidRPr="00D630D1" w:rsidRDefault="006D62D6" w:rsidP="00E00516">
            <w:pPr>
              <w:pStyle w:val="afa"/>
              <w:spacing w:line="240" w:lineRule="auto"/>
              <w:ind w:firstLineChars="0" w:firstLine="0"/>
              <w:jc w:val="center"/>
              <w:rPr>
                <w:sz w:val="21"/>
                <w:szCs w:val="21"/>
              </w:rPr>
            </w:pPr>
            <w:r w:rsidRPr="00D630D1">
              <w:rPr>
                <w:rFonts w:hint="eastAsia"/>
                <w:sz w:val="21"/>
                <w:szCs w:val="21"/>
              </w:rPr>
              <w:t>40.5</w:t>
            </w:r>
          </w:p>
        </w:tc>
        <w:tc>
          <w:tcPr>
            <w:tcW w:w="976" w:type="dxa"/>
            <w:vAlign w:val="center"/>
          </w:tcPr>
          <w:p w:rsidR="006D62D6" w:rsidRPr="00D630D1" w:rsidRDefault="006D62D6" w:rsidP="00E00516">
            <w:pPr>
              <w:pStyle w:val="afa"/>
              <w:spacing w:line="240" w:lineRule="auto"/>
              <w:ind w:firstLineChars="0" w:firstLine="0"/>
              <w:jc w:val="center"/>
              <w:rPr>
                <w:sz w:val="21"/>
                <w:szCs w:val="21"/>
              </w:rPr>
            </w:pPr>
            <w:r w:rsidRPr="00D630D1">
              <w:rPr>
                <w:rFonts w:hint="eastAsia"/>
                <w:sz w:val="21"/>
                <w:szCs w:val="21"/>
              </w:rPr>
              <w:t>40.5</w:t>
            </w:r>
          </w:p>
        </w:tc>
        <w:tc>
          <w:tcPr>
            <w:tcW w:w="975" w:type="dxa"/>
          </w:tcPr>
          <w:p w:rsidR="006D62D6" w:rsidRPr="00D630D1" w:rsidRDefault="006D62D6" w:rsidP="002169CB">
            <w:pPr>
              <w:pStyle w:val="afa"/>
              <w:spacing w:line="240" w:lineRule="auto"/>
              <w:ind w:firstLineChars="0" w:firstLine="0"/>
              <w:jc w:val="center"/>
              <w:rPr>
                <w:sz w:val="21"/>
                <w:szCs w:val="21"/>
              </w:rPr>
            </w:pPr>
            <w:r w:rsidRPr="00D630D1">
              <w:rPr>
                <w:sz w:val="21"/>
                <w:szCs w:val="21"/>
              </w:rPr>
              <w:t>达标</w:t>
            </w:r>
          </w:p>
        </w:tc>
        <w:tc>
          <w:tcPr>
            <w:tcW w:w="976" w:type="dxa"/>
          </w:tcPr>
          <w:p w:rsidR="006D62D6" w:rsidRPr="00D630D1" w:rsidRDefault="006D62D6" w:rsidP="002169CB">
            <w:pPr>
              <w:pStyle w:val="afa"/>
              <w:spacing w:line="240" w:lineRule="auto"/>
              <w:ind w:firstLineChars="0" w:firstLine="0"/>
              <w:jc w:val="center"/>
              <w:rPr>
                <w:sz w:val="21"/>
                <w:szCs w:val="21"/>
              </w:rPr>
            </w:pPr>
            <w:r w:rsidRPr="00D630D1">
              <w:rPr>
                <w:sz w:val="21"/>
                <w:szCs w:val="21"/>
              </w:rPr>
              <w:t>达标</w:t>
            </w:r>
          </w:p>
        </w:tc>
      </w:tr>
      <w:tr w:rsidR="006D62D6" w:rsidRPr="00D630D1" w:rsidTr="002169CB">
        <w:trPr>
          <w:trHeight w:val="207"/>
          <w:jc w:val="center"/>
        </w:trPr>
        <w:tc>
          <w:tcPr>
            <w:tcW w:w="1345"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北侧</w:t>
            </w:r>
          </w:p>
        </w:tc>
        <w:tc>
          <w:tcPr>
            <w:tcW w:w="900" w:type="dxa"/>
            <w:vAlign w:val="center"/>
          </w:tcPr>
          <w:p w:rsidR="006D62D6" w:rsidRPr="00D630D1" w:rsidRDefault="006D62D6" w:rsidP="006D62D6">
            <w:pPr>
              <w:pStyle w:val="afa"/>
              <w:spacing w:line="240" w:lineRule="auto"/>
              <w:ind w:firstLineChars="0" w:firstLine="0"/>
              <w:jc w:val="center"/>
              <w:rPr>
                <w:sz w:val="21"/>
                <w:szCs w:val="21"/>
              </w:rPr>
            </w:pPr>
            <w:r w:rsidRPr="00D630D1">
              <w:rPr>
                <w:rFonts w:hint="eastAsia"/>
                <w:sz w:val="21"/>
                <w:szCs w:val="21"/>
              </w:rPr>
              <w:t>15</w:t>
            </w:r>
          </w:p>
        </w:tc>
        <w:tc>
          <w:tcPr>
            <w:tcW w:w="679" w:type="dxa"/>
            <w:vAlign w:val="center"/>
          </w:tcPr>
          <w:p w:rsidR="006D62D6" w:rsidRPr="00D630D1" w:rsidRDefault="006D62D6" w:rsidP="006D62D6">
            <w:pPr>
              <w:pStyle w:val="afa"/>
              <w:spacing w:line="240" w:lineRule="auto"/>
              <w:ind w:firstLineChars="0" w:firstLine="0"/>
              <w:jc w:val="center"/>
              <w:rPr>
                <w:sz w:val="21"/>
                <w:szCs w:val="21"/>
              </w:rPr>
            </w:pPr>
            <w:r w:rsidRPr="00D630D1">
              <w:rPr>
                <w:rFonts w:hint="eastAsia"/>
                <w:sz w:val="21"/>
                <w:szCs w:val="21"/>
              </w:rPr>
              <w:t>46.5</w:t>
            </w:r>
          </w:p>
        </w:tc>
        <w:tc>
          <w:tcPr>
            <w:tcW w:w="975"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w:t>
            </w:r>
          </w:p>
        </w:tc>
        <w:tc>
          <w:tcPr>
            <w:tcW w:w="976" w:type="dxa"/>
            <w:vAlign w:val="center"/>
          </w:tcPr>
          <w:p w:rsidR="006D62D6" w:rsidRPr="00D630D1" w:rsidRDefault="006D62D6" w:rsidP="002169CB">
            <w:pPr>
              <w:pStyle w:val="afa"/>
              <w:spacing w:line="240" w:lineRule="auto"/>
              <w:ind w:firstLineChars="0" w:firstLine="0"/>
              <w:jc w:val="center"/>
              <w:rPr>
                <w:sz w:val="21"/>
                <w:szCs w:val="21"/>
              </w:rPr>
            </w:pPr>
            <w:r w:rsidRPr="00D630D1">
              <w:rPr>
                <w:rFonts w:hint="eastAsia"/>
                <w:sz w:val="21"/>
                <w:szCs w:val="21"/>
              </w:rPr>
              <w:t>/</w:t>
            </w:r>
          </w:p>
        </w:tc>
        <w:tc>
          <w:tcPr>
            <w:tcW w:w="975" w:type="dxa"/>
            <w:vAlign w:val="center"/>
          </w:tcPr>
          <w:p w:rsidR="006D62D6" w:rsidRPr="00D630D1" w:rsidRDefault="006D62D6" w:rsidP="00E00516">
            <w:pPr>
              <w:pStyle w:val="afa"/>
              <w:spacing w:line="240" w:lineRule="auto"/>
              <w:ind w:firstLineChars="0" w:firstLine="0"/>
              <w:jc w:val="center"/>
              <w:rPr>
                <w:sz w:val="21"/>
                <w:szCs w:val="21"/>
              </w:rPr>
            </w:pPr>
            <w:r w:rsidRPr="00D630D1">
              <w:rPr>
                <w:rFonts w:hint="eastAsia"/>
                <w:sz w:val="21"/>
                <w:szCs w:val="21"/>
              </w:rPr>
              <w:t>46.5</w:t>
            </w:r>
          </w:p>
        </w:tc>
        <w:tc>
          <w:tcPr>
            <w:tcW w:w="976" w:type="dxa"/>
            <w:vAlign w:val="center"/>
          </w:tcPr>
          <w:p w:rsidR="006D62D6" w:rsidRPr="00D630D1" w:rsidRDefault="006D62D6" w:rsidP="00E00516">
            <w:pPr>
              <w:pStyle w:val="afa"/>
              <w:spacing w:line="240" w:lineRule="auto"/>
              <w:ind w:firstLineChars="0" w:firstLine="0"/>
              <w:jc w:val="center"/>
              <w:rPr>
                <w:sz w:val="21"/>
                <w:szCs w:val="21"/>
              </w:rPr>
            </w:pPr>
            <w:r w:rsidRPr="00D630D1">
              <w:rPr>
                <w:rFonts w:hint="eastAsia"/>
                <w:sz w:val="21"/>
                <w:szCs w:val="21"/>
              </w:rPr>
              <w:t>46.5</w:t>
            </w:r>
          </w:p>
        </w:tc>
        <w:tc>
          <w:tcPr>
            <w:tcW w:w="975" w:type="dxa"/>
          </w:tcPr>
          <w:p w:rsidR="006D62D6" w:rsidRPr="00D630D1" w:rsidRDefault="006D62D6" w:rsidP="002169CB">
            <w:pPr>
              <w:pStyle w:val="afa"/>
              <w:spacing w:line="240" w:lineRule="auto"/>
              <w:ind w:firstLineChars="0" w:firstLine="0"/>
              <w:jc w:val="center"/>
              <w:rPr>
                <w:sz w:val="21"/>
                <w:szCs w:val="21"/>
              </w:rPr>
            </w:pPr>
            <w:r w:rsidRPr="00D630D1">
              <w:rPr>
                <w:sz w:val="21"/>
                <w:szCs w:val="21"/>
              </w:rPr>
              <w:t>达标</w:t>
            </w:r>
          </w:p>
        </w:tc>
        <w:tc>
          <w:tcPr>
            <w:tcW w:w="976" w:type="dxa"/>
          </w:tcPr>
          <w:p w:rsidR="006D62D6" w:rsidRPr="00D630D1" w:rsidRDefault="006D62D6" w:rsidP="002169CB">
            <w:pPr>
              <w:pStyle w:val="afa"/>
              <w:spacing w:line="240" w:lineRule="auto"/>
              <w:ind w:firstLineChars="0" w:firstLine="0"/>
              <w:jc w:val="center"/>
              <w:rPr>
                <w:sz w:val="21"/>
                <w:szCs w:val="21"/>
              </w:rPr>
            </w:pPr>
            <w:r w:rsidRPr="00D630D1">
              <w:rPr>
                <w:sz w:val="21"/>
                <w:szCs w:val="21"/>
              </w:rPr>
              <w:t>达标</w:t>
            </w:r>
          </w:p>
        </w:tc>
      </w:tr>
    </w:tbl>
    <w:p w:rsidR="004750C5" w:rsidRPr="00C841CB" w:rsidRDefault="008457E9" w:rsidP="008457E9">
      <w:pPr>
        <w:pStyle w:val="afa"/>
        <w:ind w:firstLine="480"/>
      </w:pPr>
      <w:r w:rsidRPr="00C841CB">
        <w:t>由表</w:t>
      </w:r>
      <w:r w:rsidRPr="00C841CB">
        <w:rPr>
          <w:rFonts w:eastAsia="TimesNewRomanPSMT"/>
        </w:rPr>
        <w:t>6.2-1</w:t>
      </w:r>
      <w:r w:rsidR="00332450" w:rsidRPr="00C841CB">
        <w:rPr>
          <w:rFonts w:eastAsia="TimesNewRomanPSMT"/>
        </w:rPr>
        <w:t>5</w:t>
      </w:r>
      <w:r w:rsidRPr="00C841CB">
        <w:t>结果可见，</w:t>
      </w:r>
      <w:r w:rsidR="004933A6" w:rsidRPr="00C841CB">
        <w:t xml:space="preserve"> </w:t>
      </w:r>
      <w:r w:rsidR="00D57583" w:rsidRPr="00C841CB">
        <w:t>普陆</w:t>
      </w:r>
      <w:r w:rsidR="00D57583" w:rsidRPr="00C841CB">
        <w:t>3</w:t>
      </w:r>
      <w:r w:rsidR="00D57583" w:rsidRPr="00C841CB">
        <w:t>集气站</w:t>
      </w:r>
      <w:r w:rsidRPr="00C841CB">
        <w:t>厂界噪声均能满足《工业企业厂界环境噪声排放标准》（</w:t>
      </w:r>
      <w:r w:rsidRPr="00C841CB">
        <w:rPr>
          <w:rFonts w:eastAsia="TimesNewRomanPSMT"/>
        </w:rPr>
        <w:t>GB12348-2008</w:t>
      </w:r>
      <w:r w:rsidRPr="00C841CB">
        <w:t>）中</w:t>
      </w:r>
      <w:r w:rsidRPr="00C841CB">
        <w:rPr>
          <w:rFonts w:eastAsia="TimesNewRomanPSMT"/>
        </w:rPr>
        <w:t>2</w:t>
      </w:r>
      <w:r w:rsidRPr="00C841CB">
        <w:t>类标准。</w:t>
      </w:r>
    </w:p>
    <w:p w:rsidR="008457E9" w:rsidRPr="00D630D1" w:rsidRDefault="008457E9" w:rsidP="008457E9">
      <w:pPr>
        <w:pStyle w:val="afa"/>
        <w:ind w:firstLine="482"/>
        <w:rPr>
          <w:b/>
          <w:bCs/>
        </w:rPr>
      </w:pPr>
      <w:r w:rsidRPr="00D630D1">
        <w:rPr>
          <w:b/>
          <w:bCs/>
        </w:rPr>
        <w:t>2</w:t>
      </w:r>
      <w:r w:rsidRPr="00D630D1">
        <w:rPr>
          <w:b/>
          <w:bCs/>
        </w:rPr>
        <w:t>、</w:t>
      </w:r>
      <w:r w:rsidRPr="00D630D1">
        <w:rPr>
          <w:rFonts w:hint="eastAsia"/>
          <w:b/>
          <w:bCs/>
        </w:rPr>
        <w:t>放空噪声</w:t>
      </w:r>
    </w:p>
    <w:p w:rsidR="004750C5" w:rsidRPr="00D630D1" w:rsidRDefault="008457E9" w:rsidP="008457E9">
      <w:pPr>
        <w:pStyle w:val="afa"/>
        <w:ind w:firstLine="480"/>
      </w:pPr>
      <w:r w:rsidRPr="00D630D1">
        <w:rPr>
          <w:rFonts w:hint="eastAsia"/>
        </w:rPr>
        <w:lastRenderedPageBreak/>
        <w:t>此外，在事故或检修情况将对设备和管道内的天然气进行点火放空，此过程将产生放空噪声，放</w:t>
      </w:r>
      <w:r w:rsidR="00300BA0" w:rsidRPr="00D630D1">
        <w:rPr>
          <w:rFonts w:hint="eastAsia"/>
        </w:rPr>
        <w:t>空</w:t>
      </w:r>
      <w:r w:rsidRPr="00D630D1">
        <w:rPr>
          <w:rFonts w:hint="eastAsia"/>
        </w:rPr>
        <w:t>噪声值约为</w:t>
      </w:r>
      <w:r w:rsidR="00300BA0" w:rsidRPr="00D630D1">
        <w:t>90</w:t>
      </w:r>
      <w:r w:rsidRPr="00D630D1">
        <w:t>dB</w:t>
      </w:r>
      <w:r w:rsidRPr="00D630D1">
        <w:rPr>
          <w:rFonts w:hint="eastAsia"/>
        </w:rPr>
        <w:t>（</w:t>
      </w:r>
      <w:r w:rsidRPr="00D630D1">
        <w:t>A</w:t>
      </w:r>
      <w:r w:rsidRPr="00D630D1">
        <w:rPr>
          <w:rFonts w:hint="eastAsia"/>
        </w:rPr>
        <w:t>）；但</w:t>
      </w:r>
      <w:r w:rsidR="00300BA0" w:rsidRPr="00D630D1">
        <w:rPr>
          <w:rFonts w:hint="eastAsia"/>
        </w:rPr>
        <w:t>放空</w:t>
      </w:r>
      <w:r w:rsidRPr="00D630D1">
        <w:rPr>
          <w:rFonts w:hint="eastAsia"/>
        </w:rPr>
        <w:t>噪声一年出现</w:t>
      </w:r>
      <w:r w:rsidRPr="00D630D1">
        <w:t>2~5</w:t>
      </w:r>
      <w:r w:rsidRPr="00D630D1">
        <w:rPr>
          <w:rFonts w:hint="eastAsia"/>
        </w:rPr>
        <w:t>次，属于偶发噪声，不属于正常工况下的噪声。</w:t>
      </w:r>
      <w:r w:rsidR="00D57583">
        <w:rPr>
          <w:rFonts w:hint="eastAsia"/>
        </w:rPr>
        <w:t>普陆</w:t>
      </w:r>
      <w:r w:rsidR="00D57583">
        <w:rPr>
          <w:rFonts w:hint="eastAsia"/>
        </w:rPr>
        <w:t>3</w:t>
      </w:r>
      <w:r w:rsidR="00D57583">
        <w:rPr>
          <w:rFonts w:hint="eastAsia"/>
        </w:rPr>
        <w:t>集气站</w:t>
      </w:r>
      <w:r w:rsidR="00300BA0" w:rsidRPr="00D630D1">
        <w:rPr>
          <w:rFonts w:hint="eastAsia"/>
        </w:rPr>
        <w:t>在检修和事故状态下，放空噪声对最近敏感点的预测结果见下表。</w:t>
      </w:r>
    </w:p>
    <w:p w:rsidR="00300BA0" w:rsidRPr="00D630D1" w:rsidRDefault="00300BA0" w:rsidP="00300BA0">
      <w:pPr>
        <w:pStyle w:val="10"/>
      </w:pPr>
      <w:r w:rsidRPr="00D630D1">
        <w:rPr>
          <w:rFonts w:hint="eastAsia"/>
        </w:rPr>
        <w:t>表</w:t>
      </w:r>
      <w:r w:rsidRPr="00D630D1">
        <w:t>6.2-1</w:t>
      </w:r>
      <w:r w:rsidR="004933A6" w:rsidRPr="00D630D1">
        <w:rPr>
          <w:rFonts w:hint="eastAsia"/>
        </w:rPr>
        <w:t>6</w:t>
      </w:r>
      <w:r w:rsidRPr="00D630D1">
        <w:t xml:space="preserve"> </w:t>
      </w:r>
      <w:r w:rsidRPr="00D630D1">
        <w:rPr>
          <w:rFonts w:hint="eastAsia"/>
          <w:szCs w:val="21"/>
        </w:rPr>
        <w:t>非正常工况下敏感目标噪声预测</w:t>
      </w:r>
    </w:p>
    <w:tbl>
      <w:tblPr>
        <w:tblW w:w="8777" w:type="dxa"/>
        <w:jc w:val="center"/>
        <w:tblBorders>
          <w:top w:val="single" w:sz="12" w:space="0" w:color="000000"/>
          <w:bottom w:val="single" w:sz="12" w:space="0" w:color="000000"/>
          <w:insideH w:val="single" w:sz="2" w:space="0" w:color="000000"/>
          <w:insideV w:val="single" w:sz="2" w:space="0" w:color="000000"/>
        </w:tblBorders>
        <w:tblLook w:val="04A0"/>
      </w:tblPr>
      <w:tblGrid>
        <w:gridCol w:w="1345"/>
        <w:gridCol w:w="900"/>
        <w:gridCol w:w="679"/>
        <w:gridCol w:w="975"/>
        <w:gridCol w:w="976"/>
        <w:gridCol w:w="975"/>
        <w:gridCol w:w="976"/>
        <w:gridCol w:w="975"/>
        <w:gridCol w:w="976"/>
      </w:tblGrid>
      <w:tr w:rsidR="006D2FAC" w:rsidRPr="00D630D1" w:rsidTr="006D2FAC">
        <w:trPr>
          <w:trHeight w:val="258"/>
          <w:jc w:val="center"/>
        </w:trPr>
        <w:tc>
          <w:tcPr>
            <w:tcW w:w="1345" w:type="dxa"/>
            <w:vMerge w:val="restart"/>
            <w:vAlign w:val="center"/>
          </w:tcPr>
          <w:p w:rsidR="00300BA0" w:rsidRPr="00D630D1" w:rsidRDefault="00300BA0" w:rsidP="006D2FAC">
            <w:pPr>
              <w:pStyle w:val="afa"/>
              <w:spacing w:line="240" w:lineRule="auto"/>
              <w:ind w:firstLineChars="0" w:firstLine="0"/>
              <w:jc w:val="center"/>
              <w:rPr>
                <w:b/>
                <w:bCs/>
                <w:sz w:val="21"/>
                <w:szCs w:val="21"/>
              </w:rPr>
            </w:pPr>
            <w:r w:rsidRPr="00D630D1">
              <w:rPr>
                <w:rFonts w:hint="eastAsia"/>
                <w:b/>
                <w:bCs/>
                <w:sz w:val="21"/>
                <w:szCs w:val="21"/>
              </w:rPr>
              <w:t>敏感点</w:t>
            </w:r>
          </w:p>
        </w:tc>
        <w:tc>
          <w:tcPr>
            <w:tcW w:w="900" w:type="dxa"/>
            <w:vMerge w:val="restart"/>
            <w:vAlign w:val="center"/>
          </w:tcPr>
          <w:p w:rsidR="00300BA0" w:rsidRPr="00D630D1" w:rsidRDefault="00300BA0" w:rsidP="006D2FAC">
            <w:pPr>
              <w:pStyle w:val="afa"/>
              <w:spacing w:line="240" w:lineRule="auto"/>
              <w:ind w:firstLineChars="0" w:firstLine="0"/>
              <w:jc w:val="center"/>
              <w:rPr>
                <w:b/>
                <w:bCs/>
                <w:sz w:val="21"/>
                <w:szCs w:val="21"/>
              </w:rPr>
            </w:pPr>
            <w:r w:rsidRPr="00D630D1">
              <w:rPr>
                <w:rFonts w:hint="eastAsia"/>
                <w:b/>
                <w:bCs/>
                <w:sz w:val="21"/>
                <w:szCs w:val="21"/>
              </w:rPr>
              <w:t>距离放空系统距离</w:t>
            </w:r>
          </w:p>
        </w:tc>
        <w:tc>
          <w:tcPr>
            <w:tcW w:w="679" w:type="dxa"/>
            <w:vMerge w:val="restart"/>
            <w:vAlign w:val="center"/>
          </w:tcPr>
          <w:p w:rsidR="00300BA0" w:rsidRPr="00D630D1" w:rsidRDefault="00300BA0" w:rsidP="006D2FAC">
            <w:pPr>
              <w:pStyle w:val="afa"/>
              <w:spacing w:line="240" w:lineRule="auto"/>
              <w:ind w:firstLineChars="0" w:firstLine="0"/>
              <w:jc w:val="center"/>
              <w:rPr>
                <w:b/>
                <w:bCs/>
                <w:sz w:val="21"/>
                <w:szCs w:val="21"/>
              </w:rPr>
            </w:pPr>
            <w:r w:rsidRPr="00D630D1">
              <w:rPr>
                <w:rFonts w:hint="eastAsia"/>
                <w:b/>
                <w:bCs/>
                <w:sz w:val="21"/>
                <w:szCs w:val="21"/>
              </w:rPr>
              <w:t>贡献值</w:t>
            </w:r>
          </w:p>
        </w:tc>
        <w:tc>
          <w:tcPr>
            <w:tcW w:w="1951" w:type="dxa"/>
            <w:gridSpan w:val="2"/>
            <w:vAlign w:val="center"/>
          </w:tcPr>
          <w:p w:rsidR="00300BA0" w:rsidRPr="00D630D1" w:rsidRDefault="00300BA0" w:rsidP="006D2FAC">
            <w:pPr>
              <w:pStyle w:val="afa"/>
              <w:spacing w:line="240" w:lineRule="auto"/>
              <w:ind w:firstLineChars="0" w:firstLine="0"/>
              <w:jc w:val="center"/>
              <w:rPr>
                <w:b/>
                <w:bCs/>
                <w:sz w:val="21"/>
                <w:szCs w:val="21"/>
              </w:rPr>
            </w:pPr>
            <w:r w:rsidRPr="00D630D1">
              <w:rPr>
                <w:rFonts w:hint="eastAsia"/>
                <w:b/>
                <w:bCs/>
                <w:sz w:val="21"/>
                <w:szCs w:val="21"/>
              </w:rPr>
              <w:t>背景值</w:t>
            </w:r>
          </w:p>
        </w:tc>
        <w:tc>
          <w:tcPr>
            <w:tcW w:w="1951" w:type="dxa"/>
            <w:gridSpan w:val="2"/>
            <w:vAlign w:val="center"/>
          </w:tcPr>
          <w:p w:rsidR="00300BA0" w:rsidRPr="00D630D1" w:rsidRDefault="00300BA0" w:rsidP="006D2FAC">
            <w:pPr>
              <w:pStyle w:val="afa"/>
              <w:spacing w:line="240" w:lineRule="auto"/>
              <w:ind w:firstLineChars="0" w:firstLine="0"/>
              <w:jc w:val="center"/>
              <w:rPr>
                <w:b/>
                <w:bCs/>
                <w:sz w:val="21"/>
                <w:szCs w:val="21"/>
              </w:rPr>
            </w:pPr>
            <w:r w:rsidRPr="00D630D1">
              <w:rPr>
                <w:rFonts w:hint="eastAsia"/>
                <w:b/>
                <w:bCs/>
                <w:sz w:val="21"/>
                <w:szCs w:val="21"/>
              </w:rPr>
              <w:t>预测值</w:t>
            </w:r>
          </w:p>
        </w:tc>
        <w:tc>
          <w:tcPr>
            <w:tcW w:w="1951" w:type="dxa"/>
            <w:gridSpan w:val="2"/>
            <w:vAlign w:val="center"/>
          </w:tcPr>
          <w:p w:rsidR="00300BA0" w:rsidRPr="00D630D1" w:rsidRDefault="00300BA0" w:rsidP="006D2FAC">
            <w:pPr>
              <w:pStyle w:val="afa"/>
              <w:spacing w:line="240" w:lineRule="auto"/>
              <w:ind w:firstLineChars="0" w:firstLine="0"/>
              <w:jc w:val="center"/>
              <w:rPr>
                <w:b/>
                <w:bCs/>
                <w:sz w:val="21"/>
                <w:szCs w:val="21"/>
              </w:rPr>
            </w:pPr>
            <w:r w:rsidRPr="00D630D1">
              <w:rPr>
                <w:rFonts w:hint="eastAsia"/>
                <w:b/>
                <w:bCs/>
                <w:sz w:val="21"/>
                <w:szCs w:val="21"/>
              </w:rPr>
              <w:t>评价结果</w:t>
            </w:r>
          </w:p>
        </w:tc>
      </w:tr>
      <w:tr w:rsidR="006D2FAC" w:rsidRPr="00D630D1" w:rsidTr="006D2FAC">
        <w:trPr>
          <w:trHeight w:val="268"/>
          <w:jc w:val="center"/>
        </w:trPr>
        <w:tc>
          <w:tcPr>
            <w:tcW w:w="1345" w:type="dxa"/>
            <w:vMerge/>
            <w:vAlign w:val="center"/>
          </w:tcPr>
          <w:p w:rsidR="00300BA0" w:rsidRPr="00D630D1" w:rsidRDefault="00300BA0" w:rsidP="006D2FAC">
            <w:pPr>
              <w:pStyle w:val="afa"/>
              <w:spacing w:line="240" w:lineRule="auto"/>
              <w:ind w:firstLineChars="0" w:firstLine="0"/>
              <w:jc w:val="center"/>
              <w:rPr>
                <w:b/>
                <w:bCs/>
                <w:sz w:val="21"/>
                <w:szCs w:val="21"/>
              </w:rPr>
            </w:pPr>
          </w:p>
        </w:tc>
        <w:tc>
          <w:tcPr>
            <w:tcW w:w="900" w:type="dxa"/>
            <w:vMerge/>
            <w:vAlign w:val="center"/>
          </w:tcPr>
          <w:p w:rsidR="00300BA0" w:rsidRPr="00D630D1" w:rsidRDefault="00300BA0" w:rsidP="006D2FAC">
            <w:pPr>
              <w:pStyle w:val="afa"/>
              <w:spacing w:line="240" w:lineRule="auto"/>
              <w:ind w:firstLineChars="0" w:firstLine="0"/>
              <w:jc w:val="center"/>
              <w:rPr>
                <w:b/>
                <w:bCs/>
                <w:sz w:val="21"/>
                <w:szCs w:val="21"/>
              </w:rPr>
            </w:pPr>
          </w:p>
        </w:tc>
        <w:tc>
          <w:tcPr>
            <w:tcW w:w="679" w:type="dxa"/>
            <w:vMerge/>
            <w:vAlign w:val="center"/>
          </w:tcPr>
          <w:p w:rsidR="00300BA0" w:rsidRPr="00D630D1" w:rsidRDefault="00300BA0" w:rsidP="006D2FAC">
            <w:pPr>
              <w:pStyle w:val="afa"/>
              <w:spacing w:line="240" w:lineRule="auto"/>
              <w:ind w:firstLineChars="0" w:firstLine="0"/>
              <w:jc w:val="center"/>
              <w:rPr>
                <w:b/>
                <w:bCs/>
                <w:sz w:val="21"/>
                <w:szCs w:val="21"/>
              </w:rPr>
            </w:pPr>
          </w:p>
        </w:tc>
        <w:tc>
          <w:tcPr>
            <w:tcW w:w="975" w:type="dxa"/>
            <w:vAlign w:val="center"/>
          </w:tcPr>
          <w:p w:rsidR="00300BA0" w:rsidRPr="00D630D1" w:rsidRDefault="00300BA0" w:rsidP="006D2FAC">
            <w:pPr>
              <w:pStyle w:val="afa"/>
              <w:spacing w:line="240" w:lineRule="auto"/>
              <w:ind w:firstLineChars="0" w:firstLine="0"/>
              <w:jc w:val="center"/>
              <w:rPr>
                <w:b/>
                <w:bCs/>
                <w:sz w:val="21"/>
                <w:szCs w:val="21"/>
              </w:rPr>
            </w:pPr>
            <w:r w:rsidRPr="00D630D1">
              <w:rPr>
                <w:rFonts w:hint="eastAsia"/>
                <w:b/>
                <w:bCs/>
                <w:sz w:val="21"/>
                <w:szCs w:val="21"/>
              </w:rPr>
              <w:t>昼间</w:t>
            </w:r>
          </w:p>
        </w:tc>
        <w:tc>
          <w:tcPr>
            <w:tcW w:w="976" w:type="dxa"/>
            <w:vAlign w:val="center"/>
          </w:tcPr>
          <w:p w:rsidR="00300BA0" w:rsidRPr="00D630D1" w:rsidRDefault="00300BA0" w:rsidP="006D2FAC">
            <w:pPr>
              <w:pStyle w:val="afa"/>
              <w:spacing w:line="240" w:lineRule="auto"/>
              <w:ind w:firstLineChars="0" w:firstLine="0"/>
              <w:jc w:val="center"/>
              <w:rPr>
                <w:b/>
                <w:bCs/>
                <w:sz w:val="21"/>
                <w:szCs w:val="21"/>
              </w:rPr>
            </w:pPr>
            <w:r w:rsidRPr="00D630D1">
              <w:rPr>
                <w:rFonts w:hint="eastAsia"/>
                <w:b/>
                <w:bCs/>
                <w:sz w:val="21"/>
                <w:szCs w:val="21"/>
              </w:rPr>
              <w:t>夜间</w:t>
            </w:r>
          </w:p>
        </w:tc>
        <w:tc>
          <w:tcPr>
            <w:tcW w:w="975" w:type="dxa"/>
            <w:vAlign w:val="center"/>
          </w:tcPr>
          <w:p w:rsidR="00300BA0" w:rsidRPr="00D630D1" w:rsidRDefault="00300BA0" w:rsidP="006D2FAC">
            <w:pPr>
              <w:pStyle w:val="afa"/>
              <w:spacing w:line="240" w:lineRule="auto"/>
              <w:ind w:firstLineChars="0" w:firstLine="0"/>
              <w:jc w:val="center"/>
              <w:rPr>
                <w:b/>
                <w:bCs/>
                <w:sz w:val="21"/>
                <w:szCs w:val="21"/>
              </w:rPr>
            </w:pPr>
            <w:r w:rsidRPr="00D630D1">
              <w:rPr>
                <w:rFonts w:hint="eastAsia"/>
                <w:b/>
                <w:bCs/>
                <w:sz w:val="21"/>
                <w:szCs w:val="21"/>
              </w:rPr>
              <w:t>昼间</w:t>
            </w:r>
          </w:p>
        </w:tc>
        <w:tc>
          <w:tcPr>
            <w:tcW w:w="976" w:type="dxa"/>
            <w:vAlign w:val="center"/>
          </w:tcPr>
          <w:p w:rsidR="00300BA0" w:rsidRPr="00D630D1" w:rsidRDefault="00300BA0" w:rsidP="006D2FAC">
            <w:pPr>
              <w:pStyle w:val="afa"/>
              <w:spacing w:line="240" w:lineRule="auto"/>
              <w:ind w:firstLineChars="0" w:firstLine="0"/>
              <w:jc w:val="center"/>
              <w:rPr>
                <w:b/>
                <w:bCs/>
                <w:sz w:val="21"/>
                <w:szCs w:val="21"/>
              </w:rPr>
            </w:pPr>
            <w:r w:rsidRPr="00D630D1">
              <w:rPr>
                <w:rFonts w:hint="eastAsia"/>
                <w:b/>
                <w:bCs/>
                <w:sz w:val="21"/>
                <w:szCs w:val="21"/>
              </w:rPr>
              <w:t>夜间</w:t>
            </w:r>
          </w:p>
        </w:tc>
        <w:tc>
          <w:tcPr>
            <w:tcW w:w="975" w:type="dxa"/>
            <w:vAlign w:val="center"/>
          </w:tcPr>
          <w:p w:rsidR="00300BA0" w:rsidRPr="00D630D1" w:rsidRDefault="00300BA0" w:rsidP="006D2FAC">
            <w:pPr>
              <w:pStyle w:val="afa"/>
              <w:spacing w:line="240" w:lineRule="auto"/>
              <w:ind w:firstLineChars="0" w:firstLine="0"/>
              <w:jc w:val="center"/>
              <w:rPr>
                <w:b/>
                <w:bCs/>
                <w:sz w:val="21"/>
                <w:szCs w:val="21"/>
              </w:rPr>
            </w:pPr>
            <w:r w:rsidRPr="00D630D1">
              <w:rPr>
                <w:rFonts w:hint="eastAsia"/>
                <w:b/>
                <w:bCs/>
                <w:sz w:val="21"/>
                <w:szCs w:val="21"/>
              </w:rPr>
              <w:t>昼间</w:t>
            </w:r>
          </w:p>
        </w:tc>
        <w:tc>
          <w:tcPr>
            <w:tcW w:w="976" w:type="dxa"/>
            <w:vAlign w:val="center"/>
          </w:tcPr>
          <w:p w:rsidR="00300BA0" w:rsidRPr="00D630D1" w:rsidRDefault="00300BA0" w:rsidP="006D2FAC">
            <w:pPr>
              <w:pStyle w:val="afa"/>
              <w:spacing w:line="240" w:lineRule="auto"/>
              <w:ind w:firstLineChars="0" w:firstLine="0"/>
              <w:jc w:val="center"/>
              <w:rPr>
                <w:b/>
                <w:bCs/>
                <w:sz w:val="21"/>
                <w:szCs w:val="21"/>
              </w:rPr>
            </w:pPr>
            <w:r w:rsidRPr="00D630D1">
              <w:rPr>
                <w:rFonts w:hint="eastAsia"/>
                <w:b/>
                <w:bCs/>
                <w:sz w:val="21"/>
                <w:szCs w:val="21"/>
              </w:rPr>
              <w:t>夜间</w:t>
            </w:r>
          </w:p>
        </w:tc>
      </w:tr>
      <w:tr w:rsidR="006D2FAC" w:rsidRPr="00D630D1" w:rsidTr="006D2FAC">
        <w:trPr>
          <w:trHeight w:val="259"/>
          <w:jc w:val="center"/>
        </w:trPr>
        <w:tc>
          <w:tcPr>
            <w:tcW w:w="1345" w:type="dxa"/>
            <w:vAlign w:val="center"/>
          </w:tcPr>
          <w:p w:rsidR="00C31657" w:rsidRPr="00D630D1" w:rsidRDefault="004933A6" w:rsidP="006D2FAC">
            <w:pPr>
              <w:pStyle w:val="afa"/>
              <w:spacing w:line="240" w:lineRule="auto"/>
              <w:ind w:firstLineChars="0" w:firstLine="0"/>
              <w:jc w:val="center"/>
              <w:rPr>
                <w:sz w:val="21"/>
                <w:szCs w:val="21"/>
              </w:rPr>
            </w:pPr>
            <w:r w:rsidRPr="00D630D1">
              <w:rPr>
                <w:rFonts w:hint="eastAsia"/>
                <w:sz w:val="21"/>
                <w:szCs w:val="21"/>
              </w:rPr>
              <w:t>放空系统东南</w:t>
            </w:r>
            <w:r w:rsidR="00C31657" w:rsidRPr="00D630D1">
              <w:rPr>
                <w:rFonts w:hint="eastAsia"/>
                <w:sz w:val="21"/>
                <w:szCs w:val="21"/>
              </w:rPr>
              <w:t>侧农户</w:t>
            </w:r>
          </w:p>
        </w:tc>
        <w:tc>
          <w:tcPr>
            <w:tcW w:w="900" w:type="dxa"/>
            <w:vAlign w:val="center"/>
          </w:tcPr>
          <w:p w:rsidR="00C31657" w:rsidRPr="00D630D1" w:rsidRDefault="00403C6A" w:rsidP="00C841CB">
            <w:pPr>
              <w:pStyle w:val="afa"/>
              <w:spacing w:line="240" w:lineRule="auto"/>
              <w:ind w:firstLineChars="0" w:firstLine="0"/>
              <w:jc w:val="center"/>
              <w:rPr>
                <w:sz w:val="21"/>
                <w:szCs w:val="21"/>
              </w:rPr>
            </w:pPr>
            <w:r w:rsidRPr="00D630D1">
              <w:rPr>
                <w:rFonts w:hint="eastAsia"/>
                <w:sz w:val="21"/>
                <w:szCs w:val="21"/>
              </w:rPr>
              <w:t>3</w:t>
            </w:r>
            <w:r w:rsidR="00C841CB">
              <w:rPr>
                <w:rFonts w:hint="eastAsia"/>
                <w:sz w:val="21"/>
                <w:szCs w:val="21"/>
              </w:rPr>
              <w:t>2</w:t>
            </w:r>
            <w:r w:rsidRPr="00D630D1">
              <w:rPr>
                <w:rFonts w:hint="eastAsia"/>
                <w:sz w:val="21"/>
                <w:szCs w:val="21"/>
              </w:rPr>
              <w:t>0</w:t>
            </w:r>
          </w:p>
        </w:tc>
        <w:tc>
          <w:tcPr>
            <w:tcW w:w="679" w:type="dxa"/>
            <w:vAlign w:val="center"/>
          </w:tcPr>
          <w:p w:rsidR="00C31657" w:rsidRPr="00D630D1" w:rsidRDefault="00C841CB" w:rsidP="006D62D6">
            <w:pPr>
              <w:pStyle w:val="afa"/>
              <w:spacing w:line="240" w:lineRule="auto"/>
              <w:ind w:firstLineChars="0" w:firstLine="0"/>
              <w:jc w:val="center"/>
              <w:rPr>
                <w:sz w:val="21"/>
                <w:szCs w:val="21"/>
              </w:rPr>
            </w:pPr>
            <w:r>
              <w:rPr>
                <w:rFonts w:hint="eastAsia"/>
                <w:sz w:val="21"/>
                <w:szCs w:val="21"/>
              </w:rPr>
              <w:t>41.5</w:t>
            </w:r>
          </w:p>
        </w:tc>
        <w:tc>
          <w:tcPr>
            <w:tcW w:w="975" w:type="dxa"/>
            <w:vAlign w:val="center"/>
          </w:tcPr>
          <w:p w:rsidR="00C31657" w:rsidRPr="00D630D1" w:rsidRDefault="00C31657" w:rsidP="006D62D6">
            <w:pPr>
              <w:pStyle w:val="afa"/>
              <w:spacing w:line="240" w:lineRule="auto"/>
              <w:ind w:firstLineChars="0" w:firstLine="0"/>
              <w:jc w:val="center"/>
              <w:rPr>
                <w:sz w:val="21"/>
                <w:szCs w:val="21"/>
              </w:rPr>
            </w:pPr>
            <w:r w:rsidRPr="00D630D1">
              <w:rPr>
                <w:rFonts w:hint="eastAsia"/>
                <w:sz w:val="21"/>
                <w:szCs w:val="21"/>
              </w:rPr>
              <w:t>5</w:t>
            </w:r>
            <w:r w:rsidR="006D62D6" w:rsidRPr="00D630D1">
              <w:rPr>
                <w:rFonts w:hint="eastAsia"/>
                <w:sz w:val="21"/>
                <w:szCs w:val="21"/>
              </w:rPr>
              <w:t>2</w:t>
            </w:r>
          </w:p>
        </w:tc>
        <w:tc>
          <w:tcPr>
            <w:tcW w:w="976" w:type="dxa"/>
            <w:vAlign w:val="center"/>
          </w:tcPr>
          <w:p w:rsidR="00C31657" w:rsidRPr="00D630D1" w:rsidRDefault="00C31657" w:rsidP="006D62D6">
            <w:pPr>
              <w:pStyle w:val="afa"/>
              <w:spacing w:line="240" w:lineRule="auto"/>
              <w:ind w:firstLineChars="0" w:firstLine="0"/>
              <w:jc w:val="center"/>
              <w:rPr>
                <w:sz w:val="21"/>
                <w:szCs w:val="21"/>
              </w:rPr>
            </w:pPr>
            <w:r w:rsidRPr="00D630D1">
              <w:rPr>
                <w:rFonts w:hint="eastAsia"/>
                <w:sz w:val="21"/>
                <w:szCs w:val="21"/>
              </w:rPr>
              <w:t>4</w:t>
            </w:r>
            <w:r w:rsidR="006D62D6" w:rsidRPr="00D630D1">
              <w:rPr>
                <w:rFonts w:hint="eastAsia"/>
                <w:sz w:val="21"/>
                <w:szCs w:val="21"/>
              </w:rPr>
              <w:t>5</w:t>
            </w:r>
          </w:p>
        </w:tc>
        <w:tc>
          <w:tcPr>
            <w:tcW w:w="975" w:type="dxa"/>
            <w:vAlign w:val="center"/>
          </w:tcPr>
          <w:p w:rsidR="00C31657" w:rsidRPr="00D630D1" w:rsidRDefault="00C31657" w:rsidP="00403C6A">
            <w:pPr>
              <w:pStyle w:val="afa"/>
              <w:spacing w:line="240" w:lineRule="auto"/>
              <w:ind w:firstLineChars="0" w:firstLine="0"/>
              <w:jc w:val="center"/>
              <w:rPr>
                <w:sz w:val="21"/>
                <w:szCs w:val="21"/>
              </w:rPr>
            </w:pPr>
            <w:r w:rsidRPr="00D630D1">
              <w:rPr>
                <w:sz w:val="21"/>
                <w:szCs w:val="21"/>
              </w:rPr>
              <w:t>52.</w:t>
            </w:r>
            <w:r w:rsidR="00403C6A" w:rsidRPr="00D630D1">
              <w:rPr>
                <w:rFonts w:hint="eastAsia"/>
                <w:sz w:val="21"/>
                <w:szCs w:val="21"/>
              </w:rPr>
              <w:t>1</w:t>
            </w:r>
          </w:p>
        </w:tc>
        <w:tc>
          <w:tcPr>
            <w:tcW w:w="976" w:type="dxa"/>
            <w:vAlign w:val="center"/>
          </w:tcPr>
          <w:p w:rsidR="00C31657" w:rsidRPr="00D630D1" w:rsidRDefault="00C31657" w:rsidP="00581820">
            <w:pPr>
              <w:pStyle w:val="afa"/>
              <w:spacing w:line="240" w:lineRule="auto"/>
              <w:ind w:firstLineChars="0" w:firstLine="0"/>
              <w:jc w:val="center"/>
              <w:rPr>
                <w:sz w:val="21"/>
                <w:szCs w:val="21"/>
              </w:rPr>
            </w:pPr>
            <w:r w:rsidRPr="00D630D1">
              <w:rPr>
                <w:sz w:val="21"/>
                <w:szCs w:val="21"/>
              </w:rPr>
              <w:t>4</w:t>
            </w:r>
            <w:r w:rsidR="00403C6A" w:rsidRPr="00D630D1">
              <w:rPr>
                <w:rFonts w:hint="eastAsia"/>
                <w:sz w:val="21"/>
                <w:szCs w:val="21"/>
              </w:rPr>
              <w:t>6</w:t>
            </w:r>
            <w:r w:rsidRPr="00D630D1">
              <w:rPr>
                <w:sz w:val="21"/>
                <w:szCs w:val="21"/>
              </w:rPr>
              <w:t>.</w:t>
            </w:r>
            <w:r w:rsidR="00581820">
              <w:rPr>
                <w:rFonts w:hint="eastAsia"/>
                <w:sz w:val="21"/>
                <w:szCs w:val="21"/>
              </w:rPr>
              <w:t>4</w:t>
            </w:r>
          </w:p>
        </w:tc>
        <w:tc>
          <w:tcPr>
            <w:tcW w:w="975" w:type="dxa"/>
            <w:vAlign w:val="center"/>
          </w:tcPr>
          <w:p w:rsidR="00C31657" w:rsidRPr="00D630D1" w:rsidRDefault="00C31657" w:rsidP="006D2FAC">
            <w:pPr>
              <w:pStyle w:val="afa"/>
              <w:spacing w:line="240" w:lineRule="auto"/>
              <w:ind w:firstLineChars="0" w:firstLine="0"/>
              <w:jc w:val="center"/>
              <w:rPr>
                <w:sz w:val="21"/>
                <w:szCs w:val="21"/>
              </w:rPr>
            </w:pPr>
            <w:r w:rsidRPr="00D630D1">
              <w:rPr>
                <w:sz w:val="21"/>
                <w:szCs w:val="21"/>
              </w:rPr>
              <w:t>达标</w:t>
            </w:r>
          </w:p>
        </w:tc>
        <w:tc>
          <w:tcPr>
            <w:tcW w:w="976" w:type="dxa"/>
            <w:vAlign w:val="center"/>
          </w:tcPr>
          <w:p w:rsidR="00C31657" w:rsidRPr="00D630D1" w:rsidRDefault="00C31657" w:rsidP="006D2FAC">
            <w:pPr>
              <w:pStyle w:val="afa"/>
              <w:spacing w:line="240" w:lineRule="auto"/>
              <w:ind w:firstLineChars="0" w:firstLine="0"/>
              <w:jc w:val="center"/>
              <w:rPr>
                <w:sz w:val="21"/>
                <w:szCs w:val="21"/>
              </w:rPr>
            </w:pPr>
            <w:r w:rsidRPr="00D630D1">
              <w:rPr>
                <w:sz w:val="21"/>
                <w:szCs w:val="21"/>
              </w:rPr>
              <w:t>达标</w:t>
            </w:r>
          </w:p>
        </w:tc>
      </w:tr>
    </w:tbl>
    <w:p w:rsidR="008457E9" w:rsidRPr="00D630D1" w:rsidRDefault="002169CB" w:rsidP="00C31657">
      <w:pPr>
        <w:pStyle w:val="afa"/>
        <w:ind w:firstLine="480"/>
      </w:pPr>
      <w:r w:rsidRPr="00D630D1">
        <w:rPr>
          <w:rFonts w:hint="eastAsia"/>
        </w:rPr>
        <w:t>由</w:t>
      </w:r>
      <w:r w:rsidR="00C31657" w:rsidRPr="00D630D1">
        <w:rPr>
          <w:rFonts w:hint="eastAsia"/>
        </w:rPr>
        <w:t>表</w:t>
      </w:r>
      <w:r w:rsidRPr="00D630D1">
        <w:rPr>
          <w:rFonts w:hint="eastAsia"/>
        </w:rPr>
        <w:t>6.2-1</w:t>
      </w:r>
      <w:r w:rsidR="004933A6" w:rsidRPr="00D630D1">
        <w:rPr>
          <w:rFonts w:hint="eastAsia"/>
        </w:rPr>
        <w:t>6</w:t>
      </w:r>
      <w:r w:rsidR="00C31657" w:rsidRPr="00D630D1">
        <w:rPr>
          <w:rFonts w:hint="eastAsia"/>
        </w:rPr>
        <w:t>预测结果可知，放空期间最近敏感点处噪声能够达标，放空噪声在昼夜间均不会对周围居民造成噪声扰民影响。且由于检修或事故放</w:t>
      </w:r>
      <w:r w:rsidR="006030F3" w:rsidRPr="00D630D1">
        <w:rPr>
          <w:rFonts w:hint="eastAsia"/>
        </w:rPr>
        <w:t>空</w:t>
      </w:r>
      <w:r w:rsidR="00C31657" w:rsidRPr="00D630D1">
        <w:rPr>
          <w:rFonts w:hint="eastAsia"/>
        </w:rPr>
        <w:t>是偶然发生的，频次很低，且持续时间很短，一旦点火放空结束，噪声对环境的影响立即消失，</w:t>
      </w:r>
      <w:r w:rsidR="00DB2055" w:rsidRPr="00D630D1">
        <w:rPr>
          <w:rFonts w:hint="eastAsia"/>
        </w:rPr>
        <w:t>放空时及时疏散附近居民，</w:t>
      </w:r>
      <w:r w:rsidR="00C31657" w:rsidRPr="00D630D1">
        <w:rPr>
          <w:rFonts w:hint="eastAsia"/>
        </w:rPr>
        <w:t>不会对该范围内的居民生活造成长期影响。</w:t>
      </w:r>
    </w:p>
    <w:p w:rsidR="00A00E8E" w:rsidRPr="00D630D1" w:rsidRDefault="00A00E8E" w:rsidP="00A00E8E">
      <w:pPr>
        <w:pStyle w:val="3"/>
        <w:rPr>
          <w:rFonts w:eastAsia="宋体"/>
        </w:rPr>
      </w:pPr>
      <w:r w:rsidRPr="00D630D1">
        <w:rPr>
          <w:rFonts w:eastAsia="宋体"/>
        </w:rPr>
        <w:t xml:space="preserve">6.2.6 </w:t>
      </w:r>
      <w:r w:rsidRPr="00D630D1">
        <w:rPr>
          <w:rFonts w:eastAsia="宋体" w:hint="eastAsia"/>
        </w:rPr>
        <w:t>固体废物影响分析</w:t>
      </w:r>
    </w:p>
    <w:p w:rsidR="00A00E8E" w:rsidRPr="00D630D1" w:rsidRDefault="00A00E8E" w:rsidP="00A00E8E">
      <w:pPr>
        <w:pStyle w:val="afa"/>
        <w:ind w:firstLine="480"/>
      </w:pPr>
      <w:r w:rsidRPr="00D630D1">
        <w:rPr>
          <w:rFonts w:hint="eastAsia"/>
        </w:rPr>
        <w:t>由于输气管道敷设在地下，进行密闭输送，管道进行了防腐处理，在正常情况下，不会有固体废物产生。</w:t>
      </w:r>
    </w:p>
    <w:p w:rsidR="00A00E8E" w:rsidRPr="00D630D1" w:rsidRDefault="00A00E8E" w:rsidP="00A00E8E">
      <w:pPr>
        <w:pStyle w:val="afa"/>
        <w:ind w:firstLine="480"/>
      </w:pPr>
      <w:r w:rsidRPr="00D630D1">
        <w:rPr>
          <w:rFonts w:hint="eastAsia"/>
        </w:rPr>
        <w:t>工程新建</w:t>
      </w:r>
      <w:r w:rsidR="002C00AE">
        <w:rPr>
          <w:rFonts w:hint="eastAsia"/>
        </w:rPr>
        <w:t>普光</w:t>
      </w:r>
      <w:r w:rsidR="002C00AE">
        <w:rPr>
          <w:rFonts w:hint="eastAsia"/>
        </w:rPr>
        <w:t>12</w:t>
      </w:r>
      <w:r w:rsidR="002C00AE">
        <w:rPr>
          <w:rFonts w:hint="eastAsia"/>
        </w:rPr>
        <w:t>采气站</w:t>
      </w:r>
      <w:r w:rsidR="009D52F7" w:rsidRPr="00D630D1">
        <w:rPr>
          <w:rFonts w:hint="eastAsia"/>
        </w:rPr>
        <w:t>为</w:t>
      </w:r>
      <w:r w:rsidR="00DD3EA1">
        <w:rPr>
          <w:rFonts w:hint="eastAsia"/>
        </w:rPr>
        <w:t>有</w:t>
      </w:r>
      <w:r w:rsidR="009D52F7" w:rsidRPr="00D630D1">
        <w:rPr>
          <w:rFonts w:hint="eastAsia"/>
        </w:rPr>
        <w:t>人</w:t>
      </w:r>
      <w:r w:rsidR="006D62D6" w:rsidRPr="00D630D1">
        <w:rPr>
          <w:rFonts w:hint="eastAsia"/>
        </w:rPr>
        <w:t>值守站</w:t>
      </w:r>
      <w:r w:rsidR="009D52F7" w:rsidRPr="00D630D1">
        <w:rPr>
          <w:rFonts w:hint="eastAsia"/>
        </w:rPr>
        <w:t>，</w:t>
      </w:r>
      <w:r w:rsidR="00775840" w:rsidRPr="00D630D1">
        <w:rPr>
          <w:rFonts w:hint="eastAsia"/>
        </w:rPr>
        <w:t>运营期</w:t>
      </w:r>
      <w:r w:rsidR="00DD3EA1" w:rsidRPr="00733954">
        <w:t>工作人员生活垃圾用垃圾桶收集，委托当地环卫部门清运处置</w:t>
      </w:r>
      <w:r w:rsidR="00DD3EA1">
        <w:rPr>
          <w:rFonts w:hint="eastAsia"/>
        </w:rPr>
        <w:t>；</w:t>
      </w:r>
      <w:r w:rsidR="00DD3EA1" w:rsidRPr="00DD3EA1">
        <w:rPr>
          <w:rFonts w:hint="eastAsia"/>
          <w:bCs/>
        </w:rPr>
        <w:t>凝析油作为副产品外售</w:t>
      </w:r>
      <w:r w:rsidR="00895B09">
        <w:rPr>
          <w:rFonts w:hint="eastAsia"/>
          <w:bCs/>
        </w:rPr>
        <w:t>；</w:t>
      </w:r>
      <w:r w:rsidR="00895B09" w:rsidRPr="00733954">
        <w:t>清管废渣、检修废渣主要为机械杂质等，其主要成分为氧化铁粉末，属一般固体废物，集中收集后交由检修作业单位集中处置</w:t>
      </w:r>
      <w:r w:rsidRPr="00D630D1">
        <w:t>。</w:t>
      </w:r>
    </w:p>
    <w:p w:rsidR="00A00E8E" w:rsidRPr="00D630D1" w:rsidRDefault="00A00E8E" w:rsidP="00A00E8E">
      <w:pPr>
        <w:pStyle w:val="3"/>
        <w:rPr>
          <w:rFonts w:eastAsia="宋体"/>
        </w:rPr>
      </w:pPr>
      <w:r w:rsidRPr="00D630D1">
        <w:rPr>
          <w:rFonts w:eastAsia="宋体"/>
        </w:rPr>
        <w:t xml:space="preserve">6.2.7 </w:t>
      </w:r>
      <w:r w:rsidRPr="00D630D1">
        <w:rPr>
          <w:rFonts w:eastAsia="宋体" w:hint="eastAsia"/>
        </w:rPr>
        <w:t>土壤环境影响分析</w:t>
      </w:r>
    </w:p>
    <w:p w:rsidR="00A00E8E" w:rsidRPr="00D630D1" w:rsidRDefault="00777ABC" w:rsidP="00777ABC">
      <w:pPr>
        <w:pStyle w:val="afa"/>
        <w:ind w:firstLine="482"/>
        <w:rPr>
          <w:b/>
          <w:bCs/>
        </w:rPr>
      </w:pPr>
      <w:r w:rsidRPr="00D630D1">
        <w:rPr>
          <w:rFonts w:hint="eastAsia"/>
          <w:b/>
          <w:bCs/>
        </w:rPr>
        <w:t>1</w:t>
      </w:r>
      <w:r w:rsidRPr="00D630D1">
        <w:rPr>
          <w:b/>
          <w:bCs/>
        </w:rPr>
        <w:t>、</w:t>
      </w:r>
      <w:r w:rsidRPr="00D630D1">
        <w:rPr>
          <w:rFonts w:hint="eastAsia"/>
          <w:b/>
          <w:bCs/>
        </w:rPr>
        <w:t>土壤环境影响识别</w:t>
      </w:r>
    </w:p>
    <w:p w:rsidR="00777ABC" w:rsidRPr="00D630D1" w:rsidRDefault="00777ABC" w:rsidP="00777ABC">
      <w:pPr>
        <w:pStyle w:val="afa"/>
        <w:ind w:firstLine="480"/>
      </w:pPr>
      <w:r w:rsidRPr="00D630D1">
        <w:rPr>
          <w:rFonts w:hint="eastAsia"/>
        </w:rPr>
        <w:t>（</w:t>
      </w:r>
      <w:r w:rsidRPr="00D630D1">
        <w:t>1</w:t>
      </w:r>
      <w:r w:rsidRPr="00D630D1">
        <w:rPr>
          <w:rFonts w:hint="eastAsia"/>
        </w:rPr>
        <w:t>）土壤环境影响类型与影响途径识别</w:t>
      </w:r>
    </w:p>
    <w:p w:rsidR="00A00E8E" w:rsidRPr="00D630D1" w:rsidRDefault="00777ABC" w:rsidP="00777ABC">
      <w:pPr>
        <w:pStyle w:val="afa"/>
        <w:ind w:firstLine="480"/>
      </w:pPr>
      <w:r w:rsidRPr="00D630D1">
        <w:rPr>
          <w:rFonts w:hint="eastAsia"/>
        </w:rPr>
        <w:t>本项目属于</w:t>
      </w:r>
      <w:r w:rsidR="004933A6" w:rsidRPr="00D630D1">
        <w:rPr>
          <w:rFonts w:hint="eastAsia"/>
        </w:rPr>
        <w:t>钻井工程和</w:t>
      </w:r>
      <w:r w:rsidRPr="00D630D1">
        <w:rPr>
          <w:rFonts w:hint="eastAsia"/>
        </w:rPr>
        <w:t>地面集输工程，土壤环境影响</w:t>
      </w:r>
      <w:r w:rsidR="004933A6" w:rsidRPr="00D630D1">
        <w:rPr>
          <w:rFonts w:hint="eastAsia"/>
        </w:rPr>
        <w:t>较</w:t>
      </w:r>
      <w:r w:rsidRPr="00D630D1">
        <w:rPr>
          <w:rFonts w:hint="eastAsia"/>
        </w:rPr>
        <w:t>小。项目站场对土壤环境影响最突出的主要体现事故状态下</w:t>
      </w:r>
      <w:r w:rsidR="00EF360A" w:rsidRPr="00D630D1">
        <w:rPr>
          <w:rFonts w:hint="eastAsia"/>
        </w:rPr>
        <w:t>污水缓冲罐</w:t>
      </w:r>
      <w:r w:rsidRPr="00D630D1">
        <w:rPr>
          <w:rFonts w:hint="eastAsia"/>
        </w:rPr>
        <w:t>发生泄漏进入周边土壤环境，对土壤造成污染。</w:t>
      </w:r>
      <w:r w:rsidR="00EF360A" w:rsidRPr="00D630D1">
        <w:rPr>
          <w:rFonts w:hint="eastAsia"/>
        </w:rPr>
        <w:t>污水缓冲罐</w:t>
      </w:r>
      <w:r w:rsidRPr="00D630D1">
        <w:rPr>
          <w:rFonts w:hint="eastAsia"/>
        </w:rPr>
        <w:t>为地上设置，主要污染影响型为地面漫流</w:t>
      </w:r>
      <w:r w:rsidR="00332450" w:rsidRPr="00D630D1">
        <w:rPr>
          <w:rFonts w:hint="eastAsia"/>
        </w:rPr>
        <w:t>和垂直入渗</w:t>
      </w:r>
      <w:r w:rsidRPr="00D630D1">
        <w:rPr>
          <w:rFonts w:hint="eastAsia"/>
        </w:rPr>
        <w:t>。</w:t>
      </w:r>
    </w:p>
    <w:p w:rsidR="00A00E8E" w:rsidRPr="00D630D1" w:rsidRDefault="00777ABC" w:rsidP="00777ABC">
      <w:pPr>
        <w:pStyle w:val="afa"/>
        <w:ind w:firstLine="480"/>
      </w:pPr>
      <w:r w:rsidRPr="00D630D1">
        <w:rPr>
          <w:rFonts w:hint="eastAsia"/>
        </w:rPr>
        <w:t>项目土壤环境影响类型与途径见下表。</w:t>
      </w:r>
    </w:p>
    <w:p w:rsidR="00A00E8E" w:rsidRPr="00D630D1" w:rsidRDefault="00777ABC" w:rsidP="00777ABC">
      <w:pPr>
        <w:pStyle w:val="10"/>
      </w:pPr>
      <w:r w:rsidRPr="00D630D1">
        <w:rPr>
          <w:rFonts w:hint="eastAsia"/>
        </w:rPr>
        <w:t>表</w:t>
      </w:r>
      <w:r w:rsidRPr="00D630D1">
        <w:rPr>
          <w:bCs/>
        </w:rPr>
        <w:t>6.2-1</w:t>
      </w:r>
      <w:r w:rsidR="004933A6" w:rsidRPr="00D630D1">
        <w:rPr>
          <w:rFonts w:hint="eastAsia"/>
          <w:bCs/>
        </w:rPr>
        <w:t>7</w:t>
      </w:r>
      <w:r w:rsidRPr="00D630D1">
        <w:rPr>
          <w:bCs/>
        </w:rPr>
        <w:t xml:space="preserve">  </w:t>
      </w:r>
      <w:r w:rsidRPr="00D630D1">
        <w:rPr>
          <w:rFonts w:hint="eastAsia"/>
        </w:rPr>
        <w:t>土壤环境影响类型与影响途径表</w:t>
      </w:r>
    </w:p>
    <w:tbl>
      <w:tblPr>
        <w:tblW w:w="8853" w:type="dxa"/>
        <w:jc w:val="center"/>
        <w:tblBorders>
          <w:top w:val="single" w:sz="12" w:space="0" w:color="000000"/>
          <w:bottom w:val="single" w:sz="12" w:space="0" w:color="000000"/>
          <w:insideH w:val="single" w:sz="4" w:space="0" w:color="000000"/>
          <w:insideV w:val="single" w:sz="4" w:space="0" w:color="000000"/>
        </w:tblBorders>
        <w:tblLook w:val="04A0"/>
      </w:tblPr>
      <w:tblGrid>
        <w:gridCol w:w="1843"/>
        <w:gridCol w:w="1418"/>
        <w:gridCol w:w="1842"/>
        <w:gridCol w:w="1701"/>
        <w:gridCol w:w="2049"/>
      </w:tblGrid>
      <w:tr w:rsidR="00E32462" w:rsidRPr="00D630D1" w:rsidTr="006D2FAC">
        <w:trPr>
          <w:trHeight w:val="251"/>
          <w:jc w:val="center"/>
        </w:trPr>
        <w:tc>
          <w:tcPr>
            <w:tcW w:w="1843" w:type="dxa"/>
            <w:vMerge w:val="restart"/>
            <w:vAlign w:val="center"/>
          </w:tcPr>
          <w:p w:rsidR="00E32462" w:rsidRPr="00D630D1" w:rsidRDefault="00E32462"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不同时段</w:t>
            </w:r>
          </w:p>
        </w:tc>
        <w:tc>
          <w:tcPr>
            <w:tcW w:w="7010" w:type="dxa"/>
            <w:gridSpan w:val="4"/>
            <w:vAlign w:val="center"/>
          </w:tcPr>
          <w:p w:rsidR="00E32462" w:rsidRPr="00D630D1" w:rsidRDefault="00E32462"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污染影响型</w:t>
            </w:r>
          </w:p>
        </w:tc>
      </w:tr>
      <w:tr w:rsidR="006D2FAC" w:rsidRPr="00D630D1" w:rsidTr="006D2FAC">
        <w:trPr>
          <w:trHeight w:val="251"/>
          <w:jc w:val="center"/>
        </w:trPr>
        <w:tc>
          <w:tcPr>
            <w:tcW w:w="1843" w:type="dxa"/>
            <w:vMerge/>
            <w:vAlign w:val="center"/>
          </w:tcPr>
          <w:p w:rsidR="00E32462" w:rsidRPr="00D630D1" w:rsidRDefault="00E32462" w:rsidP="006D2FAC">
            <w:pPr>
              <w:pStyle w:val="Default"/>
              <w:jc w:val="center"/>
              <w:rPr>
                <w:rFonts w:ascii="Times New Roman" w:hAnsi="Times New Roman" w:cs="Times New Roman"/>
                <w:b/>
                <w:bCs/>
                <w:color w:val="auto"/>
                <w:sz w:val="21"/>
                <w:szCs w:val="21"/>
              </w:rPr>
            </w:pPr>
          </w:p>
        </w:tc>
        <w:tc>
          <w:tcPr>
            <w:tcW w:w="1418" w:type="dxa"/>
            <w:vAlign w:val="center"/>
          </w:tcPr>
          <w:p w:rsidR="00E32462" w:rsidRPr="00D630D1" w:rsidRDefault="00E32462"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大气沉降</w:t>
            </w:r>
          </w:p>
        </w:tc>
        <w:tc>
          <w:tcPr>
            <w:tcW w:w="1842" w:type="dxa"/>
            <w:tcBorders>
              <w:right w:val="single" w:sz="12" w:space="0" w:color="000000"/>
            </w:tcBorders>
            <w:vAlign w:val="center"/>
          </w:tcPr>
          <w:p w:rsidR="00E32462" w:rsidRPr="00D630D1" w:rsidRDefault="00E32462"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地面漫流</w:t>
            </w:r>
          </w:p>
        </w:tc>
        <w:tc>
          <w:tcPr>
            <w:tcW w:w="1701" w:type="dxa"/>
            <w:tcBorders>
              <w:left w:val="single" w:sz="12" w:space="0" w:color="000000"/>
            </w:tcBorders>
            <w:vAlign w:val="center"/>
          </w:tcPr>
          <w:p w:rsidR="00E32462" w:rsidRPr="00D630D1" w:rsidRDefault="00E32462"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垂直入渗</w:t>
            </w:r>
          </w:p>
        </w:tc>
        <w:tc>
          <w:tcPr>
            <w:tcW w:w="2049" w:type="dxa"/>
          </w:tcPr>
          <w:p w:rsidR="00E32462" w:rsidRPr="00D630D1" w:rsidRDefault="00E32462"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其他</w:t>
            </w:r>
          </w:p>
        </w:tc>
      </w:tr>
      <w:tr w:rsidR="004933A6" w:rsidRPr="00D630D1" w:rsidTr="0054593A">
        <w:trPr>
          <w:trHeight w:val="251"/>
          <w:jc w:val="center"/>
        </w:trPr>
        <w:tc>
          <w:tcPr>
            <w:tcW w:w="1843" w:type="dxa"/>
            <w:vAlign w:val="center"/>
          </w:tcPr>
          <w:p w:rsidR="004933A6" w:rsidRPr="00D630D1" w:rsidRDefault="004933A6"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color w:val="auto"/>
                <w:sz w:val="21"/>
                <w:szCs w:val="21"/>
              </w:rPr>
              <w:t>建设期</w:t>
            </w:r>
          </w:p>
        </w:tc>
        <w:tc>
          <w:tcPr>
            <w:tcW w:w="1418" w:type="dxa"/>
            <w:vAlign w:val="center"/>
          </w:tcPr>
          <w:p w:rsidR="004933A6" w:rsidRPr="00D630D1" w:rsidRDefault="004933A6"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w:t>
            </w:r>
          </w:p>
        </w:tc>
        <w:tc>
          <w:tcPr>
            <w:tcW w:w="1842" w:type="dxa"/>
            <w:tcBorders>
              <w:right w:val="single" w:sz="12" w:space="0" w:color="000000"/>
            </w:tcBorders>
            <w:vAlign w:val="center"/>
          </w:tcPr>
          <w:p w:rsidR="004933A6" w:rsidRPr="00D630D1" w:rsidRDefault="004933A6" w:rsidP="0054593A">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w:t>
            </w:r>
          </w:p>
        </w:tc>
        <w:tc>
          <w:tcPr>
            <w:tcW w:w="1701" w:type="dxa"/>
            <w:tcBorders>
              <w:left w:val="single" w:sz="12" w:space="0" w:color="000000"/>
            </w:tcBorders>
            <w:vAlign w:val="center"/>
          </w:tcPr>
          <w:p w:rsidR="004933A6" w:rsidRPr="00D630D1" w:rsidRDefault="004933A6" w:rsidP="0054593A">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w:t>
            </w:r>
          </w:p>
        </w:tc>
        <w:tc>
          <w:tcPr>
            <w:tcW w:w="2049" w:type="dxa"/>
          </w:tcPr>
          <w:p w:rsidR="004933A6" w:rsidRPr="00D630D1" w:rsidRDefault="004933A6"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w:t>
            </w:r>
          </w:p>
        </w:tc>
      </w:tr>
      <w:tr w:rsidR="004933A6" w:rsidRPr="00D630D1" w:rsidTr="006D2FAC">
        <w:trPr>
          <w:trHeight w:val="251"/>
          <w:jc w:val="center"/>
        </w:trPr>
        <w:tc>
          <w:tcPr>
            <w:tcW w:w="1843" w:type="dxa"/>
            <w:vAlign w:val="center"/>
          </w:tcPr>
          <w:p w:rsidR="004933A6" w:rsidRPr="00D630D1" w:rsidRDefault="004933A6" w:rsidP="006D2FAC">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营运期</w:t>
            </w:r>
          </w:p>
        </w:tc>
        <w:tc>
          <w:tcPr>
            <w:tcW w:w="1418" w:type="dxa"/>
          </w:tcPr>
          <w:p w:rsidR="004933A6" w:rsidRPr="00D630D1" w:rsidRDefault="004933A6" w:rsidP="006D2FAC">
            <w:pPr>
              <w:pStyle w:val="Default"/>
              <w:jc w:val="center"/>
              <w:rPr>
                <w:rFonts w:ascii="Times New Roman" w:hAnsi="Times New Roman" w:cs="Times New Roman"/>
                <w:color w:val="auto"/>
                <w:sz w:val="21"/>
                <w:szCs w:val="21"/>
              </w:rPr>
            </w:pPr>
            <w:r w:rsidRPr="00D630D1">
              <w:rPr>
                <w:rFonts w:ascii="Times New Roman" w:hAnsi="Times New Roman" w:cs="Times New Roman"/>
                <w:b/>
                <w:bCs/>
                <w:color w:val="auto"/>
                <w:sz w:val="21"/>
                <w:szCs w:val="21"/>
              </w:rPr>
              <w:t>—</w:t>
            </w:r>
          </w:p>
        </w:tc>
        <w:tc>
          <w:tcPr>
            <w:tcW w:w="1842" w:type="dxa"/>
            <w:tcBorders>
              <w:right w:val="single" w:sz="12" w:space="0" w:color="000000"/>
            </w:tcBorders>
            <w:vAlign w:val="center"/>
          </w:tcPr>
          <w:p w:rsidR="004933A6" w:rsidRPr="00D630D1" w:rsidRDefault="004933A6" w:rsidP="006D2FAC">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w:t>
            </w:r>
          </w:p>
        </w:tc>
        <w:tc>
          <w:tcPr>
            <w:tcW w:w="1701" w:type="dxa"/>
            <w:tcBorders>
              <w:left w:val="single" w:sz="12" w:space="0" w:color="000000"/>
            </w:tcBorders>
            <w:vAlign w:val="center"/>
          </w:tcPr>
          <w:p w:rsidR="004933A6" w:rsidRPr="00D630D1" w:rsidRDefault="004933A6" w:rsidP="006D2FAC">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w:t>
            </w:r>
          </w:p>
        </w:tc>
        <w:tc>
          <w:tcPr>
            <w:tcW w:w="2049" w:type="dxa"/>
          </w:tcPr>
          <w:p w:rsidR="004933A6" w:rsidRPr="00D630D1" w:rsidRDefault="004933A6" w:rsidP="006D2FAC">
            <w:pPr>
              <w:pStyle w:val="Default"/>
              <w:jc w:val="center"/>
              <w:rPr>
                <w:rFonts w:ascii="Times New Roman" w:hAnsi="Times New Roman" w:cs="Times New Roman"/>
                <w:color w:val="auto"/>
                <w:sz w:val="21"/>
                <w:szCs w:val="21"/>
              </w:rPr>
            </w:pPr>
            <w:r w:rsidRPr="00D630D1">
              <w:rPr>
                <w:rFonts w:ascii="Times New Roman" w:hAnsi="Times New Roman" w:cs="Times New Roman"/>
                <w:b/>
                <w:bCs/>
                <w:color w:val="auto"/>
                <w:sz w:val="21"/>
                <w:szCs w:val="21"/>
              </w:rPr>
              <w:t>—</w:t>
            </w:r>
          </w:p>
        </w:tc>
      </w:tr>
      <w:tr w:rsidR="004933A6" w:rsidRPr="00D630D1" w:rsidTr="006D2FAC">
        <w:trPr>
          <w:trHeight w:val="251"/>
          <w:jc w:val="center"/>
        </w:trPr>
        <w:tc>
          <w:tcPr>
            <w:tcW w:w="1843" w:type="dxa"/>
            <w:vAlign w:val="center"/>
          </w:tcPr>
          <w:p w:rsidR="004933A6" w:rsidRPr="00D630D1" w:rsidRDefault="004933A6" w:rsidP="006D2FAC">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服务期满后</w:t>
            </w:r>
          </w:p>
        </w:tc>
        <w:tc>
          <w:tcPr>
            <w:tcW w:w="1418" w:type="dxa"/>
          </w:tcPr>
          <w:p w:rsidR="004933A6" w:rsidRPr="00D630D1" w:rsidRDefault="004933A6" w:rsidP="006D2FAC">
            <w:pPr>
              <w:pStyle w:val="Default"/>
              <w:jc w:val="center"/>
              <w:rPr>
                <w:rFonts w:ascii="Times New Roman" w:hAnsi="Times New Roman" w:cs="Times New Roman"/>
                <w:color w:val="auto"/>
                <w:sz w:val="21"/>
                <w:szCs w:val="21"/>
              </w:rPr>
            </w:pPr>
            <w:r w:rsidRPr="00D630D1">
              <w:rPr>
                <w:rFonts w:ascii="Times New Roman" w:hAnsi="Times New Roman" w:cs="Times New Roman"/>
                <w:b/>
                <w:bCs/>
                <w:color w:val="auto"/>
                <w:sz w:val="21"/>
                <w:szCs w:val="21"/>
              </w:rPr>
              <w:t>—</w:t>
            </w:r>
          </w:p>
        </w:tc>
        <w:tc>
          <w:tcPr>
            <w:tcW w:w="1842" w:type="dxa"/>
            <w:tcBorders>
              <w:right w:val="single" w:sz="12" w:space="0" w:color="000000"/>
            </w:tcBorders>
          </w:tcPr>
          <w:p w:rsidR="004933A6" w:rsidRPr="00D630D1" w:rsidRDefault="004933A6" w:rsidP="006D2FAC">
            <w:pPr>
              <w:pStyle w:val="Default"/>
              <w:jc w:val="center"/>
              <w:rPr>
                <w:rFonts w:ascii="Times New Roman" w:hAnsi="Times New Roman" w:cs="Times New Roman"/>
                <w:color w:val="auto"/>
                <w:sz w:val="21"/>
                <w:szCs w:val="21"/>
              </w:rPr>
            </w:pPr>
            <w:r w:rsidRPr="00D630D1">
              <w:rPr>
                <w:rFonts w:ascii="Times New Roman" w:hAnsi="Times New Roman" w:cs="Times New Roman"/>
                <w:b/>
                <w:bCs/>
                <w:color w:val="auto"/>
                <w:sz w:val="21"/>
                <w:szCs w:val="21"/>
              </w:rPr>
              <w:t>—</w:t>
            </w:r>
          </w:p>
        </w:tc>
        <w:tc>
          <w:tcPr>
            <w:tcW w:w="1701" w:type="dxa"/>
            <w:tcBorders>
              <w:left w:val="single" w:sz="12" w:space="0" w:color="000000"/>
            </w:tcBorders>
          </w:tcPr>
          <w:p w:rsidR="004933A6" w:rsidRPr="00D630D1" w:rsidRDefault="004933A6" w:rsidP="006D2FAC">
            <w:pPr>
              <w:pStyle w:val="Default"/>
              <w:jc w:val="center"/>
              <w:rPr>
                <w:rFonts w:ascii="Times New Roman" w:hAnsi="Times New Roman" w:cs="Times New Roman"/>
                <w:color w:val="auto"/>
                <w:sz w:val="21"/>
                <w:szCs w:val="21"/>
              </w:rPr>
            </w:pPr>
            <w:r w:rsidRPr="00D630D1">
              <w:rPr>
                <w:rFonts w:ascii="Times New Roman" w:hAnsi="Times New Roman" w:cs="Times New Roman"/>
                <w:b/>
                <w:bCs/>
                <w:color w:val="auto"/>
                <w:sz w:val="21"/>
                <w:szCs w:val="21"/>
              </w:rPr>
              <w:t>—</w:t>
            </w:r>
          </w:p>
        </w:tc>
        <w:tc>
          <w:tcPr>
            <w:tcW w:w="2049" w:type="dxa"/>
          </w:tcPr>
          <w:p w:rsidR="004933A6" w:rsidRPr="00D630D1" w:rsidRDefault="004933A6" w:rsidP="006D2FAC">
            <w:pPr>
              <w:pStyle w:val="Default"/>
              <w:jc w:val="center"/>
              <w:rPr>
                <w:rFonts w:ascii="Times New Roman" w:hAnsi="Times New Roman" w:cs="Times New Roman"/>
                <w:color w:val="auto"/>
                <w:sz w:val="21"/>
                <w:szCs w:val="21"/>
              </w:rPr>
            </w:pPr>
            <w:r w:rsidRPr="00D630D1">
              <w:rPr>
                <w:rFonts w:ascii="Times New Roman" w:hAnsi="Times New Roman" w:cs="Times New Roman"/>
                <w:b/>
                <w:bCs/>
                <w:color w:val="auto"/>
                <w:sz w:val="21"/>
                <w:szCs w:val="21"/>
              </w:rPr>
              <w:t>—</w:t>
            </w:r>
          </w:p>
        </w:tc>
      </w:tr>
    </w:tbl>
    <w:p w:rsidR="00E32462" w:rsidRPr="00D630D1" w:rsidRDefault="00E32462" w:rsidP="00E32462">
      <w:pPr>
        <w:pStyle w:val="afa"/>
        <w:ind w:firstLine="480"/>
      </w:pPr>
      <w:r w:rsidRPr="00D630D1">
        <w:rPr>
          <w:rFonts w:hAnsi="Calibri" w:hint="eastAsia"/>
        </w:rPr>
        <w:t>（</w:t>
      </w:r>
      <w:r w:rsidRPr="00D630D1">
        <w:t>2</w:t>
      </w:r>
      <w:r w:rsidRPr="00D630D1">
        <w:rPr>
          <w:rFonts w:hint="eastAsia"/>
        </w:rPr>
        <w:t>）土壤环境影响源及影响因子识别</w:t>
      </w:r>
    </w:p>
    <w:p w:rsidR="00E32462" w:rsidRPr="00D630D1" w:rsidRDefault="00E32462" w:rsidP="00E32462">
      <w:pPr>
        <w:pStyle w:val="afa"/>
        <w:ind w:firstLine="480"/>
      </w:pPr>
      <w:r w:rsidRPr="00D630D1">
        <w:rPr>
          <w:rFonts w:hint="eastAsia"/>
        </w:rPr>
        <w:t>建设项目土壤环境影响源及影响因子见下表。</w:t>
      </w:r>
    </w:p>
    <w:p w:rsidR="00A00E8E" w:rsidRPr="00D630D1" w:rsidRDefault="00E32462" w:rsidP="00E32462">
      <w:pPr>
        <w:pStyle w:val="10"/>
      </w:pPr>
      <w:r w:rsidRPr="00D630D1">
        <w:rPr>
          <w:rFonts w:hint="eastAsia"/>
        </w:rPr>
        <w:t>表</w:t>
      </w:r>
      <w:r w:rsidRPr="00D630D1">
        <w:rPr>
          <w:bCs/>
        </w:rPr>
        <w:t>6.2-1</w:t>
      </w:r>
      <w:r w:rsidR="00020DA9" w:rsidRPr="00D630D1">
        <w:rPr>
          <w:rFonts w:hint="eastAsia"/>
          <w:bCs/>
        </w:rPr>
        <w:t>8</w:t>
      </w:r>
      <w:r w:rsidRPr="00D630D1">
        <w:rPr>
          <w:bCs/>
        </w:rPr>
        <w:t xml:space="preserve">  </w:t>
      </w:r>
      <w:r w:rsidRPr="00D630D1">
        <w:rPr>
          <w:rFonts w:hint="eastAsia"/>
        </w:rPr>
        <w:t>土壤环境影响源及影响因子识别表</w:t>
      </w:r>
    </w:p>
    <w:tbl>
      <w:tblPr>
        <w:tblW w:w="8853" w:type="dxa"/>
        <w:jc w:val="center"/>
        <w:tblBorders>
          <w:top w:val="single" w:sz="12" w:space="0" w:color="000000"/>
          <w:bottom w:val="single" w:sz="12" w:space="0" w:color="000000"/>
          <w:insideH w:val="single" w:sz="4" w:space="0" w:color="000000"/>
          <w:insideV w:val="single" w:sz="4" w:space="0" w:color="000000"/>
        </w:tblBorders>
        <w:tblLook w:val="04A0"/>
      </w:tblPr>
      <w:tblGrid>
        <w:gridCol w:w="1418"/>
        <w:gridCol w:w="1559"/>
        <w:gridCol w:w="1276"/>
        <w:gridCol w:w="2126"/>
        <w:gridCol w:w="1418"/>
        <w:gridCol w:w="1056"/>
      </w:tblGrid>
      <w:tr w:rsidR="006D2FAC" w:rsidRPr="00D630D1" w:rsidTr="006D2FAC">
        <w:trPr>
          <w:trHeight w:val="251"/>
          <w:jc w:val="center"/>
        </w:trPr>
        <w:tc>
          <w:tcPr>
            <w:tcW w:w="1418" w:type="dxa"/>
            <w:tcBorders>
              <w:right w:val="single" w:sz="12" w:space="0" w:color="000000"/>
            </w:tcBorders>
            <w:vAlign w:val="center"/>
          </w:tcPr>
          <w:p w:rsidR="00E32462" w:rsidRPr="00D630D1" w:rsidRDefault="00E32462"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污染源</w:t>
            </w:r>
          </w:p>
        </w:tc>
        <w:tc>
          <w:tcPr>
            <w:tcW w:w="1559" w:type="dxa"/>
            <w:tcBorders>
              <w:left w:val="single" w:sz="12" w:space="0" w:color="000000"/>
            </w:tcBorders>
            <w:vAlign w:val="center"/>
          </w:tcPr>
          <w:p w:rsidR="00E32462" w:rsidRPr="00D630D1" w:rsidRDefault="00E32462"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工艺流程</w:t>
            </w:r>
            <w:r w:rsidRPr="00D630D1">
              <w:rPr>
                <w:rFonts w:ascii="Times New Roman" w:hAnsi="Times New Roman" w:cs="Times New Roman"/>
                <w:b/>
                <w:bCs/>
                <w:color w:val="auto"/>
                <w:sz w:val="21"/>
                <w:szCs w:val="21"/>
              </w:rPr>
              <w:t>/</w:t>
            </w:r>
            <w:r w:rsidRPr="00D630D1">
              <w:rPr>
                <w:rFonts w:ascii="Times New Roman" w:hAnsi="Times New Roman" w:cs="Times New Roman"/>
                <w:b/>
                <w:bCs/>
                <w:color w:val="auto"/>
                <w:sz w:val="21"/>
                <w:szCs w:val="21"/>
              </w:rPr>
              <w:t>节点</w:t>
            </w:r>
          </w:p>
        </w:tc>
        <w:tc>
          <w:tcPr>
            <w:tcW w:w="1276" w:type="dxa"/>
            <w:vAlign w:val="center"/>
          </w:tcPr>
          <w:p w:rsidR="00E32462" w:rsidRPr="00D630D1" w:rsidRDefault="00E32462"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污染途径</w:t>
            </w:r>
          </w:p>
        </w:tc>
        <w:tc>
          <w:tcPr>
            <w:tcW w:w="2126" w:type="dxa"/>
            <w:tcBorders>
              <w:right w:val="single" w:sz="12" w:space="0" w:color="000000"/>
            </w:tcBorders>
            <w:vAlign w:val="center"/>
          </w:tcPr>
          <w:p w:rsidR="00E32462" w:rsidRPr="00D630D1" w:rsidRDefault="00E32462"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全部污染物指标</w:t>
            </w:r>
            <w:r w:rsidRPr="00D630D1">
              <w:rPr>
                <w:rFonts w:ascii="Times New Roman" w:hAnsi="Times New Roman" w:cs="Times New Roman"/>
                <w:b/>
                <w:bCs/>
                <w:color w:val="auto"/>
                <w:sz w:val="21"/>
                <w:szCs w:val="21"/>
              </w:rPr>
              <w:t>a</w:t>
            </w:r>
          </w:p>
        </w:tc>
        <w:tc>
          <w:tcPr>
            <w:tcW w:w="1418" w:type="dxa"/>
            <w:tcBorders>
              <w:left w:val="single" w:sz="12" w:space="0" w:color="000000"/>
            </w:tcBorders>
            <w:vAlign w:val="center"/>
          </w:tcPr>
          <w:p w:rsidR="00E32462" w:rsidRPr="00D630D1" w:rsidRDefault="00E32462"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特征因子</w:t>
            </w:r>
          </w:p>
        </w:tc>
        <w:tc>
          <w:tcPr>
            <w:tcW w:w="1056" w:type="dxa"/>
            <w:vAlign w:val="center"/>
          </w:tcPr>
          <w:p w:rsidR="00E32462" w:rsidRPr="00D630D1" w:rsidRDefault="00E32462" w:rsidP="006D2FAC">
            <w:pPr>
              <w:pStyle w:val="Default"/>
              <w:jc w:val="center"/>
              <w:rPr>
                <w:rFonts w:ascii="Times New Roman" w:hAnsi="Times New Roman" w:cs="Times New Roman"/>
                <w:b/>
                <w:bCs/>
                <w:color w:val="auto"/>
                <w:sz w:val="21"/>
                <w:szCs w:val="21"/>
              </w:rPr>
            </w:pPr>
            <w:r w:rsidRPr="00D630D1">
              <w:rPr>
                <w:rFonts w:ascii="Times New Roman" w:hAnsi="Times New Roman" w:cs="Times New Roman"/>
                <w:b/>
                <w:bCs/>
                <w:color w:val="auto"/>
                <w:sz w:val="21"/>
                <w:szCs w:val="21"/>
              </w:rPr>
              <w:t>备注</w:t>
            </w:r>
            <w:r w:rsidRPr="00D630D1">
              <w:rPr>
                <w:rFonts w:ascii="Times New Roman" w:hAnsi="Times New Roman" w:cs="Times New Roman"/>
                <w:b/>
                <w:bCs/>
                <w:color w:val="auto"/>
                <w:sz w:val="21"/>
                <w:szCs w:val="21"/>
              </w:rPr>
              <w:t>b</w:t>
            </w:r>
          </w:p>
        </w:tc>
      </w:tr>
      <w:tr w:rsidR="006D2FAC" w:rsidRPr="00D630D1" w:rsidTr="006D2FAC">
        <w:trPr>
          <w:trHeight w:val="251"/>
          <w:jc w:val="center"/>
        </w:trPr>
        <w:tc>
          <w:tcPr>
            <w:tcW w:w="1418" w:type="dxa"/>
            <w:tcBorders>
              <w:right w:val="single" w:sz="12" w:space="0" w:color="000000"/>
            </w:tcBorders>
            <w:vAlign w:val="center"/>
          </w:tcPr>
          <w:p w:rsidR="00E32462" w:rsidRPr="00D630D1" w:rsidRDefault="00EF360A" w:rsidP="0002625A">
            <w:pPr>
              <w:pStyle w:val="Default"/>
              <w:jc w:val="center"/>
              <w:rPr>
                <w:rFonts w:ascii="Times New Roman" w:hAnsi="Times New Roman" w:cs="Times New Roman"/>
                <w:color w:val="auto"/>
                <w:sz w:val="21"/>
                <w:szCs w:val="21"/>
              </w:rPr>
            </w:pPr>
            <w:r w:rsidRPr="00D630D1">
              <w:rPr>
                <w:rFonts w:ascii="Times New Roman" w:hAnsi="Times New Roman" w:cs="Times New Roman" w:hint="eastAsia"/>
                <w:color w:val="auto"/>
                <w:sz w:val="21"/>
                <w:szCs w:val="21"/>
              </w:rPr>
              <w:t>污水缓冲罐</w:t>
            </w:r>
          </w:p>
        </w:tc>
        <w:tc>
          <w:tcPr>
            <w:tcW w:w="1559" w:type="dxa"/>
            <w:tcBorders>
              <w:left w:val="single" w:sz="12" w:space="0" w:color="000000"/>
            </w:tcBorders>
            <w:vAlign w:val="center"/>
          </w:tcPr>
          <w:p w:rsidR="00E32462" w:rsidRPr="00D630D1" w:rsidRDefault="00E32462" w:rsidP="006D2FAC">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储存</w:t>
            </w:r>
          </w:p>
        </w:tc>
        <w:tc>
          <w:tcPr>
            <w:tcW w:w="1276" w:type="dxa"/>
            <w:vAlign w:val="center"/>
          </w:tcPr>
          <w:p w:rsidR="00E32462" w:rsidRPr="00D630D1" w:rsidRDefault="00E32462" w:rsidP="006D2FAC">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地面漫流</w:t>
            </w:r>
          </w:p>
        </w:tc>
        <w:tc>
          <w:tcPr>
            <w:tcW w:w="2126" w:type="dxa"/>
            <w:tcBorders>
              <w:right w:val="single" w:sz="12" w:space="0" w:color="000000"/>
            </w:tcBorders>
            <w:vAlign w:val="center"/>
          </w:tcPr>
          <w:p w:rsidR="00E32462" w:rsidRPr="00D630D1" w:rsidRDefault="00E32462" w:rsidP="006D2FAC">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COD</w:t>
            </w:r>
            <w:r w:rsidRPr="00D630D1">
              <w:rPr>
                <w:rFonts w:ascii="Times New Roman" w:hAnsi="Times New Roman" w:cs="Times New Roman"/>
                <w:color w:val="auto"/>
                <w:sz w:val="21"/>
                <w:szCs w:val="21"/>
              </w:rPr>
              <w:t>、</w:t>
            </w:r>
            <w:r w:rsidRPr="00D630D1">
              <w:rPr>
                <w:rFonts w:ascii="Times New Roman" w:hAnsi="Times New Roman" w:cs="Times New Roman"/>
                <w:color w:val="auto"/>
                <w:sz w:val="21"/>
                <w:szCs w:val="21"/>
              </w:rPr>
              <w:t>SS</w:t>
            </w:r>
            <w:r w:rsidRPr="00D630D1">
              <w:rPr>
                <w:rFonts w:ascii="Times New Roman" w:hAnsi="Times New Roman" w:cs="Times New Roman"/>
                <w:color w:val="auto"/>
                <w:sz w:val="21"/>
                <w:szCs w:val="21"/>
              </w:rPr>
              <w:t>、石油烃、氯化物等</w:t>
            </w:r>
          </w:p>
        </w:tc>
        <w:tc>
          <w:tcPr>
            <w:tcW w:w="1418" w:type="dxa"/>
            <w:tcBorders>
              <w:left w:val="single" w:sz="12" w:space="0" w:color="000000"/>
            </w:tcBorders>
            <w:vAlign w:val="center"/>
          </w:tcPr>
          <w:p w:rsidR="00E32462" w:rsidRPr="00D630D1" w:rsidRDefault="00E32462" w:rsidP="006D2FAC">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石油烃</w:t>
            </w:r>
          </w:p>
        </w:tc>
        <w:tc>
          <w:tcPr>
            <w:tcW w:w="1056" w:type="dxa"/>
            <w:vAlign w:val="center"/>
          </w:tcPr>
          <w:p w:rsidR="00E32462" w:rsidRPr="00D630D1" w:rsidRDefault="00E32462" w:rsidP="006D2FAC">
            <w:pPr>
              <w:pStyle w:val="Default"/>
              <w:jc w:val="center"/>
              <w:rPr>
                <w:rFonts w:ascii="Times New Roman" w:hAnsi="Times New Roman" w:cs="Times New Roman"/>
                <w:color w:val="auto"/>
                <w:sz w:val="21"/>
                <w:szCs w:val="21"/>
              </w:rPr>
            </w:pPr>
            <w:r w:rsidRPr="00D630D1">
              <w:rPr>
                <w:rFonts w:ascii="Times New Roman" w:hAnsi="Times New Roman" w:cs="Times New Roman"/>
                <w:color w:val="auto"/>
                <w:sz w:val="21"/>
                <w:szCs w:val="21"/>
              </w:rPr>
              <w:t>事故</w:t>
            </w:r>
          </w:p>
        </w:tc>
      </w:tr>
      <w:tr w:rsidR="00E32462" w:rsidRPr="00D630D1" w:rsidTr="006D2FAC">
        <w:trPr>
          <w:trHeight w:val="251"/>
          <w:jc w:val="center"/>
        </w:trPr>
        <w:tc>
          <w:tcPr>
            <w:tcW w:w="8853" w:type="dxa"/>
            <w:gridSpan w:val="6"/>
            <w:vAlign w:val="center"/>
          </w:tcPr>
          <w:p w:rsidR="00E32462" w:rsidRPr="00D630D1" w:rsidRDefault="00E32462" w:rsidP="00E32462">
            <w:pPr>
              <w:pStyle w:val="Default"/>
              <w:rPr>
                <w:rFonts w:ascii="Times New Roman" w:hAnsi="Times New Roman" w:cs="Times New Roman"/>
                <w:color w:val="auto"/>
                <w:sz w:val="20"/>
                <w:szCs w:val="20"/>
              </w:rPr>
            </w:pPr>
            <w:r w:rsidRPr="00D630D1">
              <w:rPr>
                <w:rFonts w:ascii="Times New Roman" w:hAnsi="Times New Roman" w:cs="Times New Roman"/>
                <w:color w:val="auto"/>
                <w:sz w:val="20"/>
                <w:szCs w:val="20"/>
              </w:rPr>
              <w:t>a.</w:t>
            </w:r>
            <w:r w:rsidRPr="00D630D1">
              <w:rPr>
                <w:rFonts w:ascii="Times New Roman" w:hAnsi="Times New Roman" w:cs="Times New Roman"/>
                <w:color w:val="auto"/>
                <w:sz w:val="20"/>
                <w:szCs w:val="20"/>
              </w:rPr>
              <w:t>根据工程分析结果填写</w:t>
            </w:r>
          </w:p>
          <w:p w:rsidR="00E32462" w:rsidRPr="00D630D1" w:rsidRDefault="00E32462" w:rsidP="00E32462">
            <w:pPr>
              <w:pStyle w:val="Default"/>
              <w:rPr>
                <w:rFonts w:ascii="Times New Roman" w:hAnsi="Times New Roman" w:cs="Times New Roman"/>
                <w:color w:val="auto"/>
                <w:sz w:val="21"/>
                <w:szCs w:val="21"/>
              </w:rPr>
            </w:pPr>
            <w:r w:rsidRPr="00D630D1">
              <w:rPr>
                <w:rFonts w:ascii="Times New Roman" w:hAnsi="Times New Roman" w:cs="Times New Roman"/>
                <w:color w:val="auto"/>
                <w:sz w:val="20"/>
                <w:szCs w:val="20"/>
              </w:rPr>
              <w:t>b.</w:t>
            </w:r>
            <w:r w:rsidRPr="00D630D1">
              <w:rPr>
                <w:rFonts w:ascii="Times New Roman" w:hAnsi="Times New Roman" w:cs="Times New Roman"/>
                <w:color w:val="auto"/>
                <w:sz w:val="20"/>
                <w:szCs w:val="20"/>
              </w:rPr>
              <w:t>应描述污染源特征，如连续、间断、正常、事故等；设计大气沉降途径的，应识别建设项目周边的土壤敏感目标</w:t>
            </w:r>
          </w:p>
        </w:tc>
      </w:tr>
    </w:tbl>
    <w:p w:rsidR="00E32462" w:rsidRPr="00D630D1" w:rsidRDefault="00E32462" w:rsidP="00E32462">
      <w:pPr>
        <w:pStyle w:val="afa"/>
        <w:ind w:firstLine="482"/>
        <w:rPr>
          <w:b/>
          <w:bCs/>
        </w:rPr>
      </w:pPr>
      <w:r w:rsidRPr="00D630D1">
        <w:rPr>
          <w:b/>
          <w:bCs/>
        </w:rPr>
        <w:t>2</w:t>
      </w:r>
      <w:r w:rsidRPr="00D630D1">
        <w:rPr>
          <w:b/>
          <w:bCs/>
        </w:rPr>
        <w:t>、</w:t>
      </w:r>
      <w:r w:rsidRPr="00D630D1">
        <w:rPr>
          <w:rFonts w:hint="eastAsia"/>
          <w:b/>
          <w:bCs/>
        </w:rPr>
        <w:t>土壤环境影响评价项目类别</w:t>
      </w:r>
    </w:p>
    <w:p w:rsidR="00E32462" w:rsidRPr="00D630D1" w:rsidRDefault="00E32462" w:rsidP="00E32462">
      <w:pPr>
        <w:pStyle w:val="afa"/>
        <w:ind w:firstLine="480"/>
      </w:pPr>
      <w:r w:rsidRPr="00D630D1">
        <w:rPr>
          <w:rFonts w:hint="eastAsia"/>
        </w:rPr>
        <w:t>根据《环境影响评价技术导则土壤环境（试行）》（</w:t>
      </w:r>
      <w:r w:rsidRPr="00D630D1">
        <w:t>HJ964-2018</w:t>
      </w:r>
      <w:r w:rsidRPr="00D630D1">
        <w:rPr>
          <w:rFonts w:hint="eastAsia"/>
        </w:rPr>
        <w:t>），本项目主要建设内容为</w:t>
      </w:r>
      <w:r w:rsidR="004933A6" w:rsidRPr="00D630D1">
        <w:rPr>
          <w:rFonts w:hint="eastAsia"/>
        </w:rPr>
        <w:t>钻井工程和地面集输工程</w:t>
      </w:r>
      <w:r w:rsidRPr="00D630D1">
        <w:rPr>
          <w:rFonts w:hint="eastAsia"/>
        </w:rPr>
        <w:t>，因此参照附录</w:t>
      </w:r>
      <w:r w:rsidRPr="00D630D1">
        <w:t>A</w:t>
      </w:r>
      <w:r w:rsidRPr="00D630D1">
        <w:rPr>
          <w:rFonts w:hint="eastAsia"/>
        </w:rPr>
        <w:t>中的</w:t>
      </w:r>
      <w:r w:rsidRPr="00D630D1">
        <w:t>“</w:t>
      </w:r>
      <w:r w:rsidRPr="00D630D1">
        <w:rPr>
          <w:rFonts w:hint="eastAsia"/>
        </w:rPr>
        <w:t>采矿业、天然气开采</w:t>
      </w:r>
      <w:r w:rsidRPr="00D630D1">
        <w:t>”</w:t>
      </w:r>
      <w:r w:rsidRPr="00D630D1">
        <w:rPr>
          <w:rFonts w:hint="eastAsia"/>
        </w:rPr>
        <w:t>类别，为</w:t>
      </w:r>
      <w:r w:rsidRPr="00D630D1">
        <w:t>Ⅱ</w:t>
      </w:r>
      <w:r w:rsidRPr="00D630D1">
        <w:rPr>
          <w:rFonts w:hint="eastAsia"/>
        </w:rPr>
        <w:t>类污染影响型建设项目。</w:t>
      </w:r>
    </w:p>
    <w:p w:rsidR="00E32462" w:rsidRPr="00D630D1" w:rsidRDefault="00E32462" w:rsidP="00E32462">
      <w:pPr>
        <w:pStyle w:val="afa"/>
        <w:ind w:firstLine="482"/>
        <w:rPr>
          <w:b/>
          <w:bCs/>
        </w:rPr>
      </w:pPr>
      <w:r w:rsidRPr="00D630D1">
        <w:rPr>
          <w:b/>
          <w:bCs/>
        </w:rPr>
        <w:t>3</w:t>
      </w:r>
      <w:r w:rsidRPr="00D630D1">
        <w:rPr>
          <w:b/>
          <w:bCs/>
        </w:rPr>
        <w:t>、</w:t>
      </w:r>
      <w:r w:rsidRPr="00D630D1">
        <w:rPr>
          <w:rFonts w:hint="eastAsia"/>
          <w:b/>
          <w:bCs/>
        </w:rPr>
        <w:t>污染影响型土壤评价等级</w:t>
      </w:r>
    </w:p>
    <w:p w:rsidR="00E32462" w:rsidRPr="00D630D1" w:rsidRDefault="00E32462" w:rsidP="00E32462">
      <w:pPr>
        <w:pStyle w:val="afa"/>
        <w:ind w:firstLine="480"/>
      </w:pPr>
      <w:r w:rsidRPr="00D630D1">
        <w:rPr>
          <w:rFonts w:hint="eastAsia"/>
        </w:rPr>
        <w:t>根据《环境影响评价技术导则</w:t>
      </w:r>
      <w:r w:rsidRPr="00D630D1">
        <w:rPr>
          <w:rFonts w:hint="eastAsia"/>
        </w:rPr>
        <w:t xml:space="preserve"> </w:t>
      </w:r>
      <w:r w:rsidRPr="00D630D1">
        <w:rPr>
          <w:rFonts w:hint="eastAsia"/>
        </w:rPr>
        <w:t>土壤环境（试行）》（</w:t>
      </w:r>
      <w:r w:rsidRPr="00D630D1">
        <w:t>HJ964</w:t>
      </w:r>
      <w:r w:rsidRPr="00D630D1">
        <w:rPr>
          <w:rFonts w:hint="eastAsia"/>
        </w:rPr>
        <w:t>-</w:t>
      </w:r>
      <w:r w:rsidRPr="00D630D1">
        <w:t>2018</w:t>
      </w:r>
      <w:r w:rsidRPr="00D630D1">
        <w:rPr>
          <w:rFonts w:hint="eastAsia"/>
        </w:rPr>
        <w:t>），</w:t>
      </w:r>
      <w:r w:rsidRPr="00D630D1">
        <w:t>“</w:t>
      </w:r>
      <w:r w:rsidRPr="00D630D1">
        <w:rPr>
          <w:rFonts w:hint="eastAsia"/>
        </w:rPr>
        <w:t>将建设项目占地规模分为大型（</w:t>
      </w:r>
      <w:r w:rsidRPr="00D630D1">
        <w:t>≥50hm</w:t>
      </w:r>
      <w:r w:rsidRPr="00D630D1">
        <w:rPr>
          <w:vertAlign w:val="superscript"/>
        </w:rPr>
        <w:t>2</w:t>
      </w:r>
      <w:r w:rsidRPr="00D630D1">
        <w:rPr>
          <w:rFonts w:hint="eastAsia"/>
        </w:rPr>
        <w:t>）、中型（</w:t>
      </w:r>
      <w:r w:rsidRPr="00D630D1">
        <w:t>5-50hm</w:t>
      </w:r>
      <w:r w:rsidRPr="00D630D1">
        <w:rPr>
          <w:vertAlign w:val="superscript"/>
        </w:rPr>
        <w:t>2</w:t>
      </w:r>
      <w:r w:rsidRPr="00D630D1">
        <w:rPr>
          <w:rFonts w:hint="eastAsia"/>
        </w:rPr>
        <w:t>）、小型（</w:t>
      </w:r>
      <w:r w:rsidRPr="00D630D1">
        <w:t>≤5hm</w:t>
      </w:r>
      <w:r w:rsidRPr="00D630D1">
        <w:rPr>
          <w:vertAlign w:val="superscript"/>
        </w:rPr>
        <w:t>2</w:t>
      </w:r>
      <w:r w:rsidRPr="00D630D1">
        <w:rPr>
          <w:rFonts w:hint="eastAsia"/>
        </w:rPr>
        <w:t>），建设项目占地主要为永久占地</w:t>
      </w:r>
      <w:r w:rsidRPr="00D630D1">
        <w:t>”</w:t>
      </w:r>
      <w:r w:rsidRPr="00D630D1">
        <w:rPr>
          <w:rFonts w:hint="eastAsia"/>
        </w:rPr>
        <w:t>。本项目</w:t>
      </w:r>
      <w:r w:rsidR="00DD3EA1">
        <w:t>普光</w:t>
      </w:r>
      <w:r w:rsidR="00DD3EA1">
        <w:t>12</w:t>
      </w:r>
      <w:r w:rsidR="00DD3EA1">
        <w:t>采气站</w:t>
      </w:r>
      <w:r w:rsidR="00187AAF" w:rsidRPr="00D630D1">
        <w:t>永久占地</w:t>
      </w:r>
      <w:r w:rsidR="00187AAF" w:rsidRPr="00024CC8">
        <w:rPr>
          <w:rFonts w:hint="eastAsia"/>
        </w:rPr>
        <w:t>11615</w:t>
      </w:r>
      <w:r w:rsidR="00187AAF" w:rsidRPr="00D630D1">
        <w:rPr>
          <w:rFonts w:hint="eastAsia"/>
          <w:bCs/>
        </w:rPr>
        <w:t>m</w:t>
      </w:r>
      <w:r w:rsidR="00187AAF" w:rsidRPr="00D630D1">
        <w:rPr>
          <w:rFonts w:hint="eastAsia"/>
          <w:bCs/>
          <w:vertAlign w:val="superscript"/>
        </w:rPr>
        <w:t>2</w:t>
      </w:r>
      <w:r w:rsidRPr="00D630D1">
        <w:rPr>
          <w:rFonts w:hint="eastAsia"/>
        </w:rPr>
        <w:t>，</w:t>
      </w:r>
      <w:r w:rsidR="00187AAF">
        <w:rPr>
          <w:rFonts w:hint="eastAsia"/>
        </w:rPr>
        <w:t>不涉及新增占地，</w:t>
      </w:r>
      <w:r w:rsidRPr="00D630D1">
        <w:rPr>
          <w:rFonts w:hint="eastAsia"/>
        </w:rPr>
        <w:t>小于</w:t>
      </w:r>
      <w:r w:rsidRPr="00D630D1">
        <w:t>5hm</w:t>
      </w:r>
      <w:r w:rsidRPr="00D630D1">
        <w:rPr>
          <w:vertAlign w:val="superscript"/>
        </w:rPr>
        <w:t>2</w:t>
      </w:r>
      <w:r w:rsidRPr="00D630D1">
        <w:rPr>
          <w:rFonts w:hint="eastAsia"/>
        </w:rPr>
        <w:t>，因此占地规模为小型。</w:t>
      </w:r>
    </w:p>
    <w:p w:rsidR="00E32462" w:rsidRPr="00D630D1" w:rsidRDefault="00E32462" w:rsidP="00E32462">
      <w:pPr>
        <w:pStyle w:val="afa"/>
        <w:ind w:firstLine="480"/>
      </w:pPr>
      <w:r w:rsidRPr="00D630D1">
        <w:rPr>
          <w:rFonts w:hint="eastAsia"/>
        </w:rPr>
        <w:t>根据《环境影响评价技术导则土壤环境（试行）》（</w:t>
      </w:r>
      <w:r w:rsidR="005D1D0B" w:rsidRPr="00D630D1">
        <w:t>HJ</w:t>
      </w:r>
      <w:r w:rsidRPr="00D630D1">
        <w:t>964</w:t>
      </w:r>
      <w:r w:rsidRPr="00D630D1">
        <w:rPr>
          <w:rFonts w:hint="eastAsia"/>
        </w:rPr>
        <w:t>-</w:t>
      </w:r>
      <w:r w:rsidRPr="00D630D1">
        <w:t>2018</w:t>
      </w:r>
      <w:r w:rsidRPr="00D630D1">
        <w:rPr>
          <w:rFonts w:hint="eastAsia"/>
        </w:rPr>
        <w:t>），由于</w:t>
      </w:r>
      <w:r w:rsidR="00633FE9" w:rsidRPr="00D630D1">
        <w:rPr>
          <w:rFonts w:hint="eastAsia"/>
        </w:rPr>
        <w:t>本项目</w:t>
      </w:r>
      <w:r w:rsidRPr="00D630D1">
        <w:rPr>
          <w:rFonts w:hint="eastAsia"/>
        </w:rPr>
        <w:t>周边存在耕地，建设项目所在地土壤环境敏感程度为敏感，因此，建设项目土壤环境影响评价工作等级为二级。</w:t>
      </w:r>
    </w:p>
    <w:p w:rsidR="00E32462" w:rsidRPr="00D630D1" w:rsidRDefault="00E32462" w:rsidP="00E32462">
      <w:pPr>
        <w:pStyle w:val="afa"/>
        <w:ind w:firstLine="480"/>
      </w:pPr>
      <w:r w:rsidRPr="00D630D1">
        <w:rPr>
          <w:rFonts w:hint="eastAsia"/>
        </w:rPr>
        <w:t>（</w:t>
      </w:r>
      <w:r w:rsidRPr="00D630D1">
        <w:rPr>
          <w:rFonts w:hint="eastAsia"/>
        </w:rPr>
        <w:t>1</w:t>
      </w:r>
      <w:r w:rsidRPr="00D630D1">
        <w:rPr>
          <w:rFonts w:hint="eastAsia"/>
        </w:rPr>
        <w:t>）土壤调查评价范围</w:t>
      </w:r>
    </w:p>
    <w:p w:rsidR="00E32462" w:rsidRPr="00D630D1" w:rsidRDefault="00E32462" w:rsidP="00E32462">
      <w:pPr>
        <w:pStyle w:val="afa"/>
        <w:ind w:firstLine="480"/>
      </w:pPr>
      <w:r w:rsidRPr="00D630D1">
        <w:rPr>
          <w:rFonts w:hint="eastAsia"/>
        </w:rPr>
        <w:t>根据《环境影响评价技术导则</w:t>
      </w:r>
      <w:r w:rsidRPr="00D630D1">
        <w:rPr>
          <w:rFonts w:hint="eastAsia"/>
        </w:rPr>
        <w:t xml:space="preserve"> </w:t>
      </w:r>
      <w:r w:rsidRPr="00D630D1">
        <w:rPr>
          <w:rFonts w:hint="eastAsia"/>
        </w:rPr>
        <w:t>土壤环境（试行）》（</w:t>
      </w:r>
      <w:r w:rsidRPr="00D630D1">
        <w:t>HJ964</w:t>
      </w:r>
      <w:r w:rsidRPr="00D630D1">
        <w:rPr>
          <w:rFonts w:hint="eastAsia"/>
        </w:rPr>
        <w:t>-</w:t>
      </w:r>
      <w:r w:rsidRPr="00D630D1">
        <w:t>2018</w:t>
      </w:r>
      <w:r w:rsidRPr="00D630D1">
        <w:rPr>
          <w:rFonts w:hint="eastAsia"/>
        </w:rPr>
        <w:t>）</w:t>
      </w:r>
      <w:r w:rsidRPr="00D630D1">
        <w:t>“</w:t>
      </w:r>
      <w:r w:rsidRPr="00D630D1">
        <w:rPr>
          <w:rFonts w:hint="eastAsia"/>
        </w:rPr>
        <w:t>表</w:t>
      </w:r>
      <w:r w:rsidRPr="00D630D1">
        <w:t>5</w:t>
      </w:r>
      <w:r w:rsidRPr="00D630D1">
        <w:rPr>
          <w:rFonts w:hint="eastAsia"/>
        </w:rPr>
        <w:t>现状调查范围</w:t>
      </w:r>
      <w:r w:rsidRPr="00D630D1">
        <w:t>”</w:t>
      </w:r>
      <w:r w:rsidRPr="00D630D1">
        <w:rPr>
          <w:rFonts w:hint="eastAsia"/>
        </w:rPr>
        <w:t>，根据评价工作等级为二级的污染影响型项目，调查范围为场界外扩</w:t>
      </w:r>
      <w:r w:rsidRPr="00D630D1">
        <w:t>200m</w:t>
      </w:r>
      <w:r w:rsidRPr="00D630D1">
        <w:rPr>
          <w:rFonts w:hint="eastAsia"/>
        </w:rPr>
        <w:t>。</w:t>
      </w:r>
    </w:p>
    <w:p w:rsidR="00E32462" w:rsidRPr="00D630D1" w:rsidRDefault="00E32462" w:rsidP="00E32462">
      <w:pPr>
        <w:pStyle w:val="afa"/>
        <w:ind w:firstLine="480"/>
      </w:pPr>
      <w:r w:rsidRPr="00D630D1">
        <w:rPr>
          <w:rFonts w:hint="eastAsia"/>
        </w:rPr>
        <w:t>（</w:t>
      </w:r>
      <w:r w:rsidRPr="00D630D1">
        <w:rPr>
          <w:rFonts w:hint="eastAsia"/>
        </w:rPr>
        <w:t>2</w:t>
      </w:r>
      <w:r w:rsidRPr="00D630D1">
        <w:rPr>
          <w:rFonts w:hint="eastAsia"/>
        </w:rPr>
        <w:t>）土壤环境敏感目标</w:t>
      </w:r>
    </w:p>
    <w:p w:rsidR="00E32462" w:rsidRPr="00D630D1" w:rsidRDefault="002C00AE" w:rsidP="00E32462">
      <w:pPr>
        <w:pStyle w:val="afa"/>
        <w:ind w:firstLine="480"/>
      </w:pPr>
      <w:r>
        <w:rPr>
          <w:rFonts w:hint="eastAsia"/>
        </w:rPr>
        <w:t>普光</w:t>
      </w:r>
      <w:r>
        <w:rPr>
          <w:rFonts w:hint="eastAsia"/>
        </w:rPr>
        <w:t>12</w:t>
      </w:r>
      <w:r>
        <w:rPr>
          <w:rFonts w:hint="eastAsia"/>
        </w:rPr>
        <w:t>采气站</w:t>
      </w:r>
      <w:r w:rsidR="00E32462" w:rsidRPr="00D630D1">
        <w:rPr>
          <w:rFonts w:hint="eastAsia"/>
        </w:rPr>
        <w:t>位于四川省达州市</w:t>
      </w:r>
      <w:r w:rsidR="00867450" w:rsidRPr="00867450">
        <w:rPr>
          <w:rFonts w:hint="eastAsia"/>
        </w:rPr>
        <w:t>宣汉县老君乡和普光镇境内</w:t>
      </w:r>
      <w:r w:rsidR="00E32462" w:rsidRPr="00D630D1">
        <w:rPr>
          <w:rFonts w:hint="eastAsia"/>
        </w:rPr>
        <w:t>，根据现场勘察，项目调查评价范围内主要分布为旱地，本次土壤环境敏感目标见表</w:t>
      </w:r>
      <w:r w:rsidR="00E32462" w:rsidRPr="00D630D1">
        <w:t>1.9</w:t>
      </w:r>
      <w:r w:rsidR="00E32462" w:rsidRPr="00D630D1">
        <w:rPr>
          <w:rFonts w:hint="eastAsia"/>
        </w:rPr>
        <w:t>-</w:t>
      </w:r>
      <w:r w:rsidR="00187AAF">
        <w:rPr>
          <w:rFonts w:hint="eastAsia"/>
        </w:rPr>
        <w:t>2</w:t>
      </w:r>
      <w:r w:rsidR="00E32462" w:rsidRPr="00D630D1">
        <w:rPr>
          <w:rFonts w:hint="eastAsia"/>
        </w:rPr>
        <w:t>。</w:t>
      </w:r>
    </w:p>
    <w:p w:rsidR="00E32462" w:rsidRPr="00D630D1" w:rsidRDefault="00E32462" w:rsidP="00E32462">
      <w:pPr>
        <w:pStyle w:val="afa"/>
        <w:ind w:firstLine="482"/>
        <w:rPr>
          <w:b/>
          <w:bCs/>
        </w:rPr>
      </w:pPr>
      <w:r w:rsidRPr="00D630D1">
        <w:rPr>
          <w:b/>
          <w:bCs/>
        </w:rPr>
        <w:lastRenderedPageBreak/>
        <w:t>4</w:t>
      </w:r>
      <w:r w:rsidRPr="00D630D1">
        <w:rPr>
          <w:b/>
          <w:bCs/>
        </w:rPr>
        <w:t>、</w:t>
      </w:r>
      <w:r w:rsidRPr="00D630D1">
        <w:rPr>
          <w:rFonts w:hint="eastAsia"/>
          <w:b/>
          <w:bCs/>
        </w:rPr>
        <w:t>项目所在地土壤分类</w:t>
      </w:r>
    </w:p>
    <w:p w:rsidR="00E32462" w:rsidRPr="00D630D1" w:rsidRDefault="00E32462" w:rsidP="00E32462">
      <w:pPr>
        <w:pStyle w:val="afa"/>
        <w:ind w:firstLine="480"/>
      </w:pPr>
      <w:r w:rsidRPr="00D630D1">
        <w:rPr>
          <w:rFonts w:hint="eastAsia"/>
        </w:rPr>
        <w:t>根据国家土壤信息服务平台公布</w:t>
      </w:r>
      <w:r w:rsidR="00633FE9" w:rsidRPr="00D630D1">
        <w:rPr>
          <w:rFonts w:hint="eastAsia"/>
        </w:rPr>
        <w:t>的数据，并结合现场踏勘</w:t>
      </w:r>
      <w:r w:rsidR="00554C80">
        <w:rPr>
          <w:rFonts w:hint="eastAsia"/>
        </w:rPr>
        <w:t>、监测</w:t>
      </w:r>
      <w:r w:rsidR="00633FE9" w:rsidRPr="00D630D1">
        <w:rPr>
          <w:rFonts w:hint="eastAsia"/>
        </w:rPr>
        <w:t>情况可知，</w:t>
      </w:r>
      <w:r w:rsidR="0002625A" w:rsidRPr="00D630D1">
        <w:rPr>
          <w:rFonts w:hint="eastAsia"/>
        </w:rPr>
        <w:t>拟建地土壤属</w:t>
      </w:r>
      <w:r w:rsidR="00554C80">
        <w:rPr>
          <w:rFonts w:hint="eastAsia"/>
        </w:rPr>
        <w:t>碱</w:t>
      </w:r>
      <w:r w:rsidR="0002625A" w:rsidRPr="00D630D1">
        <w:rPr>
          <w:rFonts w:hint="eastAsia"/>
        </w:rPr>
        <w:t>性</w:t>
      </w:r>
      <w:r w:rsidR="00554C80">
        <w:rPr>
          <w:rFonts w:hint="eastAsia"/>
        </w:rPr>
        <w:t>棕</w:t>
      </w:r>
      <w:r w:rsidR="0002625A" w:rsidRPr="00D630D1">
        <w:rPr>
          <w:rFonts w:hint="eastAsia"/>
        </w:rPr>
        <w:t>色土</w:t>
      </w:r>
      <w:r w:rsidRPr="00D630D1">
        <w:rPr>
          <w:rFonts w:hint="eastAsia"/>
        </w:rPr>
        <w:t>。</w:t>
      </w:r>
    </w:p>
    <w:p w:rsidR="00E32462" w:rsidRPr="00D630D1" w:rsidRDefault="00E32462" w:rsidP="00E32462">
      <w:pPr>
        <w:pStyle w:val="afa"/>
        <w:ind w:firstLine="482"/>
        <w:rPr>
          <w:b/>
          <w:bCs/>
        </w:rPr>
      </w:pPr>
      <w:r w:rsidRPr="00D630D1">
        <w:rPr>
          <w:b/>
          <w:bCs/>
        </w:rPr>
        <w:t>5</w:t>
      </w:r>
      <w:r w:rsidRPr="00D630D1">
        <w:rPr>
          <w:b/>
          <w:bCs/>
        </w:rPr>
        <w:t>、</w:t>
      </w:r>
      <w:r w:rsidRPr="00D630D1">
        <w:rPr>
          <w:rFonts w:hint="eastAsia"/>
          <w:b/>
          <w:bCs/>
        </w:rPr>
        <w:t>土壤环境影响分析</w:t>
      </w:r>
    </w:p>
    <w:p w:rsidR="00E32462" w:rsidRPr="00D630D1" w:rsidRDefault="00FE2E10" w:rsidP="00FE2E10">
      <w:pPr>
        <w:pStyle w:val="afa"/>
        <w:ind w:firstLine="480"/>
      </w:pPr>
      <w:r w:rsidRPr="00D630D1">
        <w:rPr>
          <w:rFonts w:hint="eastAsia"/>
        </w:rPr>
        <w:t>（</w:t>
      </w:r>
      <w:r w:rsidRPr="00D630D1">
        <w:rPr>
          <w:rFonts w:hint="eastAsia"/>
        </w:rPr>
        <w:t>1</w:t>
      </w:r>
      <w:r w:rsidRPr="00D630D1">
        <w:rPr>
          <w:rFonts w:hint="eastAsia"/>
        </w:rPr>
        <w:t>）大气沉降影响分析</w:t>
      </w:r>
    </w:p>
    <w:p w:rsidR="00E32462" w:rsidRPr="00D630D1" w:rsidRDefault="00FE2E10" w:rsidP="00FE2E10">
      <w:pPr>
        <w:pStyle w:val="afa"/>
        <w:ind w:firstLine="480"/>
      </w:pPr>
      <w:r w:rsidRPr="00D630D1">
        <w:rPr>
          <w:rFonts w:hint="eastAsia"/>
        </w:rPr>
        <w:t>本项目水套炉采用返输净化后天然气（不含硫）作为燃料</w:t>
      </w:r>
      <w:r w:rsidR="002F70C4" w:rsidRPr="00D630D1">
        <w:rPr>
          <w:rFonts w:hint="eastAsia"/>
        </w:rPr>
        <w:t>，</w:t>
      </w:r>
      <w:r w:rsidR="004933A6" w:rsidRPr="00D630D1">
        <w:rPr>
          <w:rFonts w:hint="eastAsia"/>
        </w:rPr>
        <w:t>新建</w:t>
      </w:r>
      <w:r w:rsidR="002F70C4" w:rsidRPr="00D630D1">
        <w:t>燃气返输管线返输</w:t>
      </w:r>
      <w:r w:rsidRPr="00D630D1">
        <w:rPr>
          <w:rFonts w:hint="eastAsia"/>
        </w:rPr>
        <w:t>，产生的废气中主要污染因子为氮氧化物，排放量少，由于</w:t>
      </w:r>
      <w:r w:rsidRPr="00D630D1">
        <w:t>NO</w:t>
      </w:r>
      <w:r w:rsidRPr="00D630D1">
        <w:rPr>
          <w:sz w:val="16"/>
          <w:szCs w:val="16"/>
        </w:rPr>
        <w:t>X</w:t>
      </w:r>
      <w:r w:rsidRPr="00D630D1">
        <w:rPr>
          <w:rFonts w:hint="eastAsia"/>
        </w:rPr>
        <w:t>扩散能力较强，且比重较小，基本不会通过大气沉降对土壤环境造成影响。</w:t>
      </w:r>
    </w:p>
    <w:p w:rsidR="00E32462" w:rsidRPr="00D630D1" w:rsidRDefault="00FE2E10" w:rsidP="00FE2E10">
      <w:pPr>
        <w:pStyle w:val="afa"/>
        <w:ind w:firstLine="480"/>
      </w:pPr>
      <w:r w:rsidRPr="00D630D1">
        <w:rPr>
          <w:rFonts w:hint="eastAsia"/>
        </w:rPr>
        <w:t>（</w:t>
      </w:r>
      <w:r w:rsidRPr="00D630D1">
        <w:rPr>
          <w:rFonts w:hint="eastAsia"/>
        </w:rPr>
        <w:t>2</w:t>
      </w:r>
      <w:r w:rsidRPr="00D630D1">
        <w:rPr>
          <w:rFonts w:hint="eastAsia"/>
        </w:rPr>
        <w:t>）地表漫流影响分析</w:t>
      </w:r>
    </w:p>
    <w:p w:rsidR="00E32462" w:rsidRPr="00D630D1" w:rsidRDefault="00FE2E10" w:rsidP="00FE2E10">
      <w:pPr>
        <w:pStyle w:val="afa"/>
        <w:ind w:firstLine="480"/>
      </w:pPr>
      <w:r w:rsidRPr="00D630D1">
        <w:rPr>
          <w:rFonts w:hint="eastAsia"/>
        </w:rPr>
        <w:t>本项目正常情况下，</w:t>
      </w:r>
      <w:r w:rsidR="00EF360A" w:rsidRPr="00D630D1">
        <w:rPr>
          <w:rFonts w:hint="eastAsia"/>
        </w:rPr>
        <w:t>压裂、洗井废水</w:t>
      </w:r>
      <w:r w:rsidRPr="00D630D1">
        <w:rPr>
          <w:rFonts w:hint="eastAsia"/>
        </w:rPr>
        <w:t>直接通过管道进入密闭的</w:t>
      </w:r>
      <w:r w:rsidR="00EF360A" w:rsidRPr="00D630D1">
        <w:rPr>
          <w:rFonts w:hint="eastAsia"/>
        </w:rPr>
        <w:t>污水缓冲罐</w:t>
      </w:r>
      <w:r w:rsidR="001205FA" w:rsidRPr="00D630D1">
        <w:rPr>
          <w:rFonts w:hint="eastAsia"/>
        </w:rPr>
        <w:t>内，因此，正常情况下不会外溢或泄漏</w:t>
      </w:r>
      <w:r w:rsidRPr="00D630D1">
        <w:rPr>
          <w:rFonts w:hint="eastAsia"/>
        </w:rPr>
        <w:t>至外环境中产生地面漫流情况。通过站场四周设置了雨水排水沟，井场内雨水可及时排入周边，雨水漫流不会带走站场内的污染物，对周边土壤的影响也很小。</w:t>
      </w:r>
    </w:p>
    <w:p w:rsidR="00E32462" w:rsidRPr="00D630D1" w:rsidRDefault="00FE2E10" w:rsidP="00FE2E10">
      <w:pPr>
        <w:pStyle w:val="afa"/>
        <w:ind w:firstLine="480"/>
      </w:pPr>
      <w:r w:rsidRPr="00D630D1">
        <w:rPr>
          <w:rFonts w:hint="eastAsia"/>
        </w:rPr>
        <w:t>（</w:t>
      </w:r>
      <w:r w:rsidRPr="00D630D1">
        <w:rPr>
          <w:rFonts w:hint="eastAsia"/>
        </w:rPr>
        <w:t>3</w:t>
      </w:r>
      <w:r w:rsidRPr="00D630D1">
        <w:rPr>
          <w:rFonts w:hint="eastAsia"/>
        </w:rPr>
        <w:t>）垂直入渗影响分析</w:t>
      </w:r>
    </w:p>
    <w:p w:rsidR="00FE2E10" w:rsidRPr="00D630D1" w:rsidRDefault="00FE2E10" w:rsidP="00FE2E10">
      <w:pPr>
        <w:pStyle w:val="afa"/>
        <w:ind w:firstLine="480"/>
      </w:pPr>
      <w:r w:rsidRPr="00D630D1">
        <w:rPr>
          <w:rFonts w:hint="eastAsia"/>
        </w:rPr>
        <w:t>①预测评价范围、时段和情景设置</w:t>
      </w:r>
    </w:p>
    <w:p w:rsidR="00FE2E10" w:rsidRPr="00D630D1" w:rsidRDefault="00FE2E10" w:rsidP="00FE2E10">
      <w:pPr>
        <w:pStyle w:val="afa"/>
        <w:ind w:firstLine="480"/>
      </w:pPr>
      <w:r w:rsidRPr="00D630D1">
        <w:rPr>
          <w:rFonts w:hint="eastAsia"/>
        </w:rPr>
        <w:t>对于本项目主要考虑在非正常工况下，</w:t>
      </w:r>
      <w:r w:rsidR="00EF360A" w:rsidRPr="00D630D1">
        <w:rPr>
          <w:rFonts w:hint="eastAsia"/>
        </w:rPr>
        <w:t>污水缓冲罐</w:t>
      </w:r>
      <w:r w:rsidR="00332450" w:rsidRPr="00D630D1">
        <w:rPr>
          <w:rFonts w:hint="eastAsia"/>
        </w:rPr>
        <w:t>泄漏</w:t>
      </w:r>
      <w:r w:rsidRPr="00D630D1">
        <w:rPr>
          <w:rFonts w:hint="eastAsia"/>
        </w:rPr>
        <w:t>，通过垂直入渗途径污染土壤。本次评价情景设置为</w:t>
      </w:r>
      <w:r w:rsidR="00EF360A" w:rsidRPr="00D630D1">
        <w:rPr>
          <w:rFonts w:hint="eastAsia"/>
        </w:rPr>
        <w:t>污水缓冲罐</w:t>
      </w:r>
      <w:r w:rsidR="00332450" w:rsidRPr="00D630D1">
        <w:rPr>
          <w:rFonts w:hint="eastAsia"/>
        </w:rPr>
        <w:t>泄漏</w:t>
      </w:r>
      <w:r w:rsidRPr="00D630D1">
        <w:rPr>
          <w:rFonts w:hint="eastAsia"/>
        </w:rPr>
        <w:t>，产生渗透，直接污染周边土壤。</w:t>
      </w:r>
    </w:p>
    <w:p w:rsidR="00FE2E10" w:rsidRPr="00D630D1" w:rsidRDefault="00FE2E10" w:rsidP="00FE2E10">
      <w:pPr>
        <w:pStyle w:val="afa"/>
        <w:ind w:firstLine="480"/>
      </w:pPr>
      <w:r w:rsidRPr="00D630D1">
        <w:rPr>
          <w:rFonts w:hint="eastAsia"/>
        </w:rPr>
        <w:t>②预测因子及源强</w:t>
      </w:r>
    </w:p>
    <w:p w:rsidR="00FE2E10" w:rsidRPr="00D630D1" w:rsidRDefault="00FE2E10" w:rsidP="00FE2E10">
      <w:pPr>
        <w:pStyle w:val="afa"/>
        <w:ind w:firstLine="480"/>
      </w:pPr>
      <w:r w:rsidRPr="00D630D1">
        <w:rPr>
          <w:rFonts w:hint="eastAsia"/>
        </w:rPr>
        <w:t>根据工程分析及环境影响识别结果，本项目垂直入渗途径对土壤的影响主要考虑污染因子为石油烃。</w:t>
      </w:r>
    </w:p>
    <w:p w:rsidR="00AB4A38" w:rsidRPr="00D630D1" w:rsidRDefault="00AB4A38" w:rsidP="00AB4A38">
      <w:pPr>
        <w:pStyle w:val="afa"/>
        <w:ind w:firstLine="480"/>
      </w:pPr>
      <w:r w:rsidRPr="00D630D1">
        <w:t>本项目采取了有效的防渗措施，根据土壤环境影响识别可知，正常工况下基本不会对土壤造成影响，主要考虑</w:t>
      </w:r>
      <w:r w:rsidR="00EF360A" w:rsidRPr="00D630D1">
        <w:rPr>
          <w:rFonts w:hint="eastAsia"/>
        </w:rPr>
        <w:t>污水缓冲罐</w:t>
      </w:r>
      <w:r w:rsidR="001205FA" w:rsidRPr="00D630D1">
        <w:t>破裂，引起事故泄漏</w:t>
      </w:r>
      <w:r w:rsidRPr="00D630D1">
        <w:t>形成垂直入渗，造成土壤污染的情况。</w:t>
      </w:r>
    </w:p>
    <w:p w:rsidR="00AB4A38" w:rsidRPr="00D630D1" w:rsidRDefault="00AB4A38" w:rsidP="00AB4A38">
      <w:pPr>
        <w:pStyle w:val="afa"/>
        <w:ind w:firstLine="480"/>
      </w:pPr>
      <w:r w:rsidRPr="00D630D1">
        <w:t>废水渗透地下属于有压渗透，假定包气带充满水，按达西公式计算源强，公式如下：</w:t>
      </w:r>
    </w:p>
    <w:p w:rsidR="00AB4A38" w:rsidRPr="00D630D1" w:rsidRDefault="001A254A" w:rsidP="00AB4A38">
      <w:pPr>
        <w:pStyle w:val="afa"/>
        <w:ind w:firstLine="480"/>
      </w:pPr>
      <w:r w:rsidRPr="00D630D1">
        <w:rPr>
          <w:noProof/>
        </w:rPr>
        <w:drawing>
          <wp:inline distT="0" distB="0" distL="0" distR="0">
            <wp:extent cx="1052830" cy="360045"/>
            <wp:effectExtent l="1905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0" cstate="print"/>
                    <a:srcRect/>
                    <a:stretch>
                      <a:fillRect/>
                    </a:stretch>
                  </pic:blipFill>
                  <pic:spPr bwMode="auto">
                    <a:xfrm>
                      <a:off x="0" y="0"/>
                      <a:ext cx="1052830" cy="360045"/>
                    </a:xfrm>
                    <a:prstGeom prst="rect">
                      <a:avLst/>
                    </a:prstGeom>
                    <a:noFill/>
                    <a:ln w="9525">
                      <a:noFill/>
                      <a:miter lim="800000"/>
                      <a:headEnd/>
                      <a:tailEnd/>
                    </a:ln>
                  </pic:spPr>
                </pic:pic>
              </a:graphicData>
            </a:graphic>
          </wp:inline>
        </w:drawing>
      </w:r>
    </w:p>
    <w:p w:rsidR="00AB4A38" w:rsidRPr="00D630D1" w:rsidRDefault="00AB4A38" w:rsidP="00AB4A38">
      <w:pPr>
        <w:pStyle w:val="afa"/>
        <w:ind w:firstLine="480"/>
      </w:pPr>
      <w:r w:rsidRPr="00D630D1">
        <w:t>式中：</w:t>
      </w:r>
      <w:r w:rsidRPr="00D630D1">
        <w:t>Q—</w:t>
      </w:r>
      <w:r w:rsidRPr="00D630D1">
        <w:t>为渗入到地下水的污水量（</w:t>
      </w:r>
      <w:r w:rsidRPr="00D630D1">
        <w:t>m</w:t>
      </w:r>
      <w:r w:rsidRPr="00D630D1">
        <w:rPr>
          <w:vertAlign w:val="superscript"/>
        </w:rPr>
        <w:t>3</w:t>
      </w:r>
      <w:r w:rsidRPr="00D630D1">
        <w:t>/d</w:t>
      </w:r>
      <w:r w:rsidRPr="00D630D1">
        <w:t>）；</w:t>
      </w:r>
      <w:r w:rsidRPr="00D630D1">
        <w:t xml:space="preserve"> </w:t>
      </w:r>
    </w:p>
    <w:p w:rsidR="00AB4A38" w:rsidRPr="00D630D1" w:rsidRDefault="00AB4A38" w:rsidP="00AB4A38">
      <w:pPr>
        <w:pStyle w:val="afa"/>
        <w:ind w:firstLine="480"/>
      </w:pPr>
      <w:r w:rsidRPr="00D630D1">
        <w:t>K—</w:t>
      </w:r>
      <w:r w:rsidRPr="00D630D1">
        <w:t>为地面垂向渗透系数（</w:t>
      </w:r>
      <w:r w:rsidRPr="00D630D1">
        <w:t>m/d</w:t>
      </w:r>
      <w:r w:rsidRPr="00D630D1">
        <w:t>），结合区域调查数据，同时分析</w:t>
      </w:r>
      <w:r w:rsidRPr="00D630D1">
        <w:t>20</w:t>
      </w:r>
      <w:r w:rsidRPr="00D630D1">
        <w:t>万水文地质、红层找水报告及相关文献资料，</w:t>
      </w:r>
      <w:r w:rsidRPr="00D630D1">
        <w:rPr>
          <w:rFonts w:hint="eastAsia"/>
        </w:rPr>
        <w:t>普光</w:t>
      </w:r>
      <w:r w:rsidRPr="00D630D1">
        <w:t>场内包气带渗透系数</w:t>
      </w:r>
      <w:r w:rsidRPr="00D630D1">
        <w:t xml:space="preserve"> </w:t>
      </w:r>
      <w:r w:rsidRPr="00D630D1">
        <w:lastRenderedPageBreak/>
        <w:t>0.00139~0.026m/d</w:t>
      </w:r>
      <w:r w:rsidRPr="00D630D1">
        <w:t>、本次取</w:t>
      </w:r>
      <w:r w:rsidRPr="00D630D1">
        <w:t>0.026m/d</w:t>
      </w:r>
      <w:r w:rsidRPr="00D630D1">
        <w:t>。</w:t>
      </w:r>
      <w:r w:rsidRPr="00D630D1">
        <w:t xml:space="preserve"> </w:t>
      </w:r>
    </w:p>
    <w:p w:rsidR="00AB4A38" w:rsidRPr="00D630D1" w:rsidRDefault="00AB4A38" w:rsidP="00AB4A38">
      <w:pPr>
        <w:pStyle w:val="afa"/>
        <w:ind w:firstLine="480"/>
      </w:pPr>
      <w:r w:rsidRPr="00D630D1">
        <w:t>H—</w:t>
      </w:r>
      <w:r w:rsidRPr="00D630D1">
        <w:t>为水深（</w:t>
      </w:r>
      <w:r w:rsidRPr="00D630D1">
        <w:t>m</w:t>
      </w:r>
      <w:r w:rsidRPr="00D630D1">
        <w:t>），根据设计，本次取</w:t>
      </w:r>
      <w:r w:rsidRPr="00D630D1">
        <w:rPr>
          <w:rFonts w:hint="eastAsia"/>
        </w:rPr>
        <w:t>4.32</w:t>
      </w:r>
      <w:r w:rsidRPr="00D630D1">
        <w:t>m</w:t>
      </w:r>
      <w:r w:rsidRPr="00D630D1">
        <w:t>；</w:t>
      </w:r>
      <w:r w:rsidRPr="00D630D1">
        <w:t xml:space="preserve"> </w:t>
      </w:r>
    </w:p>
    <w:p w:rsidR="00AB4A38" w:rsidRPr="00D630D1" w:rsidRDefault="00AB4A38" w:rsidP="00AB4A38">
      <w:pPr>
        <w:pStyle w:val="afa"/>
        <w:ind w:firstLine="480"/>
      </w:pPr>
      <w:r w:rsidRPr="00D630D1">
        <w:t>D—</w:t>
      </w:r>
      <w:r w:rsidRPr="00D630D1">
        <w:t>为地下水埋深（</w:t>
      </w:r>
      <w:r w:rsidRPr="00D630D1">
        <w:t>m</w:t>
      </w:r>
      <w:r w:rsidRPr="00D630D1">
        <w:t>），本次取</w:t>
      </w:r>
      <w:r w:rsidRPr="00D630D1">
        <w:rPr>
          <w:rFonts w:hint="eastAsia"/>
        </w:rPr>
        <w:t>4</w:t>
      </w:r>
      <w:r w:rsidRPr="00D630D1">
        <w:t>m</w:t>
      </w:r>
      <w:r w:rsidRPr="00D630D1">
        <w:t>；</w:t>
      </w:r>
      <w:r w:rsidRPr="00D630D1">
        <w:t xml:space="preserve"> </w:t>
      </w:r>
    </w:p>
    <w:p w:rsidR="00AB4A38" w:rsidRPr="00D630D1" w:rsidRDefault="00AB4A38" w:rsidP="00AB4A38">
      <w:pPr>
        <w:pStyle w:val="afa"/>
        <w:ind w:firstLine="480"/>
      </w:pPr>
      <w:r w:rsidRPr="00D630D1">
        <w:t>A—</w:t>
      </w:r>
      <w:r w:rsidRPr="00D630D1">
        <w:t>为</w:t>
      </w:r>
      <w:r w:rsidR="00EF360A" w:rsidRPr="00D630D1">
        <w:rPr>
          <w:rFonts w:hint="eastAsia"/>
        </w:rPr>
        <w:t>污水缓冲罐</w:t>
      </w:r>
      <w:r w:rsidRPr="00D630D1">
        <w:t>的泄漏面积（</w:t>
      </w:r>
      <w:r w:rsidRPr="00D630D1">
        <w:t>m</w:t>
      </w:r>
      <w:r w:rsidRPr="00D630D1">
        <w:rPr>
          <w:vertAlign w:val="superscript"/>
        </w:rPr>
        <w:t>2</w:t>
      </w:r>
      <w:r w:rsidRPr="00D630D1">
        <w:t>），本次取</w:t>
      </w:r>
      <w:r w:rsidRPr="00D630D1">
        <w:rPr>
          <w:rFonts w:hint="eastAsia"/>
        </w:rPr>
        <w:t>2.54</w:t>
      </w:r>
      <w:r w:rsidRPr="00D630D1">
        <w:t>m</w:t>
      </w:r>
      <w:r w:rsidRPr="00D630D1">
        <w:rPr>
          <w:vertAlign w:val="superscript"/>
        </w:rPr>
        <w:t>2</w:t>
      </w:r>
      <w:r w:rsidRPr="00D630D1">
        <w:t>。</w:t>
      </w:r>
      <w:r w:rsidRPr="00D630D1">
        <w:t xml:space="preserve"> </w:t>
      </w:r>
    </w:p>
    <w:p w:rsidR="00AB4A38" w:rsidRPr="00D630D1" w:rsidRDefault="00AB4A38" w:rsidP="00AB4A38">
      <w:pPr>
        <w:pStyle w:val="afa"/>
        <w:ind w:firstLine="480"/>
      </w:pPr>
      <w:r w:rsidRPr="00D630D1">
        <w:t>可计算</w:t>
      </w:r>
      <w:r w:rsidR="00EF360A" w:rsidRPr="00D630D1">
        <w:rPr>
          <w:rFonts w:hint="eastAsia"/>
        </w:rPr>
        <w:t>污水缓冲罐</w:t>
      </w:r>
      <w:r w:rsidRPr="00D630D1">
        <w:t>渗漏至土壤废水量</w:t>
      </w:r>
      <w:r w:rsidRPr="00D630D1">
        <w:rPr>
          <w:rFonts w:hint="eastAsia"/>
        </w:rPr>
        <w:t>0.137</w:t>
      </w:r>
      <w:r w:rsidRPr="00D630D1">
        <w:t>m</w:t>
      </w:r>
      <w:r w:rsidRPr="00D630D1">
        <w:rPr>
          <w:vertAlign w:val="superscript"/>
        </w:rPr>
        <w:t>3</w:t>
      </w:r>
      <w:r w:rsidRPr="00D630D1">
        <w:t>/d</w:t>
      </w:r>
      <w:r w:rsidRPr="00D630D1">
        <w:rPr>
          <w:rFonts w:hint="eastAsia"/>
        </w:rPr>
        <w:t>，</w:t>
      </w:r>
      <w:r w:rsidRPr="00D630D1">
        <w:t>本次按照</w:t>
      </w:r>
      <w:r w:rsidR="00EF360A" w:rsidRPr="00D630D1">
        <w:t>污水缓冲罐</w:t>
      </w:r>
      <w:r w:rsidRPr="00D630D1">
        <w:t>全部泄漏考虑</w:t>
      </w:r>
      <w:r w:rsidRPr="00D630D1">
        <w:rPr>
          <w:rFonts w:hint="eastAsia"/>
        </w:rPr>
        <w:t>（</w:t>
      </w:r>
      <w:r w:rsidR="00EF360A" w:rsidRPr="00D630D1">
        <w:rPr>
          <w:rFonts w:hint="eastAsia"/>
        </w:rPr>
        <w:t>污水缓冲罐</w:t>
      </w:r>
      <w:r w:rsidRPr="00D630D1">
        <w:rPr>
          <w:rFonts w:hint="eastAsia"/>
        </w:rPr>
        <w:t>容积约</w:t>
      </w:r>
      <w:r w:rsidR="00020DA9" w:rsidRPr="00D630D1">
        <w:rPr>
          <w:rFonts w:hint="eastAsia"/>
        </w:rPr>
        <w:t>25.12</w:t>
      </w:r>
      <w:r w:rsidRPr="00D630D1">
        <w:t>m</w:t>
      </w:r>
      <w:r w:rsidRPr="00D630D1">
        <w:rPr>
          <w:vertAlign w:val="superscript"/>
        </w:rPr>
        <w:t>3</w:t>
      </w:r>
      <w:r w:rsidRPr="00D630D1">
        <w:rPr>
          <w:rFonts w:hint="eastAsia"/>
        </w:rPr>
        <w:t>），</w:t>
      </w:r>
      <w:r w:rsidRPr="00D630D1">
        <w:t>即泄漏量为</w:t>
      </w:r>
      <w:r w:rsidR="00020DA9" w:rsidRPr="00D630D1">
        <w:rPr>
          <w:rFonts w:hint="eastAsia"/>
        </w:rPr>
        <w:t>25.12</w:t>
      </w:r>
      <w:r w:rsidRPr="00D630D1">
        <w:t>m</w:t>
      </w:r>
      <w:r w:rsidRPr="00D630D1">
        <w:rPr>
          <w:vertAlign w:val="superscript"/>
        </w:rPr>
        <w:t>3</w:t>
      </w:r>
      <w:r w:rsidRPr="00D630D1">
        <w:t>。</w:t>
      </w:r>
    </w:p>
    <w:p w:rsidR="00FE2E10" w:rsidRPr="00D630D1" w:rsidRDefault="00EF360A" w:rsidP="00AB4A38">
      <w:pPr>
        <w:pStyle w:val="afa"/>
        <w:ind w:firstLine="480"/>
      </w:pPr>
      <w:r w:rsidRPr="00D630D1">
        <w:rPr>
          <w:rFonts w:hint="eastAsia"/>
        </w:rPr>
        <w:t>污水缓冲罐</w:t>
      </w:r>
      <w:r w:rsidR="00AB4A38" w:rsidRPr="00D630D1">
        <w:t>暂存的废水为</w:t>
      </w:r>
      <w:r w:rsidRPr="00D630D1">
        <w:rPr>
          <w:rFonts w:hint="eastAsia"/>
        </w:rPr>
        <w:t>压裂、洗井废水</w:t>
      </w:r>
      <w:r w:rsidR="00AB4A38" w:rsidRPr="00D630D1">
        <w:t>，结合本报告预测的废水中石油类浓度</w:t>
      </w:r>
      <w:r w:rsidR="00AB4A38" w:rsidRPr="00D630D1">
        <w:rPr>
          <w:rFonts w:hint="eastAsia"/>
        </w:rPr>
        <w:t>约</w:t>
      </w:r>
      <w:r w:rsidR="00AB4A38" w:rsidRPr="00D630D1">
        <w:rPr>
          <w:rFonts w:hint="eastAsia"/>
        </w:rPr>
        <w:t>2</w:t>
      </w:r>
      <w:r w:rsidR="00AB4A38" w:rsidRPr="00D630D1">
        <w:t>00mg/L</w:t>
      </w:r>
      <w:r w:rsidR="00AB4A38" w:rsidRPr="00D630D1">
        <w:t>，本报告取值</w:t>
      </w:r>
      <w:r w:rsidR="00AB4A38" w:rsidRPr="00D630D1">
        <w:rPr>
          <w:rFonts w:hint="eastAsia"/>
        </w:rPr>
        <w:t>2</w:t>
      </w:r>
      <w:r w:rsidR="00AB4A38" w:rsidRPr="00D630D1">
        <w:t>00mg/L</w:t>
      </w:r>
      <w:r w:rsidR="00AB4A38" w:rsidRPr="00D630D1">
        <w:t>，可计算非正常工况下渗漏的石油类量</w:t>
      </w:r>
      <w:r w:rsidR="00AB4A38" w:rsidRPr="00D630D1">
        <w:t>=</w:t>
      </w:r>
      <w:r w:rsidR="00020DA9" w:rsidRPr="00D630D1">
        <w:rPr>
          <w:rFonts w:hint="eastAsia"/>
        </w:rPr>
        <w:t>25.12</w:t>
      </w:r>
      <w:r w:rsidR="00AB4A38" w:rsidRPr="00D630D1">
        <w:t>m</w:t>
      </w:r>
      <w:r w:rsidR="00AB4A38" w:rsidRPr="00D630D1">
        <w:rPr>
          <w:vertAlign w:val="superscript"/>
        </w:rPr>
        <w:t>3</w:t>
      </w:r>
      <w:r w:rsidR="00AB4A38" w:rsidRPr="00D630D1">
        <w:t>×</w:t>
      </w:r>
      <w:r w:rsidR="00AB4A38" w:rsidRPr="00D630D1">
        <w:rPr>
          <w:rFonts w:hint="eastAsia"/>
        </w:rPr>
        <w:t>20</w:t>
      </w:r>
      <w:r w:rsidR="00AB4A38" w:rsidRPr="00D630D1">
        <w:t>0mg/L=</w:t>
      </w:r>
      <w:r w:rsidR="00020DA9" w:rsidRPr="00D630D1">
        <w:rPr>
          <w:rFonts w:hint="eastAsia"/>
        </w:rPr>
        <w:t>5.024</w:t>
      </w:r>
      <w:r w:rsidR="00AB4A38" w:rsidRPr="00D630D1">
        <w:t>kg</w:t>
      </w:r>
      <w:r w:rsidR="00FE2E10" w:rsidRPr="00D630D1">
        <w:rPr>
          <w:rFonts w:hint="eastAsia"/>
        </w:rPr>
        <w:t>。</w:t>
      </w:r>
    </w:p>
    <w:p w:rsidR="00FE2E10" w:rsidRPr="00D630D1" w:rsidRDefault="00FE2E10" w:rsidP="00FE2E10">
      <w:pPr>
        <w:pStyle w:val="afa"/>
        <w:ind w:firstLine="480"/>
      </w:pPr>
      <w:r w:rsidRPr="00D630D1">
        <w:rPr>
          <w:rFonts w:hint="eastAsia"/>
        </w:rPr>
        <w:t>③预测模式</w:t>
      </w:r>
    </w:p>
    <w:p w:rsidR="00AB4A38" w:rsidRPr="00D630D1" w:rsidRDefault="00FE2E10" w:rsidP="00AB4A38">
      <w:pPr>
        <w:pStyle w:val="afa"/>
        <w:ind w:firstLine="480"/>
      </w:pPr>
      <w:r w:rsidRPr="00D630D1">
        <w:rPr>
          <w:rFonts w:ascii="宋体" w:cs="宋体" w:hint="eastAsia"/>
        </w:rPr>
        <w:t>本次预测</w:t>
      </w:r>
      <w:r w:rsidR="00AB4A38" w:rsidRPr="00D630D1">
        <w:t>采用《环境影响评价技术导则土壤环境（试行）》中</w:t>
      </w:r>
      <w:r w:rsidR="00AB4A38" w:rsidRPr="00D630D1">
        <w:t>E.1.3</w:t>
      </w:r>
      <w:r w:rsidR="00AB4A38" w:rsidRPr="00D630D1">
        <w:t>中预测方法进行计算。</w:t>
      </w:r>
    </w:p>
    <w:p w:rsidR="00AB4A38" w:rsidRPr="00D630D1" w:rsidRDefault="00AB4A38" w:rsidP="00AB4A38">
      <w:pPr>
        <w:pStyle w:val="afa"/>
        <w:ind w:firstLine="480"/>
      </w:pPr>
      <w:r w:rsidRPr="00D630D1">
        <w:rPr>
          <w:rFonts w:hint="eastAsia"/>
        </w:rPr>
        <w:t>a</w:t>
      </w:r>
      <w:r w:rsidRPr="00D630D1">
        <w:rPr>
          <w:rFonts w:hint="eastAsia"/>
        </w:rPr>
        <w:t>、</w:t>
      </w:r>
      <w:r w:rsidRPr="00D630D1">
        <w:t>单位质量土壤中某种物质的增量可用下式计算：</w:t>
      </w:r>
    </w:p>
    <w:p w:rsidR="00AB4A38" w:rsidRPr="00D630D1" w:rsidRDefault="001A254A" w:rsidP="00AB4A38">
      <w:pPr>
        <w:pStyle w:val="afa"/>
        <w:ind w:firstLine="480"/>
      </w:pPr>
      <w:r w:rsidRPr="00D630D1">
        <w:rPr>
          <w:noProof/>
        </w:rPr>
        <w:drawing>
          <wp:inline distT="0" distB="0" distL="0" distR="0">
            <wp:extent cx="4636770" cy="443230"/>
            <wp:effectExtent l="1905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1" cstate="print"/>
                    <a:srcRect/>
                    <a:stretch>
                      <a:fillRect/>
                    </a:stretch>
                  </pic:blipFill>
                  <pic:spPr bwMode="auto">
                    <a:xfrm>
                      <a:off x="0" y="0"/>
                      <a:ext cx="4636770" cy="443230"/>
                    </a:xfrm>
                    <a:prstGeom prst="rect">
                      <a:avLst/>
                    </a:prstGeom>
                    <a:noFill/>
                    <a:ln w="9525">
                      <a:noFill/>
                      <a:miter lim="800000"/>
                      <a:headEnd/>
                      <a:tailEnd/>
                    </a:ln>
                  </pic:spPr>
                </pic:pic>
              </a:graphicData>
            </a:graphic>
          </wp:inline>
        </w:drawing>
      </w:r>
    </w:p>
    <w:p w:rsidR="00AB4A38" w:rsidRPr="00D630D1" w:rsidRDefault="00AB4A38" w:rsidP="00AB4A38">
      <w:pPr>
        <w:pStyle w:val="afa"/>
        <w:ind w:firstLine="480"/>
      </w:pPr>
      <w:r w:rsidRPr="00D630D1">
        <w:t>式中：</w:t>
      </w:r>
      <w:r w:rsidRPr="00D630D1">
        <w:rPr>
          <w:i/>
          <w:iCs/>
        </w:rPr>
        <w:t>ΔS</w:t>
      </w:r>
      <w:r w:rsidRPr="00D630D1">
        <w:t>——</w:t>
      </w:r>
      <w:r w:rsidRPr="00D630D1">
        <w:t>单位质量表层土壤中某种物质的增量，</w:t>
      </w:r>
      <w:r w:rsidRPr="00D630D1">
        <w:t>g/kg</w:t>
      </w:r>
      <w:r w:rsidRPr="00D630D1">
        <w:t>；</w:t>
      </w:r>
    </w:p>
    <w:p w:rsidR="00AB4A38" w:rsidRPr="00D630D1" w:rsidRDefault="00AB4A38" w:rsidP="00AB4A38">
      <w:pPr>
        <w:pStyle w:val="afa"/>
        <w:ind w:firstLine="480"/>
      </w:pPr>
      <w:r w:rsidRPr="00D630D1">
        <w:t>表层土壤中游离酸或游离碱浓度增量，</w:t>
      </w:r>
      <w:r w:rsidRPr="00D630D1">
        <w:t>mmol/kg</w:t>
      </w:r>
      <w:r w:rsidRPr="00D630D1">
        <w:t>；</w:t>
      </w:r>
    </w:p>
    <w:p w:rsidR="00AB4A38" w:rsidRPr="00D630D1" w:rsidRDefault="00AB4A38" w:rsidP="00AB4A38">
      <w:pPr>
        <w:pStyle w:val="afa"/>
        <w:ind w:firstLine="480"/>
      </w:pPr>
      <w:r w:rsidRPr="00D630D1">
        <w:rPr>
          <w:i/>
          <w:iCs/>
        </w:rPr>
        <w:t>I</w:t>
      </w:r>
      <w:r w:rsidRPr="00D630D1">
        <w:t>S ——</w:t>
      </w:r>
      <w:r w:rsidRPr="00D630D1">
        <w:t>预测评价范围内单位年份表层土壤中某种物质的输入量，</w:t>
      </w:r>
      <w:r w:rsidRPr="00D630D1">
        <w:t>g</w:t>
      </w:r>
      <w:r w:rsidRPr="00D630D1">
        <w:t>；</w:t>
      </w:r>
    </w:p>
    <w:p w:rsidR="00AB4A38" w:rsidRPr="00D630D1" w:rsidRDefault="00AB4A38" w:rsidP="00AB4A38">
      <w:pPr>
        <w:pStyle w:val="afa"/>
        <w:ind w:firstLine="480"/>
      </w:pPr>
      <w:r w:rsidRPr="00D630D1">
        <w:t>预测评价范围内单位年份表层土壤中游离酸、游离碱输入量，</w:t>
      </w:r>
      <w:r w:rsidRPr="00D630D1">
        <w:t>mmol</w:t>
      </w:r>
      <w:r w:rsidRPr="00D630D1">
        <w:t>；</w:t>
      </w:r>
    </w:p>
    <w:p w:rsidR="00AB4A38" w:rsidRPr="00D630D1" w:rsidRDefault="00AB4A38" w:rsidP="00AB4A38">
      <w:pPr>
        <w:pStyle w:val="afa"/>
        <w:ind w:firstLine="480"/>
      </w:pPr>
      <w:r w:rsidRPr="00D630D1">
        <w:rPr>
          <w:i/>
          <w:iCs/>
        </w:rPr>
        <w:t>L</w:t>
      </w:r>
      <w:r w:rsidRPr="00D630D1">
        <w:t>S——</w:t>
      </w:r>
      <w:r w:rsidRPr="00D630D1">
        <w:t>预测评价范围内单位年份表层土壤中某种物质经淋溶排出的量，</w:t>
      </w:r>
      <w:r w:rsidRPr="00D630D1">
        <w:t>g</w:t>
      </w:r>
      <w:r w:rsidRPr="00D630D1">
        <w:t>；</w:t>
      </w:r>
    </w:p>
    <w:p w:rsidR="00AB4A38" w:rsidRPr="00D630D1" w:rsidRDefault="00AB4A38" w:rsidP="00AB4A38">
      <w:pPr>
        <w:pStyle w:val="afa"/>
        <w:ind w:firstLine="480"/>
      </w:pPr>
      <w:r w:rsidRPr="00D630D1">
        <w:t>预测评价范围内单位年份表层土壤中经淋溶排出的游离酸、游离碱的量，</w:t>
      </w:r>
      <w:r w:rsidRPr="00D630D1">
        <w:t>mmol</w:t>
      </w:r>
      <w:r w:rsidRPr="00D630D1">
        <w:t>；</w:t>
      </w:r>
    </w:p>
    <w:p w:rsidR="00AB4A38" w:rsidRPr="00D630D1" w:rsidRDefault="00AB4A38" w:rsidP="00AB4A38">
      <w:pPr>
        <w:pStyle w:val="afa"/>
        <w:ind w:firstLine="480"/>
      </w:pPr>
      <w:r w:rsidRPr="00D630D1">
        <w:rPr>
          <w:i/>
          <w:iCs/>
        </w:rPr>
        <w:t>R</w:t>
      </w:r>
      <w:r w:rsidRPr="00D630D1">
        <w:t>S——</w:t>
      </w:r>
      <w:r w:rsidRPr="00D630D1">
        <w:t>预测评价范围内单位年份表层土壤中某种物质经径流排出的量，</w:t>
      </w:r>
      <w:r w:rsidRPr="00D630D1">
        <w:t>g</w:t>
      </w:r>
      <w:r w:rsidRPr="00D630D1">
        <w:t>；</w:t>
      </w:r>
    </w:p>
    <w:p w:rsidR="00AB4A38" w:rsidRPr="00D630D1" w:rsidRDefault="00AB4A38" w:rsidP="00AB4A38">
      <w:pPr>
        <w:pStyle w:val="afa"/>
        <w:ind w:firstLine="480"/>
      </w:pPr>
      <w:r w:rsidRPr="00D630D1">
        <w:t>预测评价范围内单位年份表层土壤中经径流排出的游离酸、游离碱的量，</w:t>
      </w:r>
      <w:r w:rsidRPr="00D630D1">
        <w:t>mmol</w:t>
      </w:r>
      <w:r w:rsidRPr="00D630D1">
        <w:t>；</w:t>
      </w:r>
    </w:p>
    <w:p w:rsidR="00AB4A38" w:rsidRPr="00D630D1" w:rsidRDefault="00AB4A38" w:rsidP="00AB4A38">
      <w:pPr>
        <w:pStyle w:val="afa"/>
        <w:ind w:firstLine="480"/>
      </w:pPr>
      <w:r w:rsidRPr="00D630D1">
        <w:rPr>
          <w:i/>
          <w:iCs/>
        </w:rPr>
        <w:t>ρ</w:t>
      </w:r>
      <w:r w:rsidRPr="00D630D1">
        <w:t>b——</w:t>
      </w:r>
      <w:r w:rsidRPr="00D630D1">
        <w:t>表层土壤容重，</w:t>
      </w:r>
      <w:r w:rsidRPr="00D630D1">
        <w:t>kg/m</w:t>
      </w:r>
      <w:r w:rsidRPr="00D630D1">
        <w:rPr>
          <w:vertAlign w:val="superscript"/>
        </w:rPr>
        <w:t>3</w:t>
      </w:r>
      <w:r w:rsidRPr="00D630D1">
        <w:t>。</w:t>
      </w:r>
    </w:p>
    <w:p w:rsidR="00AB4A38" w:rsidRPr="00D630D1" w:rsidRDefault="00AB4A38" w:rsidP="00AB4A38">
      <w:pPr>
        <w:pStyle w:val="afa"/>
        <w:ind w:firstLine="480"/>
      </w:pPr>
      <w:r w:rsidRPr="00D630D1">
        <w:rPr>
          <w:i/>
          <w:iCs/>
        </w:rPr>
        <w:t>A</w:t>
      </w:r>
      <w:r w:rsidRPr="00D630D1">
        <w:t>——</w:t>
      </w:r>
      <w:r w:rsidRPr="00D630D1">
        <w:t>预测评价范围，</w:t>
      </w:r>
      <w:r w:rsidRPr="00D630D1">
        <w:t>m</w:t>
      </w:r>
      <w:r w:rsidRPr="00D630D1">
        <w:rPr>
          <w:vertAlign w:val="superscript"/>
        </w:rPr>
        <w:t>2</w:t>
      </w:r>
      <w:r w:rsidRPr="00D630D1">
        <w:t>。</w:t>
      </w:r>
    </w:p>
    <w:p w:rsidR="00AB4A38" w:rsidRPr="00D630D1" w:rsidRDefault="00AB4A38" w:rsidP="00AB4A38">
      <w:pPr>
        <w:pStyle w:val="afa"/>
        <w:ind w:firstLine="480"/>
      </w:pPr>
      <w:r w:rsidRPr="00D630D1">
        <w:rPr>
          <w:i/>
          <w:iCs/>
        </w:rPr>
        <w:t>D</w:t>
      </w:r>
      <w:r w:rsidRPr="00D630D1">
        <w:t>——</w:t>
      </w:r>
      <w:r w:rsidRPr="00D630D1">
        <w:t>表层土壤深度，一般取</w:t>
      </w:r>
      <w:r w:rsidRPr="00D630D1">
        <w:t>0.2m</w:t>
      </w:r>
      <w:r w:rsidRPr="00D630D1">
        <w:t>，可根据实际情况适当调整；</w:t>
      </w:r>
    </w:p>
    <w:p w:rsidR="00AB4A38" w:rsidRPr="00D630D1" w:rsidRDefault="00AB4A38" w:rsidP="00AB4A38">
      <w:pPr>
        <w:pStyle w:val="afa"/>
        <w:ind w:firstLine="480"/>
      </w:pPr>
      <w:r w:rsidRPr="00D630D1">
        <w:rPr>
          <w:i/>
          <w:iCs/>
        </w:rPr>
        <w:t>n</w:t>
      </w:r>
      <w:r w:rsidRPr="00D630D1">
        <w:t>——</w:t>
      </w:r>
      <w:r w:rsidRPr="00D630D1">
        <w:t>持续年份，</w:t>
      </w:r>
      <w:r w:rsidRPr="00D630D1">
        <w:t>a</w:t>
      </w:r>
      <w:r w:rsidRPr="00D630D1">
        <w:t>。</w:t>
      </w:r>
    </w:p>
    <w:p w:rsidR="00AB4A38" w:rsidRPr="00D630D1" w:rsidRDefault="00AB4A38" w:rsidP="00AB4A38">
      <w:pPr>
        <w:pStyle w:val="afa"/>
        <w:ind w:firstLine="480"/>
      </w:pPr>
      <w:r w:rsidRPr="00D630D1">
        <w:rPr>
          <w:rFonts w:hint="eastAsia"/>
        </w:rPr>
        <w:lastRenderedPageBreak/>
        <w:t>b</w:t>
      </w:r>
      <w:r w:rsidRPr="00D630D1">
        <w:rPr>
          <w:rFonts w:hint="eastAsia"/>
        </w:rPr>
        <w:t>、</w:t>
      </w:r>
      <w:r w:rsidRPr="00D630D1">
        <w:t>单位质量土壤中某种物质的预测值可根据其增量叠加现状值进行计算：</w:t>
      </w:r>
    </w:p>
    <w:p w:rsidR="00AB4A38" w:rsidRPr="00D630D1" w:rsidRDefault="001A254A" w:rsidP="00AB4A38">
      <w:pPr>
        <w:pStyle w:val="afa"/>
        <w:ind w:firstLine="480"/>
      </w:pPr>
      <w:r w:rsidRPr="00D630D1">
        <w:rPr>
          <w:noProof/>
        </w:rPr>
        <w:drawing>
          <wp:inline distT="0" distB="0" distL="0" distR="0">
            <wp:extent cx="1283970" cy="276860"/>
            <wp:effectExtent l="1905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2" cstate="print"/>
                    <a:srcRect/>
                    <a:stretch>
                      <a:fillRect/>
                    </a:stretch>
                  </pic:blipFill>
                  <pic:spPr bwMode="auto">
                    <a:xfrm>
                      <a:off x="0" y="0"/>
                      <a:ext cx="1283970" cy="276860"/>
                    </a:xfrm>
                    <a:prstGeom prst="rect">
                      <a:avLst/>
                    </a:prstGeom>
                    <a:noFill/>
                    <a:ln w="9525">
                      <a:noFill/>
                      <a:miter lim="800000"/>
                      <a:headEnd/>
                      <a:tailEnd/>
                    </a:ln>
                  </pic:spPr>
                </pic:pic>
              </a:graphicData>
            </a:graphic>
          </wp:inline>
        </w:drawing>
      </w:r>
    </w:p>
    <w:p w:rsidR="00AB4A38" w:rsidRPr="00D630D1" w:rsidRDefault="00AB4A38" w:rsidP="00AB4A38">
      <w:pPr>
        <w:pStyle w:val="afa"/>
        <w:ind w:firstLine="480"/>
      </w:pPr>
      <w:r w:rsidRPr="00D630D1">
        <w:t>式中：</w:t>
      </w:r>
      <w:r w:rsidRPr="00D630D1">
        <w:t>Sb——</w:t>
      </w:r>
      <w:r w:rsidRPr="00D630D1">
        <w:t>单位质量土壤中某种物质的现状值，</w:t>
      </w:r>
      <w:r w:rsidRPr="00D630D1">
        <w:t>g/kg</w:t>
      </w:r>
      <w:r w:rsidRPr="00D630D1">
        <w:t>；</w:t>
      </w:r>
    </w:p>
    <w:p w:rsidR="00AB4A38" w:rsidRPr="00D630D1" w:rsidRDefault="00AB4A38" w:rsidP="00AB4A38">
      <w:pPr>
        <w:pStyle w:val="afa"/>
        <w:ind w:firstLine="480"/>
      </w:pPr>
      <w:r w:rsidRPr="00D630D1">
        <w:t>S——</w:t>
      </w:r>
      <w:r w:rsidRPr="00D630D1">
        <w:t>单位质量土壤中某种物质的预测值，</w:t>
      </w:r>
      <w:r w:rsidRPr="00D630D1">
        <w:t>g/kg</w:t>
      </w:r>
      <w:r w:rsidRPr="00D630D1">
        <w:t>。</w:t>
      </w:r>
    </w:p>
    <w:p w:rsidR="00AB4A38" w:rsidRPr="00D630D1" w:rsidRDefault="00AB4A38" w:rsidP="00AB4A38">
      <w:pPr>
        <w:pStyle w:val="afa"/>
        <w:ind w:firstLine="480"/>
      </w:pPr>
      <w:r w:rsidRPr="00D630D1">
        <w:t>参数选取：</w:t>
      </w:r>
      <w:r w:rsidRPr="00D630D1">
        <w:t xml:space="preserve"> </w:t>
      </w:r>
    </w:p>
    <w:p w:rsidR="00AB4A38" w:rsidRPr="00D630D1" w:rsidRDefault="00AB4A38" w:rsidP="00AB4A38">
      <w:pPr>
        <w:pStyle w:val="afa"/>
        <w:ind w:left="480" w:firstLineChars="0" w:firstLine="0"/>
      </w:pPr>
      <w:r w:rsidRPr="00D630D1">
        <w:rPr>
          <w:rFonts w:hint="eastAsia"/>
        </w:rPr>
        <w:t>a</w:t>
      </w:r>
      <w:r w:rsidRPr="00D630D1">
        <w:rPr>
          <w:rFonts w:hint="eastAsia"/>
        </w:rPr>
        <w:t>、</w:t>
      </w:r>
      <w:r w:rsidRPr="00D630D1">
        <w:t>单位年份表层土壤中某种物质的输入量</w:t>
      </w:r>
      <w:r w:rsidRPr="00D630D1">
        <w:rPr>
          <w:i/>
          <w:iCs/>
        </w:rPr>
        <w:t>I</w:t>
      </w:r>
      <w:r w:rsidRPr="00D630D1">
        <w:t xml:space="preserve">S </w:t>
      </w:r>
    </w:p>
    <w:p w:rsidR="00AB4A38" w:rsidRPr="00D630D1" w:rsidRDefault="00AB4A38" w:rsidP="00AB4A38">
      <w:pPr>
        <w:pStyle w:val="afa"/>
        <w:ind w:firstLine="480"/>
      </w:pPr>
      <w:r w:rsidRPr="00D630D1">
        <w:t>根据预测，取值</w:t>
      </w:r>
      <w:r w:rsidR="00DA4FF5" w:rsidRPr="00D630D1">
        <w:rPr>
          <w:rFonts w:hint="eastAsia"/>
        </w:rPr>
        <w:t>2</w:t>
      </w:r>
      <w:r w:rsidRPr="00D630D1">
        <w:t>kg</w:t>
      </w:r>
      <w:r w:rsidRPr="00D630D1">
        <w:t>；</w:t>
      </w:r>
    </w:p>
    <w:p w:rsidR="00AB4A38" w:rsidRPr="00D630D1" w:rsidRDefault="00AB4A38" w:rsidP="00AB4A38">
      <w:pPr>
        <w:pStyle w:val="afa"/>
        <w:ind w:firstLine="480"/>
      </w:pPr>
      <w:r w:rsidRPr="00D630D1">
        <w:rPr>
          <w:rFonts w:hint="eastAsia"/>
        </w:rPr>
        <w:t>b</w:t>
      </w:r>
      <w:r w:rsidRPr="00D630D1">
        <w:rPr>
          <w:rFonts w:hint="eastAsia"/>
        </w:rPr>
        <w:t>、</w:t>
      </w:r>
      <w:r w:rsidRPr="00D630D1">
        <w:t>土壤容重</w:t>
      </w:r>
      <w:r w:rsidRPr="00D630D1">
        <w:t xml:space="preserve"> </w:t>
      </w:r>
    </w:p>
    <w:p w:rsidR="00AB4A38" w:rsidRPr="00D630D1" w:rsidRDefault="00AB4A38" w:rsidP="00AB4A38">
      <w:pPr>
        <w:pStyle w:val="afa"/>
        <w:ind w:firstLine="480"/>
      </w:pPr>
      <w:r w:rsidRPr="00D630D1">
        <w:t>采用地理科学第</w:t>
      </w:r>
      <w:r w:rsidRPr="00D630D1">
        <w:t>3</w:t>
      </w:r>
      <w:r w:rsidRPr="00D630D1">
        <w:t>期第</w:t>
      </w:r>
      <w:r w:rsidRPr="00D630D1">
        <w:t>29</w:t>
      </w:r>
      <w:r w:rsidRPr="00D630D1">
        <w:t>卷中《成渝经济区的耕地土壤质量特点及保护对策》中提出的耕层土壤容重</w:t>
      </w:r>
      <w:r w:rsidRPr="00D630D1">
        <w:t>&gt;1350kg/m</w:t>
      </w:r>
      <w:r w:rsidRPr="00D630D1">
        <w:rPr>
          <w:vertAlign w:val="superscript"/>
        </w:rPr>
        <w:t>3</w:t>
      </w:r>
      <w:r w:rsidRPr="00D630D1">
        <w:t>，评价取值</w:t>
      </w:r>
      <w:r w:rsidRPr="00D630D1">
        <w:t>1350kg/m</w:t>
      </w:r>
      <w:r w:rsidRPr="00D630D1">
        <w:rPr>
          <w:vertAlign w:val="superscript"/>
        </w:rPr>
        <w:t>3</w:t>
      </w:r>
      <w:r w:rsidRPr="00D630D1">
        <w:t>。</w:t>
      </w:r>
      <w:r w:rsidRPr="00D630D1">
        <w:t xml:space="preserve"> </w:t>
      </w:r>
    </w:p>
    <w:p w:rsidR="00AB4A38" w:rsidRPr="00D630D1" w:rsidRDefault="00AB4A38" w:rsidP="00AB4A38">
      <w:pPr>
        <w:pStyle w:val="afa"/>
        <w:ind w:firstLine="480"/>
      </w:pPr>
      <w:r w:rsidRPr="00D630D1">
        <w:rPr>
          <w:rFonts w:hint="eastAsia"/>
        </w:rPr>
        <w:t>c</w:t>
      </w:r>
      <w:r w:rsidRPr="00D630D1">
        <w:rPr>
          <w:rFonts w:hint="eastAsia"/>
        </w:rPr>
        <w:t>、</w:t>
      </w:r>
      <w:r w:rsidRPr="00D630D1">
        <w:t>评价范围</w:t>
      </w:r>
      <w:r w:rsidRPr="00D630D1">
        <w:t xml:space="preserve"> </w:t>
      </w:r>
    </w:p>
    <w:p w:rsidR="00AB4A38" w:rsidRPr="00D630D1" w:rsidRDefault="00AB4A38" w:rsidP="00AB4A38">
      <w:pPr>
        <w:pStyle w:val="afa"/>
        <w:ind w:firstLine="480"/>
      </w:pPr>
      <w:r w:rsidRPr="00D630D1">
        <w:t>以</w:t>
      </w:r>
      <w:r w:rsidR="00EF360A" w:rsidRPr="00D630D1">
        <w:rPr>
          <w:rFonts w:hint="eastAsia"/>
        </w:rPr>
        <w:t>污水缓冲罐</w:t>
      </w:r>
      <w:r w:rsidRPr="00D630D1">
        <w:rPr>
          <w:rFonts w:hint="eastAsia"/>
        </w:rPr>
        <w:t>罐</w:t>
      </w:r>
      <w:r w:rsidRPr="00D630D1">
        <w:t>底面积</w:t>
      </w:r>
      <w:r w:rsidRPr="00D630D1">
        <w:t>=</w:t>
      </w:r>
      <w:r w:rsidRPr="00D630D1">
        <w:rPr>
          <w:rFonts w:hint="eastAsia"/>
        </w:rPr>
        <w:t>3.14</w:t>
      </w:r>
      <w:r w:rsidRPr="00D630D1">
        <w:t>×</w:t>
      </w:r>
      <w:r w:rsidR="00020DA9" w:rsidRPr="00D630D1">
        <w:rPr>
          <w:rFonts w:hint="eastAsia"/>
        </w:rPr>
        <w:t>1</w:t>
      </w:r>
      <w:r w:rsidRPr="00D630D1">
        <w:t>m×</w:t>
      </w:r>
      <w:r w:rsidR="00020DA9" w:rsidRPr="00D630D1">
        <w:rPr>
          <w:rFonts w:hint="eastAsia"/>
        </w:rPr>
        <w:t>1</w:t>
      </w:r>
      <w:r w:rsidRPr="00D630D1">
        <w:t>m=</w:t>
      </w:r>
      <w:r w:rsidR="00020DA9" w:rsidRPr="00D630D1">
        <w:rPr>
          <w:rFonts w:hint="eastAsia"/>
        </w:rPr>
        <w:t>3.14</w:t>
      </w:r>
      <w:r w:rsidRPr="00D630D1">
        <w:t>m</w:t>
      </w:r>
      <w:r w:rsidRPr="00D630D1">
        <w:rPr>
          <w:vertAlign w:val="superscript"/>
        </w:rPr>
        <w:t>2</w:t>
      </w:r>
      <w:r w:rsidRPr="00D630D1">
        <w:t>。</w:t>
      </w:r>
      <w:r w:rsidRPr="00D630D1">
        <w:t xml:space="preserve"> </w:t>
      </w:r>
    </w:p>
    <w:p w:rsidR="00AB4A38" w:rsidRPr="00D630D1" w:rsidRDefault="00AB4A38" w:rsidP="00AB4A38">
      <w:pPr>
        <w:pStyle w:val="afa"/>
        <w:ind w:firstLine="480"/>
      </w:pPr>
      <w:r w:rsidRPr="00D630D1">
        <w:t>预测</w:t>
      </w:r>
      <w:r w:rsidRPr="00D630D1">
        <w:rPr>
          <w:b/>
          <w:bCs/>
        </w:rPr>
        <w:t>ΔS</w:t>
      </w:r>
      <w:r w:rsidRPr="00D630D1">
        <w:t>值：采用《环境影响评价技术导则土壤环境（试行）》中</w:t>
      </w:r>
      <w:r w:rsidRPr="00D630D1">
        <w:t>E.1.3</w:t>
      </w:r>
      <w:r w:rsidRPr="00D630D1">
        <w:t>中预测方法及选取的参数，可计算：</w:t>
      </w:r>
    </w:p>
    <w:p w:rsidR="00AB4A38" w:rsidRPr="00D630D1" w:rsidRDefault="00AB4A38" w:rsidP="00AB4A38">
      <w:pPr>
        <w:pStyle w:val="afa"/>
        <w:ind w:firstLine="480"/>
      </w:pPr>
      <w:r w:rsidRPr="00D630D1">
        <w:t>土层中石油类增量</w:t>
      </w:r>
      <w:r w:rsidRPr="00D630D1">
        <w:rPr>
          <w:i/>
          <w:iCs/>
        </w:rPr>
        <w:t>ΔS</w:t>
      </w:r>
      <w:r w:rsidRPr="00D630D1">
        <w:t>石油类</w:t>
      </w:r>
      <w:r w:rsidRPr="00D630D1">
        <w:t>=</w:t>
      </w:r>
      <w:r w:rsidR="00020DA9" w:rsidRPr="00D630D1">
        <w:rPr>
          <w:rFonts w:hint="eastAsia"/>
        </w:rPr>
        <w:t>5.024</w:t>
      </w:r>
      <w:r w:rsidRPr="00D630D1">
        <w:t>kg/</w:t>
      </w:r>
      <w:r w:rsidRPr="00D630D1">
        <w:t>（</w:t>
      </w:r>
      <w:r w:rsidRPr="00D630D1">
        <w:t>1350kg/m</w:t>
      </w:r>
      <w:r w:rsidRPr="00D630D1">
        <w:rPr>
          <w:vertAlign w:val="superscript"/>
        </w:rPr>
        <w:t>3</w:t>
      </w:r>
      <w:r w:rsidRPr="00D630D1">
        <w:t>×</w:t>
      </w:r>
      <w:r w:rsidR="00020DA9" w:rsidRPr="00D630D1">
        <w:rPr>
          <w:rFonts w:hint="eastAsia"/>
        </w:rPr>
        <w:t>3.14</w:t>
      </w:r>
      <w:r w:rsidRPr="00D630D1">
        <w:t>m</w:t>
      </w:r>
      <w:r w:rsidRPr="00D630D1">
        <w:rPr>
          <w:vertAlign w:val="superscript"/>
        </w:rPr>
        <w:t>2</w:t>
      </w:r>
      <w:r w:rsidRPr="00D630D1">
        <w:t>×0.2m</w:t>
      </w:r>
      <w:r w:rsidRPr="00D630D1">
        <w:t>）</w:t>
      </w:r>
      <w:r w:rsidRPr="00D630D1">
        <w:t>=</w:t>
      </w:r>
      <w:r w:rsidRPr="00D630D1">
        <w:rPr>
          <w:rFonts w:hint="eastAsia"/>
        </w:rPr>
        <w:t>0.0</w:t>
      </w:r>
      <w:r w:rsidR="00020DA9" w:rsidRPr="00D630D1">
        <w:rPr>
          <w:rFonts w:hint="eastAsia"/>
        </w:rPr>
        <w:t>06</w:t>
      </w:r>
      <w:r w:rsidRPr="00D630D1">
        <w:t>g/kg</w:t>
      </w:r>
      <w:r w:rsidRPr="00D630D1">
        <w:t>；</w:t>
      </w:r>
    </w:p>
    <w:p w:rsidR="00AB4A38" w:rsidRPr="00D630D1" w:rsidRDefault="00AB4A38" w:rsidP="00AB4A38">
      <w:pPr>
        <w:pStyle w:val="afa"/>
        <w:ind w:firstLine="480"/>
      </w:pPr>
      <w:r w:rsidRPr="00D630D1">
        <w:t>预测值</w:t>
      </w:r>
      <w:r w:rsidRPr="00D630D1">
        <w:rPr>
          <w:b/>
          <w:bCs/>
        </w:rPr>
        <w:t>S</w:t>
      </w:r>
      <w:r w:rsidRPr="00D630D1">
        <w:t>值：根据本次评价阶段的土壤监测数据，石油类（石油烃）</w:t>
      </w:r>
      <w:r w:rsidR="00E65D24" w:rsidRPr="00D630D1">
        <w:t>最大</w:t>
      </w:r>
      <w:r w:rsidRPr="00D630D1">
        <w:t>浓度为</w:t>
      </w:r>
      <w:r w:rsidRPr="00D630D1">
        <w:t>0.</w:t>
      </w:r>
      <w:r w:rsidR="00B751C8">
        <w:rPr>
          <w:rFonts w:hint="eastAsia"/>
        </w:rPr>
        <w:t>016</w:t>
      </w:r>
      <w:r w:rsidRPr="00D630D1">
        <w:t>g/kg</w:t>
      </w:r>
      <w:r w:rsidRPr="00D630D1">
        <w:t>，土层中石油类预测值</w:t>
      </w:r>
      <w:r w:rsidRPr="00D630D1">
        <w:rPr>
          <w:i/>
          <w:iCs/>
        </w:rPr>
        <w:t>S</w:t>
      </w:r>
      <w:r w:rsidRPr="00D630D1">
        <w:t>为</w:t>
      </w:r>
      <w:r w:rsidRPr="00D630D1">
        <w:rPr>
          <w:rFonts w:hint="eastAsia"/>
        </w:rPr>
        <w:t>0.</w:t>
      </w:r>
      <w:r w:rsidR="00B751C8">
        <w:rPr>
          <w:rFonts w:hint="eastAsia"/>
        </w:rPr>
        <w:t>032</w:t>
      </w:r>
      <w:r w:rsidRPr="00D630D1">
        <w:t>g/kg</w:t>
      </w:r>
      <w:r w:rsidRPr="00D630D1">
        <w:t>。满足《土壤环境质量</w:t>
      </w:r>
      <w:r w:rsidRPr="00D630D1">
        <w:rPr>
          <w:rFonts w:hint="eastAsia"/>
        </w:rPr>
        <w:t xml:space="preserve"> </w:t>
      </w:r>
      <w:r w:rsidRPr="00D630D1">
        <w:t>建设用地土壤污染风险管控标准（试行）》（</w:t>
      </w:r>
      <w:r w:rsidRPr="00D630D1">
        <w:t>GB36600-2018</w:t>
      </w:r>
      <w:r w:rsidRPr="00D630D1">
        <w:t>）第二类用地筛选值。</w:t>
      </w:r>
    </w:p>
    <w:p w:rsidR="00C00846" w:rsidRPr="00D630D1" w:rsidRDefault="00C00846" w:rsidP="00C00846">
      <w:pPr>
        <w:pStyle w:val="afa"/>
        <w:ind w:firstLine="482"/>
        <w:rPr>
          <w:b/>
          <w:bCs/>
        </w:rPr>
      </w:pPr>
      <w:r w:rsidRPr="00D630D1">
        <w:rPr>
          <w:b/>
          <w:bCs/>
        </w:rPr>
        <w:t>6</w:t>
      </w:r>
      <w:r w:rsidRPr="00D630D1">
        <w:rPr>
          <w:b/>
          <w:bCs/>
        </w:rPr>
        <w:t>、</w:t>
      </w:r>
      <w:r w:rsidRPr="00D630D1">
        <w:rPr>
          <w:rFonts w:hint="eastAsia"/>
          <w:b/>
          <w:bCs/>
        </w:rPr>
        <w:t>小结</w:t>
      </w:r>
    </w:p>
    <w:p w:rsidR="00C00846" w:rsidRPr="00D630D1" w:rsidRDefault="00D51DC8" w:rsidP="00C00846">
      <w:pPr>
        <w:pStyle w:val="afa"/>
        <w:ind w:firstLine="480"/>
      </w:pPr>
      <w:r w:rsidRPr="00D630D1">
        <w:t>本项目正常工况下基本不会对土壤造成影响，主要考虑</w:t>
      </w:r>
      <w:r w:rsidR="00EF360A" w:rsidRPr="00D630D1">
        <w:rPr>
          <w:rFonts w:hint="eastAsia"/>
        </w:rPr>
        <w:t>污水缓冲罐</w:t>
      </w:r>
      <w:r w:rsidRPr="00D630D1">
        <w:t>破裂，引起事故泄漏形成垂直入渗，有可能</w:t>
      </w:r>
      <w:r w:rsidR="00C00846" w:rsidRPr="00D630D1">
        <w:rPr>
          <w:rFonts w:hint="eastAsia"/>
        </w:rPr>
        <w:t>对土壤环境</w:t>
      </w:r>
      <w:r w:rsidRPr="00D630D1">
        <w:rPr>
          <w:rFonts w:hint="eastAsia"/>
        </w:rPr>
        <w:t>产生污染</w:t>
      </w:r>
      <w:r w:rsidR="00C00846" w:rsidRPr="00D630D1">
        <w:rPr>
          <w:rFonts w:hint="eastAsia"/>
        </w:rPr>
        <w:t>影响。因此，环评要求建设单位须做好管道的防腐防渗措施，</w:t>
      </w:r>
      <w:r w:rsidR="001205FA" w:rsidRPr="00D630D1">
        <w:rPr>
          <w:rFonts w:hint="eastAsia"/>
        </w:rPr>
        <w:t>定期检修</w:t>
      </w:r>
      <w:r w:rsidR="00EF360A" w:rsidRPr="00D630D1">
        <w:rPr>
          <w:rFonts w:hint="eastAsia"/>
        </w:rPr>
        <w:t>污水缓冲罐</w:t>
      </w:r>
      <w:r w:rsidR="001205FA" w:rsidRPr="00D630D1">
        <w:rPr>
          <w:rFonts w:hint="eastAsia"/>
        </w:rPr>
        <w:t>，及时发现并修护泄漏</w:t>
      </w:r>
      <w:r w:rsidR="00C00846" w:rsidRPr="00D630D1">
        <w:rPr>
          <w:rFonts w:hint="eastAsia"/>
        </w:rPr>
        <w:t>破损问题。</w:t>
      </w:r>
    </w:p>
    <w:p w:rsidR="00FE2E10" w:rsidRDefault="00C00846" w:rsidP="00C00846">
      <w:pPr>
        <w:pStyle w:val="afa"/>
        <w:ind w:firstLine="480"/>
      </w:pPr>
      <w:r w:rsidRPr="00D630D1">
        <w:rPr>
          <w:rFonts w:hint="eastAsia"/>
        </w:rPr>
        <w:t>根据调查，川渝地区实施的地面集输项目，在采取了妥善防范措施的情况下，均未发现对土壤产生明显污染影响的情况，也没有接到关于土壤污染环保投诉的地面集输项目，也印证了采取防范措施的情况下站场运行过程中没有对土壤环境质量产生明显的负面影响。</w:t>
      </w:r>
    </w:p>
    <w:p w:rsidR="00A62354" w:rsidRPr="00D630D1" w:rsidRDefault="00A62354" w:rsidP="00A62354">
      <w:pPr>
        <w:pStyle w:val="2"/>
        <w:spacing w:before="120"/>
        <w:rPr>
          <w:rFonts w:cs="Times New Roman"/>
        </w:rPr>
      </w:pPr>
      <w:r w:rsidRPr="00D630D1">
        <w:rPr>
          <w:rFonts w:cs="Times New Roman"/>
        </w:rPr>
        <w:t>6.</w:t>
      </w:r>
      <w:r>
        <w:rPr>
          <w:rFonts w:cs="Times New Roman" w:hint="eastAsia"/>
        </w:rPr>
        <w:t>3</w:t>
      </w:r>
      <w:r w:rsidRPr="00D630D1">
        <w:rPr>
          <w:rFonts w:cs="Times New Roman"/>
        </w:rPr>
        <w:t xml:space="preserve"> </w:t>
      </w:r>
      <w:r>
        <w:rPr>
          <w:rFonts w:cs="Times New Roman" w:hint="eastAsia"/>
        </w:rPr>
        <w:t>退役</w:t>
      </w:r>
      <w:r w:rsidRPr="00D630D1">
        <w:rPr>
          <w:rFonts w:cs="Times New Roman" w:hint="eastAsia"/>
        </w:rPr>
        <w:t>期环境影响</w:t>
      </w:r>
      <w:r>
        <w:rPr>
          <w:rFonts w:cs="Times New Roman" w:hint="eastAsia"/>
        </w:rPr>
        <w:t>分析</w:t>
      </w:r>
    </w:p>
    <w:p w:rsidR="00A62354" w:rsidRDefault="00A62354" w:rsidP="00A62354">
      <w:pPr>
        <w:pStyle w:val="afa"/>
        <w:ind w:firstLine="480"/>
      </w:pPr>
      <w:r>
        <w:rPr>
          <w:rFonts w:hint="eastAsia"/>
        </w:rPr>
        <w:t>随着天然气开采的不断进行，其储量逐渐下降，最终将进入服役期满。当气</w:t>
      </w:r>
      <w:r>
        <w:rPr>
          <w:rFonts w:hint="eastAsia"/>
        </w:rPr>
        <w:lastRenderedPageBreak/>
        <w:t>井开发接近尾声时，各种机械设备将停止使用，进驻其中的天然气开发工作人员将陆续撤离井场，由此带来的大气污染物、生产废水、生活污水、噪声及固体废物等对环境的影响将会消失。</w:t>
      </w:r>
    </w:p>
    <w:p w:rsidR="00A62354" w:rsidRDefault="00A62354" w:rsidP="00A62354">
      <w:pPr>
        <w:pStyle w:val="afa"/>
        <w:ind w:firstLine="480"/>
      </w:pPr>
      <w:r>
        <w:rPr>
          <w:rFonts w:hint="eastAsia"/>
        </w:rPr>
        <w:t>服役期满的环境影响以生态环境的恢复为主，同时封井和井场清理也会产生少量扬尘和建筑垃圾，会对周围的环境造成一定影响。</w:t>
      </w:r>
    </w:p>
    <w:p w:rsidR="00A62354" w:rsidRDefault="00A62354" w:rsidP="00A62354">
      <w:pPr>
        <w:pStyle w:val="afa"/>
        <w:ind w:firstLine="480"/>
      </w:pPr>
      <w:r>
        <w:rPr>
          <w:rFonts w:hint="eastAsia"/>
        </w:rPr>
        <w:t>气井停采后将进行一系列清理工作，包括地面设施拆除、地下截去至少</w:t>
      </w:r>
      <w:r>
        <w:rPr>
          <w:rFonts w:hint="eastAsia"/>
        </w:rPr>
        <w:t xml:space="preserve"> 1m</w:t>
      </w:r>
      <w:r>
        <w:rPr>
          <w:rFonts w:hint="eastAsia"/>
        </w:rPr>
        <w:t>的井筒并用水泥灌注封井、井场清理等。在这期间，将会产生少量扬尘和固体废物。在闭井施工操作中应注意采取降尘措施，文明施工，防止水泥等的洒落与飘散，同时在清理井场时防止产生飞灰、扬尘的产生，尽可能降低对周边大气环境的影响。</w:t>
      </w:r>
    </w:p>
    <w:p w:rsidR="00A62354" w:rsidRDefault="00A62354" w:rsidP="00A62354">
      <w:pPr>
        <w:pStyle w:val="afa"/>
        <w:ind w:firstLine="480"/>
      </w:pPr>
      <w:r>
        <w:rPr>
          <w:rFonts w:hint="eastAsia"/>
        </w:rPr>
        <w:t>另外，井场清理等工作还会产生部分废弃管线、废弃建筑残渣等固体废物，对这些废弃管线、残渣等进行集中清理收集，管线外运经清洗后可回收再利用，废弃建筑残渣外运至指定处理场填埋处理。固体废物的妥善处理，可以有效控制对区域环境的影响。</w:t>
      </w:r>
    </w:p>
    <w:p w:rsidR="00A62354" w:rsidRPr="00733954" w:rsidRDefault="00A62354" w:rsidP="00A62354">
      <w:pPr>
        <w:pStyle w:val="afa"/>
        <w:ind w:firstLine="480"/>
      </w:pPr>
      <w:r>
        <w:rPr>
          <w:rFonts w:hint="eastAsia"/>
        </w:rPr>
        <w:t>井场经过清理后，永久性占地范围内的水泥平台或砂砾石铺垫被清理，随后根据周边区域的自然现状对其进行恢复，使井场恢复到相对自然的一种状态。井场设施退役后，人员撤离，区域内没有了人为的扰动，井场范围内的自然环境会逐渐得以恢复，有助于区域生态环境的改善。</w:t>
      </w:r>
    </w:p>
    <w:p w:rsidR="00A62354" w:rsidRPr="00A62354" w:rsidRDefault="00A62354" w:rsidP="00A62354">
      <w:pPr>
        <w:pStyle w:val="afa"/>
        <w:ind w:firstLine="480"/>
      </w:pPr>
    </w:p>
    <w:p w:rsidR="00A62354" w:rsidRPr="00D630D1" w:rsidRDefault="00A62354" w:rsidP="00C00846">
      <w:pPr>
        <w:pStyle w:val="afa"/>
        <w:ind w:firstLine="480"/>
      </w:pPr>
    </w:p>
    <w:p w:rsidR="00FE2E10" w:rsidRPr="00D630D1" w:rsidRDefault="00FE2E10" w:rsidP="00E32462">
      <w:pPr>
        <w:pStyle w:val="afa"/>
        <w:ind w:firstLine="480"/>
      </w:pPr>
    </w:p>
    <w:p w:rsidR="00117C3D" w:rsidRPr="00D630D1" w:rsidRDefault="00117C3D">
      <w:pPr>
        <w:pStyle w:val="a1"/>
        <w:ind w:firstLine="480"/>
        <w:rPr>
          <w:rFonts w:ascii="Times New Roman" w:cs="Times New Roman"/>
        </w:rPr>
        <w:sectPr w:rsidR="00117C3D" w:rsidRPr="00D630D1" w:rsidSect="00BA4F10">
          <w:pgSz w:w="11906" w:h="16838"/>
          <w:pgMar w:top="1440" w:right="1800" w:bottom="1440" w:left="1800" w:header="851" w:footer="992" w:gutter="0"/>
          <w:cols w:space="425"/>
          <w:docGrid w:type="lines" w:linePitch="312"/>
        </w:sectPr>
      </w:pPr>
    </w:p>
    <w:p w:rsidR="00117C3D" w:rsidRPr="00D630D1" w:rsidRDefault="002246E4" w:rsidP="0046752E">
      <w:pPr>
        <w:pStyle w:val="1"/>
        <w:spacing w:before="0" w:beforeAutospacing="0" w:after="0" w:afterAutospacing="0"/>
        <w:rPr>
          <w:rFonts w:eastAsia="宋体"/>
          <w:b w:val="0"/>
          <w:bCs/>
          <w:kern w:val="0"/>
        </w:rPr>
      </w:pPr>
      <w:bookmarkStart w:id="507" w:name="_Toc19816091"/>
      <w:bookmarkStart w:id="508" w:name="_Toc81515291"/>
      <w:bookmarkStart w:id="509" w:name="_Hlk56973055"/>
      <w:r w:rsidRPr="00D630D1">
        <w:rPr>
          <w:rFonts w:eastAsia="宋体"/>
          <w:bCs/>
          <w:kern w:val="0"/>
        </w:rPr>
        <w:lastRenderedPageBreak/>
        <w:t>7</w:t>
      </w:r>
      <w:r w:rsidR="008B5B84" w:rsidRPr="00D630D1">
        <w:rPr>
          <w:rFonts w:eastAsia="宋体"/>
          <w:bCs/>
          <w:kern w:val="0"/>
        </w:rPr>
        <w:t xml:space="preserve"> </w:t>
      </w:r>
      <w:r w:rsidR="008B5B84" w:rsidRPr="00D630D1">
        <w:rPr>
          <w:rFonts w:eastAsia="宋体"/>
          <w:bCs/>
          <w:kern w:val="0"/>
        </w:rPr>
        <w:t>环境风险分析</w:t>
      </w:r>
      <w:bookmarkEnd w:id="507"/>
      <w:bookmarkEnd w:id="508"/>
    </w:p>
    <w:p w:rsidR="00117C3D" w:rsidRPr="00D630D1" w:rsidRDefault="0046752E" w:rsidP="0046752E">
      <w:pPr>
        <w:pStyle w:val="2"/>
        <w:spacing w:before="120"/>
        <w:rPr>
          <w:rFonts w:cs="Times New Roman"/>
        </w:rPr>
      </w:pPr>
      <w:bookmarkStart w:id="510" w:name="_Toc81515292"/>
      <w:r w:rsidRPr="00D630D1">
        <w:rPr>
          <w:rFonts w:cs="Times New Roman"/>
        </w:rPr>
        <w:t>7</w:t>
      </w:r>
      <w:r w:rsidR="008B5B84" w:rsidRPr="00D630D1">
        <w:rPr>
          <w:rFonts w:cs="Times New Roman"/>
        </w:rPr>
        <w:t>.1</w:t>
      </w:r>
      <w:r w:rsidRPr="00D630D1">
        <w:rPr>
          <w:rFonts w:cs="Times New Roman"/>
        </w:rPr>
        <w:t xml:space="preserve"> </w:t>
      </w:r>
      <w:r w:rsidR="008B5B84" w:rsidRPr="00D630D1">
        <w:rPr>
          <w:rFonts w:cs="Times New Roman"/>
        </w:rPr>
        <w:t>评价依据</w:t>
      </w:r>
      <w:bookmarkEnd w:id="510"/>
    </w:p>
    <w:p w:rsidR="00117C3D" w:rsidRPr="00D630D1" w:rsidRDefault="008B5B84" w:rsidP="00B13323">
      <w:pPr>
        <w:pStyle w:val="afa"/>
        <w:ind w:firstLine="480"/>
      </w:pPr>
      <w:r w:rsidRPr="00D630D1">
        <w:t>本环评按照《建设项目环境风险评价技术导则》（</w:t>
      </w:r>
      <w:r w:rsidRPr="00D630D1">
        <w:t>HJ169-2018</w:t>
      </w:r>
      <w:r w:rsidRPr="00D630D1">
        <w:t>）、《关于进一步加强环境影响评价管理防范环境风险的通知》（环发</w:t>
      </w:r>
      <w:r w:rsidR="0046752E" w:rsidRPr="00D630D1">
        <w:t>〔</w:t>
      </w:r>
      <w:r w:rsidR="0046752E" w:rsidRPr="00D630D1">
        <w:t>2012</w:t>
      </w:r>
      <w:r w:rsidR="0046752E" w:rsidRPr="00D630D1">
        <w:t>〕</w:t>
      </w:r>
      <w:r w:rsidRPr="00D630D1">
        <w:t>77</w:t>
      </w:r>
      <w:r w:rsidRPr="00D630D1">
        <w:t>号）和《关于切实加强风险防范严格环境影响评价管理的通知》（环发</w:t>
      </w:r>
      <w:r w:rsidR="0046752E" w:rsidRPr="00D630D1">
        <w:t>〔</w:t>
      </w:r>
      <w:r w:rsidR="0046752E" w:rsidRPr="00D630D1">
        <w:t>2012</w:t>
      </w:r>
      <w:r w:rsidR="0046752E" w:rsidRPr="00D630D1">
        <w:t>〕</w:t>
      </w:r>
      <w:r w:rsidRPr="00D630D1">
        <w:t>98</w:t>
      </w:r>
      <w:r w:rsidRPr="00D630D1">
        <w:t>号）的精神，对本项目环境风险进行分析评价。</w:t>
      </w:r>
    </w:p>
    <w:p w:rsidR="00102095" w:rsidRPr="00D630D1" w:rsidRDefault="00102095" w:rsidP="00102095">
      <w:pPr>
        <w:pStyle w:val="2"/>
        <w:spacing w:before="120"/>
        <w:rPr>
          <w:rFonts w:cs="Times New Roman"/>
        </w:rPr>
      </w:pPr>
      <w:bookmarkStart w:id="511" w:name="_Toc81515293"/>
      <w:r w:rsidRPr="00D630D1">
        <w:rPr>
          <w:rFonts w:cs="Times New Roman"/>
        </w:rPr>
        <w:t xml:space="preserve">7.2 </w:t>
      </w:r>
      <w:r w:rsidRPr="00D630D1">
        <w:rPr>
          <w:rFonts w:cs="Times New Roman"/>
        </w:rPr>
        <w:t>一般性原则</w:t>
      </w:r>
      <w:bookmarkEnd w:id="511"/>
    </w:p>
    <w:p w:rsidR="00102095" w:rsidRPr="00D630D1" w:rsidRDefault="00102095" w:rsidP="00B13323">
      <w:pPr>
        <w:pStyle w:val="afa"/>
        <w:ind w:firstLine="480"/>
      </w:pPr>
      <w:r w:rsidRPr="00D630D1">
        <w:t>根据《建设项目环境风险评价技术导则》（</w:t>
      </w:r>
      <w:r w:rsidRPr="00D630D1">
        <w:t>HJ169-2018</w:t>
      </w:r>
      <w:r w:rsidRPr="00D630D1">
        <w:t>），环境风险评价是以突发性事故导致的危险物质环境及损害防控为目标，对建设项目的环境风险进行分析、预测和评估，提出环境风险预防、控制、减缓措施，明确环境风险监控及应急建议要求，为建设项目环境风险防控提供科学依据。</w:t>
      </w:r>
    </w:p>
    <w:p w:rsidR="00117C3D" w:rsidRPr="00D630D1" w:rsidRDefault="0046752E" w:rsidP="0046752E">
      <w:pPr>
        <w:pStyle w:val="2"/>
        <w:spacing w:before="120"/>
        <w:rPr>
          <w:rFonts w:cs="Times New Roman"/>
        </w:rPr>
      </w:pPr>
      <w:bookmarkStart w:id="512" w:name="_Toc81515294"/>
      <w:r w:rsidRPr="00D630D1">
        <w:rPr>
          <w:rFonts w:cs="Times New Roman"/>
        </w:rPr>
        <w:t>7</w:t>
      </w:r>
      <w:r w:rsidR="008B5B84" w:rsidRPr="00D630D1">
        <w:rPr>
          <w:rFonts w:cs="Times New Roman"/>
        </w:rPr>
        <w:t>.</w:t>
      </w:r>
      <w:r w:rsidR="00102095" w:rsidRPr="00D630D1">
        <w:rPr>
          <w:rFonts w:cs="Times New Roman"/>
        </w:rPr>
        <w:t>3</w:t>
      </w:r>
      <w:r w:rsidRPr="00D630D1">
        <w:rPr>
          <w:rFonts w:cs="Times New Roman"/>
        </w:rPr>
        <w:t xml:space="preserve"> </w:t>
      </w:r>
      <w:r w:rsidR="008B5B84" w:rsidRPr="00D630D1">
        <w:rPr>
          <w:rFonts w:cs="Times New Roman"/>
        </w:rPr>
        <w:t>评价目的及重点</w:t>
      </w:r>
      <w:bookmarkEnd w:id="512"/>
    </w:p>
    <w:p w:rsidR="006B4E48" w:rsidRPr="00D630D1" w:rsidRDefault="00102095" w:rsidP="006B4E48">
      <w:pPr>
        <w:pStyle w:val="a1"/>
        <w:ind w:firstLine="480"/>
        <w:rPr>
          <w:rFonts w:ascii="Times New Roman" w:cs="Times New Roman"/>
        </w:rPr>
      </w:pPr>
      <w:r w:rsidRPr="00D630D1">
        <w:rPr>
          <w:rFonts w:ascii="Times New Roman" w:cs="Times New Roman"/>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根据本项目工程特点和周围的环境状况，确定把风险带来的环境影响问题作为风险评价工作重点。</w:t>
      </w:r>
    </w:p>
    <w:p w:rsidR="00117C3D" w:rsidRPr="00D630D1" w:rsidRDefault="00102095" w:rsidP="006B4E48">
      <w:pPr>
        <w:pStyle w:val="a1"/>
        <w:ind w:firstLine="480"/>
        <w:rPr>
          <w:rFonts w:ascii="Times New Roman" w:cs="Times New Roman"/>
        </w:rPr>
      </w:pPr>
      <w:r w:rsidRPr="00D630D1">
        <w:rPr>
          <w:rFonts w:ascii="Times New Roman" w:cs="Times New Roman"/>
        </w:rPr>
        <w:t>根据本项目特点，本报告主要针对</w:t>
      </w:r>
      <w:r w:rsidR="00D630D1" w:rsidRPr="00D630D1">
        <w:rPr>
          <w:rFonts w:ascii="Times New Roman" w:cs="Times New Roman"/>
        </w:rPr>
        <w:t>普光气田普陆页</w:t>
      </w:r>
      <w:r w:rsidR="00D630D1" w:rsidRPr="00D630D1">
        <w:rPr>
          <w:rFonts w:ascii="Times New Roman" w:cs="Times New Roman"/>
        </w:rPr>
        <w:t>1</w:t>
      </w:r>
      <w:r w:rsidR="00D630D1" w:rsidRPr="00D630D1">
        <w:rPr>
          <w:rFonts w:ascii="Times New Roman" w:cs="Times New Roman"/>
        </w:rPr>
        <w:t>试验井组项目</w:t>
      </w:r>
      <w:r w:rsidR="00BB06B3" w:rsidRPr="00D630D1">
        <w:rPr>
          <w:rFonts w:hint="eastAsia"/>
        </w:rPr>
        <w:t>井喷过程天然气泄漏</w:t>
      </w:r>
      <w:r w:rsidR="00BB06B3" w:rsidRPr="00D630D1">
        <w:rPr>
          <w:rFonts w:ascii="Times New Roman" w:cs="Times New Roman"/>
        </w:rPr>
        <w:t>及泄漏引发的火灾</w:t>
      </w:r>
      <w:r w:rsidR="00BB06B3" w:rsidRPr="00D630D1">
        <w:rPr>
          <w:rFonts w:ascii="Times New Roman" w:cs="Times New Roman" w:hint="eastAsia"/>
        </w:rPr>
        <w:t>事故</w:t>
      </w:r>
      <w:r w:rsidR="00BB06B3" w:rsidRPr="00D630D1">
        <w:rPr>
          <w:rFonts w:hint="eastAsia"/>
        </w:rPr>
        <w:t>、</w:t>
      </w:r>
      <w:r w:rsidR="009E7637" w:rsidRPr="00D630D1">
        <w:rPr>
          <w:rFonts w:ascii="Times New Roman" w:cs="Times New Roman"/>
        </w:rPr>
        <w:t>天然气输气管线</w:t>
      </w:r>
      <w:r w:rsidRPr="00D630D1">
        <w:rPr>
          <w:rFonts w:ascii="Times New Roman" w:cs="Times New Roman"/>
        </w:rPr>
        <w:t>发生天然气泄漏及泄漏引发的火灾</w:t>
      </w:r>
      <w:r w:rsidR="00EF360A" w:rsidRPr="00D630D1">
        <w:rPr>
          <w:rFonts w:ascii="Times New Roman" w:cs="Times New Roman" w:hint="eastAsia"/>
        </w:rPr>
        <w:t>事故、压裂、洗井废水</w:t>
      </w:r>
      <w:r w:rsidR="001600C0" w:rsidRPr="00D630D1">
        <w:rPr>
          <w:rFonts w:ascii="Times New Roman" w:cs="Times New Roman"/>
        </w:rPr>
        <w:t>泄漏引发的水环境污染事故</w:t>
      </w:r>
      <w:r w:rsidRPr="00D630D1">
        <w:rPr>
          <w:rFonts w:ascii="Times New Roman" w:cs="Times New Roman"/>
        </w:rPr>
        <w:t>、爆炸事故燃烧过程中产生的伴生</w:t>
      </w:r>
      <w:r w:rsidRPr="00D630D1">
        <w:rPr>
          <w:rFonts w:ascii="Times New Roman" w:cs="Times New Roman"/>
        </w:rPr>
        <w:t>/</w:t>
      </w:r>
      <w:r w:rsidRPr="00D630D1">
        <w:rPr>
          <w:rFonts w:ascii="Times New Roman" w:cs="Times New Roman"/>
        </w:rPr>
        <w:t>次生污染物对环境的影响进行评价。</w:t>
      </w:r>
    </w:p>
    <w:p w:rsidR="00117C3D" w:rsidRPr="00D630D1" w:rsidRDefault="0046752E" w:rsidP="0046752E">
      <w:pPr>
        <w:pStyle w:val="2"/>
        <w:spacing w:before="120"/>
        <w:rPr>
          <w:rFonts w:cs="Times New Roman"/>
        </w:rPr>
      </w:pPr>
      <w:bookmarkStart w:id="513" w:name="bookmark55"/>
      <w:bookmarkStart w:id="514" w:name="_Toc12288718"/>
      <w:bookmarkStart w:id="515" w:name="_Toc19816092"/>
      <w:bookmarkStart w:id="516" w:name="_Toc81515295"/>
      <w:bookmarkEnd w:id="513"/>
      <w:r w:rsidRPr="00D630D1">
        <w:rPr>
          <w:rFonts w:cs="Times New Roman"/>
        </w:rPr>
        <w:t>7</w:t>
      </w:r>
      <w:r w:rsidR="008B5B84" w:rsidRPr="00D630D1">
        <w:rPr>
          <w:rFonts w:cs="Times New Roman"/>
        </w:rPr>
        <w:t>.</w:t>
      </w:r>
      <w:r w:rsidR="00102095" w:rsidRPr="00D630D1">
        <w:rPr>
          <w:rFonts w:cs="Times New Roman"/>
        </w:rPr>
        <w:t>4</w:t>
      </w:r>
      <w:r w:rsidRPr="00D630D1">
        <w:rPr>
          <w:rFonts w:cs="Times New Roman"/>
        </w:rPr>
        <w:t xml:space="preserve"> </w:t>
      </w:r>
      <w:r w:rsidR="008B5B84" w:rsidRPr="00D630D1">
        <w:rPr>
          <w:rFonts w:cs="Times New Roman"/>
        </w:rPr>
        <w:t>风险调查</w:t>
      </w:r>
      <w:bookmarkEnd w:id="514"/>
      <w:bookmarkEnd w:id="515"/>
      <w:bookmarkEnd w:id="516"/>
    </w:p>
    <w:p w:rsidR="00117C3D" w:rsidRPr="00D630D1" w:rsidRDefault="0046752E">
      <w:pPr>
        <w:pStyle w:val="3"/>
        <w:rPr>
          <w:rFonts w:eastAsia="宋体"/>
        </w:rPr>
      </w:pPr>
      <w:bookmarkStart w:id="517" w:name="bookmark56"/>
      <w:bookmarkStart w:id="518" w:name="_Toc19816093"/>
      <w:bookmarkStart w:id="519" w:name="_Toc12288719"/>
      <w:bookmarkEnd w:id="517"/>
      <w:r w:rsidRPr="00D630D1">
        <w:rPr>
          <w:rFonts w:eastAsia="宋体"/>
        </w:rPr>
        <w:t>7</w:t>
      </w:r>
      <w:r w:rsidR="008B5B84" w:rsidRPr="00D630D1">
        <w:rPr>
          <w:rFonts w:eastAsia="宋体"/>
        </w:rPr>
        <w:t xml:space="preserve">.3.1 </w:t>
      </w:r>
      <w:r w:rsidR="008B5B84" w:rsidRPr="00D630D1">
        <w:rPr>
          <w:rFonts w:eastAsia="宋体"/>
        </w:rPr>
        <w:t>风险源</w:t>
      </w:r>
      <w:bookmarkEnd w:id="518"/>
      <w:bookmarkEnd w:id="519"/>
    </w:p>
    <w:p w:rsidR="00117C3D" w:rsidRPr="00D630D1" w:rsidRDefault="008B5B84">
      <w:pPr>
        <w:pStyle w:val="a1"/>
        <w:ind w:firstLine="480"/>
        <w:rPr>
          <w:rFonts w:ascii="Times New Roman" w:cs="Times New Roman"/>
        </w:rPr>
      </w:pPr>
      <w:r w:rsidRPr="00D630D1">
        <w:rPr>
          <w:rFonts w:ascii="Times New Roman" w:cs="Times New Roman"/>
        </w:rPr>
        <w:t>本工程是</w:t>
      </w:r>
      <w:r w:rsidR="001600C0" w:rsidRPr="00D630D1">
        <w:rPr>
          <w:rFonts w:ascii="Times New Roman" w:cs="Times New Roman"/>
        </w:rPr>
        <w:t>天然气</w:t>
      </w:r>
      <w:r w:rsidR="00586C59" w:rsidRPr="00D630D1">
        <w:rPr>
          <w:rFonts w:ascii="Times New Roman" w:cs="Times New Roman" w:hint="eastAsia"/>
        </w:rPr>
        <w:t>开采</w:t>
      </w:r>
      <w:r w:rsidR="00B11B9F" w:rsidRPr="00D630D1">
        <w:rPr>
          <w:rFonts w:ascii="Times New Roman" w:cs="Times New Roman"/>
        </w:rPr>
        <w:t>和</w:t>
      </w:r>
      <w:r w:rsidR="001600C0" w:rsidRPr="00D630D1">
        <w:rPr>
          <w:rFonts w:ascii="Times New Roman" w:cs="Times New Roman"/>
        </w:rPr>
        <w:t>内部集输工程</w:t>
      </w:r>
      <w:r w:rsidRPr="00D630D1">
        <w:rPr>
          <w:rFonts w:ascii="Times New Roman" w:cs="Times New Roman"/>
        </w:rPr>
        <w:t>，</w:t>
      </w:r>
      <w:r w:rsidR="00032CF1" w:rsidRPr="00D630D1">
        <w:rPr>
          <w:rFonts w:ascii="Times New Roman" w:cs="Times New Roman"/>
        </w:rPr>
        <w:t>本工</w:t>
      </w:r>
      <w:r w:rsidR="004933A6" w:rsidRPr="00D630D1">
        <w:rPr>
          <w:rFonts w:ascii="Times New Roman" w:cs="Times New Roman"/>
        </w:rPr>
        <w:t>程输送的介质为</w:t>
      </w:r>
      <w:r w:rsidR="00351C0A">
        <w:rPr>
          <w:rFonts w:ascii="Times New Roman" w:cs="Times New Roman" w:hint="eastAsia"/>
        </w:rPr>
        <w:t>不</w:t>
      </w:r>
      <w:r w:rsidR="004933A6" w:rsidRPr="00D630D1">
        <w:rPr>
          <w:rFonts w:ascii="Times New Roman" w:cs="Times New Roman"/>
        </w:rPr>
        <w:t>含硫天然气，</w:t>
      </w:r>
      <w:r w:rsidR="006F623C" w:rsidRPr="00D630D1">
        <w:rPr>
          <w:rFonts w:ascii="Times New Roman" w:cs="Times New Roman"/>
        </w:rPr>
        <w:t>同时本项目涉及柴油</w:t>
      </w:r>
      <w:r w:rsidR="00833FC0">
        <w:rPr>
          <w:rFonts w:ascii="Times New Roman" w:cs="Times New Roman" w:hint="eastAsia"/>
        </w:rPr>
        <w:t>、凝析油</w:t>
      </w:r>
      <w:r w:rsidR="006F623C" w:rsidRPr="00D630D1">
        <w:rPr>
          <w:rFonts w:ascii="Times New Roman" w:cs="Times New Roman"/>
        </w:rPr>
        <w:t>储存</w:t>
      </w:r>
      <w:r w:rsidR="006F623C" w:rsidRPr="00D630D1">
        <w:rPr>
          <w:rFonts w:ascii="Times New Roman" w:cs="Times New Roman" w:hint="eastAsia"/>
        </w:rPr>
        <w:t>，</w:t>
      </w:r>
      <w:r w:rsidR="004933A6" w:rsidRPr="00D630D1">
        <w:rPr>
          <w:rFonts w:ascii="Times New Roman" w:cs="Times New Roman"/>
        </w:rPr>
        <w:t>项目涉及的主要危险有害物质为甲烷</w:t>
      </w:r>
      <w:r w:rsidR="00032CF1" w:rsidRPr="00D630D1">
        <w:rPr>
          <w:rFonts w:ascii="Times New Roman" w:cs="Times New Roman"/>
        </w:rPr>
        <w:t>、</w:t>
      </w:r>
      <w:r w:rsidR="006F623C" w:rsidRPr="00D630D1">
        <w:rPr>
          <w:rFonts w:ascii="Times New Roman" w:cs="Times New Roman"/>
        </w:rPr>
        <w:t>柴油</w:t>
      </w:r>
      <w:r w:rsidR="00833FC0">
        <w:rPr>
          <w:rFonts w:ascii="Times New Roman" w:cs="Times New Roman" w:hint="eastAsia"/>
        </w:rPr>
        <w:t>、凝析油</w:t>
      </w:r>
      <w:r w:rsidR="00032CF1" w:rsidRPr="00D630D1">
        <w:rPr>
          <w:rFonts w:ascii="Times New Roman" w:cs="Times New Roman"/>
        </w:rPr>
        <w:t>。</w:t>
      </w:r>
      <w:r w:rsidRPr="00D630D1">
        <w:rPr>
          <w:rFonts w:ascii="Times New Roman" w:cs="Times New Roman"/>
        </w:rPr>
        <w:t>根据《建设项目环境风险评价技术导则》（</w:t>
      </w:r>
      <w:r w:rsidRPr="00D630D1">
        <w:rPr>
          <w:rFonts w:ascii="Times New Roman" w:cs="Times New Roman"/>
        </w:rPr>
        <w:t>HJ169-2018</w:t>
      </w:r>
      <w:r w:rsidRPr="00D630D1">
        <w:rPr>
          <w:rFonts w:ascii="Times New Roman" w:cs="Times New Roman"/>
        </w:rPr>
        <w:t>）附录</w:t>
      </w:r>
      <w:r w:rsidRPr="00D630D1">
        <w:rPr>
          <w:rFonts w:ascii="Times New Roman" w:cs="Times New Roman"/>
        </w:rPr>
        <w:t>B</w:t>
      </w:r>
      <w:r w:rsidRPr="00D630D1">
        <w:rPr>
          <w:rFonts w:ascii="Times New Roman" w:cs="Times New Roman"/>
        </w:rPr>
        <w:t>，本项</w:t>
      </w:r>
      <w:r w:rsidRPr="00D630D1">
        <w:rPr>
          <w:rFonts w:ascii="Times New Roman" w:cs="Times New Roman"/>
        </w:rPr>
        <w:lastRenderedPageBreak/>
        <w:t>目重点关注的危险物质主要为甲烷临界量为</w:t>
      </w:r>
      <w:r w:rsidRPr="00D630D1">
        <w:rPr>
          <w:rFonts w:ascii="Times New Roman" w:cs="Times New Roman"/>
        </w:rPr>
        <w:t>10t</w:t>
      </w:r>
      <w:r w:rsidR="006F623C" w:rsidRPr="00D630D1">
        <w:rPr>
          <w:rFonts w:ascii="Times New Roman" w:cs="Times New Roman" w:hint="eastAsia"/>
        </w:rPr>
        <w:t>；</w:t>
      </w:r>
      <w:r w:rsidR="006F623C" w:rsidRPr="00D630D1">
        <w:rPr>
          <w:rFonts w:ascii="Times New Roman" w:cs="Times New Roman"/>
        </w:rPr>
        <w:t>柴油</w:t>
      </w:r>
      <w:r w:rsidR="00833FC0">
        <w:rPr>
          <w:rFonts w:ascii="Times New Roman" w:cs="Times New Roman" w:hint="eastAsia"/>
        </w:rPr>
        <w:t>、凝析油</w:t>
      </w:r>
      <w:r w:rsidR="006F623C" w:rsidRPr="00D630D1">
        <w:rPr>
          <w:rFonts w:ascii="Times New Roman" w:cs="Times New Roman"/>
        </w:rPr>
        <w:t>临界量为</w:t>
      </w:r>
      <w:r w:rsidR="006F623C" w:rsidRPr="00D630D1">
        <w:rPr>
          <w:rFonts w:ascii="Times New Roman" w:cs="Times New Roman" w:hint="eastAsia"/>
        </w:rPr>
        <w:t>2500t</w:t>
      </w:r>
      <w:r w:rsidR="000F7383" w:rsidRPr="00D630D1">
        <w:rPr>
          <w:rFonts w:ascii="Times New Roman" w:cs="Times New Roman"/>
        </w:rPr>
        <w:t>。</w:t>
      </w:r>
      <w:r w:rsidR="00032CF1" w:rsidRPr="00D630D1">
        <w:rPr>
          <w:rFonts w:ascii="Times New Roman" w:cs="Times New Roman"/>
        </w:rPr>
        <w:t>由于</w:t>
      </w:r>
      <w:r w:rsidR="00EF360A" w:rsidRPr="00D630D1">
        <w:rPr>
          <w:rFonts w:ascii="Times New Roman" w:cs="Times New Roman" w:hint="eastAsia"/>
        </w:rPr>
        <w:t>压裂、洗井废水</w:t>
      </w:r>
      <w:r w:rsidR="00314CB3">
        <w:rPr>
          <w:rFonts w:ascii="Times New Roman" w:cs="Times New Roman" w:hint="eastAsia"/>
        </w:rPr>
        <w:t>、气田水</w:t>
      </w:r>
      <w:r w:rsidR="00032CF1" w:rsidRPr="00D630D1">
        <w:rPr>
          <w:rFonts w:ascii="Times New Roman" w:cs="Times New Roman"/>
        </w:rPr>
        <w:t>不属于《建设项目</w:t>
      </w:r>
      <w:r w:rsidR="00D53D7C" w:rsidRPr="00D630D1">
        <w:rPr>
          <w:rFonts w:ascii="Times New Roman" w:cs="Times New Roman" w:hint="eastAsia"/>
        </w:rPr>
        <w:t>环境</w:t>
      </w:r>
      <w:r w:rsidR="00032CF1" w:rsidRPr="00D630D1">
        <w:rPr>
          <w:rFonts w:ascii="Times New Roman" w:cs="Times New Roman"/>
        </w:rPr>
        <w:t>风险评价技术导则》（</w:t>
      </w:r>
      <w:r w:rsidR="00032CF1" w:rsidRPr="00D630D1">
        <w:rPr>
          <w:rFonts w:ascii="Times New Roman" w:cs="Times New Roman"/>
        </w:rPr>
        <w:t>HJ169-2018</w:t>
      </w:r>
      <w:r w:rsidR="00032CF1" w:rsidRPr="00D630D1">
        <w:rPr>
          <w:rFonts w:ascii="Times New Roman" w:cs="Times New Roman"/>
        </w:rPr>
        <w:t>），附录</w:t>
      </w:r>
      <w:r w:rsidR="00032CF1" w:rsidRPr="00D630D1">
        <w:rPr>
          <w:rFonts w:ascii="Times New Roman" w:cs="Times New Roman"/>
        </w:rPr>
        <w:t>B</w:t>
      </w:r>
      <w:r w:rsidR="00032CF1" w:rsidRPr="00D630D1">
        <w:rPr>
          <w:rFonts w:ascii="Times New Roman" w:cs="Times New Roman"/>
        </w:rPr>
        <w:t>中重点关注的危险物质，根据分析</w:t>
      </w:r>
      <w:r w:rsidR="00EF360A" w:rsidRPr="00D630D1">
        <w:rPr>
          <w:rFonts w:ascii="Times New Roman" w:cs="Times New Roman" w:hint="eastAsia"/>
        </w:rPr>
        <w:t>压裂、洗井废水</w:t>
      </w:r>
      <w:r w:rsidR="00314CB3">
        <w:rPr>
          <w:rFonts w:ascii="Times New Roman" w:cs="Times New Roman" w:hint="eastAsia"/>
        </w:rPr>
        <w:t>、气田水</w:t>
      </w:r>
      <w:r w:rsidR="00032CF1" w:rsidRPr="00D630D1">
        <w:rPr>
          <w:rFonts w:ascii="Times New Roman" w:cs="Times New Roman"/>
        </w:rPr>
        <w:t>属于危害水环境物质，但不属于急性毒性类别</w:t>
      </w:r>
      <w:r w:rsidR="00032CF1" w:rsidRPr="00D630D1">
        <w:rPr>
          <w:rFonts w:ascii="Times New Roman" w:cs="Times New Roman"/>
        </w:rPr>
        <w:t>1</w:t>
      </w:r>
      <w:r w:rsidR="00032CF1" w:rsidRPr="00D630D1">
        <w:rPr>
          <w:rFonts w:ascii="Times New Roman" w:cs="Times New Roman"/>
        </w:rPr>
        <w:t>中物质。故不作为环境风险等级判定物质，本次评价仅对其在储存过程中的风险提出措施。</w:t>
      </w:r>
    </w:p>
    <w:p w:rsidR="00117C3D" w:rsidRPr="00D630D1" w:rsidRDefault="0046752E">
      <w:pPr>
        <w:pStyle w:val="3"/>
        <w:rPr>
          <w:rFonts w:eastAsia="宋体"/>
        </w:rPr>
      </w:pPr>
      <w:bookmarkStart w:id="520" w:name="bookmark57"/>
      <w:bookmarkStart w:id="521" w:name="_Toc12288720"/>
      <w:bookmarkStart w:id="522" w:name="_Toc19816094"/>
      <w:bookmarkEnd w:id="520"/>
      <w:r w:rsidRPr="00D630D1">
        <w:rPr>
          <w:rFonts w:eastAsia="宋体"/>
        </w:rPr>
        <w:t>7</w:t>
      </w:r>
      <w:r w:rsidR="008B5B84" w:rsidRPr="00D630D1">
        <w:rPr>
          <w:rFonts w:eastAsia="宋体"/>
        </w:rPr>
        <w:t xml:space="preserve">.3.2 </w:t>
      </w:r>
      <w:r w:rsidR="008B5B84" w:rsidRPr="00D630D1">
        <w:rPr>
          <w:rFonts w:eastAsia="宋体"/>
        </w:rPr>
        <w:t>环境敏感目标</w:t>
      </w:r>
      <w:bookmarkEnd w:id="521"/>
      <w:bookmarkEnd w:id="522"/>
    </w:p>
    <w:p w:rsidR="00117C3D" w:rsidRPr="00D630D1" w:rsidRDefault="008B5B84">
      <w:pPr>
        <w:pStyle w:val="a1"/>
        <w:ind w:firstLine="480"/>
        <w:rPr>
          <w:rFonts w:ascii="Times New Roman" w:cs="Times New Roman"/>
        </w:rPr>
      </w:pPr>
      <w:r w:rsidRPr="00D630D1">
        <w:rPr>
          <w:rFonts w:ascii="Times New Roman" w:cs="Times New Roman"/>
        </w:rPr>
        <w:t>通过现场踏勘，对管道主要环境风险敏感点进行调查，调查结果见章节</w:t>
      </w:r>
      <w:r w:rsidRPr="00D630D1">
        <w:rPr>
          <w:rFonts w:ascii="Times New Roman" w:cs="Times New Roman"/>
        </w:rPr>
        <w:t>——</w:t>
      </w:r>
      <w:r w:rsidRPr="00D630D1">
        <w:rPr>
          <w:rFonts w:ascii="Times New Roman" w:cs="Times New Roman"/>
          <w:b/>
          <w:bCs/>
        </w:rPr>
        <w:t>1.</w:t>
      </w:r>
      <w:r w:rsidR="000F7383" w:rsidRPr="00D630D1">
        <w:rPr>
          <w:rFonts w:ascii="Times New Roman" w:cs="Times New Roman"/>
          <w:b/>
          <w:bCs/>
        </w:rPr>
        <w:t>9</w:t>
      </w:r>
      <w:r w:rsidRPr="00D630D1">
        <w:rPr>
          <w:rFonts w:ascii="Times New Roman" w:cs="Times New Roman"/>
          <w:b/>
          <w:bCs/>
        </w:rPr>
        <w:t>.2</w:t>
      </w:r>
      <w:r w:rsidRPr="00D630D1">
        <w:rPr>
          <w:rFonts w:ascii="Times New Roman" w:cs="Times New Roman"/>
          <w:b/>
          <w:bCs/>
        </w:rPr>
        <w:t>环境保护目标</w:t>
      </w:r>
      <w:r w:rsidRPr="00D630D1">
        <w:rPr>
          <w:rFonts w:ascii="Times New Roman" w:cs="Times New Roman"/>
        </w:rPr>
        <w:t>。本项目在选址选线过程中就避开了居民集中区、风景名胜区、文物古迹等风险敏感点，项目的环境风险敏感点主要是</w:t>
      </w:r>
      <w:r w:rsidR="00314CB3">
        <w:rPr>
          <w:rFonts w:ascii="Times New Roman" w:cs="Times New Roman"/>
        </w:rPr>
        <w:t>普光</w:t>
      </w:r>
      <w:r w:rsidR="00314CB3">
        <w:rPr>
          <w:rFonts w:ascii="Times New Roman" w:cs="Times New Roman"/>
        </w:rPr>
        <w:t>12</w:t>
      </w:r>
      <w:r w:rsidR="00314CB3">
        <w:rPr>
          <w:rFonts w:ascii="Times New Roman" w:cs="Times New Roman"/>
        </w:rPr>
        <w:t>井场</w:t>
      </w:r>
      <w:r w:rsidR="00BB06B3" w:rsidRPr="00D630D1">
        <w:rPr>
          <w:rFonts w:ascii="Times New Roman" w:cs="Times New Roman" w:hint="eastAsia"/>
        </w:rPr>
        <w:t>5km</w:t>
      </w:r>
      <w:r w:rsidR="00BB06B3" w:rsidRPr="00D630D1">
        <w:rPr>
          <w:rFonts w:ascii="Times New Roman" w:cs="Times New Roman" w:hint="eastAsia"/>
        </w:rPr>
        <w:t>范围内和</w:t>
      </w:r>
      <w:r w:rsidRPr="00D630D1">
        <w:rPr>
          <w:rFonts w:ascii="Times New Roman" w:cs="Times New Roman"/>
        </w:rPr>
        <w:t>管道沿线两侧</w:t>
      </w:r>
      <w:r w:rsidR="006F623C" w:rsidRPr="00D630D1">
        <w:rPr>
          <w:rFonts w:ascii="Times New Roman" w:cs="Times New Roman" w:hint="eastAsia"/>
        </w:rPr>
        <w:t>2</w:t>
      </w:r>
      <w:r w:rsidRPr="00D630D1">
        <w:rPr>
          <w:rFonts w:ascii="Times New Roman" w:cs="Times New Roman"/>
        </w:rPr>
        <w:t>00m</w:t>
      </w:r>
      <w:r w:rsidRPr="00D630D1">
        <w:rPr>
          <w:rFonts w:ascii="Times New Roman" w:cs="Times New Roman"/>
        </w:rPr>
        <w:t>范围内的居住户、社会关注点等。</w:t>
      </w:r>
    </w:p>
    <w:p w:rsidR="00117C3D" w:rsidRPr="00D630D1" w:rsidRDefault="0046752E" w:rsidP="000F7383">
      <w:pPr>
        <w:pStyle w:val="2"/>
        <w:spacing w:before="120"/>
        <w:rPr>
          <w:rFonts w:cs="Times New Roman"/>
        </w:rPr>
      </w:pPr>
      <w:bookmarkStart w:id="523" w:name="bookmark58"/>
      <w:bookmarkStart w:id="524" w:name="_Toc19816095"/>
      <w:bookmarkStart w:id="525" w:name="_Toc12288721"/>
      <w:bookmarkStart w:id="526" w:name="_Toc81515296"/>
      <w:bookmarkEnd w:id="523"/>
      <w:r w:rsidRPr="00D630D1">
        <w:rPr>
          <w:rFonts w:cs="Times New Roman"/>
        </w:rPr>
        <w:t>7</w:t>
      </w:r>
      <w:r w:rsidR="008B5B84" w:rsidRPr="00D630D1">
        <w:rPr>
          <w:rFonts w:cs="Times New Roman"/>
        </w:rPr>
        <w:t>.4</w:t>
      </w:r>
      <w:r w:rsidR="008B5B84" w:rsidRPr="00D630D1">
        <w:rPr>
          <w:rFonts w:cs="Times New Roman"/>
        </w:rPr>
        <w:t>环境风险潜势判定</w:t>
      </w:r>
      <w:bookmarkEnd w:id="524"/>
      <w:bookmarkEnd w:id="525"/>
      <w:bookmarkEnd w:id="526"/>
    </w:p>
    <w:p w:rsidR="00FB4F2B" w:rsidRPr="00D630D1" w:rsidRDefault="00FB4F2B" w:rsidP="00FB4F2B">
      <w:pPr>
        <w:pStyle w:val="a1"/>
        <w:ind w:firstLine="480"/>
        <w:rPr>
          <w:rFonts w:ascii="Times New Roman" w:cs="Times New Roman"/>
        </w:rPr>
      </w:pPr>
      <w:r w:rsidRPr="00D630D1">
        <w:rPr>
          <w:rFonts w:ascii="Times New Roman" w:cs="Times New Roman" w:hint="eastAsia"/>
        </w:rPr>
        <w:t>根据建设项目涉及的物质及工艺系统的危险性及其所在地的环境敏感程度，结合事故情形下环境硬性途径，对建设项目潜在环境危害程度进行概化分析，按下表确定环境风险潜势。</w:t>
      </w:r>
    </w:p>
    <w:p w:rsidR="00FB4F2B" w:rsidRPr="00D630D1" w:rsidRDefault="00FB4F2B" w:rsidP="00FB4F2B">
      <w:pPr>
        <w:topLinePunct w:val="0"/>
        <w:adjustRightInd/>
        <w:ind w:firstLineChars="0" w:firstLine="0"/>
        <w:jc w:val="center"/>
        <w:rPr>
          <w:rFonts w:ascii="Times New Roman" w:cs="Times New Roman"/>
          <w:b/>
          <w:bCs/>
          <w:kern w:val="2"/>
          <w:sz w:val="21"/>
        </w:rPr>
      </w:pPr>
      <w:r w:rsidRPr="00D630D1">
        <w:rPr>
          <w:rFonts w:ascii="Times New Roman" w:cs="Times New Roman"/>
          <w:b/>
          <w:kern w:val="2"/>
          <w:sz w:val="21"/>
        </w:rPr>
        <w:t>表</w:t>
      </w:r>
      <w:r w:rsidRPr="00D630D1">
        <w:rPr>
          <w:rFonts w:ascii="Times New Roman" w:cs="Times New Roman"/>
          <w:b/>
          <w:kern w:val="2"/>
          <w:sz w:val="21"/>
        </w:rPr>
        <w:t xml:space="preserve">7.4-1   </w:t>
      </w:r>
      <w:r w:rsidRPr="00D630D1">
        <w:rPr>
          <w:rFonts w:ascii="Times New Roman" w:cs="Times New Roman"/>
          <w:b/>
          <w:bCs/>
          <w:kern w:val="2"/>
          <w:sz w:val="21"/>
        </w:rPr>
        <w:t>建设项目风险潜势的划分</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962"/>
        <w:gridCol w:w="1598"/>
        <w:gridCol w:w="1727"/>
        <w:gridCol w:w="1504"/>
        <w:gridCol w:w="1731"/>
      </w:tblGrid>
      <w:tr w:rsidR="00FB4F2B" w:rsidRPr="00D630D1" w:rsidTr="00FB4F2B">
        <w:trPr>
          <w:trHeight w:val="184"/>
          <w:jc w:val="center"/>
        </w:trPr>
        <w:tc>
          <w:tcPr>
            <w:tcW w:w="1962" w:type="dxa"/>
            <w:vMerge w:val="restart"/>
            <w:vAlign w:val="center"/>
          </w:tcPr>
          <w:p w:rsidR="00FB4F2B" w:rsidRPr="00D630D1" w:rsidRDefault="00FB4F2B" w:rsidP="00FB4F2B">
            <w:pPr>
              <w:topLinePunct w:val="0"/>
              <w:snapToGrid w:val="0"/>
              <w:spacing w:line="240" w:lineRule="exact"/>
              <w:ind w:firstLineChars="0" w:firstLine="0"/>
              <w:jc w:val="center"/>
              <w:rPr>
                <w:rFonts w:ascii="Times New Roman" w:cs="Times New Roman"/>
                <w:b/>
                <w:kern w:val="2"/>
                <w:sz w:val="21"/>
                <w:szCs w:val="21"/>
              </w:rPr>
            </w:pPr>
            <w:r w:rsidRPr="00D630D1">
              <w:rPr>
                <w:rFonts w:ascii="Times New Roman" w:cs="Times New Roman"/>
                <w:b/>
                <w:kern w:val="2"/>
                <w:sz w:val="21"/>
                <w:szCs w:val="21"/>
              </w:rPr>
              <w:t>环境敏感程度（</w:t>
            </w:r>
            <w:r w:rsidRPr="00D630D1">
              <w:rPr>
                <w:rFonts w:ascii="Times New Roman" w:cs="Times New Roman"/>
                <w:b/>
                <w:kern w:val="2"/>
                <w:sz w:val="21"/>
                <w:szCs w:val="21"/>
              </w:rPr>
              <w:t>E</w:t>
            </w:r>
            <w:r w:rsidRPr="00D630D1">
              <w:rPr>
                <w:rFonts w:ascii="Times New Roman" w:cs="Times New Roman"/>
                <w:b/>
                <w:kern w:val="2"/>
                <w:sz w:val="21"/>
                <w:szCs w:val="21"/>
              </w:rPr>
              <w:t>）</w:t>
            </w:r>
          </w:p>
        </w:tc>
        <w:tc>
          <w:tcPr>
            <w:tcW w:w="6560" w:type="dxa"/>
            <w:gridSpan w:val="4"/>
            <w:vAlign w:val="center"/>
          </w:tcPr>
          <w:p w:rsidR="00FB4F2B" w:rsidRPr="00D630D1" w:rsidRDefault="00FB4F2B" w:rsidP="00FB4F2B">
            <w:pPr>
              <w:topLinePunct w:val="0"/>
              <w:snapToGrid w:val="0"/>
              <w:spacing w:line="240" w:lineRule="exact"/>
              <w:ind w:firstLineChars="0" w:firstLine="0"/>
              <w:jc w:val="center"/>
              <w:rPr>
                <w:rFonts w:ascii="Times New Roman" w:cs="Times New Roman"/>
                <w:b/>
                <w:kern w:val="2"/>
                <w:sz w:val="21"/>
                <w:szCs w:val="21"/>
              </w:rPr>
            </w:pPr>
            <w:r w:rsidRPr="00D630D1">
              <w:rPr>
                <w:rFonts w:ascii="Times New Roman" w:cs="Times New Roman"/>
                <w:b/>
                <w:kern w:val="2"/>
                <w:sz w:val="21"/>
                <w:szCs w:val="21"/>
              </w:rPr>
              <w:t>危险物质及工艺系统危险性（</w:t>
            </w:r>
            <w:r w:rsidRPr="00D630D1">
              <w:rPr>
                <w:rFonts w:ascii="Times New Roman" w:cs="Times New Roman"/>
                <w:b/>
                <w:kern w:val="2"/>
                <w:sz w:val="21"/>
                <w:szCs w:val="21"/>
              </w:rPr>
              <w:t>P</w:t>
            </w:r>
            <w:r w:rsidRPr="00D630D1">
              <w:rPr>
                <w:rFonts w:ascii="Times New Roman" w:cs="Times New Roman"/>
                <w:b/>
                <w:kern w:val="2"/>
                <w:sz w:val="21"/>
                <w:szCs w:val="21"/>
              </w:rPr>
              <w:t>）</w:t>
            </w:r>
          </w:p>
        </w:tc>
      </w:tr>
      <w:tr w:rsidR="00FB4F2B" w:rsidRPr="00D630D1" w:rsidTr="00FB4F2B">
        <w:trPr>
          <w:trHeight w:val="127"/>
          <w:jc w:val="center"/>
        </w:trPr>
        <w:tc>
          <w:tcPr>
            <w:tcW w:w="0" w:type="auto"/>
            <w:vMerge/>
            <w:vAlign w:val="center"/>
          </w:tcPr>
          <w:p w:rsidR="00FB4F2B" w:rsidRPr="00D630D1" w:rsidRDefault="00FB4F2B" w:rsidP="00FB4F2B">
            <w:pPr>
              <w:widowControl/>
              <w:topLinePunct w:val="0"/>
              <w:snapToGrid w:val="0"/>
              <w:spacing w:line="240" w:lineRule="exact"/>
              <w:ind w:firstLineChars="0" w:firstLine="420"/>
              <w:jc w:val="center"/>
              <w:rPr>
                <w:rFonts w:ascii="Times New Roman" w:cs="Times New Roman"/>
                <w:b/>
                <w:kern w:val="2"/>
                <w:sz w:val="21"/>
                <w:szCs w:val="21"/>
              </w:rPr>
            </w:pPr>
          </w:p>
        </w:tc>
        <w:tc>
          <w:tcPr>
            <w:tcW w:w="1598"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b/>
                <w:kern w:val="2"/>
                <w:sz w:val="21"/>
                <w:szCs w:val="21"/>
              </w:rPr>
            </w:pPr>
            <w:r w:rsidRPr="00D630D1">
              <w:rPr>
                <w:rFonts w:ascii="Times New Roman" w:cs="Times New Roman"/>
                <w:b/>
                <w:kern w:val="2"/>
                <w:sz w:val="21"/>
                <w:szCs w:val="21"/>
              </w:rPr>
              <w:t>极高危害（</w:t>
            </w:r>
            <w:r w:rsidRPr="00D630D1">
              <w:rPr>
                <w:rFonts w:ascii="Times New Roman" w:cs="Times New Roman"/>
                <w:b/>
                <w:kern w:val="2"/>
                <w:sz w:val="21"/>
                <w:szCs w:val="21"/>
              </w:rPr>
              <w:t>P1</w:t>
            </w:r>
            <w:r w:rsidRPr="00D630D1">
              <w:rPr>
                <w:rFonts w:ascii="Times New Roman" w:cs="Times New Roman"/>
                <w:b/>
                <w:kern w:val="2"/>
                <w:sz w:val="21"/>
                <w:szCs w:val="21"/>
              </w:rPr>
              <w:t>）</w:t>
            </w:r>
          </w:p>
        </w:tc>
        <w:tc>
          <w:tcPr>
            <w:tcW w:w="1727"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b/>
                <w:kern w:val="2"/>
                <w:sz w:val="21"/>
                <w:szCs w:val="21"/>
              </w:rPr>
            </w:pPr>
            <w:r w:rsidRPr="00D630D1">
              <w:rPr>
                <w:rFonts w:ascii="Times New Roman" w:cs="Times New Roman"/>
                <w:b/>
                <w:kern w:val="2"/>
                <w:sz w:val="21"/>
                <w:szCs w:val="21"/>
              </w:rPr>
              <w:t>高度危害（</w:t>
            </w:r>
            <w:r w:rsidRPr="00D630D1">
              <w:rPr>
                <w:rFonts w:ascii="Times New Roman" w:cs="Times New Roman"/>
                <w:b/>
                <w:kern w:val="2"/>
                <w:sz w:val="21"/>
                <w:szCs w:val="21"/>
              </w:rPr>
              <w:t>P2</w:t>
            </w:r>
            <w:r w:rsidRPr="00D630D1">
              <w:rPr>
                <w:rFonts w:ascii="Times New Roman" w:cs="Times New Roman"/>
                <w:b/>
                <w:kern w:val="2"/>
                <w:sz w:val="21"/>
                <w:szCs w:val="21"/>
              </w:rPr>
              <w:t>）</w:t>
            </w:r>
          </w:p>
        </w:tc>
        <w:tc>
          <w:tcPr>
            <w:tcW w:w="1504"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b/>
                <w:kern w:val="2"/>
                <w:sz w:val="21"/>
                <w:szCs w:val="21"/>
              </w:rPr>
            </w:pPr>
            <w:r w:rsidRPr="00D630D1">
              <w:rPr>
                <w:rFonts w:ascii="Times New Roman" w:cs="Times New Roman"/>
                <w:b/>
                <w:kern w:val="2"/>
                <w:sz w:val="21"/>
                <w:szCs w:val="21"/>
              </w:rPr>
              <w:t>中度危害（</w:t>
            </w:r>
            <w:r w:rsidRPr="00D630D1">
              <w:rPr>
                <w:rFonts w:ascii="Times New Roman" w:cs="Times New Roman"/>
                <w:b/>
                <w:kern w:val="2"/>
                <w:sz w:val="21"/>
                <w:szCs w:val="21"/>
              </w:rPr>
              <w:t>P3</w:t>
            </w:r>
            <w:r w:rsidRPr="00D630D1">
              <w:rPr>
                <w:rFonts w:ascii="Times New Roman" w:cs="Times New Roman"/>
                <w:b/>
                <w:kern w:val="2"/>
                <w:sz w:val="21"/>
                <w:szCs w:val="21"/>
              </w:rPr>
              <w:t>）</w:t>
            </w:r>
          </w:p>
        </w:tc>
        <w:tc>
          <w:tcPr>
            <w:tcW w:w="1731"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b/>
                <w:kern w:val="2"/>
                <w:sz w:val="21"/>
                <w:szCs w:val="21"/>
              </w:rPr>
            </w:pPr>
            <w:r w:rsidRPr="00D630D1">
              <w:rPr>
                <w:rFonts w:ascii="Times New Roman" w:cs="Times New Roman"/>
                <w:b/>
                <w:kern w:val="2"/>
                <w:sz w:val="21"/>
                <w:szCs w:val="21"/>
              </w:rPr>
              <w:t>轻度危害（</w:t>
            </w:r>
            <w:r w:rsidRPr="00D630D1">
              <w:rPr>
                <w:rFonts w:ascii="Times New Roman" w:cs="Times New Roman"/>
                <w:b/>
                <w:kern w:val="2"/>
                <w:sz w:val="21"/>
                <w:szCs w:val="21"/>
              </w:rPr>
              <w:t>P4</w:t>
            </w:r>
            <w:r w:rsidRPr="00D630D1">
              <w:rPr>
                <w:rFonts w:ascii="Times New Roman" w:cs="Times New Roman"/>
                <w:b/>
                <w:kern w:val="2"/>
                <w:sz w:val="21"/>
                <w:szCs w:val="21"/>
              </w:rPr>
              <w:t>）</w:t>
            </w:r>
          </w:p>
        </w:tc>
      </w:tr>
      <w:tr w:rsidR="00FB4F2B" w:rsidRPr="00D630D1" w:rsidTr="00FB4F2B">
        <w:trPr>
          <w:trHeight w:val="104"/>
          <w:jc w:val="center"/>
        </w:trPr>
        <w:tc>
          <w:tcPr>
            <w:tcW w:w="1962"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环境高度敏感区（</w:t>
            </w:r>
            <w:r w:rsidRPr="00D630D1">
              <w:rPr>
                <w:rFonts w:ascii="Times New Roman" w:cs="Times New Roman"/>
                <w:kern w:val="2"/>
                <w:sz w:val="21"/>
                <w:szCs w:val="21"/>
              </w:rPr>
              <w:t>E1</w:t>
            </w:r>
            <w:r w:rsidRPr="00D630D1">
              <w:rPr>
                <w:rFonts w:ascii="Times New Roman" w:cs="Times New Roman"/>
                <w:kern w:val="2"/>
                <w:sz w:val="21"/>
                <w:szCs w:val="21"/>
              </w:rPr>
              <w:t>）</w:t>
            </w:r>
          </w:p>
        </w:tc>
        <w:tc>
          <w:tcPr>
            <w:tcW w:w="1598"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Ⅳ</w:t>
            </w:r>
            <w:r w:rsidRPr="00D630D1">
              <w:rPr>
                <w:rFonts w:ascii="Times New Roman" w:cs="Times New Roman"/>
                <w:kern w:val="2"/>
                <w:sz w:val="21"/>
                <w:szCs w:val="21"/>
                <w:vertAlign w:val="superscript"/>
              </w:rPr>
              <w:t>+</w:t>
            </w:r>
          </w:p>
        </w:tc>
        <w:tc>
          <w:tcPr>
            <w:tcW w:w="1727"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Ⅳ</w:t>
            </w:r>
          </w:p>
        </w:tc>
        <w:tc>
          <w:tcPr>
            <w:tcW w:w="1504"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Ⅲ</w:t>
            </w:r>
          </w:p>
        </w:tc>
        <w:tc>
          <w:tcPr>
            <w:tcW w:w="1731"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Ⅲ</w:t>
            </w:r>
          </w:p>
        </w:tc>
      </w:tr>
      <w:tr w:rsidR="00FB4F2B" w:rsidRPr="00D630D1" w:rsidTr="00FB4F2B">
        <w:trPr>
          <w:trHeight w:val="161"/>
          <w:jc w:val="center"/>
        </w:trPr>
        <w:tc>
          <w:tcPr>
            <w:tcW w:w="1962"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环境中度敏感区（</w:t>
            </w:r>
            <w:r w:rsidRPr="00D630D1">
              <w:rPr>
                <w:rFonts w:ascii="Times New Roman" w:cs="Times New Roman"/>
                <w:kern w:val="2"/>
                <w:sz w:val="21"/>
                <w:szCs w:val="21"/>
              </w:rPr>
              <w:t>E2</w:t>
            </w:r>
            <w:r w:rsidRPr="00D630D1">
              <w:rPr>
                <w:rFonts w:ascii="Times New Roman" w:cs="Times New Roman"/>
                <w:kern w:val="2"/>
                <w:sz w:val="21"/>
                <w:szCs w:val="21"/>
              </w:rPr>
              <w:t>）</w:t>
            </w:r>
          </w:p>
        </w:tc>
        <w:tc>
          <w:tcPr>
            <w:tcW w:w="1598"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Ⅳ</w:t>
            </w:r>
          </w:p>
        </w:tc>
        <w:tc>
          <w:tcPr>
            <w:tcW w:w="1727"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Ⅲ</w:t>
            </w:r>
          </w:p>
        </w:tc>
        <w:tc>
          <w:tcPr>
            <w:tcW w:w="1504"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Ⅲ</w:t>
            </w:r>
          </w:p>
        </w:tc>
        <w:tc>
          <w:tcPr>
            <w:tcW w:w="1731"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Ⅱ</w:t>
            </w:r>
          </w:p>
        </w:tc>
      </w:tr>
      <w:tr w:rsidR="00FB4F2B" w:rsidRPr="00D630D1" w:rsidTr="00FB4F2B">
        <w:trPr>
          <w:trHeight w:val="139"/>
          <w:jc w:val="center"/>
        </w:trPr>
        <w:tc>
          <w:tcPr>
            <w:tcW w:w="1962"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环境低度敏感区（</w:t>
            </w:r>
            <w:r w:rsidRPr="00D630D1">
              <w:rPr>
                <w:rFonts w:ascii="Times New Roman" w:cs="Times New Roman"/>
                <w:kern w:val="2"/>
                <w:sz w:val="21"/>
                <w:szCs w:val="21"/>
              </w:rPr>
              <w:t>E3</w:t>
            </w:r>
            <w:r w:rsidRPr="00D630D1">
              <w:rPr>
                <w:rFonts w:ascii="Times New Roman" w:cs="Times New Roman"/>
                <w:kern w:val="2"/>
                <w:sz w:val="21"/>
                <w:szCs w:val="21"/>
              </w:rPr>
              <w:t>）</w:t>
            </w:r>
          </w:p>
        </w:tc>
        <w:tc>
          <w:tcPr>
            <w:tcW w:w="1598"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Ⅲ</w:t>
            </w:r>
          </w:p>
        </w:tc>
        <w:tc>
          <w:tcPr>
            <w:tcW w:w="1727"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Ⅲ</w:t>
            </w:r>
          </w:p>
        </w:tc>
        <w:tc>
          <w:tcPr>
            <w:tcW w:w="1504"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Ⅱ</w:t>
            </w:r>
          </w:p>
        </w:tc>
        <w:tc>
          <w:tcPr>
            <w:tcW w:w="1731" w:type="dxa"/>
            <w:vAlign w:val="center"/>
          </w:tcPr>
          <w:p w:rsidR="00FB4F2B" w:rsidRPr="00D630D1" w:rsidRDefault="00FB4F2B" w:rsidP="00FB4F2B">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Ⅰ</w:t>
            </w:r>
          </w:p>
        </w:tc>
      </w:tr>
      <w:tr w:rsidR="00FB4F2B" w:rsidRPr="00D630D1" w:rsidTr="00FB4F2B">
        <w:trPr>
          <w:jc w:val="center"/>
        </w:trPr>
        <w:tc>
          <w:tcPr>
            <w:tcW w:w="8522" w:type="dxa"/>
            <w:gridSpan w:val="5"/>
            <w:vAlign w:val="center"/>
          </w:tcPr>
          <w:p w:rsidR="00FB4F2B" w:rsidRPr="00D630D1" w:rsidRDefault="00FB4F2B" w:rsidP="00FB4F2B">
            <w:pPr>
              <w:topLinePunct w:val="0"/>
              <w:snapToGrid w:val="0"/>
              <w:spacing w:line="240" w:lineRule="exact"/>
              <w:ind w:firstLineChars="0" w:firstLine="0"/>
              <w:rPr>
                <w:rFonts w:ascii="Times New Roman" w:cs="Times New Roman"/>
                <w:kern w:val="2"/>
                <w:sz w:val="21"/>
                <w:szCs w:val="21"/>
              </w:rPr>
            </w:pPr>
            <w:r w:rsidRPr="00D630D1">
              <w:rPr>
                <w:rFonts w:ascii="Times New Roman" w:cs="Times New Roman"/>
                <w:kern w:val="2"/>
                <w:sz w:val="21"/>
                <w:szCs w:val="21"/>
              </w:rPr>
              <w:t>注：</w:t>
            </w:r>
            <w:r w:rsidRPr="00D630D1">
              <w:rPr>
                <w:rFonts w:hAnsi="宋体" w:hint="eastAsia"/>
                <w:kern w:val="2"/>
                <w:sz w:val="21"/>
                <w:szCs w:val="21"/>
              </w:rPr>
              <w:t>Ⅳ</w:t>
            </w:r>
            <w:r w:rsidRPr="00D630D1">
              <w:rPr>
                <w:rFonts w:ascii="Times New Roman" w:cs="Times New Roman"/>
                <w:kern w:val="2"/>
                <w:sz w:val="21"/>
                <w:szCs w:val="21"/>
                <w:vertAlign w:val="superscript"/>
              </w:rPr>
              <w:t>+</w:t>
            </w:r>
            <w:r w:rsidRPr="00D630D1">
              <w:rPr>
                <w:rFonts w:ascii="Times New Roman" w:cs="Times New Roman"/>
                <w:kern w:val="2"/>
                <w:sz w:val="21"/>
                <w:szCs w:val="21"/>
              </w:rPr>
              <w:t>为极高环境风险。</w:t>
            </w:r>
          </w:p>
        </w:tc>
      </w:tr>
    </w:tbl>
    <w:p w:rsidR="00FB4F2B" w:rsidRPr="00D630D1" w:rsidRDefault="00FB4F2B" w:rsidP="00FB4F2B">
      <w:pPr>
        <w:pStyle w:val="a1"/>
        <w:ind w:firstLine="482"/>
        <w:rPr>
          <w:rFonts w:ascii="Times New Roman" w:cs="Times New Roman"/>
        </w:rPr>
      </w:pPr>
      <w:r w:rsidRPr="00D630D1">
        <w:rPr>
          <w:rFonts w:ascii="Times New Roman" w:cs="Times New Roman"/>
          <w:b/>
          <w:bCs/>
        </w:rPr>
        <w:t>1</w:t>
      </w:r>
      <w:r w:rsidRPr="00D630D1">
        <w:rPr>
          <w:rFonts w:ascii="Times New Roman" w:cs="Times New Roman"/>
          <w:b/>
          <w:bCs/>
        </w:rPr>
        <w:t>、</w:t>
      </w:r>
      <w:r w:rsidRPr="00D630D1">
        <w:rPr>
          <w:rFonts w:ascii="Times New Roman" w:cs="Times New Roman"/>
          <w:b/>
          <w:bCs/>
        </w:rPr>
        <w:t>P</w:t>
      </w:r>
      <w:r w:rsidRPr="00D630D1">
        <w:rPr>
          <w:rFonts w:ascii="Times New Roman" w:cs="Times New Roman"/>
          <w:b/>
          <w:bCs/>
        </w:rPr>
        <w:t>的分级确定</w:t>
      </w:r>
    </w:p>
    <w:p w:rsidR="00062F6D" w:rsidRPr="00D630D1" w:rsidRDefault="00062F6D" w:rsidP="00CB58E1">
      <w:pPr>
        <w:pStyle w:val="a1"/>
        <w:ind w:firstLine="480"/>
        <w:rPr>
          <w:rFonts w:ascii="Times New Roman" w:cs="Times New Roman"/>
          <w:sz w:val="21"/>
          <w:szCs w:val="21"/>
        </w:rPr>
      </w:pPr>
      <w:r w:rsidRPr="00D630D1">
        <w:rPr>
          <w:rFonts w:ascii="Times New Roman" w:cs="Times New Roman"/>
        </w:rPr>
        <w:t>危险物质及工艺系统危险性（</w:t>
      </w:r>
      <w:r w:rsidRPr="00D630D1">
        <w:rPr>
          <w:rFonts w:ascii="Times New Roman" w:cs="Times New Roman"/>
        </w:rPr>
        <w:t>P</w:t>
      </w:r>
      <w:r w:rsidRPr="00D630D1">
        <w:rPr>
          <w:rFonts w:ascii="Times New Roman" w:cs="Times New Roman"/>
        </w:rPr>
        <w:t>）等级通过定量分析危险物质数量与临近量的比值（</w:t>
      </w:r>
      <w:r w:rsidRPr="00D630D1">
        <w:rPr>
          <w:rFonts w:ascii="Times New Roman" w:cs="Times New Roman"/>
        </w:rPr>
        <w:t>Q</w:t>
      </w:r>
      <w:r w:rsidRPr="00D630D1">
        <w:rPr>
          <w:rFonts w:ascii="Times New Roman" w:cs="Times New Roman"/>
        </w:rPr>
        <w:t>）和所属行业及生产工艺特点（</w:t>
      </w:r>
      <w:r w:rsidRPr="00D630D1">
        <w:rPr>
          <w:rFonts w:ascii="Times New Roman" w:cs="Times New Roman"/>
        </w:rPr>
        <w:t>M</w:t>
      </w:r>
      <w:r w:rsidRPr="00D630D1">
        <w:rPr>
          <w:rFonts w:ascii="Times New Roman" w:cs="Times New Roman"/>
        </w:rPr>
        <w:t>），再对照</w:t>
      </w:r>
      <w:r w:rsidRPr="00D630D1">
        <w:rPr>
          <w:rFonts w:ascii="Times New Roman" w:cs="Times New Roman"/>
        </w:rPr>
        <w:t>HJ169-2018</w:t>
      </w:r>
      <w:r w:rsidRPr="00D630D1">
        <w:rPr>
          <w:rFonts w:ascii="Times New Roman" w:cs="Times New Roman"/>
        </w:rPr>
        <w:t>附录</w:t>
      </w:r>
      <w:r w:rsidRPr="00D630D1">
        <w:rPr>
          <w:rFonts w:ascii="Times New Roman" w:cs="Times New Roman"/>
        </w:rPr>
        <w:t>C</w:t>
      </w:r>
      <w:r w:rsidRPr="00D630D1">
        <w:rPr>
          <w:rFonts w:ascii="Times New Roman" w:cs="Times New Roman"/>
        </w:rPr>
        <w:t>中表</w:t>
      </w:r>
      <w:r w:rsidRPr="00D630D1">
        <w:rPr>
          <w:rFonts w:ascii="Times New Roman" w:cs="Times New Roman"/>
        </w:rPr>
        <w:t>C.2</w:t>
      </w:r>
      <w:r w:rsidRPr="00D630D1">
        <w:rPr>
          <w:rFonts w:ascii="Times New Roman" w:cs="Times New Roman"/>
        </w:rPr>
        <w:t>，由</w:t>
      </w:r>
      <w:r w:rsidRPr="00D630D1">
        <w:rPr>
          <w:rFonts w:ascii="Times New Roman" w:cs="Times New Roman"/>
        </w:rPr>
        <w:t>Q</w:t>
      </w:r>
      <w:r w:rsidRPr="00D630D1">
        <w:rPr>
          <w:rFonts w:ascii="Times New Roman" w:cs="Times New Roman"/>
        </w:rPr>
        <w:t>和</w:t>
      </w:r>
      <w:r w:rsidRPr="00D630D1">
        <w:rPr>
          <w:rFonts w:ascii="Times New Roman" w:cs="Times New Roman"/>
        </w:rPr>
        <w:t>M</w:t>
      </w:r>
      <w:r w:rsidRPr="00D630D1">
        <w:rPr>
          <w:rFonts w:ascii="Times New Roman" w:cs="Times New Roman"/>
        </w:rPr>
        <w:t>两项因子确定</w:t>
      </w:r>
      <w:r w:rsidRPr="00D630D1">
        <w:rPr>
          <w:rFonts w:ascii="Times New Roman" w:cs="Times New Roman"/>
        </w:rPr>
        <w:t>P</w:t>
      </w:r>
      <w:r w:rsidRPr="00D630D1">
        <w:rPr>
          <w:rFonts w:ascii="Times New Roman" w:cs="Times New Roman"/>
        </w:rPr>
        <w:t>。</w:t>
      </w:r>
    </w:p>
    <w:p w:rsidR="00062F6D" w:rsidRPr="00D630D1" w:rsidRDefault="00FB4F2B" w:rsidP="00062F6D">
      <w:pPr>
        <w:pStyle w:val="afa"/>
        <w:ind w:firstLine="482"/>
        <w:rPr>
          <w:b/>
          <w:bCs/>
        </w:rPr>
      </w:pPr>
      <w:r w:rsidRPr="00D630D1">
        <w:rPr>
          <w:rFonts w:hint="eastAsia"/>
          <w:b/>
          <w:bCs/>
        </w:rPr>
        <w:t>（</w:t>
      </w:r>
      <w:r w:rsidRPr="00D630D1">
        <w:rPr>
          <w:rFonts w:hint="eastAsia"/>
          <w:b/>
          <w:bCs/>
        </w:rPr>
        <w:t>1</w:t>
      </w:r>
      <w:r w:rsidRPr="00D630D1">
        <w:rPr>
          <w:rFonts w:hint="eastAsia"/>
          <w:b/>
          <w:bCs/>
        </w:rPr>
        <w:t>）</w:t>
      </w:r>
      <w:r w:rsidR="00062F6D" w:rsidRPr="00D630D1">
        <w:rPr>
          <w:b/>
          <w:bCs/>
        </w:rPr>
        <w:t>危险物质数量与临近量的比值（</w:t>
      </w:r>
      <w:r w:rsidR="00062F6D" w:rsidRPr="00D630D1">
        <w:rPr>
          <w:b/>
          <w:bCs/>
        </w:rPr>
        <w:t>Q</w:t>
      </w:r>
      <w:r w:rsidR="00062F6D" w:rsidRPr="00D630D1">
        <w:rPr>
          <w:b/>
          <w:bCs/>
        </w:rPr>
        <w:t>）</w:t>
      </w:r>
    </w:p>
    <w:p w:rsidR="0057322F" w:rsidRPr="00D630D1" w:rsidRDefault="00FB4F2B" w:rsidP="00BB06B3">
      <w:pPr>
        <w:ind w:firstLine="480"/>
        <w:rPr>
          <w:rFonts w:ascii="Times New Roman" w:cs="Times New Roman"/>
        </w:rPr>
      </w:pPr>
      <w:r w:rsidRPr="00D630D1">
        <w:rPr>
          <w:rFonts w:hAnsi="宋体" w:cs="Times New Roman" w:hint="eastAsia"/>
        </w:rPr>
        <w:t>①</w:t>
      </w:r>
      <w:r w:rsidR="0057322F" w:rsidRPr="00D630D1">
        <w:rPr>
          <w:rFonts w:ascii="Times New Roman" w:cs="Times New Roman" w:hint="eastAsia"/>
        </w:rPr>
        <w:t>井喷导致的天然气泄漏量</w:t>
      </w:r>
    </w:p>
    <w:p w:rsidR="00BB06B3" w:rsidRPr="00D630D1" w:rsidRDefault="00BB06B3" w:rsidP="00BB06B3">
      <w:pPr>
        <w:ind w:firstLine="480"/>
        <w:rPr>
          <w:rFonts w:ascii="Times New Roman" w:cs="Times New Roman"/>
        </w:rPr>
      </w:pPr>
      <w:r w:rsidRPr="00D630D1">
        <w:rPr>
          <w:rFonts w:ascii="Times New Roman" w:cs="Times New Roman"/>
        </w:rPr>
        <w:t>根据普光分公司提供的相关资料</w:t>
      </w:r>
      <w:r w:rsidRPr="00D630D1">
        <w:rPr>
          <w:rFonts w:ascii="Times New Roman" w:cs="Times New Roman" w:hint="eastAsia"/>
        </w:rPr>
        <w:t>，</w:t>
      </w:r>
      <w:r w:rsidR="00833FC0" w:rsidRPr="00833FC0">
        <w:rPr>
          <w:rFonts w:ascii="Times New Roman" w:cs="Times New Roman" w:hint="eastAsia"/>
        </w:rPr>
        <w:t>普陆页</w:t>
      </w:r>
      <w:r w:rsidR="00833FC0" w:rsidRPr="00833FC0">
        <w:rPr>
          <w:rFonts w:ascii="Times New Roman" w:cs="Times New Roman" w:hint="eastAsia"/>
        </w:rPr>
        <w:t>1-1~6</w:t>
      </w:r>
      <w:r w:rsidR="00833FC0">
        <w:rPr>
          <w:rFonts w:ascii="Times New Roman" w:cs="Times New Roman" w:hint="eastAsia"/>
        </w:rPr>
        <w:t>井</w:t>
      </w:r>
      <w:r w:rsidR="00EF31C0">
        <w:rPr>
          <w:rFonts w:ascii="Times New Roman" w:cs="Times New Roman" w:hint="eastAsia"/>
        </w:rPr>
        <w:t>设计规模</w:t>
      </w:r>
      <w:r w:rsidR="00EF31C0" w:rsidRPr="00D630D1">
        <w:rPr>
          <w:rFonts w:ascii="Times New Roman" w:cs="Times New Roman" w:hint="eastAsia"/>
        </w:rPr>
        <w:t>为</w:t>
      </w:r>
      <w:r w:rsidR="00EF31C0">
        <w:rPr>
          <w:rFonts w:ascii="Times New Roman" w:cs="Times New Roman" w:hint="eastAsia"/>
        </w:rPr>
        <w:t>6</w:t>
      </w:r>
      <w:r w:rsidR="00EF31C0" w:rsidRPr="00D630D1">
        <w:rPr>
          <w:rFonts w:ascii="Times New Roman" w:cs="Times New Roman" w:hint="eastAsia"/>
        </w:rPr>
        <w:t>0</w:t>
      </w:r>
      <w:r w:rsidR="00EF31C0" w:rsidRPr="00D630D1">
        <w:rPr>
          <w:rFonts w:ascii="Times New Roman" w:cs="Times New Roman"/>
        </w:rPr>
        <w:t>×10</w:t>
      </w:r>
      <w:r w:rsidR="00EF31C0" w:rsidRPr="00D630D1">
        <w:rPr>
          <w:rFonts w:ascii="Times New Roman" w:cs="Times New Roman"/>
          <w:vertAlign w:val="superscript"/>
        </w:rPr>
        <w:t>4</w:t>
      </w:r>
      <w:r w:rsidR="00EF31C0" w:rsidRPr="00D630D1">
        <w:rPr>
          <w:rFonts w:ascii="Times New Roman" w:cs="Times New Roman"/>
        </w:rPr>
        <w:t>m</w:t>
      </w:r>
      <w:r w:rsidR="00EF31C0" w:rsidRPr="00D630D1">
        <w:rPr>
          <w:rFonts w:ascii="Times New Roman" w:cs="Times New Roman"/>
          <w:vertAlign w:val="superscript"/>
        </w:rPr>
        <w:t>3</w:t>
      </w:r>
      <w:r w:rsidR="00EF31C0" w:rsidRPr="00D630D1">
        <w:rPr>
          <w:rFonts w:ascii="Times New Roman" w:cs="Times New Roman"/>
        </w:rPr>
        <w:t>/d</w:t>
      </w:r>
      <w:r w:rsidR="002A4396">
        <w:rPr>
          <w:rFonts w:ascii="Times New Roman" w:cs="Times New Roman" w:hint="eastAsia"/>
        </w:rPr>
        <w:t>，单井最大产能约为</w:t>
      </w:r>
      <w:r w:rsidR="002A4396">
        <w:rPr>
          <w:rFonts w:ascii="Times New Roman" w:cs="Times New Roman" w:hint="eastAsia"/>
        </w:rPr>
        <w:t>25</w:t>
      </w:r>
      <w:r w:rsidR="002A4396" w:rsidRPr="00D630D1">
        <w:rPr>
          <w:rFonts w:ascii="Times New Roman" w:cs="Times New Roman"/>
        </w:rPr>
        <w:t>×10</w:t>
      </w:r>
      <w:r w:rsidR="002A4396" w:rsidRPr="00D630D1">
        <w:rPr>
          <w:rFonts w:ascii="Times New Roman" w:cs="Times New Roman"/>
          <w:vertAlign w:val="superscript"/>
        </w:rPr>
        <w:t>4</w:t>
      </w:r>
      <w:r w:rsidR="002A4396" w:rsidRPr="00D630D1">
        <w:rPr>
          <w:rFonts w:ascii="Times New Roman" w:cs="Times New Roman"/>
        </w:rPr>
        <w:t>m</w:t>
      </w:r>
      <w:r w:rsidR="002A4396" w:rsidRPr="00D630D1">
        <w:rPr>
          <w:rFonts w:ascii="Times New Roman" w:cs="Times New Roman"/>
          <w:vertAlign w:val="superscript"/>
        </w:rPr>
        <w:t>3</w:t>
      </w:r>
      <w:r w:rsidR="002A4396" w:rsidRPr="00D630D1">
        <w:rPr>
          <w:rFonts w:ascii="Times New Roman" w:cs="Times New Roman"/>
        </w:rPr>
        <w:t>/d</w:t>
      </w:r>
      <w:r w:rsidR="00EF31C0">
        <w:rPr>
          <w:rFonts w:ascii="Times New Roman" w:cs="Times New Roman" w:hint="eastAsia"/>
        </w:rPr>
        <w:t>，</w:t>
      </w:r>
      <w:r w:rsidR="00EF31C0" w:rsidRPr="00D630D1">
        <w:rPr>
          <w:rFonts w:ascii="Times New Roman" w:cs="Times New Roman" w:hint="eastAsia"/>
        </w:rPr>
        <w:t>无阻流量</w:t>
      </w:r>
      <w:r w:rsidR="00EF31C0">
        <w:rPr>
          <w:rFonts w:ascii="Times New Roman" w:cs="Times New Roman" w:hint="eastAsia"/>
        </w:rPr>
        <w:t>为</w:t>
      </w:r>
      <w:r w:rsidR="002A4396">
        <w:rPr>
          <w:rFonts w:ascii="Times New Roman" w:cs="Times New Roman" w:hint="eastAsia"/>
        </w:rPr>
        <w:t>最大产能</w:t>
      </w:r>
      <w:r w:rsidR="00833FC0">
        <w:rPr>
          <w:rFonts w:ascii="Times New Roman" w:cs="Times New Roman" w:hint="eastAsia"/>
        </w:rPr>
        <w:t>的</w:t>
      </w:r>
      <w:r w:rsidR="00833FC0">
        <w:rPr>
          <w:rFonts w:ascii="Times New Roman" w:cs="Times New Roman" w:hint="eastAsia"/>
        </w:rPr>
        <w:t>3</w:t>
      </w:r>
      <w:r w:rsidR="00833FC0">
        <w:rPr>
          <w:rFonts w:ascii="Times New Roman" w:cs="Times New Roman" w:hint="eastAsia"/>
        </w:rPr>
        <w:t>倍，</w:t>
      </w:r>
      <w:r w:rsidR="00EF31C0">
        <w:rPr>
          <w:rFonts w:ascii="Times New Roman" w:cs="Times New Roman" w:hint="eastAsia"/>
        </w:rPr>
        <w:t>即</w:t>
      </w:r>
      <w:r w:rsidRPr="00D630D1">
        <w:rPr>
          <w:rFonts w:ascii="Times New Roman" w:cs="Times New Roman" w:hint="eastAsia"/>
        </w:rPr>
        <w:t>为</w:t>
      </w:r>
      <w:r w:rsidR="002A4396">
        <w:rPr>
          <w:rFonts w:ascii="Times New Roman" w:cs="Times New Roman" w:hint="eastAsia"/>
        </w:rPr>
        <w:t>75</w:t>
      </w:r>
      <w:r w:rsidRPr="00D630D1">
        <w:rPr>
          <w:rFonts w:ascii="Times New Roman" w:cs="Times New Roman"/>
        </w:rPr>
        <w:t>×10</w:t>
      </w:r>
      <w:r w:rsidRPr="00D630D1">
        <w:rPr>
          <w:rFonts w:ascii="Times New Roman" w:cs="Times New Roman"/>
          <w:vertAlign w:val="superscript"/>
        </w:rPr>
        <w:t>4</w:t>
      </w:r>
      <w:r w:rsidRPr="00D630D1">
        <w:rPr>
          <w:rFonts w:ascii="Times New Roman" w:cs="Times New Roman"/>
        </w:rPr>
        <w:t>m</w:t>
      </w:r>
      <w:r w:rsidRPr="00D630D1">
        <w:rPr>
          <w:rFonts w:ascii="Times New Roman" w:cs="Times New Roman"/>
          <w:vertAlign w:val="superscript"/>
        </w:rPr>
        <w:t>3</w:t>
      </w:r>
      <w:r w:rsidRPr="00D630D1">
        <w:rPr>
          <w:rFonts w:ascii="Times New Roman" w:cs="Times New Roman"/>
        </w:rPr>
        <w:t>/d</w:t>
      </w:r>
      <w:r w:rsidRPr="00D630D1">
        <w:rPr>
          <w:rFonts w:ascii="Times New Roman" w:cs="Times New Roman" w:hint="eastAsia"/>
        </w:rPr>
        <w:t>（</w:t>
      </w:r>
      <w:r w:rsidR="002A4396">
        <w:rPr>
          <w:rFonts w:ascii="Times New Roman" w:cs="Times New Roman" w:hint="eastAsia"/>
        </w:rPr>
        <w:t>8.68</w:t>
      </w:r>
      <w:r w:rsidRPr="00D630D1">
        <w:rPr>
          <w:rFonts w:ascii="Times New Roman" w:cs="Times New Roman" w:hint="eastAsia"/>
        </w:rPr>
        <w:t>m</w:t>
      </w:r>
      <w:r w:rsidRPr="00D630D1">
        <w:rPr>
          <w:rFonts w:ascii="Times New Roman" w:cs="Times New Roman" w:hint="eastAsia"/>
          <w:vertAlign w:val="superscript"/>
        </w:rPr>
        <w:t>3</w:t>
      </w:r>
      <w:r w:rsidRPr="00D630D1">
        <w:rPr>
          <w:rFonts w:ascii="Times New Roman" w:cs="Times New Roman" w:hint="eastAsia"/>
        </w:rPr>
        <w:t>/</w:t>
      </w:r>
      <w:r w:rsidRPr="00D630D1">
        <w:rPr>
          <w:rFonts w:ascii="Times New Roman" w:cs="Times New Roman"/>
        </w:rPr>
        <w:t>s</w:t>
      </w:r>
      <w:r w:rsidRPr="00D630D1">
        <w:rPr>
          <w:rFonts w:ascii="Times New Roman" w:cs="Times New Roman"/>
        </w:rPr>
        <w:t>）</w:t>
      </w:r>
      <w:r w:rsidRPr="00D630D1">
        <w:rPr>
          <w:rFonts w:ascii="Times New Roman" w:cs="Times New Roman" w:hint="eastAsia"/>
        </w:rPr>
        <w:t>，本项目</w:t>
      </w:r>
      <w:r w:rsidRPr="00D630D1">
        <w:rPr>
          <w:rFonts w:ascii="Times New Roman" w:cs="Times New Roman" w:hint="eastAsia"/>
        </w:rPr>
        <w:t>15min</w:t>
      </w:r>
      <w:r w:rsidRPr="00D630D1">
        <w:rPr>
          <w:rFonts w:ascii="Times New Roman" w:cs="Times New Roman" w:hint="eastAsia"/>
        </w:rPr>
        <w:t>井喷过程泄漏的天然气量为</w:t>
      </w:r>
      <w:r w:rsidR="002A4396">
        <w:rPr>
          <w:rFonts w:ascii="Times New Roman" w:cs="Times New Roman" w:hint="eastAsia"/>
        </w:rPr>
        <w:t>5.48</w:t>
      </w:r>
      <w:r w:rsidRPr="00D630D1">
        <w:rPr>
          <w:rFonts w:ascii="Times New Roman" w:cs="Times New Roman" w:hint="eastAsia"/>
        </w:rPr>
        <w:t>t</w:t>
      </w:r>
      <w:r w:rsidR="00F955EA" w:rsidRPr="00D630D1">
        <w:rPr>
          <w:rFonts w:ascii="Times New Roman" w:cs="Times New Roman" w:hint="eastAsia"/>
        </w:rPr>
        <w:t>（天然气密度按</w:t>
      </w:r>
      <w:r w:rsidR="00C66952" w:rsidRPr="00D630D1">
        <w:rPr>
          <w:rFonts w:ascii="Times New Roman" w:cs="Times New Roman"/>
        </w:rPr>
        <w:lastRenderedPageBreak/>
        <w:t>0.7012</w:t>
      </w:r>
      <w:r w:rsidR="00F955EA" w:rsidRPr="00D630D1">
        <w:rPr>
          <w:rFonts w:ascii="Times New Roman" w:cs="Times New Roman" w:hint="eastAsia"/>
        </w:rPr>
        <w:t>kg/m</w:t>
      </w:r>
      <w:r w:rsidR="00F955EA" w:rsidRPr="00D630D1">
        <w:rPr>
          <w:rFonts w:ascii="Times New Roman" w:cs="Times New Roman" w:hint="eastAsia"/>
          <w:vertAlign w:val="superscript"/>
        </w:rPr>
        <w:t>3</w:t>
      </w:r>
      <w:r w:rsidR="00F955EA" w:rsidRPr="00D630D1">
        <w:rPr>
          <w:rFonts w:ascii="Times New Roman" w:cs="Times New Roman" w:hint="eastAsia"/>
        </w:rPr>
        <w:t>计）</w:t>
      </w:r>
      <w:r w:rsidR="0057322F" w:rsidRPr="00D630D1">
        <w:rPr>
          <w:rFonts w:ascii="Times New Roman" w:cs="Times New Roman" w:hint="eastAsia"/>
        </w:rPr>
        <w:t>。</w:t>
      </w:r>
    </w:p>
    <w:p w:rsidR="0057322F" w:rsidRPr="00D630D1" w:rsidRDefault="00FB4F2B" w:rsidP="006B4E48">
      <w:pPr>
        <w:ind w:firstLine="480"/>
        <w:rPr>
          <w:rFonts w:ascii="Times New Roman" w:cs="Times New Roman"/>
        </w:rPr>
      </w:pPr>
      <w:r w:rsidRPr="00D630D1">
        <w:rPr>
          <w:rFonts w:hAnsi="宋体" w:cs="Times New Roman" w:hint="eastAsia"/>
        </w:rPr>
        <w:t>②</w:t>
      </w:r>
      <w:r w:rsidR="0057322F" w:rsidRPr="00D630D1">
        <w:rPr>
          <w:rFonts w:ascii="Times New Roman" w:cs="Times New Roman" w:hint="eastAsia"/>
        </w:rPr>
        <w:t>天然气管道在线量</w:t>
      </w:r>
    </w:p>
    <w:p w:rsidR="00571024" w:rsidRPr="00D630D1" w:rsidRDefault="00571024" w:rsidP="006B4E48">
      <w:pPr>
        <w:ind w:firstLine="480"/>
        <w:rPr>
          <w:rFonts w:ascii="Times New Roman" w:cs="Times New Roman"/>
        </w:rPr>
      </w:pPr>
      <w:r w:rsidRPr="00D630D1">
        <w:rPr>
          <w:rFonts w:ascii="Times New Roman" w:cs="Times New Roman"/>
        </w:rPr>
        <w:t>天然气最大在线量</w:t>
      </w:r>
      <w:r w:rsidRPr="00D630D1">
        <w:rPr>
          <w:rFonts w:ascii="Times New Roman" w:cs="Times New Roman"/>
        </w:rPr>
        <w:t>=</w:t>
      </w:r>
      <w:r w:rsidRPr="00D630D1">
        <w:rPr>
          <w:rFonts w:ascii="Times New Roman" w:cs="Times New Roman"/>
        </w:rPr>
        <w:t>天然气密度</w:t>
      </w:r>
      <w:r w:rsidRPr="00D630D1">
        <w:rPr>
          <w:rFonts w:ascii="Times New Roman" w:cs="Times New Roman"/>
        </w:rPr>
        <w:t>*</w:t>
      </w:r>
      <w:r w:rsidRPr="00D630D1">
        <w:rPr>
          <w:rFonts w:ascii="Times New Roman" w:cs="Times New Roman"/>
        </w:rPr>
        <w:t>截面积</w:t>
      </w:r>
      <w:r w:rsidRPr="00D630D1">
        <w:rPr>
          <w:rFonts w:ascii="Times New Roman" w:cs="Times New Roman"/>
        </w:rPr>
        <w:t>*</w:t>
      </w:r>
      <w:r w:rsidRPr="00D630D1">
        <w:rPr>
          <w:rFonts w:ascii="Times New Roman" w:cs="Times New Roman"/>
        </w:rPr>
        <w:t>管道长度</w:t>
      </w:r>
      <w:r w:rsidRPr="00D630D1">
        <w:rPr>
          <w:rFonts w:ascii="Times New Roman" w:cs="Times New Roman"/>
        </w:rPr>
        <w:t>*</w:t>
      </w:r>
      <w:r w:rsidRPr="00D630D1">
        <w:rPr>
          <w:rFonts w:ascii="Times New Roman" w:cs="Times New Roman"/>
        </w:rPr>
        <w:t>压力倍数（压力倍数</w:t>
      </w:r>
      <w:r w:rsidRPr="00D630D1">
        <w:rPr>
          <w:rFonts w:ascii="Times New Roman" w:cs="Times New Roman"/>
        </w:rPr>
        <w:t>=</w:t>
      </w:r>
      <w:r w:rsidRPr="00D630D1">
        <w:rPr>
          <w:rFonts w:ascii="Times New Roman" w:cs="Times New Roman"/>
        </w:rPr>
        <w:t>运行压力</w:t>
      </w:r>
      <w:r w:rsidRPr="00D630D1">
        <w:rPr>
          <w:rFonts w:ascii="Times New Roman" w:cs="Times New Roman"/>
        </w:rPr>
        <w:t>/</w:t>
      </w:r>
      <w:r w:rsidRPr="00D630D1">
        <w:rPr>
          <w:rFonts w:ascii="Times New Roman" w:cs="Times New Roman"/>
        </w:rPr>
        <w:t>大气压）</w:t>
      </w:r>
    </w:p>
    <w:p w:rsidR="00571024" w:rsidRPr="00D630D1" w:rsidRDefault="00571024" w:rsidP="006B4E48">
      <w:pPr>
        <w:ind w:firstLine="480"/>
        <w:rPr>
          <w:rFonts w:ascii="Times New Roman" w:cs="Times New Roman"/>
        </w:rPr>
      </w:pPr>
      <w:r w:rsidRPr="00D630D1">
        <w:rPr>
          <w:rFonts w:ascii="Times New Roman" w:cs="Times New Roman"/>
        </w:rPr>
        <w:t>管道长度为</w:t>
      </w:r>
      <w:r w:rsidR="00DD3EA1">
        <w:rPr>
          <w:rFonts w:ascii="Times New Roman" w:cs="Times New Roman"/>
        </w:rPr>
        <w:t>普光</w:t>
      </w:r>
      <w:r w:rsidR="00DD3EA1">
        <w:rPr>
          <w:rFonts w:ascii="Times New Roman" w:cs="Times New Roman"/>
        </w:rPr>
        <w:t>12</w:t>
      </w:r>
      <w:r w:rsidR="00DD3EA1">
        <w:rPr>
          <w:rFonts w:ascii="Times New Roman" w:cs="Times New Roman"/>
        </w:rPr>
        <w:t>采气站</w:t>
      </w:r>
      <w:r w:rsidR="007F0FC4" w:rsidRPr="00D630D1">
        <w:rPr>
          <w:rFonts w:ascii="Times New Roman" w:cs="Times New Roman"/>
        </w:rPr>
        <w:t>~</w:t>
      </w:r>
      <w:r w:rsidR="00D57583">
        <w:rPr>
          <w:rFonts w:ascii="Times New Roman" w:cs="Times New Roman" w:hint="eastAsia"/>
        </w:rPr>
        <w:t>普陆</w:t>
      </w:r>
      <w:r w:rsidR="00D57583">
        <w:rPr>
          <w:rFonts w:ascii="Times New Roman" w:cs="Times New Roman" w:hint="eastAsia"/>
        </w:rPr>
        <w:t>3</w:t>
      </w:r>
      <w:r w:rsidR="00D57583">
        <w:rPr>
          <w:rFonts w:ascii="Times New Roman" w:cs="Times New Roman" w:hint="eastAsia"/>
        </w:rPr>
        <w:t>集气站</w:t>
      </w:r>
      <w:r w:rsidR="00EF31C0">
        <w:rPr>
          <w:rFonts w:ascii="Times New Roman" w:cs="Times New Roman" w:hint="eastAsia"/>
        </w:rPr>
        <w:t>和普陆</w:t>
      </w:r>
      <w:r w:rsidR="00EF31C0">
        <w:rPr>
          <w:rFonts w:ascii="Times New Roman" w:cs="Times New Roman" w:hint="eastAsia"/>
        </w:rPr>
        <w:t>3</w:t>
      </w:r>
      <w:r w:rsidR="00EF31C0">
        <w:rPr>
          <w:rFonts w:ascii="Times New Roman" w:cs="Times New Roman" w:hint="eastAsia"/>
        </w:rPr>
        <w:t>集气站</w:t>
      </w:r>
      <w:r w:rsidR="00EF31C0" w:rsidRPr="00D630D1">
        <w:rPr>
          <w:rFonts w:ascii="Times New Roman" w:cs="Times New Roman"/>
        </w:rPr>
        <w:t>~</w:t>
      </w:r>
      <w:r w:rsidR="00EF31C0">
        <w:rPr>
          <w:rFonts w:ascii="Times New Roman" w:cs="Times New Roman" w:hint="eastAsia"/>
        </w:rPr>
        <w:t>P105</w:t>
      </w:r>
      <w:r w:rsidR="00EF31C0">
        <w:rPr>
          <w:rFonts w:ascii="Times New Roman" w:cs="Times New Roman" w:hint="eastAsia"/>
        </w:rPr>
        <w:t>集气站</w:t>
      </w:r>
      <w:r w:rsidR="007F0FC4" w:rsidRPr="00D630D1">
        <w:rPr>
          <w:rFonts w:ascii="Times New Roman" w:cs="Times New Roman" w:hint="eastAsia"/>
        </w:rPr>
        <w:t>集气管道</w:t>
      </w:r>
      <w:r w:rsidRPr="00D630D1">
        <w:rPr>
          <w:rFonts w:ascii="Times New Roman" w:cs="Times New Roman"/>
        </w:rPr>
        <w:t>的长度。</w:t>
      </w:r>
    </w:p>
    <w:p w:rsidR="00571024" w:rsidRDefault="00314CB3" w:rsidP="00571024">
      <w:pPr>
        <w:ind w:firstLine="480"/>
        <w:rPr>
          <w:rFonts w:ascii="Times New Roman" w:cs="Times New Roman"/>
        </w:rPr>
      </w:pPr>
      <w:r>
        <w:rPr>
          <w:rFonts w:ascii="Times New Roman" w:cs="Times New Roman"/>
        </w:rPr>
        <w:t>普光</w:t>
      </w:r>
      <w:r>
        <w:rPr>
          <w:rFonts w:ascii="Times New Roman" w:cs="Times New Roman"/>
        </w:rPr>
        <w:t>12</w:t>
      </w:r>
      <w:r>
        <w:rPr>
          <w:rFonts w:ascii="Times New Roman" w:cs="Times New Roman"/>
        </w:rPr>
        <w:t>采气站</w:t>
      </w:r>
      <w:r w:rsidRPr="00D630D1">
        <w:rPr>
          <w:rFonts w:ascii="Times New Roman" w:cs="Times New Roman"/>
        </w:rPr>
        <w:t>~</w:t>
      </w:r>
      <w:r>
        <w:rPr>
          <w:rFonts w:ascii="Times New Roman" w:cs="Times New Roman" w:hint="eastAsia"/>
        </w:rPr>
        <w:t>普陆</w:t>
      </w:r>
      <w:r>
        <w:rPr>
          <w:rFonts w:ascii="Times New Roman" w:cs="Times New Roman" w:hint="eastAsia"/>
        </w:rPr>
        <w:t>3</w:t>
      </w:r>
      <w:r>
        <w:rPr>
          <w:rFonts w:ascii="Times New Roman" w:cs="Times New Roman" w:hint="eastAsia"/>
        </w:rPr>
        <w:t>集气站</w:t>
      </w:r>
      <w:r w:rsidRPr="00D630D1">
        <w:rPr>
          <w:rFonts w:ascii="Times New Roman" w:cs="Times New Roman" w:hint="eastAsia"/>
        </w:rPr>
        <w:t>集气管道</w:t>
      </w:r>
      <w:r w:rsidRPr="00D630D1">
        <w:rPr>
          <w:rFonts w:ascii="Times New Roman" w:cs="Times New Roman"/>
        </w:rPr>
        <w:t>段</w:t>
      </w:r>
      <w:r w:rsidR="00CA211F" w:rsidRPr="00D630D1">
        <w:rPr>
          <w:rFonts w:ascii="Times New Roman" w:cs="Times New Roman"/>
        </w:rPr>
        <w:t>：</w:t>
      </w:r>
      <w:r w:rsidR="00DD3EA1">
        <w:rPr>
          <w:rFonts w:ascii="Times New Roman" w:cs="Times New Roman"/>
        </w:rPr>
        <w:t>普光</w:t>
      </w:r>
      <w:r w:rsidR="00DD3EA1">
        <w:rPr>
          <w:rFonts w:ascii="Times New Roman" w:cs="Times New Roman"/>
        </w:rPr>
        <w:t>12</w:t>
      </w:r>
      <w:r w:rsidR="00DD3EA1">
        <w:rPr>
          <w:rFonts w:ascii="Times New Roman" w:cs="Times New Roman"/>
        </w:rPr>
        <w:t>采气站</w:t>
      </w:r>
      <w:r w:rsidR="007F0FC4" w:rsidRPr="00D630D1">
        <w:rPr>
          <w:rFonts w:ascii="Times New Roman" w:cs="Times New Roman"/>
        </w:rPr>
        <w:t>~</w:t>
      </w:r>
      <w:r w:rsidR="00D57583">
        <w:rPr>
          <w:rFonts w:ascii="Times New Roman" w:cs="Times New Roman" w:hint="eastAsia"/>
        </w:rPr>
        <w:t>普陆</w:t>
      </w:r>
      <w:r w:rsidR="00D57583">
        <w:rPr>
          <w:rFonts w:ascii="Times New Roman" w:cs="Times New Roman" w:hint="eastAsia"/>
        </w:rPr>
        <w:t>3</w:t>
      </w:r>
      <w:r w:rsidR="00D57583">
        <w:rPr>
          <w:rFonts w:ascii="Times New Roman" w:cs="Times New Roman" w:hint="eastAsia"/>
        </w:rPr>
        <w:t>集气站</w:t>
      </w:r>
      <w:r w:rsidR="007F0FC4" w:rsidRPr="00D630D1">
        <w:rPr>
          <w:rFonts w:ascii="Times New Roman" w:cs="Times New Roman" w:hint="eastAsia"/>
        </w:rPr>
        <w:t>集气管道</w:t>
      </w:r>
      <w:r w:rsidR="00D53D7C" w:rsidRPr="00D630D1">
        <w:rPr>
          <w:rFonts w:ascii="Times New Roman" w:cs="Times New Roman"/>
        </w:rPr>
        <w:t>段</w:t>
      </w:r>
      <w:r w:rsidR="00571024" w:rsidRPr="00D630D1">
        <w:rPr>
          <w:rFonts w:ascii="Times New Roman" w:cs="Times New Roman"/>
        </w:rPr>
        <w:t>天然气密度为</w:t>
      </w:r>
      <w:r w:rsidR="00CA211F" w:rsidRPr="00D630D1">
        <w:rPr>
          <w:rFonts w:ascii="Times New Roman" w:cs="Times New Roman"/>
        </w:rPr>
        <w:t>0.7</w:t>
      </w:r>
      <w:r w:rsidR="00EA43D3" w:rsidRPr="00D630D1">
        <w:rPr>
          <w:rFonts w:ascii="Times New Roman" w:cs="Times New Roman"/>
        </w:rPr>
        <w:t>0</w:t>
      </w:r>
      <w:r w:rsidR="00987595" w:rsidRPr="00D630D1">
        <w:rPr>
          <w:rFonts w:ascii="Times New Roman" w:cs="Times New Roman"/>
        </w:rPr>
        <w:t>12</w:t>
      </w:r>
      <w:r w:rsidR="00571024" w:rsidRPr="00D630D1">
        <w:rPr>
          <w:rFonts w:ascii="Times New Roman" w:cs="Times New Roman"/>
        </w:rPr>
        <w:t>kg/m</w:t>
      </w:r>
      <w:r w:rsidR="00571024" w:rsidRPr="00D630D1">
        <w:rPr>
          <w:rFonts w:ascii="Times New Roman" w:cs="Times New Roman"/>
          <w:vertAlign w:val="superscript"/>
        </w:rPr>
        <w:t>3</w:t>
      </w:r>
      <w:r w:rsidR="00571024" w:rsidRPr="00D630D1">
        <w:rPr>
          <w:rFonts w:ascii="Times New Roman" w:cs="Times New Roman"/>
        </w:rPr>
        <w:t>，截面积为</w:t>
      </w:r>
      <w:r w:rsidR="00CA211F" w:rsidRPr="00D630D1">
        <w:rPr>
          <w:rFonts w:ascii="Times New Roman" w:cs="Times New Roman"/>
        </w:rPr>
        <w:t>0.0</w:t>
      </w:r>
      <w:r w:rsidR="00EF31C0">
        <w:rPr>
          <w:rFonts w:ascii="Times New Roman" w:cs="Times New Roman" w:hint="eastAsia"/>
        </w:rPr>
        <w:t>314</w:t>
      </w:r>
      <w:r w:rsidR="00571024" w:rsidRPr="00D630D1">
        <w:rPr>
          <w:rFonts w:ascii="Times New Roman" w:cs="Times New Roman"/>
        </w:rPr>
        <w:t>m</w:t>
      </w:r>
      <w:r w:rsidR="00571024" w:rsidRPr="00D630D1">
        <w:rPr>
          <w:rFonts w:ascii="Times New Roman" w:cs="Times New Roman"/>
          <w:vertAlign w:val="superscript"/>
        </w:rPr>
        <w:t>2</w:t>
      </w:r>
      <w:r w:rsidR="00571024" w:rsidRPr="00D630D1">
        <w:rPr>
          <w:rFonts w:ascii="Times New Roman" w:cs="Times New Roman"/>
        </w:rPr>
        <w:t>，</w:t>
      </w:r>
      <w:r w:rsidR="00987595" w:rsidRPr="00D630D1">
        <w:rPr>
          <w:rFonts w:ascii="Times New Roman" w:cs="Times New Roman"/>
        </w:rPr>
        <w:t>酸气</w:t>
      </w:r>
      <w:r w:rsidR="00CA211F" w:rsidRPr="00D630D1">
        <w:rPr>
          <w:rFonts w:ascii="Times New Roman" w:cs="Times New Roman"/>
        </w:rPr>
        <w:t>管道</w:t>
      </w:r>
      <w:r w:rsidR="00EF31C0">
        <w:rPr>
          <w:rFonts w:ascii="Times New Roman" w:cs="Times New Roman" w:hint="eastAsia"/>
        </w:rPr>
        <w:t>总</w:t>
      </w:r>
      <w:r w:rsidR="00571024" w:rsidRPr="00D630D1">
        <w:rPr>
          <w:rFonts w:ascii="Times New Roman" w:cs="Times New Roman"/>
        </w:rPr>
        <w:t>长</w:t>
      </w:r>
      <w:r w:rsidR="00E51D3B" w:rsidRPr="00D630D1">
        <w:rPr>
          <w:rFonts w:ascii="Times New Roman" w:cs="Times New Roman" w:hint="eastAsia"/>
        </w:rPr>
        <w:t>3</w:t>
      </w:r>
      <w:r w:rsidR="00571024" w:rsidRPr="00D630D1">
        <w:rPr>
          <w:rFonts w:ascii="Times New Roman" w:cs="Times New Roman"/>
        </w:rPr>
        <w:t>km</w:t>
      </w:r>
      <w:r w:rsidR="00571024" w:rsidRPr="00D630D1">
        <w:rPr>
          <w:rFonts w:ascii="Times New Roman" w:cs="Times New Roman"/>
        </w:rPr>
        <w:t>，压力倍数为</w:t>
      </w:r>
      <w:r w:rsidR="002F2C1D" w:rsidRPr="00D630D1">
        <w:rPr>
          <w:rFonts w:ascii="Times New Roman" w:cs="Times New Roman"/>
        </w:rPr>
        <w:t>90.8</w:t>
      </w:r>
      <w:r w:rsidR="00571024" w:rsidRPr="00D630D1">
        <w:rPr>
          <w:rFonts w:ascii="Times New Roman" w:cs="Times New Roman"/>
        </w:rPr>
        <w:t>，</w:t>
      </w:r>
      <w:r w:rsidR="00D53D7C" w:rsidRPr="00D630D1">
        <w:rPr>
          <w:rFonts w:ascii="Times New Roman" w:cs="Times New Roman" w:hint="eastAsia"/>
        </w:rPr>
        <w:t>因此</w:t>
      </w:r>
      <w:r w:rsidR="00571024" w:rsidRPr="00D630D1">
        <w:rPr>
          <w:rFonts w:ascii="Times New Roman" w:cs="Times New Roman"/>
        </w:rPr>
        <w:t>天然气最大在线量约为</w:t>
      </w:r>
      <w:r w:rsidR="00EF31C0">
        <w:rPr>
          <w:rFonts w:ascii="Times New Roman" w:cs="Times New Roman" w:hint="eastAsia"/>
        </w:rPr>
        <w:t>5997.62</w:t>
      </w:r>
      <w:r w:rsidR="002E1DBF" w:rsidRPr="00D630D1">
        <w:rPr>
          <w:rFonts w:ascii="Times New Roman" w:cs="Times New Roman"/>
        </w:rPr>
        <w:t>kg</w:t>
      </w:r>
      <w:r w:rsidR="00571024" w:rsidRPr="00D630D1">
        <w:rPr>
          <w:rFonts w:ascii="Times New Roman" w:cs="Times New Roman"/>
        </w:rPr>
        <w:t>。</w:t>
      </w:r>
    </w:p>
    <w:p w:rsidR="00EF31C0" w:rsidRPr="00D630D1" w:rsidRDefault="00314CB3" w:rsidP="00571024">
      <w:pPr>
        <w:ind w:firstLine="480"/>
        <w:rPr>
          <w:rFonts w:ascii="Times New Roman" w:cs="Times New Roman"/>
        </w:rPr>
      </w:pPr>
      <w:r>
        <w:rPr>
          <w:rFonts w:ascii="Times New Roman" w:cs="Times New Roman" w:hint="eastAsia"/>
        </w:rPr>
        <w:t>普陆</w:t>
      </w:r>
      <w:r>
        <w:rPr>
          <w:rFonts w:ascii="Times New Roman" w:cs="Times New Roman" w:hint="eastAsia"/>
        </w:rPr>
        <w:t>3</w:t>
      </w:r>
      <w:r>
        <w:rPr>
          <w:rFonts w:ascii="Times New Roman" w:cs="Times New Roman" w:hint="eastAsia"/>
        </w:rPr>
        <w:t>集气站</w:t>
      </w:r>
      <w:r w:rsidRPr="00D630D1">
        <w:rPr>
          <w:rFonts w:ascii="Times New Roman" w:cs="Times New Roman"/>
        </w:rPr>
        <w:t>~</w:t>
      </w:r>
      <w:r>
        <w:rPr>
          <w:rFonts w:ascii="Times New Roman" w:cs="Times New Roman" w:hint="eastAsia"/>
        </w:rPr>
        <w:t>P105</w:t>
      </w:r>
      <w:r>
        <w:rPr>
          <w:rFonts w:ascii="Times New Roman" w:cs="Times New Roman" w:hint="eastAsia"/>
        </w:rPr>
        <w:t>集气站</w:t>
      </w:r>
      <w:r w:rsidRPr="00D630D1">
        <w:rPr>
          <w:rFonts w:ascii="Times New Roman" w:cs="Times New Roman" w:hint="eastAsia"/>
        </w:rPr>
        <w:t>集气管道</w:t>
      </w:r>
      <w:r>
        <w:rPr>
          <w:rFonts w:ascii="Times New Roman" w:cs="Times New Roman" w:hint="eastAsia"/>
        </w:rPr>
        <w:t>段</w:t>
      </w:r>
      <w:r w:rsidR="00EF31C0" w:rsidRPr="00D630D1">
        <w:rPr>
          <w:rFonts w:ascii="Times New Roman" w:cs="Times New Roman"/>
        </w:rPr>
        <w:t>：</w:t>
      </w:r>
      <w:r w:rsidR="00EF31C0">
        <w:rPr>
          <w:rFonts w:ascii="Times New Roman" w:cs="Times New Roman" w:hint="eastAsia"/>
        </w:rPr>
        <w:t>普陆</w:t>
      </w:r>
      <w:r w:rsidR="00EF31C0">
        <w:rPr>
          <w:rFonts w:ascii="Times New Roman" w:cs="Times New Roman" w:hint="eastAsia"/>
        </w:rPr>
        <w:t>3</w:t>
      </w:r>
      <w:r w:rsidR="00EF31C0">
        <w:rPr>
          <w:rFonts w:ascii="Times New Roman" w:cs="Times New Roman" w:hint="eastAsia"/>
        </w:rPr>
        <w:t>集气站</w:t>
      </w:r>
      <w:r w:rsidR="00EF31C0" w:rsidRPr="00D630D1">
        <w:rPr>
          <w:rFonts w:ascii="Times New Roman" w:cs="Times New Roman"/>
        </w:rPr>
        <w:t>~</w:t>
      </w:r>
      <w:r w:rsidR="00EF31C0">
        <w:rPr>
          <w:rFonts w:ascii="Times New Roman" w:cs="Times New Roman" w:hint="eastAsia"/>
        </w:rPr>
        <w:t>P105</w:t>
      </w:r>
      <w:r w:rsidR="00EF31C0">
        <w:rPr>
          <w:rFonts w:ascii="Times New Roman" w:cs="Times New Roman" w:hint="eastAsia"/>
        </w:rPr>
        <w:t>集气站</w:t>
      </w:r>
      <w:r w:rsidR="00EF31C0" w:rsidRPr="00D630D1">
        <w:rPr>
          <w:rFonts w:ascii="Times New Roman" w:cs="Times New Roman" w:hint="eastAsia"/>
        </w:rPr>
        <w:t>集气管道</w:t>
      </w:r>
      <w:r w:rsidR="00EF31C0" w:rsidRPr="00D630D1">
        <w:rPr>
          <w:rFonts w:ascii="Times New Roman" w:cs="Times New Roman"/>
        </w:rPr>
        <w:t>段天然气密度为</w:t>
      </w:r>
      <w:r w:rsidR="00EF31C0" w:rsidRPr="00D630D1">
        <w:rPr>
          <w:rFonts w:ascii="Times New Roman" w:cs="Times New Roman"/>
        </w:rPr>
        <w:t>0.7012kg/m</w:t>
      </w:r>
      <w:r w:rsidR="00EF31C0" w:rsidRPr="00D630D1">
        <w:rPr>
          <w:rFonts w:ascii="Times New Roman" w:cs="Times New Roman"/>
          <w:vertAlign w:val="superscript"/>
        </w:rPr>
        <w:t>3</w:t>
      </w:r>
      <w:r w:rsidR="00EF31C0" w:rsidRPr="00D630D1">
        <w:rPr>
          <w:rFonts w:ascii="Times New Roman" w:cs="Times New Roman"/>
        </w:rPr>
        <w:t>，截面积为</w:t>
      </w:r>
      <w:r w:rsidR="00EF31C0" w:rsidRPr="00D630D1">
        <w:rPr>
          <w:rFonts w:ascii="Times New Roman" w:cs="Times New Roman"/>
        </w:rPr>
        <w:t>0.0</w:t>
      </w:r>
      <w:r>
        <w:rPr>
          <w:rFonts w:ascii="Times New Roman" w:cs="Times New Roman" w:hint="eastAsia"/>
        </w:rPr>
        <w:t>1</w:t>
      </w:r>
      <w:r w:rsidR="00925ADD">
        <w:rPr>
          <w:rFonts w:ascii="Times New Roman" w:cs="Times New Roman" w:hint="eastAsia"/>
        </w:rPr>
        <w:t>77</w:t>
      </w:r>
      <w:r w:rsidR="00EF31C0" w:rsidRPr="00D630D1">
        <w:rPr>
          <w:rFonts w:ascii="Times New Roman" w:cs="Times New Roman"/>
        </w:rPr>
        <w:t>m</w:t>
      </w:r>
      <w:r w:rsidR="00EF31C0" w:rsidRPr="00D630D1">
        <w:rPr>
          <w:rFonts w:ascii="Times New Roman" w:cs="Times New Roman"/>
          <w:vertAlign w:val="superscript"/>
        </w:rPr>
        <w:t>2</w:t>
      </w:r>
      <w:r w:rsidR="00EF31C0" w:rsidRPr="00D630D1">
        <w:rPr>
          <w:rFonts w:ascii="Times New Roman" w:cs="Times New Roman"/>
        </w:rPr>
        <w:t>，酸气管道</w:t>
      </w:r>
      <w:r w:rsidR="00EF31C0">
        <w:rPr>
          <w:rFonts w:ascii="Times New Roman" w:cs="Times New Roman" w:hint="eastAsia"/>
        </w:rPr>
        <w:t>总</w:t>
      </w:r>
      <w:r w:rsidR="00EF31C0" w:rsidRPr="00D630D1">
        <w:rPr>
          <w:rFonts w:ascii="Times New Roman" w:cs="Times New Roman"/>
        </w:rPr>
        <w:t>长</w:t>
      </w:r>
      <w:r w:rsidR="00EF31C0" w:rsidRPr="00D630D1">
        <w:rPr>
          <w:rFonts w:ascii="Times New Roman" w:cs="Times New Roman" w:hint="eastAsia"/>
        </w:rPr>
        <w:t>0.</w:t>
      </w:r>
      <w:r>
        <w:rPr>
          <w:rFonts w:ascii="Times New Roman" w:cs="Times New Roman" w:hint="eastAsia"/>
        </w:rPr>
        <w:t>98</w:t>
      </w:r>
      <w:r w:rsidR="00EF31C0" w:rsidRPr="00D630D1">
        <w:rPr>
          <w:rFonts w:ascii="Times New Roman" w:cs="Times New Roman"/>
        </w:rPr>
        <w:t>km</w:t>
      </w:r>
      <w:r w:rsidR="00EF31C0" w:rsidRPr="00D630D1">
        <w:rPr>
          <w:rFonts w:ascii="Times New Roman" w:cs="Times New Roman"/>
        </w:rPr>
        <w:t>，压力倍数为</w:t>
      </w:r>
      <w:r w:rsidR="00EF31C0" w:rsidRPr="00D630D1">
        <w:rPr>
          <w:rFonts w:ascii="Times New Roman" w:cs="Times New Roman"/>
        </w:rPr>
        <w:t>90.8</w:t>
      </w:r>
      <w:r w:rsidR="00EF31C0" w:rsidRPr="00D630D1">
        <w:rPr>
          <w:rFonts w:ascii="Times New Roman" w:cs="Times New Roman"/>
        </w:rPr>
        <w:t>，</w:t>
      </w:r>
      <w:r w:rsidR="00EF31C0" w:rsidRPr="00D630D1">
        <w:rPr>
          <w:rFonts w:ascii="Times New Roman" w:cs="Times New Roman" w:hint="eastAsia"/>
        </w:rPr>
        <w:t>因此</w:t>
      </w:r>
      <w:r w:rsidR="00EF31C0" w:rsidRPr="00D630D1">
        <w:rPr>
          <w:rFonts w:ascii="Times New Roman" w:cs="Times New Roman"/>
        </w:rPr>
        <w:t>天然气最大在线量约为</w:t>
      </w:r>
      <w:r w:rsidR="00925ADD">
        <w:rPr>
          <w:rFonts w:ascii="Times New Roman" w:cs="Times New Roman" w:hint="eastAsia"/>
        </w:rPr>
        <w:t>1104.4</w:t>
      </w:r>
      <w:r w:rsidR="00EF31C0" w:rsidRPr="00D630D1">
        <w:rPr>
          <w:rFonts w:ascii="Times New Roman" w:cs="Times New Roman"/>
        </w:rPr>
        <w:t>kg</w:t>
      </w:r>
      <w:r w:rsidR="00EF31C0" w:rsidRPr="00D630D1">
        <w:rPr>
          <w:rFonts w:ascii="Times New Roman" w:cs="Times New Roman"/>
        </w:rPr>
        <w:t>。</w:t>
      </w:r>
    </w:p>
    <w:p w:rsidR="00FC1DAD" w:rsidRDefault="00FC1DAD" w:rsidP="002F2C1D">
      <w:pPr>
        <w:ind w:firstLine="480"/>
        <w:rPr>
          <w:rFonts w:ascii="Times New Roman" w:cs="Times New Roman"/>
        </w:rPr>
      </w:pPr>
      <w:r w:rsidRPr="00D630D1">
        <w:rPr>
          <w:rFonts w:hAnsi="宋体" w:cs="Times New Roman" w:hint="eastAsia"/>
        </w:rPr>
        <w:t>③</w:t>
      </w:r>
      <w:r w:rsidRPr="00D630D1">
        <w:rPr>
          <w:rFonts w:ascii="Times New Roman" w:cs="Times New Roman" w:hint="eastAsia"/>
        </w:rPr>
        <w:t>本项目</w:t>
      </w:r>
      <w:r w:rsidR="00314CB3">
        <w:rPr>
          <w:rFonts w:ascii="Times New Roman" w:cs="Times New Roman"/>
        </w:rPr>
        <w:t>普光</w:t>
      </w:r>
      <w:r w:rsidR="00314CB3">
        <w:rPr>
          <w:rFonts w:ascii="Times New Roman" w:cs="Times New Roman"/>
        </w:rPr>
        <w:t>12</w:t>
      </w:r>
      <w:r w:rsidR="00314CB3">
        <w:rPr>
          <w:rFonts w:ascii="Times New Roman" w:cs="Times New Roman"/>
        </w:rPr>
        <w:t>井场</w:t>
      </w:r>
      <w:r w:rsidRPr="00D630D1">
        <w:rPr>
          <w:rFonts w:ascii="Times New Roman" w:cs="Times New Roman" w:hint="eastAsia"/>
        </w:rPr>
        <w:t>设置</w:t>
      </w:r>
      <w:r w:rsidRPr="00D630D1">
        <w:rPr>
          <w:rFonts w:ascii="Times New Roman" w:cs="Times New Roman" w:hint="eastAsia"/>
        </w:rPr>
        <w:t>1</w:t>
      </w:r>
      <w:r w:rsidRPr="00D630D1">
        <w:rPr>
          <w:rFonts w:ascii="Times New Roman" w:cs="Times New Roman" w:hint="eastAsia"/>
        </w:rPr>
        <w:t>个</w:t>
      </w:r>
      <w:r w:rsidR="00DB6EC5" w:rsidRPr="00D630D1">
        <w:rPr>
          <w:rFonts w:ascii="Times New Roman" w:cs="Times New Roman" w:hint="eastAsia"/>
        </w:rPr>
        <w:t>柴油储罐</w:t>
      </w:r>
      <w:r w:rsidRPr="00D630D1">
        <w:rPr>
          <w:rFonts w:ascii="Times New Roman" w:cs="Times New Roman" w:hint="eastAsia"/>
        </w:rPr>
        <w:t>，容积为</w:t>
      </w:r>
      <w:r w:rsidRPr="00D630D1">
        <w:rPr>
          <w:rFonts w:ascii="Times New Roman" w:cs="Times New Roman" w:hint="eastAsia"/>
        </w:rPr>
        <w:t>20m</w:t>
      </w:r>
      <w:r w:rsidRPr="00D630D1">
        <w:rPr>
          <w:rFonts w:ascii="Times New Roman" w:cs="Times New Roman" w:hint="eastAsia"/>
          <w:vertAlign w:val="superscript"/>
        </w:rPr>
        <w:t>3</w:t>
      </w:r>
      <w:r w:rsidRPr="00D630D1">
        <w:rPr>
          <w:rFonts w:ascii="Times New Roman" w:cs="Times New Roman" w:hint="eastAsia"/>
        </w:rPr>
        <w:t>，</w:t>
      </w:r>
      <w:r w:rsidR="00211A77" w:rsidRPr="00D630D1">
        <w:rPr>
          <w:rFonts w:ascii="Times New Roman" w:cs="Times New Roman" w:hint="eastAsia"/>
        </w:rPr>
        <w:t>柴油密度为</w:t>
      </w:r>
      <w:r w:rsidR="00211A77" w:rsidRPr="00D630D1">
        <w:rPr>
          <w:rFonts w:ascii="Times New Roman" w:cs="Times New Roman" w:hint="eastAsia"/>
        </w:rPr>
        <w:t>840kg/m</w:t>
      </w:r>
      <w:r w:rsidR="00211A77" w:rsidRPr="00D630D1">
        <w:rPr>
          <w:rFonts w:ascii="Times New Roman" w:cs="Times New Roman" w:hint="eastAsia"/>
          <w:vertAlign w:val="superscript"/>
        </w:rPr>
        <w:t>3</w:t>
      </w:r>
      <w:r w:rsidR="00211A77" w:rsidRPr="00D630D1">
        <w:rPr>
          <w:rFonts w:ascii="Times New Roman" w:cs="Times New Roman" w:hint="eastAsia"/>
        </w:rPr>
        <w:t>，柴油最大储存量为</w:t>
      </w:r>
      <w:r w:rsidR="00211A77" w:rsidRPr="00D630D1">
        <w:rPr>
          <w:rFonts w:ascii="Times New Roman" w:cs="Times New Roman" w:hint="eastAsia"/>
        </w:rPr>
        <w:t>16.8t</w:t>
      </w:r>
      <w:r w:rsidR="00211A77" w:rsidRPr="00D630D1">
        <w:rPr>
          <w:rFonts w:ascii="Times New Roman" w:cs="Times New Roman" w:hint="eastAsia"/>
        </w:rPr>
        <w:t>。</w:t>
      </w:r>
    </w:p>
    <w:p w:rsidR="00314CB3" w:rsidRPr="00D630D1" w:rsidRDefault="009913C3" w:rsidP="002F2C1D">
      <w:pPr>
        <w:ind w:firstLine="480"/>
        <w:rPr>
          <w:rFonts w:ascii="Times New Roman" w:cs="Times New Roman"/>
        </w:rPr>
      </w:pPr>
      <w:r>
        <w:rPr>
          <w:rFonts w:ascii="Times New Roman" w:cs="Times New Roman"/>
        </w:rPr>
        <w:fldChar w:fldCharType="begin"/>
      </w:r>
      <w:r w:rsidR="00314CB3">
        <w:rPr>
          <w:rFonts w:ascii="Times New Roman" w:cs="Times New Roman"/>
        </w:rPr>
        <w:instrText xml:space="preserve"> </w:instrText>
      </w:r>
      <w:r w:rsidR="00314CB3">
        <w:rPr>
          <w:rFonts w:ascii="Times New Roman" w:cs="Times New Roman" w:hint="eastAsia"/>
        </w:rPr>
        <w:instrText>= 4 \* GB3</w:instrText>
      </w:r>
      <w:r w:rsidR="00314CB3">
        <w:rPr>
          <w:rFonts w:ascii="Times New Roman" w:cs="Times New Roman"/>
        </w:rPr>
        <w:instrText xml:space="preserve"> </w:instrText>
      </w:r>
      <w:r>
        <w:rPr>
          <w:rFonts w:ascii="Times New Roman" w:cs="Times New Roman"/>
        </w:rPr>
        <w:fldChar w:fldCharType="separate"/>
      </w:r>
      <w:r w:rsidR="00314CB3">
        <w:rPr>
          <w:rFonts w:ascii="Times New Roman" w:cs="Times New Roman" w:hint="eastAsia"/>
          <w:noProof/>
        </w:rPr>
        <w:t>④</w:t>
      </w:r>
      <w:r>
        <w:rPr>
          <w:rFonts w:ascii="Times New Roman" w:cs="Times New Roman"/>
        </w:rPr>
        <w:fldChar w:fldCharType="end"/>
      </w:r>
      <w:r w:rsidR="00314CB3" w:rsidRPr="00D630D1">
        <w:rPr>
          <w:rFonts w:ascii="Times New Roman" w:cs="Times New Roman" w:hint="eastAsia"/>
        </w:rPr>
        <w:t>本项目</w:t>
      </w:r>
      <w:r w:rsidR="00314CB3">
        <w:rPr>
          <w:rFonts w:ascii="Times New Roman" w:cs="Times New Roman"/>
        </w:rPr>
        <w:t>普光</w:t>
      </w:r>
      <w:r w:rsidR="00314CB3">
        <w:rPr>
          <w:rFonts w:ascii="Times New Roman" w:cs="Times New Roman"/>
        </w:rPr>
        <w:t>12</w:t>
      </w:r>
      <w:r w:rsidR="00314CB3">
        <w:rPr>
          <w:rFonts w:ascii="Times New Roman" w:cs="Times New Roman"/>
        </w:rPr>
        <w:t>井场</w:t>
      </w:r>
      <w:r w:rsidR="00314CB3" w:rsidRPr="00D630D1">
        <w:rPr>
          <w:rFonts w:ascii="Times New Roman" w:cs="Times New Roman" w:hint="eastAsia"/>
        </w:rPr>
        <w:t>设置</w:t>
      </w:r>
      <w:r w:rsidR="00314CB3">
        <w:rPr>
          <w:rFonts w:ascii="Times New Roman" w:cs="Times New Roman" w:hint="eastAsia"/>
        </w:rPr>
        <w:t>2</w:t>
      </w:r>
      <w:r w:rsidR="00314CB3" w:rsidRPr="00D630D1">
        <w:rPr>
          <w:rFonts w:ascii="Times New Roman" w:cs="Times New Roman" w:hint="eastAsia"/>
        </w:rPr>
        <w:t>个</w:t>
      </w:r>
      <w:r w:rsidR="00314CB3">
        <w:rPr>
          <w:rFonts w:ascii="Times New Roman" w:cs="Times New Roman" w:hint="eastAsia"/>
        </w:rPr>
        <w:t>凝析油</w:t>
      </w:r>
      <w:r w:rsidR="00314CB3" w:rsidRPr="00D630D1">
        <w:rPr>
          <w:rFonts w:ascii="Times New Roman" w:cs="Times New Roman" w:hint="eastAsia"/>
        </w:rPr>
        <w:t>储罐，容积</w:t>
      </w:r>
      <w:r w:rsidR="00314CB3">
        <w:rPr>
          <w:rFonts w:ascii="Times New Roman" w:cs="Times New Roman" w:hint="eastAsia"/>
        </w:rPr>
        <w:t>均</w:t>
      </w:r>
      <w:r w:rsidR="00314CB3" w:rsidRPr="00D630D1">
        <w:rPr>
          <w:rFonts w:ascii="Times New Roman" w:cs="Times New Roman" w:hint="eastAsia"/>
        </w:rPr>
        <w:t>为</w:t>
      </w:r>
      <w:r w:rsidR="00314CB3">
        <w:rPr>
          <w:rFonts w:ascii="Times New Roman" w:cs="Times New Roman" w:hint="eastAsia"/>
        </w:rPr>
        <w:t>5</w:t>
      </w:r>
      <w:r w:rsidR="00314CB3" w:rsidRPr="00D630D1">
        <w:rPr>
          <w:rFonts w:ascii="Times New Roman" w:cs="Times New Roman" w:hint="eastAsia"/>
        </w:rPr>
        <w:t>0m</w:t>
      </w:r>
      <w:r w:rsidR="00314CB3" w:rsidRPr="00D630D1">
        <w:rPr>
          <w:rFonts w:ascii="Times New Roman" w:cs="Times New Roman" w:hint="eastAsia"/>
          <w:vertAlign w:val="superscript"/>
        </w:rPr>
        <w:t>3</w:t>
      </w:r>
      <w:r w:rsidR="00314CB3" w:rsidRPr="00D630D1">
        <w:rPr>
          <w:rFonts w:ascii="Times New Roman" w:cs="Times New Roman" w:hint="eastAsia"/>
        </w:rPr>
        <w:t>，</w:t>
      </w:r>
      <w:r w:rsidR="00314CB3">
        <w:rPr>
          <w:rFonts w:ascii="Times New Roman" w:cs="Times New Roman" w:hint="eastAsia"/>
        </w:rPr>
        <w:t>凝析油</w:t>
      </w:r>
      <w:r w:rsidR="00314CB3" w:rsidRPr="00D630D1">
        <w:rPr>
          <w:rFonts w:ascii="Times New Roman" w:cs="Times New Roman" w:hint="eastAsia"/>
        </w:rPr>
        <w:t>密度为</w:t>
      </w:r>
      <w:r w:rsidR="00314CB3" w:rsidRPr="00D630D1">
        <w:rPr>
          <w:rFonts w:ascii="Times New Roman" w:cs="Times New Roman" w:hint="eastAsia"/>
        </w:rPr>
        <w:t>8</w:t>
      </w:r>
      <w:r w:rsidR="00314CB3">
        <w:rPr>
          <w:rFonts w:ascii="Times New Roman" w:cs="Times New Roman" w:hint="eastAsia"/>
        </w:rPr>
        <w:t>0</w:t>
      </w:r>
      <w:r w:rsidR="00314CB3" w:rsidRPr="00D630D1">
        <w:rPr>
          <w:rFonts w:ascii="Times New Roman" w:cs="Times New Roman" w:hint="eastAsia"/>
        </w:rPr>
        <w:t>0kg/m</w:t>
      </w:r>
      <w:r w:rsidR="00314CB3" w:rsidRPr="00D630D1">
        <w:rPr>
          <w:rFonts w:ascii="Times New Roman" w:cs="Times New Roman" w:hint="eastAsia"/>
          <w:vertAlign w:val="superscript"/>
        </w:rPr>
        <w:t>3</w:t>
      </w:r>
      <w:r w:rsidR="00314CB3" w:rsidRPr="00D630D1">
        <w:rPr>
          <w:rFonts w:ascii="Times New Roman" w:cs="Times New Roman" w:hint="eastAsia"/>
        </w:rPr>
        <w:t>，</w:t>
      </w:r>
      <w:r w:rsidR="00314CB3">
        <w:rPr>
          <w:rFonts w:ascii="Times New Roman" w:cs="Times New Roman" w:hint="eastAsia"/>
        </w:rPr>
        <w:t>凝析油</w:t>
      </w:r>
      <w:r w:rsidR="00314CB3" w:rsidRPr="00D630D1">
        <w:rPr>
          <w:rFonts w:ascii="Times New Roman" w:cs="Times New Roman" w:hint="eastAsia"/>
        </w:rPr>
        <w:t>最大储存量为</w:t>
      </w:r>
      <w:r w:rsidR="00314CB3">
        <w:rPr>
          <w:rFonts w:ascii="Times New Roman" w:cs="Times New Roman" w:hint="eastAsia"/>
        </w:rPr>
        <w:t>80</w:t>
      </w:r>
      <w:r w:rsidR="00314CB3" w:rsidRPr="00D630D1">
        <w:rPr>
          <w:rFonts w:ascii="Times New Roman" w:cs="Times New Roman" w:hint="eastAsia"/>
        </w:rPr>
        <w:t>t</w:t>
      </w:r>
      <w:r w:rsidR="00314CB3" w:rsidRPr="00D630D1">
        <w:rPr>
          <w:rFonts w:ascii="Times New Roman" w:cs="Times New Roman" w:hint="eastAsia"/>
        </w:rPr>
        <w:t>。</w:t>
      </w:r>
    </w:p>
    <w:p w:rsidR="007C1654" w:rsidRPr="00D630D1" w:rsidRDefault="007C1654" w:rsidP="007C1654">
      <w:pPr>
        <w:pStyle w:val="afa"/>
        <w:ind w:firstLine="480"/>
      </w:pPr>
      <w:r w:rsidRPr="00D630D1">
        <w:t>根据《建设项目环境风险评价技术导则》（</w:t>
      </w:r>
      <w:r w:rsidRPr="00D630D1">
        <w:t>HJ169-2018</w:t>
      </w:r>
      <w:r w:rsidRPr="00D630D1">
        <w:t>）中关于环境风险评价工作等级的划分方法，本工程</w:t>
      </w:r>
      <w:r w:rsidR="0057322F" w:rsidRPr="00D630D1">
        <w:t>井喷泄漏的天然气和</w:t>
      </w:r>
      <w:r w:rsidR="00987595" w:rsidRPr="00D630D1">
        <w:t>酸气管线</w:t>
      </w:r>
      <w:r w:rsidRPr="00D630D1">
        <w:t>输送的介质为</w:t>
      </w:r>
      <w:r w:rsidR="00987BAF">
        <w:rPr>
          <w:rFonts w:hint="eastAsia"/>
        </w:rPr>
        <w:t>不</w:t>
      </w:r>
      <w:r w:rsidRPr="00D630D1">
        <w:t>含硫天然气，项目涉及的主要危险有害物质为甲烷、</w:t>
      </w:r>
      <w:r w:rsidR="00505824">
        <w:rPr>
          <w:rFonts w:hint="eastAsia"/>
        </w:rPr>
        <w:t>柴油、凝析油</w:t>
      </w:r>
      <w:r w:rsidRPr="00D630D1">
        <w:t>和</w:t>
      </w:r>
      <w:bookmarkStart w:id="527" w:name="OLE_LINK105"/>
      <w:bookmarkStart w:id="528" w:name="OLE_LINK106"/>
      <w:r w:rsidR="00EF360A" w:rsidRPr="00D630D1">
        <w:rPr>
          <w:rFonts w:hint="eastAsia"/>
        </w:rPr>
        <w:t>压裂、洗井废水</w:t>
      </w:r>
      <w:bookmarkEnd w:id="527"/>
      <w:bookmarkEnd w:id="528"/>
      <w:r w:rsidR="00505824">
        <w:rPr>
          <w:rFonts w:hint="eastAsia"/>
        </w:rPr>
        <w:t>、气田水</w:t>
      </w:r>
      <w:r w:rsidRPr="00D630D1">
        <w:t>。由于</w:t>
      </w:r>
      <w:r w:rsidR="00EF360A" w:rsidRPr="00D630D1">
        <w:rPr>
          <w:rFonts w:hint="eastAsia"/>
        </w:rPr>
        <w:t>压裂、洗井废水</w:t>
      </w:r>
      <w:r w:rsidR="00505824">
        <w:rPr>
          <w:rFonts w:hint="eastAsia"/>
        </w:rPr>
        <w:t>和气田水</w:t>
      </w:r>
      <w:r w:rsidRPr="00D630D1">
        <w:t>不属于《建设项目风险评价技术导则》（</w:t>
      </w:r>
      <w:r w:rsidRPr="00D630D1">
        <w:t>HJ169-2018</w:t>
      </w:r>
      <w:r w:rsidRPr="00D630D1">
        <w:t>），附录</w:t>
      </w:r>
      <w:r w:rsidRPr="00D630D1">
        <w:t>B</w:t>
      </w:r>
      <w:r w:rsidRPr="00D630D1">
        <w:t>中重点关注的危险物质，根据分析</w:t>
      </w:r>
      <w:r w:rsidR="00EF360A" w:rsidRPr="00D630D1">
        <w:rPr>
          <w:rFonts w:hint="eastAsia"/>
        </w:rPr>
        <w:t>压裂、洗井废水</w:t>
      </w:r>
      <w:r w:rsidR="00505824">
        <w:rPr>
          <w:rFonts w:hint="eastAsia"/>
        </w:rPr>
        <w:t>、气田水</w:t>
      </w:r>
      <w:r w:rsidRPr="00D630D1">
        <w:t>属于危害水环境物质，但不属于急性毒性类别</w:t>
      </w:r>
      <w:r w:rsidRPr="00D630D1">
        <w:t>1</w:t>
      </w:r>
      <w:r w:rsidRPr="00D630D1">
        <w:t>中物质。故不作为环境风险等级判定物质，本次评价仅对其在储存过程中的风险提出措施。</w:t>
      </w:r>
    </w:p>
    <w:p w:rsidR="002E1DBF" w:rsidRPr="00D630D1" w:rsidRDefault="002E1DBF" w:rsidP="002E1DBF">
      <w:pPr>
        <w:pStyle w:val="10"/>
        <w:ind w:firstLine="480"/>
        <w:rPr>
          <w:rFonts w:cs="Times New Roman"/>
        </w:rPr>
      </w:pPr>
      <w:r w:rsidRPr="00D630D1">
        <w:rPr>
          <w:rFonts w:cs="Times New Roman"/>
        </w:rPr>
        <w:t>表</w:t>
      </w:r>
      <w:r w:rsidRPr="00D630D1">
        <w:rPr>
          <w:rFonts w:cs="Times New Roman"/>
        </w:rPr>
        <w:t>7.4-</w:t>
      </w:r>
      <w:r w:rsidR="00CB58E1" w:rsidRPr="00D630D1">
        <w:rPr>
          <w:rFonts w:cs="Times New Roman" w:hint="eastAsia"/>
        </w:rPr>
        <w:t>2</w:t>
      </w:r>
      <w:r w:rsidRPr="00D630D1">
        <w:rPr>
          <w:rFonts w:cs="Times New Roman"/>
        </w:rPr>
        <w:t xml:space="preserve">  </w:t>
      </w:r>
      <w:r w:rsidRPr="00D630D1">
        <w:rPr>
          <w:rFonts w:cs="Times New Roman"/>
        </w:rPr>
        <w:t>本项目评价单元危险物质最大存在量</w:t>
      </w:r>
    </w:p>
    <w:tbl>
      <w:tblPr>
        <w:tblW w:w="8495"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804"/>
        <w:gridCol w:w="2126"/>
        <w:gridCol w:w="1181"/>
        <w:gridCol w:w="2977"/>
        <w:gridCol w:w="1407"/>
      </w:tblGrid>
      <w:tr w:rsidR="00987595" w:rsidRPr="00D630D1" w:rsidTr="00505824">
        <w:trPr>
          <w:trHeight w:val="29"/>
          <w:jc w:val="center"/>
        </w:trPr>
        <w:tc>
          <w:tcPr>
            <w:tcW w:w="804" w:type="dxa"/>
            <w:tcBorders>
              <w:top w:val="single" w:sz="12" w:space="0" w:color="auto"/>
            </w:tcBorders>
            <w:shd w:val="clear" w:color="auto" w:fill="auto"/>
            <w:vAlign w:val="center"/>
          </w:tcPr>
          <w:p w:rsidR="004B05C3" w:rsidRPr="00D630D1" w:rsidRDefault="004B05C3" w:rsidP="00327691">
            <w:pPr>
              <w:pStyle w:val="aff2"/>
              <w:rPr>
                <w:b/>
                <w:bCs/>
              </w:rPr>
            </w:pPr>
            <w:r w:rsidRPr="00D630D1">
              <w:rPr>
                <w:b/>
                <w:bCs/>
              </w:rPr>
              <w:t>序号</w:t>
            </w:r>
          </w:p>
        </w:tc>
        <w:tc>
          <w:tcPr>
            <w:tcW w:w="2126" w:type="dxa"/>
            <w:tcBorders>
              <w:top w:val="single" w:sz="12" w:space="0" w:color="auto"/>
            </w:tcBorders>
            <w:shd w:val="clear" w:color="auto" w:fill="auto"/>
            <w:vAlign w:val="center"/>
          </w:tcPr>
          <w:p w:rsidR="004B05C3" w:rsidRPr="00D630D1" w:rsidRDefault="004B05C3" w:rsidP="00327691">
            <w:pPr>
              <w:pStyle w:val="aff2"/>
              <w:rPr>
                <w:b/>
                <w:bCs/>
              </w:rPr>
            </w:pPr>
            <w:r w:rsidRPr="00D630D1">
              <w:rPr>
                <w:b/>
                <w:bCs/>
              </w:rPr>
              <w:t>名称</w:t>
            </w:r>
          </w:p>
        </w:tc>
        <w:tc>
          <w:tcPr>
            <w:tcW w:w="1181" w:type="dxa"/>
            <w:tcBorders>
              <w:top w:val="single" w:sz="12" w:space="0" w:color="auto"/>
            </w:tcBorders>
            <w:shd w:val="clear" w:color="auto" w:fill="auto"/>
            <w:vAlign w:val="center"/>
          </w:tcPr>
          <w:p w:rsidR="004B05C3" w:rsidRPr="00D630D1" w:rsidRDefault="004B05C3" w:rsidP="00327691">
            <w:pPr>
              <w:pStyle w:val="aff2"/>
              <w:rPr>
                <w:b/>
                <w:bCs/>
              </w:rPr>
            </w:pPr>
            <w:r w:rsidRPr="00D630D1">
              <w:rPr>
                <w:b/>
                <w:bCs/>
              </w:rPr>
              <w:t>距离（</w:t>
            </w:r>
            <w:r w:rsidRPr="00D630D1">
              <w:rPr>
                <w:b/>
                <w:bCs/>
              </w:rPr>
              <w:t>km</w:t>
            </w:r>
            <w:r w:rsidRPr="00D630D1">
              <w:rPr>
                <w:b/>
                <w:bCs/>
              </w:rPr>
              <w:t>）</w:t>
            </w:r>
          </w:p>
        </w:tc>
        <w:tc>
          <w:tcPr>
            <w:tcW w:w="2977" w:type="dxa"/>
            <w:tcBorders>
              <w:top w:val="single" w:sz="12" w:space="0" w:color="auto"/>
              <w:right w:val="single" w:sz="2" w:space="0" w:color="auto"/>
            </w:tcBorders>
            <w:shd w:val="clear" w:color="auto" w:fill="auto"/>
            <w:vAlign w:val="center"/>
          </w:tcPr>
          <w:p w:rsidR="004B05C3" w:rsidRPr="00D630D1" w:rsidRDefault="004B05C3" w:rsidP="00327691">
            <w:pPr>
              <w:pStyle w:val="aff2"/>
              <w:rPr>
                <w:b/>
                <w:bCs/>
              </w:rPr>
            </w:pPr>
            <w:r w:rsidRPr="00D630D1">
              <w:rPr>
                <w:b/>
                <w:bCs/>
              </w:rPr>
              <w:t>危险物质最大存在总量（</w:t>
            </w:r>
            <w:r w:rsidRPr="00D630D1">
              <w:rPr>
                <w:b/>
                <w:bCs/>
              </w:rPr>
              <w:t>kg</w:t>
            </w:r>
            <w:r w:rsidRPr="00D630D1">
              <w:rPr>
                <w:b/>
                <w:bCs/>
              </w:rPr>
              <w:t>）</w:t>
            </w:r>
          </w:p>
        </w:tc>
        <w:tc>
          <w:tcPr>
            <w:tcW w:w="1407" w:type="dxa"/>
            <w:tcBorders>
              <w:top w:val="single" w:sz="12" w:space="0" w:color="auto"/>
              <w:left w:val="single" w:sz="2" w:space="0" w:color="auto"/>
            </w:tcBorders>
            <w:shd w:val="clear" w:color="auto" w:fill="auto"/>
            <w:vAlign w:val="center"/>
          </w:tcPr>
          <w:p w:rsidR="004B05C3" w:rsidRPr="00D630D1" w:rsidRDefault="004B05C3" w:rsidP="00327691">
            <w:pPr>
              <w:pStyle w:val="aff2"/>
              <w:rPr>
                <w:b/>
                <w:bCs/>
              </w:rPr>
            </w:pPr>
            <w:r w:rsidRPr="00D630D1">
              <w:rPr>
                <w:b/>
                <w:bCs/>
              </w:rPr>
              <w:t>备注</w:t>
            </w:r>
          </w:p>
        </w:tc>
      </w:tr>
      <w:tr w:rsidR="0057322F" w:rsidRPr="00D630D1" w:rsidTr="00505824">
        <w:trPr>
          <w:trHeight w:val="29"/>
          <w:jc w:val="center"/>
        </w:trPr>
        <w:tc>
          <w:tcPr>
            <w:tcW w:w="804" w:type="dxa"/>
            <w:tcBorders>
              <w:top w:val="single" w:sz="12" w:space="0" w:color="auto"/>
            </w:tcBorders>
            <w:shd w:val="clear" w:color="auto" w:fill="auto"/>
            <w:vAlign w:val="center"/>
          </w:tcPr>
          <w:p w:rsidR="0057322F" w:rsidRPr="00D630D1" w:rsidRDefault="0057322F" w:rsidP="00BA4F10">
            <w:pPr>
              <w:pStyle w:val="aff2"/>
            </w:pPr>
            <w:r w:rsidRPr="00D630D1">
              <w:t>1</w:t>
            </w:r>
          </w:p>
        </w:tc>
        <w:tc>
          <w:tcPr>
            <w:tcW w:w="2126" w:type="dxa"/>
            <w:tcBorders>
              <w:top w:val="single" w:sz="12" w:space="0" w:color="auto"/>
            </w:tcBorders>
            <w:shd w:val="clear" w:color="auto" w:fill="auto"/>
            <w:vAlign w:val="center"/>
          </w:tcPr>
          <w:p w:rsidR="0057322F" w:rsidRPr="00D630D1" w:rsidRDefault="0057322F" w:rsidP="00327691">
            <w:pPr>
              <w:pStyle w:val="aff2"/>
              <w:rPr>
                <w:bCs/>
              </w:rPr>
            </w:pPr>
            <w:r w:rsidRPr="00D630D1">
              <w:rPr>
                <w:bCs/>
              </w:rPr>
              <w:t>井喷</w:t>
            </w:r>
            <w:r w:rsidR="00AD4B6B" w:rsidRPr="00D630D1">
              <w:rPr>
                <w:rFonts w:hint="eastAsia"/>
                <w:bCs/>
              </w:rPr>
              <w:t>（</w:t>
            </w:r>
            <w:r w:rsidR="00AD4B6B" w:rsidRPr="00D630D1">
              <w:rPr>
                <w:rFonts w:hint="eastAsia"/>
                <w:bCs/>
              </w:rPr>
              <w:t>15min</w:t>
            </w:r>
            <w:r w:rsidR="00AD4B6B" w:rsidRPr="00D630D1">
              <w:rPr>
                <w:rFonts w:hint="eastAsia"/>
                <w:bCs/>
              </w:rPr>
              <w:t>）</w:t>
            </w:r>
          </w:p>
        </w:tc>
        <w:tc>
          <w:tcPr>
            <w:tcW w:w="1181" w:type="dxa"/>
            <w:tcBorders>
              <w:top w:val="single" w:sz="12" w:space="0" w:color="auto"/>
            </w:tcBorders>
            <w:shd w:val="clear" w:color="auto" w:fill="auto"/>
            <w:vAlign w:val="center"/>
          </w:tcPr>
          <w:p w:rsidR="0057322F" w:rsidRPr="00D630D1" w:rsidRDefault="0057322F" w:rsidP="00327691">
            <w:pPr>
              <w:pStyle w:val="aff2"/>
              <w:rPr>
                <w:b/>
                <w:bCs/>
              </w:rPr>
            </w:pPr>
            <w:r w:rsidRPr="00D630D1">
              <w:rPr>
                <w:rFonts w:hint="eastAsia"/>
                <w:b/>
                <w:bCs/>
              </w:rPr>
              <w:t>/</w:t>
            </w:r>
          </w:p>
        </w:tc>
        <w:tc>
          <w:tcPr>
            <w:tcW w:w="2977" w:type="dxa"/>
            <w:tcBorders>
              <w:top w:val="single" w:sz="12" w:space="0" w:color="auto"/>
              <w:right w:val="single" w:sz="2" w:space="0" w:color="auto"/>
            </w:tcBorders>
            <w:shd w:val="clear" w:color="auto" w:fill="auto"/>
            <w:vAlign w:val="center"/>
          </w:tcPr>
          <w:p w:rsidR="0057322F" w:rsidRPr="00D630D1" w:rsidRDefault="002A4396" w:rsidP="00327691">
            <w:pPr>
              <w:pStyle w:val="aff2"/>
              <w:rPr>
                <w:bCs/>
              </w:rPr>
            </w:pPr>
            <w:r>
              <w:rPr>
                <w:rFonts w:hint="eastAsia"/>
                <w:bCs/>
              </w:rPr>
              <w:t>5480</w:t>
            </w:r>
          </w:p>
        </w:tc>
        <w:tc>
          <w:tcPr>
            <w:tcW w:w="1407" w:type="dxa"/>
            <w:tcBorders>
              <w:top w:val="single" w:sz="12" w:space="0" w:color="auto"/>
              <w:left w:val="single" w:sz="2" w:space="0" w:color="auto"/>
            </w:tcBorders>
            <w:shd w:val="clear" w:color="auto" w:fill="auto"/>
            <w:vAlign w:val="center"/>
          </w:tcPr>
          <w:p w:rsidR="0057322F" w:rsidRPr="00D630D1" w:rsidRDefault="00AD4B6B" w:rsidP="00327691">
            <w:pPr>
              <w:pStyle w:val="aff2"/>
              <w:rPr>
                <w:b/>
                <w:bCs/>
              </w:rPr>
            </w:pPr>
            <w:r w:rsidRPr="00D630D1">
              <w:t>天然气</w:t>
            </w:r>
          </w:p>
        </w:tc>
      </w:tr>
      <w:tr w:rsidR="0057322F" w:rsidRPr="00D630D1" w:rsidTr="00505824">
        <w:trPr>
          <w:trHeight w:val="64"/>
          <w:jc w:val="center"/>
        </w:trPr>
        <w:tc>
          <w:tcPr>
            <w:tcW w:w="804" w:type="dxa"/>
            <w:shd w:val="clear" w:color="auto" w:fill="auto"/>
            <w:vAlign w:val="center"/>
          </w:tcPr>
          <w:p w:rsidR="0057322F" w:rsidRPr="00D630D1" w:rsidRDefault="0057322F" w:rsidP="00BA4F10">
            <w:pPr>
              <w:pStyle w:val="aff2"/>
            </w:pPr>
            <w:r w:rsidRPr="00D630D1">
              <w:t>2</w:t>
            </w:r>
          </w:p>
        </w:tc>
        <w:tc>
          <w:tcPr>
            <w:tcW w:w="2126" w:type="dxa"/>
            <w:shd w:val="clear" w:color="auto" w:fill="auto"/>
            <w:vAlign w:val="center"/>
          </w:tcPr>
          <w:p w:rsidR="0057322F" w:rsidRPr="00D630D1" w:rsidRDefault="00505824" w:rsidP="00505824">
            <w:pPr>
              <w:pStyle w:val="aff2"/>
            </w:pPr>
            <w:r w:rsidRPr="00505824">
              <w:t>普光</w:t>
            </w:r>
            <w:r w:rsidRPr="00505824">
              <w:t>12</w:t>
            </w:r>
            <w:r w:rsidRPr="00505824">
              <w:t>采气站</w:t>
            </w:r>
            <w:r w:rsidRPr="00505824">
              <w:t>~</w:t>
            </w:r>
            <w:r w:rsidRPr="00505824">
              <w:rPr>
                <w:rFonts w:hint="eastAsia"/>
              </w:rPr>
              <w:t>普陆</w:t>
            </w:r>
            <w:r w:rsidRPr="00505824">
              <w:rPr>
                <w:rFonts w:hint="eastAsia"/>
              </w:rPr>
              <w:t>3</w:t>
            </w:r>
            <w:r w:rsidRPr="00505824">
              <w:rPr>
                <w:rFonts w:hint="eastAsia"/>
              </w:rPr>
              <w:t>集气站集气管道</w:t>
            </w:r>
          </w:p>
        </w:tc>
        <w:tc>
          <w:tcPr>
            <w:tcW w:w="1181" w:type="dxa"/>
            <w:shd w:val="clear" w:color="auto" w:fill="auto"/>
            <w:vAlign w:val="center"/>
          </w:tcPr>
          <w:p w:rsidR="0057322F" w:rsidRPr="00D630D1" w:rsidRDefault="00505824" w:rsidP="00E51D3B">
            <w:pPr>
              <w:pStyle w:val="aff2"/>
            </w:pPr>
            <w:r>
              <w:rPr>
                <w:rFonts w:hint="eastAsia"/>
              </w:rPr>
              <w:t>3</w:t>
            </w:r>
          </w:p>
        </w:tc>
        <w:tc>
          <w:tcPr>
            <w:tcW w:w="2977" w:type="dxa"/>
            <w:tcBorders>
              <w:right w:val="single" w:sz="2" w:space="0" w:color="auto"/>
            </w:tcBorders>
            <w:shd w:val="clear" w:color="auto" w:fill="auto"/>
            <w:vAlign w:val="center"/>
          </w:tcPr>
          <w:p w:rsidR="0057322F" w:rsidRPr="00D630D1" w:rsidRDefault="00505824" w:rsidP="00327691">
            <w:pPr>
              <w:pStyle w:val="aff2"/>
            </w:pPr>
            <w:r>
              <w:rPr>
                <w:rFonts w:hint="eastAsia"/>
              </w:rPr>
              <w:t>5997.62</w:t>
            </w:r>
          </w:p>
        </w:tc>
        <w:tc>
          <w:tcPr>
            <w:tcW w:w="1407" w:type="dxa"/>
            <w:tcBorders>
              <w:left w:val="single" w:sz="2" w:space="0" w:color="auto"/>
            </w:tcBorders>
            <w:shd w:val="clear" w:color="auto" w:fill="auto"/>
            <w:vAlign w:val="center"/>
          </w:tcPr>
          <w:p w:rsidR="0057322F" w:rsidRPr="00D630D1" w:rsidRDefault="0057322F" w:rsidP="004B05C3">
            <w:pPr>
              <w:pStyle w:val="aff2"/>
            </w:pPr>
            <w:r w:rsidRPr="00D630D1">
              <w:t>天然气</w:t>
            </w:r>
          </w:p>
        </w:tc>
      </w:tr>
      <w:tr w:rsidR="0057322F" w:rsidRPr="00D630D1" w:rsidTr="00505824">
        <w:trPr>
          <w:trHeight w:val="64"/>
          <w:jc w:val="center"/>
        </w:trPr>
        <w:tc>
          <w:tcPr>
            <w:tcW w:w="804" w:type="dxa"/>
            <w:shd w:val="clear" w:color="auto" w:fill="auto"/>
            <w:vAlign w:val="center"/>
          </w:tcPr>
          <w:p w:rsidR="0057322F" w:rsidRPr="00D630D1" w:rsidRDefault="0057322F" w:rsidP="00327691">
            <w:pPr>
              <w:pStyle w:val="aff2"/>
            </w:pPr>
            <w:r w:rsidRPr="00D630D1">
              <w:rPr>
                <w:rFonts w:hint="eastAsia"/>
              </w:rPr>
              <w:t>3</w:t>
            </w:r>
          </w:p>
        </w:tc>
        <w:tc>
          <w:tcPr>
            <w:tcW w:w="2126" w:type="dxa"/>
            <w:shd w:val="clear" w:color="auto" w:fill="auto"/>
            <w:vAlign w:val="center"/>
          </w:tcPr>
          <w:p w:rsidR="0057322F" w:rsidRPr="00D630D1" w:rsidRDefault="00505824" w:rsidP="00327691">
            <w:pPr>
              <w:pStyle w:val="aff2"/>
            </w:pPr>
            <w:r w:rsidRPr="00505824">
              <w:rPr>
                <w:rFonts w:hint="eastAsia"/>
              </w:rPr>
              <w:t>普陆</w:t>
            </w:r>
            <w:r w:rsidRPr="00505824">
              <w:rPr>
                <w:rFonts w:hint="eastAsia"/>
              </w:rPr>
              <w:t>3</w:t>
            </w:r>
            <w:r w:rsidRPr="00505824">
              <w:rPr>
                <w:rFonts w:hint="eastAsia"/>
              </w:rPr>
              <w:t>集气站</w:t>
            </w:r>
            <w:r w:rsidRPr="00505824">
              <w:t>~</w:t>
            </w:r>
            <w:r w:rsidRPr="00505824">
              <w:rPr>
                <w:rFonts w:hint="eastAsia"/>
              </w:rPr>
              <w:t>P105</w:t>
            </w:r>
            <w:r w:rsidRPr="00505824">
              <w:rPr>
                <w:rFonts w:hint="eastAsia"/>
              </w:rPr>
              <w:t>集气站集气管道</w:t>
            </w:r>
          </w:p>
        </w:tc>
        <w:tc>
          <w:tcPr>
            <w:tcW w:w="1181" w:type="dxa"/>
            <w:shd w:val="clear" w:color="auto" w:fill="auto"/>
            <w:vAlign w:val="center"/>
          </w:tcPr>
          <w:p w:rsidR="0057322F" w:rsidRPr="00D630D1" w:rsidRDefault="0057322F" w:rsidP="00505824">
            <w:pPr>
              <w:pStyle w:val="aff2"/>
            </w:pPr>
            <w:r w:rsidRPr="00D630D1">
              <w:rPr>
                <w:rFonts w:hint="eastAsia"/>
              </w:rPr>
              <w:t>0.</w:t>
            </w:r>
            <w:r w:rsidR="00505824">
              <w:rPr>
                <w:rFonts w:hint="eastAsia"/>
              </w:rPr>
              <w:t>98</w:t>
            </w:r>
          </w:p>
        </w:tc>
        <w:tc>
          <w:tcPr>
            <w:tcW w:w="2977" w:type="dxa"/>
            <w:tcBorders>
              <w:right w:val="single" w:sz="2" w:space="0" w:color="auto"/>
            </w:tcBorders>
            <w:shd w:val="clear" w:color="auto" w:fill="auto"/>
            <w:vAlign w:val="center"/>
          </w:tcPr>
          <w:p w:rsidR="0057322F" w:rsidRPr="00D630D1" w:rsidRDefault="00505824" w:rsidP="00925ADD">
            <w:pPr>
              <w:pStyle w:val="aff2"/>
            </w:pPr>
            <w:r>
              <w:rPr>
                <w:rFonts w:hint="eastAsia"/>
              </w:rPr>
              <w:t>1</w:t>
            </w:r>
            <w:r w:rsidR="00925ADD">
              <w:rPr>
                <w:rFonts w:hint="eastAsia"/>
              </w:rPr>
              <w:t>104.4</w:t>
            </w:r>
          </w:p>
        </w:tc>
        <w:tc>
          <w:tcPr>
            <w:tcW w:w="1407" w:type="dxa"/>
            <w:tcBorders>
              <w:left w:val="single" w:sz="2" w:space="0" w:color="auto"/>
            </w:tcBorders>
            <w:shd w:val="clear" w:color="auto" w:fill="auto"/>
            <w:vAlign w:val="center"/>
          </w:tcPr>
          <w:p w:rsidR="0057322F" w:rsidRPr="00D630D1" w:rsidRDefault="0057322F" w:rsidP="004B05C3">
            <w:pPr>
              <w:pStyle w:val="aff2"/>
            </w:pPr>
            <w:r w:rsidRPr="00D630D1">
              <w:t>天然气</w:t>
            </w:r>
          </w:p>
        </w:tc>
      </w:tr>
      <w:tr w:rsidR="00211A77" w:rsidRPr="00D630D1" w:rsidTr="00505824">
        <w:trPr>
          <w:trHeight w:val="64"/>
          <w:jc w:val="center"/>
        </w:trPr>
        <w:tc>
          <w:tcPr>
            <w:tcW w:w="804" w:type="dxa"/>
            <w:shd w:val="clear" w:color="auto" w:fill="auto"/>
            <w:vAlign w:val="center"/>
          </w:tcPr>
          <w:p w:rsidR="00211A77" w:rsidRPr="00D630D1" w:rsidRDefault="00211A77" w:rsidP="00327691">
            <w:pPr>
              <w:pStyle w:val="aff2"/>
            </w:pPr>
            <w:r w:rsidRPr="00D630D1">
              <w:rPr>
                <w:rFonts w:hint="eastAsia"/>
              </w:rPr>
              <w:t>4</w:t>
            </w:r>
          </w:p>
        </w:tc>
        <w:tc>
          <w:tcPr>
            <w:tcW w:w="2126" w:type="dxa"/>
            <w:shd w:val="clear" w:color="auto" w:fill="auto"/>
            <w:vAlign w:val="center"/>
          </w:tcPr>
          <w:p w:rsidR="00211A77" w:rsidRPr="00D630D1" w:rsidRDefault="00DB6EC5" w:rsidP="00327691">
            <w:pPr>
              <w:pStyle w:val="aff2"/>
            </w:pPr>
            <w:r w:rsidRPr="00D630D1">
              <w:t>柴油储罐</w:t>
            </w:r>
          </w:p>
        </w:tc>
        <w:tc>
          <w:tcPr>
            <w:tcW w:w="1181" w:type="dxa"/>
            <w:shd w:val="clear" w:color="auto" w:fill="auto"/>
            <w:vAlign w:val="center"/>
          </w:tcPr>
          <w:p w:rsidR="00211A77" w:rsidRPr="00D630D1" w:rsidRDefault="00211A77" w:rsidP="00E51D3B">
            <w:pPr>
              <w:pStyle w:val="aff2"/>
            </w:pPr>
            <w:r w:rsidRPr="00D630D1">
              <w:rPr>
                <w:rFonts w:hint="eastAsia"/>
              </w:rPr>
              <w:t>/</w:t>
            </w:r>
          </w:p>
        </w:tc>
        <w:tc>
          <w:tcPr>
            <w:tcW w:w="2977" w:type="dxa"/>
            <w:tcBorders>
              <w:right w:val="single" w:sz="2" w:space="0" w:color="auto"/>
            </w:tcBorders>
            <w:shd w:val="clear" w:color="auto" w:fill="auto"/>
            <w:vAlign w:val="center"/>
          </w:tcPr>
          <w:p w:rsidR="00211A77" w:rsidRPr="00D630D1" w:rsidRDefault="00211A77" w:rsidP="00327691">
            <w:pPr>
              <w:pStyle w:val="aff2"/>
            </w:pPr>
            <w:r w:rsidRPr="00D630D1">
              <w:rPr>
                <w:rFonts w:hint="eastAsia"/>
              </w:rPr>
              <w:t>16.8</w:t>
            </w:r>
          </w:p>
        </w:tc>
        <w:tc>
          <w:tcPr>
            <w:tcW w:w="1407" w:type="dxa"/>
            <w:tcBorders>
              <w:left w:val="single" w:sz="2" w:space="0" w:color="auto"/>
            </w:tcBorders>
            <w:shd w:val="clear" w:color="auto" w:fill="auto"/>
            <w:vAlign w:val="center"/>
          </w:tcPr>
          <w:p w:rsidR="00211A77" w:rsidRPr="00D630D1" w:rsidRDefault="00211A77" w:rsidP="004B05C3">
            <w:pPr>
              <w:pStyle w:val="aff2"/>
            </w:pPr>
            <w:r w:rsidRPr="00D630D1">
              <w:t>柴油</w:t>
            </w:r>
          </w:p>
        </w:tc>
      </w:tr>
      <w:tr w:rsidR="00505824" w:rsidRPr="00D630D1" w:rsidTr="00505824">
        <w:trPr>
          <w:trHeight w:val="64"/>
          <w:jc w:val="center"/>
        </w:trPr>
        <w:tc>
          <w:tcPr>
            <w:tcW w:w="804" w:type="dxa"/>
            <w:tcBorders>
              <w:bottom w:val="single" w:sz="12" w:space="0" w:color="auto"/>
            </w:tcBorders>
            <w:shd w:val="clear" w:color="auto" w:fill="auto"/>
            <w:vAlign w:val="center"/>
          </w:tcPr>
          <w:p w:rsidR="00505824" w:rsidRPr="00D630D1" w:rsidRDefault="00505824" w:rsidP="00327691">
            <w:pPr>
              <w:pStyle w:val="aff2"/>
            </w:pPr>
            <w:r>
              <w:rPr>
                <w:rFonts w:hint="eastAsia"/>
              </w:rPr>
              <w:t>5</w:t>
            </w:r>
          </w:p>
        </w:tc>
        <w:tc>
          <w:tcPr>
            <w:tcW w:w="2126" w:type="dxa"/>
            <w:tcBorders>
              <w:bottom w:val="single" w:sz="12" w:space="0" w:color="auto"/>
            </w:tcBorders>
            <w:shd w:val="clear" w:color="auto" w:fill="auto"/>
            <w:vAlign w:val="center"/>
          </w:tcPr>
          <w:p w:rsidR="00505824" w:rsidRPr="00D630D1" w:rsidRDefault="00505824" w:rsidP="00327691">
            <w:pPr>
              <w:pStyle w:val="aff2"/>
            </w:pPr>
            <w:r>
              <w:rPr>
                <w:rFonts w:hint="eastAsia"/>
              </w:rPr>
              <w:t>凝析油储罐</w:t>
            </w:r>
          </w:p>
        </w:tc>
        <w:tc>
          <w:tcPr>
            <w:tcW w:w="1181" w:type="dxa"/>
            <w:tcBorders>
              <w:bottom w:val="single" w:sz="12" w:space="0" w:color="auto"/>
            </w:tcBorders>
            <w:shd w:val="clear" w:color="auto" w:fill="auto"/>
            <w:vAlign w:val="center"/>
          </w:tcPr>
          <w:p w:rsidR="00505824" w:rsidRPr="00D630D1" w:rsidRDefault="00505824" w:rsidP="00E51D3B">
            <w:pPr>
              <w:pStyle w:val="aff2"/>
            </w:pPr>
            <w:r w:rsidRPr="00D630D1">
              <w:rPr>
                <w:rFonts w:hint="eastAsia"/>
              </w:rPr>
              <w:t>/</w:t>
            </w:r>
          </w:p>
        </w:tc>
        <w:tc>
          <w:tcPr>
            <w:tcW w:w="2977" w:type="dxa"/>
            <w:tcBorders>
              <w:bottom w:val="single" w:sz="12" w:space="0" w:color="auto"/>
              <w:right w:val="single" w:sz="2" w:space="0" w:color="auto"/>
            </w:tcBorders>
            <w:shd w:val="clear" w:color="auto" w:fill="auto"/>
            <w:vAlign w:val="center"/>
          </w:tcPr>
          <w:p w:rsidR="00505824" w:rsidRPr="00D630D1" w:rsidRDefault="00505824" w:rsidP="00327691">
            <w:pPr>
              <w:pStyle w:val="aff2"/>
            </w:pPr>
            <w:r>
              <w:rPr>
                <w:rFonts w:hint="eastAsia"/>
              </w:rPr>
              <w:t>80</w:t>
            </w:r>
          </w:p>
        </w:tc>
        <w:tc>
          <w:tcPr>
            <w:tcW w:w="1407" w:type="dxa"/>
            <w:tcBorders>
              <w:left w:val="single" w:sz="2" w:space="0" w:color="auto"/>
              <w:bottom w:val="single" w:sz="12" w:space="0" w:color="auto"/>
            </w:tcBorders>
            <w:shd w:val="clear" w:color="auto" w:fill="auto"/>
            <w:vAlign w:val="center"/>
          </w:tcPr>
          <w:p w:rsidR="00505824" w:rsidRPr="00D630D1" w:rsidRDefault="00505824" w:rsidP="004B05C3">
            <w:pPr>
              <w:pStyle w:val="aff2"/>
            </w:pPr>
            <w:r>
              <w:rPr>
                <w:rFonts w:hint="eastAsia"/>
              </w:rPr>
              <w:t>凝析油</w:t>
            </w:r>
          </w:p>
        </w:tc>
      </w:tr>
    </w:tbl>
    <w:p w:rsidR="00DC2861" w:rsidRPr="00D630D1" w:rsidRDefault="00DC2861" w:rsidP="00DC2861">
      <w:pPr>
        <w:ind w:firstLine="480"/>
        <w:rPr>
          <w:rFonts w:ascii="Times New Roman" w:cs="Times New Roman"/>
        </w:rPr>
      </w:pPr>
      <w:r w:rsidRPr="00D630D1">
        <w:rPr>
          <w:rFonts w:ascii="Times New Roman" w:cs="Times New Roman"/>
        </w:rPr>
        <w:t>当存在多种危险物质时，则按下式计算物质总量与其临界量比值（</w:t>
      </w:r>
      <w:r w:rsidRPr="00D630D1">
        <w:rPr>
          <w:rFonts w:ascii="Times New Roman" w:cs="Times New Roman"/>
          <w:i/>
        </w:rPr>
        <w:t>Q</w:t>
      </w:r>
      <w:r w:rsidRPr="00D630D1">
        <w:rPr>
          <w:rFonts w:ascii="Times New Roman" w:cs="Times New Roman"/>
        </w:rPr>
        <w:t>）：</w:t>
      </w:r>
    </w:p>
    <w:p w:rsidR="00DC2861" w:rsidRPr="00D630D1" w:rsidRDefault="001A254A" w:rsidP="00F96E37">
      <w:pPr>
        <w:spacing w:beforeLines="50" w:afterLines="50"/>
        <w:ind w:firstLine="480"/>
        <w:rPr>
          <w:rFonts w:ascii="Times New Roman" w:cs="Times New Roman"/>
          <w:i/>
        </w:rPr>
      </w:pPr>
      <m:oMathPara>
        <m:oMath>
          <m:r>
            <w:rPr>
              <w:rFonts w:ascii="Cambria Math" w:hAnsi="Cambria Math" w:cs="Times New Roman"/>
            </w:rPr>
            <w:lastRenderedPageBreak/>
            <m:t>Q=</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num>
            <m:den>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num>
            <m:den>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n</m:t>
                  </m:r>
                </m:sub>
              </m:sSub>
            </m:num>
            <m:den>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n</m:t>
                  </m:r>
                </m:sub>
              </m:sSub>
            </m:den>
          </m:f>
        </m:oMath>
      </m:oMathPara>
    </w:p>
    <w:p w:rsidR="00DC2861" w:rsidRPr="00D630D1" w:rsidRDefault="00DC2861" w:rsidP="00D54B0A">
      <w:pPr>
        <w:snapToGrid w:val="0"/>
        <w:ind w:firstLine="480"/>
        <w:rPr>
          <w:rFonts w:ascii="Times New Roman" w:cs="Times New Roman"/>
        </w:rPr>
      </w:pPr>
      <w:r w:rsidRPr="00D630D1">
        <w:rPr>
          <w:rFonts w:ascii="Times New Roman" w:cs="Times New Roman"/>
        </w:rPr>
        <w:t>式中：</w:t>
      </w:r>
      <w:r w:rsidRPr="00D630D1">
        <w:rPr>
          <w:rFonts w:ascii="Times New Roman" w:cs="Times New Roman"/>
          <w:i/>
        </w:rPr>
        <w:t>q</w:t>
      </w:r>
      <w:r w:rsidRPr="00D630D1">
        <w:rPr>
          <w:rFonts w:ascii="Times New Roman" w:cs="Times New Roman"/>
          <w:i/>
          <w:vertAlign w:val="subscript"/>
        </w:rPr>
        <w:t>1</w:t>
      </w:r>
      <w:r w:rsidRPr="00D630D1">
        <w:rPr>
          <w:rFonts w:ascii="Times New Roman" w:cs="Times New Roman"/>
          <w:i/>
        </w:rPr>
        <w:t>、</w:t>
      </w:r>
      <w:r w:rsidRPr="00D630D1">
        <w:rPr>
          <w:rFonts w:ascii="Times New Roman" w:cs="Times New Roman"/>
          <w:i/>
        </w:rPr>
        <w:t>q</w:t>
      </w:r>
      <w:r w:rsidRPr="00D630D1">
        <w:rPr>
          <w:rFonts w:ascii="Times New Roman" w:cs="Times New Roman"/>
          <w:i/>
          <w:vertAlign w:val="subscript"/>
        </w:rPr>
        <w:t>2</w:t>
      </w:r>
      <w:r w:rsidRPr="00D630D1">
        <w:rPr>
          <w:rFonts w:ascii="Times New Roman" w:cs="Times New Roman"/>
          <w:i/>
        </w:rPr>
        <w:t>…q</w:t>
      </w:r>
      <w:r w:rsidRPr="00D630D1">
        <w:rPr>
          <w:rFonts w:ascii="Times New Roman" w:cs="Times New Roman"/>
          <w:i/>
          <w:vertAlign w:val="subscript"/>
        </w:rPr>
        <w:t>n</w:t>
      </w:r>
      <w:r w:rsidRPr="00D630D1">
        <w:rPr>
          <w:rFonts w:ascii="Times New Roman" w:cs="Times New Roman"/>
        </w:rPr>
        <w:t>——</w:t>
      </w:r>
      <w:r w:rsidRPr="00D630D1">
        <w:rPr>
          <w:rFonts w:ascii="Times New Roman" w:cs="Times New Roman"/>
        </w:rPr>
        <w:t>每种危险物质的最大存在总量，</w:t>
      </w:r>
      <w:r w:rsidRPr="00D630D1">
        <w:rPr>
          <w:rFonts w:ascii="Times New Roman" w:cs="Times New Roman"/>
        </w:rPr>
        <w:t>t</w:t>
      </w:r>
      <w:r w:rsidRPr="00D630D1">
        <w:rPr>
          <w:rFonts w:ascii="Times New Roman" w:cs="Times New Roman"/>
        </w:rPr>
        <w:t>；</w:t>
      </w:r>
    </w:p>
    <w:p w:rsidR="00DC2861" w:rsidRPr="00D630D1" w:rsidRDefault="00DC2861" w:rsidP="00D54B0A">
      <w:pPr>
        <w:snapToGrid w:val="0"/>
        <w:ind w:firstLine="480"/>
        <w:rPr>
          <w:rFonts w:ascii="Times New Roman" w:cs="Times New Roman"/>
        </w:rPr>
      </w:pPr>
      <w:r w:rsidRPr="00D630D1">
        <w:rPr>
          <w:rFonts w:ascii="Times New Roman" w:cs="Times New Roman"/>
        </w:rPr>
        <w:t xml:space="preserve">      </w:t>
      </w:r>
      <w:r w:rsidRPr="00D630D1">
        <w:rPr>
          <w:rFonts w:ascii="Times New Roman" w:cs="Times New Roman"/>
          <w:i/>
        </w:rPr>
        <w:t>Q</w:t>
      </w:r>
      <w:r w:rsidRPr="00D630D1">
        <w:rPr>
          <w:rFonts w:ascii="Times New Roman" w:cs="Times New Roman"/>
          <w:i/>
          <w:vertAlign w:val="subscript"/>
        </w:rPr>
        <w:t>1</w:t>
      </w:r>
      <w:r w:rsidRPr="00D630D1">
        <w:rPr>
          <w:rFonts w:ascii="Times New Roman" w:cs="Times New Roman"/>
          <w:i/>
        </w:rPr>
        <w:t>、</w:t>
      </w:r>
      <w:r w:rsidRPr="00D630D1">
        <w:rPr>
          <w:rFonts w:ascii="Times New Roman" w:cs="Times New Roman"/>
          <w:i/>
        </w:rPr>
        <w:t>Q</w:t>
      </w:r>
      <w:r w:rsidRPr="00D630D1">
        <w:rPr>
          <w:rFonts w:ascii="Times New Roman" w:cs="Times New Roman"/>
          <w:i/>
          <w:vertAlign w:val="subscript"/>
        </w:rPr>
        <w:t>2</w:t>
      </w:r>
      <w:r w:rsidRPr="00D630D1">
        <w:rPr>
          <w:rFonts w:ascii="Times New Roman" w:cs="Times New Roman"/>
          <w:i/>
        </w:rPr>
        <w:t>…Q</w:t>
      </w:r>
      <w:r w:rsidRPr="00D630D1">
        <w:rPr>
          <w:rFonts w:ascii="Times New Roman" w:cs="Times New Roman"/>
          <w:i/>
          <w:vertAlign w:val="subscript"/>
        </w:rPr>
        <w:t>n</w:t>
      </w:r>
      <w:r w:rsidRPr="00D630D1">
        <w:rPr>
          <w:rFonts w:ascii="Times New Roman" w:cs="Times New Roman"/>
        </w:rPr>
        <w:t>——</w:t>
      </w:r>
      <w:r w:rsidRPr="00D630D1">
        <w:rPr>
          <w:rFonts w:ascii="Times New Roman" w:cs="Times New Roman"/>
        </w:rPr>
        <w:t>每种危险物质的临界量，</w:t>
      </w:r>
      <w:r w:rsidRPr="00D630D1">
        <w:rPr>
          <w:rFonts w:ascii="Times New Roman" w:cs="Times New Roman"/>
        </w:rPr>
        <w:t>t</w:t>
      </w:r>
      <w:r w:rsidRPr="00D630D1">
        <w:rPr>
          <w:rFonts w:ascii="Times New Roman" w:cs="Times New Roman"/>
        </w:rPr>
        <w:t>；</w:t>
      </w:r>
    </w:p>
    <w:p w:rsidR="00DC2861" w:rsidRPr="00D630D1" w:rsidRDefault="00DC2861" w:rsidP="00D54B0A">
      <w:pPr>
        <w:snapToGrid w:val="0"/>
        <w:ind w:firstLine="480"/>
        <w:rPr>
          <w:rFonts w:ascii="Times New Roman" w:cs="Times New Roman"/>
        </w:rPr>
      </w:pPr>
      <w:r w:rsidRPr="00D630D1">
        <w:rPr>
          <w:rFonts w:ascii="Times New Roman" w:cs="Times New Roman"/>
        </w:rPr>
        <w:t>当</w:t>
      </w:r>
      <w:r w:rsidRPr="00D630D1">
        <w:rPr>
          <w:rFonts w:ascii="Times New Roman" w:cs="Times New Roman"/>
          <w:i/>
        </w:rPr>
        <w:t>Q</w:t>
      </w:r>
      <w:r w:rsidRPr="00D630D1">
        <w:rPr>
          <w:rFonts w:ascii="Times New Roman" w:cs="Times New Roman"/>
        </w:rPr>
        <w:t>＜</w:t>
      </w:r>
      <w:r w:rsidRPr="00D630D1">
        <w:rPr>
          <w:rFonts w:ascii="Times New Roman" w:cs="Times New Roman"/>
        </w:rPr>
        <w:t>1</w:t>
      </w:r>
      <w:r w:rsidRPr="00D630D1">
        <w:rPr>
          <w:rFonts w:ascii="Times New Roman" w:cs="Times New Roman"/>
        </w:rPr>
        <w:t>时，该项目环境风险潜势为</w:t>
      </w:r>
      <w:r w:rsidR="009913C3" w:rsidRPr="00D630D1">
        <w:rPr>
          <w:rFonts w:ascii="Times New Roman" w:cs="Times New Roman"/>
        </w:rPr>
        <w:fldChar w:fldCharType="begin"/>
      </w:r>
      <w:r w:rsidRPr="00D630D1">
        <w:rPr>
          <w:rFonts w:ascii="Times New Roman" w:cs="Times New Roman"/>
        </w:rPr>
        <w:instrText xml:space="preserve"> = 1 \* ROMAN </w:instrText>
      </w:r>
      <w:r w:rsidR="009913C3" w:rsidRPr="00D630D1">
        <w:rPr>
          <w:rFonts w:ascii="Times New Roman" w:cs="Times New Roman"/>
        </w:rPr>
        <w:fldChar w:fldCharType="separate"/>
      </w:r>
      <w:r w:rsidRPr="00D630D1">
        <w:rPr>
          <w:rFonts w:ascii="Times New Roman" w:cs="Times New Roman"/>
        </w:rPr>
        <w:t>I</w:t>
      </w:r>
      <w:r w:rsidR="009913C3" w:rsidRPr="00D630D1">
        <w:rPr>
          <w:rFonts w:ascii="Times New Roman" w:cs="Times New Roman"/>
        </w:rPr>
        <w:fldChar w:fldCharType="end"/>
      </w:r>
      <w:r w:rsidRPr="00D630D1">
        <w:rPr>
          <w:rFonts w:ascii="Times New Roman" w:cs="Times New Roman"/>
        </w:rPr>
        <w:t>。</w:t>
      </w:r>
    </w:p>
    <w:p w:rsidR="00DC2861" w:rsidRPr="00D630D1" w:rsidRDefault="00DC2861" w:rsidP="00D54B0A">
      <w:pPr>
        <w:snapToGrid w:val="0"/>
        <w:ind w:firstLine="480"/>
        <w:rPr>
          <w:rFonts w:ascii="Times New Roman" w:cs="Times New Roman"/>
        </w:rPr>
      </w:pPr>
      <w:r w:rsidRPr="00D630D1">
        <w:rPr>
          <w:rFonts w:ascii="Times New Roman" w:cs="Times New Roman"/>
        </w:rPr>
        <w:t>当</w:t>
      </w:r>
      <w:r w:rsidRPr="00D630D1">
        <w:rPr>
          <w:rFonts w:ascii="Times New Roman" w:cs="Times New Roman"/>
          <w:i/>
        </w:rPr>
        <w:t>Q</w:t>
      </w:r>
      <w:r w:rsidRPr="00D630D1">
        <w:rPr>
          <w:rFonts w:ascii="Times New Roman" w:cs="Times New Roman"/>
        </w:rPr>
        <w:t>＞</w:t>
      </w:r>
      <w:r w:rsidRPr="00D630D1">
        <w:rPr>
          <w:rFonts w:ascii="Times New Roman" w:cs="Times New Roman"/>
        </w:rPr>
        <w:t>1</w:t>
      </w:r>
      <w:r w:rsidRPr="00D630D1">
        <w:rPr>
          <w:rFonts w:ascii="Times New Roman" w:cs="Times New Roman"/>
        </w:rPr>
        <w:t>时，将</w:t>
      </w:r>
      <w:r w:rsidRPr="00D630D1">
        <w:rPr>
          <w:rFonts w:ascii="Times New Roman" w:cs="Times New Roman"/>
          <w:i/>
        </w:rPr>
        <w:t>Q</w:t>
      </w:r>
      <w:r w:rsidRPr="00D630D1">
        <w:rPr>
          <w:rFonts w:ascii="Times New Roman" w:cs="Times New Roman"/>
        </w:rPr>
        <w:t>值划分为：（</w:t>
      </w:r>
      <w:r w:rsidRPr="00D630D1">
        <w:rPr>
          <w:rFonts w:ascii="Times New Roman" w:cs="Times New Roman"/>
        </w:rPr>
        <w:t>1</w:t>
      </w:r>
      <w:r w:rsidRPr="00D630D1">
        <w:rPr>
          <w:rFonts w:ascii="Times New Roman" w:cs="Times New Roman"/>
        </w:rPr>
        <w:t>）</w:t>
      </w:r>
      <w:r w:rsidRPr="00D630D1">
        <w:rPr>
          <w:rFonts w:ascii="Times New Roman" w:cs="Times New Roman"/>
        </w:rPr>
        <w:t>1≤</w:t>
      </w:r>
      <w:r w:rsidRPr="00D630D1">
        <w:rPr>
          <w:rFonts w:ascii="Times New Roman" w:cs="Times New Roman"/>
          <w:i/>
        </w:rPr>
        <w:t>Q</w:t>
      </w:r>
      <w:r w:rsidRPr="00D630D1">
        <w:rPr>
          <w:rFonts w:ascii="Times New Roman" w:cs="Times New Roman"/>
        </w:rPr>
        <w:t>＜</w:t>
      </w:r>
      <w:r w:rsidRPr="00D630D1">
        <w:rPr>
          <w:rFonts w:ascii="Times New Roman" w:cs="Times New Roman"/>
        </w:rPr>
        <w:t>10</w:t>
      </w:r>
      <w:r w:rsidRPr="00D630D1">
        <w:rPr>
          <w:rFonts w:ascii="Times New Roman" w:cs="Times New Roman"/>
        </w:rPr>
        <w:t>；（</w:t>
      </w:r>
      <w:r w:rsidRPr="00D630D1">
        <w:rPr>
          <w:rFonts w:ascii="Times New Roman" w:cs="Times New Roman"/>
        </w:rPr>
        <w:t>2</w:t>
      </w:r>
      <w:r w:rsidRPr="00D630D1">
        <w:rPr>
          <w:rFonts w:ascii="Times New Roman" w:cs="Times New Roman"/>
        </w:rPr>
        <w:t>）</w:t>
      </w:r>
      <w:r w:rsidRPr="00D630D1">
        <w:rPr>
          <w:rFonts w:ascii="Times New Roman" w:cs="Times New Roman"/>
        </w:rPr>
        <w:t>10≤</w:t>
      </w:r>
      <w:r w:rsidRPr="00D630D1">
        <w:rPr>
          <w:rFonts w:ascii="Times New Roman" w:cs="Times New Roman"/>
          <w:i/>
        </w:rPr>
        <w:t>Q</w:t>
      </w:r>
      <w:r w:rsidRPr="00D630D1">
        <w:rPr>
          <w:rFonts w:ascii="Times New Roman" w:cs="Times New Roman"/>
        </w:rPr>
        <w:t>＜</w:t>
      </w:r>
      <w:r w:rsidRPr="00D630D1">
        <w:rPr>
          <w:rFonts w:ascii="Times New Roman" w:cs="Times New Roman"/>
        </w:rPr>
        <w:t>100</w:t>
      </w:r>
      <w:r w:rsidRPr="00D630D1">
        <w:rPr>
          <w:rFonts w:ascii="Times New Roman" w:cs="Times New Roman"/>
        </w:rPr>
        <w:t>；（</w:t>
      </w:r>
      <w:r w:rsidRPr="00D630D1">
        <w:rPr>
          <w:rFonts w:ascii="Times New Roman" w:cs="Times New Roman"/>
        </w:rPr>
        <w:t>3</w:t>
      </w:r>
      <w:r w:rsidRPr="00D630D1">
        <w:rPr>
          <w:rFonts w:ascii="Times New Roman" w:cs="Times New Roman"/>
        </w:rPr>
        <w:t>）</w:t>
      </w:r>
      <w:r w:rsidRPr="00D630D1">
        <w:rPr>
          <w:rFonts w:ascii="Times New Roman" w:cs="Times New Roman"/>
          <w:i/>
        </w:rPr>
        <w:t>Q</w:t>
      </w:r>
      <w:r w:rsidRPr="00D630D1">
        <w:rPr>
          <w:rFonts w:ascii="Times New Roman" w:cs="Times New Roman"/>
        </w:rPr>
        <w:t>≥100</w:t>
      </w:r>
    </w:p>
    <w:p w:rsidR="004B05C3" w:rsidRPr="00D630D1" w:rsidRDefault="004B05C3" w:rsidP="00D54B0A">
      <w:pPr>
        <w:ind w:firstLine="480"/>
        <w:rPr>
          <w:rFonts w:ascii="Times New Roman" w:cs="Times New Roman"/>
        </w:rPr>
      </w:pPr>
      <w:r w:rsidRPr="00D630D1">
        <w:rPr>
          <w:rFonts w:ascii="Times New Roman" w:cs="Times New Roman"/>
        </w:rPr>
        <w:t>危险物质的最大</w:t>
      </w:r>
      <w:r w:rsidR="00211A77" w:rsidRPr="00D630D1">
        <w:rPr>
          <w:rFonts w:ascii="Times New Roman" w:cs="Times New Roman" w:hint="eastAsia"/>
        </w:rPr>
        <w:t>存在</w:t>
      </w:r>
      <w:r w:rsidR="00211A77" w:rsidRPr="00D630D1">
        <w:rPr>
          <w:rFonts w:ascii="Times New Roman" w:cs="Times New Roman"/>
        </w:rPr>
        <w:t>总</w:t>
      </w:r>
      <w:r w:rsidRPr="00D630D1">
        <w:rPr>
          <w:rFonts w:ascii="Times New Roman" w:cs="Times New Roman"/>
        </w:rPr>
        <w:t>量</w:t>
      </w:r>
      <w:r w:rsidRPr="00D630D1">
        <w:rPr>
          <w:rFonts w:ascii="Times New Roman" w:cs="Times New Roman"/>
        </w:rPr>
        <w:t>=</w:t>
      </w:r>
      <w:r w:rsidRPr="00D630D1">
        <w:rPr>
          <w:rFonts w:ascii="Times New Roman" w:cs="Times New Roman"/>
        </w:rPr>
        <w:t>天然气最大</w:t>
      </w:r>
      <w:r w:rsidR="00211A77" w:rsidRPr="00D630D1">
        <w:rPr>
          <w:rFonts w:ascii="Times New Roman" w:cs="Times New Roman" w:hint="eastAsia"/>
        </w:rPr>
        <w:t>存在</w:t>
      </w:r>
      <w:r w:rsidR="00211A77" w:rsidRPr="00D630D1">
        <w:rPr>
          <w:rFonts w:ascii="Times New Roman" w:cs="Times New Roman"/>
        </w:rPr>
        <w:t>总</w:t>
      </w:r>
      <w:r w:rsidRPr="00D630D1">
        <w:rPr>
          <w:rFonts w:ascii="Times New Roman" w:cs="Times New Roman"/>
        </w:rPr>
        <w:t>量</w:t>
      </w:r>
      <w:r w:rsidRPr="00D630D1">
        <w:rPr>
          <w:rFonts w:ascii="Times New Roman" w:cs="Times New Roman"/>
        </w:rPr>
        <w:t>*</w:t>
      </w:r>
      <w:r w:rsidRPr="00D630D1">
        <w:rPr>
          <w:rFonts w:ascii="Times New Roman" w:cs="Times New Roman"/>
        </w:rPr>
        <w:t>该类危险物质所占摩尔分数。</w:t>
      </w:r>
    </w:p>
    <w:p w:rsidR="00571024" w:rsidRPr="00D630D1" w:rsidRDefault="00571024" w:rsidP="00D54B0A">
      <w:pPr>
        <w:pStyle w:val="a1"/>
        <w:ind w:firstLine="480"/>
        <w:rPr>
          <w:rFonts w:ascii="Times New Roman" w:cs="Times New Roman"/>
        </w:rPr>
      </w:pPr>
      <w:r w:rsidRPr="00D630D1">
        <w:rPr>
          <w:rFonts w:ascii="Times New Roman" w:cs="Times New Roman"/>
        </w:rPr>
        <w:t>根据项目概况</w:t>
      </w:r>
      <w:r w:rsidR="00D54B0A" w:rsidRPr="00D630D1">
        <w:rPr>
          <w:rFonts w:ascii="Times New Roman" w:cs="Times New Roman"/>
        </w:rPr>
        <w:t>3</w:t>
      </w:r>
      <w:r w:rsidRPr="00D630D1">
        <w:rPr>
          <w:rFonts w:ascii="Times New Roman" w:cs="Times New Roman"/>
        </w:rPr>
        <w:t>.3</w:t>
      </w:r>
      <w:r w:rsidRPr="00D630D1">
        <w:rPr>
          <w:rFonts w:ascii="Times New Roman" w:cs="Times New Roman"/>
        </w:rPr>
        <w:t>中</w:t>
      </w:r>
      <w:r w:rsidR="00D54B0A" w:rsidRPr="00D630D1">
        <w:rPr>
          <w:rFonts w:ascii="Times New Roman" w:cs="Times New Roman"/>
        </w:rPr>
        <w:t>输送介质情况</w:t>
      </w:r>
      <w:r w:rsidR="00211A77" w:rsidRPr="00D630D1">
        <w:rPr>
          <w:rFonts w:ascii="Times New Roman" w:cs="Times New Roman"/>
        </w:rPr>
        <w:t>和柴油罐</w:t>
      </w:r>
      <w:r w:rsidR="00505824">
        <w:rPr>
          <w:rFonts w:ascii="Times New Roman" w:cs="Times New Roman" w:hint="eastAsia"/>
        </w:rPr>
        <w:t>、凝析油</w:t>
      </w:r>
      <w:r w:rsidR="00211A77" w:rsidRPr="00D630D1">
        <w:rPr>
          <w:rFonts w:ascii="Times New Roman" w:cs="Times New Roman"/>
        </w:rPr>
        <w:t>设置情况</w:t>
      </w:r>
      <w:r w:rsidR="00AD4B6B" w:rsidRPr="00D630D1">
        <w:rPr>
          <w:rFonts w:ascii="Times New Roman" w:cs="Times New Roman" w:hint="eastAsia"/>
        </w:rPr>
        <w:t>，</w:t>
      </w:r>
      <w:r w:rsidRPr="00D630D1">
        <w:rPr>
          <w:rFonts w:ascii="Times New Roman" w:cs="Times New Roman"/>
        </w:rPr>
        <w:t>从而得到本项目评价单元内</w:t>
      </w:r>
      <w:r w:rsidR="00211A77" w:rsidRPr="00D630D1">
        <w:rPr>
          <w:rFonts w:ascii="Times New Roman" w:cs="Times New Roman" w:hint="eastAsia"/>
        </w:rPr>
        <w:t>各危险物质的</w:t>
      </w:r>
      <w:r w:rsidRPr="00D630D1">
        <w:rPr>
          <w:rFonts w:ascii="Times New Roman" w:cs="Times New Roman"/>
        </w:rPr>
        <w:t>最大</w:t>
      </w:r>
      <w:r w:rsidR="00211A77" w:rsidRPr="00D630D1">
        <w:rPr>
          <w:rFonts w:ascii="Times New Roman" w:cs="Times New Roman" w:hint="eastAsia"/>
        </w:rPr>
        <w:t>存在</w:t>
      </w:r>
      <w:r w:rsidR="00211A77" w:rsidRPr="00D630D1">
        <w:rPr>
          <w:rFonts w:ascii="Times New Roman" w:cs="Times New Roman"/>
        </w:rPr>
        <w:t>总</w:t>
      </w:r>
      <w:r w:rsidRPr="00D630D1">
        <w:rPr>
          <w:rFonts w:ascii="Times New Roman" w:cs="Times New Roman"/>
        </w:rPr>
        <w:t>量。</w:t>
      </w:r>
    </w:p>
    <w:p w:rsidR="00AD4B6B" w:rsidRPr="00D630D1" w:rsidRDefault="00AD4B6B" w:rsidP="00AD4B6B">
      <w:pPr>
        <w:pStyle w:val="10"/>
        <w:ind w:firstLine="480"/>
        <w:rPr>
          <w:rFonts w:cs="Times New Roman"/>
        </w:rPr>
      </w:pPr>
      <w:r w:rsidRPr="00D630D1">
        <w:rPr>
          <w:rFonts w:cs="Times New Roman"/>
        </w:rPr>
        <w:t>表</w:t>
      </w:r>
      <w:r w:rsidRPr="00D630D1">
        <w:rPr>
          <w:rFonts w:cs="Times New Roman"/>
        </w:rPr>
        <w:t>7.4-</w:t>
      </w:r>
      <w:r w:rsidR="00CB58E1" w:rsidRPr="00D630D1">
        <w:rPr>
          <w:rFonts w:cs="Times New Roman" w:hint="eastAsia"/>
        </w:rPr>
        <w:t>3</w:t>
      </w:r>
      <w:r w:rsidRPr="00D630D1">
        <w:rPr>
          <w:rFonts w:cs="Times New Roman"/>
        </w:rPr>
        <w:t xml:space="preserve">  </w:t>
      </w:r>
      <w:r w:rsidRPr="00D630D1">
        <w:rPr>
          <w:rFonts w:cs="Times New Roman" w:hint="eastAsia"/>
        </w:rPr>
        <w:t>井喷（</w:t>
      </w:r>
      <w:r w:rsidRPr="00D630D1">
        <w:rPr>
          <w:rFonts w:cs="Times New Roman" w:hint="eastAsia"/>
        </w:rPr>
        <w:t>15min</w:t>
      </w:r>
      <w:r w:rsidRPr="00D630D1">
        <w:rPr>
          <w:rFonts w:cs="Times New Roman" w:hint="eastAsia"/>
        </w:rPr>
        <w:t>）</w:t>
      </w:r>
      <w:r w:rsidRPr="00D630D1">
        <w:rPr>
          <w:rFonts w:cs="Times New Roman"/>
        </w:rPr>
        <w:t>危险物质数量与临界值比值计算表</w:t>
      </w:r>
    </w:p>
    <w:tbl>
      <w:tblPr>
        <w:tblW w:w="8532"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788"/>
        <w:gridCol w:w="1663"/>
        <w:gridCol w:w="1348"/>
        <w:gridCol w:w="2126"/>
        <w:gridCol w:w="1276"/>
        <w:gridCol w:w="1331"/>
      </w:tblGrid>
      <w:tr w:rsidR="00AD4B6B" w:rsidRPr="00D630D1" w:rsidTr="00BA4F10">
        <w:trPr>
          <w:trHeight w:val="32"/>
          <w:jc w:val="center"/>
        </w:trPr>
        <w:tc>
          <w:tcPr>
            <w:tcW w:w="788" w:type="dxa"/>
            <w:tcBorders>
              <w:top w:val="single" w:sz="12" w:space="0" w:color="auto"/>
            </w:tcBorders>
            <w:shd w:val="clear" w:color="auto" w:fill="auto"/>
            <w:vAlign w:val="center"/>
          </w:tcPr>
          <w:p w:rsidR="00AD4B6B" w:rsidRPr="00D630D1" w:rsidRDefault="00AD4B6B" w:rsidP="00BA4F10">
            <w:pPr>
              <w:pStyle w:val="aff2"/>
              <w:rPr>
                <w:b/>
                <w:bCs/>
              </w:rPr>
            </w:pPr>
            <w:r w:rsidRPr="00D630D1">
              <w:rPr>
                <w:b/>
                <w:bCs/>
              </w:rPr>
              <w:t>序号</w:t>
            </w:r>
          </w:p>
        </w:tc>
        <w:tc>
          <w:tcPr>
            <w:tcW w:w="1663" w:type="dxa"/>
            <w:tcBorders>
              <w:top w:val="single" w:sz="12" w:space="0" w:color="auto"/>
            </w:tcBorders>
            <w:shd w:val="clear" w:color="auto" w:fill="auto"/>
            <w:vAlign w:val="center"/>
          </w:tcPr>
          <w:p w:rsidR="00AD4B6B" w:rsidRPr="00D630D1" w:rsidRDefault="00AD4B6B" w:rsidP="00BA4F10">
            <w:pPr>
              <w:pStyle w:val="aff2"/>
              <w:rPr>
                <w:b/>
                <w:bCs/>
              </w:rPr>
            </w:pPr>
            <w:r w:rsidRPr="00D630D1">
              <w:rPr>
                <w:b/>
                <w:bCs/>
              </w:rPr>
              <w:t>危险物质名称</w:t>
            </w:r>
          </w:p>
        </w:tc>
        <w:tc>
          <w:tcPr>
            <w:tcW w:w="1348" w:type="dxa"/>
            <w:tcBorders>
              <w:top w:val="single" w:sz="12" w:space="0" w:color="auto"/>
            </w:tcBorders>
            <w:shd w:val="clear" w:color="auto" w:fill="auto"/>
            <w:vAlign w:val="center"/>
          </w:tcPr>
          <w:p w:rsidR="00AD4B6B" w:rsidRPr="00D630D1" w:rsidRDefault="00AD4B6B" w:rsidP="00BA4F10">
            <w:pPr>
              <w:pStyle w:val="aff2"/>
              <w:rPr>
                <w:b/>
                <w:bCs/>
              </w:rPr>
            </w:pPr>
            <w:r w:rsidRPr="00D630D1">
              <w:rPr>
                <w:b/>
                <w:bCs/>
              </w:rPr>
              <w:t>CAS</w:t>
            </w:r>
            <w:r w:rsidRPr="00D630D1">
              <w:rPr>
                <w:b/>
                <w:bCs/>
              </w:rPr>
              <w:t>号</w:t>
            </w:r>
          </w:p>
        </w:tc>
        <w:tc>
          <w:tcPr>
            <w:tcW w:w="2126" w:type="dxa"/>
            <w:tcBorders>
              <w:top w:val="single" w:sz="12" w:space="0" w:color="auto"/>
            </w:tcBorders>
            <w:shd w:val="clear" w:color="auto" w:fill="auto"/>
            <w:vAlign w:val="center"/>
          </w:tcPr>
          <w:p w:rsidR="00AD4B6B" w:rsidRPr="00D630D1" w:rsidRDefault="00AD4B6B" w:rsidP="00BA4F10">
            <w:pPr>
              <w:pStyle w:val="aff2"/>
              <w:rPr>
                <w:b/>
                <w:bCs/>
              </w:rPr>
            </w:pPr>
            <w:r w:rsidRPr="00D630D1">
              <w:rPr>
                <w:b/>
                <w:bCs/>
              </w:rPr>
              <w:t>最大存在总量</w:t>
            </w:r>
            <w:r w:rsidRPr="00D630D1">
              <w:rPr>
                <w:b/>
                <w:bCs/>
              </w:rPr>
              <w:t>qn/t</w:t>
            </w:r>
          </w:p>
        </w:tc>
        <w:tc>
          <w:tcPr>
            <w:tcW w:w="1276" w:type="dxa"/>
            <w:tcBorders>
              <w:top w:val="single" w:sz="12" w:space="0" w:color="auto"/>
            </w:tcBorders>
            <w:shd w:val="clear" w:color="auto" w:fill="auto"/>
            <w:vAlign w:val="center"/>
          </w:tcPr>
          <w:p w:rsidR="00AD4B6B" w:rsidRPr="00D630D1" w:rsidRDefault="00AD4B6B" w:rsidP="00BA4F10">
            <w:pPr>
              <w:pStyle w:val="aff2"/>
              <w:rPr>
                <w:b/>
                <w:bCs/>
              </w:rPr>
            </w:pPr>
            <w:r w:rsidRPr="00D630D1">
              <w:rPr>
                <w:b/>
                <w:bCs/>
              </w:rPr>
              <w:t>临界量</w:t>
            </w:r>
            <w:r w:rsidRPr="00D630D1">
              <w:rPr>
                <w:b/>
                <w:bCs/>
              </w:rPr>
              <w:t>Qn/t</w:t>
            </w:r>
          </w:p>
        </w:tc>
        <w:tc>
          <w:tcPr>
            <w:tcW w:w="1331" w:type="dxa"/>
            <w:tcBorders>
              <w:top w:val="single" w:sz="12" w:space="0" w:color="auto"/>
            </w:tcBorders>
            <w:shd w:val="clear" w:color="auto" w:fill="auto"/>
            <w:vAlign w:val="center"/>
          </w:tcPr>
          <w:p w:rsidR="00AD4B6B" w:rsidRPr="00D630D1" w:rsidRDefault="00AD4B6B" w:rsidP="00BA4F10">
            <w:pPr>
              <w:pStyle w:val="aff2"/>
              <w:rPr>
                <w:b/>
                <w:bCs/>
              </w:rPr>
            </w:pPr>
            <w:r w:rsidRPr="00D630D1">
              <w:rPr>
                <w:b/>
                <w:bCs/>
              </w:rPr>
              <w:t>qn/Qn</w:t>
            </w:r>
          </w:p>
        </w:tc>
      </w:tr>
      <w:tr w:rsidR="00AD4B6B" w:rsidRPr="00D630D1" w:rsidTr="00BA4F10">
        <w:trPr>
          <w:trHeight w:val="66"/>
          <w:jc w:val="center"/>
        </w:trPr>
        <w:tc>
          <w:tcPr>
            <w:tcW w:w="788" w:type="dxa"/>
            <w:shd w:val="clear" w:color="auto" w:fill="auto"/>
            <w:vAlign w:val="center"/>
          </w:tcPr>
          <w:p w:rsidR="00AD4B6B" w:rsidRPr="00D630D1" w:rsidRDefault="00AD4B6B" w:rsidP="00BA4F10">
            <w:pPr>
              <w:pStyle w:val="aff2"/>
            </w:pPr>
            <w:r w:rsidRPr="00D630D1">
              <w:t>1</w:t>
            </w:r>
          </w:p>
        </w:tc>
        <w:tc>
          <w:tcPr>
            <w:tcW w:w="1663" w:type="dxa"/>
            <w:shd w:val="clear" w:color="auto" w:fill="auto"/>
            <w:vAlign w:val="center"/>
          </w:tcPr>
          <w:p w:rsidR="00AD4B6B" w:rsidRPr="00D630D1" w:rsidRDefault="00AD4B6B" w:rsidP="00BA4F10">
            <w:pPr>
              <w:pStyle w:val="aff2"/>
            </w:pPr>
            <w:r w:rsidRPr="00D630D1">
              <w:t>甲烷</w:t>
            </w:r>
          </w:p>
        </w:tc>
        <w:tc>
          <w:tcPr>
            <w:tcW w:w="1348" w:type="dxa"/>
            <w:shd w:val="clear" w:color="auto" w:fill="auto"/>
            <w:vAlign w:val="center"/>
          </w:tcPr>
          <w:p w:rsidR="00AD4B6B" w:rsidRPr="00D630D1" w:rsidRDefault="00AD4B6B" w:rsidP="00BA4F10">
            <w:pPr>
              <w:pStyle w:val="aff2"/>
            </w:pPr>
            <w:r w:rsidRPr="00D630D1">
              <w:t>74-82-8</w:t>
            </w:r>
          </w:p>
        </w:tc>
        <w:tc>
          <w:tcPr>
            <w:tcW w:w="2126" w:type="dxa"/>
            <w:shd w:val="clear" w:color="auto" w:fill="auto"/>
            <w:vAlign w:val="center"/>
          </w:tcPr>
          <w:p w:rsidR="00AD4B6B" w:rsidRPr="00D630D1" w:rsidRDefault="002A4396" w:rsidP="00987BAF">
            <w:pPr>
              <w:pStyle w:val="aff2"/>
            </w:pPr>
            <w:r>
              <w:rPr>
                <w:rFonts w:hint="eastAsia"/>
              </w:rPr>
              <w:t>4.68</w:t>
            </w:r>
          </w:p>
        </w:tc>
        <w:tc>
          <w:tcPr>
            <w:tcW w:w="1276" w:type="dxa"/>
            <w:shd w:val="clear" w:color="auto" w:fill="auto"/>
            <w:vAlign w:val="center"/>
          </w:tcPr>
          <w:p w:rsidR="00AD4B6B" w:rsidRPr="00D630D1" w:rsidRDefault="00AD4B6B" w:rsidP="00BA4F10">
            <w:pPr>
              <w:pStyle w:val="aff2"/>
            </w:pPr>
            <w:r w:rsidRPr="00D630D1">
              <w:t>10</w:t>
            </w:r>
          </w:p>
        </w:tc>
        <w:tc>
          <w:tcPr>
            <w:tcW w:w="1331" w:type="dxa"/>
            <w:shd w:val="clear" w:color="auto" w:fill="auto"/>
          </w:tcPr>
          <w:p w:rsidR="00AD4B6B" w:rsidRPr="00D630D1" w:rsidRDefault="002A4396" w:rsidP="00987BAF">
            <w:pPr>
              <w:pStyle w:val="aff2"/>
            </w:pPr>
            <w:r>
              <w:rPr>
                <w:rFonts w:hint="eastAsia"/>
              </w:rPr>
              <w:t>0.468</w:t>
            </w:r>
          </w:p>
        </w:tc>
      </w:tr>
      <w:tr w:rsidR="00AD4B6B" w:rsidRPr="00D630D1" w:rsidTr="00BA4F10">
        <w:trPr>
          <w:trHeight w:val="293"/>
          <w:jc w:val="center"/>
        </w:trPr>
        <w:tc>
          <w:tcPr>
            <w:tcW w:w="3799" w:type="dxa"/>
            <w:gridSpan w:val="3"/>
            <w:tcBorders>
              <w:bottom w:val="single" w:sz="12" w:space="0" w:color="auto"/>
            </w:tcBorders>
            <w:shd w:val="clear" w:color="auto" w:fill="auto"/>
            <w:vAlign w:val="center"/>
          </w:tcPr>
          <w:p w:rsidR="00AD4B6B" w:rsidRPr="00D630D1" w:rsidRDefault="00AD4B6B" w:rsidP="00BA4F10">
            <w:pPr>
              <w:pStyle w:val="aff2"/>
            </w:pPr>
            <w:r w:rsidRPr="00D630D1">
              <w:t>合计</w:t>
            </w:r>
          </w:p>
        </w:tc>
        <w:tc>
          <w:tcPr>
            <w:tcW w:w="2126" w:type="dxa"/>
            <w:tcBorders>
              <w:bottom w:val="single" w:sz="12" w:space="0" w:color="auto"/>
            </w:tcBorders>
            <w:shd w:val="clear" w:color="auto" w:fill="auto"/>
            <w:vAlign w:val="center"/>
          </w:tcPr>
          <w:p w:rsidR="00AD4B6B" w:rsidRPr="00D630D1" w:rsidRDefault="00AD4B6B" w:rsidP="00BA4F10">
            <w:pPr>
              <w:pStyle w:val="aff2"/>
            </w:pPr>
            <w:r w:rsidRPr="00D630D1">
              <w:t>—</w:t>
            </w:r>
          </w:p>
        </w:tc>
        <w:tc>
          <w:tcPr>
            <w:tcW w:w="1276" w:type="dxa"/>
            <w:tcBorders>
              <w:bottom w:val="single" w:sz="12" w:space="0" w:color="auto"/>
            </w:tcBorders>
            <w:shd w:val="clear" w:color="auto" w:fill="auto"/>
            <w:vAlign w:val="center"/>
          </w:tcPr>
          <w:p w:rsidR="00AD4B6B" w:rsidRPr="00D630D1" w:rsidRDefault="00AD4B6B" w:rsidP="00BA4F10">
            <w:pPr>
              <w:pStyle w:val="aff2"/>
            </w:pPr>
            <w:r w:rsidRPr="00D630D1">
              <w:t>—</w:t>
            </w:r>
          </w:p>
        </w:tc>
        <w:tc>
          <w:tcPr>
            <w:tcW w:w="1331" w:type="dxa"/>
            <w:tcBorders>
              <w:bottom w:val="single" w:sz="12" w:space="0" w:color="auto"/>
            </w:tcBorders>
            <w:shd w:val="clear" w:color="auto" w:fill="auto"/>
            <w:vAlign w:val="center"/>
          </w:tcPr>
          <w:p w:rsidR="00AD4B6B" w:rsidRPr="00D630D1" w:rsidRDefault="002A4396" w:rsidP="00987BAF">
            <w:pPr>
              <w:pStyle w:val="aff2"/>
            </w:pPr>
            <w:r>
              <w:rPr>
                <w:rFonts w:hint="eastAsia"/>
              </w:rPr>
              <w:t>0.468</w:t>
            </w:r>
          </w:p>
        </w:tc>
      </w:tr>
    </w:tbl>
    <w:p w:rsidR="002E1DBF" w:rsidRPr="00D630D1" w:rsidRDefault="002E1DBF" w:rsidP="002E1DBF">
      <w:pPr>
        <w:pStyle w:val="10"/>
        <w:ind w:firstLine="480"/>
        <w:rPr>
          <w:rFonts w:cs="Times New Roman"/>
        </w:rPr>
      </w:pPr>
      <w:r w:rsidRPr="00D630D1">
        <w:rPr>
          <w:rFonts w:cs="Times New Roman"/>
        </w:rPr>
        <w:t>表</w:t>
      </w:r>
      <w:r w:rsidRPr="00D630D1">
        <w:rPr>
          <w:rFonts w:cs="Times New Roman"/>
        </w:rPr>
        <w:t>7.4-</w:t>
      </w:r>
      <w:r w:rsidR="00CB58E1" w:rsidRPr="00D630D1">
        <w:rPr>
          <w:rFonts w:cs="Times New Roman" w:hint="eastAsia"/>
        </w:rPr>
        <w:t>4</w:t>
      </w:r>
      <w:r w:rsidRPr="00D630D1">
        <w:rPr>
          <w:rFonts w:cs="Times New Roman"/>
        </w:rPr>
        <w:t xml:space="preserve">  </w:t>
      </w:r>
      <w:r w:rsidR="00BB1120" w:rsidRPr="00D630D1">
        <w:rPr>
          <w:rFonts w:cs="Times New Roman"/>
        </w:rPr>
        <w:t>酸气管道</w:t>
      </w:r>
      <w:r w:rsidRPr="00D630D1">
        <w:rPr>
          <w:rFonts w:cs="Times New Roman"/>
        </w:rPr>
        <w:t>危险物质数量与临界值比值计算表</w:t>
      </w:r>
    </w:p>
    <w:tbl>
      <w:tblPr>
        <w:tblW w:w="8532"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788"/>
        <w:gridCol w:w="1663"/>
        <w:gridCol w:w="1348"/>
        <w:gridCol w:w="2126"/>
        <w:gridCol w:w="1276"/>
        <w:gridCol w:w="1331"/>
      </w:tblGrid>
      <w:tr w:rsidR="004C35E7" w:rsidRPr="00D630D1" w:rsidTr="00327691">
        <w:trPr>
          <w:trHeight w:val="32"/>
          <w:jc w:val="center"/>
        </w:trPr>
        <w:tc>
          <w:tcPr>
            <w:tcW w:w="788" w:type="dxa"/>
            <w:tcBorders>
              <w:top w:val="single" w:sz="12" w:space="0" w:color="auto"/>
            </w:tcBorders>
            <w:shd w:val="clear" w:color="auto" w:fill="auto"/>
            <w:vAlign w:val="center"/>
          </w:tcPr>
          <w:p w:rsidR="00571024" w:rsidRPr="00D630D1" w:rsidRDefault="00571024" w:rsidP="00571024">
            <w:pPr>
              <w:pStyle w:val="aff2"/>
              <w:rPr>
                <w:b/>
                <w:bCs/>
              </w:rPr>
            </w:pPr>
            <w:r w:rsidRPr="00D630D1">
              <w:rPr>
                <w:b/>
                <w:bCs/>
              </w:rPr>
              <w:t>序号</w:t>
            </w:r>
          </w:p>
        </w:tc>
        <w:tc>
          <w:tcPr>
            <w:tcW w:w="1663" w:type="dxa"/>
            <w:tcBorders>
              <w:top w:val="single" w:sz="12" w:space="0" w:color="auto"/>
            </w:tcBorders>
            <w:shd w:val="clear" w:color="auto" w:fill="auto"/>
            <w:vAlign w:val="center"/>
          </w:tcPr>
          <w:p w:rsidR="00571024" w:rsidRPr="00D630D1" w:rsidRDefault="00571024" w:rsidP="00571024">
            <w:pPr>
              <w:pStyle w:val="aff2"/>
              <w:rPr>
                <w:b/>
                <w:bCs/>
              </w:rPr>
            </w:pPr>
            <w:r w:rsidRPr="00D630D1">
              <w:rPr>
                <w:b/>
                <w:bCs/>
              </w:rPr>
              <w:t>危险物质名称</w:t>
            </w:r>
          </w:p>
        </w:tc>
        <w:tc>
          <w:tcPr>
            <w:tcW w:w="1348" w:type="dxa"/>
            <w:tcBorders>
              <w:top w:val="single" w:sz="12" w:space="0" w:color="auto"/>
            </w:tcBorders>
            <w:shd w:val="clear" w:color="auto" w:fill="auto"/>
            <w:vAlign w:val="center"/>
          </w:tcPr>
          <w:p w:rsidR="00571024" w:rsidRPr="00D630D1" w:rsidRDefault="00571024" w:rsidP="00571024">
            <w:pPr>
              <w:pStyle w:val="aff2"/>
              <w:rPr>
                <w:b/>
                <w:bCs/>
              </w:rPr>
            </w:pPr>
            <w:r w:rsidRPr="00D630D1">
              <w:rPr>
                <w:b/>
                <w:bCs/>
              </w:rPr>
              <w:t>CAS</w:t>
            </w:r>
            <w:r w:rsidRPr="00D630D1">
              <w:rPr>
                <w:b/>
                <w:bCs/>
              </w:rPr>
              <w:t>号</w:t>
            </w:r>
          </w:p>
        </w:tc>
        <w:tc>
          <w:tcPr>
            <w:tcW w:w="2126" w:type="dxa"/>
            <w:tcBorders>
              <w:top w:val="single" w:sz="12" w:space="0" w:color="auto"/>
            </w:tcBorders>
            <w:shd w:val="clear" w:color="auto" w:fill="auto"/>
            <w:vAlign w:val="center"/>
          </w:tcPr>
          <w:p w:rsidR="00571024" w:rsidRPr="00D630D1" w:rsidRDefault="00571024" w:rsidP="00571024">
            <w:pPr>
              <w:pStyle w:val="aff2"/>
              <w:rPr>
                <w:b/>
                <w:bCs/>
              </w:rPr>
            </w:pPr>
            <w:r w:rsidRPr="00D630D1">
              <w:rPr>
                <w:b/>
                <w:bCs/>
              </w:rPr>
              <w:t>最大存在总量</w:t>
            </w:r>
            <w:r w:rsidRPr="00D630D1">
              <w:rPr>
                <w:b/>
                <w:bCs/>
              </w:rPr>
              <w:t>qn/t</w:t>
            </w:r>
          </w:p>
        </w:tc>
        <w:tc>
          <w:tcPr>
            <w:tcW w:w="1276" w:type="dxa"/>
            <w:tcBorders>
              <w:top w:val="single" w:sz="12" w:space="0" w:color="auto"/>
            </w:tcBorders>
            <w:shd w:val="clear" w:color="auto" w:fill="auto"/>
            <w:vAlign w:val="center"/>
          </w:tcPr>
          <w:p w:rsidR="00571024" w:rsidRPr="00D630D1" w:rsidRDefault="00571024" w:rsidP="00571024">
            <w:pPr>
              <w:pStyle w:val="aff2"/>
              <w:rPr>
                <w:b/>
                <w:bCs/>
              </w:rPr>
            </w:pPr>
            <w:r w:rsidRPr="00D630D1">
              <w:rPr>
                <w:b/>
                <w:bCs/>
              </w:rPr>
              <w:t>临界量</w:t>
            </w:r>
            <w:r w:rsidRPr="00D630D1">
              <w:rPr>
                <w:b/>
                <w:bCs/>
              </w:rPr>
              <w:t>Qn/t</w:t>
            </w:r>
          </w:p>
        </w:tc>
        <w:tc>
          <w:tcPr>
            <w:tcW w:w="1331" w:type="dxa"/>
            <w:tcBorders>
              <w:top w:val="single" w:sz="12" w:space="0" w:color="auto"/>
            </w:tcBorders>
            <w:shd w:val="clear" w:color="auto" w:fill="auto"/>
            <w:vAlign w:val="center"/>
          </w:tcPr>
          <w:p w:rsidR="00571024" w:rsidRPr="00D630D1" w:rsidRDefault="00571024" w:rsidP="00571024">
            <w:pPr>
              <w:pStyle w:val="aff2"/>
              <w:rPr>
                <w:b/>
                <w:bCs/>
              </w:rPr>
            </w:pPr>
            <w:r w:rsidRPr="00D630D1">
              <w:rPr>
                <w:b/>
                <w:bCs/>
              </w:rPr>
              <w:t>qn/Qn</w:t>
            </w:r>
          </w:p>
        </w:tc>
      </w:tr>
      <w:tr w:rsidR="00EB7F29" w:rsidRPr="00D630D1" w:rsidTr="004E24E2">
        <w:trPr>
          <w:trHeight w:val="66"/>
          <w:jc w:val="center"/>
        </w:trPr>
        <w:tc>
          <w:tcPr>
            <w:tcW w:w="788" w:type="dxa"/>
            <w:shd w:val="clear" w:color="auto" w:fill="auto"/>
            <w:vAlign w:val="center"/>
          </w:tcPr>
          <w:p w:rsidR="00EB7F29" w:rsidRPr="00D630D1" w:rsidRDefault="00EB7F29" w:rsidP="004C35E7">
            <w:pPr>
              <w:pStyle w:val="aff2"/>
            </w:pPr>
            <w:r w:rsidRPr="00D630D1">
              <w:t>1</w:t>
            </w:r>
          </w:p>
        </w:tc>
        <w:tc>
          <w:tcPr>
            <w:tcW w:w="1663" w:type="dxa"/>
            <w:shd w:val="clear" w:color="auto" w:fill="auto"/>
            <w:vAlign w:val="center"/>
          </w:tcPr>
          <w:p w:rsidR="00EB7F29" w:rsidRPr="00D630D1" w:rsidRDefault="00EB7F29" w:rsidP="004C35E7">
            <w:pPr>
              <w:pStyle w:val="aff2"/>
            </w:pPr>
            <w:r w:rsidRPr="00D630D1">
              <w:t>甲烷</w:t>
            </w:r>
          </w:p>
        </w:tc>
        <w:tc>
          <w:tcPr>
            <w:tcW w:w="1348" w:type="dxa"/>
            <w:shd w:val="clear" w:color="auto" w:fill="auto"/>
            <w:vAlign w:val="center"/>
          </w:tcPr>
          <w:p w:rsidR="00EB7F29" w:rsidRPr="00D630D1" w:rsidRDefault="00EB7F29" w:rsidP="004C35E7">
            <w:pPr>
              <w:pStyle w:val="aff2"/>
            </w:pPr>
            <w:r w:rsidRPr="00D630D1">
              <w:t>74-82-8</w:t>
            </w:r>
          </w:p>
        </w:tc>
        <w:tc>
          <w:tcPr>
            <w:tcW w:w="2126" w:type="dxa"/>
            <w:shd w:val="clear" w:color="auto" w:fill="auto"/>
            <w:vAlign w:val="center"/>
          </w:tcPr>
          <w:p w:rsidR="00EB7F29" w:rsidRPr="00D630D1" w:rsidRDefault="00987BAF" w:rsidP="00925ADD">
            <w:pPr>
              <w:pStyle w:val="aff2"/>
            </w:pPr>
            <w:r>
              <w:rPr>
                <w:rFonts w:hint="eastAsia"/>
              </w:rPr>
              <w:t>6.</w:t>
            </w:r>
            <w:r w:rsidR="00925ADD">
              <w:rPr>
                <w:rFonts w:hint="eastAsia"/>
              </w:rPr>
              <w:t>07</w:t>
            </w:r>
          </w:p>
        </w:tc>
        <w:tc>
          <w:tcPr>
            <w:tcW w:w="1276" w:type="dxa"/>
            <w:shd w:val="clear" w:color="auto" w:fill="auto"/>
            <w:vAlign w:val="center"/>
          </w:tcPr>
          <w:p w:rsidR="00EB7F29" w:rsidRPr="00D630D1" w:rsidRDefault="00EB7F29" w:rsidP="004C35E7">
            <w:pPr>
              <w:pStyle w:val="aff2"/>
            </w:pPr>
            <w:r w:rsidRPr="00D630D1">
              <w:t>10</w:t>
            </w:r>
          </w:p>
        </w:tc>
        <w:tc>
          <w:tcPr>
            <w:tcW w:w="1331" w:type="dxa"/>
            <w:shd w:val="clear" w:color="auto" w:fill="auto"/>
          </w:tcPr>
          <w:p w:rsidR="00EB7F29" w:rsidRPr="00D630D1" w:rsidRDefault="00EB7F29" w:rsidP="00925ADD">
            <w:pPr>
              <w:pStyle w:val="aff2"/>
            </w:pPr>
            <w:r w:rsidRPr="00D630D1">
              <w:t>0.</w:t>
            </w:r>
            <w:r w:rsidR="00987BAF">
              <w:rPr>
                <w:rFonts w:hint="eastAsia"/>
              </w:rPr>
              <w:t>6</w:t>
            </w:r>
            <w:r w:rsidR="00925ADD">
              <w:rPr>
                <w:rFonts w:hint="eastAsia"/>
              </w:rPr>
              <w:t>07</w:t>
            </w:r>
          </w:p>
        </w:tc>
      </w:tr>
      <w:tr w:rsidR="00EB7F29" w:rsidRPr="00D630D1" w:rsidTr="00327691">
        <w:trPr>
          <w:trHeight w:val="293"/>
          <w:jc w:val="center"/>
        </w:trPr>
        <w:tc>
          <w:tcPr>
            <w:tcW w:w="3799" w:type="dxa"/>
            <w:gridSpan w:val="3"/>
            <w:tcBorders>
              <w:bottom w:val="single" w:sz="12" w:space="0" w:color="auto"/>
            </w:tcBorders>
            <w:shd w:val="clear" w:color="auto" w:fill="auto"/>
            <w:vAlign w:val="center"/>
          </w:tcPr>
          <w:p w:rsidR="00EB7F29" w:rsidRPr="00D630D1" w:rsidRDefault="00EB7F29" w:rsidP="00EA43D3">
            <w:pPr>
              <w:pStyle w:val="aff2"/>
            </w:pPr>
            <w:r w:rsidRPr="00D630D1">
              <w:t>合计</w:t>
            </w:r>
          </w:p>
        </w:tc>
        <w:tc>
          <w:tcPr>
            <w:tcW w:w="2126" w:type="dxa"/>
            <w:tcBorders>
              <w:bottom w:val="single" w:sz="12" w:space="0" w:color="auto"/>
            </w:tcBorders>
            <w:shd w:val="clear" w:color="auto" w:fill="auto"/>
            <w:vAlign w:val="center"/>
          </w:tcPr>
          <w:p w:rsidR="00EB7F29" w:rsidRPr="00D630D1" w:rsidRDefault="00EB7F29" w:rsidP="00EA43D3">
            <w:pPr>
              <w:pStyle w:val="aff2"/>
            </w:pPr>
            <w:r w:rsidRPr="00D630D1">
              <w:t>—</w:t>
            </w:r>
          </w:p>
        </w:tc>
        <w:tc>
          <w:tcPr>
            <w:tcW w:w="1276" w:type="dxa"/>
            <w:tcBorders>
              <w:bottom w:val="single" w:sz="12" w:space="0" w:color="auto"/>
            </w:tcBorders>
            <w:shd w:val="clear" w:color="auto" w:fill="auto"/>
            <w:vAlign w:val="center"/>
          </w:tcPr>
          <w:p w:rsidR="00EB7F29" w:rsidRPr="00D630D1" w:rsidRDefault="00EB7F29" w:rsidP="00EA43D3">
            <w:pPr>
              <w:pStyle w:val="aff2"/>
            </w:pPr>
            <w:r w:rsidRPr="00D630D1">
              <w:t>—</w:t>
            </w:r>
          </w:p>
        </w:tc>
        <w:tc>
          <w:tcPr>
            <w:tcW w:w="1331" w:type="dxa"/>
            <w:tcBorders>
              <w:bottom w:val="single" w:sz="12" w:space="0" w:color="auto"/>
            </w:tcBorders>
            <w:shd w:val="clear" w:color="auto" w:fill="auto"/>
            <w:vAlign w:val="center"/>
          </w:tcPr>
          <w:p w:rsidR="00EB7F29" w:rsidRPr="00D630D1" w:rsidRDefault="00987BAF" w:rsidP="00925ADD">
            <w:pPr>
              <w:pStyle w:val="aff2"/>
            </w:pPr>
            <w:r w:rsidRPr="00D630D1">
              <w:t>0.</w:t>
            </w:r>
            <w:r>
              <w:rPr>
                <w:rFonts w:hint="eastAsia"/>
              </w:rPr>
              <w:t>6</w:t>
            </w:r>
            <w:r w:rsidR="00925ADD">
              <w:rPr>
                <w:rFonts w:hint="eastAsia"/>
              </w:rPr>
              <w:t>07</w:t>
            </w:r>
          </w:p>
        </w:tc>
      </w:tr>
    </w:tbl>
    <w:p w:rsidR="00EB7F29" w:rsidRPr="00D630D1" w:rsidRDefault="00EB7F29" w:rsidP="00EB7F29">
      <w:pPr>
        <w:pStyle w:val="10"/>
        <w:ind w:firstLine="480"/>
        <w:rPr>
          <w:rFonts w:cs="Times New Roman"/>
        </w:rPr>
      </w:pPr>
      <w:r w:rsidRPr="00D630D1">
        <w:rPr>
          <w:rFonts w:cs="Times New Roman"/>
        </w:rPr>
        <w:t>表</w:t>
      </w:r>
      <w:r w:rsidRPr="00D630D1">
        <w:rPr>
          <w:rFonts w:cs="Times New Roman"/>
        </w:rPr>
        <w:t>7.4-</w:t>
      </w:r>
      <w:r w:rsidRPr="00D630D1">
        <w:rPr>
          <w:rFonts w:cs="Times New Roman" w:hint="eastAsia"/>
        </w:rPr>
        <w:t>6</w:t>
      </w:r>
      <w:r w:rsidRPr="00D630D1">
        <w:rPr>
          <w:rFonts w:cs="Times New Roman"/>
        </w:rPr>
        <w:t xml:space="preserve">  </w:t>
      </w:r>
      <w:r w:rsidRPr="00D630D1">
        <w:rPr>
          <w:rFonts w:cs="Times New Roman" w:hint="eastAsia"/>
        </w:rPr>
        <w:t>柴油罐</w:t>
      </w:r>
      <w:r w:rsidRPr="00D630D1">
        <w:rPr>
          <w:rFonts w:cs="Times New Roman"/>
        </w:rPr>
        <w:t>危险物质数量与临界值比值计算表</w:t>
      </w:r>
    </w:p>
    <w:tbl>
      <w:tblPr>
        <w:tblW w:w="8532"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788"/>
        <w:gridCol w:w="1663"/>
        <w:gridCol w:w="1348"/>
        <w:gridCol w:w="2126"/>
        <w:gridCol w:w="1276"/>
        <w:gridCol w:w="1331"/>
      </w:tblGrid>
      <w:tr w:rsidR="00EB7F29" w:rsidRPr="00D630D1" w:rsidTr="00571DAF">
        <w:trPr>
          <w:trHeight w:val="32"/>
          <w:jc w:val="center"/>
        </w:trPr>
        <w:tc>
          <w:tcPr>
            <w:tcW w:w="788" w:type="dxa"/>
            <w:tcBorders>
              <w:top w:val="single" w:sz="12" w:space="0" w:color="auto"/>
            </w:tcBorders>
            <w:shd w:val="clear" w:color="auto" w:fill="auto"/>
            <w:vAlign w:val="center"/>
          </w:tcPr>
          <w:p w:rsidR="00EB7F29" w:rsidRPr="00D630D1" w:rsidRDefault="00EB7F29" w:rsidP="00571DAF">
            <w:pPr>
              <w:pStyle w:val="aff2"/>
              <w:rPr>
                <w:b/>
                <w:bCs/>
              </w:rPr>
            </w:pPr>
            <w:r w:rsidRPr="00D630D1">
              <w:rPr>
                <w:b/>
                <w:bCs/>
              </w:rPr>
              <w:t>序号</w:t>
            </w:r>
          </w:p>
        </w:tc>
        <w:tc>
          <w:tcPr>
            <w:tcW w:w="1663" w:type="dxa"/>
            <w:tcBorders>
              <w:top w:val="single" w:sz="12" w:space="0" w:color="auto"/>
            </w:tcBorders>
            <w:shd w:val="clear" w:color="auto" w:fill="auto"/>
            <w:vAlign w:val="center"/>
          </w:tcPr>
          <w:p w:rsidR="00EB7F29" w:rsidRPr="00D630D1" w:rsidRDefault="00EB7F29" w:rsidP="00571DAF">
            <w:pPr>
              <w:pStyle w:val="aff2"/>
              <w:rPr>
                <w:b/>
                <w:bCs/>
              </w:rPr>
            </w:pPr>
            <w:r w:rsidRPr="00D630D1">
              <w:rPr>
                <w:b/>
                <w:bCs/>
              </w:rPr>
              <w:t>危险物质名称</w:t>
            </w:r>
          </w:p>
        </w:tc>
        <w:tc>
          <w:tcPr>
            <w:tcW w:w="1348" w:type="dxa"/>
            <w:tcBorders>
              <w:top w:val="single" w:sz="12" w:space="0" w:color="auto"/>
            </w:tcBorders>
            <w:shd w:val="clear" w:color="auto" w:fill="auto"/>
            <w:vAlign w:val="center"/>
          </w:tcPr>
          <w:p w:rsidR="00EB7F29" w:rsidRPr="00D630D1" w:rsidRDefault="00EB7F29" w:rsidP="00571DAF">
            <w:pPr>
              <w:pStyle w:val="aff2"/>
              <w:rPr>
                <w:b/>
                <w:bCs/>
              </w:rPr>
            </w:pPr>
            <w:r w:rsidRPr="00D630D1">
              <w:rPr>
                <w:b/>
                <w:bCs/>
              </w:rPr>
              <w:t>CAS</w:t>
            </w:r>
            <w:r w:rsidRPr="00D630D1">
              <w:rPr>
                <w:b/>
                <w:bCs/>
              </w:rPr>
              <w:t>号</w:t>
            </w:r>
          </w:p>
        </w:tc>
        <w:tc>
          <w:tcPr>
            <w:tcW w:w="2126" w:type="dxa"/>
            <w:tcBorders>
              <w:top w:val="single" w:sz="12" w:space="0" w:color="auto"/>
            </w:tcBorders>
            <w:shd w:val="clear" w:color="auto" w:fill="auto"/>
            <w:vAlign w:val="center"/>
          </w:tcPr>
          <w:p w:rsidR="00EB7F29" w:rsidRPr="00D630D1" w:rsidRDefault="00EB7F29" w:rsidP="00571DAF">
            <w:pPr>
              <w:pStyle w:val="aff2"/>
              <w:rPr>
                <w:b/>
                <w:bCs/>
              </w:rPr>
            </w:pPr>
            <w:r w:rsidRPr="00D630D1">
              <w:rPr>
                <w:b/>
                <w:bCs/>
              </w:rPr>
              <w:t>最大存在总量</w:t>
            </w:r>
            <w:r w:rsidRPr="00D630D1">
              <w:rPr>
                <w:b/>
                <w:bCs/>
              </w:rPr>
              <w:t>qn/t</w:t>
            </w:r>
          </w:p>
        </w:tc>
        <w:tc>
          <w:tcPr>
            <w:tcW w:w="1276" w:type="dxa"/>
            <w:tcBorders>
              <w:top w:val="single" w:sz="12" w:space="0" w:color="auto"/>
            </w:tcBorders>
            <w:shd w:val="clear" w:color="auto" w:fill="auto"/>
            <w:vAlign w:val="center"/>
          </w:tcPr>
          <w:p w:rsidR="00EB7F29" w:rsidRPr="00D630D1" w:rsidRDefault="00EB7F29" w:rsidP="00571DAF">
            <w:pPr>
              <w:pStyle w:val="aff2"/>
              <w:rPr>
                <w:b/>
                <w:bCs/>
              </w:rPr>
            </w:pPr>
            <w:r w:rsidRPr="00D630D1">
              <w:rPr>
                <w:b/>
                <w:bCs/>
              </w:rPr>
              <w:t>临界量</w:t>
            </w:r>
            <w:r w:rsidRPr="00D630D1">
              <w:rPr>
                <w:b/>
                <w:bCs/>
              </w:rPr>
              <w:t>Qn/t</w:t>
            </w:r>
          </w:p>
        </w:tc>
        <w:tc>
          <w:tcPr>
            <w:tcW w:w="1331" w:type="dxa"/>
            <w:tcBorders>
              <w:top w:val="single" w:sz="12" w:space="0" w:color="auto"/>
            </w:tcBorders>
            <w:shd w:val="clear" w:color="auto" w:fill="auto"/>
            <w:vAlign w:val="center"/>
          </w:tcPr>
          <w:p w:rsidR="00EB7F29" w:rsidRPr="00D630D1" w:rsidRDefault="00EB7F29" w:rsidP="00571DAF">
            <w:pPr>
              <w:pStyle w:val="aff2"/>
              <w:rPr>
                <w:b/>
                <w:bCs/>
              </w:rPr>
            </w:pPr>
            <w:r w:rsidRPr="00D630D1">
              <w:rPr>
                <w:b/>
                <w:bCs/>
              </w:rPr>
              <w:t>qn/Qn</w:t>
            </w:r>
          </w:p>
        </w:tc>
      </w:tr>
      <w:tr w:rsidR="00EB7F29" w:rsidRPr="00D630D1" w:rsidTr="00571DAF">
        <w:trPr>
          <w:trHeight w:val="66"/>
          <w:jc w:val="center"/>
        </w:trPr>
        <w:tc>
          <w:tcPr>
            <w:tcW w:w="788" w:type="dxa"/>
            <w:shd w:val="clear" w:color="auto" w:fill="auto"/>
            <w:vAlign w:val="center"/>
          </w:tcPr>
          <w:p w:rsidR="00EB7F29" w:rsidRPr="00D630D1" w:rsidRDefault="00EB7F29" w:rsidP="00571DAF">
            <w:pPr>
              <w:pStyle w:val="aff2"/>
            </w:pPr>
            <w:r w:rsidRPr="00D630D1">
              <w:t>1</w:t>
            </w:r>
          </w:p>
        </w:tc>
        <w:tc>
          <w:tcPr>
            <w:tcW w:w="1663" w:type="dxa"/>
            <w:shd w:val="clear" w:color="auto" w:fill="auto"/>
            <w:vAlign w:val="center"/>
          </w:tcPr>
          <w:p w:rsidR="00EB7F29" w:rsidRPr="00D630D1" w:rsidRDefault="00EB7F29" w:rsidP="00571DAF">
            <w:pPr>
              <w:pStyle w:val="aff2"/>
            </w:pPr>
            <w:r w:rsidRPr="00D630D1">
              <w:rPr>
                <w:rFonts w:hint="eastAsia"/>
              </w:rPr>
              <w:t>柴油</w:t>
            </w:r>
          </w:p>
        </w:tc>
        <w:tc>
          <w:tcPr>
            <w:tcW w:w="1348" w:type="dxa"/>
            <w:shd w:val="clear" w:color="auto" w:fill="auto"/>
            <w:vAlign w:val="center"/>
          </w:tcPr>
          <w:p w:rsidR="00EB7F29" w:rsidRPr="00D630D1" w:rsidRDefault="00EB7F29" w:rsidP="00571DAF">
            <w:pPr>
              <w:pStyle w:val="aff2"/>
            </w:pPr>
            <w:r w:rsidRPr="00D630D1">
              <w:rPr>
                <w:rFonts w:hint="eastAsia"/>
              </w:rPr>
              <w:t>68344</w:t>
            </w:r>
            <w:r w:rsidRPr="00D630D1">
              <w:t>-</w:t>
            </w:r>
            <w:r w:rsidRPr="00D630D1">
              <w:rPr>
                <w:rFonts w:hint="eastAsia"/>
              </w:rPr>
              <w:t>30</w:t>
            </w:r>
            <w:r w:rsidRPr="00D630D1">
              <w:t>-</w:t>
            </w:r>
            <w:r w:rsidRPr="00D630D1">
              <w:rPr>
                <w:rFonts w:hint="eastAsia"/>
              </w:rPr>
              <w:t>5</w:t>
            </w:r>
          </w:p>
        </w:tc>
        <w:tc>
          <w:tcPr>
            <w:tcW w:w="2126" w:type="dxa"/>
            <w:shd w:val="clear" w:color="auto" w:fill="auto"/>
            <w:vAlign w:val="center"/>
          </w:tcPr>
          <w:p w:rsidR="00EB7F29" w:rsidRPr="00D630D1" w:rsidRDefault="00EB7F29" w:rsidP="00571DAF">
            <w:pPr>
              <w:pStyle w:val="aff2"/>
            </w:pPr>
            <w:r w:rsidRPr="00D630D1">
              <w:rPr>
                <w:rFonts w:hint="eastAsia"/>
              </w:rPr>
              <w:t>16.8</w:t>
            </w:r>
          </w:p>
        </w:tc>
        <w:tc>
          <w:tcPr>
            <w:tcW w:w="1276" w:type="dxa"/>
            <w:shd w:val="clear" w:color="auto" w:fill="auto"/>
            <w:vAlign w:val="center"/>
          </w:tcPr>
          <w:p w:rsidR="00EB7F29" w:rsidRPr="00D630D1" w:rsidRDefault="00EB7F29" w:rsidP="00571DAF">
            <w:pPr>
              <w:pStyle w:val="aff2"/>
            </w:pPr>
            <w:r w:rsidRPr="00D630D1">
              <w:rPr>
                <w:rFonts w:hint="eastAsia"/>
              </w:rPr>
              <w:t>250</w:t>
            </w:r>
            <w:r w:rsidRPr="00D630D1">
              <w:t>0</w:t>
            </w:r>
          </w:p>
        </w:tc>
        <w:tc>
          <w:tcPr>
            <w:tcW w:w="1331" w:type="dxa"/>
            <w:shd w:val="clear" w:color="auto" w:fill="auto"/>
            <w:vAlign w:val="center"/>
          </w:tcPr>
          <w:p w:rsidR="00EB7F29" w:rsidRPr="00D630D1" w:rsidRDefault="00EB7F29" w:rsidP="00571DAF">
            <w:pPr>
              <w:pStyle w:val="aff2"/>
            </w:pPr>
            <w:r w:rsidRPr="00D630D1">
              <w:t>0.0</w:t>
            </w:r>
            <w:r w:rsidRPr="00D630D1">
              <w:rPr>
                <w:rFonts w:hint="eastAsia"/>
              </w:rPr>
              <w:t>067</w:t>
            </w:r>
          </w:p>
        </w:tc>
      </w:tr>
      <w:tr w:rsidR="00EB7F29" w:rsidRPr="00D630D1" w:rsidTr="00571DAF">
        <w:trPr>
          <w:trHeight w:val="293"/>
          <w:jc w:val="center"/>
        </w:trPr>
        <w:tc>
          <w:tcPr>
            <w:tcW w:w="3799" w:type="dxa"/>
            <w:gridSpan w:val="3"/>
            <w:tcBorders>
              <w:bottom w:val="single" w:sz="12" w:space="0" w:color="auto"/>
            </w:tcBorders>
            <w:shd w:val="clear" w:color="auto" w:fill="auto"/>
            <w:vAlign w:val="center"/>
          </w:tcPr>
          <w:p w:rsidR="00EB7F29" w:rsidRPr="00D630D1" w:rsidRDefault="00EB7F29" w:rsidP="00571DAF">
            <w:pPr>
              <w:pStyle w:val="aff2"/>
            </w:pPr>
            <w:r w:rsidRPr="00D630D1">
              <w:t>合计</w:t>
            </w:r>
          </w:p>
        </w:tc>
        <w:tc>
          <w:tcPr>
            <w:tcW w:w="2126" w:type="dxa"/>
            <w:tcBorders>
              <w:bottom w:val="single" w:sz="12" w:space="0" w:color="auto"/>
            </w:tcBorders>
            <w:shd w:val="clear" w:color="auto" w:fill="auto"/>
            <w:vAlign w:val="center"/>
          </w:tcPr>
          <w:p w:rsidR="00EB7F29" w:rsidRPr="00D630D1" w:rsidRDefault="00EB7F29" w:rsidP="00571DAF">
            <w:pPr>
              <w:pStyle w:val="aff2"/>
            </w:pPr>
            <w:r w:rsidRPr="00D630D1">
              <w:t>—</w:t>
            </w:r>
          </w:p>
        </w:tc>
        <w:tc>
          <w:tcPr>
            <w:tcW w:w="1276" w:type="dxa"/>
            <w:tcBorders>
              <w:bottom w:val="single" w:sz="12" w:space="0" w:color="auto"/>
            </w:tcBorders>
            <w:shd w:val="clear" w:color="auto" w:fill="auto"/>
            <w:vAlign w:val="center"/>
          </w:tcPr>
          <w:p w:rsidR="00EB7F29" w:rsidRPr="00D630D1" w:rsidRDefault="00EB7F29" w:rsidP="00571DAF">
            <w:pPr>
              <w:pStyle w:val="aff2"/>
            </w:pPr>
            <w:r w:rsidRPr="00D630D1">
              <w:t>—</w:t>
            </w:r>
          </w:p>
        </w:tc>
        <w:tc>
          <w:tcPr>
            <w:tcW w:w="1331" w:type="dxa"/>
            <w:tcBorders>
              <w:bottom w:val="single" w:sz="12" w:space="0" w:color="auto"/>
            </w:tcBorders>
            <w:shd w:val="clear" w:color="auto" w:fill="auto"/>
            <w:vAlign w:val="center"/>
          </w:tcPr>
          <w:p w:rsidR="00EB7F29" w:rsidRPr="00D630D1" w:rsidRDefault="00EB7F29" w:rsidP="00571DAF">
            <w:pPr>
              <w:pStyle w:val="aff2"/>
            </w:pPr>
            <w:r w:rsidRPr="00D630D1">
              <w:t>0.0</w:t>
            </w:r>
            <w:r w:rsidRPr="00D630D1">
              <w:rPr>
                <w:rFonts w:hint="eastAsia"/>
              </w:rPr>
              <w:t>067</w:t>
            </w:r>
          </w:p>
        </w:tc>
      </w:tr>
    </w:tbl>
    <w:p w:rsidR="00211A77" w:rsidRPr="00D630D1" w:rsidRDefault="00211A77" w:rsidP="00211A77">
      <w:pPr>
        <w:pStyle w:val="10"/>
        <w:ind w:firstLine="480"/>
        <w:rPr>
          <w:rFonts w:cs="Times New Roman"/>
        </w:rPr>
      </w:pPr>
      <w:r w:rsidRPr="00D630D1">
        <w:rPr>
          <w:rFonts w:cs="Times New Roman"/>
        </w:rPr>
        <w:t>表</w:t>
      </w:r>
      <w:r w:rsidRPr="00D630D1">
        <w:rPr>
          <w:rFonts w:cs="Times New Roman"/>
        </w:rPr>
        <w:t>7.4-</w:t>
      </w:r>
      <w:r w:rsidRPr="00D630D1">
        <w:rPr>
          <w:rFonts w:cs="Times New Roman" w:hint="eastAsia"/>
        </w:rPr>
        <w:t>6</w:t>
      </w:r>
      <w:r w:rsidRPr="00D630D1">
        <w:rPr>
          <w:rFonts w:cs="Times New Roman"/>
        </w:rPr>
        <w:t xml:space="preserve">  </w:t>
      </w:r>
      <w:r w:rsidRPr="00D630D1">
        <w:rPr>
          <w:rFonts w:cs="Times New Roman" w:hint="eastAsia"/>
        </w:rPr>
        <w:t>柴油罐</w:t>
      </w:r>
      <w:r w:rsidRPr="00D630D1">
        <w:rPr>
          <w:rFonts w:cs="Times New Roman"/>
        </w:rPr>
        <w:t>危险物质数量与临界值比值计算表</w:t>
      </w:r>
    </w:p>
    <w:tbl>
      <w:tblPr>
        <w:tblW w:w="8532"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788"/>
        <w:gridCol w:w="1663"/>
        <w:gridCol w:w="1348"/>
        <w:gridCol w:w="2126"/>
        <w:gridCol w:w="1276"/>
        <w:gridCol w:w="1331"/>
      </w:tblGrid>
      <w:tr w:rsidR="00211A77" w:rsidRPr="00D630D1" w:rsidTr="00BA4F10">
        <w:trPr>
          <w:trHeight w:val="32"/>
          <w:jc w:val="center"/>
        </w:trPr>
        <w:tc>
          <w:tcPr>
            <w:tcW w:w="788" w:type="dxa"/>
            <w:tcBorders>
              <w:top w:val="single" w:sz="12" w:space="0" w:color="auto"/>
            </w:tcBorders>
            <w:shd w:val="clear" w:color="auto" w:fill="auto"/>
            <w:vAlign w:val="center"/>
          </w:tcPr>
          <w:p w:rsidR="00211A77" w:rsidRPr="00D630D1" w:rsidRDefault="00211A77" w:rsidP="00BA4F10">
            <w:pPr>
              <w:pStyle w:val="aff2"/>
              <w:rPr>
                <w:b/>
                <w:bCs/>
              </w:rPr>
            </w:pPr>
            <w:r w:rsidRPr="00D630D1">
              <w:rPr>
                <w:b/>
                <w:bCs/>
              </w:rPr>
              <w:t>序号</w:t>
            </w:r>
          </w:p>
        </w:tc>
        <w:tc>
          <w:tcPr>
            <w:tcW w:w="1663" w:type="dxa"/>
            <w:tcBorders>
              <w:top w:val="single" w:sz="12" w:space="0" w:color="auto"/>
            </w:tcBorders>
            <w:shd w:val="clear" w:color="auto" w:fill="auto"/>
            <w:vAlign w:val="center"/>
          </w:tcPr>
          <w:p w:rsidR="00211A77" w:rsidRPr="00D630D1" w:rsidRDefault="00211A77" w:rsidP="00BA4F10">
            <w:pPr>
              <w:pStyle w:val="aff2"/>
              <w:rPr>
                <w:b/>
                <w:bCs/>
              </w:rPr>
            </w:pPr>
            <w:r w:rsidRPr="00D630D1">
              <w:rPr>
                <w:b/>
                <w:bCs/>
              </w:rPr>
              <w:t>危险物质名称</w:t>
            </w:r>
          </w:p>
        </w:tc>
        <w:tc>
          <w:tcPr>
            <w:tcW w:w="1348" w:type="dxa"/>
            <w:tcBorders>
              <w:top w:val="single" w:sz="12" w:space="0" w:color="auto"/>
            </w:tcBorders>
            <w:shd w:val="clear" w:color="auto" w:fill="auto"/>
            <w:vAlign w:val="center"/>
          </w:tcPr>
          <w:p w:rsidR="00211A77" w:rsidRPr="00D630D1" w:rsidRDefault="00211A77" w:rsidP="00BA4F10">
            <w:pPr>
              <w:pStyle w:val="aff2"/>
              <w:rPr>
                <w:b/>
                <w:bCs/>
              </w:rPr>
            </w:pPr>
            <w:r w:rsidRPr="00D630D1">
              <w:rPr>
                <w:b/>
                <w:bCs/>
              </w:rPr>
              <w:t>CAS</w:t>
            </w:r>
            <w:r w:rsidRPr="00D630D1">
              <w:rPr>
                <w:b/>
                <w:bCs/>
              </w:rPr>
              <w:t>号</w:t>
            </w:r>
          </w:p>
        </w:tc>
        <w:tc>
          <w:tcPr>
            <w:tcW w:w="2126" w:type="dxa"/>
            <w:tcBorders>
              <w:top w:val="single" w:sz="12" w:space="0" w:color="auto"/>
            </w:tcBorders>
            <w:shd w:val="clear" w:color="auto" w:fill="auto"/>
            <w:vAlign w:val="center"/>
          </w:tcPr>
          <w:p w:rsidR="00211A77" w:rsidRPr="00D630D1" w:rsidRDefault="00211A77" w:rsidP="00BA4F10">
            <w:pPr>
              <w:pStyle w:val="aff2"/>
              <w:rPr>
                <w:b/>
                <w:bCs/>
              </w:rPr>
            </w:pPr>
            <w:r w:rsidRPr="00D630D1">
              <w:rPr>
                <w:b/>
                <w:bCs/>
              </w:rPr>
              <w:t>最大存在总量</w:t>
            </w:r>
            <w:r w:rsidRPr="00D630D1">
              <w:rPr>
                <w:b/>
                <w:bCs/>
              </w:rPr>
              <w:t>qn/t</w:t>
            </w:r>
          </w:p>
        </w:tc>
        <w:tc>
          <w:tcPr>
            <w:tcW w:w="1276" w:type="dxa"/>
            <w:tcBorders>
              <w:top w:val="single" w:sz="12" w:space="0" w:color="auto"/>
            </w:tcBorders>
            <w:shd w:val="clear" w:color="auto" w:fill="auto"/>
            <w:vAlign w:val="center"/>
          </w:tcPr>
          <w:p w:rsidR="00211A77" w:rsidRPr="00D630D1" w:rsidRDefault="00211A77" w:rsidP="00BA4F10">
            <w:pPr>
              <w:pStyle w:val="aff2"/>
              <w:rPr>
                <w:b/>
                <w:bCs/>
              </w:rPr>
            </w:pPr>
            <w:r w:rsidRPr="00D630D1">
              <w:rPr>
                <w:b/>
                <w:bCs/>
              </w:rPr>
              <w:t>临界量</w:t>
            </w:r>
            <w:r w:rsidRPr="00D630D1">
              <w:rPr>
                <w:b/>
                <w:bCs/>
              </w:rPr>
              <w:t>Qn/t</w:t>
            </w:r>
          </w:p>
        </w:tc>
        <w:tc>
          <w:tcPr>
            <w:tcW w:w="1331" w:type="dxa"/>
            <w:tcBorders>
              <w:top w:val="single" w:sz="12" w:space="0" w:color="auto"/>
            </w:tcBorders>
            <w:shd w:val="clear" w:color="auto" w:fill="auto"/>
            <w:vAlign w:val="center"/>
          </w:tcPr>
          <w:p w:rsidR="00211A77" w:rsidRPr="00D630D1" w:rsidRDefault="00211A77" w:rsidP="00BA4F10">
            <w:pPr>
              <w:pStyle w:val="aff2"/>
              <w:rPr>
                <w:b/>
                <w:bCs/>
              </w:rPr>
            </w:pPr>
            <w:r w:rsidRPr="00D630D1">
              <w:rPr>
                <w:b/>
                <w:bCs/>
              </w:rPr>
              <w:t>qn/Qn</w:t>
            </w:r>
          </w:p>
        </w:tc>
      </w:tr>
      <w:tr w:rsidR="00211A77" w:rsidRPr="00D630D1" w:rsidTr="00BA4F10">
        <w:trPr>
          <w:trHeight w:val="66"/>
          <w:jc w:val="center"/>
        </w:trPr>
        <w:tc>
          <w:tcPr>
            <w:tcW w:w="788" w:type="dxa"/>
            <w:shd w:val="clear" w:color="auto" w:fill="auto"/>
            <w:vAlign w:val="center"/>
          </w:tcPr>
          <w:p w:rsidR="00211A77" w:rsidRPr="00D630D1" w:rsidRDefault="00211A77" w:rsidP="00BA4F10">
            <w:pPr>
              <w:pStyle w:val="aff2"/>
            </w:pPr>
            <w:r w:rsidRPr="00D630D1">
              <w:t>1</w:t>
            </w:r>
          </w:p>
        </w:tc>
        <w:tc>
          <w:tcPr>
            <w:tcW w:w="1663" w:type="dxa"/>
            <w:shd w:val="clear" w:color="auto" w:fill="auto"/>
            <w:vAlign w:val="center"/>
          </w:tcPr>
          <w:p w:rsidR="00211A77" w:rsidRPr="00D630D1" w:rsidRDefault="00EB7F29" w:rsidP="00BA4F10">
            <w:pPr>
              <w:pStyle w:val="aff2"/>
            </w:pPr>
            <w:r>
              <w:rPr>
                <w:rFonts w:hint="eastAsia"/>
              </w:rPr>
              <w:t>凝析油</w:t>
            </w:r>
          </w:p>
        </w:tc>
        <w:tc>
          <w:tcPr>
            <w:tcW w:w="1348" w:type="dxa"/>
            <w:shd w:val="clear" w:color="auto" w:fill="auto"/>
            <w:vAlign w:val="center"/>
          </w:tcPr>
          <w:p w:rsidR="00211A77" w:rsidRPr="00D630D1" w:rsidRDefault="00EB7F29" w:rsidP="00211A77">
            <w:pPr>
              <w:pStyle w:val="aff2"/>
            </w:pPr>
            <w:r>
              <w:rPr>
                <w:rFonts w:hint="eastAsia"/>
              </w:rPr>
              <w:t>/</w:t>
            </w:r>
          </w:p>
        </w:tc>
        <w:tc>
          <w:tcPr>
            <w:tcW w:w="2126" w:type="dxa"/>
            <w:shd w:val="clear" w:color="auto" w:fill="auto"/>
            <w:vAlign w:val="center"/>
          </w:tcPr>
          <w:p w:rsidR="00211A77" w:rsidRPr="00D630D1" w:rsidRDefault="00EB7F29" w:rsidP="00BA4F10">
            <w:pPr>
              <w:pStyle w:val="aff2"/>
            </w:pPr>
            <w:r>
              <w:rPr>
                <w:rFonts w:hint="eastAsia"/>
              </w:rPr>
              <w:t>80</w:t>
            </w:r>
          </w:p>
        </w:tc>
        <w:tc>
          <w:tcPr>
            <w:tcW w:w="1276" w:type="dxa"/>
            <w:shd w:val="clear" w:color="auto" w:fill="auto"/>
            <w:vAlign w:val="center"/>
          </w:tcPr>
          <w:p w:rsidR="00211A77" w:rsidRPr="00D630D1" w:rsidRDefault="00211A77" w:rsidP="00BA4F10">
            <w:pPr>
              <w:pStyle w:val="aff2"/>
            </w:pPr>
            <w:r w:rsidRPr="00D630D1">
              <w:rPr>
                <w:rFonts w:hint="eastAsia"/>
              </w:rPr>
              <w:t>250</w:t>
            </w:r>
            <w:r w:rsidRPr="00D630D1">
              <w:t>0</w:t>
            </w:r>
          </w:p>
        </w:tc>
        <w:tc>
          <w:tcPr>
            <w:tcW w:w="1331" w:type="dxa"/>
            <w:shd w:val="clear" w:color="auto" w:fill="auto"/>
            <w:vAlign w:val="center"/>
          </w:tcPr>
          <w:p w:rsidR="00211A77" w:rsidRPr="00D630D1" w:rsidRDefault="00211A77" w:rsidP="00EB7F29">
            <w:pPr>
              <w:pStyle w:val="aff2"/>
            </w:pPr>
            <w:r w:rsidRPr="00D630D1">
              <w:t>0.0</w:t>
            </w:r>
            <w:r w:rsidR="00EB7F29">
              <w:rPr>
                <w:rFonts w:hint="eastAsia"/>
              </w:rPr>
              <w:t>32</w:t>
            </w:r>
          </w:p>
        </w:tc>
      </w:tr>
      <w:tr w:rsidR="00211A77" w:rsidRPr="00D630D1" w:rsidTr="00BA4F10">
        <w:trPr>
          <w:trHeight w:val="293"/>
          <w:jc w:val="center"/>
        </w:trPr>
        <w:tc>
          <w:tcPr>
            <w:tcW w:w="3799" w:type="dxa"/>
            <w:gridSpan w:val="3"/>
            <w:tcBorders>
              <w:bottom w:val="single" w:sz="12" w:space="0" w:color="auto"/>
            </w:tcBorders>
            <w:shd w:val="clear" w:color="auto" w:fill="auto"/>
            <w:vAlign w:val="center"/>
          </w:tcPr>
          <w:p w:rsidR="00211A77" w:rsidRPr="00D630D1" w:rsidRDefault="00211A77" w:rsidP="00BA4F10">
            <w:pPr>
              <w:pStyle w:val="aff2"/>
            </w:pPr>
            <w:r w:rsidRPr="00D630D1">
              <w:t>合计</w:t>
            </w:r>
          </w:p>
        </w:tc>
        <w:tc>
          <w:tcPr>
            <w:tcW w:w="2126" w:type="dxa"/>
            <w:tcBorders>
              <w:bottom w:val="single" w:sz="12" w:space="0" w:color="auto"/>
            </w:tcBorders>
            <w:shd w:val="clear" w:color="auto" w:fill="auto"/>
            <w:vAlign w:val="center"/>
          </w:tcPr>
          <w:p w:rsidR="00211A77" w:rsidRPr="00D630D1" w:rsidRDefault="00211A77" w:rsidP="00BA4F10">
            <w:pPr>
              <w:pStyle w:val="aff2"/>
            </w:pPr>
            <w:r w:rsidRPr="00D630D1">
              <w:t>—</w:t>
            </w:r>
          </w:p>
        </w:tc>
        <w:tc>
          <w:tcPr>
            <w:tcW w:w="1276" w:type="dxa"/>
            <w:tcBorders>
              <w:bottom w:val="single" w:sz="12" w:space="0" w:color="auto"/>
            </w:tcBorders>
            <w:shd w:val="clear" w:color="auto" w:fill="auto"/>
            <w:vAlign w:val="center"/>
          </w:tcPr>
          <w:p w:rsidR="00211A77" w:rsidRPr="00D630D1" w:rsidRDefault="00211A77" w:rsidP="00BA4F10">
            <w:pPr>
              <w:pStyle w:val="aff2"/>
            </w:pPr>
            <w:r w:rsidRPr="00D630D1">
              <w:t>—</w:t>
            </w:r>
          </w:p>
        </w:tc>
        <w:tc>
          <w:tcPr>
            <w:tcW w:w="1331" w:type="dxa"/>
            <w:tcBorders>
              <w:bottom w:val="single" w:sz="12" w:space="0" w:color="auto"/>
            </w:tcBorders>
            <w:shd w:val="clear" w:color="auto" w:fill="auto"/>
            <w:vAlign w:val="center"/>
          </w:tcPr>
          <w:p w:rsidR="00211A77" w:rsidRPr="00D630D1" w:rsidRDefault="00211A77" w:rsidP="00EB7F29">
            <w:pPr>
              <w:pStyle w:val="aff2"/>
            </w:pPr>
            <w:r w:rsidRPr="00D630D1">
              <w:t>0.0</w:t>
            </w:r>
            <w:r w:rsidR="00EB7F29">
              <w:rPr>
                <w:rFonts w:hint="eastAsia"/>
              </w:rPr>
              <w:t>32</w:t>
            </w:r>
          </w:p>
        </w:tc>
      </w:tr>
    </w:tbl>
    <w:p w:rsidR="002E1DBF" w:rsidRPr="00D630D1" w:rsidRDefault="00CF1F86" w:rsidP="004C35E7">
      <w:pPr>
        <w:pStyle w:val="afa"/>
        <w:ind w:firstLine="480"/>
      </w:pPr>
      <w:r w:rsidRPr="00D630D1">
        <w:t>根据《建设项目风险评价技术导则》（</w:t>
      </w:r>
      <w:r w:rsidRPr="00D630D1">
        <w:t>HJ169-2018</w:t>
      </w:r>
      <w:r w:rsidRPr="00D630D1">
        <w:t>），附录</w:t>
      </w:r>
      <w:r w:rsidRPr="00D630D1">
        <w:t>C</w:t>
      </w:r>
      <w:r w:rsidRPr="00D630D1">
        <w:t>进行</w:t>
      </w:r>
      <w:r w:rsidRPr="00D630D1">
        <w:t>Q</w:t>
      </w:r>
      <w:r w:rsidRPr="00D630D1">
        <w:t>值计算，</w:t>
      </w:r>
      <w:r w:rsidR="00043E39" w:rsidRPr="00D630D1">
        <w:t>本项目危险</w:t>
      </w:r>
      <w:r w:rsidR="00043E39" w:rsidRPr="00D630D1">
        <w:rPr>
          <w:rFonts w:hint="eastAsia"/>
        </w:rPr>
        <w:t>物质</w:t>
      </w:r>
      <w:r w:rsidRPr="00D630D1">
        <w:t>最大存在量</w:t>
      </w:r>
      <w:r w:rsidRPr="00D630D1">
        <w:t>Q=</w:t>
      </w:r>
      <w:r w:rsidR="00987BAF">
        <w:rPr>
          <w:rFonts w:hint="eastAsia"/>
        </w:rPr>
        <w:t>1.</w:t>
      </w:r>
      <w:r w:rsidR="002A4396">
        <w:rPr>
          <w:rFonts w:hint="eastAsia"/>
        </w:rPr>
        <w:t>113</w:t>
      </w:r>
      <w:r w:rsidR="00211A77" w:rsidRPr="00D630D1">
        <w:rPr>
          <w:rFonts w:hint="eastAsia"/>
        </w:rPr>
        <w:t>7</w:t>
      </w:r>
      <w:r w:rsidR="00AD4B6B" w:rsidRPr="00D630D1">
        <w:rPr>
          <w:rFonts w:hint="eastAsia"/>
        </w:rPr>
        <w:t>，</w:t>
      </w:r>
      <w:r w:rsidR="00AD4B6B" w:rsidRPr="00D630D1">
        <w:rPr>
          <w:rFonts w:hint="eastAsia"/>
        </w:rPr>
        <w:t>Q</w:t>
      </w:r>
      <w:r w:rsidR="00AD4B6B" w:rsidRPr="00D630D1">
        <w:rPr>
          <w:rFonts w:hint="eastAsia"/>
        </w:rPr>
        <w:t>值划分为（</w:t>
      </w:r>
      <w:r w:rsidR="00AD4B6B" w:rsidRPr="00D630D1">
        <w:rPr>
          <w:rFonts w:hint="eastAsia"/>
        </w:rPr>
        <w:t>1</w:t>
      </w:r>
      <w:r w:rsidR="00AD4B6B" w:rsidRPr="00D630D1">
        <w:rPr>
          <w:rFonts w:hint="eastAsia"/>
        </w:rPr>
        <w:t>）</w:t>
      </w:r>
      <w:r w:rsidR="00AD4B6B" w:rsidRPr="00D630D1">
        <w:rPr>
          <w:rFonts w:hint="eastAsia"/>
        </w:rPr>
        <w:t>1</w:t>
      </w:r>
      <w:r w:rsidR="00AD4B6B" w:rsidRPr="00D630D1">
        <w:rPr>
          <w:rFonts w:hint="eastAsia"/>
        </w:rPr>
        <w:t>＜</w:t>
      </w:r>
      <w:r w:rsidR="00AD4B6B" w:rsidRPr="00D630D1">
        <w:rPr>
          <w:rFonts w:hint="eastAsia"/>
        </w:rPr>
        <w:t>Q</w:t>
      </w:r>
      <w:r w:rsidR="00AD4B6B" w:rsidRPr="00D630D1">
        <w:rPr>
          <w:rFonts w:hint="eastAsia"/>
        </w:rPr>
        <w:t>≤</w:t>
      </w:r>
      <w:r w:rsidR="00AD4B6B" w:rsidRPr="00D630D1">
        <w:rPr>
          <w:rFonts w:hint="eastAsia"/>
        </w:rPr>
        <w:t>10</w:t>
      </w:r>
      <w:r w:rsidR="002E1DBF" w:rsidRPr="00D630D1">
        <w:t>。</w:t>
      </w:r>
    </w:p>
    <w:p w:rsidR="00CB58E1" w:rsidRPr="00D630D1" w:rsidRDefault="00CB58E1" w:rsidP="00CB58E1">
      <w:pPr>
        <w:widowControl/>
        <w:topLinePunct w:val="0"/>
        <w:snapToGrid w:val="0"/>
        <w:spacing w:line="331" w:lineRule="auto"/>
        <w:ind w:firstLine="482"/>
        <w:rPr>
          <w:rFonts w:ascii="Times New Roman" w:cs="Times New Roman"/>
          <w:b/>
          <w:kern w:val="2"/>
        </w:rPr>
      </w:pPr>
      <w:r w:rsidRPr="00D630D1">
        <w:rPr>
          <w:rFonts w:ascii="Times New Roman" w:cs="Times New Roman" w:hint="eastAsia"/>
          <w:b/>
        </w:rPr>
        <w:t>（</w:t>
      </w:r>
      <w:r w:rsidRPr="00D630D1">
        <w:rPr>
          <w:rFonts w:ascii="Times New Roman" w:cs="Times New Roman" w:hint="eastAsia"/>
          <w:b/>
        </w:rPr>
        <w:t>2</w:t>
      </w:r>
      <w:r w:rsidRPr="00D630D1">
        <w:rPr>
          <w:rFonts w:ascii="Times New Roman" w:cs="Times New Roman" w:hint="eastAsia"/>
          <w:b/>
        </w:rPr>
        <w:t>）</w:t>
      </w:r>
      <w:r w:rsidRPr="00D630D1">
        <w:rPr>
          <w:rFonts w:ascii="Times New Roman" w:cs="Times New Roman"/>
          <w:b/>
        </w:rPr>
        <w:t>行业及生产工艺特点（</w:t>
      </w:r>
      <w:r w:rsidRPr="00D630D1">
        <w:rPr>
          <w:rFonts w:ascii="Times New Roman" w:cs="Times New Roman"/>
          <w:b/>
        </w:rPr>
        <w:t>M</w:t>
      </w:r>
      <w:r w:rsidRPr="00D630D1">
        <w:rPr>
          <w:rFonts w:ascii="Times New Roman" w:cs="Times New Roman"/>
          <w:b/>
        </w:rPr>
        <w:t>）</w:t>
      </w:r>
    </w:p>
    <w:p w:rsidR="00FB4F2B" w:rsidRDefault="00FB4F2B" w:rsidP="00FB4F2B">
      <w:pPr>
        <w:widowControl/>
        <w:topLinePunct w:val="0"/>
        <w:snapToGrid w:val="0"/>
        <w:spacing w:line="331" w:lineRule="auto"/>
        <w:ind w:firstLine="480"/>
        <w:rPr>
          <w:rFonts w:ascii="Times New Roman" w:cs="Times New Roman"/>
          <w:kern w:val="2"/>
        </w:rPr>
      </w:pPr>
      <w:r w:rsidRPr="00D630D1">
        <w:rPr>
          <w:rFonts w:ascii="Times New Roman" w:cs="Times New Roman" w:hint="eastAsia"/>
          <w:kern w:val="2"/>
        </w:rPr>
        <w:t>拟建项目属于石油天然气行业</w:t>
      </w:r>
      <w:r w:rsidR="006F623C" w:rsidRPr="00D630D1">
        <w:rPr>
          <w:rFonts w:ascii="Times New Roman" w:cs="Times New Roman" w:hint="eastAsia"/>
          <w:kern w:val="2"/>
        </w:rPr>
        <w:t>，且涉及危险物质（柴油</w:t>
      </w:r>
      <w:r w:rsidR="00874FED">
        <w:rPr>
          <w:rFonts w:ascii="Times New Roman" w:cs="Times New Roman" w:hint="eastAsia"/>
          <w:kern w:val="2"/>
        </w:rPr>
        <w:t>、凝析油</w:t>
      </w:r>
      <w:r w:rsidR="006F623C" w:rsidRPr="00D630D1">
        <w:rPr>
          <w:rFonts w:ascii="Times New Roman" w:cs="Times New Roman" w:hint="eastAsia"/>
          <w:kern w:val="2"/>
        </w:rPr>
        <w:t>）储存</w:t>
      </w:r>
      <w:r w:rsidRPr="00D630D1">
        <w:rPr>
          <w:rFonts w:ascii="Times New Roman" w:cs="Times New Roman" w:hint="eastAsia"/>
          <w:kern w:val="2"/>
        </w:rPr>
        <w:t>，</w:t>
      </w:r>
      <w:r w:rsidRPr="00D630D1">
        <w:rPr>
          <w:rFonts w:ascii="Times New Roman" w:cs="Times New Roman"/>
          <w:kern w:val="2"/>
        </w:rPr>
        <w:t>根据《建设项目环境风险评价技术导则》（</w:t>
      </w:r>
      <w:r w:rsidRPr="00D630D1">
        <w:rPr>
          <w:rFonts w:ascii="Times New Roman" w:cs="Times New Roman"/>
          <w:kern w:val="2"/>
        </w:rPr>
        <w:t>HJ169-2018</w:t>
      </w:r>
      <w:r w:rsidRPr="00D630D1">
        <w:rPr>
          <w:rFonts w:ascii="Times New Roman" w:cs="Times New Roman"/>
          <w:kern w:val="2"/>
        </w:rPr>
        <w:t>）附录</w:t>
      </w:r>
      <w:r w:rsidRPr="00D630D1">
        <w:rPr>
          <w:rFonts w:ascii="Times New Roman" w:cs="Times New Roman"/>
          <w:kern w:val="2"/>
        </w:rPr>
        <w:t>C</w:t>
      </w:r>
      <w:r w:rsidRPr="00D630D1">
        <w:rPr>
          <w:rFonts w:ascii="Times New Roman" w:cs="Times New Roman"/>
          <w:kern w:val="2"/>
        </w:rPr>
        <w:t>中表</w:t>
      </w:r>
      <w:r w:rsidRPr="00D630D1">
        <w:rPr>
          <w:rFonts w:ascii="Times New Roman" w:cs="Times New Roman"/>
          <w:kern w:val="2"/>
        </w:rPr>
        <w:t>C.1</w:t>
      </w:r>
      <w:r w:rsidRPr="00D630D1">
        <w:rPr>
          <w:rFonts w:ascii="Times New Roman" w:cs="Times New Roman"/>
          <w:kern w:val="2"/>
        </w:rPr>
        <w:t>计算结果，本项目行业及生产工艺</w:t>
      </w:r>
      <w:r w:rsidRPr="00D630D1">
        <w:rPr>
          <w:rFonts w:ascii="Times New Roman" w:cs="Times New Roman"/>
          <w:kern w:val="2"/>
        </w:rPr>
        <w:t>M</w:t>
      </w:r>
      <w:r w:rsidRPr="00D630D1">
        <w:rPr>
          <w:rFonts w:ascii="Times New Roman" w:cs="Times New Roman"/>
          <w:kern w:val="2"/>
        </w:rPr>
        <w:t>为</w:t>
      </w:r>
      <w:r w:rsidRPr="00D630D1">
        <w:rPr>
          <w:rFonts w:ascii="Times New Roman" w:cs="Times New Roman" w:hint="eastAsia"/>
          <w:kern w:val="2"/>
        </w:rPr>
        <w:t>1</w:t>
      </w:r>
      <w:r w:rsidR="006F623C" w:rsidRPr="00D630D1">
        <w:rPr>
          <w:rFonts w:ascii="Times New Roman" w:cs="Times New Roman" w:hint="eastAsia"/>
          <w:kern w:val="2"/>
        </w:rPr>
        <w:t>5</w:t>
      </w:r>
      <w:r w:rsidRPr="00D630D1">
        <w:rPr>
          <w:rFonts w:ascii="Times New Roman" w:cs="Times New Roman"/>
          <w:kern w:val="2"/>
        </w:rPr>
        <w:t>，属于</w:t>
      </w:r>
      <w:r w:rsidRPr="00D630D1">
        <w:rPr>
          <w:rFonts w:ascii="Times New Roman" w:cs="Times New Roman" w:hint="eastAsia"/>
          <w:kern w:val="2"/>
        </w:rPr>
        <w:t>（</w:t>
      </w:r>
      <w:r w:rsidR="006F623C" w:rsidRPr="00D630D1">
        <w:rPr>
          <w:rFonts w:ascii="Times New Roman" w:cs="Times New Roman" w:hint="eastAsia"/>
          <w:kern w:val="2"/>
        </w:rPr>
        <w:t>2</w:t>
      </w:r>
      <w:r w:rsidRPr="00D630D1">
        <w:rPr>
          <w:rFonts w:ascii="Times New Roman" w:cs="Times New Roman" w:hint="eastAsia"/>
          <w:kern w:val="2"/>
        </w:rPr>
        <w:t>）</w:t>
      </w:r>
      <w:r w:rsidR="006F623C" w:rsidRPr="00D630D1">
        <w:rPr>
          <w:rFonts w:ascii="Times New Roman" w:cs="Times New Roman"/>
          <w:kern w:val="2"/>
        </w:rPr>
        <w:t>10</w:t>
      </w:r>
      <w:r w:rsidR="006F623C" w:rsidRPr="00D630D1">
        <w:rPr>
          <w:rFonts w:ascii="Times New Roman" w:cs="Times New Roman"/>
          <w:kern w:val="2"/>
        </w:rPr>
        <w:t>＜</w:t>
      </w:r>
      <w:r w:rsidR="006F623C" w:rsidRPr="00D630D1">
        <w:rPr>
          <w:rFonts w:ascii="Times New Roman" w:cs="Times New Roman"/>
          <w:kern w:val="2"/>
        </w:rPr>
        <w:t>M≤20</w:t>
      </w:r>
      <w:r w:rsidRPr="00D630D1">
        <w:rPr>
          <w:rFonts w:ascii="Times New Roman" w:cs="Times New Roman" w:hint="eastAsia"/>
          <w:kern w:val="2"/>
        </w:rPr>
        <w:t>（以</w:t>
      </w:r>
      <w:r w:rsidRPr="00D630D1">
        <w:rPr>
          <w:rFonts w:ascii="Times New Roman" w:cs="Times New Roman"/>
          <w:kern w:val="2"/>
        </w:rPr>
        <w:t>M</w:t>
      </w:r>
      <w:r w:rsidR="006F623C" w:rsidRPr="00D630D1">
        <w:rPr>
          <w:rFonts w:ascii="Times New Roman" w:cs="Times New Roman" w:hint="eastAsia"/>
          <w:kern w:val="2"/>
        </w:rPr>
        <w:t>2</w:t>
      </w:r>
      <w:r w:rsidRPr="00D630D1">
        <w:rPr>
          <w:rFonts w:ascii="Times New Roman" w:cs="Times New Roman" w:hint="eastAsia"/>
          <w:kern w:val="2"/>
        </w:rPr>
        <w:t>表示）。</w:t>
      </w:r>
    </w:p>
    <w:p w:rsidR="00EB7F29" w:rsidRDefault="00EB7F29" w:rsidP="00FB4F2B">
      <w:pPr>
        <w:widowControl/>
        <w:topLinePunct w:val="0"/>
        <w:snapToGrid w:val="0"/>
        <w:spacing w:line="331" w:lineRule="auto"/>
        <w:ind w:firstLine="480"/>
        <w:rPr>
          <w:rFonts w:ascii="Times New Roman" w:cs="Times New Roman"/>
          <w:kern w:val="2"/>
        </w:rPr>
      </w:pPr>
    </w:p>
    <w:p w:rsidR="00987BAF" w:rsidRPr="00D630D1" w:rsidRDefault="00987BAF" w:rsidP="00FB4F2B">
      <w:pPr>
        <w:widowControl/>
        <w:topLinePunct w:val="0"/>
        <w:snapToGrid w:val="0"/>
        <w:spacing w:line="331" w:lineRule="auto"/>
        <w:ind w:firstLine="480"/>
        <w:rPr>
          <w:rFonts w:ascii="Times New Roman" w:cs="Times New Roman"/>
          <w:kern w:val="2"/>
        </w:rPr>
      </w:pPr>
    </w:p>
    <w:p w:rsidR="00FB4F2B" w:rsidRPr="00D630D1" w:rsidRDefault="00FB4F2B" w:rsidP="00FB4F2B">
      <w:pPr>
        <w:topLinePunct w:val="0"/>
        <w:adjustRightInd/>
        <w:ind w:firstLineChars="0" w:firstLine="0"/>
        <w:jc w:val="center"/>
        <w:rPr>
          <w:rFonts w:ascii="Times New Roman" w:cs="Times New Roman"/>
          <w:b/>
          <w:bCs/>
          <w:kern w:val="2"/>
          <w:sz w:val="21"/>
        </w:rPr>
      </w:pPr>
      <w:r w:rsidRPr="00D630D1">
        <w:rPr>
          <w:rFonts w:ascii="Times New Roman" w:cs="Times New Roman"/>
          <w:b/>
          <w:kern w:val="2"/>
          <w:sz w:val="21"/>
        </w:rPr>
        <w:lastRenderedPageBreak/>
        <w:t>表</w:t>
      </w:r>
      <w:r w:rsidR="00F101E9" w:rsidRPr="00D630D1">
        <w:rPr>
          <w:rFonts w:ascii="Times New Roman" w:cs="Times New Roman" w:hint="eastAsia"/>
          <w:b/>
          <w:kern w:val="2"/>
          <w:sz w:val="21"/>
        </w:rPr>
        <w:t>7.4</w:t>
      </w:r>
      <w:r w:rsidRPr="00D630D1">
        <w:rPr>
          <w:rFonts w:ascii="Times New Roman" w:cs="Times New Roman"/>
          <w:b/>
          <w:kern w:val="2"/>
          <w:sz w:val="21"/>
        </w:rPr>
        <w:t>-</w:t>
      </w:r>
      <w:r w:rsidRPr="00D630D1">
        <w:rPr>
          <w:rFonts w:ascii="Times New Roman" w:cs="Times New Roman" w:hint="eastAsia"/>
          <w:b/>
          <w:kern w:val="2"/>
          <w:sz w:val="21"/>
        </w:rPr>
        <w:t>7</w:t>
      </w:r>
      <w:r w:rsidRPr="00D630D1">
        <w:rPr>
          <w:rFonts w:ascii="Times New Roman" w:cs="Times New Roman"/>
          <w:b/>
          <w:kern w:val="2"/>
          <w:sz w:val="21"/>
        </w:rPr>
        <w:t xml:space="preserve">   </w:t>
      </w:r>
      <w:r w:rsidRPr="00D630D1">
        <w:rPr>
          <w:rFonts w:ascii="Times New Roman" w:cs="Times New Roman"/>
          <w:b/>
          <w:bCs/>
          <w:kern w:val="2"/>
          <w:sz w:val="21"/>
        </w:rPr>
        <w:t>建设项目</w:t>
      </w:r>
      <w:r w:rsidRPr="00D630D1">
        <w:rPr>
          <w:rFonts w:ascii="Times New Roman" w:cs="Times New Roman"/>
          <w:b/>
          <w:bCs/>
          <w:kern w:val="2"/>
          <w:sz w:val="21"/>
        </w:rPr>
        <w:t>M</w:t>
      </w:r>
      <w:r w:rsidRPr="00D630D1">
        <w:rPr>
          <w:rFonts w:ascii="Times New Roman" w:cs="Times New Roman"/>
          <w:b/>
          <w:bCs/>
          <w:kern w:val="2"/>
          <w:sz w:val="21"/>
        </w:rPr>
        <w:t>值确定表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339"/>
        <w:gridCol w:w="1885"/>
        <w:gridCol w:w="3525"/>
        <w:gridCol w:w="1773"/>
      </w:tblGrid>
      <w:tr w:rsidR="00FB4F2B" w:rsidRPr="00D630D1" w:rsidTr="00F101E9">
        <w:trPr>
          <w:trHeight w:val="184"/>
          <w:jc w:val="center"/>
        </w:trPr>
        <w:tc>
          <w:tcPr>
            <w:tcW w:w="1339" w:type="dxa"/>
            <w:vAlign w:val="center"/>
          </w:tcPr>
          <w:p w:rsidR="00FB4F2B" w:rsidRPr="00D630D1" w:rsidRDefault="00FB4F2B" w:rsidP="00FB4F2B">
            <w:pPr>
              <w:topLinePunct w:val="0"/>
              <w:adjustRightInd/>
              <w:spacing w:line="240" w:lineRule="atLeast"/>
              <w:ind w:firstLineChars="0" w:firstLine="0"/>
              <w:jc w:val="center"/>
              <w:rPr>
                <w:rFonts w:ascii="Times New Roman" w:cs="Times New Roman"/>
                <w:b/>
                <w:kern w:val="2"/>
                <w:sz w:val="21"/>
                <w:szCs w:val="21"/>
              </w:rPr>
            </w:pPr>
            <w:r w:rsidRPr="00D630D1">
              <w:rPr>
                <w:rFonts w:ascii="Times New Roman" w:cs="Times New Roman"/>
                <w:b/>
                <w:kern w:val="2"/>
                <w:sz w:val="21"/>
                <w:szCs w:val="21"/>
              </w:rPr>
              <w:t>序号</w:t>
            </w:r>
          </w:p>
        </w:tc>
        <w:tc>
          <w:tcPr>
            <w:tcW w:w="1885" w:type="dxa"/>
            <w:vAlign w:val="center"/>
          </w:tcPr>
          <w:p w:rsidR="00FB4F2B" w:rsidRPr="00D630D1" w:rsidRDefault="00FB4F2B" w:rsidP="00FB4F2B">
            <w:pPr>
              <w:topLinePunct w:val="0"/>
              <w:adjustRightInd/>
              <w:spacing w:line="240" w:lineRule="atLeast"/>
              <w:ind w:firstLineChars="0" w:firstLine="0"/>
              <w:jc w:val="center"/>
              <w:rPr>
                <w:rFonts w:ascii="Times New Roman" w:cs="Times New Roman"/>
                <w:b/>
                <w:kern w:val="2"/>
                <w:sz w:val="21"/>
                <w:szCs w:val="21"/>
              </w:rPr>
            </w:pPr>
            <w:r w:rsidRPr="00D630D1">
              <w:rPr>
                <w:rFonts w:ascii="Times New Roman" w:cs="Times New Roman"/>
                <w:b/>
                <w:kern w:val="2"/>
                <w:sz w:val="21"/>
                <w:szCs w:val="21"/>
              </w:rPr>
              <w:t>工艺单元名称</w:t>
            </w:r>
          </w:p>
        </w:tc>
        <w:tc>
          <w:tcPr>
            <w:tcW w:w="3525" w:type="dxa"/>
            <w:vAlign w:val="center"/>
          </w:tcPr>
          <w:p w:rsidR="00FB4F2B" w:rsidRPr="00D630D1" w:rsidRDefault="00FB4F2B" w:rsidP="00FB4F2B">
            <w:pPr>
              <w:topLinePunct w:val="0"/>
              <w:adjustRightInd/>
              <w:spacing w:line="240" w:lineRule="atLeast"/>
              <w:ind w:firstLineChars="0" w:firstLine="0"/>
              <w:jc w:val="center"/>
              <w:rPr>
                <w:rFonts w:ascii="Times New Roman" w:cs="Times New Roman"/>
                <w:b/>
                <w:kern w:val="2"/>
                <w:sz w:val="21"/>
                <w:szCs w:val="21"/>
              </w:rPr>
            </w:pPr>
            <w:r w:rsidRPr="00D630D1">
              <w:rPr>
                <w:rFonts w:ascii="Times New Roman" w:cs="Times New Roman"/>
                <w:b/>
                <w:kern w:val="2"/>
                <w:sz w:val="21"/>
                <w:szCs w:val="21"/>
              </w:rPr>
              <w:t>生产工艺</w:t>
            </w:r>
          </w:p>
        </w:tc>
        <w:tc>
          <w:tcPr>
            <w:tcW w:w="1773" w:type="dxa"/>
            <w:vAlign w:val="center"/>
          </w:tcPr>
          <w:p w:rsidR="00FB4F2B" w:rsidRPr="00D630D1" w:rsidRDefault="00FB4F2B" w:rsidP="00FB4F2B">
            <w:pPr>
              <w:topLinePunct w:val="0"/>
              <w:adjustRightInd/>
              <w:spacing w:line="240" w:lineRule="atLeast"/>
              <w:ind w:firstLineChars="0" w:firstLine="0"/>
              <w:jc w:val="center"/>
              <w:rPr>
                <w:rFonts w:ascii="Times New Roman" w:cs="Times New Roman"/>
                <w:b/>
                <w:kern w:val="2"/>
                <w:sz w:val="21"/>
                <w:szCs w:val="21"/>
              </w:rPr>
            </w:pPr>
            <w:r w:rsidRPr="00D630D1">
              <w:rPr>
                <w:rFonts w:ascii="Times New Roman" w:cs="Times New Roman"/>
                <w:b/>
                <w:kern w:val="2"/>
                <w:sz w:val="21"/>
                <w:szCs w:val="21"/>
              </w:rPr>
              <w:t>M</w:t>
            </w:r>
            <w:r w:rsidRPr="00D630D1">
              <w:rPr>
                <w:rFonts w:ascii="Times New Roman" w:cs="Times New Roman"/>
                <w:b/>
                <w:kern w:val="2"/>
                <w:sz w:val="21"/>
                <w:szCs w:val="21"/>
              </w:rPr>
              <w:t>分值</w:t>
            </w:r>
          </w:p>
        </w:tc>
      </w:tr>
      <w:tr w:rsidR="00FB4F2B" w:rsidRPr="00D630D1" w:rsidTr="00F101E9">
        <w:trPr>
          <w:trHeight w:val="184"/>
          <w:jc w:val="center"/>
        </w:trPr>
        <w:tc>
          <w:tcPr>
            <w:tcW w:w="1339" w:type="dxa"/>
            <w:vAlign w:val="center"/>
          </w:tcPr>
          <w:p w:rsidR="00FB4F2B" w:rsidRPr="00D630D1" w:rsidRDefault="00FB4F2B" w:rsidP="00FB4F2B">
            <w:pPr>
              <w:topLinePunct w:val="0"/>
              <w:adjustRightInd/>
              <w:spacing w:line="240" w:lineRule="atLeast"/>
              <w:ind w:firstLineChars="0" w:firstLine="0"/>
              <w:jc w:val="center"/>
              <w:rPr>
                <w:rFonts w:ascii="Times New Roman" w:cs="Times New Roman"/>
                <w:kern w:val="2"/>
                <w:sz w:val="21"/>
                <w:szCs w:val="21"/>
              </w:rPr>
            </w:pPr>
            <w:r w:rsidRPr="00D630D1">
              <w:rPr>
                <w:rFonts w:ascii="Times New Roman" w:cs="Times New Roman"/>
                <w:kern w:val="2"/>
                <w:sz w:val="21"/>
                <w:szCs w:val="21"/>
              </w:rPr>
              <w:t>1</w:t>
            </w:r>
          </w:p>
        </w:tc>
        <w:tc>
          <w:tcPr>
            <w:tcW w:w="1885" w:type="dxa"/>
            <w:vAlign w:val="center"/>
          </w:tcPr>
          <w:p w:rsidR="00FB4F2B" w:rsidRPr="00D630D1" w:rsidRDefault="00FB4F2B" w:rsidP="00FB4F2B">
            <w:pPr>
              <w:topLinePunct w:val="0"/>
              <w:adjustRightInd/>
              <w:spacing w:line="240" w:lineRule="atLeast"/>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石油天然气</w:t>
            </w:r>
          </w:p>
        </w:tc>
        <w:tc>
          <w:tcPr>
            <w:tcW w:w="3525" w:type="dxa"/>
            <w:vAlign w:val="center"/>
          </w:tcPr>
          <w:p w:rsidR="00FB4F2B" w:rsidRPr="00D630D1" w:rsidRDefault="00FB4F2B" w:rsidP="00FB4F2B">
            <w:pPr>
              <w:topLinePunct w:val="0"/>
              <w:adjustRightInd/>
              <w:spacing w:line="240" w:lineRule="atLeast"/>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石油、</w:t>
            </w:r>
            <w:r w:rsidRPr="00D630D1">
              <w:rPr>
                <w:rFonts w:ascii="Times New Roman" w:cs="Times New Roman"/>
                <w:kern w:val="2"/>
                <w:sz w:val="21"/>
                <w:szCs w:val="21"/>
              </w:rPr>
              <w:t>天然气</w:t>
            </w:r>
            <w:r w:rsidRPr="00D630D1">
              <w:rPr>
                <w:rFonts w:ascii="Times New Roman" w:cs="Times New Roman" w:hint="eastAsia"/>
                <w:kern w:val="2"/>
                <w:sz w:val="21"/>
                <w:szCs w:val="21"/>
              </w:rPr>
              <w:t>、</w:t>
            </w:r>
            <w:r w:rsidRPr="00D630D1">
              <w:rPr>
                <w:rFonts w:ascii="Times New Roman" w:cs="Times New Roman"/>
                <w:kern w:val="2"/>
                <w:sz w:val="21"/>
                <w:szCs w:val="21"/>
              </w:rPr>
              <w:t>页岩气开采</w:t>
            </w:r>
            <w:r w:rsidRPr="00D630D1">
              <w:rPr>
                <w:rFonts w:ascii="Times New Roman" w:cs="Times New Roman" w:hint="eastAsia"/>
                <w:kern w:val="2"/>
                <w:sz w:val="21"/>
                <w:szCs w:val="21"/>
              </w:rPr>
              <w:t>（含净化）、气库（不含加气站的气库）、油库（不含加气站的油库）、油气管线（不含城镇燃气管线）</w:t>
            </w:r>
          </w:p>
        </w:tc>
        <w:tc>
          <w:tcPr>
            <w:tcW w:w="1773" w:type="dxa"/>
            <w:vAlign w:val="center"/>
          </w:tcPr>
          <w:p w:rsidR="00FB4F2B" w:rsidRPr="00D630D1" w:rsidRDefault="00FB4F2B" w:rsidP="00FB4F2B">
            <w:pPr>
              <w:topLinePunct w:val="0"/>
              <w:adjustRightInd/>
              <w:spacing w:line="240" w:lineRule="atLeast"/>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10</w:t>
            </w:r>
          </w:p>
        </w:tc>
      </w:tr>
      <w:tr w:rsidR="006F623C" w:rsidRPr="00D630D1" w:rsidTr="00F101E9">
        <w:trPr>
          <w:trHeight w:val="184"/>
          <w:jc w:val="center"/>
        </w:trPr>
        <w:tc>
          <w:tcPr>
            <w:tcW w:w="1339" w:type="dxa"/>
            <w:vAlign w:val="center"/>
          </w:tcPr>
          <w:p w:rsidR="006F623C" w:rsidRPr="00D630D1" w:rsidRDefault="006F623C" w:rsidP="00FB4F2B">
            <w:pPr>
              <w:topLinePunct w:val="0"/>
              <w:adjustRightInd/>
              <w:spacing w:line="240" w:lineRule="atLeast"/>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2</w:t>
            </w:r>
          </w:p>
        </w:tc>
        <w:tc>
          <w:tcPr>
            <w:tcW w:w="1885" w:type="dxa"/>
            <w:vAlign w:val="center"/>
          </w:tcPr>
          <w:p w:rsidR="006F623C" w:rsidRPr="00D630D1" w:rsidRDefault="006F623C" w:rsidP="00FB4F2B">
            <w:pPr>
              <w:topLinePunct w:val="0"/>
              <w:adjustRightInd/>
              <w:spacing w:line="240" w:lineRule="atLeast"/>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其他</w:t>
            </w:r>
          </w:p>
        </w:tc>
        <w:tc>
          <w:tcPr>
            <w:tcW w:w="3525" w:type="dxa"/>
            <w:vAlign w:val="center"/>
          </w:tcPr>
          <w:p w:rsidR="006F623C" w:rsidRPr="00D630D1" w:rsidRDefault="006F623C" w:rsidP="00FB4F2B">
            <w:pPr>
              <w:topLinePunct w:val="0"/>
              <w:adjustRightInd/>
              <w:spacing w:line="240" w:lineRule="atLeast"/>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涉及危险物质使用、储存的项目</w:t>
            </w:r>
          </w:p>
        </w:tc>
        <w:tc>
          <w:tcPr>
            <w:tcW w:w="1773" w:type="dxa"/>
            <w:vAlign w:val="center"/>
          </w:tcPr>
          <w:p w:rsidR="006F623C" w:rsidRPr="00D630D1" w:rsidRDefault="006F623C" w:rsidP="00FB4F2B">
            <w:pPr>
              <w:topLinePunct w:val="0"/>
              <w:adjustRightInd/>
              <w:spacing w:line="240" w:lineRule="atLeast"/>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5</w:t>
            </w:r>
          </w:p>
        </w:tc>
      </w:tr>
      <w:tr w:rsidR="00FB4F2B" w:rsidRPr="00D630D1" w:rsidTr="00F101E9">
        <w:trPr>
          <w:trHeight w:val="139"/>
          <w:jc w:val="center"/>
        </w:trPr>
        <w:tc>
          <w:tcPr>
            <w:tcW w:w="6749" w:type="dxa"/>
            <w:gridSpan w:val="3"/>
            <w:vAlign w:val="center"/>
          </w:tcPr>
          <w:p w:rsidR="00FB4F2B" w:rsidRPr="00D630D1" w:rsidRDefault="00FB4F2B" w:rsidP="00FB4F2B">
            <w:pPr>
              <w:topLinePunct w:val="0"/>
              <w:adjustRightInd/>
              <w:spacing w:line="240" w:lineRule="atLeast"/>
              <w:ind w:firstLineChars="0" w:firstLine="0"/>
              <w:jc w:val="center"/>
              <w:rPr>
                <w:rFonts w:ascii="Times New Roman" w:cs="Times New Roman"/>
                <w:kern w:val="2"/>
                <w:sz w:val="21"/>
                <w:szCs w:val="21"/>
              </w:rPr>
            </w:pPr>
            <w:r w:rsidRPr="00D630D1">
              <w:rPr>
                <w:rFonts w:ascii="Times New Roman" w:cs="Times New Roman"/>
                <w:b/>
                <w:kern w:val="2"/>
                <w:sz w:val="21"/>
                <w:szCs w:val="21"/>
              </w:rPr>
              <w:t>M</w:t>
            </w:r>
            <w:r w:rsidRPr="00D630D1">
              <w:rPr>
                <w:rFonts w:ascii="Times New Roman" w:cs="Times New Roman"/>
                <w:b/>
                <w:kern w:val="2"/>
                <w:sz w:val="21"/>
                <w:szCs w:val="21"/>
                <w:vertAlign w:val="subscript"/>
              </w:rPr>
              <w:t>总</w:t>
            </w:r>
          </w:p>
        </w:tc>
        <w:tc>
          <w:tcPr>
            <w:tcW w:w="1773" w:type="dxa"/>
            <w:vAlign w:val="center"/>
          </w:tcPr>
          <w:p w:rsidR="00FB4F2B" w:rsidRPr="00D630D1" w:rsidRDefault="00FB4F2B" w:rsidP="006F623C">
            <w:pPr>
              <w:topLinePunct w:val="0"/>
              <w:adjustRightInd/>
              <w:spacing w:line="240" w:lineRule="atLeast"/>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1</w:t>
            </w:r>
            <w:r w:rsidR="006F623C" w:rsidRPr="00D630D1">
              <w:rPr>
                <w:rFonts w:ascii="Times New Roman" w:cs="Times New Roman" w:hint="eastAsia"/>
                <w:kern w:val="2"/>
                <w:sz w:val="21"/>
                <w:szCs w:val="21"/>
              </w:rPr>
              <w:t>5</w:t>
            </w:r>
          </w:p>
        </w:tc>
      </w:tr>
    </w:tbl>
    <w:p w:rsidR="00FB4F2B" w:rsidRPr="00D630D1" w:rsidRDefault="00FB4F2B" w:rsidP="00FB4F2B">
      <w:pPr>
        <w:widowControl/>
        <w:topLinePunct w:val="0"/>
        <w:snapToGrid w:val="0"/>
        <w:spacing w:line="331" w:lineRule="auto"/>
        <w:ind w:firstLine="420"/>
        <w:rPr>
          <w:rFonts w:ascii="Times New Roman" w:cs="Times New Roman"/>
          <w:kern w:val="2"/>
          <w:sz w:val="21"/>
          <w:szCs w:val="21"/>
        </w:rPr>
      </w:pPr>
      <w:r w:rsidRPr="00D630D1">
        <w:rPr>
          <w:rFonts w:ascii="Times New Roman" w:cs="Times New Roman"/>
          <w:kern w:val="2"/>
          <w:sz w:val="21"/>
          <w:szCs w:val="21"/>
        </w:rPr>
        <w:t>备注：</w:t>
      </w:r>
      <w:r w:rsidRPr="00D630D1">
        <w:rPr>
          <w:rFonts w:ascii="Times New Roman" w:cs="Times New Roman"/>
          <w:kern w:val="2"/>
          <w:sz w:val="21"/>
          <w:szCs w:val="21"/>
        </w:rPr>
        <w:t>M</w:t>
      </w:r>
      <w:r w:rsidRPr="00D630D1">
        <w:rPr>
          <w:rFonts w:ascii="Times New Roman" w:cs="Times New Roman"/>
          <w:kern w:val="2"/>
          <w:sz w:val="21"/>
          <w:szCs w:val="21"/>
        </w:rPr>
        <w:t>值划分为（</w:t>
      </w: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M&gt;20</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w:t>
      </w:r>
      <w:r w:rsidRPr="00D630D1">
        <w:rPr>
          <w:rFonts w:ascii="Times New Roman" w:cs="Times New Roman"/>
          <w:kern w:val="2"/>
          <w:sz w:val="21"/>
          <w:szCs w:val="21"/>
        </w:rPr>
        <w:t>10</w:t>
      </w:r>
      <w:r w:rsidRPr="00D630D1">
        <w:rPr>
          <w:rFonts w:ascii="Times New Roman" w:cs="Times New Roman"/>
          <w:kern w:val="2"/>
          <w:sz w:val="21"/>
          <w:szCs w:val="21"/>
        </w:rPr>
        <w:t>＜</w:t>
      </w:r>
      <w:r w:rsidRPr="00D630D1">
        <w:rPr>
          <w:rFonts w:ascii="Times New Roman" w:cs="Times New Roman"/>
          <w:kern w:val="2"/>
          <w:sz w:val="21"/>
          <w:szCs w:val="21"/>
        </w:rPr>
        <w:t>M≤20</w:t>
      </w:r>
      <w:r w:rsidRPr="00D630D1">
        <w:rPr>
          <w:rFonts w:ascii="Times New Roman" w:cs="Times New Roman"/>
          <w:kern w:val="2"/>
          <w:sz w:val="21"/>
          <w:szCs w:val="21"/>
        </w:rPr>
        <w:t>；（</w:t>
      </w:r>
      <w:r w:rsidRPr="00D630D1">
        <w:rPr>
          <w:rFonts w:ascii="Times New Roman" w:cs="Times New Roman"/>
          <w:kern w:val="2"/>
          <w:sz w:val="21"/>
          <w:szCs w:val="21"/>
        </w:rPr>
        <w:t>3</w:t>
      </w:r>
      <w:r w:rsidRPr="00D630D1">
        <w:rPr>
          <w:rFonts w:ascii="Times New Roman" w:cs="Times New Roman"/>
          <w:kern w:val="2"/>
          <w:sz w:val="21"/>
          <w:szCs w:val="21"/>
        </w:rPr>
        <w:t>）</w:t>
      </w:r>
      <w:r w:rsidRPr="00D630D1">
        <w:rPr>
          <w:rFonts w:ascii="Times New Roman" w:cs="Times New Roman"/>
          <w:kern w:val="2"/>
          <w:sz w:val="21"/>
          <w:szCs w:val="21"/>
        </w:rPr>
        <w:t>5</w:t>
      </w:r>
      <w:r w:rsidRPr="00D630D1">
        <w:rPr>
          <w:rFonts w:ascii="Times New Roman" w:cs="Times New Roman"/>
          <w:kern w:val="2"/>
          <w:sz w:val="21"/>
          <w:szCs w:val="21"/>
        </w:rPr>
        <w:t>＜</w:t>
      </w:r>
      <w:r w:rsidRPr="00D630D1">
        <w:rPr>
          <w:rFonts w:ascii="Times New Roman" w:cs="Times New Roman"/>
          <w:kern w:val="2"/>
          <w:sz w:val="21"/>
          <w:szCs w:val="21"/>
        </w:rPr>
        <w:t>M≤10</w:t>
      </w:r>
      <w:r w:rsidRPr="00D630D1">
        <w:rPr>
          <w:rFonts w:ascii="Times New Roman" w:cs="Times New Roman"/>
          <w:kern w:val="2"/>
          <w:sz w:val="21"/>
          <w:szCs w:val="21"/>
        </w:rPr>
        <w:t>；（</w:t>
      </w:r>
      <w:r w:rsidRPr="00D630D1">
        <w:rPr>
          <w:rFonts w:ascii="Times New Roman" w:cs="Times New Roman"/>
          <w:kern w:val="2"/>
          <w:sz w:val="21"/>
          <w:szCs w:val="21"/>
        </w:rPr>
        <w:t>4</w:t>
      </w:r>
      <w:r w:rsidRPr="00D630D1">
        <w:rPr>
          <w:rFonts w:ascii="Times New Roman" w:cs="Times New Roman"/>
          <w:kern w:val="2"/>
          <w:sz w:val="21"/>
          <w:szCs w:val="21"/>
        </w:rPr>
        <w:t>）</w:t>
      </w:r>
      <w:r w:rsidRPr="00D630D1">
        <w:rPr>
          <w:rFonts w:ascii="Times New Roman" w:cs="Times New Roman"/>
          <w:kern w:val="2"/>
          <w:sz w:val="21"/>
          <w:szCs w:val="21"/>
        </w:rPr>
        <w:t>M=5</w:t>
      </w:r>
      <w:r w:rsidRPr="00D630D1">
        <w:rPr>
          <w:rFonts w:ascii="Times New Roman" w:cs="Times New Roman"/>
          <w:kern w:val="2"/>
          <w:sz w:val="21"/>
          <w:szCs w:val="21"/>
        </w:rPr>
        <w:t>，分别以</w:t>
      </w:r>
      <w:r w:rsidRPr="00D630D1">
        <w:rPr>
          <w:rFonts w:ascii="Times New Roman" w:cs="Times New Roman"/>
          <w:kern w:val="2"/>
          <w:sz w:val="21"/>
          <w:szCs w:val="21"/>
        </w:rPr>
        <w:t>M1</w:t>
      </w:r>
      <w:r w:rsidRPr="00D630D1">
        <w:rPr>
          <w:rFonts w:ascii="Times New Roman" w:cs="Times New Roman"/>
          <w:kern w:val="2"/>
          <w:sz w:val="21"/>
          <w:szCs w:val="21"/>
        </w:rPr>
        <w:t>、</w:t>
      </w:r>
      <w:r w:rsidRPr="00D630D1">
        <w:rPr>
          <w:rFonts w:ascii="Times New Roman" w:cs="Times New Roman"/>
          <w:kern w:val="2"/>
          <w:sz w:val="21"/>
          <w:szCs w:val="21"/>
        </w:rPr>
        <w:t>M2</w:t>
      </w:r>
      <w:r w:rsidRPr="00D630D1">
        <w:rPr>
          <w:rFonts w:ascii="Times New Roman" w:cs="Times New Roman"/>
          <w:kern w:val="2"/>
          <w:sz w:val="21"/>
          <w:szCs w:val="21"/>
        </w:rPr>
        <w:t>、</w:t>
      </w:r>
      <w:r w:rsidRPr="00D630D1">
        <w:rPr>
          <w:rFonts w:ascii="Times New Roman" w:cs="Times New Roman"/>
          <w:kern w:val="2"/>
          <w:sz w:val="21"/>
          <w:szCs w:val="21"/>
        </w:rPr>
        <w:t>M3</w:t>
      </w:r>
      <w:r w:rsidRPr="00D630D1">
        <w:rPr>
          <w:rFonts w:ascii="Times New Roman" w:cs="Times New Roman"/>
          <w:kern w:val="2"/>
          <w:sz w:val="21"/>
          <w:szCs w:val="21"/>
        </w:rPr>
        <w:t>和</w:t>
      </w:r>
      <w:r w:rsidRPr="00D630D1">
        <w:rPr>
          <w:rFonts w:ascii="Times New Roman" w:cs="Times New Roman"/>
          <w:kern w:val="2"/>
          <w:sz w:val="21"/>
          <w:szCs w:val="21"/>
        </w:rPr>
        <w:t>M4</w:t>
      </w:r>
      <w:r w:rsidRPr="00D630D1">
        <w:rPr>
          <w:rFonts w:ascii="Times New Roman" w:cs="Times New Roman"/>
          <w:kern w:val="2"/>
          <w:sz w:val="21"/>
          <w:szCs w:val="21"/>
        </w:rPr>
        <w:t>表示。</w:t>
      </w:r>
    </w:p>
    <w:p w:rsidR="00FB4F2B" w:rsidRPr="00D630D1" w:rsidRDefault="00FB4F2B" w:rsidP="00CB58E1">
      <w:pPr>
        <w:widowControl/>
        <w:topLinePunct w:val="0"/>
        <w:snapToGrid w:val="0"/>
        <w:spacing w:line="331" w:lineRule="auto"/>
        <w:ind w:firstLine="480"/>
        <w:rPr>
          <w:rFonts w:ascii="Times New Roman" w:cs="Times New Roman"/>
          <w:kern w:val="2"/>
        </w:rPr>
      </w:pPr>
      <w:r w:rsidRPr="00D630D1">
        <w:rPr>
          <w:rFonts w:ascii="Times New Roman" w:cs="Times New Roman"/>
          <w:kern w:val="2"/>
        </w:rPr>
        <w:t>综上</w:t>
      </w:r>
      <w:r w:rsidR="00CB58E1" w:rsidRPr="00D630D1">
        <w:rPr>
          <w:rFonts w:ascii="Times New Roman" w:cs="Times New Roman" w:hint="eastAsia"/>
          <w:kern w:val="2"/>
        </w:rPr>
        <w:t>，</w:t>
      </w:r>
      <w:r w:rsidRPr="00D630D1">
        <w:rPr>
          <w:rFonts w:ascii="Times New Roman" w:cs="Times New Roman"/>
          <w:kern w:val="2"/>
        </w:rPr>
        <w:t>根据《建设项目环境风险评价技术导则》（</w:t>
      </w:r>
      <w:r w:rsidRPr="00D630D1">
        <w:rPr>
          <w:rFonts w:ascii="Times New Roman" w:cs="Times New Roman"/>
          <w:kern w:val="2"/>
        </w:rPr>
        <w:t>HJ169-2018</w:t>
      </w:r>
      <w:r w:rsidRPr="00D630D1">
        <w:rPr>
          <w:rFonts w:ascii="Times New Roman" w:cs="Times New Roman"/>
          <w:kern w:val="2"/>
        </w:rPr>
        <w:t>）附录</w:t>
      </w:r>
      <w:r w:rsidRPr="00D630D1">
        <w:rPr>
          <w:rFonts w:ascii="Times New Roman" w:cs="Times New Roman"/>
          <w:kern w:val="2"/>
        </w:rPr>
        <w:t>C</w:t>
      </w:r>
      <w:r w:rsidRPr="00D630D1">
        <w:rPr>
          <w:rFonts w:ascii="Times New Roman" w:cs="Times New Roman"/>
          <w:kern w:val="2"/>
        </w:rPr>
        <w:t>中表</w:t>
      </w:r>
      <w:r w:rsidRPr="00D630D1">
        <w:rPr>
          <w:rFonts w:ascii="Times New Roman" w:cs="Times New Roman"/>
          <w:kern w:val="2"/>
        </w:rPr>
        <w:t>C.2</w:t>
      </w:r>
      <w:r w:rsidRPr="00D630D1">
        <w:rPr>
          <w:rFonts w:ascii="Times New Roman" w:cs="Times New Roman"/>
          <w:kern w:val="2"/>
        </w:rPr>
        <w:t>判断危险物质及工艺系统危险性（</w:t>
      </w:r>
      <w:r w:rsidRPr="00D630D1">
        <w:rPr>
          <w:rFonts w:ascii="Times New Roman" w:cs="Times New Roman"/>
          <w:kern w:val="2"/>
        </w:rPr>
        <w:t>P</w:t>
      </w:r>
      <w:r w:rsidRPr="00D630D1">
        <w:rPr>
          <w:rFonts w:ascii="Times New Roman" w:cs="Times New Roman"/>
          <w:kern w:val="2"/>
        </w:rPr>
        <w:t>）分级。</w:t>
      </w:r>
    </w:p>
    <w:p w:rsidR="00CB58E1" w:rsidRPr="00D630D1" w:rsidRDefault="00CB58E1" w:rsidP="00CB58E1">
      <w:pPr>
        <w:pStyle w:val="TOC11"/>
        <w:rPr>
          <w:rFonts w:eastAsia="宋体"/>
        </w:rPr>
      </w:pPr>
      <w:r w:rsidRPr="00D630D1">
        <w:rPr>
          <w:rFonts w:eastAsia="宋体"/>
        </w:rPr>
        <w:t>表</w:t>
      </w:r>
      <w:r w:rsidRPr="00D630D1">
        <w:rPr>
          <w:rFonts w:eastAsia="宋体"/>
        </w:rPr>
        <w:t>7.4-</w:t>
      </w:r>
      <w:r w:rsidR="00F101E9" w:rsidRPr="00D630D1">
        <w:rPr>
          <w:rFonts w:eastAsia="宋体" w:hint="eastAsia"/>
        </w:rPr>
        <w:t>8</w:t>
      </w:r>
      <w:r w:rsidRPr="00D630D1">
        <w:rPr>
          <w:rFonts w:eastAsia="宋体"/>
        </w:rPr>
        <w:t xml:space="preserve">  </w:t>
      </w:r>
      <w:r w:rsidRPr="00D630D1">
        <w:rPr>
          <w:rFonts w:eastAsia="宋体"/>
        </w:rPr>
        <w:t>危险物质及工艺系统危险性等级（</w:t>
      </w:r>
      <w:r w:rsidRPr="00D630D1">
        <w:rPr>
          <w:rFonts w:eastAsia="宋体"/>
        </w:rPr>
        <w:t>P</w:t>
      </w:r>
      <w:r w:rsidRPr="00D630D1">
        <w:rPr>
          <w:rFonts w:eastAsia="宋体"/>
        </w:rPr>
        <w:t>）判定</w:t>
      </w:r>
    </w:p>
    <w:tbl>
      <w:tblPr>
        <w:tblW w:w="8453" w:type="dxa"/>
        <w:jc w:val="center"/>
        <w:tblLayout w:type="fixed"/>
        <w:tblCellMar>
          <w:left w:w="0" w:type="dxa"/>
          <w:right w:w="0" w:type="dxa"/>
        </w:tblCellMar>
        <w:tblLook w:val="04A0"/>
      </w:tblPr>
      <w:tblGrid>
        <w:gridCol w:w="1688"/>
        <w:gridCol w:w="1690"/>
        <w:gridCol w:w="1689"/>
        <w:gridCol w:w="1694"/>
        <w:gridCol w:w="1692"/>
      </w:tblGrid>
      <w:tr w:rsidR="00CB58E1" w:rsidRPr="00D630D1" w:rsidTr="00BA4F10">
        <w:trPr>
          <w:trHeight w:val="19"/>
          <w:jc w:val="center"/>
        </w:trPr>
        <w:tc>
          <w:tcPr>
            <w:tcW w:w="1688" w:type="dxa"/>
            <w:vMerge w:val="restart"/>
            <w:tcBorders>
              <w:top w:val="single" w:sz="12" w:space="0" w:color="000000"/>
              <w:left w:val="nil"/>
              <w:bottom w:val="single" w:sz="4" w:space="0" w:color="000000"/>
              <w:right w:val="single" w:sz="4" w:space="0" w:color="000000"/>
            </w:tcBorders>
            <w:vAlign w:val="center"/>
          </w:tcPr>
          <w:p w:rsidR="00CB58E1" w:rsidRPr="00D630D1" w:rsidRDefault="00CB58E1" w:rsidP="00BA4F10">
            <w:pPr>
              <w:pStyle w:val="aff2"/>
              <w:rPr>
                <w:b/>
              </w:rPr>
            </w:pPr>
            <w:r w:rsidRPr="00D630D1">
              <w:rPr>
                <w:b/>
              </w:rPr>
              <w:t>危险物质数量与临界值比值（</w:t>
            </w:r>
            <w:r w:rsidRPr="00D630D1">
              <w:rPr>
                <w:b/>
              </w:rPr>
              <w:t>Q</w:t>
            </w:r>
            <w:r w:rsidRPr="00D630D1">
              <w:rPr>
                <w:b/>
              </w:rPr>
              <w:t>）</w:t>
            </w:r>
          </w:p>
        </w:tc>
        <w:tc>
          <w:tcPr>
            <w:tcW w:w="6765" w:type="dxa"/>
            <w:gridSpan w:val="4"/>
            <w:tcBorders>
              <w:top w:val="single" w:sz="12" w:space="0" w:color="000000"/>
              <w:left w:val="single" w:sz="4" w:space="0" w:color="000000"/>
              <w:bottom w:val="single" w:sz="4" w:space="0" w:color="000000"/>
              <w:right w:val="nil"/>
            </w:tcBorders>
            <w:vAlign w:val="center"/>
          </w:tcPr>
          <w:p w:rsidR="00CB58E1" w:rsidRPr="00D630D1" w:rsidRDefault="00CB58E1" w:rsidP="00BA4F10">
            <w:pPr>
              <w:pStyle w:val="aff2"/>
              <w:rPr>
                <w:b/>
              </w:rPr>
            </w:pPr>
            <w:r w:rsidRPr="00D630D1">
              <w:rPr>
                <w:b/>
              </w:rPr>
              <w:t>行业及生产工艺（</w:t>
            </w:r>
            <w:r w:rsidRPr="00D630D1">
              <w:rPr>
                <w:b/>
              </w:rPr>
              <w:t>M</w:t>
            </w:r>
            <w:r w:rsidRPr="00D630D1">
              <w:rPr>
                <w:b/>
              </w:rPr>
              <w:t>）</w:t>
            </w:r>
          </w:p>
        </w:tc>
      </w:tr>
      <w:tr w:rsidR="00CB58E1" w:rsidRPr="00D630D1" w:rsidTr="00BA4F10">
        <w:trPr>
          <w:trHeight w:val="19"/>
          <w:jc w:val="center"/>
        </w:trPr>
        <w:tc>
          <w:tcPr>
            <w:tcW w:w="1688" w:type="dxa"/>
            <w:vMerge/>
            <w:tcBorders>
              <w:top w:val="single" w:sz="12" w:space="0" w:color="000000"/>
              <w:left w:val="nil"/>
              <w:bottom w:val="single" w:sz="4" w:space="0" w:color="000000"/>
              <w:right w:val="single" w:sz="4" w:space="0" w:color="000000"/>
            </w:tcBorders>
            <w:vAlign w:val="center"/>
          </w:tcPr>
          <w:p w:rsidR="00CB58E1" w:rsidRPr="00D630D1" w:rsidRDefault="00CB58E1" w:rsidP="00BA4F10">
            <w:pPr>
              <w:pStyle w:val="aff2"/>
              <w:rPr>
                <w:b/>
              </w:rPr>
            </w:pPr>
          </w:p>
        </w:tc>
        <w:tc>
          <w:tcPr>
            <w:tcW w:w="1690" w:type="dxa"/>
            <w:tcBorders>
              <w:top w:val="single" w:sz="4" w:space="0" w:color="000000"/>
              <w:left w:val="single" w:sz="4" w:space="0" w:color="000000"/>
              <w:bottom w:val="single" w:sz="4" w:space="0" w:color="000000"/>
              <w:right w:val="single" w:sz="4" w:space="0" w:color="000000"/>
            </w:tcBorders>
            <w:vAlign w:val="center"/>
          </w:tcPr>
          <w:p w:rsidR="00CB58E1" w:rsidRPr="00D630D1" w:rsidRDefault="00CB58E1" w:rsidP="00BA4F10">
            <w:pPr>
              <w:pStyle w:val="aff2"/>
              <w:rPr>
                <w:b/>
              </w:rPr>
            </w:pPr>
            <w:r w:rsidRPr="00D630D1">
              <w:rPr>
                <w:b/>
              </w:rPr>
              <w:t>M1</w:t>
            </w:r>
          </w:p>
        </w:tc>
        <w:tc>
          <w:tcPr>
            <w:tcW w:w="1689" w:type="dxa"/>
            <w:tcBorders>
              <w:top w:val="single" w:sz="4" w:space="0" w:color="000000"/>
              <w:left w:val="single" w:sz="4" w:space="0" w:color="000000"/>
              <w:bottom w:val="single" w:sz="4" w:space="0" w:color="000000"/>
              <w:right w:val="single" w:sz="4" w:space="0" w:color="000000"/>
            </w:tcBorders>
            <w:vAlign w:val="center"/>
          </w:tcPr>
          <w:p w:rsidR="00CB58E1" w:rsidRPr="00D630D1" w:rsidRDefault="00CB58E1" w:rsidP="00BA4F10">
            <w:pPr>
              <w:pStyle w:val="aff2"/>
              <w:rPr>
                <w:b/>
              </w:rPr>
            </w:pPr>
            <w:r w:rsidRPr="00D630D1">
              <w:rPr>
                <w:b/>
              </w:rPr>
              <w:t>M2</w:t>
            </w:r>
          </w:p>
        </w:tc>
        <w:tc>
          <w:tcPr>
            <w:tcW w:w="1694" w:type="dxa"/>
            <w:tcBorders>
              <w:top w:val="single" w:sz="4" w:space="0" w:color="000000"/>
              <w:left w:val="single" w:sz="4" w:space="0" w:color="000000"/>
              <w:bottom w:val="single" w:sz="4" w:space="0" w:color="000000"/>
              <w:right w:val="single" w:sz="4" w:space="0" w:color="000000"/>
            </w:tcBorders>
            <w:vAlign w:val="center"/>
          </w:tcPr>
          <w:p w:rsidR="00CB58E1" w:rsidRPr="00D630D1" w:rsidRDefault="00CB58E1" w:rsidP="00BA4F10">
            <w:pPr>
              <w:pStyle w:val="aff2"/>
              <w:rPr>
                <w:b/>
              </w:rPr>
            </w:pPr>
            <w:r w:rsidRPr="00D630D1">
              <w:rPr>
                <w:b/>
              </w:rPr>
              <w:t>M3</w:t>
            </w:r>
          </w:p>
        </w:tc>
        <w:tc>
          <w:tcPr>
            <w:tcW w:w="1690" w:type="dxa"/>
            <w:tcBorders>
              <w:top w:val="single" w:sz="4" w:space="0" w:color="000000"/>
              <w:left w:val="single" w:sz="4" w:space="0" w:color="000000"/>
              <w:bottom w:val="single" w:sz="4" w:space="0" w:color="000000"/>
              <w:right w:val="nil"/>
            </w:tcBorders>
            <w:vAlign w:val="center"/>
          </w:tcPr>
          <w:p w:rsidR="00CB58E1" w:rsidRPr="00D630D1" w:rsidRDefault="00CB58E1" w:rsidP="00BA4F10">
            <w:pPr>
              <w:pStyle w:val="aff2"/>
              <w:rPr>
                <w:b/>
              </w:rPr>
            </w:pPr>
            <w:r w:rsidRPr="00D630D1">
              <w:rPr>
                <w:b/>
              </w:rPr>
              <w:t>M4</w:t>
            </w:r>
          </w:p>
        </w:tc>
      </w:tr>
      <w:tr w:rsidR="00CB58E1" w:rsidRPr="00D630D1" w:rsidTr="00BA4F10">
        <w:trPr>
          <w:trHeight w:val="19"/>
          <w:jc w:val="center"/>
        </w:trPr>
        <w:tc>
          <w:tcPr>
            <w:tcW w:w="1688" w:type="dxa"/>
            <w:tcBorders>
              <w:top w:val="single" w:sz="4" w:space="0" w:color="000000"/>
              <w:left w:val="nil"/>
              <w:bottom w:val="single" w:sz="4" w:space="0" w:color="000000"/>
              <w:right w:val="single" w:sz="4" w:space="0" w:color="000000"/>
            </w:tcBorders>
            <w:vAlign w:val="center"/>
          </w:tcPr>
          <w:p w:rsidR="00CB58E1" w:rsidRPr="00D630D1" w:rsidRDefault="00CB58E1" w:rsidP="00BA4F10">
            <w:pPr>
              <w:pStyle w:val="aff2"/>
            </w:pPr>
            <w:r w:rsidRPr="00D630D1">
              <w:t>Q≥100</w:t>
            </w:r>
          </w:p>
        </w:tc>
        <w:tc>
          <w:tcPr>
            <w:tcW w:w="1690" w:type="dxa"/>
            <w:tcBorders>
              <w:top w:val="single" w:sz="4" w:space="0" w:color="000000"/>
              <w:left w:val="single" w:sz="4" w:space="0" w:color="000000"/>
              <w:bottom w:val="single" w:sz="4" w:space="0" w:color="000000"/>
              <w:right w:val="single" w:sz="4" w:space="0" w:color="000000"/>
            </w:tcBorders>
            <w:vAlign w:val="center"/>
          </w:tcPr>
          <w:p w:rsidR="00CB58E1" w:rsidRPr="00D630D1" w:rsidRDefault="00CB58E1" w:rsidP="00BA4F10">
            <w:pPr>
              <w:pStyle w:val="aff2"/>
            </w:pPr>
            <w:r w:rsidRPr="00D630D1">
              <w:t>P1</w:t>
            </w:r>
          </w:p>
        </w:tc>
        <w:tc>
          <w:tcPr>
            <w:tcW w:w="1689" w:type="dxa"/>
            <w:tcBorders>
              <w:top w:val="single" w:sz="4" w:space="0" w:color="000000"/>
              <w:left w:val="single" w:sz="4" w:space="0" w:color="000000"/>
              <w:bottom w:val="single" w:sz="4" w:space="0" w:color="000000"/>
              <w:right w:val="single" w:sz="4" w:space="0" w:color="000000"/>
            </w:tcBorders>
            <w:vAlign w:val="center"/>
          </w:tcPr>
          <w:p w:rsidR="00CB58E1" w:rsidRPr="00D630D1" w:rsidRDefault="00CB58E1" w:rsidP="00BA4F10">
            <w:pPr>
              <w:pStyle w:val="aff2"/>
            </w:pPr>
            <w:r w:rsidRPr="00D630D1">
              <w:t>P1</w:t>
            </w:r>
          </w:p>
        </w:tc>
        <w:tc>
          <w:tcPr>
            <w:tcW w:w="1694" w:type="dxa"/>
            <w:tcBorders>
              <w:top w:val="single" w:sz="4" w:space="0" w:color="000000"/>
              <w:left w:val="single" w:sz="4" w:space="0" w:color="000000"/>
              <w:bottom w:val="single" w:sz="4" w:space="0" w:color="000000"/>
              <w:right w:val="single" w:sz="4" w:space="0" w:color="000000"/>
            </w:tcBorders>
            <w:vAlign w:val="center"/>
          </w:tcPr>
          <w:p w:rsidR="00CB58E1" w:rsidRPr="00D630D1" w:rsidRDefault="00CB58E1" w:rsidP="00BA4F10">
            <w:pPr>
              <w:pStyle w:val="aff2"/>
            </w:pPr>
            <w:r w:rsidRPr="00D630D1">
              <w:t>P2</w:t>
            </w:r>
          </w:p>
        </w:tc>
        <w:tc>
          <w:tcPr>
            <w:tcW w:w="1690" w:type="dxa"/>
            <w:tcBorders>
              <w:top w:val="single" w:sz="4" w:space="0" w:color="000000"/>
              <w:left w:val="single" w:sz="4" w:space="0" w:color="000000"/>
              <w:bottom w:val="single" w:sz="4" w:space="0" w:color="000000"/>
              <w:right w:val="nil"/>
            </w:tcBorders>
            <w:vAlign w:val="center"/>
          </w:tcPr>
          <w:p w:rsidR="00CB58E1" w:rsidRPr="00D630D1" w:rsidRDefault="00CB58E1" w:rsidP="00BA4F10">
            <w:pPr>
              <w:pStyle w:val="aff2"/>
            </w:pPr>
            <w:r w:rsidRPr="00D630D1">
              <w:t>P3</w:t>
            </w:r>
          </w:p>
        </w:tc>
      </w:tr>
      <w:tr w:rsidR="00CB58E1" w:rsidRPr="00D630D1" w:rsidTr="00BA4F10">
        <w:trPr>
          <w:trHeight w:val="19"/>
          <w:jc w:val="center"/>
        </w:trPr>
        <w:tc>
          <w:tcPr>
            <w:tcW w:w="1688" w:type="dxa"/>
            <w:tcBorders>
              <w:top w:val="single" w:sz="4" w:space="0" w:color="000000"/>
              <w:left w:val="nil"/>
              <w:bottom w:val="single" w:sz="4" w:space="0" w:color="000000"/>
              <w:right w:val="single" w:sz="4" w:space="0" w:color="000000"/>
            </w:tcBorders>
            <w:vAlign w:val="center"/>
          </w:tcPr>
          <w:p w:rsidR="00CB58E1" w:rsidRPr="00D630D1" w:rsidRDefault="00CB58E1" w:rsidP="00BA4F10">
            <w:pPr>
              <w:pStyle w:val="aff2"/>
            </w:pPr>
            <w:r w:rsidRPr="00D630D1">
              <w:t>10≤Q</w:t>
            </w:r>
            <w:r w:rsidRPr="00D630D1">
              <w:t>＜</w:t>
            </w:r>
            <w:r w:rsidRPr="00D630D1">
              <w:t>100</w:t>
            </w:r>
          </w:p>
        </w:tc>
        <w:tc>
          <w:tcPr>
            <w:tcW w:w="1690" w:type="dxa"/>
            <w:tcBorders>
              <w:top w:val="single" w:sz="4" w:space="0" w:color="000000"/>
              <w:left w:val="single" w:sz="4" w:space="0" w:color="000000"/>
              <w:bottom w:val="single" w:sz="4" w:space="0" w:color="000000"/>
              <w:right w:val="single" w:sz="4" w:space="0" w:color="000000"/>
            </w:tcBorders>
            <w:vAlign w:val="center"/>
          </w:tcPr>
          <w:p w:rsidR="00CB58E1" w:rsidRPr="00D630D1" w:rsidRDefault="00CB58E1" w:rsidP="00BA4F10">
            <w:pPr>
              <w:pStyle w:val="aff2"/>
            </w:pPr>
            <w:r w:rsidRPr="00D630D1">
              <w:t>P1</w:t>
            </w:r>
          </w:p>
        </w:tc>
        <w:tc>
          <w:tcPr>
            <w:tcW w:w="1689" w:type="dxa"/>
            <w:tcBorders>
              <w:top w:val="single" w:sz="4" w:space="0" w:color="000000"/>
              <w:left w:val="single" w:sz="4" w:space="0" w:color="000000"/>
              <w:bottom w:val="single" w:sz="4" w:space="0" w:color="000000"/>
              <w:right w:val="single" w:sz="4" w:space="0" w:color="000000"/>
            </w:tcBorders>
            <w:vAlign w:val="center"/>
          </w:tcPr>
          <w:p w:rsidR="00CB58E1" w:rsidRPr="00D630D1" w:rsidRDefault="00CB58E1" w:rsidP="00BA4F10">
            <w:pPr>
              <w:pStyle w:val="aff2"/>
            </w:pPr>
            <w:r w:rsidRPr="00D630D1">
              <w:t>P2</w:t>
            </w:r>
          </w:p>
        </w:tc>
        <w:tc>
          <w:tcPr>
            <w:tcW w:w="1694" w:type="dxa"/>
            <w:tcBorders>
              <w:top w:val="single" w:sz="4" w:space="0" w:color="000000"/>
              <w:left w:val="single" w:sz="4" w:space="0" w:color="000000"/>
              <w:bottom w:val="single" w:sz="4" w:space="0" w:color="000000"/>
              <w:right w:val="single" w:sz="4" w:space="0" w:color="000000"/>
            </w:tcBorders>
            <w:vAlign w:val="center"/>
          </w:tcPr>
          <w:p w:rsidR="00CB58E1" w:rsidRPr="00D630D1" w:rsidRDefault="00CB58E1" w:rsidP="00BA4F10">
            <w:pPr>
              <w:pStyle w:val="aff2"/>
            </w:pPr>
            <w:r w:rsidRPr="00D630D1">
              <w:t>P3</w:t>
            </w:r>
          </w:p>
        </w:tc>
        <w:tc>
          <w:tcPr>
            <w:tcW w:w="1690" w:type="dxa"/>
            <w:tcBorders>
              <w:top w:val="single" w:sz="4" w:space="0" w:color="000000"/>
              <w:left w:val="single" w:sz="4" w:space="0" w:color="000000"/>
              <w:bottom w:val="single" w:sz="4" w:space="0" w:color="000000"/>
              <w:right w:val="nil"/>
            </w:tcBorders>
            <w:vAlign w:val="center"/>
          </w:tcPr>
          <w:p w:rsidR="00CB58E1" w:rsidRPr="00D630D1" w:rsidRDefault="00CB58E1" w:rsidP="00BA4F10">
            <w:pPr>
              <w:pStyle w:val="aff2"/>
            </w:pPr>
            <w:r w:rsidRPr="00D630D1">
              <w:t>P4</w:t>
            </w:r>
          </w:p>
        </w:tc>
      </w:tr>
      <w:tr w:rsidR="00CB58E1" w:rsidRPr="00D630D1" w:rsidTr="00BA4F10">
        <w:trPr>
          <w:trHeight w:val="19"/>
          <w:jc w:val="center"/>
        </w:trPr>
        <w:tc>
          <w:tcPr>
            <w:tcW w:w="1688" w:type="dxa"/>
            <w:tcBorders>
              <w:top w:val="single" w:sz="4" w:space="0" w:color="000000"/>
              <w:left w:val="nil"/>
              <w:bottom w:val="single" w:sz="12" w:space="0" w:color="auto"/>
              <w:right w:val="single" w:sz="4" w:space="0" w:color="000000"/>
            </w:tcBorders>
            <w:vAlign w:val="center"/>
          </w:tcPr>
          <w:p w:rsidR="00CB58E1" w:rsidRPr="00D630D1" w:rsidRDefault="00CB58E1" w:rsidP="00BA4F10">
            <w:pPr>
              <w:pStyle w:val="aff2"/>
            </w:pPr>
            <w:r w:rsidRPr="00D630D1">
              <w:t>1≤Q</w:t>
            </w:r>
            <w:r w:rsidRPr="00D630D1">
              <w:t>＜</w:t>
            </w:r>
            <w:r w:rsidRPr="00D630D1">
              <w:t>10</w:t>
            </w:r>
          </w:p>
        </w:tc>
        <w:tc>
          <w:tcPr>
            <w:tcW w:w="1690" w:type="dxa"/>
            <w:tcBorders>
              <w:top w:val="single" w:sz="4" w:space="0" w:color="000000"/>
              <w:left w:val="single" w:sz="4" w:space="0" w:color="000000"/>
              <w:bottom w:val="single" w:sz="12" w:space="0" w:color="auto"/>
              <w:right w:val="single" w:sz="4" w:space="0" w:color="000000"/>
            </w:tcBorders>
            <w:vAlign w:val="center"/>
          </w:tcPr>
          <w:p w:rsidR="00CB58E1" w:rsidRPr="00D630D1" w:rsidRDefault="00CB58E1" w:rsidP="00BA4F10">
            <w:pPr>
              <w:pStyle w:val="aff2"/>
            </w:pPr>
            <w:r w:rsidRPr="00D630D1">
              <w:t>P2</w:t>
            </w:r>
          </w:p>
        </w:tc>
        <w:tc>
          <w:tcPr>
            <w:tcW w:w="1689" w:type="dxa"/>
            <w:tcBorders>
              <w:top w:val="single" w:sz="4" w:space="0" w:color="000000"/>
              <w:left w:val="single" w:sz="4" w:space="0" w:color="000000"/>
              <w:bottom w:val="single" w:sz="12" w:space="0" w:color="auto"/>
              <w:right w:val="single" w:sz="4" w:space="0" w:color="000000"/>
            </w:tcBorders>
            <w:vAlign w:val="center"/>
          </w:tcPr>
          <w:p w:rsidR="00CB58E1" w:rsidRPr="00D630D1" w:rsidRDefault="00CB58E1" w:rsidP="00BA4F10">
            <w:pPr>
              <w:pStyle w:val="aff2"/>
            </w:pPr>
            <w:r w:rsidRPr="00D630D1">
              <w:t>P3</w:t>
            </w:r>
            <w:r w:rsidR="006F623C" w:rsidRPr="00D630D1">
              <w:rPr>
                <w:b/>
              </w:rPr>
              <w:t>（</w:t>
            </w:r>
            <w:r w:rsidR="006F623C" w:rsidRPr="00D630D1">
              <w:rPr>
                <w:rFonts w:hint="eastAsia"/>
                <w:b/>
              </w:rPr>
              <w:t>本</w:t>
            </w:r>
            <w:r w:rsidR="006F623C" w:rsidRPr="00D630D1">
              <w:rPr>
                <w:b/>
              </w:rPr>
              <w:t>项目分级）</w:t>
            </w:r>
          </w:p>
        </w:tc>
        <w:tc>
          <w:tcPr>
            <w:tcW w:w="1694" w:type="dxa"/>
            <w:tcBorders>
              <w:top w:val="single" w:sz="4" w:space="0" w:color="000000"/>
              <w:left w:val="single" w:sz="4" w:space="0" w:color="000000"/>
              <w:bottom w:val="single" w:sz="12" w:space="0" w:color="auto"/>
              <w:right w:val="single" w:sz="4" w:space="0" w:color="000000"/>
            </w:tcBorders>
            <w:vAlign w:val="center"/>
          </w:tcPr>
          <w:p w:rsidR="00CB58E1" w:rsidRPr="00D630D1" w:rsidRDefault="00CB58E1" w:rsidP="006F623C">
            <w:pPr>
              <w:pStyle w:val="aff2"/>
            </w:pPr>
            <w:r w:rsidRPr="00D630D1">
              <w:t>P4</w:t>
            </w:r>
          </w:p>
        </w:tc>
        <w:tc>
          <w:tcPr>
            <w:tcW w:w="1690" w:type="dxa"/>
            <w:tcBorders>
              <w:top w:val="single" w:sz="4" w:space="0" w:color="000000"/>
              <w:left w:val="single" w:sz="4" w:space="0" w:color="000000"/>
              <w:bottom w:val="single" w:sz="12" w:space="0" w:color="auto"/>
              <w:right w:val="nil"/>
            </w:tcBorders>
            <w:vAlign w:val="center"/>
          </w:tcPr>
          <w:p w:rsidR="00CB58E1" w:rsidRPr="00D630D1" w:rsidRDefault="00CB58E1" w:rsidP="00BA4F10">
            <w:pPr>
              <w:pStyle w:val="aff2"/>
            </w:pPr>
            <w:r w:rsidRPr="00D630D1">
              <w:t>P4</w:t>
            </w:r>
          </w:p>
        </w:tc>
      </w:tr>
    </w:tbl>
    <w:p w:rsidR="00CB58E1" w:rsidRPr="00D630D1" w:rsidRDefault="00CB58E1" w:rsidP="00CB58E1">
      <w:pPr>
        <w:widowControl/>
        <w:topLinePunct w:val="0"/>
        <w:snapToGrid w:val="0"/>
        <w:spacing w:line="331" w:lineRule="auto"/>
        <w:ind w:firstLine="420"/>
        <w:rPr>
          <w:rFonts w:ascii="Times New Roman" w:cs="Times New Roman"/>
          <w:sz w:val="21"/>
          <w:szCs w:val="21"/>
        </w:rPr>
      </w:pPr>
      <w:r w:rsidRPr="00D630D1">
        <w:rPr>
          <w:rFonts w:ascii="Times New Roman" w:cs="Times New Roman"/>
          <w:sz w:val="21"/>
          <w:szCs w:val="21"/>
        </w:rPr>
        <w:t>注：当</w:t>
      </w:r>
      <w:r w:rsidRPr="00D630D1">
        <w:rPr>
          <w:rFonts w:ascii="Times New Roman" w:cs="Times New Roman"/>
          <w:sz w:val="21"/>
          <w:szCs w:val="21"/>
        </w:rPr>
        <w:t>Q</w:t>
      </w:r>
      <w:r w:rsidRPr="00D630D1">
        <w:rPr>
          <w:rFonts w:ascii="Times New Roman" w:cs="Times New Roman"/>
          <w:sz w:val="21"/>
          <w:szCs w:val="21"/>
        </w:rPr>
        <w:t>＜</w:t>
      </w:r>
      <w:r w:rsidRPr="00D630D1">
        <w:rPr>
          <w:rFonts w:ascii="Times New Roman" w:cs="Times New Roman"/>
          <w:sz w:val="21"/>
          <w:szCs w:val="21"/>
        </w:rPr>
        <w:t>1</w:t>
      </w:r>
      <w:r w:rsidRPr="00D630D1">
        <w:rPr>
          <w:rFonts w:ascii="Times New Roman" w:cs="Times New Roman"/>
          <w:sz w:val="21"/>
          <w:szCs w:val="21"/>
        </w:rPr>
        <w:t>时，该项目环境风险潜势为</w:t>
      </w:r>
      <w:r w:rsidRPr="00D630D1">
        <w:rPr>
          <w:rFonts w:ascii="Times New Roman" w:cs="Times New Roman"/>
          <w:sz w:val="21"/>
          <w:szCs w:val="21"/>
        </w:rPr>
        <w:t>Ⅰ</w:t>
      </w:r>
      <w:r w:rsidRPr="00D630D1">
        <w:rPr>
          <w:rFonts w:ascii="Times New Roman" w:cs="Times New Roman"/>
          <w:sz w:val="21"/>
          <w:szCs w:val="21"/>
        </w:rPr>
        <w:t>。</w:t>
      </w:r>
    </w:p>
    <w:p w:rsidR="00CB58E1" w:rsidRPr="00D630D1" w:rsidRDefault="00CB58E1" w:rsidP="00CB58E1">
      <w:pPr>
        <w:widowControl/>
        <w:topLinePunct w:val="0"/>
        <w:snapToGrid w:val="0"/>
        <w:spacing w:line="331" w:lineRule="auto"/>
        <w:ind w:firstLine="482"/>
        <w:rPr>
          <w:rFonts w:ascii="Times New Roman" w:cs="Times New Roman"/>
          <w:b/>
          <w:kern w:val="2"/>
        </w:rPr>
      </w:pPr>
      <w:r w:rsidRPr="00D630D1">
        <w:rPr>
          <w:rFonts w:ascii="Times New Roman" w:cs="Times New Roman"/>
          <w:b/>
          <w:kern w:val="2"/>
        </w:rPr>
        <w:t>2</w:t>
      </w:r>
      <w:r w:rsidRPr="00D630D1">
        <w:rPr>
          <w:rFonts w:ascii="Times New Roman" w:hAnsi="宋体" w:cs="Times New Roman"/>
          <w:b/>
          <w:kern w:val="2"/>
        </w:rPr>
        <w:t>、</w:t>
      </w:r>
      <w:r w:rsidRPr="00D630D1">
        <w:rPr>
          <w:rFonts w:ascii="Times New Roman" w:cs="Times New Roman"/>
          <w:b/>
          <w:kern w:val="2"/>
        </w:rPr>
        <w:t>E</w:t>
      </w:r>
      <w:r w:rsidRPr="00D630D1">
        <w:rPr>
          <w:rFonts w:ascii="Times New Roman" w:hAnsi="宋体" w:cs="Times New Roman"/>
          <w:b/>
          <w:kern w:val="2"/>
        </w:rPr>
        <w:t>的分级确定</w:t>
      </w:r>
    </w:p>
    <w:p w:rsidR="00CB58E1" w:rsidRPr="00D630D1" w:rsidRDefault="00CB58E1" w:rsidP="00CB58E1">
      <w:pPr>
        <w:widowControl/>
        <w:topLinePunct w:val="0"/>
        <w:snapToGrid w:val="0"/>
        <w:spacing w:line="331" w:lineRule="auto"/>
        <w:ind w:firstLine="480"/>
        <w:rPr>
          <w:rFonts w:ascii="Times New Roman" w:cs="Times New Roman"/>
          <w:kern w:val="2"/>
        </w:rPr>
      </w:pPr>
      <w:r w:rsidRPr="00D630D1">
        <w:rPr>
          <w:rFonts w:ascii="Times New Roman" w:hAnsi="宋体" w:cs="Times New Roman"/>
          <w:kern w:val="2"/>
        </w:rPr>
        <w:t>根据《建设项目环境风险评价技术导则》（</w:t>
      </w:r>
      <w:r w:rsidRPr="00D630D1">
        <w:rPr>
          <w:rFonts w:ascii="Times New Roman" w:cs="Times New Roman"/>
          <w:kern w:val="2"/>
        </w:rPr>
        <w:t>HJ169-2018</w:t>
      </w:r>
      <w:r w:rsidRPr="00D630D1">
        <w:rPr>
          <w:rFonts w:ascii="Times New Roman" w:hAnsi="宋体" w:cs="Times New Roman"/>
          <w:kern w:val="2"/>
        </w:rPr>
        <w:t>）附录</w:t>
      </w:r>
      <w:r w:rsidRPr="00D630D1">
        <w:rPr>
          <w:rFonts w:ascii="Times New Roman" w:cs="Times New Roman"/>
          <w:kern w:val="2"/>
        </w:rPr>
        <w:t>D</w:t>
      </w:r>
      <w:r w:rsidRPr="00D630D1">
        <w:rPr>
          <w:rFonts w:ascii="Times New Roman" w:hAnsi="宋体" w:cs="Times New Roman" w:hint="eastAsia"/>
          <w:kern w:val="2"/>
        </w:rPr>
        <w:t>判定环境敏感程度（</w:t>
      </w:r>
      <w:r w:rsidRPr="00D630D1">
        <w:rPr>
          <w:rFonts w:ascii="Times New Roman" w:hAnsi="宋体" w:cs="Times New Roman" w:hint="eastAsia"/>
          <w:kern w:val="2"/>
        </w:rPr>
        <w:t>E</w:t>
      </w:r>
      <w:r w:rsidRPr="00D630D1">
        <w:rPr>
          <w:rFonts w:ascii="Times New Roman" w:hAnsi="宋体" w:cs="Times New Roman" w:hint="eastAsia"/>
          <w:kern w:val="2"/>
        </w:rPr>
        <w:t>）分级。拟建项目周边</w:t>
      </w:r>
      <w:r w:rsidRPr="00D630D1">
        <w:rPr>
          <w:rFonts w:ascii="Times New Roman" w:hAnsi="宋体" w:cs="Times New Roman" w:hint="eastAsia"/>
          <w:kern w:val="2"/>
        </w:rPr>
        <w:t>500m</w:t>
      </w:r>
      <w:r w:rsidRPr="00D630D1">
        <w:rPr>
          <w:rFonts w:ascii="Times New Roman" w:hAnsi="宋体" w:cs="Times New Roman" w:hint="eastAsia"/>
          <w:kern w:val="2"/>
        </w:rPr>
        <w:t>范围内总人数为</w:t>
      </w:r>
      <w:r w:rsidR="00874FED">
        <w:rPr>
          <w:rFonts w:ascii="Times New Roman" w:hAnsi="宋体" w:cs="Times New Roman" w:hint="eastAsia"/>
          <w:kern w:val="2"/>
        </w:rPr>
        <w:t>8</w:t>
      </w:r>
      <w:r w:rsidRPr="00D630D1">
        <w:rPr>
          <w:rFonts w:ascii="Times New Roman" w:hAnsi="宋体" w:cs="Times New Roman" w:hint="eastAsia"/>
          <w:kern w:val="2"/>
        </w:rPr>
        <w:t>5</w:t>
      </w:r>
      <w:r w:rsidRPr="00D630D1">
        <w:rPr>
          <w:rFonts w:ascii="Times New Roman" w:hAnsi="宋体" w:cs="Times New Roman" w:hint="eastAsia"/>
          <w:kern w:val="2"/>
        </w:rPr>
        <w:t>人，小于</w:t>
      </w:r>
      <w:r w:rsidRPr="00D630D1">
        <w:rPr>
          <w:rFonts w:ascii="Times New Roman" w:hAnsi="宋体" w:cs="Times New Roman" w:hint="eastAsia"/>
          <w:kern w:val="2"/>
        </w:rPr>
        <w:t>500</w:t>
      </w:r>
      <w:r w:rsidRPr="00D630D1">
        <w:rPr>
          <w:rFonts w:ascii="Times New Roman" w:hAnsi="宋体" w:cs="Times New Roman" w:hint="eastAsia"/>
          <w:kern w:val="2"/>
        </w:rPr>
        <w:t>人，因此</w:t>
      </w:r>
      <w:r w:rsidRPr="00D630D1">
        <w:rPr>
          <w:rFonts w:ascii="Times New Roman" w:cs="Times New Roman"/>
          <w:kern w:val="2"/>
        </w:rPr>
        <w:t>本项目大气环境敏感程度为</w:t>
      </w:r>
      <w:r w:rsidRPr="00D630D1">
        <w:rPr>
          <w:rFonts w:ascii="Times New Roman" w:cs="Times New Roman"/>
          <w:kern w:val="2"/>
        </w:rPr>
        <w:t>E</w:t>
      </w:r>
      <w:r w:rsidRPr="00D630D1">
        <w:rPr>
          <w:rFonts w:ascii="Times New Roman" w:cs="Times New Roman" w:hint="eastAsia"/>
          <w:kern w:val="2"/>
        </w:rPr>
        <w:t>3</w:t>
      </w:r>
      <w:r w:rsidRPr="00D630D1">
        <w:rPr>
          <w:rFonts w:ascii="Times New Roman" w:cs="Times New Roman"/>
          <w:kern w:val="2"/>
        </w:rPr>
        <w:t>；拟建项目地表水功能敏感性为</w:t>
      </w:r>
      <w:r w:rsidRPr="00D630D1">
        <w:rPr>
          <w:rFonts w:ascii="Times New Roman" w:cs="Times New Roman"/>
          <w:kern w:val="2"/>
        </w:rPr>
        <w:t>F2</w:t>
      </w:r>
      <w:r w:rsidRPr="00D630D1">
        <w:rPr>
          <w:rFonts w:ascii="Times New Roman" w:cs="Times New Roman" w:hint="eastAsia"/>
          <w:kern w:val="2"/>
        </w:rPr>
        <w:t>（</w:t>
      </w:r>
      <w:r w:rsidRPr="00D630D1">
        <w:rPr>
          <w:rFonts w:ascii="Times New Roman" w:cs="Times New Roman"/>
          <w:kern w:val="2"/>
        </w:rPr>
        <w:t>排放点进入地表水环境功能为</w:t>
      </w:r>
      <w:r w:rsidRPr="00D630D1">
        <w:rPr>
          <w:rFonts w:ascii="Times New Roman" w:cs="Times New Roman" w:hint="eastAsia"/>
          <w:kern w:val="2"/>
        </w:rPr>
        <w:t>Ⅲ类）</w:t>
      </w:r>
      <w:r w:rsidRPr="00D630D1">
        <w:rPr>
          <w:rFonts w:ascii="Times New Roman" w:cs="Times New Roman"/>
          <w:kern w:val="2"/>
        </w:rPr>
        <w:t>、地表水环境敏感目标为</w:t>
      </w:r>
      <w:r w:rsidRPr="00D630D1">
        <w:rPr>
          <w:rFonts w:ascii="Times New Roman" w:cs="Times New Roman"/>
          <w:kern w:val="2"/>
        </w:rPr>
        <w:t>S3</w:t>
      </w:r>
      <w:r w:rsidRPr="00D630D1">
        <w:rPr>
          <w:rFonts w:ascii="Times New Roman" w:cs="Times New Roman" w:hint="eastAsia"/>
          <w:kern w:val="2"/>
        </w:rPr>
        <w:t>（后河下游</w:t>
      </w:r>
      <w:r w:rsidRPr="00D630D1">
        <w:rPr>
          <w:rFonts w:ascii="Times New Roman" w:cs="Times New Roman" w:hint="eastAsia"/>
          <w:kern w:val="2"/>
        </w:rPr>
        <w:t>10km</w:t>
      </w:r>
      <w:r w:rsidRPr="00D630D1">
        <w:rPr>
          <w:rFonts w:ascii="Times New Roman" w:cs="Times New Roman" w:hint="eastAsia"/>
          <w:kern w:val="2"/>
        </w:rPr>
        <w:t>范围内不含饮用水源保护区等地表水敏感保护目标）</w:t>
      </w:r>
      <w:r w:rsidRPr="00D630D1">
        <w:rPr>
          <w:rFonts w:ascii="Times New Roman" w:cs="Times New Roman"/>
          <w:kern w:val="2"/>
        </w:rPr>
        <w:t>，因此</w:t>
      </w:r>
      <w:r w:rsidR="008D7139" w:rsidRPr="00D630D1">
        <w:rPr>
          <w:rFonts w:ascii="Times New Roman" w:cs="Times New Roman" w:hint="eastAsia"/>
          <w:kern w:val="2"/>
        </w:rPr>
        <w:t>本</w:t>
      </w:r>
      <w:r w:rsidRPr="00D630D1">
        <w:rPr>
          <w:rFonts w:ascii="Times New Roman" w:cs="Times New Roman"/>
          <w:kern w:val="2"/>
        </w:rPr>
        <w:t>项目地表水环境敏感程度为</w:t>
      </w:r>
      <w:r w:rsidRPr="00D630D1">
        <w:rPr>
          <w:rFonts w:ascii="Times New Roman" w:cs="Times New Roman"/>
          <w:kern w:val="2"/>
        </w:rPr>
        <w:t>E2</w:t>
      </w:r>
      <w:r w:rsidRPr="00D630D1">
        <w:rPr>
          <w:rFonts w:ascii="Times New Roman" w:cs="Times New Roman"/>
          <w:kern w:val="2"/>
        </w:rPr>
        <w:t>；</w:t>
      </w:r>
      <w:r w:rsidR="008D7139" w:rsidRPr="00D630D1">
        <w:rPr>
          <w:rFonts w:ascii="Times New Roman" w:cs="Times New Roman" w:hint="eastAsia"/>
          <w:kern w:val="2"/>
        </w:rPr>
        <w:t>本</w:t>
      </w:r>
      <w:r w:rsidRPr="00D630D1">
        <w:rPr>
          <w:rFonts w:ascii="Times New Roman" w:cs="Times New Roman"/>
          <w:kern w:val="2"/>
        </w:rPr>
        <w:t>项目地下水功能敏感性为</w:t>
      </w:r>
      <w:r w:rsidRPr="00D630D1">
        <w:rPr>
          <w:rFonts w:ascii="Times New Roman" w:cs="Times New Roman"/>
          <w:kern w:val="2"/>
        </w:rPr>
        <w:t>G2</w:t>
      </w:r>
      <w:r w:rsidRPr="00D630D1">
        <w:rPr>
          <w:rFonts w:ascii="Times New Roman" w:cs="Times New Roman"/>
          <w:kern w:val="2"/>
        </w:rPr>
        <w:t>、包气带防污性能分级为</w:t>
      </w:r>
      <w:r w:rsidRPr="00D630D1">
        <w:rPr>
          <w:rFonts w:ascii="Times New Roman" w:cs="Times New Roman"/>
          <w:kern w:val="2"/>
        </w:rPr>
        <w:t>D3</w:t>
      </w:r>
      <w:r w:rsidRPr="00D630D1">
        <w:rPr>
          <w:rFonts w:ascii="Times New Roman" w:cs="Times New Roman"/>
          <w:kern w:val="2"/>
        </w:rPr>
        <w:t>，因此</w:t>
      </w:r>
      <w:r w:rsidR="008D7139" w:rsidRPr="00D630D1">
        <w:rPr>
          <w:rFonts w:ascii="Times New Roman" w:cs="Times New Roman" w:hint="eastAsia"/>
          <w:kern w:val="2"/>
        </w:rPr>
        <w:t>本</w:t>
      </w:r>
      <w:r w:rsidRPr="00D630D1">
        <w:rPr>
          <w:rFonts w:ascii="Times New Roman" w:cs="Times New Roman"/>
          <w:kern w:val="2"/>
        </w:rPr>
        <w:t>项目地下水环境敏感程度为</w:t>
      </w:r>
      <w:r w:rsidRPr="00D630D1">
        <w:rPr>
          <w:rFonts w:ascii="Times New Roman" w:cs="Times New Roman"/>
          <w:kern w:val="2"/>
        </w:rPr>
        <w:t>E3</w:t>
      </w:r>
      <w:r w:rsidRPr="00D630D1">
        <w:rPr>
          <w:rFonts w:ascii="Times New Roman" w:hAnsi="宋体" w:cs="Times New Roman"/>
          <w:kern w:val="2"/>
        </w:rPr>
        <w:t>。</w:t>
      </w:r>
    </w:p>
    <w:p w:rsidR="00CB58E1" w:rsidRPr="00D630D1" w:rsidRDefault="00CB58E1" w:rsidP="00CB58E1">
      <w:pPr>
        <w:widowControl/>
        <w:topLinePunct w:val="0"/>
        <w:snapToGrid w:val="0"/>
        <w:spacing w:line="331" w:lineRule="auto"/>
        <w:ind w:firstLine="482"/>
        <w:rPr>
          <w:rFonts w:ascii="Times New Roman" w:cs="Times New Roman"/>
          <w:b/>
          <w:kern w:val="2"/>
        </w:rPr>
      </w:pPr>
      <w:r w:rsidRPr="00D630D1">
        <w:rPr>
          <w:rFonts w:ascii="Times New Roman" w:cs="Times New Roman"/>
          <w:b/>
          <w:kern w:val="2"/>
        </w:rPr>
        <w:t>3</w:t>
      </w:r>
      <w:r w:rsidRPr="00D630D1">
        <w:rPr>
          <w:rFonts w:ascii="Times New Roman" w:hAnsi="宋体" w:cs="Times New Roman"/>
          <w:b/>
          <w:kern w:val="2"/>
        </w:rPr>
        <w:t>、风险潜势的划分</w:t>
      </w:r>
    </w:p>
    <w:p w:rsidR="00CB58E1" w:rsidRPr="00D630D1" w:rsidRDefault="00CB58E1" w:rsidP="00CB58E1">
      <w:pPr>
        <w:widowControl/>
        <w:topLinePunct w:val="0"/>
        <w:snapToGrid w:val="0"/>
        <w:spacing w:line="331" w:lineRule="auto"/>
        <w:ind w:firstLine="480"/>
        <w:rPr>
          <w:rFonts w:ascii="Times New Roman" w:cs="Times New Roman"/>
          <w:kern w:val="2"/>
        </w:rPr>
      </w:pPr>
      <w:r w:rsidRPr="00D630D1">
        <w:rPr>
          <w:rFonts w:ascii="Times New Roman" w:cs="Times New Roman"/>
          <w:kern w:val="2"/>
        </w:rPr>
        <w:t>综上，本项目</w:t>
      </w:r>
      <w:r w:rsidR="008D7139" w:rsidRPr="00D630D1">
        <w:rPr>
          <w:rFonts w:ascii="Times New Roman" w:cs="Times New Roman"/>
          <w:kern w:val="2"/>
        </w:rPr>
        <w:t>危险物质及工艺系统危险性等级（</w:t>
      </w:r>
      <w:r w:rsidR="008D7139" w:rsidRPr="00D630D1">
        <w:rPr>
          <w:rFonts w:ascii="Times New Roman" w:cs="Times New Roman"/>
          <w:kern w:val="2"/>
        </w:rPr>
        <w:t>P</w:t>
      </w:r>
      <w:r w:rsidR="008D7139" w:rsidRPr="00D630D1">
        <w:rPr>
          <w:rFonts w:ascii="Times New Roman" w:cs="Times New Roman"/>
          <w:kern w:val="2"/>
        </w:rPr>
        <w:t>）划分为</w:t>
      </w:r>
      <w:r w:rsidR="008D7139" w:rsidRPr="00D630D1">
        <w:rPr>
          <w:rFonts w:ascii="Times New Roman" w:cs="Times New Roman" w:hint="eastAsia"/>
          <w:kern w:val="2"/>
        </w:rPr>
        <w:t>P</w:t>
      </w:r>
      <w:r w:rsidR="006F623C" w:rsidRPr="00D630D1">
        <w:rPr>
          <w:rFonts w:ascii="Times New Roman" w:cs="Times New Roman" w:hint="eastAsia"/>
          <w:kern w:val="2"/>
        </w:rPr>
        <w:t>3</w:t>
      </w:r>
      <w:r w:rsidR="008D7139" w:rsidRPr="00D630D1">
        <w:rPr>
          <w:rFonts w:ascii="Times New Roman" w:cs="Times New Roman" w:hint="eastAsia"/>
          <w:kern w:val="2"/>
        </w:rPr>
        <w:t>，</w:t>
      </w:r>
      <w:r w:rsidR="008D7139" w:rsidRPr="00D630D1">
        <w:rPr>
          <w:rFonts w:ascii="Times New Roman" w:cs="Times New Roman"/>
          <w:kern w:val="2"/>
        </w:rPr>
        <w:t>大气环境敏感程度为</w:t>
      </w:r>
      <w:r w:rsidR="008D7139" w:rsidRPr="00D630D1">
        <w:rPr>
          <w:rFonts w:ascii="Times New Roman" w:cs="Times New Roman"/>
          <w:kern w:val="2"/>
        </w:rPr>
        <w:t>E</w:t>
      </w:r>
      <w:r w:rsidR="008D7139" w:rsidRPr="00D630D1">
        <w:rPr>
          <w:rFonts w:ascii="Times New Roman" w:cs="Times New Roman" w:hint="eastAsia"/>
          <w:kern w:val="2"/>
        </w:rPr>
        <w:t>3</w:t>
      </w:r>
      <w:r w:rsidR="008D7139" w:rsidRPr="00D630D1">
        <w:rPr>
          <w:rFonts w:ascii="Times New Roman" w:cs="Times New Roman" w:hint="eastAsia"/>
          <w:kern w:val="2"/>
        </w:rPr>
        <w:t>，</w:t>
      </w:r>
      <w:r w:rsidR="008D7139" w:rsidRPr="00D630D1">
        <w:rPr>
          <w:rFonts w:ascii="Times New Roman" w:cs="Times New Roman"/>
          <w:kern w:val="2"/>
        </w:rPr>
        <w:t>地表水环境敏感程度为</w:t>
      </w:r>
      <w:r w:rsidR="008D7139" w:rsidRPr="00D630D1">
        <w:rPr>
          <w:rFonts w:ascii="Times New Roman" w:cs="Times New Roman"/>
          <w:kern w:val="2"/>
        </w:rPr>
        <w:t>E2</w:t>
      </w:r>
      <w:r w:rsidR="008D7139" w:rsidRPr="00D630D1">
        <w:rPr>
          <w:rFonts w:ascii="Times New Roman" w:cs="Times New Roman" w:hint="eastAsia"/>
          <w:kern w:val="2"/>
        </w:rPr>
        <w:t>，</w:t>
      </w:r>
      <w:r w:rsidR="008D7139" w:rsidRPr="00D630D1">
        <w:rPr>
          <w:rFonts w:ascii="Times New Roman" w:cs="Times New Roman"/>
          <w:kern w:val="2"/>
        </w:rPr>
        <w:t>地下水环境敏感程度为</w:t>
      </w:r>
      <w:r w:rsidR="008D7139" w:rsidRPr="00D630D1">
        <w:rPr>
          <w:rFonts w:ascii="Times New Roman" w:cs="Times New Roman"/>
          <w:kern w:val="2"/>
        </w:rPr>
        <w:t>E3</w:t>
      </w:r>
      <w:r w:rsidR="008D7139" w:rsidRPr="00D630D1">
        <w:rPr>
          <w:rFonts w:ascii="Times New Roman" w:cs="Times New Roman" w:hint="eastAsia"/>
          <w:kern w:val="2"/>
        </w:rPr>
        <w:t>。根据</w:t>
      </w:r>
      <w:r w:rsidR="008D7139" w:rsidRPr="00D630D1">
        <w:rPr>
          <w:rFonts w:ascii="Times New Roman" w:cs="Times New Roman"/>
          <w:kern w:val="2"/>
        </w:rPr>
        <w:t>表</w:t>
      </w:r>
      <w:r w:rsidR="008D7139" w:rsidRPr="00D630D1">
        <w:rPr>
          <w:rFonts w:ascii="Times New Roman" w:cs="Times New Roman"/>
          <w:kern w:val="2"/>
        </w:rPr>
        <w:t>7.4-1</w:t>
      </w:r>
      <w:r w:rsidR="008D7139" w:rsidRPr="00D630D1">
        <w:rPr>
          <w:rFonts w:ascii="Times New Roman" w:cs="Times New Roman" w:hint="eastAsia"/>
          <w:bCs/>
          <w:kern w:val="2"/>
        </w:rPr>
        <w:t>，</w:t>
      </w:r>
      <w:r w:rsidRPr="00D630D1">
        <w:rPr>
          <w:rFonts w:ascii="Times New Roman" w:cs="Times New Roman"/>
          <w:kern w:val="2"/>
        </w:rPr>
        <w:t>各环境要素环境敏感程度分级及根据导则要求的环境潜势划分情况情况见下表。</w:t>
      </w:r>
    </w:p>
    <w:p w:rsidR="00CB58E1" w:rsidRPr="00D630D1" w:rsidRDefault="00CB58E1" w:rsidP="00CB58E1">
      <w:pPr>
        <w:topLinePunct w:val="0"/>
        <w:adjustRightInd/>
        <w:ind w:firstLineChars="0" w:firstLine="0"/>
        <w:jc w:val="center"/>
        <w:rPr>
          <w:rFonts w:ascii="Times New Roman" w:cs="Times New Roman"/>
          <w:b/>
          <w:bCs/>
          <w:kern w:val="2"/>
          <w:sz w:val="21"/>
        </w:rPr>
      </w:pPr>
      <w:r w:rsidRPr="00D630D1">
        <w:rPr>
          <w:rFonts w:ascii="Times New Roman" w:cs="Times New Roman"/>
          <w:b/>
          <w:kern w:val="2"/>
          <w:sz w:val="21"/>
        </w:rPr>
        <w:t>表</w:t>
      </w:r>
      <w:r w:rsidR="008D7139" w:rsidRPr="00D630D1">
        <w:rPr>
          <w:rFonts w:ascii="Times New Roman" w:cs="Times New Roman" w:hint="eastAsia"/>
          <w:b/>
          <w:kern w:val="2"/>
          <w:sz w:val="21"/>
        </w:rPr>
        <w:t>7.4-</w:t>
      </w:r>
      <w:r w:rsidR="00F101E9" w:rsidRPr="00D630D1">
        <w:rPr>
          <w:rFonts w:ascii="Times New Roman" w:cs="Times New Roman" w:hint="eastAsia"/>
          <w:b/>
          <w:kern w:val="2"/>
          <w:sz w:val="21"/>
        </w:rPr>
        <w:t>9</w:t>
      </w:r>
      <w:r w:rsidRPr="00D630D1">
        <w:rPr>
          <w:rFonts w:ascii="Times New Roman" w:cs="Times New Roman"/>
          <w:b/>
          <w:kern w:val="2"/>
          <w:sz w:val="21"/>
        </w:rPr>
        <w:t xml:space="preserve">   </w:t>
      </w:r>
      <w:r w:rsidRPr="00D630D1">
        <w:rPr>
          <w:rFonts w:ascii="Times New Roman" w:cs="Times New Roman"/>
          <w:b/>
          <w:bCs/>
          <w:kern w:val="2"/>
          <w:sz w:val="21"/>
        </w:rPr>
        <w:t>项目各环境要素环境敏感程度分级及环境潜势划分情况</w:t>
      </w:r>
    </w:p>
    <w:tbl>
      <w:tblPr>
        <w:tblW w:w="5000" w:type="pct"/>
        <w:jc w:val="center"/>
        <w:tblBorders>
          <w:top w:val="single" w:sz="12" w:space="0" w:color="auto"/>
          <w:bottom w:val="single" w:sz="12" w:space="0" w:color="auto"/>
          <w:insideH w:val="single" w:sz="2" w:space="0" w:color="auto"/>
          <w:insideV w:val="single" w:sz="2" w:space="0" w:color="auto"/>
        </w:tblBorders>
        <w:tblLook w:val="04A0"/>
      </w:tblPr>
      <w:tblGrid>
        <w:gridCol w:w="1318"/>
        <w:gridCol w:w="1478"/>
        <w:gridCol w:w="1478"/>
        <w:gridCol w:w="1478"/>
        <w:gridCol w:w="2770"/>
      </w:tblGrid>
      <w:tr w:rsidR="00CB58E1" w:rsidRPr="00D630D1" w:rsidTr="008D7139">
        <w:trPr>
          <w:trHeight w:val="127"/>
          <w:jc w:val="center"/>
        </w:trPr>
        <w:tc>
          <w:tcPr>
            <w:tcW w:w="1419" w:type="dxa"/>
            <w:vAlign w:val="center"/>
          </w:tcPr>
          <w:p w:rsidR="00CB58E1" w:rsidRPr="00D630D1" w:rsidRDefault="00CB58E1" w:rsidP="00CB58E1">
            <w:pPr>
              <w:topLinePunct w:val="0"/>
              <w:snapToGrid w:val="0"/>
              <w:spacing w:line="240" w:lineRule="exact"/>
              <w:ind w:firstLineChars="0" w:firstLine="0"/>
              <w:jc w:val="center"/>
              <w:rPr>
                <w:rFonts w:ascii="Times New Roman" w:cs="Times New Roman"/>
                <w:b/>
                <w:kern w:val="2"/>
                <w:sz w:val="21"/>
                <w:szCs w:val="21"/>
              </w:rPr>
            </w:pPr>
            <w:r w:rsidRPr="00D630D1">
              <w:rPr>
                <w:rFonts w:ascii="Times New Roman" w:cs="Times New Roman"/>
                <w:b/>
                <w:kern w:val="2"/>
                <w:sz w:val="21"/>
                <w:szCs w:val="21"/>
              </w:rPr>
              <w:t>环境要素</w:t>
            </w:r>
          </w:p>
        </w:tc>
        <w:tc>
          <w:tcPr>
            <w:tcW w:w="1593" w:type="dxa"/>
            <w:vAlign w:val="center"/>
          </w:tcPr>
          <w:p w:rsidR="00CB58E1" w:rsidRPr="00D630D1" w:rsidRDefault="00CB58E1" w:rsidP="00CB58E1">
            <w:pPr>
              <w:topLinePunct w:val="0"/>
              <w:snapToGrid w:val="0"/>
              <w:spacing w:line="240" w:lineRule="exact"/>
              <w:ind w:firstLineChars="0" w:firstLine="0"/>
              <w:jc w:val="center"/>
              <w:rPr>
                <w:rFonts w:ascii="Times New Roman" w:cs="Times New Roman"/>
                <w:b/>
                <w:kern w:val="2"/>
                <w:sz w:val="21"/>
                <w:szCs w:val="21"/>
              </w:rPr>
            </w:pPr>
            <w:r w:rsidRPr="00D630D1">
              <w:rPr>
                <w:rFonts w:ascii="Times New Roman" w:cs="Times New Roman"/>
                <w:b/>
                <w:kern w:val="2"/>
                <w:sz w:val="21"/>
                <w:szCs w:val="21"/>
              </w:rPr>
              <w:t>大气环境</w:t>
            </w:r>
          </w:p>
        </w:tc>
        <w:tc>
          <w:tcPr>
            <w:tcW w:w="1594" w:type="dxa"/>
            <w:vAlign w:val="center"/>
          </w:tcPr>
          <w:p w:rsidR="00CB58E1" w:rsidRPr="00D630D1" w:rsidRDefault="00CB58E1" w:rsidP="00CB58E1">
            <w:pPr>
              <w:topLinePunct w:val="0"/>
              <w:snapToGrid w:val="0"/>
              <w:spacing w:line="240" w:lineRule="exact"/>
              <w:ind w:firstLineChars="0" w:firstLine="0"/>
              <w:jc w:val="center"/>
              <w:rPr>
                <w:rFonts w:ascii="Times New Roman" w:cs="Times New Roman"/>
                <w:b/>
                <w:kern w:val="2"/>
                <w:sz w:val="21"/>
                <w:szCs w:val="21"/>
              </w:rPr>
            </w:pPr>
            <w:r w:rsidRPr="00D630D1">
              <w:rPr>
                <w:rFonts w:ascii="Times New Roman" w:cs="Times New Roman"/>
                <w:b/>
                <w:kern w:val="2"/>
                <w:sz w:val="21"/>
                <w:szCs w:val="21"/>
              </w:rPr>
              <w:t>地表水环境</w:t>
            </w:r>
          </w:p>
        </w:tc>
        <w:tc>
          <w:tcPr>
            <w:tcW w:w="1593" w:type="dxa"/>
            <w:vAlign w:val="center"/>
          </w:tcPr>
          <w:p w:rsidR="00CB58E1" w:rsidRPr="00D630D1" w:rsidRDefault="00CB58E1" w:rsidP="00CB58E1">
            <w:pPr>
              <w:topLinePunct w:val="0"/>
              <w:snapToGrid w:val="0"/>
              <w:spacing w:line="240" w:lineRule="exact"/>
              <w:ind w:firstLineChars="0" w:firstLine="0"/>
              <w:jc w:val="center"/>
              <w:rPr>
                <w:rFonts w:ascii="Times New Roman" w:cs="Times New Roman"/>
                <w:b/>
                <w:kern w:val="2"/>
                <w:sz w:val="21"/>
                <w:szCs w:val="21"/>
              </w:rPr>
            </w:pPr>
            <w:r w:rsidRPr="00D630D1">
              <w:rPr>
                <w:rFonts w:ascii="Times New Roman" w:cs="Times New Roman"/>
                <w:b/>
                <w:kern w:val="2"/>
                <w:sz w:val="21"/>
                <w:szCs w:val="21"/>
              </w:rPr>
              <w:t>地下水环境</w:t>
            </w:r>
          </w:p>
        </w:tc>
        <w:tc>
          <w:tcPr>
            <w:tcW w:w="3009" w:type="dxa"/>
            <w:vMerge w:val="restart"/>
            <w:vAlign w:val="center"/>
          </w:tcPr>
          <w:p w:rsidR="00CB58E1" w:rsidRPr="00D630D1" w:rsidRDefault="00CB58E1" w:rsidP="00CB58E1">
            <w:pPr>
              <w:topLinePunct w:val="0"/>
              <w:snapToGrid w:val="0"/>
              <w:spacing w:line="240" w:lineRule="exact"/>
              <w:ind w:firstLineChars="0" w:firstLine="0"/>
              <w:jc w:val="center"/>
              <w:rPr>
                <w:rFonts w:ascii="Times New Roman" w:cs="Times New Roman"/>
                <w:b/>
                <w:kern w:val="2"/>
                <w:sz w:val="21"/>
                <w:szCs w:val="21"/>
              </w:rPr>
            </w:pPr>
            <w:r w:rsidRPr="00D630D1">
              <w:rPr>
                <w:rFonts w:ascii="Times New Roman" w:cs="Times New Roman"/>
                <w:b/>
                <w:kern w:val="2"/>
                <w:sz w:val="21"/>
                <w:szCs w:val="21"/>
              </w:rPr>
              <w:t>本项目环境风险潜势综合等级（取各要素等级相对高值）</w:t>
            </w:r>
          </w:p>
        </w:tc>
      </w:tr>
      <w:tr w:rsidR="00CB58E1" w:rsidRPr="00D630D1" w:rsidTr="008D7139">
        <w:trPr>
          <w:trHeight w:val="126"/>
          <w:jc w:val="center"/>
        </w:trPr>
        <w:tc>
          <w:tcPr>
            <w:tcW w:w="1419" w:type="dxa"/>
            <w:vAlign w:val="center"/>
          </w:tcPr>
          <w:p w:rsidR="00CB58E1" w:rsidRPr="00D630D1" w:rsidRDefault="00CB58E1" w:rsidP="00CB58E1">
            <w:pPr>
              <w:topLinePunct w:val="0"/>
              <w:snapToGrid w:val="0"/>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敏感度分级</w:t>
            </w:r>
          </w:p>
        </w:tc>
        <w:tc>
          <w:tcPr>
            <w:tcW w:w="1593" w:type="dxa"/>
            <w:vAlign w:val="center"/>
          </w:tcPr>
          <w:p w:rsidR="00CB58E1" w:rsidRPr="00D630D1" w:rsidRDefault="00CB58E1" w:rsidP="00CB58E1">
            <w:pPr>
              <w:topLinePunct w:val="0"/>
              <w:snapToGrid w:val="0"/>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E</w:t>
            </w:r>
            <w:r w:rsidRPr="00D630D1">
              <w:rPr>
                <w:rFonts w:ascii="Times New Roman" w:cs="Times New Roman" w:hint="eastAsia"/>
                <w:kern w:val="2"/>
                <w:sz w:val="21"/>
                <w:szCs w:val="21"/>
              </w:rPr>
              <w:t>3</w:t>
            </w:r>
          </w:p>
        </w:tc>
        <w:tc>
          <w:tcPr>
            <w:tcW w:w="1594" w:type="dxa"/>
            <w:vAlign w:val="center"/>
          </w:tcPr>
          <w:p w:rsidR="00CB58E1" w:rsidRPr="00D630D1" w:rsidRDefault="00CB58E1" w:rsidP="00CB58E1">
            <w:pPr>
              <w:topLinePunct w:val="0"/>
              <w:snapToGrid w:val="0"/>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E2</w:t>
            </w:r>
          </w:p>
        </w:tc>
        <w:tc>
          <w:tcPr>
            <w:tcW w:w="1593" w:type="dxa"/>
            <w:vAlign w:val="center"/>
          </w:tcPr>
          <w:p w:rsidR="00CB58E1" w:rsidRPr="00D630D1" w:rsidRDefault="00CB58E1" w:rsidP="00CB58E1">
            <w:pPr>
              <w:topLinePunct w:val="0"/>
              <w:snapToGrid w:val="0"/>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E</w:t>
            </w:r>
            <w:r w:rsidRPr="00D630D1">
              <w:rPr>
                <w:rFonts w:ascii="Times New Roman" w:cs="Times New Roman" w:hint="eastAsia"/>
                <w:kern w:val="2"/>
                <w:sz w:val="21"/>
                <w:szCs w:val="21"/>
              </w:rPr>
              <w:t>3</w:t>
            </w:r>
          </w:p>
        </w:tc>
        <w:tc>
          <w:tcPr>
            <w:tcW w:w="0" w:type="auto"/>
            <w:vMerge/>
            <w:vAlign w:val="center"/>
          </w:tcPr>
          <w:p w:rsidR="00CB58E1" w:rsidRPr="00D630D1" w:rsidRDefault="00CB58E1" w:rsidP="00CB58E1">
            <w:pPr>
              <w:widowControl/>
              <w:topLinePunct w:val="0"/>
              <w:snapToGrid w:val="0"/>
              <w:spacing w:line="240" w:lineRule="exact"/>
              <w:ind w:firstLine="420"/>
              <w:jc w:val="center"/>
              <w:rPr>
                <w:rFonts w:ascii="Times New Roman" w:cs="Times New Roman"/>
                <w:kern w:val="2"/>
                <w:sz w:val="21"/>
                <w:szCs w:val="21"/>
              </w:rPr>
            </w:pPr>
          </w:p>
        </w:tc>
      </w:tr>
      <w:tr w:rsidR="00CB58E1" w:rsidRPr="00D630D1" w:rsidTr="008D7139">
        <w:trPr>
          <w:trHeight w:val="184"/>
          <w:jc w:val="center"/>
        </w:trPr>
        <w:tc>
          <w:tcPr>
            <w:tcW w:w="1419" w:type="dxa"/>
            <w:vAlign w:val="center"/>
          </w:tcPr>
          <w:p w:rsidR="00CB58E1" w:rsidRPr="00D630D1" w:rsidRDefault="00CB58E1" w:rsidP="00CB58E1">
            <w:pPr>
              <w:topLinePunct w:val="0"/>
              <w:snapToGrid w:val="0"/>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环境潜势</w:t>
            </w:r>
          </w:p>
        </w:tc>
        <w:tc>
          <w:tcPr>
            <w:tcW w:w="1593" w:type="dxa"/>
            <w:vAlign w:val="center"/>
          </w:tcPr>
          <w:p w:rsidR="00CB58E1" w:rsidRPr="00D630D1" w:rsidRDefault="006F623C" w:rsidP="00CB58E1">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Ⅱ</w:t>
            </w:r>
          </w:p>
        </w:tc>
        <w:tc>
          <w:tcPr>
            <w:tcW w:w="1594" w:type="dxa"/>
            <w:vAlign w:val="center"/>
          </w:tcPr>
          <w:p w:rsidR="00CB58E1" w:rsidRPr="00D630D1" w:rsidRDefault="006F623C" w:rsidP="00CB58E1">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Ⅲ</w:t>
            </w:r>
          </w:p>
        </w:tc>
        <w:tc>
          <w:tcPr>
            <w:tcW w:w="1593" w:type="dxa"/>
            <w:vAlign w:val="center"/>
          </w:tcPr>
          <w:p w:rsidR="00CB58E1" w:rsidRPr="00D630D1" w:rsidRDefault="006F623C" w:rsidP="00CB58E1">
            <w:pPr>
              <w:topLinePunct w:val="0"/>
              <w:snapToGrid w:val="0"/>
              <w:spacing w:line="240" w:lineRule="exact"/>
              <w:ind w:firstLineChars="0" w:firstLine="0"/>
              <w:jc w:val="center"/>
              <w:rPr>
                <w:rFonts w:ascii="Times New Roman" w:cs="Times New Roman"/>
                <w:kern w:val="2"/>
                <w:sz w:val="21"/>
                <w:szCs w:val="21"/>
              </w:rPr>
            </w:pPr>
            <w:r w:rsidRPr="00D630D1">
              <w:rPr>
                <w:rFonts w:hAnsi="宋体" w:hint="eastAsia"/>
                <w:kern w:val="2"/>
                <w:sz w:val="21"/>
                <w:szCs w:val="21"/>
              </w:rPr>
              <w:t>Ⅱ</w:t>
            </w:r>
          </w:p>
        </w:tc>
        <w:tc>
          <w:tcPr>
            <w:tcW w:w="3009" w:type="dxa"/>
            <w:vAlign w:val="center"/>
          </w:tcPr>
          <w:p w:rsidR="00CB58E1" w:rsidRPr="00D630D1" w:rsidRDefault="006F623C" w:rsidP="00CB58E1">
            <w:pPr>
              <w:topLinePunct w:val="0"/>
              <w:snapToGrid w:val="0"/>
              <w:spacing w:line="240" w:lineRule="exact"/>
              <w:ind w:firstLineChars="0" w:firstLine="0"/>
              <w:jc w:val="center"/>
              <w:rPr>
                <w:rFonts w:ascii="Times New Roman" w:cs="Times New Roman"/>
                <w:b/>
                <w:kern w:val="2"/>
                <w:sz w:val="21"/>
                <w:szCs w:val="21"/>
              </w:rPr>
            </w:pPr>
            <w:r w:rsidRPr="00D630D1">
              <w:rPr>
                <w:rFonts w:hAnsi="宋体" w:hint="eastAsia"/>
                <w:b/>
                <w:kern w:val="2"/>
                <w:sz w:val="21"/>
                <w:szCs w:val="21"/>
              </w:rPr>
              <w:t>Ⅲ</w:t>
            </w:r>
          </w:p>
        </w:tc>
      </w:tr>
    </w:tbl>
    <w:p w:rsidR="00117C3D" w:rsidRPr="00D630D1" w:rsidRDefault="00A842BE" w:rsidP="00A842BE">
      <w:pPr>
        <w:pStyle w:val="2"/>
        <w:spacing w:before="120"/>
        <w:rPr>
          <w:rFonts w:cs="Times New Roman"/>
        </w:rPr>
      </w:pPr>
      <w:bookmarkStart w:id="529" w:name="_Toc19816099"/>
      <w:bookmarkStart w:id="530" w:name="_Toc12288725"/>
      <w:bookmarkStart w:id="531" w:name="_Toc81515297"/>
      <w:r w:rsidRPr="00D630D1">
        <w:rPr>
          <w:rFonts w:cs="Times New Roman"/>
        </w:rPr>
        <w:lastRenderedPageBreak/>
        <w:t>7</w:t>
      </w:r>
      <w:r w:rsidR="008B5B84" w:rsidRPr="00D630D1">
        <w:rPr>
          <w:rFonts w:cs="Times New Roman"/>
        </w:rPr>
        <w:t>.5</w:t>
      </w:r>
      <w:r w:rsidRPr="00D630D1">
        <w:rPr>
          <w:rFonts w:cs="Times New Roman"/>
        </w:rPr>
        <w:t xml:space="preserve"> </w:t>
      </w:r>
      <w:r w:rsidR="008B5B84" w:rsidRPr="00D630D1">
        <w:rPr>
          <w:rFonts w:cs="Times New Roman"/>
        </w:rPr>
        <w:t>评价等级及评价范围</w:t>
      </w:r>
      <w:bookmarkEnd w:id="529"/>
      <w:bookmarkEnd w:id="530"/>
      <w:bookmarkEnd w:id="531"/>
    </w:p>
    <w:p w:rsidR="00117C3D" w:rsidRPr="00D630D1" w:rsidRDefault="00A842BE">
      <w:pPr>
        <w:pStyle w:val="3"/>
        <w:rPr>
          <w:rFonts w:eastAsia="宋体"/>
        </w:rPr>
      </w:pPr>
      <w:bookmarkStart w:id="532" w:name="_Toc19816100"/>
      <w:bookmarkStart w:id="533" w:name="_Toc12288726"/>
      <w:r w:rsidRPr="00D630D1">
        <w:rPr>
          <w:rFonts w:eastAsia="宋体"/>
        </w:rPr>
        <w:t>7</w:t>
      </w:r>
      <w:r w:rsidR="008B5B84" w:rsidRPr="00D630D1">
        <w:rPr>
          <w:rFonts w:eastAsia="宋体"/>
        </w:rPr>
        <w:t xml:space="preserve">.5.1 </w:t>
      </w:r>
      <w:r w:rsidR="008B5B84" w:rsidRPr="00D630D1">
        <w:rPr>
          <w:rFonts w:eastAsia="宋体"/>
        </w:rPr>
        <w:t>环境风险评价等级</w:t>
      </w:r>
      <w:bookmarkEnd w:id="532"/>
      <w:bookmarkEnd w:id="533"/>
    </w:p>
    <w:p w:rsidR="00117C3D" w:rsidRPr="00D630D1" w:rsidRDefault="00A842BE">
      <w:pPr>
        <w:pStyle w:val="a1"/>
        <w:ind w:firstLine="480"/>
        <w:rPr>
          <w:rFonts w:ascii="Times New Roman" w:cs="Times New Roman"/>
        </w:rPr>
      </w:pPr>
      <w:r w:rsidRPr="00D630D1">
        <w:rPr>
          <w:rFonts w:ascii="Times New Roman" w:cs="Times New Roman"/>
        </w:rPr>
        <w:t>根据《建设项目环境风险评价技术导则》（</w:t>
      </w:r>
      <w:r w:rsidRPr="00D630D1">
        <w:rPr>
          <w:rFonts w:ascii="Times New Roman" w:cs="Times New Roman"/>
        </w:rPr>
        <w:t>HJ169-2018</w:t>
      </w:r>
      <w:r w:rsidRPr="00D630D1">
        <w:rPr>
          <w:rFonts w:ascii="Times New Roman" w:cs="Times New Roman"/>
        </w:rPr>
        <w:t>）中关于环境风险评价工作等级的划分方法，风险潜势为</w:t>
      </w:r>
      <w:r w:rsidRPr="00D630D1">
        <w:rPr>
          <w:rFonts w:ascii="Times New Roman" w:cs="Times New Roman"/>
        </w:rPr>
        <w:t>Ⅳ</w:t>
      </w:r>
      <w:r w:rsidRPr="00D630D1">
        <w:rPr>
          <w:rFonts w:ascii="Times New Roman" w:cs="Times New Roman"/>
        </w:rPr>
        <w:t>及以上，进行一级评价；风险潜势为</w:t>
      </w:r>
      <w:r w:rsidRPr="00D630D1">
        <w:rPr>
          <w:rFonts w:ascii="Times New Roman" w:cs="Times New Roman"/>
        </w:rPr>
        <w:t>Ⅲ</w:t>
      </w:r>
      <w:r w:rsidRPr="00D630D1">
        <w:rPr>
          <w:rFonts w:ascii="Times New Roman" w:cs="Times New Roman"/>
        </w:rPr>
        <w:t>，进行二级评价；风险潜势为</w:t>
      </w:r>
      <w:r w:rsidRPr="00D630D1">
        <w:rPr>
          <w:rFonts w:ascii="Times New Roman" w:cs="Times New Roman"/>
        </w:rPr>
        <w:t>Ⅱ</w:t>
      </w:r>
      <w:r w:rsidRPr="00D630D1">
        <w:rPr>
          <w:rFonts w:ascii="Times New Roman" w:cs="Times New Roman"/>
        </w:rPr>
        <w:t>，进行三级评价；风险潜势为</w:t>
      </w:r>
      <w:r w:rsidRPr="00D630D1">
        <w:rPr>
          <w:rFonts w:ascii="Times New Roman" w:cs="Times New Roman"/>
        </w:rPr>
        <w:t>Ⅰ</w:t>
      </w:r>
      <w:r w:rsidRPr="00D630D1">
        <w:rPr>
          <w:rFonts w:ascii="Times New Roman" w:cs="Times New Roman"/>
        </w:rPr>
        <w:t>，可展开简单分析。</w:t>
      </w:r>
    </w:p>
    <w:p w:rsidR="00F101E9" w:rsidRPr="00D630D1" w:rsidRDefault="00F101E9">
      <w:pPr>
        <w:pStyle w:val="a1"/>
        <w:ind w:firstLine="480"/>
        <w:rPr>
          <w:rFonts w:ascii="Times New Roman" w:cs="Times New Roman"/>
        </w:rPr>
      </w:pPr>
    </w:p>
    <w:p w:rsidR="00117C3D" w:rsidRPr="00D630D1" w:rsidRDefault="008B5B84" w:rsidP="00A842BE">
      <w:pPr>
        <w:pStyle w:val="10"/>
        <w:rPr>
          <w:rFonts w:cs="Times New Roman"/>
        </w:rPr>
      </w:pPr>
      <w:r w:rsidRPr="00D630D1">
        <w:rPr>
          <w:rFonts w:cs="Times New Roman"/>
        </w:rPr>
        <w:t>表</w:t>
      </w:r>
      <w:r w:rsidR="00A842BE" w:rsidRPr="00D630D1">
        <w:rPr>
          <w:rFonts w:cs="Times New Roman"/>
        </w:rPr>
        <w:t>7</w:t>
      </w:r>
      <w:r w:rsidRPr="00D630D1">
        <w:rPr>
          <w:rFonts w:cs="Times New Roman"/>
        </w:rPr>
        <w:t>.5-1</w:t>
      </w:r>
      <w:r w:rsidR="00A842BE" w:rsidRPr="00D630D1">
        <w:rPr>
          <w:rFonts w:cs="Times New Roman"/>
        </w:rPr>
        <w:t xml:space="preserve">  </w:t>
      </w:r>
      <w:r w:rsidRPr="00D630D1">
        <w:rPr>
          <w:rFonts w:cs="Times New Roman"/>
        </w:rPr>
        <w:t>环境风险评价工作等级划分</w:t>
      </w:r>
    </w:p>
    <w:tbl>
      <w:tblPr>
        <w:tblW w:w="8769" w:type="dxa"/>
        <w:jc w:val="center"/>
        <w:tblLayout w:type="fixed"/>
        <w:tblCellMar>
          <w:left w:w="0" w:type="dxa"/>
          <w:right w:w="0" w:type="dxa"/>
        </w:tblCellMar>
        <w:tblLook w:val="04A0"/>
      </w:tblPr>
      <w:tblGrid>
        <w:gridCol w:w="1741"/>
        <w:gridCol w:w="1291"/>
        <w:gridCol w:w="2037"/>
        <w:gridCol w:w="1921"/>
        <w:gridCol w:w="1779"/>
      </w:tblGrid>
      <w:tr w:rsidR="004C35E7" w:rsidRPr="00D630D1" w:rsidTr="004C35E7">
        <w:trPr>
          <w:trHeight w:val="326"/>
          <w:jc w:val="center"/>
        </w:trPr>
        <w:tc>
          <w:tcPr>
            <w:tcW w:w="1741" w:type="dxa"/>
            <w:tcBorders>
              <w:top w:val="single" w:sz="12" w:space="0" w:color="000000"/>
              <w:left w:val="nil"/>
              <w:bottom w:val="single" w:sz="4" w:space="0" w:color="000000"/>
              <w:right w:val="single" w:sz="4" w:space="0" w:color="000000"/>
            </w:tcBorders>
            <w:vAlign w:val="center"/>
          </w:tcPr>
          <w:p w:rsidR="00117C3D" w:rsidRPr="00D630D1" w:rsidRDefault="008B5B84">
            <w:pPr>
              <w:pStyle w:val="TableParagraph"/>
              <w:spacing w:line="240" w:lineRule="auto"/>
              <w:ind w:firstLineChars="0" w:firstLine="0"/>
              <w:rPr>
                <w:rFonts w:ascii="Times New Roman" w:cs="Times New Roman"/>
                <w:b/>
                <w:bCs/>
                <w:kern w:val="2"/>
                <w:sz w:val="21"/>
                <w:szCs w:val="21"/>
              </w:rPr>
            </w:pPr>
            <w:r w:rsidRPr="00D630D1">
              <w:rPr>
                <w:rFonts w:ascii="Times New Roman" w:cs="Times New Roman"/>
                <w:b/>
                <w:bCs/>
                <w:kern w:val="2"/>
                <w:sz w:val="21"/>
                <w:szCs w:val="21"/>
              </w:rPr>
              <w:t>环境风险潜势</w:t>
            </w:r>
          </w:p>
        </w:tc>
        <w:tc>
          <w:tcPr>
            <w:tcW w:w="1291" w:type="dxa"/>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pPr>
              <w:pStyle w:val="TableParagraph"/>
              <w:spacing w:line="240" w:lineRule="auto"/>
              <w:ind w:firstLineChars="0" w:firstLine="0"/>
              <w:rPr>
                <w:rFonts w:ascii="Times New Roman" w:cs="Times New Roman"/>
                <w:b/>
                <w:bCs/>
                <w:kern w:val="2"/>
                <w:sz w:val="21"/>
                <w:szCs w:val="21"/>
              </w:rPr>
            </w:pPr>
            <w:r w:rsidRPr="00D630D1">
              <w:rPr>
                <w:rFonts w:ascii="Times New Roman" w:cs="Times New Roman"/>
                <w:b/>
                <w:bCs/>
                <w:kern w:val="2"/>
                <w:sz w:val="21"/>
                <w:szCs w:val="21"/>
              </w:rPr>
              <w:t>Ⅳ</w:t>
            </w:r>
            <w:r w:rsidRPr="00D630D1">
              <w:rPr>
                <w:rFonts w:ascii="Times New Roman" w:cs="Times New Roman"/>
                <w:b/>
                <w:bCs/>
                <w:kern w:val="2"/>
                <w:sz w:val="21"/>
                <w:szCs w:val="21"/>
              </w:rPr>
              <w:t>、</w:t>
            </w:r>
            <w:r w:rsidRPr="00D630D1">
              <w:rPr>
                <w:rFonts w:ascii="Times New Roman" w:cs="Times New Roman"/>
                <w:b/>
                <w:bCs/>
                <w:kern w:val="2"/>
                <w:sz w:val="21"/>
                <w:szCs w:val="21"/>
              </w:rPr>
              <w:t>Ⅳ</w:t>
            </w:r>
            <w:r w:rsidRPr="00D630D1">
              <w:rPr>
                <w:rFonts w:ascii="Times New Roman" w:cs="Times New Roman"/>
                <w:b/>
                <w:bCs/>
                <w:kern w:val="2"/>
                <w:sz w:val="21"/>
                <w:szCs w:val="21"/>
              </w:rPr>
              <w:t>＋</w:t>
            </w:r>
          </w:p>
        </w:tc>
        <w:tc>
          <w:tcPr>
            <w:tcW w:w="2037" w:type="dxa"/>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pPr>
              <w:pStyle w:val="TableParagraph"/>
              <w:spacing w:line="240" w:lineRule="auto"/>
              <w:ind w:firstLineChars="0" w:firstLine="0"/>
              <w:rPr>
                <w:rFonts w:ascii="Times New Roman" w:cs="Times New Roman"/>
                <w:b/>
                <w:bCs/>
                <w:kern w:val="2"/>
                <w:sz w:val="21"/>
                <w:szCs w:val="21"/>
              </w:rPr>
            </w:pPr>
            <w:r w:rsidRPr="00D630D1">
              <w:rPr>
                <w:rFonts w:ascii="Times New Roman" w:cs="Times New Roman"/>
                <w:b/>
                <w:bCs/>
                <w:kern w:val="2"/>
                <w:sz w:val="21"/>
                <w:szCs w:val="21"/>
              </w:rPr>
              <w:t>Ⅲ</w:t>
            </w:r>
          </w:p>
        </w:tc>
        <w:tc>
          <w:tcPr>
            <w:tcW w:w="1921" w:type="dxa"/>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pPr>
              <w:pStyle w:val="TableParagraph"/>
              <w:spacing w:line="240" w:lineRule="auto"/>
              <w:ind w:firstLineChars="0" w:firstLine="0"/>
              <w:rPr>
                <w:rFonts w:ascii="Times New Roman" w:cs="Times New Roman"/>
                <w:b/>
                <w:bCs/>
                <w:kern w:val="2"/>
                <w:sz w:val="21"/>
                <w:szCs w:val="21"/>
              </w:rPr>
            </w:pPr>
            <w:r w:rsidRPr="00D630D1">
              <w:rPr>
                <w:rFonts w:ascii="Times New Roman" w:cs="Times New Roman"/>
                <w:b/>
                <w:bCs/>
                <w:kern w:val="2"/>
                <w:sz w:val="21"/>
                <w:szCs w:val="21"/>
              </w:rPr>
              <w:t>Ⅱ</w:t>
            </w:r>
          </w:p>
        </w:tc>
        <w:tc>
          <w:tcPr>
            <w:tcW w:w="1779" w:type="dxa"/>
            <w:tcBorders>
              <w:top w:val="single" w:sz="12" w:space="0" w:color="000000"/>
              <w:left w:val="single" w:sz="4" w:space="0" w:color="000000"/>
              <w:bottom w:val="single" w:sz="4" w:space="0" w:color="000000"/>
              <w:right w:val="nil"/>
            </w:tcBorders>
            <w:vAlign w:val="center"/>
          </w:tcPr>
          <w:p w:rsidR="00117C3D" w:rsidRPr="00D630D1" w:rsidRDefault="008B5B84">
            <w:pPr>
              <w:pStyle w:val="TableParagraph"/>
              <w:spacing w:line="240" w:lineRule="auto"/>
              <w:ind w:firstLineChars="0" w:firstLine="0"/>
              <w:rPr>
                <w:rFonts w:ascii="Times New Roman" w:cs="Times New Roman"/>
                <w:b/>
                <w:bCs/>
                <w:kern w:val="2"/>
                <w:sz w:val="21"/>
                <w:szCs w:val="21"/>
              </w:rPr>
            </w:pPr>
            <w:r w:rsidRPr="00D630D1">
              <w:rPr>
                <w:rFonts w:ascii="Times New Roman" w:cs="Times New Roman"/>
                <w:b/>
                <w:bCs/>
                <w:kern w:val="2"/>
                <w:sz w:val="21"/>
                <w:szCs w:val="21"/>
              </w:rPr>
              <w:t>Ⅰ</w:t>
            </w:r>
          </w:p>
        </w:tc>
      </w:tr>
      <w:tr w:rsidR="004C35E7" w:rsidRPr="00D630D1" w:rsidTr="004C35E7">
        <w:trPr>
          <w:trHeight w:val="80"/>
          <w:jc w:val="center"/>
        </w:trPr>
        <w:tc>
          <w:tcPr>
            <w:tcW w:w="1741" w:type="dxa"/>
            <w:tcBorders>
              <w:top w:val="single" w:sz="4" w:space="0" w:color="000000"/>
              <w:left w:val="nil"/>
              <w:bottom w:val="single" w:sz="12" w:space="0" w:color="000000"/>
              <w:right w:val="single" w:sz="4" w:space="0" w:color="000000"/>
            </w:tcBorders>
            <w:vAlign w:val="center"/>
          </w:tcPr>
          <w:p w:rsidR="00117C3D" w:rsidRPr="00D630D1" w:rsidRDefault="008B5B84">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评价工作等级</w:t>
            </w:r>
          </w:p>
        </w:tc>
        <w:tc>
          <w:tcPr>
            <w:tcW w:w="1291" w:type="dxa"/>
            <w:tcBorders>
              <w:top w:val="single" w:sz="4" w:space="0" w:color="000000"/>
              <w:left w:val="single" w:sz="4" w:space="0" w:color="000000"/>
              <w:bottom w:val="single" w:sz="12" w:space="0" w:color="000000"/>
              <w:right w:val="single" w:sz="4" w:space="0" w:color="000000"/>
            </w:tcBorders>
            <w:vAlign w:val="center"/>
          </w:tcPr>
          <w:p w:rsidR="00117C3D" w:rsidRPr="00D630D1" w:rsidRDefault="008B5B84">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一</w:t>
            </w:r>
          </w:p>
        </w:tc>
        <w:tc>
          <w:tcPr>
            <w:tcW w:w="2037" w:type="dxa"/>
            <w:tcBorders>
              <w:top w:val="single" w:sz="4" w:space="0" w:color="000000"/>
              <w:left w:val="single" w:sz="4" w:space="0" w:color="000000"/>
              <w:bottom w:val="single" w:sz="12" w:space="0" w:color="000000"/>
              <w:right w:val="single" w:sz="4" w:space="0" w:color="000000"/>
            </w:tcBorders>
            <w:shd w:val="clear" w:color="auto" w:fill="auto"/>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二</w:t>
            </w:r>
            <w:r w:rsidR="006F623C" w:rsidRPr="00D630D1">
              <w:rPr>
                <w:rFonts w:ascii="Times New Roman" w:cs="Times New Roman"/>
                <w:b/>
                <w:kern w:val="2"/>
                <w:sz w:val="21"/>
                <w:szCs w:val="21"/>
              </w:rPr>
              <w:t>（</w:t>
            </w:r>
            <w:r w:rsidR="006F623C" w:rsidRPr="00D630D1">
              <w:rPr>
                <w:rFonts w:ascii="Times New Roman" w:cs="Times New Roman"/>
                <w:b/>
                <w:kern w:val="2"/>
                <w:sz w:val="21"/>
                <w:szCs w:val="21"/>
              </w:rPr>
              <w:t>√</w:t>
            </w:r>
            <w:r w:rsidR="006F623C" w:rsidRPr="00D630D1">
              <w:rPr>
                <w:rFonts w:ascii="Times New Roman" w:cs="Times New Roman"/>
                <w:b/>
                <w:kern w:val="2"/>
                <w:sz w:val="21"/>
                <w:szCs w:val="21"/>
              </w:rPr>
              <w:t>）</w:t>
            </w:r>
          </w:p>
        </w:tc>
        <w:tc>
          <w:tcPr>
            <w:tcW w:w="1921" w:type="dxa"/>
            <w:tcBorders>
              <w:top w:val="single" w:sz="4" w:space="0" w:color="000000"/>
              <w:left w:val="single" w:sz="4" w:space="0" w:color="000000"/>
              <w:bottom w:val="single" w:sz="12" w:space="0" w:color="000000"/>
              <w:right w:val="single" w:sz="4" w:space="0" w:color="000000"/>
            </w:tcBorders>
            <w:vAlign w:val="center"/>
          </w:tcPr>
          <w:p w:rsidR="00117C3D" w:rsidRPr="00D630D1" w:rsidRDefault="008B5B84">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三</w:t>
            </w:r>
          </w:p>
        </w:tc>
        <w:tc>
          <w:tcPr>
            <w:tcW w:w="1779" w:type="dxa"/>
            <w:tcBorders>
              <w:top w:val="single" w:sz="4" w:space="0" w:color="000000"/>
              <w:left w:val="single" w:sz="4" w:space="0" w:color="000000"/>
              <w:bottom w:val="single" w:sz="12" w:space="0" w:color="000000"/>
              <w:right w:val="nil"/>
            </w:tcBorders>
            <w:vAlign w:val="center"/>
          </w:tcPr>
          <w:p w:rsidR="00117C3D" w:rsidRPr="00D630D1" w:rsidRDefault="008B5B84" w:rsidP="006F623C">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简单分析</w:t>
            </w:r>
          </w:p>
        </w:tc>
      </w:tr>
    </w:tbl>
    <w:p w:rsidR="006B7428" w:rsidRPr="00D630D1" w:rsidRDefault="006B7428" w:rsidP="006B7428">
      <w:pPr>
        <w:pStyle w:val="afa"/>
        <w:ind w:firstLine="480"/>
      </w:pPr>
      <w:r w:rsidRPr="00D630D1">
        <w:t>根据《建设项目环境风险评价技术导则》（</w:t>
      </w:r>
      <w:r w:rsidRPr="00D630D1">
        <w:t>HJ169-2018</w:t>
      </w:r>
      <w:r w:rsidRPr="00D630D1">
        <w:t>）中关于环境风险评价工作等级的划分方法，本项目</w:t>
      </w:r>
      <w:r w:rsidR="006F623C" w:rsidRPr="00D630D1">
        <w:t>风险潜势为</w:t>
      </w:r>
      <w:r w:rsidR="006F623C" w:rsidRPr="00D630D1">
        <w:t>Ⅲ</w:t>
      </w:r>
      <w:r w:rsidRPr="00D630D1">
        <w:t>，确定本项目环境风险评价等级为</w:t>
      </w:r>
      <w:r w:rsidR="006F623C" w:rsidRPr="00D630D1">
        <w:rPr>
          <w:rFonts w:hint="eastAsia"/>
        </w:rPr>
        <w:t>二级</w:t>
      </w:r>
      <w:r w:rsidRPr="00D630D1">
        <w:t>。</w:t>
      </w:r>
    </w:p>
    <w:p w:rsidR="00A842BE" w:rsidRPr="00D630D1" w:rsidRDefault="00A842BE" w:rsidP="00A842BE">
      <w:pPr>
        <w:pStyle w:val="3"/>
        <w:rPr>
          <w:rFonts w:eastAsia="宋体"/>
        </w:rPr>
      </w:pPr>
      <w:bookmarkStart w:id="534" w:name="_Toc19816101"/>
      <w:bookmarkStart w:id="535" w:name="_Toc12288727"/>
      <w:bookmarkStart w:id="536" w:name="_Hlk41385142"/>
      <w:r w:rsidRPr="00D630D1">
        <w:rPr>
          <w:rFonts w:eastAsia="宋体"/>
        </w:rPr>
        <w:t xml:space="preserve">7.5.2 </w:t>
      </w:r>
      <w:r w:rsidRPr="00D630D1">
        <w:rPr>
          <w:rFonts w:eastAsia="宋体"/>
        </w:rPr>
        <w:t>环境风险评价范围</w:t>
      </w:r>
      <w:bookmarkEnd w:id="534"/>
      <w:bookmarkEnd w:id="535"/>
    </w:p>
    <w:p w:rsidR="00486503" w:rsidRPr="00D630D1" w:rsidRDefault="0071222C" w:rsidP="00AA4355">
      <w:pPr>
        <w:pStyle w:val="afa"/>
        <w:ind w:firstLine="480"/>
        <w:rPr>
          <w:szCs w:val="24"/>
        </w:rPr>
      </w:pPr>
      <w:bookmarkStart w:id="537" w:name="bookmark60"/>
      <w:bookmarkStart w:id="538" w:name="_Toc12288728"/>
      <w:bookmarkStart w:id="539" w:name="_Toc19816102"/>
      <w:bookmarkEnd w:id="536"/>
      <w:bookmarkEnd w:id="537"/>
      <w:r w:rsidRPr="00D630D1">
        <w:rPr>
          <w:szCs w:val="24"/>
        </w:rPr>
        <w:t>风险评价范围为沿管线两侧各</w:t>
      </w:r>
      <w:r w:rsidR="00F101E9" w:rsidRPr="00D630D1">
        <w:rPr>
          <w:rFonts w:hint="eastAsia"/>
          <w:szCs w:val="24"/>
        </w:rPr>
        <w:t>2</w:t>
      </w:r>
      <w:r w:rsidRPr="00D630D1">
        <w:rPr>
          <w:szCs w:val="24"/>
        </w:rPr>
        <w:t>00m</w:t>
      </w:r>
      <w:r w:rsidRPr="00D630D1">
        <w:rPr>
          <w:szCs w:val="24"/>
        </w:rPr>
        <w:t>的带状区域和</w:t>
      </w:r>
      <w:r w:rsidR="00F101E9" w:rsidRPr="00D630D1">
        <w:rPr>
          <w:rFonts w:hint="eastAsia"/>
          <w:szCs w:val="24"/>
        </w:rPr>
        <w:t>井场</w:t>
      </w:r>
      <w:r w:rsidRPr="00D630D1">
        <w:rPr>
          <w:szCs w:val="24"/>
        </w:rPr>
        <w:t>周边</w:t>
      </w:r>
      <w:r w:rsidRPr="00D630D1">
        <w:rPr>
          <w:szCs w:val="24"/>
        </w:rPr>
        <w:t>5</w:t>
      </w:r>
      <w:r w:rsidR="00F101E9" w:rsidRPr="00D630D1">
        <w:rPr>
          <w:rFonts w:hint="eastAsia"/>
          <w:szCs w:val="24"/>
        </w:rPr>
        <w:t>k</w:t>
      </w:r>
      <w:r w:rsidRPr="00D630D1">
        <w:rPr>
          <w:szCs w:val="24"/>
        </w:rPr>
        <w:t>m</w:t>
      </w:r>
      <w:r w:rsidRPr="00D630D1">
        <w:rPr>
          <w:szCs w:val="24"/>
        </w:rPr>
        <w:t>区域。</w:t>
      </w:r>
    </w:p>
    <w:p w:rsidR="00117C3D" w:rsidRPr="00D630D1" w:rsidRDefault="006B4E48" w:rsidP="00A842BE">
      <w:pPr>
        <w:pStyle w:val="2"/>
        <w:spacing w:before="120"/>
        <w:rPr>
          <w:rFonts w:cs="Times New Roman"/>
        </w:rPr>
      </w:pPr>
      <w:bookmarkStart w:id="540" w:name="_Toc81515298"/>
      <w:r w:rsidRPr="00D630D1">
        <w:rPr>
          <w:rFonts w:cs="Times New Roman"/>
        </w:rPr>
        <w:t>7</w:t>
      </w:r>
      <w:r w:rsidR="008B5B84" w:rsidRPr="00D630D1">
        <w:rPr>
          <w:rFonts w:cs="Times New Roman"/>
        </w:rPr>
        <w:t>.6</w:t>
      </w:r>
      <w:r w:rsidR="00FC46A8" w:rsidRPr="00D630D1">
        <w:rPr>
          <w:rFonts w:cs="Times New Roman"/>
        </w:rPr>
        <w:t xml:space="preserve"> </w:t>
      </w:r>
      <w:r w:rsidR="008B5B84" w:rsidRPr="00D630D1">
        <w:rPr>
          <w:rFonts w:cs="Times New Roman"/>
        </w:rPr>
        <w:t>风险识别</w:t>
      </w:r>
      <w:bookmarkEnd w:id="538"/>
      <w:bookmarkEnd w:id="539"/>
      <w:bookmarkEnd w:id="540"/>
    </w:p>
    <w:p w:rsidR="00117C3D" w:rsidRPr="00D630D1" w:rsidRDefault="00214E53">
      <w:pPr>
        <w:ind w:firstLine="480"/>
        <w:rPr>
          <w:rFonts w:ascii="Times New Roman" w:cs="Times New Roman"/>
        </w:rPr>
      </w:pPr>
      <w:bookmarkStart w:id="541" w:name="_Toc12288729"/>
      <w:bookmarkStart w:id="542" w:name="_Toc19816103"/>
      <w:r w:rsidRPr="00D630D1">
        <w:rPr>
          <w:rFonts w:ascii="Times New Roman" w:cs="Times New Roman"/>
        </w:rPr>
        <w:t>根据《建设项目环境风险评价技术导则》（</w:t>
      </w:r>
      <w:r w:rsidRPr="00D630D1">
        <w:rPr>
          <w:rFonts w:ascii="Times New Roman" w:cs="Times New Roman"/>
        </w:rPr>
        <w:t>HJ169-2018</w:t>
      </w:r>
      <w:r w:rsidRPr="00D630D1">
        <w:rPr>
          <w:rFonts w:ascii="Times New Roman" w:cs="Times New Roman"/>
        </w:rPr>
        <w:t>），环境风险识别内容包括生产过程中涉及的物质危险性识别、生产系统危险性识别、危险物质向环境转移的途径识别。</w:t>
      </w:r>
    </w:p>
    <w:p w:rsidR="00117C3D" w:rsidRPr="00D630D1" w:rsidRDefault="00F4031D">
      <w:pPr>
        <w:pStyle w:val="3"/>
        <w:rPr>
          <w:rFonts w:eastAsia="宋体"/>
        </w:rPr>
      </w:pPr>
      <w:r w:rsidRPr="00D630D1">
        <w:rPr>
          <w:rFonts w:eastAsia="宋体"/>
        </w:rPr>
        <w:t>7</w:t>
      </w:r>
      <w:r w:rsidR="008B5B84" w:rsidRPr="00D630D1">
        <w:rPr>
          <w:rFonts w:eastAsia="宋体"/>
        </w:rPr>
        <w:t xml:space="preserve">.6.1 </w:t>
      </w:r>
      <w:r w:rsidR="008B5B84" w:rsidRPr="00D630D1">
        <w:rPr>
          <w:rFonts w:eastAsia="宋体"/>
        </w:rPr>
        <w:t>物质风险识别</w:t>
      </w:r>
      <w:bookmarkEnd w:id="541"/>
      <w:bookmarkEnd w:id="542"/>
    </w:p>
    <w:p w:rsidR="00117C3D" w:rsidRPr="00D630D1" w:rsidRDefault="008B5B84">
      <w:pPr>
        <w:pStyle w:val="a1"/>
        <w:ind w:firstLine="480"/>
        <w:rPr>
          <w:rFonts w:ascii="Times New Roman" w:cs="Times New Roman"/>
        </w:rPr>
      </w:pPr>
      <w:r w:rsidRPr="00D630D1">
        <w:rPr>
          <w:rFonts w:ascii="Times New Roman" w:cs="Times New Roman"/>
        </w:rPr>
        <w:t>按照《石油天然气工程设计防火规范》（</w:t>
      </w:r>
      <w:r w:rsidRPr="00D630D1">
        <w:rPr>
          <w:rFonts w:ascii="Times New Roman" w:cs="Times New Roman"/>
        </w:rPr>
        <w:t>GB50183</w:t>
      </w:r>
      <w:r w:rsidR="004C35E7" w:rsidRPr="00D630D1">
        <w:rPr>
          <w:rFonts w:ascii="Times New Roman" w:cs="Times New Roman"/>
        </w:rPr>
        <w:t>-</w:t>
      </w:r>
      <w:r w:rsidRPr="00D630D1">
        <w:rPr>
          <w:rFonts w:ascii="Times New Roman" w:cs="Times New Roman"/>
        </w:rPr>
        <w:t>2004</w:t>
      </w:r>
      <w:r w:rsidRPr="00D630D1">
        <w:rPr>
          <w:rFonts w:ascii="Times New Roman" w:cs="Times New Roman"/>
        </w:rPr>
        <w:t>）标准，天然气属于甲</w:t>
      </w:r>
      <w:r w:rsidRPr="00D630D1">
        <w:rPr>
          <w:rFonts w:ascii="Times New Roman" w:cs="Times New Roman"/>
        </w:rPr>
        <w:t>B</w:t>
      </w:r>
      <w:r w:rsidRPr="00D630D1">
        <w:rPr>
          <w:rFonts w:ascii="Times New Roman" w:cs="Times New Roman"/>
        </w:rPr>
        <w:t>类火灾危险物质。</w:t>
      </w:r>
    </w:p>
    <w:p w:rsidR="004D7160" w:rsidRPr="00D630D1" w:rsidRDefault="004D7160" w:rsidP="004D7160">
      <w:pPr>
        <w:pStyle w:val="afa"/>
        <w:ind w:firstLine="480"/>
      </w:pPr>
      <w:r w:rsidRPr="00D630D1">
        <w:t>本工程涉及的危险物质主要是</w:t>
      </w:r>
      <w:r w:rsidR="00F101E9" w:rsidRPr="00D630D1">
        <w:t>井喷及</w:t>
      </w:r>
      <w:r w:rsidRPr="00D630D1">
        <w:t>输送的天然气所含的甲烷</w:t>
      </w:r>
      <w:r w:rsidR="009013EB">
        <w:rPr>
          <w:rFonts w:hint="eastAsia"/>
        </w:rPr>
        <w:t>以及</w:t>
      </w:r>
      <w:r w:rsidR="00F101E9" w:rsidRPr="00D630D1">
        <w:rPr>
          <w:rFonts w:hint="eastAsia"/>
        </w:rPr>
        <w:t>柴油</w:t>
      </w:r>
      <w:r w:rsidR="00571DAF">
        <w:rPr>
          <w:rFonts w:hint="eastAsia"/>
        </w:rPr>
        <w:t>、凝析油</w:t>
      </w:r>
      <w:r w:rsidR="00F101E9" w:rsidRPr="00D630D1">
        <w:rPr>
          <w:rFonts w:hint="eastAsia"/>
        </w:rPr>
        <w:t>、</w:t>
      </w:r>
      <w:r w:rsidR="00EF360A" w:rsidRPr="00D630D1">
        <w:rPr>
          <w:rFonts w:hint="eastAsia"/>
        </w:rPr>
        <w:t>压裂、洗井废水</w:t>
      </w:r>
      <w:r w:rsidR="00571DAF">
        <w:rPr>
          <w:rFonts w:hint="eastAsia"/>
        </w:rPr>
        <w:t>、气田水</w:t>
      </w:r>
      <w:r w:rsidRPr="00D630D1">
        <w:t>。</w:t>
      </w:r>
    </w:p>
    <w:p w:rsidR="003030B4" w:rsidRPr="00D630D1" w:rsidRDefault="003030B4" w:rsidP="004D7160">
      <w:pPr>
        <w:pStyle w:val="afa"/>
        <w:ind w:firstLine="482"/>
        <w:rPr>
          <w:b/>
        </w:rPr>
      </w:pPr>
      <w:r w:rsidRPr="00D630D1">
        <w:rPr>
          <w:b/>
        </w:rPr>
        <w:t>1</w:t>
      </w:r>
      <w:r w:rsidRPr="00D630D1">
        <w:rPr>
          <w:b/>
        </w:rPr>
        <w:t>、甲烷</w:t>
      </w:r>
    </w:p>
    <w:p w:rsidR="004D7160" w:rsidRDefault="004D7160" w:rsidP="004D7160">
      <w:pPr>
        <w:pStyle w:val="afa"/>
        <w:ind w:firstLine="480"/>
      </w:pPr>
      <w:r w:rsidRPr="00D630D1">
        <w:t>天然气是一种易燃易爆混合性气体，其主要成分为甲烷，与空气混合能形成爆炸性混合物，天然气本身具有闪点低、易扩散、受热后迅速汽化，强热时剧烈汽化而喷发远射、燃烧值大、燃烧温度高、爆炸范围较宽且爆炸下限低等特点。主要物质甲烷的物理化学特性如表</w:t>
      </w:r>
      <w:r w:rsidRPr="00D630D1">
        <w:t>7.6-1</w:t>
      </w:r>
      <w:r w:rsidRPr="00D630D1">
        <w:t>。</w:t>
      </w:r>
    </w:p>
    <w:p w:rsidR="00571DAF" w:rsidRPr="00D630D1" w:rsidRDefault="00571DAF" w:rsidP="004D7160">
      <w:pPr>
        <w:pStyle w:val="afa"/>
        <w:ind w:firstLine="480"/>
      </w:pPr>
    </w:p>
    <w:p w:rsidR="00117C3D" w:rsidRPr="00D630D1" w:rsidRDefault="008B5B84" w:rsidP="00F4031D">
      <w:pPr>
        <w:pStyle w:val="TOC11"/>
        <w:rPr>
          <w:rFonts w:eastAsia="宋体"/>
        </w:rPr>
      </w:pPr>
      <w:r w:rsidRPr="00D630D1">
        <w:rPr>
          <w:rFonts w:eastAsia="宋体"/>
        </w:rPr>
        <w:lastRenderedPageBreak/>
        <w:t>表</w:t>
      </w:r>
      <w:r w:rsidR="00F4031D" w:rsidRPr="00D630D1">
        <w:rPr>
          <w:rFonts w:eastAsia="宋体"/>
        </w:rPr>
        <w:t>7</w:t>
      </w:r>
      <w:r w:rsidRPr="00D630D1">
        <w:rPr>
          <w:rFonts w:eastAsia="宋体"/>
        </w:rPr>
        <w:t>.6-1</w:t>
      </w:r>
      <w:r w:rsidR="00F4031D" w:rsidRPr="00D630D1">
        <w:rPr>
          <w:rFonts w:eastAsia="宋体"/>
        </w:rPr>
        <w:t xml:space="preserve">  </w:t>
      </w:r>
      <w:r w:rsidRPr="00D630D1">
        <w:rPr>
          <w:rFonts w:eastAsia="宋体"/>
        </w:rPr>
        <w:t>甲烷物化性质表</w:t>
      </w:r>
    </w:p>
    <w:tbl>
      <w:tblPr>
        <w:tblW w:w="8727" w:type="dxa"/>
        <w:jc w:val="center"/>
        <w:tblLayout w:type="fixed"/>
        <w:tblCellMar>
          <w:left w:w="0" w:type="dxa"/>
          <w:right w:w="0" w:type="dxa"/>
        </w:tblCellMar>
        <w:tblLook w:val="04A0"/>
      </w:tblPr>
      <w:tblGrid>
        <w:gridCol w:w="474"/>
        <w:gridCol w:w="2988"/>
        <w:gridCol w:w="2814"/>
        <w:gridCol w:w="2451"/>
      </w:tblGrid>
      <w:tr w:rsidR="004C35E7" w:rsidRPr="00D630D1" w:rsidTr="004844A8">
        <w:trPr>
          <w:trHeight w:val="20"/>
          <w:jc w:val="center"/>
        </w:trPr>
        <w:tc>
          <w:tcPr>
            <w:tcW w:w="474" w:type="dxa"/>
            <w:vMerge w:val="restart"/>
            <w:tcBorders>
              <w:top w:val="single" w:sz="12" w:space="0" w:color="000000"/>
              <w:left w:val="nil"/>
              <w:bottom w:val="single" w:sz="2" w:space="0" w:color="000000"/>
              <w:right w:val="single" w:sz="2" w:space="0" w:color="000000"/>
            </w:tcBorders>
            <w:vAlign w:val="center"/>
          </w:tcPr>
          <w:p w:rsidR="00117C3D" w:rsidRPr="00D630D1" w:rsidRDefault="008B5B84" w:rsidP="004D7160">
            <w:pPr>
              <w:pStyle w:val="aff2"/>
            </w:pPr>
            <w:r w:rsidRPr="00D630D1">
              <w:t>标识</w:t>
            </w:r>
          </w:p>
        </w:tc>
        <w:tc>
          <w:tcPr>
            <w:tcW w:w="2988" w:type="dxa"/>
            <w:tcBorders>
              <w:top w:val="single" w:sz="1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中文名：甲烷</w:t>
            </w:r>
          </w:p>
        </w:tc>
        <w:tc>
          <w:tcPr>
            <w:tcW w:w="5264" w:type="dxa"/>
            <w:gridSpan w:val="2"/>
            <w:tcBorders>
              <w:top w:val="single" w:sz="1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英文名：</w:t>
            </w:r>
            <w:r w:rsidRPr="00D630D1">
              <w:t>Methane</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2988"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分子式：</w:t>
            </w:r>
            <w:r w:rsidRPr="00D630D1">
              <w:t>CH</w:t>
            </w:r>
            <w:r w:rsidRPr="00D630D1">
              <w:rPr>
                <w:vertAlign w:val="subscript"/>
              </w:rPr>
              <w:t>4</w:t>
            </w:r>
          </w:p>
        </w:tc>
        <w:tc>
          <w:tcPr>
            <w:tcW w:w="2814"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分子量：</w:t>
            </w:r>
            <w:r w:rsidRPr="00D630D1">
              <w:t>16.04</w:t>
            </w:r>
          </w:p>
        </w:tc>
        <w:tc>
          <w:tcPr>
            <w:tcW w:w="2450" w:type="dxa"/>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UN</w:t>
            </w:r>
            <w:r w:rsidRPr="00D630D1">
              <w:t>编号：</w:t>
            </w:r>
            <w:r w:rsidRPr="00D630D1">
              <w:t>1971</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2988"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危规号：</w:t>
            </w:r>
            <w:r w:rsidRPr="00D630D1">
              <w:t>21007</w:t>
            </w:r>
          </w:p>
        </w:tc>
        <w:tc>
          <w:tcPr>
            <w:tcW w:w="2814"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RTEC</w:t>
            </w:r>
            <w:r w:rsidRPr="00D630D1">
              <w:t>号：</w:t>
            </w:r>
            <w:r w:rsidRPr="00D630D1">
              <w:t>PA1490000</w:t>
            </w:r>
          </w:p>
        </w:tc>
        <w:tc>
          <w:tcPr>
            <w:tcW w:w="2450" w:type="dxa"/>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CAS</w:t>
            </w:r>
            <w:r w:rsidRPr="00D630D1">
              <w:t>号：</w:t>
            </w:r>
            <w:r w:rsidRPr="00D630D1">
              <w:t>74-82-8</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2988"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危险性类别：第</w:t>
            </w:r>
            <w:r w:rsidRPr="00D630D1">
              <w:t>2.1</w:t>
            </w:r>
            <w:r w:rsidRPr="00D630D1">
              <w:t>类易燃气体</w:t>
            </w:r>
          </w:p>
        </w:tc>
        <w:tc>
          <w:tcPr>
            <w:tcW w:w="5264" w:type="dxa"/>
            <w:gridSpan w:val="2"/>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化学类别：烷烃</w:t>
            </w:r>
          </w:p>
        </w:tc>
      </w:tr>
      <w:tr w:rsidR="004C35E7" w:rsidRPr="00D630D1" w:rsidTr="004844A8">
        <w:trPr>
          <w:trHeight w:val="20"/>
          <w:jc w:val="center"/>
        </w:trPr>
        <w:tc>
          <w:tcPr>
            <w:tcW w:w="474" w:type="dxa"/>
            <w:vMerge w:val="restart"/>
            <w:tcBorders>
              <w:top w:val="single" w:sz="2" w:space="0" w:color="000000"/>
              <w:left w:val="nil"/>
              <w:bottom w:val="single" w:sz="2" w:space="0" w:color="000000"/>
              <w:right w:val="single" w:sz="2" w:space="0" w:color="000000"/>
            </w:tcBorders>
            <w:vAlign w:val="center"/>
          </w:tcPr>
          <w:p w:rsidR="00117C3D" w:rsidRPr="00D630D1" w:rsidRDefault="008B5B84" w:rsidP="004D7160">
            <w:pPr>
              <w:pStyle w:val="aff2"/>
            </w:pPr>
            <w:r w:rsidRPr="00D630D1">
              <w:t>理化性质</w:t>
            </w:r>
          </w:p>
        </w:tc>
        <w:tc>
          <w:tcPr>
            <w:tcW w:w="8253" w:type="dxa"/>
            <w:gridSpan w:val="3"/>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外观与性状：无色无臭气体</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2988"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熔点（</w:t>
            </w:r>
            <w:r w:rsidRPr="00D630D1">
              <w:t>℃</w:t>
            </w:r>
            <w:r w:rsidRPr="00D630D1">
              <w:t>）：</w:t>
            </w:r>
            <w:r w:rsidRPr="00D630D1">
              <w:t>-182.5</w:t>
            </w:r>
          </w:p>
        </w:tc>
        <w:tc>
          <w:tcPr>
            <w:tcW w:w="5264" w:type="dxa"/>
            <w:gridSpan w:val="2"/>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溶解性：微溶于水，溶于乙醇、乙醚</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2988"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沸点（</w:t>
            </w:r>
            <w:r w:rsidRPr="00D630D1">
              <w:t>℃</w:t>
            </w:r>
            <w:r w:rsidRPr="00D630D1">
              <w:t>）：</w:t>
            </w:r>
            <w:r w:rsidRPr="00D630D1">
              <w:t>-161.5</w:t>
            </w:r>
          </w:p>
        </w:tc>
        <w:tc>
          <w:tcPr>
            <w:tcW w:w="5264" w:type="dxa"/>
            <w:gridSpan w:val="2"/>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相对密度（水</w:t>
            </w:r>
            <w:r w:rsidRPr="00D630D1">
              <w:t>=1</w:t>
            </w:r>
            <w:r w:rsidRPr="00D630D1">
              <w:t>）：</w:t>
            </w:r>
            <w:r w:rsidRPr="00D630D1">
              <w:t>0.42/-164℃</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2988"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饱和蒸气压（</w:t>
            </w:r>
            <w:r w:rsidRPr="00D630D1">
              <w:t>KPa</w:t>
            </w:r>
            <w:r w:rsidRPr="00D630D1">
              <w:t>）：</w:t>
            </w:r>
            <w:r w:rsidRPr="00D630D1">
              <w:t>53.32/-168.8</w:t>
            </w:r>
          </w:p>
        </w:tc>
        <w:tc>
          <w:tcPr>
            <w:tcW w:w="5264" w:type="dxa"/>
            <w:gridSpan w:val="2"/>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相对密度（空气</w:t>
            </w:r>
            <w:r w:rsidRPr="00D630D1">
              <w:t>=1</w:t>
            </w:r>
            <w:r w:rsidRPr="00D630D1">
              <w:t>）：</w:t>
            </w:r>
            <w:r w:rsidRPr="00D630D1">
              <w:t>0.55</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2988"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临界温度（</w:t>
            </w:r>
            <w:r w:rsidRPr="00D630D1">
              <w:t>℃</w:t>
            </w:r>
            <w:r w:rsidRPr="00D630D1">
              <w:t>）：</w:t>
            </w:r>
            <w:r w:rsidRPr="00D630D1">
              <w:t>-82.6</w:t>
            </w:r>
          </w:p>
        </w:tc>
        <w:tc>
          <w:tcPr>
            <w:tcW w:w="5264" w:type="dxa"/>
            <w:gridSpan w:val="2"/>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燃烧热（</w:t>
            </w:r>
            <w:r w:rsidRPr="00D630D1">
              <w:t>kJ/mol</w:t>
            </w:r>
            <w:r w:rsidRPr="00D630D1">
              <w:t>）：</w:t>
            </w:r>
            <w:r w:rsidRPr="00D630D1">
              <w:t>889.5</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2988"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临界压力（</w:t>
            </w:r>
            <w:r w:rsidRPr="00D630D1">
              <w:t>MPa</w:t>
            </w:r>
            <w:r w:rsidRPr="00D630D1">
              <w:t>）：</w:t>
            </w:r>
            <w:r w:rsidRPr="00D630D1">
              <w:t>4.59</w:t>
            </w:r>
          </w:p>
        </w:tc>
        <w:tc>
          <w:tcPr>
            <w:tcW w:w="5264" w:type="dxa"/>
            <w:gridSpan w:val="2"/>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最小引燃能量（</w:t>
            </w:r>
            <w:r w:rsidRPr="00D630D1">
              <w:t>mJ</w:t>
            </w:r>
            <w:r w:rsidRPr="00D630D1">
              <w:t>）：</w:t>
            </w:r>
            <w:r w:rsidRPr="00D630D1">
              <w:t>0.28</w:t>
            </w:r>
          </w:p>
        </w:tc>
      </w:tr>
      <w:tr w:rsidR="004C35E7" w:rsidRPr="00D630D1" w:rsidTr="004844A8">
        <w:trPr>
          <w:trHeight w:val="20"/>
          <w:jc w:val="center"/>
        </w:trPr>
        <w:tc>
          <w:tcPr>
            <w:tcW w:w="474" w:type="dxa"/>
            <w:vMerge w:val="restart"/>
            <w:tcBorders>
              <w:top w:val="single" w:sz="2" w:space="0" w:color="000000"/>
              <w:left w:val="nil"/>
              <w:bottom w:val="single" w:sz="2" w:space="0" w:color="000000"/>
              <w:right w:val="single" w:sz="2" w:space="0" w:color="000000"/>
            </w:tcBorders>
            <w:vAlign w:val="center"/>
          </w:tcPr>
          <w:p w:rsidR="00117C3D" w:rsidRPr="00D630D1" w:rsidRDefault="008B5B84" w:rsidP="004D7160">
            <w:pPr>
              <w:pStyle w:val="aff2"/>
            </w:pPr>
            <w:r w:rsidRPr="00D630D1">
              <w:t>燃烧爆炸危险性</w:t>
            </w:r>
          </w:p>
        </w:tc>
        <w:tc>
          <w:tcPr>
            <w:tcW w:w="2988"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燃烧性：易燃气体</w:t>
            </w:r>
          </w:p>
        </w:tc>
        <w:tc>
          <w:tcPr>
            <w:tcW w:w="5264" w:type="dxa"/>
            <w:gridSpan w:val="2"/>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燃烧分解产物：</w:t>
            </w:r>
            <w:r w:rsidRPr="00D630D1">
              <w:t>CO</w:t>
            </w:r>
            <w:r w:rsidRPr="00D630D1">
              <w:t>、</w:t>
            </w:r>
            <w:r w:rsidRPr="00D630D1">
              <w:t>CO</w:t>
            </w:r>
            <w:r w:rsidRPr="00D630D1">
              <w:rPr>
                <w:vertAlign w:val="subscript"/>
              </w:rPr>
              <w:t>2</w:t>
            </w:r>
            <w:r w:rsidRPr="00D630D1">
              <w:t>、</w:t>
            </w:r>
            <w:r w:rsidRPr="00D630D1">
              <w:t>H</w:t>
            </w:r>
            <w:r w:rsidRPr="00D630D1">
              <w:rPr>
                <w:vertAlign w:val="subscript"/>
              </w:rPr>
              <w:t>2</w:t>
            </w:r>
            <w:r w:rsidRPr="00D630D1">
              <w:t>O</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2988"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闪点（</w:t>
            </w:r>
            <w:r w:rsidRPr="00D630D1">
              <w:t>℃</w:t>
            </w:r>
            <w:r w:rsidRPr="00D630D1">
              <w:t>）：＜</w:t>
            </w:r>
            <w:r w:rsidRPr="00D630D1">
              <w:t>-50</w:t>
            </w:r>
          </w:p>
        </w:tc>
        <w:tc>
          <w:tcPr>
            <w:tcW w:w="5264" w:type="dxa"/>
            <w:gridSpan w:val="2"/>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聚合危害：不会出现</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2988"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爆炸极限（</w:t>
            </w:r>
            <w:r w:rsidRPr="00D630D1">
              <w:t>V</w:t>
            </w:r>
            <w:r w:rsidRPr="00D630D1">
              <w:t>％）：</w:t>
            </w:r>
            <w:r w:rsidRPr="00D630D1">
              <w:t>5.3</w:t>
            </w:r>
            <w:r w:rsidRPr="00D630D1">
              <w:t>～</w:t>
            </w:r>
            <w:r w:rsidRPr="00D630D1">
              <w:t>15</w:t>
            </w:r>
          </w:p>
        </w:tc>
        <w:tc>
          <w:tcPr>
            <w:tcW w:w="5264" w:type="dxa"/>
            <w:gridSpan w:val="2"/>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稳定性：稳定</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2988" w:type="dxa"/>
            <w:tcBorders>
              <w:top w:val="single" w:sz="2" w:space="0" w:color="000000"/>
              <w:left w:val="single" w:sz="2" w:space="0" w:color="000000"/>
              <w:bottom w:val="single" w:sz="2" w:space="0" w:color="000000"/>
              <w:right w:val="single" w:sz="2" w:space="0" w:color="000000"/>
            </w:tcBorders>
            <w:vAlign w:val="center"/>
          </w:tcPr>
          <w:p w:rsidR="00117C3D" w:rsidRPr="00D630D1" w:rsidRDefault="008B5B84" w:rsidP="004D7160">
            <w:pPr>
              <w:pStyle w:val="aff2"/>
              <w:jc w:val="left"/>
            </w:pPr>
            <w:r w:rsidRPr="00D630D1">
              <w:t>自燃温度（</w:t>
            </w:r>
            <w:r w:rsidRPr="00D630D1">
              <w:t>℃</w:t>
            </w:r>
            <w:r w:rsidRPr="00D630D1">
              <w:t>）：</w:t>
            </w:r>
            <w:r w:rsidRPr="00D630D1">
              <w:t>538</w:t>
            </w:r>
          </w:p>
        </w:tc>
        <w:tc>
          <w:tcPr>
            <w:tcW w:w="5264" w:type="dxa"/>
            <w:gridSpan w:val="2"/>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禁忌物：强氧化剂、卤素</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8253" w:type="dxa"/>
            <w:gridSpan w:val="3"/>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危险特性：与空气混合形成爆炸性混合物，遇明火、高热能引起燃烧爆炸，与五氧化溴、氯气、次氯酸、三氟化氮及其它氧化剂接触剧烈反应。若遇高热，容器内压增大，有开裂和爆炸的危险。</w:t>
            </w:r>
          </w:p>
          <w:p w:rsidR="00117C3D" w:rsidRPr="00D630D1" w:rsidRDefault="008B5B84" w:rsidP="004D7160">
            <w:pPr>
              <w:pStyle w:val="aff2"/>
              <w:jc w:val="left"/>
            </w:pPr>
            <w:r w:rsidRPr="00D630D1">
              <w:t>爆炸性气体分类、分级、分组：</w:t>
            </w:r>
            <w:r w:rsidRPr="00D630D1">
              <w:t>ⅡAT1</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8253" w:type="dxa"/>
            <w:gridSpan w:val="3"/>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灭火方法：切断气源。若不能立即切断气源，则不允许熄灭正在燃烧的气体。喷水冷却容器。</w:t>
            </w:r>
          </w:p>
          <w:p w:rsidR="00117C3D" w:rsidRPr="00D630D1" w:rsidRDefault="008B5B84" w:rsidP="004D7160">
            <w:pPr>
              <w:pStyle w:val="aff2"/>
              <w:jc w:val="left"/>
            </w:pPr>
            <w:r w:rsidRPr="00D630D1">
              <w:t>灭火剂：雾状水、泡沫、二氧化碳、干粉。</w:t>
            </w:r>
          </w:p>
        </w:tc>
      </w:tr>
      <w:tr w:rsidR="004C35E7" w:rsidRPr="00D630D1" w:rsidTr="004844A8">
        <w:trPr>
          <w:trHeight w:val="20"/>
          <w:jc w:val="center"/>
        </w:trPr>
        <w:tc>
          <w:tcPr>
            <w:tcW w:w="474" w:type="dxa"/>
            <w:vMerge w:val="restart"/>
            <w:tcBorders>
              <w:top w:val="single" w:sz="2" w:space="0" w:color="000000"/>
              <w:left w:val="nil"/>
              <w:bottom w:val="single" w:sz="2" w:space="0" w:color="000000"/>
              <w:right w:val="single" w:sz="2" w:space="0" w:color="000000"/>
            </w:tcBorders>
            <w:vAlign w:val="center"/>
          </w:tcPr>
          <w:p w:rsidR="00117C3D" w:rsidRPr="00D630D1" w:rsidRDefault="008B5B84" w:rsidP="004D7160">
            <w:pPr>
              <w:pStyle w:val="aff2"/>
            </w:pPr>
            <w:r w:rsidRPr="00D630D1">
              <w:t>毒性</w:t>
            </w:r>
          </w:p>
        </w:tc>
        <w:tc>
          <w:tcPr>
            <w:tcW w:w="8253" w:type="dxa"/>
            <w:gridSpan w:val="3"/>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接触限值：中国：未制定前苏联</w:t>
            </w:r>
            <w:r w:rsidRPr="00D630D1">
              <w:t>MAC</w:t>
            </w:r>
            <w:r w:rsidRPr="00D630D1">
              <w:t>：</w:t>
            </w:r>
            <w:r w:rsidRPr="00D630D1">
              <w:t>300mg/m</w:t>
            </w:r>
            <w:r w:rsidRPr="00D630D1">
              <w:rPr>
                <w:vertAlign w:val="superscript"/>
              </w:rPr>
              <w:t>3</w:t>
            </w:r>
            <w:r w:rsidRPr="00D630D1">
              <w:t>美国</w:t>
            </w:r>
            <w:r w:rsidRPr="00D630D1">
              <w:t>TWA</w:t>
            </w:r>
            <w:r w:rsidRPr="00D630D1">
              <w:t>（</w:t>
            </w:r>
            <w:r w:rsidRPr="00D630D1">
              <w:t>ACGIH</w:t>
            </w:r>
            <w:r w:rsidRPr="00D630D1">
              <w:t>）：窒息性气体</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8253" w:type="dxa"/>
            <w:gridSpan w:val="3"/>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毒性：属低毒性</w:t>
            </w:r>
          </w:p>
        </w:tc>
      </w:tr>
      <w:tr w:rsidR="004C35E7" w:rsidRPr="00D630D1" w:rsidTr="004844A8">
        <w:trPr>
          <w:trHeight w:val="20"/>
          <w:jc w:val="center"/>
        </w:trPr>
        <w:tc>
          <w:tcPr>
            <w:tcW w:w="474" w:type="dxa"/>
            <w:vMerge/>
            <w:tcBorders>
              <w:top w:val="single" w:sz="2" w:space="0" w:color="000000"/>
              <w:left w:val="nil"/>
              <w:bottom w:val="single" w:sz="2" w:space="0" w:color="000000"/>
              <w:right w:val="single" w:sz="2" w:space="0" w:color="000000"/>
            </w:tcBorders>
            <w:vAlign w:val="center"/>
          </w:tcPr>
          <w:p w:rsidR="00117C3D" w:rsidRPr="00D630D1" w:rsidRDefault="00117C3D" w:rsidP="004D7160">
            <w:pPr>
              <w:pStyle w:val="aff2"/>
            </w:pPr>
          </w:p>
        </w:tc>
        <w:tc>
          <w:tcPr>
            <w:tcW w:w="8253" w:type="dxa"/>
            <w:gridSpan w:val="3"/>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侵入途径：吸入</w:t>
            </w:r>
          </w:p>
        </w:tc>
      </w:tr>
      <w:tr w:rsidR="004C35E7" w:rsidRPr="00D630D1" w:rsidTr="004844A8">
        <w:trPr>
          <w:trHeight w:val="20"/>
          <w:jc w:val="center"/>
        </w:trPr>
        <w:tc>
          <w:tcPr>
            <w:tcW w:w="474" w:type="dxa"/>
            <w:tcBorders>
              <w:top w:val="single" w:sz="2" w:space="0" w:color="000000"/>
              <w:left w:val="nil"/>
              <w:bottom w:val="single" w:sz="2" w:space="0" w:color="000000"/>
              <w:right w:val="single" w:sz="2" w:space="0" w:color="000000"/>
            </w:tcBorders>
            <w:vAlign w:val="center"/>
          </w:tcPr>
          <w:p w:rsidR="00117C3D" w:rsidRPr="00D630D1" w:rsidRDefault="008B5B84" w:rsidP="004D7160">
            <w:pPr>
              <w:pStyle w:val="aff2"/>
            </w:pPr>
            <w:r w:rsidRPr="00D630D1">
              <w:t>健康危害</w:t>
            </w:r>
          </w:p>
        </w:tc>
        <w:tc>
          <w:tcPr>
            <w:tcW w:w="8253" w:type="dxa"/>
            <w:gridSpan w:val="3"/>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空气中甲烷浓度过高，使人窒息，当空气中甲烷达</w:t>
            </w:r>
            <w:r w:rsidRPr="00D630D1">
              <w:t>25</w:t>
            </w:r>
            <w:r w:rsidRPr="00D630D1">
              <w:t>～</w:t>
            </w:r>
            <w:r w:rsidRPr="00D630D1">
              <w:t>30</w:t>
            </w:r>
            <w:r w:rsidR="004D7160" w:rsidRPr="00D630D1">
              <w:t>%</w:t>
            </w:r>
            <w:r w:rsidRPr="00D630D1">
              <w:t>时，可引起头痛、头晕乏力、注意力不集中、呼吸和心跳加快、精细动作障碍等，甚至因缺氧而窒息，昏迷，甲烷量高达</w:t>
            </w:r>
            <w:r w:rsidRPr="00D630D1">
              <w:t>2</w:t>
            </w:r>
            <w:r w:rsidR="004D7160" w:rsidRPr="00D630D1">
              <w:t>%</w:t>
            </w:r>
            <w:r w:rsidRPr="00D630D1">
              <w:t>时，工作人员应立即离开该区域。</w:t>
            </w:r>
          </w:p>
        </w:tc>
      </w:tr>
      <w:tr w:rsidR="004C35E7" w:rsidRPr="00D630D1" w:rsidTr="004844A8">
        <w:trPr>
          <w:trHeight w:val="20"/>
          <w:jc w:val="center"/>
        </w:trPr>
        <w:tc>
          <w:tcPr>
            <w:tcW w:w="474" w:type="dxa"/>
            <w:tcBorders>
              <w:top w:val="single" w:sz="2" w:space="0" w:color="000000"/>
              <w:left w:val="nil"/>
              <w:bottom w:val="single" w:sz="2" w:space="0" w:color="000000"/>
              <w:right w:val="single" w:sz="2" w:space="0" w:color="000000"/>
            </w:tcBorders>
            <w:vAlign w:val="center"/>
          </w:tcPr>
          <w:p w:rsidR="00117C3D" w:rsidRPr="00D630D1" w:rsidRDefault="008B5B84" w:rsidP="004D7160">
            <w:pPr>
              <w:pStyle w:val="aff2"/>
            </w:pPr>
            <w:r w:rsidRPr="00D630D1">
              <w:t>急救方案</w:t>
            </w:r>
          </w:p>
        </w:tc>
        <w:tc>
          <w:tcPr>
            <w:tcW w:w="8253" w:type="dxa"/>
            <w:gridSpan w:val="3"/>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吸入：应迅速离开现场至空气新鲜处，注意保暖，呼吸困难时给输氧。呼吸及心跳停止者应立即进行人工呼吸和心脏按压术。就医。对症治疗，注意防止脑水肿。</w:t>
            </w:r>
          </w:p>
          <w:p w:rsidR="00117C3D" w:rsidRPr="00D630D1" w:rsidRDefault="008B5B84" w:rsidP="004D7160">
            <w:pPr>
              <w:pStyle w:val="aff2"/>
              <w:jc w:val="left"/>
            </w:pPr>
            <w:r w:rsidRPr="00D630D1">
              <w:t>皮肤接触：若有冻伤，就医治疗。</w:t>
            </w:r>
          </w:p>
        </w:tc>
      </w:tr>
      <w:tr w:rsidR="004C35E7" w:rsidRPr="00D630D1" w:rsidTr="004844A8">
        <w:trPr>
          <w:trHeight w:val="20"/>
          <w:jc w:val="center"/>
        </w:trPr>
        <w:tc>
          <w:tcPr>
            <w:tcW w:w="474" w:type="dxa"/>
            <w:tcBorders>
              <w:top w:val="single" w:sz="2" w:space="0" w:color="000000"/>
              <w:left w:val="nil"/>
              <w:bottom w:val="single" w:sz="2" w:space="0" w:color="000000"/>
              <w:right w:val="single" w:sz="2" w:space="0" w:color="000000"/>
            </w:tcBorders>
            <w:vAlign w:val="center"/>
          </w:tcPr>
          <w:p w:rsidR="00117C3D" w:rsidRPr="00D630D1" w:rsidRDefault="008B5B84" w:rsidP="004D7160">
            <w:pPr>
              <w:pStyle w:val="aff2"/>
            </w:pPr>
            <w:r w:rsidRPr="00D630D1">
              <w:t>防护措施</w:t>
            </w:r>
          </w:p>
        </w:tc>
        <w:tc>
          <w:tcPr>
            <w:tcW w:w="8253" w:type="dxa"/>
            <w:gridSpan w:val="3"/>
            <w:tcBorders>
              <w:top w:val="single" w:sz="2" w:space="0" w:color="000000"/>
              <w:left w:val="single" w:sz="2" w:space="0" w:color="000000"/>
              <w:bottom w:val="single" w:sz="2" w:space="0" w:color="000000"/>
              <w:right w:val="nil"/>
            </w:tcBorders>
            <w:vAlign w:val="center"/>
          </w:tcPr>
          <w:p w:rsidR="00117C3D" w:rsidRPr="00D630D1" w:rsidRDefault="008B5B84" w:rsidP="004D7160">
            <w:pPr>
              <w:pStyle w:val="aff2"/>
              <w:jc w:val="left"/>
            </w:pPr>
            <w:r w:rsidRPr="00D630D1">
              <w:t>工程控制：生产过程密闭，全面通风。进入罐内或高浓度区作业，应有人监护。</w:t>
            </w:r>
          </w:p>
          <w:p w:rsidR="00117C3D" w:rsidRPr="00D630D1" w:rsidRDefault="008B5B84" w:rsidP="004D7160">
            <w:pPr>
              <w:pStyle w:val="aff2"/>
              <w:jc w:val="left"/>
            </w:pPr>
            <w:r w:rsidRPr="00D630D1">
              <w:t>个体防护：高浓度环境，佩戴自给式呼吸器；一般可戴安全防护眼镜、防护手套、穿防静电工作服。</w:t>
            </w:r>
          </w:p>
          <w:p w:rsidR="00117C3D" w:rsidRPr="00D630D1" w:rsidRDefault="008B5B84" w:rsidP="004D7160">
            <w:pPr>
              <w:pStyle w:val="aff2"/>
              <w:jc w:val="left"/>
            </w:pPr>
            <w:r w:rsidRPr="00D630D1">
              <w:t>其他：工作现场严禁吸烟。避免长期反复接触。进入限制性空间或其他高浓度作业区，须有人监护。</w:t>
            </w:r>
          </w:p>
        </w:tc>
      </w:tr>
      <w:tr w:rsidR="004C35E7" w:rsidRPr="00D630D1" w:rsidTr="004844A8">
        <w:trPr>
          <w:trHeight w:val="20"/>
          <w:jc w:val="center"/>
        </w:trPr>
        <w:tc>
          <w:tcPr>
            <w:tcW w:w="474" w:type="dxa"/>
            <w:tcBorders>
              <w:top w:val="single" w:sz="2" w:space="0" w:color="000000"/>
              <w:left w:val="nil"/>
              <w:bottom w:val="single" w:sz="12" w:space="0" w:color="000000"/>
              <w:right w:val="single" w:sz="2" w:space="0" w:color="000000"/>
            </w:tcBorders>
            <w:vAlign w:val="center"/>
          </w:tcPr>
          <w:p w:rsidR="00117C3D" w:rsidRPr="00D630D1" w:rsidRDefault="008B5B84" w:rsidP="004D7160">
            <w:pPr>
              <w:pStyle w:val="aff2"/>
            </w:pPr>
            <w:r w:rsidRPr="00D630D1">
              <w:t>泄漏处理</w:t>
            </w:r>
          </w:p>
        </w:tc>
        <w:tc>
          <w:tcPr>
            <w:tcW w:w="8253" w:type="dxa"/>
            <w:gridSpan w:val="3"/>
            <w:tcBorders>
              <w:top w:val="single" w:sz="2" w:space="0" w:color="000000"/>
              <w:left w:val="single" w:sz="2" w:space="0" w:color="000000"/>
              <w:bottom w:val="single" w:sz="12" w:space="0" w:color="000000"/>
              <w:right w:val="nil"/>
            </w:tcBorders>
            <w:vAlign w:val="center"/>
          </w:tcPr>
          <w:p w:rsidR="00117C3D" w:rsidRPr="00D630D1" w:rsidRDefault="008B5B84" w:rsidP="004D7160">
            <w:pPr>
              <w:pStyle w:val="aff2"/>
              <w:jc w:val="left"/>
            </w:pPr>
            <w:r w:rsidRPr="00D630D1">
              <w:t>迅速撤离泄漏污染区人员至上风处，并进行隔离，严格限制出入。切断火源。尽可能切断泄漏源，合理通风，加速扩散。</w:t>
            </w:r>
          </w:p>
          <w:p w:rsidR="00117C3D" w:rsidRPr="00D630D1" w:rsidRDefault="008B5B84" w:rsidP="004D7160">
            <w:pPr>
              <w:pStyle w:val="aff2"/>
              <w:jc w:val="left"/>
            </w:pPr>
            <w:r w:rsidRPr="00D630D1">
              <w:t>建议应急处理人员戴自给式呼吸器，穿一般消防防护服．切断气源，喷雾状水稀释、溶解，抽排（室内）或强力通风（室外）。如有可能，将漏出气用排风机送至空旷地方或装设适当喷头烧掉．也可以将漏气的容器移至空旷处，注意通风．漏气容器不能再用，且要经过技术处理以清除可能剩下的气体，修复、检验后再用。</w:t>
            </w:r>
          </w:p>
        </w:tc>
      </w:tr>
    </w:tbl>
    <w:p w:rsidR="00DC07D5" w:rsidRPr="00D630D1" w:rsidRDefault="00DC07D5" w:rsidP="00DC07D5">
      <w:pPr>
        <w:pStyle w:val="afa"/>
        <w:ind w:firstLine="480"/>
      </w:pPr>
      <w:r w:rsidRPr="00D630D1">
        <w:t>甲烷其危险有害因素分析如下：</w:t>
      </w:r>
    </w:p>
    <w:p w:rsidR="00DC07D5" w:rsidRPr="00D630D1" w:rsidRDefault="003030B4" w:rsidP="00DC07D5">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w:t>
      </w:r>
      <w:r w:rsidR="00DC07D5" w:rsidRPr="00D630D1">
        <w:rPr>
          <w:rFonts w:ascii="Times New Roman" w:cs="Times New Roman"/>
        </w:rPr>
        <w:t>易燃性：天然气属于甲类火灾危险物质。对于石油蒸汽、天然气常常在作业场所或储存区弥散、扩散或在低洼处聚集，在空气中只</w:t>
      </w:r>
      <w:r w:rsidR="004844A8" w:rsidRPr="00D630D1">
        <w:rPr>
          <w:rFonts w:ascii="Times New Roman" w:cs="Times New Roman"/>
        </w:rPr>
        <w:t>要</w:t>
      </w:r>
      <w:r w:rsidR="00DC07D5" w:rsidRPr="00D630D1">
        <w:rPr>
          <w:rFonts w:ascii="Times New Roman" w:cs="Times New Roman"/>
        </w:rPr>
        <w:t>较小的点燃能量就会燃烧，因此具有较大的火灾危险性。</w:t>
      </w:r>
    </w:p>
    <w:p w:rsidR="00DC07D5" w:rsidRPr="00D630D1" w:rsidRDefault="003030B4" w:rsidP="00DC07D5">
      <w:pPr>
        <w:pStyle w:val="a1"/>
        <w:ind w:firstLine="480"/>
        <w:rPr>
          <w:rFonts w:ascii="Times New Roman" w:cs="Times New Roman"/>
        </w:rPr>
      </w:pPr>
      <w:r w:rsidRPr="00D630D1">
        <w:rPr>
          <w:rFonts w:ascii="Times New Roman" w:cs="Times New Roman"/>
        </w:rPr>
        <w:lastRenderedPageBreak/>
        <w:t>（</w:t>
      </w:r>
      <w:r w:rsidRPr="00D630D1">
        <w:rPr>
          <w:rFonts w:ascii="Times New Roman" w:cs="Times New Roman"/>
        </w:rPr>
        <w:t>2</w:t>
      </w:r>
      <w:r w:rsidRPr="00D630D1">
        <w:rPr>
          <w:rFonts w:ascii="Times New Roman" w:cs="Times New Roman"/>
        </w:rPr>
        <w:t>）</w:t>
      </w:r>
      <w:r w:rsidR="00DC07D5" w:rsidRPr="00D630D1">
        <w:rPr>
          <w:rFonts w:ascii="Times New Roman" w:cs="Times New Roman"/>
        </w:rPr>
        <w:t>易爆性：天然气与空气组成混合气体，其浓度处于一定范围时，连火即发生爆炸。天然气（甲烷）的爆炸极限范围为</w:t>
      </w:r>
      <w:r w:rsidR="00DC07D5" w:rsidRPr="00D630D1">
        <w:rPr>
          <w:rFonts w:ascii="Times New Roman" w:cs="Times New Roman"/>
        </w:rPr>
        <w:t>5%~14%</w:t>
      </w:r>
      <w:r w:rsidR="00DC07D5" w:rsidRPr="00D630D1">
        <w:rPr>
          <w:rFonts w:ascii="Times New Roman" w:cs="Times New Roman"/>
        </w:rPr>
        <w:t>，爆炸浓度极限范围愈宽，爆炸下限浓度值越低，物质爆炸危险性</w:t>
      </w:r>
      <w:r w:rsidR="00DC07D5" w:rsidRPr="00D630D1">
        <w:rPr>
          <w:rFonts w:ascii="Times New Roman" w:cs="Times New Roman"/>
        </w:rPr>
        <w:t xml:space="preserve"> </w:t>
      </w:r>
      <w:r w:rsidR="00DC07D5" w:rsidRPr="00D630D1">
        <w:rPr>
          <w:rFonts w:ascii="Times New Roman" w:cs="Times New Roman"/>
        </w:rPr>
        <w:t>就越大。上表列出了在</w:t>
      </w:r>
      <w:r w:rsidR="00DC07D5" w:rsidRPr="00D630D1">
        <w:rPr>
          <w:rFonts w:ascii="Times New Roman" w:cs="Times New Roman"/>
        </w:rPr>
        <w:t>0℃</w:t>
      </w:r>
      <w:r w:rsidR="00DC07D5" w:rsidRPr="00D630D1">
        <w:rPr>
          <w:rFonts w:ascii="Times New Roman" w:cs="Times New Roman"/>
        </w:rPr>
        <w:t>、</w:t>
      </w:r>
      <w:r w:rsidR="00DC07D5" w:rsidRPr="00D630D1">
        <w:rPr>
          <w:rFonts w:ascii="Times New Roman" w:cs="Times New Roman"/>
        </w:rPr>
        <w:t>101.325kPa</w:t>
      </w:r>
      <w:r w:rsidR="00DC07D5" w:rsidRPr="00D630D1">
        <w:rPr>
          <w:rFonts w:ascii="Times New Roman" w:cs="Times New Roman"/>
        </w:rPr>
        <w:t>条件下天然气主要成分的爆炸、燃烧特性。</w:t>
      </w:r>
    </w:p>
    <w:p w:rsidR="00DC07D5" w:rsidRPr="00D630D1" w:rsidRDefault="003030B4" w:rsidP="00DC07D5">
      <w:pPr>
        <w:pStyle w:val="a1"/>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w:t>
      </w:r>
      <w:r w:rsidR="00DC07D5" w:rsidRPr="00D630D1">
        <w:rPr>
          <w:rFonts w:ascii="Times New Roman" w:cs="Times New Roman"/>
        </w:rPr>
        <w:t>毒性：天然气为烃类混合物，属低毒性物质，但长期接触可导致神经衰弱综合症。甲烷属</w:t>
      </w:r>
      <w:r w:rsidR="00DC07D5" w:rsidRPr="00D630D1">
        <w:rPr>
          <w:rFonts w:ascii="Times New Roman" w:cs="Times New Roman"/>
        </w:rPr>
        <w:t>“</w:t>
      </w:r>
      <w:r w:rsidR="00DC07D5" w:rsidRPr="00D630D1">
        <w:rPr>
          <w:rFonts w:ascii="Times New Roman" w:cs="Times New Roman"/>
        </w:rPr>
        <w:t>单纯窒息性</w:t>
      </w:r>
      <w:r w:rsidR="00DC07D5" w:rsidRPr="00D630D1">
        <w:rPr>
          <w:rFonts w:ascii="Times New Roman" w:cs="Times New Roman"/>
        </w:rPr>
        <w:t>”</w:t>
      </w:r>
      <w:r w:rsidR="00DC07D5" w:rsidRPr="00D630D1">
        <w:rPr>
          <w:rFonts w:ascii="Times New Roman" w:cs="Times New Roman"/>
        </w:rPr>
        <w:t>气体，高浓度时因缺氧窒息而引起中毒，空气中甲烷浓度达到</w:t>
      </w:r>
      <w:r w:rsidR="00DC07D5" w:rsidRPr="00D630D1">
        <w:rPr>
          <w:rFonts w:ascii="Times New Roman" w:cs="Times New Roman"/>
        </w:rPr>
        <w:t>25%~30%</w:t>
      </w:r>
      <w:r w:rsidR="00DC07D5" w:rsidRPr="00D630D1">
        <w:rPr>
          <w:rFonts w:ascii="Times New Roman" w:cs="Times New Roman"/>
        </w:rPr>
        <w:t>时出现头晕，呼吸加速、运动失调。</w:t>
      </w:r>
    </w:p>
    <w:p w:rsidR="00DC07D5" w:rsidRPr="00D630D1" w:rsidRDefault="003030B4" w:rsidP="00DC07D5">
      <w:pPr>
        <w:pStyle w:val="a1"/>
        <w:ind w:firstLine="480"/>
        <w:rPr>
          <w:rFonts w:ascii="Times New Roman" w:cs="Times New Roman"/>
        </w:rPr>
      </w:pPr>
      <w:r w:rsidRPr="00D630D1">
        <w:rPr>
          <w:rFonts w:ascii="Times New Roman" w:cs="Times New Roman"/>
        </w:rPr>
        <w:t>（</w:t>
      </w:r>
      <w:r w:rsidRPr="00D630D1">
        <w:rPr>
          <w:rFonts w:ascii="Times New Roman" w:cs="Times New Roman"/>
        </w:rPr>
        <w:t>4</w:t>
      </w:r>
      <w:r w:rsidRPr="00D630D1">
        <w:rPr>
          <w:rFonts w:ascii="Times New Roman" w:cs="Times New Roman"/>
        </w:rPr>
        <w:t>）</w:t>
      </w:r>
      <w:r w:rsidR="00DC07D5" w:rsidRPr="00D630D1">
        <w:rPr>
          <w:rFonts w:ascii="Times New Roman" w:cs="Times New Roman"/>
        </w:rPr>
        <w:t>热膨胀性：石油及石油产品、天然气的体积随着温度的升高而膨胀，特别是天然气随温度升高膨胀特别明显．如果站场储存容器受暴晒或靠近高温热源，容器内的介质受热膨胀造成容器内压增大而膨胀。这种热胀冷缩作用往往损坏储存容器，造成介质泄漏。天然气储存容器在低温下还可能引起外压失稳。</w:t>
      </w:r>
    </w:p>
    <w:p w:rsidR="00DC07D5" w:rsidRPr="00D630D1" w:rsidRDefault="003030B4" w:rsidP="00DC07D5">
      <w:pPr>
        <w:pStyle w:val="a1"/>
        <w:ind w:firstLine="480"/>
        <w:rPr>
          <w:rFonts w:ascii="Times New Roman" w:cs="Times New Roman"/>
        </w:rPr>
      </w:pPr>
      <w:r w:rsidRPr="00D630D1">
        <w:rPr>
          <w:rFonts w:ascii="Times New Roman" w:cs="Times New Roman"/>
        </w:rPr>
        <w:t>（</w:t>
      </w:r>
      <w:r w:rsidRPr="00D630D1">
        <w:rPr>
          <w:rFonts w:ascii="Times New Roman" w:cs="Times New Roman"/>
        </w:rPr>
        <w:t>5</w:t>
      </w:r>
      <w:r w:rsidRPr="00D630D1">
        <w:rPr>
          <w:rFonts w:ascii="Times New Roman" w:cs="Times New Roman"/>
        </w:rPr>
        <w:t>）</w:t>
      </w:r>
      <w:r w:rsidR="00DC07D5" w:rsidRPr="00D630D1">
        <w:rPr>
          <w:rFonts w:ascii="Times New Roman" w:cs="Times New Roman"/>
        </w:rPr>
        <w:t>静电荷聚集性：虽然静电荷主要发生在油品的运输、流动、装卸等工艺中，但是压缩气体从管口或破损处高速喷出时，由于强烈的摩擦作用，也会产生静电；静电的危害主要是静电放电。如果静电放电产生的电火花能量达到或大于可燃物的最小点火能，就会立即引起燃烧、爆炸。</w:t>
      </w:r>
    </w:p>
    <w:p w:rsidR="00DC07D5" w:rsidRPr="00D630D1" w:rsidRDefault="003030B4" w:rsidP="00DC07D5">
      <w:pPr>
        <w:pStyle w:val="a1"/>
        <w:ind w:firstLine="480"/>
        <w:rPr>
          <w:rFonts w:ascii="Times New Roman" w:cs="Times New Roman"/>
        </w:rPr>
      </w:pPr>
      <w:r w:rsidRPr="00D630D1">
        <w:rPr>
          <w:rFonts w:ascii="Times New Roman" w:cs="Times New Roman"/>
        </w:rPr>
        <w:t>（</w:t>
      </w:r>
      <w:r w:rsidRPr="00D630D1">
        <w:rPr>
          <w:rFonts w:ascii="Times New Roman" w:cs="Times New Roman"/>
        </w:rPr>
        <w:t>6</w:t>
      </w:r>
      <w:r w:rsidRPr="00D630D1">
        <w:rPr>
          <w:rFonts w:ascii="Times New Roman" w:cs="Times New Roman"/>
        </w:rPr>
        <w:t>）</w:t>
      </w:r>
      <w:r w:rsidR="00DC07D5" w:rsidRPr="00D630D1">
        <w:rPr>
          <w:rFonts w:ascii="Times New Roman" w:cs="Times New Roman"/>
        </w:rPr>
        <w:t>易扩散性：天然气的泄漏不仅会影响管道的正常输送，污染周围的环境，甚至使人中毒，更为严重的是增加了火灾爆炸的危险。当管道系统密封不严时，天然气极易发生泄漏，并可随风四处扩散，遇到明火极易引起火灾或爆炸。甲烷特性见下表：</w:t>
      </w:r>
    </w:p>
    <w:p w:rsidR="00DC07D5" w:rsidRPr="00D630D1" w:rsidRDefault="00DC07D5" w:rsidP="00DC07D5">
      <w:pPr>
        <w:pStyle w:val="TOC11"/>
        <w:rPr>
          <w:rFonts w:eastAsia="宋体"/>
        </w:rPr>
      </w:pPr>
      <w:r w:rsidRPr="00D630D1">
        <w:rPr>
          <w:rFonts w:eastAsia="宋体"/>
        </w:rPr>
        <w:t>表</w:t>
      </w:r>
      <w:r w:rsidRPr="00D630D1">
        <w:rPr>
          <w:rFonts w:eastAsia="宋体"/>
        </w:rPr>
        <w:t>7</w:t>
      </w:r>
      <w:r w:rsidR="003030B4" w:rsidRPr="00D630D1">
        <w:rPr>
          <w:rFonts w:eastAsia="宋体"/>
        </w:rPr>
        <w:t>.</w:t>
      </w:r>
      <w:r w:rsidRPr="00D630D1">
        <w:rPr>
          <w:rFonts w:eastAsia="宋体"/>
        </w:rPr>
        <w:t xml:space="preserve">6-2  </w:t>
      </w:r>
      <w:r w:rsidRPr="00D630D1">
        <w:rPr>
          <w:rFonts w:eastAsia="宋体"/>
        </w:rPr>
        <w:t>甲烷的危险特性</w:t>
      </w:r>
    </w:p>
    <w:tbl>
      <w:tblPr>
        <w:tblW w:w="8822" w:type="dxa"/>
        <w:jc w:val="center"/>
        <w:tblBorders>
          <w:top w:val="single" w:sz="12" w:space="0" w:color="000000"/>
          <w:bottom w:val="single" w:sz="12" w:space="0" w:color="000000"/>
          <w:insideH w:val="single" w:sz="4" w:space="0" w:color="000000"/>
          <w:insideV w:val="single" w:sz="4" w:space="0" w:color="000000"/>
        </w:tblBorders>
        <w:tblLook w:val="04A0"/>
      </w:tblPr>
      <w:tblGrid>
        <w:gridCol w:w="1723"/>
        <w:gridCol w:w="1024"/>
        <w:gridCol w:w="1657"/>
        <w:gridCol w:w="2596"/>
        <w:gridCol w:w="1822"/>
      </w:tblGrid>
      <w:tr w:rsidR="004C35E7" w:rsidRPr="00D630D1" w:rsidTr="004844A8">
        <w:trPr>
          <w:trHeight w:val="269"/>
          <w:jc w:val="center"/>
        </w:trPr>
        <w:tc>
          <w:tcPr>
            <w:tcW w:w="2747" w:type="dxa"/>
            <w:gridSpan w:val="2"/>
            <w:vAlign w:val="center"/>
          </w:tcPr>
          <w:p w:rsidR="00DC07D5" w:rsidRPr="00D630D1" w:rsidRDefault="00DC07D5" w:rsidP="00DC07D5">
            <w:pPr>
              <w:pStyle w:val="aff2"/>
            </w:pPr>
            <w:r w:rsidRPr="00D630D1">
              <w:t>临界温度</w:t>
            </w:r>
            <w:r w:rsidRPr="00D630D1">
              <w:t>℃</w:t>
            </w:r>
          </w:p>
        </w:tc>
        <w:tc>
          <w:tcPr>
            <w:tcW w:w="1657" w:type="dxa"/>
            <w:vAlign w:val="center"/>
          </w:tcPr>
          <w:p w:rsidR="00DC07D5" w:rsidRPr="00D630D1" w:rsidRDefault="00DC07D5" w:rsidP="00DC07D5">
            <w:pPr>
              <w:pStyle w:val="aff2"/>
            </w:pPr>
            <w:r w:rsidRPr="00D630D1">
              <w:t>-79.48</w:t>
            </w:r>
          </w:p>
        </w:tc>
        <w:tc>
          <w:tcPr>
            <w:tcW w:w="2596" w:type="dxa"/>
            <w:vAlign w:val="center"/>
          </w:tcPr>
          <w:p w:rsidR="00DC07D5" w:rsidRPr="00D630D1" w:rsidRDefault="00DC07D5" w:rsidP="00DC07D5">
            <w:pPr>
              <w:pStyle w:val="aff2"/>
            </w:pPr>
            <w:r w:rsidRPr="00D630D1">
              <w:t>燃烧热</w:t>
            </w:r>
            <w:r w:rsidRPr="00D630D1">
              <w:t>j/kmol</w:t>
            </w:r>
          </w:p>
        </w:tc>
        <w:tc>
          <w:tcPr>
            <w:tcW w:w="1821" w:type="dxa"/>
            <w:vAlign w:val="center"/>
          </w:tcPr>
          <w:p w:rsidR="00DC07D5" w:rsidRPr="00D630D1" w:rsidRDefault="00DC07D5" w:rsidP="00DC07D5">
            <w:pPr>
              <w:pStyle w:val="aff2"/>
            </w:pPr>
            <w:r w:rsidRPr="00D630D1">
              <w:t>884768.6</w:t>
            </w:r>
          </w:p>
        </w:tc>
      </w:tr>
      <w:tr w:rsidR="004C35E7" w:rsidRPr="00D630D1" w:rsidTr="004844A8">
        <w:trPr>
          <w:trHeight w:val="253"/>
          <w:jc w:val="center"/>
        </w:trPr>
        <w:tc>
          <w:tcPr>
            <w:tcW w:w="2747" w:type="dxa"/>
            <w:gridSpan w:val="2"/>
            <w:vAlign w:val="center"/>
          </w:tcPr>
          <w:p w:rsidR="00DC07D5" w:rsidRPr="00D630D1" w:rsidRDefault="00DC07D5" w:rsidP="00DC07D5">
            <w:pPr>
              <w:pStyle w:val="aff2"/>
            </w:pPr>
            <w:r w:rsidRPr="00D630D1">
              <w:t>临界压力</w:t>
            </w:r>
            <w:r w:rsidRPr="00D630D1">
              <w:t>bar</w:t>
            </w:r>
          </w:p>
        </w:tc>
        <w:tc>
          <w:tcPr>
            <w:tcW w:w="1657" w:type="dxa"/>
            <w:vAlign w:val="center"/>
          </w:tcPr>
          <w:p w:rsidR="00DC07D5" w:rsidRPr="00D630D1" w:rsidRDefault="00DC07D5" w:rsidP="00DC07D5">
            <w:pPr>
              <w:pStyle w:val="aff2"/>
            </w:pPr>
            <w:r w:rsidRPr="00D630D1">
              <w:t>46.5</w:t>
            </w:r>
          </w:p>
        </w:tc>
        <w:tc>
          <w:tcPr>
            <w:tcW w:w="2596" w:type="dxa"/>
            <w:vAlign w:val="center"/>
          </w:tcPr>
          <w:p w:rsidR="00DC07D5" w:rsidRPr="00D630D1" w:rsidRDefault="00DC07D5" w:rsidP="00DC07D5">
            <w:pPr>
              <w:pStyle w:val="aff2"/>
            </w:pPr>
            <w:r w:rsidRPr="00D630D1">
              <w:t>LEF</w:t>
            </w:r>
            <w:r w:rsidRPr="00D630D1">
              <w:t>（</w:t>
            </w:r>
            <w:r w:rsidRPr="00D630D1">
              <w:t>%V/V</w:t>
            </w:r>
            <w:r w:rsidRPr="00D630D1">
              <w:t>）</w:t>
            </w:r>
          </w:p>
        </w:tc>
        <w:tc>
          <w:tcPr>
            <w:tcW w:w="1821" w:type="dxa"/>
            <w:vAlign w:val="center"/>
          </w:tcPr>
          <w:p w:rsidR="00DC07D5" w:rsidRPr="00D630D1" w:rsidRDefault="00DC07D5" w:rsidP="00DC07D5">
            <w:pPr>
              <w:pStyle w:val="aff2"/>
            </w:pPr>
            <w:r w:rsidRPr="00D630D1">
              <w:t>4.56</w:t>
            </w:r>
          </w:p>
        </w:tc>
      </w:tr>
      <w:tr w:rsidR="004C35E7" w:rsidRPr="00D630D1" w:rsidTr="004844A8">
        <w:trPr>
          <w:trHeight w:val="269"/>
          <w:jc w:val="center"/>
        </w:trPr>
        <w:tc>
          <w:tcPr>
            <w:tcW w:w="2747" w:type="dxa"/>
            <w:gridSpan w:val="2"/>
            <w:vAlign w:val="center"/>
          </w:tcPr>
          <w:p w:rsidR="00DC07D5" w:rsidRPr="00D630D1" w:rsidRDefault="00DC07D5" w:rsidP="00DC07D5">
            <w:pPr>
              <w:pStyle w:val="aff2"/>
            </w:pPr>
            <w:r w:rsidRPr="00D630D1">
              <w:t>标准沸点</w:t>
            </w:r>
            <w:r w:rsidRPr="00D630D1">
              <w:t>℃</w:t>
            </w:r>
          </w:p>
        </w:tc>
        <w:tc>
          <w:tcPr>
            <w:tcW w:w="1657" w:type="dxa"/>
            <w:vAlign w:val="center"/>
          </w:tcPr>
          <w:p w:rsidR="00DC07D5" w:rsidRPr="00D630D1" w:rsidRDefault="00DC07D5" w:rsidP="00DC07D5">
            <w:pPr>
              <w:pStyle w:val="aff2"/>
            </w:pPr>
            <w:r w:rsidRPr="00D630D1">
              <w:t>-161.5</w:t>
            </w:r>
          </w:p>
        </w:tc>
        <w:tc>
          <w:tcPr>
            <w:tcW w:w="2596" w:type="dxa"/>
            <w:vAlign w:val="center"/>
          </w:tcPr>
          <w:p w:rsidR="00DC07D5" w:rsidRPr="00D630D1" w:rsidRDefault="00DC07D5" w:rsidP="00DC07D5">
            <w:pPr>
              <w:pStyle w:val="aff2"/>
            </w:pPr>
            <w:r w:rsidRPr="00D630D1">
              <w:t>UFL</w:t>
            </w:r>
            <w:r w:rsidRPr="00D630D1">
              <w:t>（</w:t>
            </w:r>
            <w:r w:rsidRPr="00D630D1">
              <w:t>%V/V</w:t>
            </w:r>
            <w:r w:rsidRPr="00D630D1">
              <w:t>）</w:t>
            </w:r>
          </w:p>
        </w:tc>
        <w:tc>
          <w:tcPr>
            <w:tcW w:w="1821" w:type="dxa"/>
            <w:vAlign w:val="center"/>
          </w:tcPr>
          <w:p w:rsidR="00DC07D5" w:rsidRPr="00D630D1" w:rsidRDefault="00DC07D5" w:rsidP="00DC07D5">
            <w:pPr>
              <w:pStyle w:val="aff2"/>
            </w:pPr>
            <w:r w:rsidRPr="00D630D1">
              <w:t>19.13</w:t>
            </w:r>
          </w:p>
        </w:tc>
      </w:tr>
      <w:tr w:rsidR="004C35E7" w:rsidRPr="00D630D1" w:rsidTr="004844A8">
        <w:trPr>
          <w:trHeight w:val="253"/>
          <w:jc w:val="center"/>
        </w:trPr>
        <w:tc>
          <w:tcPr>
            <w:tcW w:w="2747" w:type="dxa"/>
            <w:gridSpan w:val="2"/>
            <w:vAlign w:val="center"/>
          </w:tcPr>
          <w:p w:rsidR="00DC07D5" w:rsidRPr="00D630D1" w:rsidRDefault="00DC07D5" w:rsidP="00DC07D5">
            <w:pPr>
              <w:pStyle w:val="aff2"/>
            </w:pPr>
            <w:r w:rsidRPr="00D630D1">
              <w:t>熔点</w:t>
            </w:r>
            <w:r w:rsidRPr="00D630D1">
              <w:t>℃</w:t>
            </w:r>
          </w:p>
        </w:tc>
        <w:tc>
          <w:tcPr>
            <w:tcW w:w="1657" w:type="dxa"/>
            <w:vAlign w:val="center"/>
          </w:tcPr>
          <w:p w:rsidR="00DC07D5" w:rsidRPr="00D630D1" w:rsidRDefault="00DC07D5" w:rsidP="00DC07D5">
            <w:pPr>
              <w:pStyle w:val="aff2"/>
            </w:pPr>
            <w:r w:rsidRPr="00D630D1">
              <w:t>-182.5</w:t>
            </w:r>
          </w:p>
        </w:tc>
        <w:tc>
          <w:tcPr>
            <w:tcW w:w="2596" w:type="dxa"/>
            <w:vAlign w:val="center"/>
          </w:tcPr>
          <w:p w:rsidR="00DC07D5" w:rsidRPr="00D630D1" w:rsidRDefault="00DC07D5" w:rsidP="00DC07D5">
            <w:pPr>
              <w:pStyle w:val="aff2"/>
            </w:pPr>
            <w:r w:rsidRPr="00D630D1">
              <w:t>分子量</w:t>
            </w:r>
            <w:r w:rsidRPr="00D630D1">
              <w:t>kg/kmol</w:t>
            </w:r>
          </w:p>
        </w:tc>
        <w:tc>
          <w:tcPr>
            <w:tcW w:w="1821" w:type="dxa"/>
            <w:vAlign w:val="center"/>
          </w:tcPr>
          <w:p w:rsidR="00DC07D5" w:rsidRPr="00D630D1" w:rsidRDefault="00DC07D5" w:rsidP="00DC07D5">
            <w:pPr>
              <w:pStyle w:val="aff2"/>
            </w:pPr>
            <w:r w:rsidRPr="00D630D1">
              <w:t>16.98</w:t>
            </w:r>
          </w:p>
        </w:tc>
      </w:tr>
      <w:tr w:rsidR="004C35E7" w:rsidRPr="00D630D1" w:rsidTr="004844A8">
        <w:trPr>
          <w:trHeight w:val="253"/>
          <w:jc w:val="center"/>
        </w:trPr>
        <w:tc>
          <w:tcPr>
            <w:tcW w:w="2747" w:type="dxa"/>
            <w:gridSpan w:val="2"/>
            <w:vAlign w:val="center"/>
          </w:tcPr>
          <w:p w:rsidR="00DC07D5" w:rsidRPr="00D630D1" w:rsidRDefault="00DC07D5" w:rsidP="00DC07D5">
            <w:pPr>
              <w:pStyle w:val="aff2"/>
            </w:pPr>
            <w:r w:rsidRPr="00D630D1">
              <w:t>最大辐射能</w:t>
            </w:r>
            <w:r w:rsidRPr="00D630D1">
              <w:t>kw/m</w:t>
            </w:r>
            <w:r w:rsidRPr="00D630D1">
              <w:rPr>
                <w:vertAlign w:val="superscript"/>
              </w:rPr>
              <w:t>2</w:t>
            </w:r>
          </w:p>
        </w:tc>
        <w:tc>
          <w:tcPr>
            <w:tcW w:w="1657" w:type="dxa"/>
            <w:vAlign w:val="center"/>
          </w:tcPr>
          <w:p w:rsidR="00DC07D5" w:rsidRPr="00D630D1" w:rsidRDefault="00DC07D5" w:rsidP="00DC07D5">
            <w:pPr>
              <w:pStyle w:val="aff2"/>
            </w:pPr>
            <w:r w:rsidRPr="00D630D1">
              <w:t>200.28</w:t>
            </w:r>
          </w:p>
        </w:tc>
        <w:tc>
          <w:tcPr>
            <w:tcW w:w="2596" w:type="dxa"/>
            <w:vAlign w:val="center"/>
          </w:tcPr>
          <w:p w:rsidR="00DC07D5" w:rsidRPr="00D630D1" w:rsidRDefault="00DC07D5" w:rsidP="00DC07D5">
            <w:pPr>
              <w:pStyle w:val="aff2"/>
            </w:pPr>
            <w:r w:rsidRPr="00D630D1">
              <w:t>最大燃烧率</w:t>
            </w:r>
            <w:r w:rsidRPr="00D630D1">
              <w:t>kg/m</w:t>
            </w:r>
            <w:r w:rsidRPr="00D630D1">
              <w:rPr>
                <w:vertAlign w:val="superscript"/>
              </w:rPr>
              <w:t>2</w:t>
            </w:r>
            <w:r w:rsidRPr="00D630D1">
              <w:t>·s</w:t>
            </w:r>
          </w:p>
        </w:tc>
        <w:tc>
          <w:tcPr>
            <w:tcW w:w="1821" w:type="dxa"/>
            <w:vAlign w:val="center"/>
          </w:tcPr>
          <w:p w:rsidR="00DC07D5" w:rsidRPr="00D630D1" w:rsidRDefault="00DC07D5" w:rsidP="00DC07D5">
            <w:pPr>
              <w:pStyle w:val="aff2"/>
            </w:pPr>
            <w:r w:rsidRPr="00D630D1">
              <w:t>0.13</w:t>
            </w:r>
          </w:p>
        </w:tc>
      </w:tr>
      <w:tr w:rsidR="004C35E7" w:rsidRPr="00D630D1" w:rsidTr="004844A8">
        <w:trPr>
          <w:trHeight w:val="269"/>
          <w:jc w:val="center"/>
        </w:trPr>
        <w:tc>
          <w:tcPr>
            <w:tcW w:w="1723" w:type="dxa"/>
            <w:vMerge w:val="restart"/>
            <w:vAlign w:val="center"/>
          </w:tcPr>
          <w:p w:rsidR="00DC07D5" w:rsidRPr="00D630D1" w:rsidRDefault="00DC07D5" w:rsidP="00DC07D5">
            <w:pPr>
              <w:pStyle w:val="aff2"/>
            </w:pPr>
            <w:r w:rsidRPr="00D630D1">
              <w:t>爆炸极限</w:t>
            </w:r>
            <w:r w:rsidRPr="00D630D1">
              <w:t>%</w:t>
            </w:r>
            <w:r w:rsidRPr="00D630D1">
              <w:t>（</w:t>
            </w:r>
            <w:r w:rsidRPr="00D630D1">
              <w:t>v</w:t>
            </w:r>
            <w:r w:rsidRPr="00D630D1">
              <w:t>）</w:t>
            </w:r>
          </w:p>
        </w:tc>
        <w:tc>
          <w:tcPr>
            <w:tcW w:w="1024" w:type="dxa"/>
            <w:vAlign w:val="center"/>
          </w:tcPr>
          <w:p w:rsidR="00DC07D5" w:rsidRPr="00D630D1" w:rsidRDefault="00DC07D5" w:rsidP="00DC07D5">
            <w:pPr>
              <w:pStyle w:val="aff2"/>
            </w:pPr>
            <w:r w:rsidRPr="00D630D1">
              <w:t>上限</w:t>
            </w:r>
          </w:p>
        </w:tc>
        <w:tc>
          <w:tcPr>
            <w:tcW w:w="1657" w:type="dxa"/>
            <w:vAlign w:val="center"/>
          </w:tcPr>
          <w:p w:rsidR="00DC07D5" w:rsidRPr="00D630D1" w:rsidRDefault="00DC07D5" w:rsidP="00DC07D5">
            <w:pPr>
              <w:pStyle w:val="aff2"/>
            </w:pPr>
            <w:r w:rsidRPr="00D630D1">
              <w:t>5.0</w:t>
            </w:r>
          </w:p>
        </w:tc>
        <w:tc>
          <w:tcPr>
            <w:tcW w:w="2596" w:type="dxa"/>
            <w:vAlign w:val="center"/>
          </w:tcPr>
          <w:p w:rsidR="00DC07D5" w:rsidRPr="00D630D1" w:rsidRDefault="00DC07D5" w:rsidP="00DC07D5">
            <w:pPr>
              <w:pStyle w:val="aff2"/>
            </w:pPr>
            <w:r w:rsidRPr="00D630D1">
              <w:t>燃烧爆炸危险度</w:t>
            </w:r>
          </w:p>
        </w:tc>
        <w:tc>
          <w:tcPr>
            <w:tcW w:w="1821" w:type="dxa"/>
            <w:vAlign w:val="center"/>
          </w:tcPr>
          <w:p w:rsidR="00DC07D5" w:rsidRPr="00D630D1" w:rsidRDefault="00DC07D5" w:rsidP="00DC07D5">
            <w:pPr>
              <w:pStyle w:val="aff2"/>
            </w:pPr>
            <w:r w:rsidRPr="00D630D1">
              <w:t>0.13</w:t>
            </w:r>
          </w:p>
        </w:tc>
      </w:tr>
      <w:tr w:rsidR="004C35E7" w:rsidRPr="00D630D1" w:rsidTr="004844A8">
        <w:trPr>
          <w:trHeight w:val="269"/>
          <w:jc w:val="center"/>
        </w:trPr>
        <w:tc>
          <w:tcPr>
            <w:tcW w:w="1723" w:type="dxa"/>
            <w:vMerge/>
            <w:vAlign w:val="center"/>
          </w:tcPr>
          <w:p w:rsidR="00DC07D5" w:rsidRPr="00D630D1" w:rsidRDefault="00DC07D5" w:rsidP="00DC07D5">
            <w:pPr>
              <w:pStyle w:val="aff2"/>
            </w:pPr>
          </w:p>
        </w:tc>
        <w:tc>
          <w:tcPr>
            <w:tcW w:w="1024" w:type="dxa"/>
            <w:vAlign w:val="center"/>
          </w:tcPr>
          <w:p w:rsidR="00DC07D5" w:rsidRPr="00D630D1" w:rsidRDefault="00DC07D5" w:rsidP="00DC07D5">
            <w:pPr>
              <w:pStyle w:val="aff2"/>
            </w:pPr>
            <w:r w:rsidRPr="00D630D1">
              <w:t>下限</w:t>
            </w:r>
          </w:p>
        </w:tc>
        <w:tc>
          <w:tcPr>
            <w:tcW w:w="1657" w:type="dxa"/>
            <w:vAlign w:val="center"/>
          </w:tcPr>
          <w:p w:rsidR="00DC07D5" w:rsidRPr="00D630D1" w:rsidRDefault="00DC07D5" w:rsidP="00DC07D5">
            <w:pPr>
              <w:pStyle w:val="aff2"/>
            </w:pPr>
            <w:r w:rsidRPr="00D630D1">
              <w:t>14.0</w:t>
            </w:r>
          </w:p>
        </w:tc>
        <w:tc>
          <w:tcPr>
            <w:tcW w:w="2596" w:type="dxa"/>
            <w:vAlign w:val="center"/>
          </w:tcPr>
          <w:p w:rsidR="00DC07D5" w:rsidRPr="00D630D1" w:rsidRDefault="00DC07D5" w:rsidP="00DC07D5">
            <w:pPr>
              <w:pStyle w:val="aff2"/>
            </w:pPr>
            <w:r w:rsidRPr="00D630D1">
              <w:t>危险性类别</w:t>
            </w:r>
          </w:p>
        </w:tc>
        <w:tc>
          <w:tcPr>
            <w:tcW w:w="1821" w:type="dxa"/>
            <w:vAlign w:val="center"/>
          </w:tcPr>
          <w:p w:rsidR="00DC07D5" w:rsidRPr="00D630D1" w:rsidRDefault="00DC07D5" w:rsidP="00DC07D5">
            <w:pPr>
              <w:pStyle w:val="aff2"/>
            </w:pPr>
            <w:r w:rsidRPr="00D630D1">
              <w:t>1.8</w:t>
            </w:r>
          </w:p>
        </w:tc>
      </w:tr>
      <w:tr w:rsidR="004C35E7" w:rsidRPr="00D630D1" w:rsidTr="004844A8">
        <w:trPr>
          <w:trHeight w:val="269"/>
          <w:jc w:val="center"/>
        </w:trPr>
        <w:tc>
          <w:tcPr>
            <w:tcW w:w="2747" w:type="dxa"/>
            <w:gridSpan w:val="2"/>
            <w:vAlign w:val="center"/>
          </w:tcPr>
          <w:p w:rsidR="00DC07D5" w:rsidRPr="00D630D1" w:rsidRDefault="00DC07D5" w:rsidP="00DC07D5">
            <w:pPr>
              <w:pStyle w:val="aff2"/>
            </w:pPr>
            <w:r w:rsidRPr="00D630D1">
              <w:t>密度</w:t>
            </w:r>
            <w:r w:rsidRPr="00D630D1">
              <w:t>kg/m</w:t>
            </w:r>
            <w:r w:rsidRPr="00D630D1">
              <w:rPr>
                <w:vertAlign w:val="superscript"/>
              </w:rPr>
              <w:t>3</w:t>
            </w:r>
          </w:p>
        </w:tc>
        <w:tc>
          <w:tcPr>
            <w:tcW w:w="6075" w:type="dxa"/>
            <w:gridSpan w:val="3"/>
            <w:vAlign w:val="center"/>
          </w:tcPr>
          <w:p w:rsidR="00DC07D5" w:rsidRPr="00D630D1" w:rsidRDefault="00DC07D5" w:rsidP="00DC07D5">
            <w:pPr>
              <w:pStyle w:val="aff2"/>
            </w:pPr>
            <w:r w:rsidRPr="00D630D1">
              <w:t>0.72</w:t>
            </w:r>
            <w:r w:rsidRPr="00D630D1">
              <w:t>（标准状态下）</w:t>
            </w:r>
          </w:p>
        </w:tc>
      </w:tr>
    </w:tbl>
    <w:p w:rsidR="00BA4F10" w:rsidRPr="00D630D1" w:rsidRDefault="009013EB" w:rsidP="00BA4F10">
      <w:pPr>
        <w:pStyle w:val="afa"/>
        <w:ind w:firstLine="482"/>
        <w:rPr>
          <w:b/>
        </w:rPr>
      </w:pPr>
      <w:bookmarkStart w:id="543" w:name="_Toc19816104"/>
      <w:bookmarkStart w:id="544" w:name="_Toc12288731"/>
      <w:r>
        <w:rPr>
          <w:rFonts w:hint="eastAsia"/>
          <w:b/>
        </w:rPr>
        <w:t>2</w:t>
      </w:r>
      <w:r w:rsidR="00BA4F10" w:rsidRPr="00D630D1">
        <w:rPr>
          <w:b/>
        </w:rPr>
        <w:t>、</w:t>
      </w:r>
      <w:r w:rsidR="00BA4F10" w:rsidRPr="00D630D1">
        <w:rPr>
          <w:rFonts w:hint="eastAsia"/>
          <w:b/>
        </w:rPr>
        <w:t>柴油</w:t>
      </w:r>
    </w:p>
    <w:p w:rsidR="00BA4F10" w:rsidRPr="00D630D1" w:rsidRDefault="00BA4F10" w:rsidP="00BA4F10">
      <w:pPr>
        <w:pStyle w:val="afa"/>
        <w:ind w:firstLine="480"/>
      </w:pPr>
      <w:r w:rsidRPr="00D630D1">
        <w:rPr>
          <w:rFonts w:hint="eastAsia"/>
        </w:rPr>
        <w:t>柴油为稍有粘性的棕色液体，有气味。不溶于水，溶于有机溶剂。皮肤接触可致急性肾脏损害。柴油可引起接触性皮炎、油性座疮。吸入其雾滴或液体呛入可引起吸入性肺炎。能经胎盘进入胎儿血中。柴油废气可引起眼、鼻刺激性症状，头晕及头痛。</w:t>
      </w:r>
    </w:p>
    <w:p w:rsidR="00BA4F10" w:rsidRPr="00D630D1" w:rsidRDefault="00BA4F10" w:rsidP="00BA4F10">
      <w:pPr>
        <w:pStyle w:val="afa"/>
        <w:ind w:firstLine="480"/>
      </w:pPr>
      <w:r w:rsidRPr="00D630D1">
        <w:rPr>
          <w:rFonts w:hint="eastAsia"/>
        </w:rPr>
        <w:lastRenderedPageBreak/>
        <w:t>毒性：</w:t>
      </w:r>
      <w:r w:rsidRPr="00D630D1">
        <w:rPr>
          <w:rFonts w:hint="eastAsia"/>
        </w:rPr>
        <w:t>LD</w:t>
      </w:r>
      <w:r w:rsidRPr="00D630D1">
        <w:rPr>
          <w:rFonts w:hint="eastAsia"/>
          <w:vertAlign w:val="subscript"/>
        </w:rPr>
        <w:t>50</w:t>
      </w:r>
      <w:r w:rsidRPr="00D630D1">
        <w:rPr>
          <w:rFonts w:hint="eastAsia"/>
        </w:rPr>
        <w:t>、</w:t>
      </w:r>
      <w:r w:rsidRPr="00D630D1">
        <w:rPr>
          <w:rFonts w:hint="eastAsia"/>
        </w:rPr>
        <w:t>LC</w:t>
      </w:r>
      <w:r w:rsidRPr="00D630D1">
        <w:rPr>
          <w:rFonts w:hint="eastAsia"/>
          <w:vertAlign w:val="subscript"/>
        </w:rPr>
        <w:t>50</w:t>
      </w:r>
      <w:r w:rsidRPr="00D630D1">
        <w:rPr>
          <w:rFonts w:hint="eastAsia"/>
        </w:rPr>
        <w:t>无资料。柴油的毒性与煤油相似，但由于添加剂如硫化酯类的影响，毒性可以比煤油略大些。主要有麻醉和刺激作用。</w:t>
      </w:r>
    </w:p>
    <w:p w:rsidR="00BA4F10" w:rsidRPr="00D630D1" w:rsidRDefault="00BA4F10" w:rsidP="00BA4F10">
      <w:pPr>
        <w:pStyle w:val="afa"/>
        <w:ind w:firstLine="480"/>
      </w:pPr>
      <w:r w:rsidRPr="00D630D1">
        <w:rPr>
          <w:rFonts w:hint="eastAsia"/>
        </w:rPr>
        <w:t>危险特性：易燃，具刺激性。遇明火、高热源或与氧化剂接触，有引起燃烧爆炸的危险。若遇高热，容器内压增大，有开裂和爆炸的危险。。</w:t>
      </w:r>
    </w:p>
    <w:p w:rsidR="00BA4F10" w:rsidRPr="00D630D1" w:rsidRDefault="00BA4F10" w:rsidP="00BA4F10">
      <w:pPr>
        <w:topLinePunct w:val="0"/>
        <w:adjustRightInd/>
        <w:spacing w:line="240" w:lineRule="auto"/>
        <w:ind w:firstLineChars="0" w:firstLine="0"/>
        <w:jc w:val="center"/>
        <w:rPr>
          <w:rFonts w:ascii="Times New Roman" w:cs="Times New Roman"/>
          <w:kern w:val="2"/>
          <w:sz w:val="21"/>
          <w:szCs w:val="21"/>
        </w:rPr>
      </w:pPr>
      <w:bookmarkStart w:id="545" w:name="_Toc499634210"/>
      <w:r w:rsidRPr="00D630D1">
        <w:rPr>
          <w:rFonts w:ascii="Times New Roman" w:hAnsi="宋体" w:cs="Times New Roman"/>
          <w:b/>
          <w:bCs/>
          <w:kern w:val="2"/>
          <w:sz w:val="21"/>
          <w:szCs w:val="21"/>
        </w:rPr>
        <w:t>表</w:t>
      </w:r>
      <w:r w:rsidRPr="00D630D1">
        <w:rPr>
          <w:rFonts w:ascii="Times New Roman" w:hAnsi="宋体" w:cs="Times New Roman"/>
          <w:b/>
          <w:bCs/>
          <w:kern w:val="2"/>
          <w:sz w:val="21"/>
          <w:szCs w:val="21"/>
        </w:rPr>
        <w:t>7.6-</w:t>
      </w:r>
      <w:r w:rsidR="009013EB">
        <w:rPr>
          <w:rFonts w:ascii="Times New Roman" w:hAnsi="宋体" w:cs="Times New Roman" w:hint="eastAsia"/>
          <w:b/>
          <w:bCs/>
          <w:kern w:val="2"/>
          <w:sz w:val="21"/>
          <w:szCs w:val="21"/>
        </w:rPr>
        <w:t>3</w:t>
      </w:r>
      <w:r w:rsidRPr="00D630D1">
        <w:rPr>
          <w:rFonts w:ascii="Times New Roman" w:hAnsi="宋体" w:cs="Times New Roman"/>
          <w:b/>
          <w:bCs/>
          <w:kern w:val="2"/>
          <w:sz w:val="21"/>
          <w:szCs w:val="21"/>
        </w:rPr>
        <w:t xml:space="preserve"> </w:t>
      </w:r>
      <w:r w:rsidRPr="00D630D1">
        <w:rPr>
          <w:rFonts w:ascii="Times New Roman" w:hAnsi="宋体" w:cs="Times New Roman" w:hint="eastAsia"/>
          <w:b/>
          <w:kern w:val="2"/>
          <w:sz w:val="21"/>
          <w:szCs w:val="21"/>
        </w:rPr>
        <w:t xml:space="preserve"> </w:t>
      </w:r>
      <w:r w:rsidRPr="00D630D1">
        <w:rPr>
          <w:rFonts w:ascii="Times New Roman" w:hAnsi="宋体" w:cs="Times New Roman"/>
          <w:b/>
          <w:kern w:val="2"/>
          <w:sz w:val="21"/>
          <w:szCs w:val="21"/>
        </w:rPr>
        <w:t>柴油</w:t>
      </w:r>
      <w:bookmarkEnd w:id="545"/>
      <w:r w:rsidRPr="00D630D1">
        <w:rPr>
          <w:rFonts w:ascii="Times New Roman" w:hAnsi="宋体" w:cs="Times New Roman"/>
          <w:b/>
          <w:bCs/>
          <w:kern w:val="2"/>
          <w:sz w:val="21"/>
          <w:szCs w:val="21"/>
        </w:rPr>
        <w:t>理化性质及危险特性</w:t>
      </w:r>
    </w:p>
    <w:tbl>
      <w:tblPr>
        <w:tblW w:w="8529" w:type="dxa"/>
        <w:tblBorders>
          <w:top w:val="single" w:sz="12" w:space="0" w:color="auto"/>
          <w:bottom w:val="single" w:sz="12" w:space="0" w:color="auto"/>
          <w:insideH w:val="single" w:sz="4" w:space="0" w:color="auto"/>
          <w:insideV w:val="single" w:sz="4" w:space="0" w:color="auto"/>
        </w:tblBorders>
        <w:shd w:val="clear" w:color="auto" w:fill="FFFFFF" w:themeFill="background1"/>
        <w:tblLayout w:type="fixed"/>
        <w:tblLook w:val="04A0"/>
      </w:tblPr>
      <w:tblGrid>
        <w:gridCol w:w="1551"/>
        <w:gridCol w:w="6978"/>
      </w:tblGrid>
      <w:tr w:rsidR="00BA4F10" w:rsidRPr="00D630D1" w:rsidTr="00571DAF">
        <w:trPr>
          <w:cantSplit/>
          <w:trHeight w:val="20"/>
          <w:tblHeader/>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b/>
                <w:sz w:val="21"/>
                <w:szCs w:val="21"/>
              </w:rPr>
            </w:pPr>
            <w:r w:rsidRPr="00D630D1">
              <w:rPr>
                <w:rFonts w:ascii="Times New Roman" w:hAnsi="宋体" w:cs="Times New Roman"/>
                <w:b/>
                <w:sz w:val="21"/>
                <w:szCs w:val="21"/>
              </w:rPr>
              <w:t>项目</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b/>
                <w:bCs/>
                <w:kern w:val="2"/>
                <w:sz w:val="21"/>
                <w:szCs w:val="21"/>
              </w:rPr>
            </w:pPr>
            <w:r w:rsidRPr="00D630D1">
              <w:rPr>
                <w:rFonts w:ascii="Times New Roman" w:hAnsi="宋体" w:cs="Times New Roman"/>
                <w:b/>
                <w:kern w:val="2"/>
                <w:sz w:val="21"/>
                <w:szCs w:val="21"/>
              </w:rPr>
              <w:t>内容</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标识</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中文名称</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柴油</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英文名称</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Diesel Oil</w:t>
            </w:r>
            <w:r w:rsidRPr="00D630D1">
              <w:rPr>
                <w:rFonts w:ascii="Times New Roman" w:hAnsi="宋体" w:cs="Times New Roman"/>
                <w:kern w:val="2"/>
                <w:sz w:val="21"/>
                <w:szCs w:val="21"/>
              </w:rPr>
              <w:t>；</w:t>
            </w:r>
            <w:r w:rsidRPr="00D630D1">
              <w:rPr>
                <w:rFonts w:ascii="Times New Roman" w:cs="Times New Roman"/>
                <w:kern w:val="2"/>
                <w:sz w:val="21"/>
                <w:szCs w:val="21"/>
              </w:rPr>
              <w:t>Diesel Fuel</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分子式</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复杂</w:t>
            </w:r>
            <w:hyperlink r:id="rId123" w:tgtFrame="_blank" w:history="1">
              <w:r w:rsidRPr="00D630D1">
                <w:rPr>
                  <w:rFonts w:ascii="Times New Roman" w:hAnsi="宋体" w:cs="Times New Roman"/>
                  <w:kern w:val="2"/>
                  <w:sz w:val="21"/>
                  <w:szCs w:val="21"/>
                </w:rPr>
                <w:t>烃类</w:t>
              </w:r>
            </w:hyperlink>
            <w:r w:rsidRPr="00D630D1">
              <w:rPr>
                <w:rFonts w:ascii="Times New Roman" w:hAnsi="宋体" w:cs="Times New Roman"/>
                <w:kern w:val="2"/>
                <w:sz w:val="21"/>
                <w:szCs w:val="21"/>
              </w:rPr>
              <w:t>（碳原子数约</w:t>
            </w:r>
            <w:r w:rsidRPr="00D630D1">
              <w:rPr>
                <w:rFonts w:ascii="Times New Roman" w:cs="Times New Roman"/>
                <w:kern w:val="2"/>
                <w:sz w:val="21"/>
                <w:szCs w:val="21"/>
              </w:rPr>
              <w:t>10</w:t>
            </w:r>
            <w:r w:rsidRPr="00D630D1">
              <w:rPr>
                <w:rFonts w:ascii="Times New Roman" w:hAnsi="宋体" w:cs="Times New Roman"/>
                <w:kern w:val="2"/>
                <w:sz w:val="21"/>
                <w:szCs w:val="21"/>
              </w:rPr>
              <w:t>～</w:t>
            </w:r>
            <w:r w:rsidRPr="00D630D1">
              <w:rPr>
                <w:rFonts w:ascii="Times New Roman" w:cs="Times New Roman"/>
                <w:kern w:val="2"/>
                <w:sz w:val="21"/>
                <w:szCs w:val="21"/>
              </w:rPr>
              <w:t>22</w:t>
            </w:r>
            <w:r w:rsidRPr="00D630D1">
              <w:rPr>
                <w:rFonts w:ascii="Times New Roman" w:hAnsi="宋体" w:cs="Times New Roman"/>
                <w:kern w:val="2"/>
                <w:sz w:val="21"/>
                <w:szCs w:val="21"/>
              </w:rPr>
              <w:t>）</w:t>
            </w:r>
            <w:hyperlink r:id="rId124" w:tgtFrame="_blank" w:history="1">
              <w:r w:rsidRPr="00D630D1">
                <w:rPr>
                  <w:rFonts w:ascii="Times New Roman" w:hAnsi="宋体" w:cs="Times New Roman"/>
                  <w:kern w:val="2"/>
                  <w:sz w:val="21"/>
                  <w:szCs w:val="21"/>
                </w:rPr>
                <w:t>混合物</w:t>
              </w:r>
            </w:hyperlink>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分子量</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cs="Times New Roman"/>
                <w:sz w:val="21"/>
                <w:szCs w:val="21"/>
              </w:rPr>
              <w:t>CAS</w:t>
            </w:r>
            <w:r w:rsidRPr="00D630D1">
              <w:rPr>
                <w:rFonts w:ascii="Times New Roman" w:hAnsi="宋体" w:cs="Times New Roman"/>
                <w:sz w:val="21"/>
                <w:szCs w:val="21"/>
              </w:rPr>
              <w:t>号</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危险性类别</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性状与用途</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外观与性状</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稍有粘性的棕色液体</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主要用途</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用作柴油机的燃料</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理化性质</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熔点（</w:t>
            </w:r>
            <w:r w:rsidRPr="00D630D1">
              <w:rPr>
                <w:rFonts w:ascii="Times New Roman" w:cs="Times New Roman"/>
                <w:sz w:val="21"/>
                <w:szCs w:val="21"/>
              </w:rPr>
              <w:t>℃</w:t>
            </w:r>
            <w:r w:rsidRPr="00D630D1">
              <w:rPr>
                <w:rFonts w:ascii="Times New Roman" w:hAnsi="宋体" w:cs="Times New Roman"/>
                <w:sz w:val="21"/>
                <w:szCs w:val="21"/>
              </w:rPr>
              <w:t>）</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-18</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沸点（</w:t>
            </w:r>
            <w:r w:rsidRPr="00D630D1">
              <w:rPr>
                <w:rFonts w:ascii="Times New Roman" w:cs="Times New Roman"/>
                <w:sz w:val="21"/>
                <w:szCs w:val="21"/>
              </w:rPr>
              <w:t>℃</w:t>
            </w:r>
            <w:r w:rsidRPr="00D630D1">
              <w:rPr>
                <w:rFonts w:ascii="Times New Roman" w:hAnsi="宋体" w:cs="Times New Roman"/>
                <w:sz w:val="21"/>
                <w:szCs w:val="21"/>
              </w:rPr>
              <w:t>）</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282-338</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相对密度</w:t>
            </w:r>
          </w:p>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（水</w:t>
            </w:r>
            <w:r w:rsidRPr="00D630D1">
              <w:rPr>
                <w:rFonts w:ascii="Times New Roman" w:cs="Times New Roman"/>
                <w:sz w:val="21"/>
                <w:szCs w:val="21"/>
              </w:rPr>
              <w:t>=1</w:t>
            </w:r>
            <w:r w:rsidRPr="00D630D1">
              <w:rPr>
                <w:rFonts w:ascii="Times New Roman" w:hAnsi="宋体" w:cs="Times New Roman"/>
                <w:sz w:val="21"/>
                <w:szCs w:val="21"/>
              </w:rPr>
              <w:t>）</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0.87-0.9</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相对蒸汽密度</w:t>
            </w:r>
          </w:p>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（空气</w:t>
            </w:r>
            <w:r w:rsidRPr="00D630D1">
              <w:rPr>
                <w:rFonts w:ascii="Times New Roman" w:cs="Times New Roman"/>
                <w:sz w:val="21"/>
                <w:szCs w:val="21"/>
              </w:rPr>
              <w:t>=1</w:t>
            </w:r>
            <w:r w:rsidRPr="00D630D1">
              <w:rPr>
                <w:rFonts w:ascii="Times New Roman" w:hAnsi="宋体" w:cs="Times New Roman"/>
                <w:sz w:val="21"/>
                <w:szCs w:val="21"/>
              </w:rPr>
              <w:t>）</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无资料</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溶解性</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不溶于水，易溶于醇和其他稀释剂</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健康危害</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侵入途径</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吸入、食入、经皮吸收</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健康危害</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皮肤接触可为主要吸收途径，可致急性肾脏损害，可引起接触性皮炎、油性痤疮；吸入其雾滴或液体呛入可引起吸入性肺炎，能经胎盘进入胎儿血中；废气可引起眼、鼻刺激症状，头晕及头痛</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环境资料</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对环境有危害，对水体和大气可造成污染</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燃爆特性与消防要求</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燃爆危险</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本品易燃，具刺激性</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危险特性</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遇明火、高热或与氧化剂接触，有引起燃烧爆炸的危险。若遇高热，容器内压增大，有开裂和爆炸的危险</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灭火方法</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消防人员须佩戴防毒面具、穿全身消防服，在上风向灭火，尽可能将容器从火场移至空旷处；喷水保持火场容器冷却，直至灭火结束，处在火场中的容器若已变色或从安全泄压装置中产生声音，必须马上撤离；灭火剂：雾状水、泡沫、干粉、二氧化碳、砂土</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稳定性和反应活性</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稳定性</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稳定</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lastRenderedPageBreak/>
              <w:t>禁配物</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强氧化剂、卤素</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避免接触</w:t>
            </w:r>
          </w:p>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的条件</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高温、明火</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聚合危害</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不聚合</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燃烧（分解）产物</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一氧化碳、二氧化碳</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储运注意事项</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储存于阴凉、干燥、通风仓间内；远离火种、热源，防止阳光直射，保持容器密封；应与碱类、金属粉末等分开存放；露天储罐夏季要有降温措施；分装和搬运作业要注意个人防护；搬运时要轻装轻卸，防止包装及容器损坏；运输按规定路线行驶，勿在居民区和人口稠密区停留</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急救措施</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皮肤接触</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立即脱去污染的衣着，用肥皂水和清水彻底冲洗皮肤；就医</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眼睛接触</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提起眼睑，用流动清水或生理盐水冲洗；就医</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吸入</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迅速脱离现场至空气新鲜处；保持呼吸道通畅；如呼吸困难，给输氧；如呼吸停止，立即进行人工呼吸；就医</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食入</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尽快彻底洗胃，就医</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防护措施</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工程控制</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密闭操作，注意通风</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呼吸系统防护</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空气中浓度超标时，建议佩戴自吸过滤式防毒面具（半面罩），紧急事态抢救或撤离时，应该佩戴空气呼吸器</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眼睛防护</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戴化学安全防护眼镜</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身体防护</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穿一般作业防护服</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手防护</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戴橡胶耐油手套</w:t>
            </w:r>
          </w:p>
        </w:tc>
      </w:tr>
      <w:tr w:rsidR="00BA4F10" w:rsidRPr="00D630D1" w:rsidTr="00571DAF">
        <w:trPr>
          <w:cantSplit/>
          <w:trHeight w:val="20"/>
        </w:trPr>
        <w:tc>
          <w:tcPr>
            <w:tcW w:w="1551"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hAnsi="宋体" w:cs="Times New Roman"/>
                <w:sz w:val="21"/>
                <w:szCs w:val="21"/>
              </w:rPr>
              <w:t>其他要求</w:t>
            </w:r>
          </w:p>
        </w:tc>
        <w:tc>
          <w:tcPr>
            <w:tcW w:w="6978" w:type="dxa"/>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工作现场严禁吸烟，避免长期反复接触</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泄漏应急处置</w:t>
            </w:r>
          </w:p>
        </w:tc>
      </w:tr>
      <w:tr w:rsidR="00BA4F10" w:rsidRPr="00D630D1" w:rsidTr="00571DAF">
        <w:trPr>
          <w:cantSplit/>
          <w:trHeight w:val="20"/>
        </w:trPr>
        <w:tc>
          <w:tcPr>
            <w:tcW w:w="8529" w:type="dxa"/>
            <w:gridSpan w:val="2"/>
            <w:shd w:val="clear" w:color="auto" w:fill="FFFFFF" w:themeFill="background1"/>
            <w:vAlign w:val="center"/>
            <w:hideMark/>
          </w:tcPr>
          <w:p w:rsidR="00BA4F10" w:rsidRPr="00D630D1" w:rsidRDefault="00BA4F10"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hAnsi="宋体" w:cs="Times New Roman"/>
                <w:kern w:val="2"/>
                <w:sz w:val="21"/>
                <w:szCs w:val="21"/>
              </w:rPr>
              <w:t>迅速撤离泄漏污染区人员至安全区，并进行隔离，严格限制出入；建议应急处理人员戴自给正压式呼吸器，穿防酸碱工作服；不要直接接触泄漏物，尽可能切断泄漏源；防止进入下水道、排洪沟等限制性空间；小量泄漏：用砂土、或其它惰性材料吸收，也可用大量水冲洗，洗水稀释后放入废水系统；大量泄漏：构筑围堤或挖坑收容；用泵转移至槽车或专用收集器内，回收</w:t>
            </w:r>
          </w:p>
        </w:tc>
      </w:tr>
    </w:tbl>
    <w:p w:rsidR="00571DAF" w:rsidRPr="00D630D1" w:rsidRDefault="009013EB" w:rsidP="00571DAF">
      <w:pPr>
        <w:pStyle w:val="afa"/>
        <w:ind w:firstLine="482"/>
        <w:rPr>
          <w:b/>
          <w:bCs/>
        </w:rPr>
      </w:pPr>
      <w:r>
        <w:rPr>
          <w:rFonts w:hint="eastAsia"/>
          <w:b/>
          <w:bCs/>
        </w:rPr>
        <w:t>3</w:t>
      </w:r>
      <w:r w:rsidR="00571DAF" w:rsidRPr="00D630D1">
        <w:rPr>
          <w:b/>
          <w:bCs/>
        </w:rPr>
        <w:t>、</w:t>
      </w:r>
      <w:r w:rsidR="00571DAF">
        <w:rPr>
          <w:rFonts w:hint="eastAsia"/>
          <w:b/>
          <w:bCs/>
        </w:rPr>
        <w:t>凝析油</w:t>
      </w:r>
    </w:p>
    <w:p w:rsidR="00571DAF" w:rsidRPr="00571DAF" w:rsidRDefault="00571DAF" w:rsidP="00571DAF">
      <w:pPr>
        <w:pStyle w:val="afa"/>
        <w:ind w:firstLine="480"/>
        <w:rPr>
          <w:bCs/>
        </w:rPr>
      </w:pPr>
      <w:r w:rsidRPr="00571DAF">
        <w:rPr>
          <w:bCs/>
        </w:rPr>
        <w:t>凝析油的理化性质</w:t>
      </w:r>
      <w:r w:rsidRPr="00571DAF">
        <w:rPr>
          <w:bCs/>
        </w:rPr>
        <w:t> </w:t>
      </w:r>
      <w:r w:rsidRPr="00571DAF">
        <w:rPr>
          <w:bCs/>
        </w:rPr>
        <w:t>凝析油的化学名是正戊烷</w:t>
      </w:r>
      <w:r>
        <w:rPr>
          <w:rFonts w:hint="eastAsia"/>
          <w:bCs/>
        </w:rPr>
        <w:t>，</w:t>
      </w:r>
      <w:r w:rsidRPr="00571DAF">
        <w:rPr>
          <w:bCs/>
        </w:rPr>
        <w:t>主要成分是</w:t>
      </w:r>
      <w:r w:rsidRPr="00571DAF">
        <w:rPr>
          <w:bCs/>
        </w:rPr>
        <w:t xml:space="preserve"> C5</w:t>
      </w:r>
      <w:r>
        <w:rPr>
          <w:rFonts w:hint="eastAsia"/>
          <w:bCs/>
        </w:rPr>
        <w:t>，</w:t>
      </w:r>
      <w:r w:rsidRPr="00571DAF">
        <w:rPr>
          <w:bCs/>
        </w:rPr>
        <w:t>分子量</w:t>
      </w:r>
      <w:r w:rsidRPr="00571DAF">
        <w:rPr>
          <w:bCs/>
        </w:rPr>
        <w:t xml:space="preserve"> 72.15</w:t>
      </w:r>
      <w:r>
        <w:rPr>
          <w:rFonts w:hint="eastAsia"/>
          <w:bCs/>
        </w:rPr>
        <w:t>，</w:t>
      </w:r>
      <w:r w:rsidRPr="00571DAF">
        <w:rPr>
          <w:bCs/>
        </w:rPr>
        <w:t>相对密</w:t>
      </w:r>
      <w:r w:rsidRPr="00571DAF">
        <w:rPr>
          <w:bCs/>
        </w:rPr>
        <w:t xml:space="preserve"> </w:t>
      </w:r>
      <w:r w:rsidRPr="00571DAF">
        <w:rPr>
          <w:bCs/>
        </w:rPr>
        <w:t>度</w:t>
      </w:r>
      <w:r w:rsidRPr="00571DAF">
        <w:rPr>
          <w:bCs/>
        </w:rPr>
        <w:t xml:space="preserve"> 0.63,</w:t>
      </w:r>
      <w:r w:rsidRPr="00571DAF">
        <w:rPr>
          <w:bCs/>
        </w:rPr>
        <w:t>固态熔点</w:t>
      </w:r>
      <w:r>
        <w:rPr>
          <w:rFonts w:hint="eastAsia"/>
          <w:bCs/>
        </w:rPr>
        <w:t>（</w:t>
      </w:r>
      <w:r w:rsidRPr="00571DAF">
        <w:rPr>
          <w:bCs/>
        </w:rPr>
        <w:t>凝固点</w:t>
      </w:r>
      <w:r>
        <w:rPr>
          <w:rFonts w:hint="eastAsia"/>
          <w:bCs/>
        </w:rPr>
        <w:t>）</w:t>
      </w:r>
      <w:r w:rsidRPr="00571DAF">
        <w:rPr>
          <w:bCs/>
        </w:rPr>
        <w:t>-129.8</w:t>
      </w:r>
      <w:r w:rsidRPr="00571DAF">
        <w:rPr>
          <w:rFonts w:ascii="宋体" w:hAnsi="宋体" w:cs="宋体" w:hint="eastAsia"/>
          <w:bCs/>
        </w:rPr>
        <w:t>℃</w:t>
      </w:r>
      <w:r w:rsidRPr="00571DAF">
        <w:rPr>
          <w:bCs/>
        </w:rPr>
        <w:t>,</w:t>
      </w:r>
      <w:r w:rsidRPr="00571DAF">
        <w:rPr>
          <w:bCs/>
        </w:rPr>
        <w:t>液态沸点</w:t>
      </w:r>
      <w:r w:rsidRPr="00571DAF">
        <w:rPr>
          <w:bCs/>
        </w:rPr>
        <w:t xml:space="preserve"> 36.1</w:t>
      </w:r>
      <w:r w:rsidRPr="00571DAF">
        <w:rPr>
          <w:rFonts w:ascii="宋体" w:hAnsi="宋体" w:cs="宋体" w:hint="eastAsia"/>
          <w:bCs/>
        </w:rPr>
        <w:t>℃</w:t>
      </w:r>
      <w:r>
        <w:rPr>
          <w:rFonts w:hint="eastAsia"/>
          <w:bCs/>
        </w:rPr>
        <w:t>，</w:t>
      </w:r>
      <w:r w:rsidRPr="00571DAF">
        <w:rPr>
          <w:bCs/>
        </w:rPr>
        <w:t>气态闪点</w:t>
      </w:r>
      <w:r w:rsidRPr="00571DAF">
        <w:rPr>
          <w:bCs/>
        </w:rPr>
        <w:t xml:space="preserve"> -40</w:t>
      </w:r>
      <w:r w:rsidRPr="00571DAF">
        <w:rPr>
          <w:rFonts w:ascii="宋体" w:hAnsi="宋体" w:cs="宋体" w:hint="eastAsia"/>
          <w:bCs/>
        </w:rPr>
        <w:t>℃</w:t>
      </w:r>
      <w:r w:rsidRPr="00571DAF">
        <w:rPr>
          <w:bCs/>
        </w:rPr>
        <w:t>。常温下为无色液体</w:t>
      </w:r>
      <w:r>
        <w:rPr>
          <w:rFonts w:hint="eastAsia"/>
          <w:bCs/>
        </w:rPr>
        <w:t>，</w:t>
      </w:r>
      <w:r w:rsidRPr="00571DAF">
        <w:rPr>
          <w:bCs/>
        </w:rPr>
        <w:t>有微弱的薄荷香味。属于</w:t>
      </w:r>
      <w:r>
        <w:rPr>
          <w:rFonts w:hint="eastAsia"/>
          <w:bCs/>
        </w:rPr>
        <w:t>易燃液体。</w:t>
      </w:r>
    </w:p>
    <w:p w:rsidR="0071222C" w:rsidRPr="00D630D1" w:rsidRDefault="009013EB" w:rsidP="0071222C">
      <w:pPr>
        <w:pStyle w:val="afa"/>
        <w:ind w:firstLine="482"/>
        <w:rPr>
          <w:b/>
          <w:bCs/>
        </w:rPr>
      </w:pPr>
      <w:r>
        <w:rPr>
          <w:rFonts w:hint="eastAsia"/>
          <w:b/>
          <w:bCs/>
        </w:rPr>
        <w:t>4</w:t>
      </w:r>
      <w:r w:rsidR="0071222C" w:rsidRPr="00D630D1">
        <w:rPr>
          <w:b/>
          <w:bCs/>
        </w:rPr>
        <w:t>、</w:t>
      </w:r>
      <w:r w:rsidR="00EF360A" w:rsidRPr="00D630D1">
        <w:rPr>
          <w:rFonts w:hint="eastAsia"/>
          <w:b/>
          <w:bCs/>
        </w:rPr>
        <w:t>压裂、洗井废水</w:t>
      </w:r>
    </w:p>
    <w:p w:rsidR="0071222C" w:rsidRDefault="00EF360A" w:rsidP="0071222C">
      <w:pPr>
        <w:pStyle w:val="afa"/>
        <w:ind w:firstLine="480"/>
      </w:pPr>
      <w:r w:rsidRPr="00D630D1">
        <w:rPr>
          <w:rFonts w:hint="eastAsia"/>
        </w:rPr>
        <w:t>压裂、洗井废水</w:t>
      </w:r>
      <w:r w:rsidR="0071222C" w:rsidRPr="00D630D1">
        <w:t>中包含有大量的离子及微量元素，阳离子主要为</w:t>
      </w:r>
      <w:r w:rsidR="0071222C" w:rsidRPr="00D630D1">
        <w:t>K</w:t>
      </w:r>
      <w:r w:rsidR="0071222C" w:rsidRPr="00D630D1">
        <w:rPr>
          <w:vertAlign w:val="superscript"/>
        </w:rPr>
        <w:t>+</w:t>
      </w:r>
      <w:r w:rsidR="0071222C" w:rsidRPr="00D630D1">
        <w:t>、</w:t>
      </w:r>
      <w:r w:rsidR="0071222C" w:rsidRPr="00D630D1">
        <w:t>Na</w:t>
      </w:r>
      <w:r w:rsidR="0071222C" w:rsidRPr="00D630D1">
        <w:rPr>
          <w:vertAlign w:val="superscript"/>
        </w:rPr>
        <w:t>+</w:t>
      </w:r>
      <w:r w:rsidR="0071222C" w:rsidRPr="00D630D1">
        <w:t>、</w:t>
      </w:r>
      <w:r w:rsidR="0071222C" w:rsidRPr="00D630D1">
        <w:t>Ca</w:t>
      </w:r>
      <w:r w:rsidR="0071222C" w:rsidRPr="00D630D1">
        <w:rPr>
          <w:vertAlign w:val="superscript"/>
        </w:rPr>
        <w:t>2+</w:t>
      </w:r>
      <w:r w:rsidR="0071222C" w:rsidRPr="00D630D1">
        <w:t>、</w:t>
      </w:r>
      <w:r w:rsidR="0071222C" w:rsidRPr="00D630D1">
        <w:t>Mg</w:t>
      </w:r>
      <w:r w:rsidR="0071222C" w:rsidRPr="00D630D1">
        <w:rPr>
          <w:vertAlign w:val="superscript"/>
        </w:rPr>
        <w:t>2+</w:t>
      </w:r>
      <w:r w:rsidR="0071222C" w:rsidRPr="00D630D1">
        <w:t>、</w:t>
      </w:r>
      <w:r w:rsidR="0071222C" w:rsidRPr="00D630D1">
        <w:t>Ba</w:t>
      </w:r>
      <w:r w:rsidR="0071222C" w:rsidRPr="00D630D1">
        <w:rPr>
          <w:vertAlign w:val="superscript"/>
        </w:rPr>
        <w:t>2+</w:t>
      </w:r>
      <w:r w:rsidR="0071222C" w:rsidRPr="00D630D1">
        <w:t>、</w:t>
      </w:r>
      <w:r w:rsidR="0071222C" w:rsidRPr="00D630D1">
        <w:t>Sr</w:t>
      </w:r>
      <w:r w:rsidR="0071222C" w:rsidRPr="00D630D1">
        <w:rPr>
          <w:vertAlign w:val="superscript"/>
        </w:rPr>
        <w:t>2+</w:t>
      </w:r>
      <w:r w:rsidR="0071222C" w:rsidRPr="00D630D1">
        <w:t>，阴离子主要为</w:t>
      </w:r>
      <w:r w:rsidR="0071222C" w:rsidRPr="00D630D1">
        <w:t>Cl</w:t>
      </w:r>
      <w:r w:rsidR="0071222C" w:rsidRPr="00D630D1">
        <w:rPr>
          <w:vertAlign w:val="superscript"/>
        </w:rPr>
        <w:t>-</w:t>
      </w:r>
      <w:r w:rsidR="0071222C" w:rsidRPr="00D630D1">
        <w:t>、</w:t>
      </w:r>
      <w:r w:rsidR="0071222C" w:rsidRPr="00D630D1">
        <w:t>Br</w:t>
      </w:r>
      <w:r w:rsidR="0071222C" w:rsidRPr="00D630D1">
        <w:rPr>
          <w:vertAlign w:val="superscript"/>
        </w:rPr>
        <w:t>-</w:t>
      </w:r>
      <w:r w:rsidR="0071222C" w:rsidRPr="00D630D1">
        <w:t>等，</w:t>
      </w:r>
      <w:r w:rsidRPr="00D630D1">
        <w:rPr>
          <w:rFonts w:hint="eastAsia"/>
        </w:rPr>
        <w:t>压裂、洗井废水</w:t>
      </w:r>
      <w:r w:rsidR="0071222C" w:rsidRPr="00D630D1">
        <w:t>为淡青色、酸性，具有一定的腐蚀能力，从环境方面</w:t>
      </w:r>
      <w:r w:rsidRPr="00D630D1">
        <w:rPr>
          <w:rFonts w:hint="eastAsia"/>
        </w:rPr>
        <w:t>压裂、洗井废水</w:t>
      </w:r>
      <w:r w:rsidR="0071222C" w:rsidRPr="00D630D1">
        <w:t>主要表现的危害为腐蚀</w:t>
      </w:r>
      <w:r w:rsidR="0071222C" w:rsidRPr="00D630D1">
        <w:lastRenderedPageBreak/>
        <w:t>性和毒性，属于危害水环境物质，但不属于急性毒性类别</w:t>
      </w:r>
      <w:r w:rsidR="0071222C" w:rsidRPr="00D630D1">
        <w:t>1</w:t>
      </w:r>
      <w:r w:rsidR="0071222C" w:rsidRPr="00D630D1">
        <w:t>中物质。</w:t>
      </w:r>
    </w:p>
    <w:p w:rsidR="00571DAF" w:rsidRPr="00733954" w:rsidRDefault="009013EB" w:rsidP="00571DAF">
      <w:pPr>
        <w:pStyle w:val="afa"/>
        <w:ind w:firstLine="482"/>
        <w:rPr>
          <w:b/>
          <w:bCs/>
        </w:rPr>
      </w:pPr>
      <w:r>
        <w:rPr>
          <w:rFonts w:hint="eastAsia"/>
          <w:b/>
          <w:bCs/>
        </w:rPr>
        <w:t>5</w:t>
      </w:r>
      <w:r w:rsidR="00571DAF" w:rsidRPr="00733954">
        <w:rPr>
          <w:b/>
          <w:bCs/>
        </w:rPr>
        <w:t>、气田水</w:t>
      </w:r>
    </w:p>
    <w:p w:rsidR="00571DAF" w:rsidRDefault="00571DAF" w:rsidP="00571DAF">
      <w:pPr>
        <w:pStyle w:val="afa"/>
        <w:ind w:firstLine="480"/>
      </w:pPr>
      <w:r w:rsidRPr="00733954">
        <w:t>气田水中包含有大量的离子及微量元素，阳离子主要为</w:t>
      </w:r>
      <w:r w:rsidRPr="00733954">
        <w:t>K</w:t>
      </w:r>
      <w:r w:rsidRPr="00733954">
        <w:rPr>
          <w:vertAlign w:val="superscript"/>
        </w:rPr>
        <w:t>+</w:t>
      </w:r>
      <w:r w:rsidRPr="00733954">
        <w:t>、</w:t>
      </w:r>
      <w:r w:rsidRPr="00733954">
        <w:t>Na</w:t>
      </w:r>
      <w:r w:rsidRPr="00733954">
        <w:rPr>
          <w:vertAlign w:val="superscript"/>
        </w:rPr>
        <w:t>+</w:t>
      </w:r>
      <w:r w:rsidRPr="00733954">
        <w:t>、</w:t>
      </w:r>
      <w:r w:rsidRPr="00733954">
        <w:t>Ca</w:t>
      </w:r>
      <w:r w:rsidRPr="00733954">
        <w:rPr>
          <w:vertAlign w:val="superscript"/>
        </w:rPr>
        <w:t>2+</w:t>
      </w:r>
      <w:r w:rsidRPr="00733954">
        <w:t>、</w:t>
      </w:r>
      <w:r w:rsidRPr="00733954">
        <w:t>Mg</w:t>
      </w:r>
      <w:r w:rsidRPr="00733954">
        <w:rPr>
          <w:vertAlign w:val="superscript"/>
        </w:rPr>
        <w:t>2+</w:t>
      </w:r>
      <w:r w:rsidRPr="00733954">
        <w:t>、</w:t>
      </w:r>
      <w:r w:rsidRPr="00733954">
        <w:t>Ba</w:t>
      </w:r>
      <w:r w:rsidRPr="00733954">
        <w:rPr>
          <w:vertAlign w:val="superscript"/>
        </w:rPr>
        <w:t>2+</w:t>
      </w:r>
      <w:r w:rsidRPr="00733954">
        <w:t>、</w:t>
      </w:r>
      <w:r w:rsidRPr="00733954">
        <w:t>Sr</w:t>
      </w:r>
      <w:r w:rsidRPr="00733954">
        <w:rPr>
          <w:vertAlign w:val="superscript"/>
        </w:rPr>
        <w:t>2+</w:t>
      </w:r>
      <w:r w:rsidRPr="00733954">
        <w:t>，阴离子主要为</w:t>
      </w:r>
      <w:r w:rsidRPr="00733954">
        <w:t>Cl</w:t>
      </w:r>
      <w:r w:rsidRPr="00733954">
        <w:rPr>
          <w:vertAlign w:val="superscript"/>
        </w:rPr>
        <w:t>-</w:t>
      </w:r>
      <w:r w:rsidRPr="00733954">
        <w:t>、</w:t>
      </w:r>
      <w:r w:rsidRPr="00733954">
        <w:t>Br</w:t>
      </w:r>
      <w:r w:rsidRPr="00733954">
        <w:rPr>
          <w:vertAlign w:val="superscript"/>
        </w:rPr>
        <w:t>-</w:t>
      </w:r>
      <w:r w:rsidRPr="00733954">
        <w:t>等，气田水为淡青色、酸性，具有一定的腐蚀能力，从环境方面气田水主要表现的危害为腐蚀性和毒性，属于危害水环境物质，但不属于急性毒性类别</w:t>
      </w:r>
      <w:r w:rsidRPr="00733954">
        <w:t>1</w:t>
      </w:r>
      <w:r w:rsidRPr="00733954">
        <w:t>中物质。</w:t>
      </w:r>
    </w:p>
    <w:p w:rsidR="00117C3D" w:rsidRPr="00D630D1" w:rsidRDefault="00CA3926">
      <w:pPr>
        <w:pStyle w:val="3"/>
        <w:rPr>
          <w:rFonts w:eastAsia="宋体"/>
        </w:rPr>
      </w:pPr>
      <w:r w:rsidRPr="00D630D1">
        <w:rPr>
          <w:rFonts w:eastAsia="宋体"/>
        </w:rPr>
        <w:t>7</w:t>
      </w:r>
      <w:r w:rsidR="008B5B84" w:rsidRPr="00D630D1">
        <w:rPr>
          <w:rFonts w:eastAsia="宋体"/>
        </w:rPr>
        <w:t>.6.</w:t>
      </w:r>
      <w:r w:rsidR="004844A8" w:rsidRPr="00D630D1">
        <w:rPr>
          <w:rFonts w:eastAsia="宋体"/>
        </w:rPr>
        <w:t>2</w:t>
      </w:r>
      <w:r w:rsidRPr="00D630D1">
        <w:rPr>
          <w:rFonts w:eastAsia="宋体"/>
        </w:rPr>
        <w:t xml:space="preserve"> </w:t>
      </w:r>
      <w:r w:rsidR="008B5B84" w:rsidRPr="00D630D1">
        <w:rPr>
          <w:rFonts w:eastAsia="宋体"/>
        </w:rPr>
        <w:t>生产系统危险性识别</w:t>
      </w:r>
      <w:bookmarkEnd w:id="543"/>
      <w:bookmarkEnd w:id="544"/>
    </w:p>
    <w:p w:rsidR="00117C3D" w:rsidRPr="00D630D1" w:rsidRDefault="008B5B84" w:rsidP="00B13323">
      <w:pPr>
        <w:pStyle w:val="afa"/>
        <w:ind w:firstLine="480"/>
      </w:pPr>
      <w:r w:rsidRPr="00D630D1">
        <w:t>生产系统危险性识别首先参照本工程各生产装置、储运设施、公用工程和辅助生产设施以及环境保护措施，由此可识别工程建设生产过程中的风险源。</w:t>
      </w:r>
    </w:p>
    <w:p w:rsidR="00117C3D" w:rsidRPr="00D630D1" w:rsidRDefault="008B5B84" w:rsidP="00B13323">
      <w:pPr>
        <w:pStyle w:val="afa"/>
        <w:ind w:firstLine="480"/>
      </w:pPr>
      <w:r w:rsidRPr="00D630D1">
        <w:t>危险单元是由一个或多个风险源构成的具有相对独立功能的单元，一个独立的危险单元在事故状况下应可实现与其他功能单元的分割。本项目通过管线</w:t>
      </w:r>
      <w:r w:rsidR="00B25135" w:rsidRPr="00D630D1">
        <w:rPr>
          <w:rFonts w:hint="eastAsia"/>
        </w:rPr>
        <w:t>涉及</w:t>
      </w:r>
      <w:r w:rsidRPr="00D630D1">
        <w:t>站场划分危险单元，共划分为</w:t>
      </w:r>
      <w:r w:rsidR="00571DAF">
        <w:rPr>
          <w:rFonts w:hint="eastAsia"/>
        </w:rPr>
        <w:t>6</w:t>
      </w:r>
      <w:r w:rsidRPr="00D630D1">
        <w:t>个危险单元，分别为：</w:t>
      </w:r>
    </w:p>
    <w:p w:rsidR="00117C3D" w:rsidRPr="00D630D1" w:rsidRDefault="008B5B84" w:rsidP="00B13323">
      <w:pPr>
        <w:pStyle w:val="afa"/>
        <w:ind w:firstLine="480"/>
      </w:pPr>
      <w:r w:rsidRPr="00D630D1">
        <w:rPr>
          <w:rFonts w:ascii="宋体" w:hAnsi="宋体" w:cs="宋体" w:hint="eastAsia"/>
        </w:rPr>
        <w:t>①</w:t>
      </w:r>
      <w:r w:rsidR="002C00AE">
        <w:t>普光</w:t>
      </w:r>
      <w:r w:rsidR="002C00AE">
        <w:t>12</w:t>
      </w:r>
      <w:r w:rsidR="002C00AE">
        <w:t>采气站</w:t>
      </w:r>
      <w:r w:rsidRPr="00D630D1">
        <w:t>；</w:t>
      </w:r>
    </w:p>
    <w:p w:rsidR="00117C3D" w:rsidRPr="00D630D1" w:rsidRDefault="008B5B84" w:rsidP="00B13323">
      <w:pPr>
        <w:pStyle w:val="afa"/>
        <w:ind w:firstLine="480"/>
      </w:pPr>
      <w:r w:rsidRPr="00D630D1">
        <w:rPr>
          <w:rFonts w:ascii="宋体" w:hAnsi="宋体" w:cs="宋体" w:hint="eastAsia"/>
        </w:rPr>
        <w:t>②</w:t>
      </w:r>
      <w:r w:rsidR="00DD3EA1">
        <w:t>普光</w:t>
      </w:r>
      <w:r w:rsidR="00DD3EA1">
        <w:t>12</w:t>
      </w:r>
      <w:r w:rsidR="00DD3EA1">
        <w:t>采气站</w:t>
      </w:r>
      <w:r w:rsidR="007F0FC4" w:rsidRPr="00D630D1">
        <w:t>~</w:t>
      </w:r>
      <w:r w:rsidR="00D57583">
        <w:rPr>
          <w:rFonts w:hint="eastAsia"/>
        </w:rPr>
        <w:t>普陆</w:t>
      </w:r>
      <w:r w:rsidR="00D57583">
        <w:rPr>
          <w:rFonts w:hint="eastAsia"/>
        </w:rPr>
        <w:t>3</w:t>
      </w:r>
      <w:r w:rsidR="00D57583">
        <w:rPr>
          <w:rFonts w:hint="eastAsia"/>
        </w:rPr>
        <w:t>集气站</w:t>
      </w:r>
      <w:r w:rsidR="007F0FC4" w:rsidRPr="00D630D1">
        <w:rPr>
          <w:rFonts w:hint="eastAsia"/>
        </w:rPr>
        <w:t>集气管道</w:t>
      </w:r>
      <w:r w:rsidRPr="00D630D1">
        <w:t>；</w:t>
      </w:r>
    </w:p>
    <w:p w:rsidR="0068242A" w:rsidRPr="00D630D1" w:rsidRDefault="008B5B84" w:rsidP="005804DA">
      <w:pPr>
        <w:pStyle w:val="afa"/>
        <w:ind w:firstLine="480"/>
      </w:pPr>
      <w:r w:rsidRPr="00D630D1">
        <w:rPr>
          <w:rFonts w:ascii="宋体" w:hAnsi="宋体" w:cs="宋体" w:hint="eastAsia"/>
        </w:rPr>
        <w:t>③</w:t>
      </w:r>
      <w:r w:rsidR="00571DAF">
        <w:rPr>
          <w:rFonts w:hint="eastAsia"/>
        </w:rPr>
        <w:t>普陆</w:t>
      </w:r>
      <w:r w:rsidR="00571DAF">
        <w:rPr>
          <w:rFonts w:hint="eastAsia"/>
        </w:rPr>
        <w:t>3</w:t>
      </w:r>
      <w:r w:rsidR="00571DAF">
        <w:rPr>
          <w:rFonts w:hint="eastAsia"/>
        </w:rPr>
        <w:t>集气站</w:t>
      </w:r>
      <w:r w:rsidR="00571DAF" w:rsidRPr="00D630D1">
        <w:t>~</w:t>
      </w:r>
      <w:r w:rsidR="00571DAF">
        <w:rPr>
          <w:rFonts w:hint="eastAsia"/>
        </w:rPr>
        <w:t>P105</w:t>
      </w:r>
      <w:r w:rsidR="00571DAF">
        <w:rPr>
          <w:rFonts w:hint="eastAsia"/>
        </w:rPr>
        <w:t>集气站</w:t>
      </w:r>
      <w:r w:rsidR="00571DAF" w:rsidRPr="00D630D1">
        <w:rPr>
          <w:rFonts w:hint="eastAsia"/>
        </w:rPr>
        <w:t>集气管道</w:t>
      </w:r>
      <w:r w:rsidR="0068242A" w:rsidRPr="00D630D1">
        <w:rPr>
          <w:rFonts w:hint="eastAsia"/>
        </w:rPr>
        <w:t>；</w:t>
      </w:r>
    </w:p>
    <w:p w:rsidR="0068242A" w:rsidRDefault="0068242A" w:rsidP="005804DA">
      <w:pPr>
        <w:pStyle w:val="afa"/>
        <w:ind w:firstLine="480"/>
      </w:pPr>
      <w:r w:rsidRPr="00D630D1">
        <w:rPr>
          <w:rFonts w:ascii="宋体" w:hAnsi="宋体" w:hint="eastAsia"/>
        </w:rPr>
        <w:t>④</w:t>
      </w:r>
      <w:r w:rsidR="00DB6EC5" w:rsidRPr="00D630D1">
        <w:rPr>
          <w:rFonts w:hint="eastAsia"/>
        </w:rPr>
        <w:t>柴油储罐</w:t>
      </w:r>
      <w:r w:rsidRPr="00D630D1">
        <w:rPr>
          <w:rFonts w:hint="eastAsia"/>
        </w:rPr>
        <w:t>；</w:t>
      </w:r>
    </w:p>
    <w:p w:rsidR="00571DAF" w:rsidRPr="00D630D1" w:rsidRDefault="00571DAF" w:rsidP="005804DA">
      <w:pPr>
        <w:pStyle w:val="afa"/>
        <w:ind w:firstLine="480"/>
      </w:pPr>
      <w:r w:rsidRPr="00D630D1">
        <w:rPr>
          <w:rFonts w:ascii="宋体" w:hAnsi="宋体" w:hint="eastAsia"/>
        </w:rPr>
        <w:t>⑤</w:t>
      </w:r>
      <w:r>
        <w:rPr>
          <w:rFonts w:ascii="宋体" w:hAnsi="宋体" w:hint="eastAsia"/>
        </w:rPr>
        <w:t>凝析油储罐；</w:t>
      </w:r>
    </w:p>
    <w:p w:rsidR="00117C3D" w:rsidRPr="00D630D1" w:rsidRDefault="00571DAF" w:rsidP="005804DA">
      <w:pPr>
        <w:pStyle w:val="afa"/>
        <w:ind w:firstLine="480"/>
      </w:pPr>
      <w:r>
        <w:rPr>
          <w:rFonts w:ascii="宋体" w:hAnsi="宋体" w:hint="eastAsia"/>
        </w:rPr>
        <w:t>⑥</w:t>
      </w:r>
      <w:r w:rsidR="0068242A" w:rsidRPr="00D630D1">
        <w:rPr>
          <w:rFonts w:ascii="宋体" w:hAnsi="宋体" w:hint="eastAsia"/>
        </w:rPr>
        <w:t>污水缓冲罐</w:t>
      </w:r>
      <w:r w:rsidR="00E13873" w:rsidRPr="00D630D1">
        <w:t>。</w:t>
      </w:r>
    </w:p>
    <w:p w:rsidR="00117C3D" w:rsidRPr="00D630D1" w:rsidRDefault="008B5B84" w:rsidP="00B13323">
      <w:pPr>
        <w:pStyle w:val="afa"/>
        <w:ind w:firstLine="480"/>
      </w:pPr>
      <w:r w:rsidRPr="00D630D1">
        <w:t>结合各单元工艺流程，对各危险单元的风险源进行识别，并分析风险源的危险性、存在条件和转化为事故的触发因素，识别结果见表</w:t>
      </w:r>
      <w:r w:rsidR="00E13873" w:rsidRPr="00D630D1">
        <w:t>7.6</w:t>
      </w:r>
      <w:r w:rsidRPr="00D630D1">
        <w:t>-</w:t>
      </w:r>
      <w:r w:rsidR="009013EB">
        <w:rPr>
          <w:rFonts w:hint="eastAsia"/>
        </w:rPr>
        <w:t>4</w:t>
      </w:r>
      <w:r w:rsidRPr="00D630D1">
        <w:t>。</w:t>
      </w:r>
    </w:p>
    <w:p w:rsidR="00117C3D" w:rsidRPr="00D630D1" w:rsidRDefault="00E13873">
      <w:pPr>
        <w:pStyle w:val="3"/>
        <w:rPr>
          <w:rFonts w:eastAsia="宋体"/>
        </w:rPr>
      </w:pPr>
      <w:bookmarkStart w:id="546" w:name="_Toc19816105"/>
      <w:bookmarkStart w:id="547" w:name="_Toc12288732"/>
      <w:r w:rsidRPr="00D630D1">
        <w:rPr>
          <w:rFonts w:eastAsia="宋体"/>
        </w:rPr>
        <w:t>7</w:t>
      </w:r>
      <w:r w:rsidR="008B5B84" w:rsidRPr="00D630D1">
        <w:rPr>
          <w:rFonts w:eastAsia="宋体"/>
        </w:rPr>
        <w:t>.6.</w:t>
      </w:r>
      <w:r w:rsidR="004844A8" w:rsidRPr="00D630D1">
        <w:rPr>
          <w:rFonts w:eastAsia="宋体"/>
        </w:rPr>
        <w:t>3</w:t>
      </w:r>
      <w:r w:rsidRPr="00D630D1">
        <w:rPr>
          <w:rFonts w:eastAsia="宋体"/>
        </w:rPr>
        <w:t xml:space="preserve"> </w:t>
      </w:r>
      <w:r w:rsidR="008B5B84" w:rsidRPr="00D630D1">
        <w:rPr>
          <w:rFonts w:eastAsia="宋体"/>
        </w:rPr>
        <w:t>危险物质扩散途径识别</w:t>
      </w:r>
      <w:bookmarkEnd w:id="546"/>
      <w:bookmarkEnd w:id="547"/>
    </w:p>
    <w:p w:rsidR="00117C3D" w:rsidRDefault="008B5B84" w:rsidP="004C35E7">
      <w:pPr>
        <w:pStyle w:val="afa"/>
        <w:ind w:firstLine="480"/>
      </w:pPr>
      <w:r w:rsidRPr="00D630D1">
        <w:t>环境风险类型包括危险物质泄漏，火灾、爆炸等引发的伴生</w:t>
      </w:r>
      <w:r w:rsidRPr="00D630D1">
        <w:t>/</w:t>
      </w:r>
      <w:r w:rsidRPr="00D630D1">
        <w:t>次生污染物排放，同一种危险物质可能有多种环境风险类型。本项目主要环境风险物质为</w:t>
      </w:r>
      <w:r w:rsidRPr="00D630D1">
        <w:t>CH</w:t>
      </w:r>
      <w:r w:rsidRPr="00D630D1">
        <w:rPr>
          <w:vertAlign w:val="subscript"/>
        </w:rPr>
        <w:t>4</w:t>
      </w:r>
      <w:r w:rsidR="00571DAF">
        <w:rPr>
          <w:rFonts w:hint="eastAsia"/>
        </w:rPr>
        <w:t>、</w:t>
      </w:r>
      <w:r w:rsidR="00C218E4" w:rsidRPr="00D630D1">
        <w:t>柴油</w:t>
      </w:r>
      <w:r w:rsidR="00571DAF">
        <w:rPr>
          <w:rFonts w:hint="eastAsia"/>
        </w:rPr>
        <w:t>和凝析油</w:t>
      </w:r>
      <w:r w:rsidRPr="00D630D1">
        <w:t>，还要考虑</w:t>
      </w:r>
      <w:r w:rsidR="00C218E4" w:rsidRPr="00D630D1">
        <w:t>井喷或天然气管道泄漏后</w:t>
      </w:r>
      <w:r w:rsidRPr="00D630D1">
        <w:t>的火灾事故中未完全燃烧产生的伴生污染物</w:t>
      </w:r>
      <w:r w:rsidRPr="00D630D1">
        <w:t>CO</w:t>
      </w:r>
      <w:r w:rsidRPr="00D630D1">
        <w:t>，以及火灾事故时产生的消防废水和事故后维修作业废水</w:t>
      </w:r>
      <w:r w:rsidR="004C35E7" w:rsidRPr="00D630D1">
        <w:t>，此外还需考虑</w:t>
      </w:r>
      <w:r w:rsidR="00DB6EC5" w:rsidRPr="00D630D1">
        <w:t>柴油储罐</w:t>
      </w:r>
      <w:r w:rsidR="00BA4F10" w:rsidRPr="00D630D1">
        <w:t>泄漏</w:t>
      </w:r>
      <w:r w:rsidR="00BA4F10" w:rsidRPr="00D630D1">
        <w:rPr>
          <w:rFonts w:hint="eastAsia"/>
        </w:rPr>
        <w:t>、</w:t>
      </w:r>
      <w:r w:rsidR="00EF360A" w:rsidRPr="00D630D1">
        <w:rPr>
          <w:rFonts w:hint="eastAsia"/>
        </w:rPr>
        <w:t>压裂、洗井废水</w:t>
      </w:r>
      <w:r w:rsidR="00571DAF">
        <w:rPr>
          <w:rFonts w:hint="eastAsia"/>
        </w:rPr>
        <w:t>、气田水</w:t>
      </w:r>
      <w:r w:rsidR="004C35E7" w:rsidRPr="00D630D1">
        <w:t>泄漏，导致</w:t>
      </w:r>
      <w:r w:rsidR="00BA4F10" w:rsidRPr="00D630D1">
        <w:t>柴油</w:t>
      </w:r>
      <w:r w:rsidR="00BA4F10" w:rsidRPr="00D630D1">
        <w:rPr>
          <w:rFonts w:hint="eastAsia"/>
        </w:rPr>
        <w:t>、</w:t>
      </w:r>
      <w:r w:rsidR="00EF360A" w:rsidRPr="00D630D1">
        <w:rPr>
          <w:rFonts w:hint="eastAsia"/>
        </w:rPr>
        <w:t>压裂、洗井废水</w:t>
      </w:r>
      <w:r w:rsidR="00571DAF">
        <w:rPr>
          <w:rFonts w:hint="eastAsia"/>
        </w:rPr>
        <w:t>、气田水</w:t>
      </w:r>
      <w:r w:rsidR="004C35E7" w:rsidRPr="00D630D1">
        <w:t>进入地表水、地下水、土壤环境，对项目周围环境造成危害</w:t>
      </w:r>
      <w:r w:rsidRPr="00D630D1">
        <w:t>。本工程涉及的危险物质及每种危险物质涉及的风险类型、扩散途径和可能影响方式见下表。</w:t>
      </w:r>
    </w:p>
    <w:p w:rsidR="009013EB" w:rsidRPr="00D630D1" w:rsidRDefault="009013EB" w:rsidP="004C35E7">
      <w:pPr>
        <w:pStyle w:val="afa"/>
        <w:ind w:firstLine="480"/>
      </w:pPr>
    </w:p>
    <w:p w:rsidR="00117C3D" w:rsidRPr="00D630D1" w:rsidRDefault="008B5B84" w:rsidP="00E13873">
      <w:pPr>
        <w:pStyle w:val="TOC11"/>
        <w:rPr>
          <w:rFonts w:eastAsia="宋体"/>
        </w:rPr>
      </w:pPr>
      <w:r w:rsidRPr="00D630D1">
        <w:rPr>
          <w:rFonts w:eastAsia="宋体"/>
        </w:rPr>
        <w:lastRenderedPageBreak/>
        <w:t>表</w:t>
      </w:r>
      <w:r w:rsidR="00E13873" w:rsidRPr="00D630D1">
        <w:rPr>
          <w:rFonts w:eastAsia="宋体"/>
        </w:rPr>
        <w:t>7</w:t>
      </w:r>
      <w:r w:rsidRPr="00D630D1">
        <w:rPr>
          <w:rFonts w:eastAsia="宋体"/>
        </w:rPr>
        <w:t>.6-</w:t>
      </w:r>
      <w:r w:rsidR="009013EB">
        <w:rPr>
          <w:rFonts w:eastAsia="宋体" w:hint="eastAsia"/>
        </w:rPr>
        <w:t>4</w:t>
      </w:r>
      <w:r w:rsidR="00E13873" w:rsidRPr="00D630D1">
        <w:rPr>
          <w:rFonts w:eastAsia="宋体"/>
        </w:rPr>
        <w:t xml:space="preserve"> </w:t>
      </w:r>
      <w:r w:rsidRPr="00D630D1">
        <w:rPr>
          <w:rFonts w:eastAsia="宋体"/>
        </w:rPr>
        <w:t xml:space="preserve"> </w:t>
      </w:r>
      <w:r w:rsidRPr="00D630D1">
        <w:rPr>
          <w:rFonts w:eastAsia="宋体"/>
        </w:rPr>
        <w:t>本项目环境风险识别表</w:t>
      </w:r>
    </w:p>
    <w:tbl>
      <w:tblPr>
        <w:tblW w:w="8630" w:type="dxa"/>
        <w:jc w:val="center"/>
        <w:tblBorders>
          <w:top w:val="single" w:sz="12" w:space="0" w:color="000000"/>
          <w:bottom w:val="single" w:sz="12" w:space="0" w:color="000000"/>
          <w:insideH w:val="single" w:sz="2" w:space="0" w:color="000000"/>
          <w:insideV w:val="single" w:sz="2" w:space="0" w:color="000000"/>
        </w:tblBorders>
        <w:tblLayout w:type="fixed"/>
        <w:tblCellMar>
          <w:left w:w="0" w:type="dxa"/>
          <w:right w:w="0" w:type="dxa"/>
        </w:tblCellMar>
        <w:tblLook w:val="04A0"/>
      </w:tblPr>
      <w:tblGrid>
        <w:gridCol w:w="1022"/>
        <w:gridCol w:w="1388"/>
        <w:gridCol w:w="1559"/>
        <w:gridCol w:w="4661"/>
      </w:tblGrid>
      <w:tr w:rsidR="00044303" w:rsidRPr="00D630D1" w:rsidTr="004844A8">
        <w:trPr>
          <w:trHeight w:val="18"/>
          <w:jc w:val="center"/>
        </w:trPr>
        <w:tc>
          <w:tcPr>
            <w:tcW w:w="1022" w:type="dxa"/>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危险物质</w:t>
            </w:r>
          </w:p>
        </w:tc>
        <w:tc>
          <w:tcPr>
            <w:tcW w:w="1388" w:type="dxa"/>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环境风险类型</w:t>
            </w:r>
          </w:p>
        </w:tc>
        <w:tc>
          <w:tcPr>
            <w:tcW w:w="1559" w:type="dxa"/>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环境要素影响</w:t>
            </w:r>
          </w:p>
        </w:tc>
        <w:tc>
          <w:tcPr>
            <w:tcW w:w="4661" w:type="dxa"/>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扩散途径和可能影响方式</w:t>
            </w:r>
          </w:p>
        </w:tc>
      </w:tr>
      <w:tr w:rsidR="0068242A" w:rsidRPr="00D630D1" w:rsidTr="00422077">
        <w:trPr>
          <w:trHeight w:val="18"/>
          <w:jc w:val="center"/>
        </w:trPr>
        <w:tc>
          <w:tcPr>
            <w:tcW w:w="1022" w:type="dxa"/>
            <w:vMerge w:val="restart"/>
            <w:vAlign w:val="center"/>
          </w:tcPr>
          <w:p w:rsidR="0068242A" w:rsidRPr="00D630D1" w:rsidRDefault="0068242A" w:rsidP="00C218E4">
            <w:pPr>
              <w:pStyle w:val="TableParagraph"/>
              <w:spacing w:line="240" w:lineRule="auto"/>
              <w:ind w:firstLineChars="0" w:firstLine="0"/>
              <w:rPr>
                <w:rFonts w:ascii="Times New Roman" w:cs="Times New Roman"/>
                <w:b/>
                <w:kern w:val="2"/>
                <w:sz w:val="21"/>
                <w:szCs w:val="21"/>
              </w:rPr>
            </w:pPr>
            <w:r w:rsidRPr="00D630D1">
              <w:rPr>
                <w:rFonts w:ascii="Times New Roman" w:cs="Times New Roman"/>
                <w:kern w:val="2"/>
                <w:sz w:val="21"/>
                <w:szCs w:val="21"/>
              </w:rPr>
              <w:t>井喷泄漏的天然气</w:t>
            </w:r>
          </w:p>
        </w:tc>
        <w:tc>
          <w:tcPr>
            <w:tcW w:w="1388" w:type="dxa"/>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泄漏</w:t>
            </w:r>
          </w:p>
        </w:tc>
        <w:tc>
          <w:tcPr>
            <w:tcW w:w="1559" w:type="dxa"/>
            <w:vAlign w:val="center"/>
          </w:tcPr>
          <w:p w:rsidR="0068242A" w:rsidRPr="00D630D1" w:rsidRDefault="0068242A">
            <w:pPr>
              <w:pStyle w:val="TableParagraph"/>
              <w:spacing w:line="240" w:lineRule="auto"/>
              <w:ind w:firstLineChars="0" w:firstLine="0"/>
              <w:rPr>
                <w:rFonts w:ascii="Times New Roman" w:cs="Times New Roman"/>
                <w:b/>
                <w:kern w:val="2"/>
                <w:sz w:val="21"/>
                <w:szCs w:val="21"/>
              </w:rPr>
            </w:pPr>
            <w:r w:rsidRPr="00D630D1">
              <w:rPr>
                <w:rFonts w:ascii="Times New Roman" w:cs="Times New Roman"/>
                <w:kern w:val="2"/>
                <w:sz w:val="21"/>
                <w:szCs w:val="21"/>
              </w:rPr>
              <w:t>大气</w:t>
            </w:r>
          </w:p>
        </w:tc>
        <w:tc>
          <w:tcPr>
            <w:tcW w:w="4661" w:type="dxa"/>
            <w:vAlign w:val="center"/>
          </w:tcPr>
          <w:p w:rsidR="0068242A" w:rsidRPr="00D630D1" w:rsidRDefault="0068242A" w:rsidP="009013EB">
            <w:pPr>
              <w:pStyle w:val="TableParagraph"/>
              <w:spacing w:line="240" w:lineRule="auto"/>
              <w:ind w:firstLineChars="0" w:firstLine="0"/>
              <w:rPr>
                <w:rFonts w:ascii="Times New Roman" w:cs="Times New Roman"/>
                <w:b/>
                <w:kern w:val="2"/>
                <w:sz w:val="21"/>
                <w:szCs w:val="21"/>
              </w:rPr>
            </w:pPr>
            <w:r w:rsidRPr="00D630D1">
              <w:rPr>
                <w:rFonts w:ascii="Times New Roman" w:cs="Times New Roman"/>
                <w:kern w:val="2"/>
                <w:sz w:val="21"/>
                <w:szCs w:val="21"/>
              </w:rPr>
              <w:t>井喷事故导致天然气泄漏后直接进入大气环境，通过大气扩散对项目周围环境造成危害，致使居民甲烷窒息。</w:t>
            </w:r>
          </w:p>
        </w:tc>
      </w:tr>
      <w:tr w:rsidR="0068242A" w:rsidRPr="00D630D1" w:rsidTr="00422077">
        <w:trPr>
          <w:trHeight w:val="18"/>
          <w:jc w:val="center"/>
        </w:trPr>
        <w:tc>
          <w:tcPr>
            <w:tcW w:w="1022" w:type="dxa"/>
            <w:vMerge/>
            <w:vAlign w:val="center"/>
          </w:tcPr>
          <w:p w:rsidR="0068242A" w:rsidRPr="00D630D1" w:rsidRDefault="0068242A" w:rsidP="00C218E4">
            <w:pPr>
              <w:pStyle w:val="TableParagraph"/>
              <w:spacing w:line="240" w:lineRule="auto"/>
              <w:ind w:firstLineChars="0" w:firstLine="0"/>
              <w:rPr>
                <w:rFonts w:ascii="Times New Roman" w:cs="Times New Roman"/>
                <w:kern w:val="2"/>
                <w:sz w:val="21"/>
                <w:szCs w:val="21"/>
              </w:rPr>
            </w:pPr>
          </w:p>
        </w:tc>
        <w:tc>
          <w:tcPr>
            <w:tcW w:w="1388" w:type="dxa"/>
            <w:vMerge w:val="restart"/>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火灾</w:t>
            </w:r>
          </w:p>
        </w:tc>
        <w:tc>
          <w:tcPr>
            <w:tcW w:w="1559" w:type="dxa"/>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大气</w:t>
            </w:r>
          </w:p>
        </w:tc>
        <w:tc>
          <w:tcPr>
            <w:tcW w:w="4661" w:type="dxa"/>
            <w:vAlign w:val="center"/>
          </w:tcPr>
          <w:p w:rsidR="0068242A" w:rsidRPr="00D630D1" w:rsidRDefault="0068242A" w:rsidP="009013E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井喷事故导致天然气泄漏</w:t>
            </w:r>
            <w:r w:rsidRPr="00D630D1">
              <w:rPr>
                <w:rFonts w:ascii="Times New Roman" w:cs="Times New Roman" w:hint="eastAsia"/>
                <w:kern w:val="2"/>
                <w:sz w:val="21"/>
                <w:szCs w:val="21"/>
              </w:rPr>
              <w:t>，经</w:t>
            </w:r>
            <w:r w:rsidRPr="00D630D1">
              <w:rPr>
                <w:rFonts w:ascii="Times New Roman" w:cs="Times New Roman"/>
                <w:kern w:val="2"/>
                <w:sz w:val="21"/>
                <w:szCs w:val="21"/>
              </w:rPr>
              <w:t>点燃后</w:t>
            </w:r>
            <w:r w:rsidRPr="00D630D1">
              <w:rPr>
                <w:rFonts w:ascii="Times New Roman" w:cs="Times New Roman" w:hint="eastAsia"/>
                <w:kern w:val="2"/>
                <w:sz w:val="21"/>
                <w:szCs w:val="21"/>
              </w:rPr>
              <w:t>伴生污染物</w:t>
            </w:r>
            <w:r w:rsidRPr="00D630D1">
              <w:rPr>
                <w:rFonts w:ascii="Times New Roman" w:cs="Times New Roman"/>
                <w:kern w:val="2"/>
                <w:sz w:val="21"/>
                <w:szCs w:val="21"/>
              </w:rPr>
              <w:t>CO</w:t>
            </w:r>
            <w:r w:rsidRPr="00D630D1">
              <w:rPr>
                <w:rFonts w:ascii="Times New Roman" w:cs="Times New Roman"/>
                <w:kern w:val="2"/>
                <w:sz w:val="21"/>
                <w:szCs w:val="21"/>
              </w:rPr>
              <w:t>等</w:t>
            </w:r>
            <w:r w:rsidRPr="00D630D1">
              <w:rPr>
                <w:rFonts w:ascii="Times New Roman" w:cs="Times New Roman" w:hint="eastAsia"/>
                <w:kern w:val="2"/>
                <w:sz w:val="21"/>
                <w:szCs w:val="21"/>
              </w:rPr>
              <w:t>进入大气环境，通过大气扩散对项目周围环境造成危害。</w:t>
            </w:r>
          </w:p>
        </w:tc>
      </w:tr>
      <w:tr w:rsidR="0068242A" w:rsidRPr="00D630D1" w:rsidTr="00422077">
        <w:trPr>
          <w:trHeight w:val="18"/>
          <w:jc w:val="center"/>
        </w:trPr>
        <w:tc>
          <w:tcPr>
            <w:tcW w:w="1022" w:type="dxa"/>
            <w:vMerge/>
            <w:vAlign w:val="center"/>
          </w:tcPr>
          <w:p w:rsidR="0068242A" w:rsidRPr="00D630D1" w:rsidRDefault="0068242A" w:rsidP="00C218E4">
            <w:pPr>
              <w:pStyle w:val="TableParagraph"/>
              <w:spacing w:line="240" w:lineRule="auto"/>
              <w:ind w:firstLineChars="0" w:firstLine="0"/>
              <w:rPr>
                <w:rFonts w:ascii="Times New Roman" w:cs="Times New Roman"/>
                <w:kern w:val="2"/>
                <w:sz w:val="21"/>
                <w:szCs w:val="21"/>
              </w:rPr>
            </w:pPr>
          </w:p>
        </w:tc>
        <w:tc>
          <w:tcPr>
            <w:tcW w:w="1388" w:type="dxa"/>
            <w:vMerge/>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p>
        </w:tc>
        <w:tc>
          <w:tcPr>
            <w:tcW w:w="1559" w:type="dxa"/>
            <w:vAlign w:val="center"/>
          </w:tcPr>
          <w:p w:rsidR="0068242A" w:rsidRPr="00D630D1" w:rsidRDefault="0068242A" w:rsidP="0042207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地表水</w:t>
            </w:r>
          </w:p>
        </w:tc>
        <w:tc>
          <w:tcPr>
            <w:tcW w:w="4661" w:type="dxa"/>
            <w:vAlign w:val="center"/>
          </w:tcPr>
          <w:p w:rsidR="0068242A" w:rsidRPr="00D630D1" w:rsidRDefault="00EA2ECF" w:rsidP="0042207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井喷事故</w:t>
            </w:r>
            <w:r w:rsidR="0068242A" w:rsidRPr="00D630D1">
              <w:rPr>
                <w:rFonts w:ascii="Times New Roman" w:cs="Times New Roman"/>
                <w:kern w:val="2"/>
                <w:sz w:val="21"/>
                <w:szCs w:val="21"/>
              </w:rPr>
              <w:t>事故后维修作业对地表水环境造成影响。</w:t>
            </w:r>
          </w:p>
        </w:tc>
      </w:tr>
      <w:tr w:rsidR="0068242A" w:rsidRPr="00D630D1" w:rsidTr="00422077">
        <w:trPr>
          <w:trHeight w:val="18"/>
          <w:jc w:val="center"/>
        </w:trPr>
        <w:tc>
          <w:tcPr>
            <w:tcW w:w="1022" w:type="dxa"/>
            <w:vMerge/>
            <w:vAlign w:val="center"/>
          </w:tcPr>
          <w:p w:rsidR="0068242A" w:rsidRPr="00D630D1" w:rsidRDefault="0068242A" w:rsidP="00C218E4">
            <w:pPr>
              <w:pStyle w:val="TableParagraph"/>
              <w:spacing w:line="240" w:lineRule="auto"/>
              <w:ind w:firstLineChars="0" w:firstLine="0"/>
              <w:rPr>
                <w:rFonts w:ascii="Times New Roman" w:cs="Times New Roman"/>
                <w:kern w:val="2"/>
                <w:sz w:val="21"/>
                <w:szCs w:val="21"/>
              </w:rPr>
            </w:pPr>
          </w:p>
        </w:tc>
        <w:tc>
          <w:tcPr>
            <w:tcW w:w="1388" w:type="dxa"/>
            <w:vMerge w:val="restart"/>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爆炸</w:t>
            </w:r>
          </w:p>
        </w:tc>
        <w:tc>
          <w:tcPr>
            <w:tcW w:w="1559" w:type="dxa"/>
            <w:vAlign w:val="center"/>
          </w:tcPr>
          <w:p w:rsidR="0068242A" w:rsidRPr="00D630D1" w:rsidRDefault="0068242A" w:rsidP="0042207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大气</w:t>
            </w:r>
          </w:p>
        </w:tc>
        <w:tc>
          <w:tcPr>
            <w:tcW w:w="4661" w:type="dxa"/>
            <w:vAlign w:val="center"/>
          </w:tcPr>
          <w:p w:rsidR="0068242A" w:rsidRPr="00D630D1" w:rsidRDefault="0068242A" w:rsidP="009013E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井喷事故导致天然气泄漏发生爆炸事故，引发伴生污染物</w:t>
            </w:r>
            <w:r w:rsidRPr="00D630D1">
              <w:rPr>
                <w:rFonts w:ascii="Times New Roman" w:cs="Times New Roman"/>
                <w:kern w:val="2"/>
                <w:sz w:val="21"/>
                <w:szCs w:val="21"/>
              </w:rPr>
              <w:t>CO</w:t>
            </w:r>
            <w:r w:rsidRPr="00D630D1">
              <w:rPr>
                <w:rFonts w:ascii="Times New Roman" w:cs="Times New Roman"/>
                <w:kern w:val="2"/>
                <w:sz w:val="21"/>
                <w:szCs w:val="21"/>
              </w:rPr>
              <w:t>等进入大气环境，对项目周围环境造成危害。</w:t>
            </w:r>
          </w:p>
        </w:tc>
      </w:tr>
      <w:tr w:rsidR="0068242A" w:rsidRPr="00D630D1" w:rsidTr="00C218E4">
        <w:trPr>
          <w:trHeight w:val="18"/>
          <w:jc w:val="center"/>
        </w:trPr>
        <w:tc>
          <w:tcPr>
            <w:tcW w:w="1022" w:type="dxa"/>
            <w:vMerge/>
            <w:tcBorders>
              <w:bottom w:val="single" w:sz="4" w:space="0" w:color="auto"/>
            </w:tcBorders>
            <w:vAlign w:val="center"/>
          </w:tcPr>
          <w:p w:rsidR="0068242A" w:rsidRPr="00D630D1" w:rsidRDefault="0068242A" w:rsidP="00C218E4">
            <w:pPr>
              <w:pStyle w:val="TableParagraph"/>
              <w:spacing w:line="240" w:lineRule="auto"/>
              <w:ind w:firstLineChars="0" w:firstLine="0"/>
              <w:rPr>
                <w:rFonts w:ascii="Times New Roman" w:cs="Times New Roman"/>
                <w:kern w:val="2"/>
                <w:sz w:val="21"/>
                <w:szCs w:val="21"/>
              </w:rPr>
            </w:pPr>
          </w:p>
        </w:tc>
        <w:tc>
          <w:tcPr>
            <w:tcW w:w="1388" w:type="dxa"/>
            <w:vMerge/>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p>
        </w:tc>
        <w:tc>
          <w:tcPr>
            <w:tcW w:w="1559" w:type="dxa"/>
            <w:vAlign w:val="center"/>
          </w:tcPr>
          <w:p w:rsidR="0068242A" w:rsidRPr="00D630D1" w:rsidRDefault="0068242A" w:rsidP="0042207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地表水</w:t>
            </w:r>
          </w:p>
        </w:tc>
        <w:tc>
          <w:tcPr>
            <w:tcW w:w="4661" w:type="dxa"/>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井喷事故导致天然气泄漏发生爆炸事故时产生的消防废水或事故后维修作业对地表水环境造成影响。</w:t>
            </w:r>
          </w:p>
        </w:tc>
      </w:tr>
      <w:tr w:rsidR="0068242A" w:rsidRPr="00D630D1" w:rsidTr="00C218E4">
        <w:trPr>
          <w:trHeight w:val="18"/>
          <w:jc w:val="center"/>
        </w:trPr>
        <w:tc>
          <w:tcPr>
            <w:tcW w:w="1022" w:type="dxa"/>
            <w:vMerge w:val="restart"/>
            <w:tcBorders>
              <w:top w:val="single" w:sz="4" w:space="0" w:color="auto"/>
            </w:tcBorders>
            <w:vAlign w:val="center"/>
          </w:tcPr>
          <w:p w:rsidR="0068242A" w:rsidRPr="00D630D1" w:rsidRDefault="0068242A" w:rsidP="00C218E4">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管道泄漏的天然气</w:t>
            </w:r>
          </w:p>
        </w:tc>
        <w:tc>
          <w:tcPr>
            <w:tcW w:w="1388" w:type="dxa"/>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泄漏</w:t>
            </w:r>
          </w:p>
        </w:tc>
        <w:tc>
          <w:tcPr>
            <w:tcW w:w="1559" w:type="dxa"/>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大气</w:t>
            </w:r>
          </w:p>
        </w:tc>
        <w:tc>
          <w:tcPr>
            <w:tcW w:w="4661" w:type="dxa"/>
            <w:vAlign w:val="center"/>
          </w:tcPr>
          <w:p w:rsidR="0068242A" w:rsidRPr="00D630D1" w:rsidRDefault="0068242A" w:rsidP="000D389E">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天然气泄漏后直接进入大气环境，通过大气扩散对项目周围环境造成危害，致使居民甲烷窒息。</w:t>
            </w:r>
          </w:p>
        </w:tc>
      </w:tr>
      <w:tr w:rsidR="0068242A" w:rsidRPr="00D630D1" w:rsidTr="004844A8">
        <w:trPr>
          <w:trHeight w:val="18"/>
          <w:jc w:val="center"/>
        </w:trPr>
        <w:tc>
          <w:tcPr>
            <w:tcW w:w="1022" w:type="dxa"/>
            <w:vMerge/>
            <w:vAlign w:val="center"/>
          </w:tcPr>
          <w:p w:rsidR="0068242A" w:rsidRPr="00D630D1" w:rsidRDefault="0068242A">
            <w:pPr>
              <w:widowControl/>
              <w:topLinePunct w:val="0"/>
              <w:adjustRightInd/>
              <w:spacing w:line="240" w:lineRule="auto"/>
              <w:ind w:firstLineChars="0" w:firstLine="0"/>
              <w:jc w:val="left"/>
              <w:rPr>
                <w:rFonts w:ascii="Times New Roman" w:cs="Times New Roman"/>
                <w:kern w:val="2"/>
                <w:sz w:val="21"/>
                <w:szCs w:val="21"/>
              </w:rPr>
            </w:pPr>
          </w:p>
        </w:tc>
        <w:tc>
          <w:tcPr>
            <w:tcW w:w="1388" w:type="dxa"/>
            <w:vMerge w:val="restart"/>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火灾</w:t>
            </w:r>
          </w:p>
        </w:tc>
        <w:tc>
          <w:tcPr>
            <w:tcW w:w="1559" w:type="dxa"/>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大气</w:t>
            </w:r>
          </w:p>
        </w:tc>
        <w:tc>
          <w:tcPr>
            <w:tcW w:w="4661" w:type="dxa"/>
            <w:vAlign w:val="center"/>
          </w:tcPr>
          <w:p w:rsidR="0068242A" w:rsidRPr="00D630D1" w:rsidRDefault="0068242A" w:rsidP="009013E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天然气泄漏发生火灾事故，引发伴生污染物</w:t>
            </w:r>
            <w:r w:rsidRPr="00D630D1">
              <w:rPr>
                <w:rFonts w:ascii="Times New Roman" w:cs="Times New Roman"/>
                <w:kern w:val="2"/>
                <w:sz w:val="21"/>
                <w:szCs w:val="21"/>
              </w:rPr>
              <w:t>CO</w:t>
            </w:r>
            <w:r w:rsidRPr="00D630D1">
              <w:rPr>
                <w:rFonts w:ascii="Times New Roman" w:cs="Times New Roman"/>
                <w:kern w:val="2"/>
                <w:sz w:val="21"/>
                <w:szCs w:val="21"/>
              </w:rPr>
              <w:t>等进入大气环境，对项目周围环境造成危害。</w:t>
            </w:r>
          </w:p>
        </w:tc>
      </w:tr>
      <w:tr w:rsidR="0068242A" w:rsidRPr="00D630D1" w:rsidTr="004844A8">
        <w:trPr>
          <w:trHeight w:val="18"/>
          <w:jc w:val="center"/>
        </w:trPr>
        <w:tc>
          <w:tcPr>
            <w:tcW w:w="1022" w:type="dxa"/>
            <w:vMerge/>
            <w:vAlign w:val="center"/>
          </w:tcPr>
          <w:p w:rsidR="0068242A" w:rsidRPr="00D630D1" w:rsidRDefault="0068242A">
            <w:pPr>
              <w:widowControl/>
              <w:topLinePunct w:val="0"/>
              <w:adjustRightInd/>
              <w:spacing w:line="240" w:lineRule="auto"/>
              <w:ind w:firstLineChars="0" w:firstLine="0"/>
              <w:jc w:val="left"/>
              <w:rPr>
                <w:rFonts w:ascii="Times New Roman" w:cs="Times New Roman"/>
                <w:kern w:val="2"/>
                <w:sz w:val="21"/>
                <w:szCs w:val="21"/>
              </w:rPr>
            </w:pPr>
          </w:p>
        </w:tc>
        <w:tc>
          <w:tcPr>
            <w:tcW w:w="1388" w:type="dxa"/>
            <w:vMerge/>
            <w:vAlign w:val="center"/>
          </w:tcPr>
          <w:p w:rsidR="0068242A" w:rsidRPr="00D630D1" w:rsidRDefault="0068242A">
            <w:pPr>
              <w:widowControl/>
              <w:topLinePunct w:val="0"/>
              <w:adjustRightInd/>
              <w:spacing w:line="240" w:lineRule="auto"/>
              <w:ind w:firstLineChars="0" w:firstLine="0"/>
              <w:jc w:val="left"/>
              <w:rPr>
                <w:rFonts w:ascii="Times New Roman" w:cs="Times New Roman"/>
                <w:kern w:val="2"/>
                <w:sz w:val="21"/>
                <w:szCs w:val="21"/>
              </w:rPr>
            </w:pPr>
          </w:p>
        </w:tc>
        <w:tc>
          <w:tcPr>
            <w:tcW w:w="1559" w:type="dxa"/>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地表水</w:t>
            </w:r>
          </w:p>
        </w:tc>
        <w:tc>
          <w:tcPr>
            <w:tcW w:w="4661" w:type="dxa"/>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天然气泄漏发生火灾事故时产生的消防废水或事故后维修作业对地表水环境造成影响。</w:t>
            </w:r>
          </w:p>
        </w:tc>
      </w:tr>
      <w:tr w:rsidR="0068242A" w:rsidRPr="00D630D1" w:rsidTr="004844A8">
        <w:trPr>
          <w:trHeight w:val="18"/>
          <w:jc w:val="center"/>
        </w:trPr>
        <w:tc>
          <w:tcPr>
            <w:tcW w:w="1022" w:type="dxa"/>
            <w:vMerge/>
            <w:vAlign w:val="center"/>
          </w:tcPr>
          <w:p w:rsidR="0068242A" w:rsidRPr="00D630D1" w:rsidRDefault="0068242A">
            <w:pPr>
              <w:widowControl/>
              <w:topLinePunct w:val="0"/>
              <w:adjustRightInd/>
              <w:spacing w:line="240" w:lineRule="auto"/>
              <w:ind w:firstLineChars="0" w:firstLine="0"/>
              <w:jc w:val="left"/>
              <w:rPr>
                <w:rFonts w:ascii="Times New Roman" w:cs="Times New Roman"/>
                <w:kern w:val="2"/>
                <w:sz w:val="21"/>
                <w:szCs w:val="21"/>
              </w:rPr>
            </w:pPr>
          </w:p>
        </w:tc>
        <w:tc>
          <w:tcPr>
            <w:tcW w:w="1388" w:type="dxa"/>
            <w:vMerge w:val="restart"/>
            <w:vAlign w:val="center"/>
          </w:tcPr>
          <w:p w:rsidR="0068242A" w:rsidRPr="00D630D1" w:rsidRDefault="0068242A">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爆炸</w:t>
            </w:r>
          </w:p>
        </w:tc>
        <w:tc>
          <w:tcPr>
            <w:tcW w:w="1559" w:type="dxa"/>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大气</w:t>
            </w:r>
          </w:p>
        </w:tc>
        <w:tc>
          <w:tcPr>
            <w:tcW w:w="4661" w:type="dxa"/>
            <w:vAlign w:val="center"/>
          </w:tcPr>
          <w:p w:rsidR="0068242A" w:rsidRPr="00D630D1" w:rsidRDefault="0068242A" w:rsidP="00E13873">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天然气泄漏发生爆炸事故，引发伴生污染物</w:t>
            </w:r>
            <w:r w:rsidRPr="00D630D1">
              <w:rPr>
                <w:rFonts w:ascii="Times New Roman" w:cs="Times New Roman"/>
                <w:kern w:val="2"/>
                <w:sz w:val="21"/>
                <w:szCs w:val="21"/>
              </w:rPr>
              <w:t>CO</w:t>
            </w:r>
            <w:r w:rsidRPr="00D630D1">
              <w:rPr>
                <w:rFonts w:ascii="Times New Roman" w:cs="Times New Roman"/>
                <w:kern w:val="2"/>
                <w:sz w:val="21"/>
                <w:szCs w:val="21"/>
              </w:rPr>
              <w:t>等进入大气环境，对项目周围环境造成危害。</w:t>
            </w:r>
          </w:p>
        </w:tc>
      </w:tr>
      <w:tr w:rsidR="0068242A" w:rsidRPr="00D630D1" w:rsidTr="004844A8">
        <w:trPr>
          <w:trHeight w:val="18"/>
          <w:jc w:val="center"/>
        </w:trPr>
        <w:tc>
          <w:tcPr>
            <w:tcW w:w="1022" w:type="dxa"/>
            <w:vMerge/>
            <w:vAlign w:val="center"/>
          </w:tcPr>
          <w:p w:rsidR="0068242A" w:rsidRPr="00D630D1" w:rsidRDefault="0068242A">
            <w:pPr>
              <w:widowControl/>
              <w:topLinePunct w:val="0"/>
              <w:adjustRightInd/>
              <w:spacing w:line="240" w:lineRule="auto"/>
              <w:ind w:firstLineChars="0" w:firstLine="0"/>
              <w:jc w:val="left"/>
              <w:rPr>
                <w:rFonts w:ascii="Times New Roman" w:cs="Times New Roman"/>
                <w:kern w:val="2"/>
                <w:sz w:val="21"/>
                <w:szCs w:val="21"/>
              </w:rPr>
            </w:pPr>
          </w:p>
        </w:tc>
        <w:tc>
          <w:tcPr>
            <w:tcW w:w="1388" w:type="dxa"/>
            <w:vMerge/>
            <w:vAlign w:val="center"/>
          </w:tcPr>
          <w:p w:rsidR="0068242A" w:rsidRPr="00D630D1" w:rsidRDefault="0068242A">
            <w:pPr>
              <w:widowControl/>
              <w:topLinePunct w:val="0"/>
              <w:adjustRightInd/>
              <w:spacing w:line="240" w:lineRule="auto"/>
              <w:ind w:firstLineChars="0" w:firstLine="0"/>
              <w:jc w:val="left"/>
              <w:rPr>
                <w:rFonts w:ascii="Times New Roman" w:cs="Times New Roman"/>
                <w:kern w:val="2"/>
                <w:sz w:val="21"/>
                <w:szCs w:val="21"/>
              </w:rPr>
            </w:pPr>
          </w:p>
        </w:tc>
        <w:tc>
          <w:tcPr>
            <w:tcW w:w="1559" w:type="dxa"/>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地表水</w:t>
            </w:r>
          </w:p>
        </w:tc>
        <w:tc>
          <w:tcPr>
            <w:tcW w:w="4661" w:type="dxa"/>
            <w:vAlign w:val="center"/>
          </w:tcPr>
          <w:p w:rsidR="0068242A" w:rsidRPr="00D630D1" w:rsidRDefault="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天然气泄漏发生爆炸事故时产生的消防废水或事故后维修作业对地表水环境造成影响。</w:t>
            </w:r>
          </w:p>
        </w:tc>
      </w:tr>
      <w:tr w:rsidR="0068242A" w:rsidRPr="00D630D1" w:rsidTr="004844A8">
        <w:trPr>
          <w:trHeight w:val="18"/>
          <w:jc w:val="center"/>
        </w:trPr>
        <w:tc>
          <w:tcPr>
            <w:tcW w:w="1022" w:type="dxa"/>
            <w:vMerge w:val="restart"/>
            <w:vAlign w:val="center"/>
          </w:tcPr>
          <w:p w:rsidR="0068242A" w:rsidRPr="00D630D1" w:rsidRDefault="0068242A"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柴油</w:t>
            </w:r>
          </w:p>
        </w:tc>
        <w:tc>
          <w:tcPr>
            <w:tcW w:w="1388" w:type="dxa"/>
            <w:vAlign w:val="center"/>
          </w:tcPr>
          <w:p w:rsidR="0068242A" w:rsidRPr="00D630D1" w:rsidRDefault="0068242A"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泄漏</w:t>
            </w:r>
          </w:p>
        </w:tc>
        <w:tc>
          <w:tcPr>
            <w:tcW w:w="1559" w:type="dxa"/>
            <w:vAlign w:val="center"/>
          </w:tcPr>
          <w:p w:rsidR="0068242A" w:rsidRPr="00D630D1" w:rsidRDefault="0068242A" w:rsidP="00BA4F10">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地表水、土壤、地下水</w:t>
            </w:r>
          </w:p>
        </w:tc>
        <w:tc>
          <w:tcPr>
            <w:tcW w:w="4661" w:type="dxa"/>
            <w:vAlign w:val="center"/>
          </w:tcPr>
          <w:p w:rsidR="0068242A" w:rsidRPr="00D630D1" w:rsidRDefault="0068242A" w:rsidP="00BA4F10">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柴油罐</w:t>
            </w:r>
            <w:r w:rsidRPr="00D630D1">
              <w:rPr>
                <w:rFonts w:ascii="Times New Roman" w:cs="Times New Roman"/>
                <w:kern w:val="2"/>
                <w:sz w:val="21"/>
                <w:szCs w:val="21"/>
              </w:rPr>
              <w:t>发生泄漏，导致</w:t>
            </w:r>
            <w:r w:rsidRPr="00D630D1">
              <w:rPr>
                <w:rFonts w:ascii="Times New Roman" w:cs="Times New Roman" w:hint="eastAsia"/>
                <w:kern w:val="2"/>
                <w:sz w:val="21"/>
                <w:szCs w:val="21"/>
              </w:rPr>
              <w:t>柴油</w:t>
            </w:r>
            <w:r w:rsidRPr="00D630D1">
              <w:rPr>
                <w:rFonts w:ascii="Times New Roman" w:cs="Times New Roman"/>
                <w:kern w:val="2"/>
                <w:sz w:val="21"/>
                <w:szCs w:val="21"/>
              </w:rPr>
              <w:t>进入地表水、地下水、土壤环境，对项目周围环境造成危害。</w:t>
            </w:r>
          </w:p>
        </w:tc>
      </w:tr>
      <w:tr w:rsidR="0068242A" w:rsidRPr="00D630D1" w:rsidTr="004844A8">
        <w:trPr>
          <w:trHeight w:val="18"/>
          <w:jc w:val="center"/>
        </w:trPr>
        <w:tc>
          <w:tcPr>
            <w:tcW w:w="1022" w:type="dxa"/>
            <w:vMerge/>
            <w:vAlign w:val="center"/>
          </w:tcPr>
          <w:p w:rsidR="0068242A" w:rsidRPr="00D630D1" w:rsidRDefault="0068242A" w:rsidP="00BA4F10">
            <w:pPr>
              <w:widowControl/>
              <w:topLinePunct w:val="0"/>
              <w:adjustRightInd/>
              <w:spacing w:line="240" w:lineRule="auto"/>
              <w:ind w:firstLineChars="0" w:firstLine="0"/>
              <w:jc w:val="center"/>
              <w:rPr>
                <w:rFonts w:ascii="Times New Roman" w:cs="Times New Roman"/>
                <w:kern w:val="2"/>
                <w:sz w:val="21"/>
                <w:szCs w:val="21"/>
              </w:rPr>
            </w:pPr>
          </w:p>
        </w:tc>
        <w:tc>
          <w:tcPr>
            <w:tcW w:w="1388" w:type="dxa"/>
            <w:vMerge w:val="restart"/>
            <w:vAlign w:val="center"/>
          </w:tcPr>
          <w:p w:rsidR="0068242A" w:rsidRPr="00D630D1" w:rsidRDefault="0068242A" w:rsidP="00BA4F10">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火灾</w:t>
            </w:r>
          </w:p>
        </w:tc>
        <w:tc>
          <w:tcPr>
            <w:tcW w:w="1559" w:type="dxa"/>
            <w:vAlign w:val="center"/>
          </w:tcPr>
          <w:p w:rsidR="0068242A" w:rsidRPr="00D630D1" w:rsidRDefault="0068242A" w:rsidP="00BA4F10">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大气</w:t>
            </w:r>
          </w:p>
        </w:tc>
        <w:tc>
          <w:tcPr>
            <w:tcW w:w="4661" w:type="dxa"/>
            <w:vAlign w:val="center"/>
          </w:tcPr>
          <w:p w:rsidR="0068242A" w:rsidRPr="00D630D1" w:rsidRDefault="0068242A" w:rsidP="0068242A">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柴油</w:t>
            </w:r>
            <w:r w:rsidRPr="00D630D1">
              <w:rPr>
                <w:rFonts w:ascii="Times New Roman" w:cs="Times New Roman"/>
                <w:kern w:val="2"/>
                <w:sz w:val="21"/>
                <w:szCs w:val="21"/>
              </w:rPr>
              <w:t>泄漏发生火灾事故，引发伴生污染物</w:t>
            </w:r>
            <w:r w:rsidRPr="00D630D1">
              <w:rPr>
                <w:rFonts w:ascii="Times New Roman" w:cs="Times New Roman"/>
                <w:kern w:val="2"/>
                <w:sz w:val="21"/>
                <w:szCs w:val="21"/>
              </w:rPr>
              <w:t>CO</w:t>
            </w:r>
            <w:r w:rsidRPr="00D630D1">
              <w:rPr>
                <w:rFonts w:ascii="Times New Roman" w:cs="Times New Roman"/>
                <w:kern w:val="2"/>
                <w:sz w:val="21"/>
                <w:szCs w:val="21"/>
              </w:rPr>
              <w:t>等进入大气环境，对项目周围环境造成危害。</w:t>
            </w:r>
          </w:p>
        </w:tc>
      </w:tr>
      <w:tr w:rsidR="0068242A" w:rsidRPr="00D630D1" w:rsidTr="004844A8">
        <w:trPr>
          <w:trHeight w:val="18"/>
          <w:jc w:val="center"/>
        </w:trPr>
        <w:tc>
          <w:tcPr>
            <w:tcW w:w="1022" w:type="dxa"/>
            <w:vMerge/>
            <w:vAlign w:val="center"/>
          </w:tcPr>
          <w:p w:rsidR="0068242A" w:rsidRPr="00D630D1" w:rsidRDefault="0068242A" w:rsidP="00BA4F10">
            <w:pPr>
              <w:widowControl/>
              <w:topLinePunct w:val="0"/>
              <w:adjustRightInd/>
              <w:spacing w:line="240" w:lineRule="auto"/>
              <w:ind w:firstLineChars="0" w:firstLine="0"/>
              <w:jc w:val="center"/>
              <w:rPr>
                <w:rFonts w:ascii="Times New Roman" w:cs="Times New Roman"/>
                <w:kern w:val="2"/>
                <w:sz w:val="21"/>
                <w:szCs w:val="21"/>
              </w:rPr>
            </w:pPr>
          </w:p>
        </w:tc>
        <w:tc>
          <w:tcPr>
            <w:tcW w:w="1388" w:type="dxa"/>
            <w:vMerge/>
            <w:vAlign w:val="center"/>
          </w:tcPr>
          <w:p w:rsidR="0068242A" w:rsidRPr="00D630D1" w:rsidRDefault="0068242A" w:rsidP="00BA4F10">
            <w:pPr>
              <w:widowControl/>
              <w:topLinePunct w:val="0"/>
              <w:adjustRightInd/>
              <w:spacing w:line="240" w:lineRule="auto"/>
              <w:ind w:firstLineChars="0" w:firstLine="0"/>
              <w:jc w:val="center"/>
              <w:rPr>
                <w:rFonts w:ascii="Times New Roman" w:cs="Times New Roman"/>
                <w:kern w:val="2"/>
                <w:sz w:val="21"/>
                <w:szCs w:val="21"/>
              </w:rPr>
            </w:pPr>
          </w:p>
        </w:tc>
        <w:tc>
          <w:tcPr>
            <w:tcW w:w="1559" w:type="dxa"/>
            <w:vAlign w:val="center"/>
          </w:tcPr>
          <w:p w:rsidR="0068242A" w:rsidRPr="00D630D1" w:rsidRDefault="0068242A" w:rsidP="00BA4F10">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地表水</w:t>
            </w:r>
          </w:p>
        </w:tc>
        <w:tc>
          <w:tcPr>
            <w:tcW w:w="4661" w:type="dxa"/>
            <w:vAlign w:val="center"/>
          </w:tcPr>
          <w:p w:rsidR="0068242A" w:rsidRPr="00D630D1" w:rsidRDefault="0068242A" w:rsidP="00BA4F10">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柴油</w:t>
            </w:r>
            <w:r w:rsidRPr="00D630D1">
              <w:rPr>
                <w:rFonts w:ascii="Times New Roman" w:cs="Times New Roman"/>
                <w:kern w:val="2"/>
                <w:sz w:val="21"/>
                <w:szCs w:val="21"/>
              </w:rPr>
              <w:t>泄漏发生火灾事故时产生的消防废水或事故后维修作业对地表水环境造成影响。</w:t>
            </w:r>
          </w:p>
        </w:tc>
      </w:tr>
      <w:tr w:rsidR="00571DAF" w:rsidRPr="00D630D1" w:rsidTr="004844A8">
        <w:trPr>
          <w:trHeight w:val="18"/>
          <w:jc w:val="center"/>
        </w:trPr>
        <w:tc>
          <w:tcPr>
            <w:tcW w:w="1022" w:type="dxa"/>
            <w:vMerge w:val="restart"/>
            <w:vAlign w:val="center"/>
          </w:tcPr>
          <w:p w:rsidR="00571DAF" w:rsidRPr="00D630D1" w:rsidRDefault="00571DAF" w:rsidP="00BA4F10">
            <w:pPr>
              <w:widowControl/>
              <w:topLinePunct w:val="0"/>
              <w:adjustRightInd/>
              <w:spacing w:line="240" w:lineRule="auto"/>
              <w:ind w:firstLineChars="0" w:firstLine="0"/>
              <w:jc w:val="center"/>
              <w:rPr>
                <w:rFonts w:ascii="Times New Roman" w:cs="Times New Roman"/>
                <w:kern w:val="2"/>
                <w:sz w:val="21"/>
                <w:szCs w:val="21"/>
              </w:rPr>
            </w:pPr>
            <w:r>
              <w:rPr>
                <w:rFonts w:ascii="Times New Roman" w:cs="Times New Roman" w:hint="eastAsia"/>
                <w:kern w:val="2"/>
                <w:sz w:val="21"/>
                <w:szCs w:val="21"/>
              </w:rPr>
              <w:t>凝析油</w:t>
            </w:r>
          </w:p>
        </w:tc>
        <w:tc>
          <w:tcPr>
            <w:tcW w:w="1388" w:type="dxa"/>
            <w:vAlign w:val="center"/>
          </w:tcPr>
          <w:p w:rsidR="00571DAF" w:rsidRPr="00D630D1" w:rsidRDefault="00571DAF" w:rsidP="00571DAF">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泄漏</w:t>
            </w:r>
          </w:p>
        </w:tc>
        <w:tc>
          <w:tcPr>
            <w:tcW w:w="1559" w:type="dxa"/>
            <w:vAlign w:val="center"/>
          </w:tcPr>
          <w:p w:rsidR="00571DAF" w:rsidRPr="00D630D1" w:rsidRDefault="00571DAF" w:rsidP="00571DAF">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地表水、土壤、地下水</w:t>
            </w:r>
          </w:p>
        </w:tc>
        <w:tc>
          <w:tcPr>
            <w:tcW w:w="4661" w:type="dxa"/>
            <w:vAlign w:val="center"/>
          </w:tcPr>
          <w:p w:rsidR="00571DAF" w:rsidRPr="00D630D1" w:rsidRDefault="00571DAF" w:rsidP="00571DAF">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柴油罐</w:t>
            </w:r>
            <w:r w:rsidRPr="00D630D1">
              <w:rPr>
                <w:rFonts w:ascii="Times New Roman" w:cs="Times New Roman"/>
                <w:kern w:val="2"/>
                <w:sz w:val="21"/>
                <w:szCs w:val="21"/>
              </w:rPr>
              <w:t>发生泄漏，导致</w:t>
            </w:r>
            <w:r w:rsidRPr="00D630D1">
              <w:rPr>
                <w:rFonts w:ascii="Times New Roman" w:cs="Times New Roman" w:hint="eastAsia"/>
                <w:kern w:val="2"/>
                <w:sz w:val="21"/>
                <w:szCs w:val="21"/>
              </w:rPr>
              <w:t>柴油</w:t>
            </w:r>
            <w:r w:rsidRPr="00D630D1">
              <w:rPr>
                <w:rFonts w:ascii="Times New Roman" w:cs="Times New Roman"/>
                <w:kern w:val="2"/>
                <w:sz w:val="21"/>
                <w:szCs w:val="21"/>
              </w:rPr>
              <w:t>进入地表水、地下水、土壤环境，对项目周围环境造成危害。</w:t>
            </w:r>
          </w:p>
        </w:tc>
      </w:tr>
      <w:tr w:rsidR="00571DAF" w:rsidRPr="00D630D1" w:rsidTr="004844A8">
        <w:trPr>
          <w:trHeight w:val="18"/>
          <w:jc w:val="center"/>
        </w:trPr>
        <w:tc>
          <w:tcPr>
            <w:tcW w:w="1022" w:type="dxa"/>
            <w:vMerge/>
            <w:vAlign w:val="center"/>
          </w:tcPr>
          <w:p w:rsidR="00571DAF" w:rsidRPr="00D630D1" w:rsidRDefault="00571DAF" w:rsidP="00BA4F10">
            <w:pPr>
              <w:widowControl/>
              <w:topLinePunct w:val="0"/>
              <w:adjustRightInd/>
              <w:spacing w:line="240" w:lineRule="auto"/>
              <w:ind w:firstLineChars="0" w:firstLine="0"/>
              <w:jc w:val="center"/>
              <w:rPr>
                <w:rFonts w:ascii="Times New Roman" w:cs="Times New Roman"/>
                <w:kern w:val="2"/>
                <w:sz w:val="21"/>
                <w:szCs w:val="21"/>
              </w:rPr>
            </w:pPr>
          </w:p>
        </w:tc>
        <w:tc>
          <w:tcPr>
            <w:tcW w:w="1388" w:type="dxa"/>
            <w:vMerge w:val="restart"/>
            <w:vAlign w:val="center"/>
          </w:tcPr>
          <w:p w:rsidR="00571DAF" w:rsidRPr="00D630D1" w:rsidRDefault="00571DAF" w:rsidP="00571DAF">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火灾</w:t>
            </w:r>
          </w:p>
        </w:tc>
        <w:tc>
          <w:tcPr>
            <w:tcW w:w="1559" w:type="dxa"/>
            <w:vAlign w:val="center"/>
          </w:tcPr>
          <w:p w:rsidR="00571DAF" w:rsidRPr="00D630D1" w:rsidRDefault="00571DAF" w:rsidP="00571DAF">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大气</w:t>
            </w:r>
          </w:p>
        </w:tc>
        <w:tc>
          <w:tcPr>
            <w:tcW w:w="4661" w:type="dxa"/>
            <w:vAlign w:val="center"/>
          </w:tcPr>
          <w:p w:rsidR="00571DAF" w:rsidRPr="00D630D1" w:rsidRDefault="00571DAF" w:rsidP="00571DAF">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柴油</w:t>
            </w:r>
            <w:r w:rsidRPr="00D630D1">
              <w:rPr>
                <w:rFonts w:ascii="Times New Roman" w:cs="Times New Roman"/>
                <w:kern w:val="2"/>
                <w:sz w:val="21"/>
                <w:szCs w:val="21"/>
              </w:rPr>
              <w:t>泄漏发生火灾事故，引发伴生污染物</w:t>
            </w:r>
            <w:r w:rsidRPr="00D630D1">
              <w:rPr>
                <w:rFonts w:ascii="Times New Roman" w:cs="Times New Roman"/>
                <w:kern w:val="2"/>
                <w:sz w:val="21"/>
                <w:szCs w:val="21"/>
              </w:rPr>
              <w:t>CO</w:t>
            </w:r>
            <w:r w:rsidRPr="00D630D1">
              <w:rPr>
                <w:rFonts w:ascii="Times New Roman" w:cs="Times New Roman"/>
                <w:kern w:val="2"/>
                <w:sz w:val="21"/>
                <w:szCs w:val="21"/>
              </w:rPr>
              <w:t>等进入大气环境，对项目周围环境造成危害。</w:t>
            </w:r>
          </w:p>
        </w:tc>
      </w:tr>
      <w:tr w:rsidR="00571DAF" w:rsidRPr="00D630D1" w:rsidTr="004844A8">
        <w:trPr>
          <w:trHeight w:val="18"/>
          <w:jc w:val="center"/>
        </w:trPr>
        <w:tc>
          <w:tcPr>
            <w:tcW w:w="1022" w:type="dxa"/>
            <w:vMerge/>
            <w:vAlign w:val="center"/>
          </w:tcPr>
          <w:p w:rsidR="00571DAF" w:rsidRPr="00D630D1" w:rsidRDefault="00571DAF" w:rsidP="00BA4F10">
            <w:pPr>
              <w:widowControl/>
              <w:topLinePunct w:val="0"/>
              <w:adjustRightInd/>
              <w:spacing w:line="240" w:lineRule="auto"/>
              <w:ind w:firstLineChars="0" w:firstLine="0"/>
              <w:jc w:val="center"/>
              <w:rPr>
                <w:rFonts w:ascii="Times New Roman" w:cs="Times New Roman"/>
                <w:kern w:val="2"/>
                <w:sz w:val="21"/>
                <w:szCs w:val="21"/>
              </w:rPr>
            </w:pPr>
          </w:p>
        </w:tc>
        <w:tc>
          <w:tcPr>
            <w:tcW w:w="1388" w:type="dxa"/>
            <w:vMerge/>
            <w:vAlign w:val="center"/>
          </w:tcPr>
          <w:p w:rsidR="00571DAF" w:rsidRPr="00D630D1" w:rsidRDefault="00571DAF" w:rsidP="00BA4F10">
            <w:pPr>
              <w:widowControl/>
              <w:topLinePunct w:val="0"/>
              <w:adjustRightInd/>
              <w:spacing w:line="240" w:lineRule="auto"/>
              <w:ind w:firstLineChars="0" w:firstLine="0"/>
              <w:jc w:val="center"/>
              <w:rPr>
                <w:rFonts w:ascii="Times New Roman" w:cs="Times New Roman"/>
                <w:kern w:val="2"/>
                <w:sz w:val="21"/>
                <w:szCs w:val="21"/>
              </w:rPr>
            </w:pPr>
          </w:p>
        </w:tc>
        <w:tc>
          <w:tcPr>
            <w:tcW w:w="1559" w:type="dxa"/>
            <w:vAlign w:val="center"/>
          </w:tcPr>
          <w:p w:rsidR="00571DAF" w:rsidRPr="00D630D1" w:rsidRDefault="00571DAF" w:rsidP="00BA4F10">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地表水</w:t>
            </w:r>
          </w:p>
        </w:tc>
        <w:tc>
          <w:tcPr>
            <w:tcW w:w="4661" w:type="dxa"/>
            <w:vAlign w:val="center"/>
          </w:tcPr>
          <w:p w:rsidR="00571DAF" w:rsidRPr="00D630D1" w:rsidRDefault="00571DAF" w:rsidP="00BA4F10">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柴油</w:t>
            </w:r>
            <w:r w:rsidRPr="00D630D1">
              <w:rPr>
                <w:rFonts w:ascii="Times New Roman" w:cs="Times New Roman"/>
                <w:kern w:val="2"/>
                <w:sz w:val="21"/>
                <w:szCs w:val="21"/>
              </w:rPr>
              <w:t>泄漏发生火灾事故时产生的消防废水或事故后维修作业对地表水环境造成影响。</w:t>
            </w:r>
          </w:p>
        </w:tc>
      </w:tr>
      <w:tr w:rsidR="00571DAF" w:rsidRPr="00D630D1" w:rsidTr="004844A8">
        <w:trPr>
          <w:trHeight w:val="18"/>
          <w:jc w:val="center"/>
        </w:trPr>
        <w:tc>
          <w:tcPr>
            <w:tcW w:w="1022" w:type="dxa"/>
            <w:vAlign w:val="center"/>
          </w:tcPr>
          <w:p w:rsidR="00571DAF" w:rsidRPr="00D630D1" w:rsidRDefault="00571DAF" w:rsidP="004844A8">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压裂、洗井废水</w:t>
            </w:r>
            <w:r>
              <w:rPr>
                <w:rFonts w:ascii="Times New Roman" w:cs="Times New Roman" w:hint="eastAsia"/>
                <w:kern w:val="2"/>
                <w:sz w:val="21"/>
                <w:szCs w:val="21"/>
              </w:rPr>
              <w:t>、气田水</w:t>
            </w:r>
          </w:p>
        </w:tc>
        <w:tc>
          <w:tcPr>
            <w:tcW w:w="1388" w:type="dxa"/>
            <w:vAlign w:val="center"/>
          </w:tcPr>
          <w:p w:rsidR="00571DAF" w:rsidRPr="00D630D1" w:rsidRDefault="00571DAF" w:rsidP="004844A8">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泄漏</w:t>
            </w:r>
          </w:p>
        </w:tc>
        <w:tc>
          <w:tcPr>
            <w:tcW w:w="1559" w:type="dxa"/>
            <w:vAlign w:val="center"/>
          </w:tcPr>
          <w:p w:rsidR="00571DAF" w:rsidRPr="00D630D1" w:rsidRDefault="00571DAF" w:rsidP="004844A8">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地表水、土壤、地下水</w:t>
            </w:r>
          </w:p>
        </w:tc>
        <w:tc>
          <w:tcPr>
            <w:tcW w:w="4661" w:type="dxa"/>
            <w:vAlign w:val="center"/>
          </w:tcPr>
          <w:p w:rsidR="00571DAF" w:rsidRPr="00D630D1" w:rsidRDefault="00571DAF" w:rsidP="0002625A">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污水缓冲罐</w:t>
            </w:r>
            <w:r w:rsidRPr="00D630D1">
              <w:rPr>
                <w:rFonts w:ascii="Times New Roman" w:cs="Times New Roman"/>
                <w:kern w:val="2"/>
                <w:sz w:val="21"/>
                <w:szCs w:val="21"/>
              </w:rPr>
              <w:t>发生泄漏，导致</w:t>
            </w:r>
            <w:r w:rsidRPr="00D630D1">
              <w:rPr>
                <w:rFonts w:ascii="Times New Roman" w:cs="Times New Roman" w:hint="eastAsia"/>
                <w:kern w:val="2"/>
                <w:sz w:val="21"/>
                <w:szCs w:val="21"/>
              </w:rPr>
              <w:t>压裂、洗井废水</w:t>
            </w:r>
            <w:r>
              <w:rPr>
                <w:rFonts w:ascii="Times New Roman" w:cs="Times New Roman" w:hint="eastAsia"/>
                <w:kern w:val="2"/>
                <w:sz w:val="21"/>
                <w:szCs w:val="21"/>
              </w:rPr>
              <w:t>、气田水</w:t>
            </w:r>
            <w:r w:rsidRPr="00D630D1">
              <w:rPr>
                <w:rFonts w:ascii="Times New Roman" w:cs="Times New Roman"/>
                <w:kern w:val="2"/>
                <w:sz w:val="21"/>
                <w:szCs w:val="21"/>
              </w:rPr>
              <w:t>进入地表水、地下水、土壤环境，对项目周围环境造成危害。</w:t>
            </w:r>
          </w:p>
        </w:tc>
      </w:tr>
    </w:tbl>
    <w:p w:rsidR="00117C3D" w:rsidRPr="00D630D1" w:rsidRDefault="00E13873">
      <w:pPr>
        <w:pStyle w:val="3"/>
        <w:rPr>
          <w:rFonts w:eastAsia="宋体"/>
        </w:rPr>
      </w:pPr>
      <w:bookmarkStart w:id="548" w:name="bookmark61"/>
      <w:bookmarkStart w:id="549" w:name="_Toc12288733"/>
      <w:bookmarkStart w:id="550" w:name="_Toc19816106"/>
      <w:bookmarkEnd w:id="548"/>
      <w:r w:rsidRPr="00D630D1">
        <w:rPr>
          <w:rFonts w:eastAsia="宋体"/>
        </w:rPr>
        <w:t>7</w:t>
      </w:r>
      <w:r w:rsidR="008B5B84" w:rsidRPr="00D630D1">
        <w:rPr>
          <w:rFonts w:eastAsia="宋体"/>
        </w:rPr>
        <w:t>.6.</w:t>
      </w:r>
      <w:r w:rsidR="004844A8" w:rsidRPr="00D630D1">
        <w:rPr>
          <w:rFonts w:eastAsia="宋体"/>
        </w:rPr>
        <w:t>4</w:t>
      </w:r>
      <w:r w:rsidR="006912EA" w:rsidRPr="00D630D1">
        <w:rPr>
          <w:rFonts w:eastAsia="宋体"/>
        </w:rPr>
        <w:t xml:space="preserve"> </w:t>
      </w:r>
      <w:r w:rsidR="008B5B84" w:rsidRPr="00D630D1">
        <w:rPr>
          <w:rFonts w:eastAsia="宋体"/>
        </w:rPr>
        <w:t>风险识别结果</w:t>
      </w:r>
      <w:bookmarkEnd w:id="549"/>
      <w:bookmarkEnd w:id="550"/>
    </w:p>
    <w:p w:rsidR="00117C3D" w:rsidRPr="00D630D1" w:rsidRDefault="008B5B84">
      <w:pPr>
        <w:pStyle w:val="a1"/>
        <w:ind w:firstLine="480"/>
        <w:rPr>
          <w:rFonts w:ascii="Times New Roman" w:cs="Times New Roman"/>
        </w:rPr>
      </w:pPr>
      <w:r w:rsidRPr="00D630D1">
        <w:rPr>
          <w:rFonts w:ascii="Times New Roman" w:cs="Times New Roman"/>
        </w:rPr>
        <w:t>根据风险识别分析，下表给出建设项目环境风险识别汇总结果。</w:t>
      </w:r>
    </w:p>
    <w:p w:rsidR="00117C3D" w:rsidRPr="00D630D1" w:rsidRDefault="008B5B84" w:rsidP="00E13873">
      <w:pPr>
        <w:pStyle w:val="TOC11"/>
        <w:rPr>
          <w:rFonts w:eastAsia="宋体"/>
        </w:rPr>
      </w:pPr>
      <w:r w:rsidRPr="00D630D1">
        <w:rPr>
          <w:rFonts w:eastAsia="宋体"/>
        </w:rPr>
        <w:t>表</w:t>
      </w:r>
      <w:r w:rsidR="00E13873" w:rsidRPr="00D630D1">
        <w:rPr>
          <w:rFonts w:eastAsia="宋体"/>
        </w:rPr>
        <w:t>7</w:t>
      </w:r>
      <w:r w:rsidRPr="00D630D1">
        <w:rPr>
          <w:rFonts w:eastAsia="宋体"/>
        </w:rPr>
        <w:t>.6-</w:t>
      </w:r>
      <w:r w:rsidR="009013EB">
        <w:rPr>
          <w:rFonts w:eastAsia="宋体" w:hint="eastAsia"/>
        </w:rPr>
        <w:t>5</w:t>
      </w:r>
      <w:r w:rsidRPr="00D630D1">
        <w:rPr>
          <w:rFonts w:eastAsia="宋体"/>
        </w:rPr>
        <w:t xml:space="preserve"> </w:t>
      </w:r>
      <w:r w:rsidR="00E13873" w:rsidRPr="00D630D1">
        <w:rPr>
          <w:rFonts w:eastAsia="宋体"/>
        </w:rPr>
        <w:t xml:space="preserve"> </w:t>
      </w:r>
      <w:r w:rsidRPr="00D630D1">
        <w:rPr>
          <w:rFonts w:eastAsia="宋体"/>
        </w:rPr>
        <w:t>本项目环境风险识别表</w:t>
      </w:r>
    </w:p>
    <w:tbl>
      <w:tblPr>
        <w:tblW w:w="8578" w:type="dxa"/>
        <w:jc w:val="center"/>
        <w:tblBorders>
          <w:top w:val="single" w:sz="12" w:space="0" w:color="000000"/>
          <w:bottom w:val="single" w:sz="12" w:space="0" w:color="000000"/>
          <w:insideH w:val="single" w:sz="2" w:space="0" w:color="000000"/>
          <w:insideV w:val="single" w:sz="4" w:space="0" w:color="000000"/>
        </w:tblBorders>
        <w:tblLayout w:type="fixed"/>
        <w:tblCellMar>
          <w:left w:w="0" w:type="dxa"/>
          <w:right w:w="0" w:type="dxa"/>
        </w:tblCellMar>
        <w:tblLook w:val="04A0"/>
      </w:tblPr>
      <w:tblGrid>
        <w:gridCol w:w="626"/>
        <w:gridCol w:w="2010"/>
        <w:gridCol w:w="878"/>
        <w:gridCol w:w="1589"/>
        <w:gridCol w:w="993"/>
        <w:gridCol w:w="931"/>
        <w:gridCol w:w="1551"/>
      </w:tblGrid>
      <w:tr w:rsidR="001F63EB" w:rsidRPr="00D630D1" w:rsidTr="004844A8">
        <w:trPr>
          <w:trHeight w:val="20"/>
          <w:jc w:val="center"/>
        </w:trPr>
        <w:tc>
          <w:tcPr>
            <w:tcW w:w="626" w:type="dxa"/>
            <w:vAlign w:val="center"/>
          </w:tcPr>
          <w:p w:rsidR="00117C3D" w:rsidRPr="00D630D1" w:rsidRDefault="008B5B84" w:rsidP="00D74817">
            <w:pPr>
              <w:pStyle w:val="aff3"/>
              <w:rPr>
                <w:b/>
                <w:bCs/>
                <w:color w:val="auto"/>
              </w:rPr>
            </w:pPr>
            <w:r w:rsidRPr="00D630D1">
              <w:rPr>
                <w:b/>
                <w:bCs/>
                <w:color w:val="auto"/>
              </w:rPr>
              <w:lastRenderedPageBreak/>
              <w:t>序号</w:t>
            </w:r>
          </w:p>
        </w:tc>
        <w:tc>
          <w:tcPr>
            <w:tcW w:w="2010" w:type="dxa"/>
            <w:vAlign w:val="center"/>
          </w:tcPr>
          <w:p w:rsidR="00117C3D" w:rsidRPr="00D630D1" w:rsidRDefault="008B5B84" w:rsidP="00D74817">
            <w:pPr>
              <w:pStyle w:val="aff3"/>
              <w:rPr>
                <w:b/>
                <w:bCs/>
                <w:color w:val="auto"/>
              </w:rPr>
            </w:pPr>
            <w:r w:rsidRPr="00D630D1">
              <w:rPr>
                <w:b/>
                <w:bCs/>
                <w:color w:val="auto"/>
              </w:rPr>
              <w:t>危险单元</w:t>
            </w:r>
          </w:p>
        </w:tc>
        <w:tc>
          <w:tcPr>
            <w:tcW w:w="878" w:type="dxa"/>
            <w:vAlign w:val="center"/>
          </w:tcPr>
          <w:p w:rsidR="00117C3D" w:rsidRPr="00D630D1" w:rsidRDefault="008B5B84" w:rsidP="00D74817">
            <w:pPr>
              <w:pStyle w:val="aff3"/>
              <w:rPr>
                <w:b/>
                <w:bCs/>
                <w:color w:val="auto"/>
              </w:rPr>
            </w:pPr>
            <w:r w:rsidRPr="00D630D1">
              <w:rPr>
                <w:b/>
                <w:bCs/>
                <w:color w:val="auto"/>
              </w:rPr>
              <w:t>风险源</w:t>
            </w:r>
          </w:p>
        </w:tc>
        <w:tc>
          <w:tcPr>
            <w:tcW w:w="1589" w:type="dxa"/>
            <w:vAlign w:val="center"/>
          </w:tcPr>
          <w:p w:rsidR="00117C3D" w:rsidRPr="00D630D1" w:rsidRDefault="008B5B84" w:rsidP="00D74817">
            <w:pPr>
              <w:pStyle w:val="aff3"/>
              <w:rPr>
                <w:b/>
                <w:bCs/>
                <w:color w:val="auto"/>
              </w:rPr>
            </w:pPr>
            <w:r w:rsidRPr="00D630D1">
              <w:rPr>
                <w:b/>
                <w:bCs/>
                <w:color w:val="auto"/>
              </w:rPr>
              <w:t>风险类型</w:t>
            </w:r>
          </w:p>
        </w:tc>
        <w:tc>
          <w:tcPr>
            <w:tcW w:w="993" w:type="dxa"/>
            <w:vAlign w:val="center"/>
          </w:tcPr>
          <w:p w:rsidR="00117C3D" w:rsidRPr="00D630D1" w:rsidRDefault="008B5B84" w:rsidP="00D74817">
            <w:pPr>
              <w:pStyle w:val="aff3"/>
              <w:rPr>
                <w:b/>
                <w:bCs/>
                <w:color w:val="auto"/>
              </w:rPr>
            </w:pPr>
            <w:r w:rsidRPr="00D630D1">
              <w:rPr>
                <w:b/>
                <w:bCs/>
                <w:color w:val="auto"/>
              </w:rPr>
              <w:t>危险物质</w:t>
            </w:r>
          </w:p>
        </w:tc>
        <w:tc>
          <w:tcPr>
            <w:tcW w:w="931" w:type="dxa"/>
            <w:vAlign w:val="center"/>
          </w:tcPr>
          <w:p w:rsidR="00117C3D" w:rsidRPr="00D630D1" w:rsidRDefault="008B5B84" w:rsidP="00D74817">
            <w:pPr>
              <w:pStyle w:val="aff3"/>
              <w:rPr>
                <w:b/>
                <w:bCs/>
                <w:color w:val="auto"/>
              </w:rPr>
            </w:pPr>
            <w:r w:rsidRPr="00D630D1">
              <w:rPr>
                <w:b/>
                <w:bCs/>
                <w:color w:val="auto"/>
              </w:rPr>
              <w:t>扩散途径</w:t>
            </w:r>
          </w:p>
        </w:tc>
        <w:tc>
          <w:tcPr>
            <w:tcW w:w="1551" w:type="dxa"/>
            <w:vAlign w:val="center"/>
          </w:tcPr>
          <w:p w:rsidR="00117C3D" w:rsidRPr="00D630D1" w:rsidRDefault="008B5B84" w:rsidP="00D74817">
            <w:pPr>
              <w:pStyle w:val="aff3"/>
              <w:rPr>
                <w:b/>
                <w:bCs/>
                <w:color w:val="auto"/>
              </w:rPr>
            </w:pPr>
            <w:r w:rsidRPr="00D630D1">
              <w:rPr>
                <w:b/>
                <w:bCs/>
                <w:color w:val="auto"/>
              </w:rPr>
              <w:t>可能受影响</w:t>
            </w:r>
          </w:p>
          <w:p w:rsidR="00117C3D" w:rsidRPr="00D630D1" w:rsidRDefault="008B5B84" w:rsidP="00D74817">
            <w:pPr>
              <w:pStyle w:val="aff3"/>
              <w:rPr>
                <w:b/>
                <w:bCs/>
                <w:color w:val="auto"/>
              </w:rPr>
            </w:pPr>
            <w:r w:rsidRPr="00D630D1">
              <w:rPr>
                <w:b/>
                <w:bCs/>
                <w:color w:val="auto"/>
              </w:rPr>
              <w:t>的敏感目标</w:t>
            </w:r>
          </w:p>
        </w:tc>
      </w:tr>
      <w:tr w:rsidR="0068242A" w:rsidRPr="00D630D1" w:rsidTr="004844A8">
        <w:trPr>
          <w:trHeight w:val="20"/>
          <w:jc w:val="center"/>
        </w:trPr>
        <w:tc>
          <w:tcPr>
            <w:tcW w:w="626" w:type="dxa"/>
            <w:vAlign w:val="center"/>
          </w:tcPr>
          <w:p w:rsidR="0068242A" w:rsidRPr="00D630D1" w:rsidRDefault="0068242A" w:rsidP="00D74817">
            <w:pPr>
              <w:pStyle w:val="aff3"/>
              <w:rPr>
                <w:b/>
                <w:bCs/>
                <w:color w:val="auto"/>
              </w:rPr>
            </w:pPr>
            <w:r w:rsidRPr="00D630D1">
              <w:rPr>
                <w:color w:val="auto"/>
              </w:rPr>
              <w:t>1</w:t>
            </w:r>
          </w:p>
        </w:tc>
        <w:tc>
          <w:tcPr>
            <w:tcW w:w="2010" w:type="dxa"/>
            <w:vAlign w:val="center"/>
          </w:tcPr>
          <w:p w:rsidR="0068242A" w:rsidRPr="00D630D1" w:rsidRDefault="002C00AE" w:rsidP="00D74817">
            <w:pPr>
              <w:pStyle w:val="aff3"/>
              <w:rPr>
                <w:b/>
                <w:bCs/>
                <w:color w:val="auto"/>
              </w:rPr>
            </w:pPr>
            <w:r>
              <w:rPr>
                <w:color w:val="auto"/>
              </w:rPr>
              <w:t>普光</w:t>
            </w:r>
            <w:r>
              <w:rPr>
                <w:color w:val="auto"/>
              </w:rPr>
              <w:t>12</w:t>
            </w:r>
            <w:r>
              <w:rPr>
                <w:color w:val="auto"/>
              </w:rPr>
              <w:t>采气站</w:t>
            </w:r>
          </w:p>
        </w:tc>
        <w:tc>
          <w:tcPr>
            <w:tcW w:w="878" w:type="dxa"/>
            <w:vAlign w:val="center"/>
          </w:tcPr>
          <w:p w:rsidR="0068242A" w:rsidRPr="00D630D1" w:rsidRDefault="0068242A" w:rsidP="00D74817">
            <w:pPr>
              <w:pStyle w:val="aff3"/>
              <w:rPr>
                <w:bCs/>
                <w:color w:val="auto"/>
              </w:rPr>
            </w:pPr>
            <w:r w:rsidRPr="00D630D1">
              <w:rPr>
                <w:rFonts w:hint="eastAsia"/>
                <w:bCs/>
                <w:color w:val="auto"/>
              </w:rPr>
              <w:t>钻、完成</w:t>
            </w:r>
            <w:r w:rsidRPr="00D630D1">
              <w:rPr>
                <w:bCs/>
                <w:color w:val="auto"/>
              </w:rPr>
              <w:t>过程</w:t>
            </w:r>
          </w:p>
        </w:tc>
        <w:tc>
          <w:tcPr>
            <w:tcW w:w="1589" w:type="dxa"/>
            <w:vAlign w:val="center"/>
          </w:tcPr>
          <w:p w:rsidR="0068242A" w:rsidRPr="00D630D1" w:rsidRDefault="0068242A" w:rsidP="00D74817">
            <w:pPr>
              <w:pStyle w:val="aff3"/>
              <w:rPr>
                <w:b/>
                <w:bCs/>
                <w:color w:val="auto"/>
              </w:rPr>
            </w:pPr>
            <w:r w:rsidRPr="00D630D1">
              <w:rPr>
                <w:bCs/>
                <w:color w:val="auto"/>
              </w:rPr>
              <w:t>井喷</w:t>
            </w:r>
            <w:r w:rsidRPr="00D630D1">
              <w:rPr>
                <w:color w:val="auto"/>
              </w:rPr>
              <w:t>泄漏、火灾、爆炸、引发的伴生</w:t>
            </w:r>
            <w:r w:rsidRPr="00D630D1">
              <w:rPr>
                <w:color w:val="auto"/>
              </w:rPr>
              <w:t>/</w:t>
            </w:r>
            <w:r w:rsidRPr="00D630D1">
              <w:rPr>
                <w:color w:val="auto"/>
              </w:rPr>
              <w:t>次生污染物排放</w:t>
            </w:r>
          </w:p>
        </w:tc>
        <w:tc>
          <w:tcPr>
            <w:tcW w:w="993" w:type="dxa"/>
            <w:vAlign w:val="center"/>
          </w:tcPr>
          <w:p w:rsidR="0068242A" w:rsidRPr="009013EB" w:rsidRDefault="0068242A" w:rsidP="009013EB">
            <w:pPr>
              <w:pStyle w:val="aff3"/>
              <w:rPr>
                <w:color w:val="auto"/>
                <w:vertAlign w:val="subscript"/>
              </w:rPr>
            </w:pPr>
            <w:r w:rsidRPr="00D630D1">
              <w:rPr>
                <w:color w:val="auto"/>
              </w:rPr>
              <w:t>CH</w:t>
            </w:r>
            <w:r w:rsidRPr="00D630D1">
              <w:rPr>
                <w:color w:val="auto"/>
                <w:vertAlign w:val="subscript"/>
              </w:rPr>
              <w:t>4</w:t>
            </w:r>
          </w:p>
        </w:tc>
        <w:tc>
          <w:tcPr>
            <w:tcW w:w="931" w:type="dxa"/>
            <w:vAlign w:val="center"/>
          </w:tcPr>
          <w:p w:rsidR="0068242A" w:rsidRPr="00D630D1" w:rsidRDefault="0068242A" w:rsidP="00422077">
            <w:pPr>
              <w:pStyle w:val="aff3"/>
              <w:rPr>
                <w:color w:val="auto"/>
              </w:rPr>
            </w:pPr>
            <w:r w:rsidRPr="00D630D1">
              <w:rPr>
                <w:color w:val="auto"/>
              </w:rPr>
              <w:t>大气、地表水</w:t>
            </w:r>
          </w:p>
        </w:tc>
        <w:tc>
          <w:tcPr>
            <w:tcW w:w="1551" w:type="dxa"/>
            <w:vAlign w:val="center"/>
          </w:tcPr>
          <w:p w:rsidR="0068242A" w:rsidRPr="00D630D1" w:rsidRDefault="0068242A" w:rsidP="00422077">
            <w:pPr>
              <w:pStyle w:val="aff3"/>
              <w:rPr>
                <w:color w:val="auto"/>
              </w:rPr>
            </w:pPr>
            <w:r w:rsidRPr="00D630D1">
              <w:rPr>
                <w:color w:val="auto"/>
              </w:rPr>
              <w:t>周边居民、受纳水体</w:t>
            </w:r>
          </w:p>
        </w:tc>
      </w:tr>
      <w:tr w:rsidR="0068242A" w:rsidRPr="00D630D1" w:rsidTr="00422077">
        <w:trPr>
          <w:trHeight w:val="842"/>
          <w:jc w:val="center"/>
        </w:trPr>
        <w:tc>
          <w:tcPr>
            <w:tcW w:w="626" w:type="dxa"/>
            <w:vAlign w:val="center"/>
          </w:tcPr>
          <w:p w:rsidR="0068242A" w:rsidRPr="00D630D1" w:rsidRDefault="0068242A" w:rsidP="00D74817">
            <w:pPr>
              <w:pStyle w:val="aff3"/>
              <w:rPr>
                <w:color w:val="auto"/>
              </w:rPr>
            </w:pPr>
            <w:r w:rsidRPr="00D630D1">
              <w:rPr>
                <w:color w:val="auto"/>
              </w:rPr>
              <w:t>2</w:t>
            </w:r>
          </w:p>
        </w:tc>
        <w:tc>
          <w:tcPr>
            <w:tcW w:w="2010" w:type="dxa"/>
            <w:vAlign w:val="center"/>
          </w:tcPr>
          <w:p w:rsidR="0068242A" w:rsidRPr="009013EB" w:rsidRDefault="009013EB" w:rsidP="009013EB">
            <w:pPr>
              <w:pStyle w:val="aff3"/>
            </w:pPr>
            <w:r w:rsidRPr="009013EB">
              <w:t>普光</w:t>
            </w:r>
            <w:r w:rsidRPr="009013EB">
              <w:t>12</w:t>
            </w:r>
            <w:r w:rsidRPr="009013EB">
              <w:t>采气站</w:t>
            </w:r>
            <w:r w:rsidRPr="009013EB">
              <w:t>~</w:t>
            </w:r>
            <w:r w:rsidRPr="009013EB">
              <w:rPr>
                <w:rFonts w:hint="eastAsia"/>
              </w:rPr>
              <w:t>普陆</w:t>
            </w:r>
            <w:r w:rsidRPr="009013EB">
              <w:rPr>
                <w:rFonts w:hint="eastAsia"/>
              </w:rPr>
              <w:t>3</w:t>
            </w:r>
            <w:r w:rsidRPr="009013EB">
              <w:rPr>
                <w:rFonts w:hint="eastAsia"/>
              </w:rPr>
              <w:t>集气站集气管道</w:t>
            </w:r>
          </w:p>
        </w:tc>
        <w:tc>
          <w:tcPr>
            <w:tcW w:w="878" w:type="dxa"/>
            <w:vAlign w:val="center"/>
          </w:tcPr>
          <w:p w:rsidR="0068242A" w:rsidRPr="00D630D1" w:rsidRDefault="0068242A" w:rsidP="00D74817">
            <w:pPr>
              <w:pStyle w:val="aff3"/>
              <w:rPr>
                <w:color w:val="auto"/>
              </w:rPr>
            </w:pPr>
            <w:r w:rsidRPr="00D630D1">
              <w:rPr>
                <w:color w:val="auto"/>
              </w:rPr>
              <w:t>管线</w:t>
            </w:r>
          </w:p>
        </w:tc>
        <w:tc>
          <w:tcPr>
            <w:tcW w:w="1589" w:type="dxa"/>
            <w:vAlign w:val="center"/>
          </w:tcPr>
          <w:p w:rsidR="0068242A" w:rsidRPr="00D630D1" w:rsidRDefault="0068242A" w:rsidP="00D74817">
            <w:pPr>
              <w:pStyle w:val="aff3"/>
              <w:rPr>
                <w:color w:val="auto"/>
              </w:rPr>
            </w:pPr>
            <w:r w:rsidRPr="00D630D1">
              <w:rPr>
                <w:color w:val="auto"/>
              </w:rPr>
              <w:t>泄漏、火灾、爆炸、引发的伴生</w:t>
            </w:r>
            <w:r w:rsidRPr="00D630D1">
              <w:rPr>
                <w:color w:val="auto"/>
              </w:rPr>
              <w:t>/</w:t>
            </w:r>
            <w:r w:rsidRPr="00D630D1">
              <w:rPr>
                <w:color w:val="auto"/>
              </w:rPr>
              <w:t>次生污染物排放</w:t>
            </w:r>
          </w:p>
        </w:tc>
        <w:tc>
          <w:tcPr>
            <w:tcW w:w="993" w:type="dxa"/>
            <w:vAlign w:val="center"/>
          </w:tcPr>
          <w:p w:rsidR="0068242A" w:rsidRPr="00D630D1" w:rsidRDefault="0068242A" w:rsidP="009013EB">
            <w:pPr>
              <w:pStyle w:val="aff3"/>
              <w:rPr>
                <w:color w:val="auto"/>
              </w:rPr>
            </w:pPr>
            <w:r w:rsidRPr="00D630D1">
              <w:rPr>
                <w:color w:val="auto"/>
              </w:rPr>
              <w:t>CH</w:t>
            </w:r>
            <w:r w:rsidRPr="00D630D1">
              <w:rPr>
                <w:color w:val="auto"/>
                <w:vertAlign w:val="subscript"/>
              </w:rPr>
              <w:t>4</w:t>
            </w:r>
          </w:p>
        </w:tc>
        <w:tc>
          <w:tcPr>
            <w:tcW w:w="931" w:type="dxa"/>
            <w:vAlign w:val="center"/>
          </w:tcPr>
          <w:p w:rsidR="0068242A" w:rsidRPr="00D630D1" w:rsidRDefault="0068242A" w:rsidP="00D74817">
            <w:pPr>
              <w:pStyle w:val="aff3"/>
              <w:rPr>
                <w:color w:val="auto"/>
              </w:rPr>
            </w:pPr>
            <w:r w:rsidRPr="00D630D1">
              <w:rPr>
                <w:color w:val="auto"/>
              </w:rPr>
              <w:t>大气、地表水</w:t>
            </w:r>
          </w:p>
        </w:tc>
        <w:tc>
          <w:tcPr>
            <w:tcW w:w="1551" w:type="dxa"/>
            <w:vAlign w:val="center"/>
          </w:tcPr>
          <w:p w:rsidR="0068242A" w:rsidRPr="00D630D1" w:rsidRDefault="0068242A" w:rsidP="00D74817">
            <w:pPr>
              <w:pStyle w:val="aff3"/>
              <w:rPr>
                <w:color w:val="auto"/>
              </w:rPr>
            </w:pPr>
            <w:r w:rsidRPr="00D630D1">
              <w:rPr>
                <w:color w:val="auto"/>
              </w:rPr>
              <w:t>周边居民、受纳水体</w:t>
            </w:r>
          </w:p>
        </w:tc>
      </w:tr>
      <w:tr w:rsidR="0068242A" w:rsidRPr="00D630D1" w:rsidTr="004844A8">
        <w:trPr>
          <w:trHeight w:val="20"/>
          <w:jc w:val="center"/>
        </w:trPr>
        <w:tc>
          <w:tcPr>
            <w:tcW w:w="626" w:type="dxa"/>
            <w:vAlign w:val="center"/>
          </w:tcPr>
          <w:p w:rsidR="0068242A" w:rsidRPr="00D630D1" w:rsidRDefault="0068242A" w:rsidP="004844A8">
            <w:pPr>
              <w:pStyle w:val="aff3"/>
              <w:rPr>
                <w:color w:val="auto"/>
              </w:rPr>
            </w:pPr>
            <w:r w:rsidRPr="00D630D1">
              <w:rPr>
                <w:color w:val="auto"/>
              </w:rPr>
              <w:t>3</w:t>
            </w:r>
          </w:p>
        </w:tc>
        <w:tc>
          <w:tcPr>
            <w:tcW w:w="2010" w:type="dxa"/>
            <w:vAlign w:val="center"/>
          </w:tcPr>
          <w:p w:rsidR="0068242A" w:rsidRPr="00D630D1" w:rsidRDefault="009013EB" w:rsidP="004844A8">
            <w:pPr>
              <w:pStyle w:val="aff3"/>
              <w:rPr>
                <w:color w:val="auto"/>
              </w:rPr>
            </w:pPr>
            <w:r w:rsidRPr="009013EB">
              <w:rPr>
                <w:rFonts w:hint="eastAsia"/>
                <w:color w:val="auto"/>
              </w:rPr>
              <w:t>普陆</w:t>
            </w:r>
            <w:r w:rsidRPr="009013EB">
              <w:rPr>
                <w:rFonts w:hint="eastAsia"/>
                <w:color w:val="auto"/>
              </w:rPr>
              <w:t>3</w:t>
            </w:r>
            <w:r w:rsidRPr="009013EB">
              <w:rPr>
                <w:rFonts w:hint="eastAsia"/>
                <w:color w:val="auto"/>
              </w:rPr>
              <w:t>集气站</w:t>
            </w:r>
            <w:r w:rsidRPr="009013EB">
              <w:rPr>
                <w:color w:val="auto"/>
              </w:rPr>
              <w:t>~</w:t>
            </w:r>
            <w:r w:rsidRPr="009013EB">
              <w:rPr>
                <w:rFonts w:hint="eastAsia"/>
                <w:color w:val="auto"/>
              </w:rPr>
              <w:t>P105</w:t>
            </w:r>
            <w:r w:rsidRPr="009013EB">
              <w:rPr>
                <w:rFonts w:hint="eastAsia"/>
                <w:color w:val="auto"/>
              </w:rPr>
              <w:t>集气站集气管道</w:t>
            </w:r>
          </w:p>
        </w:tc>
        <w:tc>
          <w:tcPr>
            <w:tcW w:w="878" w:type="dxa"/>
            <w:vAlign w:val="center"/>
          </w:tcPr>
          <w:p w:rsidR="0068242A" w:rsidRPr="00D630D1" w:rsidRDefault="0068242A" w:rsidP="004844A8">
            <w:pPr>
              <w:pStyle w:val="aff3"/>
              <w:rPr>
                <w:color w:val="auto"/>
              </w:rPr>
            </w:pPr>
            <w:r w:rsidRPr="00D630D1">
              <w:rPr>
                <w:color w:val="auto"/>
              </w:rPr>
              <w:t>管线</w:t>
            </w:r>
          </w:p>
        </w:tc>
        <w:tc>
          <w:tcPr>
            <w:tcW w:w="1589" w:type="dxa"/>
            <w:vAlign w:val="center"/>
          </w:tcPr>
          <w:p w:rsidR="0068242A" w:rsidRPr="00D630D1" w:rsidRDefault="00362D50" w:rsidP="004844A8">
            <w:pPr>
              <w:pStyle w:val="aff3"/>
              <w:rPr>
                <w:color w:val="auto"/>
              </w:rPr>
            </w:pPr>
            <w:r w:rsidRPr="00D630D1">
              <w:rPr>
                <w:color w:val="auto"/>
              </w:rPr>
              <w:t>泄漏、火灾、爆炸、引发的伴生</w:t>
            </w:r>
            <w:r w:rsidRPr="00D630D1">
              <w:rPr>
                <w:color w:val="auto"/>
              </w:rPr>
              <w:t>/</w:t>
            </w:r>
            <w:r w:rsidRPr="00D630D1">
              <w:rPr>
                <w:color w:val="auto"/>
              </w:rPr>
              <w:t>次生污染物排放</w:t>
            </w:r>
          </w:p>
        </w:tc>
        <w:tc>
          <w:tcPr>
            <w:tcW w:w="993" w:type="dxa"/>
            <w:vAlign w:val="center"/>
          </w:tcPr>
          <w:p w:rsidR="0068242A" w:rsidRPr="00D630D1" w:rsidRDefault="0068242A" w:rsidP="004844A8">
            <w:pPr>
              <w:pStyle w:val="aff3"/>
              <w:rPr>
                <w:color w:val="auto"/>
              </w:rPr>
            </w:pPr>
            <w:r w:rsidRPr="00D630D1">
              <w:rPr>
                <w:color w:val="auto"/>
              </w:rPr>
              <w:t>CH</w:t>
            </w:r>
            <w:r w:rsidRPr="00D630D1">
              <w:rPr>
                <w:color w:val="auto"/>
                <w:vertAlign w:val="subscript"/>
              </w:rPr>
              <w:t>4</w:t>
            </w:r>
          </w:p>
        </w:tc>
        <w:tc>
          <w:tcPr>
            <w:tcW w:w="931" w:type="dxa"/>
            <w:vAlign w:val="center"/>
          </w:tcPr>
          <w:p w:rsidR="0068242A" w:rsidRPr="00D630D1" w:rsidRDefault="0068242A" w:rsidP="004844A8">
            <w:pPr>
              <w:pStyle w:val="aff3"/>
              <w:rPr>
                <w:color w:val="auto"/>
              </w:rPr>
            </w:pPr>
            <w:r w:rsidRPr="00D630D1">
              <w:rPr>
                <w:color w:val="auto"/>
              </w:rPr>
              <w:t>大气、地表水</w:t>
            </w:r>
          </w:p>
        </w:tc>
        <w:tc>
          <w:tcPr>
            <w:tcW w:w="1551" w:type="dxa"/>
            <w:vAlign w:val="center"/>
          </w:tcPr>
          <w:p w:rsidR="0068242A" w:rsidRPr="00D630D1" w:rsidRDefault="0068242A" w:rsidP="004844A8">
            <w:pPr>
              <w:pStyle w:val="aff3"/>
              <w:rPr>
                <w:color w:val="auto"/>
              </w:rPr>
            </w:pPr>
            <w:r w:rsidRPr="00D630D1">
              <w:rPr>
                <w:color w:val="auto"/>
              </w:rPr>
              <w:t>周边居民、受纳水体</w:t>
            </w:r>
          </w:p>
        </w:tc>
      </w:tr>
      <w:tr w:rsidR="00362D50" w:rsidRPr="00D630D1" w:rsidTr="004844A8">
        <w:trPr>
          <w:trHeight w:val="20"/>
          <w:jc w:val="center"/>
        </w:trPr>
        <w:tc>
          <w:tcPr>
            <w:tcW w:w="626" w:type="dxa"/>
            <w:vAlign w:val="center"/>
          </w:tcPr>
          <w:p w:rsidR="00362D50" w:rsidRPr="00D630D1" w:rsidRDefault="00362D50" w:rsidP="004844A8">
            <w:pPr>
              <w:pStyle w:val="aff3"/>
              <w:rPr>
                <w:color w:val="auto"/>
              </w:rPr>
            </w:pPr>
            <w:r w:rsidRPr="00D630D1">
              <w:rPr>
                <w:color w:val="auto"/>
              </w:rPr>
              <w:t>4</w:t>
            </w:r>
          </w:p>
        </w:tc>
        <w:tc>
          <w:tcPr>
            <w:tcW w:w="2010" w:type="dxa"/>
            <w:vAlign w:val="center"/>
          </w:tcPr>
          <w:p w:rsidR="00362D50" w:rsidRPr="00D630D1" w:rsidRDefault="00DB6EC5" w:rsidP="004844A8">
            <w:pPr>
              <w:pStyle w:val="aff3"/>
              <w:rPr>
                <w:color w:val="auto"/>
              </w:rPr>
            </w:pPr>
            <w:r w:rsidRPr="00D630D1">
              <w:rPr>
                <w:color w:val="auto"/>
              </w:rPr>
              <w:t>柴油储罐</w:t>
            </w:r>
          </w:p>
        </w:tc>
        <w:tc>
          <w:tcPr>
            <w:tcW w:w="878" w:type="dxa"/>
            <w:vAlign w:val="center"/>
          </w:tcPr>
          <w:p w:rsidR="00362D50" w:rsidRPr="00D630D1" w:rsidRDefault="00362D50" w:rsidP="004844A8">
            <w:pPr>
              <w:pStyle w:val="aff3"/>
              <w:rPr>
                <w:color w:val="auto"/>
              </w:rPr>
            </w:pPr>
            <w:r w:rsidRPr="00D630D1">
              <w:rPr>
                <w:color w:val="auto"/>
              </w:rPr>
              <w:t>储罐</w:t>
            </w:r>
          </w:p>
        </w:tc>
        <w:tc>
          <w:tcPr>
            <w:tcW w:w="1589" w:type="dxa"/>
            <w:vAlign w:val="center"/>
          </w:tcPr>
          <w:p w:rsidR="00362D50" w:rsidRPr="00D630D1" w:rsidRDefault="00362D50" w:rsidP="00362D50">
            <w:pPr>
              <w:pStyle w:val="aff3"/>
              <w:rPr>
                <w:color w:val="auto"/>
              </w:rPr>
            </w:pPr>
            <w:r w:rsidRPr="00D630D1">
              <w:rPr>
                <w:color w:val="auto"/>
              </w:rPr>
              <w:t>泄漏、火灾引发的伴生</w:t>
            </w:r>
            <w:r w:rsidRPr="00D630D1">
              <w:rPr>
                <w:color w:val="auto"/>
              </w:rPr>
              <w:t>/</w:t>
            </w:r>
            <w:r w:rsidRPr="00D630D1">
              <w:rPr>
                <w:color w:val="auto"/>
              </w:rPr>
              <w:t>次生污染物排放</w:t>
            </w:r>
          </w:p>
        </w:tc>
        <w:tc>
          <w:tcPr>
            <w:tcW w:w="993" w:type="dxa"/>
            <w:vAlign w:val="center"/>
          </w:tcPr>
          <w:p w:rsidR="00362D50" w:rsidRPr="00D630D1" w:rsidRDefault="00362D50" w:rsidP="004844A8">
            <w:pPr>
              <w:pStyle w:val="aff3"/>
              <w:rPr>
                <w:color w:val="auto"/>
              </w:rPr>
            </w:pPr>
            <w:r w:rsidRPr="00D630D1">
              <w:rPr>
                <w:color w:val="auto"/>
              </w:rPr>
              <w:t>柴油</w:t>
            </w:r>
          </w:p>
        </w:tc>
        <w:tc>
          <w:tcPr>
            <w:tcW w:w="931" w:type="dxa"/>
            <w:vAlign w:val="center"/>
          </w:tcPr>
          <w:p w:rsidR="00362D50" w:rsidRPr="00D630D1" w:rsidRDefault="00362D50" w:rsidP="00422077">
            <w:pPr>
              <w:pStyle w:val="aff3"/>
              <w:rPr>
                <w:color w:val="auto"/>
              </w:rPr>
            </w:pPr>
            <w:r w:rsidRPr="00D630D1">
              <w:rPr>
                <w:color w:val="auto"/>
              </w:rPr>
              <w:t>大气</w:t>
            </w:r>
            <w:r w:rsidRPr="00D630D1">
              <w:rPr>
                <w:rFonts w:hint="eastAsia"/>
                <w:color w:val="auto"/>
              </w:rPr>
              <w:t>、</w:t>
            </w:r>
            <w:r w:rsidRPr="00D630D1">
              <w:rPr>
                <w:color w:val="auto"/>
              </w:rPr>
              <w:t>地表水、土壤、地下水</w:t>
            </w:r>
          </w:p>
        </w:tc>
        <w:tc>
          <w:tcPr>
            <w:tcW w:w="1551" w:type="dxa"/>
            <w:vAlign w:val="center"/>
          </w:tcPr>
          <w:p w:rsidR="00362D50" w:rsidRPr="00D630D1" w:rsidRDefault="00362D50" w:rsidP="00422077">
            <w:pPr>
              <w:pStyle w:val="aff3"/>
              <w:rPr>
                <w:color w:val="auto"/>
              </w:rPr>
            </w:pPr>
            <w:r w:rsidRPr="00D630D1">
              <w:rPr>
                <w:color w:val="auto"/>
              </w:rPr>
              <w:t>周边居民、地表水、土壤、地下水</w:t>
            </w:r>
          </w:p>
        </w:tc>
      </w:tr>
      <w:tr w:rsidR="009013EB" w:rsidRPr="00D630D1" w:rsidTr="004844A8">
        <w:trPr>
          <w:trHeight w:val="20"/>
          <w:jc w:val="center"/>
        </w:trPr>
        <w:tc>
          <w:tcPr>
            <w:tcW w:w="626" w:type="dxa"/>
            <w:vAlign w:val="center"/>
          </w:tcPr>
          <w:p w:rsidR="009013EB" w:rsidRPr="00D630D1" w:rsidRDefault="009013EB" w:rsidP="004844A8">
            <w:pPr>
              <w:pStyle w:val="aff3"/>
              <w:rPr>
                <w:color w:val="auto"/>
              </w:rPr>
            </w:pPr>
            <w:r>
              <w:rPr>
                <w:rFonts w:hint="eastAsia"/>
                <w:color w:val="auto"/>
              </w:rPr>
              <w:t>5</w:t>
            </w:r>
          </w:p>
        </w:tc>
        <w:tc>
          <w:tcPr>
            <w:tcW w:w="2010" w:type="dxa"/>
            <w:vAlign w:val="center"/>
          </w:tcPr>
          <w:p w:rsidR="009013EB" w:rsidRPr="00D630D1" w:rsidRDefault="009013EB" w:rsidP="004844A8">
            <w:pPr>
              <w:pStyle w:val="aff3"/>
              <w:rPr>
                <w:color w:val="auto"/>
              </w:rPr>
            </w:pPr>
            <w:r>
              <w:rPr>
                <w:rFonts w:hint="eastAsia"/>
                <w:color w:val="auto"/>
              </w:rPr>
              <w:t>凝析油储罐</w:t>
            </w:r>
          </w:p>
        </w:tc>
        <w:tc>
          <w:tcPr>
            <w:tcW w:w="878" w:type="dxa"/>
            <w:vAlign w:val="center"/>
          </w:tcPr>
          <w:p w:rsidR="009013EB" w:rsidRPr="00D630D1" w:rsidRDefault="009013EB" w:rsidP="00D81528">
            <w:pPr>
              <w:pStyle w:val="aff3"/>
              <w:rPr>
                <w:color w:val="auto"/>
              </w:rPr>
            </w:pPr>
            <w:r w:rsidRPr="00D630D1">
              <w:rPr>
                <w:color w:val="auto"/>
              </w:rPr>
              <w:t>储罐</w:t>
            </w:r>
          </w:p>
        </w:tc>
        <w:tc>
          <w:tcPr>
            <w:tcW w:w="1589" w:type="dxa"/>
            <w:vAlign w:val="center"/>
          </w:tcPr>
          <w:p w:rsidR="009013EB" w:rsidRPr="00D630D1" w:rsidRDefault="009013EB" w:rsidP="00D81528">
            <w:pPr>
              <w:pStyle w:val="aff3"/>
              <w:rPr>
                <w:color w:val="auto"/>
              </w:rPr>
            </w:pPr>
            <w:r w:rsidRPr="00D630D1">
              <w:rPr>
                <w:color w:val="auto"/>
              </w:rPr>
              <w:t>泄漏、火灾引发的伴生</w:t>
            </w:r>
            <w:r w:rsidRPr="00D630D1">
              <w:rPr>
                <w:color w:val="auto"/>
              </w:rPr>
              <w:t>/</w:t>
            </w:r>
            <w:r w:rsidRPr="00D630D1">
              <w:rPr>
                <w:color w:val="auto"/>
              </w:rPr>
              <w:t>次生污染物排放</w:t>
            </w:r>
          </w:p>
        </w:tc>
        <w:tc>
          <w:tcPr>
            <w:tcW w:w="993" w:type="dxa"/>
            <w:vAlign w:val="center"/>
          </w:tcPr>
          <w:p w:rsidR="009013EB" w:rsidRPr="00D630D1" w:rsidRDefault="009013EB" w:rsidP="00D81528">
            <w:pPr>
              <w:pStyle w:val="aff3"/>
              <w:rPr>
                <w:color w:val="auto"/>
              </w:rPr>
            </w:pPr>
            <w:r>
              <w:rPr>
                <w:rFonts w:hint="eastAsia"/>
                <w:color w:val="auto"/>
              </w:rPr>
              <w:t>凝析油</w:t>
            </w:r>
          </w:p>
        </w:tc>
        <w:tc>
          <w:tcPr>
            <w:tcW w:w="931" w:type="dxa"/>
            <w:vAlign w:val="center"/>
          </w:tcPr>
          <w:p w:rsidR="009013EB" w:rsidRPr="00D630D1" w:rsidRDefault="009013EB" w:rsidP="00D81528">
            <w:pPr>
              <w:pStyle w:val="aff3"/>
              <w:rPr>
                <w:color w:val="auto"/>
              </w:rPr>
            </w:pPr>
            <w:r w:rsidRPr="00D630D1">
              <w:rPr>
                <w:color w:val="auto"/>
              </w:rPr>
              <w:t>大气</w:t>
            </w:r>
            <w:r w:rsidRPr="00D630D1">
              <w:rPr>
                <w:rFonts w:hint="eastAsia"/>
                <w:color w:val="auto"/>
              </w:rPr>
              <w:t>、</w:t>
            </w:r>
            <w:r w:rsidRPr="00D630D1">
              <w:rPr>
                <w:color w:val="auto"/>
              </w:rPr>
              <w:t>地表水、土壤、地下水</w:t>
            </w:r>
          </w:p>
        </w:tc>
        <w:tc>
          <w:tcPr>
            <w:tcW w:w="1551" w:type="dxa"/>
            <w:vAlign w:val="center"/>
          </w:tcPr>
          <w:p w:rsidR="009013EB" w:rsidRPr="00D630D1" w:rsidRDefault="009013EB" w:rsidP="00D81528">
            <w:pPr>
              <w:pStyle w:val="aff3"/>
              <w:rPr>
                <w:color w:val="auto"/>
              </w:rPr>
            </w:pPr>
            <w:r w:rsidRPr="00D630D1">
              <w:rPr>
                <w:color w:val="auto"/>
              </w:rPr>
              <w:t>周边居民、地表水、土壤、地下水</w:t>
            </w:r>
          </w:p>
        </w:tc>
      </w:tr>
      <w:tr w:rsidR="009013EB" w:rsidRPr="00D630D1" w:rsidTr="004844A8">
        <w:trPr>
          <w:trHeight w:val="20"/>
          <w:jc w:val="center"/>
        </w:trPr>
        <w:tc>
          <w:tcPr>
            <w:tcW w:w="626" w:type="dxa"/>
            <w:vAlign w:val="center"/>
          </w:tcPr>
          <w:p w:rsidR="009013EB" w:rsidRPr="00D630D1" w:rsidRDefault="009013EB" w:rsidP="001F1679">
            <w:pPr>
              <w:pStyle w:val="aff3"/>
              <w:rPr>
                <w:color w:val="auto"/>
              </w:rPr>
            </w:pPr>
            <w:r>
              <w:rPr>
                <w:rFonts w:hint="eastAsia"/>
                <w:color w:val="auto"/>
              </w:rPr>
              <w:t>6</w:t>
            </w:r>
          </w:p>
        </w:tc>
        <w:tc>
          <w:tcPr>
            <w:tcW w:w="2010" w:type="dxa"/>
            <w:vAlign w:val="center"/>
          </w:tcPr>
          <w:p w:rsidR="009013EB" w:rsidRPr="00D630D1" w:rsidRDefault="009013EB" w:rsidP="001F1679">
            <w:pPr>
              <w:pStyle w:val="aff3"/>
              <w:rPr>
                <w:color w:val="auto"/>
              </w:rPr>
            </w:pPr>
            <w:r w:rsidRPr="00D630D1">
              <w:rPr>
                <w:rFonts w:hint="eastAsia"/>
                <w:color w:val="auto"/>
              </w:rPr>
              <w:t>污水缓冲罐</w:t>
            </w:r>
          </w:p>
        </w:tc>
        <w:tc>
          <w:tcPr>
            <w:tcW w:w="878" w:type="dxa"/>
            <w:vAlign w:val="center"/>
          </w:tcPr>
          <w:p w:rsidR="009013EB" w:rsidRPr="00D630D1" w:rsidRDefault="009013EB" w:rsidP="001F1679">
            <w:pPr>
              <w:pStyle w:val="aff3"/>
              <w:rPr>
                <w:color w:val="auto"/>
              </w:rPr>
            </w:pPr>
            <w:r w:rsidRPr="00D630D1">
              <w:rPr>
                <w:color w:val="auto"/>
              </w:rPr>
              <w:t>储罐</w:t>
            </w:r>
          </w:p>
        </w:tc>
        <w:tc>
          <w:tcPr>
            <w:tcW w:w="1589" w:type="dxa"/>
            <w:vAlign w:val="center"/>
          </w:tcPr>
          <w:p w:rsidR="009013EB" w:rsidRPr="00D630D1" w:rsidRDefault="009013EB" w:rsidP="001F1679">
            <w:pPr>
              <w:pStyle w:val="aff3"/>
              <w:rPr>
                <w:color w:val="auto"/>
              </w:rPr>
            </w:pPr>
            <w:r w:rsidRPr="00D630D1">
              <w:rPr>
                <w:color w:val="auto"/>
              </w:rPr>
              <w:t>泄漏</w:t>
            </w:r>
          </w:p>
        </w:tc>
        <w:tc>
          <w:tcPr>
            <w:tcW w:w="993" w:type="dxa"/>
            <w:vAlign w:val="center"/>
          </w:tcPr>
          <w:p w:rsidR="009013EB" w:rsidRPr="00D630D1" w:rsidRDefault="009013EB" w:rsidP="001F1679">
            <w:pPr>
              <w:pStyle w:val="aff3"/>
              <w:rPr>
                <w:color w:val="auto"/>
              </w:rPr>
            </w:pPr>
            <w:r w:rsidRPr="00D630D1">
              <w:rPr>
                <w:rFonts w:hint="eastAsia"/>
                <w:color w:val="auto"/>
              </w:rPr>
              <w:t>压裂、洗井废水</w:t>
            </w:r>
            <w:r>
              <w:rPr>
                <w:rFonts w:hint="eastAsia"/>
                <w:color w:val="auto"/>
              </w:rPr>
              <w:t>、气田水</w:t>
            </w:r>
          </w:p>
        </w:tc>
        <w:tc>
          <w:tcPr>
            <w:tcW w:w="931" w:type="dxa"/>
            <w:vAlign w:val="center"/>
          </w:tcPr>
          <w:p w:rsidR="009013EB" w:rsidRPr="00D630D1" w:rsidRDefault="009013EB" w:rsidP="001F1679">
            <w:pPr>
              <w:pStyle w:val="aff3"/>
              <w:rPr>
                <w:color w:val="auto"/>
              </w:rPr>
            </w:pPr>
            <w:r w:rsidRPr="00D630D1">
              <w:rPr>
                <w:color w:val="auto"/>
              </w:rPr>
              <w:t>地表水、土壤、地下水</w:t>
            </w:r>
          </w:p>
        </w:tc>
        <w:tc>
          <w:tcPr>
            <w:tcW w:w="1551" w:type="dxa"/>
            <w:vAlign w:val="center"/>
          </w:tcPr>
          <w:p w:rsidR="009013EB" w:rsidRPr="00D630D1" w:rsidRDefault="009013EB" w:rsidP="001F1679">
            <w:pPr>
              <w:pStyle w:val="aff3"/>
              <w:rPr>
                <w:color w:val="auto"/>
              </w:rPr>
            </w:pPr>
            <w:r w:rsidRPr="00D630D1">
              <w:rPr>
                <w:color w:val="auto"/>
              </w:rPr>
              <w:t>地表水、土壤、地下水</w:t>
            </w:r>
          </w:p>
        </w:tc>
      </w:tr>
    </w:tbl>
    <w:p w:rsidR="00117C3D" w:rsidRPr="00D630D1" w:rsidRDefault="00D74817" w:rsidP="00D74817">
      <w:pPr>
        <w:pStyle w:val="2"/>
        <w:spacing w:before="120"/>
        <w:rPr>
          <w:rFonts w:cs="Times New Roman"/>
        </w:rPr>
      </w:pPr>
      <w:bookmarkStart w:id="551" w:name="bookmark62"/>
      <w:bookmarkStart w:id="552" w:name="_Toc12288734"/>
      <w:bookmarkStart w:id="553" w:name="_Toc19816107"/>
      <w:bookmarkStart w:id="554" w:name="_Toc81515299"/>
      <w:bookmarkEnd w:id="551"/>
      <w:r w:rsidRPr="00D630D1">
        <w:rPr>
          <w:rFonts w:cs="Times New Roman"/>
        </w:rPr>
        <w:t>7</w:t>
      </w:r>
      <w:r w:rsidR="008B5B84" w:rsidRPr="00D630D1">
        <w:rPr>
          <w:rFonts w:cs="Times New Roman"/>
        </w:rPr>
        <w:t>.7</w:t>
      </w:r>
      <w:bookmarkEnd w:id="552"/>
      <w:bookmarkEnd w:id="553"/>
      <w:r w:rsidR="004B51D7" w:rsidRPr="00D630D1">
        <w:rPr>
          <w:rFonts w:cs="Times New Roman"/>
        </w:rPr>
        <w:t xml:space="preserve"> </w:t>
      </w:r>
      <w:r w:rsidR="00214E53" w:rsidRPr="00D630D1">
        <w:rPr>
          <w:rFonts w:cs="Times New Roman"/>
        </w:rPr>
        <w:t>风险事故情形分析</w:t>
      </w:r>
      <w:bookmarkEnd w:id="554"/>
    </w:p>
    <w:p w:rsidR="00DB1ADA" w:rsidRPr="00D630D1" w:rsidRDefault="00DB1ADA" w:rsidP="00DB1ADA">
      <w:pPr>
        <w:pStyle w:val="3"/>
        <w:rPr>
          <w:rFonts w:eastAsia="宋体"/>
        </w:rPr>
      </w:pPr>
      <w:r w:rsidRPr="00D630D1">
        <w:rPr>
          <w:rFonts w:eastAsia="宋体"/>
        </w:rPr>
        <w:t xml:space="preserve">7.7.1 </w:t>
      </w:r>
      <w:r w:rsidRPr="00D630D1">
        <w:rPr>
          <w:rFonts w:eastAsia="宋体"/>
        </w:rPr>
        <w:t>危险因素分析</w:t>
      </w:r>
    </w:p>
    <w:p w:rsidR="00362D50" w:rsidRPr="00D630D1" w:rsidRDefault="00362D50" w:rsidP="00362D50">
      <w:pPr>
        <w:pStyle w:val="afa"/>
        <w:ind w:firstLine="482"/>
        <w:rPr>
          <w:b/>
        </w:rPr>
      </w:pPr>
      <w:r w:rsidRPr="00D630D1">
        <w:rPr>
          <w:b/>
        </w:rPr>
        <w:t>1</w:t>
      </w:r>
      <w:r w:rsidRPr="00D630D1">
        <w:rPr>
          <w:b/>
        </w:rPr>
        <w:t>、</w:t>
      </w:r>
      <w:r w:rsidRPr="00D630D1">
        <w:rPr>
          <w:rFonts w:hint="eastAsia"/>
          <w:b/>
        </w:rPr>
        <w:t>井喷</w:t>
      </w:r>
      <w:r w:rsidRPr="00D630D1">
        <w:rPr>
          <w:b/>
        </w:rPr>
        <w:t>事故原因</w:t>
      </w:r>
    </w:p>
    <w:p w:rsidR="00362D50" w:rsidRPr="00D630D1" w:rsidRDefault="00362D50" w:rsidP="00362D50">
      <w:pPr>
        <w:pStyle w:val="afa"/>
        <w:ind w:firstLine="480"/>
        <w:rPr>
          <w:b/>
        </w:rPr>
      </w:pPr>
      <w:r w:rsidRPr="00D630D1">
        <w:t>通过对国内</w:t>
      </w:r>
      <w:r w:rsidRPr="00D630D1">
        <w:rPr>
          <w:rFonts w:hint="eastAsia"/>
        </w:rPr>
        <w:t>钻井过程</w:t>
      </w:r>
      <w:r w:rsidRPr="00D630D1">
        <w:t>进行事故统计和原因分析可以看出，</w:t>
      </w:r>
      <w:r w:rsidRPr="00D630D1">
        <w:rPr>
          <w:rFonts w:hint="eastAsia"/>
        </w:rPr>
        <w:t>井喷</w:t>
      </w:r>
      <w:r w:rsidRPr="00D630D1">
        <w:t>事故原因主要有以下几类：</w:t>
      </w:r>
    </w:p>
    <w:p w:rsidR="00362D50" w:rsidRPr="00D630D1" w:rsidRDefault="00362D50" w:rsidP="00362D50">
      <w:pPr>
        <w:pStyle w:val="afa"/>
        <w:ind w:firstLine="480"/>
      </w:pPr>
      <w:r w:rsidRPr="00D630D1">
        <w:rPr>
          <w:rFonts w:hint="eastAsia"/>
        </w:rPr>
        <w:t>（</w:t>
      </w:r>
      <w:r w:rsidRPr="00D630D1">
        <w:rPr>
          <w:rFonts w:hint="eastAsia"/>
        </w:rPr>
        <w:t>1</w:t>
      </w:r>
      <w:r w:rsidRPr="00D630D1">
        <w:rPr>
          <w:rFonts w:hint="eastAsia"/>
        </w:rPr>
        <w:t>）钻井</w:t>
      </w:r>
      <w:r w:rsidRPr="00D630D1">
        <w:t>过程中地层压力不准</w:t>
      </w:r>
      <w:r w:rsidRPr="00D630D1">
        <w:rPr>
          <w:rFonts w:hint="eastAsia"/>
        </w:rPr>
        <w:t>，</w:t>
      </w:r>
      <w:r w:rsidRPr="00D630D1">
        <w:t>致设计不准确，钻井液密度低于地层空隙压力梯度</w:t>
      </w:r>
      <w:r w:rsidRPr="00D630D1">
        <w:rPr>
          <w:rFonts w:hint="eastAsia"/>
        </w:rPr>
        <w:t>，易造成</w:t>
      </w:r>
      <w:r w:rsidRPr="00D630D1">
        <w:t>井喷</w:t>
      </w:r>
      <w:r w:rsidRPr="00D630D1">
        <w:rPr>
          <w:rFonts w:hint="eastAsia"/>
        </w:rPr>
        <w:t>事故。</w:t>
      </w:r>
    </w:p>
    <w:p w:rsidR="00362D50" w:rsidRPr="00D630D1" w:rsidRDefault="00362D50" w:rsidP="00362D50">
      <w:pPr>
        <w:pStyle w:val="afa"/>
        <w:ind w:firstLine="480"/>
      </w:pPr>
      <w:r w:rsidRPr="00D630D1">
        <w:rPr>
          <w:rFonts w:hint="eastAsia"/>
        </w:rPr>
        <w:t>（</w:t>
      </w:r>
      <w:r w:rsidRPr="00D630D1">
        <w:rPr>
          <w:rFonts w:hint="eastAsia"/>
        </w:rPr>
        <w:t>2</w:t>
      </w:r>
      <w:r w:rsidRPr="00D630D1">
        <w:rPr>
          <w:rFonts w:hint="eastAsia"/>
        </w:rPr>
        <w:t>）</w:t>
      </w:r>
      <w:r w:rsidRPr="00D630D1">
        <w:t>井控设备及管材在安装、使用前未按有关规定进行检验合格后使用</w:t>
      </w:r>
      <w:r w:rsidRPr="00D630D1">
        <w:rPr>
          <w:rFonts w:hint="eastAsia"/>
        </w:rPr>
        <w:t>，易造成</w:t>
      </w:r>
      <w:r w:rsidRPr="00D630D1">
        <w:t>井喷</w:t>
      </w:r>
      <w:r w:rsidRPr="00D630D1">
        <w:rPr>
          <w:rFonts w:hint="eastAsia"/>
        </w:rPr>
        <w:t>事故。</w:t>
      </w:r>
    </w:p>
    <w:p w:rsidR="00362D50" w:rsidRPr="00D630D1" w:rsidRDefault="00362D50" w:rsidP="00362D50">
      <w:pPr>
        <w:pStyle w:val="afa"/>
        <w:ind w:firstLine="480"/>
      </w:pPr>
      <w:r w:rsidRPr="00D630D1">
        <w:rPr>
          <w:rFonts w:hint="eastAsia"/>
        </w:rPr>
        <w:t>（</w:t>
      </w:r>
      <w:r w:rsidRPr="00D630D1">
        <w:rPr>
          <w:rFonts w:hint="eastAsia"/>
        </w:rPr>
        <w:t>3</w:t>
      </w:r>
      <w:r w:rsidRPr="00D630D1">
        <w:rPr>
          <w:rFonts w:hint="eastAsia"/>
        </w:rPr>
        <w:t>）放喷</w:t>
      </w:r>
      <w:r w:rsidRPr="00D630D1">
        <w:t>器件、管线有刺漏，压力等级不符合要求；非金属材料不符合要求，密封失效</w:t>
      </w:r>
      <w:r w:rsidRPr="00D630D1">
        <w:rPr>
          <w:rFonts w:hint="eastAsia"/>
        </w:rPr>
        <w:t>，易造成</w:t>
      </w:r>
      <w:r w:rsidRPr="00D630D1">
        <w:t>井喷</w:t>
      </w:r>
      <w:r w:rsidRPr="00D630D1">
        <w:rPr>
          <w:rFonts w:hint="eastAsia"/>
        </w:rPr>
        <w:t>事故。</w:t>
      </w:r>
    </w:p>
    <w:p w:rsidR="00362D50" w:rsidRPr="00D630D1" w:rsidRDefault="00362D50" w:rsidP="00362D50">
      <w:pPr>
        <w:pStyle w:val="afa"/>
        <w:ind w:firstLine="480"/>
      </w:pPr>
      <w:r w:rsidRPr="00D630D1">
        <w:rPr>
          <w:rFonts w:hint="eastAsia"/>
        </w:rPr>
        <w:t>（</w:t>
      </w:r>
      <w:r w:rsidRPr="00D630D1">
        <w:rPr>
          <w:rFonts w:hint="eastAsia"/>
        </w:rPr>
        <w:t>4</w:t>
      </w:r>
      <w:r w:rsidRPr="00D630D1">
        <w:rPr>
          <w:rFonts w:hint="eastAsia"/>
        </w:rPr>
        <w:t>）</w:t>
      </w:r>
      <w:r w:rsidRPr="00D630D1">
        <w:t>司钻控制下放速度不当或操作不平稳</w:t>
      </w:r>
      <w:r w:rsidRPr="00D630D1">
        <w:rPr>
          <w:rFonts w:hint="eastAsia"/>
        </w:rPr>
        <w:t>，易造成</w:t>
      </w:r>
      <w:r w:rsidRPr="00D630D1">
        <w:t>井喷</w:t>
      </w:r>
      <w:r w:rsidRPr="00D630D1">
        <w:rPr>
          <w:rFonts w:hint="eastAsia"/>
        </w:rPr>
        <w:t>事故。</w:t>
      </w:r>
    </w:p>
    <w:p w:rsidR="00362D50" w:rsidRPr="00D630D1" w:rsidRDefault="00362D50" w:rsidP="00362D50">
      <w:pPr>
        <w:pStyle w:val="afa"/>
        <w:ind w:firstLine="480"/>
      </w:pPr>
      <w:r w:rsidRPr="00D630D1">
        <w:rPr>
          <w:rFonts w:hint="eastAsia"/>
        </w:rPr>
        <w:t>（</w:t>
      </w:r>
      <w:r w:rsidRPr="00D630D1">
        <w:rPr>
          <w:rFonts w:hint="eastAsia"/>
        </w:rPr>
        <w:t>5</w:t>
      </w:r>
      <w:r w:rsidRPr="00D630D1">
        <w:rPr>
          <w:rFonts w:hint="eastAsia"/>
        </w:rPr>
        <w:t>）</w:t>
      </w:r>
      <w:r w:rsidRPr="00D630D1">
        <w:t>下完套管，当套管内钻井液未灌满时，若直接水龙头带开泵洗井</w:t>
      </w:r>
      <w:r w:rsidRPr="00D630D1">
        <w:rPr>
          <w:rFonts w:hint="eastAsia"/>
        </w:rPr>
        <w:t>，易造成</w:t>
      </w:r>
      <w:r w:rsidRPr="00D630D1">
        <w:t>井喷</w:t>
      </w:r>
      <w:r w:rsidRPr="00D630D1">
        <w:rPr>
          <w:rFonts w:hint="eastAsia"/>
        </w:rPr>
        <w:t>事故。</w:t>
      </w:r>
    </w:p>
    <w:p w:rsidR="00362D50" w:rsidRPr="00D630D1" w:rsidRDefault="00362D50" w:rsidP="00362D50">
      <w:pPr>
        <w:pStyle w:val="afa"/>
        <w:ind w:firstLine="480"/>
      </w:pPr>
      <w:r w:rsidRPr="00D630D1">
        <w:rPr>
          <w:rFonts w:hint="eastAsia"/>
        </w:rPr>
        <w:t>（</w:t>
      </w:r>
      <w:r w:rsidRPr="00D630D1">
        <w:rPr>
          <w:rFonts w:hint="eastAsia"/>
        </w:rPr>
        <w:t>6</w:t>
      </w:r>
      <w:r w:rsidRPr="00D630D1">
        <w:rPr>
          <w:rFonts w:hint="eastAsia"/>
        </w:rPr>
        <w:t>）</w:t>
      </w:r>
      <w:r w:rsidRPr="00D630D1">
        <w:t>节流管汇与井喷器连接不平直，容易使节流管汇作用发挥不完全；节流管汇试压未到额定工作压力或或稳定时间不够，导致井控管失效</w:t>
      </w:r>
      <w:r w:rsidRPr="00D630D1">
        <w:rPr>
          <w:rFonts w:hint="eastAsia"/>
        </w:rPr>
        <w:t>，易造成</w:t>
      </w:r>
      <w:r w:rsidRPr="00D630D1">
        <w:t>井喷</w:t>
      </w:r>
      <w:r w:rsidRPr="00D630D1">
        <w:rPr>
          <w:rFonts w:hint="eastAsia"/>
        </w:rPr>
        <w:lastRenderedPageBreak/>
        <w:t>事故。</w:t>
      </w:r>
    </w:p>
    <w:p w:rsidR="00362D50" w:rsidRPr="00D630D1" w:rsidRDefault="00362D50" w:rsidP="00362D50">
      <w:pPr>
        <w:pStyle w:val="afa"/>
        <w:ind w:firstLine="480"/>
      </w:pPr>
      <w:r w:rsidRPr="00D630D1">
        <w:rPr>
          <w:rFonts w:hint="eastAsia"/>
        </w:rPr>
        <w:t>（</w:t>
      </w:r>
      <w:r w:rsidRPr="00D630D1">
        <w:rPr>
          <w:rFonts w:hint="eastAsia"/>
        </w:rPr>
        <w:t>7</w:t>
      </w:r>
      <w:r w:rsidRPr="00D630D1">
        <w:rPr>
          <w:rFonts w:hint="eastAsia"/>
        </w:rPr>
        <w:t>）</w:t>
      </w:r>
      <w:r w:rsidRPr="00D630D1">
        <w:t>阀板与阀座之间密封不好或是井控装置部件表面生锈腐蚀使节流压井管失效，方钻杆上下旋转开关不灵活，有可能因不能正常开关而发生井喷事故</w:t>
      </w:r>
      <w:r w:rsidRPr="00D630D1">
        <w:rPr>
          <w:rFonts w:hint="eastAsia"/>
        </w:rPr>
        <w:t>。</w:t>
      </w:r>
    </w:p>
    <w:p w:rsidR="00362D50" w:rsidRPr="00D630D1" w:rsidRDefault="00362D50" w:rsidP="00362D50">
      <w:pPr>
        <w:pStyle w:val="afa"/>
        <w:ind w:firstLine="480"/>
      </w:pPr>
      <w:r w:rsidRPr="00D630D1">
        <w:rPr>
          <w:rFonts w:hint="eastAsia"/>
        </w:rPr>
        <w:t>（</w:t>
      </w:r>
      <w:r w:rsidRPr="00D630D1">
        <w:rPr>
          <w:rFonts w:hint="eastAsia"/>
        </w:rPr>
        <w:t>8</w:t>
      </w:r>
      <w:r w:rsidRPr="00D630D1">
        <w:rPr>
          <w:rFonts w:hint="eastAsia"/>
        </w:rPr>
        <w:t>）</w:t>
      </w:r>
      <w:r w:rsidRPr="00D630D1">
        <w:t>未及时发现溢流显示或发现后处理不当等造成井喷事故</w:t>
      </w:r>
      <w:r w:rsidRPr="00D630D1">
        <w:rPr>
          <w:rFonts w:hint="eastAsia"/>
        </w:rPr>
        <w:t>。</w:t>
      </w:r>
    </w:p>
    <w:p w:rsidR="00362D50" w:rsidRPr="00D630D1" w:rsidRDefault="00362D50" w:rsidP="00362D50">
      <w:pPr>
        <w:pStyle w:val="afa"/>
        <w:ind w:firstLine="480"/>
      </w:pPr>
      <w:r w:rsidRPr="00D630D1">
        <w:rPr>
          <w:rFonts w:hint="eastAsia"/>
        </w:rPr>
        <w:t>（</w:t>
      </w:r>
      <w:r w:rsidRPr="00D630D1">
        <w:rPr>
          <w:rFonts w:hint="eastAsia"/>
        </w:rPr>
        <w:t>9</w:t>
      </w:r>
      <w:r w:rsidRPr="00D630D1">
        <w:rPr>
          <w:rFonts w:hint="eastAsia"/>
        </w:rPr>
        <w:t>）</w:t>
      </w:r>
      <w:r w:rsidRPr="00D630D1">
        <w:t>换装井口、起下管柱作业和循环施工作业中，对作业时间估计不足，压井时间短，井内压力失衡导致井喷或井喷失控</w:t>
      </w:r>
      <w:r w:rsidRPr="00D630D1">
        <w:rPr>
          <w:rFonts w:hint="eastAsia"/>
        </w:rPr>
        <w:t>。</w:t>
      </w:r>
    </w:p>
    <w:p w:rsidR="00362D50" w:rsidRPr="00D630D1" w:rsidRDefault="00362D50" w:rsidP="00362D50">
      <w:pPr>
        <w:pStyle w:val="afa"/>
        <w:ind w:firstLine="480"/>
      </w:pPr>
      <w:r w:rsidRPr="00D630D1">
        <w:rPr>
          <w:rFonts w:hint="eastAsia"/>
        </w:rPr>
        <w:t>（</w:t>
      </w:r>
      <w:r w:rsidRPr="00D630D1">
        <w:rPr>
          <w:rFonts w:hint="eastAsia"/>
        </w:rPr>
        <w:t>10</w:t>
      </w:r>
      <w:r w:rsidRPr="00D630D1">
        <w:rPr>
          <w:rFonts w:hint="eastAsia"/>
        </w:rPr>
        <w:t>）</w:t>
      </w:r>
      <w:r w:rsidRPr="00D630D1">
        <w:t>安装井下安全阀，因作业所需时间较长，若压井时间不足，井内压力失衡导致井喷或井喷失控</w:t>
      </w:r>
      <w:r w:rsidRPr="00D630D1">
        <w:rPr>
          <w:rFonts w:hint="eastAsia"/>
        </w:rPr>
        <w:t>。</w:t>
      </w:r>
    </w:p>
    <w:p w:rsidR="005F7AFA" w:rsidRPr="00D630D1" w:rsidRDefault="005F7AFA" w:rsidP="005F7AFA">
      <w:pPr>
        <w:pStyle w:val="afa"/>
        <w:ind w:firstLine="482"/>
        <w:rPr>
          <w:b/>
        </w:rPr>
      </w:pPr>
      <w:r w:rsidRPr="00D630D1">
        <w:rPr>
          <w:rFonts w:hint="eastAsia"/>
          <w:b/>
        </w:rPr>
        <w:t>2</w:t>
      </w:r>
      <w:r w:rsidRPr="00D630D1">
        <w:rPr>
          <w:rFonts w:hint="eastAsia"/>
          <w:b/>
        </w:rPr>
        <w:t>、</w:t>
      </w:r>
      <w:r w:rsidRPr="00D630D1">
        <w:rPr>
          <w:b/>
        </w:rPr>
        <w:t>典型</w:t>
      </w:r>
      <w:r w:rsidRPr="00D630D1">
        <w:rPr>
          <w:rFonts w:hint="eastAsia"/>
          <w:b/>
        </w:rPr>
        <w:t>井喷</w:t>
      </w:r>
      <w:r w:rsidRPr="00D630D1">
        <w:rPr>
          <w:b/>
        </w:rPr>
        <w:t>事故案例</w:t>
      </w:r>
    </w:p>
    <w:p w:rsidR="005F7AFA" w:rsidRPr="00D630D1" w:rsidRDefault="005F7AFA" w:rsidP="005F7AFA">
      <w:pPr>
        <w:pStyle w:val="afa"/>
        <w:ind w:firstLine="480"/>
      </w:pPr>
      <w:r w:rsidRPr="00D630D1">
        <w:rPr>
          <w:rFonts w:hint="eastAsia"/>
        </w:rPr>
        <w:t>1976</w:t>
      </w:r>
      <w:r w:rsidRPr="00D630D1">
        <w:rPr>
          <w:rFonts w:hint="eastAsia"/>
        </w:rPr>
        <w:t>年赵</w:t>
      </w:r>
      <w:r w:rsidRPr="00D630D1">
        <w:rPr>
          <w:rFonts w:hint="eastAsia"/>
        </w:rPr>
        <w:t>1</w:t>
      </w:r>
      <w:r w:rsidRPr="00D630D1">
        <w:rPr>
          <w:rFonts w:hint="eastAsia"/>
        </w:rPr>
        <w:t>井井喷事故：发生于钻进过程，</w:t>
      </w:r>
      <w:r w:rsidRPr="00D630D1">
        <w:rPr>
          <w:rFonts w:hint="eastAsia"/>
        </w:rPr>
        <w:t>3</w:t>
      </w:r>
      <w:r w:rsidRPr="00D630D1">
        <w:rPr>
          <w:rFonts w:hint="eastAsia"/>
        </w:rPr>
        <w:t>人死亡，</w:t>
      </w:r>
      <w:r w:rsidRPr="00D630D1">
        <w:rPr>
          <w:rFonts w:hint="eastAsia"/>
        </w:rPr>
        <w:t>6</w:t>
      </w:r>
      <w:r w:rsidRPr="00D630D1">
        <w:rPr>
          <w:rFonts w:hint="eastAsia"/>
        </w:rPr>
        <w:t>人中毒。事故原因：无井控制度、无防喷设备、未储备重型泥浆材料、无</w:t>
      </w:r>
      <w:r w:rsidRPr="00D630D1">
        <w:rPr>
          <w:rFonts w:hint="eastAsia"/>
        </w:rPr>
        <w:t>H</w:t>
      </w:r>
      <w:r w:rsidRPr="00D630D1">
        <w:rPr>
          <w:rFonts w:hint="eastAsia"/>
          <w:vertAlign w:val="subscript"/>
        </w:rPr>
        <w:t>2</w:t>
      </w:r>
      <w:r w:rsidRPr="00D630D1">
        <w:rPr>
          <w:rFonts w:hint="eastAsia"/>
        </w:rPr>
        <w:t>S</w:t>
      </w:r>
      <w:r w:rsidRPr="00D630D1">
        <w:rPr>
          <w:rFonts w:hint="eastAsia"/>
        </w:rPr>
        <w:t>防护装备。</w:t>
      </w:r>
    </w:p>
    <w:p w:rsidR="005F7AFA" w:rsidRPr="00D630D1" w:rsidRDefault="005F7AFA" w:rsidP="005F7AFA">
      <w:pPr>
        <w:pStyle w:val="afa"/>
        <w:ind w:firstLine="480"/>
      </w:pPr>
      <w:r w:rsidRPr="00D630D1">
        <w:rPr>
          <w:rFonts w:hint="eastAsia"/>
        </w:rPr>
        <w:t>1992</w:t>
      </w:r>
      <w:r w:rsidRPr="00D630D1">
        <w:rPr>
          <w:rFonts w:hint="eastAsia"/>
        </w:rPr>
        <w:t>年龙会</w:t>
      </w:r>
      <w:r w:rsidRPr="00D630D1">
        <w:rPr>
          <w:rFonts w:hint="eastAsia"/>
        </w:rPr>
        <w:t>2</w:t>
      </w:r>
      <w:r w:rsidRPr="00D630D1">
        <w:rPr>
          <w:rFonts w:hint="eastAsia"/>
        </w:rPr>
        <w:t>井井喷事故：发生于钻进过程。事故原因：对地层高压认识不足而钻井液密度偏低、发现溢流不及时、井控装置质量不合格（设计压力</w:t>
      </w:r>
      <w:r w:rsidRPr="00D630D1">
        <w:rPr>
          <w:rFonts w:hint="eastAsia"/>
        </w:rPr>
        <w:t xml:space="preserve">35MPa </w:t>
      </w:r>
      <w:r w:rsidRPr="00D630D1">
        <w:rPr>
          <w:rFonts w:hint="eastAsia"/>
        </w:rPr>
        <w:t>，防喷器半封闸板芯子在套压</w:t>
      </w:r>
      <w:r w:rsidRPr="00D630D1">
        <w:rPr>
          <w:rFonts w:hint="eastAsia"/>
        </w:rPr>
        <w:t xml:space="preserve">28MPa </w:t>
      </w:r>
      <w:r w:rsidRPr="00D630D1">
        <w:rPr>
          <w:rFonts w:hint="eastAsia"/>
        </w:rPr>
        <w:t>时损坏且无备用件）。</w:t>
      </w:r>
    </w:p>
    <w:p w:rsidR="005F7AFA" w:rsidRPr="00D630D1" w:rsidRDefault="005F7AFA" w:rsidP="005F7AFA">
      <w:pPr>
        <w:pStyle w:val="afa"/>
        <w:ind w:firstLine="480"/>
      </w:pPr>
      <w:r w:rsidRPr="00D630D1">
        <w:rPr>
          <w:rFonts w:hint="eastAsia"/>
        </w:rPr>
        <w:t>1994</w:t>
      </w:r>
      <w:r w:rsidRPr="00D630D1">
        <w:rPr>
          <w:rFonts w:hint="eastAsia"/>
        </w:rPr>
        <w:t>年赵</w:t>
      </w:r>
      <w:r w:rsidRPr="00D630D1">
        <w:rPr>
          <w:rFonts w:hint="eastAsia"/>
        </w:rPr>
        <w:t>48</w:t>
      </w:r>
      <w:r w:rsidRPr="00D630D1">
        <w:rPr>
          <w:rFonts w:hint="eastAsia"/>
        </w:rPr>
        <w:t>井井喷事故：发生于射孔过程，井喷时间</w:t>
      </w:r>
      <w:r w:rsidRPr="00D630D1">
        <w:rPr>
          <w:rFonts w:hint="eastAsia"/>
        </w:rPr>
        <w:t>18h</w:t>
      </w:r>
      <w:r w:rsidRPr="00D630D1">
        <w:t xml:space="preserve"> </w:t>
      </w:r>
      <w:r w:rsidRPr="00D630D1">
        <w:rPr>
          <w:rFonts w:hint="eastAsia"/>
        </w:rPr>
        <w:t>20min</w:t>
      </w:r>
      <w:r w:rsidRPr="00D630D1">
        <w:rPr>
          <w:rFonts w:hint="eastAsia"/>
        </w:rPr>
        <w:t>，</w:t>
      </w:r>
      <w:r w:rsidRPr="00D630D1">
        <w:rPr>
          <w:rFonts w:hint="eastAsia"/>
        </w:rPr>
        <w:t>6</w:t>
      </w:r>
      <w:r w:rsidRPr="00D630D1">
        <w:rPr>
          <w:rFonts w:hint="eastAsia"/>
        </w:rPr>
        <w:t>人死亡，</w:t>
      </w:r>
      <w:r w:rsidRPr="00D630D1">
        <w:rPr>
          <w:rFonts w:hint="eastAsia"/>
        </w:rPr>
        <w:t>24</w:t>
      </w:r>
      <w:r w:rsidRPr="00D630D1">
        <w:rPr>
          <w:rFonts w:hint="eastAsia"/>
        </w:rPr>
        <w:t>人中度中毒。事故原因：该井为预探井，未预见气藏含</w:t>
      </w:r>
      <w:r w:rsidRPr="00D630D1">
        <w:rPr>
          <w:rFonts w:hint="eastAsia"/>
        </w:rPr>
        <w:t>H</w:t>
      </w:r>
      <w:r w:rsidRPr="00D630D1">
        <w:rPr>
          <w:rFonts w:hint="eastAsia"/>
          <w:vertAlign w:val="subscript"/>
        </w:rPr>
        <w:t>2</w:t>
      </w:r>
      <w:r w:rsidRPr="00D630D1">
        <w:rPr>
          <w:rFonts w:hint="eastAsia"/>
        </w:rPr>
        <w:t>S</w:t>
      </w:r>
      <w:r w:rsidRPr="00D630D1">
        <w:rPr>
          <w:rFonts w:hint="eastAsia"/>
        </w:rPr>
        <w:t>，井下工具不抗硫。</w:t>
      </w:r>
    </w:p>
    <w:p w:rsidR="005F7AFA" w:rsidRPr="00D630D1" w:rsidRDefault="005F7AFA" w:rsidP="005F7AFA">
      <w:pPr>
        <w:pStyle w:val="afa"/>
        <w:ind w:firstLine="480"/>
      </w:pPr>
      <w:r w:rsidRPr="00D630D1">
        <w:rPr>
          <w:rFonts w:hint="eastAsia"/>
        </w:rPr>
        <w:t>1995</w:t>
      </w:r>
      <w:r w:rsidRPr="00D630D1">
        <w:rPr>
          <w:rFonts w:hint="eastAsia"/>
        </w:rPr>
        <w:t>年渡</w:t>
      </w:r>
      <w:r w:rsidRPr="00D630D1">
        <w:rPr>
          <w:rFonts w:hint="eastAsia"/>
        </w:rPr>
        <w:t>1</w:t>
      </w:r>
      <w:r w:rsidRPr="00D630D1">
        <w:rPr>
          <w:rFonts w:hint="eastAsia"/>
        </w:rPr>
        <w:t>井井喷事故：发生于钻进过程，天然气</w:t>
      </w:r>
      <w:r w:rsidRPr="00D630D1">
        <w:rPr>
          <w:rFonts w:hint="eastAsia"/>
        </w:rPr>
        <w:t>H</w:t>
      </w:r>
      <w:r w:rsidRPr="00D630D1">
        <w:rPr>
          <w:rFonts w:hint="eastAsia"/>
          <w:vertAlign w:val="subscript"/>
        </w:rPr>
        <w:t>2</w:t>
      </w:r>
      <w:r w:rsidRPr="00D630D1">
        <w:rPr>
          <w:rFonts w:hint="eastAsia"/>
        </w:rPr>
        <w:t>S</w:t>
      </w:r>
      <w:r w:rsidRPr="00D630D1">
        <w:rPr>
          <w:rFonts w:hint="eastAsia"/>
        </w:rPr>
        <w:t>含量</w:t>
      </w:r>
      <w:r w:rsidRPr="00D630D1">
        <w:rPr>
          <w:rFonts w:hint="eastAsia"/>
        </w:rPr>
        <w:t>231.93g/m</w:t>
      </w:r>
      <w:r w:rsidRPr="00D630D1">
        <w:rPr>
          <w:rFonts w:hint="eastAsia"/>
          <w:vertAlign w:val="superscript"/>
        </w:rPr>
        <w:t>3</w:t>
      </w:r>
      <w:r w:rsidRPr="00D630D1">
        <w:rPr>
          <w:rFonts w:hint="eastAsia"/>
        </w:rPr>
        <w:t>。发生多位员工中毒，但未造成抢险人员及周围村民死亡。事故原因：钻井液密度低于设计值、关井处置措施不当、储备的加重钻井液粘切过高、回压阀堵塞（无内防喷工具）、防喷器与防喷闸门压力等级不匹配（防喷器</w:t>
      </w:r>
      <w:r w:rsidRPr="00D630D1">
        <w:rPr>
          <w:rFonts w:hint="eastAsia"/>
        </w:rPr>
        <w:t>70MPa</w:t>
      </w:r>
      <w:r w:rsidRPr="00D630D1">
        <w:rPr>
          <w:rFonts w:hint="eastAsia"/>
        </w:rPr>
        <w:t>，上四通缩内控闸门</w:t>
      </w:r>
      <w:r w:rsidRPr="00D630D1">
        <w:rPr>
          <w:rFonts w:hint="eastAsia"/>
        </w:rPr>
        <w:t>35MPa</w:t>
      </w:r>
      <w:r w:rsidRPr="00D630D1">
        <w:rPr>
          <w:rFonts w:hint="eastAsia"/>
        </w:rPr>
        <w:t>）。</w:t>
      </w:r>
    </w:p>
    <w:p w:rsidR="005F7AFA" w:rsidRPr="00D630D1" w:rsidRDefault="005F7AFA" w:rsidP="005F7AFA">
      <w:pPr>
        <w:pStyle w:val="afa"/>
        <w:ind w:firstLine="480"/>
      </w:pPr>
      <w:r w:rsidRPr="00D630D1">
        <w:rPr>
          <w:rFonts w:hint="eastAsia"/>
        </w:rPr>
        <w:t>2003</w:t>
      </w:r>
      <w:r w:rsidRPr="00D630D1">
        <w:rPr>
          <w:rFonts w:hint="eastAsia"/>
        </w:rPr>
        <w:t>年罗家</w:t>
      </w:r>
      <w:r w:rsidRPr="00D630D1">
        <w:rPr>
          <w:rFonts w:hint="eastAsia"/>
        </w:rPr>
        <w:t>16H</w:t>
      </w:r>
      <w:r w:rsidRPr="00D630D1">
        <w:rPr>
          <w:rFonts w:hint="eastAsia"/>
        </w:rPr>
        <w:t>井井喷事故：发生于起、下钻过程，</w:t>
      </w:r>
      <w:r w:rsidRPr="00D630D1">
        <w:rPr>
          <w:rFonts w:hint="eastAsia"/>
        </w:rPr>
        <w:t>H</w:t>
      </w:r>
      <w:r w:rsidRPr="00D630D1">
        <w:rPr>
          <w:rFonts w:hint="eastAsia"/>
          <w:vertAlign w:val="subscript"/>
        </w:rPr>
        <w:t>2</w:t>
      </w:r>
      <w:r w:rsidRPr="00D630D1">
        <w:rPr>
          <w:rFonts w:hint="eastAsia"/>
        </w:rPr>
        <w:t>S</w:t>
      </w:r>
      <w:r w:rsidRPr="00D630D1">
        <w:rPr>
          <w:rFonts w:hint="eastAsia"/>
        </w:rPr>
        <w:t>含量约</w:t>
      </w:r>
      <w:r w:rsidRPr="00D630D1">
        <w:rPr>
          <w:rFonts w:hint="eastAsia"/>
        </w:rPr>
        <w:t>9.46%</w:t>
      </w:r>
      <w:r w:rsidRPr="00D630D1">
        <w:rPr>
          <w:rFonts w:hint="eastAsia"/>
        </w:rPr>
        <w:t>，（</w:t>
      </w:r>
      <w:r w:rsidRPr="00D630D1">
        <w:rPr>
          <w:rFonts w:hint="eastAsia"/>
        </w:rPr>
        <w:t>134.4g/m</w:t>
      </w:r>
      <w:r w:rsidRPr="00D630D1">
        <w:rPr>
          <w:rFonts w:hint="eastAsia"/>
          <w:vertAlign w:val="superscript"/>
        </w:rPr>
        <w:t>3</w:t>
      </w:r>
      <w:r w:rsidRPr="00D630D1">
        <w:rPr>
          <w:rFonts w:hint="eastAsia"/>
        </w:rPr>
        <w:t>），人员伤亡严重。事故原因：坐岗制度不落实未及时发现气侵和溢流、起钻时未按井控要求及时灌注钻井液、未按要求安装回压阀无法实现内防喷、无剪切闸板防喷器而全封防喷器不能剪断钻杆控制井口，高含硫天然气喷出且未点火，持续了约</w:t>
      </w:r>
      <w:r w:rsidRPr="00D630D1">
        <w:rPr>
          <w:rFonts w:hint="eastAsia"/>
        </w:rPr>
        <w:t>18h</w:t>
      </w:r>
      <w:r w:rsidRPr="00D630D1">
        <w:rPr>
          <w:rFonts w:hint="eastAsia"/>
        </w:rPr>
        <w:t>。造成严重的人员伤亡。</w:t>
      </w:r>
    </w:p>
    <w:p w:rsidR="005F7AFA" w:rsidRPr="00D630D1" w:rsidRDefault="005F7AFA" w:rsidP="005F7AFA">
      <w:pPr>
        <w:pStyle w:val="afa"/>
        <w:ind w:firstLine="480"/>
      </w:pPr>
      <w:r w:rsidRPr="00D630D1">
        <w:rPr>
          <w:rFonts w:hint="eastAsia"/>
        </w:rPr>
        <w:t>2006</w:t>
      </w:r>
      <w:r w:rsidRPr="00D630D1">
        <w:rPr>
          <w:rFonts w:hint="eastAsia"/>
        </w:rPr>
        <w:t>年罗家</w:t>
      </w:r>
      <w:r w:rsidRPr="00D630D1">
        <w:rPr>
          <w:rFonts w:hint="eastAsia"/>
        </w:rPr>
        <w:t>2</w:t>
      </w:r>
      <w:r w:rsidRPr="00D630D1">
        <w:rPr>
          <w:rFonts w:hint="eastAsia"/>
        </w:rPr>
        <w:t>井复杂井漏事故：发生于修井作业过程，通过放喷点火卸压，及时疏散人群，未造成人员伤亡。事故主要原因：固井质量缺陷。</w:t>
      </w:r>
    </w:p>
    <w:p w:rsidR="005F7AFA" w:rsidRPr="00D630D1" w:rsidRDefault="005F7AFA" w:rsidP="005F7AFA">
      <w:pPr>
        <w:pStyle w:val="afa"/>
        <w:ind w:firstLine="480"/>
      </w:pPr>
      <w:r w:rsidRPr="00D630D1">
        <w:rPr>
          <w:rFonts w:hint="eastAsia"/>
        </w:rPr>
        <w:lastRenderedPageBreak/>
        <w:t>2019</w:t>
      </w:r>
      <w:r w:rsidRPr="00D630D1">
        <w:rPr>
          <w:rFonts w:hint="eastAsia"/>
        </w:rPr>
        <w:t>年</w:t>
      </w:r>
      <w:r w:rsidR="00481D5D" w:rsidRPr="00D630D1">
        <w:rPr>
          <w:rFonts w:hint="eastAsia"/>
        </w:rPr>
        <w:t>12</w:t>
      </w:r>
      <w:r w:rsidR="00481D5D" w:rsidRPr="00D630D1">
        <w:rPr>
          <w:rFonts w:hint="eastAsia"/>
        </w:rPr>
        <w:t>月</w:t>
      </w:r>
      <w:r w:rsidR="00481D5D" w:rsidRPr="00D630D1">
        <w:rPr>
          <w:rFonts w:hint="eastAsia"/>
        </w:rPr>
        <w:t>13</w:t>
      </w:r>
      <w:r w:rsidR="00481D5D" w:rsidRPr="00D630D1">
        <w:rPr>
          <w:rFonts w:hint="eastAsia"/>
        </w:rPr>
        <w:t>日</w:t>
      </w:r>
      <w:r w:rsidRPr="00D630D1">
        <w:rPr>
          <w:rFonts w:hint="eastAsia"/>
        </w:rPr>
        <w:t>罗家</w:t>
      </w:r>
      <w:r w:rsidRPr="00D630D1">
        <w:rPr>
          <w:rFonts w:hint="eastAsia"/>
        </w:rPr>
        <w:t>16</w:t>
      </w:r>
      <w:r w:rsidRPr="00D630D1">
        <w:rPr>
          <w:rFonts w:hint="eastAsia"/>
        </w:rPr>
        <w:t>井井喷事故：发生于钻井过程，人员伤亡严重。事故原因：有关人员对罗家</w:t>
      </w:r>
      <w:r w:rsidRPr="00D630D1">
        <w:rPr>
          <w:rFonts w:hint="eastAsia"/>
        </w:rPr>
        <w:t>16</w:t>
      </w:r>
      <w:r w:rsidRPr="00D630D1">
        <w:rPr>
          <w:rFonts w:hint="eastAsia"/>
        </w:rPr>
        <w:t>井的特高出气量估计不足；起钻过程违章操作</w:t>
      </w:r>
      <w:r w:rsidR="00330BDA" w:rsidRPr="00D630D1">
        <w:rPr>
          <w:rFonts w:hint="eastAsia"/>
        </w:rPr>
        <w:t>，违章卸掉钻柱上的回压阀</w:t>
      </w:r>
      <w:r w:rsidRPr="00D630D1">
        <w:rPr>
          <w:rFonts w:hint="eastAsia"/>
        </w:rPr>
        <w:t>；未及时发现溢流征兆；</w:t>
      </w:r>
      <w:r w:rsidR="00330BDA" w:rsidRPr="00D630D1">
        <w:rPr>
          <w:rFonts w:hint="eastAsia"/>
        </w:rPr>
        <w:t>没有及时采取放喷管线点火措施。</w:t>
      </w:r>
    </w:p>
    <w:p w:rsidR="00112504" w:rsidRPr="00D630D1" w:rsidRDefault="005F7AFA" w:rsidP="00112504">
      <w:pPr>
        <w:pStyle w:val="afa"/>
        <w:ind w:firstLine="482"/>
        <w:rPr>
          <w:b/>
        </w:rPr>
      </w:pPr>
      <w:r w:rsidRPr="00D630D1">
        <w:rPr>
          <w:rFonts w:hint="eastAsia"/>
          <w:b/>
        </w:rPr>
        <w:t>3</w:t>
      </w:r>
      <w:r w:rsidR="00112504" w:rsidRPr="00D630D1">
        <w:rPr>
          <w:b/>
        </w:rPr>
        <w:t>、</w:t>
      </w:r>
      <w:r w:rsidR="00362D50" w:rsidRPr="00D630D1">
        <w:rPr>
          <w:b/>
        </w:rPr>
        <w:t>天然气管道</w:t>
      </w:r>
      <w:r w:rsidR="00112504" w:rsidRPr="00D630D1">
        <w:rPr>
          <w:b/>
        </w:rPr>
        <w:t>泄漏事故原因</w:t>
      </w:r>
    </w:p>
    <w:p w:rsidR="004B51D7" w:rsidRPr="00D630D1" w:rsidRDefault="004B51D7" w:rsidP="004B51D7">
      <w:pPr>
        <w:pStyle w:val="afa"/>
        <w:ind w:firstLine="480"/>
      </w:pPr>
      <w:r w:rsidRPr="00D630D1">
        <w:t>通过对国内外天然气输送管遇进行事故统计和原因分析可以看出，输气管道的泄漏事故原因主要有以下几类：</w:t>
      </w:r>
    </w:p>
    <w:p w:rsidR="004B51D7" w:rsidRPr="00D630D1" w:rsidRDefault="004B51D7" w:rsidP="004B51D7">
      <w:pPr>
        <w:pStyle w:val="afa"/>
        <w:ind w:firstLine="482"/>
        <w:rPr>
          <w:b/>
        </w:rPr>
      </w:pPr>
      <w:r w:rsidRPr="00D630D1">
        <w:rPr>
          <w:b/>
        </w:rPr>
        <w:t>（</w:t>
      </w:r>
      <w:r w:rsidRPr="00D630D1">
        <w:rPr>
          <w:b/>
        </w:rPr>
        <w:t>1</w:t>
      </w:r>
      <w:r w:rsidRPr="00D630D1">
        <w:rPr>
          <w:b/>
        </w:rPr>
        <w:t>）外部损（破）坏</w:t>
      </w:r>
    </w:p>
    <w:p w:rsidR="004B51D7" w:rsidRPr="00D630D1" w:rsidRDefault="004B51D7" w:rsidP="004B51D7">
      <w:pPr>
        <w:pStyle w:val="afa"/>
        <w:ind w:firstLine="480"/>
      </w:pPr>
      <w:r w:rsidRPr="00D630D1">
        <w:t>外部损（破）坏主要指外来原因或第三方责任而引起的管边事故。输气管过的外部损（破）坏主要指施工机械或大型工具将管遇意外刺伤或地震、滑坡、泥石流、挖土湿陷、坍塌、垮场、洪水等自然外力引起的管道损伤和第三方人为损（破）坏：因操作人员的素质、技术水平、应变能力及责任心不够也是造成事故的原因之一。</w:t>
      </w:r>
    </w:p>
    <w:p w:rsidR="004B51D7" w:rsidRPr="00D630D1" w:rsidRDefault="004B51D7" w:rsidP="004B51D7">
      <w:pPr>
        <w:pStyle w:val="afa"/>
        <w:ind w:firstLine="480"/>
      </w:pPr>
      <w:r w:rsidRPr="00D630D1">
        <w:t>人为损坏主要来自三个方面，一是工艺操作失误，导致流程错乱，形成憋压、抽空等其它非正常工况，引起天然气泄漏；二是违法在管道保护区或安全防护区内从事取土、挖掘、采石、盖房、修渠、爆破、行驶禁止行驶的交通工具和机械等活动，造成输气管道破损：三是不法分子蓄意破坏，在管道上钻孔输气，盗窃管道附属设备和构件等，都极容易引发重大安全事故。</w:t>
      </w:r>
    </w:p>
    <w:p w:rsidR="004B51D7" w:rsidRPr="00D630D1" w:rsidRDefault="004B51D7" w:rsidP="004B51D7">
      <w:pPr>
        <w:pStyle w:val="afa"/>
        <w:ind w:firstLine="482"/>
        <w:rPr>
          <w:b/>
        </w:rPr>
      </w:pPr>
      <w:r w:rsidRPr="00D630D1">
        <w:rPr>
          <w:b/>
        </w:rPr>
        <w:t>（</w:t>
      </w:r>
      <w:r w:rsidRPr="00D630D1">
        <w:rPr>
          <w:b/>
        </w:rPr>
        <w:t>2</w:t>
      </w:r>
      <w:r w:rsidRPr="00D630D1">
        <w:rPr>
          <w:b/>
        </w:rPr>
        <w:t>）腐蚀</w:t>
      </w:r>
    </w:p>
    <w:p w:rsidR="004B51D7" w:rsidRPr="00D630D1" w:rsidRDefault="004B51D7" w:rsidP="004B51D7">
      <w:pPr>
        <w:pStyle w:val="afa"/>
        <w:ind w:firstLine="480"/>
      </w:pPr>
      <w:r w:rsidRPr="00D630D1">
        <w:t>腐蚀是造成输气管道穿孔、泄漏最常见的因素。</w:t>
      </w:r>
    </w:p>
    <w:p w:rsidR="004B51D7" w:rsidRPr="00D630D1" w:rsidRDefault="004B51D7" w:rsidP="004B51D7">
      <w:pPr>
        <w:pStyle w:val="afa"/>
        <w:ind w:firstLine="480"/>
      </w:pPr>
      <w:r w:rsidRPr="00D630D1">
        <w:t>腐蚀失效是长输管道主要失效形式之一，腐蚀有可能大面积减薄管道的壁厚，导致过度变形或爆破，也有可能导致管道腐蚀穿孔。本项目埋地管道受所处的土壤类型、土壤电阻率、土壤含水量（湿度）、</w:t>
      </w:r>
      <w:r w:rsidRPr="00D630D1">
        <w:t>pH</w:t>
      </w:r>
      <w:r w:rsidRPr="00D630D1">
        <w:t>值、硫化物含量、氧化还原电位、微生物、杂散电流及干扰电流等因素的影响会造成管道电化学腐蚀、化学腐蚀、微生物腐蚀、应力腐蚀和干扰腐蚀等。</w:t>
      </w:r>
    </w:p>
    <w:p w:rsidR="004B51D7" w:rsidRPr="00D630D1" w:rsidRDefault="004B51D7" w:rsidP="004B51D7">
      <w:pPr>
        <w:pStyle w:val="afa"/>
        <w:ind w:firstLine="480"/>
      </w:pPr>
      <w:r w:rsidRPr="00D630D1">
        <w:t>管道外腐蚀是在外防腐层破坏</w:t>
      </w:r>
      <w:r w:rsidRPr="00D630D1">
        <w:t>/</w:t>
      </w:r>
      <w:r w:rsidRPr="00D630D1">
        <w:t>剥离、阴极保护不完全</w:t>
      </w:r>
      <w:r w:rsidRPr="00D630D1">
        <w:t>/</w:t>
      </w:r>
      <w:r w:rsidRPr="00D630D1">
        <w:t>被屏蔽情况下发生的，发生后腐蚀速率与土壤腐蚀性、阴极保护度等因素有关。防腐层失效的主要原因有土壤对涂层的化学、物理破坏，运行条件造成的涂层老化、阴极保护副作用造成涂层剥离，施工质量差和补口不合格，以及外界活动破坏防腐层等。诱发管道</w:t>
      </w:r>
      <w:r w:rsidRPr="00D630D1">
        <w:lastRenderedPageBreak/>
        <w:t>内腐蚀的原因主要是输送介质中含有机硫、</w:t>
      </w:r>
      <w:r w:rsidRPr="00D630D1">
        <w:t>CO</w:t>
      </w:r>
      <w:r w:rsidRPr="00D630D1">
        <w:rPr>
          <w:vertAlign w:val="subscript"/>
        </w:rPr>
        <w:t>2</w:t>
      </w:r>
      <w:r w:rsidRPr="00D630D1">
        <w:t>、水、细菌等腐蚀性物质。管道沿线大部分地段土壤电阻率在</w:t>
      </w:r>
      <w:r w:rsidRPr="00D630D1">
        <w:t>50m</w:t>
      </w:r>
      <w:r w:rsidRPr="00D630D1">
        <w:t>以上，属弱腐蚀性土壤</w:t>
      </w:r>
      <w:r w:rsidR="005F0550" w:rsidRPr="00D630D1">
        <w:t>（如粘土、碎石层和基岩等）；少部分有水的河谷边为中等腐蚀性土壤</w:t>
      </w:r>
      <w:r w:rsidRPr="00D630D1">
        <w:t>；管道通过山区部分土壤中各种微生物和植物根茎比较活跃，土壤中的含水量较高。</w:t>
      </w:r>
    </w:p>
    <w:p w:rsidR="00915B39" w:rsidRPr="00D630D1" w:rsidRDefault="00915B39" w:rsidP="00915B39">
      <w:pPr>
        <w:pStyle w:val="afa"/>
        <w:ind w:firstLine="480"/>
      </w:pPr>
      <w:r w:rsidRPr="00D630D1">
        <w:t>埋地酸气管线防腐保温采用</w:t>
      </w:r>
      <w:r w:rsidRPr="00D630D1">
        <w:t>“</w:t>
      </w:r>
      <w:r w:rsidRPr="00D630D1">
        <w:t>管中管</w:t>
      </w:r>
      <w:r w:rsidRPr="00D630D1">
        <w:t>”</w:t>
      </w:r>
      <w:r w:rsidRPr="00D630D1">
        <w:t>成型工艺，保温层采用硬质聚氨脂泡沫聚乙烯防腐保温层（保温层厚</w:t>
      </w:r>
      <w:r w:rsidRPr="00D630D1">
        <w:t>40mm</w:t>
      </w:r>
      <w:r w:rsidRPr="00D630D1">
        <w:t>），防腐层采用环氧粉末；防护层采用聚乙烯层，酸气管道补口采用现场发泡，补口防腐采用无溶剂液体环氧涂料</w:t>
      </w:r>
      <w:r w:rsidRPr="00D630D1">
        <w:t>+</w:t>
      </w:r>
      <w:r w:rsidRPr="00D630D1">
        <w:t>粘弹体胶带</w:t>
      </w:r>
      <w:r w:rsidRPr="00D630D1">
        <w:t>+</w:t>
      </w:r>
      <w:r w:rsidRPr="00D630D1">
        <w:t>聚乙烯袖套管</w:t>
      </w:r>
      <w:r w:rsidRPr="00D630D1">
        <w:t>+</w:t>
      </w:r>
      <w:r w:rsidRPr="00D630D1">
        <w:t>粘弹体胶带</w:t>
      </w:r>
      <w:r w:rsidRPr="00D630D1">
        <w:t>+</w:t>
      </w:r>
      <w:r w:rsidRPr="00D630D1">
        <w:t>辐射交联聚乙烯热收缩带。</w:t>
      </w:r>
    </w:p>
    <w:p w:rsidR="004B51D7" w:rsidRPr="00D630D1" w:rsidRDefault="004B51D7" w:rsidP="004B51D7">
      <w:pPr>
        <w:pStyle w:val="afa"/>
        <w:ind w:firstLine="480"/>
      </w:pPr>
      <w:r w:rsidRPr="00D630D1">
        <w:t>本工程的防腐水平较高，无论是管道防腐、补口防腐，都是采用国内目前先进的防腐工艺。本工程的防腐可以在一定程度上降低引发工程出现事故的最主要原因</w:t>
      </w:r>
      <w:r w:rsidRPr="00D630D1">
        <w:t>——</w:t>
      </w:r>
      <w:r w:rsidRPr="00D630D1">
        <w:t>腐蚀的程度和速度，削减本工程的环境风险水平。</w:t>
      </w:r>
    </w:p>
    <w:p w:rsidR="004B51D7" w:rsidRPr="00D630D1" w:rsidRDefault="004B51D7" w:rsidP="004B51D7">
      <w:pPr>
        <w:pStyle w:val="afa"/>
        <w:ind w:firstLine="482"/>
        <w:rPr>
          <w:b/>
        </w:rPr>
      </w:pPr>
      <w:r w:rsidRPr="00D630D1">
        <w:rPr>
          <w:b/>
        </w:rPr>
        <w:t>（</w:t>
      </w:r>
      <w:r w:rsidRPr="00D630D1">
        <w:rPr>
          <w:b/>
        </w:rPr>
        <w:t>3</w:t>
      </w:r>
      <w:r w:rsidRPr="00D630D1">
        <w:rPr>
          <w:b/>
        </w:rPr>
        <w:t>）管材及施工缺陷</w:t>
      </w:r>
    </w:p>
    <w:p w:rsidR="004B51D7" w:rsidRPr="00D630D1" w:rsidRDefault="004B51D7" w:rsidP="004B51D7">
      <w:pPr>
        <w:pStyle w:val="afa"/>
        <w:ind w:firstLine="480"/>
      </w:pPr>
      <w:r w:rsidRPr="00D630D1">
        <w:t>管材本身质量差多是因为金属材质及制造工艺的缺陷引起，其中管材卷边、分层、制管焊缝缺陷、管段热处理等工艺均可影响到管材质量；管道焊接缺陷主要表现在焊接边缘错位、未焊透与未熔合、夹渣、气孔和裂纹等，这些缺陷大多数是由于焊工责任心不强、工作不认真以及违反焊接工艺规程所造成的。</w:t>
      </w:r>
    </w:p>
    <w:p w:rsidR="004B51D7" w:rsidRPr="00D630D1" w:rsidRDefault="004B51D7" w:rsidP="004B51D7">
      <w:pPr>
        <w:pStyle w:val="afa"/>
        <w:ind w:firstLine="480"/>
      </w:pPr>
      <w:r w:rsidRPr="00D630D1">
        <w:t>施工质量主要指管道对接焊缝质量。管口焊接质量水平低，电弧烧穿、气孔、夹渣和未焊透发生率高，是引发事故的又一重要因素。</w:t>
      </w:r>
    </w:p>
    <w:p w:rsidR="004B51D7" w:rsidRPr="00D630D1" w:rsidRDefault="004B51D7" w:rsidP="004B51D7">
      <w:pPr>
        <w:pStyle w:val="afa"/>
        <w:ind w:firstLine="480"/>
      </w:pPr>
      <w:r w:rsidRPr="00D630D1">
        <w:t>施工不良还表现在以下方面：管道除锈、去污、防腐和现场补口等工序未按施工要求去做；现场涂敷作业管理不严，使防腐层与管体粘结不良，管子下沟动作粗鲁以及回填作业草率，使泥土、岩石冲击防腐层，造成防腐层破坏；阴极保护没有与管道埋地同时进行；还有管子搬运时管子产生疲劳裂纹。</w:t>
      </w:r>
    </w:p>
    <w:p w:rsidR="004B51D7" w:rsidRPr="00D630D1" w:rsidRDefault="005F7AFA" w:rsidP="004B51D7">
      <w:pPr>
        <w:pStyle w:val="a1"/>
        <w:ind w:firstLine="482"/>
        <w:rPr>
          <w:rFonts w:ascii="Times New Roman" w:cs="Times New Roman"/>
          <w:b/>
        </w:rPr>
      </w:pPr>
      <w:r w:rsidRPr="00D630D1">
        <w:rPr>
          <w:rFonts w:ascii="Times New Roman" w:cs="Times New Roman" w:hint="eastAsia"/>
          <w:b/>
        </w:rPr>
        <w:t>4</w:t>
      </w:r>
      <w:r w:rsidR="004B51D7" w:rsidRPr="00D630D1">
        <w:rPr>
          <w:rFonts w:ascii="Times New Roman" w:cs="Times New Roman"/>
          <w:b/>
        </w:rPr>
        <w:t>、管道危险因素分析</w:t>
      </w:r>
    </w:p>
    <w:p w:rsidR="004B51D7" w:rsidRPr="00D630D1" w:rsidRDefault="004B51D7" w:rsidP="004B51D7">
      <w:pPr>
        <w:pStyle w:val="a1"/>
        <w:ind w:firstLine="480"/>
        <w:rPr>
          <w:rFonts w:ascii="Times New Roman" w:cs="Times New Roman"/>
        </w:rPr>
      </w:pPr>
      <w:r w:rsidRPr="00D630D1">
        <w:rPr>
          <w:rFonts w:ascii="Times New Roman" w:cs="Times New Roman"/>
        </w:rPr>
        <w:t>结合国外管道事故分析，天然气</w:t>
      </w:r>
      <w:r w:rsidR="00112504" w:rsidRPr="00D630D1">
        <w:rPr>
          <w:rFonts w:ascii="Times New Roman" w:cs="Times New Roman"/>
        </w:rPr>
        <w:t>输气</w:t>
      </w:r>
      <w:r w:rsidRPr="00D630D1">
        <w:rPr>
          <w:rFonts w:ascii="Times New Roman" w:cs="Times New Roman"/>
        </w:rPr>
        <w:t>管道事故因素主要涉及第三方破坏、腐蚀、设计和误操作等，考虑人的第三方破坏、设计质量、施工危害、生产运营管理等人为因素的影响。</w:t>
      </w:r>
    </w:p>
    <w:p w:rsidR="004B51D7" w:rsidRPr="00D630D1" w:rsidRDefault="004B51D7" w:rsidP="004B51D7">
      <w:pPr>
        <w:pStyle w:val="a1"/>
        <w:ind w:firstLine="480"/>
        <w:rPr>
          <w:rFonts w:ascii="Times New Roman" w:cs="Times New Roman"/>
        </w:rPr>
      </w:pPr>
      <w:r w:rsidRPr="00D630D1">
        <w:rPr>
          <w:rFonts w:hAnsi="宋体" w:hint="eastAsia"/>
        </w:rPr>
        <w:t>①</w:t>
      </w:r>
      <w:r w:rsidRPr="00D630D1">
        <w:rPr>
          <w:rFonts w:ascii="Times New Roman" w:cs="Times New Roman"/>
        </w:rPr>
        <w:t>介质及压力因素：本项目输送的天然气组分在一定条件下对管道内壁具有一定的内腐蚀作用，由于压力较高，存在较高的物理应力开裂危险。另外，输气管道压力随时间有一定的周期性变化，可造成管材疲劳损伤。</w:t>
      </w:r>
    </w:p>
    <w:p w:rsidR="005F0550" w:rsidRPr="00D630D1" w:rsidRDefault="004B51D7" w:rsidP="004B51D7">
      <w:pPr>
        <w:pStyle w:val="a1"/>
        <w:ind w:firstLine="480"/>
        <w:rPr>
          <w:rFonts w:ascii="Times New Roman" w:cs="Times New Roman"/>
        </w:rPr>
      </w:pPr>
      <w:r w:rsidRPr="00D630D1">
        <w:rPr>
          <w:rFonts w:hAnsi="宋体" w:hint="eastAsia"/>
        </w:rPr>
        <w:lastRenderedPageBreak/>
        <w:t>②</w:t>
      </w:r>
      <w:r w:rsidRPr="00D630D1">
        <w:rPr>
          <w:rFonts w:ascii="Times New Roman" w:cs="Times New Roman"/>
        </w:rPr>
        <w:t>地质灾害因素：包括洪水的冲刷、侵蚀与岸坡坍塌、滑坡、崩塌、危石和高陡边坡等。</w:t>
      </w:r>
    </w:p>
    <w:p w:rsidR="004B51D7" w:rsidRPr="00D630D1" w:rsidRDefault="004B51D7" w:rsidP="004B51D7">
      <w:pPr>
        <w:pStyle w:val="a1"/>
        <w:ind w:firstLine="480"/>
        <w:rPr>
          <w:rFonts w:ascii="Times New Roman" w:cs="Times New Roman"/>
        </w:rPr>
      </w:pPr>
      <w:r w:rsidRPr="00D630D1">
        <w:rPr>
          <w:rFonts w:hAnsi="宋体" w:hint="eastAsia"/>
        </w:rPr>
        <w:t>③</w:t>
      </w:r>
      <w:r w:rsidRPr="00D630D1">
        <w:rPr>
          <w:rFonts w:ascii="Times New Roman" w:cs="Times New Roman"/>
        </w:rPr>
        <w:t>腐蚀因素：管道沿线大部分均为中～弱腐蚀性土壤。除人类活动的地区外，管道还经过农田分布区和丘陵林地区，在这些地区生长有乔木、灌木和草本。当部分根深植物在管道附近甚至管道上生长时，其根系将缠绕、挤压、损坏管道的防腐层，造成管道防腐失效。</w:t>
      </w:r>
    </w:p>
    <w:p w:rsidR="004B51D7" w:rsidRPr="00D630D1" w:rsidRDefault="004B51D7" w:rsidP="004B51D7">
      <w:pPr>
        <w:pStyle w:val="a1"/>
        <w:ind w:firstLine="480"/>
        <w:rPr>
          <w:rFonts w:ascii="Times New Roman" w:cs="Times New Roman"/>
        </w:rPr>
      </w:pPr>
      <w:r w:rsidRPr="00D630D1">
        <w:rPr>
          <w:rFonts w:hAnsi="宋体" w:hint="eastAsia"/>
        </w:rPr>
        <w:t>④</w:t>
      </w:r>
      <w:r w:rsidRPr="00D630D1">
        <w:rPr>
          <w:rFonts w:ascii="Times New Roman" w:cs="Times New Roman"/>
        </w:rPr>
        <w:t>第三方破坏因素：管道经过的人口地区等级及经济发展水平差异较大，</w:t>
      </w:r>
      <w:r w:rsidRPr="00D630D1">
        <w:rPr>
          <w:rFonts w:ascii="Times New Roman" w:cs="Times New Roman"/>
        </w:rPr>
        <w:t>3</w:t>
      </w:r>
      <w:r w:rsidRPr="00D630D1">
        <w:rPr>
          <w:rFonts w:ascii="Times New Roman" w:cs="Times New Roman"/>
        </w:rPr>
        <w:t>级地区人口分布对工程的第三方破坏、泄漏影响系数具有较大的影响，人类活动频繁，增加了管道风险的水平。</w:t>
      </w:r>
    </w:p>
    <w:p w:rsidR="00FC46A8" w:rsidRPr="00D630D1" w:rsidRDefault="004B51D7" w:rsidP="004B51D7">
      <w:pPr>
        <w:pStyle w:val="a1"/>
        <w:ind w:firstLine="480"/>
        <w:rPr>
          <w:rFonts w:ascii="Times New Roman" w:cs="Times New Roman"/>
        </w:rPr>
      </w:pPr>
      <w:r w:rsidRPr="00D630D1">
        <w:rPr>
          <w:rFonts w:ascii="Times New Roman" w:cs="Times New Roman"/>
        </w:rPr>
        <w:t>根据管道路由的实际情况和分段的情况：对天然气</w:t>
      </w:r>
      <w:r w:rsidR="00112504" w:rsidRPr="00D630D1">
        <w:rPr>
          <w:rFonts w:ascii="Times New Roman" w:cs="Times New Roman"/>
        </w:rPr>
        <w:t>输气</w:t>
      </w:r>
      <w:r w:rsidRPr="00D630D1">
        <w:rPr>
          <w:rFonts w:ascii="Times New Roman" w:cs="Times New Roman"/>
        </w:rPr>
        <w:t>管道沿线的第三方破坏、腐蚀、设计、误操作等因素的评估，根据沿线地区等级、高价值地区、环境敏感地区和管线泄漏量和泄漏对管道沿线的相对影响大小，可以确定管线沿线的风险分布。</w:t>
      </w:r>
    </w:p>
    <w:p w:rsidR="004B51D7" w:rsidRPr="00D630D1" w:rsidRDefault="004B51D7" w:rsidP="004B51D7">
      <w:pPr>
        <w:pStyle w:val="3"/>
        <w:rPr>
          <w:rFonts w:eastAsia="宋体"/>
        </w:rPr>
      </w:pPr>
      <w:bookmarkStart w:id="555" w:name="_Toc12288735"/>
      <w:bookmarkStart w:id="556" w:name="_Toc19816108"/>
      <w:r w:rsidRPr="00D630D1">
        <w:rPr>
          <w:rFonts w:eastAsia="宋体"/>
        </w:rPr>
        <w:t>7.7.</w:t>
      </w:r>
      <w:r w:rsidR="00915B39" w:rsidRPr="00D630D1">
        <w:rPr>
          <w:rFonts w:eastAsia="宋体"/>
        </w:rPr>
        <w:t>2</w:t>
      </w:r>
      <w:r w:rsidRPr="00D630D1">
        <w:rPr>
          <w:rFonts w:eastAsia="宋体"/>
        </w:rPr>
        <w:t xml:space="preserve"> </w:t>
      </w:r>
      <w:r w:rsidRPr="00D630D1">
        <w:rPr>
          <w:rFonts w:eastAsia="宋体"/>
        </w:rPr>
        <w:t>风险事故情形</w:t>
      </w:r>
      <w:bookmarkEnd w:id="555"/>
      <w:bookmarkEnd w:id="556"/>
    </w:p>
    <w:p w:rsidR="00F2763B" w:rsidRPr="00D630D1" w:rsidRDefault="00F2763B" w:rsidP="00F2763B">
      <w:pPr>
        <w:pStyle w:val="a1"/>
        <w:ind w:firstLine="482"/>
        <w:rPr>
          <w:rFonts w:ascii="Times New Roman" w:cs="Times New Roman"/>
          <w:b/>
        </w:rPr>
      </w:pPr>
      <w:r w:rsidRPr="00D630D1">
        <w:rPr>
          <w:rFonts w:ascii="Times New Roman" w:cs="Times New Roman"/>
          <w:b/>
        </w:rPr>
        <w:t>1</w:t>
      </w:r>
      <w:r w:rsidRPr="00D630D1">
        <w:rPr>
          <w:rFonts w:ascii="Times New Roman" w:cs="Times New Roman"/>
          <w:b/>
        </w:rPr>
        <w:t>、</w:t>
      </w:r>
      <w:r w:rsidRPr="00D630D1">
        <w:rPr>
          <w:rFonts w:ascii="Times New Roman" w:cs="Times New Roman" w:hint="eastAsia"/>
          <w:b/>
        </w:rPr>
        <w:t>井喷</w:t>
      </w:r>
      <w:r w:rsidRPr="00D630D1">
        <w:rPr>
          <w:rFonts w:ascii="Times New Roman" w:cs="Times New Roman"/>
          <w:b/>
        </w:rPr>
        <w:t>事故</w:t>
      </w:r>
    </w:p>
    <w:p w:rsidR="005F7AFA" w:rsidRPr="00D630D1" w:rsidRDefault="00F2763B" w:rsidP="00F2763B">
      <w:pPr>
        <w:pStyle w:val="a1"/>
        <w:ind w:firstLine="480"/>
        <w:rPr>
          <w:rFonts w:ascii="Times New Roman" w:cs="Times New Roman"/>
        </w:rPr>
      </w:pPr>
      <w:r w:rsidRPr="00D630D1">
        <w:rPr>
          <w:rFonts w:ascii="Times New Roman" w:cs="Times New Roman"/>
        </w:rPr>
        <w:t>在钻井过程中，若出现井喷失控，气藏内的天然气在地层压力作用下，将以极高的动能速度从井口喷出，若释放的</w:t>
      </w:r>
      <w:r w:rsidR="00F2713C">
        <w:rPr>
          <w:rFonts w:ascii="Times New Roman" w:cs="Times New Roman" w:hint="eastAsia"/>
        </w:rPr>
        <w:t>不含</w:t>
      </w:r>
      <w:r w:rsidRPr="00D630D1">
        <w:rPr>
          <w:rFonts w:ascii="Times New Roman" w:cs="Times New Roman"/>
        </w:rPr>
        <w:t>天然气立即被点火燃烧排放，对环境空气的影响主要是</w:t>
      </w:r>
      <w:r w:rsidR="00F2713C">
        <w:rPr>
          <w:rFonts w:ascii="Times New Roman" w:cs="Times New Roman" w:hint="eastAsia"/>
        </w:rPr>
        <w:t>CO</w:t>
      </w:r>
      <w:r w:rsidRPr="00D630D1">
        <w:rPr>
          <w:rFonts w:ascii="Times New Roman" w:cs="Times New Roman"/>
        </w:rPr>
        <w:t>；若释放的</w:t>
      </w:r>
      <w:r w:rsidR="00F2713C">
        <w:rPr>
          <w:rFonts w:ascii="Times New Roman" w:cs="Times New Roman" w:hint="eastAsia"/>
        </w:rPr>
        <w:t>不</w:t>
      </w:r>
      <w:r w:rsidRPr="00D630D1">
        <w:rPr>
          <w:rFonts w:ascii="Times New Roman" w:cs="Times New Roman"/>
        </w:rPr>
        <w:t>含硫天然气自始自终未遇火源，将在其自身动量与气象条件控制下，喷涌后与空气混合、扩散形</w:t>
      </w:r>
      <w:r w:rsidR="00F2713C">
        <w:rPr>
          <w:rFonts w:ascii="Times New Roman" w:cs="Times New Roman" w:hint="eastAsia"/>
        </w:rPr>
        <w:t>后对周边环境影响较小</w:t>
      </w:r>
      <w:r w:rsidR="00D20930" w:rsidRPr="00D630D1">
        <w:rPr>
          <w:rFonts w:ascii="Times New Roman" w:cs="Times New Roman" w:hint="eastAsia"/>
        </w:rPr>
        <w:t>，井喷事故事件</w:t>
      </w:r>
      <w:r w:rsidR="00D20930" w:rsidRPr="00D630D1">
        <w:rPr>
          <w:rFonts w:ascii="Times New Roman" w:cs="Times New Roman"/>
        </w:rPr>
        <w:t>树见</w:t>
      </w:r>
      <w:fldSimple w:instr=" REF _Ref473012051 \h  \* MERGEFORMAT ">
        <w:r w:rsidR="00D20930" w:rsidRPr="00D630D1">
          <w:rPr>
            <w:rFonts w:ascii="Times New Roman" w:cs="Times New Roman" w:hint="eastAsia"/>
          </w:rPr>
          <w:t>图</w:t>
        </w:r>
        <w:r w:rsidR="00D20930" w:rsidRPr="00D630D1">
          <w:rPr>
            <w:rFonts w:ascii="Times New Roman" w:cs="Times New Roman" w:hint="eastAsia"/>
          </w:rPr>
          <w:t>7</w:t>
        </w:r>
        <w:r w:rsidR="00D20930" w:rsidRPr="00D630D1">
          <w:rPr>
            <w:rFonts w:ascii="Times New Roman" w:cs="Times New Roman"/>
          </w:rPr>
          <w:noBreakHyphen/>
          <w:t>1</w:t>
        </w:r>
      </w:fldSimple>
      <w:r w:rsidR="00D20930" w:rsidRPr="00D630D1">
        <w:rPr>
          <w:rFonts w:ascii="Times New Roman" w:cs="Times New Roman" w:hint="eastAsia"/>
        </w:rPr>
        <w:t>。</w:t>
      </w:r>
    </w:p>
    <w:p w:rsidR="00D20930" w:rsidRPr="00D630D1" w:rsidRDefault="001D3F0F" w:rsidP="001D3F0F">
      <w:pPr>
        <w:widowControl/>
        <w:topLinePunct w:val="0"/>
        <w:snapToGrid w:val="0"/>
        <w:spacing w:line="331" w:lineRule="auto"/>
        <w:ind w:firstLineChars="83" w:firstLine="199"/>
        <w:jc w:val="center"/>
        <w:rPr>
          <w:rFonts w:hAnsi="宋体" w:cs="Times New Roman"/>
          <w:kern w:val="2"/>
        </w:rPr>
      </w:pPr>
      <w:r w:rsidRPr="00D630D1">
        <w:rPr>
          <w:rFonts w:hAnsi="宋体" w:cs="Times New Roman"/>
          <w:noProof/>
          <w:kern w:val="2"/>
        </w:rPr>
        <w:lastRenderedPageBreak/>
        <w:drawing>
          <wp:inline distT="0" distB="0" distL="0" distR="0">
            <wp:extent cx="4332817" cy="4520934"/>
            <wp:effectExtent l="19050" t="0" r="0" b="0"/>
            <wp:docPr id="12" name="图片 100" descr="C:\Users\HUANG\Documents\WeChat Files\wxid_f0asumrra2c221\FileStorage\Temp\1660707883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HUANG\Documents\WeChat Files\wxid_f0asumrra2c221\FileStorage\Temp\1660707883372.jpg"/>
                    <pic:cNvPicPr>
                      <a:picLocks noChangeAspect="1" noChangeArrowheads="1"/>
                    </pic:cNvPicPr>
                  </pic:nvPicPr>
                  <pic:blipFill>
                    <a:blip r:embed="rId125" cstate="print"/>
                    <a:srcRect/>
                    <a:stretch>
                      <a:fillRect/>
                    </a:stretch>
                  </pic:blipFill>
                  <pic:spPr bwMode="auto">
                    <a:xfrm>
                      <a:off x="0" y="0"/>
                      <a:ext cx="4332794" cy="4520910"/>
                    </a:xfrm>
                    <a:prstGeom prst="rect">
                      <a:avLst/>
                    </a:prstGeom>
                    <a:noFill/>
                    <a:ln w="9525">
                      <a:noFill/>
                      <a:miter lim="800000"/>
                      <a:headEnd/>
                      <a:tailEnd/>
                    </a:ln>
                  </pic:spPr>
                </pic:pic>
              </a:graphicData>
            </a:graphic>
          </wp:inline>
        </w:drawing>
      </w:r>
    </w:p>
    <w:p w:rsidR="00D20930" w:rsidRPr="00D630D1" w:rsidRDefault="00D20930" w:rsidP="00D20930">
      <w:pPr>
        <w:pStyle w:val="a1"/>
        <w:ind w:firstLineChars="0" w:firstLine="0"/>
        <w:jc w:val="center"/>
        <w:rPr>
          <w:rFonts w:ascii="Times New Roman" w:cs="Times New Roman"/>
        </w:rPr>
      </w:pPr>
      <w:bookmarkStart w:id="557" w:name="_Ref473012051"/>
      <w:r w:rsidRPr="00D630D1">
        <w:rPr>
          <w:rFonts w:ascii="Times New Roman" w:cs="Times New Roman" w:hint="eastAsia"/>
          <w:kern w:val="2"/>
          <w:sz w:val="21"/>
          <w:szCs w:val="22"/>
        </w:rPr>
        <w:t>图</w:t>
      </w:r>
      <w:r w:rsidR="001D3F0F" w:rsidRPr="00D630D1">
        <w:rPr>
          <w:rFonts w:ascii="Times New Roman" w:cs="Times New Roman" w:hint="eastAsia"/>
          <w:kern w:val="2"/>
          <w:sz w:val="21"/>
          <w:szCs w:val="22"/>
        </w:rPr>
        <w:t>7</w:t>
      </w:r>
      <w:r w:rsidRPr="00D630D1">
        <w:rPr>
          <w:rFonts w:ascii="Times New Roman" w:cs="Times New Roman"/>
          <w:kern w:val="2"/>
          <w:sz w:val="21"/>
          <w:szCs w:val="22"/>
        </w:rPr>
        <w:noBreakHyphen/>
      </w:r>
      <w:r w:rsidR="009913C3" w:rsidRPr="00D630D1">
        <w:rPr>
          <w:rFonts w:ascii="Times New Roman" w:cs="Times New Roman"/>
          <w:kern w:val="2"/>
          <w:sz w:val="21"/>
          <w:szCs w:val="22"/>
        </w:rPr>
        <w:fldChar w:fldCharType="begin"/>
      </w:r>
      <w:r w:rsidRPr="00D630D1">
        <w:rPr>
          <w:rFonts w:ascii="Times New Roman" w:cs="Times New Roman"/>
          <w:kern w:val="2"/>
          <w:sz w:val="21"/>
          <w:szCs w:val="22"/>
        </w:rPr>
        <w:instrText xml:space="preserve"> </w:instrText>
      </w:r>
      <w:r w:rsidRPr="00D630D1">
        <w:rPr>
          <w:rFonts w:ascii="Times New Roman" w:cs="Times New Roman" w:hint="eastAsia"/>
          <w:kern w:val="2"/>
          <w:sz w:val="21"/>
          <w:szCs w:val="22"/>
        </w:rPr>
        <w:instrText xml:space="preserve">SEQ </w:instrText>
      </w:r>
      <w:r w:rsidRPr="00D630D1">
        <w:rPr>
          <w:rFonts w:ascii="Times New Roman" w:cs="Times New Roman" w:hint="eastAsia"/>
          <w:kern w:val="2"/>
          <w:sz w:val="21"/>
          <w:szCs w:val="22"/>
        </w:rPr>
        <w:instrText>图</w:instrText>
      </w:r>
      <w:r w:rsidRPr="00D630D1">
        <w:rPr>
          <w:rFonts w:ascii="Times New Roman" w:cs="Times New Roman" w:hint="eastAsia"/>
          <w:kern w:val="2"/>
          <w:sz w:val="21"/>
          <w:szCs w:val="22"/>
        </w:rPr>
        <w:instrText xml:space="preserve"> \* ARABIC \s 1</w:instrText>
      </w:r>
      <w:r w:rsidRPr="00D630D1">
        <w:rPr>
          <w:rFonts w:ascii="Times New Roman" w:cs="Times New Roman"/>
          <w:kern w:val="2"/>
          <w:sz w:val="21"/>
          <w:szCs w:val="22"/>
        </w:rPr>
        <w:instrText xml:space="preserve"> </w:instrText>
      </w:r>
      <w:r w:rsidR="009913C3" w:rsidRPr="00D630D1">
        <w:rPr>
          <w:rFonts w:ascii="Times New Roman" w:cs="Times New Roman"/>
          <w:kern w:val="2"/>
          <w:sz w:val="21"/>
          <w:szCs w:val="22"/>
        </w:rPr>
        <w:fldChar w:fldCharType="separate"/>
      </w:r>
      <w:r w:rsidRPr="00D630D1">
        <w:rPr>
          <w:rFonts w:ascii="Times New Roman" w:cs="Times New Roman"/>
          <w:noProof/>
          <w:kern w:val="2"/>
          <w:sz w:val="21"/>
          <w:szCs w:val="22"/>
        </w:rPr>
        <w:t>1</w:t>
      </w:r>
      <w:r w:rsidR="009913C3" w:rsidRPr="00D630D1">
        <w:rPr>
          <w:rFonts w:ascii="Times New Roman" w:cs="Times New Roman"/>
          <w:kern w:val="2"/>
          <w:sz w:val="21"/>
          <w:szCs w:val="22"/>
        </w:rPr>
        <w:fldChar w:fldCharType="end"/>
      </w:r>
      <w:bookmarkEnd w:id="557"/>
      <w:r w:rsidRPr="00D630D1">
        <w:rPr>
          <w:rFonts w:ascii="Times New Roman" w:cs="Times New Roman"/>
          <w:kern w:val="2"/>
          <w:sz w:val="21"/>
          <w:szCs w:val="22"/>
        </w:rPr>
        <w:t xml:space="preserve"> </w:t>
      </w:r>
      <w:r w:rsidRPr="00D630D1">
        <w:rPr>
          <w:rFonts w:ascii="Times New Roman" w:cs="Times New Roman" w:hint="eastAsia"/>
          <w:kern w:val="2"/>
          <w:sz w:val="21"/>
          <w:szCs w:val="22"/>
        </w:rPr>
        <w:t xml:space="preserve"> </w:t>
      </w:r>
      <w:r w:rsidRPr="00D630D1">
        <w:rPr>
          <w:rFonts w:ascii="Times New Roman" w:cs="Times New Roman" w:hint="eastAsia"/>
          <w:kern w:val="2"/>
          <w:sz w:val="21"/>
          <w:szCs w:val="22"/>
        </w:rPr>
        <w:t>井喷事故事件树</w:t>
      </w:r>
    </w:p>
    <w:p w:rsidR="00D20930" w:rsidRPr="00D630D1" w:rsidRDefault="001D3F0F" w:rsidP="001D3F0F">
      <w:pPr>
        <w:pStyle w:val="a1"/>
        <w:ind w:firstLine="480"/>
        <w:rPr>
          <w:rFonts w:ascii="Times New Roman" w:cs="Times New Roman"/>
        </w:rPr>
      </w:pPr>
      <w:r w:rsidRPr="00D630D1">
        <w:rPr>
          <w:rFonts w:ascii="Times New Roman" w:cs="Times New Roman" w:hint="eastAsia"/>
        </w:rPr>
        <w:t>据不完全统计，在油气勘探开发的</w:t>
      </w:r>
      <w:r w:rsidRPr="00D630D1">
        <w:rPr>
          <w:rFonts w:ascii="Times New Roman" w:cs="Times New Roman" w:hint="eastAsia"/>
        </w:rPr>
        <w:t>40</w:t>
      </w:r>
      <w:r w:rsidRPr="00D630D1">
        <w:rPr>
          <w:rFonts w:ascii="Times New Roman" w:cs="Times New Roman" w:hint="eastAsia"/>
        </w:rPr>
        <w:t>年间（</w:t>
      </w:r>
      <w:r w:rsidRPr="00D630D1">
        <w:rPr>
          <w:rFonts w:ascii="Times New Roman" w:cs="Times New Roman" w:hint="eastAsia"/>
        </w:rPr>
        <w:t>1950</w:t>
      </w:r>
      <w:r w:rsidRPr="00D630D1">
        <w:rPr>
          <w:rFonts w:ascii="Times New Roman" w:cs="Times New Roman" w:hint="eastAsia"/>
        </w:rPr>
        <w:t>年～</w:t>
      </w:r>
      <w:r w:rsidRPr="00D630D1">
        <w:rPr>
          <w:rFonts w:ascii="Times New Roman" w:cs="Times New Roman" w:hint="eastAsia"/>
        </w:rPr>
        <w:t>1990</w:t>
      </w:r>
      <w:r w:rsidRPr="00D630D1">
        <w:rPr>
          <w:rFonts w:ascii="Times New Roman" w:cs="Times New Roman" w:hint="eastAsia"/>
        </w:rPr>
        <w:t>年），累计发生井喷失控事故</w:t>
      </w:r>
      <w:r w:rsidRPr="00D630D1">
        <w:rPr>
          <w:rFonts w:ascii="Times New Roman" w:cs="Times New Roman" w:hint="eastAsia"/>
        </w:rPr>
        <w:t>230</w:t>
      </w:r>
      <w:r w:rsidRPr="00D630D1">
        <w:rPr>
          <w:rFonts w:ascii="Times New Roman" w:cs="Times New Roman" w:hint="eastAsia"/>
        </w:rPr>
        <w:t>次，占完井总数的</w:t>
      </w:r>
      <w:r w:rsidRPr="00D630D1">
        <w:rPr>
          <w:rFonts w:ascii="Times New Roman" w:cs="Times New Roman" w:hint="eastAsia"/>
        </w:rPr>
        <w:t>2.41</w:t>
      </w:r>
      <w:r w:rsidRPr="00D630D1">
        <w:rPr>
          <w:rFonts w:ascii="Times New Roman" w:cs="Times New Roman" w:hint="eastAsia"/>
        </w:rPr>
        <w:t>‰，其中，井喷失控着火</w:t>
      </w:r>
      <w:r w:rsidRPr="00D630D1">
        <w:rPr>
          <w:rFonts w:ascii="Times New Roman" w:cs="Times New Roman" w:hint="eastAsia"/>
        </w:rPr>
        <w:t>78</w:t>
      </w:r>
      <w:r w:rsidRPr="00D630D1">
        <w:rPr>
          <w:rFonts w:ascii="Times New Roman" w:cs="Times New Roman" w:hint="eastAsia"/>
        </w:rPr>
        <w:t>次，占井喷失控总数的</w:t>
      </w:r>
      <w:r w:rsidRPr="00D630D1">
        <w:rPr>
          <w:rFonts w:ascii="Times New Roman" w:cs="Times New Roman" w:hint="eastAsia"/>
        </w:rPr>
        <w:t>34%</w:t>
      </w:r>
      <w:r w:rsidRPr="00D630D1">
        <w:rPr>
          <w:rFonts w:ascii="Times New Roman" w:cs="Times New Roman" w:hint="eastAsia"/>
        </w:rPr>
        <w:t>，因此，井喷失控的事故率约为</w:t>
      </w:r>
      <w:r w:rsidRPr="00D630D1">
        <w:rPr>
          <w:rFonts w:ascii="Times New Roman" w:cs="Times New Roman" w:hint="eastAsia"/>
        </w:rPr>
        <w:t>0.603</w:t>
      </w:r>
      <w:r w:rsidRPr="00D630D1">
        <w:rPr>
          <w:rFonts w:ascii="Times New Roman" w:cs="Times New Roman" w:hint="eastAsia"/>
        </w:rPr>
        <w:t>×</w:t>
      </w:r>
      <w:r w:rsidRPr="00D630D1">
        <w:rPr>
          <w:rFonts w:ascii="Times New Roman" w:cs="Times New Roman" w:hint="eastAsia"/>
        </w:rPr>
        <w:t>10</w:t>
      </w:r>
      <w:r w:rsidRPr="00D630D1">
        <w:rPr>
          <w:rFonts w:ascii="Times New Roman" w:cs="Times New Roman" w:hint="eastAsia"/>
          <w:vertAlign w:val="superscript"/>
        </w:rPr>
        <w:t>-4</w:t>
      </w:r>
      <w:r w:rsidRPr="00D630D1">
        <w:rPr>
          <w:rFonts w:ascii="Times New Roman" w:cs="Times New Roman" w:hint="eastAsia"/>
        </w:rPr>
        <w:t>次</w:t>
      </w:r>
      <w:r w:rsidRPr="00D630D1">
        <w:rPr>
          <w:rFonts w:ascii="Times New Roman" w:cs="Times New Roman" w:hint="eastAsia"/>
        </w:rPr>
        <w:t>/</w:t>
      </w:r>
      <w:r w:rsidRPr="00D630D1">
        <w:rPr>
          <w:rFonts w:ascii="Times New Roman" w:cs="Times New Roman" w:hint="eastAsia"/>
        </w:rPr>
        <w:t>年，其中井喷失控着火的事故率约为</w:t>
      </w:r>
      <w:r w:rsidRPr="00D630D1">
        <w:rPr>
          <w:rFonts w:ascii="Times New Roman" w:cs="Times New Roman" w:hint="eastAsia"/>
        </w:rPr>
        <w:t>0.203</w:t>
      </w:r>
      <w:r w:rsidRPr="00D630D1">
        <w:rPr>
          <w:rFonts w:ascii="Times New Roman" w:cs="Times New Roman" w:hint="eastAsia"/>
        </w:rPr>
        <w:t>×</w:t>
      </w:r>
      <w:r w:rsidRPr="00D630D1">
        <w:rPr>
          <w:rFonts w:ascii="Times New Roman" w:cs="Times New Roman" w:hint="eastAsia"/>
        </w:rPr>
        <w:t>10</w:t>
      </w:r>
      <w:r w:rsidRPr="00D630D1">
        <w:rPr>
          <w:rFonts w:ascii="Times New Roman" w:cs="Times New Roman" w:hint="eastAsia"/>
          <w:vertAlign w:val="superscript"/>
        </w:rPr>
        <w:t>-4</w:t>
      </w:r>
      <w:r w:rsidRPr="00D630D1">
        <w:rPr>
          <w:rFonts w:ascii="Times New Roman" w:cs="Times New Roman" w:hint="eastAsia"/>
        </w:rPr>
        <w:t>次</w:t>
      </w:r>
      <w:r w:rsidRPr="00D630D1">
        <w:rPr>
          <w:rFonts w:ascii="Times New Roman" w:cs="Times New Roman" w:hint="eastAsia"/>
        </w:rPr>
        <w:t>/</w:t>
      </w:r>
      <w:r w:rsidRPr="00D630D1">
        <w:rPr>
          <w:rFonts w:ascii="Times New Roman" w:cs="Times New Roman" w:hint="eastAsia"/>
        </w:rPr>
        <w:t>年，未着火的事故率约为</w:t>
      </w:r>
      <w:r w:rsidRPr="00D630D1">
        <w:rPr>
          <w:rFonts w:ascii="Times New Roman" w:cs="Times New Roman" w:hint="eastAsia"/>
        </w:rPr>
        <w:t>0.4</w:t>
      </w:r>
      <w:r w:rsidRPr="00D630D1">
        <w:rPr>
          <w:rFonts w:ascii="Times New Roman" w:cs="Times New Roman" w:hint="eastAsia"/>
        </w:rPr>
        <w:t>×</w:t>
      </w:r>
      <w:r w:rsidRPr="00D630D1">
        <w:rPr>
          <w:rFonts w:ascii="Times New Roman" w:cs="Times New Roman" w:hint="eastAsia"/>
        </w:rPr>
        <w:t>10</w:t>
      </w:r>
      <w:r w:rsidRPr="00D630D1">
        <w:rPr>
          <w:rFonts w:ascii="Times New Roman" w:cs="Times New Roman" w:hint="eastAsia"/>
          <w:vertAlign w:val="superscript"/>
        </w:rPr>
        <w:t>-4</w:t>
      </w:r>
      <w:r w:rsidRPr="00D630D1">
        <w:rPr>
          <w:rFonts w:ascii="Times New Roman" w:cs="Times New Roman" w:hint="eastAsia"/>
        </w:rPr>
        <w:t>次</w:t>
      </w:r>
      <w:r w:rsidRPr="00D630D1">
        <w:rPr>
          <w:rFonts w:ascii="Times New Roman" w:cs="Times New Roman" w:hint="eastAsia"/>
        </w:rPr>
        <w:t>/</w:t>
      </w:r>
      <w:r w:rsidRPr="00D630D1">
        <w:rPr>
          <w:rFonts w:ascii="Times New Roman" w:cs="Times New Roman" w:hint="eastAsia"/>
        </w:rPr>
        <w:t>年，其中井喷事故未着火的多数为非含硫气田开发。</w:t>
      </w:r>
    </w:p>
    <w:p w:rsidR="00214E53" w:rsidRPr="00D630D1" w:rsidRDefault="001D3F0F" w:rsidP="00214E53">
      <w:pPr>
        <w:pStyle w:val="a1"/>
        <w:ind w:firstLine="482"/>
        <w:rPr>
          <w:rFonts w:ascii="Times New Roman" w:cs="Times New Roman"/>
          <w:b/>
        </w:rPr>
      </w:pPr>
      <w:r w:rsidRPr="00D630D1">
        <w:rPr>
          <w:rFonts w:ascii="Times New Roman" w:cs="Times New Roman" w:hint="eastAsia"/>
          <w:b/>
        </w:rPr>
        <w:t>2</w:t>
      </w:r>
      <w:r w:rsidR="00214E53" w:rsidRPr="00D630D1">
        <w:rPr>
          <w:rFonts w:ascii="Times New Roman" w:cs="Times New Roman"/>
          <w:b/>
        </w:rPr>
        <w:t>、</w:t>
      </w:r>
      <w:r w:rsidR="00112504" w:rsidRPr="00D630D1">
        <w:rPr>
          <w:rFonts w:ascii="Times New Roman" w:cs="Times New Roman"/>
          <w:b/>
        </w:rPr>
        <w:t>天然气</w:t>
      </w:r>
      <w:r w:rsidR="00F2763B" w:rsidRPr="00D630D1">
        <w:rPr>
          <w:rFonts w:ascii="Times New Roman" w:cs="Times New Roman"/>
          <w:b/>
        </w:rPr>
        <w:t>管道</w:t>
      </w:r>
      <w:r w:rsidR="00112504" w:rsidRPr="00D630D1">
        <w:rPr>
          <w:rFonts w:ascii="Times New Roman" w:cs="Times New Roman"/>
          <w:b/>
        </w:rPr>
        <w:t>泄漏风险事故</w:t>
      </w:r>
    </w:p>
    <w:p w:rsidR="00112504" w:rsidRPr="00D630D1" w:rsidRDefault="00112504" w:rsidP="00112504">
      <w:pPr>
        <w:pStyle w:val="afa"/>
        <w:ind w:firstLine="480"/>
      </w:pPr>
      <w:r w:rsidRPr="00D630D1">
        <w:t>根据《建设项目环境风险评价技术导则》（</w:t>
      </w:r>
      <w:r w:rsidRPr="00D630D1">
        <w:t>HJ169-2018</w:t>
      </w:r>
      <w:r w:rsidRPr="00D630D1">
        <w:t>）中附录</w:t>
      </w:r>
      <w:r w:rsidRPr="00D630D1">
        <w:t>E</w:t>
      </w:r>
      <w:r w:rsidRPr="00D630D1">
        <w:t>，</w:t>
      </w:r>
      <w:r w:rsidRPr="00D630D1">
        <w:t>75mm</w:t>
      </w:r>
      <w:r w:rsidRPr="00D630D1">
        <w:t>＜内径</w:t>
      </w:r>
      <w:r w:rsidRPr="00D630D1">
        <w:t>≤150mm</w:t>
      </w:r>
      <w:r w:rsidR="001205FA" w:rsidRPr="00D630D1">
        <w:t>的管道，当泄漏</w:t>
      </w:r>
      <w:r w:rsidRPr="00D630D1">
        <w:t>孔径为</w:t>
      </w:r>
      <w:r w:rsidRPr="00D630D1">
        <w:t>10%</w:t>
      </w:r>
      <w:r w:rsidRPr="00D630D1">
        <w:t>孔径时，泄漏频率为</w:t>
      </w:r>
      <w:r w:rsidRPr="00D630D1">
        <w:t>2.0×10</w:t>
      </w:r>
      <w:r w:rsidRPr="00D630D1">
        <w:rPr>
          <w:vertAlign w:val="superscript"/>
        </w:rPr>
        <w:t>-6</w:t>
      </w:r>
      <w:r w:rsidRPr="00D630D1">
        <w:t>/</w:t>
      </w:r>
      <w:r w:rsidR="00E51D3B" w:rsidRPr="00D630D1">
        <w:rPr>
          <w:rFonts w:hint="eastAsia"/>
        </w:rPr>
        <w:t>（</w:t>
      </w:r>
      <w:r w:rsidR="00E51D3B" w:rsidRPr="00D630D1">
        <w:t>m·a</w:t>
      </w:r>
      <w:r w:rsidR="00E51D3B" w:rsidRPr="00D630D1">
        <w:rPr>
          <w:rFonts w:hint="eastAsia"/>
        </w:rPr>
        <w:t>）</w:t>
      </w:r>
      <w:r w:rsidRPr="00D630D1">
        <w:t>；全管径泄漏时，泄漏频率为</w:t>
      </w:r>
      <w:r w:rsidRPr="00D630D1">
        <w:t>1.0×10</w:t>
      </w:r>
      <w:r w:rsidRPr="00D630D1">
        <w:rPr>
          <w:vertAlign w:val="superscript"/>
        </w:rPr>
        <w:t>-6</w:t>
      </w:r>
      <w:r w:rsidRPr="00D630D1">
        <w:t>/</w:t>
      </w:r>
      <w:r w:rsidR="00E51D3B" w:rsidRPr="00D630D1">
        <w:rPr>
          <w:rFonts w:hint="eastAsia"/>
        </w:rPr>
        <w:t>（</w:t>
      </w:r>
      <w:r w:rsidR="00E51D3B" w:rsidRPr="00D630D1">
        <w:t>m·a</w:t>
      </w:r>
      <w:r w:rsidR="00E51D3B" w:rsidRPr="00D630D1">
        <w:rPr>
          <w:rFonts w:hint="eastAsia"/>
        </w:rPr>
        <w:t>）</w:t>
      </w:r>
      <w:r w:rsidRPr="00D630D1">
        <w:t>。</w:t>
      </w:r>
    </w:p>
    <w:p w:rsidR="00112504" w:rsidRPr="00D630D1" w:rsidRDefault="00112504" w:rsidP="00112504">
      <w:pPr>
        <w:pStyle w:val="afa"/>
        <w:ind w:firstLine="480"/>
      </w:pPr>
      <w:r w:rsidRPr="00D630D1">
        <w:t>本项目风险管线全长</w:t>
      </w:r>
      <w:r w:rsidR="00F2713C">
        <w:rPr>
          <w:rFonts w:hint="eastAsia"/>
        </w:rPr>
        <w:t>3.98</w:t>
      </w:r>
      <w:r w:rsidRPr="00D630D1">
        <w:t>km</w:t>
      </w:r>
      <w:r w:rsidRPr="00D630D1">
        <w:t>，</w:t>
      </w:r>
      <w:r w:rsidR="00F2713C" w:rsidRPr="00F2713C">
        <w:t>普光</w:t>
      </w:r>
      <w:r w:rsidR="00F2713C" w:rsidRPr="00F2713C">
        <w:t>12</w:t>
      </w:r>
      <w:r w:rsidR="00F2713C" w:rsidRPr="00F2713C">
        <w:t>采气站</w:t>
      </w:r>
      <w:r w:rsidR="00F2713C" w:rsidRPr="00F2713C">
        <w:t>~</w:t>
      </w:r>
      <w:r w:rsidR="00F2713C" w:rsidRPr="00F2713C">
        <w:rPr>
          <w:rFonts w:hint="eastAsia"/>
        </w:rPr>
        <w:t>普陆</w:t>
      </w:r>
      <w:r w:rsidR="00F2713C" w:rsidRPr="00F2713C">
        <w:rPr>
          <w:rFonts w:hint="eastAsia"/>
        </w:rPr>
        <w:t>3</w:t>
      </w:r>
      <w:r w:rsidR="00F2713C" w:rsidRPr="00F2713C">
        <w:rPr>
          <w:rFonts w:hint="eastAsia"/>
        </w:rPr>
        <w:t>集气站集气管道</w:t>
      </w:r>
      <w:r w:rsidRPr="00D630D1">
        <w:t>管径为</w:t>
      </w:r>
      <w:r w:rsidR="00F2713C">
        <w:rPr>
          <w:rFonts w:hint="eastAsia"/>
        </w:rPr>
        <w:t>200</w:t>
      </w:r>
      <w:r w:rsidRPr="00D630D1">
        <w:t>mm</w:t>
      </w:r>
      <w:r w:rsidRPr="00D630D1">
        <w:t>、</w:t>
      </w:r>
      <w:r w:rsidR="00F2713C" w:rsidRPr="00F2713C">
        <w:rPr>
          <w:rFonts w:hint="eastAsia"/>
        </w:rPr>
        <w:t>普陆</w:t>
      </w:r>
      <w:r w:rsidR="00F2713C" w:rsidRPr="00F2713C">
        <w:rPr>
          <w:rFonts w:hint="eastAsia"/>
        </w:rPr>
        <w:t>3</w:t>
      </w:r>
      <w:r w:rsidR="00F2713C" w:rsidRPr="00F2713C">
        <w:rPr>
          <w:rFonts w:hint="eastAsia"/>
        </w:rPr>
        <w:t>集气站集气管</w:t>
      </w:r>
      <w:r w:rsidR="00F2713C" w:rsidRPr="00F2713C">
        <w:t>~</w:t>
      </w:r>
      <w:r w:rsidR="00F2713C">
        <w:rPr>
          <w:rFonts w:hint="eastAsia"/>
        </w:rPr>
        <w:t>P105</w:t>
      </w:r>
      <w:r w:rsidR="00F2713C" w:rsidRPr="00F2713C">
        <w:rPr>
          <w:rFonts w:hint="eastAsia"/>
        </w:rPr>
        <w:t>集气管道</w:t>
      </w:r>
      <w:r w:rsidRPr="00D630D1">
        <w:t>管径为</w:t>
      </w:r>
      <w:r w:rsidR="00F2713C">
        <w:rPr>
          <w:rFonts w:hint="eastAsia"/>
        </w:rPr>
        <w:t>15</w:t>
      </w:r>
      <w:r w:rsidR="00925ADD">
        <w:rPr>
          <w:rFonts w:hint="eastAsia"/>
        </w:rPr>
        <w:t>0</w:t>
      </w:r>
      <w:r w:rsidRPr="00D630D1">
        <w:t>mm</w:t>
      </w:r>
      <w:r w:rsidR="001205FA" w:rsidRPr="00D630D1">
        <w:t>，因此当泄漏</w:t>
      </w:r>
      <w:r w:rsidRPr="00D630D1">
        <w:t>孔径为</w:t>
      </w:r>
      <w:r w:rsidRPr="00D630D1">
        <w:t>10%</w:t>
      </w:r>
      <w:r w:rsidRPr="00D630D1">
        <w:t>孔径时泄</w:t>
      </w:r>
      <w:r w:rsidR="001205FA" w:rsidRPr="00D630D1">
        <w:rPr>
          <w:rFonts w:hint="eastAsia"/>
        </w:rPr>
        <w:t>漏</w:t>
      </w:r>
      <w:r w:rsidRPr="00D630D1">
        <w:t>频率为</w:t>
      </w:r>
      <w:r w:rsidRPr="00D630D1">
        <w:t>0.0</w:t>
      </w:r>
      <w:r w:rsidR="00F2713C">
        <w:rPr>
          <w:rFonts w:hint="eastAsia"/>
        </w:rPr>
        <w:t>35</w:t>
      </w:r>
      <w:r w:rsidRPr="00D630D1">
        <w:t>/a</w:t>
      </w:r>
      <w:r w:rsidRPr="00D630D1">
        <w:t>，表明本项目在营运期存在发生泄漏事故的概率较小。本工程无论从管材、防腐还是施工工艺方面，都达到了先进水平，另</w:t>
      </w:r>
      <w:r w:rsidRPr="00D630D1">
        <w:lastRenderedPageBreak/>
        <w:t>外还必须最大限度地降低外部干扰、施工缺陷及材料失效等方面事故原因出现的可能，使管道能够安全平稳地营运。</w:t>
      </w:r>
    </w:p>
    <w:p w:rsidR="00112504" w:rsidRPr="00D630D1" w:rsidRDefault="001D3F0F" w:rsidP="00112504">
      <w:pPr>
        <w:pStyle w:val="afa"/>
        <w:ind w:firstLine="482"/>
        <w:rPr>
          <w:b/>
          <w:bCs/>
        </w:rPr>
      </w:pPr>
      <w:r w:rsidRPr="00D630D1">
        <w:rPr>
          <w:rFonts w:hint="eastAsia"/>
          <w:b/>
          <w:bCs/>
        </w:rPr>
        <w:t>3</w:t>
      </w:r>
      <w:r w:rsidR="00E33968" w:rsidRPr="00D630D1">
        <w:rPr>
          <w:b/>
          <w:bCs/>
        </w:rPr>
        <w:t>、</w:t>
      </w:r>
      <w:r w:rsidRPr="00D630D1">
        <w:rPr>
          <w:b/>
          <w:bCs/>
        </w:rPr>
        <w:t>天然气管道</w:t>
      </w:r>
      <w:r w:rsidR="00112504" w:rsidRPr="00D630D1">
        <w:rPr>
          <w:b/>
          <w:bCs/>
        </w:rPr>
        <w:t>火灾、爆炸风险事故</w:t>
      </w:r>
    </w:p>
    <w:p w:rsidR="00112504" w:rsidRPr="00D630D1" w:rsidRDefault="00112504" w:rsidP="00112504">
      <w:pPr>
        <w:pStyle w:val="afa"/>
        <w:ind w:firstLine="480"/>
      </w:pPr>
      <w:r w:rsidRPr="00D630D1">
        <w:t>据美国和欧洲的统计：管道大孔泄漏事故引起火灾的可能性为</w:t>
      </w:r>
      <w:r w:rsidRPr="00D630D1">
        <w:t>2.7%</w:t>
      </w:r>
      <w:r w:rsidRPr="00D630D1">
        <w:t>，小孔事故引起火灾的可能性为</w:t>
      </w:r>
      <w:r w:rsidRPr="00D630D1">
        <w:t>1.6%</w:t>
      </w:r>
      <w:r w:rsidRPr="00D630D1">
        <w:t>，管径小于</w:t>
      </w:r>
      <w:r w:rsidRPr="00D630D1">
        <w:t>406mm</w:t>
      </w:r>
      <w:r w:rsidRPr="00D630D1">
        <w:t>的管道破裂后火灾的可能性为</w:t>
      </w:r>
      <w:r w:rsidRPr="00D630D1">
        <w:t>4.9%</w:t>
      </w:r>
      <w:r w:rsidRPr="00D630D1">
        <w:t>，管径大于</w:t>
      </w:r>
      <w:r w:rsidRPr="00D630D1">
        <w:t>406mm</w:t>
      </w:r>
      <w:r w:rsidRPr="00D630D1">
        <w:t>的管道破裂后火灾的可能性为</w:t>
      </w:r>
      <w:r w:rsidRPr="00D630D1">
        <w:t>35.3%</w:t>
      </w:r>
      <w:r w:rsidRPr="00D630D1">
        <w:t>。</w:t>
      </w:r>
    </w:p>
    <w:p w:rsidR="00112504" w:rsidRPr="00D630D1" w:rsidRDefault="00112504" w:rsidP="00112504">
      <w:pPr>
        <w:pStyle w:val="afa"/>
        <w:ind w:firstLine="480"/>
      </w:pPr>
      <w:r w:rsidRPr="00D630D1">
        <w:t>因此，本管道工程的火灾、爆炸事故概率见表</w:t>
      </w:r>
      <w:r w:rsidRPr="00D630D1">
        <w:t>7.7-1</w:t>
      </w:r>
      <w:r w:rsidRPr="00D630D1">
        <w:t>。</w:t>
      </w:r>
    </w:p>
    <w:p w:rsidR="00112504" w:rsidRPr="00D630D1" w:rsidRDefault="00112504" w:rsidP="00112504">
      <w:pPr>
        <w:pStyle w:val="TOC11"/>
        <w:rPr>
          <w:rFonts w:eastAsia="宋体"/>
        </w:rPr>
      </w:pPr>
      <w:r w:rsidRPr="00D630D1">
        <w:rPr>
          <w:rFonts w:eastAsia="宋体"/>
        </w:rPr>
        <w:t>表</w:t>
      </w:r>
      <w:r w:rsidRPr="00D630D1">
        <w:rPr>
          <w:rFonts w:eastAsia="宋体"/>
        </w:rPr>
        <w:t>7.7-</w:t>
      </w:r>
      <w:r w:rsidR="00CC46D2" w:rsidRPr="00D630D1">
        <w:rPr>
          <w:rFonts w:eastAsia="宋体"/>
        </w:rPr>
        <w:t>1</w:t>
      </w:r>
      <w:r w:rsidRPr="00D630D1">
        <w:rPr>
          <w:rFonts w:eastAsia="宋体"/>
        </w:rPr>
        <w:t xml:space="preserve">  </w:t>
      </w:r>
      <w:r w:rsidRPr="00D630D1">
        <w:rPr>
          <w:rFonts w:eastAsia="宋体"/>
        </w:rPr>
        <w:t>泄漏频率表</w:t>
      </w:r>
    </w:p>
    <w:tbl>
      <w:tblPr>
        <w:tblW w:w="5394"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tblPr>
      <w:tblGrid>
        <w:gridCol w:w="1151"/>
        <w:gridCol w:w="1164"/>
        <w:gridCol w:w="1420"/>
        <w:gridCol w:w="895"/>
        <w:gridCol w:w="1672"/>
        <w:gridCol w:w="787"/>
        <w:gridCol w:w="1932"/>
      </w:tblGrid>
      <w:tr w:rsidR="006D2FAC" w:rsidRPr="00D630D1" w:rsidTr="006D2FAC">
        <w:trPr>
          <w:trHeight w:val="268"/>
          <w:tblHeader/>
          <w:jc w:val="center"/>
        </w:trPr>
        <w:tc>
          <w:tcPr>
            <w:tcW w:w="638" w:type="pct"/>
            <w:vAlign w:val="center"/>
          </w:tcPr>
          <w:p w:rsidR="00112504" w:rsidRPr="00D630D1" w:rsidRDefault="00112504" w:rsidP="006D2FAC">
            <w:pPr>
              <w:snapToGrid w:val="0"/>
              <w:spacing w:line="240" w:lineRule="atLeast"/>
              <w:ind w:firstLineChars="0" w:firstLine="0"/>
              <w:jc w:val="center"/>
              <w:rPr>
                <w:rFonts w:ascii="Times New Roman" w:cs="Times New Roman"/>
                <w:b/>
                <w:sz w:val="21"/>
                <w:szCs w:val="21"/>
              </w:rPr>
            </w:pPr>
            <w:r w:rsidRPr="00D630D1">
              <w:rPr>
                <w:rFonts w:ascii="Times New Roman" w:cs="Times New Roman"/>
                <w:b/>
                <w:sz w:val="21"/>
                <w:szCs w:val="21"/>
              </w:rPr>
              <w:t>事故类型</w:t>
            </w:r>
          </w:p>
        </w:tc>
        <w:tc>
          <w:tcPr>
            <w:tcW w:w="645" w:type="pct"/>
            <w:vAlign w:val="center"/>
          </w:tcPr>
          <w:p w:rsidR="00112504" w:rsidRPr="00D630D1" w:rsidRDefault="00112504" w:rsidP="006D2FAC">
            <w:pPr>
              <w:snapToGrid w:val="0"/>
              <w:spacing w:line="240" w:lineRule="atLeast"/>
              <w:ind w:firstLineChars="0" w:firstLine="0"/>
              <w:jc w:val="center"/>
              <w:rPr>
                <w:rFonts w:ascii="Times New Roman" w:cs="Times New Roman"/>
                <w:b/>
                <w:sz w:val="21"/>
                <w:szCs w:val="21"/>
              </w:rPr>
            </w:pPr>
            <w:r w:rsidRPr="00D630D1">
              <w:rPr>
                <w:rFonts w:ascii="Times New Roman" w:cs="Times New Roman"/>
                <w:b/>
                <w:sz w:val="21"/>
                <w:szCs w:val="21"/>
              </w:rPr>
              <w:t>事故比例</w:t>
            </w:r>
          </w:p>
        </w:tc>
        <w:tc>
          <w:tcPr>
            <w:tcW w:w="787" w:type="pct"/>
            <w:vAlign w:val="center"/>
          </w:tcPr>
          <w:p w:rsidR="00112504" w:rsidRPr="00D630D1" w:rsidRDefault="001205FA" w:rsidP="006D2FAC">
            <w:pPr>
              <w:snapToGrid w:val="0"/>
              <w:spacing w:line="240" w:lineRule="atLeast"/>
              <w:ind w:firstLineChars="0" w:firstLine="0"/>
              <w:jc w:val="center"/>
              <w:rPr>
                <w:rFonts w:ascii="Times New Roman" w:cs="Times New Roman"/>
                <w:b/>
                <w:sz w:val="21"/>
                <w:szCs w:val="21"/>
              </w:rPr>
            </w:pPr>
            <w:r w:rsidRPr="00D630D1">
              <w:rPr>
                <w:rFonts w:ascii="Times New Roman" w:cs="Times New Roman"/>
                <w:b/>
                <w:sz w:val="21"/>
                <w:szCs w:val="21"/>
              </w:rPr>
              <w:t>泄漏</w:t>
            </w:r>
            <w:r w:rsidR="00112504" w:rsidRPr="00D630D1">
              <w:rPr>
                <w:rFonts w:ascii="Times New Roman" w:cs="Times New Roman"/>
                <w:b/>
                <w:sz w:val="21"/>
                <w:szCs w:val="21"/>
              </w:rPr>
              <w:t>事故概率次</w:t>
            </w:r>
            <w:r w:rsidR="00112504" w:rsidRPr="00D630D1">
              <w:rPr>
                <w:rFonts w:ascii="Times New Roman" w:cs="Times New Roman"/>
                <w:b/>
                <w:sz w:val="21"/>
                <w:szCs w:val="21"/>
              </w:rPr>
              <w:t>/</w:t>
            </w:r>
            <w:r w:rsidR="00112504" w:rsidRPr="00D630D1">
              <w:rPr>
                <w:rFonts w:ascii="Times New Roman" w:cs="Times New Roman"/>
                <w:b/>
                <w:sz w:val="21"/>
                <w:szCs w:val="21"/>
              </w:rPr>
              <w:t>（</w:t>
            </w:r>
            <w:r w:rsidR="00112504" w:rsidRPr="00D630D1">
              <w:rPr>
                <w:rFonts w:ascii="Times New Roman" w:cs="Times New Roman"/>
                <w:b/>
                <w:sz w:val="21"/>
                <w:szCs w:val="21"/>
              </w:rPr>
              <w:t>m·a</w:t>
            </w:r>
            <w:r w:rsidR="00112504" w:rsidRPr="00D630D1">
              <w:rPr>
                <w:rFonts w:ascii="Times New Roman" w:cs="Times New Roman"/>
                <w:b/>
                <w:sz w:val="21"/>
                <w:szCs w:val="21"/>
              </w:rPr>
              <w:t>）</w:t>
            </w:r>
          </w:p>
        </w:tc>
        <w:tc>
          <w:tcPr>
            <w:tcW w:w="496" w:type="pct"/>
            <w:vAlign w:val="center"/>
          </w:tcPr>
          <w:p w:rsidR="00112504" w:rsidRPr="00D630D1" w:rsidRDefault="00112504" w:rsidP="006D2FAC">
            <w:pPr>
              <w:snapToGrid w:val="0"/>
              <w:spacing w:line="240" w:lineRule="atLeast"/>
              <w:ind w:firstLineChars="0" w:firstLine="0"/>
              <w:jc w:val="center"/>
              <w:rPr>
                <w:rFonts w:ascii="Times New Roman" w:cs="Times New Roman"/>
                <w:b/>
                <w:sz w:val="21"/>
                <w:szCs w:val="21"/>
              </w:rPr>
            </w:pPr>
            <w:r w:rsidRPr="00D630D1">
              <w:rPr>
                <w:rFonts w:ascii="Times New Roman" w:cs="Times New Roman"/>
                <w:b/>
                <w:sz w:val="21"/>
                <w:szCs w:val="21"/>
              </w:rPr>
              <w:t>着火率</w:t>
            </w:r>
          </w:p>
        </w:tc>
        <w:tc>
          <w:tcPr>
            <w:tcW w:w="927" w:type="pct"/>
            <w:vAlign w:val="center"/>
          </w:tcPr>
          <w:p w:rsidR="00112504" w:rsidRPr="00D630D1" w:rsidRDefault="00112504" w:rsidP="006D2FAC">
            <w:pPr>
              <w:snapToGrid w:val="0"/>
              <w:spacing w:line="240" w:lineRule="atLeast"/>
              <w:ind w:firstLineChars="0" w:firstLine="0"/>
              <w:jc w:val="center"/>
              <w:rPr>
                <w:rFonts w:ascii="Times New Roman" w:cs="Times New Roman"/>
                <w:b/>
                <w:sz w:val="21"/>
                <w:szCs w:val="21"/>
              </w:rPr>
            </w:pPr>
            <w:r w:rsidRPr="00D630D1">
              <w:rPr>
                <w:rFonts w:ascii="Times New Roman" w:cs="Times New Roman"/>
                <w:b/>
                <w:sz w:val="21"/>
                <w:szCs w:val="21"/>
              </w:rPr>
              <w:t>火灾、爆炸事故概率</w:t>
            </w:r>
            <w:r w:rsidRPr="00D630D1">
              <w:rPr>
                <w:rFonts w:ascii="Times New Roman" w:cs="Times New Roman"/>
                <w:b/>
                <w:sz w:val="21"/>
                <w:szCs w:val="21"/>
              </w:rPr>
              <w:t xml:space="preserve"> </w:t>
            </w:r>
            <w:r w:rsidRPr="00D630D1">
              <w:rPr>
                <w:rFonts w:ascii="Times New Roman" w:cs="Times New Roman"/>
                <w:b/>
                <w:sz w:val="21"/>
                <w:szCs w:val="21"/>
              </w:rPr>
              <w:t>次（</w:t>
            </w:r>
            <w:r w:rsidRPr="00D630D1">
              <w:rPr>
                <w:rFonts w:ascii="Times New Roman" w:cs="Times New Roman"/>
                <w:b/>
                <w:sz w:val="21"/>
                <w:szCs w:val="21"/>
              </w:rPr>
              <w:t>/m·a</w:t>
            </w:r>
            <w:r w:rsidRPr="00D630D1">
              <w:rPr>
                <w:rFonts w:ascii="Times New Roman" w:cs="Times New Roman"/>
                <w:b/>
                <w:sz w:val="21"/>
                <w:szCs w:val="21"/>
              </w:rPr>
              <w:t>）</w:t>
            </w:r>
          </w:p>
        </w:tc>
        <w:tc>
          <w:tcPr>
            <w:tcW w:w="436" w:type="pct"/>
            <w:vAlign w:val="center"/>
          </w:tcPr>
          <w:p w:rsidR="00112504" w:rsidRPr="00D630D1" w:rsidRDefault="00112504" w:rsidP="006D2FAC">
            <w:pPr>
              <w:snapToGrid w:val="0"/>
              <w:spacing w:line="240" w:lineRule="atLeast"/>
              <w:ind w:firstLineChars="0" w:firstLine="0"/>
              <w:jc w:val="center"/>
              <w:rPr>
                <w:rFonts w:ascii="Times New Roman" w:cs="Times New Roman"/>
                <w:b/>
                <w:sz w:val="21"/>
                <w:szCs w:val="21"/>
              </w:rPr>
            </w:pPr>
            <w:r w:rsidRPr="00D630D1">
              <w:rPr>
                <w:rFonts w:ascii="Times New Roman" w:cs="Times New Roman"/>
                <w:b/>
                <w:sz w:val="21"/>
                <w:szCs w:val="21"/>
              </w:rPr>
              <w:t>管道长度</w:t>
            </w:r>
            <w:r w:rsidRPr="00D630D1">
              <w:rPr>
                <w:rFonts w:ascii="Times New Roman" w:cs="Times New Roman"/>
                <w:b/>
                <w:sz w:val="21"/>
                <w:szCs w:val="21"/>
              </w:rPr>
              <w:t>km</w:t>
            </w:r>
          </w:p>
        </w:tc>
        <w:tc>
          <w:tcPr>
            <w:tcW w:w="1071" w:type="pct"/>
            <w:vAlign w:val="center"/>
          </w:tcPr>
          <w:p w:rsidR="00112504" w:rsidRPr="00D630D1" w:rsidRDefault="00112504" w:rsidP="006D2FAC">
            <w:pPr>
              <w:snapToGrid w:val="0"/>
              <w:spacing w:line="240" w:lineRule="atLeast"/>
              <w:ind w:firstLineChars="0" w:firstLine="0"/>
              <w:jc w:val="center"/>
              <w:rPr>
                <w:rFonts w:ascii="Times New Roman" w:cs="Times New Roman"/>
                <w:b/>
                <w:sz w:val="21"/>
                <w:szCs w:val="21"/>
              </w:rPr>
            </w:pPr>
            <w:r w:rsidRPr="00D630D1">
              <w:rPr>
                <w:rFonts w:ascii="Times New Roman" w:cs="Times New Roman"/>
                <w:b/>
                <w:sz w:val="21"/>
                <w:szCs w:val="21"/>
              </w:rPr>
              <w:t>本管道工程火灾、爆炸事故概率</w:t>
            </w:r>
            <w:r w:rsidRPr="00D630D1">
              <w:rPr>
                <w:rFonts w:ascii="Times New Roman" w:cs="Times New Roman"/>
                <w:b/>
                <w:sz w:val="21"/>
                <w:szCs w:val="21"/>
              </w:rPr>
              <w:t xml:space="preserve"> </w:t>
            </w:r>
            <w:r w:rsidRPr="00D630D1">
              <w:rPr>
                <w:rFonts w:ascii="Times New Roman" w:cs="Times New Roman"/>
                <w:b/>
                <w:sz w:val="21"/>
                <w:szCs w:val="21"/>
              </w:rPr>
              <w:t>次</w:t>
            </w:r>
            <w:r w:rsidRPr="00D630D1">
              <w:rPr>
                <w:rFonts w:ascii="Times New Roman" w:cs="Times New Roman"/>
                <w:b/>
                <w:sz w:val="21"/>
                <w:szCs w:val="21"/>
              </w:rPr>
              <w:t>/a</w:t>
            </w:r>
          </w:p>
        </w:tc>
      </w:tr>
      <w:tr w:rsidR="006D2FAC" w:rsidRPr="00D630D1" w:rsidTr="006D2FAC">
        <w:trPr>
          <w:trHeight w:val="250"/>
          <w:jc w:val="center"/>
        </w:trPr>
        <w:tc>
          <w:tcPr>
            <w:tcW w:w="638"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小孔</w:t>
            </w:r>
          </w:p>
        </w:tc>
        <w:tc>
          <w:tcPr>
            <w:tcW w:w="645"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0.8</w:t>
            </w:r>
          </w:p>
        </w:tc>
        <w:tc>
          <w:tcPr>
            <w:tcW w:w="787"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2.0×10</w:t>
            </w:r>
            <w:r w:rsidRPr="00D630D1">
              <w:rPr>
                <w:rFonts w:ascii="Times New Roman" w:cs="Times New Roman"/>
                <w:sz w:val="21"/>
                <w:szCs w:val="21"/>
                <w:vertAlign w:val="superscript"/>
              </w:rPr>
              <w:t>-6</w:t>
            </w:r>
          </w:p>
        </w:tc>
        <w:tc>
          <w:tcPr>
            <w:tcW w:w="496"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0.016</w:t>
            </w:r>
          </w:p>
        </w:tc>
        <w:tc>
          <w:tcPr>
            <w:tcW w:w="927"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3.2×10</w:t>
            </w:r>
            <w:r w:rsidRPr="00D630D1">
              <w:rPr>
                <w:rFonts w:ascii="Times New Roman" w:cs="Times New Roman"/>
                <w:sz w:val="21"/>
                <w:szCs w:val="21"/>
                <w:vertAlign w:val="superscript"/>
              </w:rPr>
              <w:t>-8</w:t>
            </w:r>
          </w:p>
        </w:tc>
        <w:tc>
          <w:tcPr>
            <w:tcW w:w="436" w:type="pct"/>
            <w:vMerge w:val="restart"/>
            <w:vAlign w:val="center"/>
          </w:tcPr>
          <w:p w:rsidR="00112504" w:rsidRPr="00D630D1" w:rsidRDefault="00F2713C" w:rsidP="006D2FAC">
            <w:pPr>
              <w:snapToGrid w:val="0"/>
              <w:spacing w:line="240" w:lineRule="atLeast"/>
              <w:ind w:firstLineChars="0" w:firstLine="0"/>
              <w:jc w:val="center"/>
              <w:rPr>
                <w:rFonts w:ascii="Times New Roman" w:cs="Times New Roman"/>
                <w:sz w:val="21"/>
                <w:szCs w:val="21"/>
              </w:rPr>
            </w:pPr>
            <w:r>
              <w:rPr>
                <w:rFonts w:ascii="Times New Roman" w:cs="Times New Roman" w:hint="eastAsia"/>
                <w:sz w:val="21"/>
                <w:szCs w:val="21"/>
              </w:rPr>
              <w:t>3.98</w:t>
            </w:r>
          </w:p>
        </w:tc>
        <w:tc>
          <w:tcPr>
            <w:tcW w:w="1071" w:type="pct"/>
            <w:vAlign w:val="center"/>
          </w:tcPr>
          <w:p w:rsidR="00112504" w:rsidRPr="00D630D1" w:rsidRDefault="00E33968"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1.98×10</w:t>
            </w:r>
            <w:r w:rsidRPr="00D630D1">
              <w:rPr>
                <w:rFonts w:ascii="Times New Roman" w:cs="Times New Roman"/>
                <w:sz w:val="21"/>
                <w:szCs w:val="21"/>
                <w:vertAlign w:val="superscript"/>
              </w:rPr>
              <w:t>-4</w:t>
            </w:r>
          </w:p>
        </w:tc>
      </w:tr>
      <w:tr w:rsidR="006D2FAC" w:rsidRPr="00D630D1" w:rsidTr="006D2FAC">
        <w:trPr>
          <w:trHeight w:val="268"/>
          <w:jc w:val="center"/>
        </w:trPr>
        <w:tc>
          <w:tcPr>
            <w:tcW w:w="638"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大孔</w:t>
            </w:r>
          </w:p>
        </w:tc>
        <w:tc>
          <w:tcPr>
            <w:tcW w:w="645"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1.5</w:t>
            </w:r>
          </w:p>
        </w:tc>
        <w:tc>
          <w:tcPr>
            <w:tcW w:w="787" w:type="pct"/>
            <w:vMerge w:val="restar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1.0×10</w:t>
            </w:r>
            <w:r w:rsidRPr="00D630D1">
              <w:rPr>
                <w:rFonts w:ascii="Times New Roman" w:cs="Times New Roman"/>
                <w:sz w:val="21"/>
                <w:szCs w:val="21"/>
                <w:vertAlign w:val="superscript"/>
              </w:rPr>
              <w:t>-6</w:t>
            </w:r>
          </w:p>
        </w:tc>
        <w:tc>
          <w:tcPr>
            <w:tcW w:w="496"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0.027</w:t>
            </w:r>
          </w:p>
        </w:tc>
        <w:tc>
          <w:tcPr>
            <w:tcW w:w="927"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2.07×10</w:t>
            </w:r>
            <w:r w:rsidRPr="00D630D1">
              <w:rPr>
                <w:rFonts w:ascii="Times New Roman" w:cs="Times New Roman"/>
                <w:sz w:val="21"/>
                <w:szCs w:val="21"/>
                <w:vertAlign w:val="superscript"/>
              </w:rPr>
              <w:t>-8</w:t>
            </w:r>
          </w:p>
        </w:tc>
        <w:tc>
          <w:tcPr>
            <w:tcW w:w="436" w:type="pct"/>
            <w:vMerge/>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p>
        </w:tc>
        <w:tc>
          <w:tcPr>
            <w:tcW w:w="1071" w:type="pct"/>
            <w:vAlign w:val="center"/>
          </w:tcPr>
          <w:p w:rsidR="00112504" w:rsidRPr="00D630D1" w:rsidRDefault="00E33968"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1.28×10</w:t>
            </w:r>
            <w:r w:rsidRPr="00D630D1">
              <w:rPr>
                <w:rFonts w:ascii="Times New Roman" w:cs="Times New Roman"/>
                <w:sz w:val="21"/>
                <w:szCs w:val="21"/>
                <w:vertAlign w:val="superscript"/>
              </w:rPr>
              <w:t>-4</w:t>
            </w:r>
          </w:p>
        </w:tc>
      </w:tr>
      <w:tr w:rsidR="006D2FAC" w:rsidRPr="00D630D1" w:rsidTr="006D2FAC">
        <w:trPr>
          <w:trHeight w:val="250"/>
          <w:jc w:val="center"/>
        </w:trPr>
        <w:tc>
          <w:tcPr>
            <w:tcW w:w="638"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断裂</w:t>
            </w:r>
          </w:p>
        </w:tc>
        <w:tc>
          <w:tcPr>
            <w:tcW w:w="645"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0.5</w:t>
            </w:r>
          </w:p>
        </w:tc>
        <w:tc>
          <w:tcPr>
            <w:tcW w:w="787" w:type="pct"/>
            <w:vMerge/>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p>
        </w:tc>
        <w:tc>
          <w:tcPr>
            <w:tcW w:w="496"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0.049</w:t>
            </w:r>
          </w:p>
        </w:tc>
        <w:tc>
          <w:tcPr>
            <w:tcW w:w="927" w:type="pct"/>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4.9×10</w:t>
            </w:r>
            <w:r w:rsidRPr="00D630D1">
              <w:rPr>
                <w:rFonts w:ascii="Times New Roman" w:cs="Times New Roman"/>
                <w:sz w:val="21"/>
                <w:szCs w:val="21"/>
                <w:vertAlign w:val="superscript"/>
              </w:rPr>
              <w:t>-8</w:t>
            </w:r>
          </w:p>
        </w:tc>
        <w:tc>
          <w:tcPr>
            <w:tcW w:w="436" w:type="pct"/>
            <w:vMerge/>
            <w:vAlign w:val="center"/>
          </w:tcPr>
          <w:p w:rsidR="00112504" w:rsidRPr="00D630D1" w:rsidRDefault="00112504" w:rsidP="006D2FAC">
            <w:pPr>
              <w:snapToGrid w:val="0"/>
              <w:spacing w:line="240" w:lineRule="atLeast"/>
              <w:ind w:firstLineChars="0" w:firstLine="0"/>
              <w:jc w:val="center"/>
              <w:rPr>
                <w:rFonts w:ascii="Times New Roman" w:cs="Times New Roman"/>
                <w:sz w:val="21"/>
                <w:szCs w:val="21"/>
              </w:rPr>
            </w:pPr>
          </w:p>
        </w:tc>
        <w:tc>
          <w:tcPr>
            <w:tcW w:w="1071" w:type="pct"/>
            <w:vAlign w:val="center"/>
          </w:tcPr>
          <w:p w:rsidR="00112504" w:rsidRPr="00D630D1" w:rsidRDefault="00E33968" w:rsidP="006D2FAC">
            <w:pPr>
              <w:snapToGrid w:val="0"/>
              <w:spacing w:line="240" w:lineRule="atLeast"/>
              <w:ind w:firstLineChars="0" w:firstLine="0"/>
              <w:jc w:val="center"/>
              <w:rPr>
                <w:rFonts w:ascii="Times New Roman" w:cs="Times New Roman"/>
                <w:sz w:val="21"/>
                <w:szCs w:val="21"/>
              </w:rPr>
            </w:pPr>
            <w:r w:rsidRPr="00D630D1">
              <w:rPr>
                <w:rFonts w:ascii="Times New Roman" w:cs="Times New Roman"/>
                <w:sz w:val="21"/>
                <w:szCs w:val="21"/>
              </w:rPr>
              <w:t>3.04×10</w:t>
            </w:r>
            <w:r w:rsidRPr="00D630D1">
              <w:rPr>
                <w:rFonts w:ascii="Times New Roman" w:cs="Times New Roman"/>
                <w:sz w:val="21"/>
                <w:szCs w:val="21"/>
                <w:vertAlign w:val="superscript"/>
              </w:rPr>
              <w:t>-4</w:t>
            </w:r>
          </w:p>
        </w:tc>
      </w:tr>
    </w:tbl>
    <w:p w:rsidR="00112504" w:rsidRPr="00D630D1" w:rsidRDefault="00112504" w:rsidP="00112504">
      <w:pPr>
        <w:pStyle w:val="afa"/>
        <w:ind w:firstLine="480"/>
      </w:pPr>
      <w:r w:rsidRPr="00D630D1">
        <w:t>因此，本工程</w:t>
      </w:r>
      <w:r w:rsidR="001D3F0F" w:rsidRPr="00D630D1">
        <w:t>天然气管道火灾爆炸事故</w:t>
      </w:r>
      <w:r w:rsidRPr="00D630D1">
        <w:t>概率为</w:t>
      </w:r>
      <w:r w:rsidR="00E33968" w:rsidRPr="00D630D1">
        <w:t>3.04</w:t>
      </w:r>
      <w:r w:rsidRPr="00D630D1">
        <w:t>×10</w:t>
      </w:r>
      <w:r w:rsidRPr="00D630D1">
        <w:rPr>
          <w:vertAlign w:val="superscript"/>
        </w:rPr>
        <w:t>-4</w:t>
      </w:r>
      <w:r w:rsidRPr="00D630D1">
        <w:t>次</w:t>
      </w:r>
      <w:r w:rsidRPr="00D630D1">
        <w:t>/a</w:t>
      </w:r>
      <w:r w:rsidRPr="00D630D1">
        <w:t>，表明此类事故发生概率非常低，但是不为零。</w:t>
      </w:r>
    </w:p>
    <w:p w:rsidR="001D3F0F" w:rsidRPr="00D630D1" w:rsidRDefault="001D3F0F" w:rsidP="001D3F0F">
      <w:pPr>
        <w:pStyle w:val="afa"/>
        <w:ind w:firstLine="482"/>
        <w:rPr>
          <w:b/>
          <w:bCs/>
        </w:rPr>
      </w:pPr>
      <w:r w:rsidRPr="00D630D1">
        <w:rPr>
          <w:rFonts w:hint="eastAsia"/>
          <w:b/>
          <w:bCs/>
        </w:rPr>
        <w:t>4</w:t>
      </w:r>
      <w:r w:rsidRPr="00D630D1">
        <w:rPr>
          <w:b/>
          <w:bCs/>
        </w:rPr>
        <w:t>、</w:t>
      </w:r>
      <w:r w:rsidRPr="00D630D1">
        <w:rPr>
          <w:rFonts w:hint="eastAsia"/>
          <w:b/>
          <w:bCs/>
        </w:rPr>
        <w:t>柴油</w:t>
      </w:r>
      <w:r w:rsidRPr="00D630D1">
        <w:rPr>
          <w:b/>
          <w:bCs/>
        </w:rPr>
        <w:t>泄漏</w:t>
      </w:r>
      <w:r w:rsidRPr="00D630D1">
        <w:rPr>
          <w:rFonts w:hint="eastAsia"/>
          <w:b/>
          <w:bCs/>
        </w:rPr>
        <w:t>、</w:t>
      </w:r>
      <w:r w:rsidRPr="00D630D1">
        <w:rPr>
          <w:b/>
          <w:bCs/>
        </w:rPr>
        <w:t>火灾</w:t>
      </w:r>
    </w:p>
    <w:p w:rsidR="001D3F0F" w:rsidRDefault="001D3F0F" w:rsidP="001D3F0F">
      <w:pPr>
        <w:pStyle w:val="afa"/>
        <w:ind w:firstLine="480"/>
      </w:pPr>
      <w:r w:rsidRPr="00D630D1">
        <w:rPr>
          <w:rFonts w:hint="eastAsia"/>
        </w:rPr>
        <w:t>柴油</w:t>
      </w:r>
      <w:r w:rsidRPr="00D630D1">
        <w:t>在储存过程中，若管理不善或操作失误，以及罐体不佳或腐蚀，导致</w:t>
      </w:r>
      <w:r w:rsidRPr="00D630D1">
        <w:rPr>
          <w:rFonts w:hint="eastAsia"/>
        </w:rPr>
        <w:t>柴油</w:t>
      </w:r>
      <w:r w:rsidRPr="00D630D1">
        <w:t>泄漏</w:t>
      </w:r>
      <w:r w:rsidRPr="00D630D1">
        <w:rPr>
          <w:rFonts w:hint="eastAsia"/>
        </w:rPr>
        <w:t>、</w:t>
      </w:r>
      <w:r w:rsidRPr="00D630D1">
        <w:t>火灾，影响大气</w:t>
      </w:r>
      <w:r w:rsidRPr="00D630D1">
        <w:rPr>
          <w:rFonts w:hint="eastAsia"/>
        </w:rPr>
        <w:t>、</w:t>
      </w:r>
      <w:r w:rsidRPr="00D630D1">
        <w:t>地表水环境、土壤和地下水环境。</w:t>
      </w:r>
    </w:p>
    <w:p w:rsidR="00F2713C" w:rsidRPr="00D630D1" w:rsidRDefault="00D81528" w:rsidP="00F2713C">
      <w:pPr>
        <w:pStyle w:val="afa"/>
        <w:ind w:firstLine="482"/>
        <w:rPr>
          <w:b/>
          <w:bCs/>
        </w:rPr>
      </w:pPr>
      <w:r>
        <w:rPr>
          <w:rFonts w:hint="eastAsia"/>
          <w:b/>
          <w:bCs/>
        </w:rPr>
        <w:t>5</w:t>
      </w:r>
      <w:r w:rsidR="00F2713C" w:rsidRPr="00D630D1">
        <w:rPr>
          <w:b/>
          <w:bCs/>
        </w:rPr>
        <w:t>、</w:t>
      </w:r>
      <w:r>
        <w:rPr>
          <w:rFonts w:hint="eastAsia"/>
          <w:b/>
          <w:bCs/>
        </w:rPr>
        <w:t>凝析</w:t>
      </w:r>
      <w:r w:rsidR="00F2713C" w:rsidRPr="00D630D1">
        <w:rPr>
          <w:rFonts w:hint="eastAsia"/>
          <w:b/>
          <w:bCs/>
        </w:rPr>
        <w:t>油</w:t>
      </w:r>
      <w:r w:rsidR="00F2713C" w:rsidRPr="00D630D1">
        <w:rPr>
          <w:b/>
          <w:bCs/>
        </w:rPr>
        <w:t>泄漏</w:t>
      </w:r>
      <w:r w:rsidR="00F2713C" w:rsidRPr="00D630D1">
        <w:rPr>
          <w:rFonts w:hint="eastAsia"/>
          <w:b/>
          <w:bCs/>
        </w:rPr>
        <w:t>、</w:t>
      </w:r>
      <w:r w:rsidR="00F2713C" w:rsidRPr="00D630D1">
        <w:rPr>
          <w:b/>
          <w:bCs/>
        </w:rPr>
        <w:t>火灾</w:t>
      </w:r>
    </w:p>
    <w:p w:rsidR="00F2713C" w:rsidRPr="00D630D1" w:rsidRDefault="00D81528" w:rsidP="00D81528">
      <w:pPr>
        <w:pStyle w:val="afa"/>
        <w:ind w:firstLine="480"/>
      </w:pPr>
      <w:r w:rsidRPr="00D81528">
        <w:rPr>
          <w:rFonts w:hint="eastAsia"/>
        </w:rPr>
        <w:t>凝析</w:t>
      </w:r>
      <w:r w:rsidR="00F2713C" w:rsidRPr="00D630D1">
        <w:rPr>
          <w:rFonts w:hint="eastAsia"/>
        </w:rPr>
        <w:t>油</w:t>
      </w:r>
      <w:r w:rsidR="00F2713C" w:rsidRPr="00D630D1">
        <w:t>在储存过程中，若管理不善或操作失误，以及罐体不佳或腐蚀，导致</w:t>
      </w:r>
      <w:r w:rsidRPr="00D81528">
        <w:rPr>
          <w:rFonts w:hint="eastAsia"/>
        </w:rPr>
        <w:t>凝析</w:t>
      </w:r>
      <w:r w:rsidR="00F2713C" w:rsidRPr="00D630D1">
        <w:rPr>
          <w:rFonts w:hint="eastAsia"/>
        </w:rPr>
        <w:t>油</w:t>
      </w:r>
      <w:r w:rsidR="00F2713C" w:rsidRPr="00D630D1">
        <w:t>泄漏</w:t>
      </w:r>
      <w:r w:rsidR="00F2713C" w:rsidRPr="00D630D1">
        <w:rPr>
          <w:rFonts w:hint="eastAsia"/>
        </w:rPr>
        <w:t>、</w:t>
      </w:r>
      <w:r w:rsidR="00F2713C" w:rsidRPr="00D630D1">
        <w:t>火灾，影响大气</w:t>
      </w:r>
      <w:r w:rsidR="00F2713C" w:rsidRPr="00D630D1">
        <w:rPr>
          <w:rFonts w:hint="eastAsia"/>
        </w:rPr>
        <w:t>、</w:t>
      </w:r>
      <w:r w:rsidR="00F2713C" w:rsidRPr="00D630D1">
        <w:t>地表水环境、土壤和地下水环境。</w:t>
      </w:r>
    </w:p>
    <w:p w:rsidR="00E33968" w:rsidRPr="00D630D1" w:rsidRDefault="00D81528" w:rsidP="00E33968">
      <w:pPr>
        <w:pStyle w:val="afa"/>
        <w:ind w:firstLine="482"/>
        <w:rPr>
          <w:b/>
          <w:bCs/>
        </w:rPr>
      </w:pPr>
      <w:r>
        <w:rPr>
          <w:rFonts w:hint="eastAsia"/>
          <w:b/>
          <w:bCs/>
        </w:rPr>
        <w:t>6</w:t>
      </w:r>
      <w:r w:rsidR="004C003B" w:rsidRPr="00D630D1">
        <w:rPr>
          <w:b/>
          <w:bCs/>
        </w:rPr>
        <w:t>、</w:t>
      </w:r>
      <w:r w:rsidR="00EF360A" w:rsidRPr="00D630D1">
        <w:rPr>
          <w:rFonts w:hint="eastAsia"/>
          <w:b/>
          <w:bCs/>
        </w:rPr>
        <w:t>压裂、洗井废水</w:t>
      </w:r>
      <w:r w:rsidR="001205FA" w:rsidRPr="00D630D1">
        <w:rPr>
          <w:b/>
          <w:bCs/>
        </w:rPr>
        <w:t>泄漏</w:t>
      </w:r>
    </w:p>
    <w:p w:rsidR="00E33968" w:rsidRPr="00D630D1" w:rsidRDefault="00EF360A" w:rsidP="00E33968">
      <w:pPr>
        <w:pStyle w:val="afa"/>
        <w:ind w:firstLine="480"/>
      </w:pPr>
      <w:r w:rsidRPr="00D630D1">
        <w:rPr>
          <w:rFonts w:hint="eastAsia"/>
        </w:rPr>
        <w:t>压裂、洗井废水</w:t>
      </w:r>
      <w:r w:rsidR="00D81528">
        <w:rPr>
          <w:rFonts w:hint="eastAsia"/>
        </w:rPr>
        <w:t>、气田水</w:t>
      </w:r>
      <w:r w:rsidR="00E33968" w:rsidRPr="00D630D1">
        <w:t>在储存过程中，若管理不善或操作失误，以及罐体不佳或腐蚀，导致</w:t>
      </w:r>
      <w:r w:rsidRPr="00D630D1">
        <w:rPr>
          <w:rFonts w:hint="eastAsia"/>
        </w:rPr>
        <w:t>压裂、洗井废水</w:t>
      </w:r>
      <w:r w:rsidR="00D81528">
        <w:rPr>
          <w:rFonts w:hint="eastAsia"/>
        </w:rPr>
        <w:t>、气田水</w:t>
      </w:r>
      <w:r w:rsidR="00E33968" w:rsidRPr="00D630D1">
        <w:t>泄漏，影响地表水环境、土壤和地下水环境。</w:t>
      </w:r>
    </w:p>
    <w:p w:rsidR="00422077" w:rsidRPr="00D630D1" w:rsidRDefault="00422077" w:rsidP="00422077">
      <w:pPr>
        <w:pStyle w:val="afa"/>
        <w:ind w:firstLine="480"/>
      </w:pPr>
      <w:r w:rsidRPr="00D630D1">
        <w:rPr>
          <w:rFonts w:hint="eastAsia"/>
        </w:rPr>
        <w:t>综合考虑本项目涉及有毒有害物质中可能发生的事故及产生</w:t>
      </w:r>
      <w:r w:rsidRPr="00D630D1">
        <w:t>的影响</w:t>
      </w:r>
      <w:r w:rsidRPr="00D630D1">
        <w:rPr>
          <w:rFonts w:hint="eastAsia"/>
        </w:rPr>
        <w:t>，本次评价确定的最大可信事故主要为：井喷失控造成天然气</w:t>
      </w:r>
      <w:r w:rsidR="00D81528">
        <w:rPr>
          <w:rFonts w:hint="eastAsia"/>
        </w:rPr>
        <w:t>（不含硫）</w:t>
      </w:r>
      <w:r w:rsidRPr="00D630D1">
        <w:rPr>
          <w:rFonts w:hint="eastAsia"/>
        </w:rPr>
        <w:t>释放。</w:t>
      </w:r>
    </w:p>
    <w:p w:rsidR="00422077" w:rsidRPr="00D630D1" w:rsidRDefault="00422077" w:rsidP="00E33968">
      <w:pPr>
        <w:pStyle w:val="afa"/>
        <w:ind w:firstLine="480"/>
      </w:pPr>
    </w:p>
    <w:p w:rsidR="00422077" w:rsidRPr="00D630D1" w:rsidRDefault="00422077" w:rsidP="00422077">
      <w:pPr>
        <w:pStyle w:val="3"/>
        <w:rPr>
          <w:rFonts w:eastAsia="宋体"/>
        </w:rPr>
      </w:pPr>
      <w:r w:rsidRPr="00D630D1">
        <w:rPr>
          <w:rFonts w:eastAsia="宋体"/>
        </w:rPr>
        <w:t>7.7.</w:t>
      </w:r>
      <w:r w:rsidRPr="00D630D1">
        <w:rPr>
          <w:rFonts w:eastAsia="宋体" w:hint="eastAsia"/>
        </w:rPr>
        <w:t>3</w:t>
      </w:r>
      <w:r w:rsidRPr="00D630D1">
        <w:rPr>
          <w:rFonts w:eastAsia="宋体"/>
        </w:rPr>
        <w:t xml:space="preserve"> </w:t>
      </w:r>
      <w:r w:rsidRPr="00D630D1">
        <w:rPr>
          <w:rFonts w:eastAsia="宋体" w:hint="eastAsia"/>
        </w:rPr>
        <w:t>源</w:t>
      </w:r>
      <w:r w:rsidRPr="00D630D1">
        <w:rPr>
          <w:rFonts w:eastAsia="宋体"/>
        </w:rPr>
        <w:t>项分析</w:t>
      </w:r>
    </w:p>
    <w:p w:rsidR="00422077" w:rsidRPr="00D630D1" w:rsidRDefault="00422077" w:rsidP="00422077">
      <w:pPr>
        <w:pStyle w:val="afa"/>
        <w:ind w:firstLine="480"/>
      </w:pPr>
      <w:r w:rsidRPr="00D630D1">
        <w:rPr>
          <w:rFonts w:hint="eastAsia"/>
        </w:rPr>
        <w:t>发生井喷的过程主要是泥浆溢流→井涌→井喷。根据建设单位提供资料，在钻井过程中，井下监控发现井内泥浆溢流量达</w:t>
      </w:r>
      <w:r w:rsidRPr="00D630D1">
        <w:rPr>
          <w:rFonts w:hint="eastAsia"/>
        </w:rPr>
        <w:t>1m</w:t>
      </w:r>
      <w:r w:rsidRPr="00D630D1">
        <w:rPr>
          <w:rFonts w:hint="eastAsia"/>
          <w:vertAlign w:val="superscript"/>
        </w:rPr>
        <w:t>3</w:t>
      </w:r>
      <w:r w:rsidRPr="00D630D1">
        <w:rPr>
          <w:rFonts w:hint="eastAsia"/>
        </w:rPr>
        <w:t>时报警，达到</w:t>
      </w:r>
      <w:r w:rsidRPr="00D630D1">
        <w:rPr>
          <w:rFonts w:hint="eastAsia"/>
        </w:rPr>
        <w:t>2m</w:t>
      </w:r>
      <w:r w:rsidRPr="00D630D1">
        <w:rPr>
          <w:rFonts w:hint="eastAsia"/>
          <w:vertAlign w:val="superscript"/>
        </w:rPr>
        <w:t>3</w:t>
      </w:r>
      <w:r w:rsidRPr="00D630D1">
        <w:rPr>
          <w:rFonts w:hint="eastAsia"/>
        </w:rPr>
        <w:t>时马上采取</w:t>
      </w:r>
      <w:r w:rsidRPr="00D630D1">
        <w:rPr>
          <w:rFonts w:hint="eastAsia"/>
        </w:rPr>
        <w:lastRenderedPageBreak/>
        <w:t>关井措施。当所有关断措施全部失效，井口失控后，即发生井喷事故。由此看出，井喷不是突如其来的，由发生溢流开始一直到天然气从井口喷出，这段时间大约在</w:t>
      </w:r>
      <w:r w:rsidRPr="00D630D1">
        <w:rPr>
          <w:rFonts w:hint="eastAsia"/>
        </w:rPr>
        <w:t>20min</w:t>
      </w:r>
      <w:r w:rsidRPr="00D630D1">
        <w:rPr>
          <w:rFonts w:hint="eastAsia"/>
        </w:rPr>
        <w:t>～</w:t>
      </w:r>
      <w:r w:rsidRPr="00D630D1">
        <w:rPr>
          <w:rFonts w:hint="eastAsia"/>
        </w:rPr>
        <w:t>60min</w:t>
      </w:r>
      <w:r w:rsidRPr="00D630D1">
        <w:rPr>
          <w:rFonts w:hint="eastAsia"/>
        </w:rPr>
        <w:t>。在发生井涌开始，井下阀门自动关断时间大约在一分半至三分钟左右，因此可以说，在工程上，天然气从井口喷出后即可通过井场的自动点火装置立即点火，若井场自动点火装置失灵，也可以用点火枪远距离实施点火，从井涌至井喷至少要</w:t>
      </w:r>
      <w:r w:rsidRPr="00D630D1">
        <w:rPr>
          <w:rFonts w:hint="eastAsia"/>
        </w:rPr>
        <w:t>20min</w:t>
      </w:r>
      <w:r w:rsidRPr="00D630D1">
        <w:rPr>
          <w:rFonts w:hint="eastAsia"/>
        </w:rPr>
        <w:t>，足够井场工作人员安全撤离并且做好远距离点火准备。在工程技术看，天然气从井口喷出</w:t>
      </w:r>
      <w:r w:rsidRPr="00D630D1">
        <w:rPr>
          <w:rFonts w:hint="eastAsia"/>
        </w:rPr>
        <w:t>15min</w:t>
      </w:r>
      <w:r w:rsidRPr="00D630D1">
        <w:rPr>
          <w:rFonts w:hint="eastAsia"/>
        </w:rPr>
        <w:t>内，完全可以实现点火成功。</w:t>
      </w:r>
    </w:p>
    <w:p w:rsidR="00AA4355" w:rsidRPr="00D630D1" w:rsidRDefault="00422077" w:rsidP="00AA4355">
      <w:pPr>
        <w:pStyle w:val="afa"/>
        <w:ind w:firstLine="480"/>
      </w:pPr>
      <w:r w:rsidRPr="00D630D1">
        <w:rPr>
          <w:rFonts w:hint="eastAsia"/>
        </w:rPr>
        <w:t>天然气喷射速率，将随着井内泥浆液柱的减小而增大，当井内的泥浆喷完后，达到最大喷射释放速率，其值取决于井的最大无阻流量。</w:t>
      </w:r>
      <w:r w:rsidR="00AA4355" w:rsidRPr="00D630D1">
        <w:t>项目概况</w:t>
      </w:r>
      <w:r w:rsidR="00AA4355" w:rsidRPr="00D630D1">
        <w:t>3.3</w:t>
      </w:r>
      <w:r w:rsidR="00AA4355" w:rsidRPr="00D630D1">
        <w:t>中输送介质情况</w:t>
      </w:r>
      <w:r w:rsidR="00AA4355" w:rsidRPr="00D630D1">
        <w:rPr>
          <w:rFonts w:hint="eastAsia"/>
        </w:rPr>
        <w:t>，</w:t>
      </w:r>
      <w:r w:rsidR="00AA4355" w:rsidRPr="00D630D1">
        <w:t>天然气甲烷含量</w:t>
      </w:r>
      <w:r w:rsidR="00AA4355" w:rsidRPr="00D630D1">
        <w:rPr>
          <w:rFonts w:hint="eastAsia"/>
        </w:rPr>
        <w:t>66.45</w:t>
      </w:r>
      <w:r w:rsidR="00D81528">
        <w:rPr>
          <w:rFonts w:hint="eastAsia"/>
        </w:rPr>
        <w:t xml:space="preserve"> 88.425</w:t>
      </w:r>
      <w:r w:rsidR="00AA4355" w:rsidRPr="00D630D1">
        <w:t>%</w:t>
      </w:r>
      <w:r w:rsidR="00AA4355" w:rsidRPr="00D630D1">
        <w:rPr>
          <w:rFonts w:hint="eastAsia"/>
        </w:rPr>
        <w:t>。</w:t>
      </w:r>
    </w:p>
    <w:p w:rsidR="00422077" w:rsidRPr="00D630D1" w:rsidRDefault="00422077" w:rsidP="00422077">
      <w:pPr>
        <w:pStyle w:val="afa"/>
        <w:ind w:firstLine="480"/>
      </w:pPr>
      <w:r w:rsidRPr="00D630D1">
        <w:rPr>
          <w:rFonts w:hint="eastAsia"/>
          <w:bCs/>
        </w:rPr>
        <w:t>根据企业提供的资料，预计本项目可能放喷的最大天然气</w:t>
      </w:r>
      <w:r w:rsidR="00621607">
        <w:rPr>
          <w:rFonts w:hint="eastAsia"/>
          <w:bCs/>
        </w:rPr>
        <w:t>无阻</w:t>
      </w:r>
      <w:r w:rsidRPr="00D630D1">
        <w:rPr>
          <w:rFonts w:hint="eastAsia"/>
          <w:bCs/>
        </w:rPr>
        <w:t>流量为</w:t>
      </w:r>
      <w:r w:rsidR="00621607">
        <w:rPr>
          <w:rFonts w:hint="eastAsia"/>
          <w:bCs/>
        </w:rPr>
        <w:t>18</w:t>
      </w:r>
      <w:r w:rsidRPr="00D630D1">
        <w:rPr>
          <w:rFonts w:hint="eastAsia"/>
          <w:bCs/>
        </w:rPr>
        <w:t>0</w:t>
      </w:r>
      <w:r w:rsidRPr="00D630D1">
        <w:rPr>
          <w:rFonts w:hint="eastAsia"/>
          <w:bCs/>
        </w:rPr>
        <w:t>×</w:t>
      </w:r>
      <w:r w:rsidRPr="00D630D1">
        <w:rPr>
          <w:rFonts w:hint="eastAsia"/>
          <w:bCs/>
        </w:rPr>
        <w:t>10</w:t>
      </w:r>
      <w:r w:rsidRPr="00D630D1">
        <w:rPr>
          <w:rFonts w:hint="eastAsia"/>
          <w:bCs/>
          <w:vertAlign w:val="superscript"/>
        </w:rPr>
        <w:t>4</w:t>
      </w:r>
      <w:r w:rsidRPr="00D630D1">
        <w:rPr>
          <w:rFonts w:hint="eastAsia"/>
          <w:bCs/>
        </w:rPr>
        <w:t>m</w:t>
      </w:r>
      <w:r w:rsidRPr="00D630D1">
        <w:rPr>
          <w:rFonts w:hint="eastAsia"/>
          <w:bCs/>
          <w:vertAlign w:val="superscript"/>
        </w:rPr>
        <w:t>3</w:t>
      </w:r>
      <w:r w:rsidRPr="00D630D1">
        <w:rPr>
          <w:rFonts w:hint="eastAsia"/>
          <w:bCs/>
        </w:rPr>
        <w:t>/d</w:t>
      </w:r>
      <w:r w:rsidRPr="00D630D1">
        <w:rPr>
          <w:rFonts w:hint="eastAsia"/>
          <w:bCs/>
        </w:rPr>
        <w:t>（</w:t>
      </w:r>
      <w:r w:rsidR="00AA4355" w:rsidRPr="00D630D1">
        <w:rPr>
          <w:rFonts w:hint="eastAsia"/>
        </w:rPr>
        <w:t>20.83</w:t>
      </w:r>
      <w:r w:rsidRPr="00D630D1">
        <w:rPr>
          <w:rFonts w:hint="eastAsia"/>
          <w:bCs/>
        </w:rPr>
        <w:t>m</w:t>
      </w:r>
      <w:r w:rsidRPr="00D630D1">
        <w:rPr>
          <w:rFonts w:hint="eastAsia"/>
          <w:bCs/>
          <w:vertAlign w:val="superscript"/>
        </w:rPr>
        <w:t>3</w:t>
      </w:r>
      <w:r w:rsidRPr="00D630D1">
        <w:rPr>
          <w:rFonts w:hint="eastAsia"/>
          <w:bCs/>
        </w:rPr>
        <w:t>/</w:t>
      </w:r>
      <w:r w:rsidRPr="00D630D1">
        <w:rPr>
          <w:bCs/>
        </w:rPr>
        <w:t>s</w:t>
      </w:r>
      <w:r w:rsidRPr="00D630D1">
        <w:rPr>
          <w:bCs/>
        </w:rPr>
        <w:t>）</w:t>
      </w:r>
      <w:r w:rsidRPr="00D630D1">
        <w:rPr>
          <w:rFonts w:hint="eastAsia"/>
        </w:rPr>
        <w:t>。类比</w:t>
      </w:r>
      <w:r w:rsidRPr="00D630D1">
        <w:t>普</w:t>
      </w:r>
      <w:r w:rsidRPr="00D630D1">
        <w:rPr>
          <w:rFonts w:hint="eastAsia"/>
        </w:rPr>
        <w:t>光</w:t>
      </w:r>
      <w:r w:rsidRPr="00D630D1">
        <w:t>气田现有</w:t>
      </w:r>
      <w:r w:rsidRPr="00D630D1">
        <w:rPr>
          <w:rFonts w:hint="eastAsia"/>
        </w:rPr>
        <w:t>管理</w:t>
      </w:r>
      <w:r w:rsidRPr="00D630D1">
        <w:t>规定，</w:t>
      </w:r>
      <w:r w:rsidRPr="00D630D1">
        <w:rPr>
          <w:rFonts w:hint="eastAsia"/>
        </w:rPr>
        <w:t>按照</w:t>
      </w:r>
      <w:r w:rsidRPr="00D630D1">
        <w:t>井喷后</w:t>
      </w:r>
      <w:r w:rsidRPr="00D630D1">
        <w:rPr>
          <w:rFonts w:hint="eastAsia"/>
        </w:rPr>
        <w:t>15</w:t>
      </w:r>
      <w:r w:rsidRPr="00D630D1">
        <w:t>min</w:t>
      </w:r>
      <w:r w:rsidRPr="00D630D1">
        <w:t>点火</w:t>
      </w:r>
      <w:r w:rsidRPr="00D630D1">
        <w:rPr>
          <w:rFonts w:hint="eastAsia"/>
        </w:rPr>
        <w:t>。</w:t>
      </w:r>
    </w:p>
    <w:p w:rsidR="00AA4355" w:rsidRPr="00D630D1" w:rsidRDefault="00AA4355" w:rsidP="00AA4355">
      <w:pPr>
        <w:pStyle w:val="afa"/>
        <w:ind w:firstLineChars="0" w:firstLine="480"/>
      </w:pPr>
      <w:r w:rsidRPr="00D630D1">
        <w:t>本项目井喷点火前释放的</w:t>
      </w:r>
      <w:r w:rsidR="009025F1" w:rsidRPr="00D630D1">
        <w:t>甲烷和</w:t>
      </w:r>
      <w:r w:rsidRPr="00D630D1">
        <w:t>H</w:t>
      </w:r>
      <w:r w:rsidRPr="00D630D1">
        <w:rPr>
          <w:vertAlign w:val="subscript"/>
        </w:rPr>
        <w:t>2</w:t>
      </w:r>
      <w:r w:rsidRPr="00D630D1">
        <w:t>S</w:t>
      </w:r>
      <w:r w:rsidRPr="00D630D1">
        <w:t>源强见</w:t>
      </w:r>
      <w:fldSimple w:instr=" REF _Ref524420023 \h  \* MERGEFORMAT ">
        <w:r w:rsidRPr="00D630D1">
          <w:rPr>
            <w:rFonts w:hint="eastAsia"/>
          </w:rPr>
          <w:t>表</w:t>
        </w:r>
        <w:r w:rsidRPr="00D630D1">
          <w:rPr>
            <w:rFonts w:hint="eastAsia"/>
          </w:rPr>
          <w:t>7.7</w:t>
        </w:r>
        <w:r w:rsidRPr="00D630D1">
          <w:noBreakHyphen/>
          <w:t>2</w:t>
        </w:r>
      </w:fldSimple>
      <w:r w:rsidRPr="00D630D1">
        <w:t>。</w:t>
      </w:r>
    </w:p>
    <w:p w:rsidR="00AA4355" w:rsidRPr="00D630D1" w:rsidRDefault="00AA4355" w:rsidP="00F96E37">
      <w:pPr>
        <w:widowControl/>
        <w:topLinePunct w:val="0"/>
        <w:snapToGrid w:val="0"/>
        <w:spacing w:beforeLines="50"/>
        <w:ind w:firstLineChars="0" w:firstLine="0"/>
        <w:jc w:val="center"/>
        <w:rPr>
          <w:rFonts w:ascii="Times New Roman" w:cs="Times New Roman"/>
          <w:b/>
          <w:kern w:val="2"/>
          <w:sz w:val="21"/>
          <w:szCs w:val="20"/>
        </w:rPr>
      </w:pPr>
      <w:bookmarkStart w:id="558" w:name="_Ref524420023"/>
      <w:r w:rsidRPr="00D630D1">
        <w:rPr>
          <w:rFonts w:ascii="Times New Roman" w:cs="Times New Roman"/>
          <w:b/>
          <w:kern w:val="2"/>
          <w:sz w:val="21"/>
          <w:szCs w:val="20"/>
        </w:rPr>
        <w:t>表</w:t>
      </w:r>
      <w:r w:rsidRPr="00D630D1">
        <w:rPr>
          <w:rFonts w:ascii="Times New Roman" w:cs="Times New Roman"/>
          <w:b/>
          <w:kern w:val="2"/>
          <w:sz w:val="21"/>
          <w:szCs w:val="20"/>
        </w:rPr>
        <w:t>7.7</w:t>
      </w:r>
      <w:r w:rsidRPr="00D630D1">
        <w:rPr>
          <w:rFonts w:ascii="Times New Roman" w:cs="Times New Roman"/>
          <w:b/>
          <w:kern w:val="2"/>
          <w:sz w:val="21"/>
          <w:szCs w:val="20"/>
        </w:rPr>
        <w:noBreakHyphen/>
      </w:r>
      <w:r w:rsidR="009913C3" w:rsidRPr="00D630D1">
        <w:rPr>
          <w:rFonts w:ascii="Times New Roman" w:cs="Times New Roman"/>
          <w:b/>
          <w:kern w:val="2"/>
          <w:sz w:val="21"/>
          <w:szCs w:val="20"/>
        </w:rPr>
        <w:fldChar w:fldCharType="begin"/>
      </w:r>
      <w:r w:rsidRPr="00D630D1">
        <w:rPr>
          <w:rFonts w:ascii="Times New Roman" w:cs="Times New Roman"/>
          <w:b/>
          <w:kern w:val="2"/>
          <w:sz w:val="21"/>
          <w:szCs w:val="20"/>
        </w:rPr>
        <w:instrText xml:space="preserve"> SEQ </w:instrText>
      </w:r>
      <w:r w:rsidRPr="00D630D1">
        <w:rPr>
          <w:rFonts w:ascii="Times New Roman" w:cs="Times New Roman"/>
          <w:b/>
          <w:kern w:val="2"/>
          <w:sz w:val="21"/>
          <w:szCs w:val="20"/>
        </w:rPr>
        <w:instrText>表</w:instrText>
      </w:r>
      <w:r w:rsidRPr="00D630D1">
        <w:rPr>
          <w:rFonts w:ascii="Times New Roman" w:cs="Times New Roman"/>
          <w:b/>
          <w:kern w:val="2"/>
          <w:sz w:val="21"/>
          <w:szCs w:val="20"/>
        </w:rPr>
        <w:instrText xml:space="preserve"> \* ARABIC \s 1 </w:instrText>
      </w:r>
      <w:r w:rsidR="009913C3" w:rsidRPr="00D630D1">
        <w:rPr>
          <w:rFonts w:ascii="Times New Roman" w:cs="Times New Roman"/>
          <w:b/>
          <w:kern w:val="2"/>
          <w:sz w:val="21"/>
          <w:szCs w:val="20"/>
        </w:rPr>
        <w:fldChar w:fldCharType="separate"/>
      </w:r>
      <w:r w:rsidRPr="00D630D1">
        <w:rPr>
          <w:rFonts w:ascii="Times New Roman" w:cs="Times New Roman"/>
          <w:b/>
          <w:noProof/>
          <w:kern w:val="2"/>
          <w:sz w:val="21"/>
          <w:szCs w:val="20"/>
        </w:rPr>
        <w:t>2</w:t>
      </w:r>
      <w:r w:rsidR="009913C3" w:rsidRPr="00D630D1">
        <w:rPr>
          <w:rFonts w:ascii="Times New Roman" w:cs="Times New Roman"/>
          <w:b/>
          <w:kern w:val="2"/>
          <w:sz w:val="21"/>
          <w:szCs w:val="20"/>
        </w:rPr>
        <w:fldChar w:fldCharType="end"/>
      </w:r>
      <w:bookmarkEnd w:id="558"/>
      <w:r w:rsidRPr="00D630D1">
        <w:rPr>
          <w:rFonts w:ascii="Times New Roman" w:cs="Times New Roman"/>
          <w:b/>
          <w:kern w:val="2"/>
          <w:sz w:val="21"/>
          <w:szCs w:val="20"/>
        </w:rPr>
        <w:t xml:space="preserve">  </w:t>
      </w:r>
      <w:r w:rsidRPr="00D630D1">
        <w:rPr>
          <w:rFonts w:ascii="Times New Roman" w:cs="Times New Roman"/>
          <w:b/>
          <w:kern w:val="2"/>
          <w:sz w:val="21"/>
          <w:szCs w:val="20"/>
        </w:rPr>
        <w:t>井喷污染物源强</w:t>
      </w:r>
    </w:p>
    <w:tbl>
      <w:tblPr>
        <w:tblW w:w="894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039"/>
        <w:gridCol w:w="1556"/>
        <w:gridCol w:w="2203"/>
        <w:gridCol w:w="2203"/>
        <w:gridCol w:w="1945"/>
      </w:tblGrid>
      <w:tr w:rsidR="00AA4355" w:rsidRPr="00D630D1" w:rsidTr="009025F1">
        <w:trPr>
          <w:trHeight w:val="340"/>
          <w:jc w:val="center"/>
        </w:trPr>
        <w:tc>
          <w:tcPr>
            <w:tcW w:w="1039" w:type="dxa"/>
            <w:vAlign w:val="center"/>
          </w:tcPr>
          <w:p w:rsidR="00AA4355" w:rsidRPr="00D630D1" w:rsidRDefault="00AA4355" w:rsidP="00AA4355">
            <w:pPr>
              <w:widowControl/>
              <w:topLinePunct w:val="0"/>
              <w:adjustRightInd/>
              <w:spacing w:line="240" w:lineRule="auto"/>
              <w:ind w:firstLineChars="0" w:firstLine="0"/>
              <w:jc w:val="center"/>
              <w:rPr>
                <w:rFonts w:ascii="Times New Roman" w:cs="Times New Roman"/>
                <w:b/>
                <w:sz w:val="21"/>
                <w:szCs w:val="21"/>
              </w:rPr>
            </w:pPr>
            <w:r w:rsidRPr="00D630D1">
              <w:rPr>
                <w:rFonts w:ascii="Times New Roman" w:hAnsi="宋体" w:cs="Times New Roman"/>
                <w:b/>
                <w:sz w:val="21"/>
                <w:szCs w:val="21"/>
              </w:rPr>
              <w:t>时段</w:t>
            </w:r>
          </w:p>
        </w:tc>
        <w:tc>
          <w:tcPr>
            <w:tcW w:w="1556" w:type="dxa"/>
            <w:vAlign w:val="center"/>
          </w:tcPr>
          <w:p w:rsidR="00AA4355" w:rsidRPr="00D630D1" w:rsidRDefault="00AA4355" w:rsidP="00AA4355">
            <w:pPr>
              <w:widowControl/>
              <w:topLinePunct w:val="0"/>
              <w:adjustRightInd/>
              <w:spacing w:line="240" w:lineRule="auto"/>
              <w:ind w:firstLineChars="0" w:firstLine="0"/>
              <w:jc w:val="center"/>
              <w:rPr>
                <w:rFonts w:ascii="Times New Roman" w:cs="Times New Roman"/>
                <w:b/>
                <w:sz w:val="21"/>
                <w:szCs w:val="21"/>
              </w:rPr>
            </w:pPr>
            <w:r w:rsidRPr="00D630D1">
              <w:rPr>
                <w:rFonts w:ascii="Times New Roman" w:hAnsi="宋体" w:cs="Times New Roman"/>
                <w:b/>
                <w:sz w:val="21"/>
                <w:szCs w:val="21"/>
              </w:rPr>
              <w:t>污染物名称</w:t>
            </w:r>
          </w:p>
        </w:tc>
        <w:tc>
          <w:tcPr>
            <w:tcW w:w="2203" w:type="dxa"/>
            <w:vAlign w:val="center"/>
          </w:tcPr>
          <w:p w:rsidR="00AA4355" w:rsidRPr="00D630D1" w:rsidRDefault="00AA4355" w:rsidP="00AA4355">
            <w:pPr>
              <w:widowControl/>
              <w:topLinePunct w:val="0"/>
              <w:adjustRightInd/>
              <w:spacing w:line="240" w:lineRule="auto"/>
              <w:ind w:firstLineChars="0" w:firstLine="0"/>
              <w:jc w:val="center"/>
              <w:rPr>
                <w:rFonts w:ascii="Times New Roman" w:cs="Times New Roman"/>
                <w:b/>
                <w:sz w:val="21"/>
                <w:szCs w:val="21"/>
              </w:rPr>
            </w:pPr>
            <w:r w:rsidRPr="00D630D1">
              <w:rPr>
                <w:rFonts w:ascii="Times New Roman" w:hAnsi="宋体" w:cs="Times New Roman"/>
                <w:b/>
                <w:sz w:val="21"/>
                <w:szCs w:val="21"/>
              </w:rPr>
              <w:t>气量（</w:t>
            </w:r>
            <w:r w:rsidRPr="00D630D1">
              <w:rPr>
                <w:rFonts w:ascii="Times New Roman" w:cs="Times New Roman"/>
                <w:b/>
                <w:sz w:val="21"/>
                <w:szCs w:val="21"/>
              </w:rPr>
              <w:t>m</w:t>
            </w:r>
            <w:r w:rsidRPr="00D630D1">
              <w:rPr>
                <w:rFonts w:ascii="Times New Roman" w:cs="Times New Roman"/>
                <w:b/>
                <w:sz w:val="21"/>
                <w:szCs w:val="21"/>
                <w:vertAlign w:val="superscript"/>
              </w:rPr>
              <w:t>3</w:t>
            </w:r>
            <w:r w:rsidRPr="00D630D1">
              <w:rPr>
                <w:rFonts w:ascii="Times New Roman" w:cs="Times New Roman"/>
                <w:b/>
                <w:sz w:val="21"/>
                <w:szCs w:val="21"/>
              </w:rPr>
              <w:t>/s</w:t>
            </w:r>
            <w:r w:rsidRPr="00D630D1">
              <w:rPr>
                <w:rFonts w:ascii="Times New Roman" w:hAnsi="宋体" w:cs="Times New Roman"/>
                <w:b/>
                <w:sz w:val="21"/>
                <w:szCs w:val="21"/>
              </w:rPr>
              <w:t>）</w:t>
            </w:r>
          </w:p>
        </w:tc>
        <w:tc>
          <w:tcPr>
            <w:tcW w:w="2203" w:type="dxa"/>
            <w:vAlign w:val="center"/>
          </w:tcPr>
          <w:p w:rsidR="00AA4355" w:rsidRPr="00D630D1" w:rsidRDefault="00AA4355" w:rsidP="00AA4355">
            <w:pPr>
              <w:widowControl/>
              <w:topLinePunct w:val="0"/>
              <w:adjustRightInd/>
              <w:spacing w:line="240" w:lineRule="auto"/>
              <w:ind w:firstLineChars="0" w:firstLine="0"/>
              <w:jc w:val="center"/>
              <w:rPr>
                <w:rFonts w:ascii="Times New Roman" w:cs="Times New Roman"/>
                <w:b/>
                <w:sz w:val="21"/>
                <w:szCs w:val="21"/>
              </w:rPr>
            </w:pPr>
            <w:r w:rsidRPr="00D630D1">
              <w:rPr>
                <w:rFonts w:ascii="Times New Roman" w:hAnsi="宋体" w:cs="Times New Roman"/>
                <w:b/>
                <w:sz w:val="21"/>
                <w:szCs w:val="21"/>
              </w:rPr>
              <w:t>排放速率（</w:t>
            </w:r>
            <w:r w:rsidR="00297479" w:rsidRPr="00D630D1">
              <w:rPr>
                <w:rFonts w:ascii="Times New Roman" w:hAnsi="宋体" w:cs="Times New Roman" w:hint="eastAsia"/>
                <w:b/>
                <w:sz w:val="21"/>
                <w:szCs w:val="21"/>
              </w:rPr>
              <w:t>k</w:t>
            </w:r>
            <w:r w:rsidRPr="00D630D1">
              <w:rPr>
                <w:rFonts w:ascii="Times New Roman" w:cs="Times New Roman"/>
                <w:b/>
                <w:sz w:val="21"/>
                <w:szCs w:val="21"/>
              </w:rPr>
              <w:t>g/s</w:t>
            </w:r>
            <w:r w:rsidRPr="00D630D1">
              <w:rPr>
                <w:rFonts w:ascii="Times New Roman" w:hAnsi="宋体" w:cs="Times New Roman"/>
                <w:b/>
                <w:sz w:val="21"/>
                <w:szCs w:val="21"/>
              </w:rPr>
              <w:t>）</w:t>
            </w:r>
          </w:p>
        </w:tc>
        <w:tc>
          <w:tcPr>
            <w:tcW w:w="1945" w:type="dxa"/>
            <w:vAlign w:val="center"/>
          </w:tcPr>
          <w:p w:rsidR="00AA4355" w:rsidRPr="00D630D1" w:rsidRDefault="00AA4355" w:rsidP="00AA4355">
            <w:pPr>
              <w:widowControl/>
              <w:topLinePunct w:val="0"/>
              <w:adjustRightInd/>
              <w:spacing w:line="240" w:lineRule="auto"/>
              <w:ind w:firstLineChars="0" w:firstLine="0"/>
              <w:jc w:val="center"/>
              <w:rPr>
                <w:rFonts w:ascii="Times New Roman" w:cs="Times New Roman"/>
                <w:b/>
                <w:sz w:val="21"/>
                <w:szCs w:val="21"/>
              </w:rPr>
            </w:pPr>
            <w:r w:rsidRPr="00D630D1">
              <w:rPr>
                <w:rFonts w:ascii="Times New Roman" w:hAnsi="宋体" w:cs="Times New Roman"/>
                <w:b/>
                <w:sz w:val="21"/>
                <w:szCs w:val="21"/>
              </w:rPr>
              <w:t>排气筒内径（</w:t>
            </w:r>
            <w:r w:rsidRPr="00D630D1">
              <w:rPr>
                <w:rFonts w:ascii="Times New Roman" w:cs="Times New Roman"/>
                <w:b/>
                <w:sz w:val="21"/>
                <w:szCs w:val="21"/>
              </w:rPr>
              <w:t>m</w:t>
            </w:r>
            <w:r w:rsidRPr="00D630D1">
              <w:rPr>
                <w:rFonts w:ascii="Times New Roman" w:hAnsi="宋体" w:cs="Times New Roman"/>
                <w:b/>
                <w:sz w:val="21"/>
                <w:szCs w:val="21"/>
              </w:rPr>
              <w:t>）</w:t>
            </w:r>
          </w:p>
        </w:tc>
      </w:tr>
      <w:tr w:rsidR="009025F1" w:rsidRPr="00D630D1" w:rsidTr="009025F1">
        <w:trPr>
          <w:trHeight w:val="340"/>
          <w:jc w:val="center"/>
        </w:trPr>
        <w:tc>
          <w:tcPr>
            <w:tcW w:w="1039" w:type="dxa"/>
            <w:vAlign w:val="center"/>
          </w:tcPr>
          <w:p w:rsidR="009025F1" w:rsidRPr="00D630D1" w:rsidRDefault="009025F1" w:rsidP="009025F1">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cs="Times New Roman"/>
                <w:sz w:val="21"/>
                <w:szCs w:val="21"/>
              </w:rPr>
              <w:t>井喷</w:t>
            </w:r>
            <w:r w:rsidRPr="00D630D1">
              <w:rPr>
                <w:rFonts w:ascii="Times New Roman" w:cs="Times New Roman" w:hint="eastAsia"/>
                <w:sz w:val="21"/>
                <w:szCs w:val="21"/>
              </w:rPr>
              <w:t>15min</w:t>
            </w:r>
          </w:p>
        </w:tc>
        <w:tc>
          <w:tcPr>
            <w:tcW w:w="1556" w:type="dxa"/>
            <w:vAlign w:val="center"/>
          </w:tcPr>
          <w:p w:rsidR="009025F1" w:rsidRPr="00D630D1" w:rsidRDefault="009025F1" w:rsidP="00AA4355">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cs="Times New Roman"/>
                <w:sz w:val="21"/>
                <w:szCs w:val="21"/>
              </w:rPr>
              <w:t>甲烷</w:t>
            </w:r>
          </w:p>
        </w:tc>
        <w:tc>
          <w:tcPr>
            <w:tcW w:w="2203" w:type="dxa"/>
            <w:vAlign w:val="center"/>
          </w:tcPr>
          <w:p w:rsidR="009025F1" w:rsidRPr="00D630D1" w:rsidRDefault="007B2AB5" w:rsidP="00AA4355">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8.68</w:t>
            </w:r>
            <w:r w:rsidR="009025F1" w:rsidRPr="00D630D1">
              <w:rPr>
                <w:rFonts w:ascii="Times New Roman" w:hAnsi="宋体" w:cs="Times New Roman"/>
                <w:sz w:val="21"/>
                <w:szCs w:val="21"/>
              </w:rPr>
              <w:t>（天然气）</w:t>
            </w:r>
          </w:p>
        </w:tc>
        <w:tc>
          <w:tcPr>
            <w:tcW w:w="2203" w:type="dxa"/>
            <w:vAlign w:val="center"/>
          </w:tcPr>
          <w:p w:rsidR="009025F1" w:rsidRPr="00D630D1" w:rsidRDefault="007B2AB5" w:rsidP="00621607">
            <w:pPr>
              <w:widowControl/>
              <w:topLinePunct w:val="0"/>
              <w:adjustRightInd/>
              <w:spacing w:line="240" w:lineRule="auto"/>
              <w:ind w:firstLineChars="0" w:firstLine="0"/>
              <w:jc w:val="center"/>
              <w:rPr>
                <w:rFonts w:ascii="Times New Roman" w:cs="Times New Roman"/>
                <w:sz w:val="21"/>
                <w:szCs w:val="21"/>
              </w:rPr>
            </w:pPr>
            <w:r>
              <w:rPr>
                <w:rFonts w:ascii="Times New Roman" w:cs="Times New Roman" w:hint="eastAsia"/>
                <w:sz w:val="21"/>
                <w:szCs w:val="21"/>
              </w:rPr>
              <w:t>5.85</w:t>
            </w:r>
          </w:p>
        </w:tc>
        <w:tc>
          <w:tcPr>
            <w:tcW w:w="1945" w:type="dxa"/>
            <w:vAlign w:val="center"/>
          </w:tcPr>
          <w:p w:rsidR="009025F1" w:rsidRPr="00D630D1" w:rsidRDefault="009025F1" w:rsidP="00AA4355">
            <w:pPr>
              <w:widowControl/>
              <w:topLinePunct w:val="0"/>
              <w:adjustRightInd/>
              <w:spacing w:line="240" w:lineRule="auto"/>
              <w:ind w:firstLineChars="0" w:firstLine="0"/>
              <w:jc w:val="center"/>
              <w:rPr>
                <w:rFonts w:ascii="Times New Roman" w:cs="Times New Roman"/>
                <w:sz w:val="21"/>
                <w:szCs w:val="21"/>
              </w:rPr>
            </w:pPr>
            <w:r w:rsidRPr="00D630D1">
              <w:rPr>
                <w:rFonts w:ascii="Times New Roman" w:cs="Times New Roman"/>
                <w:sz w:val="21"/>
                <w:szCs w:val="21"/>
              </w:rPr>
              <w:t>0.178</w:t>
            </w:r>
          </w:p>
        </w:tc>
      </w:tr>
    </w:tbl>
    <w:p w:rsidR="00117C3D" w:rsidRPr="00D630D1" w:rsidRDefault="005163AB" w:rsidP="00BE21F2">
      <w:pPr>
        <w:pStyle w:val="2"/>
        <w:spacing w:before="120"/>
        <w:rPr>
          <w:rFonts w:cs="Times New Roman"/>
        </w:rPr>
      </w:pPr>
      <w:bookmarkStart w:id="559" w:name="bookmark63"/>
      <w:bookmarkStart w:id="560" w:name="_Toc12288741"/>
      <w:bookmarkStart w:id="561" w:name="_Toc19816110"/>
      <w:bookmarkStart w:id="562" w:name="_Toc81515300"/>
      <w:bookmarkEnd w:id="559"/>
      <w:r w:rsidRPr="00D630D1">
        <w:rPr>
          <w:rFonts w:cs="Times New Roman"/>
        </w:rPr>
        <w:t>7</w:t>
      </w:r>
      <w:r w:rsidR="008B5B84" w:rsidRPr="00D630D1">
        <w:rPr>
          <w:rFonts w:cs="Times New Roman"/>
        </w:rPr>
        <w:t>.8</w:t>
      </w:r>
      <w:bookmarkEnd w:id="560"/>
      <w:bookmarkEnd w:id="561"/>
      <w:r w:rsidR="00E33968" w:rsidRPr="00D630D1">
        <w:rPr>
          <w:rFonts w:cs="Times New Roman"/>
        </w:rPr>
        <w:t xml:space="preserve"> </w:t>
      </w:r>
      <w:r w:rsidR="00E33968" w:rsidRPr="00D630D1">
        <w:rPr>
          <w:rFonts w:cs="Times New Roman"/>
        </w:rPr>
        <w:t>环境风险分析</w:t>
      </w:r>
      <w:bookmarkEnd w:id="562"/>
    </w:p>
    <w:p w:rsidR="00117C3D" w:rsidRPr="00D630D1" w:rsidRDefault="005163AB">
      <w:pPr>
        <w:pStyle w:val="3"/>
        <w:rPr>
          <w:rFonts w:eastAsia="宋体"/>
        </w:rPr>
      </w:pPr>
      <w:bookmarkStart w:id="563" w:name="_Toc12288742"/>
      <w:bookmarkStart w:id="564" w:name="_Toc19816111"/>
      <w:r w:rsidRPr="00D630D1">
        <w:rPr>
          <w:rFonts w:eastAsia="宋体"/>
        </w:rPr>
        <w:t>7</w:t>
      </w:r>
      <w:r w:rsidR="008B5B84" w:rsidRPr="00D630D1">
        <w:rPr>
          <w:rFonts w:eastAsia="宋体"/>
        </w:rPr>
        <w:t>.8.1</w:t>
      </w:r>
      <w:bookmarkEnd w:id="563"/>
      <w:bookmarkEnd w:id="564"/>
      <w:r w:rsidR="00915B39" w:rsidRPr="00D630D1">
        <w:rPr>
          <w:rFonts w:eastAsia="宋体"/>
        </w:rPr>
        <w:t xml:space="preserve"> </w:t>
      </w:r>
      <w:r w:rsidR="00297479" w:rsidRPr="00D630D1">
        <w:rPr>
          <w:rFonts w:eastAsia="宋体" w:hint="eastAsia"/>
        </w:rPr>
        <w:t>井喷事故环境风险预测</w:t>
      </w:r>
    </w:p>
    <w:p w:rsidR="00350739" w:rsidRPr="00D630D1" w:rsidRDefault="00350739" w:rsidP="00350739">
      <w:pPr>
        <w:ind w:firstLine="482"/>
        <w:rPr>
          <w:rFonts w:ascii="Times New Roman" w:cs="Times New Roman"/>
          <w:b/>
          <w:bCs/>
        </w:rPr>
      </w:pPr>
      <w:r w:rsidRPr="00D630D1">
        <w:rPr>
          <w:rFonts w:ascii="Times New Roman" w:cs="Times New Roman"/>
          <w:b/>
          <w:bCs/>
        </w:rPr>
        <w:t>（</w:t>
      </w:r>
      <w:r w:rsidRPr="00D630D1">
        <w:rPr>
          <w:rFonts w:ascii="Times New Roman" w:cs="Times New Roman"/>
          <w:b/>
          <w:bCs/>
        </w:rPr>
        <w:t>1</w:t>
      </w:r>
      <w:r w:rsidRPr="00D630D1">
        <w:rPr>
          <w:rFonts w:ascii="Times New Roman" w:cs="Times New Roman"/>
          <w:b/>
          <w:bCs/>
        </w:rPr>
        <w:t>）预测模型选取</w:t>
      </w:r>
    </w:p>
    <w:p w:rsidR="00350739" w:rsidRPr="00D630D1" w:rsidRDefault="00350739" w:rsidP="00350739">
      <w:pPr>
        <w:ind w:firstLine="480"/>
        <w:rPr>
          <w:rFonts w:ascii="Times New Roman" w:cs="Times New Roman"/>
        </w:rPr>
      </w:pPr>
      <w:r w:rsidRPr="00D630D1">
        <w:rPr>
          <w:rFonts w:asciiTheme="minorEastAsia" w:eastAsiaTheme="minorEastAsia" w:hAnsiTheme="minorEastAsia" w:cs="Times New Roman"/>
        </w:rPr>
        <w:t>①</w:t>
      </w:r>
      <w:r w:rsidRPr="00D630D1">
        <w:rPr>
          <w:rFonts w:ascii="Times New Roman" w:cs="Times New Roman"/>
        </w:rPr>
        <w:t>泄漏气体排放方式判定</w:t>
      </w:r>
    </w:p>
    <w:p w:rsidR="00350739" w:rsidRPr="00D630D1" w:rsidRDefault="00350739" w:rsidP="00350739">
      <w:pPr>
        <w:ind w:firstLine="480"/>
        <w:rPr>
          <w:rFonts w:ascii="Times New Roman" w:cs="Times New Roman"/>
        </w:rPr>
      </w:pPr>
      <w:r w:rsidRPr="00D630D1">
        <w:rPr>
          <w:rFonts w:ascii="Times New Roman" w:cs="Times New Roman"/>
        </w:rPr>
        <w:t>根据《建设项目环境风险评价技术导则》（</w:t>
      </w:r>
      <w:r w:rsidRPr="00D630D1">
        <w:rPr>
          <w:rFonts w:ascii="Times New Roman" w:cs="Times New Roman"/>
        </w:rPr>
        <w:t>HJ169-2018</w:t>
      </w:r>
      <w:r w:rsidRPr="00D630D1">
        <w:rPr>
          <w:rFonts w:ascii="Times New Roman" w:cs="Times New Roman"/>
        </w:rPr>
        <w:t>），判定连续排放还是瞬时排放，可以通过排放时间</w:t>
      </w:r>
      <w:r w:rsidRPr="00D630D1">
        <w:rPr>
          <w:rFonts w:ascii="Times New Roman" w:cs="Times New Roman"/>
        </w:rPr>
        <w:t>Td</w:t>
      </w:r>
      <w:r w:rsidRPr="00D630D1">
        <w:rPr>
          <w:rFonts w:ascii="Times New Roman" w:cs="Times New Roman"/>
        </w:rPr>
        <w:t>和污染物到达最近的受体点（网格点或敏感点）的时间</w:t>
      </w:r>
      <w:r w:rsidRPr="00D630D1">
        <w:rPr>
          <w:rFonts w:ascii="Times New Roman" w:cs="Times New Roman"/>
        </w:rPr>
        <w:t>T</w:t>
      </w:r>
      <w:r w:rsidRPr="00D630D1">
        <w:rPr>
          <w:rFonts w:ascii="Times New Roman" w:cs="Times New Roman"/>
        </w:rPr>
        <w:t>确定。</w:t>
      </w:r>
    </w:p>
    <w:p w:rsidR="00350739" w:rsidRPr="00D630D1" w:rsidRDefault="00350739" w:rsidP="00350739">
      <w:pPr>
        <w:tabs>
          <w:tab w:val="left" w:pos="5925"/>
        </w:tabs>
        <w:overflowPunct w:val="0"/>
        <w:autoSpaceDE w:val="0"/>
        <w:ind w:firstLine="480"/>
        <w:jc w:val="center"/>
        <w:rPr>
          <w:rFonts w:ascii="Times New Roman" w:cs="Times New Roman"/>
        </w:rPr>
      </w:pPr>
      <w:r w:rsidRPr="00D630D1">
        <w:rPr>
          <w:rFonts w:ascii="Times New Roman" w:cs="Times New Roman"/>
        </w:rPr>
        <w:t>T=2X/U</w:t>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t>式中：</w:t>
      </w:r>
      <w:r w:rsidRPr="00D630D1">
        <w:rPr>
          <w:rFonts w:ascii="Times New Roman" w:cs="Times New Roman"/>
        </w:rPr>
        <w:t>X—</w:t>
      </w:r>
      <w:r w:rsidRPr="00D630D1">
        <w:rPr>
          <w:rFonts w:ascii="Times New Roman" w:cs="Times New Roman"/>
        </w:rPr>
        <w:t>事故发生地与计算点的距离，本次天然气取泄漏发生地到网格点的距离</w:t>
      </w:r>
      <w:r w:rsidRPr="00D630D1">
        <w:rPr>
          <w:rFonts w:ascii="Times New Roman" w:cs="Times New Roman"/>
        </w:rPr>
        <w:t>100m</w:t>
      </w:r>
      <w:r w:rsidRPr="00D630D1">
        <w:rPr>
          <w:rFonts w:ascii="Times New Roman" w:cs="Times New Roman"/>
        </w:rPr>
        <w:t>；</w:t>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t>Ur—10m</w:t>
      </w:r>
      <w:r w:rsidRPr="00D630D1">
        <w:rPr>
          <w:rFonts w:ascii="Times New Roman" w:cs="Times New Roman"/>
        </w:rPr>
        <w:t>高处风速。假设风速和风向在</w:t>
      </w:r>
      <w:r w:rsidRPr="00D630D1">
        <w:rPr>
          <w:rFonts w:ascii="Times New Roman" w:cs="Times New Roman"/>
        </w:rPr>
        <w:t>T</w:t>
      </w:r>
      <w:r w:rsidRPr="00D630D1">
        <w:rPr>
          <w:rFonts w:ascii="Times New Roman" w:cs="Times New Roman"/>
        </w:rPr>
        <w:t>时段内保持不变。本次取风速为</w:t>
      </w:r>
      <w:r w:rsidRPr="00D630D1">
        <w:rPr>
          <w:rFonts w:ascii="Times New Roman" w:cs="Times New Roman"/>
        </w:rPr>
        <w:t>1.5m/s</w:t>
      </w:r>
      <w:r w:rsidRPr="00D630D1">
        <w:rPr>
          <w:rFonts w:ascii="Times New Roman" w:cs="Times New Roman"/>
        </w:rPr>
        <w:t>。</w:t>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lastRenderedPageBreak/>
        <w:t>当</w:t>
      </w:r>
      <w:r w:rsidRPr="00D630D1">
        <w:rPr>
          <w:rFonts w:ascii="Times New Roman" w:cs="Times New Roman"/>
        </w:rPr>
        <w:t>Td</w:t>
      </w:r>
      <w:r w:rsidRPr="00D630D1">
        <w:rPr>
          <w:rFonts w:ascii="Times New Roman" w:cs="Times New Roman"/>
        </w:rPr>
        <w:t>＞</w:t>
      </w:r>
      <w:r w:rsidRPr="00D630D1">
        <w:rPr>
          <w:rFonts w:ascii="Times New Roman" w:cs="Times New Roman"/>
        </w:rPr>
        <w:t>T</w:t>
      </w:r>
      <w:r w:rsidRPr="00D630D1">
        <w:rPr>
          <w:rFonts w:ascii="Times New Roman" w:cs="Times New Roman"/>
        </w:rPr>
        <w:t>时，可被认为是连续排放的；当</w:t>
      </w:r>
      <w:r w:rsidRPr="00D630D1">
        <w:rPr>
          <w:rFonts w:ascii="Times New Roman" w:cs="Times New Roman"/>
        </w:rPr>
        <w:t>Td≤T</w:t>
      </w:r>
      <w:r w:rsidRPr="00D630D1">
        <w:rPr>
          <w:rFonts w:ascii="Times New Roman" w:cs="Times New Roman"/>
        </w:rPr>
        <w:t>时，可被认为是瞬时排放的。</w:t>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t>通过计算得出</w:t>
      </w:r>
      <w:r w:rsidRPr="00D630D1">
        <w:rPr>
          <w:rFonts w:ascii="Times New Roman" w:cs="Times New Roman"/>
        </w:rPr>
        <w:t>T=133.3s</w:t>
      </w:r>
      <w:r w:rsidRPr="00D630D1">
        <w:rPr>
          <w:rFonts w:ascii="Times New Roman" w:cs="Times New Roman"/>
        </w:rPr>
        <w:t>。</w:t>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t>而本次评价确定天然气取泄漏事故排放时间为</w:t>
      </w:r>
      <w:r w:rsidRPr="00D630D1">
        <w:rPr>
          <w:rFonts w:ascii="Times New Roman" w:cs="Times New Roman" w:hint="eastAsia"/>
        </w:rPr>
        <w:t>900</w:t>
      </w:r>
      <w:r w:rsidRPr="00D630D1">
        <w:rPr>
          <w:rFonts w:ascii="Times New Roman" w:cs="Times New Roman"/>
        </w:rPr>
        <w:t>s</w:t>
      </w:r>
      <w:r w:rsidRPr="00D630D1">
        <w:rPr>
          <w:rFonts w:ascii="Times New Roman" w:cs="Times New Roman"/>
        </w:rPr>
        <w:t>，因此，</w:t>
      </w:r>
      <w:r w:rsidRPr="00D630D1">
        <w:rPr>
          <w:rFonts w:ascii="Times New Roman" w:cs="Times New Roman"/>
        </w:rPr>
        <w:t>Td</w:t>
      </w:r>
      <w:r w:rsidR="009025F1" w:rsidRPr="00D630D1">
        <w:rPr>
          <w:rFonts w:ascii="Times New Roman" w:cs="Times New Roman"/>
        </w:rPr>
        <w:t>＞</w:t>
      </w:r>
      <w:r w:rsidRPr="00D630D1">
        <w:rPr>
          <w:rFonts w:ascii="Times New Roman" w:cs="Times New Roman"/>
        </w:rPr>
        <w:t>T</w:t>
      </w:r>
      <w:r w:rsidRPr="00D630D1">
        <w:rPr>
          <w:rFonts w:ascii="Times New Roman" w:cs="Times New Roman"/>
        </w:rPr>
        <w:t>，为</w:t>
      </w:r>
      <w:r w:rsidR="009025F1" w:rsidRPr="00D630D1">
        <w:rPr>
          <w:rFonts w:ascii="Times New Roman" w:cs="Times New Roman" w:hint="eastAsia"/>
        </w:rPr>
        <w:t>连续</w:t>
      </w:r>
      <w:r w:rsidRPr="00D630D1">
        <w:rPr>
          <w:rFonts w:ascii="Times New Roman" w:cs="Times New Roman"/>
        </w:rPr>
        <w:t>排放。</w:t>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hAnsi="宋体" w:cs="Times New Roman"/>
        </w:rPr>
        <w:t>②</w:t>
      </w:r>
      <w:r w:rsidRPr="00D630D1">
        <w:rPr>
          <w:rFonts w:ascii="Times New Roman" w:cs="Times New Roman"/>
        </w:rPr>
        <w:t>轻质</w:t>
      </w:r>
      <w:r w:rsidRPr="00D630D1">
        <w:rPr>
          <w:rFonts w:ascii="Times New Roman" w:cs="Times New Roman"/>
        </w:rPr>
        <w:t>/</w:t>
      </w:r>
      <w:r w:rsidRPr="00D630D1">
        <w:rPr>
          <w:rFonts w:ascii="Times New Roman" w:cs="Times New Roman"/>
        </w:rPr>
        <w:t>重质气体的判定</w:t>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t>根据《建设项目环境风险评价技术导则》（</w:t>
      </w:r>
      <w:r w:rsidRPr="00D630D1">
        <w:rPr>
          <w:rFonts w:ascii="Times New Roman" w:cs="Times New Roman"/>
        </w:rPr>
        <w:t>HJ169-2018</w:t>
      </w:r>
      <w:r w:rsidRPr="00D630D1">
        <w:rPr>
          <w:rFonts w:ascii="Times New Roman" w:cs="Times New Roman"/>
        </w:rPr>
        <w:t>），判定烟团</w:t>
      </w:r>
      <w:r w:rsidRPr="00D630D1">
        <w:rPr>
          <w:rFonts w:ascii="Times New Roman" w:cs="Times New Roman"/>
        </w:rPr>
        <w:t>/</w:t>
      </w:r>
      <w:r w:rsidRPr="00D630D1">
        <w:rPr>
          <w:rFonts w:ascii="Times New Roman" w:cs="Times New Roman"/>
        </w:rPr>
        <w:t>烟羽是否为重质气体，取决于它相对空气的</w:t>
      </w:r>
      <w:r w:rsidRPr="00D630D1">
        <w:rPr>
          <w:rFonts w:ascii="Times New Roman" w:cs="Times New Roman"/>
        </w:rPr>
        <w:t>“</w:t>
      </w:r>
      <w:r w:rsidRPr="00D630D1">
        <w:rPr>
          <w:rFonts w:ascii="Times New Roman" w:cs="Times New Roman"/>
        </w:rPr>
        <w:t>过剩密度</w:t>
      </w:r>
      <w:r w:rsidRPr="00D630D1">
        <w:rPr>
          <w:rFonts w:ascii="Times New Roman" w:cs="Times New Roman"/>
        </w:rPr>
        <w:t>”</w:t>
      </w:r>
      <w:r w:rsidRPr="00D630D1">
        <w:rPr>
          <w:rFonts w:ascii="Times New Roman" w:cs="Times New Roman"/>
        </w:rPr>
        <w:t>和环境条件等因素。通常采用理查德森数（</w:t>
      </w:r>
      <w:r w:rsidRPr="00D630D1">
        <w:rPr>
          <w:rFonts w:ascii="Times New Roman" w:cs="Times New Roman"/>
        </w:rPr>
        <w:t>Ri</w:t>
      </w:r>
      <w:r w:rsidRPr="00D630D1">
        <w:rPr>
          <w:rFonts w:ascii="Times New Roman" w:cs="Times New Roman"/>
        </w:rPr>
        <w:t>）作为标准进行判断，</w:t>
      </w:r>
      <w:r w:rsidRPr="00D630D1">
        <w:rPr>
          <w:rFonts w:ascii="Times New Roman" w:cs="Times New Roman"/>
        </w:rPr>
        <w:t>Ri</w:t>
      </w:r>
      <w:r w:rsidRPr="00D630D1">
        <w:rPr>
          <w:rFonts w:ascii="Times New Roman" w:cs="Times New Roman"/>
        </w:rPr>
        <w:t>的概念公示为：</w:t>
      </w:r>
    </w:p>
    <w:p w:rsidR="00350739" w:rsidRPr="00D630D1" w:rsidRDefault="00350739" w:rsidP="00350739">
      <w:pPr>
        <w:tabs>
          <w:tab w:val="left" w:pos="5925"/>
        </w:tabs>
        <w:overflowPunct w:val="0"/>
        <w:autoSpaceDE w:val="0"/>
        <w:ind w:firstLine="480"/>
        <w:jc w:val="center"/>
        <w:rPr>
          <w:rFonts w:ascii="Times New Roman" w:cs="Times New Roman"/>
        </w:rPr>
      </w:pPr>
      <w:r w:rsidRPr="00D630D1">
        <w:rPr>
          <w:rFonts w:ascii="Times New Roman" w:cs="Times New Roman"/>
          <w:noProof/>
        </w:rPr>
        <w:drawing>
          <wp:inline distT="0" distB="0" distL="0" distR="0">
            <wp:extent cx="1735455" cy="550545"/>
            <wp:effectExtent l="19050" t="0" r="0" b="0"/>
            <wp:docPr id="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26" cstate="print"/>
                    <a:srcRect/>
                    <a:stretch>
                      <a:fillRect/>
                    </a:stretch>
                  </pic:blipFill>
                  <pic:spPr bwMode="auto">
                    <a:xfrm>
                      <a:off x="0" y="0"/>
                      <a:ext cx="1735455" cy="550545"/>
                    </a:xfrm>
                    <a:prstGeom prst="rect">
                      <a:avLst/>
                    </a:prstGeom>
                    <a:noFill/>
                    <a:ln w="9525">
                      <a:noFill/>
                      <a:miter lim="800000"/>
                      <a:headEnd/>
                      <a:tailEnd/>
                    </a:ln>
                  </pic:spPr>
                </pic:pic>
              </a:graphicData>
            </a:graphic>
          </wp:inline>
        </w:drawing>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t>连续排放的公式为：</w:t>
      </w:r>
    </w:p>
    <w:p w:rsidR="00350739" w:rsidRPr="00D630D1" w:rsidRDefault="00350739" w:rsidP="00350739">
      <w:pPr>
        <w:tabs>
          <w:tab w:val="left" w:pos="5925"/>
        </w:tabs>
        <w:overflowPunct w:val="0"/>
        <w:autoSpaceDE w:val="0"/>
        <w:ind w:firstLine="480"/>
        <w:jc w:val="center"/>
        <w:rPr>
          <w:rFonts w:ascii="Times New Roman" w:cs="Times New Roman"/>
        </w:rPr>
      </w:pPr>
      <w:r w:rsidRPr="00D630D1">
        <w:rPr>
          <w:rFonts w:ascii="Times New Roman" w:cs="Times New Roman"/>
          <w:noProof/>
        </w:rPr>
        <w:drawing>
          <wp:inline distT="0" distB="0" distL="0" distR="0">
            <wp:extent cx="2014855" cy="643255"/>
            <wp:effectExtent l="19050" t="0" r="4445" b="0"/>
            <wp:docPr id="21" name="图片 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87"/>
                    <pic:cNvPicPr>
                      <a:picLocks noChangeAspect="1" noChangeArrowheads="1"/>
                    </pic:cNvPicPr>
                  </pic:nvPicPr>
                  <pic:blipFill>
                    <a:blip r:embed="rId127" cstate="print"/>
                    <a:srcRect/>
                    <a:stretch>
                      <a:fillRect/>
                    </a:stretch>
                  </pic:blipFill>
                  <pic:spPr bwMode="auto">
                    <a:xfrm>
                      <a:off x="0" y="0"/>
                      <a:ext cx="2014855" cy="643255"/>
                    </a:xfrm>
                    <a:prstGeom prst="rect">
                      <a:avLst/>
                    </a:prstGeom>
                    <a:noFill/>
                    <a:ln w="9525">
                      <a:noFill/>
                      <a:miter lim="800000"/>
                      <a:headEnd/>
                      <a:tailEnd/>
                    </a:ln>
                  </pic:spPr>
                </pic:pic>
              </a:graphicData>
            </a:graphic>
          </wp:inline>
        </w:drawing>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t>式中：</w:t>
      </w:r>
      <w:r w:rsidRPr="00D630D1">
        <w:rPr>
          <w:rFonts w:ascii="Times New Roman" w:cs="Times New Roman"/>
        </w:rPr>
        <w:t>ρrel—</w:t>
      </w:r>
      <w:r w:rsidRPr="00D630D1">
        <w:rPr>
          <w:rFonts w:ascii="Times New Roman" w:cs="Times New Roman"/>
        </w:rPr>
        <w:t>排放物质进入大气的初始密度，</w:t>
      </w:r>
      <w:r w:rsidRPr="00D630D1">
        <w:rPr>
          <w:rFonts w:ascii="Times New Roman" w:cs="Times New Roman"/>
        </w:rPr>
        <w:t>kg/m</w:t>
      </w:r>
      <w:r w:rsidRPr="00D630D1">
        <w:rPr>
          <w:rFonts w:ascii="Times New Roman" w:cs="Times New Roman"/>
          <w:vertAlign w:val="superscript"/>
        </w:rPr>
        <w:t>3</w:t>
      </w:r>
      <w:r w:rsidRPr="00D630D1">
        <w:rPr>
          <w:rFonts w:ascii="Times New Roman" w:cs="Times New Roman"/>
        </w:rPr>
        <w:t>，天然气取</w:t>
      </w:r>
      <w:r w:rsidRPr="00D630D1">
        <w:rPr>
          <w:rFonts w:ascii="Times New Roman" w:cs="Times New Roman"/>
        </w:rPr>
        <w:t>0.7</w:t>
      </w:r>
      <w:r w:rsidR="009025F1" w:rsidRPr="00D630D1">
        <w:rPr>
          <w:rFonts w:ascii="Times New Roman" w:cs="Times New Roman" w:hint="eastAsia"/>
        </w:rPr>
        <w:t>012</w:t>
      </w:r>
      <w:r w:rsidRPr="00D630D1">
        <w:rPr>
          <w:rFonts w:ascii="Times New Roman" w:cs="Times New Roman"/>
        </w:rPr>
        <w:t>；</w:t>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t>ρa—</w:t>
      </w:r>
      <w:r w:rsidRPr="00D630D1">
        <w:rPr>
          <w:rFonts w:ascii="Times New Roman" w:cs="Times New Roman"/>
        </w:rPr>
        <w:t>环境空气密度，</w:t>
      </w:r>
      <w:r w:rsidRPr="00D630D1">
        <w:rPr>
          <w:rFonts w:ascii="Times New Roman" w:cs="Times New Roman"/>
        </w:rPr>
        <w:t>kg/m</w:t>
      </w:r>
      <w:r w:rsidRPr="00D630D1">
        <w:rPr>
          <w:rFonts w:ascii="Times New Roman" w:cs="Times New Roman"/>
          <w:vertAlign w:val="superscript"/>
        </w:rPr>
        <w:t>3</w:t>
      </w:r>
      <w:r w:rsidRPr="00D630D1">
        <w:rPr>
          <w:rFonts w:ascii="Times New Roman" w:cs="Times New Roman"/>
        </w:rPr>
        <w:t>，取</w:t>
      </w:r>
      <w:r w:rsidRPr="00D630D1">
        <w:rPr>
          <w:rFonts w:ascii="Times New Roman" w:cs="Times New Roman"/>
        </w:rPr>
        <w:t>1.29</w:t>
      </w:r>
      <w:r w:rsidRPr="00D630D1">
        <w:rPr>
          <w:rFonts w:ascii="Times New Roman" w:cs="Times New Roman"/>
        </w:rPr>
        <w:t>；</w:t>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t>Q—</w:t>
      </w:r>
      <w:r w:rsidRPr="00D630D1">
        <w:rPr>
          <w:rFonts w:ascii="Times New Roman" w:cs="Times New Roman"/>
        </w:rPr>
        <w:t>连续排放烟羽的排放速率，</w:t>
      </w:r>
      <w:r w:rsidRPr="00D630D1">
        <w:rPr>
          <w:rFonts w:ascii="Times New Roman" w:cs="Times New Roman"/>
        </w:rPr>
        <w:t>kg/s</w:t>
      </w:r>
      <w:r w:rsidRPr="00D630D1">
        <w:rPr>
          <w:rFonts w:ascii="Times New Roman" w:cs="Times New Roman"/>
        </w:rPr>
        <w:t>；</w:t>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t>Drel—</w:t>
      </w:r>
      <w:r w:rsidRPr="00D630D1">
        <w:rPr>
          <w:rFonts w:ascii="Times New Roman" w:cs="Times New Roman"/>
        </w:rPr>
        <w:t>初始的烟团宽度，即源直径，</w:t>
      </w:r>
      <w:r w:rsidRPr="00D630D1">
        <w:rPr>
          <w:rFonts w:ascii="Times New Roman" w:cs="Times New Roman"/>
        </w:rPr>
        <w:t>m</w:t>
      </w:r>
      <w:r w:rsidRPr="00D630D1">
        <w:rPr>
          <w:rFonts w:ascii="Times New Roman" w:cs="Times New Roman"/>
        </w:rPr>
        <w:t>；</w:t>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t>Ur—10m</w:t>
      </w:r>
      <w:r w:rsidRPr="00D630D1">
        <w:rPr>
          <w:rFonts w:ascii="Times New Roman" w:cs="Times New Roman"/>
        </w:rPr>
        <w:t>高处风速，</w:t>
      </w:r>
      <w:r w:rsidRPr="00D630D1">
        <w:rPr>
          <w:rFonts w:ascii="Times New Roman" w:cs="Times New Roman"/>
        </w:rPr>
        <w:t>m/s</w:t>
      </w:r>
      <w:r w:rsidRPr="00D630D1">
        <w:rPr>
          <w:rFonts w:ascii="Times New Roman" w:cs="Times New Roman"/>
        </w:rPr>
        <w:t>，取</w:t>
      </w:r>
      <w:r w:rsidRPr="00D630D1">
        <w:rPr>
          <w:rFonts w:ascii="Times New Roman" w:cs="Times New Roman"/>
        </w:rPr>
        <w:t>1.5m/s</w:t>
      </w:r>
      <w:r w:rsidRPr="00D630D1">
        <w:rPr>
          <w:rFonts w:ascii="Times New Roman" w:cs="Times New Roman"/>
        </w:rPr>
        <w:t>；</w:t>
      </w:r>
    </w:p>
    <w:p w:rsidR="00350739" w:rsidRPr="00D630D1" w:rsidRDefault="00350739" w:rsidP="00350739">
      <w:pPr>
        <w:tabs>
          <w:tab w:val="left" w:pos="5925"/>
        </w:tabs>
        <w:overflowPunct w:val="0"/>
        <w:autoSpaceDE w:val="0"/>
        <w:ind w:firstLine="480"/>
        <w:rPr>
          <w:rFonts w:ascii="Times New Roman" w:cs="Times New Roman"/>
        </w:rPr>
      </w:pPr>
      <w:r w:rsidRPr="00D630D1">
        <w:rPr>
          <w:rFonts w:ascii="Times New Roman" w:cs="Times New Roman"/>
        </w:rPr>
        <w:t>根据</w:t>
      </w:r>
      <w:r w:rsidRPr="00D630D1">
        <w:rPr>
          <w:rFonts w:ascii="Times New Roman" w:cs="Times New Roman"/>
        </w:rPr>
        <w:t>AERMOD</w:t>
      </w:r>
      <w:r w:rsidRPr="00D630D1">
        <w:rPr>
          <w:rFonts w:ascii="Times New Roman" w:cs="Times New Roman"/>
        </w:rPr>
        <w:t>风险源强估算模式计算得出：天然气烟团初始密度未大于空气密度，不计算理查德森数，即属于轻质气体。因此，天然气扩散计算采用</w:t>
      </w:r>
      <w:r w:rsidRPr="00D630D1">
        <w:rPr>
          <w:rFonts w:ascii="Times New Roman" w:cs="Times New Roman"/>
        </w:rPr>
        <w:t>AFTOX</w:t>
      </w:r>
      <w:r w:rsidRPr="00D630D1">
        <w:rPr>
          <w:rFonts w:ascii="Times New Roman" w:cs="Times New Roman"/>
        </w:rPr>
        <w:t>模式。</w:t>
      </w:r>
    </w:p>
    <w:p w:rsidR="00350739" w:rsidRPr="00D630D1" w:rsidRDefault="00350739" w:rsidP="00350739">
      <w:pPr>
        <w:spacing w:before="24"/>
        <w:ind w:firstLine="482"/>
        <w:rPr>
          <w:rFonts w:ascii="Times New Roman" w:cs="Times New Roman"/>
          <w:b/>
        </w:rPr>
      </w:pPr>
      <w:r w:rsidRPr="00D630D1">
        <w:rPr>
          <w:rFonts w:ascii="Times New Roman" w:cs="Times New Roman"/>
          <w:b/>
        </w:rPr>
        <w:t>（</w:t>
      </w:r>
      <w:r w:rsidRPr="00D630D1">
        <w:rPr>
          <w:rFonts w:ascii="Times New Roman" w:cs="Times New Roman"/>
          <w:b/>
          <w:bCs/>
        </w:rPr>
        <w:t>2</w:t>
      </w:r>
      <w:r w:rsidRPr="00D630D1">
        <w:rPr>
          <w:rFonts w:ascii="Times New Roman" w:cs="Times New Roman"/>
          <w:b/>
        </w:rPr>
        <w:t>）预测范围与计算点、预测时段</w:t>
      </w:r>
    </w:p>
    <w:p w:rsidR="00350739" w:rsidRPr="00D630D1" w:rsidRDefault="00350739" w:rsidP="00350739">
      <w:pPr>
        <w:spacing w:before="24"/>
        <w:ind w:firstLine="480"/>
        <w:rPr>
          <w:rFonts w:ascii="Times New Roman" w:cs="Times New Roman"/>
        </w:rPr>
      </w:pPr>
      <w:r w:rsidRPr="00D630D1">
        <w:rPr>
          <w:rFonts w:ascii="Times New Roman" w:cs="Times New Roman"/>
        </w:rPr>
        <w:t>预测范围</w:t>
      </w:r>
      <w:r w:rsidRPr="00D630D1">
        <w:rPr>
          <w:rFonts w:ascii="Times New Roman" w:cs="Times New Roman"/>
        </w:rPr>
        <w:t>5km</w:t>
      </w:r>
      <w:r w:rsidRPr="00D630D1">
        <w:rPr>
          <w:rFonts w:ascii="Times New Roman" w:cs="Times New Roman"/>
        </w:rPr>
        <w:t>。特殊计算点为</w:t>
      </w:r>
      <w:r w:rsidRPr="00D630D1">
        <w:rPr>
          <w:rFonts w:ascii="Times New Roman" w:cs="Times New Roman"/>
        </w:rPr>
        <w:t>5km</w:t>
      </w:r>
      <w:r w:rsidRPr="00D630D1">
        <w:rPr>
          <w:rFonts w:ascii="Times New Roman" w:cs="Times New Roman"/>
        </w:rPr>
        <w:t>内大气环境敏感目标，一般计算点设置</w:t>
      </w:r>
      <w:r w:rsidRPr="00D630D1">
        <w:rPr>
          <w:rFonts w:ascii="Times New Roman" w:cs="Times New Roman"/>
        </w:rPr>
        <w:t>100m</w:t>
      </w:r>
      <w:r w:rsidRPr="00D630D1">
        <w:rPr>
          <w:rFonts w:ascii="Times New Roman" w:cs="Times New Roman"/>
        </w:rPr>
        <w:t>间距。</w:t>
      </w:r>
    </w:p>
    <w:p w:rsidR="00350739" w:rsidRPr="00D630D1" w:rsidRDefault="00350739" w:rsidP="00350739">
      <w:pPr>
        <w:spacing w:before="24"/>
        <w:ind w:firstLine="480"/>
        <w:rPr>
          <w:rFonts w:ascii="Times New Roman" w:cs="Times New Roman"/>
        </w:rPr>
      </w:pPr>
      <w:r w:rsidRPr="00D630D1">
        <w:rPr>
          <w:rFonts w:ascii="Times New Roman" w:cs="Times New Roman"/>
        </w:rPr>
        <w:t>预测时段：</w:t>
      </w:r>
      <w:r w:rsidRPr="00D630D1">
        <w:rPr>
          <w:rFonts w:ascii="Times New Roman" w:cs="Times New Roman"/>
        </w:rPr>
        <w:t>[0</w:t>
      </w:r>
      <w:r w:rsidRPr="00D630D1">
        <w:rPr>
          <w:rFonts w:ascii="Times New Roman" w:cs="Times New Roman"/>
        </w:rPr>
        <w:t>，</w:t>
      </w:r>
      <w:r w:rsidRPr="00D630D1">
        <w:rPr>
          <w:rFonts w:ascii="Times New Roman" w:cs="Times New Roman"/>
        </w:rPr>
        <w:t>3600s]60s</w:t>
      </w:r>
      <w:r w:rsidRPr="00D630D1">
        <w:rPr>
          <w:rFonts w:ascii="Times New Roman" w:cs="Times New Roman"/>
        </w:rPr>
        <w:t>，预测时间</w:t>
      </w:r>
      <w:r w:rsidRPr="00D630D1">
        <w:rPr>
          <w:rFonts w:ascii="Times New Roman" w:cs="Times New Roman"/>
        </w:rPr>
        <w:t>1</w:t>
      </w:r>
      <w:r w:rsidRPr="00D630D1">
        <w:rPr>
          <w:rFonts w:ascii="Times New Roman" w:cs="Times New Roman"/>
        </w:rPr>
        <w:t>小时，间隔</w:t>
      </w:r>
      <w:r w:rsidRPr="00D630D1">
        <w:rPr>
          <w:rFonts w:ascii="Times New Roman" w:cs="Times New Roman"/>
        </w:rPr>
        <w:t>60</w:t>
      </w:r>
      <w:r w:rsidRPr="00D630D1">
        <w:rPr>
          <w:rFonts w:ascii="Times New Roman" w:cs="Times New Roman"/>
        </w:rPr>
        <w:t>秒。</w:t>
      </w:r>
      <w:r w:rsidRPr="00D630D1">
        <w:rPr>
          <w:rFonts w:ascii="Times New Roman" w:cs="Times New Roman"/>
        </w:rPr>
        <w:t xml:space="preserve"> </w:t>
      </w:r>
    </w:p>
    <w:p w:rsidR="00350739" w:rsidRPr="00D630D1" w:rsidRDefault="00350739" w:rsidP="00350739">
      <w:pPr>
        <w:spacing w:before="24"/>
        <w:ind w:firstLine="482"/>
        <w:rPr>
          <w:rFonts w:ascii="Times New Roman" w:cs="Times New Roman"/>
          <w:b/>
        </w:rPr>
      </w:pPr>
      <w:r w:rsidRPr="00D630D1">
        <w:rPr>
          <w:rFonts w:ascii="Times New Roman" w:cs="Times New Roman"/>
          <w:b/>
        </w:rPr>
        <w:t>（</w:t>
      </w:r>
      <w:r w:rsidRPr="00D630D1">
        <w:rPr>
          <w:rFonts w:ascii="Times New Roman" w:cs="Times New Roman"/>
          <w:b/>
          <w:bCs/>
        </w:rPr>
        <w:t>3</w:t>
      </w:r>
      <w:r w:rsidRPr="00D630D1">
        <w:rPr>
          <w:rFonts w:ascii="Times New Roman" w:cs="Times New Roman"/>
          <w:b/>
        </w:rPr>
        <w:t>）气象参数</w:t>
      </w:r>
    </w:p>
    <w:p w:rsidR="00ED6C9B" w:rsidRPr="00D630D1" w:rsidRDefault="00350739" w:rsidP="00350739">
      <w:pPr>
        <w:pStyle w:val="afffffff4"/>
        <w:ind w:firstLine="480"/>
      </w:pPr>
      <w:r w:rsidRPr="00D630D1">
        <w:t>二级评价，需选取最不利气象条件进行后果预测。最不利气象条件取</w:t>
      </w:r>
      <w:r w:rsidRPr="00D630D1">
        <w:t>F</w:t>
      </w:r>
      <w:r w:rsidRPr="00D630D1">
        <w:t>类稳定度，</w:t>
      </w:r>
      <w:r w:rsidRPr="00D630D1">
        <w:t>1.5m/s</w:t>
      </w:r>
      <w:r w:rsidRPr="00D630D1">
        <w:t>风速，温度</w:t>
      </w:r>
      <w:r w:rsidRPr="00D630D1">
        <w:t>25 ℃</w:t>
      </w:r>
      <w:r w:rsidRPr="00D630D1">
        <w:t>，相对湿度</w:t>
      </w:r>
      <w:r w:rsidRPr="00D630D1">
        <w:t>50%</w:t>
      </w:r>
      <w:r w:rsidRPr="00D630D1">
        <w:t>。</w:t>
      </w:r>
    </w:p>
    <w:p w:rsidR="009025F1" w:rsidRPr="00D630D1" w:rsidRDefault="009025F1" w:rsidP="009025F1">
      <w:pPr>
        <w:topLinePunct w:val="0"/>
        <w:adjustRightInd/>
        <w:snapToGrid w:val="0"/>
        <w:spacing w:line="500" w:lineRule="exact"/>
        <w:ind w:firstLine="422"/>
        <w:jc w:val="center"/>
        <w:rPr>
          <w:rFonts w:ascii="Times New Roman" w:cs="Times New Roman"/>
          <w:b/>
          <w:kern w:val="2"/>
          <w:sz w:val="21"/>
          <w:szCs w:val="21"/>
        </w:rPr>
      </w:pPr>
      <w:r w:rsidRPr="00D630D1">
        <w:rPr>
          <w:rFonts w:ascii="Times New Roman" w:cs="Times New Roman"/>
          <w:b/>
          <w:kern w:val="2"/>
          <w:sz w:val="21"/>
          <w:szCs w:val="21"/>
        </w:rPr>
        <w:lastRenderedPageBreak/>
        <w:t>表</w:t>
      </w:r>
      <w:r w:rsidR="00550C06" w:rsidRPr="00D630D1">
        <w:rPr>
          <w:rFonts w:ascii="Times New Roman" w:cs="Times New Roman" w:hint="eastAsia"/>
          <w:b/>
          <w:kern w:val="2"/>
          <w:sz w:val="21"/>
          <w:szCs w:val="21"/>
        </w:rPr>
        <w:t>7</w:t>
      </w:r>
      <w:r w:rsidRPr="00D630D1">
        <w:rPr>
          <w:rFonts w:ascii="Times New Roman" w:cs="Times New Roman"/>
          <w:b/>
          <w:kern w:val="2"/>
          <w:sz w:val="21"/>
          <w:szCs w:val="21"/>
        </w:rPr>
        <w:t>.</w:t>
      </w:r>
      <w:r w:rsidR="00550C06" w:rsidRPr="00D630D1">
        <w:rPr>
          <w:rFonts w:ascii="Times New Roman" w:cs="Times New Roman" w:hint="eastAsia"/>
          <w:b/>
          <w:kern w:val="2"/>
          <w:sz w:val="21"/>
          <w:szCs w:val="21"/>
        </w:rPr>
        <w:t>8</w:t>
      </w:r>
      <w:r w:rsidRPr="00D630D1">
        <w:rPr>
          <w:rFonts w:ascii="Times New Roman" w:cs="Times New Roman"/>
          <w:b/>
          <w:kern w:val="2"/>
          <w:sz w:val="21"/>
          <w:szCs w:val="21"/>
        </w:rPr>
        <w:t xml:space="preserve">-1  </w:t>
      </w:r>
      <w:r w:rsidRPr="00D630D1">
        <w:rPr>
          <w:rFonts w:ascii="Times New Roman" w:cs="Times New Roman"/>
          <w:b/>
          <w:kern w:val="2"/>
          <w:sz w:val="21"/>
          <w:szCs w:val="21"/>
        </w:rPr>
        <w:t>大气风险预测模型筛选参数</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4A0"/>
      </w:tblPr>
      <w:tblGrid>
        <w:gridCol w:w="2133"/>
        <w:gridCol w:w="2150"/>
        <w:gridCol w:w="4239"/>
      </w:tblGrid>
      <w:tr w:rsidR="009025F1" w:rsidRPr="00D630D1" w:rsidTr="009025F1">
        <w:trPr>
          <w:trHeight w:val="225"/>
          <w:jc w:val="center"/>
        </w:trPr>
        <w:tc>
          <w:tcPr>
            <w:tcW w:w="2300"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
                <w:bCs/>
                <w:kern w:val="2"/>
                <w:sz w:val="21"/>
                <w:szCs w:val="21"/>
              </w:rPr>
            </w:pPr>
            <w:r w:rsidRPr="00D630D1">
              <w:rPr>
                <w:rFonts w:ascii="Times New Roman" w:cs="Times New Roman"/>
                <w:b/>
                <w:bCs/>
                <w:kern w:val="2"/>
                <w:sz w:val="21"/>
                <w:szCs w:val="21"/>
              </w:rPr>
              <w:t>参数类型</w:t>
            </w:r>
          </w:p>
        </w:tc>
        <w:tc>
          <w:tcPr>
            <w:tcW w:w="2318"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
                <w:bCs/>
                <w:kern w:val="2"/>
                <w:sz w:val="21"/>
                <w:szCs w:val="21"/>
              </w:rPr>
            </w:pPr>
            <w:r w:rsidRPr="00D630D1">
              <w:rPr>
                <w:rFonts w:ascii="Times New Roman" w:cs="Times New Roman"/>
                <w:b/>
                <w:bCs/>
                <w:kern w:val="2"/>
                <w:sz w:val="21"/>
                <w:szCs w:val="21"/>
              </w:rPr>
              <w:t>选型</w:t>
            </w:r>
          </w:p>
        </w:tc>
        <w:tc>
          <w:tcPr>
            <w:tcW w:w="4590"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
                <w:bCs/>
                <w:kern w:val="2"/>
                <w:sz w:val="21"/>
                <w:szCs w:val="21"/>
              </w:rPr>
            </w:pPr>
            <w:r w:rsidRPr="00D630D1">
              <w:rPr>
                <w:rFonts w:ascii="Times New Roman" w:cs="Times New Roman"/>
                <w:b/>
                <w:bCs/>
                <w:kern w:val="2"/>
                <w:sz w:val="21"/>
                <w:szCs w:val="21"/>
              </w:rPr>
              <w:t>参数</w:t>
            </w:r>
          </w:p>
        </w:tc>
      </w:tr>
      <w:tr w:rsidR="009025F1" w:rsidRPr="00D630D1" w:rsidTr="009025F1">
        <w:trPr>
          <w:trHeight w:val="257"/>
          <w:jc w:val="center"/>
        </w:trPr>
        <w:tc>
          <w:tcPr>
            <w:tcW w:w="2300" w:type="dxa"/>
            <w:vMerge w:val="restart"/>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基本情况</w:t>
            </w:r>
          </w:p>
        </w:tc>
        <w:tc>
          <w:tcPr>
            <w:tcW w:w="2318"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事故物质</w:t>
            </w:r>
          </w:p>
        </w:tc>
        <w:tc>
          <w:tcPr>
            <w:tcW w:w="4590"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甲烷</w:t>
            </w:r>
          </w:p>
        </w:tc>
      </w:tr>
      <w:tr w:rsidR="009025F1" w:rsidRPr="00D630D1" w:rsidTr="009025F1">
        <w:trPr>
          <w:trHeight w:val="119"/>
          <w:jc w:val="center"/>
        </w:trPr>
        <w:tc>
          <w:tcPr>
            <w:tcW w:w="2300" w:type="dxa"/>
            <w:vMerge/>
            <w:vAlign w:val="center"/>
          </w:tcPr>
          <w:p w:rsidR="009025F1" w:rsidRPr="00D630D1" w:rsidRDefault="009025F1" w:rsidP="009025F1">
            <w:pPr>
              <w:widowControl/>
              <w:topLinePunct w:val="0"/>
              <w:adjustRightInd/>
              <w:spacing w:line="240" w:lineRule="exact"/>
              <w:ind w:firstLine="420"/>
              <w:jc w:val="center"/>
              <w:rPr>
                <w:rFonts w:ascii="Times New Roman" w:cs="Times New Roman"/>
                <w:bCs/>
                <w:kern w:val="2"/>
                <w:sz w:val="21"/>
                <w:szCs w:val="21"/>
              </w:rPr>
            </w:pPr>
          </w:p>
        </w:tc>
        <w:tc>
          <w:tcPr>
            <w:tcW w:w="2318"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事故源类型</w:t>
            </w:r>
          </w:p>
        </w:tc>
        <w:tc>
          <w:tcPr>
            <w:tcW w:w="4590"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泄漏</w:t>
            </w:r>
          </w:p>
        </w:tc>
      </w:tr>
      <w:tr w:rsidR="009025F1" w:rsidRPr="00D630D1" w:rsidTr="009025F1">
        <w:trPr>
          <w:trHeight w:val="151"/>
          <w:jc w:val="center"/>
        </w:trPr>
        <w:tc>
          <w:tcPr>
            <w:tcW w:w="2300" w:type="dxa"/>
            <w:vMerge w:val="restart"/>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气象参数</w:t>
            </w:r>
          </w:p>
        </w:tc>
        <w:tc>
          <w:tcPr>
            <w:tcW w:w="2318"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气象条件类型</w:t>
            </w:r>
          </w:p>
        </w:tc>
        <w:tc>
          <w:tcPr>
            <w:tcW w:w="4590"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最不利气象</w:t>
            </w:r>
          </w:p>
        </w:tc>
      </w:tr>
      <w:tr w:rsidR="009025F1" w:rsidRPr="00D630D1" w:rsidTr="009025F1">
        <w:trPr>
          <w:trHeight w:val="169"/>
          <w:jc w:val="center"/>
        </w:trPr>
        <w:tc>
          <w:tcPr>
            <w:tcW w:w="2300" w:type="dxa"/>
            <w:vMerge/>
            <w:vAlign w:val="center"/>
          </w:tcPr>
          <w:p w:rsidR="009025F1" w:rsidRPr="00D630D1" w:rsidRDefault="009025F1" w:rsidP="009025F1">
            <w:pPr>
              <w:topLinePunct w:val="0"/>
              <w:snapToGrid w:val="0"/>
              <w:spacing w:line="240" w:lineRule="exact"/>
              <w:ind w:firstLine="420"/>
              <w:jc w:val="center"/>
              <w:rPr>
                <w:rFonts w:ascii="Times New Roman" w:cs="Times New Roman"/>
                <w:bCs/>
                <w:kern w:val="2"/>
                <w:sz w:val="21"/>
                <w:szCs w:val="21"/>
              </w:rPr>
            </w:pPr>
          </w:p>
        </w:tc>
        <w:tc>
          <w:tcPr>
            <w:tcW w:w="2318"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风速（</w:t>
            </w:r>
            <w:r w:rsidRPr="00D630D1">
              <w:rPr>
                <w:rFonts w:ascii="Times New Roman" w:cs="Times New Roman"/>
                <w:bCs/>
                <w:kern w:val="2"/>
                <w:sz w:val="21"/>
                <w:szCs w:val="21"/>
              </w:rPr>
              <w:t>m/s</w:t>
            </w:r>
            <w:r w:rsidRPr="00D630D1">
              <w:rPr>
                <w:rFonts w:ascii="Times New Roman" w:cs="Times New Roman"/>
                <w:bCs/>
                <w:kern w:val="2"/>
                <w:sz w:val="21"/>
                <w:szCs w:val="21"/>
              </w:rPr>
              <w:t>）</w:t>
            </w:r>
          </w:p>
        </w:tc>
        <w:tc>
          <w:tcPr>
            <w:tcW w:w="4590"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1.</w:t>
            </w:r>
            <w:r w:rsidRPr="00D630D1">
              <w:rPr>
                <w:rFonts w:ascii="Times New Roman" w:cs="Times New Roman" w:hint="eastAsia"/>
                <w:bCs/>
                <w:kern w:val="2"/>
                <w:sz w:val="21"/>
                <w:szCs w:val="21"/>
              </w:rPr>
              <w:t>5</w:t>
            </w:r>
          </w:p>
        </w:tc>
      </w:tr>
      <w:tr w:rsidR="009025F1" w:rsidRPr="00D630D1" w:rsidTr="009025F1">
        <w:trPr>
          <w:trHeight w:val="215"/>
          <w:jc w:val="center"/>
        </w:trPr>
        <w:tc>
          <w:tcPr>
            <w:tcW w:w="2300" w:type="dxa"/>
            <w:vMerge/>
            <w:vAlign w:val="center"/>
          </w:tcPr>
          <w:p w:rsidR="009025F1" w:rsidRPr="00D630D1" w:rsidRDefault="009025F1" w:rsidP="009025F1">
            <w:pPr>
              <w:topLinePunct w:val="0"/>
              <w:snapToGrid w:val="0"/>
              <w:spacing w:line="240" w:lineRule="exact"/>
              <w:ind w:firstLine="420"/>
              <w:jc w:val="center"/>
              <w:rPr>
                <w:rFonts w:ascii="Times New Roman" w:cs="Times New Roman"/>
                <w:bCs/>
                <w:kern w:val="2"/>
                <w:sz w:val="21"/>
                <w:szCs w:val="21"/>
              </w:rPr>
            </w:pPr>
          </w:p>
        </w:tc>
        <w:tc>
          <w:tcPr>
            <w:tcW w:w="2318"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环境温度</w:t>
            </w:r>
            <w:r w:rsidRPr="00D630D1">
              <w:rPr>
                <w:rFonts w:ascii="Times New Roman" w:cs="Times New Roman"/>
                <w:bCs/>
                <w:kern w:val="2"/>
                <w:sz w:val="21"/>
                <w:szCs w:val="21"/>
              </w:rPr>
              <w:t>/</w:t>
            </w:r>
            <w:r w:rsidRPr="00D630D1">
              <w:rPr>
                <w:rFonts w:hAnsi="宋体" w:hint="eastAsia"/>
                <w:bCs/>
                <w:kern w:val="2"/>
                <w:sz w:val="21"/>
                <w:szCs w:val="21"/>
              </w:rPr>
              <w:t>℃</w:t>
            </w:r>
          </w:p>
        </w:tc>
        <w:tc>
          <w:tcPr>
            <w:tcW w:w="4590"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25</w:t>
            </w:r>
          </w:p>
        </w:tc>
      </w:tr>
      <w:tr w:rsidR="009025F1" w:rsidRPr="00D630D1" w:rsidTr="009025F1">
        <w:trPr>
          <w:trHeight w:val="105"/>
          <w:jc w:val="center"/>
        </w:trPr>
        <w:tc>
          <w:tcPr>
            <w:tcW w:w="2300" w:type="dxa"/>
            <w:vMerge/>
            <w:vAlign w:val="center"/>
          </w:tcPr>
          <w:p w:rsidR="009025F1" w:rsidRPr="00D630D1" w:rsidRDefault="009025F1" w:rsidP="009025F1">
            <w:pPr>
              <w:topLinePunct w:val="0"/>
              <w:snapToGrid w:val="0"/>
              <w:spacing w:line="240" w:lineRule="exact"/>
              <w:ind w:firstLine="420"/>
              <w:jc w:val="center"/>
              <w:rPr>
                <w:rFonts w:ascii="Times New Roman" w:cs="Times New Roman"/>
                <w:bCs/>
                <w:kern w:val="2"/>
                <w:sz w:val="21"/>
                <w:szCs w:val="21"/>
              </w:rPr>
            </w:pPr>
          </w:p>
        </w:tc>
        <w:tc>
          <w:tcPr>
            <w:tcW w:w="2318"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相对湿度</w:t>
            </w:r>
            <w:r w:rsidRPr="00D630D1">
              <w:rPr>
                <w:rFonts w:ascii="Times New Roman" w:cs="Times New Roman"/>
                <w:bCs/>
                <w:kern w:val="2"/>
                <w:sz w:val="21"/>
                <w:szCs w:val="21"/>
              </w:rPr>
              <w:t>/%</w:t>
            </w:r>
          </w:p>
        </w:tc>
        <w:tc>
          <w:tcPr>
            <w:tcW w:w="4590"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50</w:t>
            </w:r>
          </w:p>
        </w:tc>
      </w:tr>
      <w:tr w:rsidR="009025F1" w:rsidRPr="00D630D1" w:rsidTr="009025F1">
        <w:trPr>
          <w:trHeight w:val="105"/>
          <w:jc w:val="center"/>
        </w:trPr>
        <w:tc>
          <w:tcPr>
            <w:tcW w:w="2300" w:type="dxa"/>
            <w:vMerge/>
            <w:vAlign w:val="center"/>
          </w:tcPr>
          <w:p w:rsidR="009025F1" w:rsidRPr="00D630D1" w:rsidRDefault="009025F1" w:rsidP="009025F1">
            <w:pPr>
              <w:topLinePunct w:val="0"/>
              <w:snapToGrid w:val="0"/>
              <w:spacing w:line="240" w:lineRule="exact"/>
              <w:ind w:firstLine="420"/>
              <w:jc w:val="center"/>
              <w:rPr>
                <w:rFonts w:ascii="Times New Roman" w:cs="Times New Roman"/>
                <w:bCs/>
                <w:kern w:val="2"/>
                <w:sz w:val="21"/>
                <w:szCs w:val="21"/>
              </w:rPr>
            </w:pPr>
          </w:p>
        </w:tc>
        <w:tc>
          <w:tcPr>
            <w:tcW w:w="2318"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稳定度</w:t>
            </w:r>
          </w:p>
        </w:tc>
        <w:tc>
          <w:tcPr>
            <w:tcW w:w="4590"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F</w:t>
            </w:r>
          </w:p>
        </w:tc>
      </w:tr>
      <w:tr w:rsidR="009025F1" w:rsidRPr="00D630D1" w:rsidTr="009025F1">
        <w:trPr>
          <w:trHeight w:val="265"/>
          <w:jc w:val="center"/>
        </w:trPr>
        <w:tc>
          <w:tcPr>
            <w:tcW w:w="2300" w:type="dxa"/>
            <w:vMerge w:val="restart"/>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其他参数</w:t>
            </w:r>
          </w:p>
        </w:tc>
        <w:tc>
          <w:tcPr>
            <w:tcW w:w="2318"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地表粗糙度</w:t>
            </w:r>
            <w:r w:rsidRPr="00D630D1">
              <w:rPr>
                <w:rFonts w:ascii="Times New Roman" w:cs="Times New Roman"/>
                <w:bCs/>
                <w:kern w:val="2"/>
                <w:sz w:val="21"/>
                <w:szCs w:val="21"/>
              </w:rPr>
              <w:t>/m</w:t>
            </w:r>
          </w:p>
        </w:tc>
        <w:tc>
          <w:tcPr>
            <w:tcW w:w="4590"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sz w:val="21"/>
                <w:szCs w:val="21"/>
              </w:rPr>
              <w:t>0.2</w:t>
            </w:r>
          </w:p>
        </w:tc>
      </w:tr>
      <w:tr w:rsidR="009025F1" w:rsidRPr="00D630D1" w:rsidTr="009025F1">
        <w:trPr>
          <w:trHeight w:val="127"/>
          <w:jc w:val="center"/>
        </w:trPr>
        <w:tc>
          <w:tcPr>
            <w:tcW w:w="2300" w:type="dxa"/>
            <w:vMerge/>
            <w:vAlign w:val="center"/>
          </w:tcPr>
          <w:p w:rsidR="009025F1" w:rsidRPr="00D630D1" w:rsidRDefault="009025F1" w:rsidP="009025F1">
            <w:pPr>
              <w:widowControl/>
              <w:topLinePunct w:val="0"/>
              <w:adjustRightInd/>
              <w:spacing w:line="240" w:lineRule="exact"/>
              <w:ind w:firstLine="420"/>
              <w:jc w:val="center"/>
              <w:rPr>
                <w:rFonts w:ascii="Times New Roman" w:cs="Times New Roman"/>
                <w:bCs/>
                <w:kern w:val="2"/>
                <w:sz w:val="21"/>
                <w:szCs w:val="21"/>
              </w:rPr>
            </w:pPr>
          </w:p>
        </w:tc>
        <w:tc>
          <w:tcPr>
            <w:tcW w:w="2318"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是否考虑地形</w:t>
            </w:r>
          </w:p>
        </w:tc>
        <w:tc>
          <w:tcPr>
            <w:tcW w:w="4590"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sz w:val="21"/>
                <w:szCs w:val="21"/>
              </w:rPr>
            </w:pPr>
            <w:r w:rsidRPr="00D630D1">
              <w:rPr>
                <w:rFonts w:ascii="Times New Roman" w:cs="Times New Roman" w:hint="eastAsia"/>
                <w:sz w:val="21"/>
                <w:szCs w:val="21"/>
              </w:rPr>
              <w:t>是</w:t>
            </w:r>
          </w:p>
        </w:tc>
      </w:tr>
      <w:tr w:rsidR="009025F1" w:rsidRPr="00D630D1" w:rsidTr="009025F1">
        <w:trPr>
          <w:trHeight w:val="127"/>
          <w:jc w:val="center"/>
        </w:trPr>
        <w:tc>
          <w:tcPr>
            <w:tcW w:w="2300" w:type="dxa"/>
            <w:vMerge/>
            <w:vAlign w:val="center"/>
          </w:tcPr>
          <w:p w:rsidR="009025F1" w:rsidRPr="00D630D1" w:rsidRDefault="009025F1" w:rsidP="009025F1">
            <w:pPr>
              <w:widowControl/>
              <w:topLinePunct w:val="0"/>
              <w:adjustRightInd/>
              <w:spacing w:line="240" w:lineRule="exact"/>
              <w:ind w:firstLine="420"/>
              <w:jc w:val="center"/>
              <w:rPr>
                <w:rFonts w:ascii="Times New Roman" w:cs="Times New Roman"/>
                <w:bCs/>
                <w:kern w:val="2"/>
                <w:sz w:val="21"/>
                <w:szCs w:val="21"/>
              </w:rPr>
            </w:pPr>
          </w:p>
        </w:tc>
        <w:tc>
          <w:tcPr>
            <w:tcW w:w="2318"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bCs/>
                <w:kern w:val="2"/>
                <w:sz w:val="21"/>
                <w:szCs w:val="21"/>
              </w:rPr>
            </w:pPr>
            <w:r w:rsidRPr="00D630D1">
              <w:rPr>
                <w:rFonts w:ascii="Times New Roman" w:cs="Times New Roman"/>
                <w:bCs/>
                <w:kern w:val="2"/>
                <w:sz w:val="21"/>
                <w:szCs w:val="21"/>
              </w:rPr>
              <w:t>地形数据精度</w:t>
            </w:r>
            <w:r w:rsidRPr="00D630D1">
              <w:rPr>
                <w:rFonts w:ascii="Times New Roman" w:cs="Times New Roman"/>
                <w:bCs/>
                <w:kern w:val="2"/>
                <w:sz w:val="21"/>
                <w:szCs w:val="21"/>
              </w:rPr>
              <w:t>/m</w:t>
            </w:r>
          </w:p>
        </w:tc>
        <w:tc>
          <w:tcPr>
            <w:tcW w:w="4590" w:type="dxa"/>
            <w:vAlign w:val="center"/>
          </w:tcPr>
          <w:p w:rsidR="009025F1" w:rsidRPr="00D630D1" w:rsidRDefault="009025F1" w:rsidP="009025F1">
            <w:pPr>
              <w:topLinePunct w:val="0"/>
              <w:snapToGrid w:val="0"/>
              <w:spacing w:line="240" w:lineRule="exact"/>
              <w:ind w:firstLineChars="0" w:firstLine="0"/>
              <w:jc w:val="center"/>
              <w:rPr>
                <w:rFonts w:ascii="Times New Roman" w:cs="Times New Roman"/>
                <w:sz w:val="21"/>
                <w:szCs w:val="21"/>
              </w:rPr>
            </w:pPr>
            <w:r w:rsidRPr="00D630D1">
              <w:rPr>
                <w:rFonts w:ascii="Times New Roman" w:cs="Times New Roman" w:hint="eastAsia"/>
                <w:sz w:val="21"/>
                <w:szCs w:val="21"/>
              </w:rPr>
              <w:t>90</w:t>
            </w:r>
          </w:p>
        </w:tc>
      </w:tr>
    </w:tbl>
    <w:p w:rsidR="00550C06" w:rsidRPr="00D630D1" w:rsidRDefault="00550C06" w:rsidP="00550C06">
      <w:pPr>
        <w:topLinePunct w:val="0"/>
        <w:adjustRightInd/>
        <w:spacing w:before="24"/>
        <w:ind w:firstLine="482"/>
        <w:rPr>
          <w:rFonts w:ascii="Times New Roman" w:cs="Times New Roman"/>
          <w:b/>
          <w:kern w:val="2"/>
        </w:rPr>
      </w:pPr>
      <w:r w:rsidRPr="00D630D1">
        <w:rPr>
          <w:rFonts w:ascii="Times New Roman" w:cs="Times New Roman"/>
          <w:b/>
          <w:kern w:val="2"/>
        </w:rPr>
        <w:t>（</w:t>
      </w:r>
      <w:r w:rsidRPr="00D630D1">
        <w:rPr>
          <w:rFonts w:ascii="Times New Roman" w:cs="Times New Roman" w:hint="eastAsia"/>
          <w:b/>
          <w:bCs/>
          <w:kern w:val="2"/>
        </w:rPr>
        <w:t>4</w:t>
      </w:r>
      <w:r w:rsidRPr="00D630D1">
        <w:rPr>
          <w:rFonts w:ascii="Times New Roman" w:cs="Times New Roman"/>
          <w:b/>
          <w:kern w:val="2"/>
        </w:rPr>
        <w:t>）大气毒性终点浓度值选取</w:t>
      </w:r>
    </w:p>
    <w:p w:rsidR="00550C06" w:rsidRPr="00D630D1" w:rsidRDefault="00550C06" w:rsidP="00550C06">
      <w:pPr>
        <w:topLinePunct w:val="0"/>
        <w:adjustRightInd/>
        <w:ind w:firstLine="480"/>
        <w:rPr>
          <w:rFonts w:ascii="Times New Roman" w:cs="Times New Roman"/>
          <w:kern w:val="2"/>
        </w:rPr>
      </w:pPr>
      <w:r w:rsidRPr="00D630D1">
        <w:rPr>
          <w:rFonts w:ascii="Times New Roman" w:cs="Times New Roman"/>
          <w:kern w:val="2"/>
        </w:rPr>
        <w:t>甲烷的大气毒性终点浓度见表</w:t>
      </w:r>
      <w:r w:rsidRPr="00D630D1">
        <w:rPr>
          <w:rFonts w:ascii="Times New Roman" w:cs="Times New Roman" w:hint="eastAsia"/>
          <w:kern w:val="2"/>
        </w:rPr>
        <w:t>7</w:t>
      </w:r>
      <w:r w:rsidRPr="00D630D1">
        <w:rPr>
          <w:rFonts w:ascii="Times New Roman" w:cs="Times New Roman"/>
          <w:kern w:val="2"/>
        </w:rPr>
        <w:t>.</w:t>
      </w:r>
      <w:r w:rsidRPr="00D630D1">
        <w:rPr>
          <w:rFonts w:ascii="Times New Roman" w:cs="Times New Roman" w:hint="eastAsia"/>
          <w:kern w:val="2"/>
        </w:rPr>
        <w:t>8</w:t>
      </w:r>
      <w:r w:rsidRPr="00D630D1">
        <w:rPr>
          <w:rFonts w:ascii="Times New Roman" w:cs="Times New Roman"/>
          <w:kern w:val="2"/>
        </w:rPr>
        <w:t>-2</w:t>
      </w:r>
      <w:r w:rsidRPr="00D630D1">
        <w:rPr>
          <w:rFonts w:ascii="Times New Roman" w:cs="Times New Roman"/>
          <w:kern w:val="2"/>
        </w:rPr>
        <w:t>。</w:t>
      </w:r>
    </w:p>
    <w:p w:rsidR="00550C06" w:rsidRPr="00D630D1" w:rsidRDefault="00550C06" w:rsidP="00550C06">
      <w:pPr>
        <w:topLinePunct w:val="0"/>
        <w:adjustRightInd/>
        <w:snapToGrid w:val="0"/>
        <w:spacing w:line="500" w:lineRule="exact"/>
        <w:ind w:firstLine="422"/>
        <w:jc w:val="center"/>
        <w:rPr>
          <w:rFonts w:ascii="Times New Roman" w:cs="Times New Roman"/>
          <w:b/>
          <w:kern w:val="2"/>
          <w:sz w:val="21"/>
          <w:szCs w:val="21"/>
        </w:rPr>
      </w:pPr>
      <w:r w:rsidRPr="00D630D1">
        <w:rPr>
          <w:rFonts w:ascii="Times New Roman" w:cs="Times New Roman"/>
          <w:b/>
          <w:kern w:val="2"/>
          <w:sz w:val="21"/>
          <w:szCs w:val="21"/>
        </w:rPr>
        <w:t>表</w:t>
      </w:r>
      <w:r w:rsidRPr="00D630D1">
        <w:rPr>
          <w:rFonts w:ascii="Times New Roman" w:cs="Times New Roman" w:hint="eastAsia"/>
          <w:b/>
          <w:kern w:val="2"/>
          <w:sz w:val="21"/>
          <w:szCs w:val="21"/>
        </w:rPr>
        <w:t>7</w:t>
      </w:r>
      <w:r w:rsidRPr="00D630D1">
        <w:rPr>
          <w:rFonts w:ascii="Times New Roman" w:cs="Times New Roman"/>
          <w:b/>
          <w:kern w:val="2"/>
          <w:sz w:val="21"/>
          <w:szCs w:val="21"/>
        </w:rPr>
        <w:t>.</w:t>
      </w:r>
      <w:r w:rsidRPr="00D630D1">
        <w:rPr>
          <w:rFonts w:ascii="Times New Roman" w:cs="Times New Roman" w:hint="eastAsia"/>
          <w:b/>
          <w:kern w:val="2"/>
          <w:sz w:val="21"/>
          <w:szCs w:val="21"/>
        </w:rPr>
        <w:t>8</w:t>
      </w:r>
      <w:r w:rsidRPr="00D630D1">
        <w:rPr>
          <w:rFonts w:ascii="Times New Roman" w:cs="Times New Roman"/>
          <w:b/>
          <w:kern w:val="2"/>
          <w:sz w:val="21"/>
          <w:szCs w:val="21"/>
        </w:rPr>
        <w:t xml:space="preserve">-2 </w:t>
      </w:r>
      <w:r w:rsidRPr="00D630D1">
        <w:rPr>
          <w:rFonts w:ascii="Times New Roman" w:cs="Times New Roman"/>
          <w:b/>
          <w:kern w:val="2"/>
          <w:sz w:val="21"/>
          <w:szCs w:val="21"/>
        </w:rPr>
        <w:t>甲烷的大气毒性终点浓度表</w:t>
      </w:r>
    </w:p>
    <w:tbl>
      <w:tblPr>
        <w:tblW w:w="5000" w:type="pct"/>
        <w:jc w:val="center"/>
        <w:tblBorders>
          <w:top w:val="single" w:sz="12" w:space="0" w:color="auto"/>
          <w:bottom w:val="single" w:sz="12" w:space="0" w:color="auto"/>
          <w:insideH w:val="single" w:sz="6" w:space="0" w:color="auto"/>
          <w:insideV w:val="single" w:sz="6" w:space="0" w:color="auto"/>
        </w:tblBorders>
        <w:tblLook w:val="01E0"/>
      </w:tblPr>
      <w:tblGrid>
        <w:gridCol w:w="757"/>
        <w:gridCol w:w="1824"/>
        <w:gridCol w:w="1778"/>
        <w:gridCol w:w="2217"/>
        <w:gridCol w:w="1946"/>
      </w:tblGrid>
      <w:tr w:rsidR="00550C06" w:rsidRPr="00D630D1" w:rsidTr="00EB155A">
        <w:trPr>
          <w:trHeight w:val="20"/>
          <w:jc w:val="center"/>
        </w:trPr>
        <w:tc>
          <w:tcPr>
            <w:tcW w:w="444"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b/>
                <w:kern w:val="2"/>
                <w:sz w:val="21"/>
              </w:rPr>
            </w:pPr>
            <w:r w:rsidRPr="00D630D1">
              <w:rPr>
                <w:rFonts w:ascii="Times New Roman" w:cs="Times New Roman"/>
                <w:b/>
                <w:kern w:val="2"/>
                <w:sz w:val="21"/>
              </w:rPr>
              <w:t>序号</w:t>
            </w:r>
          </w:p>
        </w:tc>
        <w:tc>
          <w:tcPr>
            <w:tcW w:w="1070"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b/>
                <w:kern w:val="2"/>
                <w:sz w:val="21"/>
              </w:rPr>
            </w:pPr>
            <w:r w:rsidRPr="00D630D1">
              <w:rPr>
                <w:rFonts w:ascii="Times New Roman" w:cs="Times New Roman"/>
                <w:b/>
                <w:kern w:val="2"/>
                <w:sz w:val="21"/>
              </w:rPr>
              <w:t>污染物名称</w:t>
            </w:r>
          </w:p>
        </w:tc>
        <w:tc>
          <w:tcPr>
            <w:tcW w:w="1043"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b/>
                <w:kern w:val="2"/>
                <w:sz w:val="21"/>
              </w:rPr>
            </w:pPr>
            <w:r w:rsidRPr="00D630D1">
              <w:rPr>
                <w:rFonts w:ascii="Times New Roman" w:cs="Times New Roman"/>
                <w:b/>
                <w:kern w:val="2"/>
                <w:sz w:val="21"/>
              </w:rPr>
              <w:t>CAS</w:t>
            </w:r>
            <w:r w:rsidRPr="00D630D1">
              <w:rPr>
                <w:rFonts w:ascii="Times New Roman" w:cs="Times New Roman"/>
                <w:b/>
                <w:kern w:val="2"/>
                <w:sz w:val="21"/>
              </w:rPr>
              <w:t>号</w:t>
            </w:r>
          </w:p>
        </w:tc>
        <w:tc>
          <w:tcPr>
            <w:tcW w:w="1301"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b/>
                <w:kern w:val="2"/>
                <w:sz w:val="21"/>
              </w:rPr>
            </w:pPr>
            <w:r w:rsidRPr="00D630D1">
              <w:rPr>
                <w:rFonts w:ascii="Times New Roman" w:cs="Times New Roman"/>
                <w:b/>
                <w:kern w:val="2"/>
                <w:sz w:val="21"/>
              </w:rPr>
              <w:t>毒性终点浓度</w:t>
            </w:r>
            <w:r w:rsidRPr="00D630D1">
              <w:rPr>
                <w:rFonts w:ascii="Times New Roman" w:cs="Times New Roman"/>
                <w:b/>
                <w:kern w:val="2"/>
                <w:sz w:val="21"/>
              </w:rPr>
              <w:t>-1/</w:t>
            </w:r>
            <w:r w:rsidRPr="00D630D1">
              <w:rPr>
                <w:rFonts w:ascii="Times New Roman" w:cs="Times New Roman"/>
                <w:b/>
                <w:kern w:val="2"/>
                <w:sz w:val="21"/>
              </w:rPr>
              <w:t>（</w:t>
            </w:r>
            <w:r w:rsidRPr="00D630D1">
              <w:rPr>
                <w:rFonts w:ascii="Times New Roman" w:cs="Times New Roman"/>
                <w:b/>
                <w:kern w:val="2"/>
                <w:sz w:val="21"/>
              </w:rPr>
              <w:t>mg/m</w:t>
            </w:r>
            <w:r w:rsidRPr="00D630D1">
              <w:rPr>
                <w:rFonts w:ascii="Times New Roman" w:cs="Times New Roman"/>
                <w:b/>
                <w:kern w:val="2"/>
                <w:sz w:val="21"/>
                <w:vertAlign w:val="superscript"/>
              </w:rPr>
              <w:t>3</w:t>
            </w:r>
            <w:r w:rsidRPr="00D630D1">
              <w:rPr>
                <w:rFonts w:ascii="Times New Roman" w:cs="Times New Roman"/>
                <w:b/>
                <w:kern w:val="2"/>
                <w:sz w:val="21"/>
              </w:rPr>
              <w:t>）</w:t>
            </w:r>
          </w:p>
        </w:tc>
        <w:tc>
          <w:tcPr>
            <w:tcW w:w="1142"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b/>
                <w:kern w:val="2"/>
                <w:sz w:val="21"/>
              </w:rPr>
            </w:pPr>
            <w:r w:rsidRPr="00D630D1">
              <w:rPr>
                <w:rFonts w:ascii="Times New Roman" w:cs="Times New Roman"/>
                <w:b/>
                <w:kern w:val="2"/>
                <w:sz w:val="21"/>
              </w:rPr>
              <w:t>毒性终点浓度</w:t>
            </w:r>
            <w:r w:rsidRPr="00D630D1">
              <w:rPr>
                <w:rFonts w:ascii="Times New Roman" w:cs="Times New Roman"/>
                <w:b/>
                <w:kern w:val="2"/>
                <w:sz w:val="21"/>
              </w:rPr>
              <w:t>-2/</w:t>
            </w:r>
            <w:r w:rsidRPr="00D630D1">
              <w:rPr>
                <w:rFonts w:ascii="Times New Roman" w:cs="Times New Roman"/>
                <w:b/>
                <w:kern w:val="2"/>
                <w:sz w:val="21"/>
              </w:rPr>
              <w:t>（</w:t>
            </w:r>
            <w:r w:rsidRPr="00D630D1">
              <w:rPr>
                <w:rFonts w:ascii="Times New Roman" w:cs="Times New Roman"/>
                <w:b/>
                <w:kern w:val="2"/>
                <w:sz w:val="21"/>
              </w:rPr>
              <w:t>mg/m</w:t>
            </w:r>
            <w:r w:rsidRPr="00D630D1">
              <w:rPr>
                <w:rFonts w:ascii="Times New Roman" w:cs="Times New Roman"/>
                <w:b/>
                <w:kern w:val="2"/>
                <w:sz w:val="21"/>
                <w:vertAlign w:val="superscript"/>
              </w:rPr>
              <w:t>3</w:t>
            </w:r>
            <w:r w:rsidRPr="00D630D1">
              <w:rPr>
                <w:rFonts w:ascii="Times New Roman" w:cs="Times New Roman"/>
                <w:b/>
                <w:kern w:val="2"/>
                <w:sz w:val="21"/>
              </w:rPr>
              <w:t>）</w:t>
            </w:r>
          </w:p>
        </w:tc>
      </w:tr>
      <w:tr w:rsidR="00550C06" w:rsidRPr="00D630D1" w:rsidTr="00EB155A">
        <w:trPr>
          <w:trHeight w:val="20"/>
          <w:jc w:val="center"/>
        </w:trPr>
        <w:tc>
          <w:tcPr>
            <w:tcW w:w="444"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kern w:val="2"/>
                <w:sz w:val="21"/>
              </w:rPr>
            </w:pPr>
            <w:r w:rsidRPr="00D630D1">
              <w:rPr>
                <w:rFonts w:ascii="Times New Roman" w:cs="Times New Roman"/>
                <w:kern w:val="2"/>
                <w:sz w:val="21"/>
              </w:rPr>
              <w:t>1</w:t>
            </w:r>
          </w:p>
        </w:tc>
        <w:tc>
          <w:tcPr>
            <w:tcW w:w="1070"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kern w:val="2"/>
                <w:sz w:val="21"/>
              </w:rPr>
            </w:pPr>
            <w:r w:rsidRPr="00D630D1">
              <w:rPr>
                <w:rFonts w:ascii="Times New Roman" w:cs="Times New Roman"/>
                <w:kern w:val="2"/>
                <w:sz w:val="21"/>
              </w:rPr>
              <w:t>甲烷</w:t>
            </w:r>
          </w:p>
        </w:tc>
        <w:tc>
          <w:tcPr>
            <w:tcW w:w="1043"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kern w:val="2"/>
                <w:sz w:val="21"/>
              </w:rPr>
            </w:pPr>
            <w:r w:rsidRPr="00D630D1">
              <w:rPr>
                <w:rFonts w:ascii="Times New Roman" w:cs="Times New Roman"/>
                <w:kern w:val="2"/>
                <w:sz w:val="21"/>
              </w:rPr>
              <w:t>74-82-8</w:t>
            </w:r>
          </w:p>
        </w:tc>
        <w:tc>
          <w:tcPr>
            <w:tcW w:w="1301"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kern w:val="2"/>
                <w:sz w:val="21"/>
              </w:rPr>
            </w:pPr>
            <w:r w:rsidRPr="00D630D1">
              <w:rPr>
                <w:rFonts w:ascii="Times New Roman" w:cs="Times New Roman"/>
                <w:kern w:val="2"/>
                <w:sz w:val="21"/>
              </w:rPr>
              <w:t>260000</w:t>
            </w:r>
          </w:p>
        </w:tc>
        <w:tc>
          <w:tcPr>
            <w:tcW w:w="1142"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kern w:val="2"/>
                <w:sz w:val="21"/>
              </w:rPr>
            </w:pPr>
            <w:r w:rsidRPr="00D630D1">
              <w:rPr>
                <w:rFonts w:ascii="Times New Roman" w:cs="Times New Roman"/>
                <w:kern w:val="2"/>
                <w:sz w:val="21"/>
              </w:rPr>
              <w:t>150000</w:t>
            </w:r>
          </w:p>
        </w:tc>
      </w:tr>
    </w:tbl>
    <w:p w:rsidR="00550C06" w:rsidRPr="00D630D1" w:rsidRDefault="00550C06" w:rsidP="00550C06">
      <w:pPr>
        <w:topLinePunct w:val="0"/>
        <w:adjustRightInd/>
        <w:ind w:firstLine="482"/>
        <w:rPr>
          <w:rFonts w:ascii="Times New Roman" w:cs="Times New Roman"/>
          <w:b/>
          <w:kern w:val="2"/>
        </w:rPr>
      </w:pPr>
      <w:r w:rsidRPr="00D630D1">
        <w:rPr>
          <w:rFonts w:ascii="Times New Roman" w:cs="Times New Roman"/>
          <w:b/>
          <w:kern w:val="2"/>
        </w:rPr>
        <w:t>（</w:t>
      </w:r>
      <w:r w:rsidRPr="00D630D1">
        <w:rPr>
          <w:rFonts w:ascii="Times New Roman" w:cs="Times New Roman" w:hint="eastAsia"/>
          <w:b/>
          <w:kern w:val="2"/>
        </w:rPr>
        <w:t>5</w:t>
      </w:r>
      <w:r w:rsidRPr="00D630D1">
        <w:rPr>
          <w:rFonts w:ascii="Times New Roman" w:cs="Times New Roman"/>
          <w:b/>
          <w:kern w:val="2"/>
        </w:rPr>
        <w:t>）计算结果</w:t>
      </w:r>
    </w:p>
    <w:p w:rsidR="00550C06" w:rsidRPr="00D630D1" w:rsidRDefault="00550C06" w:rsidP="00550C06">
      <w:pPr>
        <w:topLinePunct w:val="0"/>
        <w:adjustRightInd/>
        <w:ind w:firstLine="480"/>
        <w:rPr>
          <w:rFonts w:ascii="Times New Roman" w:cs="Times New Roman"/>
          <w:kern w:val="2"/>
        </w:rPr>
      </w:pPr>
      <w:r w:rsidRPr="00D630D1">
        <w:rPr>
          <w:rFonts w:ascii="Times New Roman" w:cs="Times New Roman"/>
          <w:kern w:val="2"/>
        </w:rPr>
        <w:t>评价选取最不利气象状况下，计算下风向甲烷的最大浓度。预测结果见表</w:t>
      </w:r>
      <w:r w:rsidRPr="00D630D1">
        <w:rPr>
          <w:rFonts w:ascii="Times New Roman" w:cs="Times New Roman" w:hint="eastAsia"/>
          <w:kern w:val="2"/>
        </w:rPr>
        <w:t>7</w:t>
      </w:r>
      <w:r w:rsidRPr="00D630D1">
        <w:rPr>
          <w:rFonts w:ascii="Times New Roman" w:cs="Times New Roman"/>
          <w:kern w:val="2"/>
        </w:rPr>
        <w:t>.</w:t>
      </w:r>
      <w:r w:rsidRPr="00D630D1">
        <w:rPr>
          <w:rFonts w:ascii="Times New Roman" w:cs="Times New Roman" w:hint="eastAsia"/>
          <w:kern w:val="2"/>
        </w:rPr>
        <w:t>8</w:t>
      </w:r>
      <w:r w:rsidRPr="00D630D1">
        <w:rPr>
          <w:rFonts w:ascii="Times New Roman" w:cs="Times New Roman"/>
          <w:kern w:val="2"/>
        </w:rPr>
        <w:t>-3</w:t>
      </w:r>
      <w:r w:rsidRPr="00D630D1">
        <w:rPr>
          <w:rFonts w:ascii="Times New Roman" w:cs="Times New Roman"/>
          <w:kern w:val="2"/>
        </w:rPr>
        <w:t>。</w:t>
      </w:r>
    </w:p>
    <w:p w:rsidR="00550C06" w:rsidRPr="00D630D1" w:rsidRDefault="00550C06" w:rsidP="00550C06">
      <w:pPr>
        <w:topLinePunct w:val="0"/>
        <w:adjustRightInd/>
        <w:ind w:firstLineChars="0" w:firstLine="0"/>
        <w:jc w:val="center"/>
        <w:rPr>
          <w:rFonts w:ascii="Times New Roman" w:cs="Times New Roman"/>
          <w:b/>
          <w:kern w:val="2"/>
          <w:sz w:val="21"/>
          <w:szCs w:val="21"/>
          <w:vertAlign w:val="superscript"/>
        </w:rPr>
      </w:pPr>
      <w:r w:rsidRPr="00D630D1">
        <w:rPr>
          <w:rFonts w:ascii="Times New Roman" w:cs="Times New Roman"/>
          <w:b/>
          <w:kern w:val="2"/>
          <w:sz w:val="21"/>
          <w:szCs w:val="21"/>
        </w:rPr>
        <w:t>表</w:t>
      </w:r>
      <w:r w:rsidRPr="00D630D1">
        <w:rPr>
          <w:rFonts w:ascii="Times New Roman" w:cs="Times New Roman" w:hint="eastAsia"/>
          <w:b/>
          <w:kern w:val="2"/>
          <w:sz w:val="21"/>
          <w:szCs w:val="21"/>
        </w:rPr>
        <w:t>7</w:t>
      </w:r>
      <w:r w:rsidRPr="00D630D1">
        <w:rPr>
          <w:rFonts w:ascii="Times New Roman" w:cs="Times New Roman"/>
          <w:b/>
          <w:kern w:val="2"/>
          <w:sz w:val="21"/>
          <w:szCs w:val="21"/>
        </w:rPr>
        <w:t>.</w:t>
      </w:r>
      <w:r w:rsidRPr="00D630D1">
        <w:rPr>
          <w:rFonts w:ascii="Times New Roman" w:cs="Times New Roman" w:hint="eastAsia"/>
          <w:b/>
          <w:kern w:val="2"/>
          <w:sz w:val="21"/>
          <w:szCs w:val="21"/>
        </w:rPr>
        <w:t>8</w:t>
      </w:r>
      <w:r w:rsidRPr="00D630D1">
        <w:rPr>
          <w:rFonts w:ascii="Times New Roman" w:cs="Times New Roman"/>
          <w:b/>
          <w:kern w:val="2"/>
          <w:sz w:val="21"/>
          <w:szCs w:val="21"/>
        </w:rPr>
        <w:t xml:space="preserve">-3  </w:t>
      </w:r>
      <w:r w:rsidRPr="00D630D1">
        <w:rPr>
          <w:rFonts w:ascii="Times New Roman" w:cs="Times New Roman"/>
          <w:b/>
          <w:bCs/>
          <w:kern w:val="2"/>
          <w:sz w:val="21"/>
          <w:szCs w:val="21"/>
        </w:rPr>
        <w:t>甲烷泄漏时下风向</w:t>
      </w:r>
      <w:r w:rsidRPr="00D630D1">
        <w:rPr>
          <w:rFonts w:ascii="Times New Roman" w:cs="Times New Roman"/>
          <w:b/>
          <w:kern w:val="2"/>
          <w:sz w:val="21"/>
          <w:szCs w:val="21"/>
        </w:rPr>
        <w:t>浓度</w:t>
      </w:r>
      <w:r w:rsidRPr="00D630D1">
        <w:rPr>
          <w:rFonts w:ascii="Times New Roman" w:cs="Times New Roman"/>
          <w:b/>
          <w:bCs/>
          <w:kern w:val="2"/>
          <w:sz w:val="21"/>
          <w:szCs w:val="21"/>
        </w:rPr>
        <w:t>分布表</w:t>
      </w:r>
      <w:r w:rsidRPr="00D630D1">
        <w:rPr>
          <w:rFonts w:ascii="Times New Roman" w:cs="Times New Roman"/>
          <w:b/>
          <w:kern w:val="2"/>
          <w:sz w:val="21"/>
          <w:szCs w:val="21"/>
        </w:rPr>
        <w:t xml:space="preserve">  </w:t>
      </w:r>
      <w:r w:rsidRPr="00D630D1">
        <w:rPr>
          <w:rFonts w:ascii="Times New Roman" w:cs="Times New Roman"/>
          <w:b/>
          <w:kern w:val="2"/>
          <w:sz w:val="21"/>
          <w:szCs w:val="21"/>
        </w:rPr>
        <w:t>单位：</w:t>
      </w:r>
      <w:r w:rsidRPr="00D630D1">
        <w:rPr>
          <w:rFonts w:ascii="Times New Roman" w:cs="Times New Roman"/>
          <w:b/>
          <w:kern w:val="2"/>
          <w:sz w:val="21"/>
          <w:szCs w:val="21"/>
        </w:rPr>
        <w:t>mg/m</w:t>
      </w:r>
      <w:r w:rsidRPr="00D630D1">
        <w:rPr>
          <w:rFonts w:ascii="Times New Roman" w:cs="Times New Roman"/>
          <w:b/>
          <w:kern w:val="2"/>
          <w:sz w:val="21"/>
          <w:szCs w:val="21"/>
          <w:vertAlign w:val="superscript"/>
        </w:rPr>
        <w:t>3</w:t>
      </w:r>
    </w:p>
    <w:tbl>
      <w:tblPr>
        <w:tblW w:w="5000" w:type="pct"/>
        <w:jc w:val="center"/>
        <w:tblBorders>
          <w:top w:val="single" w:sz="12" w:space="0" w:color="auto"/>
          <w:bottom w:val="single" w:sz="12" w:space="0" w:color="auto"/>
          <w:insideH w:val="single" w:sz="6" w:space="0" w:color="auto"/>
          <w:insideV w:val="single" w:sz="6" w:space="0" w:color="auto"/>
        </w:tblBorders>
        <w:tblLook w:val="04A0"/>
      </w:tblPr>
      <w:tblGrid>
        <w:gridCol w:w="2705"/>
        <w:gridCol w:w="2630"/>
        <w:gridCol w:w="3187"/>
      </w:tblGrid>
      <w:tr w:rsidR="00550C06" w:rsidRPr="00D630D1" w:rsidTr="00EB155A">
        <w:trPr>
          <w:trHeight w:val="290"/>
          <w:jc w:val="center"/>
        </w:trPr>
        <w:tc>
          <w:tcPr>
            <w:tcW w:w="1587" w:type="pct"/>
            <w:shd w:val="clear" w:color="auto" w:fill="auto"/>
            <w:noWrap/>
            <w:vAlign w:val="center"/>
          </w:tcPr>
          <w:p w:rsidR="00550C06" w:rsidRPr="00D630D1" w:rsidRDefault="00550C06" w:rsidP="00EB155A">
            <w:pPr>
              <w:widowControl/>
              <w:topLinePunct w:val="0"/>
              <w:adjustRightInd/>
              <w:ind w:firstLine="422"/>
              <w:jc w:val="center"/>
              <w:rPr>
                <w:rFonts w:ascii="Times New Roman" w:eastAsia="等线" w:cs="Times New Roman"/>
                <w:b/>
                <w:sz w:val="21"/>
                <w:szCs w:val="21"/>
              </w:rPr>
            </w:pPr>
            <w:r w:rsidRPr="00D630D1">
              <w:rPr>
                <w:rFonts w:ascii="Times New Roman" w:cs="Times New Roman"/>
                <w:b/>
                <w:kern w:val="2"/>
                <w:sz w:val="21"/>
                <w:szCs w:val="21"/>
              </w:rPr>
              <w:t>下风向距离</w:t>
            </w:r>
            <w:r w:rsidRPr="00D630D1">
              <w:rPr>
                <w:rFonts w:ascii="Times New Roman" w:cs="Times New Roman" w:hint="eastAsia"/>
                <w:b/>
                <w:kern w:val="2"/>
                <w:sz w:val="21"/>
                <w:szCs w:val="21"/>
              </w:rPr>
              <w:t>（</w:t>
            </w:r>
            <w:r w:rsidRPr="00D630D1">
              <w:rPr>
                <w:rFonts w:ascii="Times New Roman" w:cs="Times New Roman"/>
                <w:b/>
                <w:kern w:val="2"/>
                <w:sz w:val="21"/>
                <w:szCs w:val="21"/>
              </w:rPr>
              <w:t>m</w:t>
            </w:r>
            <w:r w:rsidRPr="00D630D1">
              <w:rPr>
                <w:rFonts w:ascii="Times New Roman" w:cs="Times New Roman" w:hint="eastAsia"/>
                <w:b/>
                <w:kern w:val="2"/>
                <w:sz w:val="21"/>
                <w:szCs w:val="21"/>
              </w:rPr>
              <w:t>）</w:t>
            </w:r>
          </w:p>
        </w:tc>
        <w:tc>
          <w:tcPr>
            <w:tcW w:w="1543" w:type="pct"/>
            <w:shd w:val="clear" w:color="auto" w:fill="auto"/>
            <w:vAlign w:val="center"/>
          </w:tcPr>
          <w:p w:rsidR="00550C06" w:rsidRPr="00D630D1" w:rsidRDefault="00550C06" w:rsidP="00EB155A">
            <w:pPr>
              <w:widowControl/>
              <w:topLinePunct w:val="0"/>
              <w:adjustRightInd/>
              <w:ind w:firstLine="422"/>
              <w:jc w:val="center"/>
              <w:rPr>
                <w:rFonts w:ascii="Times New Roman" w:eastAsia="等线" w:cs="Times New Roman"/>
                <w:b/>
                <w:sz w:val="21"/>
                <w:szCs w:val="21"/>
              </w:rPr>
            </w:pPr>
            <w:r w:rsidRPr="00D630D1">
              <w:rPr>
                <w:rFonts w:ascii="Times New Roman" w:cs="Times New Roman"/>
                <w:b/>
                <w:kern w:val="2"/>
                <w:sz w:val="21"/>
                <w:szCs w:val="21"/>
              </w:rPr>
              <w:t>浓度出现时间</w:t>
            </w:r>
            <w:r w:rsidRPr="00D630D1">
              <w:rPr>
                <w:rFonts w:ascii="Times New Roman" w:cs="Times New Roman" w:hint="eastAsia"/>
                <w:b/>
                <w:kern w:val="2"/>
                <w:sz w:val="21"/>
                <w:szCs w:val="21"/>
              </w:rPr>
              <w:t>（</w:t>
            </w:r>
            <w:r w:rsidRPr="00D630D1">
              <w:rPr>
                <w:rFonts w:ascii="Times New Roman" w:cs="Times New Roman"/>
                <w:b/>
                <w:kern w:val="2"/>
                <w:sz w:val="21"/>
                <w:szCs w:val="21"/>
              </w:rPr>
              <w:t>min</w:t>
            </w:r>
            <w:r w:rsidRPr="00D630D1">
              <w:rPr>
                <w:rFonts w:ascii="Times New Roman" w:cs="Times New Roman" w:hint="eastAsia"/>
                <w:b/>
                <w:kern w:val="2"/>
                <w:sz w:val="21"/>
                <w:szCs w:val="21"/>
              </w:rPr>
              <w:t>）</w:t>
            </w:r>
          </w:p>
        </w:tc>
        <w:tc>
          <w:tcPr>
            <w:tcW w:w="1870" w:type="pct"/>
            <w:shd w:val="clear" w:color="auto" w:fill="auto"/>
            <w:vAlign w:val="center"/>
          </w:tcPr>
          <w:p w:rsidR="00550C06" w:rsidRPr="00D630D1" w:rsidRDefault="00550C06" w:rsidP="00EB155A">
            <w:pPr>
              <w:widowControl/>
              <w:topLinePunct w:val="0"/>
              <w:adjustRightInd/>
              <w:ind w:firstLineChars="100" w:firstLine="211"/>
              <w:jc w:val="center"/>
              <w:rPr>
                <w:rFonts w:ascii="Times New Roman" w:eastAsia="等线" w:cs="Times New Roman"/>
                <w:b/>
                <w:sz w:val="21"/>
                <w:szCs w:val="21"/>
              </w:rPr>
            </w:pPr>
            <w:r w:rsidRPr="00D630D1">
              <w:rPr>
                <w:rFonts w:ascii="Times New Roman" w:cs="Times New Roman"/>
                <w:b/>
                <w:kern w:val="2"/>
                <w:sz w:val="21"/>
                <w:szCs w:val="21"/>
              </w:rPr>
              <w:t>高峰浓度</w:t>
            </w:r>
            <w:r w:rsidRPr="00D630D1">
              <w:rPr>
                <w:rFonts w:ascii="Times New Roman" w:cs="Times New Roman" w:hint="eastAsia"/>
                <w:b/>
                <w:kern w:val="2"/>
                <w:sz w:val="21"/>
                <w:szCs w:val="21"/>
              </w:rPr>
              <w:t>（</w:t>
            </w:r>
            <w:r w:rsidRPr="00D630D1">
              <w:rPr>
                <w:rFonts w:ascii="Times New Roman" w:cs="Times New Roman"/>
                <w:b/>
                <w:kern w:val="2"/>
                <w:sz w:val="21"/>
                <w:szCs w:val="21"/>
              </w:rPr>
              <w:t>mg/m</w:t>
            </w:r>
            <w:r w:rsidRPr="00D630D1">
              <w:rPr>
                <w:rFonts w:ascii="Times New Roman" w:cs="Times New Roman"/>
                <w:b/>
                <w:kern w:val="2"/>
                <w:sz w:val="21"/>
                <w:szCs w:val="21"/>
                <w:vertAlign w:val="superscript"/>
              </w:rPr>
              <w:t>3</w:t>
            </w:r>
            <w:r w:rsidRPr="00D630D1">
              <w:rPr>
                <w:rFonts w:ascii="Times New Roman" w:cs="Times New Roman" w:hint="eastAsia"/>
                <w:b/>
                <w:kern w:val="2"/>
                <w:sz w:val="21"/>
                <w:szCs w:val="21"/>
              </w:rPr>
              <w:t>）</w:t>
            </w:r>
          </w:p>
        </w:tc>
      </w:tr>
      <w:tr w:rsidR="00550C06" w:rsidRPr="00D630D1" w:rsidTr="00EB155A">
        <w:trPr>
          <w:trHeight w:val="290"/>
          <w:jc w:val="center"/>
        </w:trPr>
        <w:tc>
          <w:tcPr>
            <w:tcW w:w="1587" w:type="pct"/>
            <w:shd w:val="clear" w:color="auto" w:fill="auto"/>
            <w:noWrap/>
            <w:vAlign w:val="center"/>
          </w:tcPr>
          <w:p w:rsidR="00550C06" w:rsidRPr="00D630D1" w:rsidRDefault="00550C06"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10</w:t>
            </w:r>
          </w:p>
        </w:tc>
        <w:tc>
          <w:tcPr>
            <w:tcW w:w="1543" w:type="pct"/>
            <w:shd w:val="clear" w:color="auto" w:fill="auto"/>
            <w:vAlign w:val="center"/>
          </w:tcPr>
          <w:p w:rsidR="00550C06" w:rsidRPr="00D630D1" w:rsidRDefault="00550C06" w:rsidP="00150DB2">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0.</w:t>
            </w:r>
            <w:r w:rsidR="00150DB2" w:rsidRPr="00D630D1">
              <w:rPr>
                <w:rFonts w:ascii="Times New Roman" w:eastAsia="等线" w:cs="Times New Roman" w:hint="eastAsia"/>
                <w:sz w:val="21"/>
                <w:szCs w:val="21"/>
              </w:rPr>
              <w:t>1</w:t>
            </w:r>
          </w:p>
        </w:tc>
        <w:tc>
          <w:tcPr>
            <w:tcW w:w="1870" w:type="pct"/>
            <w:shd w:val="clear" w:color="auto" w:fill="auto"/>
            <w:vAlign w:val="center"/>
          </w:tcPr>
          <w:p w:rsidR="00550C06" w:rsidRPr="00D630D1" w:rsidRDefault="007B2AB5" w:rsidP="00550C06">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287</w:t>
            </w:r>
            <w:r w:rsidR="00621607">
              <w:rPr>
                <w:rFonts w:ascii="Times New Roman" w:eastAsia="等线" w:cs="Times New Roman" w:hint="eastAsia"/>
                <w:sz w:val="21"/>
                <w:szCs w:val="21"/>
              </w:rPr>
              <w:t>.6</w:t>
            </w:r>
          </w:p>
        </w:tc>
      </w:tr>
      <w:tr w:rsidR="00550C06" w:rsidRPr="00D630D1" w:rsidTr="00EB155A">
        <w:trPr>
          <w:trHeight w:val="290"/>
          <w:jc w:val="center"/>
        </w:trPr>
        <w:tc>
          <w:tcPr>
            <w:tcW w:w="1587" w:type="pct"/>
            <w:shd w:val="clear" w:color="auto" w:fill="auto"/>
            <w:noWrap/>
            <w:vAlign w:val="center"/>
            <w:hideMark/>
          </w:tcPr>
          <w:p w:rsidR="00550C06" w:rsidRPr="00D630D1" w:rsidRDefault="00550C06"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110</w:t>
            </w:r>
          </w:p>
        </w:tc>
        <w:tc>
          <w:tcPr>
            <w:tcW w:w="1543" w:type="pct"/>
            <w:shd w:val="clear" w:color="auto" w:fill="auto"/>
            <w:vAlign w:val="center"/>
            <w:hideMark/>
          </w:tcPr>
          <w:p w:rsidR="00550C06" w:rsidRPr="00D630D1" w:rsidRDefault="00550C06" w:rsidP="001F5B9C">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0.</w:t>
            </w:r>
            <w:r w:rsidR="001F5B9C" w:rsidRPr="00D630D1">
              <w:rPr>
                <w:rFonts w:ascii="Times New Roman" w:eastAsia="等线" w:cs="Times New Roman" w:hint="eastAsia"/>
                <w:sz w:val="21"/>
                <w:szCs w:val="21"/>
              </w:rPr>
              <w:t>9</w:t>
            </w:r>
          </w:p>
        </w:tc>
        <w:tc>
          <w:tcPr>
            <w:tcW w:w="1870" w:type="pct"/>
            <w:shd w:val="clear" w:color="auto" w:fill="auto"/>
            <w:vAlign w:val="center"/>
            <w:hideMark/>
          </w:tcPr>
          <w:p w:rsidR="00550C06" w:rsidRPr="00D630D1" w:rsidRDefault="007B2AB5" w:rsidP="00621607">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54678</w:t>
            </w:r>
            <w:r w:rsidR="00150DB2" w:rsidRPr="00D630D1">
              <w:rPr>
                <w:rFonts w:ascii="Times New Roman" w:eastAsia="等线" w:cs="Times New Roman" w:hint="eastAsia"/>
                <w:sz w:val="21"/>
                <w:szCs w:val="21"/>
              </w:rPr>
              <w:t>.</w:t>
            </w:r>
            <w:r w:rsidR="00621607">
              <w:rPr>
                <w:rFonts w:ascii="Times New Roman" w:eastAsia="等线" w:cs="Times New Roman" w:hint="eastAsia"/>
                <w:sz w:val="21"/>
                <w:szCs w:val="21"/>
              </w:rPr>
              <w:t>6</w:t>
            </w:r>
          </w:p>
        </w:tc>
      </w:tr>
      <w:tr w:rsidR="00550C06" w:rsidRPr="00D630D1" w:rsidTr="00EB155A">
        <w:trPr>
          <w:trHeight w:val="290"/>
          <w:jc w:val="center"/>
        </w:trPr>
        <w:tc>
          <w:tcPr>
            <w:tcW w:w="1587" w:type="pct"/>
            <w:shd w:val="clear" w:color="auto" w:fill="auto"/>
            <w:noWrap/>
            <w:vAlign w:val="center"/>
            <w:hideMark/>
          </w:tcPr>
          <w:p w:rsidR="00550C06" w:rsidRPr="00D630D1" w:rsidRDefault="00550C06"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210</w:t>
            </w:r>
          </w:p>
        </w:tc>
        <w:tc>
          <w:tcPr>
            <w:tcW w:w="1543" w:type="pct"/>
            <w:shd w:val="clear" w:color="auto" w:fill="auto"/>
            <w:vAlign w:val="center"/>
            <w:hideMark/>
          </w:tcPr>
          <w:p w:rsidR="00550C06" w:rsidRPr="00D630D1" w:rsidRDefault="00550C06"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1.8</w:t>
            </w:r>
          </w:p>
        </w:tc>
        <w:tc>
          <w:tcPr>
            <w:tcW w:w="1870" w:type="pct"/>
            <w:shd w:val="clear" w:color="auto" w:fill="auto"/>
            <w:vAlign w:val="center"/>
            <w:hideMark/>
          </w:tcPr>
          <w:p w:rsidR="00550C06" w:rsidRPr="00D630D1" w:rsidRDefault="007B2AB5" w:rsidP="00621607">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25</w:t>
            </w:r>
            <w:r w:rsidR="00621607">
              <w:rPr>
                <w:rFonts w:ascii="Times New Roman" w:eastAsia="等线" w:cs="Times New Roman" w:hint="eastAsia"/>
                <w:sz w:val="21"/>
                <w:szCs w:val="21"/>
              </w:rPr>
              <w:t>678</w:t>
            </w:r>
            <w:r w:rsidR="00150DB2" w:rsidRPr="00D630D1">
              <w:rPr>
                <w:rFonts w:ascii="Times New Roman" w:eastAsia="等线" w:cs="Times New Roman" w:hint="eastAsia"/>
                <w:sz w:val="21"/>
                <w:szCs w:val="21"/>
              </w:rPr>
              <w:t>.</w:t>
            </w:r>
            <w:r w:rsidR="00621607">
              <w:rPr>
                <w:rFonts w:ascii="Times New Roman" w:eastAsia="等线" w:cs="Times New Roman" w:hint="eastAsia"/>
                <w:sz w:val="21"/>
                <w:szCs w:val="21"/>
              </w:rPr>
              <w:t>2</w:t>
            </w:r>
          </w:p>
        </w:tc>
      </w:tr>
      <w:tr w:rsidR="00550C06" w:rsidRPr="00D630D1" w:rsidTr="00EB155A">
        <w:trPr>
          <w:trHeight w:val="290"/>
          <w:jc w:val="center"/>
        </w:trPr>
        <w:tc>
          <w:tcPr>
            <w:tcW w:w="1587" w:type="pct"/>
            <w:shd w:val="clear" w:color="auto" w:fill="auto"/>
            <w:noWrap/>
            <w:vAlign w:val="center"/>
            <w:hideMark/>
          </w:tcPr>
          <w:p w:rsidR="00550C06" w:rsidRPr="00D630D1" w:rsidRDefault="00550C06"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310</w:t>
            </w:r>
          </w:p>
        </w:tc>
        <w:tc>
          <w:tcPr>
            <w:tcW w:w="1543" w:type="pct"/>
            <w:shd w:val="clear" w:color="auto" w:fill="auto"/>
            <w:vAlign w:val="center"/>
            <w:hideMark/>
          </w:tcPr>
          <w:p w:rsidR="00550C06" w:rsidRPr="00D630D1" w:rsidRDefault="00550C06"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2.6</w:t>
            </w:r>
          </w:p>
        </w:tc>
        <w:tc>
          <w:tcPr>
            <w:tcW w:w="1870" w:type="pct"/>
            <w:shd w:val="clear" w:color="auto" w:fill="auto"/>
            <w:vAlign w:val="center"/>
            <w:hideMark/>
          </w:tcPr>
          <w:p w:rsidR="00550C06" w:rsidRPr="00D630D1" w:rsidRDefault="007B2AB5" w:rsidP="007B2AB5">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18</w:t>
            </w:r>
            <w:r w:rsidR="00714C21">
              <w:rPr>
                <w:rFonts w:ascii="Times New Roman" w:eastAsia="等线" w:cs="Times New Roman" w:hint="eastAsia"/>
                <w:sz w:val="21"/>
                <w:szCs w:val="21"/>
              </w:rPr>
              <w:t>754.3</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3.4</w:t>
            </w:r>
          </w:p>
        </w:tc>
        <w:tc>
          <w:tcPr>
            <w:tcW w:w="1870" w:type="pct"/>
            <w:shd w:val="clear" w:color="auto" w:fill="auto"/>
            <w:vAlign w:val="center"/>
            <w:hideMark/>
          </w:tcPr>
          <w:p w:rsidR="00150DB2" w:rsidRPr="00D630D1" w:rsidRDefault="007B2AB5" w:rsidP="00714C21">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15</w:t>
            </w:r>
            <w:r w:rsidR="00714C21">
              <w:rPr>
                <w:rFonts w:ascii="Times New Roman" w:eastAsia="等线" w:cs="Times New Roman" w:hint="eastAsia"/>
                <w:sz w:val="21"/>
                <w:szCs w:val="21"/>
              </w:rPr>
              <w:t>562</w:t>
            </w:r>
            <w:r w:rsidR="00150DB2" w:rsidRPr="00D630D1">
              <w:rPr>
                <w:rFonts w:ascii="Times New Roman" w:eastAsia="等线" w:cs="Times New Roman" w:hint="eastAsia"/>
                <w:sz w:val="21"/>
                <w:szCs w:val="21"/>
              </w:rPr>
              <w:t>.</w:t>
            </w:r>
            <w:r w:rsidR="00714C21">
              <w:rPr>
                <w:rFonts w:ascii="Times New Roman" w:eastAsia="等线" w:cs="Times New Roman" w:hint="eastAsia"/>
                <w:sz w:val="21"/>
                <w:szCs w:val="21"/>
              </w:rPr>
              <w:t>1</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510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4.3</w:t>
            </w:r>
          </w:p>
        </w:tc>
        <w:tc>
          <w:tcPr>
            <w:tcW w:w="1870" w:type="pct"/>
            <w:shd w:val="clear" w:color="auto" w:fill="auto"/>
            <w:vAlign w:val="center"/>
            <w:hideMark/>
          </w:tcPr>
          <w:p w:rsidR="00150DB2" w:rsidRPr="00D630D1" w:rsidRDefault="007B2AB5" w:rsidP="007B2AB5">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13</w:t>
            </w:r>
            <w:r w:rsidR="00714C21">
              <w:rPr>
                <w:rFonts w:ascii="Times New Roman" w:eastAsia="等线" w:cs="Times New Roman" w:hint="eastAsia"/>
                <w:sz w:val="21"/>
                <w:szCs w:val="21"/>
              </w:rPr>
              <w:t>822.8</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610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5.1</w:t>
            </w:r>
          </w:p>
        </w:tc>
        <w:tc>
          <w:tcPr>
            <w:tcW w:w="1870" w:type="pct"/>
            <w:shd w:val="clear" w:color="auto" w:fill="auto"/>
            <w:vAlign w:val="center"/>
            <w:hideMark/>
          </w:tcPr>
          <w:p w:rsidR="00150DB2" w:rsidRPr="00D630D1" w:rsidRDefault="007B2AB5" w:rsidP="00714C21">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13</w:t>
            </w:r>
            <w:r w:rsidR="00714C21">
              <w:rPr>
                <w:rFonts w:ascii="Times New Roman" w:eastAsia="等线" w:cs="Times New Roman" w:hint="eastAsia"/>
                <w:sz w:val="21"/>
                <w:szCs w:val="21"/>
              </w:rPr>
              <w:t>359.2</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710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5.9</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12</w:t>
            </w:r>
            <w:r w:rsidR="00714C21">
              <w:rPr>
                <w:rFonts w:ascii="Times New Roman" w:eastAsia="等线" w:cs="Times New Roman" w:hint="eastAsia"/>
                <w:sz w:val="21"/>
                <w:szCs w:val="21"/>
              </w:rPr>
              <w:t>799.6</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810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6.8</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11</w:t>
            </w:r>
            <w:r w:rsidR="00714C21">
              <w:rPr>
                <w:rFonts w:ascii="Times New Roman" w:eastAsia="等线" w:cs="Times New Roman" w:hint="eastAsia"/>
                <w:sz w:val="21"/>
                <w:szCs w:val="21"/>
              </w:rPr>
              <w:t>170.6</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910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7.6</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10</w:t>
            </w:r>
            <w:r w:rsidR="00714C21">
              <w:rPr>
                <w:rFonts w:ascii="Times New Roman" w:eastAsia="等线" w:cs="Times New Roman" w:hint="eastAsia"/>
                <w:sz w:val="21"/>
                <w:szCs w:val="21"/>
              </w:rPr>
              <w:t>272.6</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1010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8.4</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w:t>
            </w:r>
            <w:r w:rsidR="00714C21">
              <w:rPr>
                <w:rFonts w:ascii="Times New Roman" w:eastAsia="等线" w:cs="Times New Roman" w:hint="eastAsia"/>
                <w:sz w:val="21"/>
                <w:szCs w:val="21"/>
              </w:rPr>
              <w:t>0128.4</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1110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9.3</w:t>
            </w:r>
          </w:p>
        </w:tc>
        <w:tc>
          <w:tcPr>
            <w:tcW w:w="1870" w:type="pct"/>
            <w:shd w:val="clear" w:color="auto" w:fill="auto"/>
            <w:vAlign w:val="center"/>
            <w:hideMark/>
          </w:tcPr>
          <w:p w:rsidR="00150DB2" w:rsidRPr="00D630D1" w:rsidRDefault="007B2AB5" w:rsidP="00714C21">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9</w:t>
            </w:r>
            <w:r w:rsidR="00714C21">
              <w:rPr>
                <w:rFonts w:ascii="Times New Roman" w:eastAsia="等线" w:cs="Times New Roman" w:hint="eastAsia"/>
                <w:sz w:val="21"/>
                <w:szCs w:val="21"/>
              </w:rPr>
              <w:t>219.5</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lastRenderedPageBreak/>
              <w:t>1210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10.1</w:t>
            </w:r>
          </w:p>
        </w:tc>
        <w:tc>
          <w:tcPr>
            <w:tcW w:w="1870" w:type="pct"/>
            <w:shd w:val="clear" w:color="auto" w:fill="auto"/>
            <w:vAlign w:val="center"/>
            <w:hideMark/>
          </w:tcPr>
          <w:p w:rsidR="00150DB2" w:rsidRPr="00D630D1" w:rsidRDefault="007B2AB5" w:rsidP="00714C21">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8</w:t>
            </w:r>
            <w:r w:rsidR="00714C21">
              <w:rPr>
                <w:rFonts w:ascii="Times New Roman" w:eastAsia="等线" w:cs="Times New Roman" w:hint="eastAsia"/>
                <w:sz w:val="21"/>
                <w:szCs w:val="21"/>
              </w:rPr>
              <w:t>607.7</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1310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10.9</w:t>
            </w:r>
          </w:p>
        </w:tc>
        <w:tc>
          <w:tcPr>
            <w:tcW w:w="1870" w:type="pct"/>
            <w:shd w:val="clear" w:color="auto" w:fill="auto"/>
            <w:vAlign w:val="center"/>
            <w:hideMark/>
          </w:tcPr>
          <w:p w:rsidR="00150DB2" w:rsidRPr="00D630D1" w:rsidRDefault="007B2AB5" w:rsidP="00714C21">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8</w:t>
            </w:r>
            <w:r w:rsidR="00714C21">
              <w:rPr>
                <w:rFonts w:ascii="Times New Roman" w:eastAsia="等线" w:cs="Times New Roman" w:hint="eastAsia"/>
                <w:sz w:val="21"/>
                <w:szCs w:val="21"/>
              </w:rPr>
              <w:t>458.2</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1410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11.8</w:t>
            </w:r>
          </w:p>
        </w:tc>
        <w:tc>
          <w:tcPr>
            <w:tcW w:w="1870" w:type="pct"/>
            <w:shd w:val="clear" w:color="auto" w:fill="auto"/>
            <w:vAlign w:val="center"/>
            <w:hideMark/>
          </w:tcPr>
          <w:p w:rsidR="00150DB2" w:rsidRPr="00D630D1" w:rsidRDefault="007B2AB5" w:rsidP="00714C21">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7</w:t>
            </w:r>
            <w:r w:rsidR="00714C21">
              <w:rPr>
                <w:rFonts w:ascii="Times New Roman" w:eastAsia="等线" w:cs="Times New Roman" w:hint="eastAsia"/>
                <w:sz w:val="21"/>
                <w:szCs w:val="21"/>
              </w:rPr>
              <w:t>813.9</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1510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12.6</w:t>
            </w:r>
          </w:p>
        </w:tc>
        <w:tc>
          <w:tcPr>
            <w:tcW w:w="1870" w:type="pct"/>
            <w:shd w:val="clear" w:color="auto" w:fill="auto"/>
            <w:vAlign w:val="center"/>
            <w:hideMark/>
          </w:tcPr>
          <w:p w:rsidR="00150DB2" w:rsidRPr="00D630D1" w:rsidRDefault="00150DB2" w:rsidP="00714C21">
            <w:pPr>
              <w:widowControl/>
              <w:topLinePunct w:val="0"/>
              <w:adjustRightInd/>
              <w:ind w:firstLineChars="100" w:firstLine="210"/>
              <w:jc w:val="center"/>
              <w:rPr>
                <w:rFonts w:ascii="Times New Roman" w:eastAsia="等线" w:cs="Times New Roman"/>
                <w:sz w:val="21"/>
                <w:szCs w:val="21"/>
              </w:rPr>
            </w:pPr>
            <w:r w:rsidRPr="00D630D1">
              <w:rPr>
                <w:rFonts w:ascii="Times New Roman" w:eastAsia="等线" w:cs="Times New Roman" w:hint="eastAsia"/>
                <w:sz w:val="21"/>
                <w:szCs w:val="21"/>
              </w:rPr>
              <w:t>1</w:t>
            </w:r>
            <w:r w:rsidR="00714C21">
              <w:rPr>
                <w:rFonts w:ascii="Times New Roman" w:eastAsia="等线" w:cs="Times New Roman" w:hint="eastAsia"/>
                <w:sz w:val="21"/>
                <w:szCs w:val="21"/>
              </w:rPr>
              <w:t>4767.3</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1610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13.4</w:t>
            </w:r>
          </w:p>
        </w:tc>
        <w:tc>
          <w:tcPr>
            <w:tcW w:w="1870" w:type="pct"/>
            <w:shd w:val="clear" w:color="auto" w:fill="auto"/>
            <w:vAlign w:val="center"/>
            <w:hideMark/>
          </w:tcPr>
          <w:p w:rsidR="00150DB2" w:rsidRPr="00D630D1" w:rsidRDefault="007B2AB5" w:rsidP="00714C21">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6</w:t>
            </w:r>
            <w:r w:rsidR="00714C21">
              <w:rPr>
                <w:rFonts w:ascii="Times New Roman" w:eastAsia="等线" w:cs="Times New Roman" w:hint="eastAsia"/>
                <w:sz w:val="21"/>
                <w:szCs w:val="21"/>
              </w:rPr>
              <w:t>602.6</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1710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14.3</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6</w:t>
            </w:r>
            <w:r w:rsidR="00714C21">
              <w:rPr>
                <w:rFonts w:ascii="Times New Roman" w:eastAsia="等线" w:cs="Times New Roman" w:hint="eastAsia"/>
                <w:sz w:val="21"/>
                <w:szCs w:val="21"/>
              </w:rPr>
              <w:t>574.7</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1810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15.1</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5</w:t>
            </w:r>
            <w:r w:rsidR="00714C21">
              <w:rPr>
                <w:rFonts w:ascii="Times New Roman" w:eastAsia="等线" w:cs="Times New Roman" w:hint="eastAsia"/>
                <w:sz w:val="21"/>
                <w:szCs w:val="21"/>
              </w:rPr>
              <w:t>683.8</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1910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15.9</w:t>
            </w:r>
          </w:p>
        </w:tc>
        <w:tc>
          <w:tcPr>
            <w:tcW w:w="1870" w:type="pct"/>
            <w:shd w:val="clear" w:color="auto" w:fill="auto"/>
            <w:vAlign w:val="center"/>
            <w:hideMark/>
          </w:tcPr>
          <w:p w:rsidR="00150DB2" w:rsidRPr="00D630D1" w:rsidRDefault="007B2AB5" w:rsidP="007B2AB5">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52</w:t>
            </w:r>
            <w:r w:rsidR="00714C21">
              <w:rPr>
                <w:rFonts w:ascii="Times New Roman" w:eastAsia="等线" w:cs="Times New Roman" w:hint="eastAsia"/>
                <w:sz w:val="21"/>
                <w:szCs w:val="21"/>
              </w:rPr>
              <w:t>26.1</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2010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16.8</w:t>
            </w:r>
          </w:p>
        </w:tc>
        <w:tc>
          <w:tcPr>
            <w:tcW w:w="1870" w:type="pct"/>
            <w:shd w:val="clear" w:color="auto" w:fill="auto"/>
            <w:vAlign w:val="center"/>
            <w:hideMark/>
          </w:tcPr>
          <w:p w:rsidR="00150DB2" w:rsidRPr="00D630D1" w:rsidRDefault="007B2AB5" w:rsidP="007B2AB5">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50</w:t>
            </w:r>
            <w:r w:rsidR="00714C21">
              <w:rPr>
                <w:rFonts w:ascii="Times New Roman" w:eastAsia="等线" w:cs="Times New Roman" w:hint="eastAsia"/>
                <w:sz w:val="21"/>
                <w:szCs w:val="21"/>
              </w:rPr>
              <w:t>70.7</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2110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17.6</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48</w:t>
            </w:r>
            <w:r w:rsidR="00714C21">
              <w:rPr>
                <w:rFonts w:ascii="Times New Roman" w:eastAsia="等线" w:cs="Times New Roman" w:hint="eastAsia"/>
                <w:sz w:val="21"/>
                <w:szCs w:val="21"/>
              </w:rPr>
              <w:t>04.5</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2210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18.4</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45</w:t>
            </w:r>
            <w:r w:rsidR="00714C21">
              <w:rPr>
                <w:rFonts w:ascii="Times New Roman" w:eastAsia="等线" w:cs="Times New Roman" w:hint="eastAsia"/>
                <w:sz w:val="21"/>
                <w:szCs w:val="21"/>
              </w:rPr>
              <w:t>20.4</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2310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19.3</w:t>
            </w:r>
          </w:p>
        </w:tc>
        <w:tc>
          <w:tcPr>
            <w:tcW w:w="1870" w:type="pct"/>
            <w:shd w:val="clear" w:color="auto" w:fill="auto"/>
            <w:vAlign w:val="center"/>
            <w:hideMark/>
          </w:tcPr>
          <w:p w:rsidR="00150DB2" w:rsidRPr="00D630D1" w:rsidRDefault="007B2AB5" w:rsidP="007B2AB5">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43</w:t>
            </w:r>
            <w:r w:rsidR="00714C21">
              <w:rPr>
                <w:rFonts w:ascii="Times New Roman" w:eastAsia="等线" w:cs="Times New Roman" w:hint="eastAsia"/>
                <w:sz w:val="21"/>
                <w:szCs w:val="21"/>
              </w:rPr>
              <w:t>47.7</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2410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20.1</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4</w:t>
            </w:r>
            <w:r w:rsidR="00714C21">
              <w:rPr>
                <w:rFonts w:ascii="Times New Roman" w:eastAsia="等线" w:cs="Times New Roman" w:hint="eastAsia"/>
                <w:sz w:val="21"/>
                <w:szCs w:val="21"/>
              </w:rPr>
              <w:t>096.5</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2510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20.9</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38</w:t>
            </w:r>
            <w:r w:rsidR="00714C21">
              <w:rPr>
                <w:rFonts w:ascii="Times New Roman" w:eastAsia="等线" w:cs="Times New Roman" w:hint="eastAsia"/>
                <w:sz w:val="21"/>
                <w:szCs w:val="21"/>
              </w:rPr>
              <w:t>12.2</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2610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21.8</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36</w:t>
            </w:r>
            <w:r w:rsidR="00714C21">
              <w:rPr>
                <w:rFonts w:ascii="Times New Roman" w:eastAsia="等线" w:cs="Times New Roman" w:hint="eastAsia"/>
                <w:sz w:val="21"/>
                <w:szCs w:val="21"/>
              </w:rPr>
              <w:t>75.5</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2710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22.6</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31</w:t>
            </w:r>
            <w:r w:rsidR="00714C21">
              <w:rPr>
                <w:rFonts w:ascii="Times New Roman" w:eastAsia="等线" w:cs="Times New Roman" w:hint="eastAsia"/>
                <w:sz w:val="21"/>
                <w:szCs w:val="21"/>
              </w:rPr>
              <w:t>78.3</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2810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23.4</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30</w:t>
            </w:r>
            <w:r w:rsidR="00714C21">
              <w:rPr>
                <w:rFonts w:ascii="Times New Roman" w:eastAsia="等线" w:cs="Times New Roman" w:hint="eastAsia"/>
                <w:sz w:val="21"/>
                <w:szCs w:val="21"/>
              </w:rPr>
              <w:t>06.4</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2910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24.3</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28</w:t>
            </w:r>
            <w:r w:rsidR="00714C21">
              <w:rPr>
                <w:rFonts w:ascii="Times New Roman" w:eastAsia="等线" w:cs="Times New Roman" w:hint="eastAsia"/>
                <w:sz w:val="21"/>
                <w:szCs w:val="21"/>
              </w:rPr>
              <w:t>31.2</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3010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25.1</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26</w:t>
            </w:r>
            <w:r w:rsidR="00714C21">
              <w:rPr>
                <w:rFonts w:ascii="Times New Roman" w:eastAsia="等线" w:cs="Times New Roman" w:hint="eastAsia"/>
                <w:sz w:val="21"/>
                <w:szCs w:val="21"/>
              </w:rPr>
              <w:t>89.1</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3110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25.9</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25</w:t>
            </w:r>
            <w:r w:rsidR="00714C21">
              <w:rPr>
                <w:rFonts w:ascii="Times New Roman" w:eastAsia="等线" w:cs="Times New Roman" w:hint="eastAsia"/>
                <w:sz w:val="21"/>
                <w:szCs w:val="21"/>
              </w:rPr>
              <w:t>49.6</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3210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26.8</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24</w:t>
            </w:r>
            <w:r w:rsidR="00714C21">
              <w:rPr>
                <w:rFonts w:ascii="Times New Roman" w:eastAsia="等线" w:cs="Times New Roman" w:hint="eastAsia"/>
                <w:sz w:val="21"/>
                <w:szCs w:val="21"/>
              </w:rPr>
              <w:t>08.2</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3310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27.6</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23</w:t>
            </w:r>
            <w:r w:rsidR="00714C21">
              <w:rPr>
                <w:rFonts w:ascii="Times New Roman" w:eastAsia="等线" w:cs="Times New Roman" w:hint="eastAsia"/>
                <w:sz w:val="21"/>
                <w:szCs w:val="21"/>
              </w:rPr>
              <w:t>04.2</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3410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28.4</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22</w:t>
            </w:r>
            <w:r w:rsidR="00714C21">
              <w:rPr>
                <w:rFonts w:ascii="Times New Roman" w:eastAsia="等线" w:cs="Times New Roman" w:hint="eastAsia"/>
                <w:sz w:val="21"/>
                <w:szCs w:val="21"/>
              </w:rPr>
              <w:t>11.5</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3510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29.3</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21</w:t>
            </w:r>
            <w:r w:rsidR="00714C21">
              <w:rPr>
                <w:rFonts w:ascii="Times New Roman" w:eastAsia="等线" w:cs="Times New Roman" w:hint="eastAsia"/>
                <w:sz w:val="21"/>
                <w:szCs w:val="21"/>
              </w:rPr>
              <w:t>43.2</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3610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30.1</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20</w:t>
            </w:r>
            <w:r w:rsidR="00714C21">
              <w:rPr>
                <w:rFonts w:ascii="Times New Roman" w:eastAsia="等线" w:cs="Times New Roman" w:hint="eastAsia"/>
                <w:sz w:val="21"/>
                <w:szCs w:val="21"/>
              </w:rPr>
              <w:t>57.4</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3710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30.9</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2</w:t>
            </w:r>
            <w:r w:rsidR="00714C21">
              <w:rPr>
                <w:rFonts w:ascii="Times New Roman" w:eastAsia="等线" w:cs="Times New Roman" w:hint="eastAsia"/>
                <w:sz w:val="21"/>
                <w:szCs w:val="21"/>
              </w:rPr>
              <w:t>000.3</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3810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31.8</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19</w:t>
            </w:r>
            <w:r w:rsidR="00714C21">
              <w:rPr>
                <w:rFonts w:ascii="Times New Roman" w:eastAsia="等线" w:cs="Times New Roman" w:hint="eastAsia"/>
                <w:sz w:val="21"/>
                <w:szCs w:val="21"/>
              </w:rPr>
              <w:t>98.9</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3910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32.6</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18</w:t>
            </w:r>
            <w:r w:rsidR="00714C21">
              <w:rPr>
                <w:rFonts w:ascii="Times New Roman" w:eastAsia="等线" w:cs="Times New Roman" w:hint="eastAsia"/>
                <w:sz w:val="21"/>
                <w:szCs w:val="21"/>
              </w:rPr>
              <w:t>81.1</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lastRenderedPageBreak/>
              <w:t>4010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33.4</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18</w:t>
            </w:r>
            <w:r w:rsidR="00714C21">
              <w:rPr>
                <w:rFonts w:ascii="Times New Roman" w:eastAsia="等线" w:cs="Times New Roman" w:hint="eastAsia"/>
                <w:sz w:val="21"/>
                <w:szCs w:val="21"/>
              </w:rPr>
              <w:t>80.2</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4110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34.3</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17</w:t>
            </w:r>
            <w:r w:rsidR="00714C21">
              <w:rPr>
                <w:rFonts w:ascii="Times New Roman" w:eastAsia="等线" w:cs="Times New Roman" w:hint="eastAsia"/>
                <w:sz w:val="21"/>
                <w:szCs w:val="21"/>
              </w:rPr>
              <w:t>97.1</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4210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35.1</w:t>
            </w:r>
          </w:p>
        </w:tc>
        <w:tc>
          <w:tcPr>
            <w:tcW w:w="1870" w:type="pct"/>
            <w:shd w:val="clear" w:color="auto" w:fill="auto"/>
            <w:vAlign w:val="center"/>
            <w:hideMark/>
          </w:tcPr>
          <w:p w:rsidR="00150DB2" w:rsidRPr="00D630D1" w:rsidRDefault="007B2AB5" w:rsidP="00150DB2">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16</w:t>
            </w:r>
            <w:r w:rsidR="00714C21">
              <w:rPr>
                <w:rFonts w:ascii="Times New Roman" w:eastAsia="等线" w:cs="Times New Roman" w:hint="eastAsia"/>
                <w:sz w:val="21"/>
                <w:szCs w:val="21"/>
              </w:rPr>
              <w:t>43.5</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4310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35.9</w:t>
            </w:r>
          </w:p>
        </w:tc>
        <w:tc>
          <w:tcPr>
            <w:tcW w:w="1870" w:type="pct"/>
            <w:shd w:val="clear" w:color="auto" w:fill="auto"/>
            <w:vAlign w:val="center"/>
            <w:hideMark/>
          </w:tcPr>
          <w:p w:rsidR="00150DB2" w:rsidRPr="00D630D1" w:rsidRDefault="007B2AB5" w:rsidP="00550C06">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15</w:t>
            </w:r>
            <w:r w:rsidR="00714C21">
              <w:rPr>
                <w:rFonts w:ascii="Times New Roman" w:eastAsia="等线" w:cs="Times New Roman" w:hint="eastAsia"/>
                <w:sz w:val="21"/>
                <w:szCs w:val="21"/>
              </w:rPr>
              <w:t>18.2</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4410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36.8</w:t>
            </w:r>
          </w:p>
        </w:tc>
        <w:tc>
          <w:tcPr>
            <w:tcW w:w="1870" w:type="pct"/>
            <w:shd w:val="clear" w:color="auto" w:fill="auto"/>
            <w:vAlign w:val="center"/>
            <w:hideMark/>
          </w:tcPr>
          <w:p w:rsidR="00150DB2" w:rsidRPr="00D630D1" w:rsidRDefault="007B2AB5" w:rsidP="00714C21">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14</w:t>
            </w:r>
            <w:r w:rsidR="00714C21">
              <w:rPr>
                <w:rFonts w:ascii="Times New Roman" w:eastAsia="等线" w:cs="Times New Roman" w:hint="eastAsia"/>
                <w:sz w:val="21"/>
                <w:szCs w:val="21"/>
              </w:rPr>
              <w:t>78.7</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4510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37.6</w:t>
            </w:r>
          </w:p>
        </w:tc>
        <w:tc>
          <w:tcPr>
            <w:tcW w:w="1870" w:type="pct"/>
            <w:shd w:val="clear" w:color="auto" w:fill="auto"/>
            <w:vAlign w:val="center"/>
            <w:hideMark/>
          </w:tcPr>
          <w:p w:rsidR="00150DB2" w:rsidRPr="00D630D1" w:rsidRDefault="007B2AB5" w:rsidP="007B2AB5">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136</w:t>
            </w:r>
            <w:r w:rsidR="00714C21">
              <w:rPr>
                <w:rFonts w:ascii="Times New Roman" w:eastAsia="等线" w:cs="Times New Roman" w:hint="eastAsia"/>
                <w:sz w:val="21"/>
                <w:szCs w:val="21"/>
              </w:rPr>
              <w:t>8.5</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4610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38.4</w:t>
            </w:r>
          </w:p>
        </w:tc>
        <w:tc>
          <w:tcPr>
            <w:tcW w:w="1870" w:type="pct"/>
            <w:shd w:val="clear" w:color="auto" w:fill="auto"/>
            <w:vAlign w:val="center"/>
            <w:hideMark/>
          </w:tcPr>
          <w:p w:rsidR="00150DB2" w:rsidRPr="00D630D1" w:rsidRDefault="007B2AB5" w:rsidP="007B2AB5">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132</w:t>
            </w:r>
            <w:r w:rsidR="00714C21">
              <w:rPr>
                <w:rFonts w:ascii="Times New Roman" w:eastAsia="等线" w:cs="Times New Roman" w:hint="eastAsia"/>
                <w:sz w:val="21"/>
                <w:szCs w:val="21"/>
              </w:rPr>
              <w:t>1.1</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4710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39.3</w:t>
            </w:r>
          </w:p>
        </w:tc>
        <w:tc>
          <w:tcPr>
            <w:tcW w:w="1870" w:type="pct"/>
            <w:shd w:val="clear" w:color="auto" w:fill="auto"/>
            <w:vAlign w:val="center"/>
            <w:hideMark/>
          </w:tcPr>
          <w:p w:rsidR="00150DB2" w:rsidRPr="00D630D1" w:rsidRDefault="007B2AB5" w:rsidP="00550C06">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12</w:t>
            </w:r>
            <w:r w:rsidR="00714C21">
              <w:rPr>
                <w:rFonts w:ascii="Times New Roman" w:eastAsia="等线" w:cs="Times New Roman" w:hint="eastAsia"/>
                <w:sz w:val="21"/>
                <w:szCs w:val="21"/>
              </w:rPr>
              <w:t>40.8</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4810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40.1</w:t>
            </w:r>
          </w:p>
        </w:tc>
        <w:tc>
          <w:tcPr>
            <w:tcW w:w="1870" w:type="pct"/>
            <w:shd w:val="clear" w:color="auto" w:fill="auto"/>
            <w:vAlign w:val="center"/>
            <w:hideMark/>
          </w:tcPr>
          <w:p w:rsidR="00150DB2" w:rsidRPr="00D630D1" w:rsidRDefault="007B2AB5" w:rsidP="00550C06">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12</w:t>
            </w:r>
            <w:r w:rsidR="00714C21">
              <w:rPr>
                <w:rFonts w:ascii="Times New Roman" w:eastAsia="等线" w:cs="Times New Roman" w:hint="eastAsia"/>
                <w:sz w:val="21"/>
                <w:szCs w:val="21"/>
              </w:rPr>
              <w:t>36.6</w:t>
            </w:r>
          </w:p>
        </w:tc>
      </w:tr>
      <w:tr w:rsidR="00150DB2" w:rsidRPr="00D630D1" w:rsidTr="00EB155A">
        <w:trPr>
          <w:trHeight w:val="290"/>
          <w:jc w:val="center"/>
        </w:trPr>
        <w:tc>
          <w:tcPr>
            <w:tcW w:w="1587" w:type="pct"/>
            <w:shd w:val="clear" w:color="auto" w:fill="auto"/>
            <w:noWrap/>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4910</w:t>
            </w:r>
          </w:p>
        </w:tc>
        <w:tc>
          <w:tcPr>
            <w:tcW w:w="1543" w:type="pct"/>
            <w:shd w:val="clear" w:color="auto" w:fill="auto"/>
            <w:vAlign w:val="center"/>
            <w:hideMark/>
          </w:tcPr>
          <w:p w:rsidR="00150DB2" w:rsidRPr="00D630D1" w:rsidRDefault="00150DB2" w:rsidP="00550C06">
            <w:pPr>
              <w:widowControl/>
              <w:topLinePunct w:val="0"/>
              <w:adjustRightInd/>
              <w:ind w:firstLine="420"/>
              <w:jc w:val="center"/>
              <w:rPr>
                <w:rFonts w:ascii="Times New Roman" w:eastAsia="等线" w:cs="Times New Roman"/>
                <w:sz w:val="21"/>
                <w:szCs w:val="21"/>
              </w:rPr>
            </w:pPr>
            <w:r w:rsidRPr="00D630D1">
              <w:rPr>
                <w:rFonts w:ascii="Times New Roman" w:eastAsia="等线" w:cs="Times New Roman"/>
                <w:sz w:val="21"/>
                <w:szCs w:val="21"/>
              </w:rPr>
              <w:t>40.9</w:t>
            </w:r>
          </w:p>
        </w:tc>
        <w:tc>
          <w:tcPr>
            <w:tcW w:w="1870" w:type="pct"/>
            <w:shd w:val="clear" w:color="auto" w:fill="auto"/>
            <w:vAlign w:val="center"/>
            <w:hideMark/>
          </w:tcPr>
          <w:p w:rsidR="00150DB2" w:rsidRPr="00D630D1" w:rsidRDefault="007B2AB5" w:rsidP="00550C06">
            <w:pPr>
              <w:widowControl/>
              <w:topLinePunct w:val="0"/>
              <w:adjustRightInd/>
              <w:ind w:firstLineChars="100" w:firstLine="210"/>
              <w:jc w:val="center"/>
              <w:rPr>
                <w:rFonts w:ascii="Times New Roman" w:eastAsia="等线" w:cs="Times New Roman"/>
                <w:sz w:val="21"/>
                <w:szCs w:val="21"/>
              </w:rPr>
            </w:pPr>
            <w:r>
              <w:rPr>
                <w:rFonts w:ascii="Times New Roman" w:eastAsia="等线" w:cs="Times New Roman" w:hint="eastAsia"/>
                <w:sz w:val="21"/>
                <w:szCs w:val="21"/>
              </w:rPr>
              <w:t>11</w:t>
            </w:r>
            <w:r w:rsidR="00714C21">
              <w:rPr>
                <w:rFonts w:ascii="Times New Roman" w:eastAsia="等线" w:cs="Times New Roman" w:hint="eastAsia"/>
                <w:sz w:val="21"/>
                <w:szCs w:val="21"/>
              </w:rPr>
              <w:t>45.9</w:t>
            </w:r>
          </w:p>
        </w:tc>
      </w:tr>
    </w:tbl>
    <w:p w:rsidR="00550C06" w:rsidRPr="00D630D1" w:rsidRDefault="00550C06" w:rsidP="00550C06">
      <w:pPr>
        <w:topLinePunct w:val="0"/>
        <w:adjustRightInd/>
        <w:ind w:firstLine="480"/>
        <w:rPr>
          <w:rFonts w:ascii="Times New Roman" w:cs="Times New Roman"/>
          <w:kern w:val="2"/>
        </w:rPr>
      </w:pPr>
      <w:r w:rsidRPr="00D630D1">
        <w:rPr>
          <w:rFonts w:ascii="Times New Roman" w:cs="Times New Roman"/>
          <w:kern w:val="2"/>
        </w:rPr>
        <w:t>（</w:t>
      </w:r>
      <w:r w:rsidRPr="00D630D1">
        <w:rPr>
          <w:rFonts w:ascii="Times New Roman" w:cs="Times New Roman"/>
          <w:kern w:val="2"/>
        </w:rPr>
        <w:t>4</w:t>
      </w:r>
      <w:r w:rsidRPr="00D630D1">
        <w:rPr>
          <w:rFonts w:ascii="Times New Roman" w:cs="Times New Roman"/>
          <w:kern w:val="2"/>
        </w:rPr>
        <w:t>）后果分析</w:t>
      </w:r>
    </w:p>
    <w:p w:rsidR="00550C06" w:rsidRPr="00D630D1" w:rsidRDefault="00550C06" w:rsidP="00550C06">
      <w:pPr>
        <w:topLinePunct w:val="0"/>
        <w:adjustRightInd/>
        <w:ind w:firstLine="480"/>
        <w:rPr>
          <w:rFonts w:ascii="Times New Roman" w:cs="Times New Roman"/>
          <w:kern w:val="2"/>
        </w:rPr>
      </w:pPr>
      <w:r w:rsidRPr="00D630D1">
        <w:rPr>
          <w:rFonts w:ascii="Times New Roman" w:cs="Times New Roman"/>
          <w:kern w:val="2"/>
        </w:rPr>
        <w:t>甲烷泄漏后果分析见表</w:t>
      </w:r>
      <w:r w:rsidR="00EB155A" w:rsidRPr="00D630D1">
        <w:rPr>
          <w:rFonts w:ascii="Times New Roman" w:cs="Times New Roman" w:hint="eastAsia"/>
          <w:kern w:val="2"/>
        </w:rPr>
        <w:t>7</w:t>
      </w:r>
      <w:r w:rsidRPr="00D630D1">
        <w:rPr>
          <w:rFonts w:ascii="Times New Roman" w:cs="Times New Roman"/>
          <w:kern w:val="2"/>
        </w:rPr>
        <w:t>.</w:t>
      </w:r>
      <w:r w:rsidR="00EB155A" w:rsidRPr="00D630D1">
        <w:rPr>
          <w:rFonts w:ascii="Times New Roman" w:cs="Times New Roman" w:hint="eastAsia"/>
          <w:kern w:val="2"/>
        </w:rPr>
        <w:t>8</w:t>
      </w:r>
      <w:r w:rsidRPr="00D630D1">
        <w:rPr>
          <w:rFonts w:ascii="Times New Roman" w:cs="Times New Roman"/>
          <w:kern w:val="2"/>
        </w:rPr>
        <w:t>-</w:t>
      </w:r>
      <w:r w:rsidR="00714C21">
        <w:rPr>
          <w:rFonts w:ascii="Times New Roman" w:cs="Times New Roman" w:hint="eastAsia"/>
          <w:kern w:val="2"/>
        </w:rPr>
        <w:t>4</w:t>
      </w:r>
      <w:r w:rsidRPr="00D630D1">
        <w:rPr>
          <w:rFonts w:ascii="Times New Roman" w:cs="Times New Roman"/>
          <w:kern w:val="2"/>
        </w:rPr>
        <w:t>。</w:t>
      </w:r>
    </w:p>
    <w:p w:rsidR="00550C06" w:rsidRPr="00D630D1" w:rsidRDefault="00550C06" w:rsidP="00550C06">
      <w:pPr>
        <w:topLinePunct w:val="0"/>
        <w:adjustRightInd/>
        <w:snapToGrid w:val="0"/>
        <w:spacing w:line="500" w:lineRule="exact"/>
        <w:ind w:firstLine="420"/>
        <w:jc w:val="center"/>
        <w:rPr>
          <w:rFonts w:ascii="Times New Roman" w:cs="Times New Roman"/>
          <w:kern w:val="2"/>
          <w:sz w:val="21"/>
          <w:szCs w:val="21"/>
        </w:rPr>
      </w:pPr>
      <w:r w:rsidRPr="00D630D1">
        <w:rPr>
          <w:rFonts w:ascii="Times New Roman" w:cs="Times New Roman"/>
          <w:kern w:val="2"/>
          <w:sz w:val="21"/>
          <w:szCs w:val="21"/>
        </w:rPr>
        <w:t>表</w:t>
      </w:r>
      <w:r w:rsidR="00EB155A" w:rsidRPr="00D630D1">
        <w:rPr>
          <w:rFonts w:ascii="Times New Roman" w:cs="Times New Roman" w:hint="eastAsia"/>
          <w:kern w:val="2"/>
          <w:sz w:val="21"/>
          <w:szCs w:val="21"/>
        </w:rPr>
        <w:t>7</w:t>
      </w:r>
      <w:r w:rsidRPr="00D630D1">
        <w:rPr>
          <w:rFonts w:ascii="Times New Roman" w:cs="Times New Roman"/>
          <w:kern w:val="2"/>
          <w:sz w:val="21"/>
          <w:szCs w:val="21"/>
        </w:rPr>
        <w:t>.</w:t>
      </w:r>
      <w:r w:rsidR="00EB155A" w:rsidRPr="00D630D1">
        <w:rPr>
          <w:rFonts w:ascii="Times New Roman" w:cs="Times New Roman" w:hint="eastAsia"/>
          <w:kern w:val="2"/>
          <w:sz w:val="21"/>
          <w:szCs w:val="21"/>
        </w:rPr>
        <w:t>8</w:t>
      </w:r>
      <w:r w:rsidRPr="00D630D1">
        <w:rPr>
          <w:rFonts w:ascii="Times New Roman" w:cs="Times New Roman"/>
          <w:kern w:val="2"/>
          <w:sz w:val="21"/>
          <w:szCs w:val="21"/>
        </w:rPr>
        <w:t>-</w:t>
      </w:r>
      <w:r w:rsidR="00714C21">
        <w:rPr>
          <w:rFonts w:ascii="Times New Roman" w:cs="Times New Roman" w:hint="eastAsia"/>
          <w:kern w:val="2"/>
          <w:sz w:val="21"/>
          <w:szCs w:val="21"/>
        </w:rPr>
        <w:t>4</w:t>
      </w:r>
      <w:r w:rsidRPr="00D630D1">
        <w:rPr>
          <w:rFonts w:ascii="Times New Roman" w:cs="Times New Roman"/>
          <w:kern w:val="2"/>
          <w:sz w:val="21"/>
          <w:szCs w:val="21"/>
        </w:rPr>
        <w:t xml:space="preserve">  </w:t>
      </w:r>
      <w:r w:rsidRPr="00D630D1">
        <w:rPr>
          <w:rFonts w:ascii="Times New Roman" w:cs="Times New Roman"/>
          <w:kern w:val="2"/>
          <w:sz w:val="21"/>
          <w:szCs w:val="21"/>
        </w:rPr>
        <w:t>甲烷泄漏事故后果分析</w:t>
      </w:r>
    </w:p>
    <w:tbl>
      <w:tblPr>
        <w:tblW w:w="5000" w:type="pct"/>
        <w:jc w:val="center"/>
        <w:tblBorders>
          <w:top w:val="single" w:sz="12" w:space="0" w:color="auto"/>
          <w:bottom w:val="single" w:sz="12" w:space="0" w:color="auto"/>
          <w:insideH w:val="single" w:sz="6" w:space="0" w:color="auto"/>
          <w:insideV w:val="single" w:sz="6" w:space="0" w:color="auto"/>
        </w:tblBorders>
        <w:tblLook w:val="01E0"/>
      </w:tblPr>
      <w:tblGrid>
        <w:gridCol w:w="5217"/>
        <w:gridCol w:w="3305"/>
      </w:tblGrid>
      <w:tr w:rsidR="00550C06" w:rsidRPr="00D630D1" w:rsidTr="00EB155A">
        <w:trPr>
          <w:trHeight w:val="20"/>
          <w:jc w:val="center"/>
        </w:trPr>
        <w:tc>
          <w:tcPr>
            <w:tcW w:w="3061"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浓度</w:t>
            </w:r>
          </w:p>
        </w:tc>
        <w:tc>
          <w:tcPr>
            <w:tcW w:w="1939"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最不利气象</w:t>
            </w:r>
          </w:p>
        </w:tc>
      </w:tr>
      <w:tr w:rsidR="00550C06" w:rsidRPr="00D630D1" w:rsidTr="00EB155A">
        <w:trPr>
          <w:trHeight w:val="20"/>
          <w:jc w:val="center"/>
        </w:trPr>
        <w:tc>
          <w:tcPr>
            <w:tcW w:w="3061"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毒性终点浓度</w:t>
            </w:r>
            <w:r w:rsidRPr="00D630D1">
              <w:rPr>
                <w:rFonts w:ascii="Times New Roman" w:cs="Times New Roman"/>
                <w:kern w:val="2"/>
                <w:sz w:val="21"/>
                <w:szCs w:val="21"/>
              </w:rPr>
              <w:t>-1/</w:t>
            </w:r>
            <w:r w:rsidRPr="00D630D1">
              <w:rPr>
                <w:rFonts w:ascii="Times New Roman" w:cs="Times New Roman"/>
                <w:kern w:val="2"/>
                <w:sz w:val="21"/>
                <w:szCs w:val="21"/>
              </w:rPr>
              <w:t>（</w:t>
            </w:r>
            <w:r w:rsidRPr="00D630D1">
              <w:rPr>
                <w:rFonts w:ascii="Times New Roman" w:cs="Times New Roman"/>
                <w:kern w:val="2"/>
                <w:sz w:val="21"/>
                <w:szCs w:val="21"/>
              </w:rPr>
              <w:t>260000mg/m</w:t>
            </w:r>
            <w:r w:rsidRPr="00D630D1">
              <w:rPr>
                <w:rFonts w:ascii="Times New Roman" w:cs="Times New Roman"/>
                <w:kern w:val="2"/>
                <w:sz w:val="21"/>
                <w:szCs w:val="21"/>
                <w:vertAlign w:val="superscript"/>
              </w:rPr>
              <w:t>3</w:t>
            </w:r>
            <w:r w:rsidRPr="00D630D1">
              <w:rPr>
                <w:rFonts w:ascii="Times New Roman" w:cs="Times New Roman"/>
                <w:kern w:val="2"/>
                <w:sz w:val="21"/>
                <w:szCs w:val="21"/>
              </w:rPr>
              <w:t>）</w:t>
            </w:r>
          </w:p>
        </w:tc>
        <w:tc>
          <w:tcPr>
            <w:tcW w:w="1939"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0m</w:t>
            </w:r>
          </w:p>
        </w:tc>
      </w:tr>
      <w:tr w:rsidR="00550C06" w:rsidRPr="00D630D1" w:rsidTr="00EB155A">
        <w:trPr>
          <w:trHeight w:val="20"/>
          <w:jc w:val="center"/>
        </w:trPr>
        <w:tc>
          <w:tcPr>
            <w:tcW w:w="3061"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毒性终点浓度</w:t>
            </w:r>
            <w:r w:rsidRPr="00D630D1">
              <w:rPr>
                <w:rFonts w:ascii="Times New Roman" w:cs="Times New Roman"/>
                <w:kern w:val="2"/>
                <w:sz w:val="21"/>
                <w:szCs w:val="21"/>
              </w:rPr>
              <w:t>-2/</w:t>
            </w:r>
            <w:r w:rsidRPr="00D630D1">
              <w:rPr>
                <w:rFonts w:ascii="Times New Roman" w:cs="Times New Roman"/>
                <w:kern w:val="2"/>
                <w:sz w:val="21"/>
                <w:szCs w:val="21"/>
              </w:rPr>
              <w:t>（</w:t>
            </w:r>
            <w:r w:rsidRPr="00D630D1">
              <w:rPr>
                <w:rFonts w:ascii="Times New Roman" w:cs="Times New Roman"/>
                <w:kern w:val="2"/>
                <w:sz w:val="21"/>
                <w:szCs w:val="21"/>
              </w:rPr>
              <w:t>150000mg/m</w:t>
            </w:r>
            <w:r w:rsidRPr="00D630D1">
              <w:rPr>
                <w:rFonts w:ascii="Times New Roman" w:cs="Times New Roman"/>
                <w:kern w:val="2"/>
                <w:sz w:val="21"/>
                <w:szCs w:val="21"/>
                <w:vertAlign w:val="superscript"/>
              </w:rPr>
              <w:t>3</w:t>
            </w:r>
            <w:r w:rsidRPr="00D630D1">
              <w:rPr>
                <w:rFonts w:ascii="Times New Roman" w:cs="Times New Roman"/>
                <w:kern w:val="2"/>
                <w:sz w:val="21"/>
                <w:szCs w:val="21"/>
              </w:rPr>
              <w:t>）</w:t>
            </w:r>
          </w:p>
        </w:tc>
        <w:tc>
          <w:tcPr>
            <w:tcW w:w="1939" w:type="pct"/>
            <w:vAlign w:val="center"/>
          </w:tcPr>
          <w:p w:rsidR="00550C06" w:rsidRPr="00D630D1" w:rsidRDefault="00550C06" w:rsidP="00550C06">
            <w:pPr>
              <w:topLinePunct w:val="0"/>
              <w:adjustRightInd/>
              <w:spacing w:line="240" w:lineRule="exact"/>
              <w:ind w:firstLineChars="0" w:firstLine="0"/>
              <w:jc w:val="center"/>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0m</w:t>
            </w:r>
          </w:p>
        </w:tc>
      </w:tr>
    </w:tbl>
    <w:p w:rsidR="009025F1" w:rsidRPr="00D630D1" w:rsidRDefault="00550C06" w:rsidP="00350739">
      <w:pPr>
        <w:pStyle w:val="afffffff4"/>
        <w:ind w:firstLine="480"/>
      </w:pPr>
      <w:r w:rsidRPr="00D630D1">
        <w:rPr>
          <w:snapToGrid/>
          <w:kern w:val="2"/>
        </w:rPr>
        <w:t>最不利气象状况下，甲烷泄漏，超过毒性终点浓度</w:t>
      </w:r>
      <w:r w:rsidRPr="00D630D1">
        <w:rPr>
          <w:snapToGrid/>
          <w:kern w:val="2"/>
        </w:rPr>
        <w:t>-1</w:t>
      </w:r>
      <w:r w:rsidRPr="00D630D1">
        <w:rPr>
          <w:snapToGrid/>
          <w:kern w:val="2"/>
        </w:rPr>
        <w:t>和毒性终点浓度</w:t>
      </w:r>
      <w:r w:rsidRPr="00D630D1">
        <w:rPr>
          <w:snapToGrid/>
          <w:kern w:val="2"/>
        </w:rPr>
        <w:t>-2</w:t>
      </w:r>
      <w:r w:rsidRPr="00D630D1">
        <w:rPr>
          <w:snapToGrid/>
          <w:kern w:val="2"/>
        </w:rPr>
        <w:t>的距离均为</w:t>
      </w:r>
      <w:r w:rsidRPr="00D630D1">
        <w:rPr>
          <w:snapToGrid/>
          <w:kern w:val="2"/>
        </w:rPr>
        <w:t>0m</w:t>
      </w:r>
      <w:r w:rsidRPr="00D630D1">
        <w:rPr>
          <w:snapToGrid/>
          <w:kern w:val="2"/>
        </w:rPr>
        <w:t>，下风向的最大浓度均远低于毒性终点浓度</w:t>
      </w:r>
      <w:r w:rsidRPr="00D630D1">
        <w:rPr>
          <w:snapToGrid/>
          <w:kern w:val="2"/>
        </w:rPr>
        <w:t>-1</w:t>
      </w:r>
      <w:r w:rsidRPr="00D630D1">
        <w:rPr>
          <w:snapToGrid/>
          <w:kern w:val="2"/>
        </w:rPr>
        <w:t>和毒性终点浓度</w:t>
      </w:r>
      <w:r w:rsidRPr="00D630D1">
        <w:rPr>
          <w:snapToGrid/>
          <w:kern w:val="2"/>
        </w:rPr>
        <w:t>-2</w:t>
      </w:r>
      <w:r w:rsidR="008469EB" w:rsidRPr="00D630D1">
        <w:rPr>
          <w:rFonts w:hint="eastAsia"/>
          <w:snapToGrid/>
          <w:kern w:val="2"/>
        </w:rPr>
        <w:t>，</w:t>
      </w:r>
      <w:r w:rsidR="008469EB" w:rsidRPr="00D630D1">
        <w:rPr>
          <w:snapToGrid/>
          <w:kern w:val="2"/>
        </w:rPr>
        <w:t>若发生井喷事故</w:t>
      </w:r>
      <w:r w:rsidR="008469EB" w:rsidRPr="00D630D1">
        <w:rPr>
          <w:rFonts w:hint="eastAsia"/>
          <w:snapToGrid/>
          <w:kern w:val="2"/>
        </w:rPr>
        <w:t>，</w:t>
      </w:r>
      <w:r w:rsidR="008469EB" w:rsidRPr="00D630D1">
        <w:rPr>
          <w:snapToGrid/>
          <w:kern w:val="2"/>
        </w:rPr>
        <w:t>应</w:t>
      </w:r>
      <w:r w:rsidR="00924F96" w:rsidRPr="00D630D1">
        <w:rPr>
          <w:snapToGrid/>
          <w:kern w:val="2"/>
        </w:rPr>
        <w:t>对</w:t>
      </w:r>
      <w:r w:rsidR="008469EB" w:rsidRPr="00D630D1">
        <w:rPr>
          <w:snapToGrid/>
          <w:kern w:val="2"/>
        </w:rPr>
        <w:t>井场周边</w:t>
      </w:r>
      <w:r w:rsidR="001533B5">
        <w:rPr>
          <w:rFonts w:hint="eastAsia"/>
          <w:snapToGrid/>
          <w:kern w:val="2"/>
        </w:rPr>
        <w:t>50</w:t>
      </w:r>
      <w:r w:rsidR="00A2535E" w:rsidRPr="00D630D1">
        <w:rPr>
          <w:rFonts w:hint="eastAsia"/>
          <w:snapToGrid/>
          <w:kern w:val="2"/>
        </w:rPr>
        <w:t>0</w:t>
      </w:r>
      <w:r w:rsidR="008469EB" w:rsidRPr="00D630D1">
        <w:rPr>
          <w:rFonts w:hint="eastAsia"/>
          <w:snapToGrid/>
          <w:kern w:val="2"/>
        </w:rPr>
        <w:t>m</w:t>
      </w:r>
      <w:r w:rsidR="008469EB" w:rsidRPr="00D630D1">
        <w:rPr>
          <w:rFonts w:hint="eastAsia"/>
          <w:snapToGrid/>
          <w:kern w:val="2"/>
        </w:rPr>
        <w:t>范围内的居民</w:t>
      </w:r>
      <w:r w:rsidR="00924F96" w:rsidRPr="00D630D1">
        <w:rPr>
          <w:rFonts w:hint="eastAsia"/>
          <w:snapToGrid/>
          <w:kern w:val="2"/>
        </w:rPr>
        <w:t>采取</w:t>
      </w:r>
      <w:r w:rsidR="00924F96" w:rsidRPr="00D630D1">
        <w:rPr>
          <w:snapToGrid/>
          <w:kern w:val="2"/>
        </w:rPr>
        <w:t>紧急疏散措施</w:t>
      </w:r>
      <w:r w:rsidR="00924F96" w:rsidRPr="00D630D1">
        <w:rPr>
          <w:rFonts w:hint="eastAsia"/>
          <w:snapToGrid/>
          <w:kern w:val="2"/>
        </w:rPr>
        <w:t>，同时井喷失控事故发生后</w:t>
      </w:r>
      <w:r w:rsidR="00E118C8" w:rsidRPr="00D630D1">
        <w:rPr>
          <w:rFonts w:hint="eastAsia"/>
          <w:snapToGrid/>
          <w:kern w:val="2"/>
        </w:rPr>
        <w:t>及时</w:t>
      </w:r>
      <w:r w:rsidR="00924F96" w:rsidRPr="00D630D1">
        <w:rPr>
          <w:rFonts w:hint="eastAsia"/>
          <w:snapToGrid/>
          <w:kern w:val="2"/>
        </w:rPr>
        <w:t>进行点火，以减轻事故风险对环境的影响</w:t>
      </w:r>
      <w:r w:rsidRPr="00D630D1">
        <w:rPr>
          <w:snapToGrid/>
          <w:kern w:val="2"/>
        </w:rPr>
        <w:t>。</w:t>
      </w:r>
    </w:p>
    <w:p w:rsidR="00872AA5" w:rsidRPr="00D630D1" w:rsidRDefault="00872AA5" w:rsidP="00872AA5">
      <w:pPr>
        <w:pStyle w:val="3"/>
        <w:rPr>
          <w:rFonts w:eastAsia="宋体"/>
        </w:rPr>
      </w:pPr>
      <w:r w:rsidRPr="00D630D1">
        <w:rPr>
          <w:rFonts w:eastAsia="宋体"/>
        </w:rPr>
        <w:t xml:space="preserve">7.8.2 </w:t>
      </w:r>
      <w:r w:rsidRPr="00D630D1">
        <w:rPr>
          <w:rFonts w:eastAsia="宋体"/>
        </w:rPr>
        <w:t>天然气</w:t>
      </w:r>
      <w:r w:rsidR="008469EB" w:rsidRPr="00D630D1">
        <w:rPr>
          <w:rFonts w:eastAsia="宋体"/>
        </w:rPr>
        <w:t>管道</w:t>
      </w:r>
      <w:r w:rsidRPr="00D630D1">
        <w:rPr>
          <w:rFonts w:eastAsia="宋体"/>
        </w:rPr>
        <w:t>泄漏后果分析</w:t>
      </w:r>
    </w:p>
    <w:p w:rsidR="00924F96" w:rsidRPr="00D630D1" w:rsidRDefault="00924F96" w:rsidP="00872AA5">
      <w:pPr>
        <w:pStyle w:val="afa"/>
        <w:ind w:firstLine="480"/>
      </w:pPr>
      <w:r w:rsidRPr="00D630D1">
        <w:t>依据前述分析，本项目集气管线输送介质为</w:t>
      </w:r>
      <w:r w:rsidR="001533B5">
        <w:rPr>
          <w:rFonts w:hint="eastAsia"/>
        </w:rPr>
        <w:t>不</w:t>
      </w:r>
      <w:r w:rsidRPr="00D630D1">
        <w:t>含硫天然气，主要考虑管道腐蚀或应力作用引起的甲烷泄漏事故，进而进入大气，引起群众缺氧、窒息等，如果遇火星或明火，可能发生火灾爆炸事故。根据类比同类型事故分析，由于各个危险单元前后设置了紧急隔离系统，泄漏时间一般为</w:t>
      </w:r>
      <w:r w:rsidRPr="00D630D1">
        <w:t>10min</w:t>
      </w:r>
      <w:r w:rsidRPr="00D630D1">
        <w:t>，泄漏量按管道截面</w:t>
      </w:r>
      <w:r w:rsidRPr="00D630D1">
        <w:t>100%</w:t>
      </w:r>
      <w:r w:rsidRPr="00D630D1">
        <w:t>断裂进行估算。</w:t>
      </w:r>
    </w:p>
    <w:p w:rsidR="00872AA5" w:rsidRPr="00D630D1" w:rsidRDefault="00872AA5" w:rsidP="00872AA5">
      <w:pPr>
        <w:pStyle w:val="afa"/>
        <w:ind w:firstLine="480"/>
      </w:pPr>
      <w:r w:rsidRPr="00D630D1">
        <w:t>天然气</w:t>
      </w:r>
      <w:r w:rsidR="008469EB" w:rsidRPr="00D630D1">
        <w:t>管道</w:t>
      </w:r>
      <w:r w:rsidRPr="00D630D1">
        <w:t>泄漏后，发生事故的情况共分为</w:t>
      </w:r>
      <w:r w:rsidRPr="00D630D1">
        <w:t>3</w:t>
      </w:r>
      <w:r w:rsidRPr="00D630D1">
        <w:t>种类型，主要有泄漏后，在泄漏口立即燃烧，形成喷射火焰；泄漏后推迟燃烧，形成闪烁火焰或爆炸；泄漏后不立即燃烧也不推迟燃烧，形成环境污染。</w:t>
      </w:r>
    </w:p>
    <w:p w:rsidR="00872AA5" w:rsidRPr="00D630D1" w:rsidRDefault="00872AA5" w:rsidP="00872AA5">
      <w:pPr>
        <w:pStyle w:val="afa"/>
        <w:ind w:firstLine="482"/>
        <w:rPr>
          <w:b/>
          <w:bCs/>
        </w:rPr>
      </w:pPr>
      <w:r w:rsidRPr="00D630D1">
        <w:rPr>
          <w:b/>
          <w:bCs/>
        </w:rPr>
        <w:t>1</w:t>
      </w:r>
      <w:r w:rsidRPr="00D630D1">
        <w:rPr>
          <w:b/>
          <w:bCs/>
        </w:rPr>
        <w:t>、</w:t>
      </w:r>
      <w:r w:rsidR="008469EB" w:rsidRPr="00D630D1">
        <w:rPr>
          <w:b/>
          <w:bCs/>
        </w:rPr>
        <w:t>管道</w:t>
      </w:r>
      <w:r w:rsidRPr="00D630D1">
        <w:rPr>
          <w:b/>
          <w:bCs/>
        </w:rPr>
        <w:t>泄漏天然气对人群健康危害影响</w:t>
      </w:r>
    </w:p>
    <w:p w:rsidR="00143A4D" w:rsidRPr="00D630D1" w:rsidRDefault="00143A4D" w:rsidP="00143A4D">
      <w:pPr>
        <w:pStyle w:val="afa"/>
        <w:ind w:firstLine="480"/>
      </w:pPr>
      <w:r w:rsidRPr="00D630D1">
        <w:lastRenderedPageBreak/>
        <w:t>管道内天然气一旦泄漏，则会出现两种情况：泄漏的</w:t>
      </w:r>
      <w:r w:rsidR="001533B5">
        <w:rPr>
          <w:rFonts w:hint="eastAsia"/>
        </w:rPr>
        <w:t>不</w:t>
      </w:r>
      <w:r w:rsidRPr="00D630D1">
        <w:t>含硫天然气立即被点火燃烧排放，对环境空气的影响主要是</w:t>
      </w:r>
      <w:r w:rsidR="001533B5">
        <w:rPr>
          <w:rFonts w:hint="eastAsia"/>
        </w:rPr>
        <w:t>C</w:t>
      </w:r>
      <w:r w:rsidRPr="00D630D1">
        <w:t>O</w:t>
      </w:r>
      <w:r w:rsidRPr="00D630D1">
        <w:t>；释放的</w:t>
      </w:r>
      <w:r w:rsidR="001533B5">
        <w:rPr>
          <w:rFonts w:hint="eastAsia"/>
        </w:rPr>
        <w:t>不</w:t>
      </w:r>
      <w:r w:rsidRPr="00D630D1">
        <w:t>含硫天然气未能立即点火，大量</w:t>
      </w:r>
      <w:r w:rsidR="001533B5">
        <w:rPr>
          <w:rFonts w:hint="eastAsia"/>
        </w:rPr>
        <w:t>甲烷</w:t>
      </w:r>
      <w:r w:rsidRPr="00D630D1">
        <w:t>释放到空气中，将周围环境造成</w:t>
      </w:r>
      <w:r w:rsidR="001533B5">
        <w:rPr>
          <w:rFonts w:hint="eastAsia"/>
        </w:rPr>
        <w:t>一定的影响</w:t>
      </w:r>
      <w:r w:rsidRPr="00D630D1">
        <w:t>，由于泄漏量较小，且当地大气扩散条件好，不会对周边居民造成影响。</w:t>
      </w:r>
    </w:p>
    <w:p w:rsidR="00143A4D" w:rsidRPr="00D630D1" w:rsidRDefault="00143A4D" w:rsidP="00143A4D">
      <w:pPr>
        <w:pStyle w:val="afa"/>
        <w:ind w:firstLine="480"/>
      </w:pPr>
      <w:r w:rsidRPr="00D630D1">
        <w:t>甲烷的密度比空气的一半还小，稀释扩散很快，随着距泄漏点距离的增加，甲烷测试浓度下降非常快，一个泄漏点泄漏的甲烷对环境、人和动物的影响是局部影响。</w:t>
      </w:r>
    </w:p>
    <w:p w:rsidR="00143A4D" w:rsidRPr="00D630D1" w:rsidRDefault="00143A4D" w:rsidP="00143A4D">
      <w:pPr>
        <w:pStyle w:val="afa"/>
        <w:ind w:firstLine="480"/>
      </w:pPr>
      <w:r w:rsidRPr="00D630D1">
        <w:t>为防止可燃气体泄漏引发事故，站内需设置</w:t>
      </w:r>
      <w:r w:rsidR="001533B5">
        <w:rPr>
          <w:rFonts w:hint="eastAsia"/>
        </w:rPr>
        <w:t>天然气</w:t>
      </w:r>
      <w:r w:rsidRPr="00D630D1">
        <w:t>泄漏检测报警系统，对站场天然气泄漏进行检测及报警。</w:t>
      </w:r>
      <w:r w:rsidR="002C00AE">
        <w:t>普光</w:t>
      </w:r>
      <w:r w:rsidR="002C00AE">
        <w:t>12</w:t>
      </w:r>
      <w:r w:rsidR="002C00AE">
        <w:t>采气站</w:t>
      </w:r>
      <w:r w:rsidR="00FB2376" w:rsidRPr="00D630D1">
        <w:t>数据上传至</w:t>
      </w:r>
      <w:r w:rsidRPr="00D630D1">
        <w:t>中国石油化工股份有限公司中</w:t>
      </w:r>
      <w:r w:rsidR="001533B5">
        <w:t>原油田普光分公司调控中心，工作人员应根据报警值采取相应处理措施</w:t>
      </w:r>
      <w:r w:rsidRPr="00D630D1">
        <w:t>。</w:t>
      </w:r>
    </w:p>
    <w:p w:rsidR="00872AA5" w:rsidRPr="00D630D1" w:rsidRDefault="00872AA5" w:rsidP="00872AA5">
      <w:pPr>
        <w:pStyle w:val="afa"/>
        <w:ind w:firstLine="480"/>
      </w:pPr>
      <w:r w:rsidRPr="00D630D1">
        <w:t>企业天然气管道均设有自动阀门，若遇泄漏，系统会自动启动关闭阀门，自阀门关闭到管道内气体泄漏完毕，最多历时</w:t>
      </w:r>
      <w:r w:rsidRPr="00D630D1">
        <w:t>10min</w:t>
      </w:r>
      <w:r w:rsidRPr="00D630D1">
        <w:t>，天然气泄漏量极少。综上分析，泄漏的天然气对环境影响较小。</w:t>
      </w:r>
    </w:p>
    <w:p w:rsidR="00872AA5" w:rsidRPr="00D630D1" w:rsidRDefault="00872AA5" w:rsidP="00E942B6">
      <w:pPr>
        <w:pStyle w:val="afa"/>
        <w:ind w:firstLine="480"/>
      </w:pPr>
      <w:r w:rsidRPr="00D630D1">
        <w:t>为了减小对周围居民的影响，</w:t>
      </w:r>
      <w:r w:rsidR="00E942B6">
        <w:rPr>
          <w:rFonts w:hint="eastAsia"/>
        </w:rPr>
        <w:t>应加强对周边</w:t>
      </w:r>
      <w:r w:rsidRPr="00D630D1">
        <w:t>群众</w:t>
      </w:r>
      <w:r w:rsidR="006969C2">
        <w:rPr>
          <w:rFonts w:hint="eastAsia"/>
        </w:rPr>
        <w:t>的</w:t>
      </w:r>
      <w:r w:rsidRPr="00D630D1">
        <w:t>宣传</w:t>
      </w:r>
      <w:r w:rsidR="00E942B6">
        <w:rPr>
          <w:rFonts w:hint="eastAsia"/>
        </w:rPr>
        <w:t>教育，遇到此类事故应立即撤离泄露点，撤离距离根据应急监测确定。企业应在可能的泄露点周边设置便携监测仪，确定浓度，根据浓度确定具体撤离范围。企业同时应对事故后主要是堵漏，通过井口周边放喷管放喷燃烧泄压，减少周边地表泄露点泄露量，对地表泄露点进行点火燃烧。</w:t>
      </w:r>
    </w:p>
    <w:p w:rsidR="00872AA5" w:rsidRPr="00D630D1" w:rsidRDefault="00143A4D" w:rsidP="00872AA5">
      <w:pPr>
        <w:pStyle w:val="afa"/>
        <w:ind w:firstLine="482"/>
        <w:rPr>
          <w:b/>
          <w:bCs/>
        </w:rPr>
      </w:pPr>
      <w:r w:rsidRPr="00D630D1">
        <w:rPr>
          <w:b/>
          <w:bCs/>
        </w:rPr>
        <w:t>2</w:t>
      </w:r>
      <w:r w:rsidRPr="00D630D1">
        <w:rPr>
          <w:b/>
          <w:bCs/>
        </w:rPr>
        <w:t>、</w:t>
      </w:r>
      <w:r w:rsidR="00872AA5" w:rsidRPr="00D630D1">
        <w:rPr>
          <w:b/>
          <w:bCs/>
        </w:rPr>
        <w:t>火灾或爆炸事故次生污染物对环境的影响</w:t>
      </w:r>
    </w:p>
    <w:p w:rsidR="00872AA5" w:rsidRPr="00D630D1" w:rsidRDefault="00872AA5" w:rsidP="00872AA5">
      <w:pPr>
        <w:pStyle w:val="afa"/>
        <w:ind w:firstLine="480"/>
      </w:pPr>
      <w:r w:rsidRPr="00D630D1">
        <w:t>在事故状态下，若发生火灾或爆炸事故，天然气燃烧生成的主要产物为</w:t>
      </w:r>
      <w:r w:rsidRPr="00D630D1">
        <w:t>CO</w:t>
      </w:r>
      <w:r w:rsidRPr="00D630D1">
        <w:rPr>
          <w:vertAlign w:val="subscript"/>
        </w:rPr>
        <w:t>2</w:t>
      </w:r>
      <w:r w:rsidRPr="00D630D1">
        <w:t>、</w:t>
      </w:r>
      <w:r w:rsidRPr="00D630D1">
        <w:t>H</w:t>
      </w:r>
      <w:r w:rsidRPr="00D630D1">
        <w:rPr>
          <w:vertAlign w:val="subscript"/>
        </w:rPr>
        <w:t>2</w:t>
      </w:r>
      <w:r w:rsidRPr="00D630D1">
        <w:t>O</w:t>
      </w:r>
      <w:r w:rsidRPr="00D630D1">
        <w:t>，仅在事故刚发生时有少量甲烷等释放，且很快就能扩散，不会长期影响空气质量。</w:t>
      </w:r>
    </w:p>
    <w:p w:rsidR="00872AA5" w:rsidRPr="00D630D1" w:rsidRDefault="00872AA5" w:rsidP="00872AA5">
      <w:pPr>
        <w:pStyle w:val="afa"/>
        <w:ind w:firstLine="480"/>
      </w:pPr>
      <w:r w:rsidRPr="00D630D1">
        <w:t>事故时天然气燃烧主要采用二氧化碳或干粉灭火器等进行灭火。若引发大面积火灾时会产生一定的消防水，但该类消防水不含有有毒有害物质，对项目拟建地周围环境不会造成较大污染。</w:t>
      </w:r>
    </w:p>
    <w:p w:rsidR="00872AA5" w:rsidRPr="00D630D1" w:rsidRDefault="00143A4D" w:rsidP="00872AA5">
      <w:pPr>
        <w:pStyle w:val="afa"/>
        <w:ind w:firstLine="482"/>
        <w:rPr>
          <w:b/>
          <w:bCs/>
        </w:rPr>
      </w:pPr>
      <w:r w:rsidRPr="00D630D1">
        <w:rPr>
          <w:b/>
          <w:bCs/>
        </w:rPr>
        <w:t>3</w:t>
      </w:r>
      <w:r w:rsidRPr="00D630D1">
        <w:rPr>
          <w:b/>
          <w:bCs/>
        </w:rPr>
        <w:t>、</w:t>
      </w:r>
      <w:r w:rsidR="00872AA5" w:rsidRPr="00D630D1">
        <w:rPr>
          <w:b/>
          <w:bCs/>
        </w:rPr>
        <w:t>事故燃烧生成</w:t>
      </w:r>
      <w:r w:rsidR="00872AA5" w:rsidRPr="00D630D1">
        <w:rPr>
          <w:b/>
          <w:bCs/>
        </w:rPr>
        <w:t>CO</w:t>
      </w:r>
      <w:r w:rsidR="00872AA5" w:rsidRPr="00D630D1">
        <w:rPr>
          <w:b/>
          <w:bCs/>
        </w:rPr>
        <w:t>、</w:t>
      </w:r>
      <w:r w:rsidR="00872AA5" w:rsidRPr="00D630D1">
        <w:rPr>
          <w:b/>
          <w:bCs/>
        </w:rPr>
        <w:t>NO</w:t>
      </w:r>
      <w:r w:rsidR="00872AA5" w:rsidRPr="00D630D1">
        <w:rPr>
          <w:b/>
          <w:bCs/>
          <w:vertAlign w:val="subscript"/>
        </w:rPr>
        <w:t>2</w:t>
      </w:r>
      <w:r w:rsidR="00872AA5" w:rsidRPr="00D630D1">
        <w:rPr>
          <w:b/>
          <w:bCs/>
        </w:rPr>
        <w:t>对环境的影响</w:t>
      </w:r>
    </w:p>
    <w:p w:rsidR="00872AA5" w:rsidRPr="00D630D1" w:rsidRDefault="00872AA5" w:rsidP="00872AA5">
      <w:pPr>
        <w:pStyle w:val="afa"/>
        <w:ind w:firstLine="480"/>
      </w:pPr>
      <w:r w:rsidRPr="00D630D1">
        <w:t>项目天然气主要成分为甲烷，天然气燃烧将伴生</w:t>
      </w:r>
      <w:r w:rsidRPr="00D630D1">
        <w:t>CO</w:t>
      </w:r>
      <w:r w:rsidRPr="00D630D1">
        <w:t>、</w:t>
      </w:r>
      <w:r w:rsidRPr="00D630D1">
        <w:t>NO</w:t>
      </w:r>
      <w:r w:rsidRPr="00D630D1">
        <w:rPr>
          <w:vertAlign w:val="subscript"/>
        </w:rPr>
        <w:t>2</w:t>
      </w:r>
      <w:r w:rsidRPr="00D630D1">
        <w:t>等污染物，将对周围环境空气产生影响。</w:t>
      </w:r>
    </w:p>
    <w:p w:rsidR="00872AA5" w:rsidRPr="00D630D1" w:rsidRDefault="00872AA5" w:rsidP="00872AA5">
      <w:pPr>
        <w:pStyle w:val="afa"/>
        <w:ind w:firstLine="480"/>
      </w:pPr>
      <w:r w:rsidRPr="00D630D1">
        <w:t>CO</w:t>
      </w:r>
      <w:r w:rsidRPr="00D630D1">
        <w:t>可能会使周围含氧量降低，导致植物光合作用效率降低，影响动植物生</w:t>
      </w:r>
      <w:r w:rsidRPr="00D630D1">
        <w:lastRenderedPageBreak/>
        <w:t>长，甚至死亡。但这种影响是可逆的，事故得到控制后能够恢复生产。同时项目区域无自然保护区、风景区等敏感生态区域，为农业生态环境，事故对生态环境的影响是可恢复的。</w:t>
      </w:r>
    </w:p>
    <w:p w:rsidR="00872AA5" w:rsidRPr="00D630D1" w:rsidRDefault="00872AA5" w:rsidP="00872AA5">
      <w:pPr>
        <w:pStyle w:val="afa"/>
        <w:ind w:firstLine="480"/>
      </w:pPr>
      <w:r w:rsidRPr="00D630D1">
        <w:t>就农业生态环境而言，事故发生后对生态环境的影响是可恢复的。事故发生后的区域农作物及植被不会出现大范围的影响，主要在事故附近区域出现植被受损，事故后生态环境基本能恢复到原来的状态。</w:t>
      </w:r>
    </w:p>
    <w:p w:rsidR="00872AA5" w:rsidRPr="00D630D1" w:rsidRDefault="00872AA5" w:rsidP="00872AA5">
      <w:pPr>
        <w:pStyle w:val="afa"/>
        <w:ind w:firstLine="480"/>
        <w:rPr>
          <w:sz w:val="23"/>
          <w:szCs w:val="23"/>
        </w:rPr>
      </w:pPr>
      <w:r w:rsidRPr="00D630D1">
        <w:rPr>
          <w:szCs w:val="24"/>
        </w:rPr>
        <w:t>项目在天然气泄漏事故发生时（如管道穿孔、管道断裂），井站内部截断阀自动关</w:t>
      </w:r>
      <w:r w:rsidR="00143A4D" w:rsidRPr="00D630D1">
        <w:rPr>
          <w:szCs w:val="24"/>
        </w:rPr>
        <w:t>闭，管道内天然气通过</w:t>
      </w:r>
      <w:r w:rsidR="00915B39" w:rsidRPr="00D630D1">
        <w:rPr>
          <w:szCs w:val="24"/>
        </w:rPr>
        <w:t>点火火炬放空</w:t>
      </w:r>
      <w:r w:rsidR="00143A4D" w:rsidRPr="00D630D1">
        <w:rPr>
          <w:szCs w:val="24"/>
        </w:rPr>
        <w:t>。项目风险可控，对环境空气影响较小</w:t>
      </w:r>
      <w:r w:rsidR="00143A4D" w:rsidRPr="00D630D1">
        <w:rPr>
          <w:sz w:val="23"/>
          <w:szCs w:val="23"/>
        </w:rPr>
        <w:t>。</w:t>
      </w:r>
    </w:p>
    <w:p w:rsidR="00924F96" w:rsidRPr="00D630D1" w:rsidRDefault="00924F96" w:rsidP="00924F96">
      <w:pPr>
        <w:pStyle w:val="3"/>
        <w:rPr>
          <w:rFonts w:eastAsia="宋体"/>
        </w:rPr>
      </w:pPr>
      <w:r w:rsidRPr="00D630D1">
        <w:rPr>
          <w:rFonts w:eastAsia="宋体"/>
        </w:rPr>
        <w:t>7.8.</w:t>
      </w:r>
      <w:r w:rsidRPr="00D630D1">
        <w:rPr>
          <w:rFonts w:eastAsia="宋体" w:hint="eastAsia"/>
        </w:rPr>
        <w:t>3</w:t>
      </w:r>
      <w:r w:rsidRPr="00D630D1">
        <w:rPr>
          <w:rFonts w:eastAsia="宋体" w:hint="eastAsia"/>
        </w:rPr>
        <w:t>柴油</w:t>
      </w:r>
      <w:r w:rsidRPr="00D630D1">
        <w:rPr>
          <w:rFonts w:eastAsia="宋体"/>
        </w:rPr>
        <w:t>泄漏后果分析</w:t>
      </w:r>
    </w:p>
    <w:p w:rsidR="00924F96" w:rsidRPr="00D630D1" w:rsidRDefault="00924F96" w:rsidP="00924F96">
      <w:pPr>
        <w:pStyle w:val="afa"/>
        <w:ind w:firstLine="480"/>
      </w:pPr>
      <w:r w:rsidRPr="00D630D1">
        <w:t>本项目</w:t>
      </w:r>
      <w:r w:rsidRPr="00D630D1">
        <w:rPr>
          <w:rFonts w:hint="eastAsia"/>
        </w:rPr>
        <w:t>柴油主要储存于</w:t>
      </w:r>
      <w:r w:rsidR="00DB6EC5" w:rsidRPr="00D630D1">
        <w:rPr>
          <w:rFonts w:hint="eastAsia"/>
        </w:rPr>
        <w:t>柴油储罐</w:t>
      </w:r>
      <w:r w:rsidRPr="00D630D1">
        <w:t>，主要考虑</w:t>
      </w:r>
      <w:r w:rsidRPr="00D630D1">
        <w:rPr>
          <w:rFonts w:hint="eastAsia"/>
        </w:rPr>
        <w:t>罐体破损</w:t>
      </w:r>
      <w:r w:rsidRPr="00D630D1">
        <w:t>引起的</w:t>
      </w:r>
      <w:r w:rsidRPr="00D630D1">
        <w:rPr>
          <w:rFonts w:hint="eastAsia"/>
        </w:rPr>
        <w:t>柴油</w:t>
      </w:r>
      <w:r w:rsidRPr="00D630D1">
        <w:t>泄漏</w:t>
      </w:r>
      <w:r w:rsidRPr="00D630D1">
        <w:rPr>
          <w:rFonts w:hint="eastAsia"/>
        </w:rPr>
        <w:t>、</w:t>
      </w:r>
      <w:r w:rsidRPr="00D630D1">
        <w:t>火灾事故，进而进入大气</w:t>
      </w:r>
      <w:r w:rsidRPr="00D630D1">
        <w:rPr>
          <w:rFonts w:hint="eastAsia"/>
        </w:rPr>
        <w:t>、</w:t>
      </w:r>
      <w:r w:rsidRPr="00D630D1">
        <w:t>地下水、土壤环境，降低</w:t>
      </w:r>
      <w:r w:rsidR="00FD766D" w:rsidRPr="00D630D1">
        <w:t>大气</w:t>
      </w:r>
      <w:r w:rsidR="00FD766D" w:rsidRPr="00D630D1">
        <w:rPr>
          <w:rFonts w:hint="eastAsia"/>
        </w:rPr>
        <w:t>、</w:t>
      </w:r>
      <w:r w:rsidRPr="00D630D1">
        <w:t>地下水水质及土壤质量，影响植被生长。</w:t>
      </w:r>
    </w:p>
    <w:p w:rsidR="00924F96" w:rsidRDefault="00924F96" w:rsidP="00924F96">
      <w:pPr>
        <w:pStyle w:val="afa"/>
        <w:ind w:firstLine="480"/>
      </w:pPr>
      <w:r w:rsidRPr="00D630D1">
        <w:t>本项目</w:t>
      </w:r>
      <w:r w:rsidR="00FD766D" w:rsidRPr="00D630D1">
        <w:rPr>
          <w:rFonts w:hint="eastAsia"/>
        </w:rPr>
        <w:t>柴油</w:t>
      </w:r>
      <w:r w:rsidRPr="00D630D1">
        <w:t>采用符合标准的</w:t>
      </w:r>
      <w:r w:rsidR="00FD766D" w:rsidRPr="00D630D1">
        <w:rPr>
          <w:rFonts w:hint="eastAsia"/>
        </w:rPr>
        <w:t>储罐</w:t>
      </w:r>
      <w:r w:rsidRPr="00D630D1">
        <w:t>进行密闭储存，</w:t>
      </w:r>
      <w:r w:rsidR="00DB6EC5" w:rsidRPr="00D630D1">
        <w:rPr>
          <w:rFonts w:hint="eastAsia"/>
        </w:rPr>
        <w:t>柴油储罐</w:t>
      </w:r>
      <w:r w:rsidRPr="00D630D1">
        <w:rPr>
          <w:rFonts w:hint="eastAsia"/>
        </w:rPr>
        <w:t>四周设置围堰，并</w:t>
      </w:r>
      <w:r w:rsidRPr="00D630D1">
        <w:t>进行防渗处理。一般情况管道阀门泄漏，少量跑冒漏滴均收集在围堰内，可有效进行防止污染。罐体破裂导致大量泄漏的机率很小，即便储罐发生泄漏，也能够通过围堰收集，避免泄漏进入周边环境中。因此，</w:t>
      </w:r>
      <w:r w:rsidR="00FD766D" w:rsidRPr="00D630D1">
        <w:rPr>
          <w:rFonts w:hint="eastAsia"/>
        </w:rPr>
        <w:t>柴油</w:t>
      </w:r>
      <w:r w:rsidRPr="00D630D1">
        <w:t>发生泄漏进入周边环境的概率极低，影响较小。</w:t>
      </w:r>
    </w:p>
    <w:p w:rsidR="004F074B" w:rsidRPr="00D630D1" w:rsidRDefault="004F074B" w:rsidP="004F074B">
      <w:pPr>
        <w:pStyle w:val="3"/>
        <w:rPr>
          <w:rFonts w:eastAsia="宋体"/>
        </w:rPr>
      </w:pPr>
      <w:r w:rsidRPr="00D630D1">
        <w:rPr>
          <w:rFonts w:eastAsia="宋体"/>
        </w:rPr>
        <w:t>7.8.</w:t>
      </w:r>
      <w:r>
        <w:rPr>
          <w:rFonts w:eastAsia="宋体" w:hint="eastAsia"/>
        </w:rPr>
        <w:t>4</w:t>
      </w:r>
      <w:r>
        <w:rPr>
          <w:rFonts w:eastAsia="宋体" w:hint="eastAsia"/>
        </w:rPr>
        <w:t>凝析油</w:t>
      </w:r>
      <w:r w:rsidRPr="00D630D1">
        <w:rPr>
          <w:rFonts w:eastAsia="宋体"/>
        </w:rPr>
        <w:t>泄漏后果分析</w:t>
      </w:r>
    </w:p>
    <w:p w:rsidR="004F074B" w:rsidRPr="004F074B" w:rsidRDefault="004F074B" w:rsidP="004F074B">
      <w:pPr>
        <w:pStyle w:val="afa"/>
        <w:ind w:firstLine="480"/>
        <w:rPr>
          <w:sz w:val="23"/>
          <w:szCs w:val="23"/>
        </w:rPr>
      </w:pPr>
      <w:r w:rsidRPr="004F074B">
        <w:t>本项目</w:t>
      </w:r>
      <w:r w:rsidRPr="004F074B">
        <w:rPr>
          <w:rFonts w:hint="eastAsia"/>
        </w:rPr>
        <w:t>凝析油</w:t>
      </w:r>
      <w:r w:rsidRPr="004F074B">
        <w:t>储</w:t>
      </w:r>
      <w:r w:rsidRPr="004F074B">
        <w:rPr>
          <w:rFonts w:hint="eastAsia"/>
        </w:rPr>
        <w:t>存</w:t>
      </w:r>
      <w:r w:rsidRPr="004F074B">
        <w:t>罐采用符合标准的</w:t>
      </w:r>
      <w:r w:rsidRPr="004F074B">
        <w:rPr>
          <w:rFonts w:hint="eastAsia"/>
        </w:rPr>
        <w:t>储罐</w:t>
      </w:r>
      <w:r w:rsidRPr="004F074B">
        <w:t>进行密闭储存，</w:t>
      </w:r>
      <w:r w:rsidRPr="004F074B">
        <w:rPr>
          <w:rFonts w:hint="eastAsia"/>
        </w:rPr>
        <w:t>凝析油</w:t>
      </w:r>
      <w:r w:rsidRPr="004F074B">
        <w:t>储</w:t>
      </w:r>
      <w:r w:rsidRPr="004F074B">
        <w:rPr>
          <w:rFonts w:hint="eastAsia"/>
        </w:rPr>
        <w:t>存</w:t>
      </w:r>
      <w:r w:rsidRPr="004F074B">
        <w:t>罐</w:t>
      </w:r>
      <w:r w:rsidRPr="004F074B">
        <w:rPr>
          <w:rFonts w:hint="eastAsia"/>
        </w:rPr>
        <w:t>四周设置围堰，并</w:t>
      </w:r>
      <w:r w:rsidRPr="004F074B">
        <w:t>进行防渗处理。一般情况管道阀门泄漏，少量跑冒漏滴均收集在围堰内，可有效进行防止污染。罐体破裂导致大量泄漏的机率很小，即便储罐发生泄漏，也能够通过围堰收集，避免泄漏进入周边环境中。因此，</w:t>
      </w:r>
      <w:r w:rsidRPr="004F074B">
        <w:rPr>
          <w:rFonts w:hint="eastAsia"/>
        </w:rPr>
        <w:t>凝析油</w:t>
      </w:r>
      <w:r w:rsidRPr="004F074B">
        <w:t>发生泄漏进入周边环境的概率极低，影响较小。</w:t>
      </w:r>
    </w:p>
    <w:p w:rsidR="00143A4D" w:rsidRPr="00D630D1" w:rsidRDefault="004C003B" w:rsidP="00143A4D">
      <w:pPr>
        <w:pStyle w:val="3"/>
        <w:rPr>
          <w:rFonts w:eastAsia="宋体"/>
        </w:rPr>
      </w:pPr>
      <w:r w:rsidRPr="00D630D1">
        <w:rPr>
          <w:rFonts w:eastAsia="宋体"/>
        </w:rPr>
        <w:t>7.8.</w:t>
      </w:r>
      <w:bookmarkStart w:id="565" w:name="OLE_LINK117"/>
      <w:bookmarkStart w:id="566" w:name="OLE_LINK118"/>
      <w:r w:rsidR="004F074B">
        <w:rPr>
          <w:rFonts w:eastAsia="宋体" w:hint="eastAsia"/>
        </w:rPr>
        <w:t>5</w:t>
      </w:r>
      <w:r w:rsidR="00EF360A" w:rsidRPr="00D630D1">
        <w:rPr>
          <w:rFonts w:eastAsia="宋体" w:hint="eastAsia"/>
        </w:rPr>
        <w:t>压裂、洗井废水</w:t>
      </w:r>
      <w:bookmarkEnd w:id="565"/>
      <w:bookmarkEnd w:id="566"/>
      <w:r w:rsidR="004F074B">
        <w:rPr>
          <w:rFonts w:eastAsia="宋体" w:hint="eastAsia"/>
        </w:rPr>
        <w:t>、气田水</w:t>
      </w:r>
      <w:r w:rsidR="001205FA" w:rsidRPr="00D630D1">
        <w:rPr>
          <w:rFonts w:eastAsia="宋体"/>
        </w:rPr>
        <w:t>泄漏</w:t>
      </w:r>
      <w:r w:rsidR="00143A4D" w:rsidRPr="00D630D1">
        <w:rPr>
          <w:rFonts w:eastAsia="宋体"/>
        </w:rPr>
        <w:t>后果分析</w:t>
      </w:r>
    </w:p>
    <w:p w:rsidR="00924F96" w:rsidRPr="00D630D1" w:rsidRDefault="00924F96" w:rsidP="009D6983">
      <w:pPr>
        <w:pStyle w:val="afa"/>
        <w:ind w:firstLine="480"/>
      </w:pPr>
      <w:r w:rsidRPr="00D630D1">
        <w:t>本项目</w:t>
      </w:r>
      <w:r w:rsidRPr="00D630D1">
        <w:rPr>
          <w:rFonts w:hint="eastAsia"/>
        </w:rPr>
        <w:t>压裂、洗井废水</w:t>
      </w:r>
      <w:r w:rsidR="004F074B">
        <w:rPr>
          <w:rFonts w:hint="eastAsia"/>
        </w:rPr>
        <w:t>、气田水</w:t>
      </w:r>
      <w:r w:rsidRPr="00D630D1">
        <w:rPr>
          <w:rFonts w:hint="eastAsia"/>
        </w:rPr>
        <w:t>主要储存于污水缓冲罐</w:t>
      </w:r>
      <w:r w:rsidRPr="00D630D1">
        <w:t>，主要考虑</w:t>
      </w:r>
      <w:r w:rsidRPr="00D630D1">
        <w:rPr>
          <w:rFonts w:hint="eastAsia"/>
        </w:rPr>
        <w:t>罐体破损</w:t>
      </w:r>
      <w:r w:rsidRPr="00D630D1">
        <w:t>引起的污水泄漏事故，进而进入地下水、土壤环境，降低地下水水质及土壤质量，影响植被生长。</w:t>
      </w:r>
    </w:p>
    <w:p w:rsidR="00872AA5" w:rsidRPr="00D630D1" w:rsidRDefault="00143A4D" w:rsidP="009D6983">
      <w:pPr>
        <w:pStyle w:val="afa"/>
        <w:ind w:firstLine="480"/>
      </w:pPr>
      <w:r w:rsidRPr="00D630D1">
        <w:t>本项目</w:t>
      </w:r>
      <w:r w:rsidR="00EF360A" w:rsidRPr="00D630D1">
        <w:rPr>
          <w:rFonts w:hint="eastAsia"/>
        </w:rPr>
        <w:t>压裂、洗井废水</w:t>
      </w:r>
      <w:r w:rsidR="004F074B">
        <w:rPr>
          <w:rFonts w:hint="eastAsia"/>
        </w:rPr>
        <w:t>、气田水</w:t>
      </w:r>
      <w:r w:rsidRPr="00D630D1">
        <w:t>储罐采用符合标准的</w:t>
      </w:r>
      <w:r w:rsidR="00EF360A" w:rsidRPr="00D630D1">
        <w:rPr>
          <w:rFonts w:hint="eastAsia"/>
        </w:rPr>
        <w:t>污水缓冲罐</w:t>
      </w:r>
      <w:r w:rsidRPr="00D630D1">
        <w:t>进行密闭储</w:t>
      </w:r>
      <w:r w:rsidRPr="00D630D1">
        <w:lastRenderedPageBreak/>
        <w:t>存，</w:t>
      </w:r>
      <w:r w:rsidR="00EF360A" w:rsidRPr="00D630D1">
        <w:rPr>
          <w:rFonts w:hint="eastAsia"/>
        </w:rPr>
        <w:t>污水缓冲罐</w:t>
      </w:r>
      <w:r w:rsidR="00251CEC" w:rsidRPr="00D630D1">
        <w:rPr>
          <w:rFonts w:hint="eastAsia"/>
        </w:rPr>
        <w:t>四周设置围堰，并</w:t>
      </w:r>
      <w:r w:rsidR="00251CEC" w:rsidRPr="00D630D1">
        <w:t>进行防渗处理</w:t>
      </w:r>
      <w:r w:rsidRPr="00D630D1">
        <w:t>。一般情况管道阀门泄漏，少量跑冒漏滴均收集在围堰内，可有效进行防止污染。罐体破裂导致大量泄漏的机率很小，即便储罐发生泄漏，也能够通过围堰收集，避免泄漏进入周边环境中。因此，</w:t>
      </w:r>
      <w:r w:rsidR="00EF360A" w:rsidRPr="00D630D1">
        <w:rPr>
          <w:rFonts w:hint="eastAsia"/>
        </w:rPr>
        <w:t>压裂、洗井废水</w:t>
      </w:r>
      <w:r w:rsidR="004F074B">
        <w:rPr>
          <w:rFonts w:hint="eastAsia"/>
        </w:rPr>
        <w:t>、气田水</w:t>
      </w:r>
      <w:r w:rsidRPr="00D630D1">
        <w:t>发生泄漏进入周边环境的概率极低，影响较小。</w:t>
      </w:r>
    </w:p>
    <w:p w:rsidR="00E40139" w:rsidRPr="00D630D1" w:rsidRDefault="00E40139" w:rsidP="00E40139">
      <w:pPr>
        <w:pStyle w:val="3"/>
        <w:rPr>
          <w:rFonts w:eastAsia="宋体"/>
        </w:rPr>
      </w:pPr>
      <w:r w:rsidRPr="00D630D1">
        <w:rPr>
          <w:rFonts w:eastAsia="宋体"/>
        </w:rPr>
        <w:t>7.8.</w:t>
      </w:r>
      <w:r w:rsidR="004F074B">
        <w:rPr>
          <w:rFonts w:eastAsia="宋体" w:hint="eastAsia"/>
        </w:rPr>
        <w:t>6</w:t>
      </w:r>
      <w:r w:rsidRPr="00D630D1">
        <w:rPr>
          <w:rFonts w:eastAsia="宋体"/>
        </w:rPr>
        <w:t xml:space="preserve"> </w:t>
      </w:r>
      <w:r w:rsidRPr="00D630D1">
        <w:rPr>
          <w:rFonts w:eastAsia="宋体"/>
          <w:bCs/>
        </w:rPr>
        <w:t>环境风险事故对生态环境影响分析</w:t>
      </w:r>
    </w:p>
    <w:p w:rsidR="00E40139" w:rsidRPr="00D630D1" w:rsidRDefault="00E40139" w:rsidP="00E40139">
      <w:pPr>
        <w:pStyle w:val="a1"/>
        <w:ind w:firstLine="480"/>
        <w:rPr>
          <w:rFonts w:ascii="Times New Roman" w:cs="Times New Roman"/>
        </w:rPr>
      </w:pPr>
      <w:r w:rsidRPr="00D630D1">
        <w:rPr>
          <w:rFonts w:ascii="Times New Roman" w:cs="Times New Roman"/>
        </w:rPr>
        <w:t>如果在处理泄漏事故时，由于误操作引发火灾、爆炸，发生火灾的地方为林场、森林一类的植被茂密地区，在一定的气象条件下还可能引发森林大火，这会给当地的生态环境造成极大的破坏。在管道经过林区段，分别依据《中华人民共和国森林法》、《森林防火条例》及省、市森林防火条例，采取营造生物防火带、加强瞭望、巡视等措施，严格规范管道维修、维护操作规程等措施，防止事故或处理事故时引起森林火灾。由于环境风险具有突发性和破坏性（有时甚至为灾难性）的特点，所以必须采取措施加以防范，加强控制和管理是杜绝、减轻和避免环境风险的有效办法。沿线要加大力度进行《中华人民共和国石油天然气管道保护法》的宣传，强化</w:t>
      </w:r>
      <w:r w:rsidRPr="00D630D1">
        <w:rPr>
          <w:rFonts w:ascii="Times New Roman" w:cs="Times New Roman"/>
        </w:rPr>
        <w:t>“</w:t>
      </w:r>
      <w:r w:rsidRPr="00D630D1">
        <w:rPr>
          <w:rFonts w:ascii="Times New Roman" w:cs="Times New Roman"/>
        </w:rPr>
        <w:t>保护管道安全就是保护沿线群众自身安全</w:t>
      </w:r>
      <w:r w:rsidRPr="00D630D1">
        <w:rPr>
          <w:rFonts w:ascii="Times New Roman" w:cs="Times New Roman"/>
        </w:rPr>
        <w:t>”</w:t>
      </w:r>
      <w:r w:rsidRPr="00D630D1">
        <w:rPr>
          <w:rFonts w:ascii="Times New Roman" w:cs="Times New Roman"/>
        </w:rPr>
        <w:t>的教育，并密切与地方有关部门共同协调保护管道，以法律来约束管道保护中的违规行为，做到有法可依，有法必依，严惩罪犯，确保管道长期安全稳定运行。管道建设管理方还应与沿线各级地方政府、各基础设施所属管辖单位协调配合，进行事故应急演练，通过宣传、教育、演练等手段加强沿线居民、相关企事业单位、相关人员的事故防范意识和能力，正确采取各种应急措施的能力，以将事故损失降低到最小。事故状态下，主要影响是天然气泄漏，伴生或次生火灾爆炸事故。由于天然气属于易燃易爆危险物品，其管线的泄漏环境为开放环境，不易形成爆炸性蒸气云，多数形成火灾，会对保护区内的人员和周围环境产生破坏性的影响。主要影响表现在：</w:t>
      </w:r>
    </w:p>
    <w:p w:rsidR="00E40139" w:rsidRPr="00D630D1" w:rsidRDefault="00E40139" w:rsidP="00E40139">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）直接伤害保护区内的生物资源，包括动物、植物、微生物等。</w:t>
      </w:r>
    </w:p>
    <w:p w:rsidR="00E40139" w:rsidRPr="00D630D1" w:rsidRDefault="00E40139" w:rsidP="00E40139">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）改变土壤的温度、结构、理化性质、肥力、土壤微生物含量等。</w:t>
      </w:r>
    </w:p>
    <w:p w:rsidR="00E40139" w:rsidRPr="00D630D1" w:rsidRDefault="00E40139" w:rsidP="00E40139">
      <w:pPr>
        <w:pStyle w:val="a1"/>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）改变野生动物的栖息环境、食源、种间竞争关系、野生动物之间的捕食与被捕食关系等。</w:t>
      </w:r>
    </w:p>
    <w:p w:rsidR="00E40139" w:rsidRPr="00D630D1" w:rsidRDefault="00E40139" w:rsidP="00E40139">
      <w:pPr>
        <w:pStyle w:val="a1"/>
        <w:ind w:firstLine="480"/>
        <w:rPr>
          <w:rFonts w:ascii="Times New Roman" w:cs="Times New Roman"/>
        </w:rPr>
      </w:pPr>
      <w:r w:rsidRPr="00D630D1">
        <w:rPr>
          <w:rFonts w:ascii="Times New Roman" w:cs="Times New Roman"/>
        </w:rPr>
        <w:t>（</w:t>
      </w:r>
      <w:r w:rsidRPr="00D630D1">
        <w:rPr>
          <w:rFonts w:ascii="Times New Roman" w:cs="Times New Roman"/>
        </w:rPr>
        <w:t>4</w:t>
      </w:r>
      <w:r w:rsidRPr="00D630D1">
        <w:rPr>
          <w:rFonts w:ascii="Times New Roman" w:cs="Times New Roman"/>
        </w:rPr>
        <w:t>）对植物的影响表现为直接伤害、促进、引起植物种群和群落的变化。根据国际国内的类比调查，同类天然气输送管路工程运行阶段发生泄漏引起爆炸、</w:t>
      </w:r>
      <w:r w:rsidRPr="00D630D1">
        <w:rPr>
          <w:rFonts w:ascii="Times New Roman" w:cs="Times New Roman"/>
        </w:rPr>
        <w:lastRenderedPageBreak/>
        <w:t>火灾的几率非常低。尽管如此，在该工程的运行阶段，对其发生的风险应给于足够的重视，采取必要的防范、防护措施，主要从施工阶段和运行阶段采取防护措施。事故产生的影响一般在半径</w:t>
      </w:r>
      <w:r w:rsidRPr="00D630D1">
        <w:rPr>
          <w:rFonts w:ascii="Times New Roman" w:cs="Times New Roman"/>
        </w:rPr>
        <w:t>200m</w:t>
      </w:r>
      <w:r w:rsidRPr="00D630D1">
        <w:rPr>
          <w:rFonts w:ascii="Times New Roman" w:cs="Times New Roman"/>
        </w:rPr>
        <w:t>范围内，影响时间相对较短，从管线沿线植被分布图来看，该区域基本为栽培植被和草地植被，另有小面积的灌木林地，有林地相对较少，因此对植被造成的破坏损失量较小。</w:t>
      </w:r>
    </w:p>
    <w:p w:rsidR="00E40139" w:rsidRPr="00D630D1" w:rsidRDefault="00E40139" w:rsidP="00E40139">
      <w:pPr>
        <w:pStyle w:val="a1"/>
        <w:ind w:firstLine="480"/>
        <w:rPr>
          <w:rFonts w:ascii="Times New Roman" w:cs="Times New Roman"/>
        </w:rPr>
      </w:pPr>
      <w:r w:rsidRPr="00D630D1">
        <w:rPr>
          <w:rFonts w:ascii="Times New Roman" w:cs="Times New Roman"/>
        </w:rPr>
        <w:t>因此，在管道经过林区段，应依据《中华人民共和国森林法》、《森林防火条例》等采取营造制定森林防火预案、增加巡线频次，发现隐患及时处理，防患于未然，防止林区火灾发生，杜绝破坏林区生态系统的事故发生。</w:t>
      </w:r>
    </w:p>
    <w:p w:rsidR="00117C3D" w:rsidRPr="00D630D1" w:rsidRDefault="000A2E7B" w:rsidP="000A2E7B">
      <w:pPr>
        <w:pStyle w:val="2"/>
        <w:spacing w:before="120"/>
        <w:rPr>
          <w:rFonts w:cs="Times New Roman"/>
        </w:rPr>
      </w:pPr>
      <w:bookmarkStart w:id="567" w:name="bookmark64"/>
      <w:bookmarkStart w:id="568" w:name="_Toc19816113"/>
      <w:bookmarkStart w:id="569" w:name="_Toc81515301"/>
      <w:bookmarkStart w:id="570" w:name="_Hlk56973869"/>
      <w:bookmarkEnd w:id="509"/>
      <w:bookmarkEnd w:id="567"/>
      <w:r w:rsidRPr="00D630D1">
        <w:rPr>
          <w:rFonts w:cs="Times New Roman"/>
        </w:rPr>
        <w:t>7</w:t>
      </w:r>
      <w:r w:rsidR="008B5B84" w:rsidRPr="00D630D1">
        <w:rPr>
          <w:rFonts w:cs="Times New Roman"/>
        </w:rPr>
        <w:t>.9</w:t>
      </w:r>
      <w:r w:rsidR="000713CB" w:rsidRPr="00D630D1">
        <w:rPr>
          <w:rFonts w:cs="Times New Roman"/>
        </w:rPr>
        <w:t xml:space="preserve"> </w:t>
      </w:r>
      <w:r w:rsidR="008B5B84" w:rsidRPr="00D630D1">
        <w:rPr>
          <w:rFonts w:cs="Times New Roman"/>
        </w:rPr>
        <w:t>环境风险管理</w:t>
      </w:r>
      <w:bookmarkEnd w:id="568"/>
      <w:bookmarkEnd w:id="569"/>
    </w:p>
    <w:p w:rsidR="00117C3D" w:rsidRPr="00D630D1" w:rsidRDefault="000A2E7B">
      <w:pPr>
        <w:pStyle w:val="3"/>
        <w:rPr>
          <w:rFonts w:eastAsia="宋体"/>
        </w:rPr>
      </w:pPr>
      <w:bookmarkStart w:id="571" w:name="_Toc19816114"/>
      <w:r w:rsidRPr="00D630D1">
        <w:rPr>
          <w:rFonts w:eastAsia="宋体"/>
        </w:rPr>
        <w:t>7</w:t>
      </w:r>
      <w:r w:rsidR="008B5B84" w:rsidRPr="00D630D1">
        <w:rPr>
          <w:rFonts w:eastAsia="宋体"/>
        </w:rPr>
        <w:t xml:space="preserve">.9.1 </w:t>
      </w:r>
      <w:bookmarkEnd w:id="571"/>
      <w:r w:rsidR="002C3D53" w:rsidRPr="002C3D53">
        <w:rPr>
          <w:rFonts w:eastAsia="宋体"/>
          <w:bCs/>
        </w:rPr>
        <w:t>管道</w:t>
      </w:r>
      <w:r w:rsidR="002C3D53">
        <w:rPr>
          <w:rFonts w:eastAsia="宋体" w:hint="eastAsia"/>
          <w:bCs/>
        </w:rPr>
        <w:t>设计及施工</w:t>
      </w:r>
      <w:r w:rsidR="00E312B2" w:rsidRPr="00D630D1">
        <w:rPr>
          <w:rFonts w:eastAsia="宋体"/>
          <w:bCs/>
        </w:rPr>
        <w:t>风险防范措施</w:t>
      </w:r>
    </w:p>
    <w:p w:rsidR="009D6983" w:rsidRPr="00D630D1" w:rsidRDefault="00E312B2" w:rsidP="009D6983">
      <w:pPr>
        <w:pStyle w:val="afa"/>
        <w:ind w:firstLine="482"/>
        <w:rPr>
          <w:b/>
          <w:bCs/>
        </w:rPr>
      </w:pPr>
      <w:r w:rsidRPr="00D630D1">
        <w:rPr>
          <w:b/>
          <w:bCs/>
        </w:rPr>
        <w:t>1</w:t>
      </w:r>
      <w:r w:rsidRPr="00D630D1">
        <w:rPr>
          <w:b/>
          <w:bCs/>
        </w:rPr>
        <w:t>、</w:t>
      </w:r>
      <w:r w:rsidR="009D6983" w:rsidRPr="00D630D1">
        <w:rPr>
          <w:b/>
          <w:bCs/>
        </w:rPr>
        <w:t>管道风险防范措施</w:t>
      </w:r>
    </w:p>
    <w:p w:rsidR="009D6983" w:rsidRPr="00D630D1" w:rsidRDefault="009D6983" w:rsidP="009D6983">
      <w:pPr>
        <w:pStyle w:val="afa"/>
        <w:ind w:firstLine="480"/>
      </w:pPr>
      <w:r w:rsidRPr="00D630D1">
        <w:rPr>
          <w:rFonts w:ascii="宋体" w:hAnsi="宋体" w:cs="宋体" w:hint="eastAsia"/>
        </w:rPr>
        <w:t>①</w:t>
      </w:r>
      <w:r w:rsidRPr="00D630D1">
        <w:t>选择线路走向时，尽可能避开居民区以及复杂地质段，以减少由于不良地质造成管道泄漏事故，以及天然气泄漏引起的火灾、爆炸事故对居民危害经济损失；</w:t>
      </w:r>
    </w:p>
    <w:p w:rsidR="009D6983" w:rsidRPr="00D630D1" w:rsidRDefault="009D6983" w:rsidP="009D6983">
      <w:pPr>
        <w:pStyle w:val="afa"/>
        <w:ind w:firstLine="480"/>
      </w:pPr>
      <w:r w:rsidRPr="00D630D1">
        <w:rPr>
          <w:rFonts w:ascii="宋体" w:hAnsi="宋体" w:cs="宋体" w:hint="eastAsia"/>
        </w:rPr>
        <w:t>②</w:t>
      </w:r>
      <w:r w:rsidRPr="00D630D1">
        <w:t>管道沿线人口密集、房屋距管线较近等敏感地区，提高设计系数，增加管线壁厚，以及其它保护管道的措施，以增强管道抵抗外部可能造成破坏的能力；</w:t>
      </w:r>
    </w:p>
    <w:p w:rsidR="009D6983" w:rsidRPr="00D630D1" w:rsidRDefault="009D6983" w:rsidP="009D6983">
      <w:pPr>
        <w:pStyle w:val="afa"/>
        <w:ind w:firstLine="480"/>
      </w:pPr>
      <w:r w:rsidRPr="00D630D1">
        <w:rPr>
          <w:rFonts w:ascii="宋体" w:hAnsi="宋体" w:cs="宋体" w:hint="eastAsia"/>
        </w:rPr>
        <w:t>③</w:t>
      </w:r>
      <w:r w:rsidRPr="00D630D1">
        <w:t>据《输气管道工程设计规范》（</w:t>
      </w:r>
      <w:r w:rsidRPr="00D630D1">
        <w:t>GB50251-2003</w:t>
      </w:r>
      <w:r w:rsidRPr="00D630D1">
        <w:t>）的要求，输气管道通过的地区，应按沿线居民户数和建筑物的密集程度，划分地区等级，并依据地区等级作出相应的管道设计。</w:t>
      </w:r>
    </w:p>
    <w:p w:rsidR="009D6983" w:rsidRPr="00D630D1" w:rsidRDefault="00E312B2" w:rsidP="009D6983">
      <w:pPr>
        <w:pStyle w:val="afa"/>
        <w:ind w:firstLine="482"/>
        <w:rPr>
          <w:b/>
          <w:bCs/>
        </w:rPr>
      </w:pPr>
      <w:r w:rsidRPr="00D630D1">
        <w:rPr>
          <w:b/>
          <w:bCs/>
        </w:rPr>
        <w:t>2</w:t>
      </w:r>
      <w:r w:rsidRPr="00D630D1">
        <w:rPr>
          <w:b/>
          <w:bCs/>
        </w:rPr>
        <w:t>、</w:t>
      </w:r>
      <w:r w:rsidR="009D6983" w:rsidRPr="00D630D1">
        <w:rPr>
          <w:b/>
          <w:bCs/>
        </w:rPr>
        <w:t>线路用管选择</w:t>
      </w:r>
    </w:p>
    <w:p w:rsidR="009D6983" w:rsidRPr="00D630D1" w:rsidRDefault="00B73FBF" w:rsidP="009D6983">
      <w:pPr>
        <w:pStyle w:val="afa"/>
        <w:ind w:firstLine="480"/>
      </w:pPr>
      <w:r w:rsidRPr="00D630D1">
        <w:rPr>
          <w:rFonts w:ascii="宋体" w:hAnsi="宋体" w:cs="宋体" w:hint="eastAsia"/>
        </w:rPr>
        <w:t>①</w:t>
      </w:r>
      <w:r w:rsidR="009D6983" w:rsidRPr="00D630D1">
        <w:t>选择符合国家标准《石油天然气工业输送钢管交货技术条件》（</w:t>
      </w:r>
      <w:r w:rsidR="009D6983" w:rsidRPr="00D630D1">
        <w:t>GB/T9711.1-1997</w:t>
      </w:r>
      <w:r w:rsidR="009D6983" w:rsidRPr="00D630D1">
        <w:t>）的钢管。</w:t>
      </w:r>
    </w:p>
    <w:p w:rsidR="00B73FBF" w:rsidRPr="00D630D1" w:rsidRDefault="00B73FBF" w:rsidP="009D6983">
      <w:pPr>
        <w:pStyle w:val="afa"/>
        <w:ind w:firstLine="480"/>
      </w:pPr>
      <w:r w:rsidRPr="00D630D1">
        <w:rPr>
          <w:rFonts w:ascii="宋体" w:hAnsi="宋体" w:cs="宋体" w:hint="eastAsia"/>
        </w:rPr>
        <w:t>②</w:t>
      </w:r>
      <w:r w:rsidR="00EF360A" w:rsidRPr="00D630D1">
        <w:rPr>
          <w:rFonts w:hint="eastAsia"/>
        </w:rPr>
        <w:t>压裂、洗井废水</w:t>
      </w:r>
      <w:r w:rsidRPr="00D630D1">
        <w:rPr>
          <w:szCs w:val="26"/>
        </w:rPr>
        <w:t>管线采用增强型塑料复合管，是一种由高分子复合材料制成的具有一定高强度、高压力、耐腐蚀、耐结垢、摩阻系数小、保温性好、柔性好、寿命长的石油天然气工业用管件，该类管道在污水输送管中被大规模的使用，技术成熟可靠。</w:t>
      </w:r>
    </w:p>
    <w:p w:rsidR="009D6983" w:rsidRPr="00D630D1" w:rsidRDefault="00E312B2" w:rsidP="009D6983">
      <w:pPr>
        <w:pStyle w:val="afa"/>
        <w:ind w:firstLine="482"/>
        <w:rPr>
          <w:b/>
          <w:bCs/>
        </w:rPr>
      </w:pPr>
      <w:r w:rsidRPr="00D630D1">
        <w:rPr>
          <w:b/>
          <w:bCs/>
        </w:rPr>
        <w:t>3</w:t>
      </w:r>
      <w:r w:rsidRPr="00D630D1">
        <w:rPr>
          <w:b/>
          <w:bCs/>
        </w:rPr>
        <w:t>、</w:t>
      </w:r>
      <w:r w:rsidR="009D6983" w:rsidRPr="00D630D1">
        <w:rPr>
          <w:b/>
          <w:bCs/>
        </w:rPr>
        <w:t>防腐蚀措施</w:t>
      </w:r>
    </w:p>
    <w:p w:rsidR="009D6983" w:rsidRPr="00D630D1" w:rsidRDefault="009D6983" w:rsidP="009D6983">
      <w:pPr>
        <w:pStyle w:val="afa"/>
        <w:ind w:firstLine="480"/>
      </w:pPr>
      <w:r w:rsidRPr="00D630D1">
        <w:rPr>
          <w:rFonts w:ascii="宋体" w:hAnsi="宋体" w:cs="宋体" w:hint="eastAsia"/>
        </w:rPr>
        <w:t>①</w:t>
      </w:r>
      <w:r w:rsidRPr="00D630D1">
        <w:t>外防腐</w:t>
      </w:r>
    </w:p>
    <w:p w:rsidR="009D6983" w:rsidRPr="00D630D1" w:rsidRDefault="009D6983" w:rsidP="009D6983">
      <w:pPr>
        <w:pStyle w:val="afa"/>
        <w:ind w:firstLine="480"/>
      </w:pPr>
      <w:r w:rsidRPr="00D630D1">
        <w:t>埋地酸气管线防腐保温采用</w:t>
      </w:r>
      <w:r w:rsidRPr="00D630D1">
        <w:t>“</w:t>
      </w:r>
      <w:r w:rsidRPr="00D630D1">
        <w:t>管中管</w:t>
      </w:r>
      <w:r w:rsidRPr="00D630D1">
        <w:t>”</w:t>
      </w:r>
      <w:r w:rsidRPr="00D630D1">
        <w:t>成型工艺，保温层采用硬质聚氨脂泡沫</w:t>
      </w:r>
      <w:r w:rsidRPr="00D630D1">
        <w:lastRenderedPageBreak/>
        <w:t>聚乙烯防腐保温层（保温层厚</w:t>
      </w:r>
      <w:r w:rsidRPr="00D630D1">
        <w:t>40mm</w:t>
      </w:r>
      <w:r w:rsidRPr="00D630D1">
        <w:t>），防腐层采用环氧粉末；防护层采用聚乙烯层，酸气管道补口采用现场发泡，补口防腐采用无溶剂液体环氧涂料</w:t>
      </w:r>
      <w:r w:rsidRPr="00D630D1">
        <w:t>+</w:t>
      </w:r>
      <w:r w:rsidRPr="00D630D1">
        <w:t>粘弹体胶带</w:t>
      </w:r>
      <w:r w:rsidRPr="00D630D1">
        <w:t>+</w:t>
      </w:r>
      <w:r w:rsidRPr="00D630D1">
        <w:t>聚乙烯袖套管</w:t>
      </w:r>
      <w:r w:rsidRPr="00D630D1">
        <w:t>+</w:t>
      </w:r>
      <w:r w:rsidRPr="00D630D1">
        <w:t>粘弹体胶带</w:t>
      </w:r>
      <w:r w:rsidRPr="00D630D1">
        <w:t>+</w:t>
      </w:r>
      <w:r w:rsidRPr="00D630D1">
        <w:t>辐射交联聚乙烯热收缩带。</w:t>
      </w:r>
    </w:p>
    <w:p w:rsidR="009D6983" w:rsidRPr="00D630D1" w:rsidRDefault="009D6983" w:rsidP="009D6983">
      <w:pPr>
        <w:pStyle w:val="afa"/>
        <w:ind w:firstLine="480"/>
      </w:pPr>
      <w:r w:rsidRPr="00D630D1">
        <w:t>燃料气管线采用机械强度高，耐磨耐冲击，耐化学介质腐蚀，抗植物根茎穿透，吸水性低，使用寿命长，电绝缘性好，使用寿命长的加强级三层</w:t>
      </w:r>
      <w:r w:rsidRPr="00D630D1">
        <w:t>PE</w:t>
      </w:r>
      <w:r w:rsidRPr="00D630D1">
        <w:t>防腐层，管道补口采用辐射交联聚乙烯热收缩套。</w:t>
      </w:r>
    </w:p>
    <w:p w:rsidR="009D6983" w:rsidRPr="00D630D1" w:rsidRDefault="009D6983" w:rsidP="009D6983">
      <w:pPr>
        <w:pStyle w:val="afa"/>
        <w:ind w:firstLine="480"/>
      </w:pPr>
      <w:r w:rsidRPr="00D630D1">
        <w:rPr>
          <w:rFonts w:ascii="宋体" w:hAnsi="宋体" w:cs="宋体" w:hint="eastAsia"/>
        </w:rPr>
        <w:t>②</w:t>
      </w:r>
      <w:r w:rsidRPr="00D630D1">
        <w:t>阴极保护</w:t>
      </w:r>
    </w:p>
    <w:p w:rsidR="009D6983" w:rsidRPr="00D630D1" w:rsidRDefault="009D6983" w:rsidP="009D6983">
      <w:pPr>
        <w:pStyle w:val="afa"/>
        <w:ind w:firstLine="480"/>
      </w:pPr>
      <w:r w:rsidRPr="00D630D1">
        <w:t>为保证防腐工作的可靠性，采用外防腐层和强制电流阴极保护联合方式。对管线采用以强制电流为主，牲牺阳极为辅的阴极保护方法。</w:t>
      </w:r>
    </w:p>
    <w:p w:rsidR="009D6983" w:rsidRPr="00D630D1" w:rsidRDefault="009D6983" w:rsidP="009D6983">
      <w:pPr>
        <w:pStyle w:val="afa"/>
        <w:ind w:firstLine="480"/>
      </w:pPr>
      <w:r w:rsidRPr="00D630D1">
        <w:t>在杂散电流流出点安装成组的锌阳极，以达到排流的目的，减轻干扰。</w:t>
      </w:r>
    </w:p>
    <w:p w:rsidR="009D6983" w:rsidRPr="00D630D1" w:rsidRDefault="009D6983" w:rsidP="009D6983">
      <w:pPr>
        <w:pStyle w:val="afa"/>
        <w:ind w:firstLine="480"/>
      </w:pPr>
      <w:r w:rsidRPr="00D630D1">
        <w:rPr>
          <w:rFonts w:ascii="宋体" w:hAnsi="宋体" w:cs="宋体" w:hint="eastAsia"/>
        </w:rPr>
        <w:t>③</w:t>
      </w:r>
      <w:r w:rsidR="00B73FBF" w:rsidRPr="00D630D1">
        <w:rPr>
          <w:szCs w:val="26"/>
        </w:rPr>
        <w:t>外部干预消除</w:t>
      </w:r>
    </w:p>
    <w:p w:rsidR="009D6983" w:rsidRPr="00D630D1" w:rsidRDefault="00B73FBF" w:rsidP="009D6983">
      <w:pPr>
        <w:pStyle w:val="afa"/>
        <w:ind w:firstLine="480"/>
        <w:rPr>
          <w:szCs w:val="26"/>
        </w:rPr>
      </w:pPr>
      <w:r w:rsidRPr="00D630D1">
        <w:rPr>
          <w:szCs w:val="26"/>
        </w:rPr>
        <w:t>近年来，随着国家经济发展，外部干扰（第三方破坏）导致天然气管道环境风险事故的情况持续上升。针对这一情况，建设单位制定了一系列的宣传</w:t>
      </w:r>
      <w:r w:rsidR="005F0550" w:rsidRPr="00D630D1">
        <w:rPr>
          <w:szCs w:val="26"/>
        </w:rPr>
        <w:t>、保护措施。管道敷设完毕后，建设单位在管道沿线设置明显的标志桩</w:t>
      </w:r>
      <w:r w:rsidRPr="00D630D1">
        <w:rPr>
          <w:szCs w:val="26"/>
        </w:rPr>
        <w:t>，组织站场、管道沿线居民学习《中华人民共和国石油天然气管道保护法》，强化</w:t>
      </w:r>
      <w:r w:rsidRPr="00D630D1">
        <w:rPr>
          <w:szCs w:val="26"/>
        </w:rPr>
        <w:t>“</w:t>
      </w:r>
      <w:r w:rsidRPr="00D630D1">
        <w:rPr>
          <w:szCs w:val="26"/>
        </w:rPr>
        <w:t>保护管道安全就是保护沿线群众自身安全</w:t>
      </w:r>
      <w:r w:rsidRPr="00D630D1">
        <w:rPr>
          <w:szCs w:val="26"/>
        </w:rPr>
        <w:t>”</w:t>
      </w:r>
      <w:r w:rsidRPr="00D630D1">
        <w:rPr>
          <w:szCs w:val="26"/>
        </w:rPr>
        <w:t>的教育，并密切与地方有关部门共同协调保护管道，以法律来约束管道保护中的违规行为，确保管道安全运行。</w:t>
      </w:r>
    </w:p>
    <w:p w:rsidR="00E32DEA" w:rsidRPr="00D630D1" w:rsidRDefault="00E312B2" w:rsidP="00E32DEA">
      <w:pPr>
        <w:pStyle w:val="afa"/>
        <w:ind w:firstLine="482"/>
        <w:rPr>
          <w:b/>
          <w:bCs/>
        </w:rPr>
      </w:pPr>
      <w:r w:rsidRPr="00D630D1">
        <w:rPr>
          <w:b/>
          <w:bCs/>
        </w:rPr>
        <w:t>4</w:t>
      </w:r>
      <w:r w:rsidRPr="00D630D1">
        <w:rPr>
          <w:b/>
          <w:bCs/>
        </w:rPr>
        <w:t>、</w:t>
      </w:r>
      <w:r w:rsidR="00E32DEA" w:rsidRPr="00D630D1">
        <w:rPr>
          <w:b/>
          <w:bCs/>
        </w:rPr>
        <w:t>管道抗震防范措施</w:t>
      </w:r>
    </w:p>
    <w:p w:rsidR="00E32DEA" w:rsidRPr="00D630D1" w:rsidRDefault="00E32DEA" w:rsidP="00E32DEA">
      <w:pPr>
        <w:pStyle w:val="afa"/>
        <w:ind w:firstLine="480"/>
      </w:pPr>
      <w:r w:rsidRPr="00D630D1">
        <w:rPr>
          <w:rFonts w:ascii="宋体" w:hAnsi="宋体" w:cs="宋体" w:hint="eastAsia"/>
        </w:rPr>
        <w:t>①</w:t>
      </w:r>
      <w:r w:rsidRPr="00D630D1">
        <w:t>管线与活动断裂平行时，管线设在其外</w:t>
      </w:r>
      <w:r w:rsidRPr="00D630D1">
        <w:t>200m</w:t>
      </w:r>
      <w:r w:rsidRPr="00D630D1">
        <w:t>；与管线交叉时，选择合适的交角，或采取管线水平弯曲补偿形式敷设。</w:t>
      </w:r>
    </w:p>
    <w:p w:rsidR="00E32DEA" w:rsidRPr="00D630D1" w:rsidRDefault="00E32DEA" w:rsidP="00E32DEA">
      <w:pPr>
        <w:pStyle w:val="afa"/>
        <w:ind w:firstLine="480"/>
      </w:pPr>
      <w:r w:rsidRPr="00D630D1">
        <w:rPr>
          <w:rFonts w:ascii="宋体" w:hAnsi="宋体" w:cs="宋体" w:hint="eastAsia"/>
        </w:rPr>
        <w:t>②</w:t>
      </w:r>
      <w:r w:rsidRPr="00D630D1">
        <w:t>增加交叉段管壁厚度。</w:t>
      </w:r>
    </w:p>
    <w:p w:rsidR="00E32DEA" w:rsidRPr="00D630D1" w:rsidRDefault="00E32DEA" w:rsidP="00E32DEA">
      <w:pPr>
        <w:pStyle w:val="afa"/>
        <w:ind w:firstLine="480"/>
      </w:pPr>
      <w:r w:rsidRPr="00D630D1">
        <w:rPr>
          <w:rFonts w:ascii="宋体" w:hAnsi="宋体" w:cs="宋体" w:hint="eastAsia"/>
        </w:rPr>
        <w:t>③</w:t>
      </w:r>
      <w:r w:rsidRPr="00D630D1">
        <w:t>尽量采取弹性敷设来处理管道转角。</w:t>
      </w:r>
    </w:p>
    <w:p w:rsidR="00E32DEA" w:rsidRPr="00D630D1" w:rsidRDefault="00E32DEA" w:rsidP="00E32DEA">
      <w:pPr>
        <w:pStyle w:val="afa"/>
        <w:ind w:firstLine="480"/>
      </w:pPr>
      <w:r w:rsidRPr="00D630D1">
        <w:rPr>
          <w:rFonts w:ascii="宋体" w:hAnsi="宋体" w:cs="宋体" w:hint="eastAsia"/>
        </w:rPr>
        <w:t>④</w:t>
      </w:r>
      <w:r w:rsidRPr="00D630D1">
        <w:t>加宽管沟，回填松散土。</w:t>
      </w:r>
    </w:p>
    <w:p w:rsidR="00E32DEA" w:rsidRPr="00D630D1" w:rsidRDefault="00E32DEA" w:rsidP="00E32DEA">
      <w:pPr>
        <w:pStyle w:val="afa"/>
        <w:ind w:firstLine="480"/>
      </w:pPr>
      <w:r w:rsidRPr="00D630D1">
        <w:rPr>
          <w:rFonts w:ascii="宋体" w:hAnsi="宋体" w:cs="宋体" w:hint="eastAsia"/>
        </w:rPr>
        <w:t>⑤</w:t>
      </w:r>
      <w:r w:rsidRPr="00D630D1">
        <w:t>对可能发生崩塌和沙土液化地区，采取排水，支挡、削坡等。</w:t>
      </w:r>
    </w:p>
    <w:p w:rsidR="00E32DEA" w:rsidRDefault="00E32DEA" w:rsidP="00E32DEA">
      <w:pPr>
        <w:pStyle w:val="afa"/>
        <w:ind w:firstLine="480"/>
      </w:pPr>
      <w:r w:rsidRPr="00D630D1">
        <w:rPr>
          <w:rFonts w:ascii="宋体" w:hAnsi="宋体" w:cs="宋体" w:hint="eastAsia"/>
        </w:rPr>
        <w:t>⑥</w:t>
      </w:r>
      <w:r w:rsidRPr="00D630D1">
        <w:t>采用外壁摩阻较小的外防腐涂层。</w:t>
      </w:r>
    </w:p>
    <w:p w:rsidR="002C3D53" w:rsidRPr="00D630D1" w:rsidRDefault="002C3D53" w:rsidP="002C3D53">
      <w:pPr>
        <w:pStyle w:val="a1"/>
        <w:ind w:firstLine="482"/>
        <w:rPr>
          <w:rFonts w:ascii="Times New Roman" w:cs="Times New Roman"/>
          <w:b/>
        </w:rPr>
      </w:pPr>
      <w:r>
        <w:rPr>
          <w:rFonts w:ascii="Times New Roman" w:cs="Times New Roman" w:hint="eastAsia"/>
          <w:b/>
        </w:rPr>
        <w:t>5</w:t>
      </w:r>
      <w:r w:rsidRPr="00D630D1">
        <w:rPr>
          <w:rFonts w:ascii="Times New Roman" w:cs="Times New Roman"/>
          <w:b/>
        </w:rPr>
        <w:t>、天然气</w:t>
      </w:r>
      <w:r w:rsidRPr="00D630D1">
        <w:rPr>
          <w:rFonts w:ascii="Times New Roman" w:cs="Times New Roman" w:hint="eastAsia"/>
          <w:b/>
        </w:rPr>
        <w:t>管道</w:t>
      </w:r>
      <w:r w:rsidRPr="00D630D1">
        <w:rPr>
          <w:rFonts w:ascii="Times New Roman" w:cs="Times New Roman"/>
          <w:b/>
        </w:rPr>
        <w:t>施工过程风险防范措施</w:t>
      </w:r>
    </w:p>
    <w:p w:rsidR="002C3D53" w:rsidRPr="00D630D1" w:rsidRDefault="002C3D53" w:rsidP="002C3D53">
      <w:pPr>
        <w:pStyle w:val="a1"/>
        <w:ind w:firstLine="480"/>
        <w:rPr>
          <w:rFonts w:ascii="Times New Roman" w:cs="Times New Roman"/>
        </w:rPr>
      </w:pPr>
      <w:r w:rsidRPr="00D630D1">
        <w:rPr>
          <w:rFonts w:hAnsi="宋体" w:hint="eastAsia"/>
        </w:rPr>
        <w:t>①</w:t>
      </w:r>
      <w:r w:rsidRPr="00D630D1">
        <w:rPr>
          <w:rFonts w:ascii="Times New Roman" w:cs="Times New Roman"/>
        </w:rPr>
        <w:t>对于林区内的管道施工，管沟成型组焊前，应清除管沟附近的树枝、树叶，组焊建议采用沟下焊方式；焊接过程中，应对焊接区一定范围设置临时的隔阻材料（如钢板），防止电弧和火花进入林区；严禁在树林边或树林内吸烟、引弧；</w:t>
      </w:r>
      <w:r w:rsidRPr="00D630D1">
        <w:rPr>
          <w:rFonts w:ascii="Times New Roman" w:cs="Times New Roman"/>
        </w:rPr>
        <w:lastRenderedPageBreak/>
        <w:t>对于材料中的易燃物质，应设置于空旷的场地且远离焊接区；施工中应配备一定数量的移动灭火器。</w:t>
      </w:r>
    </w:p>
    <w:p w:rsidR="002C3D53" w:rsidRPr="00D630D1" w:rsidRDefault="002C3D53" w:rsidP="002C3D53">
      <w:pPr>
        <w:pStyle w:val="a1"/>
        <w:ind w:firstLine="480"/>
        <w:rPr>
          <w:rFonts w:ascii="Times New Roman" w:cs="Times New Roman"/>
        </w:rPr>
      </w:pPr>
      <w:r w:rsidRPr="00D630D1">
        <w:rPr>
          <w:rFonts w:hAnsi="宋体" w:hint="eastAsia"/>
        </w:rPr>
        <w:t>②</w:t>
      </w:r>
      <w:r w:rsidRPr="00D630D1">
        <w:rPr>
          <w:rFonts w:ascii="Times New Roman" w:cs="Times New Roman"/>
        </w:rPr>
        <w:t>试压过程中用氮气吹扫管线时，吹扫口应选择在空旷开阔的地区，其前方</w:t>
      </w:r>
      <w:r w:rsidRPr="00D630D1">
        <w:rPr>
          <w:rFonts w:ascii="Times New Roman" w:cs="Times New Roman"/>
        </w:rPr>
        <w:t>100m</w:t>
      </w:r>
      <w:r w:rsidRPr="00D630D1">
        <w:rPr>
          <w:rFonts w:ascii="Times New Roman" w:cs="Times New Roman"/>
        </w:rPr>
        <w:t>，左右</w:t>
      </w:r>
      <w:r w:rsidRPr="00D630D1">
        <w:rPr>
          <w:rFonts w:ascii="Times New Roman" w:cs="Times New Roman"/>
        </w:rPr>
        <w:t>50m</w:t>
      </w:r>
      <w:r w:rsidRPr="00D630D1">
        <w:rPr>
          <w:rFonts w:ascii="Times New Roman" w:cs="Times New Roman"/>
        </w:rPr>
        <w:t>以内不得有人、畜和火源。吹扫口</w:t>
      </w:r>
      <w:r w:rsidRPr="00D630D1">
        <w:rPr>
          <w:rFonts w:ascii="Times New Roman" w:cs="Times New Roman"/>
        </w:rPr>
        <w:t>50m</w:t>
      </w:r>
      <w:r w:rsidRPr="00D630D1">
        <w:rPr>
          <w:rFonts w:ascii="Times New Roman" w:cs="Times New Roman"/>
        </w:rPr>
        <w:t>范围内应有专人警戒，有具体的防火、防爆措施。</w:t>
      </w:r>
    </w:p>
    <w:p w:rsidR="002C3D53" w:rsidRPr="00D630D1" w:rsidRDefault="002C3D53" w:rsidP="002C3D53">
      <w:pPr>
        <w:pStyle w:val="a1"/>
        <w:ind w:firstLine="480"/>
        <w:rPr>
          <w:rFonts w:ascii="Times New Roman" w:cs="Times New Roman"/>
        </w:rPr>
      </w:pPr>
      <w:r w:rsidRPr="00D630D1">
        <w:rPr>
          <w:rFonts w:hAnsi="宋体" w:hint="eastAsia"/>
        </w:rPr>
        <w:t>③</w:t>
      </w:r>
      <w:r w:rsidRPr="00D630D1">
        <w:rPr>
          <w:rFonts w:ascii="Times New Roman" w:cs="Times New Roman"/>
        </w:rPr>
        <w:t>在施工过程中，加强监理，确保防腐、焊接、探伤等施工工艺的质量；制定严格的规章制度，发现缺陷及时正确修补并做好记录；进行水压试验，排除更多的存在于焊缝和母材的缺陷；选择有丰富经验的单位进行施工，并有优秀的第三方对其施工质量进行强有力的监督，减少施工误操作。</w:t>
      </w:r>
    </w:p>
    <w:p w:rsidR="002C3D53" w:rsidRPr="00D630D1" w:rsidRDefault="002C3D53" w:rsidP="002C3D53">
      <w:pPr>
        <w:pStyle w:val="a1"/>
        <w:ind w:firstLine="480"/>
        <w:rPr>
          <w:rFonts w:ascii="Times New Roman" w:cs="Times New Roman"/>
        </w:rPr>
      </w:pPr>
      <w:r w:rsidRPr="00D630D1">
        <w:rPr>
          <w:rFonts w:hAnsi="宋体" w:hint="eastAsia"/>
        </w:rPr>
        <w:t>④</w:t>
      </w:r>
      <w:r w:rsidRPr="00D630D1">
        <w:rPr>
          <w:rFonts w:ascii="Times New Roman" w:cs="Times New Roman"/>
        </w:rPr>
        <w:t>需动火施工管道的降压、停产、扫线及管道沿线与动火点直接有关阀门的控制应由管理部门安排专人操作。</w:t>
      </w:r>
    </w:p>
    <w:p w:rsidR="002C3D53" w:rsidRPr="00D630D1" w:rsidRDefault="002C3D53" w:rsidP="002C3D53">
      <w:pPr>
        <w:pStyle w:val="a1"/>
        <w:ind w:firstLine="480"/>
        <w:rPr>
          <w:rFonts w:ascii="Times New Roman" w:cs="Times New Roman"/>
        </w:rPr>
      </w:pPr>
      <w:r w:rsidRPr="00D630D1">
        <w:rPr>
          <w:rFonts w:hAnsi="宋体" w:hint="eastAsia"/>
        </w:rPr>
        <w:t>⑤</w:t>
      </w:r>
      <w:r w:rsidRPr="00D630D1">
        <w:rPr>
          <w:rFonts w:ascii="Times New Roman" w:cs="Times New Roman"/>
        </w:rPr>
        <w:t>动火中各种用电设备，严禁以管道充作导体。</w:t>
      </w:r>
    </w:p>
    <w:p w:rsidR="002C3D53" w:rsidRPr="00D630D1" w:rsidRDefault="002C3D53" w:rsidP="002C3D53">
      <w:pPr>
        <w:pStyle w:val="a1"/>
        <w:ind w:firstLine="480"/>
        <w:rPr>
          <w:rFonts w:ascii="Times New Roman" w:cs="Times New Roman"/>
        </w:rPr>
      </w:pPr>
      <w:r w:rsidRPr="00D630D1">
        <w:rPr>
          <w:rFonts w:hAnsi="宋体" w:hint="eastAsia"/>
        </w:rPr>
        <w:t>⑥</w:t>
      </w:r>
      <w:r w:rsidRPr="00D630D1">
        <w:rPr>
          <w:rFonts w:ascii="Times New Roman" w:cs="Times New Roman"/>
        </w:rPr>
        <w:t>动火施工区域应设置警戒，防止与动火工作无关人员或设备等进入施工区域。</w:t>
      </w:r>
    </w:p>
    <w:p w:rsidR="002C3D53" w:rsidRPr="00D630D1" w:rsidRDefault="002C3D53" w:rsidP="002C3D53">
      <w:pPr>
        <w:pStyle w:val="a1"/>
        <w:ind w:firstLine="480"/>
        <w:rPr>
          <w:rFonts w:ascii="Times New Roman" w:cs="Times New Roman"/>
        </w:rPr>
      </w:pPr>
      <w:r w:rsidRPr="00D630D1">
        <w:rPr>
          <w:rFonts w:hAnsi="宋体" w:hint="eastAsia"/>
        </w:rPr>
        <w:t>⑦</w:t>
      </w:r>
      <w:r w:rsidRPr="00D630D1">
        <w:rPr>
          <w:rFonts w:ascii="Times New Roman" w:cs="Times New Roman"/>
        </w:rPr>
        <w:t>动火施工现场根据施工的危险程度配备一定数量性能可靠的消防器材或消防车。</w:t>
      </w:r>
    </w:p>
    <w:p w:rsidR="002C3D53" w:rsidRPr="00D630D1" w:rsidRDefault="002C3D53" w:rsidP="002C3D53">
      <w:pPr>
        <w:pStyle w:val="a1"/>
        <w:ind w:firstLine="480"/>
        <w:rPr>
          <w:rFonts w:ascii="Times New Roman" w:cs="Times New Roman"/>
        </w:rPr>
      </w:pPr>
      <w:r w:rsidRPr="00D630D1">
        <w:rPr>
          <w:rFonts w:hAnsi="宋体" w:hint="eastAsia"/>
        </w:rPr>
        <w:t>⑧</w:t>
      </w:r>
      <w:r w:rsidRPr="00D630D1">
        <w:rPr>
          <w:rFonts w:ascii="Times New Roman" w:cs="Times New Roman"/>
        </w:rPr>
        <w:t>动火施工后，施工人员和管理人员应进行全面检查，确认没有火种及其它隐患后，方可离开施工现场。</w:t>
      </w:r>
    </w:p>
    <w:p w:rsidR="002C3D53" w:rsidRPr="00D630D1" w:rsidRDefault="002C3D53" w:rsidP="002C3D53">
      <w:pPr>
        <w:pStyle w:val="a1"/>
        <w:ind w:firstLine="480"/>
        <w:rPr>
          <w:rFonts w:ascii="Times New Roman" w:cs="Times New Roman"/>
        </w:rPr>
      </w:pPr>
      <w:r w:rsidRPr="00D630D1">
        <w:rPr>
          <w:rFonts w:hAnsi="宋体" w:hint="eastAsia"/>
        </w:rPr>
        <w:t>⑨</w:t>
      </w:r>
      <w:r w:rsidRPr="00D630D1">
        <w:rPr>
          <w:rFonts w:ascii="Times New Roman" w:cs="Times New Roman"/>
        </w:rPr>
        <w:t>严格按设计选定管材、设备和各项技术要求备料、制造、组装施工和检验。</w:t>
      </w:r>
    </w:p>
    <w:p w:rsidR="002C3D53" w:rsidRPr="00D630D1" w:rsidRDefault="002C3D53" w:rsidP="002C3D53">
      <w:pPr>
        <w:pStyle w:val="afa"/>
        <w:ind w:firstLine="480"/>
      </w:pPr>
      <w:r w:rsidRPr="00D630D1">
        <w:rPr>
          <w:rFonts w:ascii="宋体" w:hAnsi="宋体" w:cs="宋体" w:hint="eastAsia"/>
        </w:rPr>
        <w:t>⑩</w:t>
      </w:r>
      <w:r w:rsidRPr="00D630D1">
        <w:t>电工必须经过按国家现行标准考核合格后，持证上岗工作；其他用电人员必须通过相关安全教育培训和技术交底，考核合格后方可上岗工作。</w:t>
      </w:r>
    </w:p>
    <w:p w:rsidR="002C3D53" w:rsidRPr="00D630D1" w:rsidRDefault="002C3D53" w:rsidP="002C3D53">
      <w:pPr>
        <w:pStyle w:val="afa"/>
        <w:ind w:firstLine="480"/>
      </w:pPr>
      <w:r w:rsidRPr="00D630D1">
        <w:rPr>
          <w:rFonts w:ascii="Cambria Math" w:hAnsi="Cambria Math" w:cs="Cambria Math"/>
        </w:rPr>
        <w:t>⑪</w:t>
      </w:r>
      <w:r w:rsidRPr="00D630D1">
        <w:t>安装、巡检、维修或拆除临时用电设备和线路，必须由电工完成，并应有人监护。电工等级应同工程的难易程度和技术复杂性相适应。</w:t>
      </w:r>
    </w:p>
    <w:p w:rsidR="002C3D53" w:rsidRPr="00D630D1" w:rsidRDefault="002C3D53" w:rsidP="002C3D53">
      <w:pPr>
        <w:pStyle w:val="afa"/>
        <w:ind w:firstLine="480"/>
      </w:pPr>
      <w:r w:rsidRPr="00D630D1">
        <w:rPr>
          <w:rFonts w:ascii="Cambria Math" w:hAnsi="Cambria Math" w:cs="Cambria Math"/>
        </w:rPr>
        <w:t>⑫</w:t>
      </w:r>
      <w:r w:rsidRPr="00D630D1">
        <w:t>各类用电人员应掌握安全用电基本知识和所用设备的性能</w:t>
      </w:r>
    </w:p>
    <w:p w:rsidR="002C3D53" w:rsidRPr="00D630D1" w:rsidRDefault="002C3D53" w:rsidP="002C3D53">
      <w:pPr>
        <w:pStyle w:val="afa"/>
        <w:ind w:firstLine="480"/>
      </w:pPr>
      <w:r w:rsidRPr="00D630D1">
        <w:rPr>
          <w:rFonts w:ascii="Cambria Math" w:hAnsi="Cambria Math" w:cs="Cambria Math"/>
        </w:rPr>
        <w:t>⑬</w:t>
      </w:r>
      <w:r w:rsidRPr="00D630D1">
        <w:t>施工现场临时用电必须建立安全技术档案，安全技术档案应由主管该现场的电气技术人员负责建立与管理。</w:t>
      </w:r>
    </w:p>
    <w:p w:rsidR="002C3D53" w:rsidRPr="00D630D1" w:rsidRDefault="002C3D53" w:rsidP="002C3D53">
      <w:pPr>
        <w:pStyle w:val="afa"/>
        <w:ind w:firstLine="480"/>
      </w:pPr>
      <w:r w:rsidRPr="00D630D1">
        <w:rPr>
          <w:rFonts w:ascii="Cambria Math" w:hAnsi="Cambria Math" w:cs="Cambria Math"/>
        </w:rPr>
        <w:t>⑭</w:t>
      </w:r>
      <w:r w:rsidRPr="00D630D1">
        <w:t>临时用电工程应定期检查。定期检查时，应复查接地电阻值和绝缘电阻值。临时用电工程定期检查应按分部、分项工程进行，对安全隐患必须及时处理，并应履行复查验收手续。</w:t>
      </w:r>
    </w:p>
    <w:p w:rsidR="002C3D53" w:rsidRPr="00D630D1" w:rsidRDefault="002C3D53" w:rsidP="002C3D53">
      <w:pPr>
        <w:pStyle w:val="afa"/>
        <w:ind w:firstLine="480"/>
      </w:pPr>
      <w:r w:rsidRPr="00D630D1">
        <w:rPr>
          <w:rFonts w:ascii="Cambria Math" w:hAnsi="Cambria Math" w:cs="Cambria Math"/>
        </w:rPr>
        <w:lastRenderedPageBreak/>
        <w:t>⑮</w:t>
      </w:r>
      <w:r w:rsidRPr="00D630D1">
        <w:t>在防爆区域内的用电设备必须满足相关防爆等级及各区域防火等级的要求。</w:t>
      </w:r>
    </w:p>
    <w:p w:rsidR="002C3D53" w:rsidRPr="00D630D1" w:rsidRDefault="002C3D53" w:rsidP="002C3D53">
      <w:pPr>
        <w:pStyle w:val="afa"/>
        <w:ind w:firstLine="480"/>
      </w:pPr>
      <w:r w:rsidRPr="00D630D1">
        <w:rPr>
          <w:rFonts w:ascii="Cambria Math" w:hAnsi="Cambria Math" w:cs="Cambria Math"/>
        </w:rPr>
        <w:t>⑯</w:t>
      </w:r>
      <w:r w:rsidRPr="00D630D1">
        <w:t>施工现场临时用电工程专用的电源中性点直接接地的</w:t>
      </w:r>
      <w:r w:rsidRPr="00D630D1">
        <w:t>220/380V</w:t>
      </w:r>
      <w:r w:rsidRPr="00D630D1">
        <w:t>三相四线制低压电力系统，必须符合下列规定：</w:t>
      </w:r>
    </w:p>
    <w:p w:rsidR="002C3D53" w:rsidRPr="00D630D1" w:rsidRDefault="002C3D53" w:rsidP="002C3D53">
      <w:pPr>
        <w:pStyle w:val="afa"/>
        <w:ind w:firstLine="480"/>
      </w:pPr>
      <w:r w:rsidRPr="00D630D1">
        <w:t>a.</w:t>
      </w:r>
      <w:r w:rsidRPr="00D630D1">
        <w:t>采用三级配电系统；</w:t>
      </w:r>
    </w:p>
    <w:p w:rsidR="002C3D53" w:rsidRPr="00D630D1" w:rsidRDefault="002C3D53" w:rsidP="002C3D53">
      <w:pPr>
        <w:pStyle w:val="afa"/>
        <w:ind w:firstLine="480"/>
      </w:pPr>
      <w:r w:rsidRPr="00D630D1">
        <w:t>b.</w:t>
      </w:r>
      <w:r w:rsidRPr="00D630D1">
        <w:t>采用</w:t>
      </w:r>
      <w:r w:rsidRPr="00D630D1">
        <w:t>TN-S</w:t>
      </w:r>
      <w:r w:rsidRPr="00D630D1">
        <w:t>接零保护系统；</w:t>
      </w:r>
    </w:p>
    <w:p w:rsidR="002C3D53" w:rsidRPr="00D630D1" w:rsidRDefault="002C3D53" w:rsidP="002C3D53">
      <w:pPr>
        <w:pStyle w:val="afa"/>
        <w:ind w:firstLine="480"/>
      </w:pPr>
      <w:r w:rsidRPr="00D630D1">
        <w:t>c.</w:t>
      </w:r>
      <w:r w:rsidRPr="00D630D1">
        <w:t>采用二级漏电保护系统。</w:t>
      </w:r>
    </w:p>
    <w:p w:rsidR="002C3D53" w:rsidRPr="002C3D53" w:rsidRDefault="002C3D53" w:rsidP="00E32DEA">
      <w:pPr>
        <w:pStyle w:val="afa"/>
        <w:ind w:firstLine="480"/>
      </w:pPr>
    </w:p>
    <w:p w:rsidR="00E312B2" w:rsidRPr="00D630D1" w:rsidRDefault="00E312B2" w:rsidP="00E312B2">
      <w:pPr>
        <w:pStyle w:val="3"/>
        <w:rPr>
          <w:rFonts w:eastAsia="宋体"/>
        </w:rPr>
      </w:pPr>
      <w:bookmarkStart w:id="572" w:name="_Toc12288751"/>
      <w:r w:rsidRPr="00D630D1">
        <w:rPr>
          <w:rFonts w:eastAsia="宋体"/>
        </w:rPr>
        <w:t xml:space="preserve">7.9.2 </w:t>
      </w:r>
      <w:r w:rsidR="002C3D53">
        <w:rPr>
          <w:rFonts w:eastAsia="宋体" w:hint="eastAsia"/>
        </w:rPr>
        <w:t>钻井、完井、测试放喷过程风险</w:t>
      </w:r>
      <w:r w:rsidRPr="00D630D1">
        <w:rPr>
          <w:rFonts w:eastAsia="宋体"/>
        </w:rPr>
        <w:t>防范措施</w:t>
      </w:r>
    </w:p>
    <w:bookmarkEnd w:id="572"/>
    <w:p w:rsidR="009C4D29" w:rsidRPr="00D630D1" w:rsidRDefault="001011F2" w:rsidP="009C4D29">
      <w:pPr>
        <w:pStyle w:val="a1"/>
        <w:ind w:firstLine="482"/>
        <w:rPr>
          <w:rFonts w:hAnsi="宋体"/>
          <w:b/>
        </w:rPr>
      </w:pPr>
      <w:r w:rsidRPr="00D630D1">
        <w:rPr>
          <w:rFonts w:hAnsi="宋体" w:hint="eastAsia"/>
          <w:b/>
        </w:rPr>
        <w:t>1、</w:t>
      </w:r>
      <w:r w:rsidR="009C4D29" w:rsidRPr="00D630D1">
        <w:rPr>
          <w:rFonts w:hAnsi="宋体" w:hint="eastAsia"/>
          <w:b/>
        </w:rPr>
        <w:t>风险管理措施</w:t>
      </w:r>
    </w:p>
    <w:p w:rsidR="009C4D29" w:rsidRPr="00D630D1" w:rsidRDefault="001011F2" w:rsidP="009C4D29">
      <w:pPr>
        <w:pStyle w:val="a1"/>
        <w:ind w:firstLine="480"/>
        <w:rPr>
          <w:rFonts w:hAnsi="宋体"/>
        </w:rPr>
      </w:pPr>
      <w:r w:rsidRPr="00D630D1">
        <w:rPr>
          <w:rFonts w:hAnsi="宋体" w:hint="eastAsia"/>
        </w:rPr>
        <w:t>（</w:t>
      </w:r>
      <w:r w:rsidR="009C4D29" w:rsidRPr="00D630D1">
        <w:rPr>
          <w:rFonts w:hAnsi="宋体" w:hint="eastAsia"/>
        </w:rPr>
        <w:t>1）人员防护</w:t>
      </w:r>
    </w:p>
    <w:p w:rsidR="009C4D29" w:rsidRPr="00D630D1" w:rsidRDefault="009C4D29" w:rsidP="009C4D29">
      <w:pPr>
        <w:pStyle w:val="a1"/>
        <w:ind w:firstLine="480"/>
        <w:rPr>
          <w:rFonts w:ascii="Times New Roman" w:cs="Times New Roman"/>
        </w:rPr>
      </w:pPr>
      <w:r w:rsidRPr="00D630D1">
        <w:rPr>
          <w:rFonts w:ascii="Times New Roman" w:hAnsi="宋体" w:cs="Times New Roman"/>
        </w:rPr>
        <w:t>按照</w:t>
      </w:r>
      <w:r w:rsidR="004F074B" w:rsidRPr="004F074B">
        <w:rPr>
          <w:rFonts w:ascii="Times New Roman" w:hAnsi="宋体" w:cs="Times New Roman"/>
        </w:rPr>
        <w:t>、《钻井井控技术规程》（</w:t>
      </w:r>
      <w:r w:rsidR="004F074B" w:rsidRPr="004F074B">
        <w:rPr>
          <w:rFonts w:ascii="Times New Roman" w:hAnsi="宋体" w:cs="Times New Roman"/>
        </w:rPr>
        <w:t>SY/T 6426-2005</w:t>
      </w:r>
      <w:r w:rsidR="004F074B" w:rsidRPr="004F074B">
        <w:rPr>
          <w:rFonts w:ascii="Times New Roman" w:hAnsi="宋体" w:cs="Times New Roman"/>
        </w:rPr>
        <w:t>）、《套管柱试压规范》（</w:t>
      </w:r>
      <w:r w:rsidR="004F074B" w:rsidRPr="004F074B">
        <w:rPr>
          <w:rFonts w:ascii="Times New Roman" w:hAnsi="宋体" w:cs="Times New Roman"/>
        </w:rPr>
        <w:t>SY/T 5467-2007</w:t>
      </w:r>
      <w:r w:rsidR="004F074B" w:rsidRPr="004F074B">
        <w:rPr>
          <w:rFonts w:ascii="Times New Roman" w:hAnsi="宋体" w:cs="Times New Roman"/>
        </w:rPr>
        <w:t>）、《关于印发</w:t>
      </w:r>
      <w:r w:rsidR="004F074B" w:rsidRPr="004F074B">
        <w:rPr>
          <w:rFonts w:ascii="Times New Roman" w:hAnsi="宋体" w:cs="Times New Roman"/>
        </w:rPr>
        <w:t>&lt;</w:t>
      </w:r>
      <w:r w:rsidR="004F074B" w:rsidRPr="004F074B">
        <w:rPr>
          <w:rFonts w:ascii="Times New Roman" w:hAnsi="宋体" w:cs="Times New Roman"/>
        </w:rPr>
        <w:t>中国石化石油与天然气井井控管理规定</w:t>
      </w:r>
      <w:r w:rsidR="004F074B" w:rsidRPr="004F074B">
        <w:rPr>
          <w:rFonts w:ascii="Times New Roman" w:hAnsi="宋体" w:cs="Times New Roman"/>
        </w:rPr>
        <w:t>&gt;</w:t>
      </w:r>
      <w:r w:rsidR="004F074B" w:rsidRPr="004F074B">
        <w:rPr>
          <w:rFonts w:ascii="Times New Roman" w:hAnsi="宋体" w:cs="Times New Roman"/>
        </w:rPr>
        <w:t>的通知》（中国石化安</w:t>
      </w:r>
      <w:r w:rsidR="004F074B" w:rsidRPr="004F074B">
        <w:rPr>
          <w:rFonts w:ascii="Times New Roman" w:hAnsi="宋体" w:cs="Times New Roman"/>
        </w:rPr>
        <w:t>[2011]907</w:t>
      </w:r>
      <w:r w:rsidR="004F074B" w:rsidRPr="004F074B">
        <w:rPr>
          <w:rFonts w:ascii="Times New Roman" w:hAnsi="宋体" w:cs="Times New Roman"/>
        </w:rPr>
        <w:t>号）</w:t>
      </w:r>
      <w:r w:rsidRPr="00D630D1">
        <w:rPr>
          <w:rFonts w:ascii="Times New Roman" w:hAnsi="宋体" w:cs="Times New Roman"/>
        </w:rPr>
        <w:t>及其他相关规范的要求对人员进行培训。在钻井作业前，应进行井喷演习，包括配带防护器具进行井控作业及人员救护等工作。</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2</w:t>
      </w:r>
      <w:r w:rsidR="009C4D29" w:rsidRPr="00D630D1">
        <w:rPr>
          <w:rFonts w:ascii="Times New Roman" w:hAnsi="宋体" w:cs="Times New Roman"/>
        </w:rPr>
        <w:t>）防止井筒渗漏</w:t>
      </w:r>
    </w:p>
    <w:p w:rsidR="009C4D29" w:rsidRPr="00D630D1" w:rsidRDefault="009C4D29" w:rsidP="009C4D29">
      <w:pPr>
        <w:pStyle w:val="a1"/>
        <w:ind w:firstLine="480"/>
        <w:rPr>
          <w:rFonts w:ascii="Times New Roman" w:cs="Times New Roman"/>
        </w:rPr>
      </w:pPr>
      <w:r w:rsidRPr="00D630D1">
        <w:rPr>
          <w:rFonts w:ascii="Times New Roman" w:hAnsi="宋体" w:cs="Times New Roman"/>
        </w:rPr>
        <w:t>钻井的过程中应注意考虑地质构造、钻井工艺，以及井与河流的相对位置等方面的问题，避免出现地层渗漏或者串层等污染事故。</w:t>
      </w:r>
    </w:p>
    <w:p w:rsidR="009C4D29" w:rsidRPr="00D630D1" w:rsidRDefault="009C4D29" w:rsidP="009C4D29">
      <w:pPr>
        <w:pStyle w:val="a1"/>
        <w:ind w:firstLine="480"/>
        <w:rPr>
          <w:rFonts w:ascii="Times New Roman" w:cs="Times New Roman"/>
        </w:rPr>
      </w:pPr>
      <w:r w:rsidRPr="00D630D1">
        <w:rPr>
          <w:rFonts w:ascii="Times New Roman" w:hAnsi="宋体" w:cs="Times New Roman"/>
        </w:rPr>
        <w:t>如果发生地层渗漏或者串层等事故时，需及时采取措施，采用泡沫、稻草设立隔离带对石油类污染物进行拦截，污水采用净水剂净化，用活性炭进行吸附，并及时联合其他各相关部门统一行动，尽可能减少事故带来的环境影响。</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3</w:t>
      </w:r>
      <w:r w:rsidR="009C4D29" w:rsidRPr="00D630D1">
        <w:rPr>
          <w:rFonts w:ascii="Times New Roman" w:hAnsi="宋体" w:cs="Times New Roman"/>
        </w:rPr>
        <w:t>）配备应急点火系统及点火时间、点火管理</w:t>
      </w:r>
    </w:p>
    <w:p w:rsidR="009C4D29" w:rsidRPr="00D630D1" w:rsidRDefault="009C4D29" w:rsidP="009C4D29">
      <w:pPr>
        <w:pStyle w:val="a1"/>
        <w:ind w:firstLine="480"/>
        <w:rPr>
          <w:rFonts w:ascii="Times New Roman" w:cs="Times New Roman"/>
        </w:rPr>
      </w:pPr>
      <w:r w:rsidRPr="00D630D1">
        <w:rPr>
          <w:rFonts w:ascii="Times New Roman" w:hAnsi="宋体" w:cs="Times New Roman"/>
        </w:rPr>
        <w:t>根据中国石化要求，普光气田在发生井喷失控（当封井器关闭后，井口仍有气体喷出）时起，平台经理</w:t>
      </w:r>
      <w:r w:rsidRPr="00D630D1">
        <w:rPr>
          <w:rFonts w:ascii="Times New Roman" w:cs="Times New Roman"/>
        </w:rPr>
        <w:t>15min</w:t>
      </w:r>
      <w:r w:rsidRPr="00D630D1">
        <w:rPr>
          <w:rFonts w:ascii="Times New Roman" w:hAnsi="宋体" w:cs="Times New Roman"/>
        </w:rPr>
        <w:t>内下令实施点火。</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4</w:t>
      </w:r>
      <w:r w:rsidR="009C4D29" w:rsidRPr="00D630D1">
        <w:rPr>
          <w:rFonts w:ascii="Times New Roman" w:hAnsi="宋体" w:cs="Times New Roman"/>
        </w:rPr>
        <w:t>）中途测试对居民的临时撤离</w:t>
      </w:r>
    </w:p>
    <w:p w:rsidR="009C4D29" w:rsidRPr="00D630D1" w:rsidRDefault="009C4D29" w:rsidP="009C4D29">
      <w:pPr>
        <w:pStyle w:val="a1"/>
        <w:ind w:firstLine="480"/>
        <w:rPr>
          <w:rFonts w:ascii="Times New Roman" w:cs="Times New Roman"/>
        </w:rPr>
      </w:pPr>
      <w:r w:rsidRPr="00D630D1">
        <w:rPr>
          <w:rFonts w:ascii="Times New Roman" w:hAnsi="宋体" w:cs="Times New Roman"/>
        </w:rPr>
        <w:t>根据行业标准及井喷事故风险预测结果，在中途测试前应临时撤离周边</w:t>
      </w:r>
      <w:r w:rsidR="004F074B">
        <w:rPr>
          <w:rFonts w:ascii="Times New Roman" w:cs="Times New Roman" w:hint="eastAsia"/>
        </w:rPr>
        <w:t>50</w:t>
      </w:r>
      <w:r w:rsidRPr="00D630D1">
        <w:rPr>
          <w:rFonts w:ascii="Times New Roman" w:cs="Times New Roman"/>
        </w:rPr>
        <w:t>0m</w:t>
      </w:r>
      <w:r w:rsidRPr="00D630D1">
        <w:rPr>
          <w:rFonts w:ascii="Times New Roman" w:hAnsi="宋体" w:cs="Times New Roman"/>
        </w:rPr>
        <w:t>居民至作业完成。</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5</w:t>
      </w:r>
      <w:r w:rsidR="009C4D29" w:rsidRPr="00D630D1">
        <w:rPr>
          <w:rFonts w:ascii="Times New Roman" w:hAnsi="宋体" w:cs="Times New Roman"/>
        </w:rPr>
        <w:t>）对周边居民的风险应急培训、演练、应急撤离设施</w:t>
      </w:r>
    </w:p>
    <w:p w:rsidR="009C4D29" w:rsidRPr="00D630D1" w:rsidRDefault="009C4D29" w:rsidP="009C4D29">
      <w:pPr>
        <w:pStyle w:val="a1"/>
        <w:ind w:firstLine="480"/>
        <w:rPr>
          <w:rFonts w:ascii="Times New Roman" w:cs="Times New Roman"/>
        </w:rPr>
      </w:pPr>
      <w:r w:rsidRPr="00D630D1">
        <w:rPr>
          <w:rFonts w:ascii="Times New Roman" w:hAnsi="宋体" w:cs="Times New Roman"/>
        </w:rPr>
        <w:t>施工单位应主动联系当地政府，对撤离区居民、学校通过发放宣传册普及安</w:t>
      </w:r>
      <w:r w:rsidRPr="00D630D1">
        <w:rPr>
          <w:rFonts w:ascii="Times New Roman" w:hAnsi="宋体" w:cs="Times New Roman"/>
        </w:rPr>
        <w:lastRenderedPageBreak/>
        <w:t>全知识</w:t>
      </w:r>
      <w:r w:rsidR="004F074B">
        <w:rPr>
          <w:rFonts w:ascii="Times New Roman" w:hAnsi="宋体" w:cs="Times New Roman" w:hint="eastAsia"/>
        </w:rPr>
        <w:t>和</w:t>
      </w:r>
      <w:r w:rsidRPr="00D630D1">
        <w:rPr>
          <w:rFonts w:ascii="Times New Roman" w:hAnsi="宋体" w:cs="Times New Roman"/>
        </w:rPr>
        <w:t>防范应急救护措施。</w:t>
      </w:r>
    </w:p>
    <w:p w:rsidR="009C4D29" w:rsidRPr="00D630D1" w:rsidRDefault="009C4D29" w:rsidP="009C4D29">
      <w:pPr>
        <w:pStyle w:val="a1"/>
        <w:ind w:firstLine="480"/>
        <w:rPr>
          <w:rFonts w:ascii="Times New Roman" w:cs="Times New Roman"/>
        </w:rPr>
      </w:pPr>
      <w:r w:rsidRPr="00D630D1">
        <w:rPr>
          <w:rFonts w:ascii="Times New Roman" w:hAnsi="宋体" w:cs="Times New Roman"/>
        </w:rPr>
        <w:t>钻井井场明显位置设风向标，以便及时有效通知周边居民。远处居民在预案中确定有应急组织机构组织撤离。</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6</w:t>
      </w:r>
      <w:r w:rsidR="009C4D29" w:rsidRPr="00D630D1">
        <w:rPr>
          <w:rFonts w:ascii="Times New Roman" w:hAnsi="宋体" w:cs="Times New Roman"/>
        </w:rPr>
        <w:t>）钻井风险监控、报警措施</w:t>
      </w:r>
    </w:p>
    <w:p w:rsidR="009C4D29" w:rsidRPr="00D630D1" w:rsidRDefault="009C4D29" w:rsidP="009C4D29">
      <w:pPr>
        <w:pStyle w:val="a1"/>
        <w:ind w:firstLine="480"/>
        <w:rPr>
          <w:rFonts w:ascii="Times New Roman" w:cs="Times New Roman"/>
        </w:rPr>
      </w:pPr>
      <w:r w:rsidRPr="00D630D1">
        <w:rPr>
          <w:rFonts w:ascii="Times New Roman" w:hAnsi="宋体" w:cs="Times New Roman"/>
        </w:rPr>
        <w:t>井场钻开气层前通知宣汉县人民医院、消防队各方面救援保障力量以及钻井队主管部门及应急救援单位。应落实和当地政府和医院、消防部门取得联系；一旦发生井涌、井喷，及时报警。与各单位、部门的报警联系主要采用值班专用通信电话和手机。</w:t>
      </w:r>
    </w:p>
    <w:p w:rsidR="009C4D29" w:rsidRPr="00D630D1" w:rsidRDefault="001011F2" w:rsidP="009C4D29">
      <w:pPr>
        <w:pStyle w:val="a1"/>
        <w:ind w:firstLine="482"/>
        <w:rPr>
          <w:rFonts w:ascii="Times New Roman" w:cs="Times New Roman"/>
          <w:b/>
        </w:rPr>
      </w:pPr>
      <w:r w:rsidRPr="00D630D1">
        <w:rPr>
          <w:rFonts w:ascii="Times New Roman" w:hAnsi="宋体" w:cs="Times New Roman" w:hint="eastAsia"/>
          <w:b/>
        </w:rPr>
        <w:t>2</w:t>
      </w:r>
      <w:r w:rsidRPr="00D630D1">
        <w:rPr>
          <w:rFonts w:ascii="Times New Roman" w:hAnsi="宋体" w:cs="Times New Roman" w:hint="eastAsia"/>
          <w:b/>
        </w:rPr>
        <w:t>、</w:t>
      </w:r>
      <w:r w:rsidR="009C4D29" w:rsidRPr="00D630D1">
        <w:rPr>
          <w:rFonts w:ascii="Times New Roman" w:hAnsi="宋体" w:cs="Times New Roman"/>
          <w:b/>
        </w:rPr>
        <w:t>预防井漏风险防范措施</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1</w:t>
      </w:r>
      <w:r w:rsidR="009C4D29" w:rsidRPr="00D630D1">
        <w:rPr>
          <w:rFonts w:ascii="Times New Roman" w:hAnsi="宋体" w:cs="Times New Roman"/>
        </w:rPr>
        <w:t>）根据设计和地层预告，钻遇可能井漏层井段前，做好预防和处理井漏时的思想、组织、物资准备，备有足够的钻井液（密度与钻井泥浆同）、水、堵漏、配浆材料、处理剂，及相应配、供浆设施，保证防爆、灵活好用、功能齐全、使用可靠（包括灌浆管线，配浆泵等）。</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2</w:t>
      </w:r>
      <w:r w:rsidR="009C4D29" w:rsidRPr="00D630D1">
        <w:rPr>
          <w:rFonts w:ascii="Times New Roman" w:hAnsi="宋体" w:cs="Times New Roman"/>
        </w:rPr>
        <w:t>）在钻进过程中，调整好钻井液性能，钻井液密度应尽可能控制在设计下限，采用近平衡压力钻井技术，以防止或减少井漏的发生。</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3</w:t>
      </w:r>
      <w:r w:rsidR="009C4D29" w:rsidRPr="00D630D1">
        <w:rPr>
          <w:rFonts w:ascii="Times New Roman" w:hAnsi="宋体" w:cs="Times New Roman"/>
        </w:rPr>
        <w:t>）钻遇漏失井段前，要提前准备好随钻堵漏材料，按设计要求处理好钻井液性能，并准备随时加入堵漏材料。</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4</w:t>
      </w:r>
      <w:r w:rsidR="009C4D29" w:rsidRPr="00D630D1">
        <w:rPr>
          <w:rFonts w:ascii="Times New Roman" w:hAnsi="宋体" w:cs="Times New Roman"/>
        </w:rPr>
        <w:t>）在能满足井眼净化前提下，尽量采用小排量钻进，以降低环空循环压耗，减少或减轻井漏。</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5</w:t>
      </w:r>
      <w:r w:rsidR="009C4D29" w:rsidRPr="00D630D1">
        <w:rPr>
          <w:rFonts w:ascii="Times New Roman" w:hAnsi="宋体" w:cs="Times New Roman"/>
        </w:rPr>
        <w:t>）下钻要控制速度，井深超过</w:t>
      </w:r>
      <w:r w:rsidR="009C4D29" w:rsidRPr="00D630D1">
        <w:rPr>
          <w:rFonts w:ascii="Times New Roman" w:cs="Times New Roman"/>
        </w:rPr>
        <w:t>500m</w:t>
      </w:r>
      <w:r w:rsidR="009C4D29" w:rsidRPr="00D630D1">
        <w:rPr>
          <w:rFonts w:ascii="Times New Roman" w:hAnsi="宋体" w:cs="Times New Roman"/>
        </w:rPr>
        <w:t>以后要启动辅助刹车系统，每下一柱不能少于</w:t>
      </w:r>
      <w:r w:rsidR="009C4D29" w:rsidRPr="00D630D1">
        <w:rPr>
          <w:rFonts w:ascii="Times New Roman" w:cs="Times New Roman"/>
        </w:rPr>
        <w:t>30s</w:t>
      </w:r>
      <w:r w:rsidR="009C4D29" w:rsidRPr="00D630D1">
        <w:rPr>
          <w:rFonts w:ascii="Times New Roman" w:hAnsi="宋体" w:cs="Times New Roman"/>
        </w:rPr>
        <w:t>，防止下钻速度快产生激动压力过大压漏地层。下钻过程中要分段循环钻井液，切不可一次下钻到底再开泵循环。开泵要缓慢，长时间静止后注意分段循环，在套管鞋以下每下</w:t>
      </w:r>
      <w:r w:rsidR="009C4D29" w:rsidRPr="00D630D1">
        <w:rPr>
          <w:rFonts w:ascii="Times New Roman" w:cs="Times New Roman"/>
        </w:rPr>
        <w:t>10</w:t>
      </w:r>
      <w:r w:rsidR="009C4D29" w:rsidRPr="00D630D1">
        <w:rPr>
          <w:rFonts w:ascii="Times New Roman" w:hAnsi="宋体" w:cs="Times New Roman"/>
        </w:rPr>
        <w:t>立柱钻具应开泵循环钻井液</w:t>
      </w:r>
      <w:r w:rsidR="009C4D29" w:rsidRPr="00D630D1">
        <w:rPr>
          <w:rFonts w:ascii="Times New Roman" w:cs="Times New Roman"/>
        </w:rPr>
        <w:t>10min</w:t>
      </w:r>
      <w:r w:rsidR="009C4D29" w:rsidRPr="00D630D1">
        <w:rPr>
          <w:rFonts w:ascii="Times New Roman" w:hAnsi="宋体" w:cs="Times New Roman"/>
        </w:rPr>
        <w:t>～</w:t>
      </w:r>
      <w:r w:rsidR="009C4D29" w:rsidRPr="00D630D1">
        <w:rPr>
          <w:rFonts w:ascii="Times New Roman" w:cs="Times New Roman"/>
        </w:rPr>
        <w:t>15min</w:t>
      </w:r>
      <w:r w:rsidR="009C4D29" w:rsidRPr="00D630D1">
        <w:rPr>
          <w:rFonts w:ascii="Times New Roman" w:hAnsi="宋体" w:cs="Times New Roman"/>
        </w:rPr>
        <w:t>。开泵循环钻井液时，应采用</w:t>
      </w:r>
      <w:r w:rsidR="009C4D29" w:rsidRPr="00D630D1">
        <w:rPr>
          <w:rFonts w:ascii="Times New Roman" w:cs="Times New Roman"/>
        </w:rPr>
        <w:t>“</w:t>
      </w:r>
      <w:r w:rsidR="009C4D29" w:rsidRPr="00D630D1">
        <w:rPr>
          <w:rFonts w:ascii="Times New Roman" w:hAnsi="宋体" w:cs="Times New Roman"/>
        </w:rPr>
        <w:t>先转动后开泵</w:t>
      </w:r>
      <w:r w:rsidR="009C4D29" w:rsidRPr="00D630D1">
        <w:rPr>
          <w:rFonts w:ascii="Times New Roman" w:cs="Times New Roman"/>
        </w:rPr>
        <w:t>”</w:t>
      </w:r>
      <w:r w:rsidR="009C4D29" w:rsidRPr="00D630D1">
        <w:rPr>
          <w:rFonts w:ascii="Times New Roman" w:hAnsi="宋体" w:cs="Times New Roman"/>
        </w:rPr>
        <w:t>的操作程序，以避免因瞬时激动压力过大而引起井漏。</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6</w:t>
      </w:r>
      <w:r w:rsidR="009C4D29" w:rsidRPr="00D630D1">
        <w:rPr>
          <w:rFonts w:ascii="Times New Roman" w:hAnsi="宋体" w:cs="Times New Roman"/>
        </w:rPr>
        <w:t>）坐岗观察及时发现井漏并能准确提供漏失情况和漏失量大小并确定明确的井漏报警信号。</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7</w:t>
      </w:r>
      <w:r w:rsidR="009C4D29" w:rsidRPr="00D630D1">
        <w:rPr>
          <w:rFonts w:ascii="Times New Roman" w:hAnsi="宋体" w:cs="Times New Roman"/>
        </w:rPr>
        <w:t>）非目的层及油层套管固井前，钻井中发生井漏，有条件应起钻完，先下入光钻杆堵漏；起钻、下钻、注水泥后皆应反灌钻井液，平衡地层压力，防止井</w:t>
      </w:r>
      <w:r w:rsidR="009C4D29" w:rsidRPr="00D630D1">
        <w:rPr>
          <w:rFonts w:ascii="Times New Roman" w:hAnsi="宋体" w:cs="Times New Roman"/>
        </w:rPr>
        <w:lastRenderedPageBreak/>
        <w:t>喷。</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8</w:t>
      </w:r>
      <w:r w:rsidR="009C4D29" w:rsidRPr="00D630D1">
        <w:rPr>
          <w:rFonts w:ascii="Times New Roman" w:hAnsi="宋体" w:cs="Times New Roman"/>
        </w:rPr>
        <w:t>）钻井中发生井漏，根据正循环漏速及反灌钻井液漏速（即反灌与正循环漏速相同、漏速减小、不漏），分别采取处理措施，应考虑井喷、钻具安全。</w:t>
      </w:r>
    </w:p>
    <w:p w:rsidR="009C4D29" w:rsidRPr="00D630D1" w:rsidRDefault="001011F2" w:rsidP="009C4D29">
      <w:pPr>
        <w:pStyle w:val="a1"/>
        <w:ind w:firstLine="482"/>
        <w:rPr>
          <w:rFonts w:ascii="Times New Roman" w:cs="Times New Roman"/>
          <w:b/>
        </w:rPr>
      </w:pPr>
      <w:r w:rsidRPr="00D630D1">
        <w:rPr>
          <w:rFonts w:ascii="Times New Roman" w:hAnsi="宋体" w:cs="Times New Roman" w:hint="eastAsia"/>
          <w:b/>
        </w:rPr>
        <w:t>3</w:t>
      </w:r>
      <w:r w:rsidRPr="00D630D1">
        <w:rPr>
          <w:rFonts w:ascii="Times New Roman" w:hAnsi="宋体" w:cs="Times New Roman" w:hint="eastAsia"/>
          <w:b/>
        </w:rPr>
        <w:t>、</w:t>
      </w:r>
      <w:r w:rsidR="009C4D29" w:rsidRPr="00D630D1">
        <w:rPr>
          <w:rFonts w:ascii="Times New Roman" w:cs="Times New Roman"/>
          <w:b/>
        </w:rPr>
        <w:t>井涌、井喷防范措施</w:t>
      </w:r>
    </w:p>
    <w:p w:rsidR="009C4D29" w:rsidRPr="00D630D1" w:rsidRDefault="009C4D29" w:rsidP="009C4D29">
      <w:pPr>
        <w:pStyle w:val="a1"/>
        <w:ind w:firstLine="480"/>
        <w:rPr>
          <w:rFonts w:ascii="Times New Roman" w:cs="Times New Roman"/>
        </w:rPr>
      </w:pPr>
      <w:r w:rsidRPr="00D630D1">
        <w:rPr>
          <w:rFonts w:ascii="Times New Roman" w:hAnsi="宋体" w:cs="Times New Roman"/>
        </w:rPr>
        <w:t>任何情况下，只要发现溢流，立即关井；关井采用硬关井的方式；压井采用司钻压井法压井。</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1</w:t>
      </w:r>
      <w:r w:rsidR="009C4D29" w:rsidRPr="00D630D1">
        <w:rPr>
          <w:rFonts w:ascii="Times New Roman" w:hAnsi="宋体" w:cs="Times New Roman"/>
        </w:rPr>
        <w:t>）加强地质分析，及时提出可靠的地层预报，尤其是对高压层上部盖层的预报，打开高压气层前</w:t>
      </w:r>
      <w:r w:rsidR="009C4D29" w:rsidRPr="00D630D1">
        <w:rPr>
          <w:rFonts w:ascii="Times New Roman" w:cs="Times New Roman"/>
        </w:rPr>
        <w:t>100m</w:t>
      </w:r>
      <w:r w:rsidR="009C4D29" w:rsidRPr="00D630D1">
        <w:rPr>
          <w:rFonts w:ascii="Times New Roman" w:hAnsi="宋体" w:cs="Times New Roman"/>
        </w:rPr>
        <w:t>，做好设备工具、人员思想、技术安全措施、井口装置、队伍组织和器材设施的配套检查落实。</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2</w:t>
      </w:r>
      <w:r w:rsidR="009C4D29" w:rsidRPr="00D630D1">
        <w:rPr>
          <w:rFonts w:ascii="Times New Roman" w:hAnsi="宋体" w:cs="Times New Roman"/>
        </w:rPr>
        <w:t>）全井坐岗观察循环罐液面，及时发现溢流并汇报，确保在钻井全过程中不发生井喷。</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3</w:t>
      </w:r>
      <w:r w:rsidR="009C4D29" w:rsidRPr="00D630D1">
        <w:rPr>
          <w:rFonts w:ascii="Times New Roman" w:hAnsi="宋体" w:cs="Times New Roman"/>
        </w:rPr>
        <w:t>）钻井液密度在地层压力的基础上按标准附加。</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4</w:t>
      </w:r>
      <w:r w:rsidR="009C4D29" w:rsidRPr="00D630D1">
        <w:rPr>
          <w:rFonts w:ascii="Times New Roman" w:hAnsi="宋体" w:cs="Times New Roman"/>
        </w:rPr>
        <w:t>）配置、安装、试压、使用、维护、保养好井控装备。根据地质预报或邻井资料，在进入预计高压油气层前，对地面设备、循环系统、钻井液枪、混合漏斗、搅拌器等进行全面检查，保证运转正常。</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5</w:t>
      </w:r>
      <w:r w:rsidR="009C4D29" w:rsidRPr="00D630D1">
        <w:rPr>
          <w:rFonts w:ascii="Times New Roman" w:hAnsi="宋体" w:cs="Times New Roman"/>
        </w:rPr>
        <w:t>）落实井队班组井控岗位分工，明确职责。</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6</w:t>
      </w:r>
      <w:r w:rsidR="009C4D29" w:rsidRPr="00D630D1">
        <w:rPr>
          <w:rFonts w:ascii="Times New Roman" w:hAnsi="宋体" w:cs="Times New Roman"/>
        </w:rPr>
        <w:t>）井场必须按设计储备重钻井液和加重材料，重浆储备罐上安装搅拌器、钻井液枪，并挂牌明示，定期搅拌，保证性能稳定。</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7</w:t>
      </w:r>
      <w:r w:rsidR="009C4D29" w:rsidRPr="00D630D1">
        <w:rPr>
          <w:rFonts w:ascii="Times New Roman" w:hAnsi="宋体" w:cs="Times New Roman"/>
        </w:rPr>
        <w:t>）根据地层承压能力实验，确定允许最大关井压力及当量钻井液密度。确定压井时，根据关井压力确定压井钻井液密度，用保护油气层加重剂压井，要防止压漏。开启除气器、搅拌机、钻井液枪排气。达到停泵后井口不外溢，起钻灌好钻井液，下钻进行分段循环，观察油气上窜速度。</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8</w:t>
      </w:r>
      <w:r w:rsidR="009C4D29" w:rsidRPr="00D630D1">
        <w:rPr>
          <w:rFonts w:ascii="Times New Roman" w:hAnsi="宋体" w:cs="Times New Roman"/>
        </w:rPr>
        <w:t>）经施工单位的上级主管部门验收合格后报业主方验收，接到开钻通知书后方可钻开主要油气层。。</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9</w:t>
      </w:r>
      <w:r w:rsidR="009C4D29" w:rsidRPr="00D630D1">
        <w:rPr>
          <w:rFonts w:ascii="Times New Roman" w:hAnsi="宋体" w:cs="Times New Roman"/>
        </w:rPr>
        <w:t>）钻开油气层期间，坚持</w:t>
      </w:r>
      <w:r w:rsidR="009C4D29" w:rsidRPr="00D630D1">
        <w:rPr>
          <w:rFonts w:ascii="Times New Roman" w:cs="Times New Roman"/>
        </w:rPr>
        <w:t>24h</w:t>
      </w:r>
      <w:r w:rsidR="009C4D29" w:rsidRPr="00D630D1">
        <w:rPr>
          <w:rFonts w:ascii="Times New Roman" w:hAnsi="宋体" w:cs="Times New Roman"/>
        </w:rPr>
        <w:t>必须有井队干部值班，定岗、定人认真观察钻进、起下钻和其他作业时的钻井液出口及钻井液池液面的变化情况，取全取准资料，发现异常情况立即报告司钻和值班干部并立即采取必要的措施。</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10</w:t>
      </w:r>
      <w:r w:rsidR="009C4D29" w:rsidRPr="00D630D1">
        <w:rPr>
          <w:rFonts w:ascii="Times New Roman" w:hAnsi="宋体" w:cs="Times New Roman"/>
        </w:rPr>
        <w:t>）油气层钻井作业中，应采取低速起钻，下钻时下放速度不宜过快，以减少抽吸和压力激动，每起</w:t>
      </w:r>
      <w:r w:rsidR="009C4D29" w:rsidRPr="00D630D1">
        <w:rPr>
          <w:rFonts w:ascii="Times New Roman" w:cs="Times New Roman"/>
        </w:rPr>
        <w:t>1</w:t>
      </w:r>
      <w:r w:rsidR="009C4D29" w:rsidRPr="00D630D1">
        <w:rPr>
          <w:rFonts w:ascii="Times New Roman" w:hAnsi="宋体" w:cs="Times New Roman"/>
        </w:rPr>
        <w:t>柱钻杆，必须灌满钻井液一次，钻井液工做好记录，</w:t>
      </w:r>
      <w:r w:rsidR="009C4D29" w:rsidRPr="00D630D1">
        <w:rPr>
          <w:rFonts w:ascii="Times New Roman" w:hAnsi="宋体" w:cs="Times New Roman"/>
        </w:rPr>
        <w:lastRenderedPageBreak/>
        <w:t>及时校对，保证灌满井眼，下钻时，应认真记录返出量，发现异常，立即报告司钻和值班干部，查明原因，正确处理。</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11</w:t>
      </w:r>
      <w:r w:rsidR="009C4D29" w:rsidRPr="00D630D1">
        <w:rPr>
          <w:rFonts w:ascii="Times New Roman" w:hAnsi="宋体" w:cs="Times New Roman"/>
        </w:rPr>
        <w:t>）检修设备应安排在下钻到套管鞋时进行，并在钻柱上装钻具回压阀。</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12</w:t>
      </w:r>
      <w:r w:rsidR="009C4D29" w:rsidRPr="00D630D1">
        <w:rPr>
          <w:rFonts w:ascii="Times New Roman" w:hAnsi="宋体" w:cs="Times New Roman"/>
        </w:rPr>
        <w:t>）电测前井下情况必须正常、稳定，电测时应准备</w:t>
      </w:r>
      <w:r w:rsidR="009C4D29" w:rsidRPr="00D630D1">
        <w:rPr>
          <w:rFonts w:ascii="Times New Roman" w:cs="Times New Roman"/>
        </w:rPr>
        <w:t>1</w:t>
      </w:r>
      <w:r w:rsidR="009C4D29" w:rsidRPr="00D630D1">
        <w:rPr>
          <w:rFonts w:ascii="Times New Roman" w:hAnsi="宋体" w:cs="Times New Roman"/>
        </w:rPr>
        <w:t>柱带钻具回压阀的钻杆，以备井内异常时强行下入控制井口。</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13</w:t>
      </w:r>
      <w:r w:rsidR="009C4D29" w:rsidRPr="00D630D1">
        <w:rPr>
          <w:rFonts w:ascii="Times New Roman" w:hAnsi="宋体" w:cs="Times New Roman"/>
        </w:rPr>
        <w:t>）在油气层中钻进时</w:t>
      </w:r>
      <w:r w:rsidR="009C4D29" w:rsidRPr="00D630D1">
        <w:rPr>
          <w:rFonts w:ascii="Times New Roman" w:cs="Times New Roman"/>
        </w:rPr>
        <w:t xml:space="preserve"> </w:t>
      </w:r>
      <w:r w:rsidR="009C4D29" w:rsidRPr="00D630D1">
        <w:rPr>
          <w:rFonts w:ascii="Times New Roman" w:hAnsi="宋体" w:cs="Times New Roman"/>
        </w:rPr>
        <w:t>，坚持使用液面报警器，钻井、钻井液、录井三岗联座观察液面，每</w:t>
      </w:r>
      <w:r w:rsidR="009C4D29" w:rsidRPr="00D630D1">
        <w:rPr>
          <w:rFonts w:ascii="Times New Roman" w:cs="Times New Roman"/>
        </w:rPr>
        <w:t>15min</w:t>
      </w:r>
      <w:r w:rsidR="009C4D29" w:rsidRPr="00D630D1">
        <w:rPr>
          <w:rFonts w:ascii="Times New Roman" w:hAnsi="宋体" w:cs="Times New Roman"/>
        </w:rPr>
        <w:t>记录钻井液池液面一次，若遇特殊情况应</w:t>
      </w:r>
      <w:r w:rsidR="009C4D29" w:rsidRPr="00D630D1">
        <w:rPr>
          <w:rFonts w:ascii="Times New Roman" w:cs="Times New Roman"/>
        </w:rPr>
        <w:t>3min</w:t>
      </w:r>
      <w:r w:rsidR="009C4D29" w:rsidRPr="00D630D1">
        <w:rPr>
          <w:rFonts w:ascii="Times New Roman" w:hAnsi="宋体" w:cs="Times New Roman"/>
        </w:rPr>
        <w:t>～</w:t>
      </w:r>
      <w:r w:rsidR="009C4D29" w:rsidRPr="00D630D1">
        <w:rPr>
          <w:rFonts w:ascii="Times New Roman" w:cs="Times New Roman"/>
        </w:rPr>
        <w:t>5min</w:t>
      </w:r>
      <w:r w:rsidR="009C4D29" w:rsidRPr="00D630D1">
        <w:rPr>
          <w:rFonts w:ascii="Times New Roman" w:hAnsi="宋体" w:cs="Times New Roman"/>
        </w:rPr>
        <w:t>观察一次出口钻井液池液面变化，发现溢流及时汇报，严格控制溢流量，关井按照</w:t>
      </w:r>
      <w:r w:rsidR="009C4D29" w:rsidRPr="00D630D1">
        <w:rPr>
          <w:rFonts w:ascii="Times New Roman" w:cs="Times New Roman"/>
        </w:rPr>
        <w:t>“</w:t>
      </w:r>
      <w:r w:rsidR="009C4D29" w:rsidRPr="00D630D1">
        <w:rPr>
          <w:rFonts w:ascii="Times New Roman" w:hAnsi="宋体" w:cs="Times New Roman"/>
        </w:rPr>
        <w:t>四</w:t>
      </w:r>
      <w:r w:rsidR="009C4D29" w:rsidRPr="00D630D1">
        <w:rPr>
          <w:rFonts w:ascii="Times New Roman" w:eastAsia="MS Mincho" w:cs="Times New Roman"/>
        </w:rPr>
        <w:t>∙</w:t>
      </w:r>
      <w:r w:rsidR="009C4D29" w:rsidRPr="00D630D1">
        <w:rPr>
          <w:rFonts w:ascii="Times New Roman" w:hAnsi="宋体" w:cs="Times New Roman"/>
        </w:rPr>
        <w:t>七</w:t>
      </w:r>
      <w:r w:rsidR="009C4D29" w:rsidRPr="00D630D1">
        <w:rPr>
          <w:rFonts w:ascii="Times New Roman" w:cs="Times New Roman"/>
        </w:rPr>
        <w:t>”</w:t>
      </w:r>
      <w:r w:rsidR="009C4D29" w:rsidRPr="00D630D1">
        <w:rPr>
          <w:rFonts w:ascii="Times New Roman" w:hAnsi="宋体" w:cs="Times New Roman"/>
        </w:rPr>
        <w:t>动作要求组织实施。关井后观察立管和套管压力，及时报告队长和钻井技术员，采取正确方法压井，待井内恢复正常后，才可恢复钻进。</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14</w:t>
      </w:r>
      <w:r w:rsidR="009C4D29" w:rsidRPr="00D630D1">
        <w:rPr>
          <w:rFonts w:ascii="Times New Roman" w:hAnsi="宋体" w:cs="Times New Roman"/>
        </w:rPr>
        <w:t>）钻开油气层前，坚持每只钻头、每天作低泵速试验，记录井深、密度、泵压、排量。</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15</w:t>
      </w:r>
      <w:r w:rsidR="009C4D29" w:rsidRPr="00D630D1">
        <w:rPr>
          <w:rFonts w:ascii="Times New Roman" w:hAnsi="宋体" w:cs="Times New Roman"/>
        </w:rPr>
        <w:t>）钻开主要产层遇有井漏，井漏显示的当只钻头，以及特殊作业之前均应短程起下钻，以</w:t>
      </w:r>
      <w:r w:rsidR="009C4D29" w:rsidRPr="00D630D1">
        <w:rPr>
          <w:rFonts w:ascii="Times New Roman" w:cs="Times New Roman"/>
        </w:rPr>
        <w:t>10</w:t>
      </w:r>
      <w:r w:rsidR="009C4D29" w:rsidRPr="00D630D1">
        <w:rPr>
          <w:rFonts w:ascii="Times New Roman" w:hAnsi="宋体" w:cs="Times New Roman"/>
        </w:rPr>
        <w:t>～</w:t>
      </w:r>
      <w:r w:rsidR="009C4D29" w:rsidRPr="00D630D1">
        <w:rPr>
          <w:rFonts w:ascii="Times New Roman" w:cs="Times New Roman"/>
        </w:rPr>
        <w:t>15</w:t>
      </w:r>
      <w:r w:rsidR="009C4D29" w:rsidRPr="00D630D1">
        <w:rPr>
          <w:rFonts w:ascii="Times New Roman" w:hAnsi="宋体" w:cs="Times New Roman"/>
        </w:rPr>
        <w:t>立柱为宜；如果气侵严重，可调整钻井液密度平衡地层压力。</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16</w:t>
      </w:r>
      <w:r w:rsidR="009C4D29" w:rsidRPr="00D630D1">
        <w:rPr>
          <w:rFonts w:ascii="Times New Roman" w:hAnsi="宋体" w:cs="Times New Roman"/>
        </w:rPr>
        <w:t>）油气水层钻进中，应用大水眼钻头并使用旁通阀，不可以使用动力钻具，以利于加重钻井液，压井和堵漏等工艺的实施。</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17</w:t>
      </w:r>
      <w:r w:rsidR="009C4D29" w:rsidRPr="00D630D1">
        <w:rPr>
          <w:rFonts w:ascii="Times New Roman" w:hAnsi="宋体" w:cs="Times New Roman"/>
        </w:rPr>
        <w:t>）任何时候发现溢流应按井控</w:t>
      </w:r>
      <w:r w:rsidR="009C4D29" w:rsidRPr="00D630D1">
        <w:rPr>
          <w:rFonts w:ascii="Times New Roman" w:cs="Times New Roman"/>
        </w:rPr>
        <w:t>“</w:t>
      </w:r>
      <w:r w:rsidR="009C4D29" w:rsidRPr="00D630D1">
        <w:rPr>
          <w:rFonts w:ascii="Times New Roman" w:hAnsi="宋体" w:cs="Times New Roman"/>
        </w:rPr>
        <w:t>四</w:t>
      </w:r>
      <w:r w:rsidR="009C4D29" w:rsidRPr="00D630D1">
        <w:rPr>
          <w:rFonts w:ascii="Times New Roman" w:eastAsia="MS Mincho" w:cs="Times New Roman"/>
        </w:rPr>
        <w:t>∙</w:t>
      </w:r>
      <w:r w:rsidR="009C4D29" w:rsidRPr="00D630D1">
        <w:rPr>
          <w:rFonts w:ascii="Times New Roman" w:hAnsi="宋体" w:cs="Times New Roman"/>
        </w:rPr>
        <w:t>七</w:t>
      </w:r>
      <w:r w:rsidR="009C4D29" w:rsidRPr="00D630D1">
        <w:rPr>
          <w:rFonts w:ascii="Times New Roman" w:cs="Times New Roman"/>
        </w:rPr>
        <w:t>”</w:t>
      </w:r>
      <w:r w:rsidR="009C4D29" w:rsidRPr="00D630D1">
        <w:rPr>
          <w:rFonts w:ascii="Times New Roman" w:hAnsi="宋体" w:cs="Times New Roman"/>
        </w:rPr>
        <w:t>动作控制井口，根据关井压力确定压井液密度，尽快按压井程序压井。严禁循环观察、钻进观察、静止观察等违章现象发生。</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18</w:t>
      </w:r>
      <w:r w:rsidR="009C4D29" w:rsidRPr="00D630D1">
        <w:rPr>
          <w:rFonts w:ascii="Times New Roman" w:hAnsi="宋体" w:cs="Times New Roman"/>
        </w:rPr>
        <w:t>）避免长时间关井，在等候加重或在加重过程中，要间断注高密度钻井液，同时，用节流管汇控制回压，保持井底压力略大于地层压力状态下排放钻井液。若等候时间长，则应及时实施司钻法第一步，排除污染，防止井口压力过高。井口压力过高时应特别注意这项工作。</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19</w:t>
      </w:r>
      <w:r w:rsidR="009C4D29" w:rsidRPr="00D630D1">
        <w:rPr>
          <w:rFonts w:ascii="Times New Roman" w:hAnsi="宋体" w:cs="Times New Roman"/>
        </w:rPr>
        <w:t>）油气井钻井作业中应密切注意十五种显示。做到及时发现，迅速关井。</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20</w:t>
      </w:r>
      <w:r w:rsidR="009C4D29" w:rsidRPr="00D630D1">
        <w:rPr>
          <w:rFonts w:ascii="Times New Roman" w:hAnsi="宋体" w:cs="Times New Roman"/>
        </w:rPr>
        <w:t>）控制住井口后，应对井控装置主体及节流压井管汇、远程控制台等部位详细检查，如井口压力接近或达到井控装置、套管、地层破裂压力三者中压力最低的极限值，应放喷泄压，放喷天然气须烧掉，防止与空气混合发生爆炸。</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21</w:t>
      </w:r>
      <w:r w:rsidR="009C4D29" w:rsidRPr="00D630D1">
        <w:rPr>
          <w:rFonts w:ascii="Times New Roman" w:hAnsi="宋体" w:cs="Times New Roman"/>
        </w:rPr>
        <w:t>）确定明确的井喷报警信号。</w:t>
      </w:r>
    </w:p>
    <w:p w:rsidR="009C4D29" w:rsidRPr="00D630D1" w:rsidRDefault="001011F2" w:rsidP="009C4D29">
      <w:pPr>
        <w:pStyle w:val="a1"/>
        <w:ind w:firstLine="480"/>
        <w:rPr>
          <w:rFonts w:ascii="Times New Roman" w:cs="Times New Roman"/>
        </w:rPr>
      </w:pPr>
      <w:r w:rsidRPr="00D630D1">
        <w:rPr>
          <w:rFonts w:hAnsi="宋体" w:hint="eastAsia"/>
        </w:rPr>
        <w:lastRenderedPageBreak/>
        <w:t>（</w:t>
      </w:r>
      <w:r w:rsidR="009C4D29" w:rsidRPr="00D630D1">
        <w:rPr>
          <w:rFonts w:ascii="Times New Roman" w:cs="Times New Roman"/>
        </w:rPr>
        <w:t>22</w:t>
      </w:r>
      <w:r w:rsidR="009C4D29" w:rsidRPr="00D630D1">
        <w:rPr>
          <w:rFonts w:ascii="Times New Roman" w:hAnsi="宋体" w:cs="Times New Roman"/>
        </w:rPr>
        <w:t>）加重压井作业不得在钻进过程中实施。</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23</w:t>
      </w:r>
      <w:r w:rsidR="009C4D29" w:rsidRPr="00D630D1">
        <w:rPr>
          <w:rFonts w:ascii="Times New Roman" w:hAnsi="宋体" w:cs="Times New Roman"/>
        </w:rPr>
        <w:t>）起钻前必须采取措施证实井已压稳、有安全的起下钻时间。</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24</w:t>
      </w:r>
      <w:r w:rsidR="009C4D29" w:rsidRPr="00D630D1">
        <w:rPr>
          <w:rFonts w:ascii="Times New Roman" w:hAnsi="宋体" w:cs="Times New Roman"/>
        </w:rPr>
        <w:t>）在排气口、放喷口设置自动和手动点火装置，先点火、后放气，在可能放气期间在排气口应设置长明火；钻开油气层前，应进行点火演练。</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25</w:t>
      </w:r>
      <w:r w:rsidR="009C4D29" w:rsidRPr="00D630D1">
        <w:rPr>
          <w:rFonts w:ascii="Times New Roman" w:hAnsi="宋体" w:cs="Times New Roman"/>
        </w:rPr>
        <w:t>）除气器排气管线必须接出井场，出口置于安全区域。</w:t>
      </w:r>
    </w:p>
    <w:p w:rsidR="009C4D29" w:rsidRPr="00D630D1" w:rsidRDefault="001011F2" w:rsidP="009C4D29">
      <w:pPr>
        <w:pStyle w:val="a1"/>
        <w:ind w:firstLine="480"/>
        <w:rPr>
          <w:rFonts w:ascii="Times New Roman" w:cs="Times New Roman"/>
        </w:rPr>
      </w:pPr>
      <w:r w:rsidRPr="00D630D1">
        <w:rPr>
          <w:rFonts w:hAnsi="宋体" w:hint="eastAsia"/>
        </w:rPr>
        <w:t>（</w:t>
      </w:r>
      <w:r w:rsidR="009C4D29" w:rsidRPr="00D630D1">
        <w:rPr>
          <w:rFonts w:ascii="Times New Roman" w:cs="Times New Roman"/>
        </w:rPr>
        <w:t>26</w:t>
      </w:r>
      <w:r w:rsidR="009C4D29" w:rsidRPr="00D630D1">
        <w:rPr>
          <w:rFonts w:ascii="Times New Roman" w:hAnsi="宋体" w:cs="Times New Roman"/>
        </w:rPr>
        <w:t>）</w:t>
      </w:r>
      <w:r w:rsidR="002C3D53">
        <w:rPr>
          <w:rFonts w:ascii="Times New Roman" w:hAnsi="宋体" w:cs="Times New Roman" w:hint="eastAsia"/>
        </w:rPr>
        <w:t>若</w:t>
      </w:r>
      <w:r w:rsidR="009C4D29" w:rsidRPr="00D630D1">
        <w:rPr>
          <w:rFonts w:ascii="Times New Roman" w:hAnsi="宋体" w:cs="Times New Roman"/>
        </w:rPr>
        <w:t>可能出现超出设计预计之外的异常情况，对此施工单位应进行充分的准备，应建立应对各种复杂情况的应急预案并落实，负责进行控制和处理。</w:t>
      </w:r>
    </w:p>
    <w:p w:rsidR="009C4D29" w:rsidRPr="00D630D1" w:rsidRDefault="001011F2" w:rsidP="001011F2">
      <w:pPr>
        <w:pStyle w:val="a1"/>
        <w:ind w:firstLine="482"/>
        <w:rPr>
          <w:rFonts w:ascii="Times New Roman" w:cs="Times New Roman"/>
          <w:b/>
        </w:rPr>
      </w:pPr>
      <w:r w:rsidRPr="00D630D1">
        <w:rPr>
          <w:rFonts w:ascii="Times New Roman" w:cs="Times New Roman"/>
          <w:b/>
        </w:rPr>
        <w:t>4</w:t>
      </w:r>
      <w:r w:rsidRPr="00D630D1">
        <w:rPr>
          <w:rFonts w:ascii="Times New Roman" w:hAnsi="宋体" w:cs="Times New Roman"/>
          <w:b/>
        </w:rPr>
        <w:t>、</w:t>
      </w:r>
      <w:r w:rsidRPr="00D630D1">
        <w:rPr>
          <w:rFonts w:ascii="Times New Roman" w:cs="Times New Roman"/>
          <w:b/>
        </w:rPr>
        <w:t>钻井过程风险防范措施</w:t>
      </w:r>
    </w:p>
    <w:p w:rsidR="009C4D29" w:rsidRPr="00D630D1" w:rsidRDefault="001011F2" w:rsidP="001011F2">
      <w:pPr>
        <w:pStyle w:val="a1"/>
        <w:ind w:firstLine="480"/>
        <w:rPr>
          <w:rFonts w:ascii="Times New Roman" w:cs="Times New Roman"/>
        </w:rPr>
      </w:pPr>
      <w:r w:rsidRPr="00D630D1">
        <w:rPr>
          <w:rFonts w:ascii="Times New Roman" w:hAnsi="宋体" w:cs="Times New Roman"/>
        </w:rPr>
        <w:t>应按照《钻井井控技术规程》（</w:t>
      </w:r>
      <w:r w:rsidRPr="00D630D1">
        <w:rPr>
          <w:rFonts w:ascii="Times New Roman" w:cs="Times New Roman"/>
        </w:rPr>
        <w:t>SY/T 6426-2005</w:t>
      </w:r>
      <w:r w:rsidRPr="00D630D1">
        <w:rPr>
          <w:rFonts w:ascii="Times New Roman" w:hAnsi="宋体" w:cs="Times New Roman"/>
        </w:rPr>
        <w:t>）、《套管柱试压规范》（</w:t>
      </w:r>
      <w:r w:rsidRPr="00D630D1">
        <w:rPr>
          <w:rFonts w:ascii="Times New Roman" w:cs="Times New Roman"/>
        </w:rPr>
        <w:t>SY/T 5467-2007</w:t>
      </w:r>
      <w:r w:rsidRPr="00D630D1">
        <w:rPr>
          <w:rFonts w:ascii="Times New Roman" w:hAnsi="宋体" w:cs="Times New Roman"/>
        </w:rPr>
        <w:t>）、《关于印发</w:t>
      </w:r>
      <w:r w:rsidRPr="00D630D1">
        <w:rPr>
          <w:rFonts w:ascii="Times New Roman" w:cs="Times New Roman"/>
        </w:rPr>
        <w:t>&lt;</w:t>
      </w:r>
      <w:r w:rsidRPr="00D630D1">
        <w:rPr>
          <w:rFonts w:ascii="Times New Roman" w:hAnsi="宋体" w:cs="Times New Roman"/>
        </w:rPr>
        <w:t>中国石化石油与天然气井井控管理规定</w:t>
      </w:r>
      <w:r w:rsidRPr="00D630D1">
        <w:rPr>
          <w:rFonts w:ascii="Times New Roman" w:cs="Times New Roman"/>
        </w:rPr>
        <w:t>&gt;</w:t>
      </w:r>
      <w:r w:rsidRPr="00D630D1">
        <w:rPr>
          <w:rFonts w:ascii="Times New Roman" w:hAnsi="宋体" w:cs="Times New Roman"/>
        </w:rPr>
        <w:t>的通知》（中国石化安</w:t>
      </w:r>
      <w:r w:rsidRPr="00D630D1">
        <w:rPr>
          <w:rFonts w:ascii="Times New Roman" w:cs="Times New Roman"/>
        </w:rPr>
        <w:t>[2011]907</w:t>
      </w:r>
      <w:r w:rsidRPr="00D630D1">
        <w:rPr>
          <w:rFonts w:ascii="Times New Roman" w:hAnsi="宋体" w:cs="Times New Roman"/>
        </w:rPr>
        <w:t>号）等的相关要求进行钻井施工。</w:t>
      </w:r>
    </w:p>
    <w:p w:rsidR="001011F2" w:rsidRPr="00D630D1" w:rsidRDefault="001011F2" w:rsidP="001011F2">
      <w:pPr>
        <w:pStyle w:val="a1"/>
        <w:ind w:firstLineChars="180" w:firstLine="434"/>
        <w:rPr>
          <w:rFonts w:ascii="Times New Roman" w:cs="Times New Roman"/>
          <w:b/>
        </w:rPr>
      </w:pPr>
      <w:r w:rsidRPr="00D630D1">
        <w:rPr>
          <w:rFonts w:ascii="Times New Roman" w:cs="Times New Roman"/>
          <w:b/>
        </w:rPr>
        <w:t>5</w:t>
      </w:r>
      <w:r w:rsidRPr="00D630D1">
        <w:rPr>
          <w:rFonts w:ascii="Times New Roman" w:hAnsi="宋体" w:cs="Times New Roman"/>
          <w:b/>
        </w:rPr>
        <w:t>、</w:t>
      </w:r>
      <w:r w:rsidRPr="00D630D1">
        <w:rPr>
          <w:rFonts w:ascii="Times New Roman" w:cs="Times New Roman"/>
          <w:b/>
        </w:rPr>
        <w:t>完井作业风险防范措施</w:t>
      </w:r>
    </w:p>
    <w:p w:rsidR="009C4D29" w:rsidRPr="00D630D1" w:rsidRDefault="002C3D53" w:rsidP="002C3D53">
      <w:pPr>
        <w:pStyle w:val="a1"/>
        <w:ind w:firstLine="480"/>
        <w:rPr>
          <w:rFonts w:ascii="Times New Roman" w:cs="Times New Roman"/>
        </w:rPr>
      </w:pPr>
      <w:r w:rsidRPr="002C3D53">
        <w:rPr>
          <w:rFonts w:ascii="Times New Roman" w:cs="Times New Roman" w:hint="eastAsia"/>
        </w:rPr>
        <w:t>应加强油管腐蚀监测，掌握气井腐蚀状况，按井下作业流程检查油管腐蚀情况，记录每口作业井的油管腐蚀情况，根据井油管腐蚀情况进行专门的更换油管修井，以避免油管腐蚀穿孔、断落</w:t>
      </w:r>
      <w:r w:rsidR="001011F2" w:rsidRPr="00D630D1">
        <w:rPr>
          <w:rFonts w:ascii="Times New Roman" w:cs="Times New Roman"/>
        </w:rPr>
        <w:t>。</w:t>
      </w:r>
    </w:p>
    <w:p w:rsidR="001011F2" w:rsidRPr="00D630D1" w:rsidRDefault="001011F2" w:rsidP="001011F2">
      <w:pPr>
        <w:pStyle w:val="a1"/>
        <w:ind w:firstLine="482"/>
        <w:rPr>
          <w:rFonts w:ascii="Times New Roman" w:cs="Times New Roman"/>
          <w:b/>
        </w:rPr>
      </w:pPr>
      <w:r w:rsidRPr="00D630D1">
        <w:rPr>
          <w:rFonts w:ascii="Times New Roman" w:cs="Times New Roman"/>
          <w:b/>
        </w:rPr>
        <w:t>6</w:t>
      </w:r>
      <w:r w:rsidRPr="00D630D1">
        <w:rPr>
          <w:rFonts w:ascii="Times New Roman" w:cs="Times New Roman"/>
          <w:b/>
        </w:rPr>
        <w:t>、测试放喷过程风险防范措施</w:t>
      </w:r>
    </w:p>
    <w:p w:rsidR="001011F2" w:rsidRPr="00D630D1" w:rsidRDefault="001011F2" w:rsidP="001011F2">
      <w:pPr>
        <w:pStyle w:val="a1"/>
        <w:ind w:firstLine="480"/>
        <w:rPr>
          <w:rFonts w:ascii="Times New Roman" w:cs="Times New Roman"/>
        </w:rPr>
      </w:pPr>
      <w:r w:rsidRPr="00D630D1">
        <w:rPr>
          <w:rFonts w:ascii="Times New Roman" w:hAnsi="宋体" w:cs="Times New Roman"/>
        </w:rPr>
        <w:t>本项目测试放喷过程属于风险较高的施工环节，试气作业前按《气井试气、采气及动态监测工艺规程》（</w:t>
      </w:r>
      <w:r w:rsidRPr="00D630D1">
        <w:rPr>
          <w:rFonts w:ascii="Times New Roman" w:cs="Times New Roman"/>
        </w:rPr>
        <w:t>SY/T 6125-2013</w:t>
      </w:r>
      <w:r w:rsidRPr="00D630D1">
        <w:rPr>
          <w:rFonts w:ascii="Times New Roman" w:hAnsi="宋体" w:cs="Times New Roman"/>
        </w:rPr>
        <w:t>）等相关标准要求进行试气设计。</w:t>
      </w:r>
    </w:p>
    <w:p w:rsidR="00E312B2" w:rsidRPr="00D630D1" w:rsidRDefault="00E312B2" w:rsidP="00E312B2">
      <w:pPr>
        <w:pStyle w:val="3"/>
        <w:rPr>
          <w:rFonts w:eastAsia="宋体"/>
        </w:rPr>
      </w:pPr>
      <w:bookmarkStart w:id="573" w:name="_Toc12288752"/>
      <w:r w:rsidRPr="00D630D1">
        <w:rPr>
          <w:rFonts w:eastAsia="宋体"/>
        </w:rPr>
        <w:t xml:space="preserve">7.9.2 </w:t>
      </w:r>
      <w:r w:rsidRPr="00D630D1">
        <w:rPr>
          <w:rFonts w:eastAsia="宋体"/>
        </w:rPr>
        <w:t>运营阶段的事故防范措施</w:t>
      </w:r>
    </w:p>
    <w:bookmarkEnd w:id="573"/>
    <w:p w:rsidR="00E312B2" w:rsidRPr="00D630D1" w:rsidRDefault="00E312B2">
      <w:pPr>
        <w:pStyle w:val="a1"/>
        <w:ind w:firstLine="482"/>
        <w:rPr>
          <w:rFonts w:ascii="Times New Roman" w:cs="Times New Roman"/>
          <w:b/>
          <w:bCs/>
        </w:rPr>
      </w:pPr>
      <w:r w:rsidRPr="00D630D1">
        <w:rPr>
          <w:rFonts w:ascii="Times New Roman" w:cs="Times New Roman"/>
          <w:b/>
          <w:bCs/>
        </w:rPr>
        <w:t>1</w:t>
      </w:r>
      <w:r w:rsidRPr="00D630D1">
        <w:rPr>
          <w:rFonts w:ascii="Times New Roman" w:cs="Times New Roman"/>
          <w:b/>
          <w:bCs/>
        </w:rPr>
        <w:t>、常规环境风险防范措施</w:t>
      </w:r>
    </w:p>
    <w:p w:rsidR="00117C3D" w:rsidRPr="00D630D1" w:rsidRDefault="00E312B2">
      <w:pPr>
        <w:pStyle w:val="a1"/>
        <w:ind w:firstLine="480"/>
        <w:rPr>
          <w:rFonts w:ascii="Times New Roman" w:cs="Times New Roman"/>
        </w:rPr>
      </w:pPr>
      <w:r w:rsidRPr="00D630D1">
        <w:rPr>
          <w:rFonts w:hAnsi="宋体" w:hint="eastAsia"/>
        </w:rPr>
        <w:t>①</w:t>
      </w:r>
      <w:r w:rsidR="008B5B84" w:rsidRPr="00D630D1">
        <w:rPr>
          <w:rFonts w:ascii="Times New Roman" w:cs="Times New Roman"/>
        </w:rPr>
        <w:t>严格控制天然气的气质。</w:t>
      </w:r>
    </w:p>
    <w:p w:rsidR="00117C3D" w:rsidRPr="00D630D1" w:rsidRDefault="00E312B2">
      <w:pPr>
        <w:pStyle w:val="a1"/>
        <w:ind w:firstLine="480"/>
        <w:rPr>
          <w:rFonts w:ascii="Times New Roman" w:cs="Times New Roman"/>
        </w:rPr>
      </w:pPr>
      <w:r w:rsidRPr="00D630D1">
        <w:rPr>
          <w:rFonts w:hAnsi="宋体" w:hint="eastAsia"/>
        </w:rPr>
        <w:t>②</w:t>
      </w:r>
      <w:r w:rsidR="008B5B84" w:rsidRPr="00D630D1">
        <w:rPr>
          <w:rFonts w:ascii="Times New Roman" w:cs="Times New Roman"/>
        </w:rPr>
        <w:t>定期检查管道安全保护系统</w:t>
      </w:r>
      <w:r w:rsidR="00783589" w:rsidRPr="00D630D1">
        <w:rPr>
          <w:rFonts w:ascii="Times New Roman" w:cs="Times New Roman"/>
        </w:rPr>
        <w:t>（如截断阀、安全阀等）</w:t>
      </w:r>
      <w:r w:rsidR="008B5B84" w:rsidRPr="00D630D1">
        <w:rPr>
          <w:rFonts w:ascii="Times New Roman" w:cs="Times New Roman"/>
        </w:rPr>
        <w:t>，使管道在超压时能够得到安全处理。</w:t>
      </w:r>
    </w:p>
    <w:p w:rsidR="00117C3D" w:rsidRPr="00D630D1" w:rsidRDefault="00E312B2">
      <w:pPr>
        <w:pStyle w:val="a1"/>
        <w:ind w:firstLine="480"/>
        <w:rPr>
          <w:rFonts w:ascii="Times New Roman" w:cs="Times New Roman"/>
        </w:rPr>
      </w:pPr>
      <w:r w:rsidRPr="00D630D1">
        <w:rPr>
          <w:rFonts w:hAnsi="宋体" w:hint="eastAsia"/>
        </w:rPr>
        <w:t>③</w:t>
      </w:r>
      <w:r w:rsidR="008B5B84" w:rsidRPr="00D630D1">
        <w:rPr>
          <w:rFonts w:ascii="Times New Roman" w:cs="Times New Roman"/>
        </w:rPr>
        <w:t>在困难地段招募当地农民为义务巡线工，增加困难地段的巡检频次，减少第三方破坏、地质灾害等引发的环境风险事故。</w:t>
      </w:r>
    </w:p>
    <w:p w:rsidR="00117C3D" w:rsidRPr="00D630D1" w:rsidRDefault="00E312B2">
      <w:pPr>
        <w:pStyle w:val="a1"/>
        <w:ind w:firstLine="480"/>
        <w:rPr>
          <w:rFonts w:ascii="Times New Roman" w:cs="Times New Roman"/>
        </w:rPr>
      </w:pPr>
      <w:r w:rsidRPr="00D630D1">
        <w:rPr>
          <w:rFonts w:hAnsi="宋体" w:hint="eastAsia"/>
        </w:rPr>
        <w:t>④</w:t>
      </w:r>
      <w:r w:rsidR="005F0550" w:rsidRPr="00D630D1">
        <w:rPr>
          <w:rFonts w:ascii="Times New Roman" w:cs="Times New Roman"/>
        </w:rPr>
        <w:t>管道标志桩应尽可能清晰</w:t>
      </w:r>
      <w:r w:rsidR="008B5B84" w:rsidRPr="00D630D1">
        <w:rPr>
          <w:rFonts w:ascii="Times New Roman" w:cs="Times New Roman"/>
        </w:rPr>
        <w:t>。巡线员定期巡线，发现危及管道安全的情况及时处理和汇报。</w:t>
      </w:r>
    </w:p>
    <w:p w:rsidR="00117C3D" w:rsidRPr="00D630D1" w:rsidRDefault="00E312B2">
      <w:pPr>
        <w:pStyle w:val="a1"/>
        <w:ind w:firstLine="480"/>
        <w:rPr>
          <w:rFonts w:ascii="Times New Roman" w:cs="Times New Roman"/>
        </w:rPr>
      </w:pPr>
      <w:r w:rsidRPr="00D630D1">
        <w:rPr>
          <w:rFonts w:hAnsi="宋体" w:hint="eastAsia"/>
        </w:rPr>
        <w:t>⑤</w:t>
      </w:r>
      <w:r w:rsidR="008B5B84" w:rsidRPr="00D630D1">
        <w:rPr>
          <w:rFonts w:ascii="Times New Roman" w:cs="Times New Roman"/>
        </w:rPr>
        <w:t>建设单位设有应急抢、维修指挥中心，并在其下属各作业区设有抢、维修队伍和装备，但由于本工程管道部分地处山区，路况较差，为能及时处理事故，</w:t>
      </w:r>
      <w:r w:rsidR="008B5B84" w:rsidRPr="00D630D1">
        <w:rPr>
          <w:rFonts w:ascii="Times New Roman" w:cs="Times New Roman"/>
        </w:rPr>
        <w:lastRenderedPageBreak/>
        <w:t>营救伤员，建议配备性能优良的抢险车辆，保证事故后第一时间到达现场。</w:t>
      </w:r>
    </w:p>
    <w:p w:rsidR="00117C3D" w:rsidRPr="00D630D1" w:rsidRDefault="00E312B2">
      <w:pPr>
        <w:pStyle w:val="a1"/>
        <w:ind w:firstLine="480"/>
        <w:rPr>
          <w:rFonts w:ascii="Times New Roman" w:cs="Times New Roman"/>
        </w:rPr>
      </w:pPr>
      <w:r w:rsidRPr="00D630D1">
        <w:rPr>
          <w:rFonts w:hAnsi="宋体" w:hint="eastAsia"/>
        </w:rPr>
        <w:t>⑥</w:t>
      </w:r>
      <w:r w:rsidR="008B5B84" w:rsidRPr="00D630D1">
        <w:rPr>
          <w:rFonts w:ascii="Times New Roman" w:cs="Times New Roman"/>
        </w:rPr>
        <w:t>在管道系统投产运行前，应制订出供正常、异常或紧急状态下的操作手册和维修手册，并对操作、维修人员进行培训，持证上岗。</w:t>
      </w:r>
    </w:p>
    <w:p w:rsidR="00117C3D" w:rsidRPr="00D630D1" w:rsidRDefault="00E312B2">
      <w:pPr>
        <w:pStyle w:val="a1"/>
        <w:ind w:firstLine="480"/>
        <w:rPr>
          <w:rFonts w:ascii="Times New Roman" w:cs="Times New Roman"/>
        </w:rPr>
      </w:pPr>
      <w:r w:rsidRPr="00D630D1">
        <w:rPr>
          <w:rFonts w:hAnsi="宋体" w:hint="eastAsia"/>
        </w:rPr>
        <w:t>⑦</w:t>
      </w:r>
      <w:r w:rsidR="008B5B84" w:rsidRPr="00D630D1">
        <w:rPr>
          <w:rFonts w:ascii="Times New Roman" w:cs="Times New Roman"/>
        </w:rPr>
        <w:t>制订应急操作规程，在规程中应说明发生管道事故时应采取的操作步骤，规定抢修进度，限制事故的影响，另外还应说明与管道操作人员有关的安全问题。</w:t>
      </w:r>
    </w:p>
    <w:p w:rsidR="000A2E7B" w:rsidRPr="00D630D1" w:rsidRDefault="00E312B2" w:rsidP="000A2E7B">
      <w:pPr>
        <w:pStyle w:val="a1"/>
        <w:ind w:firstLine="480"/>
        <w:rPr>
          <w:rFonts w:ascii="Times New Roman" w:cs="Times New Roman"/>
        </w:rPr>
      </w:pPr>
      <w:r w:rsidRPr="00D630D1">
        <w:rPr>
          <w:rFonts w:hAnsi="宋体" w:hint="eastAsia"/>
        </w:rPr>
        <w:t>⑧</w:t>
      </w:r>
      <w:r w:rsidR="008B5B84" w:rsidRPr="00D630D1">
        <w:rPr>
          <w:rFonts w:ascii="Times New Roman" w:cs="Times New Roman"/>
        </w:rPr>
        <w:t>操作人员每周应进行安全活动，提高职工的安全意识，识别事故发生前的异常状态，并采取相应的措施。</w:t>
      </w:r>
    </w:p>
    <w:p w:rsidR="00117C3D" w:rsidRPr="00D630D1" w:rsidRDefault="00E312B2" w:rsidP="000A2E7B">
      <w:pPr>
        <w:pStyle w:val="a1"/>
        <w:ind w:firstLine="480"/>
        <w:rPr>
          <w:rFonts w:ascii="Times New Roman" w:cs="Times New Roman"/>
        </w:rPr>
      </w:pPr>
      <w:r w:rsidRPr="00D630D1">
        <w:rPr>
          <w:rFonts w:hAnsi="宋体" w:hint="eastAsia"/>
        </w:rPr>
        <w:t>⑨</w:t>
      </w:r>
      <w:r w:rsidR="008B5B84" w:rsidRPr="00D630D1">
        <w:rPr>
          <w:rFonts w:ascii="Times New Roman" w:cs="Times New Roman"/>
        </w:rPr>
        <w:t>对重要的仪器设备有完善的检查项目、维护方法；按计划进行定期维护；有专门档案</w:t>
      </w:r>
      <w:r w:rsidR="00783589" w:rsidRPr="00D630D1">
        <w:rPr>
          <w:rFonts w:ascii="Times New Roman" w:cs="Times New Roman"/>
        </w:rPr>
        <w:t>（包括维护记录档案）</w:t>
      </w:r>
      <w:r w:rsidR="008B5B84" w:rsidRPr="00D630D1">
        <w:rPr>
          <w:rFonts w:ascii="Times New Roman" w:cs="Times New Roman"/>
        </w:rPr>
        <w:t>，文件齐全。</w:t>
      </w:r>
    </w:p>
    <w:p w:rsidR="00117C3D" w:rsidRPr="00D630D1" w:rsidRDefault="00E312B2">
      <w:pPr>
        <w:pStyle w:val="a1"/>
        <w:ind w:firstLine="480"/>
        <w:rPr>
          <w:rFonts w:ascii="Times New Roman" w:cs="Times New Roman"/>
        </w:rPr>
      </w:pPr>
      <w:r w:rsidRPr="00D630D1">
        <w:rPr>
          <w:rFonts w:hAnsi="宋体" w:hint="eastAsia"/>
        </w:rPr>
        <w:t>⑩</w:t>
      </w:r>
      <w:r w:rsidR="008B5B84" w:rsidRPr="00D630D1">
        <w:rPr>
          <w:rFonts w:ascii="Times New Roman" w:cs="Times New Roman"/>
        </w:rPr>
        <w:t>对管道沿线的居民作好宣传，张贴《中华人民共和国石油天然气管道保护法》（中华人民共和国主席令第</w:t>
      </w:r>
      <w:r w:rsidR="008B5B84" w:rsidRPr="00D630D1">
        <w:rPr>
          <w:rFonts w:ascii="Times New Roman" w:cs="Times New Roman"/>
        </w:rPr>
        <w:t>30</w:t>
      </w:r>
      <w:r w:rsidR="008B5B84" w:rsidRPr="00D630D1">
        <w:rPr>
          <w:rFonts w:ascii="Times New Roman" w:cs="Times New Roman"/>
        </w:rPr>
        <w:t>号），加强居民认识。</w:t>
      </w:r>
    </w:p>
    <w:p w:rsidR="00117C3D" w:rsidRPr="00D630D1" w:rsidRDefault="00E312B2">
      <w:pPr>
        <w:pStyle w:val="a1"/>
        <w:ind w:firstLine="480"/>
        <w:rPr>
          <w:rFonts w:ascii="Times New Roman" w:cs="Times New Roman"/>
        </w:rPr>
      </w:pPr>
      <w:r w:rsidRPr="00D630D1">
        <w:rPr>
          <w:rFonts w:ascii="Cambria Math" w:hAnsi="Cambria Math" w:cs="Cambria Math"/>
        </w:rPr>
        <w:t>⑪</w:t>
      </w:r>
      <w:r w:rsidR="008B5B84" w:rsidRPr="00D630D1">
        <w:rPr>
          <w:rFonts w:ascii="Times New Roman" w:cs="Times New Roman"/>
        </w:rPr>
        <w:t>建设单位设有应急抢、维修指挥中心，并在其下属各作业区设有抢、维修队伍和装备，但由于本工程管道部分地处山区，路况较差，为能及时处理事故，营救伤员，建议配备性能优良的抢险车辆，保证事故后第一时间到达现场。</w:t>
      </w:r>
    </w:p>
    <w:p w:rsidR="00117C3D" w:rsidRPr="00D630D1" w:rsidRDefault="00E312B2">
      <w:pPr>
        <w:pStyle w:val="a1"/>
        <w:ind w:firstLine="480"/>
        <w:rPr>
          <w:rFonts w:ascii="Times New Roman" w:cs="Times New Roman"/>
        </w:rPr>
      </w:pPr>
      <w:r w:rsidRPr="00D630D1">
        <w:rPr>
          <w:rFonts w:ascii="Cambria Math" w:hAnsi="Cambria Math" w:cs="Cambria Math"/>
        </w:rPr>
        <w:t>⑫</w:t>
      </w:r>
      <w:r w:rsidR="008B5B84" w:rsidRPr="00D630D1">
        <w:rPr>
          <w:rFonts w:ascii="Times New Roman" w:cs="Times New Roman"/>
        </w:rPr>
        <w:t>对管道两侧</w:t>
      </w:r>
      <w:r w:rsidR="008B5B84" w:rsidRPr="00D630D1">
        <w:rPr>
          <w:rFonts w:ascii="Times New Roman" w:cs="Times New Roman"/>
        </w:rPr>
        <w:t>200m</w:t>
      </w:r>
      <w:r w:rsidR="008B5B84" w:rsidRPr="00D630D1">
        <w:rPr>
          <w:rFonts w:ascii="Times New Roman" w:cs="Times New Roman"/>
        </w:rPr>
        <w:t>范围内的受管道风险事故影响的集中居民区和社会关注区的居民、医生、病人、教师、学生、风景区管理人员和游客等作好事故应急宣传，保证一旦发生天然气泄漏事故时，能作出正确反应。巡线工应加强集中居民区段和社会关注区段的巡线工作，发现隐患及时汇报和处理。</w:t>
      </w:r>
    </w:p>
    <w:p w:rsidR="00117C3D" w:rsidRPr="00D630D1" w:rsidRDefault="00E312B2">
      <w:pPr>
        <w:pStyle w:val="a1"/>
        <w:ind w:firstLine="480"/>
        <w:rPr>
          <w:rFonts w:ascii="Times New Roman" w:cs="Times New Roman"/>
        </w:rPr>
      </w:pPr>
      <w:r w:rsidRPr="00D630D1">
        <w:rPr>
          <w:rFonts w:ascii="Cambria Math" w:hAnsi="Cambria Math" w:cs="Cambria Math"/>
        </w:rPr>
        <w:t>⑬</w:t>
      </w:r>
      <w:r w:rsidR="008B5B84" w:rsidRPr="00D630D1">
        <w:rPr>
          <w:rFonts w:ascii="Times New Roman" w:cs="Times New Roman"/>
        </w:rPr>
        <w:t>管道穿越林区时，应根据《森林防火条例》制定森林防火应急预案。如果管道穿孔或破裂后，泄漏天然气在林区段引发火灾时，应及时切断气源并同时联系当地消防部门灭火。</w:t>
      </w:r>
    </w:p>
    <w:p w:rsidR="00117C3D" w:rsidRPr="00D630D1" w:rsidRDefault="00E312B2">
      <w:pPr>
        <w:pStyle w:val="a1"/>
        <w:ind w:firstLine="480"/>
        <w:rPr>
          <w:rFonts w:ascii="Times New Roman" w:cs="Times New Roman"/>
        </w:rPr>
      </w:pPr>
      <w:r w:rsidRPr="00D630D1">
        <w:rPr>
          <w:rFonts w:ascii="Cambria Math" w:hAnsi="Cambria Math" w:cs="Cambria Math"/>
        </w:rPr>
        <w:t>⑭</w:t>
      </w:r>
      <w:r w:rsidR="008B5B84" w:rsidRPr="00D630D1">
        <w:rPr>
          <w:rFonts w:ascii="Times New Roman" w:cs="Times New Roman"/>
        </w:rPr>
        <w:t>建设单位应随时保持与管道沿线县、区规划部门的联系，杜绝沿线乡镇建设过程中的占管、压管及其他破坏管道的活动，降低第三方破坏管道引发环境风险事故的可能性。</w:t>
      </w:r>
    </w:p>
    <w:p w:rsidR="00E312B2" w:rsidRPr="00D630D1" w:rsidRDefault="00E312B2" w:rsidP="00E312B2">
      <w:pPr>
        <w:ind w:firstLine="482"/>
        <w:rPr>
          <w:rFonts w:ascii="Times New Roman" w:cs="Times New Roman"/>
          <w:b/>
          <w:bCs/>
        </w:rPr>
      </w:pPr>
      <w:r w:rsidRPr="00D630D1">
        <w:rPr>
          <w:rFonts w:ascii="Times New Roman" w:cs="Times New Roman"/>
          <w:b/>
          <w:bCs/>
        </w:rPr>
        <w:t>2</w:t>
      </w:r>
      <w:r w:rsidRPr="00D630D1">
        <w:rPr>
          <w:rFonts w:ascii="Times New Roman" w:cs="Times New Roman"/>
          <w:b/>
          <w:bCs/>
        </w:rPr>
        <w:t>、</w:t>
      </w:r>
      <w:r w:rsidR="002C3D53">
        <w:rPr>
          <w:rFonts w:ascii="Times New Roman" w:cs="Times New Roman" w:hint="eastAsia"/>
          <w:b/>
          <w:bCs/>
        </w:rPr>
        <w:t>天然气</w:t>
      </w:r>
      <w:r w:rsidRPr="00D630D1">
        <w:rPr>
          <w:rFonts w:ascii="Times New Roman" w:cs="Times New Roman"/>
          <w:b/>
          <w:bCs/>
        </w:rPr>
        <w:t>泄漏的相关措施</w:t>
      </w:r>
    </w:p>
    <w:p w:rsidR="00E312B2" w:rsidRPr="00D630D1" w:rsidRDefault="00E312B2" w:rsidP="00E312B2">
      <w:pPr>
        <w:pStyle w:val="afa"/>
        <w:ind w:firstLine="480"/>
      </w:pPr>
      <w:r w:rsidRPr="00D630D1">
        <w:rPr>
          <w:rFonts w:ascii="宋体" w:hAnsi="宋体" w:cs="宋体" w:hint="eastAsia"/>
        </w:rPr>
        <w:t>①</w:t>
      </w:r>
      <w:r w:rsidRPr="00D630D1">
        <w:t>制定应急救援预案并定期演练，出现事故后必须立即向当地政府报告，同时通知事故影响范围内的厂矿企业和居民立即撤离，并组织和协助当地政府作好事故影响范围内居民的疏散工作。根据当地情况，应立即组织周边居民向管道上风向方向进行撤离。考虑风向、地形、人口密度、受影响程度等情况及时作出风</w:t>
      </w:r>
      <w:r w:rsidRPr="00D630D1">
        <w:lastRenderedPageBreak/>
        <w:t>险和危害程度评估，决定是否扩大撤离范围。</w:t>
      </w:r>
    </w:p>
    <w:p w:rsidR="00E312B2" w:rsidRPr="00D630D1" w:rsidRDefault="00E312B2" w:rsidP="00E312B2">
      <w:pPr>
        <w:pStyle w:val="afa"/>
        <w:ind w:firstLine="480"/>
      </w:pPr>
      <w:r w:rsidRPr="00D630D1">
        <w:rPr>
          <w:rFonts w:ascii="宋体" w:hAnsi="宋体" w:cs="宋体" w:hint="eastAsia"/>
        </w:rPr>
        <w:t>②</w:t>
      </w:r>
      <w:r w:rsidRPr="00D630D1">
        <w:t>确保项目的紧急切断装置保持正常状态，确保在事故状态下能够做到立即进行放空作业，以减缓</w:t>
      </w:r>
      <w:r w:rsidR="003D6310">
        <w:rPr>
          <w:rFonts w:hint="eastAsia"/>
        </w:rPr>
        <w:t>泄漏天然气</w:t>
      </w:r>
      <w:r w:rsidRPr="00D630D1">
        <w:t>对周边环境造成的影响。</w:t>
      </w:r>
    </w:p>
    <w:p w:rsidR="00E312B2" w:rsidRPr="00D630D1" w:rsidRDefault="00E312B2" w:rsidP="00E312B2">
      <w:pPr>
        <w:pStyle w:val="afa"/>
        <w:ind w:firstLine="480"/>
      </w:pPr>
      <w:r w:rsidRPr="00D630D1">
        <w:rPr>
          <w:rFonts w:ascii="宋体" w:hAnsi="宋体" w:cs="宋体" w:hint="eastAsia"/>
        </w:rPr>
        <w:t>③</w:t>
      </w:r>
      <w:r w:rsidRPr="00D630D1">
        <w:t>管线发生泄漏后，应在泄漏点下风向立即设置临时观察点，定时取样，监测（大气</w:t>
      </w:r>
      <w:r w:rsidRPr="00D630D1">
        <w:t>/</w:t>
      </w:r>
      <w:r w:rsidRPr="00D630D1">
        <w:t>空气）中的（天然气的浓度），划分安全范围，并根据监测情况决定是否扩大撤离范围。</w:t>
      </w:r>
    </w:p>
    <w:p w:rsidR="00E312B2" w:rsidRPr="00D630D1" w:rsidRDefault="00E312B2" w:rsidP="00E312B2">
      <w:pPr>
        <w:pStyle w:val="afa"/>
        <w:ind w:firstLine="480"/>
      </w:pPr>
      <w:r w:rsidRPr="00D630D1">
        <w:rPr>
          <w:rFonts w:ascii="宋体" w:hAnsi="宋体" w:cs="宋体" w:hint="eastAsia"/>
        </w:rPr>
        <w:t>④</w:t>
      </w:r>
      <w:r w:rsidRPr="00D630D1">
        <w:t>迅速成立现场抢险领导小组，根据失控状况制定抢险方案，统一指挥、组织和协调抢险工作。抢险方案制订及实施，要把环境保护同时考虑，同时实施，防止出现次生环境事故。</w:t>
      </w:r>
    </w:p>
    <w:p w:rsidR="001011F2" w:rsidRPr="00D630D1" w:rsidRDefault="001011F2" w:rsidP="001011F2">
      <w:pPr>
        <w:pStyle w:val="afa"/>
        <w:ind w:firstLine="482"/>
        <w:rPr>
          <w:b/>
          <w:bCs/>
        </w:rPr>
      </w:pPr>
      <w:r w:rsidRPr="00D630D1">
        <w:rPr>
          <w:b/>
          <w:bCs/>
        </w:rPr>
        <w:t>3</w:t>
      </w:r>
      <w:r w:rsidRPr="00D630D1">
        <w:rPr>
          <w:b/>
          <w:bCs/>
        </w:rPr>
        <w:t>、</w:t>
      </w:r>
      <w:r w:rsidRPr="00D630D1">
        <w:rPr>
          <w:rFonts w:hint="eastAsia"/>
          <w:b/>
          <w:bCs/>
        </w:rPr>
        <w:t>柴油</w:t>
      </w:r>
      <w:r w:rsidRPr="00D630D1">
        <w:rPr>
          <w:b/>
          <w:bCs/>
        </w:rPr>
        <w:t>泄漏风险防范措施</w:t>
      </w:r>
    </w:p>
    <w:p w:rsidR="001011F2" w:rsidRPr="00D630D1" w:rsidRDefault="001011F2" w:rsidP="001011F2">
      <w:pPr>
        <w:pStyle w:val="afa"/>
        <w:ind w:firstLine="480"/>
        <w:rPr>
          <w:szCs w:val="24"/>
        </w:rPr>
      </w:pPr>
      <w:r w:rsidRPr="00D630D1">
        <w:rPr>
          <w:rFonts w:ascii="宋体" w:hAnsi="宋体" w:cs="宋体" w:hint="eastAsia"/>
          <w:szCs w:val="24"/>
        </w:rPr>
        <w:t>①</w:t>
      </w:r>
      <w:r w:rsidR="00DB6EC5" w:rsidRPr="00D630D1">
        <w:rPr>
          <w:rFonts w:hint="eastAsia"/>
          <w:szCs w:val="24"/>
        </w:rPr>
        <w:t>柴油储罐</w:t>
      </w:r>
      <w:r w:rsidRPr="00D630D1">
        <w:rPr>
          <w:szCs w:val="24"/>
        </w:rPr>
        <w:t>四周设置围堰</w:t>
      </w:r>
      <w:r w:rsidRPr="00D630D1">
        <w:rPr>
          <w:rFonts w:hint="eastAsia"/>
          <w:szCs w:val="24"/>
        </w:rPr>
        <w:t>，</w:t>
      </w:r>
      <w:r w:rsidRPr="00D630D1">
        <w:rPr>
          <w:szCs w:val="24"/>
        </w:rPr>
        <w:t>并进行防渗处理，避免泄漏物料进入环境。</w:t>
      </w:r>
    </w:p>
    <w:p w:rsidR="001011F2" w:rsidRPr="00D630D1" w:rsidRDefault="001011F2" w:rsidP="001011F2">
      <w:pPr>
        <w:pStyle w:val="afa"/>
        <w:ind w:firstLine="480"/>
        <w:rPr>
          <w:szCs w:val="24"/>
        </w:rPr>
      </w:pPr>
      <w:r w:rsidRPr="00D630D1">
        <w:rPr>
          <w:rFonts w:ascii="宋体" w:hAnsi="宋体" w:cs="宋体" w:hint="eastAsia"/>
          <w:szCs w:val="24"/>
        </w:rPr>
        <w:t>②</w:t>
      </w:r>
      <w:r w:rsidRPr="00D630D1">
        <w:rPr>
          <w:szCs w:val="24"/>
        </w:rPr>
        <w:t>做好日常安全检查，定期检测罐体的完好情况，避免</w:t>
      </w:r>
      <w:r w:rsidRPr="00D630D1">
        <w:rPr>
          <w:rFonts w:hint="eastAsia"/>
          <w:szCs w:val="24"/>
        </w:rPr>
        <w:t>柴油</w:t>
      </w:r>
      <w:r w:rsidRPr="00D630D1">
        <w:rPr>
          <w:szCs w:val="24"/>
        </w:rPr>
        <w:t>泄漏导致环境风险事故。定期对储罐进行维护</w:t>
      </w:r>
      <w:r w:rsidRPr="00D630D1">
        <w:rPr>
          <w:rFonts w:hint="eastAsia"/>
          <w:szCs w:val="24"/>
        </w:rPr>
        <w:t>检修</w:t>
      </w:r>
      <w:r w:rsidRPr="00D630D1">
        <w:rPr>
          <w:szCs w:val="24"/>
        </w:rPr>
        <w:t>。</w:t>
      </w:r>
    </w:p>
    <w:p w:rsidR="001011F2" w:rsidRPr="00D630D1" w:rsidRDefault="001011F2" w:rsidP="001011F2">
      <w:pPr>
        <w:pStyle w:val="afa"/>
        <w:ind w:firstLine="480"/>
        <w:rPr>
          <w:szCs w:val="24"/>
        </w:rPr>
      </w:pPr>
      <w:r w:rsidRPr="00D630D1">
        <w:rPr>
          <w:rFonts w:ascii="宋体" w:hAnsi="宋体" w:cs="宋体" w:hint="eastAsia"/>
          <w:szCs w:val="24"/>
        </w:rPr>
        <w:t>③</w:t>
      </w:r>
      <w:r w:rsidRPr="00D630D1">
        <w:rPr>
          <w:szCs w:val="24"/>
        </w:rPr>
        <w:t>站场内按要求储备灭火毯、干沙等消防用品，可用作泄漏时吸收之用。</w:t>
      </w:r>
    </w:p>
    <w:p w:rsidR="001011F2" w:rsidRDefault="001011F2" w:rsidP="001011F2">
      <w:pPr>
        <w:pStyle w:val="afa"/>
        <w:ind w:firstLine="480"/>
      </w:pPr>
      <w:r w:rsidRPr="00D630D1">
        <w:rPr>
          <w:rFonts w:ascii="宋体" w:hAnsi="宋体" w:cs="宋体" w:hint="eastAsia"/>
          <w:szCs w:val="24"/>
        </w:rPr>
        <w:t>④</w:t>
      </w:r>
      <w:r w:rsidRPr="00D630D1">
        <w:t>在发现</w:t>
      </w:r>
      <w:r w:rsidR="00DB6EC5" w:rsidRPr="00D630D1">
        <w:rPr>
          <w:rFonts w:hint="eastAsia"/>
          <w:szCs w:val="24"/>
        </w:rPr>
        <w:t>柴油储罐</w:t>
      </w:r>
      <w:r w:rsidRPr="00D630D1">
        <w:t>泄漏时立即进行截断，减小对地下水和土壤环境影响。</w:t>
      </w:r>
    </w:p>
    <w:p w:rsidR="002C3D53" w:rsidRPr="00D630D1" w:rsidRDefault="002C3D53" w:rsidP="002C3D53">
      <w:pPr>
        <w:pStyle w:val="afa"/>
        <w:ind w:firstLine="482"/>
        <w:rPr>
          <w:b/>
          <w:bCs/>
        </w:rPr>
      </w:pPr>
      <w:r>
        <w:rPr>
          <w:rFonts w:hint="eastAsia"/>
          <w:b/>
          <w:bCs/>
        </w:rPr>
        <w:t>4</w:t>
      </w:r>
      <w:r w:rsidRPr="00D630D1">
        <w:rPr>
          <w:b/>
          <w:bCs/>
        </w:rPr>
        <w:t>、</w:t>
      </w:r>
      <w:r>
        <w:rPr>
          <w:rFonts w:hint="eastAsia"/>
          <w:b/>
          <w:bCs/>
        </w:rPr>
        <w:t>凝析油</w:t>
      </w:r>
      <w:r w:rsidRPr="00D630D1">
        <w:rPr>
          <w:b/>
          <w:bCs/>
        </w:rPr>
        <w:t>泄漏风险防范措施</w:t>
      </w:r>
    </w:p>
    <w:p w:rsidR="002C3D53" w:rsidRPr="002C3D53" w:rsidRDefault="002C3D53" w:rsidP="002C3D53">
      <w:pPr>
        <w:pStyle w:val="afa"/>
        <w:ind w:firstLine="480"/>
        <w:rPr>
          <w:szCs w:val="24"/>
        </w:rPr>
      </w:pPr>
      <w:r w:rsidRPr="002C3D53">
        <w:rPr>
          <w:rFonts w:ascii="宋体" w:hAnsi="宋体" w:cs="宋体" w:hint="eastAsia"/>
          <w:szCs w:val="24"/>
        </w:rPr>
        <w:t>①</w:t>
      </w:r>
      <w:r w:rsidRPr="002C3D53">
        <w:rPr>
          <w:szCs w:val="24"/>
        </w:rPr>
        <w:t>、</w:t>
      </w:r>
      <w:r w:rsidRPr="002C3D53">
        <w:rPr>
          <w:rFonts w:hint="eastAsia"/>
          <w:szCs w:val="24"/>
        </w:rPr>
        <w:t>凝析油储存</w:t>
      </w:r>
      <w:r w:rsidRPr="002C3D53">
        <w:rPr>
          <w:szCs w:val="24"/>
        </w:rPr>
        <w:t>罐四周设置围堰</w:t>
      </w:r>
      <w:r w:rsidRPr="002C3D53">
        <w:rPr>
          <w:rFonts w:hint="eastAsia"/>
          <w:szCs w:val="24"/>
        </w:rPr>
        <w:t>，</w:t>
      </w:r>
      <w:r w:rsidRPr="002C3D53">
        <w:rPr>
          <w:szCs w:val="24"/>
        </w:rPr>
        <w:t>并进行防渗处理，避免泄漏物料进入环境。</w:t>
      </w:r>
    </w:p>
    <w:p w:rsidR="002C3D53" w:rsidRPr="002C3D53" w:rsidRDefault="002C3D53" w:rsidP="002C3D53">
      <w:pPr>
        <w:pStyle w:val="afa"/>
        <w:ind w:firstLine="480"/>
        <w:rPr>
          <w:szCs w:val="24"/>
        </w:rPr>
      </w:pPr>
      <w:r w:rsidRPr="002C3D53">
        <w:rPr>
          <w:rFonts w:ascii="宋体" w:hAnsi="宋体" w:cs="宋体" w:hint="eastAsia"/>
          <w:szCs w:val="24"/>
        </w:rPr>
        <w:t>②</w:t>
      </w:r>
      <w:r w:rsidRPr="002C3D53">
        <w:rPr>
          <w:szCs w:val="24"/>
        </w:rPr>
        <w:t>、做好日常安全检查，定期检测罐体的完好情况，避免</w:t>
      </w:r>
      <w:r w:rsidRPr="002C3D53">
        <w:rPr>
          <w:rFonts w:hint="eastAsia"/>
          <w:szCs w:val="24"/>
        </w:rPr>
        <w:t>凝析油</w:t>
      </w:r>
      <w:r w:rsidRPr="002C3D53">
        <w:rPr>
          <w:szCs w:val="24"/>
        </w:rPr>
        <w:t>泄漏导致环境风险事故。定期检查</w:t>
      </w:r>
      <w:r w:rsidRPr="002C3D53">
        <w:rPr>
          <w:rFonts w:hint="eastAsia"/>
          <w:kern w:val="2"/>
          <w:szCs w:val="22"/>
        </w:rPr>
        <w:t>凝析油储存</w:t>
      </w:r>
      <w:r w:rsidRPr="002C3D53">
        <w:rPr>
          <w:kern w:val="2"/>
          <w:szCs w:val="22"/>
        </w:rPr>
        <w:t>罐</w:t>
      </w:r>
      <w:r w:rsidRPr="002C3D53">
        <w:rPr>
          <w:szCs w:val="24"/>
        </w:rPr>
        <w:t>安全保护系统（如截断阀、安全阀等），使管道在超压时能够得到安全处理。</w:t>
      </w:r>
    </w:p>
    <w:p w:rsidR="002C3D53" w:rsidRPr="002C3D53" w:rsidRDefault="002C3D53" w:rsidP="002C3D53">
      <w:pPr>
        <w:pStyle w:val="afa"/>
        <w:ind w:firstLine="480"/>
        <w:rPr>
          <w:szCs w:val="24"/>
        </w:rPr>
      </w:pPr>
      <w:r w:rsidRPr="002C3D53">
        <w:rPr>
          <w:rFonts w:ascii="宋体" w:hAnsi="宋体" w:cs="宋体" w:hint="eastAsia"/>
          <w:szCs w:val="24"/>
        </w:rPr>
        <w:t>③</w:t>
      </w:r>
      <w:r w:rsidRPr="002C3D53">
        <w:rPr>
          <w:szCs w:val="24"/>
        </w:rPr>
        <w:t>、站场内按要求储备灭火毯、干沙等消防用品，可用作泄漏时吸收之用。</w:t>
      </w:r>
    </w:p>
    <w:p w:rsidR="002C3D53" w:rsidRPr="002C3D53" w:rsidRDefault="002C3D53" w:rsidP="002C3D53">
      <w:pPr>
        <w:pStyle w:val="afa"/>
        <w:ind w:firstLine="480"/>
      </w:pPr>
      <w:r w:rsidRPr="002C3D53">
        <w:rPr>
          <w:rFonts w:ascii="宋体" w:hAnsi="宋体" w:cs="宋体" w:hint="eastAsia"/>
          <w:szCs w:val="24"/>
        </w:rPr>
        <w:t>④</w:t>
      </w:r>
      <w:r w:rsidRPr="002C3D53">
        <w:rPr>
          <w:szCs w:val="24"/>
        </w:rPr>
        <w:t>、</w:t>
      </w:r>
      <w:r w:rsidRPr="002C3D53">
        <w:t>在发现</w:t>
      </w:r>
      <w:r w:rsidRPr="002C3D53">
        <w:rPr>
          <w:rFonts w:hint="eastAsia"/>
          <w:kern w:val="2"/>
          <w:szCs w:val="22"/>
        </w:rPr>
        <w:t>凝析油储存</w:t>
      </w:r>
      <w:r w:rsidRPr="002C3D53">
        <w:rPr>
          <w:kern w:val="2"/>
          <w:szCs w:val="22"/>
        </w:rPr>
        <w:t>罐</w:t>
      </w:r>
      <w:r w:rsidRPr="002C3D53">
        <w:t>泄漏时立即进行截断，减小对地下水和土壤环境影响。</w:t>
      </w:r>
    </w:p>
    <w:p w:rsidR="000713CB" w:rsidRPr="00D630D1" w:rsidRDefault="002C3D53" w:rsidP="000713CB">
      <w:pPr>
        <w:pStyle w:val="afa"/>
        <w:ind w:firstLine="482"/>
        <w:rPr>
          <w:b/>
          <w:bCs/>
        </w:rPr>
      </w:pPr>
      <w:r>
        <w:rPr>
          <w:rFonts w:hint="eastAsia"/>
          <w:b/>
          <w:bCs/>
        </w:rPr>
        <w:t>5</w:t>
      </w:r>
      <w:r w:rsidR="001626C7" w:rsidRPr="00D630D1">
        <w:rPr>
          <w:b/>
          <w:bCs/>
        </w:rPr>
        <w:t>、</w:t>
      </w:r>
      <w:r w:rsidR="00EF360A" w:rsidRPr="00D630D1">
        <w:rPr>
          <w:rFonts w:hint="eastAsia"/>
          <w:b/>
          <w:bCs/>
        </w:rPr>
        <w:t>压裂、洗井废水</w:t>
      </w:r>
      <w:r>
        <w:rPr>
          <w:rFonts w:hint="eastAsia"/>
          <w:b/>
          <w:bCs/>
        </w:rPr>
        <w:t>、气田水</w:t>
      </w:r>
      <w:r w:rsidR="000713CB" w:rsidRPr="00D630D1">
        <w:rPr>
          <w:b/>
          <w:bCs/>
        </w:rPr>
        <w:t>泄</w:t>
      </w:r>
      <w:r w:rsidR="001205FA" w:rsidRPr="00D630D1">
        <w:rPr>
          <w:b/>
          <w:bCs/>
        </w:rPr>
        <w:t>漏</w:t>
      </w:r>
      <w:r w:rsidR="000713CB" w:rsidRPr="00D630D1">
        <w:rPr>
          <w:b/>
          <w:bCs/>
        </w:rPr>
        <w:t>风险防范措施</w:t>
      </w:r>
    </w:p>
    <w:p w:rsidR="000713CB" w:rsidRPr="00D630D1" w:rsidRDefault="000713CB" w:rsidP="000637D9">
      <w:pPr>
        <w:pStyle w:val="afa"/>
        <w:ind w:firstLine="480"/>
        <w:rPr>
          <w:szCs w:val="24"/>
        </w:rPr>
      </w:pPr>
      <w:r w:rsidRPr="00D630D1">
        <w:rPr>
          <w:rFonts w:ascii="宋体" w:hAnsi="宋体" w:cs="宋体" w:hint="eastAsia"/>
          <w:szCs w:val="24"/>
        </w:rPr>
        <w:t>①</w:t>
      </w:r>
      <w:r w:rsidR="00EF360A" w:rsidRPr="00D630D1">
        <w:rPr>
          <w:szCs w:val="24"/>
        </w:rPr>
        <w:t>污水缓冲罐</w:t>
      </w:r>
      <w:r w:rsidR="00251CEC" w:rsidRPr="00D630D1">
        <w:rPr>
          <w:szCs w:val="24"/>
        </w:rPr>
        <w:t>四周设置围堰</w:t>
      </w:r>
      <w:r w:rsidR="00251CEC" w:rsidRPr="00D630D1">
        <w:rPr>
          <w:rFonts w:hint="eastAsia"/>
          <w:szCs w:val="24"/>
        </w:rPr>
        <w:t>，</w:t>
      </w:r>
      <w:r w:rsidRPr="00D630D1">
        <w:rPr>
          <w:szCs w:val="24"/>
        </w:rPr>
        <w:t>并进行防渗处理，避免泄漏物料进入环境。</w:t>
      </w:r>
    </w:p>
    <w:p w:rsidR="000713CB" w:rsidRPr="00D630D1" w:rsidRDefault="000713CB" w:rsidP="000637D9">
      <w:pPr>
        <w:pStyle w:val="afa"/>
        <w:ind w:firstLine="480"/>
        <w:rPr>
          <w:szCs w:val="24"/>
        </w:rPr>
      </w:pPr>
      <w:r w:rsidRPr="00D630D1">
        <w:rPr>
          <w:rFonts w:ascii="宋体" w:hAnsi="宋体" w:cs="宋体" w:hint="eastAsia"/>
          <w:szCs w:val="24"/>
        </w:rPr>
        <w:t>②</w:t>
      </w:r>
      <w:r w:rsidRPr="00D630D1">
        <w:rPr>
          <w:szCs w:val="24"/>
        </w:rPr>
        <w:t>做好日常安全检查，定期检测罐体的完好情况，避免</w:t>
      </w:r>
      <w:r w:rsidR="00EF360A" w:rsidRPr="00D630D1">
        <w:rPr>
          <w:rFonts w:hint="eastAsia"/>
        </w:rPr>
        <w:t>压裂、洗井废水</w:t>
      </w:r>
      <w:r w:rsidR="002C3D53">
        <w:rPr>
          <w:rFonts w:hint="eastAsia"/>
        </w:rPr>
        <w:t>、气田水</w:t>
      </w:r>
      <w:r w:rsidRPr="00D630D1">
        <w:rPr>
          <w:szCs w:val="24"/>
        </w:rPr>
        <w:t>泄漏导致环境风险事故。定期检查</w:t>
      </w:r>
      <w:r w:rsidR="00EF360A" w:rsidRPr="00D630D1">
        <w:rPr>
          <w:kern w:val="2"/>
          <w:szCs w:val="22"/>
        </w:rPr>
        <w:t>污水缓冲罐</w:t>
      </w:r>
      <w:r w:rsidRPr="00D630D1">
        <w:rPr>
          <w:szCs w:val="24"/>
        </w:rPr>
        <w:t>安全保护系统（如截断阀、安全阀等），使管道在超压时能够得到安全处理。</w:t>
      </w:r>
    </w:p>
    <w:p w:rsidR="000713CB" w:rsidRPr="00D630D1" w:rsidRDefault="000713CB" w:rsidP="000637D9">
      <w:pPr>
        <w:pStyle w:val="afa"/>
        <w:ind w:firstLine="480"/>
        <w:rPr>
          <w:szCs w:val="24"/>
        </w:rPr>
      </w:pPr>
      <w:r w:rsidRPr="00D630D1">
        <w:rPr>
          <w:rFonts w:ascii="宋体" w:hAnsi="宋体" w:cs="宋体" w:hint="eastAsia"/>
          <w:szCs w:val="24"/>
        </w:rPr>
        <w:t>③</w:t>
      </w:r>
      <w:r w:rsidRPr="00D630D1">
        <w:rPr>
          <w:szCs w:val="24"/>
        </w:rPr>
        <w:t>站场内按要求储备灭火毯、干沙等消防用品，可用作泄漏时吸收之用。</w:t>
      </w:r>
    </w:p>
    <w:p w:rsidR="000713CB" w:rsidRPr="00D630D1" w:rsidRDefault="000713CB" w:rsidP="000637D9">
      <w:pPr>
        <w:pStyle w:val="afa"/>
        <w:ind w:firstLine="480"/>
      </w:pPr>
      <w:r w:rsidRPr="00D630D1">
        <w:rPr>
          <w:rFonts w:ascii="宋体" w:hAnsi="宋体" w:cs="宋体" w:hint="eastAsia"/>
          <w:szCs w:val="24"/>
        </w:rPr>
        <w:lastRenderedPageBreak/>
        <w:t>④</w:t>
      </w:r>
      <w:r w:rsidR="0021079D" w:rsidRPr="00D630D1">
        <w:t>在发现</w:t>
      </w:r>
      <w:r w:rsidR="00EF360A" w:rsidRPr="00D630D1">
        <w:rPr>
          <w:kern w:val="2"/>
          <w:szCs w:val="22"/>
        </w:rPr>
        <w:t>污水缓冲罐</w:t>
      </w:r>
      <w:r w:rsidR="0021079D" w:rsidRPr="00D630D1">
        <w:t>泄漏时立即进行截断，减小对地下水和土壤环境影响</w:t>
      </w:r>
      <w:r w:rsidRPr="00D630D1">
        <w:t>。</w:t>
      </w:r>
    </w:p>
    <w:p w:rsidR="00E312B2" w:rsidRPr="00D630D1" w:rsidRDefault="002C3D53" w:rsidP="00E312B2">
      <w:pPr>
        <w:pStyle w:val="a1"/>
        <w:ind w:firstLine="482"/>
        <w:rPr>
          <w:rFonts w:ascii="Times New Roman" w:cs="Times New Roman"/>
          <w:b/>
        </w:rPr>
      </w:pPr>
      <w:r>
        <w:rPr>
          <w:rFonts w:ascii="Times New Roman" w:cs="Times New Roman" w:hint="eastAsia"/>
          <w:b/>
        </w:rPr>
        <w:t>6</w:t>
      </w:r>
      <w:r w:rsidR="000713CB" w:rsidRPr="00D630D1">
        <w:rPr>
          <w:rFonts w:ascii="Times New Roman" w:cs="Times New Roman"/>
          <w:b/>
        </w:rPr>
        <w:t>、</w:t>
      </w:r>
      <w:r w:rsidR="00E312B2" w:rsidRPr="00D630D1">
        <w:rPr>
          <w:rFonts w:ascii="Times New Roman" w:cs="Times New Roman"/>
          <w:b/>
        </w:rPr>
        <w:t>特别强调的风险防范措施</w:t>
      </w:r>
    </w:p>
    <w:p w:rsidR="00E312B2" w:rsidRPr="00D630D1" w:rsidRDefault="00E312B2" w:rsidP="00E312B2">
      <w:pPr>
        <w:pStyle w:val="afa"/>
        <w:ind w:firstLine="480"/>
      </w:pPr>
      <w:r w:rsidRPr="00D630D1">
        <w:rPr>
          <w:rFonts w:ascii="宋体" w:hAnsi="宋体" w:cs="宋体" w:hint="eastAsia"/>
        </w:rPr>
        <w:t>①</w:t>
      </w:r>
      <w:r w:rsidRPr="00D630D1">
        <w:t>本工程所属</w:t>
      </w:r>
      <w:r w:rsidR="000713CB" w:rsidRPr="00D630D1">
        <w:t>公司</w:t>
      </w:r>
      <w:r w:rsidRPr="00D630D1">
        <w:t>应建立健全的义务消防组织，熟悉灭火作战方案，定期组织演练。应定期对消防设施、消防器材和灭火剂进行检查。灭火剂应每年全面检查一次，并定期更换。</w:t>
      </w:r>
    </w:p>
    <w:p w:rsidR="00E312B2" w:rsidRPr="00D630D1" w:rsidRDefault="00E312B2" w:rsidP="00E312B2">
      <w:pPr>
        <w:pStyle w:val="afa"/>
        <w:ind w:firstLine="480"/>
      </w:pPr>
      <w:r w:rsidRPr="00D630D1">
        <w:rPr>
          <w:rFonts w:ascii="宋体" w:hAnsi="宋体" w:cs="宋体" w:hint="eastAsia"/>
        </w:rPr>
        <w:t>②</w:t>
      </w:r>
      <w:r w:rsidRPr="00D630D1">
        <w:t>岗位值班人员和干部对消防器材和消防设备应作到懂原理、懂性能、懂结构、懂用途、会使用、会保养、会检查。</w:t>
      </w:r>
    </w:p>
    <w:p w:rsidR="00E312B2" w:rsidRPr="00D630D1" w:rsidRDefault="00E312B2" w:rsidP="00E312B2">
      <w:pPr>
        <w:pStyle w:val="afa"/>
        <w:ind w:firstLine="480"/>
      </w:pPr>
      <w:r w:rsidRPr="00D630D1">
        <w:rPr>
          <w:rFonts w:ascii="宋体" w:hAnsi="宋体" w:cs="宋体" w:hint="eastAsia"/>
        </w:rPr>
        <w:t>③</w:t>
      </w:r>
      <w:r w:rsidRPr="00D630D1">
        <w:t>对管道沿线周围的居民做好事故应急宣传，以保证一旦发生天然气泄漏事故时，居民作出正确反应。</w:t>
      </w:r>
    </w:p>
    <w:p w:rsidR="00E312B2" w:rsidRPr="00D630D1" w:rsidRDefault="00E312B2" w:rsidP="00E312B2">
      <w:pPr>
        <w:pStyle w:val="afa"/>
        <w:ind w:firstLine="480"/>
      </w:pPr>
      <w:r w:rsidRPr="00D630D1">
        <w:rPr>
          <w:rFonts w:ascii="宋体" w:hAnsi="宋体" w:cs="宋体" w:hint="eastAsia"/>
        </w:rPr>
        <w:t>④</w:t>
      </w:r>
      <w:r w:rsidRPr="00D630D1">
        <w:t>管道沿线人类活动频繁，管道沿线应标志清晰，巡线员定期巡线，发现危及管道安全的情况及时处理和汇报。</w:t>
      </w:r>
    </w:p>
    <w:p w:rsidR="00E312B2" w:rsidRPr="00D630D1" w:rsidRDefault="00E312B2" w:rsidP="00E312B2">
      <w:pPr>
        <w:pStyle w:val="afa"/>
        <w:ind w:firstLine="480"/>
      </w:pPr>
      <w:r w:rsidRPr="00D630D1">
        <w:rPr>
          <w:rFonts w:ascii="宋体" w:hAnsi="宋体" w:cs="宋体" w:hint="eastAsia"/>
        </w:rPr>
        <w:t>⑤</w:t>
      </w:r>
      <w:r w:rsidRPr="00D630D1">
        <w:t>对管道沿线的居民作好宣传，张贴《中华人民共和国石油天然气管道保护法》，加强居民保护管道安全的知识和意识。</w:t>
      </w:r>
    </w:p>
    <w:p w:rsidR="00E312B2" w:rsidRPr="00D630D1" w:rsidRDefault="00E312B2" w:rsidP="00E312B2">
      <w:pPr>
        <w:pStyle w:val="afa"/>
        <w:ind w:firstLine="480"/>
      </w:pPr>
      <w:r w:rsidRPr="00D630D1">
        <w:rPr>
          <w:rFonts w:ascii="宋体" w:hAnsi="宋体" w:cs="宋体" w:hint="eastAsia"/>
        </w:rPr>
        <w:t>⑥</w:t>
      </w:r>
      <w:r w:rsidRPr="00D630D1">
        <w:t>根据《石油天然气管道安全规程》的规定，管道使用单位应制定定期检验计划：除日常巡检外，一年至少一次外部检验，由使用单位专职人员进行；全面检验每五年一次，由专业检验单位承担。外部检验包括管道损伤、变形缺陷、管道防腐层、绝热层、管道附件、安全装置电法保护系统和管道标志桩、测试桩和标志牌等。</w:t>
      </w:r>
    </w:p>
    <w:p w:rsidR="00E312B2" w:rsidRPr="00D630D1" w:rsidRDefault="00E312B2" w:rsidP="00E312B2">
      <w:pPr>
        <w:pStyle w:val="afa"/>
        <w:ind w:firstLine="480"/>
      </w:pPr>
      <w:r w:rsidRPr="00D630D1">
        <w:rPr>
          <w:rFonts w:ascii="宋体" w:hAnsi="宋体" w:cs="宋体" w:hint="eastAsia"/>
        </w:rPr>
        <w:t>⑦</w:t>
      </w:r>
      <w:r w:rsidRPr="00D630D1">
        <w:t>管道防腐设备、检测仪器、仪表，应实行专人专责制，必须定期检定和正确使用。</w:t>
      </w:r>
    </w:p>
    <w:p w:rsidR="00E312B2" w:rsidRPr="00D630D1" w:rsidRDefault="00E312B2" w:rsidP="00E312B2">
      <w:pPr>
        <w:pStyle w:val="afa"/>
        <w:ind w:firstLine="480"/>
      </w:pPr>
      <w:r w:rsidRPr="00D630D1">
        <w:rPr>
          <w:rFonts w:ascii="宋体" w:hAnsi="宋体" w:cs="宋体" w:hint="eastAsia"/>
        </w:rPr>
        <w:t>⑧</w:t>
      </w:r>
      <w:r w:rsidRPr="00D630D1">
        <w:t>在今后的运营过程中，建设方必须保证沿线各标示装置、标示设施的完整，并对周边群众，可能涉及管线的施工单位、施工人员做好宣传教育工作；加强巡检工作，编制应急预案并按照预案内容进行定期演练，定期采用试压等方</w:t>
      </w:r>
      <w:r w:rsidR="002C3D53">
        <w:t>式检验管线的封闭性；同时还必须同</w:t>
      </w:r>
      <w:r w:rsidR="002C3D53">
        <w:rPr>
          <w:rFonts w:hint="eastAsia"/>
        </w:rPr>
        <w:t>宣汉</w:t>
      </w:r>
      <w:r w:rsidRPr="00D630D1">
        <w:t>县人民政府、规划部门、生态环境局等做好协调工作，避免将来在撤离范围内规划建设有人居住的建构筑物。</w:t>
      </w:r>
    </w:p>
    <w:p w:rsidR="00E312B2" w:rsidRPr="00D630D1" w:rsidRDefault="00E312B2" w:rsidP="00E312B2">
      <w:pPr>
        <w:pStyle w:val="afa"/>
        <w:ind w:firstLine="480"/>
      </w:pPr>
      <w:r w:rsidRPr="00D630D1">
        <w:rPr>
          <w:rFonts w:ascii="宋体" w:hAnsi="宋体" w:cs="宋体" w:hint="eastAsia"/>
        </w:rPr>
        <w:t>⑨</w:t>
      </w:r>
      <w:r w:rsidRPr="00D630D1">
        <w:t>建设单位应与当地有关部门做好沟通，并加强对管线沿线居民对管线保护的宣传工作，特别是加强宣传《中华人民共和国石油天然气管道保护法》：在管道</w:t>
      </w:r>
      <w:r w:rsidRPr="00D630D1">
        <w:t>5m</w:t>
      </w:r>
      <w:r w:rsidRPr="00D630D1">
        <w:t>范围内不得</w:t>
      </w:r>
      <w:r w:rsidRPr="00D630D1">
        <w:t>“</w:t>
      </w:r>
      <w:r w:rsidRPr="00D630D1">
        <w:t>取土、挖塘、修渠、修建养殖水场，排放腐蚀性物质，堆放大宗物资，采石、盖房、建温室、垒家禽棚圈、修筑其它建筑物、构筑物或者种</w:t>
      </w:r>
      <w:r w:rsidRPr="00D630D1">
        <w:lastRenderedPageBreak/>
        <w:t>植深根植物</w:t>
      </w:r>
      <w:r w:rsidRPr="00D630D1">
        <w:t>”</w:t>
      </w:r>
      <w:r w:rsidRPr="00D630D1">
        <w:t>的宣传。</w:t>
      </w:r>
    </w:p>
    <w:p w:rsidR="000713CB" w:rsidRPr="00D630D1" w:rsidRDefault="000713CB" w:rsidP="000713CB">
      <w:pPr>
        <w:pStyle w:val="2"/>
        <w:spacing w:before="120"/>
        <w:rPr>
          <w:rFonts w:cs="Times New Roman"/>
        </w:rPr>
      </w:pPr>
      <w:bookmarkStart w:id="574" w:name="_Toc81515302"/>
      <w:r w:rsidRPr="00D630D1">
        <w:rPr>
          <w:rFonts w:cs="Times New Roman"/>
        </w:rPr>
        <w:t xml:space="preserve">7.10 </w:t>
      </w:r>
      <w:r w:rsidRPr="00D630D1">
        <w:rPr>
          <w:rFonts w:cs="Times New Roman"/>
        </w:rPr>
        <w:t>事故应急预案</w:t>
      </w:r>
      <w:bookmarkEnd w:id="574"/>
    </w:p>
    <w:p w:rsidR="00117C3D" w:rsidRPr="00D630D1" w:rsidRDefault="00B13323">
      <w:pPr>
        <w:pStyle w:val="3"/>
        <w:rPr>
          <w:rFonts w:eastAsia="宋体"/>
        </w:rPr>
      </w:pPr>
      <w:bookmarkStart w:id="575" w:name="_Toc19816116"/>
      <w:bookmarkStart w:id="576" w:name="_Toc12288761"/>
      <w:r w:rsidRPr="00D630D1">
        <w:rPr>
          <w:rFonts w:eastAsia="宋体"/>
        </w:rPr>
        <w:t>7</w:t>
      </w:r>
      <w:r w:rsidR="008B5B84" w:rsidRPr="00D630D1">
        <w:rPr>
          <w:rFonts w:eastAsia="宋体"/>
        </w:rPr>
        <w:t>.</w:t>
      </w:r>
      <w:r w:rsidR="000713CB" w:rsidRPr="00D630D1">
        <w:rPr>
          <w:rFonts w:eastAsia="宋体"/>
        </w:rPr>
        <w:t>10</w:t>
      </w:r>
      <w:r w:rsidR="008B5B84" w:rsidRPr="00D630D1">
        <w:rPr>
          <w:rFonts w:eastAsia="宋体"/>
        </w:rPr>
        <w:t>.</w:t>
      </w:r>
      <w:r w:rsidR="000713CB" w:rsidRPr="00D630D1">
        <w:rPr>
          <w:rFonts w:eastAsia="宋体"/>
        </w:rPr>
        <w:t>1</w:t>
      </w:r>
      <w:bookmarkEnd w:id="575"/>
      <w:bookmarkEnd w:id="576"/>
      <w:r w:rsidR="00F6410F" w:rsidRPr="00D630D1">
        <w:rPr>
          <w:rFonts w:eastAsia="宋体"/>
        </w:rPr>
        <w:t xml:space="preserve"> </w:t>
      </w:r>
      <w:r w:rsidR="00F6410F" w:rsidRPr="00D630D1">
        <w:rPr>
          <w:rFonts w:eastAsia="宋体"/>
        </w:rPr>
        <w:t>普光分公司应急预案体系介绍</w:t>
      </w:r>
    </w:p>
    <w:p w:rsidR="00F6410F" w:rsidRPr="00D630D1" w:rsidRDefault="00F6410F" w:rsidP="00F6410F">
      <w:pPr>
        <w:ind w:firstLine="482"/>
        <w:rPr>
          <w:rFonts w:ascii="Times New Roman" w:cs="Times New Roman"/>
          <w:b/>
        </w:rPr>
      </w:pPr>
      <w:r w:rsidRPr="00D630D1">
        <w:rPr>
          <w:rFonts w:ascii="Times New Roman" w:cs="Times New Roman"/>
          <w:b/>
        </w:rPr>
        <w:t>1</w:t>
      </w:r>
      <w:r w:rsidRPr="00D630D1">
        <w:rPr>
          <w:rFonts w:ascii="Times New Roman" w:cs="Times New Roman"/>
          <w:b/>
        </w:rPr>
        <w:t>、备案情况</w:t>
      </w:r>
    </w:p>
    <w:p w:rsidR="00F6410F" w:rsidRPr="00D630D1" w:rsidRDefault="00F6410F" w:rsidP="00F6410F">
      <w:pPr>
        <w:pStyle w:val="afa"/>
        <w:ind w:firstLine="480"/>
      </w:pPr>
      <w:r w:rsidRPr="00D630D1">
        <w:t>中原油田普光分公司编制有《中原油田普光分公司环境应急预案（</w:t>
      </w:r>
      <w:r w:rsidRPr="00D630D1">
        <w:t>20</w:t>
      </w:r>
      <w:r w:rsidR="0021079D" w:rsidRPr="00D630D1">
        <w:rPr>
          <w:rFonts w:hint="eastAsia"/>
        </w:rPr>
        <w:t>21</w:t>
      </w:r>
      <w:r w:rsidRPr="00D630D1">
        <w:t>年</w:t>
      </w:r>
      <w:r w:rsidR="0021079D" w:rsidRPr="00D630D1">
        <w:rPr>
          <w:rFonts w:hint="eastAsia"/>
        </w:rPr>
        <w:t>6</w:t>
      </w:r>
      <w:r w:rsidRPr="00D630D1">
        <w:t>月》，</w:t>
      </w:r>
      <w:r w:rsidRPr="00D630D1">
        <w:t>20</w:t>
      </w:r>
      <w:r w:rsidR="0021079D" w:rsidRPr="00D630D1">
        <w:rPr>
          <w:rFonts w:hint="eastAsia"/>
        </w:rPr>
        <w:t>21</w:t>
      </w:r>
      <w:r w:rsidRPr="00D630D1">
        <w:t>年</w:t>
      </w:r>
      <w:r w:rsidR="0021079D" w:rsidRPr="00D630D1">
        <w:rPr>
          <w:rFonts w:hint="eastAsia"/>
        </w:rPr>
        <w:t>6</w:t>
      </w:r>
      <w:r w:rsidRPr="00D630D1">
        <w:t>月</w:t>
      </w:r>
      <w:r w:rsidR="0021079D" w:rsidRPr="00D630D1">
        <w:rPr>
          <w:rFonts w:hint="eastAsia"/>
        </w:rPr>
        <w:t>6</w:t>
      </w:r>
      <w:r w:rsidRPr="00D630D1">
        <w:t>日，达州市环保局同意备案（备案号：</w:t>
      </w:r>
      <w:r w:rsidRPr="00D630D1">
        <w:t>511722-20</w:t>
      </w:r>
      <w:r w:rsidR="0021079D" w:rsidRPr="00D630D1">
        <w:rPr>
          <w:rFonts w:hint="eastAsia"/>
        </w:rPr>
        <w:t>21</w:t>
      </w:r>
      <w:r w:rsidRPr="00D630D1">
        <w:t>-0</w:t>
      </w:r>
      <w:r w:rsidR="0021079D" w:rsidRPr="00D630D1">
        <w:rPr>
          <w:rFonts w:hint="eastAsia"/>
        </w:rPr>
        <w:t>12</w:t>
      </w:r>
      <w:r w:rsidRPr="00D630D1">
        <w:t>-L</w:t>
      </w:r>
      <w:r w:rsidRPr="00D630D1">
        <w:t>），详见附件。</w:t>
      </w:r>
    </w:p>
    <w:p w:rsidR="00117C3D" w:rsidRPr="00D630D1" w:rsidRDefault="00B13323">
      <w:pPr>
        <w:pStyle w:val="a1"/>
        <w:ind w:firstLine="482"/>
        <w:rPr>
          <w:rFonts w:ascii="Times New Roman" w:cs="Times New Roman"/>
          <w:b/>
        </w:rPr>
      </w:pPr>
      <w:bookmarkStart w:id="577" w:name="_Toc12288762"/>
      <w:r w:rsidRPr="00D630D1">
        <w:rPr>
          <w:rFonts w:ascii="Times New Roman" w:cs="Times New Roman"/>
          <w:b/>
        </w:rPr>
        <w:t>2</w:t>
      </w:r>
      <w:r w:rsidR="008B5B84" w:rsidRPr="00D630D1">
        <w:rPr>
          <w:rFonts w:ascii="Times New Roman" w:cs="Times New Roman"/>
          <w:b/>
        </w:rPr>
        <w:t>、</w:t>
      </w:r>
      <w:bookmarkEnd w:id="577"/>
      <w:r w:rsidR="00F6410F" w:rsidRPr="00D630D1">
        <w:rPr>
          <w:rFonts w:ascii="Times New Roman" w:cs="Times New Roman"/>
          <w:b/>
        </w:rPr>
        <w:t>应急预案体系</w:t>
      </w:r>
    </w:p>
    <w:p w:rsidR="00F6410F" w:rsidRPr="00D630D1" w:rsidRDefault="00F6410F">
      <w:pPr>
        <w:pStyle w:val="a1"/>
        <w:ind w:firstLine="482"/>
        <w:rPr>
          <w:rFonts w:ascii="Times New Roman" w:cs="Times New Roman"/>
          <w:b/>
        </w:rPr>
      </w:pPr>
      <w:r w:rsidRPr="00D630D1">
        <w:rPr>
          <w:rFonts w:ascii="Times New Roman" w:cs="Times New Roman"/>
          <w:b/>
        </w:rPr>
        <w:t>（</w:t>
      </w:r>
      <w:r w:rsidRPr="00D630D1">
        <w:rPr>
          <w:rFonts w:ascii="Times New Roman" w:cs="Times New Roman"/>
          <w:b/>
        </w:rPr>
        <w:t>1</w:t>
      </w:r>
      <w:r w:rsidRPr="00D630D1">
        <w:rPr>
          <w:rFonts w:ascii="Times New Roman" w:cs="Times New Roman"/>
          <w:b/>
        </w:rPr>
        <w:t>）体系介绍</w:t>
      </w:r>
    </w:p>
    <w:p w:rsidR="00F6410F" w:rsidRPr="00D630D1" w:rsidRDefault="00F6410F">
      <w:pPr>
        <w:pStyle w:val="a1"/>
        <w:ind w:firstLine="480"/>
        <w:rPr>
          <w:rFonts w:ascii="Times New Roman" w:cs="Times New Roman"/>
          <w:bCs/>
        </w:rPr>
      </w:pPr>
      <w:r w:rsidRPr="00D630D1">
        <w:rPr>
          <w:rFonts w:ascii="Times New Roman" w:cs="Times New Roman"/>
          <w:bCs/>
        </w:rPr>
        <w:t>普光分公司应急预案体系见图</w:t>
      </w:r>
      <w:r w:rsidRPr="00D630D1">
        <w:rPr>
          <w:rFonts w:ascii="Times New Roman" w:cs="Times New Roman"/>
          <w:bCs/>
        </w:rPr>
        <w:t>7.10-1</w:t>
      </w:r>
      <w:r w:rsidRPr="00D630D1">
        <w:rPr>
          <w:rFonts w:ascii="Times New Roman" w:cs="Times New Roman"/>
          <w:bCs/>
        </w:rPr>
        <w:t>。</w:t>
      </w:r>
    </w:p>
    <w:p w:rsidR="00F6410F" w:rsidRPr="00D630D1" w:rsidRDefault="001A254A" w:rsidP="00F6410F">
      <w:pPr>
        <w:pStyle w:val="10"/>
        <w:rPr>
          <w:rFonts w:cs="Times New Roman"/>
        </w:rPr>
      </w:pPr>
      <w:r w:rsidRPr="00D630D1">
        <w:rPr>
          <w:rFonts w:cs="Times New Roman"/>
          <w:noProof/>
        </w:rPr>
        <w:drawing>
          <wp:inline distT="0" distB="0" distL="0" distR="0">
            <wp:extent cx="4137660" cy="2641600"/>
            <wp:effectExtent l="19050" t="0" r="0" b="0"/>
            <wp:docPr id="6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128" cstate="print"/>
                    <a:srcRect/>
                    <a:stretch>
                      <a:fillRect/>
                    </a:stretch>
                  </pic:blipFill>
                  <pic:spPr bwMode="auto">
                    <a:xfrm>
                      <a:off x="0" y="0"/>
                      <a:ext cx="4137660" cy="2641600"/>
                    </a:xfrm>
                    <a:prstGeom prst="rect">
                      <a:avLst/>
                    </a:prstGeom>
                    <a:noFill/>
                    <a:ln w="9525">
                      <a:noFill/>
                      <a:miter lim="800000"/>
                      <a:headEnd/>
                      <a:tailEnd/>
                    </a:ln>
                  </pic:spPr>
                </pic:pic>
              </a:graphicData>
            </a:graphic>
          </wp:inline>
        </w:drawing>
      </w:r>
      <w:r w:rsidR="00F6410F" w:rsidRPr="00D630D1">
        <w:rPr>
          <w:rFonts w:cs="Times New Roman"/>
          <w:noProof/>
        </w:rPr>
        <w:t xml:space="preserve"> </w:t>
      </w:r>
    </w:p>
    <w:p w:rsidR="00F6410F" w:rsidRPr="00D630D1" w:rsidRDefault="00F6410F" w:rsidP="00F6410F">
      <w:pPr>
        <w:pStyle w:val="10"/>
        <w:rPr>
          <w:rFonts w:cs="Times New Roman"/>
        </w:rPr>
      </w:pPr>
      <w:bookmarkStart w:id="578" w:name="_Ref524704207"/>
      <w:r w:rsidRPr="00D630D1">
        <w:rPr>
          <w:rFonts w:cs="Times New Roman"/>
        </w:rPr>
        <w:t>图</w:t>
      </w:r>
      <w:r w:rsidR="009913C3" w:rsidRPr="00D630D1">
        <w:rPr>
          <w:rFonts w:cs="Times New Roman"/>
        </w:rPr>
        <w:fldChar w:fldCharType="begin"/>
      </w:r>
      <w:r w:rsidRPr="00D630D1">
        <w:rPr>
          <w:rFonts w:cs="Times New Roman"/>
        </w:rPr>
        <w:instrText xml:space="preserve"> STYLEREF 1 \s </w:instrText>
      </w:r>
      <w:r w:rsidR="009913C3" w:rsidRPr="00D630D1">
        <w:rPr>
          <w:rFonts w:cs="Times New Roman"/>
        </w:rPr>
        <w:fldChar w:fldCharType="separate"/>
      </w:r>
      <w:r w:rsidR="00DD022B" w:rsidRPr="00D630D1">
        <w:rPr>
          <w:rFonts w:cs="Times New Roman"/>
          <w:noProof/>
        </w:rPr>
        <w:t>0</w:t>
      </w:r>
      <w:r w:rsidR="009913C3" w:rsidRPr="00D630D1">
        <w:rPr>
          <w:rFonts w:cs="Times New Roman"/>
        </w:rPr>
        <w:fldChar w:fldCharType="end"/>
      </w:r>
      <w:r w:rsidRPr="00D630D1">
        <w:rPr>
          <w:rFonts w:cs="Times New Roman"/>
        </w:rPr>
        <w:t>.10</w:t>
      </w:r>
      <w:r w:rsidRPr="00D630D1">
        <w:rPr>
          <w:rFonts w:cs="Times New Roman"/>
        </w:rPr>
        <w:noBreakHyphen/>
      </w:r>
      <w:r w:rsidR="009913C3" w:rsidRPr="00D630D1">
        <w:rPr>
          <w:rFonts w:cs="Times New Roman"/>
        </w:rPr>
        <w:fldChar w:fldCharType="begin"/>
      </w:r>
      <w:r w:rsidRPr="00D630D1">
        <w:rPr>
          <w:rFonts w:cs="Times New Roman"/>
        </w:rPr>
        <w:instrText xml:space="preserve"> SEQ </w:instrText>
      </w:r>
      <w:r w:rsidRPr="00D630D1">
        <w:rPr>
          <w:rFonts w:cs="Times New Roman"/>
        </w:rPr>
        <w:instrText>图</w:instrText>
      </w:r>
      <w:r w:rsidRPr="00D630D1">
        <w:rPr>
          <w:rFonts w:cs="Times New Roman"/>
        </w:rPr>
        <w:instrText xml:space="preserve"> \* ARABIC \s 1 </w:instrText>
      </w:r>
      <w:r w:rsidR="009913C3" w:rsidRPr="00D630D1">
        <w:rPr>
          <w:rFonts w:cs="Times New Roman"/>
        </w:rPr>
        <w:fldChar w:fldCharType="separate"/>
      </w:r>
      <w:r w:rsidR="00DD022B" w:rsidRPr="00D630D1">
        <w:rPr>
          <w:rFonts w:cs="Times New Roman"/>
          <w:noProof/>
        </w:rPr>
        <w:t>1</w:t>
      </w:r>
      <w:r w:rsidR="009913C3" w:rsidRPr="00D630D1">
        <w:rPr>
          <w:rFonts w:cs="Times New Roman"/>
        </w:rPr>
        <w:fldChar w:fldCharType="end"/>
      </w:r>
      <w:bookmarkEnd w:id="578"/>
      <w:r w:rsidRPr="00D630D1">
        <w:rPr>
          <w:rFonts w:cs="Times New Roman"/>
        </w:rPr>
        <w:t xml:space="preserve">  </w:t>
      </w:r>
      <w:r w:rsidRPr="00D630D1">
        <w:rPr>
          <w:rFonts w:cs="Times New Roman"/>
        </w:rPr>
        <w:t>普光分公司应急预案体系图</w:t>
      </w:r>
    </w:p>
    <w:p w:rsidR="00F6410F" w:rsidRPr="00D630D1" w:rsidRDefault="00F6410F" w:rsidP="00F6410F">
      <w:pPr>
        <w:pStyle w:val="afa"/>
        <w:ind w:firstLine="480"/>
      </w:pPr>
      <w:r w:rsidRPr="00D630D1">
        <w:t>专项应急预案包括高含</w:t>
      </w:r>
      <w:r w:rsidRPr="00D630D1">
        <w:t>H</w:t>
      </w:r>
      <w:r w:rsidRPr="00D630D1">
        <w:rPr>
          <w:vertAlign w:val="subscript"/>
        </w:rPr>
        <w:t>2</w:t>
      </w:r>
      <w:r w:rsidRPr="00D630D1">
        <w:t>S</w:t>
      </w:r>
      <w:r w:rsidRPr="00D630D1">
        <w:t>泄漏环境应急预案、火灾爆炸环境应急预案、水体环境污染应急预案、大气环境污染应急预案等。此外，普光分公司应急救援中心还编制了水体污染事件环境应急监测预案和</w:t>
      </w:r>
      <w:r w:rsidRPr="00D630D1">
        <w:t>H</w:t>
      </w:r>
      <w:r w:rsidRPr="00D630D1">
        <w:rPr>
          <w:vertAlign w:val="subscript"/>
        </w:rPr>
        <w:t>2</w:t>
      </w:r>
      <w:r w:rsidRPr="00D630D1">
        <w:t>S</w:t>
      </w:r>
      <w:r w:rsidRPr="00D630D1">
        <w:t>泄漏应急监测预案。</w:t>
      </w:r>
    </w:p>
    <w:p w:rsidR="00F6410F" w:rsidRPr="00D630D1" w:rsidRDefault="00F6410F">
      <w:pPr>
        <w:pStyle w:val="a1"/>
        <w:ind w:firstLine="482"/>
        <w:rPr>
          <w:rFonts w:ascii="Times New Roman" w:cs="Times New Roman"/>
          <w:b/>
        </w:rPr>
      </w:pPr>
      <w:r w:rsidRPr="00D630D1">
        <w:rPr>
          <w:rFonts w:ascii="Times New Roman" w:cs="Times New Roman"/>
          <w:b/>
        </w:rPr>
        <w:t>（</w:t>
      </w:r>
      <w:r w:rsidRPr="00D630D1">
        <w:rPr>
          <w:rFonts w:ascii="Times New Roman" w:cs="Times New Roman"/>
          <w:b/>
        </w:rPr>
        <w:t>2</w:t>
      </w:r>
      <w:r w:rsidRPr="00D630D1">
        <w:rPr>
          <w:rFonts w:ascii="Times New Roman" w:cs="Times New Roman"/>
          <w:b/>
        </w:rPr>
        <w:t>）普光分公司应急预案</w:t>
      </w:r>
    </w:p>
    <w:p w:rsidR="00F6410F" w:rsidRPr="00D630D1" w:rsidRDefault="00F6410F" w:rsidP="00F6410F">
      <w:pPr>
        <w:pStyle w:val="afa"/>
        <w:ind w:firstLine="480"/>
      </w:pPr>
      <w:r w:rsidRPr="00D630D1">
        <w:t>普光分公司综合应急预案框架见</w:t>
      </w:r>
      <w:fldSimple w:instr=" REF _Ref473017352 \h  \* MERGEFORMAT ">
        <w:r w:rsidR="00DD022B" w:rsidRPr="00D630D1">
          <w:t>图</w:t>
        </w:r>
        <w:r w:rsidR="00DD022B" w:rsidRPr="00D630D1">
          <w:t>0.10</w:t>
        </w:r>
        <w:r w:rsidR="00DD022B" w:rsidRPr="00D630D1">
          <w:noBreakHyphen/>
          <w:t>2</w:t>
        </w:r>
      </w:fldSimple>
      <w:r w:rsidRPr="00D630D1">
        <w:t>，普光分公司专项应急预案框架见</w:t>
      </w:r>
      <w:fldSimple w:instr=" REF _Ref473017362 \h  \* MERGEFORMAT ">
        <w:r w:rsidR="00DD022B" w:rsidRPr="00D630D1">
          <w:t>图</w:t>
        </w:r>
        <w:r w:rsidR="00DD022B" w:rsidRPr="00D630D1">
          <w:t>0.10</w:t>
        </w:r>
        <w:r w:rsidR="00DD022B" w:rsidRPr="00D630D1">
          <w:noBreakHyphen/>
          <w:t>3</w:t>
        </w:r>
      </w:fldSimple>
      <w:r w:rsidRPr="00D630D1">
        <w:t>。</w:t>
      </w:r>
    </w:p>
    <w:p w:rsidR="00F6410F" w:rsidRPr="00D630D1" w:rsidRDefault="001A254A" w:rsidP="00F6410F">
      <w:pPr>
        <w:pStyle w:val="10"/>
        <w:rPr>
          <w:rFonts w:cs="Times New Roman"/>
        </w:rPr>
      </w:pPr>
      <w:r w:rsidRPr="00D630D1">
        <w:rPr>
          <w:rFonts w:cs="Times New Roman"/>
          <w:noProof/>
        </w:rPr>
        <w:lastRenderedPageBreak/>
        <w:drawing>
          <wp:inline distT="0" distB="0" distL="0" distR="0">
            <wp:extent cx="5273675" cy="5883275"/>
            <wp:effectExtent l="19050" t="0" r="3175" b="0"/>
            <wp:docPr id="62" name="图片 28" descr="综合应急预案框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综合应急预案框架图.jpg"/>
                    <pic:cNvPicPr>
                      <a:picLocks noChangeAspect="1" noChangeArrowheads="1"/>
                    </pic:cNvPicPr>
                  </pic:nvPicPr>
                  <pic:blipFill>
                    <a:blip r:embed="rId129" cstate="print"/>
                    <a:srcRect/>
                    <a:stretch>
                      <a:fillRect/>
                    </a:stretch>
                  </pic:blipFill>
                  <pic:spPr bwMode="auto">
                    <a:xfrm>
                      <a:off x="0" y="0"/>
                      <a:ext cx="5273675" cy="5883275"/>
                    </a:xfrm>
                    <a:prstGeom prst="rect">
                      <a:avLst/>
                    </a:prstGeom>
                    <a:noFill/>
                    <a:ln w="9525">
                      <a:noFill/>
                      <a:miter lim="800000"/>
                      <a:headEnd/>
                      <a:tailEnd/>
                    </a:ln>
                  </pic:spPr>
                </pic:pic>
              </a:graphicData>
            </a:graphic>
          </wp:inline>
        </w:drawing>
      </w:r>
    </w:p>
    <w:p w:rsidR="00F6410F" w:rsidRPr="00D630D1" w:rsidRDefault="00F6410F" w:rsidP="00F6410F">
      <w:pPr>
        <w:pStyle w:val="10"/>
        <w:rPr>
          <w:rFonts w:cs="Times New Roman"/>
        </w:rPr>
      </w:pPr>
      <w:bookmarkStart w:id="579" w:name="_Ref473017352"/>
      <w:r w:rsidRPr="00D630D1">
        <w:rPr>
          <w:rFonts w:cs="Times New Roman"/>
        </w:rPr>
        <w:t>图</w:t>
      </w:r>
      <w:r w:rsidR="009913C3" w:rsidRPr="00D630D1">
        <w:rPr>
          <w:rFonts w:cs="Times New Roman"/>
        </w:rPr>
        <w:fldChar w:fldCharType="begin"/>
      </w:r>
      <w:r w:rsidRPr="00D630D1">
        <w:rPr>
          <w:rFonts w:cs="Times New Roman"/>
        </w:rPr>
        <w:instrText xml:space="preserve"> STYLEREF 1 \s </w:instrText>
      </w:r>
      <w:r w:rsidR="009913C3" w:rsidRPr="00D630D1">
        <w:rPr>
          <w:rFonts w:cs="Times New Roman"/>
        </w:rPr>
        <w:fldChar w:fldCharType="separate"/>
      </w:r>
      <w:r w:rsidR="00DD022B" w:rsidRPr="00D630D1">
        <w:rPr>
          <w:rFonts w:cs="Times New Roman"/>
          <w:noProof/>
        </w:rPr>
        <w:t>0</w:t>
      </w:r>
      <w:r w:rsidR="009913C3" w:rsidRPr="00D630D1">
        <w:rPr>
          <w:rFonts w:cs="Times New Roman"/>
        </w:rPr>
        <w:fldChar w:fldCharType="end"/>
      </w:r>
      <w:r w:rsidRPr="00D630D1">
        <w:rPr>
          <w:rFonts w:cs="Times New Roman"/>
        </w:rPr>
        <w:t>.10</w:t>
      </w:r>
      <w:r w:rsidRPr="00D630D1">
        <w:rPr>
          <w:rFonts w:cs="Times New Roman"/>
        </w:rPr>
        <w:noBreakHyphen/>
      </w:r>
      <w:r w:rsidR="009913C3" w:rsidRPr="00D630D1">
        <w:rPr>
          <w:rFonts w:cs="Times New Roman"/>
        </w:rPr>
        <w:fldChar w:fldCharType="begin"/>
      </w:r>
      <w:r w:rsidRPr="00D630D1">
        <w:rPr>
          <w:rFonts w:cs="Times New Roman"/>
        </w:rPr>
        <w:instrText xml:space="preserve"> SEQ </w:instrText>
      </w:r>
      <w:r w:rsidRPr="00D630D1">
        <w:rPr>
          <w:rFonts w:cs="Times New Roman"/>
        </w:rPr>
        <w:instrText>图</w:instrText>
      </w:r>
      <w:r w:rsidRPr="00D630D1">
        <w:rPr>
          <w:rFonts w:cs="Times New Roman"/>
        </w:rPr>
        <w:instrText xml:space="preserve"> \* ARABIC \s 1 </w:instrText>
      </w:r>
      <w:r w:rsidR="009913C3" w:rsidRPr="00D630D1">
        <w:rPr>
          <w:rFonts w:cs="Times New Roman"/>
        </w:rPr>
        <w:fldChar w:fldCharType="separate"/>
      </w:r>
      <w:r w:rsidR="00DD022B" w:rsidRPr="00D630D1">
        <w:rPr>
          <w:rFonts w:cs="Times New Roman"/>
          <w:noProof/>
        </w:rPr>
        <w:t>2</w:t>
      </w:r>
      <w:r w:rsidR="009913C3" w:rsidRPr="00D630D1">
        <w:rPr>
          <w:rFonts w:cs="Times New Roman"/>
        </w:rPr>
        <w:fldChar w:fldCharType="end"/>
      </w:r>
      <w:bookmarkEnd w:id="579"/>
      <w:r w:rsidRPr="00D630D1">
        <w:rPr>
          <w:rFonts w:cs="Times New Roman"/>
        </w:rPr>
        <w:t xml:space="preserve">  </w:t>
      </w:r>
      <w:r w:rsidRPr="00D630D1">
        <w:rPr>
          <w:rFonts w:cs="Times New Roman"/>
        </w:rPr>
        <w:t>普光分公司综合应急预案框架图</w:t>
      </w:r>
    </w:p>
    <w:p w:rsidR="00F6410F" w:rsidRPr="00D630D1" w:rsidRDefault="001A254A" w:rsidP="00F6410F">
      <w:pPr>
        <w:pStyle w:val="10"/>
        <w:rPr>
          <w:rFonts w:cs="Times New Roman"/>
        </w:rPr>
      </w:pPr>
      <w:r w:rsidRPr="00D630D1">
        <w:rPr>
          <w:rFonts w:cs="Times New Roman"/>
          <w:noProof/>
        </w:rPr>
        <w:lastRenderedPageBreak/>
        <w:drawing>
          <wp:inline distT="0" distB="0" distL="0" distR="0">
            <wp:extent cx="5144770" cy="5754370"/>
            <wp:effectExtent l="19050" t="0" r="0" b="0"/>
            <wp:docPr id="63" name="图片 33" descr="应急预案结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应急预案结构图.jpg"/>
                    <pic:cNvPicPr>
                      <a:picLocks noChangeAspect="1" noChangeArrowheads="1"/>
                    </pic:cNvPicPr>
                  </pic:nvPicPr>
                  <pic:blipFill>
                    <a:blip r:embed="rId130" cstate="print"/>
                    <a:srcRect/>
                    <a:stretch>
                      <a:fillRect/>
                    </a:stretch>
                  </pic:blipFill>
                  <pic:spPr bwMode="auto">
                    <a:xfrm>
                      <a:off x="0" y="0"/>
                      <a:ext cx="5144770" cy="5754370"/>
                    </a:xfrm>
                    <a:prstGeom prst="rect">
                      <a:avLst/>
                    </a:prstGeom>
                    <a:noFill/>
                    <a:ln w="9525">
                      <a:noFill/>
                      <a:miter lim="800000"/>
                      <a:headEnd/>
                      <a:tailEnd/>
                    </a:ln>
                  </pic:spPr>
                </pic:pic>
              </a:graphicData>
            </a:graphic>
          </wp:inline>
        </w:drawing>
      </w:r>
    </w:p>
    <w:p w:rsidR="00F6410F" w:rsidRPr="00D630D1" w:rsidRDefault="00F6410F" w:rsidP="00F6410F">
      <w:pPr>
        <w:pStyle w:val="10"/>
        <w:rPr>
          <w:rFonts w:cs="Times New Roman"/>
        </w:rPr>
      </w:pPr>
      <w:bookmarkStart w:id="580" w:name="_Ref473017362"/>
      <w:r w:rsidRPr="00D630D1">
        <w:rPr>
          <w:rFonts w:cs="Times New Roman"/>
        </w:rPr>
        <w:t>图</w:t>
      </w:r>
      <w:r w:rsidR="009913C3" w:rsidRPr="00D630D1">
        <w:rPr>
          <w:rFonts w:cs="Times New Roman"/>
        </w:rPr>
        <w:fldChar w:fldCharType="begin"/>
      </w:r>
      <w:r w:rsidRPr="00D630D1">
        <w:rPr>
          <w:rFonts w:cs="Times New Roman"/>
        </w:rPr>
        <w:instrText xml:space="preserve"> STYLEREF 1 \s </w:instrText>
      </w:r>
      <w:r w:rsidR="009913C3" w:rsidRPr="00D630D1">
        <w:rPr>
          <w:rFonts w:cs="Times New Roman"/>
        </w:rPr>
        <w:fldChar w:fldCharType="separate"/>
      </w:r>
      <w:r w:rsidR="00DD022B" w:rsidRPr="00D630D1">
        <w:rPr>
          <w:rFonts w:cs="Times New Roman"/>
          <w:noProof/>
        </w:rPr>
        <w:t>0</w:t>
      </w:r>
      <w:r w:rsidR="009913C3" w:rsidRPr="00D630D1">
        <w:rPr>
          <w:rFonts w:cs="Times New Roman"/>
        </w:rPr>
        <w:fldChar w:fldCharType="end"/>
      </w:r>
      <w:r w:rsidRPr="00D630D1">
        <w:rPr>
          <w:rFonts w:cs="Times New Roman"/>
        </w:rPr>
        <w:t>.10</w:t>
      </w:r>
      <w:r w:rsidRPr="00D630D1">
        <w:rPr>
          <w:rFonts w:cs="Times New Roman"/>
        </w:rPr>
        <w:noBreakHyphen/>
      </w:r>
      <w:r w:rsidR="009913C3" w:rsidRPr="00D630D1">
        <w:rPr>
          <w:rFonts w:cs="Times New Roman"/>
        </w:rPr>
        <w:fldChar w:fldCharType="begin"/>
      </w:r>
      <w:r w:rsidRPr="00D630D1">
        <w:rPr>
          <w:rFonts w:cs="Times New Roman"/>
        </w:rPr>
        <w:instrText xml:space="preserve"> SEQ </w:instrText>
      </w:r>
      <w:r w:rsidRPr="00D630D1">
        <w:rPr>
          <w:rFonts w:cs="Times New Roman"/>
        </w:rPr>
        <w:instrText>图</w:instrText>
      </w:r>
      <w:r w:rsidRPr="00D630D1">
        <w:rPr>
          <w:rFonts w:cs="Times New Roman"/>
        </w:rPr>
        <w:instrText xml:space="preserve"> \* ARABIC \s 1 </w:instrText>
      </w:r>
      <w:r w:rsidR="009913C3" w:rsidRPr="00D630D1">
        <w:rPr>
          <w:rFonts w:cs="Times New Roman"/>
        </w:rPr>
        <w:fldChar w:fldCharType="separate"/>
      </w:r>
      <w:r w:rsidR="00DD022B" w:rsidRPr="00D630D1">
        <w:rPr>
          <w:rFonts w:cs="Times New Roman"/>
          <w:noProof/>
        </w:rPr>
        <w:t>3</w:t>
      </w:r>
      <w:r w:rsidR="009913C3" w:rsidRPr="00D630D1">
        <w:rPr>
          <w:rFonts w:cs="Times New Roman"/>
        </w:rPr>
        <w:fldChar w:fldCharType="end"/>
      </w:r>
      <w:bookmarkEnd w:id="580"/>
      <w:r w:rsidRPr="00D630D1">
        <w:rPr>
          <w:rFonts w:cs="Times New Roman"/>
        </w:rPr>
        <w:t xml:space="preserve">  </w:t>
      </w:r>
      <w:r w:rsidRPr="00D630D1">
        <w:rPr>
          <w:rFonts w:cs="Times New Roman"/>
        </w:rPr>
        <w:t>普光分公司专项应急预案框架图</w:t>
      </w:r>
    </w:p>
    <w:p w:rsidR="00F6410F" w:rsidRPr="00D630D1" w:rsidRDefault="00F6410F" w:rsidP="00F6410F">
      <w:pPr>
        <w:pStyle w:val="a1"/>
        <w:ind w:firstLine="482"/>
        <w:rPr>
          <w:rFonts w:ascii="Times New Roman" w:cs="Times New Roman"/>
          <w:b/>
        </w:rPr>
      </w:pPr>
      <w:r w:rsidRPr="00D630D1">
        <w:rPr>
          <w:rFonts w:ascii="Times New Roman" w:cs="Times New Roman"/>
          <w:b/>
        </w:rPr>
        <w:t>3</w:t>
      </w:r>
      <w:r w:rsidRPr="00D630D1">
        <w:rPr>
          <w:rFonts w:ascii="Times New Roman" w:cs="Times New Roman"/>
          <w:b/>
        </w:rPr>
        <w:t>、普光分公司应急组织机构</w:t>
      </w:r>
    </w:p>
    <w:p w:rsidR="00F6410F" w:rsidRPr="00D630D1" w:rsidRDefault="001A254A" w:rsidP="00F6410F">
      <w:pPr>
        <w:pStyle w:val="10"/>
        <w:rPr>
          <w:rFonts w:cs="Times New Roman"/>
        </w:rPr>
      </w:pPr>
      <w:r w:rsidRPr="00D630D1">
        <w:rPr>
          <w:rFonts w:cs="Times New Roman"/>
          <w:noProof/>
        </w:rPr>
        <w:lastRenderedPageBreak/>
        <w:drawing>
          <wp:inline distT="0" distB="0" distL="0" distR="0">
            <wp:extent cx="5273675" cy="4202430"/>
            <wp:effectExtent l="19050" t="0" r="3175" b="0"/>
            <wp:docPr id="6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131" cstate="print"/>
                    <a:srcRect/>
                    <a:stretch>
                      <a:fillRect/>
                    </a:stretch>
                  </pic:blipFill>
                  <pic:spPr bwMode="auto">
                    <a:xfrm>
                      <a:off x="0" y="0"/>
                      <a:ext cx="5273675" cy="4202430"/>
                    </a:xfrm>
                    <a:prstGeom prst="rect">
                      <a:avLst/>
                    </a:prstGeom>
                    <a:noFill/>
                    <a:ln w="9525">
                      <a:noFill/>
                      <a:miter lim="800000"/>
                      <a:headEnd/>
                      <a:tailEnd/>
                    </a:ln>
                  </pic:spPr>
                </pic:pic>
              </a:graphicData>
            </a:graphic>
          </wp:inline>
        </w:drawing>
      </w:r>
    </w:p>
    <w:p w:rsidR="00F6410F" w:rsidRPr="00D630D1" w:rsidRDefault="00F6410F" w:rsidP="00F6410F">
      <w:pPr>
        <w:pStyle w:val="10"/>
        <w:rPr>
          <w:rFonts w:cs="Times New Roman"/>
        </w:rPr>
      </w:pPr>
      <w:bookmarkStart w:id="581" w:name="_Ref524448984"/>
      <w:r w:rsidRPr="00D630D1">
        <w:rPr>
          <w:rFonts w:cs="Times New Roman"/>
        </w:rPr>
        <w:t>图</w:t>
      </w:r>
      <w:r w:rsidR="009913C3" w:rsidRPr="00D630D1">
        <w:rPr>
          <w:rFonts w:cs="Times New Roman"/>
        </w:rPr>
        <w:fldChar w:fldCharType="begin"/>
      </w:r>
      <w:r w:rsidRPr="00D630D1">
        <w:rPr>
          <w:rFonts w:cs="Times New Roman"/>
        </w:rPr>
        <w:instrText xml:space="preserve"> STYLEREF 1 \s </w:instrText>
      </w:r>
      <w:r w:rsidR="009913C3" w:rsidRPr="00D630D1">
        <w:rPr>
          <w:rFonts w:cs="Times New Roman"/>
        </w:rPr>
        <w:fldChar w:fldCharType="separate"/>
      </w:r>
      <w:r w:rsidR="00DD022B" w:rsidRPr="00D630D1">
        <w:rPr>
          <w:rFonts w:cs="Times New Roman"/>
          <w:noProof/>
        </w:rPr>
        <w:t>0</w:t>
      </w:r>
      <w:r w:rsidR="009913C3" w:rsidRPr="00D630D1">
        <w:rPr>
          <w:rFonts w:cs="Times New Roman"/>
        </w:rPr>
        <w:fldChar w:fldCharType="end"/>
      </w:r>
      <w:r w:rsidRPr="00D630D1">
        <w:rPr>
          <w:rFonts w:cs="Times New Roman"/>
        </w:rPr>
        <w:t>.10</w:t>
      </w:r>
      <w:r w:rsidRPr="00D630D1">
        <w:rPr>
          <w:rFonts w:cs="Times New Roman"/>
        </w:rPr>
        <w:noBreakHyphen/>
      </w:r>
      <w:r w:rsidR="009913C3" w:rsidRPr="00D630D1">
        <w:rPr>
          <w:rFonts w:cs="Times New Roman"/>
        </w:rPr>
        <w:fldChar w:fldCharType="begin"/>
      </w:r>
      <w:r w:rsidRPr="00D630D1">
        <w:rPr>
          <w:rFonts w:cs="Times New Roman"/>
        </w:rPr>
        <w:instrText xml:space="preserve"> SEQ </w:instrText>
      </w:r>
      <w:r w:rsidRPr="00D630D1">
        <w:rPr>
          <w:rFonts w:cs="Times New Roman"/>
        </w:rPr>
        <w:instrText>图</w:instrText>
      </w:r>
      <w:r w:rsidRPr="00D630D1">
        <w:rPr>
          <w:rFonts w:cs="Times New Roman"/>
        </w:rPr>
        <w:instrText xml:space="preserve"> \* ARABIC \s 1 </w:instrText>
      </w:r>
      <w:r w:rsidR="009913C3" w:rsidRPr="00D630D1">
        <w:rPr>
          <w:rFonts w:cs="Times New Roman"/>
        </w:rPr>
        <w:fldChar w:fldCharType="separate"/>
      </w:r>
      <w:r w:rsidR="00DD022B" w:rsidRPr="00D630D1">
        <w:rPr>
          <w:rFonts w:cs="Times New Roman"/>
          <w:noProof/>
        </w:rPr>
        <w:t>4</w:t>
      </w:r>
      <w:r w:rsidR="009913C3" w:rsidRPr="00D630D1">
        <w:rPr>
          <w:rFonts w:cs="Times New Roman"/>
        </w:rPr>
        <w:fldChar w:fldCharType="end"/>
      </w:r>
      <w:bookmarkEnd w:id="581"/>
      <w:r w:rsidRPr="00D630D1">
        <w:rPr>
          <w:rFonts w:cs="Times New Roman"/>
        </w:rPr>
        <w:t xml:space="preserve">  </w:t>
      </w:r>
      <w:r w:rsidRPr="00D630D1">
        <w:rPr>
          <w:rFonts w:cs="Times New Roman"/>
        </w:rPr>
        <w:t>应急管理组织机构框图</w:t>
      </w:r>
    </w:p>
    <w:p w:rsidR="00F6410F" w:rsidRPr="00D630D1" w:rsidRDefault="00F6410F" w:rsidP="00F6410F">
      <w:pPr>
        <w:pStyle w:val="a1"/>
        <w:ind w:firstLine="482"/>
        <w:rPr>
          <w:rFonts w:ascii="Times New Roman" w:cs="Times New Roman"/>
          <w:b/>
        </w:rPr>
      </w:pPr>
      <w:r w:rsidRPr="00D630D1">
        <w:rPr>
          <w:rFonts w:ascii="Times New Roman" w:cs="Times New Roman"/>
          <w:b/>
        </w:rPr>
        <w:t>4</w:t>
      </w:r>
      <w:r w:rsidRPr="00D630D1">
        <w:rPr>
          <w:rFonts w:ascii="Times New Roman" w:cs="Times New Roman"/>
          <w:b/>
        </w:rPr>
        <w:t>、应急响应</w:t>
      </w:r>
    </w:p>
    <w:p w:rsidR="00F6410F" w:rsidRPr="00D630D1" w:rsidRDefault="00F6410F" w:rsidP="00F6410F">
      <w:pPr>
        <w:pStyle w:val="afa"/>
        <w:ind w:firstLine="480"/>
      </w:pPr>
      <w:r w:rsidRPr="00D630D1">
        <w:t>（</w:t>
      </w:r>
      <w:r w:rsidRPr="00D630D1">
        <w:t>1</w:t>
      </w:r>
      <w:r w:rsidRPr="00D630D1">
        <w:t>）分类与分级</w:t>
      </w:r>
    </w:p>
    <w:p w:rsidR="00F6410F" w:rsidRPr="00D630D1" w:rsidRDefault="00F6410F" w:rsidP="00F6410F">
      <w:pPr>
        <w:pStyle w:val="afa"/>
        <w:ind w:firstLine="480"/>
      </w:pPr>
      <w:r w:rsidRPr="00D630D1">
        <w:rPr>
          <w:rFonts w:ascii="宋体" w:hAnsi="宋体" w:cs="宋体" w:hint="eastAsia"/>
        </w:rPr>
        <w:t>①</w:t>
      </w:r>
      <w:r w:rsidRPr="00D630D1">
        <w:t>分类</w:t>
      </w:r>
    </w:p>
    <w:p w:rsidR="00F6410F" w:rsidRPr="00D630D1" w:rsidRDefault="00F6410F" w:rsidP="00F6410F">
      <w:pPr>
        <w:pStyle w:val="afa"/>
        <w:ind w:firstLine="480"/>
      </w:pPr>
      <w:r w:rsidRPr="00D630D1">
        <w:t>分公司各所属单位应根据应急事件的发生过程、性质和机理，按照工业生产事件、公共卫生事件、自然灾害事件和社会安全事件的类别，经危害识别、风险评估，确定单位内可能发生或易发生的应急事件。</w:t>
      </w:r>
    </w:p>
    <w:p w:rsidR="00F6410F" w:rsidRPr="00D630D1" w:rsidRDefault="00F6410F" w:rsidP="00F6410F">
      <w:pPr>
        <w:pStyle w:val="afa"/>
        <w:ind w:firstLine="480"/>
      </w:pPr>
      <w:r w:rsidRPr="00D630D1">
        <w:rPr>
          <w:rFonts w:ascii="宋体" w:hAnsi="宋体" w:cs="宋体" w:hint="eastAsia"/>
        </w:rPr>
        <w:t>②</w:t>
      </w:r>
      <w:r w:rsidRPr="00D630D1">
        <w:t>分级</w:t>
      </w:r>
    </w:p>
    <w:p w:rsidR="00F6410F" w:rsidRPr="00D630D1" w:rsidRDefault="00F6410F" w:rsidP="00F6410F">
      <w:pPr>
        <w:pStyle w:val="afa"/>
        <w:ind w:firstLine="480"/>
      </w:pPr>
      <w:r w:rsidRPr="00D630D1">
        <w:t>为了有效处置各类突发事件，按照突发事件的性质、危害程度、可控性、影响范围、人员伤亡和财产损失等因素，并依据机构设置情况，由高到低分为五个级别：</w:t>
      </w:r>
      <w:r w:rsidRPr="00D630D1">
        <w:t>Ⅰ</w:t>
      </w:r>
      <w:r w:rsidRPr="00D630D1">
        <w:t>（中国石化）级、</w:t>
      </w:r>
      <w:r w:rsidRPr="00D630D1">
        <w:t>Ⅱ</w:t>
      </w:r>
      <w:r w:rsidRPr="00D630D1">
        <w:t>（中原油田）级、</w:t>
      </w:r>
      <w:r w:rsidRPr="00D630D1">
        <w:t>Ⅲ</w:t>
      </w:r>
      <w:r w:rsidRPr="00D630D1">
        <w:t>（分公司）级、</w:t>
      </w:r>
      <w:r w:rsidRPr="00D630D1">
        <w:t>Ⅳ</w:t>
      </w:r>
      <w:r w:rsidRPr="00D630D1">
        <w:t>（厂）级、</w:t>
      </w:r>
      <w:r w:rsidRPr="00D630D1">
        <w:t>Ⅴ</w:t>
      </w:r>
      <w:r w:rsidRPr="00D630D1">
        <w:t>（车间、区）级等。</w:t>
      </w:r>
    </w:p>
    <w:p w:rsidR="00F6410F" w:rsidRPr="00D630D1" w:rsidRDefault="00F6410F" w:rsidP="00F6410F">
      <w:pPr>
        <w:pStyle w:val="afa"/>
        <w:ind w:firstLine="480"/>
      </w:pPr>
      <w:r w:rsidRPr="00D630D1">
        <w:t>（</w:t>
      </w:r>
      <w:r w:rsidRPr="00D630D1">
        <w:t>2</w:t>
      </w:r>
      <w:r w:rsidRPr="00D630D1">
        <w:t>）响应程序</w:t>
      </w:r>
    </w:p>
    <w:p w:rsidR="00F6410F" w:rsidRPr="00D630D1" w:rsidRDefault="00F6410F" w:rsidP="00F6410F">
      <w:pPr>
        <w:pStyle w:val="afa"/>
        <w:ind w:firstLine="480"/>
      </w:pPr>
      <w:r w:rsidRPr="00D630D1">
        <w:rPr>
          <w:rFonts w:ascii="宋体" w:hAnsi="宋体" w:cs="宋体" w:hint="eastAsia"/>
        </w:rPr>
        <w:t>①</w:t>
      </w:r>
      <w:r w:rsidRPr="00D630D1">
        <w:t>应急启动条件</w:t>
      </w:r>
    </w:p>
    <w:p w:rsidR="00F6410F" w:rsidRPr="00D630D1" w:rsidRDefault="00F6410F" w:rsidP="00F6410F">
      <w:pPr>
        <w:pStyle w:val="afa"/>
        <w:ind w:firstLine="480"/>
      </w:pPr>
      <w:r w:rsidRPr="00D630D1">
        <w:t>符合以下条件之一时，应启动本预案：</w:t>
      </w:r>
    </w:p>
    <w:p w:rsidR="00F6410F" w:rsidRPr="00D630D1" w:rsidRDefault="00F6410F" w:rsidP="00F6410F">
      <w:pPr>
        <w:pStyle w:val="afa"/>
        <w:ind w:firstLine="480"/>
      </w:pPr>
      <w:r w:rsidRPr="00D630D1">
        <w:lastRenderedPageBreak/>
        <w:t>a</w:t>
      </w:r>
      <w:r w:rsidRPr="00D630D1">
        <w:t>）中原油田要求分公司启动应急预案时；</w:t>
      </w:r>
    </w:p>
    <w:p w:rsidR="00F6410F" w:rsidRPr="00D630D1" w:rsidRDefault="00F6410F" w:rsidP="00F6410F">
      <w:pPr>
        <w:pStyle w:val="afa"/>
        <w:ind w:firstLine="480"/>
      </w:pPr>
      <w:r w:rsidRPr="00D630D1">
        <w:t>b</w:t>
      </w:r>
      <w:r w:rsidRPr="00D630D1">
        <w:t>）市、县级人民政府要求分公司启动应急预案时；</w:t>
      </w:r>
    </w:p>
    <w:p w:rsidR="00F6410F" w:rsidRPr="00D630D1" w:rsidRDefault="00F6410F" w:rsidP="00F6410F">
      <w:pPr>
        <w:pStyle w:val="afa"/>
        <w:ind w:firstLine="480"/>
      </w:pPr>
      <w:r w:rsidRPr="00D630D1">
        <w:t>c</w:t>
      </w:r>
      <w:r w:rsidRPr="00D630D1">
        <w:t>）发生</w:t>
      </w:r>
      <w:r w:rsidRPr="00D630D1">
        <w:t>Ⅲ</w:t>
      </w:r>
      <w:r w:rsidRPr="00D630D1">
        <w:t>（分公司）级及</w:t>
      </w:r>
      <w:r w:rsidRPr="00D630D1">
        <w:t>Ⅲ</w:t>
      </w:r>
      <w:r w:rsidRPr="00D630D1">
        <w:t>级以上事件时；</w:t>
      </w:r>
    </w:p>
    <w:p w:rsidR="00F6410F" w:rsidRPr="00D630D1" w:rsidRDefault="00F6410F" w:rsidP="00F6410F">
      <w:pPr>
        <w:pStyle w:val="afa"/>
        <w:ind w:firstLine="480"/>
      </w:pPr>
      <w:r w:rsidRPr="00D630D1">
        <w:t>d</w:t>
      </w:r>
      <w:r w:rsidRPr="00D630D1">
        <w:t>）所属单位请求时。</w:t>
      </w:r>
    </w:p>
    <w:p w:rsidR="00F6410F" w:rsidRPr="00D630D1" w:rsidRDefault="00F6410F" w:rsidP="00F6410F">
      <w:pPr>
        <w:pStyle w:val="afa"/>
        <w:ind w:firstLine="480"/>
      </w:pPr>
      <w:r w:rsidRPr="00D630D1">
        <w:rPr>
          <w:rFonts w:ascii="宋体" w:hAnsi="宋体" w:cs="宋体" w:hint="eastAsia"/>
        </w:rPr>
        <w:t>②</w:t>
      </w:r>
      <w:r w:rsidRPr="00D630D1">
        <w:t>应急指令</w:t>
      </w:r>
    </w:p>
    <w:p w:rsidR="00F6410F" w:rsidRPr="00D630D1" w:rsidRDefault="00F6410F" w:rsidP="00F6410F">
      <w:pPr>
        <w:pStyle w:val="afa"/>
        <w:ind w:firstLine="480"/>
      </w:pPr>
      <w:r w:rsidRPr="00D630D1">
        <w:t>发生突发事件时，应急指令下达程序见下图。</w:t>
      </w:r>
    </w:p>
    <w:p w:rsidR="00F6410F" w:rsidRPr="00D630D1" w:rsidRDefault="001A254A" w:rsidP="008825E9">
      <w:pPr>
        <w:pStyle w:val="10"/>
        <w:rPr>
          <w:rFonts w:cs="Times New Roman"/>
        </w:rPr>
      </w:pPr>
      <w:r w:rsidRPr="00D630D1">
        <w:rPr>
          <w:rFonts w:cs="Times New Roman"/>
          <w:noProof/>
        </w:rPr>
        <w:drawing>
          <wp:inline distT="0" distB="0" distL="0" distR="0">
            <wp:extent cx="5273675" cy="4932045"/>
            <wp:effectExtent l="19050" t="0" r="3175" b="0"/>
            <wp:docPr id="6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132" cstate="print"/>
                    <a:srcRect/>
                    <a:stretch>
                      <a:fillRect/>
                    </a:stretch>
                  </pic:blipFill>
                  <pic:spPr bwMode="auto">
                    <a:xfrm>
                      <a:off x="0" y="0"/>
                      <a:ext cx="5273675" cy="4932045"/>
                    </a:xfrm>
                    <a:prstGeom prst="rect">
                      <a:avLst/>
                    </a:prstGeom>
                    <a:noFill/>
                    <a:ln w="9525">
                      <a:noFill/>
                      <a:miter lim="800000"/>
                      <a:headEnd/>
                      <a:tailEnd/>
                    </a:ln>
                  </pic:spPr>
                </pic:pic>
              </a:graphicData>
            </a:graphic>
          </wp:inline>
        </w:drawing>
      </w:r>
    </w:p>
    <w:p w:rsidR="008825E9" w:rsidRPr="00D630D1" w:rsidRDefault="008825E9" w:rsidP="008825E9">
      <w:pPr>
        <w:pStyle w:val="10"/>
        <w:rPr>
          <w:rFonts w:cs="Times New Roman"/>
        </w:rPr>
      </w:pPr>
      <w:r w:rsidRPr="00D630D1">
        <w:rPr>
          <w:rFonts w:cs="Times New Roman"/>
        </w:rPr>
        <w:t>图</w:t>
      </w:r>
      <w:r w:rsidRPr="00D630D1">
        <w:rPr>
          <w:rFonts w:cs="Times New Roman"/>
        </w:rPr>
        <w:t xml:space="preserve">7.10-5  </w:t>
      </w:r>
      <w:r w:rsidRPr="00D630D1">
        <w:rPr>
          <w:rFonts w:cs="Times New Roman"/>
        </w:rPr>
        <w:t>普光分公司应急指令下达程序框图</w:t>
      </w:r>
    </w:p>
    <w:p w:rsidR="008825E9" w:rsidRPr="00D630D1" w:rsidRDefault="008825E9" w:rsidP="008825E9">
      <w:pPr>
        <w:pStyle w:val="afa"/>
        <w:ind w:firstLine="480"/>
      </w:pPr>
      <w:r w:rsidRPr="00D630D1">
        <w:rPr>
          <w:rFonts w:ascii="宋体" w:hAnsi="宋体" w:cs="宋体" w:hint="eastAsia"/>
        </w:rPr>
        <w:t>③</w:t>
      </w:r>
      <w:r w:rsidRPr="00D630D1">
        <w:t>应急处置</w:t>
      </w:r>
    </w:p>
    <w:p w:rsidR="008825E9" w:rsidRPr="00D630D1" w:rsidRDefault="008825E9" w:rsidP="008825E9">
      <w:pPr>
        <w:pStyle w:val="afa"/>
        <w:ind w:firstLine="480"/>
      </w:pPr>
      <w:r w:rsidRPr="00D630D1">
        <w:t>当符合应急预案启动条件时，分公司应急指挥中心应立即下达启动本预案的指令，并按照本预案中相应专项应急预案的要求实施应急处置。</w:t>
      </w:r>
    </w:p>
    <w:p w:rsidR="008825E9" w:rsidRPr="00D630D1" w:rsidRDefault="008825E9" w:rsidP="008825E9">
      <w:pPr>
        <w:pStyle w:val="afa"/>
        <w:ind w:firstLine="480"/>
      </w:pPr>
      <w:r w:rsidRPr="00D630D1">
        <w:t>当事件难以控制时，分公司应急指挥中心应请求启动相应的应急预案，并向市级政府应急管理办公室报告，请求支援。</w:t>
      </w:r>
    </w:p>
    <w:p w:rsidR="008825E9" w:rsidRPr="00D630D1" w:rsidRDefault="008825E9" w:rsidP="008825E9">
      <w:pPr>
        <w:pStyle w:val="a1"/>
        <w:ind w:firstLine="482"/>
        <w:rPr>
          <w:rFonts w:ascii="Times New Roman" w:cs="Times New Roman"/>
          <w:b/>
        </w:rPr>
      </w:pPr>
      <w:r w:rsidRPr="00D630D1">
        <w:rPr>
          <w:rFonts w:ascii="Times New Roman" w:cs="Times New Roman"/>
          <w:b/>
        </w:rPr>
        <w:t>5</w:t>
      </w:r>
      <w:r w:rsidRPr="00D630D1">
        <w:rPr>
          <w:rFonts w:ascii="Times New Roman" w:cs="Times New Roman"/>
          <w:b/>
        </w:rPr>
        <w:t>、应急结束</w:t>
      </w:r>
    </w:p>
    <w:p w:rsidR="008825E9" w:rsidRPr="00D630D1" w:rsidRDefault="008825E9" w:rsidP="008825E9">
      <w:pPr>
        <w:pStyle w:val="afa"/>
        <w:ind w:firstLine="480"/>
      </w:pPr>
      <w:r w:rsidRPr="00D630D1">
        <w:lastRenderedPageBreak/>
        <w:t>经应急处置后，现场应急指挥部确认满足专项应急预案终止条件时，向分公司应急指挥中心报告，分公司应急指挥中心可下达应急终止指令。</w:t>
      </w:r>
    </w:p>
    <w:p w:rsidR="008825E9" w:rsidRPr="00D630D1" w:rsidRDefault="008825E9" w:rsidP="008825E9">
      <w:pPr>
        <w:pStyle w:val="afa"/>
        <w:ind w:firstLine="480"/>
      </w:pPr>
      <w:r w:rsidRPr="00D630D1">
        <w:t>应急终止后，现场应急指挥部负责编写应急总结，应急指挥中心办公室负责对现场应急指挥部的应急总结、值班记录等资料进行汇总、归档，经理办公室负责起草分公司应急指挥中心的应急总结上报材料。现场应急指挥部向事件调查组移交相关材料。分公司应急指挥中心负责向中原油田上报应急总结。</w:t>
      </w:r>
    </w:p>
    <w:p w:rsidR="008825E9" w:rsidRPr="00D630D1" w:rsidRDefault="008825E9" w:rsidP="008825E9">
      <w:pPr>
        <w:pStyle w:val="a1"/>
        <w:ind w:firstLine="482"/>
        <w:rPr>
          <w:rFonts w:ascii="Times New Roman" w:cs="Times New Roman"/>
          <w:b/>
        </w:rPr>
      </w:pPr>
      <w:r w:rsidRPr="00D630D1">
        <w:rPr>
          <w:rFonts w:ascii="Times New Roman" w:cs="Times New Roman"/>
          <w:b/>
        </w:rPr>
        <w:t>6</w:t>
      </w:r>
      <w:r w:rsidRPr="00D630D1">
        <w:rPr>
          <w:rFonts w:ascii="Times New Roman" w:cs="Times New Roman"/>
          <w:b/>
        </w:rPr>
        <w:t>、应急保障</w:t>
      </w:r>
    </w:p>
    <w:p w:rsidR="008825E9" w:rsidRPr="00D630D1" w:rsidRDefault="008825E9" w:rsidP="008825E9">
      <w:pPr>
        <w:pStyle w:val="afa"/>
        <w:ind w:firstLine="480"/>
      </w:pPr>
      <w:r w:rsidRPr="00D630D1">
        <w:t>（</w:t>
      </w:r>
      <w:r w:rsidRPr="00D630D1">
        <w:t>1</w:t>
      </w:r>
      <w:r w:rsidRPr="00D630D1">
        <w:t>）应急队伍保障</w:t>
      </w:r>
    </w:p>
    <w:p w:rsidR="008825E9" w:rsidRPr="00D630D1" w:rsidRDefault="008825E9" w:rsidP="008825E9">
      <w:pPr>
        <w:pStyle w:val="afa"/>
        <w:ind w:firstLine="480"/>
      </w:pPr>
      <w:r w:rsidRPr="00D630D1">
        <w:t>分公司应急救援队伍由采气厂、净化厂、应急救援中心和社会应急资源组成。应急队伍配备必要的人员、装备等，平时加强应急队伍的业务培训和应急演练，提高应急人员业务水平；与社会应急资源签订互助协议，提供应急期间的消气防、医疗卫生、治安保卫、交通维护和运输等应急救援力量的保障。</w:t>
      </w:r>
    </w:p>
    <w:p w:rsidR="008825E9" w:rsidRPr="00D630D1" w:rsidRDefault="008825E9" w:rsidP="008825E9">
      <w:pPr>
        <w:pStyle w:val="afa"/>
        <w:ind w:firstLine="480"/>
      </w:pPr>
      <w:r w:rsidRPr="00D630D1">
        <w:t>（</w:t>
      </w:r>
      <w:r w:rsidRPr="00D630D1">
        <w:t>2</w:t>
      </w:r>
      <w:r w:rsidRPr="00D630D1">
        <w:t>）财力保障</w:t>
      </w:r>
    </w:p>
    <w:p w:rsidR="008825E9" w:rsidRPr="00D630D1" w:rsidRDefault="008825E9" w:rsidP="008825E9">
      <w:pPr>
        <w:pStyle w:val="afa"/>
        <w:ind w:firstLine="480"/>
      </w:pPr>
      <w:r w:rsidRPr="00D630D1">
        <w:t>事件处置过程中的费用，由计划财务部门负责保障；事件应急处置结束后，各级应急指挥中心办公室对应急处置费用进行整理汇总，计划财务部给予核销。</w:t>
      </w:r>
    </w:p>
    <w:p w:rsidR="008825E9" w:rsidRPr="00D630D1" w:rsidRDefault="008825E9" w:rsidP="008825E9">
      <w:pPr>
        <w:pStyle w:val="afa"/>
        <w:ind w:firstLine="480"/>
      </w:pPr>
      <w:r w:rsidRPr="00D630D1">
        <w:t>（</w:t>
      </w:r>
      <w:r w:rsidRPr="00D630D1">
        <w:t>3</w:t>
      </w:r>
      <w:r w:rsidRPr="00D630D1">
        <w:t>）物资保障</w:t>
      </w:r>
    </w:p>
    <w:p w:rsidR="008825E9" w:rsidRPr="00D630D1" w:rsidRDefault="008825E9" w:rsidP="008825E9">
      <w:pPr>
        <w:pStyle w:val="afa"/>
        <w:ind w:firstLine="480"/>
      </w:pPr>
      <w:r w:rsidRPr="00D630D1">
        <w:t>分公司应急物资由物资保障部应急物资、应急救援中心应急物资、所属单位应急物资和社会救援物资组成。为满足应急处置的需求，同社会救援物资单位签订协议，在应急状态下，由分公司应急指挥中心统一调配使用。</w:t>
      </w:r>
    </w:p>
    <w:p w:rsidR="008825E9" w:rsidRPr="00D630D1" w:rsidRDefault="008825E9" w:rsidP="008825E9">
      <w:pPr>
        <w:pStyle w:val="afa"/>
        <w:ind w:firstLine="480"/>
      </w:pPr>
      <w:r w:rsidRPr="00D630D1">
        <w:t>（</w:t>
      </w:r>
      <w:r w:rsidRPr="00D630D1">
        <w:t>4</w:t>
      </w:r>
      <w:r w:rsidRPr="00D630D1">
        <w:t>）通讯保障</w:t>
      </w:r>
    </w:p>
    <w:p w:rsidR="008825E9" w:rsidRPr="00D630D1" w:rsidRDefault="008825E9" w:rsidP="008825E9">
      <w:pPr>
        <w:pStyle w:val="afa"/>
        <w:ind w:firstLine="480"/>
      </w:pPr>
      <w:r w:rsidRPr="00D630D1">
        <w:t>生产服务中心负责建立、完善应急通讯网络系统，在应急工作中确保应急通信畅通。</w:t>
      </w:r>
    </w:p>
    <w:p w:rsidR="008825E9" w:rsidRPr="00D630D1" w:rsidRDefault="008825E9" w:rsidP="008825E9">
      <w:pPr>
        <w:pStyle w:val="afa"/>
        <w:ind w:firstLine="480"/>
      </w:pPr>
      <w:r w:rsidRPr="00D630D1">
        <w:t>（</w:t>
      </w:r>
      <w:r w:rsidRPr="00D630D1">
        <w:t>5</w:t>
      </w:r>
      <w:r w:rsidRPr="00D630D1">
        <w:t>）技术保障</w:t>
      </w:r>
    </w:p>
    <w:p w:rsidR="008825E9" w:rsidRPr="00D630D1" w:rsidRDefault="008825E9" w:rsidP="008825E9">
      <w:pPr>
        <w:pStyle w:val="afa"/>
        <w:ind w:firstLine="480"/>
      </w:pPr>
      <w:r w:rsidRPr="00D630D1">
        <w:t>天然气技术管理部负责建立由各专业领域技术、经验丰富的人员组成技术专家组，结合事故发生厂所属技术力量，为事故的应急处置提供技术支持。</w:t>
      </w:r>
    </w:p>
    <w:p w:rsidR="008825E9" w:rsidRPr="00D630D1" w:rsidRDefault="008825E9" w:rsidP="008825E9">
      <w:pPr>
        <w:pStyle w:val="afa"/>
        <w:ind w:firstLine="480"/>
      </w:pPr>
      <w:r w:rsidRPr="00D630D1">
        <w:t>（</w:t>
      </w:r>
      <w:r w:rsidRPr="00D630D1">
        <w:t>6</w:t>
      </w:r>
      <w:r w:rsidRPr="00D630D1">
        <w:t>）基本生活保障</w:t>
      </w:r>
    </w:p>
    <w:p w:rsidR="008825E9" w:rsidRPr="00D630D1" w:rsidRDefault="008825E9" w:rsidP="008825E9">
      <w:pPr>
        <w:pStyle w:val="afa"/>
        <w:ind w:firstLine="480"/>
      </w:pPr>
      <w:r w:rsidRPr="00D630D1">
        <w:t>分公司应急指挥中心应会同事发地人民政府做好抢险队伍、受灾员工和疏散群众的基本生活保障工作。</w:t>
      </w:r>
    </w:p>
    <w:p w:rsidR="008825E9" w:rsidRPr="00D630D1" w:rsidRDefault="008825E9" w:rsidP="008825E9">
      <w:pPr>
        <w:pStyle w:val="afa"/>
        <w:ind w:firstLine="480"/>
      </w:pPr>
      <w:r w:rsidRPr="00D630D1">
        <w:t>（</w:t>
      </w:r>
      <w:r w:rsidRPr="00D630D1">
        <w:t>7</w:t>
      </w:r>
      <w:r w:rsidRPr="00D630D1">
        <w:t>）人员防护</w:t>
      </w:r>
    </w:p>
    <w:p w:rsidR="008825E9" w:rsidRPr="00D630D1" w:rsidRDefault="008825E9" w:rsidP="008825E9">
      <w:pPr>
        <w:pStyle w:val="afa"/>
        <w:ind w:firstLine="480"/>
      </w:pPr>
      <w:r w:rsidRPr="00D630D1">
        <w:lastRenderedPageBreak/>
        <w:t>按照国家法律法规、标准、规范的要求，应急救援人员配备安全职业防护装备，严格按照救援程序开展应急救援工作，确保人员安全。在生产区域内岗位人员配备安全职业防护装备，建立紧急集合点。</w:t>
      </w:r>
    </w:p>
    <w:p w:rsidR="005B5E45" w:rsidRPr="00D630D1" w:rsidRDefault="005B5E45" w:rsidP="005B5E45">
      <w:pPr>
        <w:pStyle w:val="a1"/>
        <w:ind w:firstLine="482"/>
        <w:rPr>
          <w:rFonts w:ascii="Times New Roman" w:cs="Times New Roman"/>
          <w:b/>
        </w:rPr>
      </w:pPr>
      <w:r w:rsidRPr="00D630D1">
        <w:rPr>
          <w:rFonts w:ascii="Times New Roman" w:cs="Times New Roman" w:hint="eastAsia"/>
          <w:b/>
        </w:rPr>
        <w:t>7</w:t>
      </w:r>
      <w:r w:rsidRPr="00D630D1">
        <w:rPr>
          <w:rFonts w:ascii="Times New Roman" w:cs="Times New Roman"/>
          <w:b/>
        </w:rPr>
        <w:t>、</w:t>
      </w:r>
      <w:r w:rsidRPr="00D630D1">
        <w:rPr>
          <w:rFonts w:ascii="Times New Roman" w:cs="Times New Roman" w:hint="eastAsia"/>
          <w:b/>
        </w:rPr>
        <w:t>培训</w:t>
      </w:r>
      <w:r w:rsidRPr="00D630D1">
        <w:rPr>
          <w:rFonts w:ascii="Times New Roman" w:cs="Times New Roman"/>
          <w:b/>
        </w:rPr>
        <w:t>与演练</w:t>
      </w:r>
    </w:p>
    <w:p w:rsidR="005B5E45" w:rsidRPr="00D630D1" w:rsidRDefault="005B5E45" w:rsidP="005B5E45">
      <w:pPr>
        <w:pStyle w:val="afa"/>
        <w:ind w:firstLine="480"/>
      </w:pPr>
      <w:r w:rsidRPr="00D630D1">
        <w:rPr>
          <w:rFonts w:hint="eastAsia"/>
        </w:rPr>
        <w:t>1</w:t>
      </w:r>
      <w:r w:rsidRPr="00D630D1">
        <w:rPr>
          <w:rFonts w:hint="eastAsia"/>
        </w:rPr>
        <w:t>）宣传和培训</w:t>
      </w:r>
    </w:p>
    <w:p w:rsidR="005B5E45" w:rsidRPr="00D630D1" w:rsidRDefault="005B5E45" w:rsidP="005B5E45">
      <w:pPr>
        <w:pStyle w:val="afa"/>
        <w:ind w:firstLine="480"/>
      </w:pPr>
      <w:r w:rsidRPr="00D630D1">
        <w:rPr>
          <w:rFonts w:hint="eastAsia"/>
        </w:rPr>
        <w:t>党群工作部会同相关职能部门，通过各种宣传手段，对分公司员工和周边公众广泛宣传应急法律法规和应急常识。</w:t>
      </w:r>
    </w:p>
    <w:p w:rsidR="005B5E45" w:rsidRPr="00D630D1" w:rsidRDefault="005B5E45" w:rsidP="005B5E45">
      <w:pPr>
        <w:pStyle w:val="afa"/>
        <w:ind w:firstLine="480"/>
      </w:pPr>
      <w:r w:rsidRPr="00D630D1">
        <w:rPr>
          <w:rFonts w:hint="eastAsia"/>
        </w:rPr>
        <w:t>HSE</w:t>
      </w:r>
      <w:r w:rsidRPr="00D630D1">
        <w:rPr>
          <w:rFonts w:hint="eastAsia"/>
        </w:rPr>
        <w:t>监督管理部应组织编制对各类专业应急人员、企业员工的年度培训计划，由人力资源部负责组织实施。</w:t>
      </w:r>
    </w:p>
    <w:p w:rsidR="005B5E45" w:rsidRPr="00D630D1" w:rsidRDefault="005B5E45" w:rsidP="005B5E45">
      <w:pPr>
        <w:pStyle w:val="afa"/>
        <w:ind w:firstLine="480"/>
      </w:pPr>
      <w:r w:rsidRPr="00D630D1">
        <w:rPr>
          <w:rFonts w:hint="eastAsia"/>
        </w:rPr>
        <w:t>2</w:t>
      </w:r>
      <w:r w:rsidRPr="00D630D1">
        <w:rPr>
          <w:rFonts w:hint="eastAsia"/>
        </w:rPr>
        <w:t>）</w:t>
      </w:r>
      <w:r w:rsidRPr="00D630D1">
        <w:t>预案演练</w:t>
      </w:r>
    </w:p>
    <w:p w:rsidR="005B5E45" w:rsidRPr="00D630D1" w:rsidRDefault="005B5E45" w:rsidP="005B5E45">
      <w:pPr>
        <w:pStyle w:val="afa"/>
        <w:ind w:firstLine="480"/>
      </w:pPr>
      <w:r w:rsidRPr="00D630D1">
        <w:rPr>
          <w:rFonts w:hint="eastAsia"/>
        </w:rPr>
        <w:t>普光分公司预案演练每年不少于一次。应急指挥中心办公室应做好演练方案的策划。演练结束后做好总结。</w:t>
      </w:r>
    </w:p>
    <w:p w:rsidR="008825E9" w:rsidRPr="00D630D1" w:rsidRDefault="008825E9" w:rsidP="008825E9">
      <w:pPr>
        <w:pStyle w:val="3"/>
        <w:rPr>
          <w:rFonts w:eastAsia="宋体"/>
        </w:rPr>
      </w:pPr>
      <w:r w:rsidRPr="00D630D1">
        <w:rPr>
          <w:rFonts w:eastAsia="宋体"/>
        </w:rPr>
        <w:t xml:space="preserve">7.10.2 </w:t>
      </w:r>
      <w:r w:rsidRPr="00D630D1">
        <w:rPr>
          <w:rFonts w:eastAsia="宋体"/>
        </w:rPr>
        <w:t>本项目环境风险应急预案</w:t>
      </w:r>
    </w:p>
    <w:p w:rsidR="00426806" w:rsidRPr="00D630D1" w:rsidRDefault="008825E9" w:rsidP="008825E9">
      <w:pPr>
        <w:pStyle w:val="afa"/>
        <w:ind w:firstLine="480"/>
      </w:pPr>
      <w:r w:rsidRPr="00D630D1">
        <w:t>根据前述环境风险事故分析，本次评价将针对本项目钻井作业的特点，结合企业制定的应急预案，提出环境风险事故应急预案编制要求，供企业及有关部门参考。</w:t>
      </w:r>
      <w:r w:rsidR="00426806" w:rsidRPr="00D630D1">
        <w:rPr>
          <w:rFonts w:hint="eastAsia"/>
        </w:rPr>
        <w:t>见</w:t>
      </w:r>
      <w:fldSimple w:instr=" REF _Ref524449032 \h  \* MERGEFORMAT ">
        <w:r w:rsidR="00426806" w:rsidRPr="00D630D1">
          <w:rPr>
            <w:rFonts w:hint="eastAsia"/>
          </w:rPr>
          <w:t>表</w:t>
        </w:r>
        <w:r w:rsidR="00426806" w:rsidRPr="00D630D1">
          <w:rPr>
            <w:noProof/>
          </w:rPr>
          <w:t>7</w:t>
        </w:r>
        <w:r w:rsidR="00426806" w:rsidRPr="00D630D1">
          <w:rPr>
            <w:rFonts w:hint="eastAsia"/>
            <w:noProof/>
          </w:rPr>
          <w:t>.10</w:t>
        </w:r>
        <w:r w:rsidR="00426806" w:rsidRPr="00D630D1">
          <w:noBreakHyphen/>
        </w:r>
        <w:r w:rsidR="00426806" w:rsidRPr="00D630D1">
          <w:rPr>
            <w:noProof/>
          </w:rPr>
          <w:t>1</w:t>
        </w:r>
      </w:fldSimple>
      <w:r w:rsidR="00426806" w:rsidRPr="00D630D1">
        <w:rPr>
          <w:rFonts w:hint="eastAsia"/>
        </w:rPr>
        <w:t>。</w:t>
      </w:r>
    </w:p>
    <w:p w:rsidR="00426806" w:rsidRPr="00D630D1" w:rsidRDefault="00426806" w:rsidP="00F96E37">
      <w:pPr>
        <w:widowControl/>
        <w:topLinePunct w:val="0"/>
        <w:snapToGrid w:val="0"/>
        <w:spacing w:beforeLines="50"/>
        <w:ind w:firstLineChars="0" w:firstLine="0"/>
        <w:jc w:val="center"/>
        <w:rPr>
          <w:rFonts w:ascii="Times New Roman" w:cs="Times New Roman"/>
          <w:b/>
          <w:kern w:val="2"/>
          <w:sz w:val="21"/>
          <w:szCs w:val="20"/>
        </w:rPr>
      </w:pPr>
      <w:bookmarkStart w:id="582" w:name="_Ref524449032"/>
      <w:r w:rsidRPr="00D630D1">
        <w:rPr>
          <w:rFonts w:ascii="Times New Roman" w:cs="Times New Roman"/>
          <w:b/>
          <w:kern w:val="2"/>
          <w:sz w:val="21"/>
          <w:szCs w:val="20"/>
        </w:rPr>
        <w:t>表</w:t>
      </w:r>
      <w:r w:rsidR="009913C3" w:rsidRPr="00D630D1">
        <w:rPr>
          <w:rFonts w:ascii="Times New Roman" w:cs="Times New Roman"/>
          <w:b/>
          <w:kern w:val="2"/>
          <w:sz w:val="21"/>
          <w:szCs w:val="20"/>
        </w:rPr>
        <w:fldChar w:fldCharType="begin"/>
      </w:r>
      <w:r w:rsidRPr="00D630D1">
        <w:rPr>
          <w:rFonts w:ascii="Times New Roman" w:cs="Times New Roman"/>
          <w:b/>
          <w:kern w:val="2"/>
          <w:sz w:val="21"/>
          <w:szCs w:val="20"/>
        </w:rPr>
        <w:instrText xml:space="preserve"> STYLEREF 1 \s </w:instrText>
      </w:r>
      <w:r w:rsidR="009913C3" w:rsidRPr="00D630D1">
        <w:rPr>
          <w:rFonts w:ascii="Times New Roman" w:cs="Times New Roman"/>
          <w:b/>
          <w:kern w:val="2"/>
          <w:sz w:val="21"/>
          <w:szCs w:val="20"/>
        </w:rPr>
        <w:fldChar w:fldCharType="separate"/>
      </w:r>
      <w:r w:rsidRPr="00D630D1">
        <w:rPr>
          <w:rFonts w:ascii="Times New Roman" w:cs="Times New Roman"/>
          <w:b/>
          <w:noProof/>
          <w:kern w:val="2"/>
          <w:sz w:val="21"/>
          <w:szCs w:val="20"/>
        </w:rPr>
        <w:t>7</w:t>
      </w:r>
      <w:r w:rsidR="009913C3" w:rsidRPr="00D630D1">
        <w:rPr>
          <w:rFonts w:ascii="Times New Roman" w:cs="Times New Roman"/>
          <w:b/>
          <w:kern w:val="2"/>
          <w:sz w:val="21"/>
          <w:szCs w:val="20"/>
        </w:rPr>
        <w:fldChar w:fldCharType="end"/>
      </w:r>
      <w:r w:rsidRPr="00D630D1">
        <w:rPr>
          <w:rFonts w:ascii="Times New Roman" w:cs="Times New Roman"/>
          <w:b/>
          <w:kern w:val="2"/>
          <w:sz w:val="21"/>
          <w:szCs w:val="20"/>
        </w:rPr>
        <w:t>.10</w:t>
      </w:r>
      <w:r w:rsidRPr="00D630D1">
        <w:rPr>
          <w:rFonts w:ascii="Times New Roman" w:cs="Times New Roman"/>
          <w:b/>
          <w:kern w:val="2"/>
          <w:sz w:val="21"/>
          <w:szCs w:val="20"/>
        </w:rPr>
        <w:noBreakHyphen/>
      </w:r>
      <w:r w:rsidR="009913C3" w:rsidRPr="00D630D1">
        <w:rPr>
          <w:rFonts w:ascii="Times New Roman" w:cs="Times New Roman"/>
          <w:b/>
          <w:kern w:val="2"/>
          <w:sz w:val="21"/>
          <w:szCs w:val="20"/>
        </w:rPr>
        <w:fldChar w:fldCharType="begin"/>
      </w:r>
      <w:r w:rsidRPr="00D630D1">
        <w:rPr>
          <w:rFonts w:ascii="Times New Roman" w:cs="Times New Roman"/>
          <w:b/>
          <w:kern w:val="2"/>
          <w:sz w:val="21"/>
          <w:szCs w:val="20"/>
        </w:rPr>
        <w:instrText xml:space="preserve"> SEQ </w:instrText>
      </w:r>
      <w:r w:rsidRPr="00D630D1">
        <w:rPr>
          <w:rFonts w:ascii="Times New Roman" w:cs="Times New Roman"/>
          <w:b/>
          <w:kern w:val="2"/>
          <w:sz w:val="21"/>
          <w:szCs w:val="20"/>
        </w:rPr>
        <w:instrText>表</w:instrText>
      </w:r>
      <w:r w:rsidRPr="00D630D1">
        <w:rPr>
          <w:rFonts w:ascii="Times New Roman" w:cs="Times New Roman"/>
          <w:b/>
          <w:kern w:val="2"/>
          <w:sz w:val="21"/>
          <w:szCs w:val="20"/>
        </w:rPr>
        <w:instrText xml:space="preserve"> \* ARABIC \s 1 </w:instrText>
      </w:r>
      <w:r w:rsidR="009913C3" w:rsidRPr="00D630D1">
        <w:rPr>
          <w:rFonts w:ascii="Times New Roman" w:cs="Times New Roman"/>
          <w:b/>
          <w:kern w:val="2"/>
          <w:sz w:val="21"/>
          <w:szCs w:val="20"/>
        </w:rPr>
        <w:fldChar w:fldCharType="separate"/>
      </w:r>
      <w:r w:rsidRPr="00D630D1">
        <w:rPr>
          <w:rFonts w:ascii="Times New Roman" w:cs="Times New Roman"/>
          <w:b/>
          <w:noProof/>
          <w:kern w:val="2"/>
          <w:sz w:val="21"/>
          <w:szCs w:val="20"/>
        </w:rPr>
        <w:t>1</w:t>
      </w:r>
      <w:r w:rsidR="009913C3" w:rsidRPr="00D630D1">
        <w:rPr>
          <w:rFonts w:ascii="Times New Roman" w:cs="Times New Roman"/>
          <w:b/>
          <w:kern w:val="2"/>
          <w:sz w:val="21"/>
          <w:szCs w:val="20"/>
        </w:rPr>
        <w:fldChar w:fldCharType="end"/>
      </w:r>
      <w:bookmarkEnd w:id="582"/>
      <w:r w:rsidRPr="00D630D1">
        <w:rPr>
          <w:rFonts w:ascii="Times New Roman" w:cs="Times New Roman"/>
          <w:b/>
          <w:kern w:val="2"/>
          <w:sz w:val="21"/>
          <w:szCs w:val="20"/>
        </w:rPr>
        <w:t xml:space="preserve">  </w:t>
      </w:r>
      <w:r w:rsidRPr="00D630D1">
        <w:rPr>
          <w:rFonts w:ascii="Times New Roman" w:cs="Times New Roman"/>
          <w:b/>
          <w:kern w:val="2"/>
          <w:sz w:val="21"/>
          <w:szCs w:val="20"/>
        </w:rPr>
        <w:t>应急预案主要内容一览表</w:t>
      </w:r>
    </w:p>
    <w:tbl>
      <w:tblPr>
        <w:tblW w:w="0" w:type="auto"/>
        <w:tblBorders>
          <w:top w:val="single" w:sz="12" w:space="0" w:color="auto"/>
          <w:bottom w:val="single" w:sz="12" w:space="0" w:color="auto"/>
          <w:insideH w:val="single" w:sz="4" w:space="0" w:color="auto"/>
          <w:insideV w:val="single" w:sz="4" w:space="0" w:color="auto"/>
        </w:tblBorders>
        <w:tblLayout w:type="fixed"/>
        <w:tblLook w:val="0000"/>
      </w:tblPr>
      <w:tblGrid>
        <w:gridCol w:w="785"/>
        <w:gridCol w:w="1285"/>
        <w:gridCol w:w="6876"/>
      </w:tblGrid>
      <w:tr w:rsidR="00426806" w:rsidRPr="00D630D1" w:rsidTr="00426806">
        <w:trPr>
          <w:tblHeader/>
        </w:trPr>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序号</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项目</w:t>
            </w:r>
          </w:p>
        </w:tc>
        <w:tc>
          <w:tcPr>
            <w:tcW w:w="6876"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b/>
                <w:kern w:val="2"/>
                <w:sz w:val="21"/>
                <w:szCs w:val="21"/>
              </w:rPr>
            </w:pPr>
            <w:r w:rsidRPr="00D630D1">
              <w:rPr>
                <w:rFonts w:ascii="Times New Roman" w:cs="Times New Roman"/>
                <w:b/>
                <w:kern w:val="2"/>
                <w:sz w:val="21"/>
                <w:szCs w:val="21"/>
              </w:rPr>
              <w:t>内容及要求</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应急计划区</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危险目标：钻井地层</w:t>
            </w:r>
          </w:p>
          <w:p w:rsidR="00426806" w:rsidRPr="00D630D1" w:rsidRDefault="00426806" w:rsidP="002C3D53">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环境保护目标：测试放喷时，井口周边</w:t>
            </w:r>
            <w:r w:rsidR="002C3D53">
              <w:rPr>
                <w:rFonts w:ascii="Times New Roman" w:cs="Times New Roman" w:hint="eastAsia"/>
                <w:kern w:val="2"/>
                <w:sz w:val="21"/>
                <w:szCs w:val="21"/>
              </w:rPr>
              <w:t>50</w:t>
            </w:r>
            <w:r w:rsidRPr="00D630D1">
              <w:rPr>
                <w:rFonts w:ascii="Times New Roman" w:cs="Times New Roman"/>
                <w:kern w:val="2"/>
                <w:sz w:val="21"/>
                <w:szCs w:val="21"/>
              </w:rPr>
              <w:t>0m</w:t>
            </w:r>
            <w:r w:rsidRPr="00D630D1">
              <w:rPr>
                <w:rFonts w:ascii="Times New Roman" w:cs="Times New Roman"/>
                <w:kern w:val="2"/>
                <w:sz w:val="21"/>
                <w:szCs w:val="21"/>
              </w:rPr>
              <w:t>为紧急撤离范围。当发生井喷失控时，一般撤离范围可根据监测情况决定。</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2</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应急组织机构、人员</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组织机构为中原油田普光分公司，钻井队及其管理单位、当地政府。</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关键依靠钻井队、当地政府。</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充分、重点发挥地方镇乡、村级政府的组织能力，纳入应急组织机构中。</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3</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预案分级</w:t>
            </w:r>
          </w:p>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响应条件</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规定预案的级别及分级响应程序：</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把重大环境污染事故定为三级，定性为一般，涉及组织单位为中原油田普光分公司、钻井队和当地环保部门。</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井喷及井喷失控定为一级。涉及组织单位为中原油田普光分公司、钻井队及其管理单位、当地政府。响应程度依次增强。</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4</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应急救援</w:t>
            </w:r>
          </w:p>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保障</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应急设施，设备与器材等：</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井场配备</w:t>
            </w:r>
            <w:r w:rsidR="00D50AB4">
              <w:rPr>
                <w:rFonts w:ascii="Times New Roman" w:cs="Times New Roman"/>
                <w:kern w:val="2"/>
                <w:sz w:val="21"/>
                <w:szCs w:val="21"/>
              </w:rPr>
              <w:t>测试</w:t>
            </w:r>
            <w:r w:rsidRPr="00D630D1">
              <w:rPr>
                <w:rFonts w:ascii="Times New Roman" w:cs="Times New Roman"/>
                <w:kern w:val="2"/>
                <w:sz w:val="21"/>
                <w:szCs w:val="21"/>
              </w:rPr>
              <w:t>、医疗、消防、疏散等应急设施。</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钻开气层前通知当地医院、消防队等方面救援保障力量以及钻井队主管部门、普光分公司的应急救援单位。</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5</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报警、通讯联络方式</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规定应急状态下的报警通讯方式、通知方式和交通保障、管制：</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协调井队通过广播系统和电话通知。至少在</w:t>
            </w:r>
            <w:r w:rsidRPr="00D630D1">
              <w:rPr>
                <w:rFonts w:ascii="Times New Roman" w:cs="Times New Roman"/>
                <w:kern w:val="2"/>
                <w:sz w:val="21"/>
                <w:szCs w:val="21"/>
              </w:rPr>
              <w:t>1</w:t>
            </w:r>
            <w:r w:rsidRPr="00D630D1">
              <w:rPr>
                <w:rFonts w:ascii="Times New Roman" w:cs="Times New Roman"/>
                <w:kern w:val="2"/>
                <w:sz w:val="21"/>
                <w:szCs w:val="21"/>
              </w:rPr>
              <w:t>个小组设</w:t>
            </w:r>
            <w:r w:rsidRPr="00D630D1">
              <w:rPr>
                <w:rFonts w:ascii="Times New Roman" w:cs="Times New Roman"/>
                <w:kern w:val="2"/>
                <w:sz w:val="21"/>
                <w:szCs w:val="21"/>
              </w:rPr>
              <w:t>2</w:t>
            </w:r>
            <w:r w:rsidRPr="00D630D1">
              <w:rPr>
                <w:rFonts w:ascii="Times New Roman" w:cs="Times New Roman"/>
                <w:kern w:val="2"/>
                <w:sz w:val="21"/>
                <w:szCs w:val="21"/>
              </w:rPr>
              <w:t>个电话联络点。小组通知人员应指定</w:t>
            </w:r>
            <w:r w:rsidRPr="00D630D1">
              <w:rPr>
                <w:rFonts w:ascii="Times New Roman" w:cs="Times New Roman"/>
                <w:kern w:val="2"/>
                <w:sz w:val="21"/>
                <w:szCs w:val="21"/>
              </w:rPr>
              <w:t>4</w:t>
            </w:r>
            <w:r w:rsidRPr="00D630D1">
              <w:rPr>
                <w:rFonts w:ascii="Times New Roman" w:cs="Times New Roman"/>
                <w:kern w:val="2"/>
                <w:sz w:val="21"/>
                <w:szCs w:val="21"/>
              </w:rPr>
              <w:t>人负责通知本小组内的居民。并电话通知当地交警队负责交通保障、管制，不允许非救援车辆进入危险井口周边区域。</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6</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应急环境监</w:t>
            </w:r>
            <w:r w:rsidRPr="00D630D1">
              <w:rPr>
                <w:rFonts w:ascii="Times New Roman" w:cs="Times New Roman"/>
                <w:kern w:val="2"/>
                <w:sz w:val="21"/>
                <w:szCs w:val="21"/>
              </w:rPr>
              <w:lastRenderedPageBreak/>
              <w:t>测、抢险、救援及控制</w:t>
            </w:r>
          </w:p>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措施</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lastRenderedPageBreak/>
              <w:t>环境应急监测可组织协调当地环境监测中心站。</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lastRenderedPageBreak/>
              <w:t>抢险、救援组织协调当地消防队、医院和钻井主管部门及普光分公司的应急队伍。</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控制措施主要由钻井队和其管理部门、普光分公司等部门共同协商控制。</w:t>
            </w:r>
          </w:p>
          <w:p w:rsidR="00426806" w:rsidRPr="00D630D1" w:rsidRDefault="00426806" w:rsidP="00D50AB4">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井喷失控的关键控制措施：应立即组织撤离井口周边</w:t>
            </w:r>
            <w:r w:rsidR="00D50AB4">
              <w:rPr>
                <w:rFonts w:ascii="Times New Roman" w:cs="Times New Roman" w:hint="eastAsia"/>
                <w:kern w:val="2"/>
                <w:sz w:val="21"/>
                <w:szCs w:val="21"/>
              </w:rPr>
              <w:t>50</w:t>
            </w:r>
            <w:r w:rsidRPr="00D630D1">
              <w:rPr>
                <w:rFonts w:ascii="Times New Roman" w:cs="Times New Roman"/>
                <w:kern w:val="2"/>
                <w:sz w:val="21"/>
                <w:szCs w:val="21"/>
              </w:rPr>
              <w:t>0m</w:t>
            </w:r>
            <w:r w:rsidRPr="00D630D1">
              <w:rPr>
                <w:rFonts w:ascii="Times New Roman" w:cs="Times New Roman"/>
                <w:kern w:val="2"/>
                <w:sz w:val="21"/>
                <w:szCs w:val="21"/>
              </w:rPr>
              <w:t>的居民。同时保证井喷失控在</w:t>
            </w:r>
            <w:r w:rsidRPr="00D630D1">
              <w:rPr>
                <w:rFonts w:ascii="Times New Roman" w:cs="Times New Roman"/>
                <w:kern w:val="2"/>
                <w:sz w:val="21"/>
                <w:szCs w:val="21"/>
              </w:rPr>
              <w:t>15min</w:t>
            </w:r>
            <w:r w:rsidRPr="00D630D1">
              <w:rPr>
                <w:rFonts w:ascii="Times New Roman" w:cs="Times New Roman"/>
                <w:kern w:val="2"/>
                <w:sz w:val="21"/>
                <w:szCs w:val="21"/>
              </w:rPr>
              <w:t>内点火，燃烧泄漏天然气。</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lastRenderedPageBreak/>
              <w:t>7</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应急检测、防护措施、清除泄漏措施和器材</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应急检测、防护采用井队配备的设备和消防队伍的设备，必要可增加普光分公司、钻井队主管部门的检测防护设备。清除泄漏必要时可通过消防车喷雾状水溶解将大气污染物转化为地表水污染物。</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8</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人员紧急撤离、疏散，应急剂量控制、撤离组织计划</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紧急撤离区：井口外</w:t>
            </w:r>
            <w:r w:rsidR="00D50AB4">
              <w:rPr>
                <w:rFonts w:ascii="Times New Roman" w:cs="Times New Roman" w:hint="eastAsia"/>
                <w:kern w:val="2"/>
                <w:sz w:val="21"/>
                <w:szCs w:val="21"/>
              </w:rPr>
              <w:t>50</w:t>
            </w:r>
            <w:r w:rsidRPr="00D630D1">
              <w:rPr>
                <w:rFonts w:ascii="Times New Roman" w:cs="Times New Roman"/>
                <w:kern w:val="2"/>
                <w:sz w:val="21"/>
                <w:szCs w:val="21"/>
              </w:rPr>
              <w:t>0m</w:t>
            </w:r>
            <w:r w:rsidRPr="00D630D1">
              <w:rPr>
                <w:rFonts w:ascii="Times New Roman" w:cs="Times New Roman"/>
                <w:kern w:val="2"/>
                <w:sz w:val="21"/>
                <w:szCs w:val="21"/>
              </w:rPr>
              <w:t>范围为紧急撤离区。撤离路线应根据钻井井场风向标，沿发生事故时的上风向方向或侧风向远离事故源方向撤离。通过高音喇叭、广播、电话及时通知周边各户居民，保证全部及时通知撤离。</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一般撤离区：当发生井喷失控时，一般撤离范围可根据监测情况决定。在发生事故时应自发和在应急组织机构的带领下及时撤离。撤离路线应根据钻井井场风向标，沿发生事故时的上风向或侧风向方向远离事故源方向撤离。由于涉及人员多，应通过应急组织机构负责组织撤离，通过广播系统和电话系统通知。由于远处居民不能看到风向标，在通知撤离时要由专业人员根据风向标说明撤离方向。可通过广播系统和电话系统通知，应通过协调村委会通过电话通知到小组，各组至少设立</w:t>
            </w:r>
            <w:r w:rsidRPr="00D630D1">
              <w:rPr>
                <w:rFonts w:ascii="Times New Roman" w:cs="Times New Roman"/>
                <w:kern w:val="2"/>
                <w:sz w:val="21"/>
                <w:szCs w:val="21"/>
              </w:rPr>
              <w:t>2</w:t>
            </w:r>
            <w:r w:rsidRPr="00D630D1">
              <w:rPr>
                <w:rFonts w:ascii="Times New Roman" w:cs="Times New Roman"/>
                <w:kern w:val="2"/>
                <w:sz w:val="21"/>
                <w:szCs w:val="21"/>
              </w:rPr>
              <w:t>个联络点。小组负责人指定</w:t>
            </w:r>
            <w:r w:rsidRPr="00D630D1">
              <w:rPr>
                <w:rFonts w:ascii="Times New Roman" w:cs="Times New Roman"/>
                <w:kern w:val="2"/>
                <w:sz w:val="21"/>
                <w:szCs w:val="21"/>
              </w:rPr>
              <w:t>4</w:t>
            </w:r>
            <w:r w:rsidRPr="00D630D1">
              <w:rPr>
                <w:rFonts w:ascii="Times New Roman" w:cs="Times New Roman"/>
                <w:kern w:val="2"/>
                <w:sz w:val="21"/>
                <w:szCs w:val="21"/>
              </w:rPr>
              <w:t>人负责通知小组内的居民。</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9</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事故应急救援关闭程序与恢复措施</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规定应急状态终止程序事故现场善后处理，恢复措施邻近区域解除事故警戒及善后恢复措施</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1</w:t>
            </w:r>
            <w:r w:rsidRPr="00D630D1">
              <w:rPr>
                <w:rFonts w:ascii="Times New Roman" w:cs="Times New Roman"/>
                <w:kern w:val="2"/>
                <w:sz w:val="21"/>
                <w:szCs w:val="21"/>
              </w:rPr>
              <w:t>）井喷失控得到控制，伤亡人员得到全部救援和安置，危险区域的居民全部撤离。</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恢复措施：对事故伤亡情况进行统计，应做好详细的记录并存档。行政领导组应尽快协调各部做好医疗救护工作，包括医疗经费的提供、受伤人员的住院安排与护理以及善后赔偿等；钻井队主管单位配合相关部门人员对受损设备尽快安排修复并投入生产使用。钻井队主管部门、普光分公司、当地政府成立事故调查小组，调查原因并按</w:t>
            </w:r>
            <w:r w:rsidRPr="00D630D1">
              <w:rPr>
                <w:rFonts w:ascii="Times New Roman" w:cs="Times New Roman"/>
                <w:kern w:val="2"/>
                <w:sz w:val="21"/>
                <w:szCs w:val="21"/>
              </w:rPr>
              <w:t>“</w:t>
            </w:r>
            <w:r w:rsidRPr="00D630D1">
              <w:rPr>
                <w:rFonts w:ascii="Times New Roman" w:cs="Times New Roman"/>
                <w:kern w:val="2"/>
                <w:sz w:val="21"/>
                <w:szCs w:val="21"/>
              </w:rPr>
              <w:t>四不放过</w:t>
            </w:r>
            <w:r w:rsidRPr="00D630D1">
              <w:rPr>
                <w:rFonts w:ascii="Times New Roman" w:cs="Times New Roman"/>
                <w:kern w:val="2"/>
                <w:sz w:val="21"/>
                <w:szCs w:val="21"/>
              </w:rPr>
              <w:t>”</w:t>
            </w:r>
            <w:r w:rsidRPr="00D630D1">
              <w:rPr>
                <w:rFonts w:ascii="Times New Roman" w:cs="Times New Roman"/>
                <w:kern w:val="2"/>
                <w:sz w:val="21"/>
                <w:szCs w:val="21"/>
              </w:rPr>
              <w:t>的原则进行事故处理；做出事故调查报告，同时总结事件教训，实行安全事故的教育培训，杜绝类似事件的再次发生。</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10</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应急培训</w:t>
            </w:r>
          </w:p>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计划</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应急计划制定后，平时安排人员培训与演练：</w:t>
            </w:r>
          </w:p>
          <w:p w:rsidR="00426806" w:rsidRPr="00D630D1" w:rsidRDefault="00426806" w:rsidP="00D50AB4">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着重在钻含气层前的演练，把井口周边</w:t>
            </w:r>
            <w:r w:rsidRPr="00D630D1">
              <w:rPr>
                <w:rFonts w:ascii="Times New Roman" w:cs="Times New Roman"/>
                <w:kern w:val="2"/>
                <w:sz w:val="21"/>
                <w:szCs w:val="21"/>
              </w:rPr>
              <w:t>500m</w:t>
            </w:r>
            <w:r w:rsidRPr="00D630D1">
              <w:rPr>
                <w:rFonts w:ascii="Times New Roman" w:cs="Times New Roman"/>
                <w:kern w:val="2"/>
                <w:sz w:val="21"/>
                <w:szCs w:val="21"/>
              </w:rPr>
              <w:t>范围内居民纳入培训、演练队伍。井队安全监督要对井队全体员工进行应急救援培训，提高员工的应急救援能力。加强对组织人员向井场附近居民宣传井喷的危害及相关知识。井队队长及安全员负责指定应急培训计划，定期对应急组织机构成员和应急保障系统、应急信息的有关人员进行综合性应急培训并做好培训记录。应急演练应每个月开展一次，进入气层后半个月开展一次，通过演练掌握应急人员在应急抢险中对预案的熟悉程度和能力，二是加强抢险应急设备的维护保养，检查是否备足所需应急材料。</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11</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公众教育和信息</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对井场邻近地区开展公众教育、培训和发布有关信息：</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安全距离内居民进行公众教育，发宣传册。钻井工程前，要向可能危及居民安全范围内进行安全知识和遇紧急情况时的应急预案教育，提出紧急情况下的安全撤离要求。</w:t>
            </w:r>
          </w:p>
          <w:p w:rsidR="00426806" w:rsidRPr="00D630D1" w:rsidRDefault="00426806" w:rsidP="00D50AB4">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施工单位应主动联系当地政府，对紧急撤离区范围内的居民通过发放宣传册普及安全知识，内容应有危害程度、防范应急救护措施。同时应在进入含硫气层前对</w:t>
            </w:r>
            <w:r w:rsidR="00D50AB4">
              <w:rPr>
                <w:rFonts w:ascii="Times New Roman" w:cs="Times New Roman" w:hint="eastAsia"/>
                <w:kern w:val="2"/>
                <w:sz w:val="21"/>
                <w:szCs w:val="21"/>
              </w:rPr>
              <w:t>50</w:t>
            </w:r>
            <w:r w:rsidRPr="00D630D1">
              <w:rPr>
                <w:rFonts w:ascii="Times New Roman" w:cs="Times New Roman"/>
                <w:kern w:val="2"/>
                <w:sz w:val="21"/>
                <w:szCs w:val="21"/>
              </w:rPr>
              <w:t>0m</w:t>
            </w:r>
            <w:r w:rsidRPr="00D630D1">
              <w:rPr>
                <w:rFonts w:ascii="Times New Roman" w:cs="Times New Roman"/>
                <w:kern w:val="2"/>
                <w:sz w:val="21"/>
                <w:szCs w:val="21"/>
              </w:rPr>
              <w:t>范围内的居民进行应急演练一次。对一般撤离区范围居民发放宣传册普及安全知识，内容应有危害程度、防范应急救护措施。</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12</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夜间特别管</w:t>
            </w:r>
            <w:r w:rsidRPr="00D630D1">
              <w:rPr>
                <w:rFonts w:ascii="Times New Roman" w:cs="Times New Roman"/>
                <w:kern w:val="2"/>
                <w:sz w:val="21"/>
                <w:szCs w:val="21"/>
              </w:rPr>
              <w:lastRenderedPageBreak/>
              <w:t>理机制</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lastRenderedPageBreak/>
              <w:t>井场配备高音喇叭、防爆灯具，以便夜间事故及时通知周边较近距离的居</w:t>
            </w:r>
            <w:r w:rsidRPr="00D630D1">
              <w:rPr>
                <w:rFonts w:ascii="Times New Roman" w:cs="Times New Roman"/>
                <w:kern w:val="2"/>
                <w:sz w:val="21"/>
                <w:szCs w:val="21"/>
              </w:rPr>
              <w:lastRenderedPageBreak/>
              <w:t>民，防爆灯具应布置在井场内风向标处，以便井场人员和周边较近居民可判断风向，带领其他人员撤离。</w:t>
            </w:r>
          </w:p>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井场实行轮班制度，保证夜间各岗位有相应值班人员。对居民进行公众教育、培训中应强调夜间自救内容，要求居民夜间保持通讯设备的畅通，夜间不关手机等教育。强调在钻气层期间夜间保持一定的警惕，提出在夜间事故报警后应立即穿少量衣服，及时保证人员撤离。</w:t>
            </w:r>
          </w:p>
        </w:tc>
      </w:tr>
      <w:tr w:rsidR="00426806" w:rsidRPr="00D630D1" w:rsidTr="00426806">
        <w:tc>
          <w:tcPr>
            <w:tcW w:w="7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lastRenderedPageBreak/>
              <w:t>13</w:t>
            </w:r>
          </w:p>
        </w:tc>
        <w:tc>
          <w:tcPr>
            <w:tcW w:w="1285" w:type="dxa"/>
            <w:vAlign w:val="center"/>
          </w:tcPr>
          <w:p w:rsidR="00426806" w:rsidRPr="00D630D1" w:rsidRDefault="00426806" w:rsidP="00426806">
            <w:pPr>
              <w:widowControl/>
              <w:topLinePunct w:val="0"/>
              <w:snapToGrid w:val="0"/>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备案</w:t>
            </w:r>
          </w:p>
        </w:tc>
        <w:tc>
          <w:tcPr>
            <w:tcW w:w="6876" w:type="dxa"/>
            <w:vAlign w:val="center"/>
          </w:tcPr>
          <w:p w:rsidR="00426806" w:rsidRPr="00D630D1" w:rsidRDefault="00426806" w:rsidP="00426806">
            <w:pPr>
              <w:widowControl/>
              <w:topLinePunct w:val="0"/>
              <w:snapToGrid w:val="0"/>
              <w:spacing w:line="240" w:lineRule="auto"/>
              <w:ind w:firstLineChars="0" w:firstLine="0"/>
              <w:jc w:val="left"/>
              <w:rPr>
                <w:rFonts w:ascii="Times New Roman" w:cs="Times New Roman"/>
                <w:kern w:val="2"/>
                <w:sz w:val="21"/>
                <w:szCs w:val="21"/>
              </w:rPr>
            </w:pPr>
            <w:r w:rsidRPr="00D630D1">
              <w:rPr>
                <w:rFonts w:ascii="Times New Roman" w:cs="Times New Roman"/>
                <w:kern w:val="2"/>
                <w:sz w:val="21"/>
                <w:szCs w:val="21"/>
              </w:rPr>
              <w:t>将本项目应急预案报送地方环保部门备案。</w:t>
            </w:r>
          </w:p>
        </w:tc>
      </w:tr>
    </w:tbl>
    <w:p w:rsidR="00117C3D" w:rsidRPr="00D630D1" w:rsidRDefault="008825E9">
      <w:pPr>
        <w:pStyle w:val="a1"/>
        <w:ind w:firstLine="482"/>
        <w:rPr>
          <w:rFonts w:ascii="Times New Roman" w:cs="Times New Roman"/>
          <w:b/>
        </w:rPr>
      </w:pPr>
      <w:bookmarkStart w:id="583" w:name="_Toc12288765"/>
      <w:r w:rsidRPr="00D630D1">
        <w:rPr>
          <w:rFonts w:ascii="Times New Roman" w:cs="Times New Roman"/>
          <w:b/>
        </w:rPr>
        <w:t>1</w:t>
      </w:r>
      <w:r w:rsidRPr="00D630D1">
        <w:rPr>
          <w:rFonts w:ascii="Times New Roman" w:cs="Times New Roman"/>
          <w:b/>
        </w:rPr>
        <w:t>、</w:t>
      </w:r>
      <w:r w:rsidR="008B5B84" w:rsidRPr="00D630D1">
        <w:rPr>
          <w:rFonts w:ascii="Times New Roman" w:cs="Times New Roman"/>
          <w:b/>
        </w:rPr>
        <w:t>通讯联络方式</w:t>
      </w:r>
      <w:bookmarkEnd w:id="583"/>
    </w:p>
    <w:p w:rsidR="00117C3D" w:rsidRPr="00D630D1" w:rsidRDefault="00A321AE">
      <w:pPr>
        <w:pStyle w:val="a1"/>
        <w:ind w:firstLine="480"/>
        <w:rPr>
          <w:rFonts w:ascii="Times New Roman" w:cs="Times New Roman"/>
        </w:rPr>
      </w:pPr>
      <w:r w:rsidRPr="00D630D1">
        <w:rPr>
          <w:rFonts w:hAnsi="宋体" w:hint="eastAsia"/>
        </w:rPr>
        <w:t>①</w:t>
      </w:r>
      <w:r w:rsidR="008B5B84" w:rsidRPr="00D630D1">
        <w:rPr>
          <w:rFonts w:ascii="Times New Roman" w:cs="Times New Roman"/>
        </w:rPr>
        <w:t>报告方式</w:t>
      </w:r>
    </w:p>
    <w:p w:rsidR="00117C3D" w:rsidRPr="00D630D1" w:rsidRDefault="008B5B84">
      <w:pPr>
        <w:pStyle w:val="a1"/>
        <w:ind w:firstLine="480"/>
        <w:rPr>
          <w:rFonts w:ascii="Times New Roman" w:cs="Times New Roman"/>
        </w:rPr>
      </w:pPr>
      <w:r w:rsidRPr="00D630D1">
        <w:rPr>
          <w:rFonts w:ascii="Times New Roman" w:cs="Times New Roman"/>
        </w:rPr>
        <w:t>通常方式有：捎口信、固定电话、移动电话、传真和网络。</w:t>
      </w:r>
    </w:p>
    <w:p w:rsidR="00117C3D" w:rsidRPr="00D630D1" w:rsidRDefault="008B5B84">
      <w:pPr>
        <w:pStyle w:val="a1"/>
        <w:ind w:firstLine="480"/>
        <w:rPr>
          <w:rFonts w:ascii="Times New Roman" w:cs="Times New Roman"/>
        </w:rPr>
      </w:pPr>
      <w:r w:rsidRPr="00D630D1">
        <w:rPr>
          <w:rFonts w:ascii="Times New Roman" w:cs="Times New Roman"/>
        </w:rPr>
        <w:t>作业区向</w:t>
      </w:r>
      <w:r w:rsidR="00CC4E02" w:rsidRPr="00D630D1">
        <w:rPr>
          <w:rFonts w:ascii="Times New Roman" w:cs="Times New Roman"/>
        </w:rPr>
        <w:t>分公司</w:t>
      </w:r>
      <w:r w:rsidRPr="00D630D1">
        <w:rPr>
          <w:rFonts w:ascii="Times New Roman" w:cs="Times New Roman"/>
        </w:rPr>
        <w:t>报告，除非特别紧急的情况采用电话报告外，其它一律书面报告（电传）。</w:t>
      </w:r>
    </w:p>
    <w:p w:rsidR="00117C3D" w:rsidRPr="00D630D1" w:rsidRDefault="008B5B84">
      <w:pPr>
        <w:pStyle w:val="a1"/>
        <w:ind w:firstLine="480"/>
        <w:rPr>
          <w:rFonts w:ascii="Times New Roman" w:cs="Times New Roman"/>
        </w:rPr>
      </w:pPr>
      <w:r w:rsidRPr="00D630D1">
        <w:rPr>
          <w:rFonts w:ascii="Times New Roman" w:cs="Times New Roman"/>
        </w:rPr>
        <w:t>作业区向当地镇、</w:t>
      </w:r>
      <w:r w:rsidR="008825E9" w:rsidRPr="00D630D1">
        <w:rPr>
          <w:rFonts w:ascii="Times New Roman" w:cs="Times New Roman"/>
        </w:rPr>
        <w:t>县</w:t>
      </w:r>
      <w:r w:rsidRPr="00D630D1">
        <w:rPr>
          <w:rFonts w:ascii="Times New Roman" w:cs="Times New Roman"/>
        </w:rPr>
        <w:t>、市级政府及其职能部门报告事故时，采用先电话告之，后附书面报告。</w:t>
      </w:r>
    </w:p>
    <w:p w:rsidR="00117C3D" w:rsidRPr="00D630D1" w:rsidRDefault="008B5B84">
      <w:pPr>
        <w:pStyle w:val="a1"/>
        <w:ind w:firstLine="480"/>
        <w:rPr>
          <w:rFonts w:ascii="Times New Roman" w:cs="Times New Roman"/>
        </w:rPr>
      </w:pPr>
      <w:r w:rsidRPr="00D630D1">
        <w:rPr>
          <w:rFonts w:ascii="Times New Roman" w:cs="Times New Roman"/>
        </w:rPr>
        <w:t>作业区向村社报告事故时，采用电话或口头报告形式。</w:t>
      </w:r>
    </w:p>
    <w:p w:rsidR="00117C3D" w:rsidRPr="00D630D1" w:rsidRDefault="00A321AE">
      <w:pPr>
        <w:pStyle w:val="a1"/>
        <w:ind w:firstLine="480"/>
        <w:rPr>
          <w:rFonts w:ascii="Times New Roman" w:cs="Times New Roman"/>
        </w:rPr>
      </w:pPr>
      <w:r w:rsidRPr="00D630D1">
        <w:rPr>
          <w:rFonts w:hAnsi="宋体" w:hint="eastAsia"/>
        </w:rPr>
        <w:t>②</w:t>
      </w:r>
      <w:r w:rsidR="008B5B84" w:rsidRPr="00D630D1">
        <w:rPr>
          <w:rFonts w:ascii="Times New Roman" w:cs="Times New Roman"/>
        </w:rPr>
        <w:t>报警方式，作业区确认事故后，对社会公众报警的方式为：电告当地市、区、镇人民政府和所属村社。</w:t>
      </w:r>
    </w:p>
    <w:p w:rsidR="00117C3D" w:rsidRPr="00D630D1" w:rsidRDefault="008B5B84">
      <w:pPr>
        <w:pStyle w:val="a1"/>
        <w:ind w:firstLine="480"/>
        <w:rPr>
          <w:rFonts w:ascii="Times New Roman" w:cs="Times New Roman"/>
        </w:rPr>
      </w:pPr>
      <w:r w:rsidRPr="00D630D1">
        <w:rPr>
          <w:rFonts w:ascii="Times New Roman" w:cs="Times New Roman"/>
        </w:rPr>
        <w:t>电告</w:t>
      </w:r>
      <w:r w:rsidRPr="00D630D1">
        <w:rPr>
          <w:rFonts w:ascii="Times New Roman" w:cs="Times New Roman"/>
        </w:rPr>
        <w:t>110</w:t>
      </w:r>
      <w:r w:rsidRPr="00D630D1">
        <w:rPr>
          <w:rFonts w:ascii="Times New Roman" w:cs="Times New Roman"/>
        </w:rPr>
        <w:t>、</w:t>
      </w:r>
      <w:r w:rsidRPr="00D630D1">
        <w:rPr>
          <w:rFonts w:ascii="Times New Roman" w:cs="Times New Roman"/>
        </w:rPr>
        <w:t>119</w:t>
      </w:r>
      <w:r w:rsidRPr="00D630D1">
        <w:rPr>
          <w:rFonts w:ascii="Times New Roman" w:cs="Times New Roman"/>
        </w:rPr>
        <w:t>。</w:t>
      </w:r>
    </w:p>
    <w:p w:rsidR="00117C3D" w:rsidRPr="00D630D1" w:rsidRDefault="008B5B84">
      <w:pPr>
        <w:pStyle w:val="a1"/>
        <w:ind w:firstLine="480"/>
        <w:rPr>
          <w:rFonts w:ascii="Times New Roman" w:cs="Times New Roman"/>
        </w:rPr>
      </w:pPr>
      <w:r w:rsidRPr="00D630D1">
        <w:rPr>
          <w:rFonts w:ascii="Times New Roman" w:cs="Times New Roman"/>
        </w:rPr>
        <w:t>电告社会团体或企事业单位。</w:t>
      </w:r>
    </w:p>
    <w:p w:rsidR="00117C3D" w:rsidRPr="00D630D1" w:rsidRDefault="008B5B84">
      <w:pPr>
        <w:pStyle w:val="a1"/>
        <w:ind w:firstLine="480"/>
        <w:rPr>
          <w:rFonts w:ascii="Times New Roman" w:cs="Times New Roman"/>
        </w:rPr>
      </w:pPr>
      <w:r w:rsidRPr="00D630D1">
        <w:rPr>
          <w:rFonts w:ascii="Times New Roman" w:cs="Times New Roman"/>
        </w:rPr>
        <w:t>用高音喇叭通知社会居民或采用口信，一传十，十传百的方式。借助天然气救险车的扩音设备，巡回告之。</w:t>
      </w:r>
    </w:p>
    <w:p w:rsidR="002957A2" w:rsidRPr="00D630D1" w:rsidRDefault="002957A2" w:rsidP="002957A2">
      <w:pPr>
        <w:pStyle w:val="afa"/>
        <w:ind w:firstLine="482"/>
        <w:rPr>
          <w:b/>
          <w:bCs/>
        </w:rPr>
      </w:pPr>
      <w:bookmarkStart w:id="584" w:name="_Toc12288766"/>
      <w:r w:rsidRPr="00D630D1">
        <w:rPr>
          <w:b/>
          <w:bCs/>
        </w:rPr>
        <w:t>2</w:t>
      </w:r>
      <w:r w:rsidRPr="00D630D1">
        <w:rPr>
          <w:b/>
          <w:bCs/>
        </w:rPr>
        <w:t>、应急响应</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）险情发生后，应急指挥启动应急预案；</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）应急小组立即形成，由应急指挥组组长统一发布应急指挥命令；</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）生产抢修组负责现场流程的切换，协调、配合抢险单位实施应急抢险工作，以及在应急情况下现场人员的疏散（考虑该工程管道据居民房屋近的特点，还应组织附近居民的疏散）；</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4</w:t>
      </w:r>
      <w:r w:rsidRPr="00D630D1">
        <w:rPr>
          <w:rFonts w:ascii="Times New Roman" w:cs="Times New Roman"/>
        </w:rPr>
        <w:t>）安全监护组负责现场可燃气体的检测，安全警戒线的设置，并配合相关单位实施应急救援；</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5</w:t>
      </w:r>
      <w:r w:rsidRPr="00D630D1">
        <w:rPr>
          <w:rFonts w:ascii="Times New Roman" w:cs="Times New Roman"/>
        </w:rPr>
        <w:t>）通讯联络组负责建立抢险单位、救援单位及地方政府有关部门的联络；</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6</w:t>
      </w:r>
      <w:r w:rsidRPr="00D630D1">
        <w:rPr>
          <w:rFonts w:ascii="Times New Roman" w:cs="Times New Roman"/>
        </w:rPr>
        <w:t>）后勤保障组负责抢险物资组织，后勤、车辆的保障。</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7</w:t>
      </w:r>
      <w:r w:rsidRPr="00D630D1">
        <w:rPr>
          <w:rFonts w:ascii="Times New Roman" w:cs="Times New Roman"/>
        </w:rPr>
        <w:t>）站场发生异常情况（大面积泄漏、火灾、爆炸）</w:t>
      </w:r>
    </w:p>
    <w:p w:rsidR="002957A2" w:rsidRPr="00D630D1" w:rsidRDefault="002957A2" w:rsidP="002957A2">
      <w:pPr>
        <w:pStyle w:val="a1"/>
        <w:ind w:firstLine="480"/>
        <w:rPr>
          <w:rFonts w:ascii="Times New Roman" w:cs="Times New Roman"/>
        </w:rPr>
      </w:pPr>
      <w:r w:rsidRPr="00D630D1">
        <w:rPr>
          <w:rFonts w:ascii="Times New Roman" w:cs="Times New Roman"/>
        </w:rPr>
        <w:lastRenderedPageBreak/>
        <w:t>（</w:t>
      </w:r>
      <w:r w:rsidRPr="00D630D1">
        <w:rPr>
          <w:rFonts w:ascii="Times New Roman" w:cs="Times New Roman"/>
        </w:rPr>
        <w:t>8</w:t>
      </w:r>
      <w:r w:rsidRPr="00D630D1">
        <w:rPr>
          <w:rFonts w:ascii="Times New Roman" w:cs="Times New Roman"/>
        </w:rPr>
        <w:t>）站场值班人员在站控室按下装置</w:t>
      </w:r>
      <w:r w:rsidRPr="00D630D1">
        <w:rPr>
          <w:rFonts w:ascii="Times New Roman" w:cs="Times New Roman"/>
        </w:rPr>
        <w:t>ESD</w:t>
      </w:r>
      <w:r w:rsidRPr="00D630D1">
        <w:rPr>
          <w:rFonts w:ascii="Times New Roman" w:cs="Times New Roman"/>
        </w:rPr>
        <w:t>按钮，实行全站</w:t>
      </w:r>
      <w:r w:rsidRPr="00D630D1">
        <w:rPr>
          <w:rFonts w:ascii="Times New Roman" w:cs="Times New Roman"/>
        </w:rPr>
        <w:t>ESD</w:t>
      </w:r>
      <w:r w:rsidRPr="00D630D1">
        <w:rPr>
          <w:rFonts w:ascii="Times New Roman" w:cs="Times New Roman"/>
        </w:rPr>
        <w:t>紧急关断，生产系统闭式放空，同时即向应急指挥汇报起火部位、情况；</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9</w:t>
      </w:r>
      <w:r w:rsidRPr="00D630D1">
        <w:rPr>
          <w:rFonts w:ascii="Times New Roman" w:cs="Times New Roman"/>
        </w:rPr>
        <w:t>）应急指挥下令启动事故应急预案，在控制室向现场下达应急指令；</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10</w:t>
      </w:r>
      <w:r w:rsidRPr="00D630D1">
        <w:rPr>
          <w:rFonts w:ascii="Times New Roman" w:cs="Times New Roman"/>
        </w:rPr>
        <w:t>）通讯联络组迅速打电话报警，向中原油田普光分公司、中国石油化工股份有限公司汇报现场情况，并联系抢险单位实施紧急抢险工作，同时向有关地方政府机构通报情况，请求救援；</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11</w:t>
      </w:r>
      <w:r w:rsidRPr="00D630D1">
        <w:rPr>
          <w:rFonts w:ascii="Times New Roman" w:cs="Times New Roman"/>
        </w:rPr>
        <w:t>）生产抢修组人员立即切断生产现场电源，并对现场流程切断情况进行确认；</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12</w:t>
      </w:r>
      <w:r w:rsidRPr="00D630D1">
        <w:rPr>
          <w:rFonts w:ascii="Times New Roman" w:cs="Times New Roman"/>
        </w:rPr>
        <w:t>）如现场存在火情，现场抢修组使用固定式消防系统和移动式灭火器进行灭火；</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13</w:t>
      </w:r>
      <w:r w:rsidRPr="00D630D1">
        <w:rPr>
          <w:rFonts w:ascii="Times New Roman" w:cs="Times New Roman"/>
        </w:rPr>
        <w:t>）安全监护组负责在现场进行检测，在影响距离外设置警戒线，进行安全监护；</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14</w:t>
      </w:r>
      <w:r w:rsidRPr="00D630D1">
        <w:rPr>
          <w:rFonts w:ascii="Times New Roman" w:cs="Times New Roman"/>
        </w:rPr>
        <w:t>）抢修现场严禁使用非防爆用具，车辆一律熄火站外停放，确因工作需要进入现场的车辆必须佩带防火帽，经安全监护组确认安全后，按指定路线行进；</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15</w:t>
      </w:r>
      <w:r w:rsidRPr="00D630D1">
        <w:rPr>
          <w:rFonts w:ascii="Times New Roman" w:cs="Times New Roman"/>
        </w:rPr>
        <w:t>）后勤保障组负责组织相关的应急抢险物资；</w:t>
      </w:r>
    </w:p>
    <w:p w:rsidR="002957A2" w:rsidRPr="00D630D1" w:rsidRDefault="002957A2" w:rsidP="002957A2">
      <w:pPr>
        <w:pStyle w:val="a1"/>
        <w:ind w:firstLine="480"/>
        <w:rPr>
          <w:rFonts w:ascii="Times New Roman" w:cs="Times New Roman"/>
        </w:rPr>
      </w:pPr>
      <w:r w:rsidRPr="00D630D1">
        <w:rPr>
          <w:rFonts w:ascii="Times New Roman" w:cs="Times New Roman"/>
        </w:rPr>
        <w:t>（</w:t>
      </w:r>
      <w:r w:rsidRPr="00D630D1">
        <w:rPr>
          <w:rFonts w:ascii="Times New Roman" w:cs="Times New Roman"/>
        </w:rPr>
        <w:t>16</w:t>
      </w:r>
      <w:r w:rsidRPr="00D630D1">
        <w:rPr>
          <w:rFonts w:ascii="Times New Roman" w:cs="Times New Roman"/>
        </w:rPr>
        <w:t>）若现场情况无法控制，现场抢修组组织现场人员进行撤离。</w:t>
      </w:r>
    </w:p>
    <w:p w:rsidR="00117C3D" w:rsidRPr="00D630D1" w:rsidRDefault="002957A2">
      <w:pPr>
        <w:pStyle w:val="a1"/>
        <w:ind w:firstLine="482"/>
        <w:rPr>
          <w:rFonts w:ascii="Times New Roman" w:cs="Times New Roman"/>
          <w:b/>
          <w:bCs/>
        </w:rPr>
      </w:pPr>
      <w:r w:rsidRPr="00D630D1">
        <w:rPr>
          <w:rFonts w:ascii="Times New Roman" w:cs="Times New Roman"/>
          <w:b/>
          <w:bCs/>
        </w:rPr>
        <w:t>3</w:t>
      </w:r>
      <w:r w:rsidR="008825E9" w:rsidRPr="00D630D1">
        <w:rPr>
          <w:rFonts w:ascii="Times New Roman" w:cs="Times New Roman"/>
          <w:b/>
          <w:bCs/>
        </w:rPr>
        <w:t>、</w:t>
      </w:r>
      <w:r w:rsidR="008B5B84" w:rsidRPr="00D630D1">
        <w:rPr>
          <w:rFonts w:ascii="Times New Roman" w:cs="Times New Roman"/>
          <w:b/>
          <w:bCs/>
        </w:rPr>
        <w:t>事故应急处理措施</w:t>
      </w:r>
      <w:bookmarkEnd w:id="584"/>
    </w:p>
    <w:p w:rsidR="00241B86" w:rsidRPr="00D630D1" w:rsidRDefault="00955B88" w:rsidP="00955B88">
      <w:pPr>
        <w:pStyle w:val="afa"/>
        <w:ind w:firstLine="482"/>
        <w:rPr>
          <w:b/>
        </w:rPr>
      </w:pPr>
      <w:r w:rsidRPr="00D630D1">
        <w:rPr>
          <w:rFonts w:hint="eastAsia"/>
          <w:b/>
        </w:rPr>
        <w:t>3.1</w:t>
      </w:r>
      <w:r w:rsidR="00241B86" w:rsidRPr="00D630D1">
        <w:rPr>
          <w:rFonts w:hint="eastAsia"/>
          <w:b/>
        </w:rPr>
        <w:t>井喷及井喷失控</w:t>
      </w:r>
      <w:r w:rsidR="00241B86" w:rsidRPr="00D630D1">
        <w:rPr>
          <w:b/>
        </w:rPr>
        <w:t>应急措施</w:t>
      </w:r>
    </w:p>
    <w:p w:rsidR="00241B86" w:rsidRPr="00D630D1" w:rsidRDefault="00241B86" w:rsidP="00241B86">
      <w:pPr>
        <w:pStyle w:val="afa"/>
        <w:ind w:firstLine="480"/>
        <w:rPr>
          <w:rFonts w:hAnsi="宋体"/>
        </w:rPr>
      </w:pPr>
      <w:r w:rsidRPr="00D630D1">
        <w:rPr>
          <w:rFonts w:hAnsi="宋体" w:hint="eastAsia"/>
        </w:rPr>
        <w:t>井喷时立即启动应急预案，根据事态发展变化情况，事故现场抢险指挥部根据应急领导小组的指令并充分考虑专家和有关意见的基础上，依法采取紧急措施，并注意做好以下工作：</w:t>
      </w:r>
    </w:p>
    <w:p w:rsidR="00241B86" w:rsidRPr="00D630D1" w:rsidRDefault="00241B86" w:rsidP="00241B86">
      <w:pPr>
        <w:pStyle w:val="afa"/>
        <w:ind w:firstLine="480"/>
        <w:rPr>
          <w:rFonts w:hAnsi="宋体"/>
        </w:rPr>
      </w:pPr>
      <w:r w:rsidRPr="00D630D1">
        <w:rPr>
          <w:rFonts w:hAnsi="宋体" w:hint="eastAsia"/>
        </w:rPr>
        <w:t>1</w:t>
      </w:r>
      <w:r w:rsidRPr="00D630D1">
        <w:rPr>
          <w:rFonts w:hAnsi="宋体" w:hint="eastAsia"/>
        </w:rPr>
        <w:t>）井喷失控后严防着火和爆炸。应立即停钻机、机房柴油机，切断井架、钻台、机泵房等处全部照明灯和用电设备的电源，熄灭一切火源，需要时打开专用探照灯，并组织警戒。</w:t>
      </w:r>
    </w:p>
    <w:p w:rsidR="00241B86" w:rsidRPr="00D630D1" w:rsidRDefault="00241B86" w:rsidP="00241B86">
      <w:pPr>
        <w:pStyle w:val="afa"/>
        <w:ind w:firstLine="480"/>
        <w:rPr>
          <w:rFonts w:hAnsi="宋体"/>
        </w:rPr>
      </w:pPr>
      <w:r w:rsidRPr="00D630D1">
        <w:rPr>
          <w:rFonts w:hAnsi="宋体" w:hint="eastAsia"/>
        </w:rPr>
        <w:t>2</w:t>
      </w:r>
      <w:r w:rsidRPr="00D630D1">
        <w:rPr>
          <w:rFonts w:hAnsi="宋体" w:hint="eastAsia"/>
        </w:rPr>
        <w:t>）立即向当地政府报告，协助当地政府作好井口周围</w:t>
      </w:r>
      <w:r w:rsidR="00D50AB4">
        <w:rPr>
          <w:rFonts w:hAnsi="宋体" w:hint="eastAsia"/>
        </w:rPr>
        <w:t>50</w:t>
      </w:r>
      <w:r w:rsidRPr="00D630D1">
        <w:rPr>
          <w:rFonts w:hAnsi="宋体" w:hint="eastAsia"/>
        </w:rPr>
        <w:t>0m</w:t>
      </w:r>
      <w:r w:rsidRPr="00D630D1">
        <w:rPr>
          <w:rFonts w:hAnsi="宋体" w:hint="eastAsia"/>
        </w:rPr>
        <w:t>范围内居民的疏散工作，</w:t>
      </w:r>
      <w:r w:rsidRPr="00D630D1">
        <w:rPr>
          <w:rFonts w:hAnsi="宋体"/>
        </w:rPr>
        <w:t>同时通报普光分</w:t>
      </w:r>
      <w:r w:rsidRPr="00D630D1">
        <w:rPr>
          <w:rFonts w:hAnsi="宋体" w:hint="eastAsia"/>
        </w:rPr>
        <w:t>公司</w:t>
      </w:r>
      <w:r w:rsidRPr="00D630D1">
        <w:rPr>
          <w:rFonts w:hAnsi="宋体"/>
        </w:rPr>
        <w:t>应急指挥中心办公室</w:t>
      </w:r>
      <w:r w:rsidRPr="00D630D1">
        <w:rPr>
          <w:rFonts w:hAnsi="宋体" w:hint="eastAsia"/>
        </w:rPr>
        <w:t>。</w:t>
      </w:r>
    </w:p>
    <w:p w:rsidR="00241B86" w:rsidRPr="00D630D1" w:rsidRDefault="00241B86" w:rsidP="00241B86">
      <w:pPr>
        <w:pStyle w:val="afa"/>
        <w:ind w:firstLine="480"/>
        <w:rPr>
          <w:rFonts w:hAnsi="宋体"/>
        </w:rPr>
      </w:pPr>
      <w:r w:rsidRPr="00D630D1">
        <w:rPr>
          <w:rFonts w:hAnsi="宋体" w:hint="eastAsia"/>
        </w:rPr>
        <w:t>3</w:t>
      </w:r>
      <w:r w:rsidRPr="00D630D1">
        <w:rPr>
          <w:rFonts w:hAnsi="宋体" w:hint="eastAsia"/>
        </w:rPr>
        <w:t>）设置观察点，定时取样，监测（大气</w:t>
      </w:r>
      <w:r w:rsidRPr="00D630D1">
        <w:rPr>
          <w:rFonts w:hAnsi="宋体" w:hint="eastAsia"/>
        </w:rPr>
        <w:t>/</w:t>
      </w:r>
      <w:r w:rsidRPr="00D630D1">
        <w:rPr>
          <w:rFonts w:hAnsi="宋体" w:hint="eastAsia"/>
        </w:rPr>
        <w:t>空气）中的（天然气、</w:t>
      </w:r>
      <w:r w:rsidRPr="00D630D1">
        <w:rPr>
          <w:rFonts w:hAnsi="宋体" w:hint="eastAsia"/>
        </w:rPr>
        <w:t>H</w:t>
      </w:r>
      <w:r w:rsidRPr="00D630D1">
        <w:rPr>
          <w:rFonts w:hAnsi="宋体" w:hint="eastAsia"/>
          <w:vertAlign w:val="subscript"/>
        </w:rPr>
        <w:t>2</w:t>
      </w:r>
      <w:r w:rsidRPr="00D630D1">
        <w:rPr>
          <w:rFonts w:hAnsi="宋体" w:hint="eastAsia"/>
        </w:rPr>
        <w:t>S</w:t>
      </w:r>
      <w:r w:rsidRPr="00D630D1">
        <w:rPr>
          <w:rFonts w:hAnsi="宋体" w:hint="eastAsia"/>
        </w:rPr>
        <w:t>和二氧化碳含量</w:t>
      </w:r>
      <w:r w:rsidRPr="00D630D1">
        <w:rPr>
          <w:rFonts w:hAnsi="宋体" w:hint="eastAsia"/>
        </w:rPr>
        <w:t>/</w:t>
      </w:r>
      <w:r w:rsidRPr="00D630D1">
        <w:rPr>
          <w:rFonts w:hAnsi="宋体" w:hint="eastAsia"/>
        </w:rPr>
        <w:t>有毒有害气体（如</w:t>
      </w:r>
      <w:r w:rsidRPr="00D630D1">
        <w:rPr>
          <w:rFonts w:hAnsi="宋体" w:hint="eastAsia"/>
        </w:rPr>
        <w:t>H</w:t>
      </w:r>
      <w:r w:rsidRPr="00D630D1">
        <w:rPr>
          <w:rFonts w:hAnsi="宋体" w:hint="eastAsia"/>
          <w:vertAlign w:val="subscript"/>
        </w:rPr>
        <w:t>2</w:t>
      </w:r>
      <w:r w:rsidRPr="00D630D1">
        <w:rPr>
          <w:rFonts w:hAnsi="宋体" w:hint="eastAsia"/>
        </w:rPr>
        <w:t>S</w:t>
      </w:r>
      <w:r w:rsidRPr="00D630D1">
        <w:rPr>
          <w:rFonts w:hAnsi="宋体" w:hint="eastAsia"/>
        </w:rPr>
        <w:t>）的浓度），划分安全范围。</w:t>
      </w:r>
    </w:p>
    <w:p w:rsidR="00241B86" w:rsidRPr="00D630D1" w:rsidRDefault="00241B86" w:rsidP="00241B86">
      <w:pPr>
        <w:pStyle w:val="afa"/>
        <w:ind w:firstLine="480"/>
        <w:rPr>
          <w:rFonts w:hAnsi="宋体"/>
        </w:rPr>
      </w:pPr>
      <w:r w:rsidRPr="00D630D1">
        <w:rPr>
          <w:rFonts w:hAnsi="宋体" w:hint="eastAsia"/>
        </w:rPr>
        <w:t>4</w:t>
      </w:r>
      <w:r w:rsidRPr="00D630D1">
        <w:rPr>
          <w:rFonts w:hAnsi="宋体" w:hint="eastAsia"/>
        </w:rPr>
        <w:t>）迅速成立现场抢险领导小组，根据失控状况制定抢险方案，统一指挥、</w:t>
      </w:r>
      <w:r w:rsidRPr="00D630D1">
        <w:rPr>
          <w:rFonts w:hAnsi="宋体" w:hint="eastAsia"/>
        </w:rPr>
        <w:lastRenderedPageBreak/>
        <w:t>组织和协调抢险工作。抢险方案制订及实施，要把环境保护同时考虑，同时实施，防止出现次生环境事故。</w:t>
      </w:r>
    </w:p>
    <w:p w:rsidR="00241B86" w:rsidRPr="00D630D1" w:rsidRDefault="00241B86" w:rsidP="00241B86">
      <w:pPr>
        <w:pStyle w:val="afa"/>
        <w:ind w:firstLine="480"/>
        <w:rPr>
          <w:rFonts w:hAnsi="宋体"/>
        </w:rPr>
      </w:pPr>
      <w:r w:rsidRPr="00D630D1">
        <w:rPr>
          <w:rFonts w:hAnsi="宋体" w:hint="eastAsia"/>
        </w:rPr>
        <w:t>5</w:t>
      </w:r>
      <w:r w:rsidRPr="00D630D1">
        <w:rPr>
          <w:rFonts w:hAnsi="宋体" w:hint="eastAsia"/>
        </w:rPr>
        <w:t>）继续监测污染区有毒有害气体的浓度，根据监测情况决定是否扩大撤离范围。</w:t>
      </w:r>
    </w:p>
    <w:p w:rsidR="00241B86" w:rsidRPr="00D630D1" w:rsidRDefault="00D50AB4" w:rsidP="00241B86">
      <w:pPr>
        <w:pStyle w:val="afa"/>
        <w:ind w:firstLine="480"/>
        <w:rPr>
          <w:rFonts w:hAnsi="宋体"/>
        </w:rPr>
      </w:pPr>
      <w:r>
        <w:rPr>
          <w:rFonts w:hAnsi="宋体" w:hint="eastAsia"/>
        </w:rPr>
        <w:t>6</w:t>
      </w:r>
      <w:r w:rsidR="00241B86" w:rsidRPr="00D630D1">
        <w:rPr>
          <w:rFonts w:hAnsi="宋体" w:hint="eastAsia"/>
        </w:rPr>
        <w:t>）当井喷失控时，应采取如下措施：</w:t>
      </w:r>
    </w:p>
    <w:p w:rsidR="00241B86" w:rsidRPr="00D630D1" w:rsidRDefault="00241B86" w:rsidP="00241B86">
      <w:pPr>
        <w:pStyle w:val="afa"/>
        <w:ind w:firstLine="480"/>
        <w:rPr>
          <w:rFonts w:hAnsi="宋体"/>
        </w:rPr>
      </w:pPr>
      <w:r w:rsidRPr="00D630D1">
        <w:rPr>
          <w:rFonts w:hAnsi="宋体" w:hint="eastAsia"/>
        </w:rPr>
        <w:t>（</w:t>
      </w:r>
      <w:r w:rsidRPr="00D630D1">
        <w:rPr>
          <w:rFonts w:hAnsi="宋体" w:hint="eastAsia"/>
        </w:rPr>
        <w:t>1</w:t>
      </w:r>
      <w:r w:rsidRPr="00D630D1">
        <w:rPr>
          <w:rFonts w:hAnsi="宋体" w:hint="eastAsia"/>
        </w:rPr>
        <w:t>）立即通知并协助当地政府疏散井口</w:t>
      </w:r>
      <w:r w:rsidRPr="00D630D1">
        <w:rPr>
          <w:rFonts w:hAnsi="宋体" w:hint="eastAsia"/>
        </w:rPr>
        <w:t>500m</w:t>
      </w:r>
      <w:r w:rsidRPr="00D630D1">
        <w:rPr>
          <w:rFonts w:hAnsi="宋体" w:hint="eastAsia"/>
        </w:rPr>
        <w:t>范围内的居民和其他人员，根据监测情况，考虑风向、地形、人口密度、受污染程度等情况及时作出风险和危害程度评估，决定是否扩大撤离范围。</w:t>
      </w:r>
    </w:p>
    <w:p w:rsidR="00241B86" w:rsidRPr="00D630D1" w:rsidRDefault="00241B86" w:rsidP="00241B86">
      <w:pPr>
        <w:pStyle w:val="afa"/>
        <w:ind w:firstLine="480"/>
        <w:rPr>
          <w:rFonts w:hAnsi="宋体"/>
        </w:rPr>
      </w:pPr>
      <w:r w:rsidRPr="00D630D1">
        <w:rPr>
          <w:rFonts w:hAnsi="宋体" w:hint="eastAsia"/>
        </w:rPr>
        <w:t>（</w:t>
      </w:r>
      <w:r w:rsidRPr="00D630D1">
        <w:rPr>
          <w:rFonts w:hAnsi="宋体" w:hint="eastAsia"/>
        </w:rPr>
        <w:t>2</w:t>
      </w:r>
      <w:r w:rsidRPr="00D630D1">
        <w:rPr>
          <w:rFonts w:hAnsi="宋体" w:hint="eastAsia"/>
        </w:rPr>
        <w:t>）关停生产设施。</w:t>
      </w:r>
    </w:p>
    <w:p w:rsidR="00241B86" w:rsidRPr="00D630D1" w:rsidRDefault="00241B86" w:rsidP="00241B86">
      <w:pPr>
        <w:pStyle w:val="afa"/>
        <w:ind w:firstLine="480"/>
        <w:rPr>
          <w:rFonts w:hAnsi="宋体"/>
        </w:rPr>
      </w:pPr>
      <w:r w:rsidRPr="00D630D1">
        <w:rPr>
          <w:rFonts w:hAnsi="宋体" w:hint="eastAsia"/>
        </w:rPr>
        <w:t>（</w:t>
      </w:r>
      <w:r w:rsidRPr="00D630D1">
        <w:rPr>
          <w:rFonts w:hAnsi="宋体" w:hint="eastAsia"/>
        </w:rPr>
        <w:t>3</w:t>
      </w:r>
      <w:r w:rsidRPr="00D630D1">
        <w:rPr>
          <w:rFonts w:hAnsi="宋体" w:hint="eastAsia"/>
        </w:rPr>
        <w:t>）请求援助。</w:t>
      </w:r>
    </w:p>
    <w:p w:rsidR="00241B86" w:rsidRPr="00D630D1" w:rsidRDefault="00D50AB4" w:rsidP="00241B86">
      <w:pPr>
        <w:pStyle w:val="afa"/>
        <w:ind w:firstLine="480"/>
        <w:rPr>
          <w:rFonts w:hAnsi="宋体"/>
        </w:rPr>
      </w:pPr>
      <w:r>
        <w:rPr>
          <w:rFonts w:hAnsi="宋体" w:hint="eastAsia"/>
        </w:rPr>
        <w:t>7</w:t>
      </w:r>
      <w:r w:rsidR="00241B86" w:rsidRPr="00D630D1">
        <w:rPr>
          <w:rFonts w:hAnsi="宋体" w:hint="eastAsia"/>
        </w:rPr>
        <w:t>）在确保人员安全前提下，将氧气瓶、油罐等易燃易爆物品撤离危险区。</w:t>
      </w:r>
    </w:p>
    <w:p w:rsidR="00241B86" w:rsidRPr="00D630D1" w:rsidRDefault="00D50AB4" w:rsidP="00241B86">
      <w:pPr>
        <w:pStyle w:val="afa"/>
        <w:ind w:firstLine="480"/>
        <w:rPr>
          <w:rFonts w:hAnsi="宋体"/>
        </w:rPr>
      </w:pPr>
      <w:r>
        <w:rPr>
          <w:rFonts w:hAnsi="宋体" w:hint="eastAsia"/>
        </w:rPr>
        <w:t>8</w:t>
      </w:r>
      <w:r w:rsidR="00241B86" w:rsidRPr="00D630D1">
        <w:rPr>
          <w:rFonts w:hAnsi="宋体" w:hint="eastAsia"/>
        </w:rPr>
        <w:t>）点火条件及点火时间</w:t>
      </w:r>
    </w:p>
    <w:p w:rsidR="00241B86" w:rsidRPr="00D630D1" w:rsidRDefault="00241B86" w:rsidP="00241B86">
      <w:pPr>
        <w:pStyle w:val="afa"/>
        <w:ind w:firstLine="480"/>
        <w:rPr>
          <w:rFonts w:hAnsi="宋体"/>
        </w:rPr>
      </w:pPr>
      <w:r w:rsidRPr="00D630D1">
        <w:rPr>
          <w:rFonts w:hAnsi="宋体" w:hint="eastAsia"/>
        </w:rPr>
        <w:t>井喷失控后，在</w:t>
      </w:r>
      <w:r w:rsidRPr="00D630D1">
        <w:rPr>
          <w:rFonts w:hAnsi="宋体" w:hint="eastAsia"/>
        </w:rPr>
        <w:t>15min</w:t>
      </w:r>
      <w:r w:rsidRPr="00D630D1">
        <w:rPr>
          <w:rFonts w:hAnsi="宋体" w:hint="eastAsia"/>
        </w:rPr>
        <w:t>内完成井口点火燃烧泄漏天然气，将</w:t>
      </w:r>
      <w:r w:rsidR="00D50AB4">
        <w:rPr>
          <w:rFonts w:hAnsi="宋体" w:hint="eastAsia"/>
        </w:rPr>
        <w:t>天然气</w:t>
      </w:r>
      <w:r w:rsidRPr="00D630D1">
        <w:rPr>
          <w:rFonts w:hAnsi="宋体" w:hint="eastAsia"/>
        </w:rPr>
        <w:t>燃烧转化为</w:t>
      </w:r>
      <w:r w:rsidR="00D50AB4">
        <w:rPr>
          <w:rFonts w:hAnsi="宋体" w:hint="eastAsia"/>
        </w:rPr>
        <w:t>C</w:t>
      </w:r>
      <w:r w:rsidRPr="00D630D1">
        <w:rPr>
          <w:rFonts w:hAnsi="宋体" w:hint="eastAsia"/>
        </w:rPr>
        <w:t>O</w:t>
      </w:r>
      <w:r w:rsidRPr="00D630D1">
        <w:rPr>
          <w:rFonts w:hAnsi="宋体" w:hint="eastAsia"/>
          <w:vertAlign w:val="subscript"/>
        </w:rPr>
        <w:t>2</w:t>
      </w:r>
      <w:r w:rsidRPr="00D630D1">
        <w:rPr>
          <w:rFonts w:hAnsi="宋体" w:hint="eastAsia"/>
        </w:rPr>
        <w:t>和</w:t>
      </w:r>
      <w:r w:rsidRPr="00D630D1">
        <w:rPr>
          <w:rFonts w:hAnsi="宋体" w:hint="eastAsia"/>
        </w:rPr>
        <w:t>H</w:t>
      </w:r>
      <w:r w:rsidRPr="00D630D1">
        <w:rPr>
          <w:rFonts w:hAnsi="宋体" w:hint="eastAsia"/>
          <w:vertAlign w:val="subscript"/>
        </w:rPr>
        <w:t>2</w:t>
      </w:r>
      <w:r w:rsidRPr="00D630D1">
        <w:rPr>
          <w:rFonts w:hAnsi="宋体" w:hint="eastAsia"/>
        </w:rPr>
        <w:t>O</w:t>
      </w:r>
      <w:r w:rsidRPr="00D630D1">
        <w:rPr>
          <w:rFonts w:hAnsi="宋体" w:hint="eastAsia"/>
        </w:rPr>
        <w:t>。</w:t>
      </w:r>
    </w:p>
    <w:p w:rsidR="00241B86" w:rsidRPr="00D630D1" w:rsidRDefault="00D50AB4" w:rsidP="00241B86">
      <w:pPr>
        <w:pStyle w:val="afa"/>
        <w:ind w:firstLine="480"/>
        <w:rPr>
          <w:rFonts w:hAnsi="宋体"/>
        </w:rPr>
      </w:pPr>
      <w:r>
        <w:rPr>
          <w:rFonts w:hAnsi="宋体" w:hint="eastAsia"/>
        </w:rPr>
        <w:t>9</w:t>
      </w:r>
      <w:r w:rsidR="00241B86" w:rsidRPr="00D630D1">
        <w:rPr>
          <w:rFonts w:hAnsi="宋体" w:hint="eastAsia"/>
        </w:rPr>
        <w:t>）</w:t>
      </w:r>
      <w:r w:rsidRPr="00D630D1">
        <w:rPr>
          <w:rFonts w:hAnsi="宋体" w:hint="eastAsia"/>
        </w:rPr>
        <w:t>气井</w:t>
      </w:r>
      <w:r w:rsidR="00241B86" w:rsidRPr="00D630D1">
        <w:rPr>
          <w:rFonts w:hAnsi="宋体" w:hint="eastAsia"/>
        </w:rPr>
        <w:t>井口点火程序：</w:t>
      </w:r>
    </w:p>
    <w:p w:rsidR="00241B86" w:rsidRPr="00D630D1" w:rsidRDefault="00241B86" w:rsidP="00241B86">
      <w:pPr>
        <w:pStyle w:val="afa"/>
        <w:ind w:firstLine="480"/>
        <w:rPr>
          <w:rFonts w:hAnsi="宋体"/>
        </w:rPr>
      </w:pPr>
      <w:r w:rsidRPr="00D630D1">
        <w:rPr>
          <w:rFonts w:hAnsi="宋体" w:hint="eastAsia"/>
        </w:rPr>
        <w:t>（</w:t>
      </w:r>
      <w:r w:rsidRPr="00D630D1">
        <w:rPr>
          <w:rFonts w:hAnsi="宋体" w:hint="eastAsia"/>
        </w:rPr>
        <w:t>1</w:t>
      </w:r>
      <w:r w:rsidRPr="00D630D1">
        <w:rPr>
          <w:rFonts w:hAnsi="宋体" w:hint="eastAsia"/>
        </w:rPr>
        <w:t>）气井井喷或井喷失控事故发生后，应防止着火和爆炸。</w:t>
      </w:r>
    </w:p>
    <w:p w:rsidR="00241B86" w:rsidRPr="00D630D1" w:rsidRDefault="00241B86" w:rsidP="00241B86">
      <w:pPr>
        <w:pStyle w:val="afa"/>
        <w:ind w:firstLine="480"/>
        <w:rPr>
          <w:rFonts w:hAnsi="宋体"/>
        </w:rPr>
      </w:pPr>
      <w:r w:rsidRPr="00D630D1">
        <w:rPr>
          <w:rFonts w:hAnsi="宋体" w:hint="eastAsia"/>
        </w:rPr>
        <w:t>（</w:t>
      </w:r>
      <w:r w:rsidRPr="00D630D1">
        <w:rPr>
          <w:rFonts w:hAnsi="宋体" w:hint="eastAsia"/>
        </w:rPr>
        <w:t>2</w:t>
      </w:r>
      <w:r w:rsidRPr="00D630D1">
        <w:rPr>
          <w:rFonts w:hAnsi="宋体" w:hint="eastAsia"/>
        </w:rPr>
        <w:t>）发生井喷后应采取措施控制井喷，若井口压力有可能超过允许关井压力，需点火放喷时，井场应先点火后放喷。</w:t>
      </w:r>
    </w:p>
    <w:p w:rsidR="00241B86" w:rsidRPr="00D630D1" w:rsidRDefault="00241B86" w:rsidP="00241B86">
      <w:pPr>
        <w:pStyle w:val="afa"/>
        <w:ind w:firstLine="480"/>
        <w:rPr>
          <w:rFonts w:hAnsi="宋体"/>
        </w:rPr>
      </w:pPr>
      <w:r w:rsidRPr="00D630D1">
        <w:rPr>
          <w:rFonts w:hAnsi="宋体" w:hint="eastAsia"/>
        </w:rPr>
        <w:t>（</w:t>
      </w:r>
      <w:r w:rsidRPr="00D630D1">
        <w:rPr>
          <w:rFonts w:hAnsi="宋体" w:hint="eastAsia"/>
        </w:rPr>
        <w:t>3</w:t>
      </w:r>
      <w:r w:rsidRPr="00D630D1">
        <w:rPr>
          <w:rFonts w:hAnsi="宋体" w:hint="eastAsia"/>
        </w:rPr>
        <w:t>）井喷失控后，在人员的生命受到巨大威胁、人员撤离无望、失控井无希望得到控制的情况下，作为最后手段应按抢险作业程序对油气井井口实施点火。</w:t>
      </w:r>
    </w:p>
    <w:p w:rsidR="00241B86" w:rsidRPr="00D630D1" w:rsidRDefault="00241B86" w:rsidP="00241B86">
      <w:pPr>
        <w:pStyle w:val="afa"/>
        <w:ind w:firstLine="480"/>
        <w:rPr>
          <w:rFonts w:hAnsi="宋体"/>
        </w:rPr>
      </w:pPr>
      <w:r w:rsidRPr="00D630D1">
        <w:rPr>
          <w:rFonts w:hAnsi="宋体" w:hint="eastAsia"/>
        </w:rPr>
        <w:t>（</w:t>
      </w:r>
      <w:r w:rsidRPr="00D630D1">
        <w:rPr>
          <w:rFonts w:hAnsi="宋体" w:hint="eastAsia"/>
        </w:rPr>
        <w:t>4</w:t>
      </w:r>
      <w:r w:rsidRPr="00D630D1">
        <w:rPr>
          <w:rFonts w:hAnsi="宋体" w:hint="eastAsia"/>
        </w:rPr>
        <w:t>）气井点火程序的相关内容应在应急预案中予以明确。油气井点火决策人宜由建设单位代表或其授权的现场负责人来担任，并列入应急预案中。</w:t>
      </w:r>
    </w:p>
    <w:p w:rsidR="00241B86" w:rsidRPr="00D630D1" w:rsidRDefault="00241B86" w:rsidP="00241B86">
      <w:pPr>
        <w:pStyle w:val="afa"/>
        <w:ind w:firstLine="480"/>
        <w:rPr>
          <w:rFonts w:hAnsi="宋体"/>
        </w:rPr>
      </w:pPr>
      <w:r w:rsidRPr="00D630D1">
        <w:rPr>
          <w:rFonts w:hAnsi="宋体" w:hint="eastAsia"/>
        </w:rPr>
        <w:t>（</w:t>
      </w:r>
      <w:r w:rsidRPr="00D630D1">
        <w:rPr>
          <w:rFonts w:hAnsi="宋体" w:hint="eastAsia"/>
        </w:rPr>
        <w:t>5</w:t>
      </w:r>
      <w:r w:rsidRPr="00D630D1">
        <w:rPr>
          <w:rFonts w:hAnsi="宋体" w:hint="eastAsia"/>
        </w:rPr>
        <w:t>）井场应配备自动点火装置，并备用手动点火器具。点火人员佩戴防护器具，在上风方向，尽量远离井口使用移动点火器具点火；其他人员集中到上风方向的安全区。</w:t>
      </w:r>
    </w:p>
    <w:p w:rsidR="00241B86" w:rsidRPr="00D630D1" w:rsidRDefault="00241B86" w:rsidP="00241B86">
      <w:pPr>
        <w:pStyle w:val="afa"/>
        <w:ind w:firstLine="480"/>
        <w:rPr>
          <w:rFonts w:hAnsi="宋体"/>
        </w:rPr>
      </w:pPr>
      <w:r w:rsidRPr="00D630D1">
        <w:rPr>
          <w:rFonts w:hAnsi="宋体" w:hint="eastAsia"/>
        </w:rPr>
        <w:t>（</w:t>
      </w:r>
      <w:r w:rsidRPr="00D630D1">
        <w:rPr>
          <w:rFonts w:hAnsi="宋体" w:hint="eastAsia"/>
        </w:rPr>
        <w:t>6</w:t>
      </w:r>
      <w:r w:rsidRPr="00D630D1">
        <w:rPr>
          <w:rFonts w:hAnsi="宋体" w:hint="eastAsia"/>
        </w:rPr>
        <w:t>）点火后应对下风方向尤其是井场生活区、周围集中居住区、医院、学校等人员聚集场所的二氧化硫的浓度进行监测。</w:t>
      </w:r>
    </w:p>
    <w:p w:rsidR="00241B86" w:rsidRPr="00D630D1" w:rsidRDefault="00241B86" w:rsidP="00241B86">
      <w:pPr>
        <w:pStyle w:val="afa"/>
        <w:ind w:firstLine="480"/>
        <w:rPr>
          <w:rFonts w:hAnsi="宋体"/>
        </w:rPr>
      </w:pPr>
      <w:r w:rsidRPr="00D630D1">
        <w:rPr>
          <w:rFonts w:hAnsi="宋体" w:hint="eastAsia"/>
        </w:rPr>
        <w:t>1</w:t>
      </w:r>
      <w:r w:rsidR="00D50AB4">
        <w:rPr>
          <w:rFonts w:hAnsi="宋体" w:hint="eastAsia"/>
        </w:rPr>
        <w:t>0</w:t>
      </w:r>
      <w:r w:rsidRPr="00D630D1">
        <w:rPr>
          <w:rFonts w:hAnsi="宋体" w:hint="eastAsia"/>
        </w:rPr>
        <w:t>）井喷发生后，及时安排消防车、救护车、医护人员和技安人员到现场。</w:t>
      </w:r>
    </w:p>
    <w:p w:rsidR="00241B86" w:rsidRPr="00D630D1" w:rsidRDefault="00241B86" w:rsidP="00241B86">
      <w:pPr>
        <w:pStyle w:val="afa"/>
        <w:ind w:firstLine="480"/>
        <w:rPr>
          <w:rFonts w:hAnsi="宋体"/>
        </w:rPr>
      </w:pPr>
      <w:r w:rsidRPr="00D630D1">
        <w:rPr>
          <w:rFonts w:hAnsi="宋体" w:hint="eastAsia"/>
        </w:rPr>
        <w:t>1</w:t>
      </w:r>
      <w:r w:rsidR="00D50AB4">
        <w:rPr>
          <w:rFonts w:hAnsi="宋体" w:hint="eastAsia"/>
        </w:rPr>
        <w:t>1</w:t>
      </w:r>
      <w:r w:rsidRPr="00D630D1">
        <w:rPr>
          <w:rFonts w:hAnsi="宋体" w:hint="eastAsia"/>
        </w:rPr>
        <w:t>）在邻近江河、湖泊、环境敏感区以及交通干线等地区，要在进行处置井</w:t>
      </w:r>
      <w:r w:rsidRPr="00D630D1">
        <w:rPr>
          <w:rFonts w:hAnsi="宋体" w:hint="eastAsia"/>
        </w:rPr>
        <w:lastRenderedPageBreak/>
        <w:t>喷事故的同时，充分考虑到事故和次生事故对环境可能造成的威胁，要严密制定并采取对环境敏感区和易受损资源的保护措施，防止事态扩大和引发次生灾害。</w:t>
      </w:r>
    </w:p>
    <w:p w:rsidR="00241B86" w:rsidRPr="00D630D1" w:rsidRDefault="00241B86" w:rsidP="00241B86">
      <w:pPr>
        <w:pStyle w:val="afa"/>
        <w:ind w:firstLine="480"/>
      </w:pPr>
      <w:r w:rsidRPr="00D630D1">
        <w:t>1</w:t>
      </w:r>
      <w:r w:rsidR="00D50AB4">
        <w:rPr>
          <w:rFonts w:hint="eastAsia"/>
        </w:rPr>
        <w:t>2</w:t>
      </w:r>
      <w:r w:rsidRPr="00D630D1">
        <w:rPr>
          <w:rFonts w:hAnsi="宋体"/>
        </w:rPr>
        <w:t>）在事故处理结束后，确认作业现场及其周边环境安全的情况下，和地方政府商定撤离群众的返回时间。</w:t>
      </w:r>
    </w:p>
    <w:p w:rsidR="00241B86" w:rsidRPr="00D630D1" w:rsidRDefault="00955B88" w:rsidP="00955B88">
      <w:pPr>
        <w:pStyle w:val="afa"/>
        <w:ind w:firstLine="482"/>
        <w:rPr>
          <w:b/>
        </w:rPr>
      </w:pPr>
      <w:r w:rsidRPr="00D630D1">
        <w:rPr>
          <w:rFonts w:hint="eastAsia"/>
          <w:b/>
        </w:rPr>
        <w:t>3.</w:t>
      </w:r>
      <w:r w:rsidR="00D50AB4">
        <w:rPr>
          <w:rFonts w:hint="eastAsia"/>
          <w:b/>
        </w:rPr>
        <w:t>2</w:t>
      </w:r>
      <w:r w:rsidR="00241B86" w:rsidRPr="00D630D1">
        <w:rPr>
          <w:rFonts w:hint="eastAsia"/>
          <w:b/>
        </w:rPr>
        <w:t>井喷应急</w:t>
      </w:r>
      <w:r w:rsidR="00241B86" w:rsidRPr="00D630D1">
        <w:rPr>
          <w:b/>
        </w:rPr>
        <w:t>疏散预案</w:t>
      </w:r>
    </w:p>
    <w:p w:rsidR="00241B86" w:rsidRPr="00D630D1" w:rsidRDefault="00241B86" w:rsidP="00241B86">
      <w:pPr>
        <w:pStyle w:val="afa"/>
        <w:ind w:firstLine="480"/>
      </w:pPr>
      <w:r w:rsidRPr="00D630D1">
        <w:rPr>
          <w:rFonts w:hint="eastAsia"/>
        </w:rPr>
        <w:t>当井喷失控时，应立即通知并协助当地政府疏散井口</w:t>
      </w:r>
      <w:r w:rsidRPr="00D630D1">
        <w:rPr>
          <w:rFonts w:hint="eastAsia"/>
        </w:rPr>
        <w:t>500m</w:t>
      </w:r>
      <w:r w:rsidRPr="00D630D1">
        <w:rPr>
          <w:rFonts w:hint="eastAsia"/>
        </w:rPr>
        <w:t>范围内的居民和其他人员，根据监测情况，考虑风向、地形、人口密度、受污染程度等情况及时作出风险和危害程度评估，决定是否扩大撤离范围。</w:t>
      </w:r>
    </w:p>
    <w:p w:rsidR="00241B86" w:rsidRPr="00D630D1" w:rsidRDefault="00241B86" w:rsidP="00241B86">
      <w:pPr>
        <w:pStyle w:val="afa"/>
        <w:ind w:firstLine="480"/>
      </w:pPr>
      <w:r w:rsidRPr="00D630D1">
        <w:rPr>
          <w:rFonts w:hint="eastAsia"/>
        </w:rPr>
        <w:t>1</w:t>
      </w:r>
      <w:r w:rsidRPr="00D630D1">
        <w:rPr>
          <w:rFonts w:hint="eastAsia"/>
        </w:rPr>
        <w:t>）疏散方向原则</w:t>
      </w:r>
    </w:p>
    <w:p w:rsidR="00241B86" w:rsidRPr="00D630D1" w:rsidRDefault="00241B86" w:rsidP="00241B86">
      <w:pPr>
        <w:pStyle w:val="afa"/>
        <w:ind w:firstLine="480"/>
      </w:pPr>
      <w:r w:rsidRPr="00D630D1">
        <w:rPr>
          <w:rFonts w:hint="eastAsia"/>
        </w:rPr>
        <w:t>总体原则为远离泄漏源。（</w:t>
      </w:r>
      <w:r w:rsidRPr="00D630D1">
        <w:rPr>
          <w:rFonts w:hint="eastAsia"/>
        </w:rPr>
        <w:t>1</w:t>
      </w:r>
      <w:r w:rsidRPr="00D630D1">
        <w:rPr>
          <w:rFonts w:hint="eastAsia"/>
        </w:rPr>
        <w:t>）首先向远离泄漏源的方向撤离；（</w:t>
      </w:r>
      <w:r w:rsidRPr="00D630D1">
        <w:rPr>
          <w:rFonts w:hint="eastAsia"/>
        </w:rPr>
        <w:t>2</w:t>
      </w:r>
      <w:r w:rsidRPr="00D630D1">
        <w:rPr>
          <w:rFonts w:hint="eastAsia"/>
        </w:rPr>
        <w:t>）其次向上风向或侧风向撤离；（</w:t>
      </w:r>
      <w:r w:rsidRPr="00D630D1">
        <w:rPr>
          <w:rFonts w:hint="eastAsia"/>
        </w:rPr>
        <w:t>3</w:t>
      </w:r>
      <w:r w:rsidRPr="00D630D1">
        <w:rPr>
          <w:rFonts w:hint="eastAsia"/>
        </w:rPr>
        <w:t>）向高处撤离；（</w:t>
      </w:r>
      <w:r w:rsidRPr="00D630D1">
        <w:rPr>
          <w:rFonts w:hint="eastAsia"/>
        </w:rPr>
        <w:t>4</w:t>
      </w:r>
      <w:r w:rsidRPr="00D630D1">
        <w:rPr>
          <w:rFonts w:hint="eastAsia"/>
        </w:rPr>
        <w:t>）向交通方便处撤离。</w:t>
      </w:r>
    </w:p>
    <w:p w:rsidR="00241B86" w:rsidRPr="00D630D1" w:rsidRDefault="00241B86" w:rsidP="00241B86">
      <w:pPr>
        <w:pStyle w:val="afa"/>
        <w:ind w:firstLine="480"/>
      </w:pPr>
      <w:r w:rsidRPr="00D630D1">
        <w:rPr>
          <w:rFonts w:hint="eastAsia"/>
        </w:rPr>
        <w:t>2</w:t>
      </w:r>
      <w:r w:rsidRPr="00D630D1">
        <w:rPr>
          <w:rFonts w:hint="eastAsia"/>
        </w:rPr>
        <w:t>）考虑高程情况下应急撤离路径选择原则</w:t>
      </w:r>
    </w:p>
    <w:p w:rsidR="00241B86" w:rsidRPr="00D630D1" w:rsidRDefault="00241B86" w:rsidP="00241B86">
      <w:pPr>
        <w:pStyle w:val="afa"/>
        <w:ind w:firstLine="480"/>
      </w:pPr>
      <w:r w:rsidRPr="00D630D1">
        <w:rPr>
          <w:rFonts w:hint="eastAsia"/>
        </w:rPr>
        <w:t>（</w:t>
      </w:r>
      <w:r w:rsidRPr="00D630D1">
        <w:rPr>
          <w:rFonts w:hint="eastAsia"/>
        </w:rPr>
        <w:t>1</w:t>
      </w:r>
      <w:r w:rsidRPr="00D630D1">
        <w:rPr>
          <w:rFonts w:hint="eastAsia"/>
        </w:rPr>
        <w:t>）首先确保应急撤离路径为远离泄漏源的路径；（</w:t>
      </w:r>
      <w:r w:rsidRPr="00D630D1">
        <w:rPr>
          <w:rFonts w:hint="eastAsia"/>
        </w:rPr>
        <w:t>2</w:t>
      </w:r>
      <w:r w:rsidRPr="00D630D1">
        <w:rPr>
          <w:rFonts w:hint="eastAsia"/>
        </w:rPr>
        <w:t>）选择与泄漏源同一高程或高程增加的应急撤离路径；（</w:t>
      </w:r>
      <w:r w:rsidRPr="00D630D1">
        <w:rPr>
          <w:rFonts w:hint="eastAsia"/>
        </w:rPr>
        <w:t>3</w:t>
      </w:r>
      <w:r w:rsidRPr="00D630D1">
        <w:rPr>
          <w:rFonts w:hint="eastAsia"/>
        </w:rPr>
        <w:t>）选择交通方便的主要应急撤离路径。</w:t>
      </w:r>
    </w:p>
    <w:p w:rsidR="00241B86" w:rsidRPr="00D630D1" w:rsidRDefault="00241B86" w:rsidP="00241B86">
      <w:pPr>
        <w:pStyle w:val="afa"/>
        <w:ind w:firstLine="480"/>
      </w:pPr>
      <w:r w:rsidRPr="00D630D1">
        <w:rPr>
          <w:rFonts w:hint="eastAsia"/>
        </w:rPr>
        <w:t>3</w:t>
      </w:r>
      <w:r w:rsidRPr="00D630D1">
        <w:rPr>
          <w:rFonts w:hint="eastAsia"/>
        </w:rPr>
        <w:t>）井场人员撤离方式方法</w:t>
      </w:r>
    </w:p>
    <w:p w:rsidR="00241B86" w:rsidRPr="00D630D1" w:rsidRDefault="00241B86" w:rsidP="00241B86">
      <w:pPr>
        <w:pStyle w:val="afa"/>
        <w:ind w:firstLine="480"/>
      </w:pPr>
      <w:r w:rsidRPr="00D630D1">
        <w:rPr>
          <w:rFonts w:hint="eastAsia"/>
        </w:rPr>
        <w:t>指挥小组根据对事故发展的预测，撤离警报发出后，调度组将井场两处出口通道开至最大，指挥井场内人员及车辆离开，并禁止再次进入，同时指挥外部救援车辆有序进入场区进行事故抢险。</w:t>
      </w:r>
    </w:p>
    <w:p w:rsidR="00241B86" w:rsidRPr="00D630D1" w:rsidRDefault="00241B86" w:rsidP="00241B86">
      <w:pPr>
        <w:pStyle w:val="afa"/>
        <w:ind w:firstLine="480"/>
      </w:pPr>
      <w:r w:rsidRPr="00D630D1">
        <w:rPr>
          <w:rFonts w:hint="eastAsia"/>
        </w:rPr>
        <w:t>岗位操作人员，根据当班调度的指令，采取控制事故扩大的措施进行紧急工艺处理（含紧急停车）。非事故岗位人员按照要求关闭电器设备后，并根据当时风向撤离井场前后两集合点。并根据毒物扩散情况，适时撤离到安全地点。撤离时全体人员带上应急自救器材，发现有人受伤时，应先判断环境的安全性再进行救助。人员清点，由后勤保障组长或安全环保组组长指定人员统计应到人数，并及时报告领导小组，以便及时了解是否存在员工滞留在事故区。全体人员在指定的安全点停留，直到警报解除。</w:t>
      </w:r>
    </w:p>
    <w:p w:rsidR="00241B86" w:rsidRPr="00D630D1" w:rsidRDefault="00241B86" w:rsidP="00241B86">
      <w:pPr>
        <w:pStyle w:val="afa"/>
        <w:ind w:firstLine="480"/>
      </w:pPr>
      <w:r w:rsidRPr="00D630D1">
        <w:rPr>
          <w:rFonts w:hint="eastAsia"/>
        </w:rPr>
        <w:t>4</w:t>
      </w:r>
      <w:r w:rsidRPr="00D630D1">
        <w:rPr>
          <w:rFonts w:hint="eastAsia"/>
        </w:rPr>
        <w:t>）周边区域的单位、村居人员的疏散方式方法</w:t>
      </w:r>
    </w:p>
    <w:p w:rsidR="00241B86" w:rsidRPr="00D630D1" w:rsidRDefault="00241B86" w:rsidP="00241B86">
      <w:pPr>
        <w:pStyle w:val="afa"/>
        <w:ind w:firstLine="480"/>
      </w:pPr>
      <w:r w:rsidRPr="00D630D1">
        <w:rPr>
          <w:rFonts w:hint="eastAsia"/>
        </w:rPr>
        <w:t>指挥小组根据事故发展趋势的预测，通过警报器向周边单位、村居民发出疏散警报，警报一声表示井场发生严重事故；连续警报不停，告知周边单位、村居人员要进行疏散。对外联系组立即通过电话报告</w:t>
      </w:r>
      <w:r w:rsidR="00D50AB4">
        <w:rPr>
          <w:rFonts w:hint="eastAsia"/>
        </w:rPr>
        <w:t>普光</w:t>
      </w:r>
      <w:r w:rsidRPr="00D630D1">
        <w:rPr>
          <w:rFonts w:hint="eastAsia"/>
        </w:rPr>
        <w:t>镇、</w:t>
      </w:r>
      <w:r w:rsidR="00D50AB4">
        <w:rPr>
          <w:rFonts w:hint="eastAsia"/>
        </w:rPr>
        <w:t>老君乡、</w:t>
      </w:r>
      <w:r w:rsidRPr="00D630D1">
        <w:rPr>
          <w:rFonts w:hint="eastAsia"/>
        </w:rPr>
        <w:t>宣汉县政府等</w:t>
      </w:r>
      <w:r w:rsidRPr="00D630D1">
        <w:rPr>
          <w:rFonts w:hint="eastAsia"/>
        </w:rPr>
        <w:lastRenderedPageBreak/>
        <w:t>行政主管部门，申请联动应急救援，同时通知周边单位，村居负责人。周边单位、村居负责人立即组织本单位、村居人员，根据自己所处的位置，徒步有序地疏散到</w:t>
      </w:r>
      <w:r w:rsidR="00D50AB4">
        <w:rPr>
          <w:rFonts w:hint="eastAsia"/>
        </w:rPr>
        <w:t>普光</w:t>
      </w:r>
      <w:r w:rsidR="00D50AB4" w:rsidRPr="00D630D1">
        <w:rPr>
          <w:rFonts w:hint="eastAsia"/>
        </w:rPr>
        <w:t>镇、</w:t>
      </w:r>
      <w:r w:rsidR="00D50AB4">
        <w:rPr>
          <w:rFonts w:hint="eastAsia"/>
        </w:rPr>
        <w:t>老君乡、</w:t>
      </w:r>
      <w:r w:rsidR="00D50AB4" w:rsidRPr="00D630D1">
        <w:rPr>
          <w:rFonts w:hint="eastAsia"/>
        </w:rPr>
        <w:t>宣汉县</w:t>
      </w:r>
      <w:r w:rsidRPr="00D630D1">
        <w:rPr>
          <w:rFonts w:hint="eastAsia"/>
        </w:rPr>
        <w:t>设定的安全集合点。疏散人员要带上湿毛巾衣物，当闻到臭鸡蛋气味时将口鼻捂住。疏散时</w:t>
      </w:r>
      <w:r w:rsidRPr="00D630D1">
        <w:rPr>
          <w:rFonts w:hint="eastAsia"/>
        </w:rPr>
        <w:t>HSE</w:t>
      </w:r>
      <w:r w:rsidRPr="00D630D1">
        <w:rPr>
          <w:rFonts w:hint="eastAsia"/>
        </w:rPr>
        <w:t>管理组、后勤保障组、对外关系组应全力配合</w:t>
      </w:r>
      <w:r w:rsidR="00D50AB4">
        <w:rPr>
          <w:rFonts w:hint="eastAsia"/>
        </w:rPr>
        <w:t>普光</w:t>
      </w:r>
      <w:r w:rsidR="00D50AB4" w:rsidRPr="00D630D1">
        <w:rPr>
          <w:rFonts w:hint="eastAsia"/>
        </w:rPr>
        <w:t>镇、</w:t>
      </w:r>
      <w:r w:rsidR="00D50AB4">
        <w:rPr>
          <w:rFonts w:hint="eastAsia"/>
        </w:rPr>
        <w:t>老君乡、</w:t>
      </w:r>
      <w:r w:rsidR="00D50AB4" w:rsidRPr="00D630D1">
        <w:rPr>
          <w:rFonts w:hint="eastAsia"/>
        </w:rPr>
        <w:t>宣汉县</w:t>
      </w:r>
      <w:r w:rsidRPr="00D630D1">
        <w:rPr>
          <w:rFonts w:hint="eastAsia"/>
        </w:rPr>
        <w:t>政府的疏散工作。</w:t>
      </w:r>
    </w:p>
    <w:p w:rsidR="00955B88" w:rsidRPr="00D630D1" w:rsidRDefault="00955B88" w:rsidP="00955B88">
      <w:pPr>
        <w:pStyle w:val="afa"/>
        <w:ind w:firstLine="482"/>
        <w:rPr>
          <w:b/>
        </w:rPr>
      </w:pPr>
      <w:r w:rsidRPr="00D630D1">
        <w:rPr>
          <w:rFonts w:hint="eastAsia"/>
          <w:b/>
        </w:rPr>
        <w:t>3.</w:t>
      </w:r>
      <w:r w:rsidR="00D50AB4">
        <w:rPr>
          <w:rFonts w:hint="eastAsia"/>
          <w:b/>
        </w:rPr>
        <w:t>3</w:t>
      </w:r>
      <w:r w:rsidRPr="00D630D1">
        <w:rPr>
          <w:b/>
        </w:rPr>
        <w:t>天然气管道风险事故应急措施</w:t>
      </w:r>
    </w:p>
    <w:p w:rsidR="00241B86" w:rsidRPr="00D630D1" w:rsidRDefault="00241B86" w:rsidP="00381CA3">
      <w:pPr>
        <w:pStyle w:val="afa"/>
        <w:ind w:firstLine="480"/>
      </w:pPr>
      <w:r w:rsidRPr="00D630D1">
        <w:t>当项目天然气管道发生泄漏时，项目总负责人或其指定人员应向当地政府报告，协助当地政府立即疏散管线周围的居民，并立即组织对项目周边社会关注点的撤离。</w:t>
      </w:r>
    </w:p>
    <w:p w:rsidR="00381CA3" w:rsidRPr="00D630D1" w:rsidRDefault="00381CA3" w:rsidP="00381CA3">
      <w:pPr>
        <w:pStyle w:val="afa"/>
        <w:ind w:firstLine="480"/>
      </w:pPr>
      <w:r w:rsidRPr="00D630D1">
        <w:rPr>
          <w:rFonts w:ascii="宋体" w:hAnsi="宋体" w:cs="宋体" w:hint="eastAsia"/>
        </w:rPr>
        <w:t>①</w:t>
      </w:r>
      <w:r w:rsidRPr="00D630D1">
        <w:t>天然气管道发生泄漏时：应关闭其进出口阀，截断站场气源，尽量控制、减少天然气的泄漏量。</w:t>
      </w:r>
    </w:p>
    <w:p w:rsidR="00381CA3" w:rsidRPr="00D630D1" w:rsidRDefault="00381CA3" w:rsidP="00381CA3">
      <w:pPr>
        <w:pStyle w:val="afa"/>
        <w:ind w:firstLine="480"/>
      </w:pPr>
      <w:r w:rsidRPr="00D630D1">
        <w:rPr>
          <w:rFonts w:ascii="宋体" w:hAnsi="宋体" w:cs="宋体" w:hint="eastAsia"/>
        </w:rPr>
        <w:t>②</w:t>
      </w:r>
      <w:r w:rsidRPr="00D630D1">
        <w:t>天然气管线、设备的焊缝、甩头、仪表短接因腐蚀而引起的泄漏：应将手动打开装置前天然气压力调节阀、联锁阀，将天然气排放至放空系统；同时向调度室汇报，通知停止供气。</w:t>
      </w:r>
    </w:p>
    <w:p w:rsidR="00381CA3" w:rsidRPr="00D630D1" w:rsidRDefault="00381CA3" w:rsidP="00381CA3">
      <w:pPr>
        <w:pStyle w:val="afa"/>
        <w:ind w:firstLine="480"/>
      </w:pPr>
      <w:r w:rsidRPr="00D630D1">
        <w:rPr>
          <w:rFonts w:ascii="宋体" w:hAnsi="宋体" w:cs="宋体" w:hint="eastAsia"/>
        </w:rPr>
        <w:t>③</w:t>
      </w:r>
      <w:r w:rsidRPr="00D630D1">
        <w:t>发生中毒事故：立即报告并调度就近救护车立即进入生产区，同时抢救人员戴好防毒面具，把中毒者救出现场，移至通风良好处，对呼吸及心跳停止者，立刻做人工呼吸，直至恢复正常或救护车到来。</w:t>
      </w:r>
    </w:p>
    <w:p w:rsidR="00381CA3" w:rsidRPr="00D630D1" w:rsidRDefault="00381CA3" w:rsidP="00381CA3">
      <w:pPr>
        <w:pStyle w:val="afa"/>
        <w:ind w:firstLine="480"/>
      </w:pPr>
      <w:r w:rsidRPr="00D630D1">
        <w:rPr>
          <w:rFonts w:ascii="宋体" w:hAnsi="宋体" w:cs="宋体" w:hint="eastAsia"/>
        </w:rPr>
        <w:t>④</w:t>
      </w:r>
      <w:r w:rsidRPr="00D630D1">
        <w:t>根据事故可能危害的范围设置警戒，人员疏散路线朝泄漏处上风向，逃生时要注意风向，要沿上风（逆风）方向逃生，若所处位置沿上风方向逃生时的近道要经过甲烷严重污染区，则横向绕道避开管线吹来的下风，到达非污染区后，再沿上风方向逃生（离管线越远越好）；若所处位置在管线下风方向的较远处，且风速较小，不能沿上风方向逃生而又无横向逃生小道时，可以最快捷的方式顺风逃生到有横向绕道的地方，再横向逃生避开污染区后向上风方向及沿着地面上的高点方向逃生。</w:t>
      </w:r>
    </w:p>
    <w:p w:rsidR="00381CA3" w:rsidRPr="00D630D1" w:rsidRDefault="00381CA3" w:rsidP="00381CA3">
      <w:pPr>
        <w:pStyle w:val="afa"/>
        <w:ind w:firstLine="480"/>
      </w:pPr>
      <w:r w:rsidRPr="00D630D1">
        <w:rPr>
          <w:rFonts w:ascii="宋体" w:hAnsi="宋体" w:cs="宋体" w:hint="eastAsia"/>
        </w:rPr>
        <w:t>⑤</w:t>
      </w:r>
      <w:r w:rsidRPr="00D630D1">
        <w:t>通知消防队，监护泄漏区域，防止引起火灾、爆炸。</w:t>
      </w:r>
    </w:p>
    <w:p w:rsidR="00381CA3" w:rsidRPr="00D630D1" w:rsidRDefault="00381CA3" w:rsidP="00381CA3">
      <w:pPr>
        <w:pStyle w:val="afa"/>
        <w:ind w:firstLine="480"/>
      </w:pPr>
      <w:r w:rsidRPr="00D630D1">
        <w:rPr>
          <w:rFonts w:ascii="宋体" w:hAnsi="宋体" w:cs="宋体" w:hint="eastAsia"/>
        </w:rPr>
        <w:t>⑥</w:t>
      </w:r>
      <w:r w:rsidRPr="00D630D1">
        <w:t>时间就是生命，紧急逃生时，不要因收贵重物品等事宜延误时间，并且要轻装撤离逃生。</w:t>
      </w:r>
    </w:p>
    <w:p w:rsidR="008825E9" w:rsidRPr="00D630D1" w:rsidRDefault="00381CA3" w:rsidP="00381CA3">
      <w:pPr>
        <w:pStyle w:val="afa"/>
        <w:ind w:firstLine="480"/>
      </w:pPr>
      <w:r w:rsidRPr="00D630D1">
        <w:rPr>
          <w:rFonts w:ascii="宋体" w:hAnsi="宋体" w:cs="宋体" w:hint="eastAsia"/>
        </w:rPr>
        <w:t>⑦</w:t>
      </w:r>
      <w:r w:rsidRPr="00D630D1">
        <w:t>当所处位置离管线很远时，则只要偏离风向往离管线越来越远的方向逃生即可。</w:t>
      </w:r>
    </w:p>
    <w:p w:rsidR="00117C3D" w:rsidRPr="00D630D1" w:rsidRDefault="002957A2" w:rsidP="002957A2">
      <w:pPr>
        <w:pStyle w:val="afa"/>
        <w:ind w:firstLine="482"/>
        <w:rPr>
          <w:b/>
          <w:bCs/>
        </w:rPr>
      </w:pPr>
      <w:bookmarkStart w:id="585" w:name="_Toc12288767"/>
      <w:r w:rsidRPr="00D630D1">
        <w:rPr>
          <w:b/>
          <w:bCs/>
        </w:rPr>
        <w:lastRenderedPageBreak/>
        <w:t>4</w:t>
      </w:r>
      <w:r w:rsidRPr="00D630D1">
        <w:rPr>
          <w:b/>
          <w:bCs/>
        </w:rPr>
        <w:t>、</w:t>
      </w:r>
      <w:r w:rsidR="008B5B84" w:rsidRPr="00D630D1">
        <w:rPr>
          <w:b/>
          <w:bCs/>
        </w:rPr>
        <w:t>应急监测</w:t>
      </w:r>
      <w:bookmarkEnd w:id="585"/>
    </w:p>
    <w:p w:rsidR="00117C3D" w:rsidRPr="00D630D1" w:rsidRDefault="008B5B84" w:rsidP="002957A2">
      <w:pPr>
        <w:pStyle w:val="afa"/>
        <w:ind w:firstLine="480"/>
      </w:pPr>
      <w:r w:rsidRPr="00D630D1">
        <w:t>应急监测的项目：非甲烷总烃、</w:t>
      </w:r>
      <w:r w:rsidR="000D389E">
        <w:rPr>
          <w:rFonts w:hint="eastAsia"/>
        </w:rPr>
        <w:t>甲烷</w:t>
      </w:r>
      <w:r w:rsidRPr="00D630D1">
        <w:t>。监测地点：出现事故地点</w:t>
      </w:r>
    </w:p>
    <w:p w:rsidR="00117C3D" w:rsidRPr="00D630D1" w:rsidRDefault="008B5B84" w:rsidP="002957A2">
      <w:pPr>
        <w:pStyle w:val="afa"/>
        <w:ind w:firstLine="480"/>
      </w:pPr>
      <w:r w:rsidRPr="00D630D1">
        <w:t>监测要求：主导风向结合敏感点进行布设。</w:t>
      </w:r>
    </w:p>
    <w:p w:rsidR="00117C3D" w:rsidRPr="00D630D1" w:rsidRDefault="002957A2" w:rsidP="002957A2">
      <w:pPr>
        <w:pStyle w:val="afa"/>
        <w:ind w:firstLine="482"/>
        <w:rPr>
          <w:b/>
          <w:bCs/>
        </w:rPr>
      </w:pPr>
      <w:bookmarkStart w:id="586" w:name="_Toc12288768"/>
      <w:r w:rsidRPr="00D630D1">
        <w:rPr>
          <w:b/>
          <w:bCs/>
        </w:rPr>
        <w:t>5</w:t>
      </w:r>
      <w:r w:rsidRPr="00D630D1">
        <w:rPr>
          <w:b/>
          <w:bCs/>
        </w:rPr>
        <w:t>、</w:t>
      </w:r>
      <w:r w:rsidR="008B5B84" w:rsidRPr="00D630D1">
        <w:rPr>
          <w:b/>
          <w:bCs/>
        </w:rPr>
        <w:t>事故后的恢复程序</w:t>
      </w:r>
      <w:bookmarkEnd w:id="586"/>
    </w:p>
    <w:p w:rsidR="00117C3D" w:rsidRPr="00D630D1" w:rsidRDefault="008B5B84" w:rsidP="002957A2">
      <w:pPr>
        <w:pStyle w:val="afa"/>
        <w:ind w:firstLine="480"/>
      </w:pPr>
      <w:r w:rsidRPr="00D630D1">
        <w:t>当恢复生产后，善后工作由现场人员负责具体落实，主要包括以下内容：</w:t>
      </w:r>
    </w:p>
    <w:p w:rsidR="00117C3D" w:rsidRPr="00D630D1" w:rsidRDefault="002957A2" w:rsidP="002957A2">
      <w:pPr>
        <w:pStyle w:val="afa"/>
        <w:ind w:firstLine="480"/>
      </w:pPr>
      <w:r w:rsidRPr="00D630D1">
        <w:t>（</w:t>
      </w:r>
      <w:r w:rsidRPr="00D630D1">
        <w:t>1</w:t>
      </w:r>
      <w:r w:rsidRPr="00D630D1">
        <w:t>）</w:t>
      </w:r>
      <w:r w:rsidR="008B5B84" w:rsidRPr="00D630D1">
        <w:t>对现场进行清理，撤除所有的机具设备。</w:t>
      </w:r>
    </w:p>
    <w:p w:rsidR="00117C3D" w:rsidRPr="00D630D1" w:rsidRDefault="002957A2" w:rsidP="002957A2">
      <w:pPr>
        <w:pStyle w:val="afa"/>
        <w:ind w:firstLine="480"/>
      </w:pPr>
      <w:r w:rsidRPr="00D630D1">
        <w:t>（</w:t>
      </w:r>
      <w:r w:rsidRPr="00D630D1">
        <w:t>2</w:t>
      </w:r>
      <w:r w:rsidRPr="00D630D1">
        <w:t>）</w:t>
      </w:r>
      <w:r w:rsidR="008B5B84" w:rsidRPr="00D630D1">
        <w:t>恢复地貌、植被；疏通河道、交通。</w:t>
      </w:r>
    </w:p>
    <w:p w:rsidR="00117C3D" w:rsidRPr="00D630D1" w:rsidRDefault="002957A2" w:rsidP="002957A2">
      <w:pPr>
        <w:pStyle w:val="afa"/>
        <w:ind w:firstLine="480"/>
      </w:pPr>
      <w:r w:rsidRPr="00D630D1">
        <w:t>（</w:t>
      </w:r>
      <w:r w:rsidRPr="00D630D1">
        <w:t>3</w:t>
      </w:r>
      <w:r w:rsidRPr="00D630D1">
        <w:t>）</w:t>
      </w:r>
      <w:r w:rsidR="008B5B84" w:rsidRPr="00D630D1">
        <w:t>根据事故破坏情况，进行评估，按照相关法律，进行赔偿。</w:t>
      </w:r>
    </w:p>
    <w:p w:rsidR="00117C3D" w:rsidRPr="00D630D1" w:rsidRDefault="002957A2" w:rsidP="002957A2">
      <w:pPr>
        <w:pStyle w:val="afa"/>
        <w:ind w:firstLine="480"/>
      </w:pPr>
      <w:r w:rsidRPr="00D630D1">
        <w:t>（</w:t>
      </w:r>
      <w:r w:rsidRPr="00D630D1">
        <w:t>4</w:t>
      </w:r>
      <w:r w:rsidRPr="00D630D1">
        <w:t>）</w:t>
      </w:r>
      <w:r w:rsidR="008B5B84" w:rsidRPr="00D630D1">
        <w:t>做好各项记录，进行归档整理。</w:t>
      </w:r>
    </w:p>
    <w:p w:rsidR="00117C3D" w:rsidRPr="00D630D1" w:rsidRDefault="002957A2" w:rsidP="002957A2">
      <w:pPr>
        <w:pStyle w:val="afa"/>
        <w:ind w:firstLine="482"/>
        <w:rPr>
          <w:b/>
          <w:bCs/>
        </w:rPr>
      </w:pPr>
      <w:bookmarkStart w:id="587" w:name="_Toc12288769"/>
      <w:r w:rsidRPr="00D630D1">
        <w:rPr>
          <w:b/>
          <w:bCs/>
        </w:rPr>
        <w:t>6</w:t>
      </w:r>
      <w:r w:rsidRPr="00D630D1">
        <w:rPr>
          <w:b/>
          <w:bCs/>
        </w:rPr>
        <w:t>、</w:t>
      </w:r>
      <w:r w:rsidR="008B5B84" w:rsidRPr="00D630D1">
        <w:rPr>
          <w:b/>
          <w:bCs/>
        </w:rPr>
        <w:t>应急培训与演练</w:t>
      </w:r>
      <w:bookmarkEnd w:id="587"/>
    </w:p>
    <w:p w:rsidR="00117C3D" w:rsidRPr="00D630D1" w:rsidRDefault="008B5B84" w:rsidP="002957A2">
      <w:pPr>
        <w:pStyle w:val="afa"/>
        <w:ind w:firstLine="480"/>
      </w:pPr>
      <w:r w:rsidRPr="00D630D1">
        <w:t>应急培训和演练是培养和提高各岗位操作人员以及其他人员的日常应急处理能力的重要手段。应急预案应明确规定以下内容：</w:t>
      </w:r>
    </w:p>
    <w:p w:rsidR="00117C3D" w:rsidRPr="00D630D1" w:rsidRDefault="002957A2" w:rsidP="002957A2">
      <w:pPr>
        <w:pStyle w:val="afa"/>
        <w:ind w:firstLine="480"/>
      </w:pPr>
      <w:r w:rsidRPr="00D630D1">
        <w:t>（</w:t>
      </w:r>
      <w:r w:rsidRPr="00D630D1">
        <w:t>1</w:t>
      </w:r>
      <w:r w:rsidRPr="00D630D1">
        <w:t>）</w:t>
      </w:r>
      <w:r w:rsidR="008B5B84" w:rsidRPr="00D630D1">
        <w:t>演练及考核计划</w:t>
      </w:r>
    </w:p>
    <w:p w:rsidR="00117C3D" w:rsidRPr="00D630D1" w:rsidRDefault="008B5B84" w:rsidP="002957A2">
      <w:pPr>
        <w:pStyle w:val="afa"/>
        <w:ind w:firstLine="480"/>
      </w:pPr>
      <w:r w:rsidRPr="00D630D1">
        <w:t>演练计划包括应急预案类型、演练时间、演练内容、参加人员、考核方式等要求。</w:t>
      </w:r>
    </w:p>
    <w:p w:rsidR="00117C3D" w:rsidRPr="00D630D1" w:rsidRDefault="002957A2" w:rsidP="002957A2">
      <w:pPr>
        <w:pStyle w:val="afa"/>
        <w:ind w:firstLine="480"/>
      </w:pPr>
      <w:r w:rsidRPr="00D630D1">
        <w:t>（</w:t>
      </w:r>
      <w:r w:rsidRPr="00D630D1">
        <w:t>2</w:t>
      </w:r>
      <w:r w:rsidRPr="00D630D1">
        <w:t>）</w:t>
      </w:r>
      <w:r w:rsidR="008B5B84" w:rsidRPr="00D630D1">
        <w:t>演练记录</w:t>
      </w:r>
    </w:p>
    <w:p w:rsidR="00117C3D" w:rsidRPr="00D630D1" w:rsidRDefault="008B5B84" w:rsidP="002957A2">
      <w:pPr>
        <w:pStyle w:val="afa"/>
        <w:ind w:firstLine="480"/>
      </w:pPr>
      <w:r w:rsidRPr="00D630D1">
        <w:t>演练记录包括应急预案类型、演练时间、演练人员名单、演练过程、考核结果、存在问题等项内容。演练记录存档备查。</w:t>
      </w:r>
    </w:p>
    <w:p w:rsidR="00117C3D" w:rsidRPr="00D630D1" w:rsidRDefault="002957A2" w:rsidP="002957A2">
      <w:pPr>
        <w:pStyle w:val="afa"/>
        <w:ind w:firstLine="480"/>
      </w:pPr>
      <w:r w:rsidRPr="00D630D1">
        <w:t>（</w:t>
      </w:r>
      <w:r w:rsidRPr="00D630D1">
        <w:t>3</w:t>
      </w:r>
      <w:r w:rsidRPr="00D630D1">
        <w:t>）</w:t>
      </w:r>
      <w:r w:rsidR="008B5B84" w:rsidRPr="00D630D1">
        <w:t>演练内容和形式</w:t>
      </w:r>
    </w:p>
    <w:p w:rsidR="00117C3D" w:rsidRPr="00D630D1" w:rsidRDefault="008B5B84" w:rsidP="002957A2">
      <w:pPr>
        <w:pStyle w:val="afa"/>
        <w:ind w:firstLine="480"/>
      </w:pPr>
      <w:r w:rsidRPr="00D630D1">
        <w:t>强化应急器材、医疗急救等方面的演练；</w:t>
      </w:r>
    </w:p>
    <w:p w:rsidR="00117C3D" w:rsidRPr="00D630D1" w:rsidRDefault="008B5B84" w:rsidP="002957A2">
      <w:pPr>
        <w:pStyle w:val="afa"/>
        <w:ind w:firstLine="480"/>
      </w:pPr>
      <w:r w:rsidRPr="00D630D1">
        <w:t>采用答卷方式对操作人员进行应急预案教育；</w:t>
      </w:r>
    </w:p>
    <w:p w:rsidR="00117C3D" w:rsidRPr="00D630D1" w:rsidRDefault="008B5B84" w:rsidP="002957A2">
      <w:pPr>
        <w:pStyle w:val="afa"/>
        <w:ind w:firstLine="480"/>
      </w:pPr>
      <w:r w:rsidRPr="00D630D1">
        <w:t>按照事故应急预案，以岗位为单位进行实战模拟演练；和地方消防、医疗等单位举行较大规模的实战模拟演练；</w:t>
      </w:r>
    </w:p>
    <w:p w:rsidR="00117C3D" w:rsidRPr="00D630D1" w:rsidRDefault="008B5B84" w:rsidP="002957A2">
      <w:pPr>
        <w:pStyle w:val="afa"/>
        <w:ind w:firstLine="480"/>
      </w:pPr>
      <w:r w:rsidRPr="00D630D1">
        <w:t>采取各种形式</w:t>
      </w:r>
      <w:r w:rsidR="00CC4E02" w:rsidRPr="00D630D1">
        <w:t>（如电视、电影、宣传手册等）</w:t>
      </w:r>
      <w:r w:rsidRPr="00D630D1">
        <w:t>对</w:t>
      </w:r>
      <w:r w:rsidR="00955B88" w:rsidRPr="00D630D1">
        <w:t>站场周围</w:t>
      </w:r>
      <w:r w:rsidR="000D389E">
        <w:rPr>
          <w:rFonts w:hint="eastAsia"/>
        </w:rPr>
        <w:t>5k</w:t>
      </w:r>
      <w:r w:rsidR="000D389E" w:rsidRPr="00D630D1">
        <w:rPr>
          <w:rFonts w:hint="eastAsia"/>
        </w:rPr>
        <w:t>m</w:t>
      </w:r>
      <w:r w:rsidR="00955B88" w:rsidRPr="00D630D1">
        <w:rPr>
          <w:rFonts w:hint="eastAsia"/>
        </w:rPr>
        <w:t>及</w:t>
      </w:r>
      <w:r w:rsidRPr="00D630D1">
        <w:t>管道工程周边的民众进行应急知识宣传，在</w:t>
      </w:r>
      <w:r w:rsidR="00955B88" w:rsidRPr="00D630D1">
        <w:t>站场周围</w:t>
      </w:r>
      <w:r w:rsidR="000D389E">
        <w:rPr>
          <w:rFonts w:hint="eastAsia"/>
        </w:rPr>
        <w:t>5k</w:t>
      </w:r>
      <w:r w:rsidR="00955B88" w:rsidRPr="00D630D1">
        <w:rPr>
          <w:rFonts w:hint="eastAsia"/>
        </w:rPr>
        <w:t>m</w:t>
      </w:r>
      <w:r w:rsidR="00955B88" w:rsidRPr="00D630D1">
        <w:rPr>
          <w:rFonts w:hint="eastAsia"/>
        </w:rPr>
        <w:t>及</w:t>
      </w:r>
      <w:r w:rsidRPr="00D630D1">
        <w:t>管道</w:t>
      </w:r>
      <w:r w:rsidR="00955B88" w:rsidRPr="00D630D1">
        <w:rPr>
          <w:rFonts w:hint="eastAsia"/>
        </w:rPr>
        <w:t>2</w:t>
      </w:r>
      <w:r w:rsidRPr="00D630D1">
        <w:t>00m</w:t>
      </w:r>
      <w:r w:rsidRPr="00D630D1">
        <w:t>内有居民的村庄进行居民疏散演练。</w:t>
      </w:r>
    </w:p>
    <w:p w:rsidR="00117C3D" w:rsidRPr="00D630D1" w:rsidRDefault="002957A2" w:rsidP="002957A2">
      <w:pPr>
        <w:pStyle w:val="afa"/>
        <w:ind w:firstLine="480"/>
      </w:pPr>
      <w:r w:rsidRPr="00D630D1">
        <w:t>（</w:t>
      </w:r>
      <w:r w:rsidRPr="00D630D1">
        <w:t>4</w:t>
      </w:r>
      <w:r w:rsidRPr="00D630D1">
        <w:t>）</w:t>
      </w:r>
      <w:r w:rsidR="008B5B84" w:rsidRPr="00D630D1">
        <w:t>总结</w:t>
      </w:r>
    </w:p>
    <w:p w:rsidR="00117C3D" w:rsidRPr="00D630D1" w:rsidRDefault="008B5B84" w:rsidP="002957A2">
      <w:pPr>
        <w:pStyle w:val="afa"/>
        <w:ind w:firstLine="480"/>
      </w:pPr>
      <w:r w:rsidRPr="00D630D1">
        <w:t>演练结束后应就演练过程与应急预案的要求进行对比，可采取自我评估或第三方评估的方式对预案实施过程中存在的问题进行评估，根据评估结果对应急预</w:t>
      </w:r>
      <w:r w:rsidRPr="00D630D1">
        <w:lastRenderedPageBreak/>
        <w:t>案进行修改、完善。</w:t>
      </w:r>
    </w:p>
    <w:p w:rsidR="00117C3D" w:rsidRPr="00D630D1" w:rsidRDefault="0014487A" w:rsidP="0014487A">
      <w:pPr>
        <w:pStyle w:val="2"/>
        <w:spacing w:before="120"/>
        <w:rPr>
          <w:rFonts w:cs="Times New Roman"/>
        </w:rPr>
      </w:pPr>
      <w:bookmarkStart w:id="588" w:name="bookmark65"/>
      <w:bookmarkStart w:id="589" w:name="_Toc12288770"/>
      <w:bookmarkStart w:id="590" w:name="_Toc19816117"/>
      <w:bookmarkStart w:id="591" w:name="_Toc81515303"/>
      <w:bookmarkEnd w:id="588"/>
      <w:r w:rsidRPr="00D630D1">
        <w:rPr>
          <w:rFonts w:cs="Times New Roman"/>
        </w:rPr>
        <w:t>7</w:t>
      </w:r>
      <w:r w:rsidR="008B5B84" w:rsidRPr="00D630D1">
        <w:rPr>
          <w:rFonts w:cs="Times New Roman"/>
        </w:rPr>
        <w:t>.1</w:t>
      </w:r>
      <w:bookmarkEnd w:id="589"/>
      <w:bookmarkEnd w:id="590"/>
      <w:r w:rsidR="00FB4955" w:rsidRPr="00D630D1">
        <w:rPr>
          <w:rFonts w:cs="Times New Roman"/>
        </w:rPr>
        <w:t>1</w:t>
      </w:r>
      <w:r w:rsidR="000F57FD" w:rsidRPr="00D630D1">
        <w:rPr>
          <w:rFonts w:cs="Times New Roman"/>
        </w:rPr>
        <w:t xml:space="preserve"> </w:t>
      </w:r>
      <w:r w:rsidR="006912EA" w:rsidRPr="00D630D1">
        <w:rPr>
          <w:rFonts w:cs="Times New Roman"/>
        </w:rPr>
        <w:t>环境风险评价结论与建议</w:t>
      </w:r>
      <w:bookmarkEnd w:id="591"/>
    </w:p>
    <w:p w:rsidR="00955B88" w:rsidRPr="00D630D1" w:rsidRDefault="00955B88" w:rsidP="006912EA">
      <w:pPr>
        <w:pStyle w:val="afa"/>
        <w:ind w:firstLine="480"/>
      </w:pPr>
      <w:bookmarkStart w:id="592" w:name="bookmark66"/>
      <w:bookmarkEnd w:id="592"/>
      <w:r w:rsidRPr="00D630D1">
        <w:t>本项目最大可行事故为</w:t>
      </w:r>
      <w:r w:rsidRPr="00D630D1">
        <w:rPr>
          <w:rFonts w:hint="eastAsia"/>
        </w:rPr>
        <w:t>井喷失控造成天然气释放，根据预测结果：</w:t>
      </w:r>
      <w:r w:rsidRPr="00D630D1">
        <w:t>最不利气象状况下，甲烷泄漏，超过毒性终点浓度</w:t>
      </w:r>
      <w:r w:rsidRPr="00D630D1">
        <w:t>-1</w:t>
      </w:r>
      <w:r w:rsidRPr="00D630D1">
        <w:t>和毒性终点浓度</w:t>
      </w:r>
      <w:r w:rsidRPr="00D630D1">
        <w:t>-2</w:t>
      </w:r>
      <w:r w:rsidRPr="00D630D1">
        <w:t>的距离均为</w:t>
      </w:r>
      <w:r w:rsidRPr="00D630D1">
        <w:t>0m</w:t>
      </w:r>
      <w:r w:rsidRPr="00D630D1">
        <w:t>，下风向的最大浓度均远低于毒性终点浓度</w:t>
      </w:r>
      <w:r w:rsidRPr="00D630D1">
        <w:t>-1</w:t>
      </w:r>
      <w:r w:rsidRPr="00D630D1">
        <w:t>和毒性终点浓度</w:t>
      </w:r>
      <w:r w:rsidRPr="00D630D1">
        <w:t>-2</w:t>
      </w:r>
      <w:r w:rsidRPr="00D630D1">
        <w:t>，若发生井喷事故，应对井场周边</w:t>
      </w:r>
      <w:r w:rsidR="000D389E">
        <w:rPr>
          <w:rFonts w:hint="eastAsia"/>
        </w:rPr>
        <w:t>50</w:t>
      </w:r>
      <w:r w:rsidRPr="00D630D1">
        <w:rPr>
          <w:rFonts w:hint="eastAsia"/>
        </w:rPr>
        <w:t>0m</w:t>
      </w:r>
      <w:r w:rsidRPr="00D630D1">
        <w:rPr>
          <w:rFonts w:hint="eastAsia"/>
        </w:rPr>
        <w:t>范围内的居民采取</w:t>
      </w:r>
      <w:r w:rsidRPr="00D630D1">
        <w:t>紧急疏散措施</w:t>
      </w:r>
      <w:r w:rsidRPr="00D630D1">
        <w:rPr>
          <w:rFonts w:hint="eastAsia"/>
        </w:rPr>
        <w:t>，同时井喷失控事故发生后及时进行点火，以减轻事故风险对环境的影响</w:t>
      </w:r>
      <w:r w:rsidRPr="00D630D1">
        <w:t>。</w:t>
      </w:r>
    </w:p>
    <w:p w:rsidR="00955B88" w:rsidRPr="00D630D1" w:rsidRDefault="00955B88" w:rsidP="006912EA">
      <w:pPr>
        <w:pStyle w:val="afa"/>
        <w:ind w:firstLine="480"/>
      </w:pPr>
      <w:r w:rsidRPr="00D630D1">
        <w:rPr>
          <w:rFonts w:hint="eastAsia"/>
        </w:rPr>
        <w:t>与工程地层情况类似的相邻井在钻井中未发生井喷失控事故，发生可能诱发井喷失控的不良现象很少，但事故发生对环境的影响重大，工程主管部门通过完善井控、防火、防爆安全以及安全防护等措施，尤其是井喷失控后在</w:t>
      </w:r>
      <w:r w:rsidRPr="00D630D1">
        <w:rPr>
          <w:rFonts w:hint="eastAsia"/>
        </w:rPr>
        <w:t>15min</w:t>
      </w:r>
      <w:r w:rsidRPr="00D630D1">
        <w:rPr>
          <w:rFonts w:hint="eastAsia"/>
        </w:rPr>
        <w:t>内点火、撤离居民等关键措施。制定详尽有效的事故应急方案，充分提高队伍的事故防范能力，严格按照钻井设计和行业规范作业，强化健康、安全、环境管理（</w:t>
      </w:r>
      <w:r w:rsidRPr="00D630D1">
        <w:rPr>
          <w:rFonts w:hint="eastAsia"/>
        </w:rPr>
        <w:t>HSE</w:t>
      </w:r>
      <w:r w:rsidRPr="00D630D1">
        <w:rPr>
          <w:rFonts w:hint="eastAsia"/>
        </w:rPr>
        <w:t>），该项目的环境风险值会大大的降低。通过按行业规范要求和环评要求进行风险防范和制定应急措施，将该项目环境风险机率和风险影响降低，本项目环境风险可控。</w:t>
      </w:r>
    </w:p>
    <w:p w:rsidR="006912EA" w:rsidRPr="00D630D1" w:rsidRDefault="00955B88" w:rsidP="006912EA">
      <w:pPr>
        <w:pStyle w:val="afa"/>
        <w:ind w:firstLine="480"/>
      </w:pPr>
      <w:r w:rsidRPr="00D630D1">
        <w:rPr>
          <w:rFonts w:hint="eastAsia"/>
        </w:rPr>
        <w:t>本工程的其他风险防范措施：</w:t>
      </w:r>
      <w:r w:rsidR="006912EA" w:rsidRPr="00D630D1">
        <w:t>本项目为天然气</w:t>
      </w:r>
      <w:r w:rsidR="00586C59" w:rsidRPr="00D630D1">
        <w:rPr>
          <w:rFonts w:hint="eastAsia"/>
        </w:rPr>
        <w:t>开采</w:t>
      </w:r>
      <w:r w:rsidR="00B11B9F" w:rsidRPr="00D630D1">
        <w:t>和</w:t>
      </w:r>
      <w:r w:rsidR="006912EA" w:rsidRPr="00D630D1">
        <w:t>内部集输工程，工程在选线上已尽量避开人口密集区和不良地质区。管线两端的站场均设置了安全截断装置，一旦发生事故可以立即采取措施，将其对环境的影响控制在可接受范围内，不会对沿线居民和当地环境造成重大不良影响。此外，</w:t>
      </w:r>
      <w:r w:rsidR="00DB6EC5" w:rsidRPr="00D630D1">
        <w:t>柴油储罐</w:t>
      </w:r>
      <w:r w:rsidR="000D389E">
        <w:rPr>
          <w:rFonts w:hint="eastAsia"/>
        </w:rPr>
        <w:t>、凝析油储罐</w:t>
      </w:r>
      <w:r w:rsidRPr="00D630D1">
        <w:t>和</w:t>
      </w:r>
      <w:r w:rsidR="00EF360A" w:rsidRPr="00D630D1">
        <w:t>污水缓冲罐</w:t>
      </w:r>
      <w:r w:rsidR="001626C7" w:rsidRPr="00D630D1">
        <w:rPr>
          <w:rFonts w:hint="eastAsia"/>
        </w:rPr>
        <w:t>四周设置围堰，并</w:t>
      </w:r>
      <w:r w:rsidR="001626C7" w:rsidRPr="00D630D1">
        <w:t>进行防渗处理</w:t>
      </w:r>
      <w:r w:rsidR="001626C7" w:rsidRPr="00D630D1">
        <w:rPr>
          <w:rFonts w:hint="eastAsia"/>
        </w:rPr>
        <w:t>，</w:t>
      </w:r>
      <w:r w:rsidR="001626C7" w:rsidRPr="00D630D1">
        <w:t>加强管道</w:t>
      </w:r>
      <w:r w:rsidR="001626C7" w:rsidRPr="00D630D1">
        <w:rPr>
          <w:rFonts w:hint="eastAsia"/>
        </w:rPr>
        <w:t>、储罐</w:t>
      </w:r>
      <w:r w:rsidR="001626C7" w:rsidRPr="00D630D1">
        <w:t>的巡检</w:t>
      </w:r>
      <w:r w:rsidR="001626C7" w:rsidRPr="00D630D1">
        <w:rPr>
          <w:rFonts w:hint="eastAsia"/>
        </w:rPr>
        <w:t>，</w:t>
      </w:r>
      <w:r w:rsidR="006912EA" w:rsidRPr="00D630D1">
        <w:t>通过与管道沿线的居民和当地村委会建立联络沟通机制，完善应急监控能力。</w:t>
      </w:r>
    </w:p>
    <w:p w:rsidR="006912EA" w:rsidRPr="00D630D1" w:rsidRDefault="006912EA" w:rsidP="006912EA">
      <w:pPr>
        <w:pStyle w:val="afa"/>
        <w:ind w:firstLine="480"/>
      </w:pPr>
      <w:r w:rsidRPr="00D630D1">
        <w:t>本工程通过采取相应的环境风险防范措施，加强环境风险管理，落实应急预案，项目环境风险机率和风险影响为可接受水平。因此，从环境风险的角度而言，项目建设可行。</w:t>
      </w:r>
    </w:p>
    <w:bookmarkEnd w:id="570"/>
    <w:p w:rsidR="00117C3D" w:rsidRPr="00D630D1" w:rsidRDefault="00117C3D" w:rsidP="00240248">
      <w:pPr>
        <w:pStyle w:val="a1"/>
        <w:ind w:firstLine="480"/>
        <w:rPr>
          <w:rFonts w:ascii="Times New Roman" w:cs="Times New Roman"/>
        </w:rPr>
        <w:sectPr w:rsidR="00117C3D" w:rsidRPr="00D630D1" w:rsidSect="00BA4F10">
          <w:headerReference w:type="even" r:id="rId133"/>
          <w:headerReference w:type="default" r:id="rId134"/>
          <w:footerReference w:type="even" r:id="rId135"/>
          <w:footerReference w:type="default" r:id="rId136"/>
          <w:headerReference w:type="first" r:id="rId137"/>
          <w:footerReference w:type="first" r:id="rId138"/>
          <w:pgSz w:w="11906" w:h="16838"/>
          <w:pgMar w:top="1440" w:right="1800" w:bottom="1440" w:left="1800" w:header="851" w:footer="992" w:gutter="0"/>
          <w:cols w:space="425"/>
          <w:docGrid w:type="lines" w:linePitch="312"/>
        </w:sectPr>
      </w:pPr>
    </w:p>
    <w:p w:rsidR="00117C3D" w:rsidRPr="00D630D1" w:rsidRDefault="00290D1D" w:rsidP="007A3D54">
      <w:pPr>
        <w:pStyle w:val="1"/>
        <w:spacing w:before="0" w:beforeAutospacing="0" w:after="0" w:afterAutospacing="0"/>
        <w:rPr>
          <w:rFonts w:eastAsia="宋体"/>
        </w:rPr>
      </w:pPr>
      <w:bookmarkStart w:id="593" w:name="_Toc19816123"/>
      <w:bookmarkStart w:id="594" w:name="_Toc81515304"/>
      <w:r w:rsidRPr="00D630D1">
        <w:rPr>
          <w:rFonts w:eastAsia="宋体"/>
        </w:rPr>
        <w:lastRenderedPageBreak/>
        <w:t>8</w:t>
      </w:r>
      <w:r w:rsidR="008B5B84" w:rsidRPr="00D630D1">
        <w:rPr>
          <w:rFonts w:eastAsia="宋体"/>
        </w:rPr>
        <w:t xml:space="preserve"> </w:t>
      </w:r>
      <w:r w:rsidR="008B5B84" w:rsidRPr="00D630D1">
        <w:rPr>
          <w:rFonts w:eastAsia="宋体"/>
        </w:rPr>
        <w:t>环保措施及其经济技术论证</w:t>
      </w:r>
      <w:bookmarkEnd w:id="593"/>
      <w:bookmarkEnd w:id="594"/>
    </w:p>
    <w:p w:rsidR="00117C3D" w:rsidRPr="00D630D1" w:rsidRDefault="00290D1D" w:rsidP="007A3D54">
      <w:pPr>
        <w:pStyle w:val="2"/>
        <w:spacing w:before="120"/>
        <w:rPr>
          <w:rFonts w:cs="Times New Roman"/>
        </w:rPr>
      </w:pPr>
      <w:bookmarkStart w:id="595" w:name="bookmark72"/>
      <w:bookmarkStart w:id="596" w:name="_Toc19816124"/>
      <w:bookmarkStart w:id="597" w:name="_Toc12288778"/>
      <w:bookmarkStart w:id="598" w:name="_Toc81515305"/>
      <w:bookmarkEnd w:id="595"/>
      <w:r w:rsidRPr="00D630D1">
        <w:rPr>
          <w:rFonts w:cs="Times New Roman"/>
        </w:rPr>
        <w:t>8</w:t>
      </w:r>
      <w:r w:rsidR="008B5B84" w:rsidRPr="00D630D1">
        <w:rPr>
          <w:rFonts w:cs="Times New Roman"/>
        </w:rPr>
        <w:t xml:space="preserve">.1 </w:t>
      </w:r>
      <w:r w:rsidR="008B5B84" w:rsidRPr="00D630D1">
        <w:rPr>
          <w:rFonts w:cs="Times New Roman"/>
        </w:rPr>
        <w:t>施工期的环境保护措施</w:t>
      </w:r>
      <w:bookmarkEnd w:id="596"/>
      <w:bookmarkEnd w:id="597"/>
      <w:bookmarkEnd w:id="598"/>
    </w:p>
    <w:p w:rsidR="00117C3D" w:rsidRPr="00D630D1" w:rsidRDefault="00290D1D">
      <w:pPr>
        <w:pStyle w:val="3"/>
        <w:rPr>
          <w:rFonts w:eastAsia="宋体"/>
        </w:rPr>
      </w:pPr>
      <w:bookmarkStart w:id="599" w:name="_Toc12288779"/>
      <w:bookmarkStart w:id="600" w:name="_Toc19816125"/>
      <w:r w:rsidRPr="00D630D1">
        <w:rPr>
          <w:rFonts w:eastAsia="宋体"/>
        </w:rPr>
        <w:t>8</w:t>
      </w:r>
      <w:r w:rsidR="008B5B84" w:rsidRPr="00D630D1">
        <w:rPr>
          <w:rFonts w:eastAsia="宋体"/>
        </w:rPr>
        <w:t xml:space="preserve">.1.1 </w:t>
      </w:r>
      <w:r w:rsidR="008B5B84" w:rsidRPr="00D630D1">
        <w:rPr>
          <w:rFonts w:eastAsia="宋体"/>
        </w:rPr>
        <w:t>施工期环境保护管理措施</w:t>
      </w:r>
      <w:bookmarkEnd w:id="599"/>
      <w:bookmarkEnd w:id="600"/>
    </w:p>
    <w:p w:rsidR="00117C3D" w:rsidRPr="00D630D1" w:rsidRDefault="007A3D54">
      <w:pPr>
        <w:ind w:firstLine="482"/>
        <w:rPr>
          <w:rFonts w:ascii="Times New Roman" w:cs="Times New Roman"/>
          <w:b/>
        </w:rPr>
      </w:pPr>
      <w:r w:rsidRPr="00D630D1">
        <w:rPr>
          <w:rFonts w:ascii="Times New Roman" w:cs="Times New Roman"/>
          <w:b/>
        </w:rPr>
        <w:t>1</w:t>
      </w:r>
      <w:r w:rsidR="008B5B84" w:rsidRPr="00D630D1">
        <w:rPr>
          <w:rFonts w:ascii="Times New Roman" w:cs="Times New Roman"/>
          <w:b/>
        </w:rPr>
        <w:t>、建立高效、务实的环境保护管理体系</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w:t>
      </w:r>
      <w:r w:rsidR="008B5B84" w:rsidRPr="00D630D1">
        <w:rPr>
          <w:rFonts w:ascii="Times New Roman" w:cs="Times New Roman"/>
        </w:rPr>
        <w:t>建设单位成立项目安全环保管理机构，制定相应的环境管理办法。</w:t>
      </w:r>
    </w:p>
    <w:p w:rsidR="00117C3D" w:rsidRPr="00D630D1" w:rsidRDefault="007A3D54">
      <w:pPr>
        <w:pStyle w:val="a1"/>
        <w:ind w:firstLine="480"/>
        <w:rPr>
          <w:rFonts w:ascii="Times New Roman" w:cs="Times New Roman"/>
        </w:rPr>
      </w:pPr>
      <w:r w:rsidRPr="00D630D1">
        <w:rPr>
          <w:rFonts w:hAnsi="宋体" w:hint="eastAsia"/>
        </w:rPr>
        <w:t>①</w:t>
      </w:r>
      <w:r w:rsidR="008B5B84" w:rsidRPr="00D630D1">
        <w:rPr>
          <w:rFonts w:ascii="Times New Roman" w:cs="Times New Roman"/>
        </w:rPr>
        <w:t>根据环境影响评价成果，制定系统的、分阶段环境管理目标、方针，确定与项目建设有关单位的环境保护义务、职责和管理办法。</w:t>
      </w:r>
    </w:p>
    <w:p w:rsidR="00117C3D" w:rsidRPr="00D630D1" w:rsidRDefault="007A3D54">
      <w:pPr>
        <w:pStyle w:val="a1"/>
        <w:ind w:firstLine="480"/>
        <w:rPr>
          <w:rFonts w:ascii="Times New Roman" w:cs="Times New Roman"/>
        </w:rPr>
      </w:pPr>
      <w:r w:rsidRPr="00D630D1">
        <w:rPr>
          <w:rFonts w:hAnsi="宋体" w:hint="eastAsia"/>
        </w:rPr>
        <w:t>②</w:t>
      </w:r>
      <w:r w:rsidR="008B5B84" w:rsidRPr="00D630D1">
        <w:rPr>
          <w:rFonts w:ascii="Times New Roman" w:cs="Times New Roman"/>
        </w:rPr>
        <w:t>确定环境管理措施实施效果的监督体系，制定激励和奖惩措施。</w:t>
      </w:r>
    </w:p>
    <w:p w:rsidR="00117C3D" w:rsidRPr="00D630D1" w:rsidRDefault="007A3D54">
      <w:pPr>
        <w:pStyle w:val="a1"/>
        <w:ind w:firstLine="480"/>
        <w:rPr>
          <w:rFonts w:ascii="Times New Roman" w:cs="Times New Roman"/>
        </w:rPr>
      </w:pPr>
      <w:r w:rsidRPr="00D630D1">
        <w:rPr>
          <w:rFonts w:hAnsi="宋体" w:hint="eastAsia"/>
        </w:rPr>
        <w:t>③</w:t>
      </w:r>
      <w:r w:rsidR="008B5B84" w:rsidRPr="00D630D1">
        <w:rPr>
          <w:rFonts w:ascii="Times New Roman" w:cs="Times New Roman"/>
        </w:rPr>
        <w:t>开展施工期的环境保护知识普及和宣教活动。</w:t>
      </w:r>
    </w:p>
    <w:p w:rsidR="00117C3D" w:rsidRPr="00D630D1" w:rsidRDefault="007A3D54">
      <w:pPr>
        <w:pStyle w:val="a1"/>
        <w:ind w:firstLine="480"/>
        <w:rPr>
          <w:rFonts w:ascii="Times New Roman" w:cs="Times New Roman"/>
        </w:rPr>
      </w:pPr>
      <w:r w:rsidRPr="00D630D1">
        <w:rPr>
          <w:rFonts w:hAnsi="宋体" w:hint="eastAsia"/>
        </w:rPr>
        <w:t>④</w:t>
      </w:r>
      <w:r w:rsidR="008B5B84" w:rsidRPr="00D630D1">
        <w:rPr>
          <w:rFonts w:ascii="Times New Roman" w:cs="Times New Roman"/>
        </w:rPr>
        <w:t>监控、评价和改进施工期环境保护管理办法。</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w:t>
      </w:r>
      <w:r w:rsidR="008B5B84" w:rsidRPr="00D630D1">
        <w:rPr>
          <w:rFonts w:ascii="Times New Roman" w:cs="Times New Roman"/>
        </w:rPr>
        <w:t>委托有资质的环境监测单位进行施工期污染监测，落实施工期污染控制措施，建立完善的监测报告编制、上报制度。</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4</w:t>
      </w:r>
      <w:r w:rsidRPr="00D630D1">
        <w:rPr>
          <w:rFonts w:ascii="Times New Roman" w:cs="Times New Roman"/>
        </w:rPr>
        <w:t>）</w:t>
      </w:r>
      <w:r w:rsidR="008B5B84" w:rsidRPr="00D630D1">
        <w:rPr>
          <w:rFonts w:ascii="Times New Roman" w:cs="Times New Roman"/>
        </w:rPr>
        <w:t>促使施工期建设管理与环境管理的有机结合，为实现工程的环境管理目标提供充足的资源保证，包括合格的环境管理人员、管理和治理资金的到位等。</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5</w:t>
      </w:r>
      <w:r w:rsidRPr="00D630D1">
        <w:rPr>
          <w:rFonts w:ascii="Times New Roman" w:cs="Times New Roman"/>
        </w:rPr>
        <w:t>）</w:t>
      </w:r>
      <w:r w:rsidR="008B5B84" w:rsidRPr="00D630D1">
        <w:rPr>
          <w:rFonts w:ascii="Times New Roman" w:cs="Times New Roman"/>
        </w:rPr>
        <w:t>充分利用工程支付的调节手段，将工程的环境保护工作落到实处。</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6</w:t>
      </w:r>
      <w:r w:rsidRPr="00D630D1">
        <w:rPr>
          <w:rFonts w:ascii="Times New Roman" w:cs="Times New Roman"/>
        </w:rPr>
        <w:t>）</w:t>
      </w:r>
      <w:r w:rsidR="008B5B84" w:rsidRPr="00D630D1">
        <w:rPr>
          <w:rFonts w:ascii="Times New Roman" w:cs="Times New Roman"/>
        </w:rPr>
        <w:t>做好工程施工期环境保护工作文档管理工作。</w:t>
      </w:r>
    </w:p>
    <w:p w:rsidR="00117C3D" w:rsidRPr="00D630D1" w:rsidRDefault="007A3D54">
      <w:pPr>
        <w:pStyle w:val="a1"/>
        <w:ind w:firstLine="482"/>
        <w:rPr>
          <w:rFonts w:ascii="Times New Roman" w:cs="Times New Roman"/>
          <w:b/>
        </w:rPr>
      </w:pPr>
      <w:bookmarkStart w:id="601" w:name="_Toc12288780"/>
      <w:r w:rsidRPr="00D630D1">
        <w:rPr>
          <w:rFonts w:ascii="Times New Roman" w:cs="Times New Roman"/>
          <w:b/>
        </w:rPr>
        <w:t>2</w:t>
      </w:r>
      <w:r w:rsidR="008B5B84" w:rsidRPr="00D630D1">
        <w:rPr>
          <w:rFonts w:ascii="Times New Roman" w:cs="Times New Roman"/>
          <w:b/>
        </w:rPr>
        <w:t>、加强招、投标工作的管理</w:t>
      </w:r>
      <w:bookmarkEnd w:id="601"/>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w:t>
      </w:r>
      <w:r w:rsidR="008B5B84" w:rsidRPr="00D630D1">
        <w:rPr>
          <w:rFonts w:ascii="Times New Roman" w:cs="Times New Roman"/>
        </w:rPr>
        <w:t>招标阶段</w:t>
      </w:r>
    </w:p>
    <w:p w:rsidR="00117C3D" w:rsidRPr="00D630D1" w:rsidRDefault="007A3D54">
      <w:pPr>
        <w:pStyle w:val="a1"/>
        <w:ind w:firstLine="480"/>
        <w:rPr>
          <w:rFonts w:ascii="Times New Roman" w:cs="Times New Roman"/>
        </w:rPr>
      </w:pPr>
      <w:r w:rsidRPr="00D630D1">
        <w:rPr>
          <w:rFonts w:hAnsi="宋体" w:hint="eastAsia"/>
        </w:rPr>
        <w:t>①</w:t>
      </w:r>
      <w:r w:rsidR="008B5B84" w:rsidRPr="00D630D1">
        <w:rPr>
          <w:rFonts w:ascii="Times New Roman" w:cs="Times New Roman"/>
        </w:rPr>
        <w:t>招标文件编制应体现工程的环境影响评价成果，明确制定在每一标段中的环境保护目标，明确工程承包商对国土、生物多样性、水等环境资源保护以及生态环境保护、水土保持、人群健康和环境整治的责任和义务。</w:t>
      </w:r>
    </w:p>
    <w:p w:rsidR="00117C3D" w:rsidRPr="00D630D1" w:rsidRDefault="007A3D54">
      <w:pPr>
        <w:pStyle w:val="a1"/>
        <w:ind w:firstLine="480"/>
        <w:rPr>
          <w:rFonts w:ascii="Times New Roman" w:cs="Times New Roman"/>
        </w:rPr>
      </w:pPr>
      <w:r w:rsidRPr="00D630D1">
        <w:rPr>
          <w:rFonts w:hAnsi="宋体" w:hint="eastAsia"/>
        </w:rPr>
        <w:t>②</w:t>
      </w:r>
      <w:r w:rsidR="008B5B84" w:rsidRPr="00D630D1">
        <w:rPr>
          <w:rFonts w:ascii="Times New Roman" w:cs="Times New Roman"/>
        </w:rPr>
        <w:t>对各标段的施工组织计划提出具体的环境保护要求，要求编制环境保护实施计划，并配备相应的环境管理人员和环保设施。</w:t>
      </w:r>
    </w:p>
    <w:p w:rsidR="00117C3D" w:rsidRPr="00D630D1" w:rsidRDefault="007A3D54">
      <w:pPr>
        <w:pStyle w:val="a1"/>
        <w:ind w:firstLine="480"/>
        <w:rPr>
          <w:rFonts w:ascii="Times New Roman" w:cs="Times New Roman"/>
        </w:rPr>
      </w:pPr>
      <w:r w:rsidRPr="00D630D1">
        <w:rPr>
          <w:rFonts w:hAnsi="宋体" w:hint="eastAsia"/>
        </w:rPr>
        <w:t>③</w:t>
      </w:r>
      <w:r w:rsidR="008B5B84" w:rsidRPr="00D630D1">
        <w:rPr>
          <w:rFonts w:ascii="Times New Roman" w:cs="Times New Roman"/>
        </w:rPr>
        <w:t>规范标底的编制和审定工作，保证工程承包商的合理利润，使其能够实施其环境保护计划。</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w:t>
      </w:r>
      <w:r w:rsidR="008B5B84" w:rsidRPr="00D630D1">
        <w:rPr>
          <w:rFonts w:ascii="Times New Roman" w:cs="Times New Roman"/>
        </w:rPr>
        <w:t>投标阶段</w:t>
      </w:r>
    </w:p>
    <w:p w:rsidR="00117C3D" w:rsidRPr="00D630D1" w:rsidRDefault="007A3D54">
      <w:pPr>
        <w:pStyle w:val="a1"/>
        <w:ind w:firstLine="480"/>
        <w:rPr>
          <w:rFonts w:ascii="Times New Roman" w:cs="Times New Roman"/>
        </w:rPr>
      </w:pPr>
      <w:r w:rsidRPr="00D630D1">
        <w:rPr>
          <w:rFonts w:hAnsi="宋体" w:hint="eastAsia"/>
        </w:rPr>
        <w:t>①</w:t>
      </w:r>
      <w:r w:rsidR="008B5B84" w:rsidRPr="00D630D1">
        <w:rPr>
          <w:rFonts w:ascii="Times New Roman" w:cs="Times New Roman"/>
        </w:rPr>
        <w:t>投标文件必须响应招标文件有关环境保护问题的要求，制定符合环境保护要求的施工组织计划和实施措施，配备相应的环保管理人员和相应的设施。</w:t>
      </w:r>
    </w:p>
    <w:p w:rsidR="00117C3D" w:rsidRPr="00D630D1" w:rsidRDefault="007A3D54">
      <w:pPr>
        <w:pStyle w:val="a1"/>
        <w:ind w:firstLine="480"/>
        <w:rPr>
          <w:rFonts w:ascii="Times New Roman" w:cs="Times New Roman"/>
        </w:rPr>
      </w:pPr>
      <w:r w:rsidRPr="00D630D1">
        <w:rPr>
          <w:rFonts w:hAnsi="宋体" w:hint="eastAsia"/>
        </w:rPr>
        <w:t>②</w:t>
      </w:r>
      <w:r w:rsidR="008B5B84" w:rsidRPr="00D630D1">
        <w:rPr>
          <w:rFonts w:ascii="Times New Roman" w:cs="Times New Roman"/>
        </w:rPr>
        <w:t>投标文件报价应根据标段的具体环境保护要求，合理地制定其实施环境保</w:t>
      </w:r>
      <w:r w:rsidR="008B5B84" w:rsidRPr="00D630D1">
        <w:rPr>
          <w:rFonts w:ascii="Times New Roman" w:cs="Times New Roman"/>
        </w:rPr>
        <w:lastRenderedPageBreak/>
        <w:t>护管理和对策所需的投资费用预算。</w:t>
      </w:r>
    </w:p>
    <w:p w:rsidR="00117C3D" w:rsidRPr="00D630D1" w:rsidRDefault="007A3D54">
      <w:pPr>
        <w:pStyle w:val="a1"/>
        <w:ind w:firstLine="480"/>
        <w:rPr>
          <w:rFonts w:ascii="Times New Roman" w:cs="Times New Roman"/>
        </w:rPr>
      </w:pPr>
      <w:r w:rsidRPr="00D630D1">
        <w:rPr>
          <w:rFonts w:hAnsi="宋体" w:hint="eastAsia"/>
        </w:rPr>
        <w:t>③</w:t>
      </w:r>
      <w:r w:rsidR="008B5B84" w:rsidRPr="00D630D1">
        <w:rPr>
          <w:rFonts w:ascii="Times New Roman" w:cs="Times New Roman"/>
        </w:rPr>
        <w:t>工程承包商要承诺其环境保护责任和义务，不得发生层层转包、层层提取管理费的现象，自愿接受建设单位和地方环保单位的监督。</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w:t>
      </w:r>
      <w:r w:rsidR="008B5B84" w:rsidRPr="00D630D1">
        <w:rPr>
          <w:rFonts w:ascii="Times New Roman" w:cs="Times New Roman"/>
        </w:rPr>
        <w:t>评标阶段</w:t>
      </w:r>
    </w:p>
    <w:p w:rsidR="00117C3D" w:rsidRPr="00D630D1" w:rsidRDefault="007A3D54">
      <w:pPr>
        <w:pStyle w:val="a1"/>
        <w:ind w:firstLine="480"/>
        <w:rPr>
          <w:rFonts w:ascii="Times New Roman" w:cs="Times New Roman"/>
        </w:rPr>
      </w:pPr>
      <w:r w:rsidRPr="00D630D1">
        <w:rPr>
          <w:rFonts w:hAnsi="宋体" w:hint="eastAsia"/>
        </w:rPr>
        <w:t>①</w:t>
      </w:r>
      <w:r w:rsidR="008B5B84" w:rsidRPr="00D630D1">
        <w:rPr>
          <w:rFonts w:ascii="Times New Roman" w:cs="Times New Roman"/>
        </w:rPr>
        <w:t>建立高素质的评标专家队伍，注意引进高素质的环保专家参与评标。</w:t>
      </w:r>
    </w:p>
    <w:p w:rsidR="00117C3D" w:rsidRPr="00D630D1" w:rsidRDefault="007A3D54">
      <w:pPr>
        <w:pStyle w:val="a1"/>
        <w:ind w:firstLine="480"/>
        <w:rPr>
          <w:rFonts w:ascii="Times New Roman" w:cs="Times New Roman"/>
        </w:rPr>
      </w:pPr>
      <w:r w:rsidRPr="00D630D1">
        <w:rPr>
          <w:rFonts w:hAnsi="宋体" w:hint="eastAsia"/>
        </w:rPr>
        <w:t>③</w:t>
      </w:r>
      <w:r w:rsidR="008B5B84" w:rsidRPr="00D630D1">
        <w:rPr>
          <w:rFonts w:ascii="Times New Roman" w:cs="Times New Roman"/>
        </w:rPr>
        <w:t>加强投标单位的资质、施工能力、管理水平和业绩的审查工作。</w:t>
      </w:r>
    </w:p>
    <w:p w:rsidR="00117C3D" w:rsidRPr="00D630D1" w:rsidRDefault="007A3D54">
      <w:pPr>
        <w:pStyle w:val="a1"/>
        <w:ind w:firstLine="480"/>
        <w:rPr>
          <w:rFonts w:ascii="Times New Roman" w:cs="Times New Roman"/>
        </w:rPr>
      </w:pPr>
      <w:r w:rsidRPr="00D630D1">
        <w:rPr>
          <w:rFonts w:hAnsi="宋体" w:hint="eastAsia"/>
        </w:rPr>
        <w:t>③</w:t>
      </w:r>
      <w:r w:rsidR="008B5B84" w:rsidRPr="00D630D1">
        <w:rPr>
          <w:rFonts w:ascii="Times New Roman" w:cs="Times New Roman"/>
        </w:rPr>
        <w:t>认真审查其施工组织计划有关环境保护和施工文明的内容，尤其应对其环境保护保障条件加强审查，禁止那些旨在中标而随意压低环保投入的工程承包商入围。</w:t>
      </w:r>
    </w:p>
    <w:p w:rsidR="00117C3D" w:rsidRPr="00D630D1" w:rsidRDefault="007A3D54">
      <w:pPr>
        <w:pStyle w:val="a1"/>
        <w:ind w:firstLine="480"/>
        <w:rPr>
          <w:rFonts w:ascii="Times New Roman" w:cs="Times New Roman"/>
        </w:rPr>
      </w:pPr>
      <w:r w:rsidRPr="00D630D1">
        <w:rPr>
          <w:rFonts w:hAnsi="宋体" w:hint="eastAsia"/>
        </w:rPr>
        <w:t>④</w:t>
      </w:r>
      <w:r w:rsidR="008B5B84" w:rsidRPr="00D630D1">
        <w:rPr>
          <w:rFonts w:ascii="Times New Roman" w:cs="Times New Roman"/>
        </w:rPr>
        <w:t>加强中标价格的评价和审定工作，保证工程承包商的合理利润，从根源上避免其因追求正当利润而牺牲环境的现象发生。</w:t>
      </w:r>
    </w:p>
    <w:p w:rsidR="00117C3D" w:rsidRPr="00D630D1" w:rsidRDefault="007A3D54">
      <w:pPr>
        <w:pStyle w:val="a1"/>
        <w:ind w:firstLine="482"/>
        <w:rPr>
          <w:rFonts w:ascii="Times New Roman" w:cs="Times New Roman"/>
          <w:b/>
        </w:rPr>
      </w:pPr>
      <w:bookmarkStart w:id="602" w:name="_Toc12288781"/>
      <w:r w:rsidRPr="00D630D1">
        <w:rPr>
          <w:rFonts w:ascii="Times New Roman" w:cs="Times New Roman"/>
          <w:b/>
        </w:rPr>
        <w:t>3</w:t>
      </w:r>
      <w:r w:rsidR="008B5B84" w:rsidRPr="00D630D1">
        <w:rPr>
          <w:rFonts w:ascii="Times New Roman" w:cs="Times New Roman"/>
          <w:b/>
        </w:rPr>
        <w:t>、加强工程的环境保护监理工作</w:t>
      </w:r>
      <w:bookmarkEnd w:id="602"/>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w:t>
      </w:r>
      <w:r w:rsidR="008B5B84" w:rsidRPr="00D630D1">
        <w:rPr>
          <w:rFonts w:ascii="Times New Roman" w:cs="Times New Roman"/>
        </w:rPr>
        <w:t>建设单位</w:t>
      </w:r>
    </w:p>
    <w:p w:rsidR="00117C3D" w:rsidRPr="00D630D1" w:rsidRDefault="007A3D54">
      <w:pPr>
        <w:pStyle w:val="a1"/>
        <w:ind w:firstLine="480"/>
        <w:rPr>
          <w:rFonts w:ascii="Times New Roman" w:cs="Times New Roman"/>
        </w:rPr>
      </w:pPr>
      <w:r w:rsidRPr="00D630D1">
        <w:rPr>
          <w:rFonts w:hAnsi="宋体" w:hint="eastAsia"/>
        </w:rPr>
        <w:t>①</w:t>
      </w:r>
      <w:r w:rsidR="008B5B84" w:rsidRPr="00D630D1">
        <w:rPr>
          <w:rFonts w:ascii="Times New Roman" w:cs="Times New Roman"/>
        </w:rPr>
        <w:t>加强工程监理的招投标工作，保证合理的监理费用，使工程监理单位能够独立开展工程质量、环境保护的监理工作。</w:t>
      </w:r>
    </w:p>
    <w:p w:rsidR="00117C3D" w:rsidRPr="00D630D1" w:rsidRDefault="007A3D54">
      <w:pPr>
        <w:pStyle w:val="a1"/>
        <w:ind w:firstLine="480"/>
        <w:rPr>
          <w:rFonts w:ascii="Times New Roman" w:cs="Times New Roman"/>
        </w:rPr>
      </w:pPr>
      <w:r w:rsidRPr="00D630D1">
        <w:rPr>
          <w:rFonts w:hAnsi="宋体" w:hint="eastAsia"/>
        </w:rPr>
        <w:t>②</w:t>
      </w:r>
      <w:r w:rsidR="008B5B84" w:rsidRPr="00D630D1">
        <w:rPr>
          <w:rFonts w:ascii="Times New Roman" w:cs="Times New Roman"/>
        </w:rPr>
        <w:t>通过招标选择优秀的监理队伍，严把监理上岗资质关、能力关，明确提出配备具有一定环保素质的工程技术人员以及相应的检测设备的要求。</w:t>
      </w:r>
    </w:p>
    <w:p w:rsidR="00117C3D" w:rsidRPr="00D630D1" w:rsidRDefault="007A3D54">
      <w:pPr>
        <w:pStyle w:val="a1"/>
        <w:ind w:firstLine="480"/>
        <w:rPr>
          <w:rFonts w:ascii="Times New Roman" w:cs="Times New Roman"/>
        </w:rPr>
      </w:pPr>
      <w:r w:rsidRPr="00D630D1">
        <w:rPr>
          <w:rFonts w:hAnsi="宋体" w:hint="eastAsia"/>
        </w:rPr>
        <w:t>③</w:t>
      </w:r>
      <w:r w:rsidR="008B5B84" w:rsidRPr="00D630D1">
        <w:rPr>
          <w:rFonts w:ascii="Times New Roman" w:cs="Times New Roman"/>
        </w:rPr>
        <w:t>保证工程监理工作的正常条件和独立行使监理功能的权利，并将其包括环境监理在内的监理权力的内容明确通告施工单位。</w:t>
      </w:r>
    </w:p>
    <w:p w:rsidR="00117C3D" w:rsidRPr="00D630D1" w:rsidRDefault="007A3D54">
      <w:pPr>
        <w:pStyle w:val="a1"/>
        <w:ind w:firstLine="480"/>
        <w:rPr>
          <w:rFonts w:ascii="Times New Roman" w:cs="Times New Roman"/>
        </w:rPr>
      </w:pPr>
      <w:r w:rsidRPr="00D630D1">
        <w:rPr>
          <w:rFonts w:hAnsi="宋体" w:hint="eastAsia"/>
        </w:rPr>
        <w:t>④</w:t>
      </w:r>
      <w:r w:rsidR="008B5B84" w:rsidRPr="00D630D1">
        <w:rPr>
          <w:rFonts w:ascii="Times New Roman" w:cs="Times New Roman"/>
        </w:rPr>
        <w:t>建立工程监理监督的有效体制，杜绝监理人员的不端行为。</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w:t>
      </w:r>
      <w:r w:rsidR="008B5B84" w:rsidRPr="00D630D1">
        <w:rPr>
          <w:rFonts w:ascii="Times New Roman" w:cs="Times New Roman"/>
        </w:rPr>
        <w:t>工程监理单位</w:t>
      </w:r>
    </w:p>
    <w:p w:rsidR="00117C3D" w:rsidRPr="00D630D1" w:rsidRDefault="007A3D54">
      <w:pPr>
        <w:pStyle w:val="a1"/>
        <w:ind w:firstLine="480"/>
        <w:rPr>
          <w:rFonts w:ascii="Times New Roman" w:cs="Times New Roman"/>
        </w:rPr>
      </w:pPr>
      <w:r w:rsidRPr="00D630D1">
        <w:rPr>
          <w:rFonts w:hAnsi="宋体" w:hint="eastAsia"/>
        </w:rPr>
        <w:t>①</w:t>
      </w:r>
      <w:r w:rsidR="008B5B84" w:rsidRPr="00D630D1">
        <w:rPr>
          <w:rFonts w:ascii="Times New Roman" w:cs="Times New Roman"/>
        </w:rPr>
        <w:t>按监理合同配备具有一定的环保素质的监理人员，并就监理服务的内容强化所有现场监理人员的环境保护知识培训，提高监理人员的环保专业技能。</w:t>
      </w:r>
    </w:p>
    <w:p w:rsidR="00117C3D" w:rsidRPr="00D630D1" w:rsidRDefault="007A3D54">
      <w:pPr>
        <w:pStyle w:val="a1"/>
        <w:ind w:firstLine="480"/>
        <w:rPr>
          <w:rFonts w:ascii="Times New Roman" w:cs="Times New Roman"/>
        </w:rPr>
      </w:pPr>
      <w:r w:rsidRPr="00D630D1">
        <w:rPr>
          <w:rFonts w:hAnsi="宋体" w:hint="eastAsia"/>
        </w:rPr>
        <w:t>②</w:t>
      </w:r>
      <w:r w:rsidR="008B5B84" w:rsidRPr="00D630D1">
        <w:rPr>
          <w:rFonts w:ascii="Times New Roman" w:cs="Times New Roman"/>
        </w:rPr>
        <w:t>监督符合环保要求的施工组织计划的实施，工程变更必须经过环保论证，经监理单位审批后方可实施。</w:t>
      </w:r>
    </w:p>
    <w:p w:rsidR="00117C3D" w:rsidRPr="00D630D1" w:rsidRDefault="007A3D54">
      <w:pPr>
        <w:pStyle w:val="a1"/>
        <w:ind w:firstLine="480"/>
        <w:rPr>
          <w:rFonts w:ascii="Times New Roman" w:cs="Times New Roman"/>
        </w:rPr>
      </w:pPr>
      <w:r w:rsidRPr="00D630D1">
        <w:rPr>
          <w:rFonts w:hAnsi="宋体" w:hint="eastAsia"/>
        </w:rPr>
        <w:t>③</w:t>
      </w:r>
      <w:r w:rsidR="008B5B84" w:rsidRPr="00D630D1">
        <w:rPr>
          <w:rFonts w:ascii="Times New Roman" w:cs="Times New Roman"/>
        </w:rPr>
        <w:t>监理单位应加大对生态环境影响较大的土方工程监理力度，包括有肥力土层的剥离和临时储存等，避免土壤资源浪费和土壤侵蚀现象的发生。</w:t>
      </w:r>
    </w:p>
    <w:p w:rsidR="00117C3D" w:rsidRPr="00D630D1" w:rsidRDefault="007A3D54">
      <w:pPr>
        <w:pStyle w:val="a1"/>
        <w:ind w:firstLine="480"/>
        <w:rPr>
          <w:rFonts w:ascii="Times New Roman" w:cs="Times New Roman"/>
        </w:rPr>
      </w:pPr>
      <w:r w:rsidRPr="00D630D1">
        <w:rPr>
          <w:rFonts w:hAnsi="宋体" w:hint="eastAsia"/>
        </w:rPr>
        <w:t>④</w:t>
      </w:r>
      <w:r w:rsidR="008B5B84" w:rsidRPr="00D630D1">
        <w:rPr>
          <w:rFonts w:ascii="Times New Roman" w:cs="Times New Roman"/>
        </w:rPr>
        <w:t>在施工单位自检基础上，进行其环境保护工作的终检、评定和验收，确保工程正常、有序地进行。</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w:t>
      </w:r>
      <w:r w:rsidR="008B5B84" w:rsidRPr="00D630D1">
        <w:rPr>
          <w:rFonts w:ascii="Times New Roman" w:cs="Times New Roman"/>
        </w:rPr>
        <w:t>施工单位</w:t>
      </w:r>
    </w:p>
    <w:p w:rsidR="00117C3D" w:rsidRPr="00D630D1" w:rsidRDefault="007A3D54">
      <w:pPr>
        <w:pStyle w:val="a1"/>
        <w:ind w:firstLine="480"/>
        <w:rPr>
          <w:rFonts w:ascii="Times New Roman" w:cs="Times New Roman"/>
        </w:rPr>
      </w:pPr>
      <w:r w:rsidRPr="00D630D1">
        <w:rPr>
          <w:rFonts w:hAnsi="宋体" w:hint="eastAsia"/>
        </w:rPr>
        <w:lastRenderedPageBreak/>
        <w:t>①</w:t>
      </w:r>
      <w:r w:rsidR="008B5B84" w:rsidRPr="00D630D1">
        <w:rPr>
          <w:rFonts w:ascii="Times New Roman" w:cs="Times New Roman"/>
        </w:rPr>
        <w:t>作为具体的施工机构，施工单位行为直接关系到能否将环境的影响和破坏降低到最小程度。施工单位必须自觉遵守和维护有关环境保护的政策法规，教育好队伍人员爱护施工路段周围的一草一木。在施工前对施工平面图设计进行科学合理的规划，充分利用原有的地形、地物，以尽量少占农田、防护林为原则，施工中严禁乱挖乱弃，做到文明施工，规范施工，按设计施工。</w:t>
      </w:r>
    </w:p>
    <w:p w:rsidR="00117C3D" w:rsidRPr="00D630D1" w:rsidRDefault="007A3D54">
      <w:pPr>
        <w:pStyle w:val="a1"/>
        <w:ind w:firstLine="480"/>
        <w:rPr>
          <w:rFonts w:ascii="Times New Roman" w:cs="Times New Roman"/>
        </w:rPr>
      </w:pPr>
      <w:r w:rsidRPr="00D630D1">
        <w:rPr>
          <w:rFonts w:hAnsi="宋体" w:hint="eastAsia"/>
        </w:rPr>
        <w:t>②</w:t>
      </w:r>
      <w:r w:rsidR="008B5B84" w:rsidRPr="00D630D1">
        <w:rPr>
          <w:rFonts w:ascii="Times New Roman" w:cs="Times New Roman"/>
        </w:rPr>
        <w:t>施工单位应合理进行施工布置，精心组织施工管理，严格将施工作业活动控制在施工作业带范围内，在管沟开挖作业中，尽量减小和有效控制对施工作业区生态环境的影响范围和程度。</w:t>
      </w:r>
    </w:p>
    <w:p w:rsidR="00117C3D" w:rsidRPr="00D630D1" w:rsidRDefault="007A3D54">
      <w:pPr>
        <w:pStyle w:val="a1"/>
        <w:ind w:firstLine="480"/>
        <w:rPr>
          <w:rFonts w:ascii="Times New Roman" w:cs="Times New Roman"/>
        </w:rPr>
      </w:pPr>
      <w:r w:rsidRPr="00D630D1">
        <w:rPr>
          <w:rFonts w:hAnsi="宋体" w:hint="eastAsia"/>
        </w:rPr>
        <w:t>③</w:t>
      </w:r>
      <w:r w:rsidR="008B5B84" w:rsidRPr="00D630D1">
        <w:rPr>
          <w:rFonts w:ascii="Times New Roman" w:cs="Times New Roman"/>
        </w:rPr>
        <w:t>合理安排施工季节和作业时间，优化施工方案，减少废弃土方的临时堆放，并尽量避免在雨天进行开挖作业活动，避免加重沿线水土流失的危害。</w:t>
      </w:r>
    </w:p>
    <w:p w:rsidR="00117C3D" w:rsidRPr="00D630D1" w:rsidRDefault="007A3D54">
      <w:pPr>
        <w:pStyle w:val="a1"/>
        <w:ind w:firstLine="480"/>
        <w:rPr>
          <w:rFonts w:ascii="Times New Roman" w:cs="Times New Roman"/>
        </w:rPr>
      </w:pPr>
      <w:r w:rsidRPr="00D630D1">
        <w:rPr>
          <w:rFonts w:hAnsi="宋体" w:hint="eastAsia"/>
        </w:rPr>
        <w:t>④</w:t>
      </w:r>
      <w:r w:rsidR="008B5B84" w:rsidRPr="00D630D1">
        <w:rPr>
          <w:rFonts w:ascii="Times New Roman" w:cs="Times New Roman"/>
        </w:rPr>
        <w:t>强化施工迹地整治工作。</w:t>
      </w:r>
    </w:p>
    <w:p w:rsidR="00117C3D" w:rsidRPr="00D630D1" w:rsidRDefault="007A3D54">
      <w:pPr>
        <w:pStyle w:val="3"/>
        <w:rPr>
          <w:rFonts w:eastAsia="宋体"/>
        </w:rPr>
      </w:pPr>
      <w:bookmarkStart w:id="603" w:name="_Toc12288782"/>
      <w:bookmarkStart w:id="604" w:name="_Toc19816126"/>
      <w:r w:rsidRPr="00D630D1">
        <w:rPr>
          <w:rFonts w:eastAsia="宋体"/>
        </w:rPr>
        <w:t>8</w:t>
      </w:r>
      <w:r w:rsidR="008B5B84" w:rsidRPr="00D630D1">
        <w:rPr>
          <w:rFonts w:eastAsia="宋体"/>
        </w:rPr>
        <w:t xml:space="preserve">.1.2 </w:t>
      </w:r>
      <w:r w:rsidR="008B5B84" w:rsidRPr="00D630D1">
        <w:rPr>
          <w:rFonts w:eastAsia="宋体"/>
        </w:rPr>
        <w:t>生态保护措施</w:t>
      </w:r>
      <w:bookmarkEnd w:id="603"/>
      <w:bookmarkEnd w:id="604"/>
    </w:p>
    <w:p w:rsidR="00117C3D" w:rsidRPr="00D630D1" w:rsidRDefault="008B5B84">
      <w:pPr>
        <w:pStyle w:val="a1"/>
        <w:ind w:firstLine="480"/>
        <w:rPr>
          <w:rFonts w:ascii="Times New Roman" w:cs="Times New Roman"/>
        </w:rPr>
      </w:pPr>
      <w:r w:rsidRPr="00D630D1">
        <w:rPr>
          <w:rFonts w:ascii="Times New Roman" w:cs="Times New Roman"/>
        </w:rPr>
        <w:t>根据</w:t>
      </w:r>
      <w:r w:rsidR="00067DBE" w:rsidRPr="00D630D1">
        <w:rPr>
          <w:rFonts w:ascii="Times New Roman" w:cs="Times New Roman"/>
        </w:rPr>
        <w:t>天然气</w:t>
      </w:r>
      <w:r w:rsidR="00586C59" w:rsidRPr="00D630D1">
        <w:rPr>
          <w:rFonts w:ascii="Times New Roman" w:cs="Times New Roman" w:hint="eastAsia"/>
        </w:rPr>
        <w:t>开采</w:t>
      </w:r>
      <w:r w:rsidR="00B11B9F" w:rsidRPr="00D630D1">
        <w:rPr>
          <w:rFonts w:ascii="Times New Roman" w:cs="Times New Roman"/>
        </w:rPr>
        <w:t>和</w:t>
      </w:r>
      <w:r w:rsidR="00067DBE" w:rsidRPr="00D630D1">
        <w:rPr>
          <w:rFonts w:ascii="Times New Roman" w:cs="Times New Roman"/>
        </w:rPr>
        <w:t>内部集输工程</w:t>
      </w:r>
      <w:r w:rsidRPr="00D630D1">
        <w:rPr>
          <w:rFonts w:ascii="Times New Roman" w:cs="Times New Roman"/>
        </w:rPr>
        <w:t>建设的特点，提出以下生态环境保护的措施。</w:t>
      </w:r>
    </w:p>
    <w:p w:rsidR="00117C3D" w:rsidRPr="00D630D1" w:rsidRDefault="007A3D54">
      <w:pPr>
        <w:pStyle w:val="a1"/>
        <w:ind w:firstLine="482"/>
        <w:rPr>
          <w:rFonts w:ascii="Times New Roman" w:cs="Times New Roman"/>
          <w:b/>
        </w:rPr>
      </w:pPr>
      <w:bookmarkStart w:id="605" w:name="_Toc12288783"/>
      <w:r w:rsidRPr="00D630D1">
        <w:rPr>
          <w:rFonts w:ascii="Times New Roman" w:cs="Times New Roman"/>
          <w:b/>
        </w:rPr>
        <w:t>1</w:t>
      </w:r>
      <w:r w:rsidR="008B5B84" w:rsidRPr="00D630D1">
        <w:rPr>
          <w:rFonts w:ascii="Times New Roman" w:cs="Times New Roman"/>
          <w:b/>
        </w:rPr>
        <w:t>、土地利用现有格局的保护和恢复措施</w:t>
      </w:r>
      <w:bookmarkEnd w:id="605"/>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w:t>
      </w:r>
      <w:r w:rsidR="008B5B84" w:rsidRPr="00D630D1">
        <w:rPr>
          <w:rFonts w:ascii="Times New Roman" w:cs="Times New Roman"/>
        </w:rPr>
        <w:t>严格控制施工占用土地</w:t>
      </w:r>
    </w:p>
    <w:p w:rsidR="00117C3D" w:rsidRPr="00D630D1" w:rsidRDefault="007A3D54">
      <w:pPr>
        <w:pStyle w:val="a1"/>
        <w:ind w:firstLine="480"/>
        <w:rPr>
          <w:rFonts w:ascii="Times New Roman" w:cs="Times New Roman"/>
        </w:rPr>
      </w:pPr>
      <w:r w:rsidRPr="00D630D1">
        <w:rPr>
          <w:rFonts w:hAnsi="宋体" w:hint="eastAsia"/>
        </w:rPr>
        <w:t>①</w:t>
      </w:r>
      <w:r w:rsidR="008B5B84" w:rsidRPr="00D630D1">
        <w:rPr>
          <w:rFonts w:ascii="Times New Roman" w:cs="Times New Roman"/>
        </w:rPr>
        <w:t>对永久占地合理规划，严格控制占地面积</w:t>
      </w:r>
      <w:r w:rsidR="00840852" w:rsidRPr="00D630D1">
        <w:rPr>
          <w:rFonts w:ascii="Times New Roman" w:cs="Times New Roman"/>
        </w:rPr>
        <w:t>，严禁占用</w:t>
      </w:r>
      <w:r w:rsidR="005B4B8C" w:rsidRPr="00D630D1">
        <w:rPr>
          <w:rFonts w:ascii="Times New Roman" w:cs="Times New Roman"/>
        </w:rPr>
        <w:t>永久</w:t>
      </w:r>
      <w:r w:rsidR="00840852" w:rsidRPr="00D630D1">
        <w:rPr>
          <w:rFonts w:ascii="Times New Roman" w:cs="Times New Roman"/>
        </w:rPr>
        <w:t>基本农田</w:t>
      </w:r>
      <w:r w:rsidR="008B5B84" w:rsidRPr="00D630D1">
        <w:rPr>
          <w:rFonts w:ascii="Times New Roman" w:cs="Times New Roman"/>
        </w:rPr>
        <w:t>。</w:t>
      </w:r>
    </w:p>
    <w:p w:rsidR="00117C3D" w:rsidRPr="00D630D1" w:rsidRDefault="007A3D54">
      <w:pPr>
        <w:pStyle w:val="a1"/>
        <w:ind w:firstLine="480"/>
        <w:rPr>
          <w:rFonts w:ascii="Times New Roman" w:cs="Times New Roman"/>
        </w:rPr>
      </w:pPr>
      <w:r w:rsidRPr="00D630D1">
        <w:rPr>
          <w:rFonts w:hAnsi="宋体" w:hint="eastAsia"/>
        </w:rPr>
        <w:t>②</w:t>
      </w:r>
      <w:r w:rsidR="008B5B84" w:rsidRPr="00D630D1">
        <w:rPr>
          <w:rFonts w:ascii="Times New Roman" w:cs="Times New Roman"/>
        </w:rPr>
        <w:t>按设计标准规定，严格控制施工作业带面积，不得超过作业标准规定，对管线敷设施工宽度控制在设计标准范围内，以减少土壤扰动和地表植被破坏，减少裸地和土方暴露面积。</w:t>
      </w:r>
    </w:p>
    <w:p w:rsidR="00117C3D" w:rsidRPr="00D630D1" w:rsidRDefault="007A3D54">
      <w:pPr>
        <w:pStyle w:val="a1"/>
        <w:ind w:firstLine="480"/>
        <w:rPr>
          <w:rFonts w:ascii="Times New Roman" w:cs="Times New Roman"/>
        </w:rPr>
      </w:pPr>
      <w:r w:rsidRPr="00D630D1">
        <w:rPr>
          <w:rFonts w:hAnsi="宋体" w:hint="eastAsia"/>
        </w:rPr>
        <w:t>③</w:t>
      </w:r>
      <w:r w:rsidR="008B5B84" w:rsidRPr="00D630D1">
        <w:rPr>
          <w:rFonts w:ascii="Times New Roman" w:cs="Times New Roman"/>
        </w:rPr>
        <w:t>一切施工作业尽量利用原有公路，沿已有车辙行驶，若无原有公路，则要执行先修道路，后设点作业的原则进行。杜绝车辆乱碾乱轧的情况发生，不随意开设便道。管线尽量沿公路侧平行布置，便于施工及运营期检修维护，避免修筑专门施工便道。</w:t>
      </w:r>
    </w:p>
    <w:p w:rsidR="00117C3D" w:rsidRPr="00D630D1" w:rsidRDefault="007A3D54">
      <w:pPr>
        <w:pStyle w:val="a1"/>
        <w:ind w:firstLine="480"/>
        <w:rPr>
          <w:rFonts w:ascii="Times New Roman" w:cs="Times New Roman"/>
        </w:rPr>
      </w:pPr>
      <w:r w:rsidRPr="00D630D1">
        <w:rPr>
          <w:rFonts w:hAnsi="宋体" w:hint="eastAsia"/>
        </w:rPr>
        <w:t>④</w:t>
      </w:r>
      <w:r w:rsidR="008B5B84" w:rsidRPr="00D630D1">
        <w:rPr>
          <w:rFonts w:ascii="Times New Roman" w:cs="Times New Roman"/>
        </w:rPr>
        <w:t>现场施工作业机械应严格管理，划定活动范围，不得在道路以外的地方行驶和作业，保持路外植被不被破坏。</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w:t>
      </w:r>
      <w:r w:rsidR="008B5B84" w:rsidRPr="00D630D1">
        <w:rPr>
          <w:rFonts w:ascii="Times New Roman" w:cs="Times New Roman"/>
        </w:rPr>
        <w:t>恢复土地利用原有格局</w:t>
      </w:r>
    </w:p>
    <w:p w:rsidR="00117C3D" w:rsidRPr="00D630D1" w:rsidRDefault="007A3D54">
      <w:pPr>
        <w:pStyle w:val="a1"/>
        <w:ind w:firstLine="480"/>
        <w:rPr>
          <w:rFonts w:ascii="Times New Roman" w:cs="Times New Roman"/>
        </w:rPr>
      </w:pPr>
      <w:r w:rsidRPr="00D630D1">
        <w:rPr>
          <w:rFonts w:hAnsi="宋体" w:hint="eastAsia"/>
        </w:rPr>
        <w:t>①</w:t>
      </w:r>
      <w:r w:rsidR="008B5B84" w:rsidRPr="00D630D1">
        <w:rPr>
          <w:rFonts w:ascii="Times New Roman" w:cs="Times New Roman"/>
        </w:rPr>
        <w:t>施工结束后，应恢复地貌原状。施工时对管沟开挖的土壤做分层堆放，分层回填压实，以保护植被生长层，降低对土壤养分的影响，尽快使土壤恢复生产力，同时减少水土流失。</w:t>
      </w:r>
    </w:p>
    <w:p w:rsidR="00117C3D" w:rsidRPr="00D630D1" w:rsidRDefault="007A3D54">
      <w:pPr>
        <w:pStyle w:val="a1"/>
        <w:ind w:firstLine="480"/>
        <w:rPr>
          <w:rFonts w:ascii="Times New Roman" w:cs="Times New Roman"/>
        </w:rPr>
      </w:pPr>
      <w:r w:rsidRPr="00D630D1">
        <w:rPr>
          <w:rFonts w:hAnsi="宋体" w:hint="eastAsia"/>
        </w:rPr>
        <w:t>②</w:t>
      </w:r>
      <w:r w:rsidR="008B5B84" w:rsidRPr="00D630D1">
        <w:rPr>
          <w:rFonts w:ascii="Times New Roman" w:cs="Times New Roman"/>
        </w:rPr>
        <w:t>对管沟回填后多余的土严禁大量集中弃置，应均匀分散在管线中心两侧，</w:t>
      </w:r>
      <w:r w:rsidR="008B5B84" w:rsidRPr="00D630D1">
        <w:rPr>
          <w:rFonts w:ascii="Times New Roman" w:cs="Times New Roman"/>
        </w:rPr>
        <w:lastRenderedPageBreak/>
        <w:t>并使管沟与周围自然地表形成平滑过度，不得形成汇水环境，防止水土流失。管线所经地段的原始地表存在局部凹地时，若有集水的可能，需采用管沟多余土或借土填高以防地表水汇集。对敷设在较平坦地段的管道，应在地貌恢复后使管沟与附近地表自然过渡，回填土与周围地表坡向保持一致，严禁在管沟两侧有集水环境存在。</w:t>
      </w:r>
    </w:p>
    <w:p w:rsidR="00D55034" w:rsidRPr="00D630D1" w:rsidRDefault="00D55034">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3</w:t>
      </w:r>
      <w:r w:rsidRPr="00D630D1">
        <w:rPr>
          <w:rFonts w:ascii="Times New Roman" w:cs="Times New Roman" w:hint="eastAsia"/>
        </w:rPr>
        <w:t>）表土堆存与复耕盖土</w:t>
      </w:r>
    </w:p>
    <w:p w:rsidR="00D55034" w:rsidRPr="00D630D1" w:rsidRDefault="00D55034">
      <w:pPr>
        <w:pStyle w:val="a1"/>
        <w:ind w:firstLine="480"/>
        <w:rPr>
          <w:rFonts w:ascii="Times New Roman" w:cs="Times New Roman"/>
        </w:rPr>
      </w:pPr>
      <w:r w:rsidRPr="00D630D1">
        <w:rPr>
          <w:rFonts w:hint="eastAsia"/>
        </w:rPr>
        <w:t>设置专门的表土堆场对表土进行暂存，表土堆场</w:t>
      </w:r>
      <w:r w:rsidRPr="00D630D1">
        <w:t>位于</w:t>
      </w:r>
      <w:r w:rsidR="00907B8A" w:rsidRPr="00D630D1">
        <w:rPr>
          <w:rFonts w:hint="eastAsia"/>
        </w:rPr>
        <w:t>炉旺</w:t>
      </w:r>
      <w:r w:rsidRPr="00D630D1">
        <w:t>村</w:t>
      </w:r>
      <w:r w:rsidRPr="00D630D1">
        <w:rPr>
          <w:rFonts w:hint="eastAsia"/>
        </w:rPr>
        <w:t>，施工结束后表土全部回用于绿化、复耕盖土等。</w:t>
      </w:r>
    </w:p>
    <w:p w:rsidR="00117C3D" w:rsidRPr="00D630D1" w:rsidRDefault="007A3D54">
      <w:pPr>
        <w:pStyle w:val="a1"/>
        <w:ind w:firstLine="482"/>
        <w:rPr>
          <w:rFonts w:ascii="Times New Roman" w:cs="Times New Roman"/>
          <w:b/>
        </w:rPr>
      </w:pPr>
      <w:bookmarkStart w:id="606" w:name="_Toc12288784"/>
      <w:r w:rsidRPr="00D630D1">
        <w:rPr>
          <w:rFonts w:ascii="Times New Roman" w:cs="Times New Roman"/>
          <w:b/>
        </w:rPr>
        <w:t>2</w:t>
      </w:r>
      <w:r w:rsidR="008B5B84" w:rsidRPr="00D630D1">
        <w:rPr>
          <w:rFonts w:ascii="Times New Roman" w:cs="Times New Roman"/>
          <w:b/>
        </w:rPr>
        <w:t>、生物多样性的保护措施</w:t>
      </w:r>
      <w:bookmarkEnd w:id="606"/>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w:t>
      </w:r>
      <w:r w:rsidR="008B5B84" w:rsidRPr="00D630D1">
        <w:rPr>
          <w:rFonts w:ascii="Times New Roman" w:cs="Times New Roman"/>
        </w:rPr>
        <w:t>在施工过程中，应加强施工人员的管理，禁止施工人员对野外植被滥砍滥伐，破坏沿线地区的生态环境。</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w:t>
      </w:r>
      <w:r w:rsidR="008B5B84" w:rsidRPr="00D630D1">
        <w:rPr>
          <w:rFonts w:ascii="Times New Roman" w:cs="Times New Roman"/>
        </w:rPr>
        <w:t>禁止施工人员对野生动物尤其是珍稀动物的滥捕滥杀，作好野生动物的保护工作。</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w:t>
      </w:r>
      <w:r w:rsidR="008B5B84" w:rsidRPr="00D630D1">
        <w:rPr>
          <w:rFonts w:ascii="Times New Roman" w:cs="Times New Roman"/>
        </w:rPr>
        <w:t>施工期要加大对保护野生动物的宣传力度，大力宣传两栖、爬行动物、鸟类对农林卫生业的作用。蛙类、蜥蜴类和蛇类要吃掉大量的农林卫生业上害虫害鼠，对人类有益，应克服任意拘杀两栖、爬行动物和鸟类的恶习。</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4</w:t>
      </w:r>
      <w:r w:rsidRPr="00D630D1">
        <w:rPr>
          <w:rFonts w:ascii="Times New Roman" w:cs="Times New Roman"/>
        </w:rPr>
        <w:t>）</w:t>
      </w:r>
      <w:r w:rsidR="008B5B84" w:rsidRPr="00D630D1">
        <w:rPr>
          <w:rFonts w:ascii="Times New Roman" w:cs="Times New Roman"/>
        </w:rPr>
        <w:t>对施工期处于繁殖的动物，在车辆行驶中，遇见动物通过时，应避让。施工结束后，应采取相应的恢复替代措施，如对破坏植被的恢复等。</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5</w:t>
      </w:r>
      <w:r w:rsidRPr="00D630D1">
        <w:rPr>
          <w:rFonts w:ascii="Times New Roman" w:cs="Times New Roman"/>
        </w:rPr>
        <w:t>）</w:t>
      </w:r>
      <w:r w:rsidR="008B5B84" w:rsidRPr="00D630D1">
        <w:rPr>
          <w:rFonts w:ascii="Times New Roman" w:cs="Times New Roman"/>
        </w:rPr>
        <w:t>对水生生物的一般保护措施为：切实加强对水环境的保护，避免沿线局部水域发生富营养化，把对水生生物生息环境的影响减少到最低程度。具体如下：</w:t>
      </w:r>
    </w:p>
    <w:p w:rsidR="00117C3D" w:rsidRPr="00D630D1" w:rsidRDefault="00907B8A">
      <w:pPr>
        <w:pStyle w:val="a1"/>
        <w:ind w:firstLine="480"/>
        <w:rPr>
          <w:rFonts w:ascii="Times New Roman" w:cs="Times New Roman"/>
        </w:rPr>
      </w:pPr>
      <w:r w:rsidRPr="00D630D1">
        <w:rPr>
          <w:rFonts w:ascii="Times New Roman" w:cs="Times New Roman"/>
        </w:rPr>
        <w:t>施工用料的堆放应远离水源和其他水体，选择暴雨径流难以冲刷的地方。防止被暴雨径流带入水体，影响水质，各类材料应备有防雨遮雨设施</w:t>
      </w:r>
      <w:r w:rsidR="008B5B84" w:rsidRPr="00D630D1">
        <w:rPr>
          <w:rFonts w:ascii="Times New Roman" w:cs="Times New Roman"/>
        </w:rPr>
        <w:t>。</w:t>
      </w:r>
    </w:p>
    <w:p w:rsidR="00117C3D" w:rsidRPr="00D630D1" w:rsidRDefault="00FA349B">
      <w:pPr>
        <w:pStyle w:val="a1"/>
        <w:ind w:firstLine="482"/>
        <w:rPr>
          <w:rFonts w:ascii="Times New Roman" w:cs="Times New Roman"/>
          <w:b/>
        </w:rPr>
      </w:pPr>
      <w:bookmarkStart w:id="607" w:name="_Toc12288785"/>
      <w:r w:rsidRPr="00D630D1">
        <w:rPr>
          <w:rFonts w:ascii="Times New Roman" w:cs="Times New Roman"/>
          <w:b/>
        </w:rPr>
        <w:t>3</w:t>
      </w:r>
      <w:r w:rsidR="008B5B84" w:rsidRPr="00D630D1">
        <w:rPr>
          <w:rFonts w:ascii="Times New Roman" w:cs="Times New Roman"/>
          <w:b/>
        </w:rPr>
        <w:t>、植被保护及恢复措施</w:t>
      </w:r>
      <w:bookmarkEnd w:id="607"/>
    </w:p>
    <w:p w:rsidR="00117C3D" w:rsidRPr="00D630D1" w:rsidRDefault="00FA349B">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w:t>
      </w:r>
      <w:r w:rsidR="008B5B84" w:rsidRPr="00D630D1">
        <w:rPr>
          <w:rFonts w:ascii="Times New Roman" w:cs="Times New Roman"/>
        </w:rPr>
        <w:t>植被保护措施</w:t>
      </w:r>
    </w:p>
    <w:p w:rsidR="00117C3D" w:rsidRPr="00D630D1" w:rsidRDefault="008B5B84">
      <w:pPr>
        <w:pStyle w:val="a1"/>
        <w:ind w:firstLine="480"/>
        <w:rPr>
          <w:rFonts w:ascii="Times New Roman" w:cs="Times New Roman"/>
        </w:rPr>
      </w:pPr>
      <w:r w:rsidRPr="00D630D1">
        <w:rPr>
          <w:rFonts w:ascii="Times New Roman" w:cs="Times New Roman"/>
        </w:rPr>
        <w:t>植物保护的一般原则为：首先应尽量保存施工区的熟化土，对于建设中永久占用地、临时用地占用耕地部分的表层土予以收集保存，施工结束后及时清理、松土、覆盖收集的耕作土，复耕或选择当地适宜植物及时恢复绿化。</w:t>
      </w:r>
    </w:p>
    <w:p w:rsidR="00117C3D" w:rsidRPr="00D630D1" w:rsidRDefault="008B5B84">
      <w:pPr>
        <w:pStyle w:val="a1"/>
        <w:ind w:firstLine="480"/>
        <w:rPr>
          <w:rFonts w:ascii="Times New Roman" w:cs="Times New Roman"/>
        </w:rPr>
      </w:pPr>
      <w:r w:rsidRPr="00D630D1">
        <w:rPr>
          <w:rFonts w:ascii="Times New Roman" w:cs="Times New Roman"/>
        </w:rPr>
        <w:t>在项目植被恢复建设过程中除考虑选择适合当地速成树种外，在布局上还应考虑多种树种的交错分布，既提高植物种类的多样性又不至于太大改变原来的生态组分，增强其稳定性。另外修复树种种苗的选择应经过严格检疫，防止引入病</w:t>
      </w:r>
      <w:r w:rsidRPr="00D630D1">
        <w:rPr>
          <w:rFonts w:ascii="Times New Roman" w:cs="Times New Roman"/>
        </w:rPr>
        <w:lastRenderedPageBreak/>
        <w:t>害。对于森林防火要采取有效措施，对国家重点保护的物种要列入工程建设中要注意的事项。针对工程沿线植物资源分布的特点，对不同的保护对象提出如下的保护措施：</w:t>
      </w:r>
    </w:p>
    <w:p w:rsidR="00117C3D" w:rsidRPr="00D630D1" w:rsidRDefault="00FA349B">
      <w:pPr>
        <w:pStyle w:val="a1"/>
        <w:ind w:firstLine="480"/>
        <w:rPr>
          <w:rFonts w:ascii="Times New Roman" w:cs="Times New Roman"/>
        </w:rPr>
      </w:pPr>
      <w:r w:rsidRPr="00D630D1">
        <w:rPr>
          <w:rFonts w:hAnsi="宋体" w:hint="eastAsia"/>
        </w:rPr>
        <w:t>①</w:t>
      </w:r>
      <w:r w:rsidR="008B5B84" w:rsidRPr="00D630D1">
        <w:rPr>
          <w:rFonts w:ascii="Times New Roman" w:cs="Times New Roman"/>
        </w:rPr>
        <w:t>对工程施工中无法避让的需保护树种，要进行异地移栽</w:t>
      </w:r>
    </w:p>
    <w:p w:rsidR="00117C3D" w:rsidRDefault="008B5B84">
      <w:pPr>
        <w:pStyle w:val="a1"/>
        <w:ind w:firstLine="480"/>
        <w:rPr>
          <w:rFonts w:ascii="Times New Roman" w:cs="Times New Roman"/>
        </w:rPr>
      </w:pPr>
      <w:r w:rsidRPr="00D630D1">
        <w:rPr>
          <w:rFonts w:ascii="Times New Roman" w:cs="Times New Roman"/>
        </w:rPr>
        <w:t>施工便道的选线应避免和尽量减少对地表植被的破坏和影响。工程结束后，立即对施工便道进行恢复。管线施工过程中，尽可能不破坏地形、地貌；施工完毕后，尽可能将施工地带地形、地貌恢复至施工前时的地形地貌。根据现场踏勘，没有发现需要特别保护的树种，在具体施工中，如发现特别需保护的树种并且无法避让时，应进行移栽。</w:t>
      </w:r>
    </w:p>
    <w:p w:rsidR="007B6E09" w:rsidRPr="00D630D1" w:rsidRDefault="007B6E09">
      <w:pPr>
        <w:pStyle w:val="a1"/>
        <w:ind w:firstLine="480"/>
        <w:rPr>
          <w:rFonts w:ascii="Times New Roman" w:cs="Times New Roman"/>
        </w:rPr>
      </w:pPr>
      <w:r w:rsidRPr="007B6E09">
        <w:t>根据现场踏勘，</w:t>
      </w:r>
      <w:r>
        <w:rPr>
          <w:rFonts w:hint="eastAsia"/>
        </w:rPr>
        <w:t>项目临时占地中</w:t>
      </w:r>
      <w:r w:rsidRPr="007B6E09">
        <w:rPr>
          <w:rFonts w:hint="eastAsia"/>
        </w:rPr>
        <w:t>所占</w:t>
      </w:r>
      <w:r w:rsidRPr="007B6E09">
        <w:rPr>
          <w:rFonts w:hint="eastAsia"/>
          <w:bCs/>
        </w:rPr>
        <w:t>林地为二级公益林，占地面积约</w:t>
      </w:r>
      <w:r>
        <w:rPr>
          <w:rFonts w:ascii="Times New Roman" w:cs="Times New Roman" w:hint="eastAsia"/>
          <w:bCs/>
        </w:rPr>
        <w:t>265</w:t>
      </w:r>
      <w:r w:rsidRPr="007B6E09">
        <w:rPr>
          <w:rFonts w:ascii="Times New Roman" w:cs="Times New Roman"/>
          <w:bCs/>
        </w:rPr>
        <w:t>0m</w:t>
      </w:r>
      <w:r w:rsidRPr="007B6E09">
        <w:rPr>
          <w:rFonts w:ascii="Times New Roman" w:cs="Times New Roman"/>
          <w:bCs/>
          <w:vertAlign w:val="superscript"/>
        </w:rPr>
        <w:t>2</w:t>
      </w:r>
      <w:r w:rsidRPr="007B6E09">
        <w:rPr>
          <w:rFonts w:ascii="Times New Roman" w:cs="Times New Roman"/>
          <w:bCs/>
        </w:rPr>
        <w:t>，</w:t>
      </w:r>
      <w:r w:rsidRPr="007B6E09">
        <w:rPr>
          <w:rFonts w:ascii="Times New Roman" w:cs="Times New Roman"/>
        </w:rPr>
        <w:t>因此，在施工前需取得林业部门相关手续，并在具体施工中，将</w:t>
      </w:r>
      <w:r w:rsidRPr="007B6E09">
        <w:rPr>
          <w:rFonts w:ascii="Times New Roman" w:cs="Times New Roman"/>
          <w:bCs/>
        </w:rPr>
        <w:t>二级公益林</w:t>
      </w:r>
      <w:r w:rsidRPr="007B6E09">
        <w:rPr>
          <w:rFonts w:ascii="Times New Roman" w:cs="Times New Roman"/>
        </w:rPr>
        <w:t>进行</w:t>
      </w:r>
      <w:r w:rsidRPr="007B6E09">
        <w:t>移栽</w:t>
      </w:r>
      <w:r>
        <w:rPr>
          <w:rFonts w:hint="eastAsia"/>
        </w:rPr>
        <w:t>和保护，待施工完成后进行回栽</w:t>
      </w:r>
      <w:r w:rsidRPr="007B6E09">
        <w:t>。</w:t>
      </w:r>
    </w:p>
    <w:p w:rsidR="00117C3D" w:rsidRPr="00D630D1" w:rsidRDefault="00FA349B">
      <w:pPr>
        <w:pStyle w:val="a1"/>
        <w:ind w:firstLine="480"/>
        <w:rPr>
          <w:rFonts w:ascii="Times New Roman" w:cs="Times New Roman"/>
        </w:rPr>
      </w:pPr>
      <w:r w:rsidRPr="00D630D1">
        <w:rPr>
          <w:rFonts w:hAnsi="宋体" w:hint="eastAsia"/>
        </w:rPr>
        <w:t>②</w:t>
      </w:r>
      <w:r w:rsidRPr="00D630D1">
        <w:rPr>
          <w:rFonts w:ascii="Times New Roman" w:cs="Times New Roman"/>
        </w:rPr>
        <w:t>加强施工人员的环保意识</w:t>
      </w:r>
    </w:p>
    <w:p w:rsidR="00117C3D" w:rsidRPr="00D630D1" w:rsidRDefault="008B5B84">
      <w:pPr>
        <w:pStyle w:val="a1"/>
        <w:ind w:firstLine="480"/>
        <w:rPr>
          <w:rFonts w:ascii="Times New Roman" w:cs="Times New Roman"/>
        </w:rPr>
      </w:pPr>
      <w:r w:rsidRPr="00D630D1">
        <w:rPr>
          <w:rFonts w:ascii="Times New Roman" w:cs="Times New Roman"/>
        </w:rPr>
        <w:t>不随意砍伐植物，在开挖的工程中，如发现有国家重点保护植物，要报告当地环保部门，立即组织挽救，移栽他处。</w:t>
      </w:r>
    </w:p>
    <w:p w:rsidR="00117C3D" w:rsidRPr="00D630D1" w:rsidRDefault="00FA349B">
      <w:pPr>
        <w:pStyle w:val="a1"/>
        <w:ind w:firstLine="480"/>
        <w:rPr>
          <w:rFonts w:ascii="Times New Roman" w:cs="Times New Roman"/>
        </w:rPr>
      </w:pPr>
      <w:r w:rsidRPr="00D630D1">
        <w:rPr>
          <w:rFonts w:hAnsi="宋体" w:hint="eastAsia"/>
        </w:rPr>
        <w:t>③</w:t>
      </w:r>
      <w:r w:rsidRPr="00D630D1">
        <w:rPr>
          <w:rFonts w:ascii="Times New Roman" w:cs="Times New Roman"/>
        </w:rPr>
        <w:t>加强环境管理</w:t>
      </w:r>
    </w:p>
    <w:p w:rsidR="00117C3D" w:rsidRPr="00D630D1" w:rsidRDefault="008B5B84">
      <w:pPr>
        <w:pStyle w:val="a1"/>
        <w:ind w:firstLine="480"/>
        <w:rPr>
          <w:rFonts w:ascii="Times New Roman" w:cs="Times New Roman"/>
        </w:rPr>
      </w:pPr>
      <w:r w:rsidRPr="00D630D1">
        <w:rPr>
          <w:rFonts w:ascii="Times New Roman" w:cs="Times New Roman"/>
        </w:rPr>
        <w:t>对已经发现的保护物种，环境</w:t>
      </w:r>
      <w:r w:rsidR="00C8781B" w:rsidRPr="00D630D1">
        <w:rPr>
          <w:rFonts w:ascii="Times New Roman" w:cs="Times New Roman"/>
        </w:rPr>
        <w:t>管理体系</w:t>
      </w:r>
      <w:r w:rsidRPr="00D630D1">
        <w:rPr>
          <w:rFonts w:ascii="Times New Roman" w:cs="Times New Roman"/>
        </w:rPr>
        <w:t>的工作就显得十分重要，尤其是在施工期，工程单位与</w:t>
      </w:r>
      <w:r w:rsidR="00C8781B" w:rsidRPr="00D630D1">
        <w:rPr>
          <w:rFonts w:ascii="Times New Roman" w:cs="Times New Roman"/>
        </w:rPr>
        <w:t>生态环境</w:t>
      </w:r>
      <w:r w:rsidRPr="00D630D1">
        <w:rPr>
          <w:rFonts w:ascii="Times New Roman" w:cs="Times New Roman"/>
        </w:rPr>
        <w:t>部门要合作，建立完善的管理体系，使之有法可依，执法有效，确保国家重点保护植物资源的安全。同时也要加大宣传的力度，并采取各种方式，如宣传栏、挂牌等，让施工人员了解保护的重要性。通过宣传植物的显著的特征，使施工人员会识别分布在此地的国家重点保护植物。</w:t>
      </w:r>
    </w:p>
    <w:p w:rsidR="00117C3D" w:rsidRPr="00D630D1" w:rsidRDefault="00FA349B">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w:t>
      </w:r>
      <w:r w:rsidR="008B5B84" w:rsidRPr="00D630D1">
        <w:rPr>
          <w:rFonts w:ascii="Times New Roman" w:cs="Times New Roman"/>
        </w:rPr>
        <w:t>植被恢复措施及建议</w:t>
      </w:r>
    </w:p>
    <w:p w:rsidR="00117C3D" w:rsidRPr="00D630D1" w:rsidRDefault="008B5B84">
      <w:pPr>
        <w:pStyle w:val="a1"/>
        <w:ind w:firstLine="480"/>
        <w:rPr>
          <w:rFonts w:ascii="Times New Roman" w:cs="Times New Roman"/>
        </w:rPr>
      </w:pPr>
      <w:r w:rsidRPr="00D630D1">
        <w:rPr>
          <w:rFonts w:ascii="Times New Roman" w:cs="Times New Roman"/>
        </w:rPr>
        <w:t>对于原农业用地，在覆土后施肥，恢复农业用地。对不能复垦为耕地和不能继续利用的施工便道且不能退耕的，根据气候条件采取种树种草绿化措施。</w:t>
      </w:r>
    </w:p>
    <w:p w:rsidR="00117C3D" w:rsidRPr="00D630D1" w:rsidRDefault="008B5B84">
      <w:pPr>
        <w:pStyle w:val="a1"/>
        <w:ind w:firstLine="480"/>
        <w:rPr>
          <w:rFonts w:ascii="Times New Roman" w:cs="Times New Roman"/>
        </w:rPr>
      </w:pPr>
      <w:r w:rsidRPr="00D630D1">
        <w:rPr>
          <w:rFonts w:ascii="Times New Roman" w:cs="Times New Roman"/>
        </w:rPr>
        <w:t>临时用地范围内植被恢复：对作为农用地以外的部分应植树种草恢复植被，农用地周边结合当地的农田林网营造绿化林带。施工中应加强施工管理，对边界以外的植被应不破坏或尽量减少破坏，两侧植被恢复除考虑管道防护、水土保持外，使水保、绿化、美化、环保有机结合为一体。</w:t>
      </w:r>
    </w:p>
    <w:p w:rsidR="00117C3D" w:rsidRPr="00D630D1" w:rsidRDefault="008B5B84">
      <w:pPr>
        <w:pStyle w:val="a1"/>
        <w:ind w:firstLine="480"/>
        <w:rPr>
          <w:rFonts w:ascii="Times New Roman" w:cs="Times New Roman"/>
        </w:rPr>
      </w:pPr>
      <w:r w:rsidRPr="00D630D1">
        <w:rPr>
          <w:rFonts w:ascii="Times New Roman" w:cs="Times New Roman"/>
        </w:rPr>
        <w:t>草种、树种的选择：在</w:t>
      </w:r>
      <w:r w:rsidRPr="00D630D1">
        <w:rPr>
          <w:rFonts w:ascii="Times New Roman" w:cs="Times New Roman"/>
        </w:rPr>
        <w:t>“</w:t>
      </w:r>
      <w:r w:rsidRPr="00D630D1">
        <w:rPr>
          <w:rFonts w:ascii="Times New Roman" w:cs="Times New Roman"/>
        </w:rPr>
        <w:t>适地适树、适地适草</w:t>
      </w:r>
      <w:r w:rsidRPr="00D630D1">
        <w:rPr>
          <w:rFonts w:ascii="Times New Roman" w:cs="Times New Roman"/>
        </w:rPr>
        <w:t>”</w:t>
      </w:r>
      <w:r w:rsidRPr="00D630D1">
        <w:rPr>
          <w:rFonts w:ascii="Times New Roman" w:cs="Times New Roman"/>
        </w:rPr>
        <w:t>的原则下，树种、草种的选择应对各地区的地形、土壤和气候条件经过详细的调查以当地优良乡土树种为主，</w:t>
      </w:r>
      <w:r w:rsidRPr="00D630D1">
        <w:rPr>
          <w:rFonts w:ascii="Times New Roman" w:cs="Times New Roman"/>
        </w:rPr>
        <w:lastRenderedPageBreak/>
        <w:t>适当引进新的优良树种草种，保证绿化栽植的成活率。</w:t>
      </w:r>
    </w:p>
    <w:p w:rsidR="00117C3D" w:rsidRPr="00D630D1" w:rsidRDefault="00C8781B">
      <w:pPr>
        <w:pStyle w:val="a1"/>
        <w:ind w:firstLine="482"/>
        <w:rPr>
          <w:rFonts w:ascii="Times New Roman" w:cs="Times New Roman"/>
          <w:b/>
        </w:rPr>
      </w:pPr>
      <w:bookmarkStart w:id="608" w:name="_Toc12288786"/>
      <w:r w:rsidRPr="00D630D1">
        <w:rPr>
          <w:rFonts w:ascii="Times New Roman" w:cs="Times New Roman"/>
          <w:b/>
        </w:rPr>
        <w:t>4</w:t>
      </w:r>
      <w:r w:rsidR="008B5B84" w:rsidRPr="00D630D1">
        <w:rPr>
          <w:rFonts w:ascii="Times New Roman" w:cs="Times New Roman"/>
          <w:b/>
        </w:rPr>
        <w:t>、对农业生态系统的保护措施</w:t>
      </w:r>
      <w:bookmarkEnd w:id="608"/>
    </w:p>
    <w:p w:rsidR="00117C3D" w:rsidRPr="00D630D1" w:rsidRDefault="00C8781B">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w:t>
      </w:r>
      <w:r w:rsidR="008B5B84" w:rsidRPr="00D630D1">
        <w:rPr>
          <w:rFonts w:ascii="Times New Roman" w:cs="Times New Roman"/>
        </w:rPr>
        <w:t>在工程的总体规划中必须考虑施工对农业生产的影响，将农业损失纳入到工程预算中，管道通过农业区时，尤其是占用园地、菜地、果林等经济农业区时应尽量缩小影响范围，减少损失，降低工程对农业生态环境的干扰和破坏，避免占用国家规定的耕地。</w:t>
      </w:r>
    </w:p>
    <w:p w:rsidR="00117C3D" w:rsidRPr="00D630D1" w:rsidRDefault="00C8781B">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w:t>
      </w:r>
      <w:r w:rsidR="008B5B84" w:rsidRPr="00D630D1">
        <w:rPr>
          <w:rFonts w:ascii="Times New Roman" w:cs="Times New Roman"/>
        </w:rPr>
        <w:t>由于本项目所涉及的永久占地和临时占地都应按有关土地管理办法的要求，逐级上报有审批权的政府部门批准。对于永久占地，应纳入地方土地利用规划中，并按有关土地管理部门要求认真执行。</w:t>
      </w:r>
    </w:p>
    <w:p w:rsidR="00117C3D" w:rsidRPr="00D630D1" w:rsidRDefault="00C8781B">
      <w:pPr>
        <w:pStyle w:val="a1"/>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w:t>
      </w:r>
      <w:r w:rsidR="008B5B84" w:rsidRPr="00D630D1">
        <w:rPr>
          <w:rFonts w:ascii="Times New Roman" w:cs="Times New Roman"/>
        </w:rPr>
        <w:t>临时占用的</w:t>
      </w:r>
      <w:r w:rsidR="00067DBE" w:rsidRPr="00D630D1">
        <w:rPr>
          <w:rFonts w:ascii="Times New Roman" w:cs="Times New Roman"/>
        </w:rPr>
        <w:t>耕地</w:t>
      </w:r>
      <w:r w:rsidR="008B5B84" w:rsidRPr="00D630D1">
        <w:rPr>
          <w:rFonts w:ascii="Times New Roman" w:cs="Times New Roman"/>
        </w:rPr>
        <w:t>，使用后立即实施复垦措施</w:t>
      </w:r>
      <w:r w:rsidR="00934F8F" w:rsidRPr="00D630D1">
        <w:rPr>
          <w:rFonts w:ascii="Times New Roman" w:cs="Times New Roman"/>
        </w:rPr>
        <w:t>，恢复田坎时做好防渗措施</w:t>
      </w:r>
      <w:r w:rsidR="008B5B84" w:rsidRPr="00D630D1">
        <w:rPr>
          <w:rFonts w:ascii="Times New Roman" w:cs="Times New Roman"/>
        </w:rPr>
        <w:t>；可与农民协商，由农民自行复垦。</w:t>
      </w:r>
    </w:p>
    <w:p w:rsidR="00117C3D" w:rsidRPr="00D630D1" w:rsidRDefault="00C8781B">
      <w:pPr>
        <w:pStyle w:val="a1"/>
        <w:ind w:firstLine="480"/>
        <w:rPr>
          <w:rFonts w:ascii="Times New Roman" w:cs="Times New Roman"/>
        </w:rPr>
      </w:pPr>
      <w:r w:rsidRPr="00D630D1">
        <w:rPr>
          <w:rFonts w:ascii="Times New Roman" w:cs="Times New Roman"/>
        </w:rPr>
        <w:t>（</w:t>
      </w:r>
      <w:r w:rsidRPr="00D630D1">
        <w:rPr>
          <w:rFonts w:ascii="Times New Roman" w:cs="Times New Roman"/>
        </w:rPr>
        <w:t>4</w:t>
      </w:r>
      <w:r w:rsidRPr="00D630D1">
        <w:rPr>
          <w:rFonts w:ascii="Times New Roman" w:cs="Times New Roman"/>
        </w:rPr>
        <w:t>）</w:t>
      </w:r>
      <w:r w:rsidR="008B5B84" w:rsidRPr="00D630D1">
        <w:rPr>
          <w:rFonts w:ascii="Times New Roman" w:cs="Times New Roman"/>
        </w:rPr>
        <w:t>提高施工效率，缩短施工时间，以保持耕作层肥力，缩短农业生产季节的损失。因地制宜地选择施工季节，尽量避开农作物的生长和收获期，减少农业当季损失。</w:t>
      </w:r>
    </w:p>
    <w:p w:rsidR="00117C3D" w:rsidRPr="00D630D1" w:rsidRDefault="00C8781B">
      <w:pPr>
        <w:pStyle w:val="a1"/>
        <w:ind w:firstLine="480"/>
        <w:rPr>
          <w:rFonts w:ascii="Times New Roman" w:cs="Times New Roman"/>
        </w:rPr>
      </w:pPr>
      <w:r w:rsidRPr="00D630D1">
        <w:rPr>
          <w:rFonts w:ascii="Times New Roman" w:cs="Times New Roman"/>
        </w:rPr>
        <w:t>（</w:t>
      </w:r>
      <w:r w:rsidRPr="00D630D1">
        <w:rPr>
          <w:rFonts w:ascii="Times New Roman" w:cs="Times New Roman"/>
        </w:rPr>
        <w:t>5</w:t>
      </w:r>
      <w:r w:rsidRPr="00D630D1">
        <w:rPr>
          <w:rFonts w:ascii="Times New Roman" w:cs="Times New Roman"/>
        </w:rPr>
        <w:t>）</w:t>
      </w:r>
      <w:r w:rsidR="008B5B84" w:rsidRPr="00D630D1">
        <w:rPr>
          <w:rFonts w:ascii="Times New Roman" w:cs="Times New Roman"/>
        </w:rPr>
        <w:t>管道施工中要采取保护土壤措施，对农业熟化土壤要分层开挖，分别堆放，分层复原的方法，减少因施工生土上翻耕层养分损失农作物减产的后果，同时要避免间断覆土造成的土层不坚实形成的水土流失等问题。</w:t>
      </w:r>
    </w:p>
    <w:p w:rsidR="00117C3D" w:rsidRPr="00D630D1" w:rsidRDefault="00C8781B">
      <w:pPr>
        <w:pStyle w:val="a1"/>
        <w:ind w:firstLine="480"/>
        <w:rPr>
          <w:rFonts w:ascii="Times New Roman" w:cs="Times New Roman"/>
        </w:rPr>
      </w:pPr>
      <w:r w:rsidRPr="00D630D1">
        <w:rPr>
          <w:rFonts w:ascii="Times New Roman" w:cs="Times New Roman"/>
        </w:rPr>
        <w:t>（</w:t>
      </w:r>
      <w:r w:rsidRPr="00D630D1">
        <w:rPr>
          <w:rFonts w:ascii="Times New Roman" w:cs="Times New Roman"/>
        </w:rPr>
        <w:t>6</w:t>
      </w:r>
      <w:r w:rsidRPr="00D630D1">
        <w:rPr>
          <w:rFonts w:ascii="Times New Roman" w:cs="Times New Roman"/>
        </w:rPr>
        <w:t>）</w:t>
      </w:r>
      <w:r w:rsidR="008B5B84" w:rsidRPr="00D630D1">
        <w:rPr>
          <w:rFonts w:ascii="Times New Roman" w:cs="Times New Roman"/>
        </w:rPr>
        <w:t>施工完成后做好现场清理及恢复工作，包括田埂、水渠妥善处治等，尽可能降低施工对农田生态系统带来的不利影响。</w:t>
      </w:r>
    </w:p>
    <w:p w:rsidR="00117C3D" w:rsidRPr="00D630D1" w:rsidRDefault="00C8781B">
      <w:pPr>
        <w:pStyle w:val="a1"/>
        <w:ind w:firstLine="480"/>
        <w:rPr>
          <w:rFonts w:ascii="Times New Roman" w:cs="Times New Roman"/>
        </w:rPr>
      </w:pPr>
      <w:r w:rsidRPr="00D630D1">
        <w:rPr>
          <w:rFonts w:ascii="Times New Roman" w:cs="Times New Roman"/>
        </w:rPr>
        <w:t>（</w:t>
      </w:r>
      <w:r w:rsidRPr="00D630D1">
        <w:rPr>
          <w:rFonts w:ascii="Times New Roman" w:cs="Times New Roman"/>
        </w:rPr>
        <w:t>7</w:t>
      </w:r>
      <w:r w:rsidRPr="00D630D1">
        <w:rPr>
          <w:rFonts w:ascii="Times New Roman" w:cs="Times New Roman"/>
        </w:rPr>
        <w:t>）</w:t>
      </w:r>
      <w:r w:rsidR="008B5B84" w:rsidRPr="00D630D1">
        <w:rPr>
          <w:rFonts w:ascii="Times New Roman" w:cs="Times New Roman"/>
        </w:rPr>
        <w:t>由于施工设备基本属于重型、庞大类别，在施工时，应避免农田基础设施受碾压而失去正常使用功能。例如：机井、灌渠、灌溉暗管（一般埋藏较浅）等水利设施的损坏，会导致灌溉区受益范围内农作物生长受影响。</w:t>
      </w:r>
    </w:p>
    <w:p w:rsidR="00117C3D" w:rsidRPr="00D630D1" w:rsidRDefault="008B5B84">
      <w:pPr>
        <w:pStyle w:val="a1"/>
        <w:ind w:firstLine="480"/>
        <w:rPr>
          <w:rFonts w:ascii="Times New Roman" w:cs="Times New Roman"/>
        </w:rPr>
      </w:pPr>
      <w:r w:rsidRPr="00D630D1">
        <w:rPr>
          <w:rFonts w:ascii="Times New Roman" w:cs="Times New Roman"/>
        </w:rPr>
        <w:t>管道施工时，除了以上耕地恢复的措施外，在开挖地表土壤时，在地形地貌允许的地方，应尽可能的把表土层单独堆放，放到编织带内临时堆放。回填时，把表土覆盖在最上面的地表层，这样可以大大缩短土壤生产力恢复的时间，减少工程影响时间。</w:t>
      </w:r>
    </w:p>
    <w:p w:rsidR="00117C3D" w:rsidRPr="00D630D1" w:rsidRDefault="00C11BC5">
      <w:pPr>
        <w:pStyle w:val="a1"/>
        <w:ind w:firstLine="482"/>
        <w:rPr>
          <w:rFonts w:ascii="Times New Roman" w:cs="Times New Roman"/>
          <w:b/>
        </w:rPr>
      </w:pPr>
      <w:bookmarkStart w:id="609" w:name="_Toc12288787"/>
      <w:r w:rsidRPr="00D630D1">
        <w:rPr>
          <w:rFonts w:ascii="Times New Roman" w:cs="Times New Roman"/>
          <w:b/>
        </w:rPr>
        <w:t>5</w:t>
      </w:r>
      <w:r w:rsidR="008B5B84" w:rsidRPr="00D630D1">
        <w:rPr>
          <w:rFonts w:ascii="Times New Roman" w:cs="Times New Roman"/>
          <w:b/>
        </w:rPr>
        <w:t>、林地恢复措施</w:t>
      </w:r>
      <w:bookmarkEnd w:id="609"/>
    </w:p>
    <w:p w:rsidR="00117C3D" w:rsidRPr="00D630D1" w:rsidRDefault="00C11BC5">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w:t>
      </w:r>
      <w:r w:rsidR="008B5B84" w:rsidRPr="00D630D1">
        <w:rPr>
          <w:rFonts w:ascii="Times New Roman" w:cs="Times New Roman"/>
        </w:rPr>
        <w:t>加强对施工人员及施工活动的管理</w:t>
      </w:r>
    </w:p>
    <w:p w:rsidR="00117C3D" w:rsidRPr="00D630D1" w:rsidRDefault="00C11BC5">
      <w:pPr>
        <w:pStyle w:val="a1"/>
        <w:ind w:firstLine="480"/>
        <w:rPr>
          <w:rFonts w:ascii="Times New Roman" w:cs="Times New Roman"/>
        </w:rPr>
      </w:pPr>
      <w:r w:rsidRPr="00D630D1">
        <w:rPr>
          <w:rFonts w:hAnsi="宋体" w:hint="eastAsia"/>
        </w:rPr>
        <w:t>①</w:t>
      </w:r>
      <w:r w:rsidR="008B5B84" w:rsidRPr="00D630D1">
        <w:rPr>
          <w:rFonts w:ascii="Times New Roman" w:cs="Times New Roman"/>
        </w:rPr>
        <w:t>施工过程中，加强施工人员的管理，禁止施工人员对野生植被滥砍滥伐，严格限制人员的活动范围，破坏沿线的生态环境。</w:t>
      </w:r>
    </w:p>
    <w:p w:rsidR="00117C3D" w:rsidRPr="00D630D1" w:rsidRDefault="00C11BC5">
      <w:pPr>
        <w:pStyle w:val="a1"/>
        <w:ind w:firstLine="480"/>
        <w:rPr>
          <w:rFonts w:ascii="Times New Roman" w:cs="Times New Roman"/>
        </w:rPr>
      </w:pPr>
      <w:r w:rsidRPr="00D630D1">
        <w:rPr>
          <w:rFonts w:hAnsi="宋体" w:hint="eastAsia"/>
        </w:rPr>
        <w:lastRenderedPageBreak/>
        <w:t>②</w:t>
      </w:r>
      <w:r w:rsidR="007B6E09" w:rsidRPr="007B6E09">
        <w:t>根据现场踏勘，</w:t>
      </w:r>
      <w:r w:rsidR="007B6E09">
        <w:rPr>
          <w:rFonts w:hint="eastAsia"/>
        </w:rPr>
        <w:t>项目临时占地中</w:t>
      </w:r>
      <w:r w:rsidR="007B6E09" w:rsidRPr="007B6E09">
        <w:rPr>
          <w:rFonts w:hint="eastAsia"/>
        </w:rPr>
        <w:t>所占</w:t>
      </w:r>
      <w:r w:rsidR="007B6E09" w:rsidRPr="007B6E09">
        <w:rPr>
          <w:rFonts w:hint="eastAsia"/>
          <w:bCs/>
        </w:rPr>
        <w:t>林地为二级公益林，占地面积约</w:t>
      </w:r>
      <w:r w:rsidR="007B6E09">
        <w:rPr>
          <w:rFonts w:ascii="Times New Roman" w:cs="Times New Roman" w:hint="eastAsia"/>
          <w:bCs/>
        </w:rPr>
        <w:t>265</w:t>
      </w:r>
      <w:r w:rsidR="007B6E09" w:rsidRPr="007B6E09">
        <w:rPr>
          <w:rFonts w:ascii="Times New Roman" w:cs="Times New Roman"/>
          <w:bCs/>
        </w:rPr>
        <w:t>0m</w:t>
      </w:r>
      <w:r w:rsidR="007B6E09" w:rsidRPr="007B6E09">
        <w:rPr>
          <w:rFonts w:ascii="Times New Roman" w:cs="Times New Roman"/>
          <w:bCs/>
          <w:vertAlign w:val="superscript"/>
        </w:rPr>
        <w:t>2</w:t>
      </w:r>
      <w:r w:rsidR="007B6E09" w:rsidRPr="007B6E09">
        <w:rPr>
          <w:rFonts w:ascii="Times New Roman" w:cs="Times New Roman"/>
          <w:bCs/>
        </w:rPr>
        <w:t>，</w:t>
      </w:r>
      <w:r w:rsidR="007B6E09" w:rsidRPr="007B6E09">
        <w:rPr>
          <w:rFonts w:ascii="Times New Roman" w:cs="Times New Roman"/>
        </w:rPr>
        <w:t>因此，在施工前需取得林业部门相关手续，并在具体施工中，将</w:t>
      </w:r>
      <w:r w:rsidR="007B6E09" w:rsidRPr="007B6E09">
        <w:rPr>
          <w:rFonts w:ascii="Times New Roman" w:cs="Times New Roman"/>
          <w:bCs/>
        </w:rPr>
        <w:t>二级公益林</w:t>
      </w:r>
      <w:r w:rsidR="007B6E09" w:rsidRPr="007B6E09">
        <w:rPr>
          <w:rFonts w:ascii="Times New Roman" w:cs="Times New Roman"/>
        </w:rPr>
        <w:t>进行</w:t>
      </w:r>
      <w:r w:rsidR="007B6E09" w:rsidRPr="007B6E09">
        <w:t>移栽</w:t>
      </w:r>
      <w:r w:rsidR="007B6E09">
        <w:rPr>
          <w:rFonts w:hint="eastAsia"/>
        </w:rPr>
        <w:t>和保护，待施工完成后进行回栽</w:t>
      </w:r>
      <w:r w:rsidR="008B5B84" w:rsidRPr="00D630D1">
        <w:rPr>
          <w:rFonts w:ascii="Times New Roman" w:cs="Times New Roman"/>
        </w:rPr>
        <w:t>。</w:t>
      </w:r>
    </w:p>
    <w:p w:rsidR="00117C3D" w:rsidRPr="00D630D1" w:rsidRDefault="00C11BC5">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w:t>
      </w:r>
      <w:r w:rsidR="008B5B84" w:rsidRPr="00D630D1">
        <w:rPr>
          <w:rFonts w:ascii="Times New Roman" w:cs="Times New Roman"/>
        </w:rPr>
        <w:t>施工后的植被恢复</w:t>
      </w:r>
    </w:p>
    <w:p w:rsidR="00117C3D" w:rsidRPr="00D630D1" w:rsidRDefault="00C11BC5">
      <w:pPr>
        <w:pStyle w:val="a1"/>
        <w:ind w:firstLine="480"/>
        <w:rPr>
          <w:rFonts w:ascii="Times New Roman" w:cs="Times New Roman"/>
        </w:rPr>
      </w:pPr>
      <w:r w:rsidRPr="00D630D1">
        <w:rPr>
          <w:rFonts w:hAnsi="宋体" w:hint="eastAsia"/>
        </w:rPr>
        <w:t>①</w:t>
      </w:r>
      <w:r w:rsidR="008B5B84" w:rsidRPr="00D630D1">
        <w:rPr>
          <w:rFonts w:ascii="Times New Roman" w:cs="Times New Roman"/>
        </w:rPr>
        <w:t>总体原则</w:t>
      </w:r>
    </w:p>
    <w:p w:rsidR="00117C3D" w:rsidRPr="00D630D1" w:rsidRDefault="008B5B84">
      <w:pPr>
        <w:pStyle w:val="a1"/>
        <w:ind w:firstLine="480"/>
        <w:rPr>
          <w:rFonts w:ascii="Times New Roman" w:cs="Times New Roman"/>
        </w:rPr>
      </w:pPr>
      <w:r w:rsidRPr="00D630D1">
        <w:rPr>
          <w:rFonts w:ascii="Times New Roman" w:cs="Times New Roman"/>
        </w:rPr>
        <w:t>管道开挖填埋土方工程完成后，沿线区间尽早植树种草，原为草地的要植草，原为林地的要植树。由于在管线两侧</w:t>
      </w:r>
      <w:r w:rsidRPr="00D630D1">
        <w:rPr>
          <w:rFonts w:ascii="Times New Roman" w:cs="Times New Roman"/>
        </w:rPr>
        <w:t>5m</w:t>
      </w:r>
      <w:r w:rsidRPr="00D630D1">
        <w:rPr>
          <w:rFonts w:ascii="Times New Roman" w:cs="Times New Roman"/>
        </w:rPr>
        <w:t>范围内不能种植深根作物，不能植树的地方（管道两侧</w:t>
      </w:r>
      <w:r w:rsidRPr="00D630D1">
        <w:rPr>
          <w:rFonts w:ascii="Times New Roman" w:cs="Times New Roman"/>
        </w:rPr>
        <w:t>5m</w:t>
      </w:r>
      <w:r w:rsidRPr="00D630D1">
        <w:rPr>
          <w:rFonts w:ascii="Times New Roman" w:cs="Times New Roman"/>
        </w:rPr>
        <w:t>）可种草。</w:t>
      </w:r>
    </w:p>
    <w:p w:rsidR="00117C3D" w:rsidRPr="00D630D1" w:rsidRDefault="00C11BC5">
      <w:pPr>
        <w:pStyle w:val="a1"/>
        <w:ind w:firstLine="480"/>
        <w:rPr>
          <w:rFonts w:ascii="Times New Roman" w:cs="Times New Roman"/>
        </w:rPr>
      </w:pPr>
      <w:r w:rsidRPr="00D630D1">
        <w:rPr>
          <w:rFonts w:hAnsi="宋体" w:hint="eastAsia"/>
        </w:rPr>
        <w:t>②</w:t>
      </w:r>
      <w:r w:rsidR="008B5B84" w:rsidRPr="00D630D1">
        <w:rPr>
          <w:rFonts w:ascii="Times New Roman" w:cs="Times New Roman"/>
        </w:rPr>
        <w:t>植被恢复措施</w:t>
      </w:r>
    </w:p>
    <w:p w:rsidR="00117C3D" w:rsidRPr="00D630D1" w:rsidRDefault="008B5B84">
      <w:pPr>
        <w:pStyle w:val="a1"/>
        <w:ind w:firstLine="480"/>
        <w:rPr>
          <w:rFonts w:ascii="Times New Roman" w:cs="Times New Roman"/>
        </w:rPr>
      </w:pPr>
      <w:r w:rsidRPr="00D630D1">
        <w:rPr>
          <w:rFonts w:ascii="Times New Roman" w:cs="Times New Roman"/>
        </w:rPr>
        <w:t>本管道工程植被措施主要布设在</w:t>
      </w:r>
      <w:r w:rsidR="00067DBE" w:rsidRPr="00D630D1">
        <w:rPr>
          <w:rFonts w:ascii="Times New Roman" w:cs="Times New Roman"/>
        </w:rPr>
        <w:t>场站</w:t>
      </w:r>
      <w:r w:rsidR="005F0550" w:rsidRPr="00D630D1">
        <w:rPr>
          <w:rFonts w:ascii="Times New Roman" w:cs="Times New Roman"/>
        </w:rPr>
        <w:t>周边、管道作业带</w:t>
      </w:r>
      <w:r w:rsidRPr="00D630D1">
        <w:rPr>
          <w:rFonts w:ascii="Times New Roman" w:cs="Times New Roman"/>
        </w:rPr>
        <w:t>、附属配套工程裸露空地、施工便道两侧等工程单元。林草措施分为铺种草皮、人工种草、种植乔木、种植灌木、种植攀援植物、植物护坡等</w:t>
      </w:r>
      <w:r w:rsidRPr="00D630D1">
        <w:rPr>
          <w:rFonts w:ascii="Times New Roman" w:cs="Times New Roman"/>
        </w:rPr>
        <w:t>6</w:t>
      </w:r>
      <w:r w:rsidRPr="00D630D1">
        <w:rPr>
          <w:rFonts w:ascii="Times New Roman" w:cs="Times New Roman"/>
        </w:rPr>
        <w:t>种类型。</w:t>
      </w:r>
    </w:p>
    <w:p w:rsidR="00117C3D" w:rsidRPr="00D630D1" w:rsidRDefault="00C11BC5">
      <w:pPr>
        <w:pStyle w:val="a1"/>
        <w:ind w:firstLine="480"/>
        <w:rPr>
          <w:rFonts w:ascii="Times New Roman" w:cs="Times New Roman"/>
        </w:rPr>
      </w:pPr>
      <w:r w:rsidRPr="00D630D1">
        <w:rPr>
          <w:rFonts w:hAnsi="宋体" w:hint="eastAsia"/>
        </w:rPr>
        <w:t>③</w:t>
      </w:r>
      <w:r w:rsidR="008B5B84" w:rsidRPr="00D630D1">
        <w:rPr>
          <w:rFonts w:ascii="Times New Roman" w:cs="Times New Roman"/>
        </w:rPr>
        <w:t>植物种类选择</w:t>
      </w:r>
    </w:p>
    <w:p w:rsidR="00117C3D" w:rsidRPr="00D630D1" w:rsidRDefault="00C11BC5">
      <w:pPr>
        <w:pStyle w:val="a1"/>
        <w:ind w:firstLine="480"/>
        <w:rPr>
          <w:rFonts w:ascii="Times New Roman" w:cs="Times New Roman"/>
        </w:rPr>
      </w:pPr>
      <w:r w:rsidRPr="00D630D1">
        <w:rPr>
          <w:rFonts w:ascii="Times New Roman" w:cs="Times New Roman"/>
        </w:rPr>
        <w:t>a.</w:t>
      </w:r>
      <w:r w:rsidR="008B5B84" w:rsidRPr="00D630D1">
        <w:rPr>
          <w:rFonts w:ascii="Times New Roman" w:cs="Times New Roman"/>
        </w:rPr>
        <w:t>工程区属亚热带季风气候区，水热条件充沛，在地质、地形、土壤、气候和生物等因素的综合作用下，为植物生长提供了有利条件，形成亚热带常绿阔叶、落叶阔叶与针叶林为主的低山、丘陵天然林、人工次生林。集输管道沿线主要为人工植被，有枇杷、葡萄、柑橘、梨等果林，以及杉木、柏木等用材林；农作物一般为水稻、蔬菜</w:t>
      </w:r>
      <w:r w:rsidR="004437DE" w:rsidRPr="00D630D1">
        <w:rPr>
          <w:rFonts w:ascii="Times New Roman" w:cs="Times New Roman"/>
        </w:rPr>
        <w:t>、玉米</w:t>
      </w:r>
      <w:r w:rsidR="008B5B84" w:rsidRPr="00D630D1">
        <w:rPr>
          <w:rFonts w:ascii="Times New Roman" w:cs="Times New Roman"/>
        </w:rPr>
        <w:t>等季节性农作物；局部丘陵地貌顶部和山区为人工经济林。当地水土保持植物主要有紫穗槐、巴茅、狗牙根、三叶草等。</w:t>
      </w:r>
    </w:p>
    <w:p w:rsidR="00117C3D" w:rsidRPr="00D630D1" w:rsidRDefault="00C11BC5">
      <w:pPr>
        <w:pStyle w:val="a1"/>
        <w:ind w:firstLine="480"/>
        <w:rPr>
          <w:rFonts w:ascii="Times New Roman" w:cs="Times New Roman"/>
        </w:rPr>
      </w:pPr>
      <w:r w:rsidRPr="00D630D1">
        <w:rPr>
          <w:rFonts w:ascii="Times New Roman" w:cs="Times New Roman"/>
        </w:rPr>
        <w:t>b.</w:t>
      </w:r>
      <w:r w:rsidR="008B5B84" w:rsidRPr="00D630D1">
        <w:rPr>
          <w:rFonts w:ascii="Times New Roman" w:cs="Times New Roman"/>
        </w:rPr>
        <w:t>乔木树种选择抗逆性强、形体优美的树种，主要有</w:t>
      </w:r>
      <w:r w:rsidR="004437DE" w:rsidRPr="00D630D1">
        <w:rPr>
          <w:rFonts w:ascii="Times New Roman" w:cs="Times New Roman"/>
        </w:rPr>
        <w:t>马尾松、</w:t>
      </w:r>
      <w:r w:rsidR="008B5B84" w:rsidRPr="00D630D1">
        <w:rPr>
          <w:rFonts w:ascii="Times New Roman" w:cs="Times New Roman"/>
        </w:rPr>
        <w:t>杨树、柏树、香樟、刺槐等；灌木树种选择耐瘠薄、生长迅速的树种，主要有紫穗槐、马桑、灌木柳、夹竹桃等，以及景观灌木种金叶女贞、小叶黄杨等；草种选择适应性强、耐瘠薄、易繁殖草种，主要有草坪草：狗牙根、黑麦草、地毯草、马尼拉，以及当地野生草种狗尾草、野羊茅、白三叶等；攀援植物种有爬山虎、地锦、岩爬藤等。</w:t>
      </w:r>
    </w:p>
    <w:p w:rsidR="00117C3D" w:rsidRPr="00D630D1" w:rsidRDefault="00C11BC5">
      <w:pPr>
        <w:pStyle w:val="a1"/>
        <w:ind w:firstLine="480"/>
        <w:rPr>
          <w:rFonts w:ascii="Times New Roman" w:cs="Times New Roman"/>
        </w:rPr>
      </w:pPr>
      <w:r w:rsidRPr="00D630D1">
        <w:rPr>
          <w:rFonts w:ascii="Times New Roman" w:cs="Times New Roman"/>
        </w:rPr>
        <w:t>c.</w:t>
      </w:r>
      <w:r w:rsidR="008B5B84" w:rsidRPr="00D630D1">
        <w:rPr>
          <w:rFonts w:ascii="Times New Roman" w:cs="Times New Roman"/>
        </w:rPr>
        <w:t>对于管道沿线较大面积的林地中，林分单一，多为阔叶林，因此工程施工中严禁带入有害的外来物种，从而避免病虫害以及森林树种的竞争等。</w:t>
      </w:r>
    </w:p>
    <w:p w:rsidR="00117C3D" w:rsidRPr="00D630D1" w:rsidRDefault="00C11BC5">
      <w:pPr>
        <w:pStyle w:val="a1"/>
        <w:ind w:firstLine="480"/>
        <w:rPr>
          <w:rFonts w:ascii="Times New Roman" w:cs="Times New Roman"/>
        </w:rPr>
      </w:pPr>
      <w:r w:rsidRPr="00D630D1">
        <w:rPr>
          <w:rFonts w:hAnsi="宋体" w:hint="eastAsia"/>
        </w:rPr>
        <w:t>④</w:t>
      </w:r>
      <w:r w:rsidR="008B5B84" w:rsidRPr="00D630D1">
        <w:rPr>
          <w:rFonts w:ascii="Times New Roman" w:cs="Times New Roman"/>
        </w:rPr>
        <w:t>种草</w:t>
      </w:r>
    </w:p>
    <w:p w:rsidR="00117C3D" w:rsidRPr="00D630D1" w:rsidRDefault="008B5B84">
      <w:pPr>
        <w:pStyle w:val="a1"/>
        <w:ind w:firstLine="480"/>
        <w:rPr>
          <w:rFonts w:ascii="Times New Roman" w:cs="Times New Roman"/>
        </w:rPr>
      </w:pPr>
      <w:r w:rsidRPr="00D630D1">
        <w:rPr>
          <w:rFonts w:ascii="Times New Roman" w:cs="Times New Roman"/>
        </w:rPr>
        <w:t>本管道项目种草有作业带种草、护坡种草及站场草坪建植。</w:t>
      </w:r>
    </w:p>
    <w:p w:rsidR="00117C3D" w:rsidRPr="00D630D1" w:rsidRDefault="00C11BC5">
      <w:pPr>
        <w:pStyle w:val="a1"/>
        <w:ind w:firstLine="480"/>
        <w:rPr>
          <w:rFonts w:ascii="Times New Roman" w:cs="Times New Roman"/>
        </w:rPr>
      </w:pPr>
      <w:r w:rsidRPr="00D630D1">
        <w:rPr>
          <w:rFonts w:ascii="Times New Roman" w:cs="Times New Roman"/>
        </w:rPr>
        <w:t>a.</w:t>
      </w:r>
      <w:r w:rsidR="008B5B84" w:rsidRPr="00D630D1">
        <w:rPr>
          <w:rFonts w:ascii="Times New Roman" w:cs="Times New Roman"/>
        </w:rPr>
        <w:t>种植方式</w:t>
      </w:r>
    </w:p>
    <w:p w:rsidR="00117C3D" w:rsidRPr="00D630D1" w:rsidRDefault="008B5B84">
      <w:pPr>
        <w:pStyle w:val="a1"/>
        <w:ind w:firstLine="480"/>
        <w:rPr>
          <w:rFonts w:ascii="Times New Roman" w:cs="Times New Roman"/>
        </w:rPr>
      </w:pPr>
      <w:r w:rsidRPr="00D630D1">
        <w:rPr>
          <w:rFonts w:ascii="Times New Roman" w:cs="Times New Roman"/>
        </w:rPr>
        <w:lastRenderedPageBreak/>
        <w:t>栽植、埋植或直播。直播有条播、撒播、穴播和混播几种方式。部分植物护坡可采用网格状种草。草坪种草主要在站场区实施，按园林绿化要求进行，多为规则式草坪，有的要结合花灌、花台等进行建设。草种推荐选择狗牙根、黑麦草、地毯草、马尼拉等。</w:t>
      </w:r>
    </w:p>
    <w:p w:rsidR="00117C3D" w:rsidRPr="00D630D1" w:rsidRDefault="00C11BC5">
      <w:pPr>
        <w:pStyle w:val="a1"/>
        <w:ind w:firstLine="480"/>
        <w:rPr>
          <w:rFonts w:ascii="Times New Roman" w:cs="Times New Roman"/>
        </w:rPr>
      </w:pPr>
      <w:r w:rsidRPr="00D630D1">
        <w:rPr>
          <w:rFonts w:ascii="Times New Roman" w:cs="Times New Roman"/>
        </w:rPr>
        <w:t>b.</w:t>
      </w:r>
      <w:r w:rsidR="008B5B84" w:rsidRPr="00D630D1">
        <w:rPr>
          <w:rFonts w:ascii="Times New Roman" w:cs="Times New Roman"/>
        </w:rPr>
        <w:t>抚育管理：栽植、播种后，根据实际情况及时浇水、除草。</w:t>
      </w:r>
    </w:p>
    <w:p w:rsidR="00117C3D" w:rsidRPr="00D630D1" w:rsidRDefault="00C11BC5">
      <w:pPr>
        <w:pStyle w:val="a1"/>
        <w:ind w:firstLine="480"/>
        <w:rPr>
          <w:rFonts w:ascii="Times New Roman" w:cs="Times New Roman"/>
        </w:rPr>
      </w:pPr>
      <w:r w:rsidRPr="00D630D1">
        <w:rPr>
          <w:rFonts w:hAnsi="宋体" w:hint="eastAsia"/>
        </w:rPr>
        <w:t>⑤</w:t>
      </w:r>
      <w:r w:rsidR="008B5B84" w:rsidRPr="00D630D1">
        <w:rPr>
          <w:rFonts w:ascii="Times New Roman" w:cs="Times New Roman"/>
        </w:rPr>
        <w:t>种树</w:t>
      </w:r>
    </w:p>
    <w:p w:rsidR="00117C3D" w:rsidRPr="00D630D1" w:rsidRDefault="008B5B84">
      <w:pPr>
        <w:pStyle w:val="a1"/>
        <w:ind w:firstLine="480"/>
        <w:rPr>
          <w:rFonts w:ascii="Times New Roman" w:cs="Times New Roman"/>
        </w:rPr>
      </w:pPr>
      <w:r w:rsidRPr="00D630D1">
        <w:rPr>
          <w:rFonts w:ascii="Times New Roman" w:cs="Times New Roman"/>
        </w:rPr>
        <w:t>本项目种树主要包括灌草结合方式种植和行道树栽植两种。</w:t>
      </w:r>
    </w:p>
    <w:p w:rsidR="00117C3D" w:rsidRPr="00D630D1" w:rsidRDefault="00C11BC5">
      <w:pPr>
        <w:pStyle w:val="a1"/>
        <w:ind w:firstLine="480"/>
        <w:rPr>
          <w:rFonts w:ascii="Times New Roman" w:cs="Times New Roman"/>
        </w:rPr>
      </w:pPr>
      <w:r w:rsidRPr="00D630D1">
        <w:rPr>
          <w:rFonts w:ascii="Times New Roman" w:cs="Times New Roman"/>
        </w:rPr>
        <w:t>a.</w:t>
      </w:r>
      <w:r w:rsidR="008B5B84" w:rsidRPr="00D630D1">
        <w:rPr>
          <w:rFonts w:ascii="Times New Roman" w:cs="Times New Roman"/>
        </w:rPr>
        <w:t>行道树种植</w:t>
      </w:r>
    </w:p>
    <w:p w:rsidR="00117C3D" w:rsidRPr="00D630D1" w:rsidRDefault="008B5B84">
      <w:pPr>
        <w:pStyle w:val="a1"/>
        <w:ind w:firstLine="480"/>
        <w:rPr>
          <w:rFonts w:ascii="Times New Roman" w:cs="Times New Roman"/>
        </w:rPr>
      </w:pPr>
      <w:r w:rsidRPr="00D630D1">
        <w:rPr>
          <w:rFonts w:ascii="Times New Roman" w:cs="Times New Roman"/>
        </w:rPr>
        <w:t>选择树形整齐、树干通直、枝叶茂盛、冠大荫浓的树种作为行道数，如杨树、香樟、柏树、小叶榕，坑穴种植，株行距</w:t>
      </w:r>
      <w:r w:rsidRPr="00D630D1">
        <w:rPr>
          <w:rFonts w:ascii="Times New Roman" w:cs="Times New Roman"/>
        </w:rPr>
        <w:t>3m×3m</w:t>
      </w:r>
      <w:r w:rsidRPr="00D630D1">
        <w:rPr>
          <w:rFonts w:ascii="Times New Roman" w:cs="Times New Roman"/>
        </w:rPr>
        <w:t>，坑穴尺寸</w:t>
      </w:r>
      <w:r w:rsidRPr="00D630D1">
        <w:rPr>
          <w:rFonts w:ascii="Times New Roman" w:cs="Times New Roman"/>
        </w:rPr>
        <w:t>0.6m×0.6m×0.6m</w:t>
      </w:r>
      <w:r w:rsidRPr="00D630D1">
        <w:rPr>
          <w:rFonts w:ascii="Times New Roman" w:cs="Times New Roman"/>
        </w:rPr>
        <w:t>。</w:t>
      </w:r>
    </w:p>
    <w:p w:rsidR="00117C3D" w:rsidRPr="00D630D1" w:rsidRDefault="00C11BC5">
      <w:pPr>
        <w:pStyle w:val="a1"/>
        <w:ind w:firstLine="480"/>
        <w:rPr>
          <w:rFonts w:ascii="Times New Roman" w:cs="Times New Roman"/>
        </w:rPr>
      </w:pPr>
      <w:r w:rsidRPr="00D630D1">
        <w:rPr>
          <w:rFonts w:ascii="Times New Roman" w:cs="Times New Roman"/>
        </w:rPr>
        <w:t>b.</w:t>
      </w:r>
      <w:r w:rsidR="008B5B84" w:rsidRPr="00D630D1">
        <w:rPr>
          <w:rFonts w:ascii="Times New Roman" w:cs="Times New Roman"/>
        </w:rPr>
        <w:t>施工场地</w:t>
      </w:r>
    </w:p>
    <w:p w:rsidR="00117C3D" w:rsidRPr="00D630D1" w:rsidRDefault="008B5B84">
      <w:pPr>
        <w:pStyle w:val="a1"/>
        <w:ind w:firstLine="480"/>
        <w:rPr>
          <w:rFonts w:ascii="Times New Roman" w:cs="Times New Roman"/>
        </w:rPr>
      </w:pPr>
      <w:r w:rsidRPr="00D630D1">
        <w:rPr>
          <w:rFonts w:ascii="Times New Roman" w:cs="Times New Roman"/>
        </w:rPr>
        <w:t>施工场地采用灌草结合的方式进行绿化，灌木株行距为</w:t>
      </w:r>
      <w:r w:rsidRPr="00D630D1">
        <w:rPr>
          <w:rFonts w:ascii="Times New Roman" w:cs="Times New Roman"/>
        </w:rPr>
        <w:t>1.5m×2m</w:t>
      </w:r>
      <w:r w:rsidRPr="00D630D1">
        <w:rPr>
          <w:rFonts w:ascii="Times New Roman" w:cs="Times New Roman"/>
        </w:rPr>
        <w:t>，坑穴种植，坑穴尺寸</w:t>
      </w:r>
      <w:r w:rsidRPr="00D630D1">
        <w:rPr>
          <w:rFonts w:ascii="Times New Roman" w:cs="Times New Roman"/>
        </w:rPr>
        <w:t>0.4m×0.4m×0.4m</w:t>
      </w:r>
      <w:r w:rsidRPr="00D630D1">
        <w:rPr>
          <w:rFonts w:ascii="Times New Roman" w:cs="Times New Roman"/>
        </w:rPr>
        <w:t>，灌木林下撒播种草，撒播密度为</w:t>
      </w:r>
      <w:r w:rsidRPr="00D630D1">
        <w:rPr>
          <w:rFonts w:ascii="Times New Roman" w:cs="Times New Roman"/>
        </w:rPr>
        <w:t>60kg/hm</w:t>
      </w:r>
      <w:r w:rsidRPr="00D630D1">
        <w:rPr>
          <w:rFonts w:ascii="Times New Roman" w:cs="Times New Roman"/>
          <w:vertAlign w:val="superscript"/>
        </w:rPr>
        <w:t>2</w:t>
      </w:r>
      <w:r w:rsidRPr="00D630D1">
        <w:rPr>
          <w:rFonts w:ascii="Times New Roman" w:cs="Times New Roman"/>
        </w:rPr>
        <w:t>。</w:t>
      </w:r>
    </w:p>
    <w:p w:rsidR="00117C3D" w:rsidRPr="00D630D1" w:rsidRDefault="00603C50">
      <w:pPr>
        <w:pStyle w:val="a1"/>
        <w:ind w:firstLine="480"/>
        <w:rPr>
          <w:rFonts w:ascii="Times New Roman" w:cs="Times New Roman"/>
        </w:rPr>
      </w:pPr>
      <w:r w:rsidRPr="00D630D1">
        <w:rPr>
          <w:rFonts w:ascii="Times New Roman" w:cs="Times New Roman"/>
        </w:rPr>
        <w:t>c</w:t>
      </w:r>
      <w:r w:rsidR="00C11BC5" w:rsidRPr="00D630D1">
        <w:rPr>
          <w:rFonts w:ascii="Times New Roman" w:cs="Times New Roman"/>
        </w:rPr>
        <w:t>.</w:t>
      </w:r>
      <w:r w:rsidR="008B5B84" w:rsidRPr="00D630D1">
        <w:rPr>
          <w:rFonts w:ascii="Times New Roman" w:cs="Times New Roman"/>
        </w:rPr>
        <w:t>抚育管理</w:t>
      </w:r>
    </w:p>
    <w:p w:rsidR="00117C3D" w:rsidRPr="00D630D1" w:rsidRDefault="008B5B84">
      <w:pPr>
        <w:pStyle w:val="a1"/>
        <w:ind w:firstLine="480"/>
        <w:rPr>
          <w:rFonts w:ascii="Times New Roman" w:cs="Times New Roman"/>
        </w:rPr>
      </w:pPr>
      <w:r w:rsidRPr="00D630D1">
        <w:rPr>
          <w:rFonts w:ascii="Times New Roman" w:cs="Times New Roman"/>
        </w:rPr>
        <w:t>栽植、播种后，根据实际情况及时浇水、除草。</w:t>
      </w:r>
    </w:p>
    <w:p w:rsidR="00117C3D" w:rsidRPr="00D630D1" w:rsidRDefault="00C11BC5">
      <w:pPr>
        <w:pStyle w:val="a1"/>
        <w:ind w:firstLine="480"/>
        <w:rPr>
          <w:rFonts w:ascii="Times New Roman" w:cs="Times New Roman"/>
        </w:rPr>
      </w:pPr>
      <w:r w:rsidRPr="00D630D1">
        <w:rPr>
          <w:rFonts w:hAnsi="宋体" w:hint="eastAsia"/>
        </w:rPr>
        <w:t>⑥</w:t>
      </w:r>
      <w:r w:rsidR="008B5B84" w:rsidRPr="00D630D1">
        <w:rPr>
          <w:rFonts w:ascii="Times New Roman" w:cs="Times New Roman"/>
        </w:rPr>
        <w:t>植物措施管理技术要点</w:t>
      </w:r>
    </w:p>
    <w:p w:rsidR="00117C3D" w:rsidRPr="00D630D1" w:rsidRDefault="00C11BC5">
      <w:pPr>
        <w:pStyle w:val="a1"/>
        <w:ind w:firstLine="480"/>
        <w:rPr>
          <w:rFonts w:ascii="Times New Roman" w:cs="Times New Roman"/>
        </w:rPr>
      </w:pPr>
      <w:r w:rsidRPr="00D630D1">
        <w:rPr>
          <w:rFonts w:ascii="Times New Roman" w:cs="Times New Roman"/>
        </w:rPr>
        <w:t>a.</w:t>
      </w:r>
      <w:r w:rsidR="008B5B84" w:rsidRPr="00D630D1">
        <w:rPr>
          <w:rFonts w:ascii="Times New Roman" w:cs="Times New Roman"/>
        </w:rPr>
        <w:t>幼林抚育管理包括补植、松土、除草、灌水、修枝和平茬，对于成活率低于</w:t>
      </w:r>
      <w:r w:rsidR="008B5B84" w:rsidRPr="00D630D1">
        <w:rPr>
          <w:rFonts w:ascii="Times New Roman" w:cs="Times New Roman"/>
        </w:rPr>
        <w:t>85%</w:t>
      </w:r>
      <w:r w:rsidR="008B5B84" w:rsidRPr="00D630D1">
        <w:rPr>
          <w:rFonts w:ascii="Times New Roman" w:cs="Times New Roman"/>
        </w:rPr>
        <w:t>的林地要进行苗木补植，同时要禁止放牧和人为破坏，做好病虫害防治工作。</w:t>
      </w:r>
    </w:p>
    <w:p w:rsidR="00117C3D" w:rsidRPr="00D630D1" w:rsidRDefault="00C11BC5">
      <w:pPr>
        <w:pStyle w:val="a1"/>
        <w:ind w:firstLine="480"/>
        <w:rPr>
          <w:rFonts w:ascii="Times New Roman" w:cs="Times New Roman"/>
        </w:rPr>
      </w:pPr>
      <w:r w:rsidRPr="00D630D1">
        <w:rPr>
          <w:rFonts w:ascii="Times New Roman" w:cs="Times New Roman"/>
        </w:rPr>
        <w:t>b.</w:t>
      </w:r>
      <w:r w:rsidR="008B5B84" w:rsidRPr="00D630D1">
        <w:rPr>
          <w:rFonts w:ascii="Times New Roman" w:cs="Times New Roman"/>
        </w:rPr>
        <w:t>植苗造林所用的苗木必须是未受冻害、为损伤、根系较完整、失水少且经过较短时间和距离运输的苗木，尤其以附近苗圃繁育的优质壮苗为佳；草坪草播后洒水，保持土壤湿润至全部出苗。</w:t>
      </w:r>
    </w:p>
    <w:p w:rsidR="00117C3D" w:rsidRPr="00D630D1" w:rsidRDefault="00C11BC5">
      <w:pPr>
        <w:pStyle w:val="a1"/>
        <w:ind w:firstLine="480"/>
        <w:rPr>
          <w:rFonts w:ascii="Times New Roman" w:cs="Times New Roman"/>
        </w:rPr>
      </w:pPr>
      <w:r w:rsidRPr="00D630D1">
        <w:rPr>
          <w:rFonts w:ascii="Times New Roman" w:cs="Times New Roman"/>
        </w:rPr>
        <w:t>c.</w:t>
      </w:r>
      <w:r w:rsidR="008B5B84" w:rsidRPr="00D630D1">
        <w:rPr>
          <w:rFonts w:ascii="Times New Roman" w:cs="Times New Roman"/>
        </w:rPr>
        <w:t>乔木树种选用</w:t>
      </w:r>
      <w:r w:rsidR="008B5B84" w:rsidRPr="00D630D1">
        <w:rPr>
          <w:rFonts w:ascii="Times New Roman" w:cs="Times New Roman"/>
        </w:rPr>
        <w:t>2</w:t>
      </w:r>
      <w:r w:rsidR="008B5B84" w:rsidRPr="00D630D1">
        <w:rPr>
          <w:rFonts w:ascii="Times New Roman" w:cs="Times New Roman"/>
        </w:rPr>
        <w:t>年以上的实生壮苗，苗高</w:t>
      </w:r>
      <w:r w:rsidR="008B5B84" w:rsidRPr="00D630D1">
        <w:rPr>
          <w:rFonts w:ascii="Times New Roman" w:cs="Times New Roman"/>
        </w:rPr>
        <w:t>1.5m</w:t>
      </w:r>
      <w:r w:rsidR="008B5B84" w:rsidRPr="00D630D1">
        <w:rPr>
          <w:rFonts w:ascii="Times New Roman" w:cs="Times New Roman"/>
        </w:rPr>
        <w:t>左右，紫穗槐等灌木选用</w:t>
      </w:r>
      <w:r w:rsidR="008B5B84" w:rsidRPr="00D630D1">
        <w:rPr>
          <w:rFonts w:ascii="Times New Roman" w:cs="Times New Roman"/>
        </w:rPr>
        <w:t>1</w:t>
      </w:r>
      <w:r w:rsidR="008B5B84" w:rsidRPr="00D630D1">
        <w:rPr>
          <w:rFonts w:ascii="Times New Roman" w:cs="Times New Roman"/>
        </w:rPr>
        <w:t>年生壮苗，苗高</w:t>
      </w:r>
      <w:r w:rsidR="008B5B84" w:rsidRPr="00D630D1">
        <w:rPr>
          <w:rFonts w:ascii="Times New Roman" w:cs="Times New Roman"/>
        </w:rPr>
        <w:t>0.5m</w:t>
      </w:r>
      <w:r w:rsidR="008B5B84" w:rsidRPr="00D630D1">
        <w:rPr>
          <w:rFonts w:ascii="Times New Roman" w:cs="Times New Roman"/>
        </w:rPr>
        <w:t>，为提高成活率，每穴栽植两株。狗尾草、野羊茅等草种用当年收获且籽粒饱满、发芽率在</w:t>
      </w:r>
      <w:r w:rsidR="008B5B84" w:rsidRPr="00D630D1">
        <w:rPr>
          <w:rFonts w:ascii="Times New Roman" w:cs="Times New Roman"/>
        </w:rPr>
        <w:t>80%</w:t>
      </w:r>
      <w:r w:rsidR="008B5B84" w:rsidRPr="00D630D1">
        <w:rPr>
          <w:rFonts w:ascii="Times New Roman" w:cs="Times New Roman"/>
        </w:rPr>
        <w:t>以上的种子。</w:t>
      </w:r>
    </w:p>
    <w:p w:rsidR="00117C3D" w:rsidRPr="00D630D1" w:rsidRDefault="007A3D54">
      <w:pPr>
        <w:pStyle w:val="a1"/>
        <w:ind w:firstLine="482"/>
        <w:rPr>
          <w:rFonts w:ascii="Times New Roman" w:cs="Times New Roman"/>
          <w:b/>
        </w:rPr>
      </w:pPr>
      <w:bookmarkStart w:id="610" w:name="_Toc12288788"/>
      <w:r w:rsidRPr="00D630D1">
        <w:rPr>
          <w:rFonts w:ascii="Times New Roman" w:cs="Times New Roman"/>
          <w:b/>
        </w:rPr>
        <w:t>6</w:t>
      </w:r>
      <w:r w:rsidR="008B5B84" w:rsidRPr="00D630D1">
        <w:rPr>
          <w:rFonts w:ascii="Times New Roman" w:cs="Times New Roman"/>
          <w:b/>
        </w:rPr>
        <w:t>、生态景观环境影响减缓措施</w:t>
      </w:r>
      <w:bookmarkEnd w:id="610"/>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w:t>
      </w:r>
      <w:r w:rsidR="008B5B84" w:rsidRPr="00D630D1">
        <w:rPr>
          <w:rFonts w:ascii="Times New Roman" w:cs="Times New Roman"/>
        </w:rPr>
        <w:t>施工过程中，文明施工，有序作业，减少临时占地面积，尽量减少农作物的损失。</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w:t>
      </w:r>
      <w:r w:rsidR="008B5B84" w:rsidRPr="00D630D1">
        <w:rPr>
          <w:rFonts w:ascii="Times New Roman" w:cs="Times New Roman"/>
        </w:rPr>
        <w:t>在遇到确定为环境敏感点的区域时，施工人员、施工车辆以及各种设备应按规定的路线行驶、操作，不得随意破坏道路等设施。</w:t>
      </w:r>
    </w:p>
    <w:p w:rsidR="00117C3D" w:rsidRPr="00D630D1" w:rsidRDefault="007A3D54">
      <w:pPr>
        <w:pStyle w:val="a1"/>
        <w:ind w:firstLine="480"/>
        <w:rPr>
          <w:rFonts w:ascii="Times New Roman" w:cs="Times New Roman"/>
        </w:rPr>
      </w:pPr>
      <w:r w:rsidRPr="00D630D1">
        <w:rPr>
          <w:rFonts w:ascii="Times New Roman" w:cs="Times New Roman"/>
        </w:rPr>
        <w:lastRenderedPageBreak/>
        <w:t>（</w:t>
      </w:r>
      <w:r w:rsidRPr="00D630D1">
        <w:rPr>
          <w:rFonts w:ascii="Times New Roman" w:cs="Times New Roman"/>
        </w:rPr>
        <w:t>3</w:t>
      </w:r>
      <w:r w:rsidRPr="00D630D1">
        <w:rPr>
          <w:rFonts w:ascii="Times New Roman" w:cs="Times New Roman"/>
        </w:rPr>
        <w:t>）</w:t>
      </w:r>
      <w:r w:rsidR="008B5B84" w:rsidRPr="00D630D1">
        <w:rPr>
          <w:rFonts w:ascii="Times New Roman" w:cs="Times New Roman"/>
        </w:rPr>
        <w:t>对必须要毁坏的树木，予以经济补偿或者是易地种植，种植地通常可选择在铁路、公路两旁、河渠两侧等。</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4</w:t>
      </w:r>
      <w:r w:rsidRPr="00D630D1">
        <w:rPr>
          <w:rFonts w:ascii="Times New Roman" w:cs="Times New Roman"/>
        </w:rPr>
        <w:t>）</w:t>
      </w:r>
      <w:r w:rsidR="008B5B84" w:rsidRPr="00D630D1">
        <w:rPr>
          <w:rFonts w:ascii="Times New Roman" w:cs="Times New Roman"/>
        </w:rPr>
        <w:t>尽量缩短施工期，使土壤暴露时间缩短，并快速回填。</w:t>
      </w:r>
    </w:p>
    <w:p w:rsidR="00117C3D" w:rsidRPr="00D630D1" w:rsidRDefault="007A3D54">
      <w:pPr>
        <w:pStyle w:val="a1"/>
        <w:ind w:firstLine="482"/>
        <w:rPr>
          <w:rFonts w:ascii="Times New Roman" w:cs="Times New Roman"/>
          <w:b/>
        </w:rPr>
      </w:pPr>
      <w:bookmarkStart w:id="611" w:name="_Toc12288789"/>
      <w:r w:rsidRPr="00D630D1">
        <w:rPr>
          <w:rFonts w:ascii="Times New Roman" w:cs="Times New Roman"/>
          <w:b/>
        </w:rPr>
        <w:t>7</w:t>
      </w:r>
      <w:r w:rsidR="008B5B84" w:rsidRPr="00D630D1">
        <w:rPr>
          <w:rFonts w:ascii="Times New Roman" w:cs="Times New Roman"/>
          <w:b/>
        </w:rPr>
        <w:t>、水土流失防治措施</w:t>
      </w:r>
      <w:bookmarkEnd w:id="611"/>
    </w:p>
    <w:p w:rsidR="00C366ED" w:rsidRPr="00D630D1" w:rsidRDefault="00C366ED">
      <w:pPr>
        <w:pStyle w:val="a1"/>
        <w:ind w:firstLine="480"/>
      </w:pPr>
      <w:r w:rsidRPr="00D630D1">
        <w:t>项目位于</w:t>
      </w:r>
      <w:r w:rsidR="00867450" w:rsidRPr="00867450">
        <w:rPr>
          <w:rFonts w:ascii="Times New Roman" w:cs="Times New Roman" w:hint="eastAsia"/>
        </w:rPr>
        <w:t>宣汉县老君乡和普光镇境内</w:t>
      </w:r>
      <w:r w:rsidRPr="00D630D1">
        <w:t>，</w:t>
      </w:r>
      <w:r w:rsidRPr="00D630D1">
        <w:rPr>
          <w:rFonts w:hint="eastAsia"/>
        </w:rPr>
        <w:t>涉及</w:t>
      </w:r>
      <w:r w:rsidRPr="00D630D1">
        <w:t>嘉陵江及沱江中下游国家级水土流失重点治理区，</w:t>
      </w:r>
      <w:r w:rsidRPr="00D630D1">
        <w:rPr>
          <w:rFonts w:hint="eastAsia"/>
        </w:rPr>
        <w:t>因此，本项目需采取水土流水污染防止</w:t>
      </w:r>
      <w:r w:rsidRPr="00D630D1">
        <w:t>高标准，</w:t>
      </w:r>
      <w:r w:rsidRPr="00D630D1">
        <w:rPr>
          <w:rFonts w:hint="eastAsia"/>
        </w:rPr>
        <w:t>采取严格的</w:t>
      </w:r>
      <w:r w:rsidRPr="00D630D1">
        <w:t>水土保持防护措施及施工管理</w:t>
      </w:r>
      <w:r w:rsidRPr="00D630D1">
        <w:rPr>
          <w:rFonts w:hint="eastAsia"/>
        </w:rPr>
        <w:t>措施</w:t>
      </w:r>
      <w:r w:rsidRPr="00D630D1">
        <w:t>，从水土保持角度来看，通过提高防治标准，采取积极的水土保持措施，加强工程施工期间的临时防护以及管控，可以将不利影响降到最低。</w:t>
      </w:r>
    </w:p>
    <w:p w:rsidR="00C366ED" w:rsidRPr="00D630D1" w:rsidRDefault="00E211D7" w:rsidP="00D4235D">
      <w:pPr>
        <w:pStyle w:val="a1"/>
        <w:ind w:firstLine="482"/>
        <w:rPr>
          <w:rFonts w:ascii="Times New Roman" w:cs="Times New Roman"/>
          <w:b/>
        </w:rPr>
      </w:pPr>
      <w:r w:rsidRPr="00D630D1">
        <w:rPr>
          <w:rFonts w:ascii="Times New Roman" w:cs="Times New Roman" w:hint="eastAsia"/>
          <w:b/>
        </w:rPr>
        <w:t>7.</w:t>
      </w:r>
      <w:r w:rsidR="00C366ED" w:rsidRPr="00D630D1">
        <w:rPr>
          <w:rFonts w:ascii="Times New Roman" w:cs="Times New Roman" w:hint="eastAsia"/>
          <w:b/>
        </w:rPr>
        <w:t>1</w:t>
      </w:r>
      <w:r w:rsidR="00C366ED" w:rsidRPr="00D630D1">
        <w:rPr>
          <w:rFonts w:ascii="Times New Roman" w:cs="Times New Roman"/>
          <w:b/>
        </w:rPr>
        <w:t>水土流失防治措施总体布设原则</w:t>
      </w:r>
    </w:p>
    <w:p w:rsidR="00C366ED" w:rsidRPr="00D630D1" w:rsidRDefault="00C366ED" w:rsidP="00C366E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1</w:t>
      </w:r>
      <w:r w:rsidRPr="00D630D1">
        <w:rPr>
          <w:rFonts w:ascii="Times New Roman" w:cs="Times New Roman" w:hint="eastAsia"/>
        </w:rPr>
        <w:t>）</w:t>
      </w:r>
      <w:r w:rsidRPr="00D630D1">
        <w:rPr>
          <w:rFonts w:ascii="Times New Roman" w:cs="Times New Roman"/>
        </w:rPr>
        <w:t>结合工程实际和项目区水土流失现状，因地制宜、因害设防、防治结合、全面布局、科学配置。</w:t>
      </w:r>
    </w:p>
    <w:p w:rsidR="00C366ED" w:rsidRPr="00D630D1" w:rsidRDefault="00C366ED" w:rsidP="00C366E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2</w:t>
      </w:r>
      <w:r w:rsidRPr="00D630D1">
        <w:rPr>
          <w:rFonts w:ascii="Times New Roman" w:cs="Times New Roman" w:hint="eastAsia"/>
        </w:rPr>
        <w:t>）</w:t>
      </w:r>
      <w:r w:rsidRPr="00D630D1">
        <w:rPr>
          <w:rFonts w:ascii="Times New Roman" w:cs="Times New Roman"/>
        </w:rPr>
        <w:t>应控制和减少对原地貌、地表植被、水系的扰动和损毁，保护原地表植被、表土层，减少占用水、土资源，提高利用效率。</w:t>
      </w:r>
    </w:p>
    <w:p w:rsidR="00C366ED" w:rsidRPr="00D630D1" w:rsidRDefault="00C366ED" w:rsidP="00C366E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3</w:t>
      </w:r>
      <w:r w:rsidRPr="00D630D1">
        <w:rPr>
          <w:rFonts w:ascii="Times New Roman" w:cs="Times New Roman" w:hint="eastAsia"/>
        </w:rPr>
        <w:t>）</w:t>
      </w:r>
      <w:r w:rsidRPr="00D630D1">
        <w:rPr>
          <w:rFonts w:ascii="Times New Roman" w:cs="Times New Roman"/>
        </w:rPr>
        <w:t>开挖、排弃、堆垫的场地必须采取拦挡、护坡、排水及土地整治等措施。</w:t>
      </w:r>
    </w:p>
    <w:p w:rsidR="00C366ED" w:rsidRPr="00D630D1" w:rsidRDefault="00C366ED" w:rsidP="00C366E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4</w:t>
      </w:r>
      <w:r w:rsidRPr="00D630D1">
        <w:rPr>
          <w:rFonts w:ascii="Times New Roman" w:cs="Times New Roman" w:hint="eastAsia"/>
        </w:rPr>
        <w:t>）</w:t>
      </w:r>
      <w:r w:rsidRPr="00D630D1">
        <w:rPr>
          <w:rFonts w:ascii="Times New Roman" w:cs="Times New Roman"/>
        </w:rPr>
        <w:t>弃土（石、渣）应综合利用，不能利用的应集中堆放在专门的存放地，并按</w:t>
      </w:r>
      <w:r w:rsidRPr="00D630D1">
        <w:rPr>
          <w:rFonts w:ascii="Times New Roman" w:cs="Times New Roman"/>
        </w:rPr>
        <w:t>“</w:t>
      </w:r>
      <w:r w:rsidRPr="00D630D1">
        <w:rPr>
          <w:rFonts w:ascii="Times New Roman" w:cs="Times New Roman"/>
        </w:rPr>
        <w:t>先拦后弃</w:t>
      </w:r>
      <w:r w:rsidRPr="00D630D1">
        <w:rPr>
          <w:rFonts w:ascii="Times New Roman" w:cs="Times New Roman"/>
        </w:rPr>
        <w:t>”</w:t>
      </w:r>
      <w:r w:rsidRPr="00D630D1">
        <w:rPr>
          <w:rFonts w:ascii="Times New Roman" w:cs="Times New Roman"/>
        </w:rPr>
        <w:t>的原则采取拦挡措施，不得在饮用水源保护区、建成水库、河道及灌渠管理范围内布设弃土（石、渣）场。</w:t>
      </w:r>
    </w:p>
    <w:p w:rsidR="00C366ED" w:rsidRPr="00D630D1" w:rsidRDefault="00C366ED" w:rsidP="00C366E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5</w:t>
      </w:r>
      <w:r w:rsidRPr="00D630D1">
        <w:rPr>
          <w:rFonts w:ascii="Times New Roman" w:cs="Times New Roman" w:hint="eastAsia"/>
        </w:rPr>
        <w:t>）</w:t>
      </w:r>
      <w:r w:rsidRPr="00D630D1">
        <w:rPr>
          <w:rFonts w:ascii="Times New Roman" w:cs="Times New Roman"/>
        </w:rPr>
        <w:t>施工迹地应及时进行土地平整压实，采取水土保持措施，恢复其利用功能。</w:t>
      </w:r>
    </w:p>
    <w:p w:rsidR="00C366ED" w:rsidRPr="00D630D1" w:rsidRDefault="00C366ED" w:rsidP="00C366E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6</w:t>
      </w:r>
      <w:r w:rsidRPr="00D630D1">
        <w:rPr>
          <w:rFonts w:ascii="Times New Roman" w:cs="Times New Roman" w:hint="eastAsia"/>
        </w:rPr>
        <w:t>）</w:t>
      </w:r>
      <w:r w:rsidRPr="00D630D1">
        <w:rPr>
          <w:rFonts w:ascii="Times New Roman" w:cs="Times New Roman"/>
        </w:rPr>
        <w:t>项目建设过程中应注重生态环境保护，设置临时性防护措施，减少施工过程中造成的人为干扰及产生的弃土、石、渣。</w:t>
      </w:r>
    </w:p>
    <w:p w:rsidR="00C366ED" w:rsidRPr="00D630D1" w:rsidRDefault="00C366ED" w:rsidP="00C366E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7</w:t>
      </w:r>
      <w:r w:rsidRPr="00D630D1">
        <w:rPr>
          <w:rFonts w:ascii="Times New Roman" w:cs="Times New Roman" w:hint="eastAsia"/>
        </w:rPr>
        <w:t>）</w:t>
      </w:r>
      <w:r w:rsidRPr="00D630D1">
        <w:rPr>
          <w:rFonts w:ascii="Times New Roman" w:cs="Times New Roman"/>
        </w:rPr>
        <w:t>注重吸收当地水土保持的成功经验，借鉴国内外先进技术。</w:t>
      </w:r>
    </w:p>
    <w:p w:rsidR="00C366ED" w:rsidRPr="00D630D1" w:rsidRDefault="00C366ED" w:rsidP="00C366E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8</w:t>
      </w:r>
      <w:r w:rsidRPr="00D630D1">
        <w:rPr>
          <w:rFonts w:ascii="Times New Roman" w:cs="Times New Roman" w:hint="eastAsia"/>
        </w:rPr>
        <w:t>）</w:t>
      </w:r>
      <w:r w:rsidRPr="00D630D1">
        <w:rPr>
          <w:rFonts w:ascii="Times New Roman" w:cs="Times New Roman"/>
        </w:rPr>
        <w:t>工程措施、临时措施合理配置，统筹兼顾，形成综合防护体系。</w:t>
      </w:r>
    </w:p>
    <w:p w:rsidR="00C366ED" w:rsidRPr="00D630D1" w:rsidRDefault="00C366ED" w:rsidP="00C366E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9</w:t>
      </w:r>
      <w:r w:rsidRPr="00D630D1">
        <w:rPr>
          <w:rFonts w:ascii="Times New Roman" w:cs="Times New Roman" w:hint="eastAsia"/>
        </w:rPr>
        <w:t>）</w:t>
      </w:r>
      <w:r w:rsidRPr="00D630D1">
        <w:rPr>
          <w:rFonts w:ascii="Times New Roman" w:cs="Times New Roman"/>
        </w:rPr>
        <w:t>工程措施要尽量选用当地材料，做到技术上可靠、经济上合理。</w:t>
      </w:r>
    </w:p>
    <w:p w:rsidR="00C366ED" w:rsidRPr="00D630D1" w:rsidRDefault="00C366ED" w:rsidP="00C366E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10</w:t>
      </w:r>
      <w:r w:rsidRPr="00D630D1">
        <w:rPr>
          <w:rFonts w:ascii="Times New Roman" w:cs="Times New Roman" w:hint="eastAsia"/>
        </w:rPr>
        <w:t>）</w:t>
      </w:r>
      <w:r w:rsidRPr="00D630D1">
        <w:rPr>
          <w:rFonts w:ascii="Times New Roman" w:cs="Times New Roman"/>
        </w:rPr>
        <w:t>防治措施布设要与主体工程密切配合，相互协调，形成整体。</w:t>
      </w:r>
    </w:p>
    <w:p w:rsidR="00C366ED" w:rsidRPr="00D630D1" w:rsidRDefault="00E211D7" w:rsidP="00D4235D">
      <w:pPr>
        <w:pStyle w:val="a1"/>
        <w:ind w:firstLine="482"/>
        <w:rPr>
          <w:rFonts w:ascii="Times New Roman" w:cs="Times New Roman"/>
          <w:b/>
        </w:rPr>
      </w:pPr>
      <w:r w:rsidRPr="00D630D1">
        <w:rPr>
          <w:rFonts w:ascii="Times New Roman" w:cs="Times New Roman" w:hint="eastAsia"/>
          <w:b/>
        </w:rPr>
        <w:t>7.</w:t>
      </w:r>
      <w:r w:rsidR="00C366ED" w:rsidRPr="00D630D1">
        <w:rPr>
          <w:rFonts w:ascii="Times New Roman" w:cs="Times New Roman"/>
          <w:b/>
        </w:rPr>
        <w:t>2</w:t>
      </w:r>
      <w:r w:rsidR="00C366ED" w:rsidRPr="00D630D1">
        <w:rPr>
          <w:rFonts w:ascii="Times New Roman" w:cs="Times New Roman"/>
          <w:b/>
        </w:rPr>
        <w:t>水土流失防治措施总体布局</w:t>
      </w:r>
    </w:p>
    <w:p w:rsidR="00C366ED" w:rsidRPr="00D630D1" w:rsidRDefault="00C366ED" w:rsidP="00C366ED">
      <w:pPr>
        <w:pStyle w:val="a1"/>
        <w:ind w:firstLine="480"/>
        <w:rPr>
          <w:rFonts w:ascii="Times New Roman" w:cs="Times New Roman"/>
        </w:rPr>
      </w:pPr>
      <w:r w:rsidRPr="00D630D1">
        <w:rPr>
          <w:rFonts w:ascii="Times New Roman" w:cs="Times New Roman"/>
        </w:rPr>
        <w:t>本工程水土保持防治措施由工程措施、植物措施和临时措施构成。水土保持防治措施布局按照综合防治的原则进行规划，从而确定本工程水土流失防治体系和总体布局。</w:t>
      </w:r>
    </w:p>
    <w:p w:rsidR="00C366ED" w:rsidRPr="00D630D1" w:rsidRDefault="00C366ED" w:rsidP="00C366ED">
      <w:pPr>
        <w:pStyle w:val="a1"/>
        <w:ind w:firstLine="480"/>
        <w:rPr>
          <w:rFonts w:ascii="Times New Roman" w:cs="Times New Roman"/>
        </w:rPr>
      </w:pPr>
      <w:r w:rsidRPr="00D630D1">
        <w:rPr>
          <w:rFonts w:ascii="Times New Roman" w:cs="Times New Roman"/>
        </w:rPr>
        <w:lastRenderedPageBreak/>
        <w:t>本项目分为三个区即井场及附属工程防治区、井场进场道路防治区、临时堆土防治区进行水土保持措施总体布局：</w:t>
      </w:r>
    </w:p>
    <w:p w:rsidR="00C366ED" w:rsidRPr="00D630D1" w:rsidRDefault="00C366ED" w:rsidP="00C366ED">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）井场及附属工程防治区</w:t>
      </w:r>
    </w:p>
    <w:p w:rsidR="00C366ED" w:rsidRPr="00D630D1" w:rsidRDefault="00C366ED" w:rsidP="00C366ED">
      <w:pPr>
        <w:pStyle w:val="a1"/>
        <w:ind w:firstLine="480"/>
        <w:rPr>
          <w:rFonts w:ascii="Times New Roman" w:cs="Times New Roman"/>
        </w:rPr>
      </w:pPr>
      <w:r w:rsidRPr="00D630D1">
        <w:rPr>
          <w:rFonts w:ascii="Times New Roman" w:cs="Times New Roman"/>
        </w:rPr>
        <w:t>1</w:t>
      </w:r>
      <w:r w:rsidRPr="00D630D1">
        <w:rPr>
          <w:rFonts w:ascii="Times New Roman" w:cs="Times New Roman"/>
        </w:rPr>
        <w:t>）场地平整前先进行表土剥离，剥离后的表土集中堆放于临时堆土区；</w:t>
      </w:r>
    </w:p>
    <w:p w:rsidR="00C366ED" w:rsidRPr="00D630D1" w:rsidRDefault="00C366ED" w:rsidP="00C366ED">
      <w:pPr>
        <w:pStyle w:val="a1"/>
        <w:ind w:firstLine="480"/>
        <w:rPr>
          <w:rFonts w:ascii="Times New Roman" w:cs="Times New Roman"/>
        </w:rPr>
      </w:pPr>
      <w:r w:rsidRPr="00D630D1">
        <w:rPr>
          <w:rFonts w:ascii="Times New Roman" w:cs="Times New Roman"/>
        </w:rPr>
        <w:t>2</w:t>
      </w:r>
      <w:r w:rsidRPr="00D630D1">
        <w:rPr>
          <w:rFonts w:ascii="Times New Roman" w:cs="Times New Roman"/>
        </w:rPr>
        <w:t>）建设中，主体在井场四周布设井场边沟，新建井场内设置排污沟，井场边沟出水接入周边自然水系；在井场北侧、东侧边坡坡顶设置截水沟，出口接入自然水系；在开挖裸露面设置植草绿化护坡；方案对井场裸露面进行临时彩条布苫盖。</w:t>
      </w:r>
    </w:p>
    <w:p w:rsidR="00C366ED" w:rsidRPr="00D630D1" w:rsidRDefault="00C366ED" w:rsidP="00C366ED">
      <w:pPr>
        <w:pStyle w:val="a1"/>
        <w:ind w:firstLine="480"/>
        <w:rPr>
          <w:rFonts w:ascii="Times New Roman" w:cs="Times New Roman"/>
        </w:rPr>
      </w:pPr>
      <w:r w:rsidRPr="00D630D1">
        <w:rPr>
          <w:rFonts w:ascii="Times New Roman" w:cs="Times New Roman"/>
        </w:rPr>
        <w:t>3</w:t>
      </w:r>
      <w:r w:rsidRPr="00D630D1">
        <w:rPr>
          <w:rFonts w:ascii="Times New Roman" w:cs="Times New Roman"/>
        </w:rPr>
        <w:t>）完井工程拆除临时设施后，对井场进行土地整治和表土回填，恢复地表作物和植被。</w:t>
      </w:r>
    </w:p>
    <w:p w:rsidR="00C366ED" w:rsidRPr="00D630D1" w:rsidRDefault="00C366ED" w:rsidP="00C366E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2</w:t>
      </w:r>
      <w:r w:rsidRPr="00D630D1">
        <w:rPr>
          <w:rFonts w:ascii="Times New Roman" w:cs="Times New Roman" w:hint="eastAsia"/>
        </w:rPr>
        <w:t>）</w:t>
      </w:r>
      <w:r w:rsidRPr="00D630D1">
        <w:rPr>
          <w:rFonts w:ascii="Times New Roman" w:cs="Times New Roman"/>
        </w:rPr>
        <w:t>井场进场道路防治区</w:t>
      </w:r>
    </w:p>
    <w:p w:rsidR="00C366ED" w:rsidRPr="00D630D1" w:rsidRDefault="00C366ED" w:rsidP="00C366ED">
      <w:pPr>
        <w:pStyle w:val="a1"/>
        <w:ind w:firstLine="480"/>
        <w:rPr>
          <w:rFonts w:ascii="Times New Roman" w:cs="Times New Roman"/>
        </w:rPr>
      </w:pPr>
      <w:r w:rsidRPr="00D630D1">
        <w:rPr>
          <w:rFonts w:ascii="Times New Roman" w:cs="Times New Roman"/>
        </w:rPr>
        <w:t>1</w:t>
      </w:r>
      <w:r w:rsidRPr="00D630D1">
        <w:rPr>
          <w:rFonts w:ascii="Times New Roman" w:cs="Times New Roman"/>
        </w:rPr>
        <w:t>）道路路基开挖前先进行表土剥离，主体对剥离的表土集中堆放至临时堆土区；在道路东侧设置排水沟，出口接入附近东侧的水沟；方案对场地道路裸露边坡进行临时彩条布苫盖；</w:t>
      </w:r>
    </w:p>
    <w:p w:rsidR="00C366ED" w:rsidRPr="00D630D1" w:rsidRDefault="00C366ED" w:rsidP="00C366ED">
      <w:pPr>
        <w:pStyle w:val="a1"/>
        <w:ind w:firstLine="480"/>
        <w:rPr>
          <w:rFonts w:ascii="Times New Roman" w:cs="Times New Roman"/>
        </w:rPr>
      </w:pPr>
      <w:r w:rsidRPr="00D630D1">
        <w:rPr>
          <w:rFonts w:ascii="Times New Roman" w:cs="Times New Roman"/>
        </w:rPr>
        <w:t>2</w:t>
      </w:r>
      <w:r w:rsidRPr="00D630D1">
        <w:rPr>
          <w:rFonts w:ascii="Times New Roman" w:cs="Times New Roman"/>
        </w:rPr>
        <w:t>）完井工程拆除临时设施后，对本区进行土地整治和表土回填，恢复地表作物和植被。</w:t>
      </w:r>
    </w:p>
    <w:p w:rsidR="00C366ED" w:rsidRPr="00D630D1" w:rsidRDefault="00C869C5" w:rsidP="00C366ED">
      <w:pPr>
        <w:pStyle w:val="a1"/>
        <w:ind w:firstLine="480"/>
        <w:rPr>
          <w:rFonts w:ascii="Times New Roman" w:cs="Times New Roman"/>
        </w:rPr>
      </w:pPr>
      <w:r w:rsidRPr="00D630D1">
        <w:rPr>
          <w:rFonts w:ascii="Times New Roman" w:cs="Times New Roman" w:hint="eastAsia"/>
        </w:rPr>
        <w:t>（</w:t>
      </w:r>
      <w:r w:rsidRPr="00D630D1">
        <w:rPr>
          <w:rFonts w:ascii="Times New Roman" w:cs="Times New Roman" w:hint="eastAsia"/>
        </w:rPr>
        <w:t>3</w:t>
      </w:r>
      <w:r w:rsidRPr="00D630D1">
        <w:rPr>
          <w:rFonts w:ascii="Times New Roman" w:cs="Times New Roman" w:hint="eastAsia"/>
        </w:rPr>
        <w:t>）</w:t>
      </w:r>
      <w:r w:rsidR="00C366ED" w:rsidRPr="00D630D1">
        <w:rPr>
          <w:rFonts w:ascii="Times New Roman" w:cs="Times New Roman"/>
        </w:rPr>
        <w:t>临时堆土防治区</w:t>
      </w:r>
    </w:p>
    <w:p w:rsidR="00C366ED" w:rsidRPr="00D630D1" w:rsidRDefault="00C366ED" w:rsidP="00C366ED">
      <w:pPr>
        <w:pStyle w:val="a1"/>
        <w:ind w:firstLine="480"/>
        <w:rPr>
          <w:rFonts w:ascii="Times New Roman" w:cs="Times New Roman"/>
        </w:rPr>
      </w:pPr>
      <w:r w:rsidRPr="00D630D1">
        <w:rPr>
          <w:rFonts w:ascii="Times New Roman" w:cs="Times New Roman"/>
        </w:rPr>
        <w:t>1</w:t>
      </w:r>
      <w:r w:rsidRPr="00D630D1">
        <w:rPr>
          <w:rFonts w:ascii="Times New Roman" w:cs="Times New Roman"/>
        </w:rPr>
        <w:t>）表土堆放中，方案在临时堆土区外边缘设置临时土袋挡墙，在临时堆土区外边设置临时排水沟；</w:t>
      </w:r>
      <w:r w:rsidRPr="00D630D1">
        <w:rPr>
          <w:rFonts w:ascii="Times New Roman" w:cs="Times New Roman"/>
          <w:bCs/>
        </w:rPr>
        <w:t>对</w:t>
      </w:r>
      <w:r w:rsidRPr="00D630D1">
        <w:rPr>
          <w:rFonts w:ascii="Times New Roman" w:cs="Times New Roman"/>
        </w:rPr>
        <w:t>堆土区域撒播草籽进行临时植被恢复；对堆土裸露面进行临时彩条布苫盖；</w:t>
      </w:r>
    </w:p>
    <w:p w:rsidR="00C366ED" w:rsidRPr="00D630D1" w:rsidRDefault="00C366ED" w:rsidP="00C366ED">
      <w:pPr>
        <w:pStyle w:val="a1"/>
        <w:ind w:firstLine="480"/>
        <w:rPr>
          <w:rFonts w:ascii="Times New Roman" w:cs="Times New Roman"/>
        </w:rPr>
      </w:pPr>
      <w:r w:rsidRPr="00D630D1">
        <w:rPr>
          <w:rFonts w:ascii="Times New Roman" w:cs="Times New Roman"/>
        </w:rPr>
        <w:t>2</w:t>
      </w:r>
      <w:r w:rsidRPr="00D630D1">
        <w:rPr>
          <w:rFonts w:ascii="Times New Roman" w:cs="Times New Roman"/>
        </w:rPr>
        <w:t>）表土全部用于各区回填后，进行土地整治并恢复地表作物。</w:t>
      </w:r>
    </w:p>
    <w:p w:rsidR="00C869C5" w:rsidRPr="00D630D1" w:rsidRDefault="00C869C5" w:rsidP="00C869C5">
      <w:pPr>
        <w:topLinePunct w:val="0"/>
        <w:adjustRightInd/>
        <w:spacing w:line="240" w:lineRule="auto"/>
        <w:ind w:firstLineChars="0" w:firstLine="0"/>
        <w:jc w:val="center"/>
        <w:rPr>
          <w:rFonts w:hAnsi="宋体" w:cs="Times New Roman"/>
          <w:b/>
          <w:kern w:val="2"/>
          <w:sz w:val="21"/>
          <w:szCs w:val="22"/>
        </w:rPr>
      </w:pPr>
      <w:r w:rsidRPr="00D630D1">
        <w:rPr>
          <w:rFonts w:ascii="Times New Roman" w:hAnsi="宋体" w:cs="Times New Roman"/>
          <w:b/>
          <w:kern w:val="2"/>
          <w:sz w:val="21"/>
          <w:szCs w:val="22"/>
        </w:rPr>
        <w:t>表</w:t>
      </w:r>
      <w:r w:rsidRPr="00D630D1">
        <w:rPr>
          <w:rFonts w:ascii="Times New Roman" w:eastAsiaTheme="minorEastAsia" w:cs="Times New Roman"/>
          <w:b/>
          <w:kern w:val="2"/>
          <w:sz w:val="21"/>
          <w:szCs w:val="22"/>
        </w:rPr>
        <w:t>8.1</w:t>
      </w:r>
      <w:r w:rsidRPr="00D630D1">
        <w:rPr>
          <w:rFonts w:ascii="Times New Roman" w:cs="Times New Roman"/>
          <w:b/>
          <w:kern w:val="2"/>
          <w:sz w:val="21"/>
          <w:szCs w:val="22"/>
        </w:rPr>
        <w:t>-</w:t>
      </w:r>
      <w:r w:rsidRPr="00D630D1">
        <w:rPr>
          <w:rFonts w:ascii="Times New Roman" w:eastAsiaTheme="minorEastAsia" w:cs="Times New Roman"/>
          <w:b/>
          <w:kern w:val="2"/>
          <w:sz w:val="21"/>
          <w:szCs w:val="22"/>
        </w:rPr>
        <w:t>1</w:t>
      </w:r>
      <w:r w:rsidRPr="00D630D1">
        <w:rPr>
          <w:rFonts w:hAnsi="宋体" w:cs="Times New Roman"/>
          <w:b/>
          <w:kern w:val="2"/>
          <w:sz w:val="21"/>
          <w:szCs w:val="22"/>
        </w:rPr>
        <w:t xml:space="preserve">  水土流失防治措施总体布局</w:t>
      </w:r>
    </w:p>
    <w:tbl>
      <w:tblPr>
        <w:tblW w:w="822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526"/>
        <w:gridCol w:w="1134"/>
        <w:gridCol w:w="5562"/>
      </w:tblGrid>
      <w:tr w:rsidR="00C869C5" w:rsidRPr="00D630D1" w:rsidTr="00A0659D">
        <w:trPr>
          <w:trHeight w:val="300"/>
        </w:trPr>
        <w:tc>
          <w:tcPr>
            <w:tcW w:w="1526"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z w:val="21"/>
                <w:szCs w:val="21"/>
              </w:rPr>
              <w:t>分区</w:t>
            </w:r>
          </w:p>
        </w:tc>
        <w:tc>
          <w:tcPr>
            <w:tcW w:w="1134"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z w:val="21"/>
                <w:szCs w:val="21"/>
              </w:rPr>
              <w:t>措施类型</w:t>
            </w:r>
          </w:p>
        </w:tc>
        <w:tc>
          <w:tcPr>
            <w:tcW w:w="5562"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18"/>
              </w:rPr>
            </w:pPr>
            <w:r w:rsidRPr="00D630D1">
              <w:rPr>
                <w:rFonts w:hAnsi="宋体" w:cs="Times New Roman"/>
                <w:sz w:val="21"/>
                <w:szCs w:val="21"/>
              </w:rPr>
              <w:t>实施措施</w:t>
            </w:r>
          </w:p>
        </w:tc>
      </w:tr>
      <w:tr w:rsidR="00C869C5" w:rsidRPr="00D630D1" w:rsidTr="00A0659D">
        <w:trPr>
          <w:trHeight w:val="285"/>
        </w:trPr>
        <w:tc>
          <w:tcPr>
            <w:tcW w:w="1526" w:type="dxa"/>
            <w:vMerge w:val="restart"/>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z w:val="21"/>
                <w:szCs w:val="21"/>
              </w:rPr>
              <w:t>井场及附属工程</w:t>
            </w:r>
          </w:p>
        </w:tc>
        <w:tc>
          <w:tcPr>
            <w:tcW w:w="1134"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z w:val="21"/>
                <w:szCs w:val="21"/>
              </w:rPr>
              <w:t>工程措施</w:t>
            </w:r>
          </w:p>
        </w:tc>
        <w:tc>
          <w:tcPr>
            <w:tcW w:w="5562"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left"/>
              <w:textAlignment w:val="bottom"/>
              <w:rPr>
                <w:rFonts w:hAnsi="宋体" w:cs="Times New Roman"/>
                <w:sz w:val="21"/>
                <w:szCs w:val="21"/>
              </w:rPr>
            </w:pPr>
            <w:r w:rsidRPr="00D630D1">
              <w:rPr>
                <w:rFonts w:hAnsi="宋体" w:cs="Times New Roman"/>
                <w:sz w:val="21"/>
                <w:szCs w:val="21"/>
              </w:rPr>
              <w:t>排污沟</w:t>
            </w:r>
            <w:r w:rsidRPr="00D630D1">
              <w:rPr>
                <w:rFonts w:hAnsi="宋体" w:cs="Times New Roman"/>
                <w:sz w:val="21"/>
                <w:szCs w:val="21"/>
                <w:vertAlign w:val="superscript"/>
              </w:rPr>
              <w:t>*</w:t>
            </w:r>
            <w:r w:rsidRPr="00D630D1">
              <w:rPr>
                <w:rFonts w:hAnsi="宋体" w:cs="Times New Roman"/>
                <w:sz w:val="21"/>
                <w:szCs w:val="21"/>
              </w:rPr>
              <w:t>、井场边沟</w:t>
            </w:r>
            <w:r w:rsidRPr="00D630D1">
              <w:rPr>
                <w:rFonts w:hAnsi="宋体" w:cs="Times New Roman"/>
                <w:sz w:val="21"/>
                <w:szCs w:val="21"/>
                <w:vertAlign w:val="superscript"/>
              </w:rPr>
              <w:t>*</w:t>
            </w:r>
            <w:r w:rsidRPr="00D630D1">
              <w:rPr>
                <w:rFonts w:hAnsi="宋体" w:cs="Times New Roman"/>
                <w:sz w:val="21"/>
                <w:szCs w:val="21"/>
              </w:rPr>
              <w:t>、土地整治、覆土</w:t>
            </w:r>
          </w:p>
        </w:tc>
      </w:tr>
      <w:tr w:rsidR="00C869C5" w:rsidRPr="00D630D1" w:rsidTr="00A0659D">
        <w:trPr>
          <w:trHeight w:val="285"/>
        </w:trPr>
        <w:tc>
          <w:tcPr>
            <w:tcW w:w="1526" w:type="dxa"/>
            <w:vMerge/>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p>
        </w:tc>
        <w:tc>
          <w:tcPr>
            <w:tcW w:w="1134"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z w:val="21"/>
                <w:szCs w:val="21"/>
              </w:rPr>
              <w:t>植物措施</w:t>
            </w:r>
          </w:p>
        </w:tc>
        <w:tc>
          <w:tcPr>
            <w:tcW w:w="5562"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left"/>
              <w:textAlignment w:val="bottom"/>
              <w:rPr>
                <w:rFonts w:hAnsi="宋体" w:cs="Times New Roman"/>
                <w:sz w:val="21"/>
                <w:szCs w:val="21"/>
              </w:rPr>
            </w:pPr>
            <w:r w:rsidRPr="00D630D1">
              <w:rPr>
                <w:rFonts w:hAnsi="宋体" w:cs="Times New Roman"/>
                <w:sz w:val="21"/>
                <w:szCs w:val="21"/>
              </w:rPr>
              <w:t>植草</w:t>
            </w:r>
            <w:r w:rsidRPr="00D630D1">
              <w:rPr>
                <w:rFonts w:hAnsi="宋体" w:cs="Times New Roman"/>
                <w:sz w:val="21"/>
                <w:szCs w:val="21"/>
                <w:vertAlign w:val="superscript"/>
              </w:rPr>
              <w:t>*</w:t>
            </w:r>
            <w:r w:rsidRPr="00D630D1">
              <w:rPr>
                <w:rFonts w:hAnsi="宋体" w:cs="Times New Roman"/>
                <w:sz w:val="21"/>
                <w:szCs w:val="21"/>
              </w:rPr>
              <w:t>、撒播种草</w:t>
            </w:r>
          </w:p>
        </w:tc>
      </w:tr>
      <w:tr w:rsidR="00C869C5" w:rsidRPr="00D630D1" w:rsidTr="00A0659D">
        <w:trPr>
          <w:trHeight w:val="285"/>
        </w:trPr>
        <w:tc>
          <w:tcPr>
            <w:tcW w:w="1526" w:type="dxa"/>
            <w:vMerge/>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p>
        </w:tc>
        <w:tc>
          <w:tcPr>
            <w:tcW w:w="1134"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z w:val="21"/>
                <w:szCs w:val="21"/>
              </w:rPr>
              <w:t>临时措施</w:t>
            </w:r>
          </w:p>
        </w:tc>
        <w:tc>
          <w:tcPr>
            <w:tcW w:w="5562"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left"/>
              <w:textAlignment w:val="bottom"/>
              <w:rPr>
                <w:rFonts w:hAnsi="宋体" w:cs="Times New Roman"/>
                <w:sz w:val="21"/>
                <w:szCs w:val="21"/>
              </w:rPr>
            </w:pPr>
            <w:r w:rsidRPr="00D630D1">
              <w:rPr>
                <w:rFonts w:hAnsi="宋体" w:cs="Times New Roman"/>
                <w:sz w:val="21"/>
                <w:szCs w:val="21"/>
              </w:rPr>
              <w:t>彩条布苫盖</w:t>
            </w:r>
          </w:p>
        </w:tc>
      </w:tr>
      <w:tr w:rsidR="00C869C5" w:rsidRPr="00D630D1" w:rsidTr="00A0659D">
        <w:trPr>
          <w:trHeight w:val="285"/>
        </w:trPr>
        <w:tc>
          <w:tcPr>
            <w:tcW w:w="1526" w:type="dxa"/>
            <w:vMerge w:val="restart"/>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napToGrid w:val="0"/>
                <w:sz w:val="21"/>
              </w:rPr>
              <w:t>井场进场道路</w:t>
            </w:r>
          </w:p>
        </w:tc>
        <w:tc>
          <w:tcPr>
            <w:tcW w:w="1134"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z w:val="21"/>
                <w:szCs w:val="21"/>
              </w:rPr>
              <w:t>工程措施</w:t>
            </w:r>
          </w:p>
        </w:tc>
        <w:tc>
          <w:tcPr>
            <w:tcW w:w="5562"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left"/>
              <w:textAlignment w:val="bottom"/>
              <w:rPr>
                <w:rFonts w:hAnsi="宋体" w:cs="Times New Roman"/>
                <w:sz w:val="21"/>
                <w:szCs w:val="21"/>
              </w:rPr>
            </w:pPr>
            <w:r w:rsidRPr="00D630D1">
              <w:rPr>
                <w:rFonts w:hAnsi="宋体" w:cs="Times New Roman"/>
                <w:sz w:val="21"/>
                <w:szCs w:val="21"/>
              </w:rPr>
              <w:t>表土剥离</w:t>
            </w:r>
            <w:r w:rsidRPr="00D630D1">
              <w:rPr>
                <w:rFonts w:hAnsi="宋体" w:cs="Times New Roman"/>
                <w:sz w:val="21"/>
                <w:szCs w:val="21"/>
                <w:vertAlign w:val="superscript"/>
              </w:rPr>
              <w:t>*</w:t>
            </w:r>
            <w:r w:rsidRPr="00D630D1">
              <w:rPr>
                <w:rFonts w:hAnsi="宋体" w:cs="Times New Roman"/>
                <w:sz w:val="21"/>
                <w:szCs w:val="21"/>
              </w:rPr>
              <w:t>、排水沟</w:t>
            </w:r>
            <w:r w:rsidRPr="00D630D1">
              <w:rPr>
                <w:rFonts w:hAnsi="宋体" w:cs="Times New Roman"/>
                <w:sz w:val="21"/>
                <w:szCs w:val="21"/>
                <w:vertAlign w:val="superscript"/>
              </w:rPr>
              <w:t>*</w:t>
            </w:r>
            <w:r w:rsidRPr="00D630D1">
              <w:rPr>
                <w:rFonts w:hAnsi="宋体" w:cs="Times New Roman"/>
                <w:sz w:val="21"/>
                <w:szCs w:val="21"/>
              </w:rPr>
              <w:t>、土地整治、覆土</w:t>
            </w:r>
          </w:p>
        </w:tc>
      </w:tr>
      <w:tr w:rsidR="00C869C5" w:rsidRPr="00D630D1" w:rsidTr="00A0659D">
        <w:trPr>
          <w:trHeight w:val="285"/>
        </w:trPr>
        <w:tc>
          <w:tcPr>
            <w:tcW w:w="1526" w:type="dxa"/>
            <w:vMerge/>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p>
        </w:tc>
        <w:tc>
          <w:tcPr>
            <w:tcW w:w="1134"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z w:val="21"/>
                <w:szCs w:val="21"/>
              </w:rPr>
              <w:t>植物措施</w:t>
            </w:r>
          </w:p>
        </w:tc>
        <w:tc>
          <w:tcPr>
            <w:tcW w:w="5562"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left"/>
              <w:textAlignment w:val="bottom"/>
              <w:rPr>
                <w:rFonts w:hAnsi="宋体" w:cs="Times New Roman"/>
                <w:sz w:val="21"/>
                <w:szCs w:val="21"/>
              </w:rPr>
            </w:pPr>
            <w:r w:rsidRPr="00D630D1">
              <w:rPr>
                <w:rFonts w:hAnsi="宋体" w:cs="Times New Roman"/>
                <w:sz w:val="21"/>
                <w:szCs w:val="21"/>
              </w:rPr>
              <w:t>/</w:t>
            </w:r>
          </w:p>
        </w:tc>
      </w:tr>
      <w:tr w:rsidR="00C869C5" w:rsidRPr="00D630D1" w:rsidTr="00A0659D">
        <w:trPr>
          <w:trHeight w:val="285"/>
        </w:trPr>
        <w:tc>
          <w:tcPr>
            <w:tcW w:w="1526" w:type="dxa"/>
            <w:vMerge/>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p>
        </w:tc>
        <w:tc>
          <w:tcPr>
            <w:tcW w:w="1134"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z w:val="21"/>
                <w:szCs w:val="21"/>
              </w:rPr>
              <w:t>临时措施</w:t>
            </w:r>
          </w:p>
        </w:tc>
        <w:tc>
          <w:tcPr>
            <w:tcW w:w="5562"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left"/>
              <w:textAlignment w:val="bottom"/>
              <w:rPr>
                <w:rFonts w:hAnsi="宋体" w:cs="Times New Roman"/>
                <w:sz w:val="21"/>
                <w:szCs w:val="21"/>
              </w:rPr>
            </w:pPr>
            <w:r w:rsidRPr="00D630D1">
              <w:rPr>
                <w:rFonts w:hAnsi="宋体" w:cs="Times New Roman"/>
                <w:sz w:val="21"/>
                <w:szCs w:val="21"/>
              </w:rPr>
              <w:t>彩条布苫盖</w:t>
            </w:r>
          </w:p>
        </w:tc>
      </w:tr>
      <w:tr w:rsidR="00C869C5" w:rsidRPr="00D630D1" w:rsidTr="00A0659D">
        <w:trPr>
          <w:trHeight w:val="285"/>
        </w:trPr>
        <w:tc>
          <w:tcPr>
            <w:tcW w:w="1526" w:type="dxa"/>
            <w:vMerge w:val="restart"/>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napToGrid w:val="0"/>
                <w:sz w:val="21"/>
              </w:rPr>
              <w:t>临时堆土区</w:t>
            </w:r>
          </w:p>
        </w:tc>
        <w:tc>
          <w:tcPr>
            <w:tcW w:w="1134"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z w:val="21"/>
                <w:szCs w:val="21"/>
              </w:rPr>
              <w:t>工程措施</w:t>
            </w:r>
          </w:p>
        </w:tc>
        <w:tc>
          <w:tcPr>
            <w:tcW w:w="5562"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left"/>
              <w:textAlignment w:val="bottom"/>
              <w:rPr>
                <w:rFonts w:hAnsi="宋体" w:cs="Times New Roman"/>
                <w:sz w:val="21"/>
                <w:szCs w:val="21"/>
              </w:rPr>
            </w:pPr>
            <w:r w:rsidRPr="00D630D1">
              <w:rPr>
                <w:rFonts w:hAnsi="宋体" w:cs="Times New Roman"/>
                <w:sz w:val="21"/>
                <w:szCs w:val="21"/>
              </w:rPr>
              <w:t>土地整治</w:t>
            </w:r>
          </w:p>
        </w:tc>
      </w:tr>
      <w:tr w:rsidR="00C869C5" w:rsidRPr="00D630D1" w:rsidTr="00A0659D">
        <w:trPr>
          <w:trHeight w:val="285"/>
        </w:trPr>
        <w:tc>
          <w:tcPr>
            <w:tcW w:w="1526" w:type="dxa"/>
            <w:vMerge/>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napToGrid w:val="0"/>
                <w:sz w:val="21"/>
              </w:rPr>
            </w:pPr>
          </w:p>
        </w:tc>
        <w:tc>
          <w:tcPr>
            <w:tcW w:w="1134"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z w:val="21"/>
                <w:szCs w:val="21"/>
              </w:rPr>
              <w:t>植物措施</w:t>
            </w:r>
          </w:p>
        </w:tc>
        <w:tc>
          <w:tcPr>
            <w:tcW w:w="5562"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left"/>
              <w:textAlignment w:val="bottom"/>
              <w:rPr>
                <w:rFonts w:hAnsi="宋体" w:cs="Times New Roman"/>
                <w:sz w:val="21"/>
                <w:szCs w:val="21"/>
              </w:rPr>
            </w:pPr>
            <w:r w:rsidRPr="00D630D1">
              <w:rPr>
                <w:rFonts w:hAnsi="宋体" w:cs="Times New Roman"/>
                <w:sz w:val="21"/>
                <w:szCs w:val="21"/>
              </w:rPr>
              <w:t>撒播种草</w:t>
            </w:r>
          </w:p>
        </w:tc>
      </w:tr>
      <w:tr w:rsidR="00C869C5" w:rsidRPr="00D630D1" w:rsidTr="00A0659D">
        <w:trPr>
          <w:trHeight w:val="285"/>
        </w:trPr>
        <w:tc>
          <w:tcPr>
            <w:tcW w:w="1526" w:type="dxa"/>
            <w:vMerge/>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napToGrid w:val="0"/>
                <w:sz w:val="21"/>
              </w:rPr>
            </w:pPr>
          </w:p>
        </w:tc>
        <w:tc>
          <w:tcPr>
            <w:tcW w:w="1134"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center"/>
              <w:textAlignment w:val="bottom"/>
              <w:rPr>
                <w:rFonts w:hAnsi="宋体" w:cs="Times New Roman"/>
                <w:sz w:val="21"/>
                <w:szCs w:val="21"/>
              </w:rPr>
            </w:pPr>
            <w:r w:rsidRPr="00D630D1">
              <w:rPr>
                <w:rFonts w:hAnsi="宋体" w:cs="Times New Roman"/>
                <w:sz w:val="21"/>
                <w:szCs w:val="21"/>
              </w:rPr>
              <w:t>临时措施</w:t>
            </w:r>
          </w:p>
        </w:tc>
        <w:tc>
          <w:tcPr>
            <w:tcW w:w="5562" w:type="dxa"/>
            <w:vAlign w:val="center"/>
          </w:tcPr>
          <w:p w:rsidR="00C869C5" w:rsidRPr="00D630D1" w:rsidRDefault="00C869C5" w:rsidP="00C869C5">
            <w:pPr>
              <w:widowControl/>
              <w:tabs>
                <w:tab w:val="left" w:pos="3720"/>
              </w:tabs>
              <w:topLinePunct w:val="0"/>
              <w:autoSpaceDE w:val="0"/>
              <w:autoSpaceDN w:val="0"/>
              <w:snapToGrid w:val="0"/>
              <w:spacing w:before="40" w:line="240" w:lineRule="auto"/>
              <w:ind w:firstLineChars="0" w:firstLine="0"/>
              <w:jc w:val="left"/>
              <w:textAlignment w:val="bottom"/>
              <w:rPr>
                <w:rFonts w:hAnsi="宋体" w:cs="Times New Roman"/>
                <w:sz w:val="21"/>
                <w:szCs w:val="21"/>
              </w:rPr>
            </w:pPr>
            <w:r w:rsidRPr="00D630D1">
              <w:rPr>
                <w:rFonts w:hAnsi="宋体" w:cs="Times New Roman"/>
                <w:sz w:val="21"/>
                <w:szCs w:val="21"/>
              </w:rPr>
              <w:t>临时排水沟、临时土袋挡墙、彩条布苫盖</w:t>
            </w:r>
          </w:p>
        </w:tc>
      </w:tr>
    </w:tbl>
    <w:p w:rsidR="00C366ED" w:rsidRPr="00D630D1" w:rsidRDefault="00E211D7" w:rsidP="00D4235D">
      <w:pPr>
        <w:pStyle w:val="a1"/>
        <w:ind w:firstLine="482"/>
        <w:rPr>
          <w:rFonts w:ascii="Times New Roman" w:cs="Times New Roman"/>
          <w:b/>
        </w:rPr>
      </w:pPr>
      <w:r w:rsidRPr="00D630D1">
        <w:rPr>
          <w:rFonts w:ascii="Times New Roman" w:cs="Times New Roman" w:hint="eastAsia"/>
          <w:b/>
        </w:rPr>
        <w:t>7.3</w:t>
      </w:r>
      <w:r w:rsidR="00C869C5" w:rsidRPr="00D630D1">
        <w:rPr>
          <w:rFonts w:ascii="Times New Roman" w:cs="Times New Roman"/>
          <w:b/>
        </w:rPr>
        <w:t>水土流失防治措施</w:t>
      </w:r>
      <w:r w:rsidR="00C869C5" w:rsidRPr="00D630D1">
        <w:rPr>
          <w:rFonts w:ascii="Times New Roman" w:cs="Times New Roman" w:hint="eastAsia"/>
          <w:b/>
        </w:rPr>
        <w:t>分区布设</w:t>
      </w:r>
    </w:p>
    <w:p w:rsidR="00C869C5" w:rsidRPr="00D630D1" w:rsidRDefault="00D4235D" w:rsidP="00D4235D">
      <w:pPr>
        <w:pStyle w:val="a1"/>
        <w:ind w:firstLine="482"/>
        <w:rPr>
          <w:rFonts w:ascii="Times New Roman" w:cs="Times New Roman"/>
          <w:b/>
        </w:rPr>
      </w:pPr>
      <w:r w:rsidRPr="00D630D1">
        <w:rPr>
          <w:rFonts w:ascii="Times New Roman" w:cs="Times New Roman" w:hint="eastAsia"/>
          <w:b/>
        </w:rPr>
        <w:lastRenderedPageBreak/>
        <w:t>3.1</w:t>
      </w:r>
      <w:r w:rsidR="00C869C5" w:rsidRPr="00D630D1">
        <w:rPr>
          <w:rFonts w:ascii="Times New Roman" w:cs="Times New Roman" w:hint="eastAsia"/>
          <w:b/>
        </w:rPr>
        <w:t>井场</w:t>
      </w:r>
    </w:p>
    <w:p w:rsidR="00C869C5" w:rsidRPr="00D630D1" w:rsidRDefault="00C869C5" w:rsidP="00C366ED">
      <w:pPr>
        <w:pStyle w:val="a1"/>
        <w:ind w:firstLine="480"/>
        <w:rPr>
          <w:rFonts w:ascii="Times New Roman" w:cs="Times New Roman"/>
        </w:rPr>
      </w:pPr>
      <w:r w:rsidRPr="00D630D1">
        <w:rPr>
          <w:rFonts w:ascii="Times New Roman" w:cs="Times New Roman"/>
        </w:rPr>
        <w:t>本</w:t>
      </w:r>
      <w:r w:rsidRPr="00D630D1">
        <w:rPr>
          <w:rFonts w:ascii="Times New Roman" w:cs="Times New Roman" w:hint="eastAsia"/>
        </w:rPr>
        <w:t>项目井场水土流水防治措施主要为</w:t>
      </w:r>
      <w:r w:rsidRPr="00D630D1">
        <w:rPr>
          <w:rFonts w:ascii="Times New Roman" w:cs="Times New Roman"/>
        </w:rPr>
        <w:t>表土剥离、截排水沟、排污沟、井场边沟、植草等措施，覆土、土地整治及临时措施。</w:t>
      </w:r>
    </w:p>
    <w:p w:rsidR="00C869C5" w:rsidRPr="00D630D1" w:rsidRDefault="00C869C5" w:rsidP="00C869C5">
      <w:pPr>
        <w:pStyle w:val="a1"/>
        <w:ind w:firstLine="482"/>
        <w:rPr>
          <w:rFonts w:ascii="Times New Roman" w:cs="Times New Roman"/>
          <w:b/>
        </w:rPr>
      </w:pPr>
      <w:r w:rsidRPr="00D630D1">
        <w:rPr>
          <w:rFonts w:ascii="Times New Roman" w:cs="Times New Roman"/>
          <w:b/>
        </w:rPr>
        <w:t>1</w:t>
      </w:r>
      <w:r w:rsidRPr="00D630D1">
        <w:rPr>
          <w:rFonts w:ascii="Times New Roman" w:cs="Times New Roman"/>
          <w:b/>
        </w:rPr>
        <w:t>、工程措施</w:t>
      </w:r>
    </w:p>
    <w:p w:rsidR="00C869C5" w:rsidRPr="00D630D1" w:rsidRDefault="00C869C5" w:rsidP="00C869C5">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）表土剥离</w:t>
      </w:r>
    </w:p>
    <w:p w:rsidR="00C869C5" w:rsidRPr="00D630D1" w:rsidRDefault="00C869C5" w:rsidP="00C869C5">
      <w:pPr>
        <w:pStyle w:val="a1"/>
        <w:ind w:firstLine="480"/>
        <w:rPr>
          <w:rFonts w:ascii="Times New Roman" w:cs="Times New Roman"/>
        </w:rPr>
      </w:pPr>
      <w:r w:rsidRPr="00D630D1">
        <w:rPr>
          <w:rFonts w:ascii="Times New Roman" w:cs="Times New Roman"/>
        </w:rPr>
        <w:t>施工期对井场区</w:t>
      </w:r>
      <w:r w:rsidR="001E4C1E">
        <w:rPr>
          <w:rFonts w:ascii="Times New Roman" w:cs="Times New Roman" w:hint="eastAsia"/>
        </w:rPr>
        <w:t>不涉及</w:t>
      </w:r>
      <w:r w:rsidRPr="00D630D1">
        <w:rPr>
          <w:rFonts w:ascii="Times New Roman" w:cs="Times New Roman"/>
        </w:rPr>
        <w:t>表土剥离。</w:t>
      </w:r>
    </w:p>
    <w:p w:rsidR="00C869C5" w:rsidRPr="00D630D1" w:rsidRDefault="00C869C5" w:rsidP="00C869C5">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）井场内排污沟及井场边沟</w:t>
      </w:r>
    </w:p>
    <w:p w:rsidR="00C869C5" w:rsidRPr="00D630D1" w:rsidRDefault="00C869C5" w:rsidP="00C869C5">
      <w:pPr>
        <w:pStyle w:val="a1"/>
        <w:ind w:firstLine="480"/>
        <w:rPr>
          <w:rFonts w:ascii="Times New Roman" w:cs="Times New Roman"/>
        </w:rPr>
      </w:pPr>
      <w:r w:rsidRPr="00D630D1">
        <w:rPr>
          <w:rFonts w:ascii="Times New Roman" w:cs="Times New Roman"/>
        </w:rPr>
        <w:t>为了防止坡面和场内的地表水对钻井生产造成影响，在场内四周设排水边沟，站内雨水排向井场周围排水沟，再沿排水沟排向低洼处或新建截水沟。新建井场边沟</w:t>
      </w:r>
      <w:r w:rsidR="0053213F">
        <w:rPr>
          <w:rFonts w:ascii="Times New Roman" w:cs="Times New Roman" w:hint="eastAsia"/>
        </w:rPr>
        <w:t>15</w:t>
      </w:r>
      <w:r w:rsidR="001E4C1E">
        <w:rPr>
          <w:rFonts w:ascii="Times New Roman" w:cs="Times New Roman" w:hint="eastAsia"/>
        </w:rPr>
        <w:t>0</w:t>
      </w:r>
      <w:r w:rsidRPr="00D630D1">
        <w:rPr>
          <w:rFonts w:ascii="Times New Roman" w:cs="Times New Roman"/>
        </w:rPr>
        <w:t>m</w:t>
      </w:r>
      <w:r w:rsidRPr="00D630D1">
        <w:rPr>
          <w:rFonts w:ascii="Times New Roman" w:cs="Times New Roman"/>
        </w:rPr>
        <w:t>，底宽</w:t>
      </w:r>
      <w:r w:rsidRPr="00D630D1">
        <w:rPr>
          <w:rFonts w:ascii="Times New Roman" w:cs="Times New Roman"/>
        </w:rPr>
        <w:t>0.5m</w:t>
      </w:r>
      <w:r w:rsidRPr="00D630D1">
        <w:rPr>
          <w:rFonts w:ascii="Times New Roman" w:cs="Times New Roman"/>
        </w:rPr>
        <w:t>，深</w:t>
      </w:r>
      <w:r w:rsidRPr="00D630D1">
        <w:rPr>
          <w:rFonts w:ascii="Times New Roman" w:cs="Times New Roman"/>
        </w:rPr>
        <w:t>0.5m</w:t>
      </w:r>
      <w:r w:rsidRPr="00D630D1">
        <w:rPr>
          <w:rFonts w:ascii="Times New Roman" w:cs="Times New Roman"/>
        </w:rPr>
        <w:t>，沟壁坡度</w:t>
      </w:r>
      <w:r w:rsidRPr="00D630D1">
        <w:rPr>
          <w:rFonts w:ascii="Times New Roman" w:cs="Times New Roman"/>
        </w:rPr>
        <w:t>1</w:t>
      </w:r>
      <w:r w:rsidRPr="00D630D1">
        <w:rPr>
          <w:rFonts w:ascii="Times New Roman" w:cs="Times New Roman"/>
        </w:rPr>
        <w:t>：</w:t>
      </w:r>
      <w:r w:rsidRPr="00D630D1">
        <w:rPr>
          <w:rFonts w:ascii="Times New Roman" w:cs="Times New Roman"/>
        </w:rPr>
        <w:t>0.2</w:t>
      </w:r>
      <w:r w:rsidRPr="00D630D1">
        <w:rPr>
          <w:rFonts w:ascii="Times New Roman" w:cs="Times New Roman"/>
        </w:rPr>
        <w:t>，纵坡</w:t>
      </w:r>
      <w:r w:rsidRPr="00D630D1">
        <w:rPr>
          <w:rFonts w:ascii="Times New Roman" w:cs="Times New Roman"/>
        </w:rPr>
        <w:t>i=0.2%</w:t>
      </w:r>
      <w:r w:rsidRPr="00D630D1">
        <w:rPr>
          <w:rFonts w:ascii="Times New Roman" w:cs="Times New Roman"/>
        </w:rPr>
        <w:t>；新建井场内排污沟</w:t>
      </w:r>
      <w:r w:rsidR="0053213F">
        <w:rPr>
          <w:rFonts w:ascii="Times New Roman" w:cs="Times New Roman" w:hint="eastAsia"/>
        </w:rPr>
        <w:t>355</w:t>
      </w:r>
      <w:r w:rsidRPr="00D630D1">
        <w:rPr>
          <w:rFonts w:ascii="Times New Roman" w:cs="Times New Roman"/>
        </w:rPr>
        <w:t>m</w:t>
      </w:r>
      <w:r w:rsidRPr="00D630D1">
        <w:rPr>
          <w:rFonts w:ascii="Times New Roman" w:cs="Times New Roman"/>
        </w:rPr>
        <w:t>，底宽</w:t>
      </w:r>
      <w:r w:rsidRPr="00D630D1">
        <w:rPr>
          <w:rFonts w:ascii="Times New Roman" w:cs="Times New Roman"/>
        </w:rPr>
        <w:t>0.2m</w:t>
      </w:r>
      <w:r w:rsidRPr="00D630D1">
        <w:rPr>
          <w:rFonts w:ascii="Times New Roman" w:cs="Times New Roman"/>
        </w:rPr>
        <w:t>，深</w:t>
      </w:r>
      <w:r w:rsidRPr="00D630D1">
        <w:rPr>
          <w:rFonts w:ascii="Times New Roman" w:cs="Times New Roman"/>
        </w:rPr>
        <w:t>0.</w:t>
      </w:r>
      <w:r w:rsidR="0053213F">
        <w:rPr>
          <w:rFonts w:ascii="Times New Roman" w:cs="Times New Roman" w:hint="eastAsia"/>
        </w:rPr>
        <w:t>2</w:t>
      </w:r>
      <w:r w:rsidRPr="00D630D1">
        <w:rPr>
          <w:rFonts w:ascii="Times New Roman" w:cs="Times New Roman"/>
        </w:rPr>
        <w:t>m</w:t>
      </w:r>
      <w:r w:rsidRPr="00D630D1">
        <w:rPr>
          <w:rFonts w:ascii="Times New Roman" w:cs="Times New Roman"/>
        </w:rPr>
        <w:t>，纵坡</w:t>
      </w:r>
      <w:r w:rsidRPr="00D630D1">
        <w:rPr>
          <w:rFonts w:ascii="Times New Roman" w:cs="Times New Roman"/>
        </w:rPr>
        <w:t>i=0.2%</w:t>
      </w:r>
      <w:r w:rsidRPr="00D630D1">
        <w:rPr>
          <w:rFonts w:ascii="Times New Roman" w:cs="Times New Roman"/>
        </w:rPr>
        <w:t>；排污沟放坡坡率可根据现场做适当调整，但必须满足正常放坡和无倒流。</w:t>
      </w:r>
    </w:p>
    <w:p w:rsidR="00C869C5" w:rsidRPr="00D630D1" w:rsidRDefault="00C869C5" w:rsidP="00C869C5">
      <w:pPr>
        <w:pStyle w:val="a1"/>
        <w:ind w:firstLine="480"/>
        <w:rPr>
          <w:rFonts w:ascii="Times New Roman" w:cs="Times New Roman"/>
        </w:rPr>
      </w:pPr>
      <w:r w:rsidRPr="00D630D1">
        <w:rPr>
          <w:rFonts w:ascii="Times New Roman" w:cs="Times New Roman"/>
        </w:rPr>
        <w:t>场地清理：清理并收集该区域的垃圾，集中堆放，对开挖动土区域进行坑凹回填，场地平整改造，恢复利用。</w:t>
      </w:r>
    </w:p>
    <w:p w:rsidR="00C869C5" w:rsidRPr="00D630D1" w:rsidRDefault="00C869C5" w:rsidP="00C869C5">
      <w:pPr>
        <w:pStyle w:val="a1"/>
        <w:ind w:firstLine="480"/>
        <w:rPr>
          <w:rFonts w:ascii="Times New Roman" w:cs="Times New Roman"/>
        </w:rPr>
      </w:pPr>
      <w:r w:rsidRPr="00D630D1">
        <w:rPr>
          <w:rFonts w:ascii="Times New Roman" w:cs="Times New Roman"/>
        </w:rPr>
        <w:t>整地：包括平整土地、翻地改善土壤理化性状，给植物及农作物生长尤其是根的发育创造了适宜的土壤条件。其方法和要求：先将表土翻松，再进行细平工作，局部高差较大处，进行回填，做到挖填同时进行。平整时应采取就近原则，开挖及回填时应保证表土回填前土块有足够的保水层，防止表土层底部漏水，并配合平整进行表土覆土。</w:t>
      </w:r>
    </w:p>
    <w:p w:rsidR="00C869C5" w:rsidRPr="00D630D1" w:rsidRDefault="00C869C5" w:rsidP="00C869C5">
      <w:pPr>
        <w:pStyle w:val="a1"/>
        <w:ind w:firstLine="482"/>
        <w:rPr>
          <w:rFonts w:ascii="Times New Roman" w:cs="Times New Roman"/>
          <w:b/>
        </w:rPr>
      </w:pPr>
      <w:r w:rsidRPr="00D630D1">
        <w:rPr>
          <w:rFonts w:ascii="Times New Roman" w:cs="Times New Roman"/>
          <w:b/>
        </w:rPr>
        <w:t>2</w:t>
      </w:r>
      <w:r w:rsidRPr="00D630D1">
        <w:rPr>
          <w:rFonts w:ascii="Times New Roman" w:cs="Times New Roman"/>
          <w:b/>
        </w:rPr>
        <w:t>、植物措施</w:t>
      </w:r>
    </w:p>
    <w:p w:rsidR="00C869C5" w:rsidRPr="00D630D1" w:rsidRDefault="00D4235D" w:rsidP="00C869C5">
      <w:pPr>
        <w:pStyle w:val="a1"/>
        <w:ind w:firstLine="480"/>
        <w:rPr>
          <w:rFonts w:ascii="Times New Roman" w:cs="Times New Roman"/>
        </w:rPr>
      </w:pPr>
      <w:r w:rsidRPr="00D630D1">
        <w:rPr>
          <w:rFonts w:ascii="Times New Roman" w:cs="Times New Roman" w:hint="eastAsia"/>
        </w:rPr>
        <w:t>施工期</w:t>
      </w:r>
      <w:r w:rsidR="00FD5966">
        <w:rPr>
          <w:rFonts w:ascii="Times New Roman" w:cs="Times New Roman" w:hint="eastAsia"/>
        </w:rPr>
        <w:t>不新增占地，不涉及植被措施</w:t>
      </w:r>
      <w:r w:rsidR="00C869C5" w:rsidRPr="00D630D1">
        <w:rPr>
          <w:rFonts w:ascii="Times New Roman" w:cs="Times New Roman"/>
        </w:rPr>
        <w:t>。</w:t>
      </w:r>
    </w:p>
    <w:p w:rsidR="00C869C5" w:rsidRPr="00D630D1" w:rsidRDefault="00C869C5" w:rsidP="00C869C5">
      <w:pPr>
        <w:pStyle w:val="a1"/>
        <w:ind w:firstLine="482"/>
        <w:rPr>
          <w:rFonts w:ascii="Times New Roman" w:cs="Times New Roman"/>
          <w:b/>
        </w:rPr>
      </w:pPr>
      <w:r w:rsidRPr="00D630D1">
        <w:rPr>
          <w:rFonts w:ascii="Times New Roman" w:cs="Times New Roman"/>
          <w:b/>
        </w:rPr>
        <w:t>3</w:t>
      </w:r>
      <w:r w:rsidRPr="00D630D1">
        <w:rPr>
          <w:rFonts w:ascii="Times New Roman" w:cs="Times New Roman"/>
          <w:b/>
        </w:rPr>
        <w:t>、临时措施</w:t>
      </w:r>
    </w:p>
    <w:p w:rsidR="00C869C5" w:rsidRPr="00D630D1" w:rsidRDefault="00C869C5" w:rsidP="00C869C5">
      <w:pPr>
        <w:pStyle w:val="a1"/>
        <w:ind w:firstLine="480"/>
        <w:rPr>
          <w:rFonts w:ascii="Times New Roman" w:cs="Times New Roman"/>
        </w:rPr>
      </w:pPr>
      <w:r w:rsidRPr="00D630D1">
        <w:rPr>
          <w:rFonts w:ascii="Times New Roman" w:cs="Times New Roman"/>
        </w:rPr>
        <w:t>施工</w:t>
      </w:r>
      <w:r w:rsidR="00FD5966">
        <w:rPr>
          <w:rFonts w:ascii="Times New Roman" w:cs="Times New Roman" w:hint="eastAsia"/>
        </w:rPr>
        <w:t>期不涉及临时措施</w:t>
      </w:r>
      <w:r w:rsidRPr="00D630D1">
        <w:rPr>
          <w:rFonts w:ascii="Times New Roman" w:cs="Times New Roman"/>
        </w:rPr>
        <w:t>。</w:t>
      </w:r>
    </w:p>
    <w:p w:rsidR="00C869C5" w:rsidRPr="00D630D1" w:rsidRDefault="00D4235D" w:rsidP="00D4235D">
      <w:pPr>
        <w:pStyle w:val="a1"/>
        <w:ind w:firstLine="482"/>
        <w:rPr>
          <w:rFonts w:ascii="Times New Roman" w:cs="Times New Roman"/>
          <w:b/>
        </w:rPr>
      </w:pPr>
      <w:r w:rsidRPr="00D630D1">
        <w:rPr>
          <w:rFonts w:ascii="Times New Roman" w:cs="Times New Roman" w:hint="eastAsia"/>
          <w:b/>
        </w:rPr>
        <w:t>3.2</w:t>
      </w:r>
      <w:r w:rsidRPr="00D630D1">
        <w:rPr>
          <w:rFonts w:ascii="Times New Roman" w:cs="Times New Roman" w:hint="eastAsia"/>
          <w:b/>
        </w:rPr>
        <w:t>进场道路</w:t>
      </w:r>
    </w:p>
    <w:p w:rsidR="00580D8D" w:rsidRPr="00D630D1" w:rsidRDefault="00580D8D" w:rsidP="00580D8D">
      <w:pPr>
        <w:pStyle w:val="a1"/>
        <w:ind w:firstLine="480"/>
        <w:rPr>
          <w:rFonts w:ascii="Times New Roman" w:cs="Times New Roman"/>
        </w:rPr>
      </w:pPr>
      <w:r w:rsidRPr="00D630D1">
        <w:rPr>
          <w:rFonts w:ascii="Times New Roman" w:cs="Times New Roman"/>
        </w:rPr>
        <w:t>本</w:t>
      </w:r>
      <w:r w:rsidRPr="00D630D1">
        <w:rPr>
          <w:rFonts w:ascii="Times New Roman" w:cs="Times New Roman" w:hint="eastAsia"/>
        </w:rPr>
        <w:t>项目进场道路水土流水防治措施主要为</w:t>
      </w:r>
      <w:r w:rsidRPr="00D630D1">
        <w:rPr>
          <w:rFonts w:ascii="Times New Roman" w:cs="Times New Roman"/>
        </w:rPr>
        <w:t>表土剥离、截排水沟、植草等措施</w:t>
      </w:r>
      <w:r w:rsidRPr="00D630D1">
        <w:rPr>
          <w:rFonts w:ascii="Times New Roman" w:cs="Times New Roman" w:hint="eastAsia"/>
        </w:rPr>
        <w:t>、</w:t>
      </w:r>
      <w:r w:rsidRPr="00D630D1">
        <w:rPr>
          <w:rFonts w:ascii="Times New Roman" w:cs="Times New Roman"/>
        </w:rPr>
        <w:t>覆土、土地整治及临时措施。</w:t>
      </w:r>
    </w:p>
    <w:p w:rsidR="00580D8D" w:rsidRPr="00D630D1" w:rsidRDefault="00580D8D" w:rsidP="00580D8D">
      <w:pPr>
        <w:pStyle w:val="a1"/>
        <w:ind w:firstLine="482"/>
        <w:rPr>
          <w:rFonts w:ascii="Times New Roman" w:cs="Times New Roman"/>
          <w:b/>
        </w:rPr>
      </w:pPr>
      <w:r w:rsidRPr="00D630D1">
        <w:rPr>
          <w:rFonts w:ascii="Times New Roman" w:cs="Times New Roman"/>
          <w:b/>
        </w:rPr>
        <w:t>1</w:t>
      </w:r>
      <w:r w:rsidRPr="00D630D1">
        <w:rPr>
          <w:rFonts w:ascii="Times New Roman" w:cs="Times New Roman"/>
          <w:b/>
        </w:rPr>
        <w:t>、工程措施</w:t>
      </w:r>
    </w:p>
    <w:p w:rsidR="00580D8D" w:rsidRPr="00D630D1" w:rsidRDefault="00580D8D" w:rsidP="00580D8D">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）表土剥离</w:t>
      </w:r>
    </w:p>
    <w:p w:rsidR="00580D8D" w:rsidRPr="00D630D1" w:rsidRDefault="00580D8D" w:rsidP="00580D8D">
      <w:pPr>
        <w:pStyle w:val="a1"/>
        <w:ind w:firstLine="480"/>
        <w:rPr>
          <w:rFonts w:ascii="Times New Roman" w:cs="Times New Roman"/>
        </w:rPr>
      </w:pPr>
      <w:r w:rsidRPr="00D630D1">
        <w:rPr>
          <w:rFonts w:ascii="Times New Roman" w:cs="Times New Roman"/>
        </w:rPr>
        <w:t>施工期对</w:t>
      </w:r>
      <w:r w:rsidRPr="00D630D1">
        <w:rPr>
          <w:rFonts w:ascii="Times New Roman" w:cs="Times New Roman" w:hint="eastAsia"/>
        </w:rPr>
        <w:t>进场道路</w:t>
      </w:r>
      <w:r w:rsidRPr="00D630D1">
        <w:rPr>
          <w:rFonts w:ascii="Times New Roman" w:cs="Times New Roman"/>
        </w:rPr>
        <w:t>占用耕地区域进行表土剥离，平均剥离厚度约</w:t>
      </w:r>
      <w:r w:rsidRPr="00D630D1">
        <w:rPr>
          <w:rFonts w:ascii="Times New Roman" w:cs="Times New Roman"/>
        </w:rPr>
        <w:t>30cm</w:t>
      </w:r>
      <w:r w:rsidRPr="00D630D1">
        <w:rPr>
          <w:rFonts w:ascii="Times New Roman" w:cs="Times New Roman"/>
        </w:rPr>
        <w:t>，表土剥离总量约</w:t>
      </w:r>
      <w:r w:rsidR="00FD5966">
        <w:rPr>
          <w:rFonts w:ascii="Times New Roman" w:cs="Times New Roman" w:hint="eastAsia"/>
        </w:rPr>
        <w:t>120</w:t>
      </w:r>
      <w:r w:rsidRPr="00D630D1">
        <w:rPr>
          <w:rFonts w:ascii="Times New Roman" w:cs="Times New Roman"/>
        </w:rPr>
        <w:t>m</w:t>
      </w:r>
      <w:r w:rsidRPr="00D630D1">
        <w:rPr>
          <w:rFonts w:ascii="Times New Roman" w:cs="Times New Roman"/>
          <w:vertAlign w:val="superscript"/>
        </w:rPr>
        <w:t>3</w:t>
      </w:r>
      <w:r w:rsidRPr="00D630D1">
        <w:rPr>
          <w:rFonts w:ascii="Times New Roman" w:cs="Times New Roman"/>
        </w:rPr>
        <w:t>，剥离的表土全部堆存于临时堆土区，后期用于复垦覆土复</w:t>
      </w:r>
      <w:r w:rsidRPr="00D630D1">
        <w:rPr>
          <w:rFonts w:ascii="Times New Roman" w:cs="Times New Roman"/>
        </w:rPr>
        <w:lastRenderedPageBreak/>
        <w:t>绿。</w:t>
      </w:r>
    </w:p>
    <w:p w:rsidR="00580D8D" w:rsidRPr="00D630D1" w:rsidRDefault="00580D8D" w:rsidP="00580D8D">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）排水沟</w:t>
      </w:r>
    </w:p>
    <w:p w:rsidR="00580D8D" w:rsidRPr="00D630D1" w:rsidRDefault="00580D8D" w:rsidP="00580D8D">
      <w:pPr>
        <w:pStyle w:val="a1"/>
        <w:ind w:firstLine="480"/>
        <w:rPr>
          <w:rFonts w:ascii="Times New Roman" w:cs="Times New Roman"/>
        </w:rPr>
      </w:pPr>
      <w:r w:rsidRPr="00D630D1">
        <w:rPr>
          <w:rFonts w:ascii="Times New Roman" w:cs="Times New Roman"/>
        </w:rPr>
        <w:t>为了防止道路地表水对路基的冲刷，在道路</w:t>
      </w:r>
      <w:r w:rsidRPr="00D630D1">
        <w:rPr>
          <w:rFonts w:ascii="Times New Roman" w:cs="Times New Roman" w:hint="eastAsia"/>
        </w:rPr>
        <w:t>两侧</w:t>
      </w:r>
      <w:r w:rsidRPr="00D630D1">
        <w:rPr>
          <w:rFonts w:ascii="Times New Roman" w:cs="Times New Roman"/>
        </w:rPr>
        <w:t>侧设置排水沟，出口接入东侧乡道已有水沟，拟总建排水沟共计</w:t>
      </w:r>
      <w:r w:rsidR="00FD5966">
        <w:rPr>
          <w:rFonts w:ascii="Times New Roman" w:cs="Times New Roman" w:hint="eastAsia"/>
        </w:rPr>
        <w:t>200</w:t>
      </w:r>
      <w:r w:rsidRPr="00D630D1">
        <w:rPr>
          <w:rFonts w:ascii="Times New Roman" w:cs="Times New Roman"/>
        </w:rPr>
        <w:t>m</w:t>
      </w:r>
      <w:r w:rsidRPr="00D630D1">
        <w:rPr>
          <w:rFonts w:ascii="Times New Roman" w:cs="Times New Roman"/>
        </w:rPr>
        <w:t>。截排水沟底宽</w:t>
      </w:r>
      <w:r w:rsidRPr="00D630D1">
        <w:rPr>
          <w:rFonts w:ascii="Times New Roman" w:cs="Times New Roman"/>
        </w:rPr>
        <w:t>0.5m</w:t>
      </w:r>
      <w:r w:rsidRPr="00D630D1">
        <w:rPr>
          <w:rFonts w:ascii="Times New Roman" w:cs="Times New Roman"/>
        </w:rPr>
        <w:t>，深</w:t>
      </w:r>
      <w:r w:rsidRPr="00D630D1">
        <w:rPr>
          <w:rFonts w:ascii="Times New Roman" w:cs="Times New Roman"/>
        </w:rPr>
        <w:t>0.5m</w:t>
      </w:r>
      <w:r w:rsidRPr="00D630D1">
        <w:rPr>
          <w:rFonts w:ascii="Times New Roman" w:cs="Times New Roman"/>
        </w:rPr>
        <w:t>，沟壁坡度</w:t>
      </w:r>
      <w:r w:rsidRPr="00D630D1">
        <w:rPr>
          <w:rFonts w:ascii="Times New Roman" w:cs="Times New Roman"/>
        </w:rPr>
        <w:t>1</w:t>
      </w:r>
      <w:r w:rsidRPr="00D630D1">
        <w:rPr>
          <w:rFonts w:ascii="Times New Roman" w:cs="Times New Roman"/>
        </w:rPr>
        <w:t>：</w:t>
      </w:r>
      <w:r w:rsidRPr="00D630D1">
        <w:rPr>
          <w:rFonts w:ascii="Times New Roman" w:cs="Times New Roman"/>
        </w:rPr>
        <w:t>0.2</w:t>
      </w:r>
      <w:r w:rsidRPr="00D630D1">
        <w:rPr>
          <w:rFonts w:ascii="Times New Roman" w:cs="Times New Roman"/>
        </w:rPr>
        <w:t>，纵坡</w:t>
      </w:r>
      <w:r w:rsidRPr="00D630D1">
        <w:rPr>
          <w:rFonts w:ascii="Times New Roman" w:cs="Times New Roman"/>
        </w:rPr>
        <w:t>i=0.2%</w:t>
      </w:r>
      <w:r w:rsidRPr="00D630D1">
        <w:rPr>
          <w:rFonts w:ascii="Times New Roman" w:cs="Times New Roman"/>
        </w:rPr>
        <w:t>。</w:t>
      </w:r>
    </w:p>
    <w:p w:rsidR="00580D8D" w:rsidRPr="00D630D1" w:rsidRDefault="00580D8D" w:rsidP="00580D8D">
      <w:pPr>
        <w:pStyle w:val="a1"/>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）表土回填工程施工结束后将剥离的表土回填覆盖在井场复垦区域内，共覆土约</w:t>
      </w:r>
      <w:r w:rsidR="00FD5966">
        <w:rPr>
          <w:rFonts w:ascii="Times New Roman" w:cs="Times New Roman" w:hint="eastAsia"/>
        </w:rPr>
        <w:t>120</w:t>
      </w:r>
      <w:r w:rsidRPr="00D630D1">
        <w:rPr>
          <w:rFonts w:ascii="Times New Roman" w:cs="Times New Roman"/>
        </w:rPr>
        <w:t>m</w:t>
      </w:r>
      <w:r w:rsidRPr="00D630D1">
        <w:rPr>
          <w:rFonts w:ascii="Times New Roman" w:cs="Times New Roman"/>
          <w:vertAlign w:val="superscript"/>
        </w:rPr>
        <w:t>3</w:t>
      </w:r>
      <w:r w:rsidRPr="00D630D1">
        <w:rPr>
          <w:rFonts w:ascii="Times New Roman" w:cs="Times New Roman"/>
        </w:rPr>
        <w:t>。</w:t>
      </w:r>
    </w:p>
    <w:p w:rsidR="00580D8D" w:rsidRPr="00D630D1" w:rsidRDefault="00580D8D" w:rsidP="00580D8D">
      <w:pPr>
        <w:pStyle w:val="a1"/>
        <w:ind w:firstLine="480"/>
        <w:rPr>
          <w:rFonts w:ascii="Times New Roman" w:cs="Times New Roman"/>
        </w:rPr>
      </w:pPr>
      <w:r w:rsidRPr="00D630D1">
        <w:rPr>
          <w:rFonts w:ascii="Times New Roman" w:cs="Times New Roman"/>
        </w:rPr>
        <w:t>（</w:t>
      </w:r>
      <w:r w:rsidRPr="00D630D1">
        <w:rPr>
          <w:rFonts w:ascii="Times New Roman" w:cs="Times New Roman"/>
        </w:rPr>
        <w:t>4</w:t>
      </w:r>
      <w:r w:rsidRPr="00D630D1">
        <w:rPr>
          <w:rFonts w:ascii="Times New Roman" w:cs="Times New Roman"/>
        </w:rPr>
        <w:t>）土地整治</w:t>
      </w:r>
    </w:p>
    <w:p w:rsidR="00580D8D" w:rsidRPr="00D630D1" w:rsidRDefault="00580D8D" w:rsidP="00580D8D">
      <w:pPr>
        <w:pStyle w:val="a1"/>
        <w:ind w:firstLine="480"/>
        <w:rPr>
          <w:rFonts w:ascii="Times New Roman" w:cs="Times New Roman"/>
        </w:rPr>
      </w:pPr>
      <w:r w:rsidRPr="00D630D1">
        <w:rPr>
          <w:rFonts w:ascii="Times New Roman" w:cs="Times New Roman"/>
        </w:rPr>
        <w:t>施工结束后，对裸露或扰动区域进行土地整治，整治面积</w:t>
      </w:r>
      <w:r w:rsidRPr="00D630D1">
        <w:rPr>
          <w:rFonts w:ascii="Times New Roman" w:cs="Times New Roman" w:hint="eastAsia"/>
        </w:rPr>
        <w:t>约</w:t>
      </w:r>
      <w:r w:rsidR="00FD5966">
        <w:rPr>
          <w:rFonts w:ascii="Times New Roman" w:cs="Times New Roman" w:hint="eastAsia"/>
        </w:rPr>
        <w:t>300</w:t>
      </w:r>
      <w:r w:rsidRPr="00D630D1">
        <w:rPr>
          <w:rFonts w:ascii="Times New Roman" w:cs="Times New Roman"/>
        </w:rPr>
        <w:t>m</w:t>
      </w:r>
      <w:r w:rsidRPr="00D630D1">
        <w:rPr>
          <w:rFonts w:ascii="Times New Roman" w:cs="Times New Roman"/>
          <w:vertAlign w:val="superscript"/>
        </w:rPr>
        <w:t>2</w:t>
      </w:r>
      <w:r w:rsidRPr="00D630D1">
        <w:rPr>
          <w:rFonts w:ascii="Times New Roman" w:cs="Times New Roman"/>
        </w:rPr>
        <w:t>，土地整治后进行复耕。土地整治包括场地清理和整地。</w:t>
      </w:r>
    </w:p>
    <w:p w:rsidR="00580D8D" w:rsidRPr="00D630D1" w:rsidRDefault="00580D8D" w:rsidP="00580D8D">
      <w:pPr>
        <w:pStyle w:val="a1"/>
        <w:ind w:firstLine="480"/>
        <w:rPr>
          <w:rFonts w:ascii="Times New Roman" w:cs="Times New Roman"/>
        </w:rPr>
      </w:pPr>
      <w:r w:rsidRPr="00D630D1">
        <w:rPr>
          <w:rFonts w:ascii="Times New Roman" w:cs="Times New Roman"/>
        </w:rPr>
        <w:t>场地清理：清理并收集该区域的垃圾，集中堆放，对开挖动土区域进行坑凹回填，场地平整改造，恢复利用。</w:t>
      </w:r>
    </w:p>
    <w:p w:rsidR="00580D8D" w:rsidRPr="00D630D1" w:rsidRDefault="00580D8D" w:rsidP="00580D8D">
      <w:pPr>
        <w:pStyle w:val="a1"/>
        <w:ind w:firstLine="480"/>
        <w:rPr>
          <w:rFonts w:ascii="Times New Roman" w:cs="Times New Roman"/>
        </w:rPr>
      </w:pPr>
      <w:r w:rsidRPr="00D630D1">
        <w:rPr>
          <w:rFonts w:ascii="Times New Roman" w:cs="Times New Roman"/>
        </w:rPr>
        <w:t>整地：包括平整土地、翻地改善土壤理化性状，给植物及农作物生长尤其是根的发育创造了适宜的土壤条件。其方法和要求：先将表土翻松，再进行细平工作，局部高差较大处，进行回填，做到挖填同时进行。平整时应采取就近原则，开挖及回填时应保证表土回填前土块有足够的保水层，防止表土层底部漏水，并配合平整进行表土覆土。</w:t>
      </w:r>
    </w:p>
    <w:p w:rsidR="00580D8D" w:rsidRPr="00D630D1" w:rsidRDefault="00580D8D" w:rsidP="00580D8D">
      <w:pPr>
        <w:pStyle w:val="a1"/>
        <w:ind w:firstLine="482"/>
        <w:rPr>
          <w:rFonts w:ascii="Times New Roman" w:cs="Times New Roman"/>
          <w:b/>
        </w:rPr>
      </w:pPr>
      <w:r w:rsidRPr="00D630D1">
        <w:rPr>
          <w:rFonts w:ascii="Times New Roman" w:cs="Times New Roman"/>
          <w:b/>
        </w:rPr>
        <w:t>2</w:t>
      </w:r>
      <w:r w:rsidRPr="00D630D1">
        <w:rPr>
          <w:rFonts w:ascii="Times New Roman" w:cs="Times New Roman"/>
          <w:b/>
        </w:rPr>
        <w:t>、临时措施</w:t>
      </w:r>
    </w:p>
    <w:p w:rsidR="00580D8D" w:rsidRPr="00D630D1" w:rsidRDefault="00580D8D" w:rsidP="00580D8D">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）临时彩条布苫盖</w:t>
      </w:r>
    </w:p>
    <w:p w:rsidR="00D4235D" w:rsidRPr="00D630D1" w:rsidRDefault="00580D8D" w:rsidP="00580D8D">
      <w:pPr>
        <w:pStyle w:val="a1"/>
        <w:ind w:firstLine="480"/>
        <w:rPr>
          <w:rFonts w:ascii="Times New Roman" w:cs="Times New Roman"/>
        </w:rPr>
      </w:pPr>
      <w:r w:rsidRPr="00D630D1">
        <w:rPr>
          <w:rFonts w:ascii="Times New Roman" w:cs="Times New Roman"/>
        </w:rPr>
        <w:t>施工中对井场进场道路裸露边坡进行临时彩条布苫盖，需彩条布面积为</w:t>
      </w:r>
      <w:r w:rsidR="00FD5966">
        <w:rPr>
          <w:rFonts w:ascii="Times New Roman" w:cs="Times New Roman" w:hint="eastAsia"/>
        </w:rPr>
        <w:t>300</w:t>
      </w:r>
      <w:r w:rsidRPr="00D630D1">
        <w:rPr>
          <w:rFonts w:ascii="Times New Roman" w:cs="Times New Roman"/>
        </w:rPr>
        <w:t>m</w:t>
      </w:r>
      <w:r w:rsidRPr="00D630D1">
        <w:rPr>
          <w:rFonts w:ascii="Times New Roman" w:cs="Times New Roman"/>
          <w:vertAlign w:val="superscript"/>
        </w:rPr>
        <w:t>2</w:t>
      </w:r>
      <w:r w:rsidRPr="00D630D1">
        <w:rPr>
          <w:rFonts w:ascii="Times New Roman" w:cs="Times New Roman"/>
        </w:rPr>
        <w:t>。</w:t>
      </w:r>
    </w:p>
    <w:p w:rsidR="00580D8D" w:rsidRPr="00D630D1" w:rsidRDefault="00580D8D" w:rsidP="00580D8D">
      <w:pPr>
        <w:pStyle w:val="a1"/>
        <w:ind w:firstLine="482"/>
        <w:rPr>
          <w:rFonts w:ascii="Times New Roman" w:cs="Times New Roman"/>
          <w:b/>
        </w:rPr>
      </w:pPr>
      <w:r w:rsidRPr="00D630D1">
        <w:rPr>
          <w:rFonts w:ascii="Times New Roman" w:cs="Times New Roman" w:hint="eastAsia"/>
          <w:b/>
        </w:rPr>
        <w:t>3.3</w:t>
      </w:r>
      <w:r w:rsidRPr="00D630D1">
        <w:rPr>
          <w:rFonts w:ascii="Times New Roman" w:cs="Times New Roman" w:hint="eastAsia"/>
          <w:b/>
        </w:rPr>
        <w:t>临时堆土区</w:t>
      </w:r>
    </w:p>
    <w:p w:rsidR="00580D8D" w:rsidRPr="00D630D1" w:rsidRDefault="00580D8D" w:rsidP="00580D8D">
      <w:pPr>
        <w:pStyle w:val="a1"/>
        <w:ind w:firstLine="480"/>
        <w:rPr>
          <w:rFonts w:ascii="Times New Roman" w:cs="Times New Roman"/>
        </w:rPr>
      </w:pPr>
      <w:r w:rsidRPr="00D630D1">
        <w:rPr>
          <w:rFonts w:ascii="Times New Roman" w:cs="Times New Roman"/>
        </w:rPr>
        <w:t>本</w:t>
      </w:r>
      <w:r w:rsidRPr="00D630D1">
        <w:rPr>
          <w:rFonts w:ascii="Times New Roman" w:cs="Times New Roman" w:hint="eastAsia"/>
        </w:rPr>
        <w:t>项目临时堆土区水土流水防治措施主要为</w:t>
      </w:r>
      <w:r w:rsidRPr="00D630D1">
        <w:rPr>
          <w:rFonts w:ascii="Times New Roman" w:cs="Times New Roman"/>
        </w:rPr>
        <w:t>覆土、土地整治、植物及临时措施。</w:t>
      </w:r>
    </w:p>
    <w:p w:rsidR="00580D8D" w:rsidRPr="00D630D1" w:rsidRDefault="00580D8D" w:rsidP="00580D8D">
      <w:pPr>
        <w:pStyle w:val="a1"/>
        <w:ind w:firstLine="482"/>
        <w:rPr>
          <w:rFonts w:ascii="Times New Roman" w:cs="Times New Roman"/>
          <w:b/>
        </w:rPr>
      </w:pPr>
      <w:r w:rsidRPr="00D630D1">
        <w:rPr>
          <w:rFonts w:ascii="Times New Roman" w:cs="Times New Roman"/>
          <w:b/>
        </w:rPr>
        <w:t>1</w:t>
      </w:r>
      <w:r w:rsidRPr="00D630D1">
        <w:rPr>
          <w:rFonts w:ascii="Times New Roman" w:cs="Times New Roman"/>
          <w:b/>
        </w:rPr>
        <w:t>、工程措施</w:t>
      </w:r>
    </w:p>
    <w:p w:rsidR="00580D8D" w:rsidRPr="00D630D1" w:rsidRDefault="00580D8D" w:rsidP="00580D8D">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）土地整治</w:t>
      </w:r>
    </w:p>
    <w:p w:rsidR="00580D8D" w:rsidRPr="00D630D1" w:rsidRDefault="00580D8D" w:rsidP="00580D8D">
      <w:pPr>
        <w:pStyle w:val="a1"/>
        <w:ind w:firstLine="480"/>
        <w:rPr>
          <w:rFonts w:ascii="Times New Roman" w:cs="Times New Roman"/>
        </w:rPr>
      </w:pPr>
      <w:r w:rsidRPr="00D630D1">
        <w:rPr>
          <w:rFonts w:ascii="Times New Roman" w:cs="Times New Roman"/>
        </w:rPr>
        <w:t>施工结束后，对裸露或扰动区域进行土地整治，整治面积共计</w:t>
      </w:r>
      <w:r w:rsidRPr="00D630D1">
        <w:rPr>
          <w:rFonts w:ascii="Times New Roman" w:cs="Times New Roman" w:hint="eastAsia"/>
        </w:rPr>
        <w:t>1</w:t>
      </w:r>
      <w:r w:rsidR="00FD5966">
        <w:rPr>
          <w:rFonts w:ascii="Times New Roman" w:cs="Times New Roman" w:hint="eastAsia"/>
        </w:rPr>
        <w:t>0</w:t>
      </w:r>
      <w:r w:rsidRPr="00D630D1">
        <w:rPr>
          <w:rFonts w:ascii="Times New Roman" w:cs="Times New Roman" w:hint="eastAsia"/>
        </w:rPr>
        <w:t>00</w:t>
      </w:r>
      <w:r w:rsidRPr="00D630D1">
        <w:rPr>
          <w:rFonts w:ascii="Times New Roman" w:cs="Times New Roman"/>
        </w:rPr>
        <w:t>m</w:t>
      </w:r>
      <w:r w:rsidRPr="00D630D1">
        <w:rPr>
          <w:rFonts w:ascii="Times New Roman" w:cs="Times New Roman"/>
          <w:vertAlign w:val="superscript"/>
        </w:rPr>
        <w:t>2</w:t>
      </w:r>
      <w:r w:rsidRPr="00D630D1">
        <w:rPr>
          <w:rFonts w:ascii="Times New Roman" w:cs="Times New Roman"/>
        </w:rPr>
        <w:t>，土地整治后进行复耕。土地整治包括场地清理和整地。</w:t>
      </w:r>
    </w:p>
    <w:p w:rsidR="00580D8D" w:rsidRPr="00D630D1" w:rsidRDefault="00580D8D" w:rsidP="00580D8D">
      <w:pPr>
        <w:pStyle w:val="a1"/>
        <w:ind w:firstLine="480"/>
        <w:rPr>
          <w:rFonts w:ascii="Times New Roman" w:cs="Times New Roman"/>
        </w:rPr>
      </w:pPr>
      <w:r w:rsidRPr="00D630D1">
        <w:rPr>
          <w:rFonts w:ascii="Times New Roman" w:cs="Times New Roman"/>
        </w:rPr>
        <w:t>场地清理：清理并收集该区域的垃圾，集中堆放，对开挖动土区域进行坑凹回填，场地平整改造，恢复利用。</w:t>
      </w:r>
    </w:p>
    <w:p w:rsidR="00580D8D" w:rsidRPr="00D630D1" w:rsidRDefault="00580D8D" w:rsidP="00580D8D">
      <w:pPr>
        <w:pStyle w:val="a1"/>
        <w:ind w:firstLine="480"/>
        <w:rPr>
          <w:rFonts w:ascii="Times New Roman" w:cs="Times New Roman"/>
        </w:rPr>
      </w:pPr>
      <w:r w:rsidRPr="00D630D1">
        <w:rPr>
          <w:rFonts w:ascii="Times New Roman" w:cs="Times New Roman"/>
        </w:rPr>
        <w:lastRenderedPageBreak/>
        <w:t>整地：包括平整土地、翻地改善土壤理化性状，给植物及农作物生长尤其是根的发育创造了适宜的土壤条件。其方法和要求：先将表土翻松，再进行细平工作，局部高差较大处，进行回填，做到挖填同时进行。平整时应采取就近原则，开挖及回填时应保证表土回填前土块有足够的保水层，防止表土层底部漏水，并配合平整进行表土覆土。</w:t>
      </w:r>
    </w:p>
    <w:p w:rsidR="00580D8D" w:rsidRPr="00D630D1" w:rsidRDefault="00580D8D" w:rsidP="00580D8D">
      <w:pPr>
        <w:pStyle w:val="a1"/>
        <w:ind w:firstLine="482"/>
        <w:rPr>
          <w:rFonts w:ascii="Times New Roman" w:cs="Times New Roman"/>
          <w:b/>
        </w:rPr>
      </w:pPr>
      <w:r w:rsidRPr="00D630D1">
        <w:rPr>
          <w:rFonts w:ascii="Times New Roman" w:cs="Times New Roman"/>
          <w:b/>
        </w:rPr>
        <w:t>2</w:t>
      </w:r>
      <w:r w:rsidRPr="00D630D1">
        <w:rPr>
          <w:rFonts w:ascii="Times New Roman" w:cs="Times New Roman"/>
          <w:b/>
        </w:rPr>
        <w:t>、植物措施</w:t>
      </w:r>
    </w:p>
    <w:p w:rsidR="00580D8D" w:rsidRPr="00D630D1" w:rsidRDefault="00580D8D" w:rsidP="00580D8D">
      <w:pPr>
        <w:pStyle w:val="a1"/>
        <w:ind w:firstLine="480"/>
        <w:rPr>
          <w:rFonts w:ascii="Times New Roman" w:cs="Times New Roman"/>
        </w:rPr>
      </w:pPr>
      <w:r w:rsidRPr="00D630D1">
        <w:rPr>
          <w:rFonts w:ascii="Times New Roman" w:cs="Times New Roman" w:hint="eastAsia"/>
        </w:rPr>
        <w:t>①</w:t>
      </w:r>
      <w:r w:rsidRPr="00D630D1">
        <w:rPr>
          <w:rFonts w:ascii="Times New Roman" w:cs="Times New Roman"/>
        </w:rPr>
        <w:t>撒播草籽</w:t>
      </w:r>
    </w:p>
    <w:p w:rsidR="00580D8D" w:rsidRPr="00D630D1" w:rsidRDefault="00580D8D" w:rsidP="00580D8D">
      <w:pPr>
        <w:pStyle w:val="a1"/>
        <w:ind w:firstLine="480"/>
        <w:rPr>
          <w:rFonts w:ascii="Times New Roman" w:cs="Times New Roman"/>
        </w:rPr>
      </w:pPr>
      <w:r w:rsidRPr="00D630D1">
        <w:rPr>
          <w:rFonts w:ascii="Times New Roman" w:cs="Times New Roman"/>
        </w:rPr>
        <w:t>表土堆放过程中，对表土堆放放场堆土表面播撒草种进行临时植被恢复，播撒草种面积为约</w:t>
      </w:r>
      <w:r w:rsidR="00E211D7" w:rsidRPr="00D630D1">
        <w:rPr>
          <w:rFonts w:ascii="Times New Roman" w:cs="Times New Roman" w:hint="eastAsia"/>
        </w:rPr>
        <w:t>1</w:t>
      </w:r>
      <w:r w:rsidR="00FD5966">
        <w:rPr>
          <w:rFonts w:ascii="Times New Roman" w:cs="Times New Roman" w:hint="eastAsia"/>
        </w:rPr>
        <w:t>0</w:t>
      </w:r>
      <w:r w:rsidR="00E211D7" w:rsidRPr="00D630D1">
        <w:rPr>
          <w:rFonts w:ascii="Times New Roman" w:cs="Times New Roman" w:hint="eastAsia"/>
        </w:rPr>
        <w:t>00</w:t>
      </w:r>
      <w:r w:rsidRPr="00D630D1">
        <w:rPr>
          <w:rFonts w:ascii="Times New Roman" w:cs="Times New Roman"/>
        </w:rPr>
        <w:t>m</w:t>
      </w:r>
      <w:r w:rsidRPr="00D630D1">
        <w:rPr>
          <w:rFonts w:ascii="Times New Roman" w:cs="Times New Roman"/>
          <w:vertAlign w:val="superscript"/>
        </w:rPr>
        <w:t>2</w:t>
      </w:r>
      <w:r w:rsidRPr="00D630D1">
        <w:rPr>
          <w:rFonts w:ascii="Times New Roman" w:cs="Times New Roman"/>
        </w:rPr>
        <w:t>，草种选用三叶草或狗牙根。</w:t>
      </w:r>
    </w:p>
    <w:p w:rsidR="00580D8D" w:rsidRPr="00D630D1" w:rsidRDefault="00580D8D" w:rsidP="00580D8D">
      <w:pPr>
        <w:pStyle w:val="a1"/>
        <w:ind w:firstLine="482"/>
        <w:rPr>
          <w:rFonts w:ascii="Times New Roman" w:cs="Times New Roman"/>
          <w:b/>
        </w:rPr>
      </w:pPr>
      <w:r w:rsidRPr="00D630D1">
        <w:rPr>
          <w:rFonts w:ascii="Times New Roman" w:cs="Times New Roman"/>
          <w:b/>
        </w:rPr>
        <w:t>3</w:t>
      </w:r>
      <w:r w:rsidRPr="00D630D1">
        <w:rPr>
          <w:rFonts w:ascii="Times New Roman" w:cs="Times New Roman"/>
          <w:b/>
        </w:rPr>
        <w:t>、临时措施</w:t>
      </w:r>
    </w:p>
    <w:p w:rsidR="00580D8D" w:rsidRPr="00D630D1" w:rsidRDefault="00580D8D" w:rsidP="00580D8D">
      <w:pPr>
        <w:pStyle w:val="a1"/>
        <w:ind w:firstLine="480"/>
        <w:rPr>
          <w:rFonts w:ascii="Times New Roman" w:cs="Times New Roman"/>
        </w:rPr>
      </w:pPr>
      <w:r w:rsidRPr="00D630D1">
        <w:rPr>
          <w:rFonts w:ascii="Times New Roman" w:cs="Times New Roman"/>
        </w:rPr>
        <w:t>对临时堆土区</w:t>
      </w:r>
      <w:r w:rsidR="00E211D7" w:rsidRPr="00D630D1">
        <w:rPr>
          <w:rFonts w:ascii="Times New Roman" w:cs="Times New Roman" w:hint="eastAsia"/>
          <w:lang w:val="en-GB"/>
        </w:rPr>
        <w:t>东</w:t>
      </w:r>
      <w:r w:rsidRPr="00D630D1">
        <w:rPr>
          <w:rFonts w:ascii="Times New Roman" w:cs="Times New Roman"/>
          <w:lang w:val="en-GB"/>
        </w:rPr>
        <w:t>侧</w:t>
      </w:r>
      <w:r w:rsidR="00E211D7" w:rsidRPr="00D630D1">
        <w:rPr>
          <w:rFonts w:ascii="Times New Roman" w:cs="Times New Roman" w:hint="eastAsia"/>
          <w:lang w:val="en-GB"/>
        </w:rPr>
        <w:t>设置挡墙，高度</w:t>
      </w:r>
      <w:r w:rsidR="00E211D7" w:rsidRPr="00D630D1">
        <w:rPr>
          <w:rFonts w:ascii="Times New Roman" w:cs="Times New Roman" w:hint="eastAsia"/>
          <w:lang w:val="en-GB"/>
        </w:rPr>
        <w:t>2~4.5m</w:t>
      </w:r>
      <w:r w:rsidRPr="00D630D1">
        <w:rPr>
          <w:rFonts w:ascii="Times New Roman" w:cs="Times New Roman"/>
          <w:lang w:val="en-GB"/>
        </w:rPr>
        <w:t>，</w:t>
      </w:r>
      <w:r w:rsidR="00E211D7" w:rsidRPr="00D630D1">
        <w:rPr>
          <w:rFonts w:ascii="Times New Roman" w:cs="Times New Roman" w:hint="eastAsia"/>
        </w:rPr>
        <w:t>长度</w:t>
      </w:r>
      <w:r w:rsidR="00FD5966">
        <w:rPr>
          <w:rFonts w:ascii="Times New Roman" w:cs="Times New Roman" w:hint="eastAsia"/>
        </w:rPr>
        <w:t>20</w:t>
      </w:r>
      <w:r w:rsidR="00E211D7" w:rsidRPr="00D630D1">
        <w:rPr>
          <w:rFonts w:ascii="Times New Roman" w:cs="Times New Roman" w:hint="eastAsia"/>
        </w:rPr>
        <w:t>m</w:t>
      </w:r>
      <w:r w:rsidRPr="00D630D1">
        <w:rPr>
          <w:rFonts w:ascii="Times New Roman" w:cs="Times New Roman"/>
          <w:lang w:val="en-GB"/>
        </w:rPr>
        <w:t>，堆放的表土全部用于后期覆土。</w:t>
      </w:r>
    </w:p>
    <w:p w:rsidR="00D4235D" w:rsidRPr="00D630D1" w:rsidRDefault="00E211D7" w:rsidP="00E211D7">
      <w:pPr>
        <w:pStyle w:val="a1"/>
        <w:ind w:firstLine="482"/>
        <w:rPr>
          <w:rFonts w:ascii="Times New Roman" w:cs="Times New Roman"/>
        </w:rPr>
      </w:pPr>
      <w:r w:rsidRPr="00D630D1">
        <w:rPr>
          <w:rFonts w:ascii="Times New Roman" w:cs="Times New Roman" w:hint="eastAsia"/>
          <w:b/>
        </w:rPr>
        <w:t>7.4</w:t>
      </w:r>
      <w:r w:rsidRPr="00D630D1">
        <w:rPr>
          <w:rFonts w:ascii="Times New Roman" w:cs="Times New Roman"/>
          <w:b/>
        </w:rPr>
        <w:t>水土流失防治措施</w:t>
      </w:r>
      <w:r w:rsidRPr="00D630D1">
        <w:rPr>
          <w:rFonts w:ascii="Times New Roman" w:cs="Times New Roman" w:hint="eastAsia"/>
          <w:b/>
        </w:rPr>
        <w:t>施工要求</w:t>
      </w:r>
    </w:p>
    <w:p w:rsidR="00E211D7" w:rsidRPr="00D630D1" w:rsidRDefault="00E211D7" w:rsidP="00E211D7">
      <w:pPr>
        <w:pStyle w:val="a1"/>
        <w:ind w:firstLine="480"/>
        <w:rPr>
          <w:rFonts w:ascii="Times New Roman" w:cs="Times New Roman"/>
        </w:rPr>
      </w:pPr>
      <w:r w:rsidRPr="00D630D1">
        <w:rPr>
          <w:rFonts w:ascii="Times New Roman" w:cs="Times New Roman"/>
        </w:rPr>
        <w:t>水土保持工程措施和植物措施施工方法采用常规施工方法，交通不便和施工场地较狭窄区域以人工作业为主，其他施工作业时尽可能选择机械作业并辅以人工相结合。</w:t>
      </w:r>
    </w:p>
    <w:p w:rsidR="00E211D7" w:rsidRPr="00D630D1" w:rsidRDefault="00E211D7" w:rsidP="00E211D7">
      <w:pPr>
        <w:pStyle w:val="a1"/>
        <w:ind w:firstLine="482"/>
        <w:rPr>
          <w:rFonts w:ascii="Times New Roman" w:cs="Times New Roman"/>
          <w:b/>
        </w:rPr>
      </w:pPr>
      <w:r w:rsidRPr="00D630D1">
        <w:rPr>
          <w:rFonts w:ascii="Times New Roman" w:cs="Times New Roman"/>
          <w:b/>
        </w:rPr>
        <w:t>1</w:t>
      </w:r>
      <w:r w:rsidRPr="00D630D1">
        <w:rPr>
          <w:rFonts w:ascii="Times New Roman" w:cs="Times New Roman"/>
          <w:b/>
        </w:rPr>
        <w:t>、土地整治工程</w:t>
      </w:r>
    </w:p>
    <w:p w:rsidR="00E211D7" w:rsidRPr="00D630D1" w:rsidRDefault="00E211D7" w:rsidP="00E211D7">
      <w:pPr>
        <w:pStyle w:val="a1"/>
        <w:ind w:firstLine="480"/>
        <w:rPr>
          <w:rFonts w:ascii="Times New Roman" w:cs="Times New Roman"/>
        </w:rPr>
      </w:pPr>
      <w:r w:rsidRPr="00D630D1">
        <w:rPr>
          <w:rFonts w:ascii="Times New Roman" w:cs="Times New Roman"/>
        </w:rPr>
        <w:t>本项目土地整治工程主要是对临时占地施工完成后，需要回填表土并恢复原地貌土地类型，而进行的地貌平整、表层土翻松、等一系列小型整治工程措施。在实施以上工程措施的同时，结合土地使用的立地条件及项目区生产建设需要，尽量采取深耕深松、增施有机肥等土壤改良措施，对防治责任范围内的耕作用地及林业用地进行改造整治，恢复原土地类型的生产力。</w:t>
      </w:r>
    </w:p>
    <w:p w:rsidR="00E211D7" w:rsidRPr="00D630D1" w:rsidRDefault="00E211D7" w:rsidP="00E211D7">
      <w:pPr>
        <w:pStyle w:val="a1"/>
        <w:ind w:firstLine="482"/>
        <w:rPr>
          <w:rFonts w:ascii="Times New Roman" w:cs="Times New Roman"/>
          <w:b/>
        </w:rPr>
      </w:pPr>
      <w:r w:rsidRPr="00D630D1">
        <w:rPr>
          <w:rFonts w:ascii="Times New Roman" w:cs="Times New Roman"/>
          <w:b/>
        </w:rPr>
        <w:t>2</w:t>
      </w:r>
      <w:r w:rsidRPr="00D630D1">
        <w:rPr>
          <w:rFonts w:ascii="Times New Roman" w:cs="Times New Roman"/>
          <w:b/>
        </w:rPr>
        <w:t>、土石方开挖及回填</w:t>
      </w:r>
    </w:p>
    <w:p w:rsidR="00E211D7" w:rsidRPr="00D630D1" w:rsidRDefault="00E211D7" w:rsidP="00E211D7">
      <w:pPr>
        <w:pStyle w:val="a1"/>
        <w:ind w:firstLine="480"/>
        <w:rPr>
          <w:rFonts w:ascii="Times New Roman" w:cs="Times New Roman"/>
        </w:rPr>
      </w:pPr>
      <w:r w:rsidRPr="00D630D1">
        <w:rPr>
          <w:rFonts w:ascii="Times New Roman" w:cs="Times New Roman"/>
        </w:rPr>
        <w:t>石方开挖采用手风钻浅孔，小范围爆破，人工开挖，开挖弃渣综合利用，土夹石开挖采用人工或机械进行。</w:t>
      </w:r>
    </w:p>
    <w:p w:rsidR="00E211D7" w:rsidRPr="00D630D1" w:rsidRDefault="00E211D7" w:rsidP="00E211D7">
      <w:pPr>
        <w:pStyle w:val="a1"/>
        <w:ind w:firstLine="482"/>
        <w:rPr>
          <w:rFonts w:ascii="Times New Roman" w:cs="Times New Roman"/>
          <w:b/>
        </w:rPr>
      </w:pPr>
      <w:r w:rsidRPr="00D630D1">
        <w:rPr>
          <w:rFonts w:ascii="Times New Roman" w:cs="Times New Roman"/>
          <w:b/>
        </w:rPr>
        <w:t>3</w:t>
      </w:r>
      <w:r w:rsidRPr="00D630D1">
        <w:rPr>
          <w:rFonts w:ascii="Times New Roman" w:cs="Times New Roman"/>
          <w:b/>
        </w:rPr>
        <w:t>、林草措施布设</w:t>
      </w:r>
    </w:p>
    <w:p w:rsidR="00E211D7" w:rsidRPr="00D630D1" w:rsidRDefault="00E211D7" w:rsidP="00E211D7">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）植物种类选择</w:t>
      </w:r>
    </w:p>
    <w:p w:rsidR="00E211D7" w:rsidRPr="00D630D1" w:rsidRDefault="00E211D7" w:rsidP="00E211D7">
      <w:pPr>
        <w:pStyle w:val="a1"/>
        <w:ind w:firstLine="480"/>
        <w:rPr>
          <w:rFonts w:ascii="Times New Roman" w:cs="Times New Roman"/>
        </w:rPr>
      </w:pPr>
      <w:r w:rsidRPr="00D630D1">
        <w:rPr>
          <w:rFonts w:ascii="Times New Roman" w:cs="Times New Roman"/>
        </w:rPr>
        <w:t>项目区地处亚热带湿润季风气候区，应选择喜湿、喜温、根系发达、固土作用强、生长迅速的植物种类。根据项目区植被分布及植被类型，尽量选用当地乡土树草种或适生树草种作为本方案的绿化树草种。</w:t>
      </w:r>
    </w:p>
    <w:p w:rsidR="00E211D7" w:rsidRPr="00D630D1" w:rsidRDefault="00E211D7" w:rsidP="00E211D7">
      <w:pPr>
        <w:pStyle w:val="a1"/>
        <w:ind w:firstLine="480"/>
        <w:rPr>
          <w:rFonts w:ascii="Times New Roman" w:cs="Times New Roman"/>
        </w:rPr>
      </w:pPr>
      <w:r w:rsidRPr="00D630D1">
        <w:rPr>
          <w:rFonts w:ascii="Times New Roman" w:cs="Times New Roman"/>
        </w:rPr>
        <w:lastRenderedPageBreak/>
        <w:t>（</w:t>
      </w:r>
      <w:r w:rsidRPr="00D630D1">
        <w:rPr>
          <w:rFonts w:ascii="Times New Roman" w:cs="Times New Roman"/>
        </w:rPr>
        <w:t>2</w:t>
      </w:r>
      <w:r w:rsidRPr="00D630D1">
        <w:rPr>
          <w:rFonts w:ascii="Times New Roman" w:cs="Times New Roman"/>
        </w:rPr>
        <w:t>）种草</w:t>
      </w:r>
    </w:p>
    <w:p w:rsidR="00E211D7" w:rsidRPr="00D630D1" w:rsidRDefault="00E211D7" w:rsidP="00E211D7">
      <w:pPr>
        <w:pStyle w:val="a1"/>
        <w:ind w:firstLine="480"/>
        <w:rPr>
          <w:rFonts w:ascii="Times New Roman" w:cs="Times New Roman"/>
        </w:rPr>
      </w:pPr>
      <w:r w:rsidRPr="00D630D1">
        <w:rPr>
          <w:rFonts w:ascii="Times New Roman" w:cs="Times New Roman"/>
        </w:rPr>
        <w:t>草本植物种植一般采用如下方式进行：</w:t>
      </w:r>
    </w:p>
    <w:p w:rsidR="00E211D7" w:rsidRPr="00D630D1" w:rsidRDefault="00E211D7" w:rsidP="00E211D7">
      <w:pPr>
        <w:pStyle w:val="a1"/>
        <w:ind w:firstLine="480"/>
        <w:rPr>
          <w:rFonts w:ascii="Times New Roman" w:cs="Times New Roman"/>
        </w:rPr>
      </w:pPr>
      <w:r w:rsidRPr="00D630D1">
        <w:rPr>
          <w:rFonts w:ascii="Times New Roman" w:cs="Times New Roman"/>
        </w:rPr>
        <w:t>鉴于项目区水热条件较好，本项目主要采用撒播方式进行种草，草种应选用适应性强的耐热、耐湿、耐贫瘠；繁殖容易、管理方便的当地适生草种。</w:t>
      </w:r>
    </w:p>
    <w:p w:rsidR="00E211D7" w:rsidRPr="00D630D1" w:rsidRDefault="00E211D7" w:rsidP="00E211D7">
      <w:pPr>
        <w:pStyle w:val="a1"/>
        <w:ind w:firstLine="480"/>
        <w:rPr>
          <w:rFonts w:ascii="Times New Roman" w:cs="Times New Roman"/>
        </w:rPr>
      </w:pPr>
      <w:r w:rsidRPr="00D630D1">
        <w:rPr>
          <w:rFonts w:ascii="Times New Roman" w:cs="Times New Roman"/>
        </w:rPr>
        <w:t>草籽撒播首先进行整地，耕翻土层</w:t>
      </w:r>
      <w:r w:rsidRPr="00D630D1">
        <w:rPr>
          <w:rFonts w:ascii="Times New Roman" w:cs="Times New Roman"/>
        </w:rPr>
        <w:t>20cm</w:t>
      </w:r>
      <w:r w:rsidRPr="00D630D1">
        <w:rPr>
          <w:rFonts w:ascii="Times New Roman" w:cs="Times New Roman"/>
        </w:rPr>
        <w:t>左右，清除土层中的碎石等杂物，以形成一个疏松、透气、透水等适宜草种生长的苗床。种子处理去杂、精选，保证种子质量，播种前将精选的草种浸泡</w:t>
      </w:r>
      <w:r w:rsidRPr="00D630D1">
        <w:rPr>
          <w:rFonts w:ascii="Times New Roman" w:cs="Times New Roman"/>
        </w:rPr>
        <w:t>24</w:t>
      </w:r>
      <w:r w:rsidRPr="00D630D1">
        <w:rPr>
          <w:rFonts w:ascii="Times New Roman" w:cs="Times New Roman"/>
        </w:rPr>
        <w:t>小时以利于出芽，宜在春末夏初或夏季播种，适当施有机肥或</w:t>
      </w:r>
      <w:r w:rsidRPr="00D630D1">
        <w:rPr>
          <w:rFonts w:ascii="Times New Roman" w:cs="Times New Roman"/>
        </w:rPr>
        <w:t>N</w:t>
      </w:r>
      <w:r w:rsidRPr="00D630D1">
        <w:rPr>
          <w:rFonts w:ascii="Times New Roman" w:cs="Times New Roman"/>
        </w:rPr>
        <w:t>、</w:t>
      </w:r>
      <w:r w:rsidRPr="00D630D1">
        <w:rPr>
          <w:rFonts w:ascii="Times New Roman" w:cs="Times New Roman"/>
        </w:rPr>
        <w:t>P</w:t>
      </w:r>
      <w:r w:rsidRPr="00D630D1">
        <w:rPr>
          <w:rFonts w:ascii="Times New Roman" w:cs="Times New Roman"/>
        </w:rPr>
        <w:t>、</w:t>
      </w:r>
      <w:r w:rsidRPr="00D630D1">
        <w:rPr>
          <w:rFonts w:ascii="Times New Roman" w:cs="Times New Roman"/>
        </w:rPr>
        <w:t>K</w:t>
      </w:r>
      <w:r w:rsidRPr="00D630D1">
        <w:rPr>
          <w:rFonts w:ascii="Times New Roman" w:cs="Times New Roman"/>
        </w:rPr>
        <w:t>复合肥，及时浇水、施肥。</w:t>
      </w:r>
    </w:p>
    <w:p w:rsidR="00E211D7" w:rsidRPr="00D630D1" w:rsidRDefault="00E211D7" w:rsidP="00E211D7">
      <w:pPr>
        <w:pStyle w:val="a1"/>
        <w:ind w:firstLine="480"/>
        <w:rPr>
          <w:rFonts w:ascii="Times New Roman" w:cs="Times New Roman"/>
        </w:rPr>
      </w:pPr>
      <w:r w:rsidRPr="00D630D1">
        <w:rPr>
          <w:rFonts w:ascii="Times New Roman" w:cs="Times New Roman"/>
        </w:rPr>
        <w:t>植物措施抚育期</w:t>
      </w:r>
      <w:r w:rsidRPr="00D630D1">
        <w:rPr>
          <w:rFonts w:ascii="Times New Roman" w:cs="Times New Roman"/>
        </w:rPr>
        <w:t>6</w:t>
      </w:r>
      <w:r w:rsidRPr="00D630D1">
        <w:rPr>
          <w:rFonts w:ascii="Times New Roman" w:cs="Times New Roman"/>
        </w:rPr>
        <w:t>个月，播撒草种后植被在</w:t>
      </w:r>
      <w:r w:rsidRPr="00D630D1">
        <w:rPr>
          <w:rFonts w:ascii="Times New Roman" w:cs="Times New Roman"/>
        </w:rPr>
        <w:t>6</w:t>
      </w:r>
      <w:r w:rsidRPr="00D630D1">
        <w:rPr>
          <w:rFonts w:ascii="Times New Roman" w:cs="Times New Roman"/>
        </w:rPr>
        <w:t>个月内发挥植物措施效果。</w:t>
      </w:r>
    </w:p>
    <w:p w:rsidR="00E211D7" w:rsidRPr="00D630D1" w:rsidRDefault="00E211D7" w:rsidP="00E211D7">
      <w:pPr>
        <w:pStyle w:val="a1"/>
        <w:ind w:firstLine="482"/>
        <w:rPr>
          <w:rFonts w:ascii="Times New Roman" w:cs="Times New Roman"/>
          <w:b/>
        </w:rPr>
      </w:pPr>
      <w:r w:rsidRPr="00D630D1">
        <w:rPr>
          <w:rFonts w:ascii="Times New Roman" w:cs="Times New Roman"/>
          <w:b/>
        </w:rPr>
        <w:t>4</w:t>
      </w:r>
      <w:r w:rsidRPr="00D630D1">
        <w:rPr>
          <w:rFonts w:ascii="Times New Roman" w:cs="Times New Roman"/>
          <w:b/>
        </w:rPr>
        <w:t>、临时措施实施</w:t>
      </w:r>
    </w:p>
    <w:p w:rsidR="00E211D7" w:rsidRPr="00D630D1" w:rsidRDefault="00E211D7" w:rsidP="00E211D7">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）挡墙：主要用于临时堆存表土的拦挡，具体做法为：利用挖除的土方装入编织袋中，扎紧袋口，将沙袋码放在规划堆土场地周围，上下交错码放。</w:t>
      </w:r>
    </w:p>
    <w:p w:rsidR="00E211D7" w:rsidRPr="00D630D1" w:rsidRDefault="00E211D7" w:rsidP="00E211D7">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）防雨布覆盖：将防雨布铺在堆土（或堆料）表面，并用砖石压护。</w:t>
      </w:r>
    </w:p>
    <w:p w:rsidR="00E976D5" w:rsidRPr="00D630D1" w:rsidRDefault="00E976D5" w:rsidP="00E976D5">
      <w:pPr>
        <w:pStyle w:val="a1"/>
        <w:ind w:firstLine="482"/>
        <w:rPr>
          <w:rFonts w:ascii="Times New Roman" w:cs="Times New Roman"/>
        </w:rPr>
      </w:pPr>
      <w:r w:rsidRPr="00D630D1">
        <w:rPr>
          <w:rFonts w:ascii="Times New Roman" w:cs="Times New Roman" w:hint="eastAsia"/>
          <w:b/>
        </w:rPr>
        <w:t>7.4</w:t>
      </w:r>
      <w:r w:rsidRPr="00D630D1">
        <w:rPr>
          <w:rFonts w:ascii="Times New Roman" w:cs="Times New Roman" w:hint="eastAsia"/>
          <w:b/>
        </w:rPr>
        <w:t>管线施工</w:t>
      </w:r>
      <w:r w:rsidRPr="00D630D1">
        <w:rPr>
          <w:rFonts w:ascii="Times New Roman" w:cs="Times New Roman"/>
          <w:b/>
        </w:rPr>
        <w:t>水土流失防治措施</w:t>
      </w:r>
    </w:p>
    <w:p w:rsidR="00E976D5" w:rsidRPr="00D630D1" w:rsidRDefault="00E976D5" w:rsidP="00E976D5">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）尽量避开雨季施工；分段施工，做到随挖、随运、随铺、随压，尽量不留疏松地面，减少风蚀导致的水土流失。</w:t>
      </w:r>
    </w:p>
    <w:p w:rsidR="00E976D5" w:rsidRPr="00D630D1" w:rsidRDefault="00E976D5" w:rsidP="00E976D5">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）划定施工作业带范围和路线，不随意扩大。并严格控制机械和车辆的作业范围，尽可能减少对土壤和农作物的破坏以及由此引发的水土流失。</w:t>
      </w:r>
    </w:p>
    <w:p w:rsidR="00E976D5" w:rsidRPr="00D630D1" w:rsidRDefault="00E976D5" w:rsidP="00E976D5">
      <w:pPr>
        <w:pStyle w:val="a1"/>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）提高工程施工效率，缩短施工工期。</w:t>
      </w:r>
    </w:p>
    <w:p w:rsidR="00E976D5" w:rsidRPr="00D630D1" w:rsidRDefault="00E976D5" w:rsidP="00E976D5">
      <w:pPr>
        <w:pStyle w:val="a1"/>
        <w:ind w:firstLine="480"/>
        <w:rPr>
          <w:rFonts w:ascii="Times New Roman" w:cs="Times New Roman"/>
        </w:rPr>
      </w:pPr>
      <w:r w:rsidRPr="00D630D1">
        <w:rPr>
          <w:rFonts w:ascii="Times New Roman" w:cs="Times New Roman"/>
        </w:rPr>
        <w:t>（</w:t>
      </w:r>
      <w:r w:rsidRPr="00D630D1">
        <w:rPr>
          <w:rFonts w:ascii="Times New Roman" w:cs="Times New Roman"/>
        </w:rPr>
        <w:t>4</w:t>
      </w:r>
      <w:r w:rsidRPr="00D630D1">
        <w:rPr>
          <w:rFonts w:ascii="Times New Roman" w:cs="Times New Roman"/>
        </w:rPr>
        <w:t>）施工时将禁止材料的随意堆放，划定统一的堆料场，防止对植物破坏范围扩大。</w:t>
      </w:r>
    </w:p>
    <w:p w:rsidR="00E976D5" w:rsidRPr="00D630D1" w:rsidRDefault="00E976D5" w:rsidP="00E976D5">
      <w:pPr>
        <w:pStyle w:val="a1"/>
        <w:ind w:firstLine="480"/>
        <w:rPr>
          <w:rFonts w:ascii="Times New Roman" w:cs="Times New Roman"/>
        </w:rPr>
      </w:pPr>
      <w:r w:rsidRPr="00D630D1">
        <w:rPr>
          <w:rFonts w:ascii="Times New Roman" w:cs="Times New Roman"/>
        </w:rPr>
        <w:t>（</w:t>
      </w:r>
      <w:r w:rsidRPr="00D630D1">
        <w:rPr>
          <w:rFonts w:ascii="Times New Roman" w:cs="Times New Roman" w:hint="eastAsia"/>
        </w:rPr>
        <w:t>5</w:t>
      </w:r>
      <w:r w:rsidRPr="00D630D1">
        <w:rPr>
          <w:rFonts w:ascii="Times New Roman" w:cs="Times New Roman"/>
        </w:rPr>
        <w:t>）施工破坏的植被地带，施工结束后，及时恢复植被，减少水土流失。对于穿越的林地，管线敷设后，土方回填不仅遵循设计规范要求，还将遵循下石上土、下粗上细、肥沃的在上贫瘠的在下的原则。回填后管线两侧</w:t>
      </w:r>
      <w:r w:rsidRPr="00D630D1">
        <w:rPr>
          <w:rFonts w:ascii="Times New Roman" w:cs="Times New Roman"/>
        </w:rPr>
        <w:t>5m</w:t>
      </w:r>
      <w:r w:rsidRPr="00D630D1">
        <w:rPr>
          <w:rFonts w:ascii="Times New Roman" w:cs="Times New Roman"/>
        </w:rPr>
        <w:t>范围内栽种根系不发达、生长性强的植被。对于耕地，施工结束后，遵循上述相同的原则，进行复耕。</w:t>
      </w:r>
    </w:p>
    <w:p w:rsidR="00E976D5" w:rsidRPr="00D630D1" w:rsidRDefault="00E976D5" w:rsidP="00E211D7">
      <w:pPr>
        <w:pStyle w:val="a1"/>
        <w:ind w:firstLine="480"/>
        <w:rPr>
          <w:rFonts w:ascii="Times New Roman" w:cs="Times New Roman"/>
        </w:rPr>
      </w:pPr>
      <w:r w:rsidRPr="00D630D1">
        <w:rPr>
          <w:rFonts w:ascii="Times New Roman" w:cs="Times New Roman"/>
        </w:rPr>
        <w:t>（</w:t>
      </w:r>
      <w:r w:rsidRPr="00D630D1">
        <w:rPr>
          <w:rFonts w:ascii="Times New Roman" w:cs="Times New Roman" w:hint="eastAsia"/>
        </w:rPr>
        <w:t>6</w:t>
      </w:r>
      <w:r w:rsidRPr="00D630D1">
        <w:rPr>
          <w:rFonts w:ascii="Times New Roman" w:cs="Times New Roman"/>
        </w:rPr>
        <w:t>）水土保持和水工保护措施相结合，工程措施和生物措施相互结合，分区进行布局。</w:t>
      </w:r>
    </w:p>
    <w:p w:rsidR="00117C3D" w:rsidRPr="00D630D1" w:rsidRDefault="007A3D54">
      <w:pPr>
        <w:pStyle w:val="3"/>
        <w:rPr>
          <w:rFonts w:eastAsia="宋体"/>
        </w:rPr>
      </w:pPr>
      <w:bookmarkStart w:id="612" w:name="_Toc19816127"/>
      <w:bookmarkStart w:id="613" w:name="_Toc12288790"/>
      <w:r w:rsidRPr="00D630D1">
        <w:rPr>
          <w:rFonts w:eastAsia="宋体"/>
        </w:rPr>
        <w:t>8</w:t>
      </w:r>
      <w:r w:rsidR="008B5B84" w:rsidRPr="00D630D1">
        <w:rPr>
          <w:rFonts w:eastAsia="宋体"/>
        </w:rPr>
        <w:t xml:space="preserve">.1.3 </w:t>
      </w:r>
      <w:r w:rsidR="008B5B84" w:rsidRPr="00D630D1">
        <w:rPr>
          <w:rFonts w:eastAsia="宋体"/>
        </w:rPr>
        <w:t>施工期污染防治措施</w:t>
      </w:r>
      <w:bookmarkEnd w:id="612"/>
      <w:bookmarkEnd w:id="613"/>
    </w:p>
    <w:p w:rsidR="00117C3D" w:rsidRPr="00D630D1" w:rsidRDefault="007A3D54">
      <w:pPr>
        <w:ind w:firstLine="482"/>
        <w:rPr>
          <w:rFonts w:ascii="Times New Roman" w:cs="Times New Roman"/>
          <w:b/>
        </w:rPr>
      </w:pPr>
      <w:r w:rsidRPr="00D630D1">
        <w:rPr>
          <w:rFonts w:ascii="Times New Roman" w:cs="Times New Roman"/>
          <w:b/>
        </w:rPr>
        <w:t>1</w:t>
      </w:r>
      <w:r w:rsidR="008B5B84" w:rsidRPr="00D630D1">
        <w:rPr>
          <w:rFonts w:ascii="Times New Roman" w:cs="Times New Roman"/>
          <w:b/>
        </w:rPr>
        <w:t>、废气染防治措施</w:t>
      </w:r>
    </w:p>
    <w:p w:rsidR="00117C3D" w:rsidRPr="00D630D1" w:rsidRDefault="008B5B84">
      <w:pPr>
        <w:pStyle w:val="a1"/>
        <w:ind w:firstLine="480"/>
        <w:rPr>
          <w:rFonts w:ascii="Times New Roman" w:cs="Times New Roman"/>
        </w:rPr>
      </w:pPr>
      <w:r w:rsidRPr="00D630D1">
        <w:rPr>
          <w:rFonts w:ascii="Times New Roman" w:cs="Times New Roman"/>
        </w:rPr>
        <w:lastRenderedPageBreak/>
        <w:t>施工废气主要来自地面开挖和运输车辆行驶产生的扬尘</w:t>
      </w:r>
      <w:r w:rsidR="0057018C" w:rsidRPr="00D630D1">
        <w:rPr>
          <w:rFonts w:ascii="Times New Roman" w:cs="Times New Roman"/>
        </w:rPr>
        <w:t>、</w:t>
      </w:r>
      <w:r w:rsidRPr="00D630D1">
        <w:rPr>
          <w:rFonts w:ascii="Times New Roman" w:cs="Times New Roman"/>
        </w:rPr>
        <w:t>施工机械（柴油机）排放的尾气</w:t>
      </w:r>
      <w:r w:rsidR="00907B8A" w:rsidRPr="00D630D1">
        <w:rPr>
          <w:rFonts w:ascii="Times New Roman" w:cs="Times New Roman" w:hint="eastAsia"/>
        </w:rPr>
        <w:t>、</w:t>
      </w:r>
      <w:r w:rsidR="00907B8A" w:rsidRPr="00D630D1">
        <w:rPr>
          <w:rFonts w:ascii="Times New Roman"/>
        </w:rPr>
        <w:t>气体钻粉尘</w:t>
      </w:r>
      <w:r w:rsidR="00907B8A" w:rsidRPr="00D630D1">
        <w:rPr>
          <w:rFonts w:ascii="Times New Roman" w:hint="eastAsia"/>
        </w:rPr>
        <w:t>、测试放喷废气</w:t>
      </w:r>
      <w:r w:rsidR="0057018C" w:rsidRPr="00D630D1">
        <w:rPr>
          <w:rFonts w:ascii="Times New Roman" w:cs="Times New Roman"/>
        </w:rPr>
        <w:t>。</w:t>
      </w:r>
    </w:p>
    <w:p w:rsidR="00117C3D" w:rsidRPr="00D630D1" w:rsidRDefault="007A3D54">
      <w:pPr>
        <w:pStyle w:val="a1"/>
        <w:ind w:firstLine="482"/>
        <w:rPr>
          <w:rFonts w:ascii="Times New Roman" w:cs="Times New Roman"/>
          <w:b/>
        </w:rPr>
      </w:pPr>
      <w:bookmarkStart w:id="614" w:name="_Toc12288791"/>
      <w:r w:rsidRPr="00D630D1">
        <w:rPr>
          <w:rFonts w:ascii="Times New Roman" w:cs="Times New Roman"/>
          <w:b/>
        </w:rPr>
        <w:t>（</w:t>
      </w:r>
      <w:r w:rsidRPr="00D630D1">
        <w:rPr>
          <w:rFonts w:ascii="Times New Roman" w:cs="Times New Roman"/>
          <w:b/>
        </w:rPr>
        <w:t>1</w:t>
      </w:r>
      <w:r w:rsidRPr="00D630D1">
        <w:rPr>
          <w:rFonts w:ascii="Times New Roman" w:cs="Times New Roman"/>
          <w:b/>
        </w:rPr>
        <w:t>）</w:t>
      </w:r>
      <w:r w:rsidR="008B5B84" w:rsidRPr="00D630D1">
        <w:rPr>
          <w:rFonts w:ascii="Times New Roman" w:cs="Times New Roman"/>
          <w:b/>
        </w:rPr>
        <w:t>施工扬尘</w:t>
      </w:r>
      <w:bookmarkEnd w:id="614"/>
    </w:p>
    <w:p w:rsidR="00117C3D" w:rsidRPr="00D630D1" w:rsidRDefault="008B5B84">
      <w:pPr>
        <w:pStyle w:val="a1"/>
        <w:ind w:firstLine="480"/>
        <w:rPr>
          <w:rFonts w:ascii="Times New Roman" w:cs="Times New Roman"/>
        </w:rPr>
      </w:pPr>
      <w:r w:rsidRPr="00D630D1">
        <w:rPr>
          <w:rFonts w:ascii="Times New Roman" w:cs="Times New Roman"/>
        </w:rPr>
        <w:t>相比其它施工废气而言，施工扬尘是造成周围大气环境污染最严重的，根据设计资料，为减少施工工程中扬尘的产生量，拟采取如下措施：</w:t>
      </w:r>
    </w:p>
    <w:p w:rsidR="00117C3D" w:rsidRPr="00D630D1" w:rsidRDefault="007A3D54">
      <w:pPr>
        <w:pStyle w:val="a1"/>
        <w:ind w:firstLine="480"/>
        <w:rPr>
          <w:rFonts w:ascii="Times New Roman" w:cs="Times New Roman"/>
        </w:rPr>
      </w:pPr>
      <w:r w:rsidRPr="00D630D1">
        <w:rPr>
          <w:rFonts w:hAnsi="宋体" w:hint="eastAsia"/>
        </w:rPr>
        <w:t>①</w:t>
      </w:r>
      <w:r w:rsidR="008B5B84" w:rsidRPr="00D630D1">
        <w:rPr>
          <w:rFonts w:ascii="Times New Roman" w:cs="Times New Roman"/>
        </w:rPr>
        <w:t>开挖施工过程中产生的扬尘，采用洒水车定期对作业面和土堆洒水，使其保持一定湿度，降低施工期的粉尘散发量。</w:t>
      </w:r>
    </w:p>
    <w:p w:rsidR="00117C3D" w:rsidRPr="00D630D1" w:rsidRDefault="007A3D54">
      <w:pPr>
        <w:pStyle w:val="a1"/>
        <w:ind w:firstLine="480"/>
        <w:rPr>
          <w:rFonts w:ascii="Times New Roman" w:cs="Times New Roman"/>
        </w:rPr>
      </w:pPr>
      <w:r w:rsidRPr="00D630D1">
        <w:rPr>
          <w:rFonts w:hAnsi="宋体" w:hint="eastAsia"/>
        </w:rPr>
        <w:t>②</w:t>
      </w:r>
      <w:r w:rsidR="008B5B84" w:rsidRPr="00D630D1">
        <w:rPr>
          <w:rFonts w:ascii="Times New Roman" w:cs="Times New Roman"/>
        </w:rPr>
        <w:t>在施工现场进行合理化管理，统一堆放材料，设置专门库房堆放水泥，尽量减少搬运环节，搬运时轻举轻放，防止包装袋破裂，施工散料运输车辆应采用加盖蓬布和湿法相结合的方式，减少扬尘对大气的污染，物料堆放时加盖蓬布。</w:t>
      </w:r>
    </w:p>
    <w:p w:rsidR="00117C3D" w:rsidRPr="00D630D1" w:rsidRDefault="007A3D54">
      <w:pPr>
        <w:pStyle w:val="a1"/>
        <w:ind w:firstLine="480"/>
        <w:rPr>
          <w:rFonts w:ascii="Times New Roman" w:cs="Times New Roman"/>
        </w:rPr>
      </w:pPr>
      <w:r w:rsidRPr="00D630D1">
        <w:rPr>
          <w:rFonts w:hAnsi="宋体" w:hint="eastAsia"/>
        </w:rPr>
        <w:t>③</w:t>
      </w:r>
      <w:r w:rsidR="008B5B84" w:rsidRPr="00D630D1">
        <w:rPr>
          <w:rFonts w:ascii="Times New Roman" w:cs="Times New Roman"/>
        </w:rPr>
        <w:t>当风速过大时，应停止施工作业，并对堆存的沙粉等建筑材料采取遮盖措施。</w:t>
      </w:r>
    </w:p>
    <w:p w:rsidR="00117C3D" w:rsidRPr="00D630D1" w:rsidRDefault="007A3D54">
      <w:pPr>
        <w:pStyle w:val="a1"/>
        <w:ind w:firstLine="480"/>
        <w:rPr>
          <w:rFonts w:ascii="Times New Roman" w:cs="Times New Roman"/>
        </w:rPr>
      </w:pPr>
      <w:r w:rsidRPr="00D630D1">
        <w:rPr>
          <w:rFonts w:hAnsi="宋体" w:hint="eastAsia"/>
        </w:rPr>
        <w:t>④</w:t>
      </w:r>
      <w:r w:rsidR="008B5B84" w:rsidRPr="00D630D1">
        <w:rPr>
          <w:rFonts w:ascii="Times New Roman" w:cs="Times New Roman"/>
        </w:rPr>
        <w:t>保持运输车辆完好，不过满装载，尽量采取遮盖、密闭措施，减少沿程抛洒，及时清扫散落在路面上的泥土和建筑材料，冲洗轮胎，定时洒水压尘，减少运输过程中的扬尘。同时，在经过住户、学校附近时，应减速慢行，尽量减少粉尘对敏感点的影响。</w:t>
      </w:r>
    </w:p>
    <w:p w:rsidR="00117C3D" w:rsidRPr="00D630D1" w:rsidRDefault="007A3D54">
      <w:pPr>
        <w:pStyle w:val="a1"/>
        <w:ind w:firstLine="480"/>
        <w:rPr>
          <w:rFonts w:ascii="Times New Roman" w:cs="Times New Roman"/>
        </w:rPr>
      </w:pPr>
      <w:r w:rsidRPr="00D630D1">
        <w:rPr>
          <w:rFonts w:hAnsi="宋体" w:hint="eastAsia"/>
        </w:rPr>
        <w:t>⑤</w:t>
      </w:r>
      <w:r w:rsidR="008B5B84" w:rsidRPr="00D630D1">
        <w:rPr>
          <w:rFonts w:ascii="Times New Roman" w:cs="Times New Roman"/>
        </w:rPr>
        <w:t>堆积于管沟两侧的临时堆土表面应覆盖毡土，防止尘土飞扬；同时在风力大于</w:t>
      </w:r>
      <w:r w:rsidR="008B5B84" w:rsidRPr="00D630D1">
        <w:rPr>
          <w:rFonts w:ascii="Times New Roman" w:cs="Times New Roman"/>
        </w:rPr>
        <w:t>4</w:t>
      </w:r>
      <w:r w:rsidR="008B5B84" w:rsidRPr="00D630D1">
        <w:rPr>
          <w:rFonts w:ascii="Times New Roman" w:cs="Times New Roman"/>
        </w:rPr>
        <w:t>级时停止土方开挖和回填等作业。</w:t>
      </w:r>
    </w:p>
    <w:p w:rsidR="00117C3D" w:rsidRPr="00D630D1" w:rsidRDefault="0057018C">
      <w:pPr>
        <w:pStyle w:val="a1"/>
        <w:ind w:firstLine="480"/>
        <w:rPr>
          <w:rFonts w:ascii="Times New Roman" w:cs="Times New Roman"/>
        </w:rPr>
      </w:pPr>
      <w:r w:rsidRPr="00D630D1">
        <w:rPr>
          <w:rFonts w:hAnsi="宋体" w:hint="eastAsia"/>
        </w:rPr>
        <w:t>⑥</w:t>
      </w:r>
      <w:r w:rsidRPr="00D630D1">
        <w:rPr>
          <w:rFonts w:ascii="Times New Roman" w:cs="Times New Roman"/>
        </w:rPr>
        <w:t>施工单位应严格遵守各级人民政府制定的建设施工管理制度，全面推行现场标准化管理，工地做到六必须（必须围挡作业、必须硬化道路、必须设置冲洗设施、必须及时洒水作业、必须落实保洁人员、必须定时清扫施工现场）；六不准（不准车辆带泥出门、不准运渣车辆冒顶装载、不准高空抛撒建筑垃圾、不准现场搅拌混凝土、不准场地积水、不准现场焚烧废弃物）。并且施工单位应严格落实本环评提出各项降尘措施。</w:t>
      </w:r>
    </w:p>
    <w:p w:rsidR="00117C3D" w:rsidRPr="00D630D1" w:rsidRDefault="008B5B84">
      <w:pPr>
        <w:pStyle w:val="a1"/>
        <w:ind w:firstLine="480"/>
        <w:rPr>
          <w:rFonts w:ascii="Times New Roman" w:cs="Times New Roman"/>
        </w:rPr>
      </w:pPr>
      <w:r w:rsidRPr="00D630D1">
        <w:rPr>
          <w:rFonts w:ascii="Times New Roman" w:cs="Times New Roman"/>
        </w:rPr>
        <w:t>根据达州市住房和城乡建设局《关于印发〈施工扬尘污染防治管理办法（试行）〉的通知》（达市住建发〔</w:t>
      </w:r>
      <w:r w:rsidRPr="00D630D1">
        <w:rPr>
          <w:rFonts w:ascii="Times New Roman" w:cs="Times New Roman"/>
        </w:rPr>
        <w:t>2018</w:t>
      </w:r>
      <w:r w:rsidRPr="00D630D1">
        <w:rPr>
          <w:rFonts w:ascii="Times New Roman" w:cs="Times New Roman"/>
        </w:rPr>
        <w:t>〕</w:t>
      </w:r>
      <w:r w:rsidRPr="00D630D1">
        <w:rPr>
          <w:rFonts w:ascii="Times New Roman" w:cs="Times New Roman"/>
        </w:rPr>
        <w:t>331</w:t>
      </w:r>
      <w:r w:rsidRPr="00D630D1">
        <w:rPr>
          <w:rFonts w:ascii="Times New Roman" w:cs="Times New Roman"/>
        </w:rPr>
        <w:t>号）的规定：招标文件中应明确扬尘污染防治目标要求，建设工程施工合同中应明确施工单位扬尘防治职责，并与施工单位签订扬尘防治责任书；应将建设工程施工现场扬尘污染防治费用列入工程概预算、招标文件工程量清单和施工合同，实行专款专用。</w:t>
      </w:r>
    </w:p>
    <w:p w:rsidR="00117C3D" w:rsidRPr="00D630D1" w:rsidRDefault="008B5B84">
      <w:pPr>
        <w:pStyle w:val="a1"/>
        <w:ind w:firstLine="480"/>
        <w:rPr>
          <w:rFonts w:ascii="Times New Roman" w:cs="Times New Roman"/>
        </w:rPr>
      </w:pPr>
      <w:r w:rsidRPr="00D630D1">
        <w:rPr>
          <w:rFonts w:ascii="Times New Roman" w:cs="Times New Roman"/>
        </w:rPr>
        <w:t>施工扬尘量随管理手段的提高而降低，如果管理措施得当，扬尘量将降低</w:t>
      </w:r>
      <w:r w:rsidRPr="00D630D1">
        <w:rPr>
          <w:rFonts w:ascii="Times New Roman" w:cs="Times New Roman"/>
        </w:rPr>
        <w:lastRenderedPageBreak/>
        <w:t>70</w:t>
      </w:r>
      <w:r w:rsidRPr="00D630D1">
        <w:rPr>
          <w:rFonts w:ascii="Times New Roman" w:cs="Times New Roman"/>
        </w:rPr>
        <w:t>～</w:t>
      </w:r>
      <w:r w:rsidRPr="00D630D1">
        <w:rPr>
          <w:rFonts w:ascii="Times New Roman" w:cs="Times New Roman"/>
        </w:rPr>
        <w:t>80</w:t>
      </w:r>
      <w:r w:rsidR="007A3D54" w:rsidRPr="00D630D1">
        <w:rPr>
          <w:rFonts w:ascii="Times New Roman" w:cs="Times New Roman"/>
        </w:rPr>
        <w:t>%</w:t>
      </w:r>
      <w:r w:rsidRPr="00D630D1">
        <w:rPr>
          <w:rFonts w:ascii="Times New Roman" w:cs="Times New Roman"/>
        </w:rPr>
        <w:t>，大大减少对环境的影响。本项目在施工过程中，在落实以上措施的同时，应注意加强对施工队伍的管理，如建立施工规章制度，由通过</w:t>
      </w:r>
      <w:r w:rsidRPr="00D630D1">
        <w:rPr>
          <w:rFonts w:ascii="Times New Roman" w:cs="Times New Roman"/>
        </w:rPr>
        <w:t>IS014000</w:t>
      </w:r>
      <w:r w:rsidRPr="00D630D1">
        <w:rPr>
          <w:rFonts w:ascii="Times New Roman" w:cs="Times New Roman"/>
        </w:rPr>
        <w:t>认证的单位施工等。</w:t>
      </w:r>
    </w:p>
    <w:p w:rsidR="00117C3D" w:rsidRPr="00D630D1" w:rsidRDefault="0057018C">
      <w:pPr>
        <w:pStyle w:val="a1"/>
        <w:ind w:firstLine="482"/>
        <w:rPr>
          <w:rFonts w:ascii="Times New Roman" w:cs="Times New Roman"/>
          <w:b/>
        </w:rPr>
      </w:pPr>
      <w:bookmarkStart w:id="615" w:name="_Toc12288793"/>
      <w:r w:rsidRPr="00D630D1">
        <w:rPr>
          <w:rFonts w:ascii="Times New Roman" w:cs="Times New Roman"/>
          <w:b/>
        </w:rPr>
        <w:t>（</w:t>
      </w:r>
      <w:r w:rsidRPr="00D630D1">
        <w:rPr>
          <w:rFonts w:ascii="Times New Roman" w:cs="Times New Roman"/>
          <w:b/>
        </w:rPr>
        <w:t>2</w:t>
      </w:r>
      <w:r w:rsidRPr="00D630D1">
        <w:rPr>
          <w:rFonts w:ascii="Times New Roman" w:cs="Times New Roman"/>
          <w:b/>
        </w:rPr>
        <w:t>）</w:t>
      </w:r>
      <w:r w:rsidR="008B5B84" w:rsidRPr="00D630D1">
        <w:rPr>
          <w:rFonts w:ascii="Times New Roman" w:cs="Times New Roman"/>
          <w:b/>
        </w:rPr>
        <w:t>施工机械（柴油机）排放尾气</w:t>
      </w:r>
      <w:bookmarkEnd w:id="615"/>
    </w:p>
    <w:p w:rsidR="00117C3D" w:rsidRPr="00D630D1" w:rsidRDefault="008B5B84">
      <w:pPr>
        <w:pStyle w:val="a1"/>
        <w:ind w:firstLine="480"/>
        <w:rPr>
          <w:rFonts w:ascii="Times New Roman" w:cs="Times New Roman"/>
        </w:rPr>
      </w:pPr>
      <w:bookmarkStart w:id="616" w:name="_Hlk41407154"/>
      <w:r w:rsidRPr="00D630D1">
        <w:rPr>
          <w:rFonts w:ascii="Times New Roman" w:cs="Times New Roman"/>
        </w:rPr>
        <w:t>对于施工机械（柴油机）排放的尾气，污染源本身排放量较小，并具有间歇性和短期性，</w:t>
      </w:r>
      <w:bookmarkStart w:id="617" w:name="_Hlk41462172"/>
      <w:r w:rsidRPr="00D630D1">
        <w:rPr>
          <w:rFonts w:ascii="Times New Roman" w:cs="Times New Roman"/>
        </w:rPr>
        <w:t>施工过程中应加强大型施工机械和车辆管理，工程承包商的机械设备应配备相应的消烟除尘设备</w:t>
      </w:r>
      <w:bookmarkEnd w:id="617"/>
      <w:r w:rsidRPr="00D630D1">
        <w:rPr>
          <w:rFonts w:ascii="Times New Roman" w:cs="Times New Roman"/>
        </w:rPr>
        <w:t>；定期检查、维修，确保施工机械和车辆各项环保指标符合尾气排放要求；应采用优质、污染小的燃油，因此不会对周围环境造成很大的污染。</w:t>
      </w:r>
    </w:p>
    <w:p w:rsidR="00907B8A" w:rsidRPr="00D630D1" w:rsidRDefault="00907B8A" w:rsidP="00907B8A">
      <w:pPr>
        <w:pStyle w:val="a1"/>
        <w:ind w:firstLine="482"/>
        <w:rPr>
          <w:rFonts w:ascii="Times New Roman" w:cs="Times New Roman"/>
          <w:b/>
        </w:rPr>
      </w:pPr>
      <w:r w:rsidRPr="00D630D1">
        <w:rPr>
          <w:rFonts w:ascii="Times New Roman" w:cs="Times New Roman"/>
          <w:b/>
        </w:rPr>
        <w:t>（</w:t>
      </w:r>
      <w:r w:rsidRPr="00D630D1">
        <w:rPr>
          <w:rFonts w:ascii="Times New Roman" w:cs="Times New Roman" w:hint="eastAsia"/>
          <w:b/>
        </w:rPr>
        <w:t>3</w:t>
      </w:r>
      <w:r w:rsidRPr="00D630D1">
        <w:rPr>
          <w:rFonts w:ascii="Times New Roman" w:cs="Times New Roman"/>
          <w:b/>
        </w:rPr>
        <w:t>）</w:t>
      </w:r>
      <w:r w:rsidRPr="00D630D1">
        <w:rPr>
          <w:rFonts w:ascii="Times New Roman" w:cs="Times New Roman" w:hint="eastAsia"/>
          <w:b/>
        </w:rPr>
        <w:t>气体钻粉尘</w:t>
      </w:r>
    </w:p>
    <w:p w:rsidR="00907B8A" w:rsidRPr="00D630D1" w:rsidRDefault="00907B8A" w:rsidP="00907B8A">
      <w:pPr>
        <w:pStyle w:val="a1"/>
        <w:ind w:firstLine="480"/>
        <w:rPr>
          <w:bCs/>
        </w:rPr>
      </w:pPr>
      <w:r w:rsidRPr="00D630D1">
        <w:rPr>
          <w:rFonts w:ascii="Times New Roman" w:cs="Times New Roman"/>
        </w:rPr>
        <w:t>对于</w:t>
      </w:r>
      <w:r w:rsidRPr="00D630D1">
        <w:t>本工程</w:t>
      </w:r>
      <w:r w:rsidRPr="00D630D1">
        <w:rPr>
          <w:bCs/>
        </w:rPr>
        <w:t>使用气体钻时会返出一定量的粉尘，从而导致周围空气粉尘</w:t>
      </w:r>
      <w:r w:rsidRPr="00D630D1">
        <w:rPr>
          <w:rFonts w:hint="eastAsia"/>
          <w:bCs/>
        </w:rPr>
        <w:t>量</w:t>
      </w:r>
      <w:r w:rsidRPr="00D630D1">
        <w:rPr>
          <w:bCs/>
        </w:rPr>
        <w:t>增加。本项目在气体钻的排</w:t>
      </w:r>
      <w:r w:rsidRPr="00D630D1">
        <w:rPr>
          <w:rFonts w:hint="eastAsia"/>
          <w:bCs/>
        </w:rPr>
        <w:t>屑</w:t>
      </w:r>
      <w:r w:rsidRPr="00D630D1">
        <w:rPr>
          <w:bCs/>
        </w:rPr>
        <w:t>管</w:t>
      </w:r>
      <w:r w:rsidRPr="00D630D1">
        <w:rPr>
          <w:rFonts w:hint="eastAsia"/>
          <w:bCs/>
        </w:rPr>
        <w:t>处</w:t>
      </w:r>
      <w:r w:rsidRPr="00D630D1">
        <w:rPr>
          <w:bCs/>
        </w:rPr>
        <w:t>喷淋降尘</w:t>
      </w:r>
      <w:r w:rsidRPr="00D630D1">
        <w:rPr>
          <w:rFonts w:hint="eastAsia"/>
          <w:bCs/>
        </w:rPr>
        <w:t>，</w:t>
      </w:r>
      <w:r w:rsidRPr="00D630D1">
        <w:rPr>
          <w:bCs/>
        </w:rPr>
        <w:t>同时产生的污水及泥</w:t>
      </w:r>
      <w:r w:rsidRPr="00D630D1">
        <w:rPr>
          <w:rFonts w:hint="eastAsia"/>
          <w:bCs/>
        </w:rPr>
        <w:t>砂</w:t>
      </w:r>
      <w:r w:rsidRPr="00D630D1">
        <w:rPr>
          <w:bCs/>
        </w:rPr>
        <w:t>进入</w:t>
      </w:r>
      <w:r w:rsidR="00DB6EC5" w:rsidRPr="00D630D1">
        <w:rPr>
          <w:rFonts w:hint="eastAsia"/>
          <w:bCs/>
        </w:rPr>
        <w:t>清洁化操作平台处理</w:t>
      </w:r>
      <w:r w:rsidRPr="00D630D1">
        <w:rPr>
          <w:bCs/>
        </w:rPr>
        <w:t>。</w:t>
      </w:r>
      <w:r w:rsidRPr="00D630D1">
        <w:rPr>
          <w:rFonts w:hint="eastAsia"/>
          <w:bCs/>
        </w:rPr>
        <w:t>由于</w:t>
      </w:r>
      <w:r w:rsidRPr="00D630D1">
        <w:rPr>
          <w:bCs/>
        </w:rPr>
        <w:t>产生的粉尘量小，</w:t>
      </w:r>
      <w:r w:rsidRPr="00D630D1">
        <w:rPr>
          <w:rFonts w:hint="eastAsia"/>
          <w:bCs/>
        </w:rPr>
        <w:t>因此</w:t>
      </w:r>
      <w:r w:rsidRPr="00D630D1">
        <w:rPr>
          <w:bCs/>
        </w:rPr>
        <w:t>对周围环境影响较小</w:t>
      </w:r>
      <w:r w:rsidRPr="00D630D1">
        <w:rPr>
          <w:rFonts w:hint="eastAsia"/>
          <w:bCs/>
        </w:rPr>
        <w:t>。</w:t>
      </w:r>
    </w:p>
    <w:p w:rsidR="00907B8A" w:rsidRPr="00D630D1" w:rsidRDefault="00907B8A" w:rsidP="00907B8A">
      <w:pPr>
        <w:pStyle w:val="a1"/>
        <w:ind w:firstLine="482"/>
        <w:rPr>
          <w:rFonts w:ascii="Times New Roman" w:cs="Times New Roman"/>
          <w:b/>
          <w:bCs/>
        </w:rPr>
      </w:pPr>
      <w:r w:rsidRPr="00D630D1">
        <w:rPr>
          <w:rFonts w:ascii="Times New Roman" w:cs="Times New Roman" w:hint="eastAsia"/>
          <w:b/>
          <w:bCs/>
        </w:rPr>
        <w:t>（</w:t>
      </w:r>
      <w:r w:rsidRPr="00D630D1">
        <w:rPr>
          <w:rFonts w:ascii="Times New Roman" w:cs="Times New Roman" w:hint="eastAsia"/>
          <w:b/>
          <w:bCs/>
        </w:rPr>
        <w:t>4</w:t>
      </w:r>
      <w:r w:rsidRPr="00D630D1">
        <w:rPr>
          <w:rFonts w:ascii="Times New Roman" w:cs="Times New Roman" w:hint="eastAsia"/>
          <w:b/>
          <w:bCs/>
        </w:rPr>
        <w:t>）测试放喷废气</w:t>
      </w:r>
    </w:p>
    <w:p w:rsidR="00907B8A" w:rsidRPr="00D630D1" w:rsidRDefault="00907B8A" w:rsidP="00907B8A">
      <w:pPr>
        <w:pStyle w:val="a1"/>
        <w:ind w:firstLine="480"/>
        <w:rPr>
          <w:rFonts w:ascii="Times New Roman" w:cs="Times New Roman"/>
          <w:bCs/>
        </w:rPr>
      </w:pPr>
      <w:r w:rsidRPr="00D630D1">
        <w:rPr>
          <w:rFonts w:ascii="Times New Roman" w:cs="Times New Roman" w:hint="eastAsia"/>
          <w:bCs/>
        </w:rPr>
        <w:t>本项目测试放喷通过专用的放喷管线将天然气引至放喷池进行点火燃烧，放喷池周围设置</w:t>
      </w:r>
      <w:r w:rsidRPr="00D630D1">
        <w:rPr>
          <w:rFonts w:ascii="Times New Roman" w:cs="Times New Roman"/>
          <w:bCs/>
        </w:rPr>
        <w:t>3</w:t>
      </w:r>
      <w:r w:rsidRPr="00D630D1">
        <w:rPr>
          <w:rFonts w:ascii="Times New Roman" w:cs="Times New Roman"/>
          <w:bCs/>
        </w:rPr>
        <w:t>面挡墙，高度</w:t>
      </w:r>
      <w:r w:rsidRPr="00D630D1">
        <w:rPr>
          <w:rFonts w:ascii="Times New Roman" w:cs="Times New Roman"/>
          <w:bCs/>
        </w:rPr>
        <w:t>3.5m</w:t>
      </w:r>
      <w:r w:rsidRPr="00D630D1">
        <w:rPr>
          <w:rFonts w:ascii="Times New Roman" w:cs="Times New Roman" w:hint="eastAsia"/>
          <w:bCs/>
        </w:rPr>
        <w:t>，可有效减小热辐射对测试区周围植被的灼伤。放喷池周边植被主要为农作物及少量的杂草，均为常见植被，周围地势空旷便于燃烧热值扩散，一般</w:t>
      </w:r>
      <w:r w:rsidRPr="00D630D1">
        <w:rPr>
          <w:rFonts w:ascii="Times New Roman" w:cs="Times New Roman"/>
          <w:bCs/>
        </w:rPr>
        <w:t>情况下，放喷对植被的影响可自行恢复</w:t>
      </w:r>
      <w:r w:rsidRPr="00D630D1">
        <w:rPr>
          <w:rFonts w:ascii="Times New Roman" w:cs="Times New Roman" w:hint="eastAsia"/>
          <w:bCs/>
        </w:rPr>
        <w:t>。测试放喷对放喷口周围植被产生的灼烧影响是暂时的，可逆的，测试完后一定时间内可恢复。并且在放喷测试前已对放喷池周围植被进行清理，因此测试放喷热污染不会影响到清理范围外的植被。</w:t>
      </w:r>
    </w:p>
    <w:p w:rsidR="00907B8A" w:rsidRPr="00D630D1" w:rsidRDefault="00907B8A" w:rsidP="00907B8A">
      <w:pPr>
        <w:pStyle w:val="a1"/>
        <w:ind w:firstLine="480"/>
        <w:rPr>
          <w:rFonts w:ascii="Times New Roman" w:cs="Times New Roman"/>
        </w:rPr>
      </w:pPr>
      <w:r w:rsidRPr="00D630D1">
        <w:rPr>
          <w:rFonts w:ascii="Times New Roman" w:cs="Times New Roman"/>
          <w:bCs/>
        </w:rPr>
        <w:t>本项目测试放喷</w:t>
      </w:r>
      <w:r w:rsidRPr="00D630D1">
        <w:rPr>
          <w:rFonts w:ascii="Times New Roman" w:cs="Times New Roman" w:hint="eastAsia"/>
          <w:bCs/>
        </w:rPr>
        <w:t>在昼间进行，且</w:t>
      </w:r>
      <w:r w:rsidRPr="00D630D1">
        <w:rPr>
          <w:rFonts w:ascii="Times New Roman" w:cs="Times New Roman"/>
          <w:bCs/>
        </w:rPr>
        <w:t>时间较短（类比同类钻井，一般测试时间为</w:t>
      </w:r>
      <w:r w:rsidRPr="00D630D1">
        <w:rPr>
          <w:rFonts w:ascii="Times New Roman" w:cs="Times New Roman"/>
          <w:bCs/>
        </w:rPr>
        <w:t>1d</w:t>
      </w:r>
      <w:r w:rsidRPr="00D630D1">
        <w:rPr>
          <w:rFonts w:ascii="Times New Roman" w:cs="Times New Roman" w:hint="eastAsia"/>
          <w:bCs/>
        </w:rPr>
        <w:t>～</w:t>
      </w:r>
      <w:r w:rsidRPr="00D630D1">
        <w:rPr>
          <w:rFonts w:ascii="Times New Roman" w:cs="Times New Roman"/>
          <w:bCs/>
        </w:rPr>
        <w:t>2d</w:t>
      </w:r>
      <w:r w:rsidRPr="00D630D1">
        <w:rPr>
          <w:rFonts w:ascii="Times New Roman" w:cs="Times New Roman"/>
          <w:bCs/>
        </w:rPr>
        <w:t>，每次</w:t>
      </w:r>
      <w:r w:rsidRPr="00D630D1">
        <w:rPr>
          <w:rFonts w:ascii="Times New Roman" w:cs="Times New Roman"/>
          <w:bCs/>
        </w:rPr>
        <w:t>4h</w:t>
      </w:r>
      <w:r w:rsidRPr="00D630D1">
        <w:rPr>
          <w:rFonts w:ascii="Times New Roman" w:cs="Times New Roman" w:hint="eastAsia"/>
          <w:bCs/>
        </w:rPr>
        <w:t>～</w:t>
      </w:r>
      <w:r w:rsidRPr="00D630D1">
        <w:rPr>
          <w:rFonts w:ascii="Times New Roman" w:cs="Times New Roman"/>
          <w:bCs/>
        </w:rPr>
        <w:t>6</w:t>
      </w:r>
      <w:r w:rsidRPr="00D630D1">
        <w:rPr>
          <w:rFonts w:ascii="Times New Roman" w:cs="Times New Roman" w:hint="eastAsia"/>
          <w:bCs/>
        </w:rPr>
        <w:t>h</w:t>
      </w:r>
      <w:r w:rsidRPr="00D630D1">
        <w:rPr>
          <w:rFonts w:ascii="Times New Roman" w:cs="Times New Roman"/>
          <w:bCs/>
        </w:rPr>
        <w:t>），燃烧后主要污染物为</w:t>
      </w:r>
      <w:r w:rsidR="00FD5966">
        <w:rPr>
          <w:rFonts w:ascii="Times New Roman" w:cs="Times New Roman" w:hint="eastAsia"/>
          <w:bCs/>
        </w:rPr>
        <w:t>C</w:t>
      </w:r>
      <w:r w:rsidRPr="00D630D1">
        <w:rPr>
          <w:rFonts w:ascii="Times New Roman" w:cs="Times New Roman"/>
          <w:bCs/>
        </w:rPr>
        <w:t>O</w:t>
      </w:r>
      <w:r w:rsidRPr="00D630D1">
        <w:rPr>
          <w:rFonts w:ascii="Times New Roman" w:cs="Times New Roman"/>
          <w:bCs/>
          <w:vertAlign w:val="subscript"/>
        </w:rPr>
        <w:t>2</w:t>
      </w:r>
      <w:r w:rsidRPr="00D630D1">
        <w:rPr>
          <w:rFonts w:ascii="Times New Roman" w:cs="Times New Roman"/>
          <w:bCs/>
        </w:rPr>
        <w:t>。</w:t>
      </w:r>
      <w:r w:rsidRPr="00D630D1">
        <w:rPr>
          <w:rFonts w:ascii="Times New Roman" w:cs="Times New Roman" w:hint="eastAsia"/>
          <w:bCs/>
        </w:rPr>
        <w:t>测试放喷</w:t>
      </w:r>
      <w:r w:rsidRPr="00D630D1">
        <w:rPr>
          <w:rFonts w:ascii="Times New Roman" w:cs="Times New Roman"/>
          <w:bCs/>
        </w:rPr>
        <w:t>所产生的污染物产生量较小，并将随测试放喷的结束而消除，故对环境空气影响较小。</w:t>
      </w:r>
    </w:p>
    <w:p w:rsidR="00117C3D" w:rsidRPr="00D630D1" w:rsidRDefault="007A3D54">
      <w:pPr>
        <w:pStyle w:val="afa"/>
        <w:ind w:firstLine="482"/>
        <w:rPr>
          <w:b/>
        </w:rPr>
      </w:pPr>
      <w:bookmarkStart w:id="618" w:name="_Toc12288794"/>
      <w:bookmarkEnd w:id="616"/>
      <w:r w:rsidRPr="00D630D1">
        <w:rPr>
          <w:b/>
        </w:rPr>
        <w:t>2</w:t>
      </w:r>
      <w:r w:rsidR="008B5B84" w:rsidRPr="00D630D1">
        <w:rPr>
          <w:b/>
        </w:rPr>
        <w:t>、废水染防治措施</w:t>
      </w:r>
      <w:bookmarkEnd w:id="618"/>
    </w:p>
    <w:p w:rsidR="00117C3D" w:rsidRPr="00D630D1" w:rsidRDefault="008B5B84">
      <w:pPr>
        <w:pStyle w:val="a1"/>
        <w:ind w:firstLine="480"/>
        <w:rPr>
          <w:rFonts w:ascii="Times New Roman" w:cs="Times New Roman"/>
        </w:rPr>
      </w:pPr>
      <w:r w:rsidRPr="00D630D1">
        <w:rPr>
          <w:rFonts w:ascii="Times New Roman" w:cs="Times New Roman"/>
        </w:rPr>
        <w:t>施工期废水主要来自施工人员在施工作业中产生的生活污水</w:t>
      </w:r>
      <w:r w:rsidR="0057018C" w:rsidRPr="00D630D1">
        <w:rPr>
          <w:rFonts w:ascii="Times New Roman" w:cs="Times New Roman"/>
        </w:rPr>
        <w:t>、</w:t>
      </w:r>
      <w:r w:rsidRPr="00D630D1">
        <w:rPr>
          <w:rFonts w:ascii="Times New Roman" w:cs="Times New Roman"/>
        </w:rPr>
        <w:t>管道安装完后试压中排放的废水</w:t>
      </w:r>
      <w:r w:rsidR="0057018C" w:rsidRPr="00D630D1">
        <w:rPr>
          <w:rFonts w:ascii="Times New Roman" w:cs="Times New Roman"/>
        </w:rPr>
        <w:t>及施工废水</w:t>
      </w:r>
      <w:r w:rsidR="00907B8A" w:rsidRPr="00D630D1">
        <w:rPr>
          <w:rFonts w:hint="eastAsia"/>
        </w:rPr>
        <w:t>、井场施工废水、初期雨水、钻井废水、压裂、洗井废水</w:t>
      </w:r>
      <w:r w:rsidR="0057018C" w:rsidRPr="00D630D1">
        <w:rPr>
          <w:rFonts w:ascii="Times New Roman" w:cs="Times New Roman"/>
        </w:rPr>
        <w:t>。</w:t>
      </w:r>
    </w:p>
    <w:p w:rsidR="00117C3D" w:rsidRPr="00D630D1" w:rsidRDefault="007A3D54">
      <w:pPr>
        <w:pStyle w:val="a1"/>
        <w:ind w:firstLine="482"/>
        <w:rPr>
          <w:rFonts w:ascii="Times New Roman" w:cs="Times New Roman"/>
          <w:b/>
        </w:rPr>
      </w:pPr>
      <w:bookmarkStart w:id="619" w:name="_Toc12288795"/>
      <w:r w:rsidRPr="00D630D1">
        <w:rPr>
          <w:rFonts w:ascii="Times New Roman" w:cs="Times New Roman"/>
          <w:b/>
        </w:rPr>
        <w:t>（</w:t>
      </w:r>
      <w:r w:rsidRPr="00D630D1">
        <w:rPr>
          <w:rFonts w:ascii="Times New Roman" w:cs="Times New Roman"/>
          <w:b/>
        </w:rPr>
        <w:t>1</w:t>
      </w:r>
      <w:r w:rsidRPr="00D630D1">
        <w:rPr>
          <w:rFonts w:ascii="Times New Roman" w:cs="Times New Roman"/>
          <w:b/>
        </w:rPr>
        <w:t>）</w:t>
      </w:r>
      <w:r w:rsidR="008B5B84" w:rsidRPr="00D630D1">
        <w:rPr>
          <w:rFonts w:ascii="Times New Roman" w:cs="Times New Roman"/>
          <w:b/>
        </w:rPr>
        <w:t>生活污水</w:t>
      </w:r>
      <w:bookmarkEnd w:id="619"/>
    </w:p>
    <w:p w:rsidR="00117C3D" w:rsidRPr="00D630D1" w:rsidRDefault="00C106D4">
      <w:pPr>
        <w:pStyle w:val="a1"/>
        <w:ind w:firstLine="480"/>
        <w:rPr>
          <w:rFonts w:ascii="Times New Roman" w:cs="Times New Roman"/>
        </w:rPr>
      </w:pPr>
      <w:r w:rsidRPr="00D630D1">
        <w:rPr>
          <w:rFonts w:ascii="Times New Roman" w:cs="Times New Roman" w:hint="eastAsia"/>
        </w:rPr>
        <w:t>本</w:t>
      </w:r>
      <w:r w:rsidRPr="00D630D1">
        <w:rPr>
          <w:rFonts w:ascii="Times New Roman" w:cs="Times New Roman"/>
        </w:rPr>
        <w:t>项目施工期</w:t>
      </w:r>
      <w:r w:rsidR="008B5B84" w:rsidRPr="00D630D1">
        <w:rPr>
          <w:rFonts w:ascii="Times New Roman" w:cs="Times New Roman"/>
        </w:rPr>
        <w:t>不单独设置施工营地，</w:t>
      </w:r>
      <w:r w:rsidR="00645A40" w:rsidRPr="00D630D1">
        <w:rPr>
          <w:spacing w:val="-8"/>
          <w:szCs w:val="21"/>
        </w:rPr>
        <w:t>施工期管线施工人员生活污水依托租用附</w:t>
      </w:r>
      <w:r w:rsidR="00645A40" w:rsidRPr="00D630D1">
        <w:rPr>
          <w:spacing w:val="-8"/>
          <w:szCs w:val="21"/>
        </w:rPr>
        <w:lastRenderedPageBreak/>
        <w:t>近居民房收集处理</w:t>
      </w:r>
      <w:r w:rsidR="00645A40" w:rsidRPr="00D630D1">
        <w:rPr>
          <w:rFonts w:hint="eastAsia"/>
          <w:spacing w:val="-8"/>
          <w:szCs w:val="21"/>
        </w:rPr>
        <w:t>，井</w:t>
      </w:r>
      <w:r w:rsidR="00645A40" w:rsidRPr="00D630D1">
        <w:rPr>
          <w:spacing w:val="-8"/>
          <w:szCs w:val="21"/>
        </w:rPr>
        <w:t>场施工生活污水</w:t>
      </w:r>
      <w:r w:rsidR="00034734" w:rsidRPr="00D630D1">
        <w:rPr>
          <w:rFonts w:hint="eastAsia"/>
          <w:spacing w:val="-8"/>
          <w:szCs w:val="21"/>
        </w:rPr>
        <w:t>经</w:t>
      </w:r>
      <w:r w:rsidR="00645A40" w:rsidRPr="00D630D1">
        <w:rPr>
          <w:rFonts w:hint="eastAsia"/>
          <w:spacing w:val="-8"/>
          <w:szCs w:val="21"/>
        </w:rPr>
        <w:t>生态</w:t>
      </w:r>
      <w:r w:rsidR="00645A40" w:rsidRPr="00D630D1">
        <w:rPr>
          <w:spacing w:val="-8"/>
          <w:szCs w:val="21"/>
        </w:rPr>
        <w:t>环保厕所收集后，用作周边农肥，不外排</w:t>
      </w:r>
      <w:r w:rsidR="008B5B84" w:rsidRPr="00D630D1">
        <w:rPr>
          <w:rFonts w:ascii="Times New Roman" w:cs="Times New Roman"/>
        </w:rPr>
        <w:t>。</w:t>
      </w:r>
    </w:p>
    <w:p w:rsidR="00117C3D" w:rsidRPr="00D630D1" w:rsidRDefault="008B5B84">
      <w:pPr>
        <w:pStyle w:val="a1"/>
        <w:ind w:firstLine="480"/>
        <w:rPr>
          <w:rFonts w:ascii="Times New Roman" w:cs="Times New Roman"/>
        </w:rPr>
      </w:pPr>
      <w:r w:rsidRPr="00D630D1">
        <w:rPr>
          <w:rFonts w:ascii="Times New Roman" w:cs="Times New Roman"/>
        </w:rPr>
        <w:t>项目施工分段进行，具有较大分散性，局部</w:t>
      </w:r>
      <w:r w:rsidR="00C106D4" w:rsidRPr="00D630D1">
        <w:rPr>
          <w:rFonts w:ascii="Times New Roman" w:cs="Times New Roman" w:hint="eastAsia"/>
        </w:rPr>
        <w:t>产生</w:t>
      </w:r>
      <w:r w:rsidRPr="00D630D1">
        <w:rPr>
          <w:rFonts w:ascii="Times New Roman" w:cs="Times New Roman"/>
        </w:rPr>
        <w:t>量小，生活污水经上述措施处理完全可行、有效。</w:t>
      </w:r>
    </w:p>
    <w:p w:rsidR="00117C3D" w:rsidRPr="00D630D1" w:rsidRDefault="007A3D54">
      <w:pPr>
        <w:pStyle w:val="a1"/>
        <w:ind w:firstLine="482"/>
        <w:rPr>
          <w:rFonts w:ascii="Times New Roman" w:cs="Times New Roman"/>
          <w:b/>
        </w:rPr>
      </w:pPr>
      <w:bookmarkStart w:id="620" w:name="_Toc12288796"/>
      <w:r w:rsidRPr="00D630D1">
        <w:rPr>
          <w:rFonts w:ascii="Times New Roman" w:cs="Times New Roman"/>
          <w:b/>
        </w:rPr>
        <w:t>（</w:t>
      </w:r>
      <w:r w:rsidRPr="00D630D1">
        <w:rPr>
          <w:rFonts w:ascii="Times New Roman" w:cs="Times New Roman"/>
          <w:b/>
        </w:rPr>
        <w:t>2</w:t>
      </w:r>
      <w:r w:rsidRPr="00D630D1">
        <w:rPr>
          <w:rFonts w:ascii="Times New Roman" w:cs="Times New Roman"/>
          <w:b/>
        </w:rPr>
        <w:t>）</w:t>
      </w:r>
      <w:r w:rsidR="008B5B84" w:rsidRPr="00D630D1">
        <w:rPr>
          <w:rFonts w:ascii="Times New Roman" w:cs="Times New Roman"/>
          <w:b/>
        </w:rPr>
        <w:t>试压废水</w:t>
      </w:r>
      <w:bookmarkEnd w:id="620"/>
    </w:p>
    <w:p w:rsidR="0057018C" w:rsidRPr="00D630D1" w:rsidRDefault="004437DE" w:rsidP="004437DE">
      <w:pPr>
        <w:pStyle w:val="afa"/>
        <w:ind w:firstLine="480"/>
      </w:pPr>
      <w:r w:rsidRPr="00D630D1">
        <w:t>清管试压废水主要含铁锈和泥沙等杂质，排放量相对较少，同时废水中主要含少量铁锈、焊渣和泥砂，因此，根据国内其它管线建设经验，试压废水根据周围地形和环境条件，设置沉淀池沉淀后</w:t>
      </w:r>
      <w:r w:rsidR="006F49C4" w:rsidRPr="00D630D1">
        <w:rPr>
          <w:rFonts w:hint="eastAsia"/>
        </w:rPr>
        <w:t>回用，不外排</w:t>
      </w:r>
      <w:r w:rsidRPr="00D630D1">
        <w:t>，排放时尽量避免排水造成局部土壤流失和污染。为减少对水资源的浪费，在清管</w:t>
      </w:r>
      <w:r w:rsidR="006F49C4" w:rsidRPr="00D630D1">
        <w:t>试压过程中尽量收集好此股废水，</w:t>
      </w:r>
      <w:r w:rsidR="006F49C4" w:rsidRPr="00D630D1">
        <w:rPr>
          <w:rFonts w:hint="eastAsia"/>
        </w:rPr>
        <w:t>全部</w:t>
      </w:r>
      <w:r w:rsidR="006F49C4" w:rsidRPr="00D630D1">
        <w:t>重复使用，同时杜绝废水</w:t>
      </w:r>
      <w:r w:rsidRPr="00D630D1">
        <w:t>排放，避免造成局部土壤流失。</w:t>
      </w:r>
    </w:p>
    <w:p w:rsidR="00117C3D" w:rsidRPr="00D630D1" w:rsidRDefault="0057018C" w:rsidP="0057018C">
      <w:pPr>
        <w:pStyle w:val="a1"/>
        <w:ind w:firstLine="482"/>
        <w:rPr>
          <w:rFonts w:ascii="Times New Roman" w:cs="Times New Roman"/>
          <w:b/>
        </w:rPr>
      </w:pPr>
      <w:r w:rsidRPr="00D630D1">
        <w:rPr>
          <w:rFonts w:ascii="Times New Roman" w:cs="Times New Roman"/>
          <w:b/>
        </w:rPr>
        <w:t>（</w:t>
      </w:r>
      <w:r w:rsidRPr="00D630D1">
        <w:rPr>
          <w:rFonts w:ascii="Times New Roman" w:cs="Times New Roman"/>
          <w:b/>
        </w:rPr>
        <w:t>3</w:t>
      </w:r>
      <w:r w:rsidRPr="00D630D1">
        <w:rPr>
          <w:rFonts w:ascii="Times New Roman" w:cs="Times New Roman"/>
          <w:b/>
        </w:rPr>
        <w:t>）</w:t>
      </w:r>
      <w:r w:rsidR="00907B8A" w:rsidRPr="00D630D1">
        <w:rPr>
          <w:rFonts w:ascii="Times New Roman" w:cs="Times New Roman" w:hint="eastAsia"/>
          <w:b/>
        </w:rPr>
        <w:t>井场</w:t>
      </w:r>
      <w:r w:rsidRPr="00D630D1">
        <w:rPr>
          <w:rFonts w:ascii="Times New Roman" w:cs="Times New Roman"/>
          <w:b/>
        </w:rPr>
        <w:t>施工废水</w:t>
      </w:r>
    </w:p>
    <w:p w:rsidR="00CA7FF5" w:rsidRPr="00D630D1" w:rsidRDefault="00907B8A" w:rsidP="00CA7FF5">
      <w:pPr>
        <w:pStyle w:val="a1"/>
        <w:ind w:firstLine="480"/>
        <w:rPr>
          <w:rFonts w:ascii="Times New Roman" w:cs="Times New Roman"/>
        </w:rPr>
      </w:pPr>
      <w:r w:rsidRPr="00D630D1">
        <w:rPr>
          <w:rFonts w:ascii="Times New Roman" w:cs="Times New Roman" w:hint="eastAsia"/>
        </w:rPr>
        <w:t>井场</w:t>
      </w:r>
      <w:r w:rsidR="00CA7FF5" w:rsidRPr="00D630D1">
        <w:rPr>
          <w:rFonts w:ascii="Times New Roman" w:cs="Times New Roman"/>
        </w:rPr>
        <w:t>施工废水</w:t>
      </w:r>
      <w:r w:rsidRPr="00D630D1">
        <w:rPr>
          <w:rFonts w:ascii="Times New Roman" w:cs="Times New Roman" w:hint="eastAsia"/>
        </w:rPr>
        <w:t>经</w:t>
      </w:r>
      <w:r w:rsidR="00CA7FF5" w:rsidRPr="00D630D1">
        <w:rPr>
          <w:rFonts w:ascii="Times New Roman" w:cs="Times New Roman"/>
        </w:rPr>
        <w:t>沉淀后回用洒水，禁止未经处理直接外排。</w:t>
      </w:r>
    </w:p>
    <w:p w:rsidR="00907B8A" w:rsidRPr="00D630D1" w:rsidRDefault="00907B8A" w:rsidP="00907B8A">
      <w:pPr>
        <w:pStyle w:val="a1"/>
        <w:ind w:firstLine="482"/>
        <w:rPr>
          <w:rFonts w:ascii="Times New Roman" w:cs="Times New Roman"/>
          <w:b/>
        </w:rPr>
      </w:pPr>
      <w:r w:rsidRPr="00D630D1">
        <w:rPr>
          <w:rFonts w:ascii="Times New Roman" w:cs="Times New Roman"/>
          <w:b/>
        </w:rPr>
        <w:t>（</w:t>
      </w:r>
      <w:r w:rsidRPr="00D630D1">
        <w:rPr>
          <w:rFonts w:ascii="Times New Roman" w:cs="Times New Roman" w:hint="eastAsia"/>
          <w:b/>
        </w:rPr>
        <w:t>4</w:t>
      </w:r>
      <w:r w:rsidRPr="00D630D1">
        <w:rPr>
          <w:rFonts w:ascii="Times New Roman" w:cs="Times New Roman"/>
          <w:b/>
        </w:rPr>
        <w:t>）</w:t>
      </w:r>
      <w:r w:rsidRPr="00D630D1">
        <w:rPr>
          <w:rFonts w:ascii="Times New Roman" w:cs="Times New Roman" w:hint="eastAsia"/>
          <w:b/>
        </w:rPr>
        <w:t>初期雨水</w:t>
      </w:r>
    </w:p>
    <w:p w:rsidR="00907B8A" w:rsidRPr="00D630D1" w:rsidRDefault="00907B8A" w:rsidP="00907B8A">
      <w:pPr>
        <w:pStyle w:val="a1"/>
        <w:ind w:firstLine="480"/>
        <w:rPr>
          <w:rFonts w:ascii="Times New Roman"/>
        </w:rPr>
      </w:pPr>
      <w:r w:rsidRPr="00D630D1">
        <w:rPr>
          <w:rFonts w:ascii="Times New Roman"/>
        </w:rPr>
        <w:t>井场内四周设排水边沟，井场雨水随四周排水边沟汇至排放口，排放口设监控池，初期雨水收集进入</w:t>
      </w:r>
      <w:r w:rsidR="000C6323" w:rsidRPr="00D630D1">
        <w:rPr>
          <w:rFonts w:ascii="Times New Roman" w:hint="eastAsia"/>
        </w:rPr>
        <w:t>清洁化操作平台，与</w:t>
      </w:r>
      <w:r w:rsidRPr="00D630D1">
        <w:rPr>
          <w:rFonts w:ascii="Times New Roman"/>
        </w:rPr>
        <w:t>钻井废水一同</w:t>
      </w:r>
      <w:r w:rsidR="000C6323" w:rsidRPr="00D630D1">
        <w:rPr>
          <w:rFonts w:ascii="Times New Roman" w:hint="eastAsia"/>
        </w:rPr>
        <w:t>经清洁化操作平台处理后</w:t>
      </w:r>
      <w:r w:rsidRPr="00D630D1">
        <w:rPr>
          <w:rFonts w:ascii="Times New Roman"/>
        </w:rPr>
        <w:t>由罐车拉运至毛开</w:t>
      </w:r>
      <w:r w:rsidRPr="00D630D1">
        <w:rPr>
          <w:rFonts w:ascii="Times New Roman"/>
        </w:rPr>
        <w:t>1</w:t>
      </w:r>
      <w:r w:rsidRPr="00D630D1">
        <w:rPr>
          <w:rFonts w:ascii="Times New Roman"/>
        </w:rPr>
        <w:t>井回注标准后回注，不外排。</w:t>
      </w:r>
    </w:p>
    <w:p w:rsidR="00907B8A" w:rsidRPr="00D630D1" w:rsidRDefault="00907B8A" w:rsidP="00907B8A">
      <w:pPr>
        <w:pStyle w:val="a1"/>
        <w:ind w:firstLine="482"/>
        <w:rPr>
          <w:rFonts w:ascii="Times New Roman" w:cs="Times New Roman"/>
          <w:b/>
        </w:rPr>
      </w:pPr>
      <w:r w:rsidRPr="00D630D1">
        <w:rPr>
          <w:rFonts w:ascii="Times New Roman" w:cs="Times New Roman"/>
          <w:b/>
        </w:rPr>
        <w:t>（</w:t>
      </w:r>
      <w:r w:rsidRPr="00D630D1">
        <w:rPr>
          <w:rFonts w:ascii="Times New Roman" w:cs="Times New Roman" w:hint="eastAsia"/>
          <w:b/>
        </w:rPr>
        <w:t>5</w:t>
      </w:r>
      <w:r w:rsidRPr="00D630D1">
        <w:rPr>
          <w:rFonts w:ascii="Times New Roman" w:cs="Times New Roman"/>
          <w:b/>
        </w:rPr>
        <w:t>）</w:t>
      </w:r>
      <w:r w:rsidRPr="00D630D1">
        <w:rPr>
          <w:rFonts w:ascii="Times New Roman" w:cs="Times New Roman" w:hint="eastAsia"/>
          <w:b/>
        </w:rPr>
        <w:t>钻井废水</w:t>
      </w:r>
    </w:p>
    <w:p w:rsidR="00907B8A" w:rsidRPr="00D630D1" w:rsidRDefault="00907B8A" w:rsidP="00907B8A">
      <w:pPr>
        <w:pStyle w:val="a1"/>
        <w:ind w:firstLine="480"/>
        <w:rPr>
          <w:rFonts w:ascii="Times New Roman"/>
        </w:rPr>
      </w:pPr>
      <w:r w:rsidRPr="00D630D1">
        <w:rPr>
          <w:rFonts w:ascii="Times New Roman"/>
        </w:rPr>
        <w:t>钻井废水</w:t>
      </w:r>
      <w:r w:rsidR="000C6323" w:rsidRPr="00D630D1">
        <w:rPr>
          <w:rFonts w:ascii="Times New Roman" w:hint="eastAsia"/>
        </w:rPr>
        <w:t>经清洁化操作平台</w:t>
      </w:r>
      <w:r w:rsidRPr="00D630D1">
        <w:rPr>
          <w:rFonts w:ascii="Times New Roman"/>
        </w:rPr>
        <w:t>预处理后达到毛开</w:t>
      </w:r>
      <w:r w:rsidRPr="00D630D1">
        <w:rPr>
          <w:rFonts w:ascii="Times New Roman"/>
        </w:rPr>
        <w:t>1</w:t>
      </w:r>
      <w:r w:rsidRPr="00D630D1">
        <w:rPr>
          <w:rFonts w:ascii="Times New Roman"/>
        </w:rPr>
        <w:t>井回注标准后，拉运至毛开</w:t>
      </w:r>
      <w:r w:rsidRPr="00D630D1">
        <w:rPr>
          <w:rFonts w:ascii="Times New Roman"/>
        </w:rPr>
        <w:t>1</w:t>
      </w:r>
      <w:r w:rsidRPr="00D630D1">
        <w:rPr>
          <w:rFonts w:ascii="Times New Roman"/>
        </w:rPr>
        <w:t>井回注</w:t>
      </w:r>
      <w:r w:rsidRPr="00D630D1">
        <w:rPr>
          <w:rFonts w:ascii="Times New Roman" w:hint="eastAsia"/>
        </w:rPr>
        <w:t>。</w:t>
      </w:r>
    </w:p>
    <w:p w:rsidR="00907B8A" w:rsidRPr="00D630D1" w:rsidRDefault="00907B8A" w:rsidP="00907B8A">
      <w:pPr>
        <w:pStyle w:val="a1"/>
        <w:ind w:firstLine="482"/>
        <w:rPr>
          <w:rFonts w:ascii="Times New Roman" w:cs="Times New Roman"/>
          <w:b/>
        </w:rPr>
      </w:pPr>
      <w:r w:rsidRPr="00D630D1">
        <w:rPr>
          <w:rFonts w:ascii="Times New Roman" w:cs="Times New Roman"/>
          <w:b/>
        </w:rPr>
        <w:t>（</w:t>
      </w:r>
      <w:r w:rsidRPr="00D630D1">
        <w:rPr>
          <w:rFonts w:ascii="Times New Roman" w:cs="Times New Roman" w:hint="eastAsia"/>
          <w:b/>
        </w:rPr>
        <w:t>6</w:t>
      </w:r>
      <w:r w:rsidRPr="00D630D1">
        <w:rPr>
          <w:rFonts w:ascii="Times New Roman" w:cs="Times New Roman"/>
          <w:b/>
        </w:rPr>
        <w:t>）</w:t>
      </w:r>
      <w:r w:rsidRPr="00D630D1">
        <w:rPr>
          <w:rFonts w:ascii="Times New Roman" w:cs="Times New Roman" w:hint="eastAsia"/>
          <w:b/>
        </w:rPr>
        <w:t>压裂、洗井废水</w:t>
      </w:r>
    </w:p>
    <w:p w:rsidR="00907B8A" w:rsidRPr="00D630D1" w:rsidRDefault="00775840" w:rsidP="00775840">
      <w:pPr>
        <w:pStyle w:val="a1"/>
        <w:ind w:firstLine="480"/>
        <w:rPr>
          <w:rFonts w:ascii="Times New Roman" w:cs="Times New Roman"/>
        </w:rPr>
      </w:pPr>
      <w:r w:rsidRPr="00D630D1">
        <w:rPr>
          <w:rFonts w:ascii="Times New Roman"/>
        </w:rPr>
        <w:t>压裂废水和洗井废水</w:t>
      </w:r>
      <w:r w:rsidRPr="00D630D1">
        <w:rPr>
          <w:rFonts w:ascii="Times New Roman" w:hint="eastAsia"/>
        </w:rPr>
        <w:t>部分</w:t>
      </w:r>
      <w:r w:rsidRPr="00D630D1">
        <w:rPr>
          <w:rFonts w:ascii="Times New Roman"/>
        </w:rPr>
        <w:t>暂存</w:t>
      </w:r>
      <w:r w:rsidRPr="00D630D1">
        <w:rPr>
          <w:rFonts w:ascii="Times New Roman" w:hint="eastAsia"/>
        </w:rPr>
        <w:t>于放喷池，剩余部分暂存于污水缓冲罐</w:t>
      </w:r>
      <w:r w:rsidRPr="00D630D1">
        <w:rPr>
          <w:rFonts w:ascii="Times New Roman"/>
        </w:rPr>
        <w:t>，装车拉运至大湾</w:t>
      </w:r>
      <w:r w:rsidRPr="00D630D1">
        <w:rPr>
          <w:rFonts w:ascii="Times New Roman"/>
        </w:rPr>
        <w:t>403</w:t>
      </w:r>
      <w:r w:rsidRPr="00D630D1">
        <w:rPr>
          <w:rFonts w:ascii="Times New Roman"/>
        </w:rPr>
        <w:t>污水站处理达标后管输至毛开</w:t>
      </w:r>
      <w:r w:rsidRPr="00D630D1">
        <w:rPr>
          <w:rFonts w:ascii="Times New Roman"/>
        </w:rPr>
        <w:t>1</w:t>
      </w:r>
      <w:r w:rsidRPr="00D630D1">
        <w:rPr>
          <w:rFonts w:ascii="Times New Roman"/>
        </w:rPr>
        <w:t>井回注站回注</w:t>
      </w:r>
      <w:r w:rsidR="004623FB" w:rsidRPr="00D630D1">
        <w:rPr>
          <w:rFonts w:ascii="Times New Roman" w:hint="eastAsia"/>
        </w:rPr>
        <w:t>。</w:t>
      </w:r>
    </w:p>
    <w:p w:rsidR="00117C3D" w:rsidRPr="00D630D1" w:rsidRDefault="007A3D54">
      <w:pPr>
        <w:pStyle w:val="a1"/>
        <w:ind w:firstLine="482"/>
        <w:rPr>
          <w:rFonts w:ascii="Times New Roman" w:cs="Times New Roman"/>
          <w:b/>
        </w:rPr>
      </w:pPr>
      <w:bookmarkStart w:id="621" w:name="_Toc12288797"/>
      <w:r w:rsidRPr="00D630D1">
        <w:rPr>
          <w:rFonts w:ascii="Times New Roman" w:cs="Times New Roman"/>
          <w:b/>
        </w:rPr>
        <w:t>3</w:t>
      </w:r>
      <w:r w:rsidR="008B5B84" w:rsidRPr="00D630D1">
        <w:rPr>
          <w:rFonts w:ascii="Times New Roman" w:cs="Times New Roman"/>
          <w:b/>
        </w:rPr>
        <w:t>、固体废物染防治措施</w:t>
      </w:r>
      <w:bookmarkEnd w:id="621"/>
    </w:p>
    <w:p w:rsidR="00117C3D" w:rsidRPr="00D630D1" w:rsidRDefault="004623FB">
      <w:pPr>
        <w:pStyle w:val="a1"/>
        <w:ind w:firstLine="480"/>
        <w:rPr>
          <w:rFonts w:ascii="Times New Roman" w:cs="Times New Roman"/>
        </w:rPr>
      </w:pPr>
      <w:r w:rsidRPr="00D630D1">
        <w:rPr>
          <w:rFonts w:ascii="Times New Roman" w:cs="Times New Roman"/>
        </w:rPr>
        <w:t>施工期产生的固体废物主要为生活垃圾</w:t>
      </w:r>
      <w:r w:rsidR="009841B1" w:rsidRPr="00D630D1">
        <w:rPr>
          <w:rFonts w:ascii="Times New Roman" w:cs="Times New Roman"/>
        </w:rPr>
        <w:t>、</w:t>
      </w:r>
      <w:r w:rsidR="008B5B84" w:rsidRPr="00D630D1">
        <w:rPr>
          <w:rFonts w:ascii="Times New Roman" w:cs="Times New Roman"/>
        </w:rPr>
        <w:t>施工废料</w:t>
      </w:r>
      <w:r w:rsidR="009841B1" w:rsidRPr="00D630D1">
        <w:rPr>
          <w:rFonts w:ascii="Times New Roman" w:cs="Times New Roman"/>
        </w:rPr>
        <w:t>、</w:t>
      </w:r>
      <w:r w:rsidRPr="00D630D1">
        <w:rPr>
          <w:rFonts w:hint="eastAsia"/>
        </w:rPr>
        <w:t>土石方、</w:t>
      </w:r>
      <w:r w:rsidRPr="00D630D1">
        <w:t>钻井岩屑</w:t>
      </w:r>
      <w:r w:rsidRPr="00D630D1">
        <w:rPr>
          <w:rFonts w:hint="eastAsia"/>
        </w:rPr>
        <w:t>、</w:t>
      </w:r>
      <w:r w:rsidRPr="00D630D1">
        <w:t>废泥浆</w:t>
      </w:r>
      <w:r w:rsidRPr="00D630D1">
        <w:rPr>
          <w:rFonts w:hint="eastAsia"/>
        </w:rPr>
        <w:t>、废油</w:t>
      </w:r>
      <w:r w:rsidRPr="00D630D1">
        <w:t>等</w:t>
      </w:r>
      <w:r w:rsidR="008B5B84" w:rsidRPr="00D630D1">
        <w:rPr>
          <w:rFonts w:ascii="Times New Roman" w:cs="Times New Roman"/>
        </w:rPr>
        <w:t>。</w:t>
      </w:r>
    </w:p>
    <w:p w:rsidR="00117C3D" w:rsidRPr="00D630D1" w:rsidRDefault="007A3D54">
      <w:pPr>
        <w:pStyle w:val="a1"/>
        <w:ind w:firstLine="482"/>
        <w:rPr>
          <w:rFonts w:ascii="Times New Roman" w:cs="Times New Roman"/>
          <w:b/>
          <w:bCs/>
        </w:rPr>
      </w:pPr>
      <w:bookmarkStart w:id="622" w:name="_Toc12288798"/>
      <w:r w:rsidRPr="00D630D1">
        <w:rPr>
          <w:rFonts w:ascii="Times New Roman" w:cs="Times New Roman"/>
          <w:b/>
          <w:bCs/>
        </w:rPr>
        <w:t>（</w:t>
      </w:r>
      <w:r w:rsidRPr="00D630D1">
        <w:rPr>
          <w:rFonts w:ascii="Times New Roman" w:cs="Times New Roman"/>
          <w:b/>
          <w:bCs/>
        </w:rPr>
        <w:t>1</w:t>
      </w:r>
      <w:r w:rsidRPr="00D630D1">
        <w:rPr>
          <w:rFonts w:ascii="Times New Roman" w:cs="Times New Roman"/>
          <w:b/>
          <w:bCs/>
        </w:rPr>
        <w:t>）</w:t>
      </w:r>
      <w:r w:rsidR="008B5B84" w:rsidRPr="00D630D1">
        <w:rPr>
          <w:rFonts w:ascii="Times New Roman" w:cs="Times New Roman"/>
          <w:b/>
          <w:bCs/>
        </w:rPr>
        <w:t>生活垃圾</w:t>
      </w:r>
      <w:bookmarkEnd w:id="622"/>
    </w:p>
    <w:p w:rsidR="00117C3D" w:rsidRPr="00D630D1" w:rsidRDefault="008B5B84">
      <w:pPr>
        <w:pStyle w:val="a1"/>
        <w:ind w:firstLine="480"/>
        <w:rPr>
          <w:rFonts w:ascii="Times New Roman" w:cs="Times New Roman"/>
        </w:rPr>
      </w:pPr>
      <w:r w:rsidRPr="00D630D1">
        <w:rPr>
          <w:rFonts w:ascii="Times New Roman" w:cs="Times New Roman"/>
        </w:rPr>
        <w:t>施工期产生的生活垃圾具有较大的分散性，且持续时间短。施工人员</w:t>
      </w:r>
      <w:r w:rsidR="00C106D4" w:rsidRPr="00D630D1">
        <w:rPr>
          <w:rFonts w:ascii="Times New Roman" w:cs="Times New Roman"/>
        </w:rPr>
        <w:t>生活</w:t>
      </w:r>
      <w:r w:rsidRPr="00D630D1">
        <w:rPr>
          <w:rFonts w:ascii="Times New Roman" w:cs="Times New Roman"/>
        </w:rPr>
        <w:t>垃</w:t>
      </w:r>
      <w:r w:rsidR="00C106D4" w:rsidRPr="00D630D1">
        <w:rPr>
          <w:rFonts w:ascii="Times New Roman" w:cs="Times New Roman"/>
        </w:rPr>
        <w:t>圾</w:t>
      </w:r>
      <w:r w:rsidR="00034734" w:rsidRPr="00D630D1">
        <w:rPr>
          <w:rFonts w:ascii="Times New Roman" w:cs="Times New Roman" w:hint="eastAsia"/>
        </w:rPr>
        <w:t>经</w:t>
      </w:r>
      <w:r w:rsidR="00C106D4" w:rsidRPr="00D630D1">
        <w:rPr>
          <w:rFonts w:ascii="Times New Roman" w:cs="Times New Roman" w:hint="eastAsia"/>
        </w:rPr>
        <w:t>垃圾收集</w:t>
      </w:r>
      <w:r w:rsidRPr="00D630D1">
        <w:rPr>
          <w:rFonts w:ascii="Times New Roman" w:cs="Times New Roman"/>
        </w:rPr>
        <w:t>设施</w:t>
      </w:r>
      <w:r w:rsidR="00C106D4" w:rsidRPr="00D630D1">
        <w:rPr>
          <w:rFonts w:ascii="Times New Roman" w:cs="Times New Roman"/>
        </w:rPr>
        <w:t>收集</w:t>
      </w:r>
      <w:r w:rsidRPr="00D630D1">
        <w:rPr>
          <w:rFonts w:ascii="Times New Roman" w:cs="Times New Roman"/>
        </w:rPr>
        <w:t>，统一按当地环卫部门要求处置。本次环评要求：在河流周围</w:t>
      </w:r>
      <w:r w:rsidRPr="00D630D1">
        <w:rPr>
          <w:rFonts w:ascii="Times New Roman" w:cs="Times New Roman"/>
        </w:rPr>
        <w:t>200m</w:t>
      </w:r>
      <w:r w:rsidRPr="00D630D1">
        <w:rPr>
          <w:rFonts w:ascii="Times New Roman" w:cs="Times New Roman"/>
        </w:rPr>
        <w:t>范围内不得随意向河流倾倒生活垃圾等固体废物。</w:t>
      </w:r>
    </w:p>
    <w:p w:rsidR="00117C3D" w:rsidRPr="00D630D1" w:rsidRDefault="007A3D54">
      <w:pPr>
        <w:pStyle w:val="a1"/>
        <w:ind w:firstLine="482"/>
        <w:rPr>
          <w:rFonts w:ascii="Times New Roman" w:cs="Times New Roman"/>
          <w:b/>
          <w:bCs/>
        </w:rPr>
      </w:pPr>
      <w:bookmarkStart w:id="623" w:name="_Toc12288799"/>
      <w:r w:rsidRPr="00D630D1">
        <w:rPr>
          <w:rFonts w:ascii="Times New Roman" w:cs="Times New Roman"/>
          <w:b/>
          <w:bCs/>
        </w:rPr>
        <w:t>（</w:t>
      </w:r>
      <w:r w:rsidRPr="00D630D1">
        <w:rPr>
          <w:rFonts w:ascii="Times New Roman" w:cs="Times New Roman"/>
          <w:b/>
          <w:bCs/>
        </w:rPr>
        <w:t>2</w:t>
      </w:r>
      <w:r w:rsidRPr="00D630D1">
        <w:rPr>
          <w:rFonts w:ascii="Times New Roman" w:cs="Times New Roman"/>
          <w:b/>
          <w:bCs/>
        </w:rPr>
        <w:t>）</w:t>
      </w:r>
      <w:bookmarkEnd w:id="623"/>
      <w:r w:rsidR="004623FB" w:rsidRPr="00D630D1">
        <w:rPr>
          <w:rFonts w:ascii="Times New Roman" w:cs="Times New Roman" w:hint="eastAsia"/>
          <w:b/>
          <w:bCs/>
        </w:rPr>
        <w:t>土石方</w:t>
      </w:r>
    </w:p>
    <w:p w:rsidR="00117C3D" w:rsidRPr="00D630D1" w:rsidRDefault="008B5B84">
      <w:pPr>
        <w:pStyle w:val="a1"/>
        <w:ind w:firstLine="480"/>
        <w:rPr>
          <w:rFonts w:ascii="Times New Roman" w:cs="Times New Roman"/>
        </w:rPr>
      </w:pPr>
      <w:r w:rsidRPr="00D630D1">
        <w:rPr>
          <w:rFonts w:ascii="Times New Roman" w:cs="Times New Roman"/>
        </w:rPr>
        <w:lastRenderedPageBreak/>
        <w:t>施工过程中产生的弃土主要为管道在陆地开挖敷设时会产生泥土和碎石。</w:t>
      </w:r>
      <w:r w:rsidR="00DC3E38" w:rsidRPr="00D630D1">
        <w:rPr>
          <w:rFonts w:ascii="Times New Roman" w:cs="Times New Roman"/>
        </w:rPr>
        <w:t>项目</w:t>
      </w:r>
      <w:r w:rsidR="00F9150E" w:rsidRPr="00D630D1">
        <w:rPr>
          <w:rFonts w:ascii="Times New Roman" w:cs="Times New Roman"/>
        </w:rPr>
        <w:t>管沟开挖施工</w:t>
      </w:r>
      <w:r w:rsidR="00DC3E38" w:rsidRPr="00D630D1">
        <w:rPr>
          <w:rFonts w:ascii="Times New Roman" w:cs="Times New Roman"/>
        </w:rPr>
        <w:t>土石方挖填平衡，无外运弃渣，不设置弃渣场。</w:t>
      </w:r>
      <w:r w:rsidR="00EA67E0" w:rsidRPr="00D630D1">
        <w:rPr>
          <w:rFonts w:ascii="Times New Roman" w:cs="Times New Roman" w:hint="eastAsia"/>
        </w:rPr>
        <w:t xml:space="preserve"> </w:t>
      </w:r>
    </w:p>
    <w:p w:rsidR="00117C3D" w:rsidRPr="00D630D1" w:rsidRDefault="008B5B84">
      <w:pPr>
        <w:pStyle w:val="a1"/>
        <w:ind w:firstLine="480"/>
        <w:rPr>
          <w:rFonts w:ascii="Times New Roman" w:cs="Times New Roman"/>
        </w:rPr>
      </w:pPr>
      <w:r w:rsidRPr="00D630D1">
        <w:rPr>
          <w:rFonts w:ascii="Times New Roman" w:cs="Times New Roman"/>
        </w:rPr>
        <w:t>在耕作区开挖时，熟土（表层耕作土）和生土（下层土）分开堆放，管沟回填按生、熟土顺序填放，保护耕作层。回填后，管沟上方留有自然沉降余量（高出地面</w:t>
      </w:r>
      <w:r w:rsidRPr="00D630D1">
        <w:rPr>
          <w:rFonts w:ascii="Times New Roman" w:cs="Times New Roman"/>
        </w:rPr>
        <w:t>0.3</w:t>
      </w:r>
      <w:r w:rsidRPr="00D630D1">
        <w:rPr>
          <w:rFonts w:ascii="Times New Roman" w:cs="Times New Roman"/>
        </w:rPr>
        <w:t>～</w:t>
      </w:r>
      <w:r w:rsidRPr="00D630D1">
        <w:rPr>
          <w:rFonts w:ascii="Times New Roman" w:cs="Times New Roman"/>
        </w:rPr>
        <w:t>0.5m</w:t>
      </w:r>
      <w:r w:rsidRPr="00D630D1">
        <w:rPr>
          <w:rFonts w:ascii="Times New Roman" w:cs="Times New Roman"/>
        </w:rPr>
        <w:t>），多余土方就近平整。</w:t>
      </w:r>
    </w:p>
    <w:p w:rsidR="00117C3D" w:rsidRPr="00D630D1" w:rsidRDefault="007A3D54">
      <w:pPr>
        <w:pStyle w:val="a1"/>
        <w:ind w:firstLine="482"/>
        <w:rPr>
          <w:rFonts w:ascii="Times New Roman" w:cs="Times New Roman"/>
          <w:b/>
        </w:rPr>
      </w:pPr>
      <w:bookmarkStart w:id="624" w:name="_Toc12288800"/>
      <w:r w:rsidRPr="00D630D1">
        <w:rPr>
          <w:rFonts w:ascii="Times New Roman" w:cs="Times New Roman"/>
          <w:b/>
        </w:rPr>
        <w:t>（</w:t>
      </w:r>
      <w:r w:rsidRPr="00D630D1">
        <w:rPr>
          <w:rFonts w:ascii="Times New Roman" w:cs="Times New Roman"/>
          <w:b/>
        </w:rPr>
        <w:t>3</w:t>
      </w:r>
      <w:r w:rsidRPr="00D630D1">
        <w:rPr>
          <w:rFonts w:ascii="Times New Roman" w:cs="Times New Roman"/>
          <w:b/>
        </w:rPr>
        <w:t>）</w:t>
      </w:r>
      <w:r w:rsidR="008B5B84" w:rsidRPr="00D630D1">
        <w:rPr>
          <w:rFonts w:ascii="Times New Roman" w:cs="Times New Roman"/>
          <w:b/>
        </w:rPr>
        <w:t>施工废料</w:t>
      </w:r>
      <w:bookmarkEnd w:id="624"/>
    </w:p>
    <w:p w:rsidR="00117C3D" w:rsidRPr="00D630D1" w:rsidRDefault="008B5B84">
      <w:pPr>
        <w:pStyle w:val="a1"/>
        <w:ind w:firstLine="480"/>
        <w:rPr>
          <w:rFonts w:ascii="Times New Roman" w:cs="Times New Roman"/>
        </w:rPr>
      </w:pPr>
      <w:r w:rsidRPr="00D630D1">
        <w:rPr>
          <w:rFonts w:ascii="Times New Roman" w:cs="Times New Roman"/>
        </w:rPr>
        <w:t>施工废料主要包括焊接作业中产生的废焊条及施工过程中产生的废混凝土等。施工结束后应及时清理施工材料和施工垃圾，并做好河岸的护坡防护，减少对水环境的污染。施工废料部分回收利用，剩余废料依托当地</w:t>
      </w:r>
      <w:r w:rsidR="003F1710" w:rsidRPr="00D630D1">
        <w:rPr>
          <w:rFonts w:ascii="Times New Roman" w:cs="Times New Roman"/>
        </w:rPr>
        <w:t>环卫部门处置</w:t>
      </w:r>
      <w:r w:rsidRPr="00D630D1">
        <w:rPr>
          <w:rFonts w:ascii="Times New Roman" w:cs="Times New Roman"/>
        </w:rPr>
        <w:t>。</w:t>
      </w:r>
    </w:p>
    <w:p w:rsidR="004623FB" w:rsidRPr="00D630D1" w:rsidRDefault="004623FB" w:rsidP="004623FB">
      <w:pPr>
        <w:pStyle w:val="a1"/>
        <w:ind w:firstLine="482"/>
        <w:rPr>
          <w:rFonts w:ascii="Times New Roman" w:cs="Times New Roman"/>
          <w:b/>
        </w:rPr>
      </w:pPr>
      <w:r w:rsidRPr="00D630D1">
        <w:rPr>
          <w:rFonts w:ascii="Times New Roman" w:cs="Times New Roman"/>
          <w:b/>
        </w:rPr>
        <w:t>（</w:t>
      </w:r>
      <w:r w:rsidRPr="00D630D1">
        <w:rPr>
          <w:rFonts w:ascii="Times New Roman" w:cs="Times New Roman" w:hint="eastAsia"/>
          <w:b/>
        </w:rPr>
        <w:t>4</w:t>
      </w:r>
      <w:r w:rsidRPr="00D630D1">
        <w:rPr>
          <w:rFonts w:ascii="Times New Roman" w:cs="Times New Roman"/>
          <w:b/>
        </w:rPr>
        <w:t>）钻井岩屑</w:t>
      </w:r>
    </w:p>
    <w:p w:rsidR="00FD5966" w:rsidRPr="00D630D1" w:rsidRDefault="00FD5966" w:rsidP="00FD5966">
      <w:pPr>
        <w:pStyle w:val="SSEC20150323"/>
        <w:ind w:firstLine="480"/>
        <w:rPr>
          <w:rFonts w:ascii="Times New Roman" w:hAnsi="Times New Roman"/>
        </w:rPr>
      </w:pPr>
      <w:r w:rsidRPr="00D630D1">
        <w:rPr>
          <w:rFonts w:ascii="Times New Roman"/>
        </w:rPr>
        <w:t>本项目采取清洁化操作平台</w:t>
      </w:r>
      <w:r w:rsidRPr="00D630D1">
        <w:rPr>
          <w:bCs/>
          <w:spacing w:val="10"/>
        </w:rPr>
        <w:t>，并采取泥浆不落地措施</w:t>
      </w:r>
      <w:r w:rsidRPr="00D630D1">
        <w:rPr>
          <w:rFonts w:ascii="Times New Roman"/>
        </w:rPr>
        <w:t>，</w:t>
      </w:r>
      <w:r>
        <w:rPr>
          <w:rFonts w:ascii="Times New Roman" w:hint="eastAsia"/>
        </w:rPr>
        <w:t>水基</w:t>
      </w:r>
      <w:r w:rsidRPr="00D630D1">
        <w:rPr>
          <w:rFonts w:ascii="Times New Roman"/>
        </w:rPr>
        <w:t>岩屑按照《达州市生态环境局办公室关于</w:t>
      </w:r>
      <w:r w:rsidRPr="00D630D1">
        <w:rPr>
          <w:rFonts w:ascii="Times New Roman" w:hint="eastAsia"/>
        </w:rPr>
        <w:t>进一步</w:t>
      </w:r>
      <w:r w:rsidRPr="00D630D1">
        <w:rPr>
          <w:rFonts w:ascii="Times New Roman"/>
        </w:rPr>
        <w:t>加强固体废物污染防治工作的通知》（达市环办发〔</w:t>
      </w:r>
      <w:r w:rsidRPr="00D630D1">
        <w:rPr>
          <w:rFonts w:ascii="Times New Roman" w:hAnsi="Times New Roman"/>
        </w:rPr>
        <w:t>20</w:t>
      </w:r>
      <w:r w:rsidRPr="00D630D1">
        <w:rPr>
          <w:rFonts w:ascii="Times New Roman" w:hAnsi="Times New Roman" w:hint="eastAsia"/>
        </w:rPr>
        <w:t>21</w:t>
      </w:r>
      <w:r w:rsidRPr="00D630D1">
        <w:rPr>
          <w:rFonts w:ascii="Times New Roman"/>
        </w:rPr>
        <w:t>〕</w:t>
      </w:r>
      <w:r w:rsidRPr="00D630D1">
        <w:rPr>
          <w:rFonts w:ascii="Times New Roman" w:hAnsi="Times New Roman" w:hint="eastAsia"/>
        </w:rPr>
        <w:t>24</w:t>
      </w:r>
      <w:r w:rsidRPr="00D630D1">
        <w:rPr>
          <w:rFonts w:ascii="Times New Roman"/>
        </w:rPr>
        <w:t>号）要求，就近交给依法取得生态环境部门关于利用和处置相关工业固体废物项目环评批复、具有处理处置相应固体废物能力并配套建设有废气、废水、固废等污染物治理设施的单位</w:t>
      </w:r>
      <w:r w:rsidRPr="00D630D1">
        <w:rPr>
          <w:rFonts w:ascii="Times New Roman" w:hint="eastAsia"/>
        </w:rPr>
        <w:t>进行资源化利用</w:t>
      </w:r>
      <w:r>
        <w:rPr>
          <w:rFonts w:ascii="Times New Roman" w:hint="eastAsia"/>
        </w:rPr>
        <w:t>；油基岩屑</w:t>
      </w:r>
      <w:r w:rsidRPr="00D630D1">
        <w:t>属危险废物（</w:t>
      </w:r>
      <w:r w:rsidRPr="00EA7E77">
        <w:rPr>
          <w:rFonts w:ascii="Times New Roman" w:hAnsi="Times New Roman"/>
        </w:rPr>
        <w:t>HW08</w:t>
      </w:r>
      <w:r w:rsidRPr="00EA7E77">
        <w:rPr>
          <w:rFonts w:ascii="Times New Roman"/>
        </w:rPr>
        <w:t>废矿物油与含矿物油废物</w:t>
      </w:r>
      <w:r w:rsidRPr="00D630D1">
        <w:t>）</w:t>
      </w:r>
      <w:r>
        <w:rPr>
          <w:rFonts w:hint="eastAsia"/>
        </w:rPr>
        <w:t>，</w:t>
      </w:r>
      <w:r w:rsidRPr="00867A54">
        <w:rPr>
          <w:rFonts w:ascii="Times New Roman" w:hint="eastAsia"/>
        </w:rPr>
        <w:t>存于危废暂存间，定期交由资质单位处置</w:t>
      </w:r>
      <w:r w:rsidRPr="00D630D1">
        <w:rPr>
          <w:rFonts w:ascii="Times New Roman"/>
        </w:rPr>
        <w:t>。</w:t>
      </w:r>
    </w:p>
    <w:p w:rsidR="004623FB" w:rsidRPr="00D630D1" w:rsidRDefault="004623FB" w:rsidP="004623FB">
      <w:pPr>
        <w:pStyle w:val="afa"/>
        <w:ind w:firstLine="482"/>
        <w:rPr>
          <w:b/>
          <w:bCs/>
        </w:rPr>
      </w:pPr>
      <w:r w:rsidRPr="00D630D1">
        <w:rPr>
          <w:rFonts w:hint="eastAsia"/>
          <w:b/>
          <w:bCs/>
        </w:rPr>
        <w:t>（</w:t>
      </w:r>
      <w:r w:rsidRPr="00D630D1">
        <w:rPr>
          <w:rFonts w:hint="eastAsia"/>
          <w:b/>
          <w:bCs/>
        </w:rPr>
        <w:t>5</w:t>
      </w:r>
      <w:r w:rsidRPr="00D630D1">
        <w:rPr>
          <w:rFonts w:hint="eastAsia"/>
          <w:b/>
          <w:bCs/>
        </w:rPr>
        <w:t>）废泥浆</w:t>
      </w:r>
    </w:p>
    <w:p w:rsidR="004623FB" w:rsidRPr="00D630D1" w:rsidRDefault="00FD5966" w:rsidP="004623FB">
      <w:pPr>
        <w:pStyle w:val="SSEC20150323"/>
        <w:ind w:firstLine="480"/>
        <w:rPr>
          <w:rFonts w:ascii="Times New Roman" w:hAnsi="Times New Roman"/>
        </w:rPr>
      </w:pPr>
      <w:r w:rsidRPr="00D630D1">
        <w:rPr>
          <w:rFonts w:ascii="Times New Roman"/>
        </w:rPr>
        <w:t>废弃泥浆采用清洁化操作平台，并采取泥浆不落地措施</w:t>
      </w:r>
      <w:r w:rsidRPr="00D630D1">
        <w:rPr>
          <w:rFonts w:ascii="Times New Roman" w:hint="eastAsia"/>
        </w:rPr>
        <w:t>，</w:t>
      </w:r>
      <w:r>
        <w:rPr>
          <w:rFonts w:ascii="Times New Roman" w:hint="eastAsia"/>
        </w:rPr>
        <w:t>废水基</w:t>
      </w:r>
      <w:r w:rsidRPr="00D630D1">
        <w:rPr>
          <w:rFonts w:ascii="Times New Roman"/>
        </w:rPr>
        <w:t>泥浆按照《达州市生态环境局办公室关于</w:t>
      </w:r>
      <w:r w:rsidRPr="00D630D1">
        <w:rPr>
          <w:rFonts w:ascii="Times New Roman" w:hint="eastAsia"/>
        </w:rPr>
        <w:t>进一步</w:t>
      </w:r>
      <w:r w:rsidRPr="00D630D1">
        <w:rPr>
          <w:rFonts w:ascii="Times New Roman"/>
        </w:rPr>
        <w:t>加强固体废物污染防治工作的通知》（达市环办发〔</w:t>
      </w:r>
      <w:r w:rsidRPr="00D630D1">
        <w:rPr>
          <w:rFonts w:ascii="Times New Roman" w:hAnsi="Times New Roman"/>
        </w:rPr>
        <w:t>20</w:t>
      </w:r>
      <w:r w:rsidRPr="00D630D1">
        <w:rPr>
          <w:rFonts w:ascii="Times New Roman" w:hAnsi="Times New Roman" w:hint="eastAsia"/>
        </w:rPr>
        <w:t>21</w:t>
      </w:r>
      <w:r w:rsidRPr="00D630D1">
        <w:rPr>
          <w:rFonts w:ascii="Times New Roman"/>
        </w:rPr>
        <w:t>〕</w:t>
      </w:r>
      <w:r w:rsidRPr="00D630D1">
        <w:rPr>
          <w:rFonts w:ascii="Times New Roman" w:hAnsi="Times New Roman" w:hint="eastAsia"/>
        </w:rPr>
        <w:t>24</w:t>
      </w:r>
      <w:r w:rsidRPr="00D630D1">
        <w:rPr>
          <w:rFonts w:ascii="Times New Roman"/>
        </w:rPr>
        <w:t>号）要求，就近交给依法取得生态环境部门关于利用和处置相关工业固体废物项目环评批复、具有处理处置相应固体废物能力并配套建设有废气、废水、固废等污染物治理设施的单位</w:t>
      </w:r>
      <w:r w:rsidRPr="00D630D1">
        <w:rPr>
          <w:rFonts w:ascii="Times New Roman" w:hint="eastAsia"/>
        </w:rPr>
        <w:t>进行资源化利用</w:t>
      </w:r>
      <w:r>
        <w:rPr>
          <w:rFonts w:ascii="Times New Roman" w:hint="eastAsia"/>
        </w:rPr>
        <w:t>；废油基泥浆</w:t>
      </w:r>
      <w:r w:rsidRPr="00D630D1">
        <w:t>属危险废物（</w:t>
      </w:r>
      <w:r w:rsidRPr="00EA7E77">
        <w:rPr>
          <w:rFonts w:ascii="Times New Roman" w:hAnsi="Times New Roman"/>
        </w:rPr>
        <w:t>HW08</w:t>
      </w:r>
      <w:r w:rsidRPr="00EA7E77">
        <w:rPr>
          <w:rFonts w:ascii="Times New Roman"/>
        </w:rPr>
        <w:t>废矿物油与含矿物油废物</w:t>
      </w:r>
      <w:r w:rsidRPr="00D630D1">
        <w:t>）</w:t>
      </w:r>
      <w:r>
        <w:rPr>
          <w:rFonts w:hint="eastAsia"/>
        </w:rPr>
        <w:t>，</w:t>
      </w:r>
      <w:r w:rsidRPr="00867A54">
        <w:rPr>
          <w:rFonts w:ascii="Times New Roman" w:hint="eastAsia"/>
        </w:rPr>
        <w:t>存于危废暂存间，定期交由资质单位处置</w:t>
      </w:r>
      <w:r w:rsidR="004623FB" w:rsidRPr="00D630D1">
        <w:rPr>
          <w:rFonts w:ascii="Times New Roman"/>
        </w:rPr>
        <w:t>。</w:t>
      </w:r>
    </w:p>
    <w:p w:rsidR="004623FB" w:rsidRPr="00D630D1" w:rsidRDefault="004623FB" w:rsidP="004623FB">
      <w:pPr>
        <w:pStyle w:val="afa"/>
        <w:ind w:firstLine="482"/>
        <w:rPr>
          <w:b/>
          <w:bCs/>
        </w:rPr>
      </w:pPr>
      <w:r w:rsidRPr="00D630D1">
        <w:rPr>
          <w:rFonts w:hint="eastAsia"/>
          <w:b/>
          <w:bCs/>
        </w:rPr>
        <w:t>（</w:t>
      </w:r>
      <w:r w:rsidRPr="00D630D1">
        <w:rPr>
          <w:rFonts w:hint="eastAsia"/>
          <w:b/>
          <w:bCs/>
        </w:rPr>
        <w:t>6</w:t>
      </w:r>
      <w:r w:rsidRPr="00D630D1">
        <w:rPr>
          <w:rFonts w:hint="eastAsia"/>
          <w:b/>
          <w:bCs/>
        </w:rPr>
        <w:t>）</w:t>
      </w:r>
      <w:r w:rsidRPr="00D630D1">
        <w:rPr>
          <w:rFonts w:hint="eastAsia"/>
          <w:b/>
        </w:rPr>
        <w:t>废油</w:t>
      </w:r>
    </w:p>
    <w:p w:rsidR="004623FB" w:rsidRPr="00D630D1" w:rsidRDefault="004623FB" w:rsidP="004623FB">
      <w:pPr>
        <w:pStyle w:val="a1"/>
        <w:ind w:firstLine="480"/>
        <w:rPr>
          <w:rFonts w:ascii="Times New Roman" w:cs="Times New Roman"/>
        </w:rPr>
      </w:pPr>
      <w:r w:rsidRPr="00D630D1">
        <w:rPr>
          <w:rFonts w:ascii="Times New Roman" w:cs="Times New Roman"/>
        </w:rPr>
        <w:t>钻井过程中废油暂存于危废暂存间，面积约</w:t>
      </w:r>
      <w:r w:rsidR="00C04B07">
        <w:rPr>
          <w:rFonts w:ascii="Times New Roman" w:cs="Times New Roman" w:hint="eastAsia"/>
        </w:rPr>
        <w:t>10</w:t>
      </w:r>
      <w:r w:rsidRPr="00D630D1">
        <w:rPr>
          <w:rFonts w:ascii="Times New Roman" w:cs="Times New Roman"/>
        </w:rPr>
        <w:t>m</w:t>
      </w:r>
      <w:r w:rsidRPr="00D630D1">
        <w:rPr>
          <w:rFonts w:ascii="Times New Roman" w:cs="Times New Roman"/>
          <w:vertAlign w:val="superscript"/>
        </w:rPr>
        <w:t>2</w:t>
      </w:r>
      <w:r w:rsidRPr="00D630D1">
        <w:rPr>
          <w:rFonts w:ascii="Times New Roman" w:cs="Times New Roman"/>
        </w:rPr>
        <w:t>，暂存间地面采取四防措施（防风、防雨、防晒、防渗漏），并及时清运至企业净化厂危险废物贮存仓库（运距约</w:t>
      </w:r>
      <w:r w:rsidRPr="00D630D1">
        <w:rPr>
          <w:rFonts w:ascii="Times New Roman" w:cs="Times New Roman"/>
        </w:rPr>
        <w:t>2</w:t>
      </w:r>
      <w:r w:rsidR="00E21449">
        <w:rPr>
          <w:rFonts w:ascii="Times New Roman" w:cs="Times New Roman" w:hint="eastAsia"/>
        </w:rPr>
        <w:t>2</w:t>
      </w:r>
      <w:r w:rsidRPr="00D630D1">
        <w:rPr>
          <w:rFonts w:ascii="Times New Roman" w:cs="Times New Roman"/>
        </w:rPr>
        <w:t>km</w:t>
      </w:r>
      <w:r w:rsidRPr="00D630D1">
        <w:rPr>
          <w:rFonts w:ascii="Times New Roman" w:cs="Times New Roman"/>
        </w:rPr>
        <w:t>），定期送有资质单位处理。废油属危险废物（《国家危险废物名录》（</w:t>
      </w:r>
      <w:r w:rsidRPr="00D630D1">
        <w:rPr>
          <w:rFonts w:ascii="Times New Roman" w:cs="Times New Roman"/>
        </w:rPr>
        <w:t>2021</w:t>
      </w:r>
      <w:r w:rsidRPr="00D630D1">
        <w:rPr>
          <w:rFonts w:ascii="Times New Roman" w:cs="Times New Roman"/>
        </w:rPr>
        <w:t>年</w:t>
      </w:r>
      <w:r w:rsidRPr="00D630D1">
        <w:rPr>
          <w:rFonts w:ascii="Times New Roman" w:cs="Times New Roman"/>
        </w:rPr>
        <w:t>1</w:t>
      </w:r>
      <w:r w:rsidRPr="00D630D1">
        <w:rPr>
          <w:rFonts w:ascii="Times New Roman" w:cs="Times New Roman"/>
        </w:rPr>
        <w:t>月</w:t>
      </w:r>
      <w:r w:rsidRPr="00D630D1">
        <w:rPr>
          <w:rFonts w:ascii="Times New Roman" w:cs="Times New Roman"/>
        </w:rPr>
        <w:t>1</w:t>
      </w:r>
      <w:r w:rsidRPr="00D630D1">
        <w:rPr>
          <w:rFonts w:ascii="Times New Roman" w:cs="Times New Roman"/>
        </w:rPr>
        <w:t>日）中</w:t>
      </w:r>
      <w:r w:rsidRPr="00D630D1">
        <w:rPr>
          <w:rFonts w:ascii="Times New Roman" w:cs="Times New Roman"/>
        </w:rPr>
        <w:t>HW08</w:t>
      </w:r>
      <w:r w:rsidRPr="00D630D1">
        <w:rPr>
          <w:rFonts w:ascii="Times New Roman" w:cs="Times New Roman"/>
        </w:rPr>
        <w:t>废矿物油与含矿物油废物），由有危险废物处置资质的单位代为处置。本项目对废油的收集、贮存和运输应满足《危险废物收集</w:t>
      </w:r>
      <w:r w:rsidRPr="00D630D1">
        <w:rPr>
          <w:rFonts w:ascii="Times New Roman" w:cs="Times New Roman"/>
        </w:rPr>
        <w:t xml:space="preserve"> </w:t>
      </w:r>
      <w:r w:rsidRPr="00D630D1">
        <w:rPr>
          <w:rFonts w:ascii="Times New Roman" w:cs="Times New Roman"/>
        </w:rPr>
        <w:t>贮存</w:t>
      </w:r>
      <w:r w:rsidRPr="00D630D1">
        <w:rPr>
          <w:rFonts w:ascii="Times New Roman" w:cs="Times New Roman"/>
        </w:rPr>
        <w:t xml:space="preserve"> </w:t>
      </w:r>
      <w:r w:rsidRPr="00D630D1">
        <w:rPr>
          <w:rFonts w:ascii="Times New Roman" w:cs="Times New Roman"/>
        </w:rPr>
        <w:t>运输技术规范》（</w:t>
      </w:r>
      <w:r w:rsidRPr="00D630D1">
        <w:rPr>
          <w:rFonts w:ascii="Times New Roman" w:cs="Times New Roman"/>
        </w:rPr>
        <w:t>HJ 2025-2012</w:t>
      </w:r>
      <w:r w:rsidRPr="00D630D1">
        <w:rPr>
          <w:rFonts w:ascii="Times New Roman" w:cs="Times New Roman"/>
        </w:rPr>
        <w:t>）的相关规定，建设单位做好钻井固</w:t>
      </w:r>
      <w:r w:rsidRPr="00D630D1">
        <w:rPr>
          <w:rFonts w:ascii="Times New Roman" w:cs="Times New Roman"/>
        </w:rPr>
        <w:lastRenderedPageBreak/>
        <w:t>废转移记录。</w:t>
      </w:r>
    </w:p>
    <w:p w:rsidR="00117C3D" w:rsidRPr="00D630D1" w:rsidRDefault="007A3D54">
      <w:pPr>
        <w:pStyle w:val="a1"/>
        <w:ind w:firstLine="482"/>
        <w:rPr>
          <w:rFonts w:ascii="Times New Roman" w:cs="Times New Roman"/>
          <w:b/>
        </w:rPr>
      </w:pPr>
      <w:bookmarkStart w:id="625" w:name="_Toc12288801"/>
      <w:r w:rsidRPr="00D630D1">
        <w:rPr>
          <w:rFonts w:ascii="Times New Roman" w:cs="Times New Roman"/>
          <w:b/>
        </w:rPr>
        <w:t>4</w:t>
      </w:r>
      <w:r w:rsidR="008B5B84" w:rsidRPr="00D630D1">
        <w:rPr>
          <w:rFonts w:ascii="Times New Roman" w:cs="Times New Roman"/>
          <w:b/>
        </w:rPr>
        <w:t>、噪声防治措施</w:t>
      </w:r>
      <w:bookmarkEnd w:id="625"/>
    </w:p>
    <w:p w:rsidR="004623FB" w:rsidRPr="00D630D1" w:rsidRDefault="004623FB" w:rsidP="004623FB">
      <w:pPr>
        <w:pStyle w:val="a1"/>
        <w:ind w:firstLine="482"/>
        <w:rPr>
          <w:rFonts w:ascii="Times New Roman" w:cs="Times New Roman"/>
          <w:b/>
        </w:rPr>
      </w:pPr>
      <w:r w:rsidRPr="00D630D1">
        <w:rPr>
          <w:rFonts w:ascii="Times New Roman" w:cs="Times New Roman" w:hint="eastAsia"/>
          <w:b/>
        </w:rPr>
        <w:t>4.1</w:t>
      </w:r>
      <w:r w:rsidRPr="00D630D1">
        <w:rPr>
          <w:rFonts w:ascii="Times New Roman" w:cs="Times New Roman" w:hint="eastAsia"/>
          <w:b/>
        </w:rPr>
        <w:t>站场、管道施工</w:t>
      </w:r>
    </w:p>
    <w:p w:rsidR="00117C3D" w:rsidRPr="00D630D1" w:rsidRDefault="008B5B84">
      <w:pPr>
        <w:pStyle w:val="a1"/>
        <w:ind w:firstLine="480"/>
        <w:rPr>
          <w:rFonts w:ascii="Times New Roman" w:cs="Times New Roman"/>
        </w:rPr>
      </w:pPr>
      <w:r w:rsidRPr="00D630D1">
        <w:rPr>
          <w:rFonts w:ascii="Times New Roman" w:cs="Times New Roman"/>
        </w:rPr>
        <w:t>施工期噪声源主要来自施工作业机械，如挖掘机、电焊机、推土机等，其强度在</w:t>
      </w:r>
      <w:r w:rsidRPr="00D630D1">
        <w:rPr>
          <w:rFonts w:ascii="Times New Roman" w:cs="Times New Roman"/>
        </w:rPr>
        <w:t>85</w:t>
      </w:r>
      <w:r w:rsidRPr="00D630D1">
        <w:rPr>
          <w:rFonts w:ascii="Times New Roman" w:cs="Times New Roman"/>
        </w:rPr>
        <w:t>～</w:t>
      </w:r>
      <w:r w:rsidRPr="00D630D1">
        <w:rPr>
          <w:rFonts w:ascii="Times New Roman" w:cs="Times New Roman"/>
        </w:rPr>
        <w:t>105dB</w:t>
      </w:r>
      <w:r w:rsidR="00EA67E0" w:rsidRPr="00D630D1">
        <w:rPr>
          <w:rFonts w:ascii="Times New Roman" w:cs="Times New Roman" w:hint="eastAsia"/>
        </w:rPr>
        <w:t>（</w:t>
      </w:r>
      <w:r w:rsidR="00EA67E0" w:rsidRPr="00D630D1">
        <w:rPr>
          <w:rFonts w:ascii="Times New Roman" w:cs="Times New Roman"/>
        </w:rPr>
        <w:t>A</w:t>
      </w:r>
      <w:r w:rsidR="00EA67E0" w:rsidRPr="00D630D1">
        <w:rPr>
          <w:rFonts w:ascii="Times New Roman" w:cs="Times New Roman" w:hint="eastAsia"/>
        </w:rPr>
        <w:t>）</w:t>
      </w:r>
      <w:r w:rsidRPr="00D630D1">
        <w:rPr>
          <w:rFonts w:ascii="Times New Roman" w:cs="Times New Roman"/>
        </w:rPr>
        <w:t>。施工期拟采取如下噪声防治措施：</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w:t>
      </w:r>
      <w:r w:rsidR="008B5B84" w:rsidRPr="00D630D1">
        <w:rPr>
          <w:rFonts w:ascii="Times New Roman" w:cs="Times New Roman"/>
        </w:rPr>
        <w:t>施工单位必须选用符合国家有关标准的施工机具和运输车辆，尽量选用低噪声的施工机械和工艺，振动较大的固定机械设备应加装减振机座，同时加强各类施工设备的维护和保养，保持其良好的工况，以便从根本上降低噪声源强。</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w:t>
      </w:r>
      <w:r w:rsidR="008B5B84" w:rsidRPr="00D630D1">
        <w:rPr>
          <w:rFonts w:ascii="Times New Roman" w:cs="Times New Roman"/>
        </w:rPr>
        <w:t>在离居民区较近的地方施工，应严格执行当地政府控制规定，严禁在晚上</w:t>
      </w:r>
      <w:r w:rsidR="008B5B84" w:rsidRPr="00D630D1">
        <w:rPr>
          <w:rFonts w:ascii="Times New Roman" w:cs="Times New Roman"/>
        </w:rPr>
        <w:t>10</w:t>
      </w:r>
      <w:r w:rsidR="008B5B84" w:rsidRPr="00D630D1">
        <w:rPr>
          <w:rFonts w:ascii="Times New Roman" w:cs="Times New Roman"/>
        </w:rPr>
        <w:t>时至次日</w:t>
      </w:r>
      <w:r w:rsidR="008B5B84" w:rsidRPr="00D630D1">
        <w:rPr>
          <w:rFonts w:ascii="Times New Roman" w:cs="Times New Roman"/>
        </w:rPr>
        <w:t>6</w:t>
      </w:r>
      <w:r w:rsidR="008B5B84" w:rsidRPr="00D630D1">
        <w:rPr>
          <w:rFonts w:ascii="Times New Roman" w:cs="Times New Roman"/>
        </w:rPr>
        <w:t>时进行高噪声施工，夜间施工应向有关部门申请，批准后才能根据规定施工。</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w:t>
      </w:r>
      <w:r w:rsidR="008B5B84" w:rsidRPr="00D630D1">
        <w:rPr>
          <w:rFonts w:ascii="Times New Roman" w:cs="Times New Roman"/>
        </w:rPr>
        <w:t>在施工中严格控制作业时间，根据具体情况，合理安排施工时间，提高操作水平，与周围居民做好沟通工作，减少对敏感地点的影响，防止发生噪声扰民现象。</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4</w:t>
      </w:r>
      <w:r w:rsidRPr="00D630D1">
        <w:rPr>
          <w:rFonts w:ascii="Times New Roman" w:cs="Times New Roman"/>
        </w:rPr>
        <w:t>）</w:t>
      </w:r>
      <w:r w:rsidR="008B5B84" w:rsidRPr="00D630D1">
        <w:rPr>
          <w:rFonts w:ascii="Times New Roman" w:cs="Times New Roman"/>
        </w:rPr>
        <w:t>运输车辆应尽可能减少鸣号，尤其是在晚间和午休时间。</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5</w:t>
      </w:r>
      <w:r w:rsidRPr="00D630D1">
        <w:rPr>
          <w:rFonts w:ascii="Times New Roman" w:cs="Times New Roman"/>
        </w:rPr>
        <w:t>）</w:t>
      </w:r>
      <w:r w:rsidR="008B5B84" w:rsidRPr="00D630D1">
        <w:rPr>
          <w:rFonts w:ascii="Times New Roman" w:cs="Times New Roman"/>
        </w:rPr>
        <w:t>合理布局施工现场，避免在同一地点安排大量动力机械设备，以免局部声级过高。</w:t>
      </w:r>
    </w:p>
    <w:p w:rsidR="00117C3D" w:rsidRPr="00D630D1" w:rsidRDefault="007A3D54">
      <w:pPr>
        <w:pStyle w:val="a1"/>
        <w:ind w:firstLine="480"/>
        <w:rPr>
          <w:rFonts w:ascii="Times New Roman" w:cs="Times New Roman"/>
        </w:rPr>
      </w:pPr>
      <w:r w:rsidRPr="00D630D1">
        <w:rPr>
          <w:rFonts w:ascii="Times New Roman" w:cs="Times New Roman"/>
        </w:rPr>
        <w:t>（</w:t>
      </w:r>
      <w:r w:rsidRPr="00D630D1">
        <w:rPr>
          <w:rFonts w:ascii="Times New Roman" w:cs="Times New Roman"/>
        </w:rPr>
        <w:t>6</w:t>
      </w:r>
      <w:r w:rsidRPr="00D630D1">
        <w:rPr>
          <w:rFonts w:ascii="Times New Roman" w:cs="Times New Roman"/>
        </w:rPr>
        <w:t>）</w:t>
      </w:r>
      <w:r w:rsidR="00F6383E" w:rsidRPr="00D630D1">
        <w:rPr>
          <w:rFonts w:ascii="Times New Roman" w:cs="Times New Roman"/>
        </w:rPr>
        <w:t>施工沿线居民集中点设挡声板</w:t>
      </w:r>
      <w:r w:rsidR="008B5B84" w:rsidRPr="00D630D1">
        <w:rPr>
          <w:rFonts w:ascii="Times New Roman" w:cs="Times New Roman"/>
        </w:rPr>
        <w:t>。</w:t>
      </w:r>
    </w:p>
    <w:p w:rsidR="004623FB" w:rsidRPr="00D630D1" w:rsidRDefault="004623FB" w:rsidP="004623FB">
      <w:pPr>
        <w:pStyle w:val="a1"/>
        <w:ind w:firstLine="482"/>
        <w:rPr>
          <w:rFonts w:ascii="Times New Roman" w:cs="Times New Roman"/>
          <w:b/>
        </w:rPr>
      </w:pPr>
      <w:r w:rsidRPr="00D630D1">
        <w:rPr>
          <w:rFonts w:ascii="Times New Roman" w:cs="Times New Roman" w:hint="eastAsia"/>
          <w:b/>
        </w:rPr>
        <w:t>4.2</w:t>
      </w:r>
      <w:r w:rsidRPr="00D630D1">
        <w:rPr>
          <w:rFonts w:ascii="Times New Roman" w:cs="Times New Roman" w:hint="eastAsia"/>
          <w:b/>
        </w:rPr>
        <w:t>钻井施工</w:t>
      </w:r>
    </w:p>
    <w:p w:rsidR="004623FB" w:rsidRPr="00D630D1" w:rsidRDefault="004623FB" w:rsidP="004623FB">
      <w:pPr>
        <w:pStyle w:val="a1"/>
        <w:ind w:firstLine="480"/>
        <w:rPr>
          <w:rFonts w:ascii="Times New Roman" w:cs="Times New Roman"/>
        </w:rPr>
      </w:pPr>
      <w:r w:rsidRPr="00D630D1">
        <w:rPr>
          <w:rFonts w:ascii="Times New Roman" w:cs="Times New Roman"/>
        </w:rPr>
        <w:t>合理布置高噪声设备；选用低噪声设备如网电钻井；泥浆泵安装弹性垫料；对周边</w:t>
      </w:r>
      <w:r w:rsidRPr="00D630D1">
        <w:rPr>
          <w:rFonts w:ascii="Times New Roman" w:cs="Times New Roman"/>
        </w:rPr>
        <w:t>500m</w:t>
      </w:r>
      <w:r w:rsidRPr="00D630D1">
        <w:rPr>
          <w:rFonts w:ascii="Times New Roman" w:cs="Times New Roman"/>
        </w:rPr>
        <w:t>范围内无关人员进行临时疏散</w:t>
      </w:r>
      <w:r w:rsidRPr="00D630D1">
        <w:rPr>
          <w:rFonts w:ascii="Times New Roman" w:cs="Times New Roman" w:hint="eastAsia"/>
        </w:rPr>
        <w:t>。</w:t>
      </w:r>
    </w:p>
    <w:p w:rsidR="00117C3D" w:rsidRPr="00D630D1" w:rsidRDefault="00117C3D">
      <w:pPr>
        <w:widowControl/>
        <w:topLinePunct w:val="0"/>
        <w:adjustRightInd/>
        <w:ind w:firstLineChars="0" w:firstLine="0"/>
        <w:jc w:val="left"/>
        <w:rPr>
          <w:rFonts w:ascii="Times New Roman" w:cs="Times New Roman"/>
        </w:rPr>
        <w:sectPr w:rsidR="00117C3D" w:rsidRPr="00D630D1" w:rsidSect="00BA4F10">
          <w:headerReference w:type="even" r:id="rId139"/>
          <w:headerReference w:type="default" r:id="rId140"/>
          <w:footerReference w:type="even" r:id="rId141"/>
          <w:footerReference w:type="default" r:id="rId142"/>
          <w:headerReference w:type="first" r:id="rId143"/>
          <w:footerReference w:type="first" r:id="rId144"/>
          <w:pgSz w:w="11910" w:h="16840"/>
          <w:pgMar w:top="1440" w:right="1800" w:bottom="1440" w:left="1800" w:header="885" w:footer="1025" w:gutter="0"/>
          <w:cols w:space="720"/>
          <w:docGrid w:linePitch="326"/>
        </w:sectPr>
      </w:pPr>
    </w:p>
    <w:p w:rsidR="00117C3D" w:rsidRPr="00D630D1" w:rsidRDefault="0080497A" w:rsidP="0080497A">
      <w:pPr>
        <w:pStyle w:val="2"/>
        <w:spacing w:before="120"/>
        <w:rPr>
          <w:rFonts w:cs="Times New Roman"/>
        </w:rPr>
      </w:pPr>
      <w:bookmarkStart w:id="626" w:name="bookmark73"/>
      <w:bookmarkStart w:id="627" w:name="_Toc12288807"/>
      <w:bookmarkStart w:id="628" w:name="_Toc19816128"/>
      <w:bookmarkStart w:id="629" w:name="_Toc81515306"/>
      <w:bookmarkEnd w:id="626"/>
      <w:r w:rsidRPr="00D630D1">
        <w:rPr>
          <w:rFonts w:cs="Times New Roman"/>
        </w:rPr>
        <w:lastRenderedPageBreak/>
        <w:t>8</w:t>
      </w:r>
      <w:r w:rsidR="008B5B84" w:rsidRPr="00D630D1">
        <w:rPr>
          <w:rFonts w:cs="Times New Roman"/>
        </w:rPr>
        <w:t xml:space="preserve">.2 </w:t>
      </w:r>
      <w:r w:rsidR="008B5B84" w:rsidRPr="00D630D1">
        <w:rPr>
          <w:rFonts w:cs="Times New Roman"/>
        </w:rPr>
        <w:t>营运期的环境保护措施</w:t>
      </w:r>
      <w:bookmarkEnd w:id="627"/>
      <w:bookmarkEnd w:id="628"/>
      <w:bookmarkEnd w:id="629"/>
    </w:p>
    <w:p w:rsidR="00117C3D" w:rsidRPr="00D630D1" w:rsidRDefault="0080497A">
      <w:pPr>
        <w:pStyle w:val="3"/>
        <w:rPr>
          <w:rFonts w:eastAsia="宋体"/>
        </w:rPr>
      </w:pPr>
      <w:bookmarkStart w:id="630" w:name="_Toc19816129"/>
      <w:bookmarkStart w:id="631" w:name="_Toc12288808"/>
      <w:r w:rsidRPr="00D630D1">
        <w:rPr>
          <w:rFonts w:eastAsia="宋体"/>
        </w:rPr>
        <w:t>8</w:t>
      </w:r>
      <w:r w:rsidR="008B5B84" w:rsidRPr="00D630D1">
        <w:rPr>
          <w:rFonts w:eastAsia="宋体"/>
        </w:rPr>
        <w:t xml:space="preserve">.2.1 </w:t>
      </w:r>
      <w:r w:rsidR="008B5B84" w:rsidRPr="00D630D1">
        <w:rPr>
          <w:rFonts w:eastAsia="宋体"/>
        </w:rPr>
        <w:t>废气防治措施</w:t>
      </w:r>
      <w:bookmarkEnd w:id="630"/>
      <w:bookmarkEnd w:id="631"/>
    </w:p>
    <w:p w:rsidR="0080497A" w:rsidRPr="00D630D1" w:rsidRDefault="0080497A" w:rsidP="0080497A">
      <w:pPr>
        <w:pStyle w:val="afa"/>
        <w:ind w:firstLine="482"/>
        <w:rPr>
          <w:b/>
          <w:bCs/>
        </w:rPr>
      </w:pPr>
      <w:bookmarkStart w:id="632" w:name="_Toc12288809"/>
      <w:r w:rsidRPr="00D630D1">
        <w:rPr>
          <w:b/>
          <w:bCs/>
        </w:rPr>
        <w:t>1</w:t>
      </w:r>
      <w:r w:rsidRPr="00D630D1">
        <w:rPr>
          <w:b/>
          <w:bCs/>
        </w:rPr>
        <w:t>、正常工况</w:t>
      </w:r>
    </w:p>
    <w:p w:rsidR="00FD21B5" w:rsidRPr="00D630D1" w:rsidRDefault="00FD21B5" w:rsidP="00FD21B5">
      <w:pPr>
        <w:pStyle w:val="afa"/>
        <w:ind w:firstLine="480"/>
      </w:pPr>
      <w:r w:rsidRPr="00D630D1">
        <w:t>根据本项目所提供的设计资料，本项目正常生产时，天然气处于完全密闭系统内，无废气产生和排放。主要废气为水套炉燃料燃烧产生的废气。</w:t>
      </w:r>
    </w:p>
    <w:p w:rsidR="00FD21B5" w:rsidRPr="00D630D1" w:rsidRDefault="00FD21B5" w:rsidP="00FD21B5">
      <w:pPr>
        <w:pStyle w:val="afa"/>
        <w:ind w:firstLine="480"/>
      </w:pPr>
      <w:r w:rsidRPr="00D630D1">
        <w:t>由于输气管道敷设在地下，进行密闭输送，管道进行了防腐处理，在正常情况下，不会有废气排放，不会对大气环境造成不利影响。</w:t>
      </w:r>
    </w:p>
    <w:p w:rsidR="0080497A" w:rsidRPr="00D630D1" w:rsidRDefault="00FD21B5" w:rsidP="00FD21B5">
      <w:pPr>
        <w:pStyle w:val="afa"/>
        <w:ind w:firstLine="480"/>
      </w:pPr>
      <w:r w:rsidRPr="00D630D1">
        <w:t>项目正常工况下排放废气主要为</w:t>
      </w:r>
      <w:r w:rsidR="002C00AE">
        <w:rPr>
          <w:rFonts w:hint="eastAsia"/>
        </w:rPr>
        <w:t>普光</w:t>
      </w:r>
      <w:r w:rsidR="002C00AE">
        <w:rPr>
          <w:rFonts w:hint="eastAsia"/>
        </w:rPr>
        <w:t>12</w:t>
      </w:r>
      <w:r w:rsidR="002C00AE">
        <w:rPr>
          <w:rFonts w:hint="eastAsia"/>
        </w:rPr>
        <w:t>采气站</w:t>
      </w:r>
      <w:r w:rsidRPr="00D630D1">
        <w:t>水套炉燃气废气，主要污染物为氮氧化物，经设备自带的</w:t>
      </w:r>
      <w:r w:rsidRPr="00D630D1">
        <w:t>8m</w:t>
      </w:r>
      <w:r w:rsidRPr="00D630D1">
        <w:t>高排气筒排放，不会对周边环境空气影响较小。</w:t>
      </w:r>
    </w:p>
    <w:p w:rsidR="0080497A" w:rsidRPr="00D630D1" w:rsidRDefault="0080497A" w:rsidP="0080497A">
      <w:pPr>
        <w:pStyle w:val="afa"/>
        <w:ind w:firstLine="482"/>
        <w:rPr>
          <w:b/>
          <w:bCs/>
        </w:rPr>
      </w:pPr>
      <w:r w:rsidRPr="00D630D1">
        <w:rPr>
          <w:b/>
          <w:bCs/>
        </w:rPr>
        <w:t>2</w:t>
      </w:r>
      <w:r w:rsidRPr="00D630D1">
        <w:rPr>
          <w:b/>
          <w:bCs/>
        </w:rPr>
        <w:t>、非正常工况</w:t>
      </w:r>
    </w:p>
    <w:p w:rsidR="0080497A" w:rsidRPr="00D630D1" w:rsidRDefault="00D83821" w:rsidP="00D83821">
      <w:pPr>
        <w:pStyle w:val="afa"/>
        <w:ind w:firstLine="480"/>
      </w:pPr>
      <w:r w:rsidRPr="00D630D1">
        <w:t>项目非正常工况下，</w:t>
      </w:r>
      <w:r w:rsidR="00137B2F" w:rsidRPr="00D630D1">
        <w:rPr>
          <w:rFonts w:hint="eastAsia"/>
        </w:rPr>
        <w:t>在事故或检修放空期间会产生放空废气，事故或检修放空</w:t>
      </w:r>
      <w:r w:rsidRPr="00D630D1">
        <w:t>次数极少，发生的频率约为</w:t>
      </w:r>
      <w:r w:rsidRPr="00D630D1">
        <w:t>1</w:t>
      </w:r>
      <w:r w:rsidRPr="00D630D1">
        <w:t>次</w:t>
      </w:r>
      <w:r w:rsidRPr="00D630D1">
        <w:t>/</w:t>
      </w:r>
      <w:r w:rsidRPr="00D630D1">
        <w:t>年，每次持续时间约</w:t>
      </w:r>
      <w:r w:rsidRPr="00D630D1">
        <w:t>1h</w:t>
      </w:r>
      <w:r w:rsidRPr="00D630D1">
        <w:t>。排放的</w:t>
      </w:r>
      <w:r w:rsidR="00137B2F" w:rsidRPr="00D630D1">
        <w:rPr>
          <w:rFonts w:hint="eastAsia"/>
        </w:rPr>
        <w:t>废气</w:t>
      </w:r>
      <w:r w:rsidRPr="00D630D1">
        <w:t>经新建放空火炬燃烧后排放。</w:t>
      </w:r>
      <w:r w:rsidR="00137B2F" w:rsidRPr="00D630D1">
        <w:rPr>
          <w:rFonts w:hint="eastAsia"/>
        </w:rPr>
        <w:t>事故或检修放空</w:t>
      </w:r>
      <w:r w:rsidRPr="00D630D1">
        <w:t>时产生的污染物绝对量很低，加之各站外环境较为空旷、有利于废气扩散</w:t>
      </w:r>
      <w:r w:rsidR="00727367" w:rsidRPr="00D630D1">
        <w:rPr>
          <w:rFonts w:hint="eastAsia"/>
        </w:rPr>
        <w:t>，放空时疏散</w:t>
      </w:r>
      <w:r w:rsidR="00727367" w:rsidRPr="00D630D1">
        <w:t>附近的居民</w:t>
      </w:r>
      <w:r w:rsidR="00727367" w:rsidRPr="00D630D1">
        <w:rPr>
          <w:rFonts w:hint="eastAsia"/>
        </w:rPr>
        <w:t>，对大气环境影响小</w:t>
      </w:r>
      <w:r w:rsidRPr="00D630D1">
        <w:t>。</w:t>
      </w:r>
    </w:p>
    <w:p w:rsidR="00D83821" w:rsidRPr="00D630D1" w:rsidRDefault="00D83821" w:rsidP="00D83821">
      <w:pPr>
        <w:pStyle w:val="afa"/>
        <w:ind w:firstLine="480"/>
      </w:pPr>
      <w:r w:rsidRPr="00D630D1">
        <w:t>当管线发生破裂事故，其泄漏的天然气进行大气环境中，会对大气环境造成一定的影响，但是泄</w:t>
      </w:r>
      <w:r w:rsidR="001205FA" w:rsidRPr="00D630D1">
        <w:t>漏事故发生概率较小，泄漏量较少，泄漏</w:t>
      </w:r>
      <w:r w:rsidRPr="00D630D1">
        <w:t>时间较短，</w:t>
      </w:r>
      <w:r w:rsidR="00727367" w:rsidRPr="00D630D1">
        <w:t>若发生泄漏</w:t>
      </w:r>
      <w:r w:rsidR="00727367" w:rsidRPr="00D630D1">
        <w:rPr>
          <w:rFonts w:hint="eastAsia"/>
        </w:rPr>
        <w:t>，</w:t>
      </w:r>
      <w:r w:rsidR="00727367" w:rsidRPr="00D630D1">
        <w:t>及时</w:t>
      </w:r>
      <w:r w:rsidR="00727367" w:rsidRPr="00D630D1">
        <w:rPr>
          <w:rFonts w:hint="eastAsia"/>
        </w:rPr>
        <w:t>疏散</w:t>
      </w:r>
      <w:r w:rsidR="00727367" w:rsidRPr="00D630D1">
        <w:t>附近的居民</w:t>
      </w:r>
      <w:r w:rsidR="00727367" w:rsidRPr="00D630D1">
        <w:rPr>
          <w:rFonts w:hint="eastAsia"/>
        </w:rPr>
        <w:t>，</w:t>
      </w:r>
      <w:r w:rsidRPr="00D630D1">
        <w:t>不会对大气环境造成严重不利影响。</w:t>
      </w:r>
    </w:p>
    <w:p w:rsidR="00117C3D" w:rsidRPr="00D630D1" w:rsidRDefault="001E79D3">
      <w:pPr>
        <w:pStyle w:val="3"/>
        <w:rPr>
          <w:rFonts w:eastAsia="宋体"/>
        </w:rPr>
      </w:pPr>
      <w:bookmarkStart w:id="633" w:name="_Toc19816130"/>
      <w:bookmarkStart w:id="634" w:name="_Toc12288811"/>
      <w:bookmarkEnd w:id="632"/>
      <w:r w:rsidRPr="00D630D1">
        <w:rPr>
          <w:rFonts w:eastAsia="宋体"/>
        </w:rPr>
        <w:t>8</w:t>
      </w:r>
      <w:r w:rsidR="008B5B84" w:rsidRPr="00D630D1">
        <w:rPr>
          <w:rFonts w:eastAsia="宋体"/>
        </w:rPr>
        <w:t xml:space="preserve">.2.2 </w:t>
      </w:r>
      <w:r w:rsidR="008B5B84" w:rsidRPr="00D630D1">
        <w:rPr>
          <w:rFonts w:eastAsia="宋体"/>
        </w:rPr>
        <w:t>废水防治措施</w:t>
      </w:r>
      <w:bookmarkEnd w:id="633"/>
      <w:bookmarkEnd w:id="634"/>
    </w:p>
    <w:p w:rsidR="00D83821" w:rsidRPr="00D630D1" w:rsidRDefault="00D83821" w:rsidP="00D83821">
      <w:pPr>
        <w:pStyle w:val="afa"/>
        <w:ind w:firstLine="482"/>
        <w:rPr>
          <w:b/>
          <w:bCs/>
        </w:rPr>
      </w:pPr>
      <w:r w:rsidRPr="00D630D1">
        <w:rPr>
          <w:b/>
          <w:bCs/>
        </w:rPr>
        <w:t>1</w:t>
      </w:r>
      <w:r w:rsidRPr="00D630D1">
        <w:rPr>
          <w:b/>
          <w:bCs/>
        </w:rPr>
        <w:t>、管线对地表水的影响</w:t>
      </w:r>
    </w:p>
    <w:p w:rsidR="00D83821" w:rsidRPr="00D630D1" w:rsidRDefault="00D83821" w:rsidP="00D83821">
      <w:pPr>
        <w:pStyle w:val="afa"/>
        <w:ind w:firstLine="480"/>
      </w:pPr>
      <w:r w:rsidRPr="00D630D1">
        <w:t>正常工况下，由于输气管线是全封闭系统，输运的天然气不会与</w:t>
      </w:r>
      <w:r w:rsidR="005F0550" w:rsidRPr="00D630D1">
        <w:rPr>
          <w:rFonts w:hint="eastAsia"/>
        </w:rPr>
        <w:t>项目附近地表水</w:t>
      </w:r>
      <w:r w:rsidR="005F0550" w:rsidRPr="00D630D1">
        <w:t>水体之间发生联系，采用外防腐层和强制电流阴极保护联合方式，如</w:t>
      </w:r>
      <w:r w:rsidR="005F0550" w:rsidRPr="00D630D1">
        <w:rPr>
          <w:rFonts w:hint="eastAsia"/>
        </w:rPr>
        <w:t>不</w:t>
      </w:r>
      <w:r w:rsidRPr="00D630D1">
        <w:t>发生泄漏事故，正常运营期对</w:t>
      </w:r>
      <w:r w:rsidR="005F0550" w:rsidRPr="00D630D1">
        <w:rPr>
          <w:rFonts w:hint="eastAsia"/>
        </w:rPr>
        <w:t>地表水</w:t>
      </w:r>
      <w:r w:rsidRPr="00D630D1">
        <w:t>不会造成影响；在发生泄漏事故时，由于天然气中以</w:t>
      </w:r>
      <w:r w:rsidRPr="00D630D1">
        <w:t>CH</w:t>
      </w:r>
      <w:r w:rsidRPr="00D630D1">
        <w:rPr>
          <w:vertAlign w:val="subscript"/>
        </w:rPr>
        <w:t>4</w:t>
      </w:r>
      <w:r w:rsidRPr="00D630D1">
        <w:t>为主，在水中的溶解度极低，因此对水环境基本无影响。</w:t>
      </w:r>
    </w:p>
    <w:p w:rsidR="001E79D3" w:rsidRPr="00D630D1" w:rsidRDefault="00D83821" w:rsidP="001E79D3">
      <w:pPr>
        <w:pStyle w:val="afa"/>
        <w:ind w:firstLine="482"/>
        <w:rPr>
          <w:b/>
          <w:bCs/>
        </w:rPr>
      </w:pPr>
      <w:r w:rsidRPr="00D630D1">
        <w:rPr>
          <w:b/>
          <w:bCs/>
        </w:rPr>
        <w:t>2</w:t>
      </w:r>
      <w:r w:rsidR="001E79D3" w:rsidRPr="00D630D1">
        <w:rPr>
          <w:b/>
          <w:bCs/>
        </w:rPr>
        <w:t>、水污染源及排放情况</w:t>
      </w:r>
    </w:p>
    <w:p w:rsidR="00D83821" w:rsidRPr="00D630D1" w:rsidRDefault="002C00AE" w:rsidP="00D83821">
      <w:pPr>
        <w:pStyle w:val="afa"/>
        <w:ind w:firstLine="480"/>
      </w:pPr>
      <w:r>
        <w:rPr>
          <w:rFonts w:hint="eastAsia"/>
        </w:rPr>
        <w:t>普光</w:t>
      </w:r>
      <w:r>
        <w:rPr>
          <w:rFonts w:hint="eastAsia"/>
        </w:rPr>
        <w:t>12</w:t>
      </w:r>
      <w:r>
        <w:rPr>
          <w:rFonts w:hint="eastAsia"/>
        </w:rPr>
        <w:t>采气站</w:t>
      </w:r>
      <w:r w:rsidR="00EA67E0" w:rsidRPr="00D630D1">
        <w:t>为</w:t>
      </w:r>
      <w:r w:rsidR="007200A5">
        <w:rPr>
          <w:rFonts w:hint="eastAsia"/>
        </w:rPr>
        <w:t>有</w:t>
      </w:r>
      <w:r w:rsidR="00EA67E0" w:rsidRPr="00D630D1">
        <w:t>人值守集气站</w:t>
      </w:r>
      <w:r w:rsidR="008A7077" w:rsidRPr="00D630D1">
        <w:rPr>
          <w:rFonts w:hint="eastAsia"/>
        </w:rPr>
        <w:t>，</w:t>
      </w:r>
      <w:r w:rsidR="00D83821" w:rsidRPr="00D630D1">
        <w:t>运营期</w:t>
      </w:r>
      <w:r w:rsidR="007200A5">
        <w:rPr>
          <w:rFonts w:hint="eastAsia"/>
        </w:rPr>
        <w:t>主要有气田水和</w:t>
      </w:r>
      <w:r w:rsidR="00BE0268" w:rsidRPr="00D630D1">
        <w:t>生活污水</w:t>
      </w:r>
      <w:r w:rsidR="00006097" w:rsidRPr="00D630D1">
        <w:t>产生</w:t>
      </w:r>
      <w:r w:rsidR="00D83821" w:rsidRPr="00D630D1">
        <w:t>。</w:t>
      </w:r>
    </w:p>
    <w:p w:rsidR="00D83821" w:rsidRPr="00D630D1" w:rsidRDefault="007200A5" w:rsidP="00D83821">
      <w:pPr>
        <w:pStyle w:val="afa"/>
        <w:ind w:firstLine="480"/>
      </w:pPr>
      <w:r w:rsidRPr="007200A5">
        <w:rPr>
          <w:szCs w:val="22"/>
        </w:rPr>
        <w:t>本项目运营期产生的气田水</w:t>
      </w:r>
      <w:r w:rsidRPr="007200A5">
        <w:rPr>
          <w:rFonts w:hint="eastAsia"/>
          <w:szCs w:val="22"/>
        </w:rPr>
        <w:t>暂存于污水缓冲罐</w:t>
      </w:r>
      <w:r w:rsidRPr="007200A5">
        <w:rPr>
          <w:szCs w:val="22"/>
        </w:rPr>
        <w:t>，然后通过密闭罐车拉运至大湾</w:t>
      </w:r>
      <w:r w:rsidRPr="007200A5">
        <w:rPr>
          <w:szCs w:val="22"/>
        </w:rPr>
        <w:t>403</w:t>
      </w:r>
      <w:r w:rsidRPr="007200A5">
        <w:rPr>
          <w:szCs w:val="22"/>
        </w:rPr>
        <w:t>污水站处理达到《气田水回注方法》（</w:t>
      </w:r>
      <w:r w:rsidRPr="007200A5">
        <w:rPr>
          <w:szCs w:val="22"/>
        </w:rPr>
        <w:t>SY/T 6596</w:t>
      </w:r>
      <w:r w:rsidRPr="007200A5">
        <w:rPr>
          <w:rFonts w:hint="eastAsia"/>
          <w:szCs w:val="22"/>
        </w:rPr>
        <w:t>-</w:t>
      </w:r>
      <w:r w:rsidRPr="007200A5">
        <w:rPr>
          <w:szCs w:val="22"/>
        </w:rPr>
        <w:t>2016</w:t>
      </w:r>
      <w:r w:rsidRPr="007200A5">
        <w:rPr>
          <w:szCs w:val="22"/>
        </w:rPr>
        <w:t>）中注入水基本要求后管输至毛开</w:t>
      </w:r>
      <w:r w:rsidRPr="007200A5">
        <w:rPr>
          <w:szCs w:val="22"/>
        </w:rPr>
        <w:t>1</w:t>
      </w:r>
      <w:r w:rsidRPr="007200A5">
        <w:rPr>
          <w:szCs w:val="22"/>
        </w:rPr>
        <w:t>井回注站回注处理，不外排</w:t>
      </w:r>
      <w:r w:rsidRPr="007200A5">
        <w:rPr>
          <w:rFonts w:hint="eastAsia"/>
          <w:szCs w:val="22"/>
        </w:rPr>
        <w:t>；值守</w:t>
      </w:r>
      <w:r w:rsidRPr="007200A5">
        <w:rPr>
          <w:szCs w:val="22"/>
        </w:rPr>
        <w:t>人员生活</w:t>
      </w:r>
      <w:r w:rsidRPr="007200A5">
        <w:rPr>
          <w:rFonts w:hint="eastAsia"/>
          <w:szCs w:val="22"/>
        </w:rPr>
        <w:t>污水经</w:t>
      </w:r>
      <w:r w:rsidRPr="007200A5">
        <w:rPr>
          <w:szCs w:val="22"/>
        </w:rPr>
        <w:t>生态环保厕所收集后，用作周边农肥，不外排</w:t>
      </w:r>
      <w:r w:rsidR="00006097" w:rsidRPr="00D630D1">
        <w:t>。</w:t>
      </w:r>
    </w:p>
    <w:p w:rsidR="00117C3D" w:rsidRPr="00D630D1" w:rsidRDefault="001E79D3">
      <w:pPr>
        <w:pStyle w:val="3"/>
        <w:rPr>
          <w:rFonts w:eastAsia="宋体"/>
        </w:rPr>
      </w:pPr>
      <w:bookmarkStart w:id="635" w:name="_Toc19816131"/>
      <w:bookmarkStart w:id="636" w:name="_Toc12288812"/>
      <w:r w:rsidRPr="00D630D1">
        <w:rPr>
          <w:rFonts w:eastAsia="宋体"/>
        </w:rPr>
        <w:lastRenderedPageBreak/>
        <w:t>8</w:t>
      </w:r>
      <w:r w:rsidR="008B5B84" w:rsidRPr="00D630D1">
        <w:rPr>
          <w:rFonts w:eastAsia="宋体"/>
        </w:rPr>
        <w:t xml:space="preserve">.2.3 </w:t>
      </w:r>
      <w:r w:rsidR="008B5B84" w:rsidRPr="00D630D1">
        <w:rPr>
          <w:rFonts w:eastAsia="宋体"/>
        </w:rPr>
        <w:t>声环境防治措施</w:t>
      </w:r>
      <w:bookmarkEnd w:id="635"/>
      <w:bookmarkEnd w:id="636"/>
    </w:p>
    <w:p w:rsidR="001E79D3" w:rsidRPr="00D630D1" w:rsidRDefault="00D83821" w:rsidP="00D83821">
      <w:pPr>
        <w:pStyle w:val="afa"/>
        <w:ind w:firstLine="480"/>
      </w:pPr>
      <w:bookmarkStart w:id="637" w:name="_Toc19816132"/>
      <w:bookmarkStart w:id="638" w:name="_Toc12288813"/>
      <w:r w:rsidRPr="00D630D1">
        <w:t>本项目输气管道采用埋地敷设，在正常生产过程中不会产生噪声污染。本项目</w:t>
      </w:r>
      <w:r w:rsidR="002C00AE">
        <w:rPr>
          <w:rFonts w:hint="eastAsia"/>
        </w:rPr>
        <w:t>普光</w:t>
      </w:r>
      <w:r w:rsidR="002C00AE">
        <w:rPr>
          <w:rFonts w:hint="eastAsia"/>
        </w:rPr>
        <w:t>12</w:t>
      </w:r>
      <w:r w:rsidR="002C00AE">
        <w:rPr>
          <w:rFonts w:hint="eastAsia"/>
        </w:rPr>
        <w:t>采气站</w:t>
      </w:r>
      <w:r w:rsidRPr="00D630D1">
        <w:t>站场选址远离集中居民区，合理布局，控制气体流速，并在工艺设计中考虑减少站场工艺管线的弯头、三通等管件，降低输气站内的噪声</w:t>
      </w:r>
      <w:r w:rsidR="00DB2055" w:rsidRPr="00D630D1">
        <w:rPr>
          <w:rFonts w:hint="eastAsia"/>
        </w:rPr>
        <w:t>，放空时及时疏散附近居民</w:t>
      </w:r>
      <w:r w:rsidRPr="00D630D1">
        <w:t>。采用上述措施后，站场场界能满足《工业企业厂界噪声排放标准》（</w:t>
      </w:r>
      <w:r w:rsidRPr="00D630D1">
        <w:t>GB12348-2008</w:t>
      </w:r>
      <w:r w:rsidRPr="00D630D1">
        <w:t>）</w:t>
      </w:r>
      <w:r w:rsidRPr="00D630D1">
        <w:t>2</w:t>
      </w:r>
      <w:r w:rsidRPr="00D630D1">
        <w:t>类标准限值，所采用措施具有经济技术可行性，对周边声环境影响较小。</w:t>
      </w:r>
    </w:p>
    <w:p w:rsidR="00117C3D" w:rsidRPr="00D630D1" w:rsidRDefault="001E79D3">
      <w:pPr>
        <w:pStyle w:val="3"/>
        <w:rPr>
          <w:rFonts w:eastAsia="宋体"/>
        </w:rPr>
      </w:pPr>
      <w:r w:rsidRPr="00D630D1">
        <w:rPr>
          <w:rFonts w:eastAsia="宋体"/>
        </w:rPr>
        <w:t>8</w:t>
      </w:r>
      <w:r w:rsidR="008B5B84" w:rsidRPr="00D630D1">
        <w:rPr>
          <w:rFonts w:eastAsia="宋体"/>
        </w:rPr>
        <w:t xml:space="preserve">.2.4 </w:t>
      </w:r>
      <w:r w:rsidR="008B5B84" w:rsidRPr="00D630D1">
        <w:rPr>
          <w:rFonts w:eastAsia="宋体"/>
        </w:rPr>
        <w:t>固体废物治理措施</w:t>
      </w:r>
      <w:bookmarkEnd w:id="637"/>
      <w:bookmarkEnd w:id="638"/>
    </w:p>
    <w:p w:rsidR="00DD3EA1" w:rsidRDefault="00895B09" w:rsidP="00D83821">
      <w:pPr>
        <w:pStyle w:val="afa"/>
        <w:ind w:firstLine="480"/>
      </w:pPr>
      <w:bookmarkStart w:id="639" w:name="_Toc19816133"/>
      <w:bookmarkStart w:id="640" w:name="_Toc12288814"/>
      <w:r w:rsidRPr="00895B09">
        <w:t>本项目运营期固体废物主要为凝析油</w:t>
      </w:r>
      <w:r w:rsidRPr="00895B09">
        <w:rPr>
          <w:rFonts w:hint="eastAsia"/>
        </w:rPr>
        <w:t>、</w:t>
      </w:r>
      <w:r w:rsidRPr="00895B09">
        <w:t>检修废渣、清管废渣及值班人员生活垃圾。</w:t>
      </w:r>
    </w:p>
    <w:p w:rsidR="00D83821" w:rsidRDefault="00D83821" w:rsidP="00D83821">
      <w:pPr>
        <w:pStyle w:val="afa"/>
        <w:ind w:firstLine="480"/>
      </w:pPr>
      <w:r w:rsidRPr="00D630D1">
        <w:t>本项目集气管道采用埋地敷设方式，在正常运行过程中集气管道不会产生固体废物。</w:t>
      </w:r>
    </w:p>
    <w:p w:rsidR="00D83821" w:rsidRPr="00D630D1" w:rsidRDefault="00DD3EA1" w:rsidP="00D83821">
      <w:pPr>
        <w:pStyle w:val="afa"/>
        <w:ind w:firstLine="480"/>
      </w:pPr>
      <w:r w:rsidRPr="00DD3EA1">
        <w:t>凝析油作为副产品外售</w:t>
      </w:r>
      <w:r w:rsidR="00895B09">
        <w:rPr>
          <w:rFonts w:hint="eastAsia"/>
        </w:rPr>
        <w:t>；</w:t>
      </w:r>
      <w:r w:rsidR="00895B09" w:rsidRPr="00895B09">
        <w:t>检修废渣、清管废渣主要为机械杂质等，其主要成分为氧化铁粉末，属一般固体废物，集中收集后交由检修作业单位集中处置</w:t>
      </w:r>
      <w:r w:rsidRPr="00DD3EA1">
        <w:rPr>
          <w:rFonts w:hint="eastAsia"/>
        </w:rPr>
        <w:t>；</w:t>
      </w:r>
      <w:r w:rsidR="002C00AE">
        <w:rPr>
          <w:rFonts w:hint="eastAsia"/>
        </w:rPr>
        <w:t>普光</w:t>
      </w:r>
      <w:r w:rsidR="002C00AE">
        <w:rPr>
          <w:rFonts w:hint="eastAsia"/>
        </w:rPr>
        <w:t>12</w:t>
      </w:r>
      <w:r w:rsidR="002C00AE">
        <w:rPr>
          <w:rFonts w:hint="eastAsia"/>
        </w:rPr>
        <w:t>采气站</w:t>
      </w:r>
      <w:r w:rsidR="00775840" w:rsidRPr="00D630D1">
        <w:t>为</w:t>
      </w:r>
      <w:r>
        <w:rPr>
          <w:rFonts w:hint="eastAsia"/>
        </w:rPr>
        <w:t>有</w:t>
      </w:r>
      <w:r w:rsidR="00EA67E0" w:rsidRPr="00D630D1">
        <w:t>人值守站</w:t>
      </w:r>
      <w:r w:rsidR="00D83821" w:rsidRPr="00D630D1">
        <w:t>，</w:t>
      </w:r>
      <w:r w:rsidRPr="00733954">
        <w:t>年值班人员为</w:t>
      </w:r>
      <w:r>
        <w:rPr>
          <w:rFonts w:hint="eastAsia"/>
        </w:rPr>
        <w:t>13</w:t>
      </w:r>
      <w:r>
        <w:t>人，工作人员生活垃圾用垃圾桶收集，委托当地环卫部门清运处置</w:t>
      </w:r>
      <w:r w:rsidR="00D83821" w:rsidRPr="00D630D1">
        <w:t>。</w:t>
      </w:r>
    </w:p>
    <w:p w:rsidR="00D83821" w:rsidRPr="00D630D1" w:rsidRDefault="00D83821" w:rsidP="001E79D3">
      <w:pPr>
        <w:pStyle w:val="a1"/>
        <w:ind w:firstLine="480"/>
        <w:rPr>
          <w:rFonts w:ascii="Times New Roman" w:cs="Times New Roman"/>
        </w:rPr>
      </w:pPr>
      <w:r w:rsidRPr="00D630D1">
        <w:rPr>
          <w:rFonts w:ascii="Times New Roman" w:cs="Times New Roman"/>
        </w:rPr>
        <w:t>综上所述，营运期</w:t>
      </w:r>
      <w:r w:rsidR="00775840" w:rsidRPr="00D630D1">
        <w:rPr>
          <w:rFonts w:ascii="Times New Roman" w:cs="Times New Roman" w:hint="eastAsia"/>
        </w:rPr>
        <w:t>无</w:t>
      </w:r>
      <w:r w:rsidRPr="00D630D1">
        <w:rPr>
          <w:rFonts w:ascii="Times New Roman" w:cs="Times New Roman"/>
        </w:rPr>
        <w:t>固体废物</w:t>
      </w:r>
      <w:r w:rsidR="00775840" w:rsidRPr="00D630D1">
        <w:rPr>
          <w:rFonts w:ascii="Times New Roman" w:cs="Times New Roman" w:hint="eastAsia"/>
        </w:rPr>
        <w:t>产生</w:t>
      </w:r>
      <w:r w:rsidRPr="00D630D1">
        <w:rPr>
          <w:rFonts w:ascii="Times New Roman" w:cs="Times New Roman"/>
        </w:rPr>
        <w:t>，对环境影响较小。</w:t>
      </w:r>
    </w:p>
    <w:p w:rsidR="00D83821" w:rsidRPr="00D630D1" w:rsidRDefault="00D83821" w:rsidP="00D83821">
      <w:pPr>
        <w:pStyle w:val="3"/>
        <w:rPr>
          <w:rFonts w:eastAsia="宋体"/>
        </w:rPr>
      </w:pPr>
      <w:r w:rsidRPr="00D630D1">
        <w:rPr>
          <w:rFonts w:eastAsia="宋体"/>
        </w:rPr>
        <w:t xml:space="preserve">8.2.5 </w:t>
      </w:r>
      <w:r w:rsidRPr="00D630D1">
        <w:rPr>
          <w:rFonts w:eastAsia="宋体"/>
        </w:rPr>
        <w:t>土壤和地下水污染防治措施</w:t>
      </w:r>
    </w:p>
    <w:p w:rsidR="00D83821" w:rsidRPr="00D630D1" w:rsidRDefault="00D83821" w:rsidP="00D83821">
      <w:pPr>
        <w:pStyle w:val="afa"/>
        <w:ind w:firstLine="480"/>
      </w:pPr>
      <w:r w:rsidRPr="00D630D1">
        <w:t>由于输气管道敷设在地下，进行密闭输送，且项目管道采用外防腐层和强制电流阴极保护联合方式，发生泄漏事故概率较小。当管线发生破裂事故，其泄漏的天然气绝大部分进行大气环境中，会对大气环境造成一定的影响，对地下水基本不会造成影响。</w:t>
      </w:r>
    </w:p>
    <w:p w:rsidR="00D83821" w:rsidRPr="00D630D1" w:rsidRDefault="002C00AE" w:rsidP="00D83821">
      <w:pPr>
        <w:pStyle w:val="afa"/>
        <w:ind w:firstLine="480"/>
      </w:pPr>
      <w:r>
        <w:rPr>
          <w:rFonts w:hint="eastAsia"/>
        </w:rPr>
        <w:t>普光</w:t>
      </w:r>
      <w:r>
        <w:rPr>
          <w:rFonts w:hint="eastAsia"/>
        </w:rPr>
        <w:t>12</w:t>
      </w:r>
      <w:r>
        <w:rPr>
          <w:rFonts w:hint="eastAsia"/>
        </w:rPr>
        <w:t>采气站</w:t>
      </w:r>
      <w:r w:rsidR="00D83821" w:rsidRPr="00D630D1">
        <w:t>内</w:t>
      </w:r>
      <w:r w:rsidR="00EF360A" w:rsidRPr="00D630D1">
        <w:rPr>
          <w:rFonts w:hint="eastAsia"/>
        </w:rPr>
        <w:t>压裂、洗井废水</w:t>
      </w:r>
      <w:r w:rsidR="00775840" w:rsidRPr="00D630D1">
        <w:rPr>
          <w:rFonts w:hint="eastAsia"/>
        </w:rPr>
        <w:t>部分暂存于放喷池、部分</w:t>
      </w:r>
      <w:r w:rsidR="00D83821" w:rsidRPr="00D630D1">
        <w:t>经</w:t>
      </w:r>
      <w:r w:rsidR="00EF360A" w:rsidRPr="00D630D1">
        <w:rPr>
          <w:kern w:val="2"/>
          <w:szCs w:val="22"/>
        </w:rPr>
        <w:t>污水缓冲罐</w:t>
      </w:r>
      <w:r w:rsidR="009C7AD7" w:rsidRPr="00D630D1">
        <w:t>收集，</w:t>
      </w:r>
      <w:r w:rsidR="00FD5966">
        <w:rPr>
          <w:rFonts w:hint="eastAsia"/>
        </w:rPr>
        <w:t>气田水</w:t>
      </w:r>
      <w:r w:rsidR="00FD5966" w:rsidRPr="00D630D1">
        <w:t>经</w:t>
      </w:r>
      <w:r w:rsidR="00FD5966" w:rsidRPr="00D630D1">
        <w:rPr>
          <w:kern w:val="2"/>
          <w:szCs w:val="22"/>
        </w:rPr>
        <w:t>污水缓冲罐</w:t>
      </w:r>
      <w:r w:rsidR="00FD5966" w:rsidRPr="00D630D1">
        <w:t>收集</w:t>
      </w:r>
      <w:r w:rsidR="00FD5966">
        <w:rPr>
          <w:rFonts w:hint="eastAsia"/>
        </w:rPr>
        <w:t>，</w:t>
      </w:r>
      <w:r w:rsidR="00EF360A" w:rsidRPr="00D630D1">
        <w:rPr>
          <w:rFonts w:hint="eastAsia"/>
        </w:rPr>
        <w:t>污水缓冲罐</w:t>
      </w:r>
      <w:r w:rsidR="00251CEC" w:rsidRPr="00D630D1">
        <w:t>四周</w:t>
      </w:r>
      <w:r w:rsidR="009C7AD7" w:rsidRPr="00D630D1">
        <w:t>设置防渗围堰</w:t>
      </w:r>
      <w:r w:rsidR="001205FA" w:rsidRPr="00D630D1">
        <w:t>，一旦储罐发生破损泄漏</w:t>
      </w:r>
      <w:r w:rsidR="00D83821" w:rsidRPr="00D630D1">
        <w:t>，可将废水收集在围堰内，再统一清理，不会对地下水造成影响。</w:t>
      </w:r>
    </w:p>
    <w:p w:rsidR="00117C3D" w:rsidRPr="00D630D1" w:rsidRDefault="00D83821">
      <w:pPr>
        <w:pStyle w:val="3"/>
        <w:rPr>
          <w:rFonts w:eastAsia="宋体"/>
        </w:rPr>
      </w:pPr>
      <w:r w:rsidRPr="00D630D1">
        <w:rPr>
          <w:rFonts w:eastAsia="宋体"/>
        </w:rPr>
        <w:t>8.2.</w:t>
      </w:r>
      <w:r w:rsidR="009C7AD7" w:rsidRPr="00D630D1">
        <w:rPr>
          <w:rFonts w:eastAsia="宋体"/>
        </w:rPr>
        <w:t>6</w:t>
      </w:r>
      <w:r w:rsidRPr="00D630D1">
        <w:rPr>
          <w:rFonts w:eastAsia="宋体"/>
        </w:rPr>
        <w:t xml:space="preserve"> </w:t>
      </w:r>
      <w:r w:rsidRPr="00D630D1">
        <w:rPr>
          <w:rFonts w:eastAsia="宋体"/>
        </w:rPr>
        <w:t>生态环境影响减缓措施</w:t>
      </w:r>
      <w:bookmarkEnd w:id="639"/>
      <w:bookmarkEnd w:id="640"/>
    </w:p>
    <w:p w:rsidR="00117C3D" w:rsidRPr="00D630D1" w:rsidRDefault="008B5B84">
      <w:pPr>
        <w:pStyle w:val="a1"/>
        <w:ind w:firstLine="480"/>
        <w:rPr>
          <w:rFonts w:ascii="Times New Roman" w:cs="Times New Roman"/>
        </w:rPr>
      </w:pPr>
      <w:r w:rsidRPr="00D630D1">
        <w:rPr>
          <w:rFonts w:ascii="Times New Roman" w:cs="Times New Roman"/>
        </w:rPr>
        <w:t>1</w:t>
      </w:r>
      <w:r w:rsidRPr="00D630D1">
        <w:rPr>
          <w:rFonts w:ascii="Times New Roman" w:cs="Times New Roman"/>
        </w:rPr>
        <w:t>、项目运行期，在管道沿线区域要加强对临时占地区域的植被恢复工程护，发现植被恢复受阻，如死亡的林木等，要进行植被的补植补种；森林的管护和抚育，提供森林植被的水源涵养能力，针对管线建设所形成的廊道，应制定严格的管理措施，严格限制人员进入廊道实施与管道管理和森林保护无关的活动。</w:t>
      </w:r>
    </w:p>
    <w:p w:rsidR="00117C3D" w:rsidRPr="00D630D1" w:rsidRDefault="008B5B84">
      <w:pPr>
        <w:pStyle w:val="a1"/>
        <w:ind w:firstLine="480"/>
        <w:rPr>
          <w:rFonts w:ascii="Times New Roman" w:cs="Times New Roman"/>
        </w:rPr>
      </w:pPr>
      <w:r w:rsidRPr="00D630D1">
        <w:rPr>
          <w:rFonts w:ascii="Times New Roman" w:cs="Times New Roman"/>
        </w:rPr>
        <w:lastRenderedPageBreak/>
        <w:t>2</w:t>
      </w:r>
      <w:r w:rsidRPr="00D630D1">
        <w:rPr>
          <w:rFonts w:ascii="Times New Roman" w:cs="Times New Roman"/>
        </w:rPr>
        <w:t>、在项目区内特别是在林地区域内设置告示牌和警告牌，宣传保护野生动物及其栖息地生态环境，加强公众的野生动物保护和生态环境的保护意识教育；</w:t>
      </w:r>
    </w:p>
    <w:p w:rsidR="00117C3D" w:rsidRDefault="008B5B84">
      <w:pPr>
        <w:pStyle w:val="a1"/>
        <w:ind w:firstLine="480"/>
        <w:rPr>
          <w:rFonts w:ascii="Times New Roman" w:cs="Times New Roman"/>
        </w:rPr>
      </w:pPr>
      <w:r w:rsidRPr="00D630D1">
        <w:rPr>
          <w:rFonts w:ascii="Times New Roman" w:cs="Times New Roman"/>
        </w:rPr>
        <w:t>3</w:t>
      </w:r>
      <w:r w:rsidRPr="00D630D1">
        <w:rPr>
          <w:rFonts w:ascii="Times New Roman" w:cs="Times New Roman"/>
        </w:rPr>
        <w:t>、加强对项目区内的生态保护，严格按照相关的规章制度执行。</w:t>
      </w:r>
    </w:p>
    <w:p w:rsidR="00A62354" w:rsidRPr="00D630D1" w:rsidRDefault="00A62354" w:rsidP="00A62354">
      <w:pPr>
        <w:pStyle w:val="2"/>
        <w:spacing w:before="120"/>
        <w:rPr>
          <w:rFonts w:cs="Times New Roman"/>
        </w:rPr>
      </w:pPr>
      <w:r w:rsidRPr="00D630D1">
        <w:rPr>
          <w:rFonts w:cs="Times New Roman"/>
        </w:rPr>
        <w:t>8.3</w:t>
      </w:r>
      <w:r>
        <w:rPr>
          <w:rFonts w:cs="Times New Roman" w:hint="eastAsia"/>
        </w:rPr>
        <w:t>退役</w:t>
      </w:r>
      <w:r w:rsidRPr="00733954">
        <w:rPr>
          <w:rFonts w:cs="Times New Roman"/>
        </w:rPr>
        <w:t>期的环境保护措施</w:t>
      </w:r>
    </w:p>
    <w:p w:rsidR="00A62354" w:rsidRPr="00A62354" w:rsidRDefault="00A62354" w:rsidP="00A62354">
      <w:pPr>
        <w:pStyle w:val="a1"/>
        <w:ind w:firstLine="480"/>
        <w:rPr>
          <w:rFonts w:ascii="Times New Roman" w:cs="Times New Roman"/>
        </w:rPr>
      </w:pPr>
      <w:r w:rsidRPr="00A62354">
        <w:rPr>
          <w:rFonts w:ascii="Times New Roman" w:cs="Times New Roman" w:hint="eastAsia"/>
        </w:rPr>
        <w:t>（</w:t>
      </w:r>
      <w:r w:rsidRPr="00A62354">
        <w:rPr>
          <w:rFonts w:ascii="Times New Roman" w:cs="Times New Roman" w:hint="eastAsia"/>
        </w:rPr>
        <w:t>1</w:t>
      </w:r>
      <w:r w:rsidRPr="00A62354">
        <w:rPr>
          <w:rFonts w:ascii="Times New Roman" w:cs="Times New Roman" w:hint="eastAsia"/>
        </w:rPr>
        <w:t>）对拆除地面设施和管线过程中产生的垃圾及时外运，送至指定的垃圾填埋场处理。</w:t>
      </w:r>
    </w:p>
    <w:p w:rsidR="00A62354" w:rsidRPr="00A62354" w:rsidRDefault="00A62354" w:rsidP="00A62354">
      <w:pPr>
        <w:pStyle w:val="a1"/>
        <w:ind w:firstLine="480"/>
        <w:rPr>
          <w:rFonts w:ascii="Times New Roman" w:cs="Times New Roman"/>
        </w:rPr>
      </w:pPr>
      <w:r w:rsidRPr="00A62354">
        <w:rPr>
          <w:rFonts w:ascii="Times New Roman" w:cs="Times New Roman" w:hint="eastAsia"/>
        </w:rPr>
        <w:t>（</w:t>
      </w:r>
      <w:r w:rsidRPr="00A62354">
        <w:rPr>
          <w:rFonts w:ascii="Times New Roman" w:cs="Times New Roman" w:hint="eastAsia"/>
        </w:rPr>
        <w:t>2</w:t>
      </w:r>
      <w:r w:rsidRPr="00A62354">
        <w:rPr>
          <w:rFonts w:ascii="Times New Roman" w:cs="Times New Roman" w:hint="eastAsia"/>
        </w:rPr>
        <w:t>）土地复垦、植被恢复</w:t>
      </w:r>
    </w:p>
    <w:p w:rsidR="00A62354" w:rsidRPr="00A62354" w:rsidRDefault="00A62354" w:rsidP="00A62354">
      <w:pPr>
        <w:pStyle w:val="a1"/>
        <w:ind w:firstLine="480"/>
        <w:rPr>
          <w:rFonts w:ascii="Times New Roman" w:cs="Times New Roman"/>
        </w:rPr>
      </w:pPr>
      <w:r w:rsidRPr="00A62354">
        <w:rPr>
          <w:rFonts w:ascii="Times New Roman" w:cs="Times New Roman" w:hint="eastAsia"/>
        </w:rPr>
        <w:t>对建筑设施进行拆除，对土地进行覆土及平整。覆土采用腐植土，可选择乡土乔木进行种植，如马尾松、杉木、柏木、青冈，也可选择种植灌草相结合进行种植，逐步形成与周边地貌的相协调的生态环境。</w:t>
      </w:r>
    </w:p>
    <w:p w:rsidR="00A62354" w:rsidRPr="00A62354" w:rsidRDefault="00A62354" w:rsidP="00A62354">
      <w:pPr>
        <w:pStyle w:val="a1"/>
        <w:ind w:firstLine="480"/>
        <w:rPr>
          <w:rFonts w:ascii="Times New Roman" w:cs="Times New Roman"/>
        </w:rPr>
      </w:pPr>
      <w:r w:rsidRPr="00A62354">
        <w:rPr>
          <w:rFonts w:ascii="Times New Roman" w:cs="Times New Roman" w:hint="eastAsia"/>
        </w:rPr>
        <w:t>（</w:t>
      </w:r>
      <w:r w:rsidRPr="00A62354">
        <w:rPr>
          <w:rFonts w:ascii="Times New Roman" w:cs="Times New Roman" w:hint="eastAsia"/>
        </w:rPr>
        <w:t>3</w:t>
      </w:r>
      <w:r w:rsidRPr="00A62354">
        <w:rPr>
          <w:rFonts w:ascii="Times New Roman" w:cs="Times New Roman" w:hint="eastAsia"/>
        </w:rPr>
        <w:t>）生态管理及监测</w:t>
      </w:r>
    </w:p>
    <w:p w:rsidR="00A62354" w:rsidRPr="00A62354" w:rsidRDefault="00A62354" w:rsidP="00A62354">
      <w:pPr>
        <w:pStyle w:val="a1"/>
        <w:ind w:firstLine="480"/>
        <w:rPr>
          <w:rFonts w:ascii="Times New Roman" w:cs="Times New Roman"/>
        </w:rPr>
      </w:pPr>
      <w:r w:rsidRPr="00A62354">
        <w:rPr>
          <w:rFonts w:ascii="Times New Roman" w:cs="Times New Roman" w:hint="eastAsia"/>
        </w:rPr>
        <w:t>生态环境管理和监控是政府环境保护机构依据国家和地方制订的有关自然资源和生态保护的法律、法规、条例、技术规范、标准等所进行的行政工作。</w:t>
      </w:r>
    </w:p>
    <w:p w:rsidR="00A62354" w:rsidRPr="00A62354" w:rsidRDefault="00A62354" w:rsidP="00A62354">
      <w:pPr>
        <w:pStyle w:val="a1"/>
        <w:ind w:firstLine="480"/>
        <w:rPr>
          <w:rFonts w:ascii="Times New Roman" w:cs="Times New Roman"/>
        </w:rPr>
      </w:pPr>
      <w:r w:rsidRPr="00A62354">
        <w:rPr>
          <w:rFonts w:ascii="Times New Roman" w:cs="Times New Roman" w:hint="eastAsia"/>
        </w:rPr>
        <w:t>因此，接受环境管理和监管是建设单位日常工作的一个重要组成部分。本评</w:t>
      </w:r>
    </w:p>
    <w:p w:rsidR="00A62354" w:rsidRPr="00A62354" w:rsidRDefault="00A62354" w:rsidP="00A62354">
      <w:pPr>
        <w:pStyle w:val="a1"/>
        <w:ind w:firstLine="480"/>
        <w:rPr>
          <w:rFonts w:ascii="Times New Roman" w:cs="Times New Roman"/>
        </w:rPr>
      </w:pPr>
      <w:r w:rsidRPr="00A62354">
        <w:rPr>
          <w:rFonts w:ascii="Times New Roman" w:cs="Times New Roman" w:hint="eastAsia"/>
        </w:rPr>
        <w:t>根据项目建设的性质、规模、生态影响的程度和范围、项目所在地的自然、</w:t>
      </w:r>
      <w:r>
        <w:rPr>
          <w:rFonts w:ascii="Times New Roman" w:cs="Times New Roman" w:hint="eastAsia"/>
        </w:rPr>
        <w:t>经济</w:t>
      </w:r>
      <w:r w:rsidRPr="00A62354">
        <w:rPr>
          <w:rFonts w:ascii="Times New Roman" w:cs="Times New Roman" w:hint="eastAsia"/>
        </w:rPr>
        <w:t>、社会等因素提出如下生态管理及监控内容：</w:t>
      </w:r>
    </w:p>
    <w:p w:rsidR="00A62354" w:rsidRPr="00A62354" w:rsidRDefault="00A62354" w:rsidP="00A62354">
      <w:pPr>
        <w:pStyle w:val="a1"/>
        <w:ind w:firstLine="480"/>
        <w:rPr>
          <w:rFonts w:ascii="Times New Roman" w:cs="Times New Roman"/>
        </w:rPr>
      </w:pPr>
      <w:r w:rsidRPr="00A62354">
        <w:rPr>
          <w:rFonts w:ascii="Times New Roman" w:cs="Times New Roman" w:hint="eastAsia"/>
        </w:rPr>
        <w:t>①防止区内自然体系生产能力进一步下降；</w:t>
      </w:r>
    </w:p>
    <w:p w:rsidR="00A62354" w:rsidRPr="00A62354" w:rsidRDefault="00A62354" w:rsidP="00A62354">
      <w:pPr>
        <w:pStyle w:val="a1"/>
        <w:ind w:firstLine="480"/>
        <w:rPr>
          <w:rFonts w:ascii="Times New Roman" w:cs="Times New Roman"/>
        </w:rPr>
      </w:pPr>
      <w:r w:rsidRPr="00A62354">
        <w:rPr>
          <w:rFonts w:ascii="Times New Roman" w:cs="Times New Roman" w:hint="eastAsia"/>
        </w:rPr>
        <w:t>②防止区内水资源进一步遭到破坏；</w:t>
      </w:r>
    </w:p>
    <w:p w:rsidR="00A62354" w:rsidRPr="00A62354" w:rsidRDefault="00A62354" w:rsidP="00A62354">
      <w:pPr>
        <w:pStyle w:val="a1"/>
        <w:ind w:firstLine="480"/>
        <w:rPr>
          <w:rFonts w:ascii="Times New Roman" w:cs="Times New Roman"/>
        </w:rPr>
      </w:pPr>
      <w:r w:rsidRPr="00A62354">
        <w:rPr>
          <w:rFonts w:ascii="Times New Roman" w:cs="Times New Roman" w:hint="eastAsia"/>
        </w:rPr>
        <w:t>③防止区内水土流失日趋严重；</w:t>
      </w:r>
    </w:p>
    <w:p w:rsidR="00A62354" w:rsidRPr="00A62354" w:rsidRDefault="00A62354" w:rsidP="00A62354">
      <w:pPr>
        <w:pStyle w:val="a1"/>
        <w:ind w:firstLine="480"/>
        <w:rPr>
          <w:rFonts w:ascii="Times New Roman" w:cs="Times New Roman"/>
        </w:rPr>
      </w:pPr>
      <w:r w:rsidRPr="00A62354">
        <w:rPr>
          <w:rFonts w:ascii="Times New Roman" w:cs="Times New Roman" w:hint="eastAsia"/>
        </w:rPr>
        <w:t>④防止区内人类活动给自然体系增加更大的压力。</w:t>
      </w:r>
    </w:p>
    <w:p w:rsidR="00A62354" w:rsidRPr="00A62354" w:rsidRDefault="00A62354" w:rsidP="00A62354">
      <w:pPr>
        <w:pStyle w:val="a1"/>
        <w:ind w:firstLine="480"/>
        <w:rPr>
          <w:rFonts w:ascii="Times New Roman" w:cs="Times New Roman"/>
        </w:rPr>
      </w:pPr>
      <w:r w:rsidRPr="00A62354">
        <w:rPr>
          <w:rFonts w:ascii="Times New Roman" w:cs="Times New Roman" w:hint="eastAsia"/>
        </w:rPr>
        <w:t>（</w:t>
      </w:r>
      <w:r w:rsidRPr="00A62354">
        <w:rPr>
          <w:rFonts w:ascii="Times New Roman" w:cs="Times New Roman" w:hint="eastAsia"/>
        </w:rPr>
        <w:t>4</w:t>
      </w:r>
      <w:r w:rsidRPr="00A62354">
        <w:rPr>
          <w:rFonts w:ascii="Times New Roman" w:cs="Times New Roman" w:hint="eastAsia"/>
        </w:rPr>
        <w:t>）生态修复中，避免物种入侵应采取对策</w:t>
      </w:r>
    </w:p>
    <w:p w:rsidR="00A62354" w:rsidRPr="00A62354" w:rsidRDefault="00A62354" w:rsidP="00A62354">
      <w:pPr>
        <w:pStyle w:val="a1"/>
        <w:ind w:firstLine="480"/>
        <w:rPr>
          <w:rFonts w:ascii="Times New Roman" w:cs="Times New Roman"/>
        </w:rPr>
      </w:pPr>
      <w:r w:rsidRPr="00A62354">
        <w:rPr>
          <w:rFonts w:ascii="Times New Roman" w:cs="Times New Roman" w:hint="eastAsia"/>
        </w:rPr>
        <w:t>物种入侵最根本的原因是人类活动把这些物种带到了它们不应该出现的地方，其往往对原有生态环境造成巨大的破坏。避免外来物种入侵应从法律、政策等高层方面建立制度，建立水生动植物外来物种监测与预警体系，建立引进外来物种风险评估制度，构建快速反应机制与体系，加强生物安全保护意识，简历引种许可制度，在生态修复具体工作实施中，应严格把关，严格按照相关规定审查、验，避免“无意引种”情况的发生，更不能“有意引种”，从源头避免外来物种的引进。</w:t>
      </w:r>
    </w:p>
    <w:p w:rsidR="00A62354" w:rsidRPr="00A62354" w:rsidRDefault="00A62354" w:rsidP="00A62354">
      <w:pPr>
        <w:pStyle w:val="a1"/>
        <w:ind w:firstLine="480"/>
        <w:rPr>
          <w:rFonts w:ascii="Times New Roman" w:cs="Times New Roman"/>
        </w:rPr>
      </w:pPr>
      <w:r w:rsidRPr="00A62354">
        <w:rPr>
          <w:rFonts w:ascii="Times New Roman" w:cs="Times New Roman" w:hint="eastAsia"/>
        </w:rPr>
        <w:t>（</w:t>
      </w:r>
      <w:r w:rsidRPr="00A62354">
        <w:rPr>
          <w:rFonts w:ascii="Times New Roman" w:cs="Times New Roman" w:hint="eastAsia"/>
        </w:rPr>
        <w:t>5</w:t>
      </w:r>
      <w:r w:rsidRPr="00A62354">
        <w:rPr>
          <w:rFonts w:ascii="Times New Roman" w:cs="Times New Roman" w:hint="eastAsia"/>
        </w:rPr>
        <w:t>）生态恢复与补偿措施投资保障</w:t>
      </w:r>
    </w:p>
    <w:p w:rsidR="00A62354" w:rsidRPr="00D630D1" w:rsidRDefault="00A62354" w:rsidP="00A62354">
      <w:pPr>
        <w:pStyle w:val="a1"/>
        <w:ind w:firstLine="480"/>
        <w:rPr>
          <w:rFonts w:ascii="Times New Roman" w:cs="Times New Roman"/>
        </w:rPr>
      </w:pPr>
      <w:r w:rsidRPr="00A62354">
        <w:rPr>
          <w:rFonts w:ascii="Times New Roman" w:cs="Times New Roman" w:hint="eastAsia"/>
        </w:rPr>
        <w:lastRenderedPageBreak/>
        <w:t>设立生态补偿专项经费，森林植被及野生动植物的保护和监测费用、生态因子监测费用、工程植被恢复费用纳入生态补偿费。工程施工期补偿费用的额度和管理形式，由施工方与业主单位共同协商解决。确保生态恢复资金足额到</w:t>
      </w:r>
      <w:r>
        <w:rPr>
          <w:rFonts w:ascii="Times New Roman" w:cs="Times New Roman" w:hint="eastAsia"/>
        </w:rPr>
        <w:t>位</w:t>
      </w:r>
      <w:r w:rsidRPr="00D630D1">
        <w:rPr>
          <w:rFonts w:ascii="Times New Roman" w:cs="Times New Roman"/>
        </w:rPr>
        <w:t>。</w:t>
      </w:r>
    </w:p>
    <w:p w:rsidR="00117C3D" w:rsidRPr="00D630D1" w:rsidRDefault="001E79D3" w:rsidP="001E79D3">
      <w:pPr>
        <w:pStyle w:val="2"/>
        <w:spacing w:before="120"/>
        <w:rPr>
          <w:rFonts w:cs="Times New Roman"/>
        </w:rPr>
      </w:pPr>
      <w:bookmarkStart w:id="641" w:name="bookmark74"/>
      <w:bookmarkStart w:id="642" w:name="_Toc12288815"/>
      <w:bookmarkStart w:id="643" w:name="_Toc19816134"/>
      <w:bookmarkStart w:id="644" w:name="_Toc81515307"/>
      <w:bookmarkEnd w:id="641"/>
      <w:r w:rsidRPr="00D630D1">
        <w:rPr>
          <w:rFonts w:cs="Times New Roman"/>
        </w:rPr>
        <w:t>8</w:t>
      </w:r>
      <w:r w:rsidR="008B5B84" w:rsidRPr="00D630D1">
        <w:rPr>
          <w:rFonts w:cs="Times New Roman"/>
        </w:rPr>
        <w:t>.</w:t>
      </w:r>
      <w:r w:rsidR="00A62354">
        <w:rPr>
          <w:rFonts w:cs="Times New Roman" w:hint="eastAsia"/>
        </w:rPr>
        <w:t>4</w:t>
      </w:r>
      <w:r w:rsidR="008B5B84" w:rsidRPr="00D630D1">
        <w:rPr>
          <w:rFonts w:cs="Times New Roman"/>
        </w:rPr>
        <w:t xml:space="preserve"> </w:t>
      </w:r>
      <w:r w:rsidR="00EA67E0" w:rsidRPr="00D630D1">
        <w:rPr>
          <w:rFonts w:cs="Times New Roman" w:hint="eastAsia"/>
        </w:rPr>
        <w:t>本项目</w:t>
      </w:r>
      <w:r w:rsidR="008B5B84" w:rsidRPr="00D630D1">
        <w:rPr>
          <w:rFonts w:cs="Times New Roman"/>
        </w:rPr>
        <w:t>“</w:t>
      </w:r>
      <w:r w:rsidR="008B5B84" w:rsidRPr="00D630D1">
        <w:rPr>
          <w:rFonts w:cs="Times New Roman"/>
        </w:rPr>
        <w:t>三同时</w:t>
      </w:r>
      <w:r w:rsidR="008B5B84" w:rsidRPr="00D630D1">
        <w:rPr>
          <w:rFonts w:cs="Times New Roman"/>
        </w:rPr>
        <w:t>”</w:t>
      </w:r>
      <w:r w:rsidR="008B5B84" w:rsidRPr="00D630D1">
        <w:rPr>
          <w:rFonts w:cs="Times New Roman"/>
        </w:rPr>
        <w:t>验收</w:t>
      </w:r>
      <w:bookmarkEnd w:id="642"/>
      <w:bookmarkEnd w:id="643"/>
      <w:bookmarkEnd w:id="644"/>
    </w:p>
    <w:p w:rsidR="00117C3D" w:rsidRPr="00D630D1" w:rsidRDefault="008B5B84">
      <w:pPr>
        <w:pStyle w:val="a1"/>
        <w:ind w:firstLine="480"/>
        <w:rPr>
          <w:rFonts w:ascii="Times New Roman" w:cs="Times New Roman"/>
        </w:rPr>
      </w:pPr>
      <w:r w:rsidRPr="00D630D1">
        <w:rPr>
          <w:rFonts w:ascii="Times New Roman" w:cs="Times New Roman"/>
        </w:rPr>
        <w:t>本项目</w:t>
      </w:r>
      <w:r w:rsidRPr="00D630D1">
        <w:rPr>
          <w:rFonts w:ascii="Times New Roman" w:cs="Times New Roman"/>
        </w:rPr>
        <w:t>“</w:t>
      </w:r>
      <w:r w:rsidRPr="00D630D1">
        <w:rPr>
          <w:rFonts w:ascii="Times New Roman" w:cs="Times New Roman"/>
        </w:rPr>
        <w:t>三同时</w:t>
      </w:r>
      <w:r w:rsidRPr="00D630D1">
        <w:rPr>
          <w:rFonts w:ascii="Times New Roman" w:cs="Times New Roman"/>
        </w:rPr>
        <w:t>”</w:t>
      </w:r>
      <w:r w:rsidRPr="00D630D1">
        <w:rPr>
          <w:rFonts w:ascii="Times New Roman" w:cs="Times New Roman"/>
        </w:rPr>
        <w:t>验收内容见下表。</w:t>
      </w:r>
    </w:p>
    <w:p w:rsidR="00117C3D" w:rsidRPr="00D630D1" w:rsidRDefault="00117C3D">
      <w:pPr>
        <w:widowControl/>
        <w:topLinePunct w:val="0"/>
        <w:adjustRightInd/>
        <w:ind w:firstLineChars="0" w:firstLine="0"/>
        <w:jc w:val="left"/>
        <w:rPr>
          <w:rFonts w:ascii="Times New Roman" w:cs="Times New Roman"/>
        </w:rPr>
        <w:sectPr w:rsidR="00117C3D" w:rsidRPr="00D630D1" w:rsidSect="00BA4F10">
          <w:pgSz w:w="11910" w:h="16840"/>
          <w:pgMar w:top="1440" w:right="1800" w:bottom="1440" w:left="1800" w:header="885" w:footer="1025" w:gutter="0"/>
          <w:cols w:space="720"/>
          <w:docGrid w:linePitch="326"/>
        </w:sectPr>
      </w:pPr>
    </w:p>
    <w:p w:rsidR="00117C3D" w:rsidRPr="00D630D1" w:rsidRDefault="008B5B84" w:rsidP="00C32CB3">
      <w:pPr>
        <w:pStyle w:val="TOC11"/>
        <w:rPr>
          <w:rFonts w:eastAsia="宋体"/>
        </w:rPr>
      </w:pPr>
      <w:r w:rsidRPr="00D630D1">
        <w:rPr>
          <w:rFonts w:eastAsia="宋体"/>
        </w:rPr>
        <w:lastRenderedPageBreak/>
        <w:t>表</w:t>
      </w:r>
      <w:r w:rsidR="00C32CB3" w:rsidRPr="00D630D1">
        <w:rPr>
          <w:rFonts w:eastAsia="宋体"/>
        </w:rPr>
        <w:t>8</w:t>
      </w:r>
      <w:r w:rsidRPr="00D630D1">
        <w:rPr>
          <w:rFonts w:eastAsia="宋体"/>
        </w:rPr>
        <w:t>.3-1</w:t>
      </w:r>
      <w:r w:rsidR="00C32CB3" w:rsidRPr="00D630D1">
        <w:rPr>
          <w:rFonts w:eastAsia="宋体"/>
        </w:rPr>
        <w:t xml:space="preserve">  </w:t>
      </w:r>
      <w:r w:rsidRPr="00D630D1">
        <w:rPr>
          <w:rFonts w:eastAsia="宋体"/>
        </w:rPr>
        <w:t>环保</w:t>
      </w:r>
      <w:r w:rsidRPr="00D630D1">
        <w:rPr>
          <w:rFonts w:eastAsia="宋体"/>
        </w:rPr>
        <w:t>“</w:t>
      </w:r>
      <w:r w:rsidRPr="00D630D1">
        <w:rPr>
          <w:rFonts w:eastAsia="宋体"/>
        </w:rPr>
        <w:t>三同时</w:t>
      </w:r>
      <w:r w:rsidRPr="00D630D1">
        <w:rPr>
          <w:rFonts w:eastAsia="宋体"/>
        </w:rPr>
        <w:t>”</w:t>
      </w:r>
      <w:r w:rsidRPr="00D630D1">
        <w:rPr>
          <w:rFonts w:eastAsia="宋体"/>
        </w:rPr>
        <w:t>验收一览表</w:t>
      </w:r>
    </w:p>
    <w:tbl>
      <w:tblPr>
        <w:tblW w:w="5098" w:type="pct"/>
        <w:jc w:val="center"/>
        <w:tblBorders>
          <w:top w:val="single" w:sz="12" w:space="0" w:color="000000"/>
          <w:bottom w:val="single" w:sz="12" w:space="0" w:color="000000"/>
          <w:insideH w:val="single" w:sz="2" w:space="0" w:color="000000"/>
          <w:insideV w:val="single" w:sz="4" w:space="0" w:color="000000"/>
        </w:tblBorders>
        <w:tblCellMar>
          <w:left w:w="0" w:type="dxa"/>
          <w:right w:w="0" w:type="dxa"/>
        </w:tblCellMar>
        <w:tblLook w:val="04A0"/>
      </w:tblPr>
      <w:tblGrid>
        <w:gridCol w:w="631"/>
        <w:gridCol w:w="1069"/>
        <w:gridCol w:w="29"/>
        <w:gridCol w:w="2102"/>
        <w:gridCol w:w="6484"/>
        <w:gridCol w:w="4408"/>
      </w:tblGrid>
      <w:tr w:rsidR="009C7AD7" w:rsidRPr="00D630D1" w:rsidTr="009C7AD7">
        <w:trPr>
          <w:trHeight w:val="20"/>
          <w:jc w:val="center"/>
        </w:trPr>
        <w:tc>
          <w:tcPr>
            <w:tcW w:w="1301" w:type="pct"/>
            <w:gridSpan w:val="4"/>
            <w:vAlign w:val="center"/>
          </w:tcPr>
          <w:p w:rsidR="00117C3D" w:rsidRPr="00D630D1" w:rsidRDefault="008B5B84" w:rsidP="009C7AD7">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项目</w:t>
            </w:r>
          </w:p>
        </w:tc>
        <w:tc>
          <w:tcPr>
            <w:tcW w:w="2202" w:type="pct"/>
            <w:vAlign w:val="center"/>
          </w:tcPr>
          <w:p w:rsidR="00117C3D" w:rsidRPr="00D630D1" w:rsidRDefault="008B5B84" w:rsidP="009C7AD7">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主要内容</w:t>
            </w:r>
          </w:p>
        </w:tc>
        <w:tc>
          <w:tcPr>
            <w:tcW w:w="1497" w:type="pct"/>
            <w:vAlign w:val="center"/>
          </w:tcPr>
          <w:p w:rsidR="00117C3D" w:rsidRPr="00D630D1" w:rsidRDefault="008B5B84" w:rsidP="009C7AD7">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达到效果</w:t>
            </w:r>
          </w:p>
        </w:tc>
      </w:tr>
      <w:tr w:rsidR="004623FB" w:rsidRPr="00D630D1" w:rsidTr="00162134">
        <w:trPr>
          <w:trHeight w:val="272"/>
          <w:jc w:val="center"/>
        </w:trPr>
        <w:tc>
          <w:tcPr>
            <w:tcW w:w="214" w:type="pct"/>
            <w:vMerge w:val="restar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施工期</w:t>
            </w:r>
          </w:p>
        </w:tc>
        <w:tc>
          <w:tcPr>
            <w:tcW w:w="1087" w:type="pct"/>
            <w:gridSpan w:val="3"/>
            <w:vMerge w:val="restart"/>
            <w:vAlign w:val="center"/>
          </w:tcPr>
          <w:p w:rsidR="004623FB" w:rsidRPr="00D630D1" w:rsidRDefault="004623FB" w:rsidP="00162134">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废气</w:t>
            </w:r>
          </w:p>
        </w:tc>
        <w:tc>
          <w:tcPr>
            <w:tcW w:w="2202" w:type="pct"/>
            <w:vAlign w:val="center"/>
          </w:tcPr>
          <w:p w:rsidR="004623FB" w:rsidRPr="00D630D1" w:rsidRDefault="004623FB" w:rsidP="00162134">
            <w:pPr>
              <w:pStyle w:val="TableParagraph"/>
              <w:spacing w:line="240" w:lineRule="auto"/>
              <w:ind w:firstLine="420"/>
            </w:pPr>
            <w:r w:rsidRPr="00D630D1">
              <w:rPr>
                <w:rFonts w:ascii="Times New Roman" w:cs="Times New Roman"/>
                <w:kern w:val="2"/>
                <w:sz w:val="21"/>
                <w:szCs w:val="21"/>
              </w:rPr>
              <w:t>采取覆盖防尘布、洒水降尘、道路洒水、车辆清洗，大风天气停止土方开挖作业</w:t>
            </w:r>
            <w:r w:rsidRPr="00D630D1">
              <w:rPr>
                <w:rFonts w:ascii="Times New Roman" w:cs="Times New Roman" w:hint="eastAsia"/>
                <w:kern w:val="2"/>
                <w:sz w:val="21"/>
                <w:szCs w:val="21"/>
              </w:rPr>
              <w:t>，</w:t>
            </w:r>
            <w:r w:rsidRPr="00D630D1">
              <w:rPr>
                <w:rFonts w:ascii="Times New Roman" w:cs="Times New Roman"/>
                <w:kern w:val="2"/>
                <w:sz w:val="21"/>
                <w:szCs w:val="21"/>
              </w:rPr>
              <w:t>使用尾气达标机械车辆</w:t>
            </w:r>
            <w:r w:rsidRPr="00D630D1">
              <w:rPr>
                <w:rFonts w:ascii="Times New Roman" w:cs="Times New Roman" w:hint="eastAsia"/>
                <w:kern w:val="2"/>
                <w:sz w:val="21"/>
                <w:szCs w:val="21"/>
              </w:rPr>
              <w:t>等措施</w:t>
            </w:r>
            <w:r w:rsidRPr="00D630D1">
              <w:rPr>
                <w:rFonts w:ascii="Times New Roman" w:cs="Times New Roman"/>
                <w:kern w:val="2"/>
                <w:sz w:val="21"/>
                <w:szCs w:val="21"/>
              </w:rPr>
              <w:t>。</w:t>
            </w:r>
          </w:p>
        </w:tc>
        <w:tc>
          <w:tcPr>
            <w:tcW w:w="1497" w:type="pct"/>
            <w:vAlign w:val="center"/>
          </w:tcPr>
          <w:p w:rsidR="004623FB" w:rsidRPr="00D630D1" w:rsidRDefault="004623FB" w:rsidP="00B71B08">
            <w:pPr>
              <w:pStyle w:val="TableParagraph"/>
              <w:ind w:firstLine="420"/>
              <w:rPr>
                <w:rFonts w:ascii="Times New Roman" w:cs="Times New Roman"/>
                <w:kern w:val="2"/>
                <w:sz w:val="21"/>
                <w:szCs w:val="21"/>
              </w:rPr>
            </w:pPr>
            <w:r w:rsidRPr="00D630D1">
              <w:rPr>
                <w:rFonts w:ascii="Times New Roman" w:cs="Times New Roman"/>
                <w:kern w:val="2"/>
                <w:sz w:val="21"/>
                <w:szCs w:val="21"/>
              </w:rPr>
              <w:t>降低施工扬尘，满足地市相关管理办法要求</w:t>
            </w:r>
          </w:p>
        </w:tc>
      </w:tr>
      <w:tr w:rsidR="004623FB" w:rsidRPr="00D630D1" w:rsidTr="00162134">
        <w:trPr>
          <w:trHeight w:val="272"/>
          <w:jc w:val="center"/>
        </w:trPr>
        <w:tc>
          <w:tcPr>
            <w:tcW w:w="214" w:type="pct"/>
            <w:vMerge/>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p>
        </w:tc>
        <w:tc>
          <w:tcPr>
            <w:tcW w:w="1087" w:type="pct"/>
            <w:gridSpan w:val="3"/>
            <w:vMerge/>
            <w:vAlign w:val="center"/>
          </w:tcPr>
          <w:p w:rsidR="004623FB" w:rsidRPr="00D630D1" w:rsidRDefault="004623FB" w:rsidP="00162134">
            <w:pPr>
              <w:pStyle w:val="TableParagraph"/>
              <w:spacing w:line="240" w:lineRule="auto"/>
              <w:ind w:firstLineChars="0" w:firstLine="0"/>
              <w:rPr>
                <w:rFonts w:ascii="Times New Roman" w:cs="Times New Roman"/>
                <w:kern w:val="2"/>
                <w:sz w:val="21"/>
                <w:szCs w:val="21"/>
              </w:rPr>
            </w:pPr>
          </w:p>
        </w:tc>
        <w:tc>
          <w:tcPr>
            <w:tcW w:w="2202" w:type="pct"/>
            <w:vAlign w:val="center"/>
          </w:tcPr>
          <w:p w:rsidR="004623FB" w:rsidRPr="00D630D1" w:rsidRDefault="004623FB" w:rsidP="0054593A">
            <w:pPr>
              <w:pStyle w:val="TableParagraph"/>
              <w:spacing w:line="240" w:lineRule="auto"/>
              <w:ind w:firstLine="420"/>
              <w:rPr>
                <w:rFonts w:ascii="Times New Roman" w:cs="Times New Roman"/>
                <w:kern w:val="2"/>
                <w:sz w:val="21"/>
                <w:szCs w:val="21"/>
              </w:rPr>
            </w:pPr>
            <w:r w:rsidRPr="00D630D1">
              <w:rPr>
                <w:rFonts w:ascii="Times New Roman" w:cs="Times New Roman"/>
                <w:kern w:val="2"/>
                <w:sz w:val="21"/>
                <w:szCs w:val="21"/>
              </w:rPr>
              <w:t>气体钻粉尘采取喷淋降尘措施</w:t>
            </w:r>
          </w:p>
        </w:tc>
        <w:tc>
          <w:tcPr>
            <w:tcW w:w="1497" w:type="pct"/>
            <w:vAlign w:val="center"/>
          </w:tcPr>
          <w:p w:rsidR="004623FB" w:rsidRPr="00D630D1" w:rsidRDefault="004623FB" w:rsidP="0054593A">
            <w:pPr>
              <w:pStyle w:val="TableParagraph"/>
              <w:ind w:firstLine="420"/>
              <w:rPr>
                <w:rFonts w:ascii="Times New Roman" w:cs="Times New Roman"/>
                <w:kern w:val="2"/>
                <w:sz w:val="21"/>
                <w:szCs w:val="21"/>
              </w:rPr>
            </w:pPr>
            <w:r w:rsidRPr="00D630D1">
              <w:rPr>
                <w:rFonts w:ascii="Times New Roman" w:cs="Times New Roman"/>
                <w:kern w:val="2"/>
                <w:sz w:val="21"/>
                <w:szCs w:val="21"/>
              </w:rPr>
              <w:t>达标排放</w:t>
            </w:r>
          </w:p>
        </w:tc>
      </w:tr>
      <w:tr w:rsidR="004623FB" w:rsidRPr="00D630D1" w:rsidTr="00162134">
        <w:trPr>
          <w:trHeight w:val="272"/>
          <w:jc w:val="center"/>
        </w:trPr>
        <w:tc>
          <w:tcPr>
            <w:tcW w:w="214" w:type="pct"/>
            <w:vMerge/>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p>
        </w:tc>
        <w:tc>
          <w:tcPr>
            <w:tcW w:w="1087" w:type="pct"/>
            <w:gridSpan w:val="3"/>
            <w:vMerge/>
            <w:vAlign w:val="center"/>
          </w:tcPr>
          <w:p w:rsidR="004623FB" w:rsidRPr="00D630D1" w:rsidRDefault="004623FB" w:rsidP="00162134">
            <w:pPr>
              <w:pStyle w:val="TableParagraph"/>
              <w:spacing w:line="240" w:lineRule="auto"/>
              <w:ind w:firstLineChars="0" w:firstLine="0"/>
              <w:rPr>
                <w:rFonts w:ascii="Times New Roman" w:cs="Times New Roman"/>
                <w:kern w:val="2"/>
                <w:sz w:val="21"/>
                <w:szCs w:val="21"/>
              </w:rPr>
            </w:pPr>
          </w:p>
        </w:tc>
        <w:tc>
          <w:tcPr>
            <w:tcW w:w="2202" w:type="pct"/>
            <w:vAlign w:val="center"/>
          </w:tcPr>
          <w:p w:rsidR="004623FB" w:rsidRPr="00D630D1" w:rsidRDefault="004623FB" w:rsidP="004623FB">
            <w:pPr>
              <w:pStyle w:val="TableParagraph"/>
              <w:spacing w:line="240" w:lineRule="auto"/>
              <w:ind w:firstLine="420"/>
              <w:rPr>
                <w:rFonts w:ascii="Times New Roman" w:cs="Times New Roman"/>
                <w:kern w:val="2"/>
                <w:sz w:val="21"/>
                <w:szCs w:val="21"/>
              </w:rPr>
            </w:pPr>
            <w:r w:rsidRPr="00D630D1">
              <w:rPr>
                <w:rFonts w:ascii="Times New Roman" w:cs="Times New Roman"/>
                <w:kern w:val="2"/>
                <w:sz w:val="21"/>
                <w:szCs w:val="21"/>
              </w:rPr>
              <w:t>测试放喷废气采取放喷池燃烧处理，并提前对周边无关人员进行临时疏散</w:t>
            </w:r>
          </w:p>
        </w:tc>
        <w:tc>
          <w:tcPr>
            <w:tcW w:w="1497" w:type="pct"/>
            <w:vAlign w:val="center"/>
          </w:tcPr>
          <w:p w:rsidR="004623FB" w:rsidRPr="00D630D1" w:rsidRDefault="004623FB" w:rsidP="00B71B08">
            <w:pPr>
              <w:pStyle w:val="TableParagraph"/>
              <w:ind w:firstLine="420"/>
              <w:rPr>
                <w:rFonts w:ascii="Times New Roman" w:cs="Times New Roman"/>
                <w:kern w:val="2"/>
                <w:sz w:val="21"/>
                <w:szCs w:val="21"/>
              </w:rPr>
            </w:pPr>
            <w:r w:rsidRPr="00D630D1">
              <w:rPr>
                <w:rFonts w:ascii="Times New Roman" w:cs="Times New Roman"/>
                <w:kern w:val="2"/>
                <w:sz w:val="21"/>
                <w:szCs w:val="21"/>
              </w:rPr>
              <w:t>达标排放</w:t>
            </w:r>
          </w:p>
        </w:tc>
      </w:tr>
      <w:tr w:rsidR="004623FB" w:rsidRPr="00D630D1" w:rsidTr="009C7AD7">
        <w:trPr>
          <w:trHeight w:val="20"/>
          <w:jc w:val="center"/>
        </w:trPr>
        <w:tc>
          <w:tcPr>
            <w:tcW w:w="214" w:type="pct"/>
            <w:vMerge/>
            <w:vAlign w:val="center"/>
          </w:tcPr>
          <w:p w:rsidR="004623FB" w:rsidRPr="00D630D1" w:rsidRDefault="004623FB" w:rsidP="009C7AD7">
            <w:pPr>
              <w:widowControl/>
              <w:topLinePunct w:val="0"/>
              <w:adjustRightInd/>
              <w:spacing w:line="240" w:lineRule="auto"/>
              <w:ind w:firstLineChars="0" w:firstLine="0"/>
              <w:jc w:val="center"/>
              <w:rPr>
                <w:rFonts w:ascii="Times New Roman" w:cs="Times New Roman"/>
                <w:kern w:val="2"/>
                <w:sz w:val="21"/>
                <w:szCs w:val="21"/>
              </w:rPr>
            </w:pPr>
          </w:p>
        </w:tc>
        <w:tc>
          <w:tcPr>
            <w:tcW w:w="363" w:type="pct"/>
            <w:vMerge w:val="restart"/>
            <w:tcBorders>
              <w:right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废水</w:t>
            </w:r>
          </w:p>
        </w:tc>
        <w:tc>
          <w:tcPr>
            <w:tcW w:w="724" w:type="pct"/>
            <w:gridSpan w:val="2"/>
            <w:tcBorders>
              <w:left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试压废水排放措施</w:t>
            </w:r>
          </w:p>
        </w:tc>
        <w:tc>
          <w:tcPr>
            <w:tcW w:w="2202" w:type="pct"/>
            <w:vAlign w:val="center"/>
          </w:tcPr>
          <w:p w:rsidR="004623FB" w:rsidRPr="00D630D1" w:rsidRDefault="004623FB" w:rsidP="006F49C4">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试压废水</w:t>
            </w:r>
            <w:r w:rsidRPr="00D630D1">
              <w:rPr>
                <w:rFonts w:ascii="Times New Roman" w:cs="Times New Roman"/>
                <w:kern w:val="2"/>
                <w:sz w:val="21"/>
                <w:szCs w:val="21"/>
              </w:rPr>
              <w:t>分段</w:t>
            </w:r>
            <w:r w:rsidRPr="00D630D1">
              <w:rPr>
                <w:rFonts w:ascii="Times New Roman" w:cs="Times New Roman" w:hint="eastAsia"/>
                <w:kern w:val="2"/>
                <w:sz w:val="21"/>
                <w:szCs w:val="21"/>
              </w:rPr>
              <w:t>试压，</w:t>
            </w:r>
            <w:r w:rsidRPr="00D630D1">
              <w:rPr>
                <w:rFonts w:ascii="Times New Roman" w:cs="Times New Roman"/>
                <w:kern w:val="2"/>
                <w:sz w:val="21"/>
                <w:szCs w:val="21"/>
              </w:rPr>
              <w:t>末端处挖一沉沙池，经沉沙池沉淀后</w:t>
            </w:r>
            <w:r w:rsidR="006F49C4" w:rsidRPr="00D630D1">
              <w:rPr>
                <w:rFonts w:ascii="Times New Roman" w:cs="Times New Roman" w:hint="eastAsia"/>
                <w:kern w:val="2"/>
                <w:sz w:val="21"/>
                <w:szCs w:val="21"/>
              </w:rPr>
              <w:t>回用，不外排</w:t>
            </w:r>
            <w:r w:rsidRPr="00D630D1">
              <w:rPr>
                <w:rFonts w:ascii="Times New Roman" w:cs="Times New Roman"/>
                <w:kern w:val="2"/>
                <w:sz w:val="21"/>
                <w:szCs w:val="21"/>
              </w:rPr>
              <w:t>。</w:t>
            </w:r>
          </w:p>
        </w:tc>
        <w:tc>
          <w:tcPr>
            <w:tcW w:w="1497" w:type="pct"/>
            <w:vAlign w:val="center"/>
          </w:tcPr>
          <w:p w:rsidR="004623FB" w:rsidRPr="00D630D1" w:rsidRDefault="006F49C4"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沉淀处理</w:t>
            </w:r>
            <w:r w:rsidRPr="00D630D1">
              <w:rPr>
                <w:rFonts w:ascii="Times New Roman" w:cs="Times New Roman" w:hint="eastAsia"/>
                <w:kern w:val="2"/>
                <w:sz w:val="21"/>
                <w:szCs w:val="21"/>
              </w:rPr>
              <w:t>后回用</w:t>
            </w:r>
            <w:r w:rsidRPr="00D630D1">
              <w:rPr>
                <w:rFonts w:ascii="Times New Roman" w:cs="Times New Roman"/>
                <w:kern w:val="2"/>
                <w:sz w:val="21"/>
                <w:szCs w:val="21"/>
              </w:rPr>
              <w:t>，不直接外排</w:t>
            </w:r>
          </w:p>
        </w:tc>
      </w:tr>
      <w:tr w:rsidR="004623FB" w:rsidRPr="00D630D1" w:rsidTr="009C7AD7">
        <w:trPr>
          <w:trHeight w:val="20"/>
          <w:jc w:val="center"/>
        </w:trPr>
        <w:tc>
          <w:tcPr>
            <w:tcW w:w="214" w:type="pct"/>
            <w:vMerge/>
            <w:vAlign w:val="center"/>
          </w:tcPr>
          <w:p w:rsidR="004623FB" w:rsidRPr="00D630D1" w:rsidRDefault="004623FB" w:rsidP="009C7AD7">
            <w:pPr>
              <w:widowControl/>
              <w:topLinePunct w:val="0"/>
              <w:adjustRightInd/>
              <w:spacing w:line="240" w:lineRule="auto"/>
              <w:ind w:firstLineChars="0" w:firstLine="0"/>
              <w:jc w:val="center"/>
              <w:rPr>
                <w:rFonts w:ascii="Times New Roman" w:cs="Times New Roman"/>
                <w:kern w:val="2"/>
                <w:sz w:val="21"/>
                <w:szCs w:val="21"/>
              </w:rPr>
            </w:pPr>
          </w:p>
        </w:tc>
        <w:tc>
          <w:tcPr>
            <w:tcW w:w="363" w:type="pct"/>
            <w:vMerge/>
            <w:tcBorders>
              <w:right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p>
        </w:tc>
        <w:tc>
          <w:tcPr>
            <w:tcW w:w="724" w:type="pct"/>
            <w:gridSpan w:val="2"/>
            <w:tcBorders>
              <w:left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站场</w:t>
            </w:r>
            <w:r w:rsidRPr="00D630D1">
              <w:rPr>
                <w:rFonts w:ascii="Times New Roman" w:cs="Times New Roman"/>
                <w:kern w:val="2"/>
                <w:sz w:val="21"/>
                <w:szCs w:val="21"/>
              </w:rPr>
              <w:t>施工</w:t>
            </w:r>
            <w:r w:rsidRPr="00D630D1">
              <w:rPr>
                <w:rFonts w:ascii="Times New Roman" w:cs="Times New Roman" w:hint="eastAsia"/>
                <w:kern w:val="2"/>
                <w:sz w:val="21"/>
                <w:szCs w:val="21"/>
              </w:rPr>
              <w:t>生产</w:t>
            </w:r>
            <w:r w:rsidRPr="00D630D1">
              <w:rPr>
                <w:rFonts w:ascii="Times New Roman" w:cs="Times New Roman"/>
                <w:kern w:val="2"/>
                <w:sz w:val="21"/>
                <w:szCs w:val="21"/>
              </w:rPr>
              <w:t>废水</w:t>
            </w:r>
          </w:p>
        </w:tc>
        <w:tc>
          <w:tcPr>
            <w:tcW w:w="2202" w:type="pc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站场</w:t>
            </w:r>
            <w:r w:rsidRPr="00D630D1">
              <w:rPr>
                <w:rFonts w:ascii="Times New Roman" w:cs="Times New Roman"/>
                <w:kern w:val="2"/>
                <w:sz w:val="21"/>
                <w:szCs w:val="21"/>
              </w:rPr>
              <w:t>施工</w:t>
            </w:r>
            <w:r w:rsidRPr="00D630D1">
              <w:rPr>
                <w:rFonts w:ascii="Times New Roman" w:cs="Times New Roman" w:hint="eastAsia"/>
                <w:kern w:val="2"/>
                <w:sz w:val="21"/>
                <w:szCs w:val="21"/>
              </w:rPr>
              <w:t>生产</w:t>
            </w:r>
            <w:r w:rsidRPr="00D630D1">
              <w:rPr>
                <w:rFonts w:ascii="Times New Roman" w:cs="Times New Roman"/>
                <w:kern w:val="2"/>
                <w:sz w:val="21"/>
                <w:szCs w:val="21"/>
              </w:rPr>
              <w:t>废水经沿沉淀池沉淀后洒水降尘使用，不直接外排。</w:t>
            </w:r>
          </w:p>
        </w:tc>
        <w:tc>
          <w:tcPr>
            <w:tcW w:w="1497" w:type="pc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bookmarkStart w:id="645" w:name="OLE_LINK146"/>
            <w:r w:rsidRPr="00D630D1">
              <w:rPr>
                <w:rFonts w:ascii="Times New Roman" w:cs="Times New Roman"/>
                <w:kern w:val="2"/>
                <w:sz w:val="21"/>
                <w:szCs w:val="21"/>
              </w:rPr>
              <w:t>沉淀处理</w:t>
            </w:r>
            <w:r w:rsidRPr="00D630D1">
              <w:rPr>
                <w:rFonts w:ascii="Times New Roman" w:cs="Times New Roman" w:hint="eastAsia"/>
                <w:kern w:val="2"/>
                <w:sz w:val="21"/>
                <w:szCs w:val="21"/>
              </w:rPr>
              <w:t>后回用</w:t>
            </w:r>
            <w:r w:rsidRPr="00D630D1">
              <w:rPr>
                <w:rFonts w:ascii="Times New Roman" w:cs="Times New Roman"/>
                <w:kern w:val="2"/>
                <w:sz w:val="21"/>
                <w:szCs w:val="21"/>
              </w:rPr>
              <w:t>，不直接外排</w:t>
            </w:r>
            <w:bookmarkEnd w:id="645"/>
          </w:p>
        </w:tc>
      </w:tr>
      <w:tr w:rsidR="004623FB" w:rsidRPr="00D630D1" w:rsidTr="009C7AD7">
        <w:trPr>
          <w:trHeight w:val="20"/>
          <w:jc w:val="center"/>
        </w:trPr>
        <w:tc>
          <w:tcPr>
            <w:tcW w:w="214" w:type="pct"/>
            <w:vMerge/>
            <w:vAlign w:val="center"/>
          </w:tcPr>
          <w:p w:rsidR="004623FB" w:rsidRPr="00D630D1" w:rsidRDefault="004623FB" w:rsidP="009C7AD7">
            <w:pPr>
              <w:widowControl/>
              <w:topLinePunct w:val="0"/>
              <w:adjustRightInd/>
              <w:spacing w:line="240" w:lineRule="auto"/>
              <w:ind w:firstLineChars="0" w:firstLine="0"/>
              <w:jc w:val="center"/>
              <w:rPr>
                <w:rFonts w:ascii="Times New Roman" w:cs="Times New Roman"/>
                <w:kern w:val="2"/>
                <w:sz w:val="21"/>
                <w:szCs w:val="21"/>
              </w:rPr>
            </w:pPr>
          </w:p>
        </w:tc>
        <w:tc>
          <w:tcPr>
            <w:tcW w:w="363" w:type="pct"/>
            <w:vMerge/>
            <w:tcBorders>
              <w:right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p>
        </w:tc>
        <w:tc>
          <w:tcPr>
            <w:tcW w:w="724" w:type="pct"/>
            <w:gridSpan w:val="2"/>
            <w:tcBorders>
              <w:left w:val="single" w:sz="4" w:space="0" w:color="auto"/>
            </w:tcBorders>
            <w:vAlign w:val="center"/>
          </w:tcPr>
          <w:p w:rsidR="004623FB" w:rsidRPr="00D630D1" w:rsidRDefault="004623FB" w:rsidP="0054593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生活污水</w:t>
            </w:r>
          </w:p>
        </w:tc>
        <w:tc>
          <w:tcPr>
            <w:tcW w:w="2202" w:type="pct"/>
            <w:vAlign w:val="center"/>
          </w:tcPr>
          <w:p w:rsidR="004623FB" w:rsidRPr="00D630D1" w:rsidRDefault="004623FB" w:rsidP="0054593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施工期管线施工人员生活污水依托租用附近居民房收集处理，井场</w:t>
            </w:r>
            <w:r w:rsidRPr="00D630D1">
              <w:rPr>
                <w:rFonts w:ascii="Times New Roman" w:cs="Times New Roman" w:hint="eastAsia"/>
                <w:kern w:val="2"/>
                <w:sz w:val="21"/>
                <w:szCs w:val="21"/>
              </w:rPr>
              <w:t>、钻井</w:t>
            </w:r>
            <w:r w:rsidRPr="00D630D1">
              <w:rPr>
                <w:rFonts w:ascii="Times New Roman" w:cs="Times New Roman"/>
                <w:kern w:val="2"/>
                <w:sz w:val="21"/>
                <w:szCs w:val="21"/>
              </w:rPr>
              <w:t>施工生活污水</w:t>
            </w:r>
            <w:r w:rsidRPr="00D630D1">
              <w:rPr>
                <w:rFonts w:ascii="Times New Roman" w:cs="Times New Roman" w:hint="eastAsia"/>
                <w:kern w:val="2"/>
                <w:sz w:val="21"/>
                <w:szCs w:val="21"/>
              </w:rPr>
              <w:t>经生态</w:t>
            </w:r>
            <w:r w:rsidRPr="00D630D1">
              <w:rPr>
                <w:rFonts w:ascii="Times New Roman" w:cs="Times New Roman"/>
                <w:kern w:val="2"/>
                <w:sz w:val="21"/>
                <w:szCs w:val="21"/>
              </w:rPr>
              <w:t>环保厕所收集后，用作周边农肥，不外排。</w:t>
            </w:r>
          </w:p>
        </w:tc>
        <w:tc>
          <w:tcPr>
            <w:tcW w:w="1497" w:type="pct"/>
            <w:vAlign w:val="center"/>
          </w:tcPr>
          <w:p w:rsidR="004623FB" w:rsidRPr="00D630D1" w:rsidRDefault="004623FB" w:rsidP="0054593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保护地表水环境</w:t>
            </w:r>
          </w:p>
        </w:tc>
      </w:tr>
      <w:tr w:rsidR="004623FB" w:rsidRPr="00D630D1" w:rsidTr="009C7AD7">
        <w:trPr>
          <w:trHeight w:val="20"/>
          <w:jc w:val="center"/>
        </w:trPr>
        <w:tc>
          <w:tcPr>
            <w:tcW w:w="214" w:type="pct"/>
            <w:vMerge/>
            <w:vAlign w:val="center"/>
          </w:tcPr>
          <w:p w:rsidR="004623FB" w:rsidRPr="00D630D1" w:rsidRDefault="004623FB" w:rsidP="009C7AD7">
            <w:pPr>
              <w:widowControl/>
              <w:topLinePunct w:val="0"/>
              <w:adjustRightInd/>
              <w:spacing w:line="240" w:lineRule="auto"/>
              <w:ind w:firstLineChars="0" w:firstLine="0"/>
              <w:jc w:val="center"/>
              <w:rPr>
                <w:rFonts w:ascii="Times New Roman" w:cs="Times New Roman"/>
                <w:kern w:val="2"/>
                <w:sz w:val="21"/>
                <w:szCs w:val="21"/>
              </w:rPr>
            </w:pPr>
          </w:p>
        </w:tc>
        <w:tc>
          <w:tcPr>
            <w:tcW w:w="363" w:type="pct"/>
            <w:vMerge/>
            <w:tcBorders>
              <w:right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p>
        </w:tc>
        <w:tc>
          <w:tcPr>
            <w:tcW w:w="724" w:type="pct"/>
            <w:gridSpan w:val="2"/>
            <w:tcBorders>
              <w:left w:val="single" w:sz="4" w:space="0" w:color="auto"/>
            </w:tcBorders>
            <w:vAlign w:val="center"/>
          </w:tcPr>
          <w:p w:rsidR="004623FB" w:rsidRPr="00D630D1" w:rsidRDefault="004623FB" w:rsidP="0054593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初期雨水</w:t>
            </w:r>
          </w:p>
        </w:tc>
        <w:tc>
          <w:tcPr>
            <w:tcW w:w="2202" w:type="pct"/>
            <w:vAlign w:val="center"/>
          </w:tcPr>
          <w:p w:rsidR="004623FB" w:rsidRPr="00D630D1" w:rsidRDefault="004623FB" w:rsidP="000C6323">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井场内四周设排水边沟，井场雨水随四周排水边沟汇至排放口，排放口设环保检测池，初期雨水收集进入</w:t>
            </w:r>
            <w:r w:rsidR="000C6323" w:rsidRPr="00D630D1">
              <w:rPr>
                <w:rFonts w:ascii="Times New Roman" w:cs="Times New Roman" w:hint="eastAsia"/>
                <w:kern w:val="2"/>
                <w:sz w:val="21"/>
                <w:szCs w:val="21"/>
              </w:rPr>
              <w:t>清洁化操作平台，与</w:t>
            </w:r>
            <w:r w:rsidR="000C6323" w:rsidRPr="00D630D1">
              <w:rPr>
                <w:rFonts w:ascii="Times New Roman" w:cs="Times New Roman"/>
                <w:kern w:val="2"/>
                <w:sz w:val="21"/>
                <w:szCs w:val="21"/>
              </w:rPr>
              <w:t>钻井废水</w:t>
            </w:r>
            <w:r w:rsidR="000C6323" w:rsidRPr="00D630D1">
              <w:rPr>
                <w:rFonts w:ascii="Times New Roman" w:cs="Times New Roman" w:hint="eastAsia"/>
                <w:kern w:val="2"/>
                <w:sz w:val="21"/>
                <w:szCs w:val="21"/>
              </w:rPr>
              <w:t>一同经清洁化操作平台</w:t>
            </w:r>
            <w:r w:rsidR="000C6323" w:rsidRPr="00D630D1">
              <w:rPr>
                <w:rFonts w:ascii="Times New Roman" w:cs="Times New Roman"/>
                <w:kern w:val="2"/>
                <w:sz w:val="21"/>
                <w:szCs w:val="21"/>
              </w:rPr>
              <w:t>预处理后达到毛开</w:t>
            </w:r>
            <w:r w:rsidR="000C6323" w:rsidRPr="00D630D1">
              <w:rPr>
                <w:rFonts w:ascii="Times New Roman" w:cs="Times New Roman"/>
                <w:kern w:val="2"/>
                <w:sz w:val="21"/>
                <w:szCs w:val="21"/>
              </w:rPr>
              <w:t>1</w:t>
            </w:r>
            <w:r w:rsidR="000C6323" w:rsidRPr="00D630D1">
              <w:rPr>
                <w:rFonts w:ascii="Times New Roman" w:cs="Times New Roman"/>
                <w:kern w:val="2"/>
                <w:sz w:val="21"/>
                <w:szCs w:val="21"/>
              </w:rPr>
              <w:t>井回注标准后，拉运至毛开</w:t>
            </w:r>
            <w:r w:rsidR="000C6323" w:rsidRPr="00D630D1">
              <w:rPr>
                <w:rFonts w:ascii="Times New Roman" w:cs="Times New Roman"/>
                <w:kern w:val="2"/>
                <w:sz w:val="21"/>
                <w:szCs w:val="21"/>
              </w:rPr>
              <w:t>1</w:t>
            </w:r>
            <w:r w:rsidR="000C6323" w:rsidRPr="00D630D1">
              <w:rPr>
                <w:rFonts w:ascii="Times New Roman" w:cs="Times New Roman"/>
                <w:kern w:val="2"/>
                <w:sz w:val="21"/>
                <w:szCs w:val="21"/>
              </w:rPr>
              <w:t>井回注。</w:t>
            </w:r>
          </w:p>
        </w:tc>
        <w:tc>
          <w:tcPr>
            <w:tcW w:w="1497" w:type="pct"/>
            <w:vAlign w:val="center"/>
          </w:tcPr>
          <w:p w:rsidR="004623FB" w:rsidRPr="00D630D1" w:rsidRDefault="004623FB" w:rsidP="0054593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保护地表水环境</w:t>
            </w:r>
          </w:p>
        </w:tc>
      </w:tr>
      <w:tr w:rsidR="004623FB" w:rsidRPr="00D630D1" w:rsidTr="009C7AD7">
        <w:trPr>
          <w:trHeight w:val="20"/>
          <w:jc w:val="center"/>
        </w:trPr>
        <w:tc>
          <w:tcPr>
            <w:tcW w:w="214" w:type="pct"/>
            <w:vMerge/>
            <w:vAlign w:val="center"/>
          </w:tcPr>
          <w:p w:rsidR="004623FB" w:rsidRPr="00D630D1" w:rsidRDefault="004623FB" w:rsidP="009C7AD7">
            <w:pPr>
              <w:widowControl/>
              <w:topLinePunct w:val="0"/>
              <w:adjustRightInd/>
              <w:spacing w:line="240" w:lineRule="auto"/>
              <w:ind w:firstLineChars="0" w:firstLine="0"/>
              <w:jc w:val="center"/>
              <w:rPr>
                <w:rFonts w:ascii="Times New Roman" w:cs="Times New Roman"/>
                <w:kern w:val="2"/>
                <w:sz w:val="21"/>
                <w:szCs w:val="21"/>
              </w:rPr>
            </w:pPr>
          </w:p>
        </w:tc>
        <w:tc>
          <w:tcPr>
            <w:tcW w:w="363" w:type="pct"/>
            <w:vMerge/>
            <w:tcBorders>
              <w:right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p>
        </w:tc>
        <w:tc>
          <w:tcPr>
            <w:tcW w:w="724" w:type="pct"/>
            <w:gridSpan w:val="2"/>
            <w:tcBorders>
              <w:left w:val="single" w:sz="4" w:space="0" w:color="auto"/>
            </w:tcBorders>
            <w:vAlign w:val="center"/>
          </w:tcPr>
          <w:p w:rsidR="004623FB" w:rsidRPr="00D630D1" w:rsidRDefault="004623FB" w:rsidP="0054593A">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钻井废水</w:t>
            </w:r>
          </w:p>
        </w:tc>
        <w:tc>
          <w:tcPr>
            <w:tcW w:w="2202" w:type="pct"/>
            <w:vAlign w:val="center"/>
          </w:tcPr>
          <w:p w:rsidR="004623FB" w:rsidRPr="00D630D1" w:rsidRDefault="004623FB" w:rsidP="0054593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钻井废水</w:t>
            </w:r>
            <w:r w:rsidR="000C6323" w:rsidRPr="00D630D1">
              <w:rPr>
                <w:rFonts w:ascii="Times New Roman" w:cs="Times New Roman" w:hint="eastAsia"/>
                <w:kern w:val="2"/>
                <w:sz w:val="21"/>
                <w:szCs w:val="21"/>
              </w:rPr>
              <w:t>经清洁化操作平台</w:t>
            </w:r>
            <w:r w:rsidRPr="00D630D1">
              <w:rPr>
                <w:rFonts w:ascii="Times New Roman" w:cs="Times New Roman"/>
                <w:kern w:val="2"/>
                <w:sz w:val="21"/>
                <w:szCs w:val="21"/>
              </w:rPr>
              <w:t>预处理后达到毛开</w:t>
            </w:r>
            <w:r w:rsidRPr="00D630D1">
              <w:rPr>
                <w:rFonts w:ascii="Times New Roman" w:cs="Times New Roman"/>
                <w:kern w:val="2"/>
                <w:sz w:val="21"/>
                <w:szCs w:val="21"/>
              </w:rPr>
              <w:t>1</w:t>
            </w:r>
            <w:r w:rsidRPr="00D630D1">
              <w:rPr>
                <w:rFonts w:ascii="Times New Roman" w:cs="Times New Roman"/>
                <w:kern w:val="2"/>
                <w:sz w:val="21"/>
                <w:szCs w:val="21"/>
              </w:rPr>
              <w:t>井回注标准后，拉运至毛开</w:t>
            </w:r>
            <w:r w:rsidRPr="00D630D1">
              <w:rPr>
                <w:rFonts w:ascii="Times New Roman" w:cs="Times New Roman"/>
                <w:kern w:val="2"/>
                <w:sz w:val="21"/>
                <w:szCs w:val="21"/>
              </w:rPr>
              <w:t>1</w:t>
            </w:r>
            <w:r w:rsidRPr="00D630D1">
              <w:rPr>
                <w:rFonts w:ascii="Times New Roman" w:cs="Times New Roman"/>
                <w:kern w:val="2"/>
                <w:sz w:val="21"/>
                <w:szCs w:val="21"/>
              </w:rPr>
              <w:t>井回注。</w:t>
            </w:r>
          </w:p>
        </w:tc>
        <w:tc>
          <w:tcPr>
            <w:tcW w:w="1497" w:type="pct"/>
            <w:vAlign w:val="center"/>
          </w:tcPr>
          <w:p w:rsidR="004623FB" w:rsidRPr="00D630D1" w:rsidRDefault="004623FB" w:rsidP="0054593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保护地表水环境</w:t>
            </w:r>
          </w:p>
        </w:tc>
      </w:tr>
      <w:tr w:rsidR="004623FB" w:rsidRPr="00D630D1" w:rsidTr="009C7AD7">
        <w:trPr>
          <w:trHeight w:val="20"/>
          <w:jc w:val="center"/>
        </w:trPr>
        <w:tc>
          <w:tcPr>
            <w:tcW w:w="214" w:type="pct"/>
            <w:vMerge/>
            <w:vAlign w:val="center"/>
          </w:tcPr>
          <w:p w:rsidR="004623FB" w:rsidRPr="00D630D1" w:rsidRDefault="004623FB" w:rsidP="009C7AD7">
            <w:pPr>
              <w:widowControl/>
              <w:topLinePunct w:val="0"/>
              <w:adjustRightInd/>
              <w:spacing w:line="240" w:lineRule="auto"/>
              <w:ind w:firstLineChars="0" w:firstLine="0"/>
              <w:jc w:val="center"/>
              <w:rPr>
                <w:rFonts w:ascii="Times New Roman" w:cs="Times New Roman"/>
                <w:kern w:val="2"/>
                <w:sz w:val="21"/>
                <w:szCs w:val="21"/>
              </w:rPr>
            </w:pPr>
          </w:p>
        </w:tc>
        <w:tc>
          <w:tcPr>
            <w:tcW w:w="363" w:type="pct"/>
            <w:vMerge/>
            <w:tcBorders>
              <w:right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p>
        </w:tc>
        <w:tc>
          <w:tcPr>
            <w:tcW w:w="724" w:type="pct"/>
            <w:gridSpan w:val="2"/>
            <w:tcBorders>
              <w:left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压裂、洗井废水</w:t>
            </w:r>
          </w:p>
        </w:tc>
        <w:tc>
          <w:tcPr>
            <w:tcW w:w="2202" w:type="pct"/>
            <w:vAlign w:val="center"/>
          </w:tcPr>
          <w:p w:rsidR="004623FB" w:rsidRPr="00D630D1" w:rsidRDefault="00775840" w:rsidP="00A2569C">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压裂废水和洗井废水</w:t>
            </w:r>
            <w:r w:rsidRPr="00D630D1">
              <w:rPr>
                <w:rFonts w:ascii="Times New Roman" w:cs="Times New Roman" w:hint="eastAsia"/>
                <w:kern w:val="2"/>
                <w:sz w:val="21"/>
                <w:szCs w:val="21"/>
              </w:rPr>
              <w:t>部分</w:t>
            </w:r>
            <w:r w:rsidRPr="00D630D1">
              <w:rPr>
                <w:rFonts w:ascii="Times New Roman" w:cs="Times New Roman"/>
                <w:kern w:val="2"/>
                <w:sz w:val="21"/>
                <w:szCs w:val="21"/>
              </w:rPr>
              <w:t>暂存</w:t>
            </w:r>
            <w:r w:rsidRPr="00D630D1">
              <w:rPr>
                <w:rFonts w:ascii="Times New Roman" w:cs="Times New Roman" w:hint="eastAsia"/>
                <w:kern w:val="2"/>
                <w:sz w:val="21"/>
                <w:szCs w:val="21"/>
              </w:rPr>
              <w:t>于放喷池，剩余部分暂存于污水缓冲罐</w:t>
            </w:r>
            <w:r w:rsidRPr="00D630D1">
              <w:rPr>
                <w:rFonts w:ascii="Times New Roman" w:cs="Times New Roman"/>
                <w:kern w:val="2"/>
                <w:sz w:val="21"/>
                <w:szCs w:val="21"/>
              </w:rPr>
              <w:t>，装车拉运至大湾</w:t>
            </w:r>
            <w:r w:rsidRPr="00D630D1">
              <w:rPr>
                <w:rFonts w:ascii="Times New Roman" w:cs="Times New Roman"/>
                <w:kern w:val="2"/>
                <w:sz w:val="21"/>
                <w:szCs w:val="21"/>
              </w:rPr>
              <w:t>403</w:t>
            </w:r>
            <w:r w:rsidRPr="00D630D1">
              <w:rPr>
                <w:rFonts w:ascii="Times New Roman" w:cs="Times New Roman"/>
                <w:kern w:val="2"/>
                <w:sz w:val="21"/>
                <w:szCs w:val="21"/>
              </w:rPr>
              <w:t>污水站处理达标后管输至毛开</w:t>
            </w:r>
            <w:r w:rsidRPr="00D630D1">
              <w:rPr>
                <w:rFonts w:ascii="Times New Roman" w:cs="Times New Roman"/>
                <w:kern w:val="2"/>
                <w:sz w:val="21"/>
                <w:szCs w:val="21"/>
              </w:rPr>
              <w:t>1</w:t>
            </w:r>
            <w:r w:rsidRPr="00D630D1">
              <w:rPr>
                <w:rFonts w:ascii="Times New Roman" w:cs="Times New Roman"/>
                <w:kern w:val="2"/>
                <w:sz w:val="21"/>
                <w:szCs w:val="21"/>
              </w:rPr>
              <w:t>井回注站回注</w:t>
            </w:r>
          </w:p>
        </w:tc>
        <w:tc>
          <w:tcPr>
            <w:tcW w:w="1497" w:type="pc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保护地表水环境</w:t>
            </w:r>
          </w:p>
        </w:tc>
      </w:tr>
      <w:tr w:rsidR="004623FB" w:rsidRPr="00D630D1" w:rsidTr="009C7AD7">
        <w:trPr>
          <w:trHeight w:val="20"/>
          <w:jc w:val="center"/>
        </w:trPr>
        <w:tc>
          <w:tcPr>
            <w:tcW w:w="214" w:type="pct"/>
            <w:vMerge/>
            <w:vAlign w:val="center"/>
          </w:tcPr>
          <w:p w:rsidR="004623FB" w:rsidRPr="00D630D1" w:rsidRDefault="004623FB" w:rsidP="009C7AD7">
            <w:pPr>
              <w:widowControl/>
              <w:topLinePunct w:val="0"/>
              <w:adjustRightInd/>
              <w:spacing w:line="240" w:lineRule="auto"/>
              <w:ind w:firstLineChars="0" w:firstLine="0"/>
              <w:jc w:val="center"/>
              <w:rPr>
                <w:rFonts w:ascii="Times New Roman" w:cs="Times New Roman"/>
                <w:kern w:val="2"/>
                <w:sz w:val="21"/>
                <w:szCs w:val="21"/>
              </w:rPr>
            </w:pPr>
          </w:p>
        </w:tc>
        <w:tc>
          <w:tcPr>
            <w:tcW w:w="1087" w:type="pct"/>
            <w:gridSpan w:val="3"/>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噪声</w:t>
            </w:r>
          </w:p>
        </w:tc>
        <w:tc>
          <w:tcPr>
            <w:tcW w:w="2202" w:type="pc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管道、站场施工</w:t>
            </w:r>
            <w:r w:rsidRPr="00D630D1">
              <w:rPr>
                <w:rFonts w:ascii="Times New Roman" w:cs="Times New Roman"/>
                <w:kern w:val="2"/>
                <w:sz w:val="21"/>
                <w:szCs w:val="21"/>
              </w:rPr>
              <w:t>采取合理安排作业时间，合理布置施工机械等措施</w:t>
            </w:r>
            <w:r w:rsidRPr="00D630D1">
              <w:rPr>
                <w:rFonts w:ascii="Times New Roman" w:cs="Times New Roman" w:hint="eastAsia"/>
                <w:kern w:val="2"/>
                <w:sz w:val="21"/>
                <w:szCs w:val="21"/>
              </w:rPr>
              <w:t>，</w:t>
            </w:r>
            <w:r w:rsidRPr="00D630D1">
              <w:rPr>
                <w:rFonts w:ascii="Times New Roman" w:cs="Times New Roman"/>
                <w:kern w:val="2"/>
                <w:sz w:val="21"/>
                <w:szCs w:val="21"/>
              </w:rPr>
              <w:t>施工沿线居民集中点设挡声板</w:t>
            </w:r>
            <w:r w:rsidRPr="00D630D1">
              <w:rPr>
                <w:rFonts w:ascii="Times New Roman" w:cs="Times New Roman" w:hint="eastAsia"/>
                <w:kern w:val="2"/>
                <w:sz w:val="21"/>
                <w:szCs w:val="21"/>
              </w:rPr>
              <w:t>；钻井施工：</w:t>
            </w:r>
            <w:r w:rsidRPr="00D630D1">
              <w:rPr>
                <w:rFonts w:ascii="Times New Roman" w:cs="Times New Roman"/>
                <w:kern w:val="2"/>
                <w:sz w:val="21"/>
                <w:szCs w:val="21"/>
              </w:rPr>
              <w:t>合理布置高噪声设备；选用低噪声设备如网电钻井；泥浆泵安装弹性垫料；对周边</w:t>
            </w:r>
            <w:r w:rsidRPr="00D630D1">
              <w:rPr>
                <w:rFonts w:ascii="Times New Roman" w:cs="Times New Roman"/>
                <w:kern w:val="2"/>
                <w:sz w:val="21"/>
                <w:szCs w:val="21"/>
              </w:rPr>
              <w:t>500m</w:t>
            </w:r>
            <w:r w:rsidRPr="00D630D1">
              <w:rPr>
                <w:rFonts w:ascii="Times New Roman" w:cs="Times New Roman"/>
                <w:kern w:val="2"/>
                <w:sz w:val="21"/>
                <w:szCs w:val="21"/>
              </w:rPr>
              <w:t>范围内无关人员进行临时疏散。</w:t>
            </w:r>
          </w:p>
        </w:tc>
        <w:tc>
          <w:tcPr>
            <w:tcW w:w="1497" w:type="pc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《建筑施工场界环境噪声排放标准》（</w:t>
            </w:r>
            <w:r w:rsidRPr="00D630D1">
              <w:rPr>
                <w:rFonts w:ascii="Times New Roman" w:cs="Times New Roman"/>
                <w:kern w:val="2"/>
                <w:sz w:val="21"/>
                <w:szCs w:val="21"/>
              </w:rPr>
              <w:t>GB12523-2011</w:t>
            </w:r>
            <w:r w:rsidRPr="00D630D1">
              <w:rPr>
                <w:rFonts w:ascii="Times New Roman" w:cs="Times New Roman"/>
                <w:kern w:val="2"/>
                <w:sz w:val="21"/>
                <w:szCs w:val="21"/>
              </w:rPr>
              <w:t>）中的噪声排放限值。</w:t>
            </w:r>
          </w:p>
        </w:tc>
      </w:tr>
      <w:tr w:rsidR="004623FB" w:rsidRPr="00D630D1" w:rsidTr="009C7AD7">
        <w:trPr>
          <w:trHeight w:val="20"/>
          <w:jc w:val="center"/>
        </w:trPr>
        <w:tc>
          <w:tcPr>
            <w:tcW w:w="214" w:type="pct"/>
            <w:vMerge/>
            <w:vAlign w:val="center"/>
          </w:tcPr>
          <w:p w:rsidR="004623FB" w:rsidRPr="00D630D1" w:rsidRDefault="004623FB" w:rsidP="009C7AD7">
            <w:pPr>
              <w:widowControl/>
              <w:topLinePunct w:val="0"/>
              <w:adjustRightInd/>
              <w:spacing w:line="240" w:lineRule="auto"/>
              <w:ind w:firstLineChars="0" w:firstLine="0"/>
              <w:jc w:val="center"/>
              <w:rPr>
                <w:rFonts w:ascii="Times New Roman" w:cs="Times New Roman"/>
                <w:kern w:val="2"/>
                <w:sz w:val="21"/>
                <w:szCs w:val="21"/>
              </w:rPr>
            </w:pPr>
          </w:p>
        </w:tc>
        <w:tc>
          <w:tcPr>
            <w:tcW w:w="1087" w:type="pct"/>
            <w:gridSpan w:val="3"/>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固体废物</w:t>
            </w:r>
          </w:p>
        </w:tc>
        <w:tc>
          <w:tcPr>
            <w:tcW w:w="2202" w:type="pct"/>
            <w:vAlign w:val="center"/>
          </w:tcPr>
          <w:p w:rsidR="004623FB" w:rsidRPr="00D630D1" w:rsidRDefault="0054593A" w:rsidP="00A62354">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生活垃圾、施工废料</w:t>
            </w:r>
            <w:r w:rsidRPr="00D630D1">
              <w:rPr>
                <w:rFonts w:ascii="Times New Roman" w:cs="Times New Roman" w:hint="eastAsia"/>
                <w:kern w:val="2"/>
                <w:sz w:val="21"/>
                <w:szCs w:val="21"/>
              </w:rPr>
              <w:t>经</w:t>
            </w:r>
            <w:r w:rsidR="004623FB" w:rsidRPr="00D630D1">
              <w:rPr>
                <w:rFonts w:ascii="Times New Roman" w:cs="Times New Roman"/>
                <w:kern w:val="2"/>
                <w:sz w:val="21"/>
                <w:szCs w:val="21"/>
              </w:rPr>
              <w:t>当地环卫部门统一清运处理</w:t>
            </w:r>
            <w:r w:rsidRPr="00D630D1">
              <w:rPr>
                <w:rFonts w:ascii="Times New Roman" w:cs="Times New Roman" w:hint="eastAsia"/>
                <w:kern w:val="2"/>
                <w:sz w:val="21"/>
                <w:szCs w:val="21"/>
              </w:rPr>
              <w:t>；</w:t>
            </w:r>
            <w:r w:rsidRPr="00D630D1">
              <w:rPr>
                <w:rFonts w:ascii="Times New Roman" w:cs="Times New Roman"/>
                <w:kern w:val="2"/>
                <w:sz w:val="21"/>
                <w:szCs w:val="21"/>
              </w:rPr>
              <w:t>本项目采取清洁化操作平台，</w:t>
            </w:r>
            <w:r w:rsidR="00FD5966" w:rsidRPr="00D630D1">
              <w:rPr>
                <w:rFonts w:ascii="Times New Roman" w:cs="Times New Roman"/>
                <w:bCs/>
                <w:kern w:val="2"/>
                <w:sz w:val="21"/>
                <w:szCs w:val="21"/>
              </w:rPr>
              <w:t>并采取泥浆不落地措施</w:t>
            </w:r>
            <w:r w:rsidR="00FD5966" w:rsidRPr="00D630D1">
              <w:rPr>
                <w:rFonts w:ascii="Times New Roman" w:cs="Times New Roman"/>
                <w:kern w:val="2"/>
                <w:sz w:val="21"/>
                <w:szCs w:val="21"/>
              </w:rPr>
              <w:t>，</w:t>
            </w:r>
            <w:r w:rsidRPr="00D630D1">
              <w:rPr>
                <w:rFonts w:ascii="Times New Roman" w:cs="Times New Roman"/>
                <w:kern w:val="2"/>
                <w:sz w:val="21"/>
                <w:szCs w:val="21"/>
              </w:rPr>
              <w:t>废</w:t>
            </w:r>
            <w:r w:rsidR="00FD5966">
              <w:rPr>
                <w:rFonts w:ascii="Times New Roman" w:cs="Times New Roman" w:hint="eastAsia"/>
                <w:kern w:val="2"/>
                <w:sz w:val="21"/>
                <w:szCs w:val="21"/>
              </w:rPr>
              <w:t>水基</w:t>
            </w:r>
            <w:r w:rsidRPr="00D630D1">
              <w:rPr>
                <w:rFonts w:ascii="Times New Roman" w:cs="Times New Roman"/>
                <w:kern w:val="2"/>
                <w:sz w:val="21"/>
                <w:szCs w:val="21"/>
              </w:rPr>
              <w:t>泥浆和</w:t>
            </w:r>
            <w:r w:rsidR="00FD5966">
              <w:rPr>
                <w:rFonts w:ascii="Times New Roman" w:cs="Times New Roman" w:hint="eastAsia"/>
                <w:kern w:val="2"/>
                <w:sz w:val="21"/>
                <w:szCs w:val="21"/>
              </w:rPr>
              <w:t>水基</w:t>
            </w:r>
            <w:r w:rsidRPr="00D630D1">
              <w:rPr>
                <w:rFonts w:ascii="Times New Roman" w:cs="Times New Roman"/>
                <w:kern w:val="2"/>
                <w:sz w:val="21"/>
                <w:szCs w:val="21"/>
              </w:rPr>
              <w:t>岩屑按照《达州市生态环境局办公室关于</w:t>
            </w:r>
            <w:r w:rsidRPr="00D630D1">
              <w:rPr>
                <w:rFonts w:ascii="Times New Roman" w:cs="Times New Roman" w:hint="eastAsia"/>
                <w:kern w:val="2"/>
                <w:sz w:val="21"/>
                <w:szCs w:val="21"/>
              </w:rPr>
              <w:t>进一步</w:t>
            </w:r>
            <w:r w:rsidRPr="00D630D1">
              <w:rPr>
                <w:rFonts w:ascii="Times New Roman" w:cs="Times New Roman"/>
                <w:kern w:val="2"/>
                <w:sz w:val="21"/>
                <w:szCs w:val="21"/>
              </w:rPr>
              <w:t>加强固体废物污染防治工作的通知》（达市环办发〔</w:t>
            </w:r>
            <w:r w:rsidRPr="00D630D1">
              <w:rPr>
                <w:rFonts w:ascii="Times New Roman" w:cs="Times New Roman"/>
                <w:kern w:val="2"/>
                <w:sz w:val="21"/>
                <w:szCs w:val="21"/>
              </w:rPr>
              <w:t>20</w:t>
            </w:r>
            <w:r w:rsidRPr="00D630D1">
              <w:rPr>
                <w:rFonts w:ascii="Times New Roman" w:cs="Times New Roman" w:hint="eastAsia"/>
                <w:kern w:val="2"/>
                <w:sz w:val="21"/>
                <w:szCs w:val="21"/>
              </w:rPr>
              <w:t>21</w:t>
            </w:r>
            <w:r w:rsidRPr="00D630D1">
              <w:rPr>
                <w:rFonts w:ascii="Times New Roman" w:cs="Times New Roman"/>
                <w:kern w:val="2"/>
                <w:sz w:val="21"/>
                <w:szCs w:val="21"/>
              </w:rPr>
              <w:t>〕</w:t>
            </w:r>
            <w:r w:rsidRPr="00D630D1">
              <w:rPr>
                <w:rFonts w:ascii="Times New Roman" w:cs="Times New Roman" w:hint="eastAsia"/>
                <w:kern w:val="2"/>
                <w:sz w:val="21"/>
                <w:szCs w:val="21"/>
              </w:rPr>
              <w:t>24</w:t>
            </w:r>
            <w:r w:rsidRPr="00D630D1">
              <w:rPr>
                <w:rFonts w:ascii="Times New Roman" w:cs="Times New Roman"/>
                <w:kern w:val="2"/>
                <w:sz w:val="21"/>
                <w:szCs w:val="21"/>
              </w:rPr>
              <w:t>号）要求，就近交给依法取得生态环境部门关于利用和处置相关工业固体废物项目环评批复、具有处理处置相应固体废物能力并配套建设有废气、废水、固废等污染物治理设施的单位</w:t>
            </w:r>
            <w:r w:rsidRPr="00D630D1">
              <w:rPr>
                <w:rFonts w:ascii="Times New Roman" w:cs="Times New Roman" w:hint="eastAsia"/>
                <w:kern w:val="2"/>
                <w:sz w:val="21"/>
                <w:szCs w:val="21"/>
              </w:rPr>
              <w:t>进行资源化利用</w:t>
            </w:r>
            <w:r w:rsidR="00FD5966">
              <w:rPr>
                <w:rFonts w:ascii="Times New Roman" w:cs="Times New Roman" w:hint="eastAsia"/>
                <w:kern w:val="2"/>
                <w:sz w:val="21"/>
                <w:szCs w:val="21"/>
              </w:rPr>
              <w:t>；</w:t>
            </w:r>
            <w:r w:rsidR="00FD5966" w:rsidRPr="00FD5966">
              <w:rPr>
                <w:rFonts w:ascii="Times New Roman" w:cs="Times New Roman" w:hint="eastAsia"/>
                <w:kern w:val="2"/>
                <w:sz w:val="21"/>
                <w:szCs w:val="21"/>
              </w:rPr>
              <w:t>废油基泥浆</w:t>
            </w:r>
            <w:r w:rsidR="00FD5966">
              <w:rPr>
                <w:rFonts w:ascii="Times New Roman" w:cs="Times New Roman" w:hint="eastAsia"/>
                <w:kern w:val="2"/>
                <w:sz w:val="21"/>
                <w:szCs w:val="21"/>
              </w:rPr>
              <w:t>、油基岩屑</w:t>
            </w:r>
            <w:r w:rsidR="00FD5966" w:rsidRPr="00FD5966">
              <w:rPr>
                <w:rFonts w:ascii="Times New Roman" w:cs="Times New Roman" w:hint="eastAsia"/>
                <w:kern w:val="2"/>
                <w:sz w:val="21"/>
                <w:szCs w:val="21"/>
              </w:rPr>
              <w:t>存于危废暂存间，定期交由资质单位处置</w:t>
            </w:r>
            <w:r w:rsidRPr="00D630D1">
              <w:rPr>
                <w:rFonts w:ascii="Times New Roman" w:cs="Times New Roman" w:hint="eastAsia"/>
                <w:kern w:val="2"/>
                <w:sz w:val="21"/>
                <w:szCs w:val="21"/>
              </w:rPr>
              <w:t>；</w:t>
            </w:r>
            <w:r w:rsidR="00C04B07">
              <w:rPr>
                <w:rFonts w:ascii="Times New Roman" w:cs="Times New Roman" w:hint="eastAsia"/>
                <w:kern w:val="2"/>
                <w:sz w:val="21"/>
                <w:szCs w:val="21"/>
              </w:rPr>
              <w:t>废油</w:t>
            </w:r>
            <w:r w:rsidRPr="00D630D1">
              <w:rPr>
                <w:rFonts w:ascii="Times New Roman" w:cs="Times New Roman" w:hint="eastAsia"/>
                <w:kern w:val="2"/>
                <w:sz w:val="21"/>
                <w:szCs w:val="21"/>
              </w:rPr>
              <w:t>暂存于危废暂存间，面积约</w:t>
            </w:r>
            <w:r w:rsidR="00C04B07">
              <w:rPr>
                <w:rFonts w:ascii="Times New Roman" w:cs="Times New Roman" w:hint="eastAsia"/>
                <w:kern w:val="2"/>
                <w:sz w:val="21"/>
                <w:szCs w:val="21"/>
              </w:rPr>
              <w:t>10</w:t>
            </w:r>
            <w:r w:rsidRPr="00D630D1">
              <w:rPr>
                <w:rFonts w:ascii="Times New Roman" w:cs="Times New Roman" w:hint="eastAsia"/>
                <w:kern w:val="2"/>
                <w:sz w:val="21"/>
                <w:szCs w:val="21"/>
              </w:rPr>
              <w:t>m</w:t>
            </w:r>
            <w:r w:rsidRPr="00D630D1">
              <w:rPr>
                <w:rFonts w:ascii="Times New Roman" w:cs="Times New Roman" w:hint="eastAsia"/>
                <w:kern w:val="2"/>
                <w:sz w:val="21"/>
                <w:szCs w:val="21"/>
                <w:vertAlign w:val="superscript"/>
              </w:rPr>
              <w:t>2</w:t>
            </w:r>
            <w:r w:rsidRPr="00D630D1">
              <w:rPr>
                <w:rFonts w:ascii="Times New Roman" w:cs="Times New Roman" w:hint="eastAsia"/>
                <w:kern w:val="2"/>
                <w:sz w:val="21"/>
                <w:szCs w:val="21"/>
              </w:rPr>
              <w:t>，暂存间地面采取四防措施（防风、防雨、防晒、防渗漏），并</w:t>
            </w:r>
            <w:r w:rsidRPr="00D630D1">
              <w:rPr>
                <w:rFonts w:ascii="Times New Roman" w:cs="Times New Roman"/>
                <w:kern w:val="2"/>
                <w:sz w:val="21"/>
                <w:szCs w:val="21"/>
              </w:rPr>
              <w:t>及时清运至企业</w:t>
            </w:r>
            <w:r w:rsidRPr="00D630D1">
              <w:rPr>
                <w:rFonts w:ascii="Times New Roman" w:cs="Times New Roman" w:hint="eastAsia"/>
                <w:kern w:val="2"/>
                <w:sz w:val="21"/>
                <w:szCs w:val="21"/>
              </w:rPr>
              <w:t>净化厂</w:t>
            </w:r>
            <w:r w:rsidRPr="00D630D1">
              <w:rPr>
                <w:rFonts w:ascii="Times New Roman" w:cs="Times New Roman"/>
                <w:kern w:val="2"/>
                <w:sz w:val="21"/>
                <w:szCs w:val="21"/>
              </w:rPr>
              <w:t>危险废物贮存仓库（运距约</w:t>
            </w:r>
            <w:r w:rsidRPr="00D630D1">
              <w:rPr>
                <w:rFonts w:ascii="Times New Roman" w:cs="Times New Roman" w:hint="eastAsia"/>
                <w:kern w:val="2"/>
                <w:sz w:val="21"/>
                <w:szCs w:val="21"/>
              </w:rPr>
              <w:t>2</w:t>
            </w:r>
            <w:r w:rsidR="00E21449">
              <w:rPr>
                <w:rFonts w:ascii="Times New Roman" w:cs="Times New Roman" w:hint="eastAsia"/>
                <w:kern w:val="2"/>
                <w:sz w:val="21"/>
                <w:szCs w:val="21"/>
              </w:rPr>
              <w:t>2</w:t>
            </w:r>
            <w:r w:rsidRPr="00D630D1">
              <w:rPr>
                <w:rFonts w:ascii="Times New Roman" w:cs="Times New Roman"/>
                <w:kern w:val="2"/>
                <w:sz w:val="21"/>
                <w:szCs w:val="21"/>
              </w:rPr>
              <w:t>km</w:t>
            </w:r>
            <w:r w:rsidRPr="00D630D1">
              <w:rPr>
                <w:rFonts w:ascii="Times New Roman" w:cs="Times New Roman"/>
                <w:kern w:val="2"/>
                <w:sz w:val="21"/>
                <w:szCs w:val="21"/>
              </w:rPr>
              <w:t>），定期委托有资质单位进行处理</w:t>
            </w:r>
            <w:r w:rsidR="004623FB" w:rsidRPr="00D630D1">
              <w:rPr>
                <w:rFonts w:ascii="Times New Roman" w:cs="Times New Roman"/>
                <w:kern w:val="2"/>
                <w:sz w:val="21"/>
                <w:szCs w:val="21"/>
              </w:rPr>
              <w:t>。</w:t>
            </w:r>
          </w:p>
        </w:tc>
        <w:tc>
          <w:tcPr>
            <w:tcW w:w="1497" w:type="pc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施工现场无遗留固废，处理率</w:t>
            </w:r>
            <w:r w:rsidRPr="00D630D1">
              <w:rPr>
                <w:rFonts w:ascii="Times New Roman" w:cs="Times New Roman"/>
                <w:kern w:val="2"/>
                <w:sz w:val="21"/>
                <w:szCs w:val="21"/>
              </w:rPr>
              <w:t>100%</w:t>
            </w:r>
            <w:r w:rsidRPr="00D630D1">
              <w:rPr>
                <w:rFonts w:ascii="Times New Roman" w:cs="Times New Roman"/>
                <w:kern w:val="2"/>
                <w:sz w:val="21"/>
                <w:szCs w:val="21"/>
              </w:rPr>
              <w:t>，无二次污染</w:t>
            </w:r>
          </w:p>
        </w:tc>
      </w:tr>
      <w:tr w:rsidR="004623FB" w:rsidRPr="00D630D1" w:rsidTr="009C7AD7">
        <w:trPr>
          <w:trHeight w:val="20"/>
          <w:jc w:val="center"/>
        </w:trPr>
        <w:tc>
          <w:tcPr>
            <w:tcW w:w="214" w:type="pct"/>
            <w:vMerge/>
            <w:vAlign w:val="center"/>
          </w:tcPr>
          <w:p w:rsidR="004623FB" w:rsidRPr="00D630D1" w:rsidRDefault="004623FB" w:rsidP="009C7AD7">
            <w:pPr>
              <w:widowControl/>
              <w:topLinePunct w:val="0"/>
              <w:adjustRightInd/>
              <w:spacing w:line="240" w:lineRule="auto"/>
              <w:ind w:firstLineChars="0" w:firstLine="0"/>
              <w:jc w:val="center"/>
              <w:rPr>
                <w:rFonts w:ascii="Times New Roman" w:cs="Times New Roman"/>
                <w:kern w:val="2"/>
                <w:sz w:val="21"/>
                <w:szCs w:val="21"/>
              </w:rPr>
            </w:pPr>
          </w:p>
        </w:tc>
        <w:tc>
          <w:tcPr>
            <w:tcW w:w="1087" w:type="pct"/>
            <w:gridSpan w:val="3"/>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生态</w:t>
            </w:r>
          </w:p>
        </w:tc>
        <w:tc>
          <w:tcPr>
            <w:tcW w:w="2202" w:type="pct"/>
            <w:vAlign w:val="center"/>
          </w:tcPr>
          <w:p w:rsidR="00911614" w:rsidRPr="00D630D1" w:rsidRDefault="00911614" w:rsidP="00911614">
            <w:pPr>
              <w:pStyle w:val="TableParagraph"/>
              <w:spacing w:line="240" w:lineRule="auto"/>
              <w:ind w:firstLine="420"/>
              <w:rPr>
                <w:rFonts w:ascii="Times New Roman" w:cs="Times New Roman"/>
                <w:kern w:val="2"/>
                <w:sz w:val="21"/>
                <w:szCs w:val="21"/>
              </w:rPr>
            </w:pPr>
            <w:r w:rsidRPr="00D630D1">
              <w:rPr>
                <w:rFonts w:ascii="Times New Roman" w:cs="Times New Roman" w:hint="eastAsia"/>
                <w:kern w:val="2"/>
                <w:sz w:val="21"/>
                <w:szCs w:val="21"/>
              </w:rPr>
              <w:t>站场施工：井场、进场道路及临时堆土区分区采取相应的</w:t>
            </w:r>
            <w:r w:rsidRPr="00D630D1">
              <w:rPr>
                <w:rFonts w:ascii="Times New Roman" w:cs="Times New Roman"/>
                <w:kern w:val="2"/>
                <w:sz w:val="21"/>
                <w:szCs w:val="21"/>
              </w:rPr>
              <w:t>表土剥离、截排水沟、排污沟、井场边沟、植草等措施，覆土、土地整治及临时措施。</w:t>
            </w:r>
          </w:p>
          <w:p w:rsidR="00911614" w:rsidRPr="00D630D1" w:rsidRDefault="00911614" w:rsidP="00911614">
            <w:pPr>
              <w:pStyle w:val="TableParagraph"/>
              <w:spacing w:line="240" w:lineRule="auto"/>
              <w:ind w:firstLine="420"/>
              <w:rPr>
                <w:rFonts w:ascii="Times New Roman" w:cs="Times New Roman"/>
                <w:kern w:val="2"/>
                <w:sz w:val="21"/>
                <w:szCs w:val="21"/>
              </w:rPr>
            </w:pPr>
            <w:r w:rsidRPr="00D630D1">
              <w:rPr>
                <w:rFonts w:ascii="Times New Roman" w:cs="Times New Roman"/>
                <w:kern w:val="2"/>
                <w:sz w:val="21"/>
                <w:szCs w:val="21"/>
              </w:rPr>
              <w:t>管线施工：（</w:t>
            </w:r>
            <w:r w:rsidRPr="00D630D1">
              <w:rPr>
                <w:rFonts w:ascii="Times New Roman" w:cs="Times New Roman"/>
                <w:kern w:val="2"/>
                <w:sz w:val="21"/>
                <w:szCs w:val="21"/>
              </w:rPr>
              <w:t>1</w:t>
            </w:r>
            <w:r w:rsidRPr="00D630D1">
              <w:rPr>
                <w:rFonts w:ascii="Times New Roman" w:cs="Times New Roman"/>
                <w:kern w:val="2"/>
                <w:sz w:val="21"/>
                <w:szCs w:val="21"/>
              </w:rPr>
              <w:t>）尽量避开雨季施工；分段施工，做到随挖、随运、</w:t>
            </w:r>
            <w:r w:rsidRPr="00D630D1">
              <w:rPr>
                <w:rFonts w:ascii="Times New Roman" w:cs="Times New Roman"/>
                <w:kern w:val="2"/>
                <w:sz w:val="21"/>
                <w:szCs w:val="21"/>
              </w:rPr>
              <w:lastRenderedPageBreak/>
              <w:t>随铺、随压，尽量不留疏松地面，减少风蚀导致的水土流失。</w:t>
            </w:r>
          </w:p>
          <w:p w:rsidR="00911614" w:rsidRPr="00D630D1" w:rsidRDefault="00911614" w:rsidP="00911614">
            <w:pPr>
              <w:pStyle w:val="TableParagraph"/>
              <w:spacing w:line="240" w:lineRule="auto"/>
              <w:ind w:firstLine="420"/>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）划定施工作业带范围和路线，不随意扩大。并严格控制机械和车辆的作业范围，尽可能减少对土壤和农作物的破坏以及由此引发的水土流失。</w:t>
            </w:r>
          </w:p>
          <w:p w:rsidR="00911614" w:rsidRPr="00D630D1" w:rsidRDefault="00911614" w:rsidP="00911614">
            <w:pPr>
              <w:pStyle w:val="TableParagraph"/>
              <w:spacing w:line="240" w:lineRule="auto"/>
              <w:ind w:firstLine="420"/>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3</w:t>
            </w:r>
            <w:r w:rsidRPr="00D630D1">
              <w:rPr>
                <w:rFonts w:ascii="Times New Roman" w:cs="Times New Roman"/>
                <w:kern w:val="2"/>
                <w:sz w:val="21"/>
                <w:szCs w:val="21"/>
              </w:rPr>
              <w:t>）提高工程施工效率，缩短施工工期。</w:t>
            </w:r>
          </w:p>
          <w:p w:rsidR="00911614" w:rsidRPr="00D630D1" w:rsidRDefault="00911614" w:rsidP="00911614">
            <w:pPr>
              <w:pStyle w:val="TableParagraph"/>
              <w:spacing w:line="240" w:lineRule="auto"/>
              <w:ind w:firstLine="420"/>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kern w:val="2"/>
                <w:sz w:val="21"/>
                <w:szCs w:val="21"/>
              </w:rPr>
              <w:t>4</w:t>
            </w:r>
            <w:r w:rsidRPr="00D630D1">
              <w:rPr>
                <w:rFonts w:ascii="Times New Roman" w:cs="Times New Roman"/>
                <w:kern w:val="2"/>
                <w:sz w:val="21"/>
                <w:szCs w:val="21"/>
              </w:rPr>
              <w:t>）施工时将禁止材料的随意堆放，划定统一的堆料场，防止对植物破坏范围扩大。</w:t>
            </w:r>
          </w:p>
          <w:p w:rsidR="00911614" w:rsidRPr="00D630D1" w:rsidRDefault="00911614" w:rsidP="00911614">
            <w:pPr>
              <w:pStyle w:val="TableParagraph"/>
              <w:spacing w:line="240" w:lineRule="auto"/>
              <w:ind w:firstLine="420"/>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hint="eastAsia"/>
                <w:kern w:val="2"/>
                <w:sz w:val="21"/>
                <w:szCs w:val="21"/>
              </w:rPr>
              <w:t>5</w:t>
            </w:r>
            <w:r w:rsidRPr="00D630D1">
              <w:rPr>
                <w:rFonts w:ascii="Times New Roman" w:cs="Times New Roman"/>
                <w:kern w:val="2"/>
                <w:sz w:val="21"/>
                <w:szCs w:val="21"/>
              </w:rPr>
              <w:t>）施工破坏的植被地带，施工结束后，及时恢复植被，减少水土流失。对于穿越的林地，管线敷设后，土方回填不仅遵循设计规范要求，还将遵循下石上土、下粗上细、肥沃的在上贫瘠的在下的原则。回填后管线两侧</w:t>
            </w:r>
            <w:r w:rsidRPr="00D630D1">
              <w:rPr>
                <w:rFonts w:ascii="Times New Roman" w:cs="Times New Roman"/>
                <w:kern w:val="2"/>
                <w:sz w:val="21"/>
                <w:szCs w:val="21"/>
              </w:rPr>
              <w:t>5m</w:t>
            </w:r>
            <w:r w:rsidRPr="00D630D1">
              <w:rPr>
                <w:rFonts w:ascii="Times New Roman" w:cs="Times New Roman"/>
                <w:kern w:val="2"/>
                <w:sz w:val="21"/>
                <w:szCs w:val="21"/>
              </w:rPr>
              <w:t>范围内栽种根系不发达、生长性强的植被。对于耕地，施工结束后，遵循上述相同的原则，进行复耕。</w:t>
            </w:r>
          </w:p>
          <w:p w:rsidR="004623FB" w:rsidRPr="00D630D1" w:rsidRDefault="00911614" w:rsidP="00911614">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r w:rsidRPr="00D630D1">
              <w:rPr>
                <w:rFonts w:ascii="Times New Roman" w:cs="Times New Roman" w:hint="eastAsia"/>
                <w:kern w:val="2"/>
                <w:sz w:val="21"/>
                <w:szCs w:val="21"/>
              </w:rPr>
              <w:t>6</w:t>
            </w:r>
            <w:r w:rsidRPr="00D630D1">
              <w:rPr>
                <w:rFonts w:ascii="Times New Roman" w:cs="Times New Roman"/>
                <w:kern w:val="2"/>
                <w:sz w:val="21"/>
                <w:szCs w:val="21"/>
              </w:rPr>
              <w:t>）水土保持和水工保护措施相结合，工程措施和生物措施相互结合，分区进行布局。</w:t>
            </w:r>
          </w:p>
        </w:tc>
        <w:tc>
          <w:tcPr>
            <w:tcW w:w="1497" w:type="pc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lastRenderedPageBreak/>
              <w:t>满足环保要求</w:t>
            </w:r>
          </w:p>
        </w:tc>
      </w:tr>
      <w:tr w:rsidR="004623FB" w:rsidRPr="00D630D1" w:rsidTr="009C7AD7">
        <w:trPr>
          <w:trHeight w:val="20"/>
          <w:jc w:val="center"/>
        </w:trPr>
        <w:tc>
          <w:tcPr>
            <w:tcW w:w="214" w:type="pct"/>
            <w:vMerge/>
            <w:vAlign w:val="center"/>
          </w:tcPr>
          <w:p w:rsidR="004623FB" w:rsidRPr="00D630D1" w:rsidRDefault="004623FB" w:rsidP="009C7AD7">
            <w:pPr>
              <w:widowControl/>
              <w:topLinePunct w:val="0"/>
              <w:adjustRightInd/>
              <w:spacing w:line="240" w:lineRule="auto"/>
              <w:ind w:firstLineChars="0" w:firstLine="0"/>
              <w:jc w:val="center"/>
              <w:rPr>
                <w:rFonts w:ascii="Times New Roman" w:cs="Times New Roman"/>
                <w:kern w:val="2"/>
                <w:sz w:val="21"/>
                <w:szCs w:val="21"/>
              </w:rPr>
            </w:pPr>
          </w:p>
        </w:tc>
        <w:tc>
          <w:tcPr>
            <w:tcW w:w="1087" w:type="pct"/>
            <w:gridSpan w:val="3"/>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环保培训、规章建立及实施</w:t>
            </w:r>
          </w:p>
        </w:tc>
        <w:tc>
          <w:tcPr>
            <w:tcW w:w="2202" w:type="pc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环境敏感区、村庄施工段设置环保警示牌，对施工队伍普及环保知识。</w:t>
            </w:r>
          </w:p>
        </w:tc>
        <w:tc>
          <w:tcPr>
            <w:tcW w:w="1497" w:type="pc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环保培训、规章建立及实施</w:t>
            </w:r>
          </w:p>
        </w:tc>
      </w:tr>
      <w:tr w:rsidR="004623FB" w:rsidRPr="00D630D1" w:rsidTr="009C7AD7">
        <w:trPr>
          <w:trHeight w:val="265"/>
          <w:jc w:val="center"/>
        </w:trPr>
        <w:tc>
          <w:tcPr>
            <w:tcW w:w="214" w:type="pct"/>
            <w:vMerge w:val="restar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运行期</w:t>
            </w:r>
          </w:p>
        </w:tc>
        <w:tc>
          <w:tcPr>
            <w:tcW w:w="363" w:type="pct"/>
            <w:vMerge w:val="restart"/>
            <w:tcBorders>
              <w:right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废气治理</w:t>
            </w:r>
          </w:p>
        </w:tc>
        <w:tc>
          <w:tcPr>
            <w:tcW w:w="724" w:type="pct"/>
            <w:gridSpan w:val="2"/>
            <w:tcBorders>
              <w:left w:val="single" w:sz="4" w:space="0" w:color="auto"/>
              <w:bottom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水套炉燃烧废气</w:t>
            </w:r>
          </w:p>
        </w:tc>
        <w:tc>
          <w:tcPr>
            <w:tcW w:w="2202" w:type="pct"/>
            <w:tcBorders>
              <w:bottom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设备自带</w:t>
            </w:r>
            <w:r w:rsidRPr="00D630D1">
              <w:rPr>
                <w:rFonts w:ascii="Times New Roman" w:cs="Times New Roman" w:hint="eastAsia"/>
                <w:kern w:val="2"/>
                <w:sz w:val="21"/>
                <w:szCs w:val="21"/>
              </w:rPr>
              <w:t>的</w:t>
            </w:r>
            <w:r w:rsidRPr="00D630D1">
              <w:rPr>
                <w:rFonts w:ascii="Times New Roman" w:cs="Times New Roman" w:hint="eastAsia"/>
                <w:kern w:val="2"/>
                <w:sz w:val="21"/>
                <w:szCs w:val="21"/>
              </w:rPr>
              <w:t>8m</w:t>
            </w:r>
            <w:r w:rsidRPr="00D630D1">
              <w:rPr>
                <w:rFonts w:ascii="Times New Roman" w:cs="Times New Roman" w:hint="eastAsia"/>
                <w:kern w:val="2"/>
                <w:sz w:val="21"/>
                <w:szCs w:val="21"/>
              </w:rPr>
              <w:t>高</w:t>
            </w:r>
            <w:r w:rsidRPr="00D630D1">
              <w:rPr>
                <w:rFonts w:ascii="Times New Roman" w:cs="Times New Roman"/>
                <w:kern w:val="2"/>
                <w:sz w:val="21"/>
                <w:szCs w:val="21"/>
              </w:rPr>
              <w:t>排气筒排放</w:t>
            </w:r>
          </w:p>
        </w:tc>
        <w:tc>
          <w:tcPr>
            <w:tcW w:w="1497" w:type="pct"/>
            <w:tcBorders>
              <w:bottom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满足环保要求</w:t>
            </w:r>
          </w:p>
        </w:tc>
      </w:tr>
      <w:tr w:rsidR="004623FB" w:rsidRPr="00D630D1" w:rsidTr="00006097">
        <w:trPr>
          <w:trHeight w:val="267"/>
          <w:jc w:val="center"/>
        </w:trPr>
        <w:tc>
          <w:tcPr>
            <w:tcW w:w="214" w:type="pct"/>
            <w:vMerge/>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p>
        </w:tc>
        <w:tc>
          <w:tcPr>
            <w:tcW w:w="363" w:type="pct"/>
            <w:vMerge/>
            <w:tcBorders>
              <w:bottom w:val="single" w:sz="4" w:space="0" w:color="auto"/>
              <w:right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p>
        </w:tc>
        <w:tc>
          <w:tcPr>
            <w:tcW w:w="724" w:type="pct"/>
            <w:gridSpan w:val="2"/>
            <w:tcBorders>
              <w:top w:val="single" w:sz="4" w:space="0" w:color="auto"/>
              <w:left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非正常工况放空废气</w:t>
            </w:r>
          </w:p>
        </w:tc>
        <w:tc>
          <w:tcPr>
            <w:tcW w:w="2202" w:type="pct"/>
            <w:tcBorders>
              <w:top w:val="single" w:sz="4" w:space="0" w:color="auto"/>
            </w:tcBorders>
            <w:vAlign w:val="center"/>
          </w:tcPr>
          <w:p w:rsidR="004623FB" w:rsidRPr="00D630D1" w:rsidRDefault="004623FB" w:rsidP="00C04B07">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事故或检修放空</w:t>
            </w:r>
            <w:r w:rsidRPr="00D630D1">
              <w:rPr>
                <w:rFonts w:ascii="Times New Roman" w:cs="Times New Roman"/>
                <w:kern w:val="2"/>
                <w:sz w:val="21"/>
                <w:szCs w:val="21"/>
              </w:rPr>
              <w:t>排放的天然气经新建放空火炬</w:t>
            </w:r>
            <w:r w:rsidRPr="00D630D1">
              <w:rPr>
                <w:rFonts w:ascii="Times New Roman" w:cs="Times New Roman" w:hint="eastAsia"/>
                <w:kern w:val="2"/>
                <w:sz w:val="21"/>
                <w:szCs w:val="21"/>
              </w:rPr>
              <w:t>（</w:t>
            </w:r>
            <w:r w:rsidR="00C04B07">
              <w:rPr>
                <w:rFonts w:ascii="Times New Roman" w:cs="Times New Roman" w:hint="eastAsia"/>
                <w:kern w:val="2"/>
                <w:sz w:val="21"/>
                <w:szCs w:val="21"/>
              </w:rPr>
              <w:t>3</w:t>
            </w:r>
            <w:r w:rsidR="009D52F7" w:rsidRPr="00D630D1">
              <w:rPr>
                <w:rFonts w:ascii="Times New Roman" w:cs="Times New Roman" w:hint="eastAsia"/>
                <w:kern w:val="2"/>
                <w:sz w:val="21"/>
                <w:szCs w:val="21"/>
              </w:rPr>
              <w:t>5</w:t>
            </w:r>
            <w:r w:rsidRPr="00D630D1">
              <w:rPr>
                <w:rFonts w:ascii="Times New Roman" w:cs="Times New Roman" w:hint="eastAsia"/>
                <w:kern w:val="2"/>
                <w:sz w:val="21"/>
                <w:szCs w:val="21"/>
              </w:rPr>
              <w:t>m</w:t>
            </w:r>
            <w:r w:rsidRPr="00D630D1">
              <w:rPr>
                <w:rFonts w:ascii="Times New Roman" w:cs="Times New Roman" w:hint="eastAsia"/>
                <w:kern w:val="2"/>
                <w:sz w:val="21"/>
                <w:szCs w:val="21"/>
              </w:rPr>
              <w:t>高）</w:t>
            </w:r>
            <w:r w:rsidRPr="00D630D1">
              <w:rPr>
                <w:rFonts w:ascii="Times New Roman" w:cs="Times New Roman"/>
                <w:kern w:val="2"/>
                <w:sz w:val="21"/>
                <w:szCs w:val="21"/>
              </w:rPr>
              <w:t>燃烧后排放。</w:t>
            </w:r>
          </w:p>
        </w:tc>
        <w:tc>
          <w:tcPr>
            <w:tcW w:w="1497" w:type="pct"/>
            <w:tcBorders>
              <w:top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满足环保要求</w:t>
            </w:r>
          </w:p>
        </w:tc>
      </w:tr>
      <w:tr w:rsidR="007200A5" w:rsidRPr="00D630D1" w:rsidTr="00006097">
        <w:trPr>
          <w:trHeight w:val="267"/>
          <w:jc w:val="center"/>
        </w:trPr>
        <w:tc>
          <w:tcPr>
            <w:tcW w:w="214" w:type="pct"/>
            <w:vMerge/>
            <w:vAlign w:val="center"/>
          </w:tcPr>
          <w:p w:rsidR="007200A5" w:rsidRPr="00D630D1" w:rsidRDefault="007200A5" w:rsidP="009C7AD7">
            <w:pPr>
              <w:widowControl/>
              <w:topLinePunct w:val="0"/>
              <w:adjustRightInd/>
              <w:spacing w:line="240" w:lineRule="auto"/>
              <w:ind w:firstLineChars="0" w:firstLine="0"/>
              <w:jc w:val="center"/>
              <w:rPr>
                <w:rFonts w:ascii="Times New Roman" w:cs="Times New Roman"/>
                <w:kern w:val="2"/>
                <w:sz w:val="21"/>
                <w:szCs w:val="21"/>
              </w:rPr>
            </w:pPr>
          </w:p>
        </w:tc>
        <w:tc>
          <w:tcPr>
            <w:tcW w:w="363" w:type="pct"/>
            <w:vMerge w:val="restart"/>
            <w:tcBorders>
              <w:top w:val="single" w:sz="4" w:space="0" w:color="auto"/>
              <w:right w:val="single" w:sz="4" w:space="0" w:color="auto"/>
            </w:tcBorders>
            <w:vAlign w:val="center"/>
          </w:tcPr>
          <w:p w:rsidR="007200A5" w:rsidRPr="00D630D1" w:rsidRDefault="007200A5" w:rsidP="00006097">
            <w:pPr>
              <w:pStyle w:val="TableParagraph"/>
              <w:ind w:firstLineChars="0" w:firstLine="0"/>
              <w:rPr>
                <w:rFonts w:ascii="Times New Roman" w:cs="Times New Roman"/>
                <w:kern w:val="2"/>
                <w:sz w:val="21"/>
                <w:szCs w:val="21"/>
              </w:rPr>
            </w:pPr>
            <w:r w:rsidRPr="00D630D1">
              <w:rPr>
                <w:rFonts w:ascii="Times New Roman" w:cs="Times New Roman" w:hint="eastAsia"/>
                <w:kern w:val="2"/>
                <w:sz w:val="21"/>
                <w:szCs w:val="21"/>
              </w:rPr>
              <w:t>废水治理</w:t>
            </w:r>
          </w:p>
        </w:tc>
        <w:tc>
          <w:tcPr>
            <w:tcW w:w="724" w:type="pct"/>
            <w:gridSpan w:val="2"/>
            <w:tcBorders>
              <w:top w:val="single" w:sz="4" w:space="0" w:color="auto"/>
              <w:left w:val="single" w:sz="4" w:space="0" w:color="auto"/>
            </w:tcBorders>
            <w:vAlign w:val="center"/>
          </w:tcPr>
          <w:p w:rsidR="007200A5" w:rsidRPr="00D630D1" w:rsidRDefault="007200A5"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气田水</w:t>
            </w:r>
          </w:p>
        </w:tc>
        <w:tc>
          <w:tcPr>
            <w:tcW w:w="2202" w:type="pct"/>
            <w:tcBorders>
              <w:top w:val="single" w:sz="4" w:space="0" w:color="auto"/>
            </w:tcBorders>
            <w:vAlign w:val="center"/>
          </w:tcPr>
          <w:p w:rsidR="007200A5" w:rsidRPr="00D630D1" w:rsidRDefault="007200A5" w:rsidP="007200A5">
            <w:pPr>
              <w:pStyle w:val="TableParagraph"/>
              <w:spacing w:line="240" w:lineRule="auto"/>
              <w:ind w:firstLineChars="0" w:firstLine="0"/>
              <w:rPr>
                <w:rFonts w:ascii="Times New Roman" w:cs="Times New Roman"/>
                <w:kern w:val="2"/>
                <w:sz w:val="21"/>
                <w:szCs w:val="21"/>
              </w:rPr>
            </w:pPr>
            <w:r w:rsidRPr="007200A5">
              <w:rPr>
                <w:rFonts w:ascii="Times New Roman" w:cs="Times New Roman"/>
                <w:kern w:val="2"/>
                <w:sz w:val="21"/>
                <w:szCs w:val="21"/>
              </w:rPr>
              <w:t>本项目运营期产生的气田水</w:t>
            </w:r>
            <w:r w:rsidRPr="007200A5">
              <w:rPr>
                <w:rFonts w:ascii="Times New Roman" w:cs="Times New Roman" w:hint="eastAsia"/>
                <w:kern w:val="2"/>
                <w:sz w:val="21"/>
                <w:szCs w:val="21"/>
              </w:rPr>
              <w:t>暂存于污水缓冲罐</w:t>
            </w:r>
            <w:r w:rsidRPr="007200A5">
              <w:rPr>
                <w:rFonts w:ascii="Times New Roman" w:cs="Times New Roman"/>
                <w:kern w:val="2"/>
                <w:sz w:val="21"/>
                <w:szCs w:val="21"/>
              </w:rPr>
              <w:t>，然后通过密闭罐车拉运至大湾</w:t>
            </w:r>
            <w:r w:rsidRPr="007200A5">
              <w:rPr>
                <w:rFonts w:ascii="Times New Roman" w:cs="Times New Roman"/>
                <w:kern w:val="2"/>
                <w:sz w:val="21"/>
                <w:szCs w:val="21"/>
              </w:rPr>
              <w:t>403</w:t>
            </w:r>
            <w:r w:rsidRPr="007200A5">
              <w:rPr>
                <w:rFonts w:ascii="Times New Roman" w:cs="Times New Roman"/>
                <w:kern w:val="2"/>
                <w:sz w:val="21"/>
                <w:szCs w:val="21"/>
              </w:rPr>
              <w:t>污水站处理达到《气田水回注方法》（</w:t>
            </w:r>
            <w:r w:rsidRPr="007200A5">
              <w:rPr>
                <w:rFonts w:ascii="Times New Roman" w:cs="Times New Roman"/>
                <w:kern w:val="2"/>
                <w:sz w:val="21"/>
                <w:szCs w:val="21"/>
              </w:rPr>
              <w:t>SY/T 6596</w:t>
            </w:r>
            <w:r w:rsidRPr="007200A5">
              <w:rPr>
                <w:rFonts w:ascii="Times New Roman" w:cs="Times New Roman" w:hint="eastAsia"/>
                <w:kern w:val="2"/>
                <w:sz w:val="21"/>
                <w:szCs w:val="21"/>
              </w:rPr>
              <w:t>-</w:t>
            </w:r>
            <w:r w:rsidRPr="007200A5">
              <w:rPr>
                <w:rFonts w:ascii="Times New Roman" w:cs="Times New Roman"/>
                <w:kern w:val="2"/>
                <w:sz w:val="21"/>
                <w:szCs w:val="21"/>
              </w:rPr>
              <w:t>2016</w:t>
            </w:r>
            <w:r w:rsidRPr="007200A5">
              <w:rPr>
                <w:rFonts w:ascii="Times New Roman" w:cs="Times New Roman"/>
                <w:kern w:val="2"/>
                <w:sz w:val="21"/>
                <w:szCs w:val="21"/>
              </w:rPr>
              <w:t>）中注入水基本要求后管输至毛开</w:t>
            </w:r>
            <w:r w:rsidRPr="007200A5">
              <w:rPr>
                <w:rFonts w:ascii="Times New Roman" w:cs="Times New Roman"/>
                <w:kern w:val="2"/>
                <w:sz w:val="21"/>
                <w:szCs w:val="21"/>
              </w:rPr>
              <w:t>1</w:t>
            </w:r>
            <w:r w:rsidRPr="007200A5">
              <w:rPr>
                <w:rFonts w:ascii="Times New Roman" w:cs="Times New Roman"/>
                <w:kern w:val="2"/>
                <w:sz w:val="21"/>
                <w:szCs w:val="21"/>
              </w:rPr>
              <w:t>井回注站回注处理，不外排</w:t>
            </w:r>
            <w:r>
              <w:rPr>
                <w:rFonts w:ascii="Times New Roman" w:cs="Times New Roman" w:hint="eastAsia"/>
                <w:kern w:val="2"/>
                <w:sz w:val="21"/>
                <w:szCs w:val="21"/>
              </w:rPr>
              <w:t>。</w:t>
            </w:r>
          </w:p>
        </w:tc>
        <w:tc>
          <w:tcPr>
            <w:tcW w:w="1497" w:type="pct"/>
            <w:tcBorders>
              <w:top w:val="single" w:sz="4" w:space="0" w:color="auto"/>
            </w:tcBorders>
            <w:vAlign w:val="center"/>
          </w:tcPr>
          <w:p w:rsidR="007200A5" w:rsidRPr="00D630D1" w:rsidRDefault="007200A5"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满足环保要求</w:t>
            </w:r>
          </w:p>
        </w:tc>
      </w:tr>
      <w:tr w:rsidR="007200A5" w:rsidRPr="00D630D1" w:rsidTr="007200A5">
        <w:trPr>
          <w:trHeight w:val="267"/>
          <w:jc w:val="center"/>
        </w:trPr>
        <w:tc>
          <w:tcPr>
            <w:tcW w:w="214" w:type="pct"/>
            <w:vMerge/>
            <w:vAlign w:val="center"/>
          </w:tcPr>
          <w:p w:rsidR="007200A5" w:rsidRPr="00D630D1" w:rsidRDefault="007200A5" w:rsidP="009C7AD7">
            <w:pPr>
              <w:widowControl/>
              <w:topLinePunct w:val="0"/>
              <w:adjustRightInd/>
              <w:spacing w:line="240" w:lineRule="auto"/>
              <w:ind w:firstLineChars="0" w:firstLine="0"/>
              <w:jc w:val="center"/>
              <w:rPr>
                <w:rFonts w:ascii="Times New Roman" w:cs="Times New Roman"/>
                <w:kern w:val="2"/>
                <w:sz w:val="21"/>
                <w:szCs w:val="21"/>
              </w:rPr>
            </w:pPr>
          </w:p>
        </w:tc>
        <w:tc>
          <w:tcPr>
            <w:tcW w:w="363" w:type="pct"/>
            <w:vMerge/>
            <w:tcBorders>
              <w:right w:val="single" w:sz="4" w:space="0" w:color="auto"/>
            </w:tcBorders>
            <w:vAlign w:val="center"/>
          </w:tcPr>
          <w:p w:rsidR="007200A5" w:rsidRPr="00D630D1" w:rsidRDefault="007200A5" w:rsidP="00006097">
            <w:pPr>
              <w:pStyle w:val="TableParagraph"/>
              <w:ind w:firstLineChars="0" w:firstLine="0"/>
              <w:rPr>
                <w:rFonts w:ascii="Times New Roman" w:cs="Times New Roman"/>
                <w:kern w:val="2"/>
                <w:sz w:val="21"/>
                <w:szCs w:val="21"/>
              </w:rPr>
            </w:pPr>
          </w:p>
        </w:tc>
        <w:tc>
          <w:tcPr>
            <w:tcW w:w="724" w:type="pct"/>
            <w:gridSpan w:val="2"/>
            <w:tcBorders>
              <w:top w:val="single" w:sz="4" w:space="0" w:color="auto"/>
              <w:left w:val="single" w:sz="4" w:space="0" w:color="auto"/>
            </w:tcBorders>
            <w:vAlign w:val="center"/>
          </w:tcPr>
          <w:p w:rsidR="007200A5" w:rsidRPr="00D630D1" w:rsidRDefault="007200A5" w:rsidP="009C7AD7">
            <w:pPr>
              <w:pStyle w:val="TableParagraph"/>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生活污水</w:t>
            </w:r>
          </w:p>
        </w:tc>
        <w:tc>
          <w:tcPr>
            <w:tcW w:w="2202" w:type="pct"/>
            <w:tcBorders>
              <w:top w:val="single" w:sz="4" w:space="0" w:color="auto"/>
            </w:tcBorders>
            <w:vAlign w:val="center"/>
          </w:tcPr>
          <w:p w:rsidR="007200A5" w:rsidRPr="007200A5" w:rsidRDefault="007200A5" w:rsidP="00CF41B1">
            <w:pPr>
              <w:pStyle w:val="TableParagraph"/>
              <w:spacing w:line="240" w:lineRule="auto"/>
              <w:ind w:firstLineChars="0" w:firstLine="0"/>
              <w:rPr>
                <w:rFonts w:ascii="Times New Roman" w:cs="Times New Roman"/>
                <w:kern w:val="2"/>
                <w:sz w:val="21"/>
                <w:szCs w:val="21"/>
              </w:rPr>
            </w:pPr>
            <w:r w:rsidRPr="007200A5">
              <w:rPr>
                <w:rFonts w:ascii="Times New Roman" w:cs="Times New Roman" w:hint="eastAsia"/>
                <w:kern w:val="2"/>
                <w:sz w:val="21"/>
                <w:szCs w:val="21"/>
              </w:rPr>
              <w:t>值守</w:t>
            </w:r>
            <w:r w:rsidRPr="007200A5">
              <w:rPr>
                <w:rFonts w:ascii="Times New Roman" w:cs="Times New Roman"/>
                <w:kern w:val="2"/>
                <w:sz w:val="21"/>
                <w:szCs w:val="21"/>
              </w:rPr>
              <w:t>人员生活</w:t>
            </w:r>
            <w:r w:rsidRPr="007200A5">
              <w:rPr>
                <w:rFonts w:ascii="Times New Roman" w:cs="Times New Roman" w:hint="eastAsia"/>
                <w:kern w:val="2"/>
                <w:sz w:val="21"/>
                <w:szCs w:val="21"/>
              </w:rPr>
              <w:t>污水经</w:t>
            </w:r>
            <w:r w:rsidRPr="007200A5">
              <w:rPr>
                <w:rFonts w:ascii="Times New Roman" w:cs="Times New Roman"/>
                <w:kern w:val="2"/>
                <w:sz w:val="21"/>
                <w:szCs w:val="21"/>
              </w:rPr>
              <w:t>生态环保厕所收集后，用作周边农肥，不外排</w:t>
            </w:r>
            <w:r w:rsidRPr="00D630D1">
              <w:rPr>
                <w:rFonts w:ascii="Times New Roman" w:cs="Times New Roman"/>
                <w:kern w:val="2"/>
                <w:sz w:val="21"/>
                <w:szCs w:val="21"/>
              </w:rPr>
              <w:t>。</w:t>
            </w:r>
          </w:p>
        </w:tc>
        <w:tc>
          <w:tcPr>
            <w:tcW w:w="1497" w:type="pct"/>
            <w:tcBorders>
              <w:top w:val="single" w:sz="4" w:space="0" w:color="auto"/>
            </w:tcBorders>
            <w:vAlign w:val="center"/>
          </w:tcPr>
          <w:p w:rsidR="007200A5" w:rsidRPr="00D630D1" w:rsidRDefault="007200A5"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满足环保要求</w:t>
            </w:r>
          </w:p>
        </w:tc>
      </w:tr>
      <w:tr w:rsidR="004623FB" w:rsidRPr="00D630D1" w:rsidTr="00931050">
        <w:trPr>
          <w:trHeight w:val="267"/>
          <w:jc w:val="center"/>
        </w:trPr>
        <w:tc>
          <w:tcPr>
            <w:tcW w:w="214" w:type="pct"/>
            <w:vMerge/>
            <w:vAlign w:val="center"/>
          </w:tcPr>
          <w:p w:rsidR="004623FB" w:rsidRPr="00D630D1" w:rsidRDefault="004623FB" w:rsidP="009C7AD7">
            <w:pPr>
              <w:widowControl/>
              <w:topLinePunct w:val="0"/>
              <w:adjustRightInd/>
              <w:spacing w:line="240" w:lineRule="auto"/>
              <w:ind w:firstLineChars="0" w:firstLine="0"/>
              <w:jc w:val="center"/>
              <w:rPr>
                <w:rFonts w:ascii="Times New Roman" w:cs="Times New Roman"/>
                <w:kern w:val="2"/>
                <w:sz w:val="21"/>
                <w:szCs w:val="21"/>
              </w:rPr>
            </w:pPr>
          </w:p>
        </w:tc>
        <w:tc>
          <w:tcPr>
            <w:tcW w:w="1087" w:type="pct"/>
            <w:gridSpan w:val="3"/>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地下水</w:t>
            </w:r>
          </w:p>
        </w:tc>
        <w:tc>
          <w:tcPr>
            <w:tcW w:w="2202" w:type="pct"/>
            <w:tcBorders>
              <w:top w:val="single" w:sz="4" w:space="0" w:color="auto"/>
            </w:tcBorders>
            <w:vAlign w:val="center"/>
          </w:tcPr>
          <w:p w:rsidR="004623FB" w:rsidRPr="00D630D1" w:rsidRDefault="004623FB" w:rsidP="00CF41B1">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管道采用外防腐层和强制电流阴极保护联合方式；</w:t>
            </w:r>
            <w:r w:rsidR="00C04B07" w:rsidRPr="00C04B07">
              <w:rPr>
                <w:rFonts w:ascii="Times New Roman" w:cs="Times New Roman" w:hint="eastAsia"/>
                <w:kern w:val="2"/>
                <w:sz w:val="21"/>
                <w:szCs w:val="21"/>
              </w:rPr>
              <w:t>柴油储罐、凝析油储罐、</w:t>
            </w:r>
            <w:r w:rsidR="00C04B07" w:rsidRPr="00C04B07">
              <w:rPr>
                <w:rFonts w:ascii="Times New Roman" w:cs="Times New Roman"/>
                <w:kern w:val="2"/>
                <w:sz w:val="21"/>
                <w:szCs w:val="21"/>
              </w:rPr>
              <w:t>污水缓冲罐</w:t>
            </w:r>
            <w:r w:rsidR="00C04B07" w:rsidRPr="00D630D1">
              <w:rPr>
                <w:rFonts w:ascii="Times New Roman" w:cs="Times New Roman"/>
                <w:kern w:val="2"/>
                <w:sz w:val="21"/>
                <w:szCs w:val="21"/>
              </w:rPr>
              <w:t>：四周设置防渗围堰</w:t>
            </w:r>
            <w:r w:rsidRPr="00D630D1">
              <w:rPr>
                <w:rFonts w:ascii="Times New Roman" w:cs="Times New Roman"/>
                <w:kern w:val="2"/>
                <w:sz w:val="21"/>
                <w:szCs w:val="21"/>
              </w:rPr>
              <w:t>。</w:t>
            </w:r>
          </w:p>
        </w:tc>
        <w:tc>
          <w:tcPr>
            <w:tcW w:w="1497" w:type="pct"/>
            <w:tcBorders>
              <w:top w:val="single" w:sz="4" w:space="0" w:color="auto"/>
            </w:tcBorders>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满足环保要求</w:t>
            </w:r>
          </w:p>
        </w:tc>
      </w:tr>
      <w:tr w:rsidR="004623FB" w:rsidRPr="00D630D1" w:rsidTr="009C7AD7">
        <w:trPr>
          <w:trHeight w:val="20"/>
          <w:jc w:val="center"/>
        </w:trPr>
        <w:tc>
          <w:tcPr>
            <w:tcW w:w="214" w:type="pct"/>
            <w:vMerge/>
            <w:vAlign w:val="center"/>
          </w:tcPr>
          <w:p w:rsidR="004623FB" w:rsidRPr="00D630D1" w:rsidRDefault="004623FB" w:rsidP="009C7AD7">
            <w:pPr>
              <w:widowControl/>
              <w:topLinePunct w:val="0"/>
              <w:adjustRightInd/>
              <w:spacing w:line="240" w:lineRule="auto"/>
              <w:ind w:firstLineChars="0" w:firstLine="0"/>
              <w:jc w:val="center"/>
              <w:rPr>
                <w:rFonts w:ascii="Times New Roman" w:cs="Times New Roman"/>
                <w:kern w:val="2"/>
                <w:sz w:val="21"/>
                <w:szCs w:val="21"/>
              </w:rPr>
            </w:pPr>
          </w:p>
        </w:tc>
        <w:tc>
          <w:tcPr>
            <w:tcW w:w="1087" w:type="pct"/>
            <w:gridSpan w:val="3"/>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噪声治理</w:t>
            </w:r>
          </w:p>
        </w:tc>
        <w:tc>
          <w:tcPr>
            <w:tcW w:w="2202" w:type="pc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低噪声设备；管线地埋敷设。</w:t>
            </w:r>
          </w:p>
        </w:tc>
        <w:tc>
          <w:tcPr>
            <w:tcW w:w="1497" w:type="pct"/>
            <w:vAlign w:val="center"/>
          </w:tcPr>
          <w:p w:rsidR="004623FB" w:rsidRPr="00D630D1" w:rsidRDefault="004623FB"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满足区域《工业企业厂界噪声排放标准》（</w:t>
            </w:r>
            <w:r w:rsidRPr="00D630D1">
              <w:rPr>
                <w:rFonts w:ascii="Times New Roman" w:cs="Times New Roman"/>
                <w:kern w:val="2"/>
                <w:sz w:val="21"/>
                <w:szCs w:val="21"/>
              </w:rPr>
              <w:t>GB12348-2008</w:t>
            </w:r>
            <w:r w:rsidRPr="00D630D1">
              <w:rPr>
                <w:rFonts w:ascii="Times New Roman" w:cs="Times New Roman"/>
                <w:kern w:val="2"/>
                <w:sz w:val="21"/>
                <w:szCs w:val="21"/>
              </w:rPr>
              <w:t>）</w:t>
            </w:r>
            <w:r w:rsidRPr="00D630D1">
              <w:rPr>
                <w:rFonts w:ascii="Times New Roman" w:cs="Times New Roman"/>
                <w:kern w:val="2"/>
                <w:sz w:val="21"/>
                <w:szCs w:val="21"/>
              </w:rPr>
              <w:t>2</w:t>
            </w:r>
            <w:r w:rsidRPr="00D630D1">
              <w:rPr>
                <w:rFonts w:ascii="Times New Roman" w:cs="Times New Roman"/>
                <w:kern w:val="2"/>
                <w:sz w:val="21"/>
                <w:szCs w:val="21"/>
              </w:rPr>
              <w:t>类标准限值</w:t>
            </w:r>
          </w:p>
        </w:tc>
      </w:tr>
      <w:tr w:rsidR="00895B09" w:rsidRPr="00D630D1" w:rsidTr="00895B09">
        <w:trPr>
          <w:trHeight w:val="20"/>
          <w:jc w:val="center"/>
        </w:trPr>
        <w:tc>
          <w:tcPr>
            <w:tcW w:w="214" w:type="pct"/>
            <w:vMerge/>
            <w:vAlign w:val="center"/>
          </w:tcPr>
          <w:p w:rsidR="00895B09" w:rsidRPr="00D630D1" w:rsidRDefault="00895B09" w:rsidP="009C7AD7">
            <w:pPr>
              <w:widowControl/>
              <w:topLinePunct w:val="0"/>
              <w:adjustRightInd/>
              <w:spacing w:line="240" w:lineRule="auto"/>
              <w:ind w:firstLineChars="0" w:firstLine="0"/>
              <w:jc w:val="center"/>
              <w:rPr>
                <w:rFonts w:ascii="Times New Roman" w:cs="Times New Roman"/>
                <w:kern w:val="2"/>
                <w:sz w:val="21"/>
                <w:szCs w:val="21"/>
              </w:rPr>
            </w:pPr>
          </w:p>
        </w:tc>
        <w:tc>
          <w:tcPr>
            <w:tcW w:w="373" w:type="pct"/>
            <w:gridSpan w:val="2"/>
            <w:vMerge w:val="restart"/>
            <w:tcBorders>
              <w:right w:val="single" w:sz="4" w:space="0" w:color="auto"/>
            </w:tcBorders>
            <w:vAlign w:val="center"/>
          </w:tcPr>
          <w:p w:rsidR="00895B09" w:rsidRPr="00D630D1" w:rsidRDefault="00895B09" w:rsidP="009C7AD7">
            <w:pPr>
              <w:pStyle w:val="TableParagraph"/>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固体废物</w:t>
            </w:r>
          </w:p>
        </w:tc>
        <w:tc>
          <w:tcPr>
            <w:tcW w:w="714" w:type="pct"/>
            <w:tcBorders>
              <w:left w:val="single" w:sz="4" w:space="0" w:color="auto"/>
            </w:tcBorders>
            <w:vAlign w:val="center"/>
          </w:tcPr>
          <w:p w:rsidR="00895B09" w:rsidRPr="00895B09" w:rsidRDefault="00895B09" w:rsidP="00A62354">
            <w:pPr>
              <w:pStyle w:val="TableParagraph"/>
              <w:spacing w:line="240" w:lineRule="auto"/>
              <w:ind w:firstLineChars="0" w:firstLine="0"/>
              <w:rPr>
                <w:rFonts w:ascii="Times New Roman" w:cs="Times New Roman"/>
                <w:color w:val="000000" w:themeColor="text1"/>
                <w:kern w:val="2"/>
                <w:sz w:val="21"/>
                <w:szCs w:val="21"/>
              </w:rPr>
            </w:pPr>
            <w:r w:rsidRPr="00895B09">
              <w:rPr>
                <w:rFonts w:ascii="Times New Roman" w:cs="Times New Roman"/>
                <w:color w:val="000000" w:themeColor="text1"/>
                <w:kern w:val="2"/>
                <w:sz w:val="21"/>
                <w:szCs w:val="21"/>
              </w:rPr>
              <w:t>生活垃圾</w:t>
            </w:r>
          </w:p>
        </w:tc>
        <w:tc>
          <w:tcPr>
            <w:tcW w:w="2202" w:type="pct"/>
            <w:vAlign w:val="center"/>
          </w:tcPr>
          <w:p w:rsidR="00895B09" w:rsidRPr="00895B09" w:rsidRDefault="00895B09" w:rsidP="00A62354">
            <w:pPr>
              <w:pStyle w:val="TableParagraph"/>
              <w:spacing w:line="240" w:lineRule="auto"/>
              <w:ind w:firstLineChars="0" w:firstLine="0"/>
              <w:rPr>
                <w:rFonts w:ascii="Times New Roman" w:cs="Times New Roman"/>
                <w:color w:val="000000" w:themeColor="text1"/>
                <w:kern w:val="2"/>
                <w:sz w:val="21"/>
                <w:szCs w:val="21"/>
              </w:rPr>
            </w:pPr>
            <w:r w:rsidRPr="00895B09">
              <w:rPr>
                <w:rFonts w:ascii="Times New Roman" w:cs="Times New Roman"/>
                <w:color w:val="000000" w:themeColor="text1"/>
                <w:kern w:val="2"/>
                <w:sz w:val="21"/>
                <w:szCs w:val="21"/>
              </w:rPr>
              <w:t>工作人员生活垃圾用垃圾桶收集，委托当地环卫部门清运处置。</w:t>
            </w:r>
          </w:p>
        </w:tc>
        <w:tc>
          <w:tcPr>
            <w:tcW w:w="1497" w:type="pct"/>
            <w:vAlign w:val="center"/>
          </w:tcPr>
          <w:p w:rsidR="00895B09" w:rsidRPr="00895B09" w:rsidRDefault="00895B09" w:rsidP="00A62354">
            <w:pPr>
              <w:pStyle w:val="TableParagraph"/>
              <w:spacing w:line="240" w:lineRule="auto"/>
              <w:ind w:firstLineChars="0" w:firstLine="0"/>
              <w:rPr>
                <w:rFonts w:ascii="Times New Roman" w:cs="Times New Roman"/>
                <w:color w:val="000000" w:themeColor="text1"/>
                <w:kern w:val="2"/>
                <w:sz w:val="21"/>
                <w:szCs w:val="21"/>
              </w:rPr>
            </w:pPr>
            <w:r w:rsidRPr="00895B09">
              <w:rPr>
                <w:rFonts w:ascii="Times New Roman" w:cs="Times New Roman"/>
                <w:color w:val="000000" w:themeColor="text1"/>
                <w:kern w:val="2"/>
                <w:sz w:val="21"/>
                <w:szCs w:val="21"/>
              </w:rPr>
              <w:t>去向明确，不造成二次污染</w:t>
            </w:r>
          </w:p>
        </w:tc>
      </w:tr>
      <w:tr w:rsidR="00895B09" w:rsidRPr="00D630D1" w:rsidTr="00895B09">
        <w:trPr>
          <w:trHeight w:val="20"/>
          <w:jc w:val="center"/>
        </w:trPr>
        <w:tc>
          <w:tcPr>
            <w:tcW w:w="214" w:type="pct"/>
            <w:vMerge/>
            <w:vAlign w:val="center"/>
          </w:tcPr>
          <w:p w:rsidR="00895B09" w:rsidRPr="00D630D1" w:rsidRDefault="00895B09" w:rsidP="009C7AD7">
            <w:pPr>
              <w:widowControl/>
              <w:topLinePunct w:val="0"/>
              <w:adjustRightInd/>
              <w:spacing w:line="240" w:lineRule="auto"/>
              <w:ind w:firstLineChars="0" w:firstLine="0"/>
              <w:jc w:val="center"/>
              <w:rPr>
                <w:rFonts w:ascii="Times New Roman" w:cs="Times New Roman"/>
                <w:kern w:val="2"/>
                <w:sz w:val="21"/>
                <w:szCs w:val="21"/>
              </w:rPr>
            </w:pPr>
          </w:p>
        </w:tc>
        <w:tc>
          <w:tcPr>
            <w:tcW w:w="373" w:type="pct"/>
            <w:gridSpan w:val="2"/>
            <w:vMerge/>
            <w:tcBorders>
              <w:right w:val="single" w:sz="4" w:space="0" w:color="auto"/>
            </w:tcBorders>
            <w:vAlign w:val="center"/>
          </w:tcPr>
          <w:p w:rsidR="00895B09" w:rsidRPr="00D630D1" w:rsidRDefault="00895B09" w:rsidP="009C7AD7">
            <w:pPr>
              <w:pStyle w:val="TableParagraph"/>
              <w:spacing w:line="240" w:lineRule="auto"/>
              <w:ind w:firstLineChars="0" w:firstLine="0"/>
              <w:rPr>
                <w:rFonts w:ascii="Times New Roman" w:cs="Times New Roman"/>
                <w:kern w:val="2"/>
                <w:sz w:val="21"/>
                <w:szCs w:val="21"/>
              </w:rPr>
            </w:pPr>
          </w:p>
        </w:tc>
        <w:tc>
          <w:tcPr>
            <w:tcW w:w="714" w:type="pct"/>
            <w:tcBorders>
              <w:left w:val="single" w:sz="4" w:space="0" w:color="auto"/>
            </w:tcBorders>
            <w:vAlign w:val="center"/>
          </w:tcPr>
          <w:p w:rsidR="00895B09" w:rsidRPr="00895B09" w:rsidRDefault="00895B09" w:rsidP="00A62354">
            <w:pPr>
              <w:pStyle w:val="TableParagraph"/>
              <w:spacing w:line="240" w:lineRule="auto"/>
              <w:ind w:firstLineChars="0" w:firstLine="0"/>
              <w:rPr>
                <w:rFonts w:ascii="Times New Roman" w:cs="Times New Roman"/>
                <w:color w:val="000000" w:themeColor="text1"/>
                <w:kern w:val="2"/>
                <w:sz w:val="21"/>
                <w:szCs w:val="21"/>
              </w:rPr>
            </w:pPr>
            <w:r w:rsidRPr="00895B09">
              <w:rPr>
                <w:rFonts w:ascii="Times New Roman" w:cs="Times New Roman"/>
                <w:color w:val="000000" w:themeColor="text1"/>
                <w:kern w:val="2"/>
                <w:sz w:val="21"/>
                <w:szCs w:val="21"/>
              </w:rPr>
              <w:t>凝析油</w:t>
            </w:r>
          </w:p>
        </w:tc>
        <w:tc>
          <w:tcPr>
            <w:tcW w:w="2202" w:type="pct"/>
            <w:vAlign w:val="center"/>
          </w:tcPr>
          <w:p w:rsidR="00895B09" w:rsidRPr="00895B09" w:rsidRDefault="00895B09" w:rsidP="00A62354">
            <w:pPr>
              <w:pStyle w:val="TableParagraph"/>
              <w:spacing w:line="240" w:lineRule="auto"/>
              <w:ind w:firstLineChars="0" w:firstLine="0"/>
              <w:rPr>
                <w:rFonts w:ascii="Times New Roman" w:cs="Times New Roman"/>
                <w:color w:val="000000" w:themeColor="text1"/>
                <w:kern w:val="2"/>
                <w:sz w:val="21"/>
                <w:szCs w:val="21"/>
              </w:rPr>
            </w:pPr>
            <w:r>
              <w:rPr>
                <w:rFonts w:ascii="Times New Roman" w:cs="Times New Roman"/>
                <w:color w:val="000000" w:themeColor="text1"/>
                <w:kern w:val="2"/>
                <w:sz w:val="21"/>
                <w:szCs w:val="21"/>
              </w:rPr>
              <w:t>进入</w:t>
            </w:r>
            <w:r w:rsidRPr="00895B09">
              <w:rPr>
                <w:rFonts w:ascii="Times New Roman" w:cs="Times New Roman"/>
                <w:color w:val="000000" w:themeColor="text1"/>
                <w:kern w:val="2"/>
                <w:sz w:val="21"/>
                <w:szCs w:val="21"/>
              </w:rPr>
              <w:t>凝析油</w:t>
            </w:r>
            <w:r w:rsidRPr="00895B09">
              <w:rPr>
                <w:rFonts w:ascii="Times New Roman" w:cs="Times New Roman" w:hint="eastAsia"/>
                <w:color w:val="000000" w:themeColor="text1"/>
                <w:kern w:val="2"/>
                <w:sz w:val="21"/>
                <w:szCs w:val="21"/>
              </w:rPr>
              <w:t>储存罐，</w:t>
            </w:r>
            <w:r w:rsidRPr="00895B09">
              <w:rPr>
                <w:rFonts w:ascii="Times New Roman" w:cs="Times New Roman"/>
                <w:color w:val="000000" w:themeColor="text1"/>
                <w:kern w:val="2"/>
                <w:sz w:val="21"/>
                <w:szCs w:val="21"/>
              </w:rPr>
              <w:t>凝析油作为副产品外售</w:t>
            </w:r>
            <w:r w:rsidRPr="00895B09">
              <w:rPr>
                <w:rFonts w:ascii="Times New Roman" w:cs="Times New Roman" w:hint="eastAsia"/>
                <w:color w:val="000000" w:themeColor="text1"/>
                <w:kern w:val="2"/>
                <w:sz w:val="21"/>
                <w:szCs w:val="21"/>
              </w:rPr>
              <w:t>。</w:t>
            </w:r>
          </w:p>
        </w:tc>
        <w:tc>
          <w:tcPr>
            <w:tcW w:w="1497" w:type="pct"/>
            <w:vAlign w:val="center"/>
          </w:tcPr>
          <w:p w:rsidR="00895B09" w:rsidRPr="00895B09" w:rsidRDefault="00895B09" w:rsidP="00A62354">
            <w:pPr>
              <w:pStyle w:val="TableParagraph"/>
              <w:spacing w:line="240" w:lineRule="auto"/>
              <w:ind w:firstLineChars="0" w:firstLine="0"/>
              <w:rPr>
                <w:rFonts w:ascii="Times New Roman" w:cs="Times New Roman"/>
                <w:color w:val="000000" w:themeColor="text1"/>
                <w:kern w:val="2"/>
                <w:sz w:val="21"/>
                <w:szCs w:val="21"/>
              </w:rPr>
            </w:pPr>
            <w:r w:rsidRPr="00895B09">
              <w:rPr>
                <w:rFonts w:ascii="Times New Roman" w:cs="Times New Roman"/>
                <w:color w:val="000000" w:themeColor="text1"/>
                <w:kern w:val="2"/>
                <w:sz w:val="21"/>
                <w:szCs w:val="21"/>
              </w:rPr>
              <w:t>去向明确，不造成二次污染</w:t>
            </w:r>
          </w:p>
        </w:tc>
      </w:tr>
      <w:tr w:rsidR="00895B09" w:rsidRPr="00D630D1" w:rsidTr="00895B09">
        <w:trPr>
          <w:trHeight w:val="20"/>
          <w:jc w:val="center"/>
        </w:trPr>
        <w:tc>
          <w:tcPr>
            <w:tcW w:w="214" w:type="pct"/>
            <w:vMerge/>
            <w:vAlign w:val="center"/>
          </w:tcPr>
          <w:p w:rsidR="00895B09" w:rsidRPr="00D630D1" w:rsidRDefault="00895B09" w:rsidP="009C7AD7">
            <w:pPr>
              <w:widowControl/>
              <w:topLinePunct w:val="0"/>
              <w:adjustRightInd/>
              <w:spacing w:line="240" w:lineRule="auto"/>
              <w:ind w:firstLineChars="0" w:firstLine="0"/>
              <w:jc w:val="center"/>
              <w:rPr>
                <w:rFonts w:ascii="Times New Roman" w:cs="Times New Roman"/>
                <w:kern w:val="2"/>
                <w:sz w:val="21"/>
                <w:szCs w:val="21"/>
              </w:rPr>
            </w:pPr>
          </w:p>
        </w:tc>
        <w:tc>
          <w:tcPr>
            <w:tcW w:w="373" w:type="pct"/>
            <w:gridSpan w:val="2"/>
            <w:vMerge/>
            <w:tcBorders>
              <w:right w:val="single" w:sz="4" w:space="0" w:color="auto"/>
            </w:tcBorders>
            <w:vAlign w:val="center"/>
          </w:tcPr>
          <w:p w:rsidR="00895B09" w:rsidRPr="00D630D1" w:rsidRDefault="00895B09" w:rsidP="009C7AD7">
            <w:pPr>
              <w:pStyle w:val="TableParagraph"/>
              <w:spacing w:line="240" w:lineRule="auto"/>
              <w:ind w:firstLineChars="0" w:firstLine="0"/>
              <w:rPr>
                <w:rFonts w:ascii="Times New Roman" w:cs="Times New Roman"/>
                <w:kern w:val="2"/>
                <w:sz w:val="21"/>
                <w:szCs w:val="21"/>
              </w:rPr>
            </w:pPr>
          </w:p>
        </w:tc>
        <w:tc>
          <w:tcPr>
            <w:tcW w:w="714" w:type="pct"/>
            <w:tcBorders>
              <w:left w:val="single" w:sz="4" w:space="0" w:color="auto"/>
            </w:tcBorders>
            <w:vAlign w:val="center"/>
          </w:tcPr>
          <w:p w:rsidR="00895B09" w:rsidRPr="00733954" w:rsidRDefault="00895B09" w:rsidP="00A62354">
            <w:pPr>
              <w:pStyle w:val="TableParagraph"/>
              <w:spacing w:line="240" w:lineRule="auto"/>
              <w:ind w:firstLineChars="0" w:firstLine="0"/>
              <w:rPr>
                <w:rFonts w:ascii="Times New Roman" w:cs="Times New Roman"/>
                <w:kern w:val="2"/>
                <w:sz w:val="21"/>
                <w:szCs w:val="21"/>
              </w:rPr>
            </w:pPr>
            <w:r w:rsidRPr="00733954">
              <w:rPr>
                <w:rFonts w:ascii="Times New Roman" w:cs="Times New Roman"/>
                <w:kern w:val="2"/>
                <w:sz w:val="21"/>
                <w:szCs w:val="21"/>
              </w:rPr>
              <w:t>检修废渣、清管废渣</w:t>
            </w:r>
          </w:p>
        </w:tc>
        <w:tc>
          <w:tcPr>
            <w:tcW w:w="2202" w:type="pct"/>
            <w:vAlign w:val="center"/>
          </w:tcPr>
          <w:p w:rsidR="00895B09" w:rsidRPr="00733954" w:rsidRDefault="00895B09" w:rsidP="00A62354">
            <w:pPr>
              <w:pStyle w:val="TableParagraph"/>
              <w:spacing w:line="240" w:lineRule="auto"/>
              <w:ind w:firstLineChars="0" w:firstLine="0"/>
              <w:rPr>
                <w:rFonts w:ascii="Times New Roman" w:cs="Times New Roman"/>
                <w:kern w:val="2"/>
                <w:sz w:val="21"/>
                <w:szCs w:val="21"/>
              </w:rPr>
            </w:pPr>
            <w:r w:rsidRPr="00733954">
              <w:rPr>
                <w:rFonts w:ascii="Times New Roman" w:cs="Times New Roman"/>
                <w:kern w:val="2"/>
                <w:sz w:val="21"/>
                <w:szCs w:val="21"/>
              </w:rPr>
              <w:t>主要为机械杂质等，其主要成分为氧化铁粉末，属一般固体废物，集中收集后交由检修作业单位集中处置。</w:t>
            </w:r>
          </w:p>
        </w:tc>
        <w:tc>
          <w:tcPr>
            <w:tcW w:w="1497" w:type="pct"/>
            <w:vAlign w:val="center"/>
          </w:tcPr>
          <w:p w:rsidR="00895B09" w:rsidRPr="00733954" w:rsidRDefault="00895B09" w:rsidP="00A62354">
            <w:pPr>
              <w:pStyle w:val="TableParagraph"/>
              <w:spacing w:line="240" w:lineRule="auto"/>
              <w:ind w:firstLineChars="0" w:firstLine="0"/>
              <w:rPr>
                <w:rFonts w:ascii="Times New Roman" w:cs="Times New Roman"/>
                <w:kern w:val="2"/>
                <w:sz w:val="21"/>
                <w:szCs w:val="21"/>
              </w:rPr>
            </w:pPr>
            <w:r w:rsidRPr="00733954">
              <w:rPr>
                <w:rFonts w:ascii="Times New Roman" w:cs="Times New Roman"/>
                <w:kern w:val="2"/>
                <w:sz w:val="21"/>
                <w:szCs w:val="21"/>
              </w:rPr>
              <w:t>去向明确，不造成二次污染</w:t>
            </w:r>
          </w:p>
        </w:tc>
      </w:tr>
      <w:tr w:rsidR="00895B09" w:rsidRPr="00D630D1" w:rsidTr="00162134">
        <w:trPr>
          <w:trHeight w:val="914"/>
          <w:jc w:val="center"/>
        </w:trPr>
        <w:tc>
          <w:tcPr>
            <w:tcW w:w="214" w:type="pct"/>
            <w:vMerge/>
            <w:vAlign w:val="center"/>
          </w:tcPr>
          <w:p w:rsidR="00895B09" w:rsidRPr="00D630D1" w:rsidRDefault="00895B09" w:rsidP="009C7AD7">
            <w:pPr>
              <w:widowControl/>
              <w:topLinePunct w:val="0"/>
              <w:adjustRightInd/>
              <w:spacing w:line="240" w:lineRule="auto"/>
              <w:ind w:firstLineChars="0" w:firstLine="0"/>
              <w:jc w:val="center"/>
              <w:rPr>
                <w:rFonts w:ascii="Times New Roman" w:cs="Times New Roman"/>
                <w:kern w:val="2"/>
                <w:sz w:val="21"/>
                <w:szCs w:val="21"/>
              </w:rPr>
            </w:pPr>
          </w:p>
        </w:tc>
        <w:tc>
          <w:tcPr>
            <w:tcW w:w="1087" w:type="pct"/>
            <w:gridSpan w:val="3"/>
            <w:vAlign w:val="center"/>
          </w:tcPr>
          <w:p w:rsidR="00895B09" w:rsidRPr="00D630D1" w:rsidRDefault="00895B09"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环境风险</w:t>
            </w:r>
          </w:p>
        </w:tc>
        <w:tc>
          <w:tcPr>
            <w:tcW w:w="2202" w:type="pct"/>
            <w:vAlign w:val="center"/>
          </w:tcPr>
          <w:p w:rsidR="00895B09" w:rsidRPr="00D630D1" w:rsidRDefault="00895B09" w:rsidP="00417585">
            <w:pPr>
              <w:pStyle w:val="TableParagraph"/>
              <w:spacing w:line="240" w:lineRule="auto"/>
              <w:ind w:firstLine="420"/>
              <w:rPr>
                <w:rFonts w:ascii="Times New Roman" w:cs="Times New Roman"/>
                <w:kern w:val="2"/>
                <w:sz w:val="21"/>
                <w:szCs w:val="21"/>
              </w:rPr>
            </w:pPr>
            <w:r w:rsidRPr="00D630D1">
              <w:rPr>
                <w:rFonts w:ascii="Times New Roman" w:cs="Times New Roman"/>
                <w:kern w:val="2"/>
                <w:sz w:val="21"/>
                <w:szCs w:val="21"/>
              </w:rPr>
              <w:t>事故放空：事故状态下管线及站场内天然气通过新建放</w:t>
            </w:r>
            <w:r w:rsidRPr="00D630D1">
              <w:rPr>
                <w:rFonts w:ascii="Times New Roman" w:cs="Times New Roman" w:hint="eastAsia"/>
                <w:kern w:val="2"/>
                <w:sz w:val="21"/>
                <w:szCs w:val="21"/>
              </w:rPr>
              <w:t>空系统燃烧</w:t>
            </w:r>
            <w:r w:rsidRPr="00D630D1">
              <w:rPr>
                <w:rFonts w:ascii="Times New Roman" w:cs="Times New Roman"/>
                <w:kern w:val="2"/>
                <w:sz w:val="21"/>
                <w:szCs w:val="21"/>
              </w:rPr>
              <w:t>排放。</w:t>
            </w:r>
          </w:p>
          <w:p w:rsidR="00895B09" w:rsidRPr="00D630D1" w:rsidRDefault="00895B09" w:rsidP="00C04B07">
            <w:pPr>
              <w:pStyle w:val="TableParagraph"/>
              <w:spacing w:line="240" w:lineRule="auto"/>
              <w:ind w:firstLineChars="0" w:firstLine="0"/>
              <w:rPr>
                <w:rFonts w:ascii="Times New Roman" w:cs="Times New Roman"/>
                <w:kern w:val="2"/>
                <w:sz w:val="21"/>
                <w:szCs w:val="21"/>
              </w:rPr>
            </w:pPr>
            <w:r w:rsidRPr="00C04B07">
              <w:rPr>
                <w:rFonts w:ascii="Times New Roman" w:cs="Times New Roman" w:hint="eastAsia"/>
                <w:kern w:val="2"/>
                <w:sz w:val="21"/>
                <w:szCs w:val="21"/>
              </w:rPr>
              <w:t>柴油储罐、凝析油储罐、</w:t>
            </w:r>
            <w:r w:rsidRPr="00C04B07">
              <w:rPr>
                <w:rFonts w:ascii="Times New Roman" w:cs="Times New Roman"/>
                <w:kern w:val="2"/>
                <w:sz w:val="21"/>
                <w:szCs w:val="21"/>
              </w:rPr>
              <w:t>污水缓冲罐</w:t>
            </w:r>
            <w:r w:rsidRPr="00D630D1">
              <w:rPr>
                <w:rFonts w:ascii="Times New Roman" w:cs="Times New Roman"/>
                <w:kern w:val="2"/>
                <w:sz w:val="21"/>
                <w:szCs w:val="21"/>
              </w:rPr>
              <w:t>：四周设置防渗围堰。</w:t>
            </w:r>
          </w:p>
        </w:tc>
        <w:tc>
          <w:tcPr>
            <w:tcW w:w="1497" w:type="pct"/>
            <w:vAlign w:val="center"/>
          </w:tcPr>
          <w:p w:rsidR="00895B09" w:rsidRPr="00D630D1" w:rsidRDefault="00895B09"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满足</w:t>
            </w:r>
            <w:r w:rsidRPr="00D630D1">
              <w:rPr>
                <w:rFonts w:ascii="Times New Roman" w:cs="Times New Roman" w:hint="eastAsia"/>
                <w:kern w:val="2"/>
                <w:sz w:val="21"/>
                <w:szCs w:val="21"/>
              </w:rPr>
              <w:t>环境</w:t>
            </w:r>
            <w:r w:rsidRPr="00D630D1">
              <w:rPr>
                <w:rFonts w:ascii="Times New Roman" w:cs="Times New Roman"/>
                <w:kern w:val="2"/>
                <w:sz w:val="21"/>
                <w:szCs w:val="21"/>
              </w:rPr>
              <w:t>风险防控要求</w:t>
            </w:r>
          </w:p>
        </w:tc>
      </w:tr>
      <w:tr w:rsidR="00895B09" w:rsidRPr="00D630D1" w:rsidTr="00417585">
        <w:trPr>
          <w:trHeight w:val="396"/>
          <w:jc w:val="center"/>
        </w:trPr>
        <w:tc>
          <w:tcPr>
            <w:tcW w:w="214" w:type="pct"/>
            <w:vMerge/>
            <w:vAlign w:val="center"/>
          </w:tcPr>
          <w:p w:rsidR="00895B09" w:rsidRPr="00D630D1" w:rsidRDefault="00895B09" w:rsidP="009C7AD7">
            <w:pPr>
              <w:widowControl/>
              <w:topLinePunct w:val="0"/>
              <w:adjustRightInd/>
              <w:spacing w:line="240" w:lineRule="auto"/>
              <w:ind w:firstLineChars="0" w:firstLine="0"/>
              <w:jc w:val="center"/>
              <w:rPr>
                <w:rFonts w:ascii="Times New Roman" w:cs="Times New Roman"/>
                <w:kern w:val="2"/>
                <w:sz w:val="21"/>
                <w:szCs w:val="21"/>
              </w:rPr>
            </w:pPr>
          </w:p>
        </w:tc>
        <w:tc>
          <w:tcPr>
            <w:tcW w:w="1087" w:type="pct"/>
            <w:gridSpan w:val="3"/>
            <w:vAlign w:val="center"/>
          </w:tcPr>
          <w:p w:rsidR="00895B09" w:rsidRPr="00D630D1" w:rsidRDefault="00895B09" w:rsidP="009C7AD7">
            <w:pPr>
              <w:widowControl/>
              <w:topLinePunct w:val="0"/>
              <w:adjustRightInd/>
              <w:spacing w:line="240" w:lineRule="auto"/>
              <w:ind w:firstLineChars="0" w:firstLine="0"/>
              <w:jc w:val="center"/>
              <w:rPr>
                <w:rFonts w:ascii="Times New Roman" w:cs="Times New Roman"/>
                <w:kern w:val="2"/>
                <w:sz w:val="21"/>
                <w:szCs w:val="21"/>
              </w:rPr>
            </w:pPr>
            <w:r w:rsidRPr="00D630D1">
              <w:rPr>
                <w:rFonts w:ascii="Times New Roman" w:cs="Times New Roman" w:hint="eastAsia"/>
                <w:kern w:val="2"/>
                <w:sz w:val="21"/>
                <w:szCs w:val="21"/>
              </w:rPr>
              <w:t>生态</w:t>
            </w:r>
          </w:p>
        </w:tc>
        <w:tc>
          <w:tcPr>
            <w:tcW w:w="2202" w:type="pct"/>
            <w:vAlign w:val="center"/>
          </w:tcPr>
          <w:p w:rsidR="00895B09" w:rsidRPr="00D630D1" w:rsidRDefault="00895B09"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r w:rsidRPr="00D630D1">
              <w:rPr>
                <w:rFonts w:ascii="Times New Roman" w:cs="Times New Roman" w:hint="eastAsia"/>
                <w:kern w:val="2"/>
                <w:sz w:val="21"/>
                <w:szCs w:val="21"/>
              </w:rPr>
              <w:t>1</w:t>
            </w:r>
            <w:r w:rsidRPr="00D630D1">
              <w:rPr>
                <w:rFonts w:ascii="Times New Roman" w:cs="Times New Roman" w:hint="eastAsia"/>
                <w:kern w:val="2"/>
                <w:sz w:val="21"/>
                <w:szCs w:val="21"/>
              </w:rPr>
              <w:t>）项目管沟及其施工作业带全线采取水土保持措施，包括工程措施、植物措施、管理措施，做好护坡、堡坎和排水设施。</w:t>
            </w:r>
          </w:p>
          <w:p w:rsidR="00895B09" w:rsidRPr="00D630D1" w:rsidRDefault="00895B09"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r w:rsidRPr="00D630D1">
              <w:rPr>
                <w:rFonts w:ascii="Times New Roman" w:cs="Times New Roman" w:hint="eastAsia"/>
                <w:kern w:val="2"/>
                <w:sz w:val="21"/>
                <w:szCs w:val="21"/>
              </w:rPr>
              <w:t>2</w:t>
            </w:r>
            <w:r w:rsidRPr="00D630D1">
              <w:rPr>
                <w:rFonts w:ascii="Times New Roman" w:cs="Times New Roman" w:hint="eastAsia"/>
                <w:kern w:val="2"/>
                <w:sz w:val="21"/>
                <w:szCs w:val="21"/>
              </w:rPr>
              <w:t>）</w:t>
            </w:r>
            <w:r w:rsidRPr="00D630D1">
              <w:rPr>
                <w:rFonts w:ascii="Times New Roman" w:cs="Times New Roman"/>
                <w:kern w:val="2"/>
                <w:sz w:val="21"/>
                <w:szCs w:val="21"/>
              </w:rPr>
              <w:t>站场周边修建排水沟，进行绿化建设；管线通过陡坡地段，设置护坡、堡坎等。</w:t>
            </w:r>
          </w:p>
        </w:tc>
        <w:tc>
          <w:tcPr>
            <w:tcW w:w="1497" w:type="pct"/>
            <w:vAlign w:val="center"/>
          </w:tcPr>
          <w:p w:rsidR="00895B09" w:rsidRPr="00D630D1" w:rsidRDefault="00895B09" w:rsidP="009C7AD7">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满足环保要求</w:t>
            </w:r>
          </w:p>
        </w:tc>
      </w:tr>
    </w:tbl>
    <w:p w:rsidR="00117C3D" w:rsidRPr="00D630D1" w:rsidRDefault="00117C3D">
      <w:pPr>
        <w:pStyle w:val="a1"/>
        <w:ind w:firstLine="480"/>
        <w:rPr>
          <w:rFonts w:ascii="Times New Roman" w:cs="Times New Roman"/>
        </w:rPr>
      </w:pPr>
    </w:p>
    <w:p w:rsidR="00117C3D" w:rsidRPr="00D630D1" w:rsidRDefault="00117C3D">
      <w:pPr>
        <w:widowControl/>
        <w:topLinePunct w:val="0"/>
        <w:adjustRightInd/>
        <w:ind w:firstLineChars="0" w:firstLine="0"/>
        <w:jc w:val="left"/>
        <w:rPr>
          <w:rFonts w:ascii="Times New Roman" w:cs="Times New Roman"/>
        </w:rPr>
        <w:sectPr w:rsidR="00117C3D" w:rsidRPr="00D630D1" w:rsidSect="00BA4F10">
          <w:pgSz w:w="16840" w:h="11910" w:orient="landscape"/>
          <w:pgMar w:top="800" w:right="1200" w:bottom="280" w:left="1200" w:header="0" w:footer="0" w:gutter="0"/>
          <w:cols w:space="720"/>
        </w:sectPr>
      </w:pPr>
    </w:p>
    <w:p w:rsidR="00117C3D" w:rsidRPr="00D630D1" w:rsidRDefault="00950603" w:rsidP="00950603">
      <w:pPr>
        <w:pStyle w:val="2"/>
        <w:spacing w:before="120"/>
        <w:rPr>
          <w:rFonts w:cs="Times New Roman"/>
        </w:rPr>
      </w:pPr>
      <w:bookmarkStart w:id="646" w:name="bookmark75"/>
      <w:bookmarkStart w:id="647" w:name="bookmark76"/>
      <w:bookmarkStart w:id="648" w:name="_Toc19816136"/>
      <w:bookmarkStart w:id="649" w:name="_Toc12288817"/>
      <w:bookmarkStart w:id="650" w:name="_Toc81515308"/>
      <w:bookmarkEnd w:id="646"/>
      <w:bookmarkEnd w:id="647"/>
      <w:r w:rsidRPr="00D630D1">
        <w:rPr>
          <w:rFonts w:cs="Times New Roman"/>
        </w:rPr>
        <w:lastRenderedPageBreak/>
        <w:t>8</w:t>
      </w:r>
      <w:r w:rsidR="008B5B84" w:rsidRPr="00D630D1">
        <w:rPr>
          <w:rFonts w:cs="Times New Roman"/>
        </w:rPr>
        <w:t>.</w:t>
      </w:r>
      <w:r w:rsidR="00A62354">
        <w:rPr>
          <w:rFonts w:cs="Times New Roman" w:hint="eastAsia"/>
        </w:rPr>
        <w:t>5</w:t>
      </w:r>
      <w:r w:rsidR="008B5B84" w:rsidRPr="00D630D1">
        <w:rPr>
          <w:rFonts w:cs="Times New Roman"/>
        </w:rPr>
        <w:t xml:space="preserve"> </w:t>
      </w:r>
      <w:r w:rsidR="008B5B84" w:rsidRPr="00D630D1">
        <w:rPr>
          <w:rFonts w:cs="Times New Roman"/>
        </w:rPr>
        <w:t>环保投资估算</w:t>
      </w:r>
      <w:bookmarkEnd w:id="648"/>
      <w:bookmarkEnd w:id="649"/>
      <w:bookmarkEnd w:id="650"/>
    </w:p>
    <w:p w:rsidR="00117C3D" w:rsidRPr="00D630D1" w:rsidRDefault="00C04B07">
      <w:pPr>
        <w:pStyle w:val="a1"/>
        <w:ind w:firstLine="480"/>
        <w:rPr>
          <w:rFonts w:ascii="Times New Roman" w:cs="Times New Roman"/>
        </w:rPr>
      </w:pPr>
      <w:r w:rsidRPr="00C04B07">
        <w:rPr>
          <w:rFonts w:ascii="Times New Roman" w:cs="Times New Roman" w:hint="eastAsia"/>
        </w:rPr>
        <w:t>本</w:t>
      </w:r>
      <w:r w:rsidRPr="00C04B07">
        <w:rPr>
          <w:rFonts w:ascii="Times New Roman" w:cs="Times New Roman"/>
        </w:rPr>
        <w:t>项目总投资</w:t>
      </w:r>
      <w:r w:rsidRPr="00C04B07">
        <w:rPr>
          <w:rFonts w:ascii="Times New Roman" w:cs="Times New Roman"/>
        </w:rPr>
        <w:t>38141.6</w:t>
      </w:r>
      <w:r w:rsidRPr="00C04B07">
        <w:rPr>
          <w:rFonts w:ascii="Times New Roman" w:cs="Times New Roman"/>
        </w:rPr>
        <w:t>万元，其中环保投资</w:t>
      </w:r>
      <w:r>
        <w:rPr>
          <w:rFonts w:ascii="Times New Roman" w:cs="Times New Roman" w:hint="eastAsia"/>
        </w:rPr>
        <w:t>187</w:t>
      </w:r>
      <w:r w:rsidRPr="00C04B07">
        <w:rPr>
          <w:rFonts w:ascii="Times New Roman" w:cs="Times New Roman"/>
        </w:rPr>
        <w:t>0</w:t>
      </w:r>
      <w:r w:rsidRPr="00C04B07">
        <w:rPr>
          <w:rFonts w:ascii="Times New Roman" w:cs="Times New Roman"/>
        </w:rPr>
        <w:t>万元，占项目总投资的</w:t>
      </w:r>
      <w:r w:rsidR="00895B09">
        <w:rPr>
          <w:rFonts w:ascii="Times New Roman" w:cs="Times New Roman" w:hint="eastAsia"/>
        </w:rPr>
        <w:t>4.9</w:t>
      </w:r>
      <w:r w:rsidRPr="00C04B07">
        <w:rPr>
          <w:rFonts w:ascii="Times New Roman" w:cs="Times New Roman"/>
        </w:rPr>
        <w:t>%</w:t>
      </w:r>
      <w:r w:rsidR="008B5B84" w:rsidRPr="00D630D1">
        <w:rPr>
          <w:rFonts w:ascii="Times New Roman" w:cs="Times New Roman"/>
        </w:rPr>
        <w:t>。项目环保投资估算时，环保措施单价参照其他已有工程类比，环保措施数量依据初步设计确定，环保投资估算见下表。</w:t>
      </w:r>
    </w:p>
    <w:p w:rsidR="00BE373F" w:rsidRPr="00D630D1" w:rsidRDefault="00BE373F">
      <w:pPr>
        <w:pStyle w:val="a1"/>
        <w:ind w:firstLine="480"/>
        <w:rPr>
          <w:rFonts w:ascii="Times New Roman" w:cs="Times New Roman"/>
        </w:rPr>
      </w:pPr>
    </w:p>
    <w:p w:rsidR="00BE373F" w:rsidRPr="00D630D1" w:rsidRDefault="00BE373F">
      <w:pPr>
        <w:pStyle w:val="a1"/>
        <w:ind w:firstLine="480"/>
        <w:rPr>
          <w:rFonts w:ascii="Times New Roman" w:cs="Times New Roman"/>
        </w:rPr>
      </w:pPr>
    </w:p>
    <w:p w:rsidR="00BE373F" w:rsidRPr="00D630D1" w:rsidRDefault="00BE373F">
      <w:pPr>
        <w:pStyle w:val="a1"/>
        <w:ind w:firstLine="480"/>
        <w:rPr>
          <w:rFonts w:ascii="Times New Roman" w:cs="Times New Roman"/>
        </w:rPr>
        <w:sectPr w:rsidR="00BE373F" w:rsidRPr="00D630D1" w:rsidSect="00BA4F10">
          <w:pgSz w:w="11910" w:h="16840"/>
          <w:pgMar w:top="1440" w:right="1800" w:bottom="1440" w:left="1800" w:header="885" w:footer="1025" w:gutter="0"/>
          <w:cols w:space="720"/>
          <w:docGrid w:linePitch="326"/>
        </w:sectPr>
      </w:pPr>
    </w:p>
    <w:p w:rsidR="00117C3D" w:rsidRPr="00D630D1" w:rsidRDefault="008B5B84" w:rsidP="00A10DD3">
      <w:pPr>
        <w:pStyle w:val="TOC11"/>
        <w:rPr>
          <w:rFonts w:eastAsia="宋体"/>
        </w:rPr>
      </w:pPr>
      <w:r w:rsidRPr="00D630D1">
        <w:rPr>
          <w:rFonts w:eastAsia="宋体"/>
        </w:rPr>
        <w:lastRenderedPageBreak/>
        <w:t>表</w:t>
      </w:r>
      <w:r w:rsidR="00A10DD3" w:rsidRPr="00D630D1">
        <w:rPr>
          <w:rFonts w:eastAsia="宋体"/>
        </w:rPr>
        <w:t>8</w:t>
      </w:r>
      <w:r w:rsidRPr="00D630D1">
        <w:rPr>
          <w:rFonts w:eastAsia="宋体"/>
        </w:rPr>
        <w:t>.</w:t>
      </w:r>
      <w:r w:rsidR="005B6AEE" w:rsidRPr="00D630D1">
        <w:rPr>
          <w:rFonts w:eastAsia="宋体"/>
        </w:rPr>
        <w:t>4</w:t>
      </w:r>
      <w:r w:rsidRPr="00D630D1">
        <w:rPr>
          <w:rFonts w:eastAsia="宋体"/>
        </w:rPr>
        <w:t>-1</w:t>
      </w:r>
      <w:r w:rsidR="00A10DD3" w:rsidRPr="00D630D1">
        <w:rPr>
          <w:rFonts w:eastAsia="宋体"/>
        </w:rPr>
        <w:t xml:space="preserve"> </w:t>
      </w:r>
      <w:r w:rsidRPr="00D630D1">
        <w:rPr>
          <w:rFonts w:eastAsia="宋体"/>
        </w:rPr>
        <w:t xml:space="preserve"> </w:t>
      </w:r>
      <w:r w:rsidRPr="00D630D1">
        <w:rPr>
          <w:rFonts w:eastAsia="宋体"/>
        </w:rPr>
        <w:t>工程环保投资估算表</w:t>
      </w:r>
      <w:r w:rsidR="00A10DD3" w:rsidRPr="00D630D1">
        <w:rPr>
          <w:rFonts w:eastAsia="宋体"/>
          <w:kern w:val="2"/>
        </w:rPr>
        <w:t xml:space="preserve">  </w:t>
      </w:r>
      <w:r w:rsidRPr="00D630D1">
        <w:rPr>
          <w:rFonts w:eastAsia="宋体"/>
          <w:kern w:val="2"/>
        </w:rPr>
        <w:t>单位：万元</w:t>
      </w:r>
    </w:p>
    <w:tbl>
      <w:tblPr>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tblPr>
      <w:tblGrid>
        <w:gridCol w:w="1233"/>
        <w:gridCol w:w="887"/>
        <w:gridCol w:w="6"/>
        <w:gridCol w:w="1561"/>
        <w:gridCol w:w="709"/>
        <w:gridCol w:w="9441"/>
        <w:gridCol w:w="701"/>
      </w:tblGrid>
      <w:tr w:rsidR="006854E2" w:rsidRPr="00D630D1" w:rsidTr="00035E91">
        <w:trPr>
          <w:trHeight w:val="50"/>
          <w:tblHeader/>
        </w:trPr>
        <w:tc>
          <w:tcPr>
            <w:tcW w:w="424" w:type="pct"/>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项目</w:t>
            </w:r>
          </w:p>
        </w:tc>
        <w:tc>
          <w:tcPr>
            <w:tcW w:w="844" w:type="pct"/>
            <w:gridSpan w:val="3"/>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措施类型</w:t>
            </w:r>
          </w:p>
        </w:tc>
        <w:tc>
          <w:tcPr>
            <w:tcW w:w="244" w:type="pct"/>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投资</w:t>
            </w:r>
          </w:p>
        </w:tc>
        <w:tc>
          <w:tcPr>
            <w:tcW w:w="3247" w:type="pct"/>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说明</w:t>
            </w:r>
          </w:p>
        </w:tc>
        <w:tc>
          <w:tcPr>
            <w:tcW w:w="241" w:type="pct"/>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备注</w:t>
            </w:r>
          </w:p>
        </w:tc>
      </w:tr>
      <w:tr w:rsidR="00035E91" w:rsidRPr="00D630D1" w:rsidTr="00035E91">
        <w:trPr>
          <w:trHeight w:val="20"/>
        </w:trPr>
        <w:tc>
          <w:tcPr>
            <w:tcW w:w="424" w:type="pct"/>
            <w:vMerge w:val="restart"/>
            <w:vAlign w:val="center"/>
          </w:tcPr>
          <w:p w:rsidR="00117C3D" w:rsidRPr="00D630D1" w:rsidRDefault="008B5B84">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水土保持措施</w:t>
            </w:r>
          </w:p>
        </w:tc>
        <w:tc>
          <w:tcPr>
            <w:tcW w:w="844" w:type="pct"/>
            <w:gridSpan w:val="3"/>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水土保持工程措施</w:t>
            </w:r>
          </w:p>
        </w:tc>
        <w:tc>
          <w:tcPr>
            <w:tcW w:w="244" w:type="pct"/>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rPr>
            </w:pPr>
            <w:r w:rsidRPr="00D630D1">
              <w:rPr>
                <w:rFonts w:ascii="Times New Roman" w:cs="Times New Roman"/>
                <w:w w:val="99"/>
                <w:kern w:val="2"/>
                <w:sz w:val="21"/>
                <w:szCs w:val="21"/>
              </w:rPr>
              <w:t>/</w:t>
            </w:r>
          </w:p>
        </w:tc>
        <w:tc>
          <w:tcPr>
            <w:tcW w:w="3247" w:type="pct"/>
            <w:vAlign w:val="center"/>
          </w:tcPr>
          <w:p w:rsidR="00117C3D" w:rsidRPr="00D630D1" w:rsidRDefault="008B5B84" w:rsidP="009753F2">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用于施工期管线区域、</w:t>
            </w:r>
            <w:r w:rsidR="00A10DD3" w:rsidRPr="00D630D1">
              <w:rPr>
                <w:rFonts w:ascii="Times New Roman" w:cs="Times New Roman"/>
                <w:kern w:val="2"/>
                <w:sz w:val="21"/>
                <w:szCs w:val="21"/>
              </w:rPr>
              <w:t>施工便道</w:t>
            </w:r>
            <w:r w:rsidRPr="00D630D1">
              <w:rPr>
                <w:rFonts w:ascii="Times New Roman" w:cs="Times New Roman"/>
                <w:kern w:val="2"/>
                <w:sz w:val="21"/>
                <w:szCs w:val="21"/>
              </w:rPr>
              <w:t>等临时占地的剥离表土、土地整治、复耕等，以及用于、挡墙建设、安装排水沟等建设。</w:t>
            </w:r>
          </w:p>
        </w:tc>
        <w:tc>
          <w:tcPr>
            <w:tcW w:w="241" w:type="pct"/>
            <w:vMerge w:val="restart"/>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计入水土保持投资</w:t>
            </w:r>
          </w:p>
        </w:tc>
      </w:tr>
      <w:tr w:rsidR="00035E91" w:rsidRPr="00D630D1" w:rsidTr="00035E91">
        <w:trPr>
          <w:trHeight w:val="20"/>
        </w:trPr>
        <w:tc>
          <w:tcPr>
            <w:tcW w:w="424" w:type="pct"/>
            <w:vMerge/>
            <w:vAlign w:val="center"/>
          </w:tcPr>
          <w:p w:rsidR="00117C3D" w:rsidRPr="00D630D1" w:rsidRDefault="00117C3D">
            <w:pPr>
              <w:pStyle w:val="TableParagraph"/>
              <w:spacing w:line="240" w:lineRule="auto"/>
              <w:ind w:firstLineChars="0" w:firstLine="0"/>
              <w:rPr>
                <w:rFonts w:ascii="Times New Roman" w:cs="Times New Roman"/>
                <w:kern w:val="2"/>
                <w:sz w:val="21"/>
                <w:szCs w:val="21"/>
              </w:rPr>
            </w:pPr>
          </w:p>
        </w:tc>
        <w:tc>
          <w:tcPr>
            <w:tcW w:w="844" w:type="pct"/>
            <w:gridSpan w:val="3"/>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水土保持植物措施</w:t>
            </w:r>
          </w:p>
        </w:tc>
        <w:tc>
          <w:tcPr>
            <w:tcW w:w="244" w:type="pct"/>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c>
          <w:tcPr>
            <w:tcW w:w="3247" w:type="pct"/>
            <w:vAlign w:val="center"/>
          </w:tcPr>
          <w:p w:rsidR="00117C3D" w:rsidRPr="00D630D1" w:rsidRDefault="008B5B84" w:rsidP="009753F2">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管道沿线、</w:t>
            </w:r>
            <w:r w:rsidR="00035E91" w:rsidRPr="00D630D1">
              <w:rPr>
                <w:rFonts w:ascii="Times New Roman" w:cs="Times New Roman" w:hint="eastAsia"/>
                <w:kern w:val="2"/>
                <w:sz w:val="21"/>
                <w:szCs w:val="21"/>
              </w:rPr>
              <w:t>场站</w:t>
            </w:r>
            <w:r w:rsidRPr="00D630D1">
              <w:rPr>
                <w:rFonts w:ascii="Times New Roman" w:cs="Times New Roman"/>
                <w:kern w:val="2"/>
                <w:sz w:val="21"/>
                <w:szCs w:val="21"/>
              </w:rPr>
              <w:t>等区域植被恢复、绿化等植物措施</w:t>
            </w:r>
            <w:r w:rsidR="00035E91" w:rsidRPr="00D630D1">
              <w:rPr>
                <w:rFonts w:ascii="Times New Roman" w:cs="Times New Roman" w:hint="eastAsia"/>
                <w:kern w:val="2"/>
                <w:sz w:val="21"/>
                <w:szCs w:val="21"/>
              </w:rPr>
              <w:t>。</w:t>
            </w:r>
          </w:p>
        </w:tc>
        <w:tc>
          <w:tcPr>
            <w:tcW w:w="241" w:type="pct"/>
            <w:vMerge/>
            <w:vAlign w:val="center"/>
          </w:tcPr>
          <w:p w:rsidR="00117C3D" w:rsidRPr="00D630D1" w:rsidRDefault="00117C3D">
            <w:pPr>
              <w:pStyle w:val="TableParagraph"/>
              <w:kinsoku w:val="0"/>
              <w:overflowPunct w:val="0"/>
              <w:spacing w:line="240" w:lineRule="auto"/>
              <w:ind w:firstLineChars="0" w:firstLine="0"/>
              <w:rPr>
                <w:rFonts w:ascii="Times New Roman" w:cs="Times New Roman"/>
                <w:kern w:val="2"/>
                <w:sz w:val="21"/>
                <w:szCs w:val="21"/>
              </w:rPr>
            </w:pPr>
          </w:p>
        </w:tc>
      </w:tr>
      <w:tr w:rsidR="00035E91" w:rsidRPr="00D630D1" w:rsidTr="00035E91">
        <w:trPr>
          <w:trHeight w:val="20"/>
        </w:trPr>
        <w:tc>
          <w:tcPr>
            <w:tcW w:w="424" w:type="pct"/>
            <w:vMerge/>
            <w:vAlign w:val="center"/>
          </w:tcPr>
          <w:p w:rsidR="00117C3D" w:rsidRPr="00D630D1" w:rsidRDefault="00117C3D">
            <w:pPr>
              <w:pStyle w:val="TableParagraph"/>
              <w:spacing w:line="240" w:lineRule="auto"/>
              <w:ind w:firstLineChars="0" w:firstLine="0"/>
              <w:rPr>
                <w:rFonts w:ascii="Times New Roman" w:cs="Times New Roman"/>
                <w:kern w:val="2"/>
                <w:sz w:val="21"/>
                <w:szCs w:val="21"/>
              </w:rPr>
            </w:pPr>
          </w:p>
        </w:tc>
        <w:tc>
          <w:tcPr>
            <w:tcW w:w="844" w:type="pct"/>
            <w:gridSpan w:val="3"/>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水土保持临时措施</w:t>
            </w:r>
          </w:p>
        </w:tc>
        <w:tc>
          <w:tcPr>
            <w:tcW w:w="244" w:type="pct"/>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c>
          <w:tcPr>
            <w:tcW w:w="3247" w:type="pct"/>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设置土质排水沟、临时沉砂凼、土袋挡土墙等措施</w:t>
            </w:r>
            <w:r w:rsidR="00035E91" w:rsidRPr="00D630D1">
              <w:rPr>
                <w:rFonts w:ascii="Times New Roman" w:cs="Times New Roman" w:hint="eastAsia"/>
                <w:kern w:val="2"/>
                <w:sz w:val="21"/>
                <w:szCs w:val="21"/>
              </w:rPr>
              <w:t>。</w:t>
            </w:r>
          </w:p>
        </w:tc>
        <w:tc>
          <w:tcPr>
            <w:tcW w:w="241" w:type="pct"/>
            <w:vMerge/>
            <w:vAlign w:val="center"/>
          </w:tcPr>
          <w:p w:rsidR="00117C3D" w:rsidRPr="00D630D1" w:rsidRDefault="00117C3D">
            <w:pPr>
              <w:pStyle w:val="TableParagraph"/>
              <w:kinsoku w:val="0"/>
              <w:overflowPunct w:val="0"/>
              <w:spacing w:line="240" w:lineRule="auto"/>
              <w:ind w:firstLineChars="0" w:firstLine="0"/>
              <w:rPr>
                <w:rFonts w:ascii="Times New Roman" w:cs="Times New Roman"/>
                <w:kern w:val="2"/>
                <w:sz w:val="21"/>
                <w:szCs w:val="21"/>
              </w:rPr>
            </w:pPr>
          </w:p>
        </w:tc>
      </w:tr>
      <w:tr w:rsidR="0054593A" w:rsidRPr="00D630D1" w:rsidTr="00035E91">
        <w:trPr>
          <w:trHeight w:val="20"/>
        </w:trPr>
        <w:tc>
          <w:tcPr>
            <w:tcW w:w="424" w:type="pct"/>
            <w:vMerge w:val="restart"/>
            <w:vAlign w:val="center"/>
          </w:tcPr>
          <w:p w:rsidR="0054593A" w:rsidRPr="00D630D1" w:rsidRDefault="0054593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大气保护措施</w:t>
            </w:r>
          </w:p>
        </w:tc>
        <w:tc>
          <w:tcPr>
            <w:tcW w:w="305" w:type="pct"/>
            <w:vMerge w:val="restart"/>
            <w:tcBorders>
              <w:right w:val="single" w:sz="2" w:space="0" w:color="000000"/>
            </w:tcBorders>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施工期</w:t>
            </w:r>
          </w:p>
        </w:tc>
        <w:tc>
          <w:tcPr>
            <w:tcW w:w="539" w:type="pct"/>
            <w:gridSpan w:val="2"/>
            <w:tcBorders>
              <w:left w:val="single" w:sz="2" w:space="0" w:color="000000"/>
            </w:tcBorders>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扬尘防护措施</w:t>
            </w:r>
          </w:p>
        </w:tc>
        <w:tc>
          <w:tcPr>
            <w:tcW w:w="244" w:type="pct"/>
            <w:vAlign w:val="center"/>
          </w:tcPr>
          <w:p w:rsidR="0054593A" w:rsidRPr="00D630D1" w:rsidRDefault="0054593A" w:rsidP="00603C50">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10</w:t>
            </w:r>
          </w:p>
        </w:tc>
        <w:tc>
          <w:tcPr>
            <w:tcW w:w="3247"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施工期购置洒水设备进行洒水作业，对临时堆放表土采用篷布覆；进行道面清扫，对轮胎进行清洗；用于施工期间物料运输车辆的覆盖，粉料采用粉料车运输，防止物料散落和灰尘飘散</w:t>
            </w:r>
          </w:p>
        </w:tc>
        <w:tc>
          <w:tcPr>
            <w:tcW w:w="241" w:type="pct"/>
            <w:vAlign w:val="center"/>
          </w:tcPr>
          <w:p w:rsidR="0054593A" w:rsidRPr="00D630D1" w:rsidRDefault="0054593A">
            <w:pPr>
              <w:pStyle w:val="TableParagraph"/>
              <w:kinsoku w:val="0"/>
              <w:overflowPunct w:val="0"/>
              <w:spacing w:line="240" w:lineRule="auto"/>
              <w:ind w:right="1" w:firstLineChars="0" w:firstLine="0"/>
              <w:rPr>
                <w:rFonts w:ascii="Times New Roman" w:cs="Times New Roman"/>
                <w:kern w:val="2"/>
                <w:sz w:val="21"/>
                <w:szCs w:val="21"/>
              </w:rPr>
            </w:pPr>
            <w:r w:rsidRPr="00D630D1">
              <w:rPr>
                <w:rFonts w:ascii="Times New Roman" w:cs="Times New Roman"/>
                <w:kern w:val="2"/>
                <w:sz w:val="21"/>
                <w:szCs w:val="21"/>
              </w:rPr>
              <w:t>/</w:t>
            </w:r>
          </w:p>
        </w:tc>
      </w:tr>
      <w:tr w:rsidR="0054593A" w:rsidRPr="00D630D1" w:rsidTr="00035E91">
        <w:trPr>
          <w:trHeight w:val="20"/>
        </w:trPr>
        <w:tc>
          <w:tcPr>
            <w:tcW w:w="424" w:type="pct"/>
            <w:vMerge/>
            <w:vAlign w:val="center"/>
          </w:tcPr>
          <w:p w:rsidR="0054593A" w:rsidRPr="00D630D1" w:rsidRDefault="0054593A">
            <w:pPr>
              <w:pStyle w:val="TableParagraph"/>
              <w:spacing w:line="240" w:lineRule="auto"/>
              <w:ind w:firstLineChars="0" w:firstLine="0"/>
              <w:rPr>
                <w:rFonts w:ascii="Times New Roman" w:cs="Times New Roman"/>
                <w:kern w:val="2"/>
                <w:sz w:val="21"/>
                <w:szCs w:val="21"/>
              </w:rPr>
            </w:pPr>
          </w:p>
        </w:tc>
        <w:tc>
          <w:tcPr>
            <w:tcW w:w="305" w:type="pct"/>
            <w:vMerge/>
            <w:tcBorders>
              <w:right w:val="single" w:sz="2" w:space="0" w:color="000000"/>
            </w:tcBorders>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p>
        </w:tc>
        <w:tc>
          <w:tcPr>
            <w:tcW w:w="539" w:type="pct"/>
            <w:gridSpan w:val="2"/>
            <w:tcBorders>
              <w:left w:val="single" w:sz="2" w:space="0" w:color="000000"/>
            </w:tcBorders>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喷淋降尘措施</w:t>
            </w:r>
          </w:p>
        </w:tc>
        <w:tc>
          <w:tcPr>
            <w:tcW w:w="244" w:type="pct"/>
            <w:vAlign w:val="center"/>
          </w:tcPr>
          <w:p w:rsidR="0054593A" w:rsidRPr="00D630D1" w:rsidRDefault="0054593A" w:rsidP="00603C50">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1</w:t>
            </w:r>
          </w:p>
        </w:tc>
        <w:tc>
          <w:tcPr>
            <w:tcW w:w="3247"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气体钻粉尘采取喷淋降尘措施</w:t>
            </w:r>
          </w:p>
        </w:tc>
        <w:tc>
          <w:tcPr>
            <w:tcW w:w="241" w:type="pct"/>
            <w:vAlign w:val="center"/>
          </w:tcPr>
          <w:p w:rsidR="0054593A" w:rsidRPr="00D630D1" w:rsidRDefault="0054593A">
            <w:pPr>
              <w:pStyle w:val="TableParagraph"/>
              <w:kinsoku w:val="0"/>
              <w:overflowPunct w:val="0"/>
              <w:spacing w:line="240" w:lineRule="auto"/>
              <w:ind w:right="1" w:firstLineChars="0" w:firstLine="0"/>
              <w:rPr>
                <w:rFonts w:ascii="Times New Roman" w:cs="Times New Roman"/>
                <w:kern w:val="2"/>
                <w:sz w:val="21"/>
                <w:szCs w:val="21"/>
              </w:rPr>
            </w:pPr>
            <w:r w:rsidRPr="00D630D1">
              <w:rPr>
                <w:rFonts w:ascii="Times New Roman" w:cs="Times New Roman" w:hint="eastAsia"/>
                <w:kern w:val="2"/>
                <w:sz w:val="21"/>
                <w:szCs w:val="21"/>
              </w:rPr>
              <w:t>/</w:t>
            </w:r>
          </w:p>
        </w:tc>
      </w:tr>
      <w:tr w:rsidR="0054593A" w:rsidRPr="00D630D1" w:rsidTr="00035E91">
        <w:trPr>
          <w:trHeight w:val="20"/>
        </w:trPr>
        <w:tc>
          <w:tcPr>
            <w:tcW w:w="424" w:type="pct"/>
            <w:vMerge/>
            <w:vAlign w:val="center"/>
          </w:tcPr>
          <w:p w:rsidR="0054593A" w:rsidRPr="00D630D1" w:rsidRDefault="0054593A">
            <w:pPr>
              <w:pStyle w:val="TableParagraph"/>
              <w:spacing w:line="240" w:lineRule="auto"/>
              <w:ind w:firstLineChars="0" w:firstLine="0"/>
              <w:rPr>
                <w:rFonts w:ascii="Times New Roman" w:cs="Times New Roman"/>
                <w:kern w:val="2"/>
                <w:sz w:val="21"/>
                <w:szCs w:val="21"/>
              </w:rPr>
            </w:pPr>
          </w:p>
        </w:tc>
        <w:tc>
          <w:tcPr>
            <w:tcW w:w="305" w:type="pct"/>
            <w:vMerge/>
            <w:tcBorders>
              <w:right w:val="single" w:sz="2" w:space="0" w:color="000000"/>
            </w:tcBorders>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p>
        </w:tc>
        <w:tc>
          <w:tcPr>
            <w:tcW w:w="539" w:type="pct"/>
            <w:gridSpan w:val="2"/>
            <w:tcBorders>
              <w:left w:val="single" w:sz="2" w:space="0" w:color="000000"/>
            </w:tcBorders>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测试放喷废气</w:t>
            </w:r>
            <w:r w:rsidRPr="00D630D1">
              <w:rPr>
                <w:rFonts w:ascii="Times New Roman" w:cs="Times New Roman" w:hint="eastAsia"/>
                <w:kern w:val="2"/>
                <w:sz w:val="21"/>
                <w:szCs w:val="21"/>
              </w:rPr>
              <w:t>措施</w:t>
            </w:r>
          </w:p>
        </w:tc>
        <w:tc>
          <w:tcPr>
            <w:tcW w:w="244" w:type="pct"/>
            <w:vAlign w:val="center"/>
          </w:tcPr>
          <w:p w:rsidR="0054593A" w:rsidRPr="00D630D1" w:rsidRDefault="0054593A" w:rsidP="00603C50">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c>
          <w:tcPr>
            <w:tcW w:w="3247"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测试放喷废气采取放喷池燃烧处理，并提前对周边无关人员进行临时疏散</w:t>
            </w:r>
          </w:p>
        </w:tc>
        <w:tc>
          <w:tcPr>
            <w:tcW w:w="241" w:type="pct"/>
            <w:vAlign w:val="center"/>
          </w:tcPr>
          <w:p w:rsidR="0054593A" w:rsidRPr="00D630D1" w:rsidRDefault="0054593A">
            <w:pPr>
              <w:pStyle w:val="TableParagraph"/>
              <w:kinsoku w:val="0"/>
              <w:overflowPunct w:val="0"/>
              <w:spacing w:line="240" w:lineRule="auto"/>
              <w:ind w:right="1" w:firstLineChars="0" w:firstLine="0"/>
              <w:rPr>
                <w:rFonts w:ascii="Times New Roman" w:cs="Times New Roman"/>
                <w:kern w:val="2"/>
                <w:sz w:val="21"/>
                <w:szCs w:val="21"/>
              </w:rPr>
            </w:pPr>
            <w:r w:rsidRPr="00D630D1">
              <w:rPr>
                <w:rFonts w:ascii="Times New Roman" w:cs="Times New Roman" w:hint="eastAsia"/>
                <w:kern w:val="2"/>
                <w:sz w:val="21"/>
                <w:szCs w:val="21"/>
              </w:rPr>
              <w:t>/</w:t>
            </w:r>
          </w:p>
        </w:tc>
      </w:tr>
      <w:tr w:rsidR="00035E91" w:rsidRPr="00D630D1" w:rsidTr="00035E91">
        <w:trPr>
          <w:trHeight w:val="20"/>
        </w:trPr>
        <w:tc>
          <w:tcPr>
            <w:tcW w:w="424" w:type="pct"/>
            <w:vMerge/>
            <w:vAlign w:val="center"/>
          </w:tcPr>
          <w:p w:rsidR="00035E91" w:rsidRPr="00D630D1" w:rsidRDefault="00035E91">
            <w:pPr>
              <w:pStyle w:val="TableParagraph"/>
              <w:spacing w:line="240" w:lineRule="auto"/>
              <w:ind w:firstLineChars="0" w:firstLine="0"/>
              <w:rPr>
                <w:rFonts w:ascii="Times New Roman" w:cs="Times New Roman"/>
                <w:kern w:val="2"/>
                <w:sz w:val="21"/>
                <w:szCs w:val="21"/>
              </w:rPr>
            </w:pPr>
          </w:p>
        </w:tc>
        <w:tc>
          <w:tcPr>
            <w:tcW w:w="305" w:type="pct"/>
            <w:tcBorders>
              <w:right w:val="single" w:sz="2" w:space="0" w:color="000000"/>
            </w:tcBorders>
            <w:vAlign w:val="center"/>
          </w:tcPr>
          <w:p w:rsidR="00035E91" w:rsidRPr="00D630D1" w:rsidRDefault="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运营期</w:t>
            </w:r>
          </w:p>
        </w:tc>
        <w:tc>
          <w:tcPr>
            <w:tcW w:w="539" w:type="pct"/>
            <w:gridSpan w:val="2"/>
            <w:tcBorders>
              <w:left w:val="single" w:sz="2" w:space="0" w:color="000000"/>
            </w:tcBorders>
            <w:vAlign w:val="center"/>
          </w:tcPr>
          <w:p w:rsidR="00035E91" w:rsidRPr="00D630D1" w:rsidRDefault="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水套炉废气</w:t>
            </w:r>
          </w:p>
        </w:tc>
        <w:tc>
          <w:tcPr>
            <w:tcW w:w="244" w:type="pct"/>
            <w:vAlign w:val="center"/>
          </w:tcPr>
          <w:p w:rsidR="00035E91" w:rsidRPr="00D630D1" w:rsidRDefault="00035E91" w:rsidP="00603C50">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c>
          <w:tcPr>
            <w:tcW w:w="3247" w:type="pct"/>
            <w:vAlign w:val="center"/>
          </w:tcPr>
          <w:p w:rsidR="00035E91" w:rsidRPr="00D630D1" w:rsidRDefault="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水套炉所使用的天然气来源于净化厂净化后的天然气（不含硫），其主要污染物为</w:t>
            </w:r>
            <w:r w:rsidRPr="00D630D1">
              <w:rPr>
                <w:rFonts w:ascii="Times New Roman" w:cs="Times New Roman" w:hint="eastAsia"/>
                <w:kern w:val="2"/>
                <w:sz w:val="21"/>
                <w:szCs w:val="21"/>
              </w:rPr>
              <w:t>NO</w:t>
            </w:r>
            <w:r w:rsidRPr="00D630D1">
              <w:rPr>
                <w:rFonts w:ascii="Times New Roman" w:cs="Times New Roman" w:hint="eastAsia"/>
                <w:kern w:val="2"/>
                <w:sz w:val="21"/>
                <w:szCs w:val="21"/>
                <w:vertAlign w:val="subscript"/>
              </w:rPr>
              <w:t>X</w:t>
            </w:r>
            <w:r w:rsidRPr="00D630D1">
              <w:rPr>
                <w:rFonts w:ascii="Times New Roman" w:cs="Times New Roman" w:hint="eastAsia"/>
                <w:kern w:val="2"/>
                <w:sz w:val="21"/>
                <w:szCs w:val="21"/>
              </w:rPr>
              <w:t>，对周围大气环境影响较小。</w:t>
            </w:r>
          </w:p>
        </w:tc>
        <w:tc>
          <w:tcPr>
            <w:tcW w:w="241" w:type="pct"/>
            <w:vAlign w:val="center"/>
          </w:tcPr>
          <w:p w:rsidR="00035E91" w:rsidRPr="00D630D1" w:rsidRDefault="00035E91">
            <w:pPr>
              <w:pStyle w:val="TableParagraph"/>
              <w:kinsoku w:val="0"/>
              <w:overflowPunct w:val="0"/>
              <w:spacing w:line="240" w:lineRule="auto"/>
              <w:ind w:right="1" w:firstLineChars="0" w:firstLine="0"/>
              <w:rPr>
                <w:rFonts w:ascii="Times New Roman" w:cs="Times New Roman"/>
                <w:kern w:val="2"/>
                <w:sz w:val="21"/>
                <w:szCs w:val="21"/>
              </w:rPr>
            </w:pPr>
            <w:r w:rsidRPr="00D630D1">
              <w:rPr>
                <w:rFonts w:ascii="Times New Roman" w:cs="Times New Roman" w:hint="eastAsia"/>
                <w:kern w:val="2"/>
                <w:sz w:val="21"/>
                <w:szCs w:val="21"/>
              </w:rPr>
              <w:t>/</w:t>
            </w:r>
          </w:p>
        </w:tc>
      </w:tr>
      <w:tr w:rsidR="0054593A" w:rsidRPr="00D630D1" w:rsidTr="00035E91">
        <w:trPr>
          <w:trHeight w:val="20"/>
        </w:trPr>
        <w:tc>
          <w:tcPr>
            <w:tcW w:w="424" w:type="pct"/>
            <w:vMerge w:val="restart"/>
            <w:vAlign w:val="center"/>
          </w:tcPr>
          <w:p w:rsidR="0054593A" w:rsidRPr="00D630D1" w:rsidRDefault="0054593A">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水环境保护措施</w:t>
            </w:r>
          </w:p>
        </w:tc>
        <w:tc>
          <w:tcPr>
            <w:tcW w:w="307" w:type="pct"/>
            <w:gridSpan w:val="2"/>
            <w:vMerge w:val="restart"/>
            <w:tcBorders>
              <w:right w:val="single" w:sz="2" w:space="0" w:color="000000"/>
            </w:tcBorders>
            <w:vAlign w:val="center"/>
          </w:tcPr>
          <w:p w:rsidR="0054593A" w:rsidRPr="00D630D1" w:rsidRDefault="0054593A" w:rsidP="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施工期</w:t>
            </w:r>
          </w:p>
        </w:tc>
        <w:tc>
          <w:tcPr>
            <w:tcW w:w="537" w:type="pct"/>
            <w:tcBorders>
              <w:left w:val="single" w:sz="2" w:space="0" w:color="000000"/>
            </w:tcBorders>
            <w:vAlign w:val="center"/>
          </w:tcPr>
          <w:p w:rsidR="0054593A" w:rsidRPr="00D630D1" w:rsidRDefault="0054593A" w:rsidP="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施工人员生活污水</w:t>
            </w:r>
          </w:p>
        </w:tc>
        <w:tc>
          <w:tcPr>
            <w:tcW w:w="244"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2</w:t>
            </w:r>
            <w:r w:rsidR="00502B3B" w:rsidRPr="00D630D1">
              <w:rPr>
                <w:rFonts w:ascii="Times New Roman" w:cs="Times New Roman" w:hint="eastAsia"/>
                <w:kern w:val="2"/>
                <w:sz w:val="21"/>
                <w:szCs w:val="21"/>
              </w:rPr>
              <w:t>5</w:t>
            </w:r>
          </w:p>
        </w:tc>
        <w:tc>
          <w:tcPr>
            <w:tcW w:w="3247"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施工期管线施工人员生活污水依托租用附近居民房收集处理，井场</w:t>
            </w:r>
            <w:r w:rsidRPr="00D630D1">
              <w:rPr>
                <w:rFonts w:ascii="Times New Roman" w:cs="Times New Roman" w:hint="eastAsia"/>
                <w:kern w:val="2"/>
                <w:sz w:val="21"/>
                <w:szCs w:val="21"/>
              </w:rPr>
              <w:t>、钻井</w:t>
            </w:r>
            <w:r w:rsidRPr="00D630D1">
              <w:rPr>
                <w:rFonts w:ascii="Times New Roman" w:cs="Times New Roman"/>
                <w:kern w:val="2"/>
                <w:sz w:val="21"/>
                <w:szCs w:val="21"/>
              </w:rPr>
              <w:t>施工生活污水</w:t>
            </w:r>
            <w:r w:rsidRPr="00D630D1">
              <w:rPr>
                <w:rFonts w:ascii="Times New Roman" w:cs="Times New Roman" w:hint="eastAsia"/>
                <w:kern w:val="2"/>
                <w:sz w:val="21"/>
                <w:szCs w:val="21"/>
              </w:rPr>
              <w:t>经生态</w:t>
            </w:r>
            <w:r w:rsidRPr="00D630D1">
              <w:rPr>
                <w:rFonts w:ascii="Times New Roman" w:cs="Times New Roman"/>
                <w:kern w:val="2"/>
                <w:sz w:val="21"/>
                <w:szCs w:val="21"/>
              </w:rPr>
              <w:t>环保厕所收集后，用作周边农肥，不外排</w:t>
            </w:r>
            <w:r w:rsidRPr="00D630D1">
              <w:rPr>
                <w:rFonts w:ascii="Times New Roman" w:cs="Times New Roman" w:hint="eastAsia"/>
                <w:kern w:val="2"/>
                <w:sz w:val="21"/>
                <w:szCs w:val="21"/>
              </w:rPr>
              <w:t>。</w:t>
            </w:r>
          </w:p>
        </w:tc>
        <w:tc>
          <w:tcPr>
            <w:tcW w:w="241"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r>
      <w:tr w:rsidR="0054593A" w:rsidRPr="00D630D1" w:rsidTr="00035E91">
        <w:trPr>
          <w:trHeight w:val="20"/>
        </w:trPr>
        <w:tc>
          <w:tcPr>
            <w:tcW w:w="424" w:type="pct"/>
            <w:vMerge/>
            <w:vAlign w:val="center"/>
          </w:tcPr>
          <w:p w:rsidR="0054593A" w:rsidRPr="00D630D1" w:rsidRDefault="0054593A">
            <w:pPr>
              <w:pStyle w:val="TableParagraph"/>
              <w:spacing w:line="240" w:lineRule="auto"/>
              <w:ind w:firstLineChars="0" w:firstLine="0"/>
              <w:rPr>
                <w:rFonts w:ascii="Times New Roman" w:cs="Times New Roman"/>
                <w:kern w:val="2"/>
                <w:sz w:val="21"/>
                <w:szCs w:val="21"/>
              </w:rPr>
            </w:pPr>
          </w:p>
        </w:tc>
        <w:tc>
          <w:tcPr>
            <w:tcW w:w="307" w:type="pct"/>
            <w:gridSpan w:val="2"/>
            <w:vMerge/>
            <w:tcBorders>
              <w:right w:val="single" w:sz="2" w:space="0" w:color="000000"/>
            </w:tcBorders>
            <w:vAlign w:val="center"/>
          </w:tcPr>
          <w:p w:rsidR="0054593A" w:rsidRPr="00D630D1" w:rsidRDefault="0054593A" w:rsidP="00A10DD3">
            <w:pPr>
              <w:pStyle w:val="TableParagraph"/>
              <w:kinsoku w:val="0"/>
              <w:overflowPunct w:val="0"/>
              <w:spacing w:line="240" w:lineRule="auto"/>
              <w:ind w:firstLineChars="0" w:firstLine="0"/>
              <w:rPr>
                <w:rFonts w:ascii="Times New Roman" w:cs="Times New Roman"/>
                <w:kern w:val="2"/>
                <w:sz w:val="21"/>
                <w:szCs w:val="21"/>
              </w:rPr>
            </w:pPr>
          </w:p>
        </w:tc>
        <w:tc>
          <w:tcPr>
            <w:tcW w:w="537" w:type="pct"/>
            <w:tcBorders>
              <w:left w:val="single" w:sz="2" w:space="0" w:color="000000"/>
            </w:tcBorders>
            <w:vAlign w:val="center"/>
          </w:tcPr>
          <w:p w:rsidR="0054593A" w:rsidRPr="00D630D1" w:rsidRDefault="0054593A" w:rsidP="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清管试压废水</w:t>
            </w:r>
          </w:p>
        </w:tc>
        <w:tc>
          <w:tcPr>
            <w:tcW w:w="244"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5</w:t>
            </w:r>
          </w:p>
        </w:tc>
        <w:tc>
          <w:tcPr>
            <w:tcW w:w="3247" w:type="pct"/>
            <w:vAlign w:val="center"/>
          </w:tcPr>
          <w:p w:rsidR="0054593A" w:rsidRPr="00D630D1" w:rsidRDefault="0054593A" w:rsidP="006F49C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清管试压废水经沉淀后</w:t>
            </w:r>
            <w:r w:rsidR="006F49C4" w:rsidRPr="00D630D1">
              <w:rPr>
                <w:rFonts w:ascii="Times New Roman" w:cs="Times New Roman" w:hint="eastAsia"/>
                <w:kern w:val="2"/>
                <w:sz w:val="21"/>
                <w:szCs w:val="21"/>
              </w:rPr>
              <w:t>回用，不外排</w:t>
            </w:r>
            <w:r w:rsidRPr="00D630D1">
              <w:rPr>
                <w:rFonts w:ascii="Times New Roman" w:cs="Times New Roman" w:hint="eastAsia"/>
                <w:kern w:val="2"/>
                <w:sz w:val="21"/>
                <w:szCs w:val="21"/>
              </w:rPr>
              <w:t>。</w:t>
            </w:r>
          </w:p>
        </w:tc>
        <w:tc>
          <w:tcPr>
            <w:tcW w:w="241"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r>
      <w:tr w:rsidR="0054593A" w:rsidRPr="00D630D1" w:rsidTr="00035E91">
        <w:trPr>
          <w:trHeight w:val="20"/>
        </w:trPr>
        <w:tc>
          <w:tcPr>
            <w:tcW w:w="424" w:type="pct"/>
            <w:vMerge/>
            <w:vAlign w:val="center"/>
          </w:tcPr>
          <w:p w:rsidR="0054593A" w:rsidRPr="00D630D1" w:rsidRDefault="0054593A">
            <w:pPr>
              <w:pStyle w:val="TableParagraph"/>
              <w:spacing w:line="240" w:lineRule="auto"/>
              <w:ind w:firstLineChars="0" w:firstLine="0"/>
              <w:rPr>
                <w:rFonts w:ascii="Times New Roman" w:cs="Times New Roman"/>
                <w:kern w:val="2"/>
                <w:sz w:val="21"/>
                <w:szCs w:val="21"/>
              </w:rPr>
            </w:pPr>
          </w:p>
        </w:tc>
        <w:tc>
          <w:tcPr>
            <w:tcW w:w="307" w:type="pct"/>
            <w:gridSpan w:val="2"/>
            <w:vMerge/>
            <w:tcBorders>
              <w:right w:val="single" w:sz="2" w:space="0" w:color="000000"/>
            </w:tcBorders>
            <w:vAlign w:val="center"/>
          </w:tcPr>
          <w:p w:rsidR="0054593A" w:rsidRPr="00D630D1" w:rsidRDefault="0054593A" w:rsidP="00A10DD3">
            <w:pPr>
              <w:pStyle w:val="TableParagraph"/>
              <w:kinsoku w:val="0"/>
              <w:overflowPunct w:val="0"/>
              <w:spacing w:line="240" w:lineRule="auto"/>
              <w:ind w:firstLineChars="0" w:firstLine="0"/>
              <w:rPr>
                <w:rFonts w:ascii="Times New Roman" w:cs="Times New Roman"/>
                <w:kern w:val="2"/>
                <w:sz w:val="21"/>
                <w:szCs w:val="21"/>
              </w:rPr>
            </w:pPr>
          </w:p>
        </w:tc>
        <w:tc>
          <w:tcPr>
            <w:tcW w:w="537" w:type="pct"/>
            <w:tcBorders>
              <w:left w:val="single" w:sz="2" w:space="0" w:color="000000"/>
            </w:tcBorders>
            <w:vAlign w:val="center"/>
          </w:tcPr>
          <w:p w:rsidR="0054593A" w:rsidRPr="00D630D1" w:rsidRDefault="0054593A" w:rsidP="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站场施工废水</w:t>
            </w:r>
          </w:p>
        </w:tc>
        <w:tc>
          <w:tcPr>
            <w:tcW w:w="244"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1</w:t>
            </w:r>
            <w:r w:rsidRPr="00D630D1">
              <w:rPr>
                <w:rFonts w:ascii="Times New Roman" w:cs="Times New Roman"/>
                <w:kern w:val="2"/>
                <w:sz w:val="21"/>
                <w:szCs w:val="21"/>
              </w:rPr>
              <w:t>0</w:t>
            </w:r>
          </w:p>
        </w:tc>
        <w:tc>
          <w:tcPr>
            <w:tcW w:w="3247"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设置施工废水沉淀池，施工废水沉淀后回用</w:t>
            </w:r>
            <w:r w:rsidR="006F49C4" w:rsidRPr="00D630D1">
              <w:rPr>
                <w:rFonts w:ascii="Times New Roman" w:cs="Times New Roman" w:hint="eastAsia"/>
                <w:kern w:val="2"/>
                <w:sz w:val="21"/>
                <w:szCs w:val="21"/>
              </w:rPr>
              <w:t>。</w:t>
            </w:r>
          </w:p>
        </w:tc>
        <w:tc>
          <w:tcPr>
            <w:tcW w:w="241"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r>
      <w:tr w:rsidR="0054593A" w:rsidRPr="00D630D1" w:rsidTr="00035E91">
        <w:trPr>
          <w:trHeight w:val="20"/>
        </w:trPr>
        <w:tc>
          <w:tcPr>
            <w:tcW w:w="424" w:type="pct"/>
            <w:vMerge/>
            <w:vAlign w:val="center"/>
          </w:tcPr>
          <w:p w:rsidR="0054593A" w:rsidRPr="00D630D1" w:rsidRDefault="0054593A">
            <w:pPr>
              <w:pStyle w:val="TableParagraph"/>
              <w:spacing w:line="240" w:lineRule="auto"/>
              <w:ind w:firstLineChars="0" w:firstLine="0"/>
              <w:rPr>
                <w:rFonts w:ascii="Times New Roman" w:cs="Times New Roman"/>
                <w:kern w:val="2"/>
                <w:sz w:val="21"/>
                <w:szCs w:val="21"/>
              </w:rPr>
            </w:pPr>
          </w:p>
        </w:tc>
        <w:tc>
          <w:tcPr>
            <w:tcW w:w="307" w:type="pct"/>
            <w:gridSpan w:val="2"/>
            <w:vMerge/>
            <w:tcBorders>
              <w:right w:val="single" w:sz="2" w:space="0" w:color="000000"/>
            </w:tcBorders>
            <w:vAlign w:val="center"/>
          </w:tcPr>
          <w:p w:rsidR="0054593A" w:rsidRPr="00D630D1" w:rsidRDefault="0054593A" w:rsidP="00A10DD3">
            <w:pPr>
              <w:pStyle w:val="TableParagraph"/>
              <w:kinsoku w:val="0"/>
              <w:overflowPunct w:val="0"/>
              <w:spacing w:line="240" w:lineRule="auto"/>
              <w:ind w:firstLineChars="0" w:firstLine="0"/>
              <w:rPr>
                <w:rFonts w:ascii="Times New Roman" w:cs="Times New Roman"/>
                <w:kern w:val="2"/>
                <w:sz w:val="21"/>
                <w:szCs w:val="21"/>
              </w:rPr>
            </w:pPr>
          </w:p>
        </w:tc>
        <w:tc>
          <w:tcPr>
            <w:tcW w:w="537" w:type="pct"/>
            <w:tcBorders>
              <w:left w:val="single" w:sz="2" w:space="0" w:color="000000"/>
            </w:tcBorders>
            <w:vAlign w:val="center"/>
          </w:tcPr>
          <w:p w:rsidR="0054593A" w:rsidRPr="00D630D1" w:rsidRDefault="0054593A" w:rsidP="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初期雨水</w:t>
            </w:r>
          </w:p>
        </w:tc>
        <w:tc>
          <w:tcPr>
            <w:tcW w:w="244" w:type="pct"/>
            <w:vAlign w:val="center"/>
          </w:tcPr>
          <w:p w:rsidR="0054593A" w:rsidRPr="00D630D1" w:rsidRDefault="00502B3B">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10</w:t>
            </w:r>
          </w:p>
        </w:tc>
        <w:tc>
          <w:tcPr>
            <w:tcW w:w="3247" w:type="pct"/>
            <w:vAlign w:val="center"/>
          </w:tcPr>
          <w:p w:rsidR="0054593A" w:rsidRPr="00D630D1" w:rsidRDefault="0054593A" w:rsidP="000C632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在井场四周设排水边沟，井场雨水随四周排水边沟经监控池外排；场内井架基础、设备基础、循环罐基础周边设环状排污沟，污水可经排污沟排至</w:t>
            </w:r>
            <w:r w:rsidR="000C6323" w:rsidRPr="00D630D1">
              <w:rPr>
                <w:rFonts w:ascii="Times New Roman" w:cs="Times New Roman" w:hint="eastAsia"/>
                <w:kern w:val="2"/>
                <w:sz w:val="21"/>
                <w:szCs w:val="21"/>
              </w:rPr>
              <w:t>清洁化操作平台</w:t>
            </w:r>
            <w:r w:rsidR="006F49C4" w:rsidRPr="00D630D1">
              <w:rPr>
                <w:rFonts w:ascii="Times New Roman" w:cs="Times New Roman" w:hint="eastAsia"/>
                <w:kern w:val="2"/>
                <w:sz w:val="21"/>
                <w:szCs w:val="21"/>
              </w:rPr>
              <w:t>。</w:t>
            </w:r>
          </w:p>
        </w:tc>
        <w:tc>
          <w:tcPr>
            <w:tcW w:w="241"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r>
      <w:tr w:rsidR="0054593A" w:rsidRPr="00D630D1" w:rsidTr="00035E91">
        <w:trPr>
          <w:trHeight w:val="20"/>
        </w:trPr>
        <w:tc>
          <w:tcPr>
            <w:tcW w:w="424" w:type="pct"/>
            <w:vMerge/>
            <w:vAlign w:val="center"/>
          </w:tcPr>
          <w:p w:rsidR="0054593A" w:rsidRPr="00D630D1" w:rsidRDefault="0054593A">
            <w:pPr>
              <w:pStyle w:val="TableParagraph"/>
              <w:spacing w:line="240" w:lineRule="auto"/>
              <w:ind w:firstLineChars="0" w:firstLine="0"/>
              <w:rPr>
                <w:rFonts w:ascii="Times New Roman" w:cs="Times New Roman"/>
                <w:kern w:val="2"/>
                <w:sz w:val="21"/>
                <w:szCs w:val="21"/>
              </w:rPr>
            </w:pPr>
          </w:p>
        </w:tc>
        <w:tc>
          <w:tcPr>
            <w:tcW w:w="307" w:type="pct"/>
            <w:gridSpan w:val="2"/>
            <w:vMerge/>
            <w:tcBorders>
              <w:right w:val="single" w:sz="2" w:space="0" w:color="000000"/>
            </w:tcBorders>
            <w:vAlign w:val="center"/>
          </w:tcPr>
          <w:p w:rsidR="0054593A" w:rsidRPr="00D630D1" w:rsidRDefault="0054593A" w:rsidP="00A10DD3">
            <w:pPr>
              <w:pStyle w:val="TableParagraph"/>
              <w:kinsoku w:val="0"/>
              <w:overflowPunct w:val="0"/>
              <w:spacing w:line="240" w:lineRule="auto"/>
              <w:ind w:firstLineChars="0" w:firstLine="0"/>
              <w:rPr>
                <w:rFonts w:ascii="Times New Roman" w:cs="Times New Roman"/>
                <w:kern w:val="2"/>
                <w:sz w:val="21"/>
                <w:szCs w:val="21"/>
              </w:rPr>
            </w:pPr>
          </w:p>
        </w:tc>
        <w:tc>
          <w:tcPr>
            <w:tcW w:w="537" w:type="pct"/>
            <w:tcBorders>
              <w:left w:val="single" w:sz="2" w:space="0" w:color="000000"/>
            </w:tcBorders>
            <w:vAlign w:val="center"/>
          </w:tcPr>
          <w:p w:rsidR="0054593A" w:rsidRPr="00D630D1" w:rsidRDefault="0054593A" w:rsidP="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钻井废水</w:t>
            </w:r>
          </w:p>
        </w:tc>
        <w:tc>
          <w:tcPr>
            <w:tcW w:w="244" w:type="pct"/>
            <w:vAlign w:val="center"/>
          </w:tcPr>
          <w:p w:rsidR="0054593A" w:rsidRPr="00D630D1" w:rsidRDefault="00C04B07">
            <w:pPr>
              <w:pStyle w:val="TableParagraph"/>
              <w:kinsoku w:val="0"/>
              <w:overflowPunct w:val="0"/>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600</w:t>
            </w:r>
          </w:p>
        </w:tc>
        <w:tc>
          <w:tcPr>
            <w:tcW w:w="3247" w:type="pct"/>
            <w:vAlign w:val="center"/>
          </w:tcPr>
          <w:p w:rsidR="0054593A" w:rsidRPr="00D630D1" w:rsidRDefault="000C6323" w:rsidP="000C632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经清洁化操作平台</w:t>
            </w:r>
            <w:r w:rsidR="0054593A" w:rsidRPr="00D630D1">
              <w:rPr>
                <w:rFonts w:ascii="Times New Roman" w:cs="Times New Roman" w:hint="eastAsia"/>
                <w:kern w:val="2"/>
                <w:sz w:val="21"/>
                <w:szCs w:val="21"/>
              </w:rPr>
              <w:t>中预处理后，拉至毛开</w:t>
            </w:r>
            <w:r w:rsidR="0054593A" w:rsidRPr="00D630D1">
              <w:rPr>
                <w:rFonts w:ascii="Times New Roman" w:cs="Times New Roman" w:hint="eastAsia"/>
                <w:kern w:val="2"/>
                <w:sz w:val="21"/>
                <w:szCs w:val="21"/>
              </w:rPr>
              <w:t>1</w:t>
            </w:r>
            <w:r w:rsidR="0054593A" w:rsidRPr="00D630D1">
              <w:rPr>
                <w:rFonts w:ascii="Times New Roman" w:cs="Times New Roman" w:hint="eastAsia"/>
                <w:kern w:val="2"/>
                <w:sz w:val="21"/>
                <w:szCs w:val="21"/>
              </w:rPr>
              <w:t>井回注站回注</w:t>
            </w:r>
            <w:r w:rsidR="006F49C4" w:rsidRPr="00D630D1">
              <w:rPr>
                <w:rFonts w:ascii="Times New Roman" w:cs="Times New Roman" w:hint="eastAsia"/>
                <w:kern w:val="2"/>
                <w:sz w:val="21"/>
                <w:szCs w:val="21"/>
              </w:rPr>
              <w:t>。</w:t>
            </w:r>
          </w:p>
        </w:tc>
        <w:tc>
          <w:tcPr>
            <w:tcW w:w="241"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r>
      <w:tr w:rsidR="0054593A" w:rsidRPr="00D630D1" w:rsidTr="00035E91">
        <w:trPr>
          <w:trHeight w:val="20"/>
        </w:trPr>
        <w:tc>
          <w:tcPr>
            <w:tcW w:w="424" w:type="pct"/>
            <w:vMerge/>
            <w:vAlign w:val="center"/>
          </w:tcPr>
          <w:p w:rsidR="0054593A" w:rsidRPr="00D630D1" w:rsidRDefault="0054593A">
            <w:pPr>
              <w:pStyle w:val="TableParagraph"/>
              <w:spacing w:line="240" w:lineRule="auto"/>
              <w:ind w:firstLineChars="0" w:firstLine="0"/>
              <w:rPr>
                <w:rFonts w:ascii="Times New Roman" w:cs="Times New Roman"/>
                <w:kern w:val="2"/>
                <w:sz w:val="21"/>
                <w:szCs w:val="21"/>
              </w:rPr>
            </w:pPr>
          </w:p>
        </w:tc>
        <w:tc>
          <w:tcPr>
            <w:tcW w:w="307" w:type="pct"/>
            <w:gridSpan w:val="2"/>
            <w:vMerge/>
            <w:tcBorders>
              <w:right w:val="single" w:sz="2" w:space="0" w:color="000000"/>
            </w:tcBorders>
            <w:vAlign w:val="center"/>
          </w:tcPr>
          <w:p w:rsidR="0054593A" w:rsidRPr="00D630D1" w:rsidRDefault="0054593A" w:rsidP="00A10DD3">
            <w:pPr>
              <w:pStyle w:val="TableParagraph"/>
              <w:kinsoku w:val="0"/>
              <w:overflowPunct w:val="0"/>
              <w:spacing w:line="240" w:lineRule="auto"/>
              <w:ind w:firstLineChars="0" w:firstLine="0"/>
              <w:rPr>
                <w:rFonts w:ascii="Times New Roman" w:cs="Times New Roman"/>
                <w:kern w:val="2"/>
                <w:sz w:val="21"/>
                <w:szCs w:val="21"/>
              </w:rPr>
            </w:pPr>
          </w:p>
        </w:tc>
        <w:tc>
          <w:tcPr>
            <w:tcW w:w="537" w:type="pct"/>
            <w:tcBorders>
              <w:left w:val="single" w:sz="2" w:space="0" w:color="000000"/>
            </w:tcBorders>
            <w:vAlign w:val="center"/>
          </w:tcPr>
          <w:p w:rsidR="0054593A" w:rsidRPr="00D630D1" w:rsidRDefault="0054593A" w:rsidP="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压裂、洗井</w:t>
            </w:r>
            <w:r w:rsidRPr="00D630D1">
              <w:rPr>
                <w:rFonts w:ascii="Times New Roman" w:cs="Times New Roman"/>
                <w:kern w:val="2"/>
                <w:sz w:val="21"/>
                <w:szCs w:val="21"/>
              </w:rPr>
              <w:t>废水</w:t>
            </w:r>
          </w:p>
        </w:tc>
        <w:tc>
          <w:tcPr>
            <w:tcW w:w="244" w:type="pct"/>
            <w:vAlign w:val="center"/>
          </w:tcPr>
          <w:p w:rsidR="0054593A" w:rsidRPr="00D630D1" w:rsidRDefault="00C04B07" w:rsidP="00EF360A">
            <w:pPr>
              <w:pStyle w:val="TableParagraph"/>
              <w:kinsoku w:val="0"/>
              <w:overflowPunct w:val="0"/>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56</w:t>
            </w:r>
            <w:r w:rsidR="0054593A" w:rsidRPr="00D630D1">
              <w:rPr>
                <w:rFonts w:ascii="Times New Roman" w:cs="Times New Roman" w:hint="eastAsia"/>
                <w:kern w:val="2"/>
                <w:sz w:val="21"/>
                <w:szCs w:val="21"/>
              </w:rPr>
              <w:t>0</w:t>
            </w:r>
          </w:p>
        </w:tc>
        <w:tc>
          <w:tcPr>
            <w:tcW w:w="3247" w:type="pct"/>
            <w:vAlign w:val="center"/>
          </w:tcPr>
          <w:p w:rsidR="0054593A" w:rsidRPr="00D630D1" w:rsidRDefault="00775840">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压裂废水和洗井废水</w:t>
            </w:r>
            <w:r w:rsidRPr="00D630D1">
              <w:rPr>
                <w:rFonts w:ascii="Times New Roman" w:cs="Times New Roman" w:hint="eastAsia"/>
                <w:kern w:val="2"/>
                <w:sz w:val="21"/>
                <w:szCs w:val="21"/>
              </w:rPr>
              <w:t>部分</w:t>
            </w:r>
            <w:r w:rsidRPr="00D630D1">
              <w:rPr>
                <w:rFonts w:ascii="Times New Roman" w:cs="Times New Roman"/>
                <w:kern w:val="2"/>
                <w:sz w:val="21"/>
                <w:szCs w:val="21"/>
              </w:rPr>
              <w:t>暂存</w:t>
            </w:r>
            <w:r w:rsidRPr="00D630D1">
              <w:rPr>
                <w:rFonts w:ascii="Times New Roman" w:cs="Times New Roman" w:hint="eastAsia"/>
                <w:kern w:val="2"/>
                <w:sz w:val="21"/>
                <w:szCs w:val="21"/>
              </w:rPr>
              <w:t>于放喷池，剩余部分暂存于污水缓冲罐</w:t>
            </w:r>
            <w:r w:rsidRPr="00D630D1">
              <w:rPr>
                <w:rFonts w:ascii="Times New Roman" w:cs="Times New Roman"/>
                <w:kern w:val="2"/>
                <w:sz w:val="21"/>
                <w:szCs w:val="21"/>
              </w:rPr>
              <w:t>，装车拉运至大湾</w:t>
            </w:r>
            <w:r w:rsidRPr="00D630D1">
              <w:rPr>
                <w:rFonts w:ascii="Times New Roman" w:cs="Times New Roman"/>
                <w:kern w:val="2"/>
                <w:sz w:val="21"/>
                <w:szCs w:val="21"/>
              </w:rPr>
              <w:t>403</w:t>
            </w:r>
            <w:r w:rsidRPr="00D630D1">
              <w:rPr>
                <w:rFonts w:ascii="Times New Roman" w:cs="Times New Roman"/>
                <w:kern w:val="2"/>
                <w:sz w:val="21"/>
                <w:szCs w:val="21"/>
              </w:rPr>
              <w:t>污水站处理达标后管输至毛开</w:t>
            </w:r>
            <w:r w:rsidRPr="00D630D1">
              <w:rPr>
                <w:rFonts w:ascii="Times New Roman" w:cs="Times New Roman"/>
                <w:kern w:val="2"/>
                <w:sz w:val="21"/>
                <w:szCs w:val="21"/>
              </w:rPr>
              <w:t>1</w:t>
            </w:r>
            <w:r w:rsidRPr="00D630D1">
              <w:rPr>
                <w:rFonts w:ascii="Times New Roman" w:cs="Times New Roman"/>
                <w:kern w:val="2"/>
                <w:sz w:val="21"/>
                <w:szCs w:val="21"/>
              </w:rPr>
              <w:t>井回注站回注</w:t>
            </w:r>
            <w:r w:rsidR="006F49C4" w:rsidRPr="00D630D1">
              <w:rPr>
                <w:rFonts w:ascii="Times New Roman" w:cs="Times New Roman" w:hint="eastAsia"/>
                <w:kern w:val="2"/>
                <w:sz w:val="21"/>
                <w:szCs w:val="21"/>
              </w:rPr>
              <w:t>。</w:t>
            </w:r>
          </w:p>
        </w:tc>
        <w:tc>
          <w:tcPr>
            <w:tcW w:w="241" w:type="pct"/>
            <w:vAlign w:val="center"/>
          </w:tcPr>
          <w:p w:rsidR="0054593A"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r>
      <w:tr w:rsidR="007200A5" w:rsidRPr="00D630D1" w:rsidTr="00035E91">
        <w:trPr>
          <w:trHeight w:val="20"/>
        </w:trPr>
        <w:tc>
          <w:tcPr>
            <w:tcW w:w="424" w:type="pct"/>
            <w:vMerge/>
            <w:vAlign w:val="center"/>
          </w:tcPr>
          <w:p w:rsidR="007200A5" w:rsidRPr="00D630D1" w:rsidRDefault="007200A5">
            <w:pPr>
              <w:pStyle w:val="TableParagraph"/>
              <w:spacing w:line="240" w:lineRule="auto"/>
              <w:ind w:firstLineChars="0" w:firstLine="0"/>
              <w:rPr>
                <w:rFonts w:ascii="Times New Roman" w:cs="Times New Roman"/>
                <w:kern w:val="2"/>
                <w:sz w:val="21"/>
                <w:szCs w:val="21"/>
              </w:rPr>
            </w:pPr>
          </w:p>
        </w:tc>
        <w:tc>
          <w:tcPr>
            <w:tcW w:w="307" w:type="pct"/>
            <w:gridSpan w:val="2"/>
            <w:vMerge w:val="restart"/>
            <w:tcBorders>
              <w:right w:val="single" w:sz="2" w:space="0" w:color="000000"/>
            </w:tcBorders>
            <w:vAlign w:val="center"/>
          </w:tcPr>
          <w:p w:rsidR="007200A5" w:rsidRPr="00D630D1" w:rsidRDefault="007200A5" w:rsidP="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运营期</w:t>
            </w:r>
          </w:p>
        </w:tc>
        <w:tc>
          <w:tcPr>
            <w:tcW w:w="537" w:type="pct"/>
            <w:tcBorders>
              <w:left w:val="single" w:sz="2" w:space="0" w:color="000000"/>
            </w:tcBorders>
            <w:vAlign w:val="center"/>
          </w:tcPr>
          <w:p w:rsidR="007200A5" w:rsidRPr="00D630D1" w:rsidRDefault="007200A5" w:rsidP="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气田水</w:t>
            </w:r>
          </w:p>
        </w:tc>
        <w:tc>
          <w:tcPr>
            <w:tcW w:w="244" w:type="pct"/>
            <w:vAlign w:val="center"/>
          </w:tcPr>
          <w:p w:rsidR="007200A5" w:rsidRPr="00D630D1" w:rsidRDefault="007200A5">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c>
          <w:tcPr>
            <w:tcW w:w="3247" w:type="pct"/>
            <w:vAlign w:val="center"/>
          </w:tcPr>
          <w:p w:rsidR="007200A5" w:rsidRPr="00D630D1" w:rsidRDefault="007200A5" w:rsidP="009F5E5D">
            <w:pPr>
              <w:pStyle w:val="TableParagraph"/>
              <w:kinsoku w:val="0"/>
              <w:overflowPunct w:val="0"/>
              <w:spacing w:line="240" w:lineRule="auto"/>
              <w:ind w:firstLineChars="0" w:firstLine="0"/>
              <w:rPr>
                <w:rFonts w:ascii="Times New Roman" w:cs="Times New Roman"/>
                <w:kern w:val="2"/>
                <w:sz w:val="21"/>
                <w:szCs w:val="21"/>
              </w:rPr>
            </w:pPr>
            <w:r w:rsidRPr="007200A5">
              <w:rPr>
                <w:rFonts w:ascii="Times New Roman" w:cs="Times New Roman"/>
                <w:kern w:val="2"/>
                <w:sz w:val="21"/>
                <w:szCs w:val="21"/>
              </w:rPr>
              <w:t>本项目运营期产生的气田水</w:t>
            </w:r>
            <w:r w:rsidRPr="007200A5">
              <w:rPr>
                <w:rFonts w:ascii="Times New Roman" w:cs="Times New Roman" w:hint="eastAsia"/>
                <w:kern w:val="2"/>
                <w:sz w:val="21"/>
                <w:szCs w:val="21"/>
              </w:rPr>
              <w:t>暂存于污水缓冲罐</w:t>
            </w:r>
            <w:r w:rsidRPr="007200A5">
              <w:rPr>
                <w:rFonts w:ascii="Times New Roman" w:cs="Times New Roman"/>
                <w:kern w:val="2"/>
                <w:sz w:val="21"/>
                <w:szCs w:val="21"/>
              </w:rPr>
              <w:t>，然后通过密闭罐车拉运至大湾</w:t>
            </w:r>
            <w:r w:rsidRPr="007200A5">
              <w:rPr>
                <w:rFonts w:ascii="Times New Roman" w:cs="Times New Roman"/>
                <w:kern w:val="2"/>
                <w:sz w:val="21"/>
                <w:szCs w:val="21"/>
              </w:rPr>
              <w:t>403</w:t>
            </w:r>
            <w:r w:rsidRPr="007200A5">
              <w:rPr>
                <w:rFonts w:ascii="Times New Roman" w:cs="Times New Roman"/>
                <w:kern w:val="2"/>
                <w:sz w:val="21"/>
                <w:szCs w:val="21"/>
              </w:rPr>
              <w:t>污水站处理达到《气田水回注方法》（</w:t>
            </w:r>
            <w:r w:rsidRPr="007200A5">
              <w:rPr>
                <w:rFonts w:ascii="Times New Roman" w:cs="Times New Roman"/>
                <w:kern w:val="2"/>
                <w:sz w:val="21"/>
                <w:szCs w:val="21"/>
              </w:rPr>
              <w:t>SY/T 6596</w:t>
            </w:r>
            <w:r w:rsidRPr="007200A5">
              <w:rPr>
                <w:rFonts w:ascii="Times New Roman" w:cs="Times New Roman" w:hint="eastAsia"/>
                <w:kern w:val="2"/>
                <w:sz w:val="21"/>
                <w:szCs w:val="21"/>
              </w:rPr>
              <w:t>-</w:t>
            </w:r>
            <w:r w:rsidRPr="007200A5">
              <w:rPr>
                <w:rFonts w:ascii="Times New Roman" w:cs="Times New Roman"/>
                <w:kern w:val="2"/>
                <w:sz w:val="21"/>
                <w:szCs w:val="21"/>
              </w:rPr>
              <w:t>2016</w:t>
            </w:r>
            <w:r w:rsidRPr="007200A5">
              <w:rPr>
                <w:rFonts w:ascii="Times New Roman" w:cs="Times New Roman"/>
                <w:kern w:val="2"/>
                <w:sz w:val="21"/>
                <w:szCs w:val="21"/>
              </w:rPr>
              <w:t>）中注入水基本要求后管输至毛开</w:t>
            </w:r>
            <w:r w:rsidRPr="007200A5">
              <w:rPr>
                <w:rFonts w:ascii="Times New Roman" w:cs="Times New Roman"/>
                <w:kern w:val="2"/>
                <w:sz w:val="21"/>
                <w:szCs w:val="21"/>
              </w:rPr>
              <w:t>1</w:t>
            </w:r>
            <w:r w:rsidRPr="007200A5">
              <w:rPr>
                <w:rFonts w:ascii="Times New Roman" w:cs="Times New Roman"/>
                <w:kern w:val="2"/>
                <w:sz w:val="21"/>
                <w:szCs w:val="21"/>
              </w:rPr>
              <w:t>井回注站回注处理，不外排</w:t>
            </w:r>
            <w:r w:rsidRPr="00D630D1">
              <w:rPr>
                <w:rFonts w:ascii="Times New Roman" w:cs="Times New Roman"/>
                <w:kern w:val="2"/>
                <w:sz w:val="21"/>
                <w:szCs w:val="21"/>
              </w:rPr>
              <w:t>。</w:t>
            </w:r>
          </w:p>
        </w:tc>
        <w:tc>
          <w:tcPr>
            <w:tcW w:w="241" w:type="pct"/>
            <w:vAlign w:val="center"/>
          </w:tcPr>
          <w:p w:rsidR="007200A5" w:rsidRPr="00D630D1" w:rsidRDefault="007200A5">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r>
      <w:tr w:rsidR="007200A5" w:rsidRPr="00D630D1" w:rsidTr="00035E91">
        <w:trPr>
          <w:trHeight w:val="20"/>
        </w:trPr>
        <w:tc>
          <w:tcPr>
            <w:tcW w:w="424" w:type="pct"/>
            <w:vAlign w:val="center"/>
          </w:tcPr>
          <w:p w:rsidR="007200A5" w:rsidRPr="00D630D1" w:rsidRDefault="007200A5">
            <w:pPr>
              <w:pStyle w:val="TableParagraph"/>
              <w:spacing w:line="240" w:lineRule="auto"/>
              <w:ind w:firstLineChars="0" w:firstLine="0"/>
              <w:rPr>
                <w:rFonts w:ascii="Times New Roman" w:cs="Times New Roman"/>
                <w:kern w:val="2"/>
                <w:sz w:val="21"/>
                <w:szCs w:val="21"/>
              </w:rPr>
            </w:pPr>
          </w:p>
        </w:tc>
        <w:tc>
          <w:tcPr>
            <w:tcW w:w="307" w:type="pct"/>
            <w:gridSpan w:val="2"/>
            <w:vMerge/>
            <w:tcBorders>
              <w:right w:val="single" w:sz="2" w:space="0" w:color="000000"/>
            </w:tcBorders>
            <w:vAlign w:val="center"/>
          </w:tcPr>
          <w:p w:rsidR="007200A5" w:rsidRPr="00D630D1" w:rsidRDefault="007200A5" w:rsidP="00A10DD3">
            <w:pPr>
              <w:pStyle w:val="TableParagraph"/>
              <w:kinsoku w:val="0"/>
              <w:overflowPunct w:val="0"/>
              <w:spacing w:line="240" w:lineRule="auto"/>
              <w:ind w:firstLineChars="0" w:firstLine="0"/>
              <w:rPr>
                <w:rFonts w:ascii="Times New Roman" w:cs="Times New Roman"/>
                <w:kern w:val="2"/>
                <w:sz w:val="21"/>
                <w:szCs w:val="21"/>
              </w:rPr>
            </w:pPr>
          </w:p>
        </w:tc>
        <w:tc>
          <w:tcPr>
            <w:tcW w:w="537" w:type="pct"/>
            <w:tcBorders>
              <w:left w:val="single" w:sz="2" w:space="0" w:color="000000"/>
            </w:tcBorders>
            <w:vAlign w:val="center"/>
          </w:tcPr>
          <w:p w:rsidR="007200A5" w:rsidRPr="00D630D1" w:rsidRDefault="007200A5" w:rsidP="00A10DD3">
            <w:pPr>
              <w:pStyle w:val="TableParagraph"/>
              <w:kinsoku w:val="0"/>
              <w:overflowPunct w:val="0"/>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生活污水</w:t>
            </w:r>
          </w:p>
        </w:tc>
        <w:tc>
          <w:tcPr>
            <w:tcW w:w="244" w:type="pct"/>
            <w:vAlign w:val="center"/>
          </w:tcPr>
          <w:p w:rsidR="007200A5" w:rsidRPr="00D630D1" w:rsidRDefault="007200A5">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c>
          <w:tcPr>
            <w:tcW w:w="3247" w:type="pct"/>
            <w:vAlign w:val="center"/>
          </w:tcPr>
          <w:p w:rsidR="007200A5" w:rsidRPr="007200A5" w:rsidRDefault="007200A5" w:rsidP="009F5E5D">
            <w:pPr>
              <w:pStyle w:val="TableParagraph"/>
              <w:kinsoku w:val="0"/>
              <w:overflowPunct w:val="0"/>
              <w:spacing w:line="240" w:lineRule="auto"/>
              <w:ind w:firstLineChars="0" w:firstLine="0"/>
              <w:rPr>
                <w:rFonts w:ascii="Times New Roman" w:cs="Times New Roman"/>
                <w:kern w:val="2"/>
                <w:sz w:val="21"/>
                <w:szCs w:val="21"/>
              </w:rPr>
            </w:pPr>
            <w:r w:rsidRPr="007200A5">
              <w:rPr>
                <w:rFonts w:ascii="Times New Roman" w:cs="Times New Roman" w:hint="eastAsia"/>
                <w:kern w:val="2"/>
                <w:sz w:val="21"/>
                <w:szCs w:val="21"/>
              </w:rPr>
              <w:t>值守</w:t>
            </w:r>
            <w:r w:rsidRPr="007200A5">
              <w:rPr>
                <w:rFonts w:ascii="Times New Roman" w:cs="Times New Roman"/>
                <w:kern w:val="2"/>
                <w:sz w:val="21"/>
                <w:szCs w:val="21"/>
              </w:rPr>
              <w:t>人员生活</w:t>
            </w:r>
            <w:r w:rsidRPr="007200A5">
              <w:rPr>
                <w:rFonts w:ascii="Times New Roman" w:cs="Times New Roman" w:hint="eastAsia"/>
                <w:kern w:val="2"/>
                <w:sz w:val="21"/>
                <w:szCs w:val="21"/>
              </w:rPr>
              <w:t>污水经</w:t>
            </w:r>
            <w:r w:rsidRPr="007200A5">
              <w:rPr>
                <w:rFonts w:ascii="Times New Roman" w:cs="Times New Roman"/>
                <w:kern w:val="2"/>
                <w:sz w:val="21"/>
                <w:szCs w:val="21"/>
              </w:rPr>
              <w:t>生态环保厕所收集后，用作周边农肥，不外排</w:t>
            </w:r>
            <w:r>
              <w:rPr>
                <w:rFonts w:ascii="Times New Roman" w:cs="Times New Roman" w:hint="eastAsia"/>
                <w:kern w:val="2"/>
                <w:sz w:val="21"/>
                <w:szCs w:val="21"/>
              </w:rPr>
              <w:t>。</w:t>
            </w:r>
          </w:p>
        </w:tc>
        <w:tc>
          <w:tcPr>
            <w:tcW w:w="241" w:type="pct"/>
            <w:vAlign w:val="center"/>
          </w:tcPr>
          <w:p w:rsidR="007200A5" w:rsidRPr="00D630D1" w:rsidRDefault="007200A5">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r>
      <w:tr w:rsidR="00035E91" w:rsidRPr="00D630D1" w:rsidTr="00035E91">
        <w:trPr>
          <w:trHeight w:val="20"/>
        </w:trPr>
        <w:tc>
          <w:tcPr>
            <w:tcW w:w="424" w:type="pct"/>
            <w:vMerge w:val="restart"/>
            <w:vAlign w:val="center"/>
          </w:tcPr>
          <w:p w:rsidR="00035E91" w:rsidRPr="00D630D1" w:rsidRDefault="00035E91">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噪声防治措施</w:t>
            </w:r>
          </w:p>
        </w:tc>
        <w:tc>
          <w:tcPr>
            <w:tcW w:w="844" w:type="pct"/>
            <w:gridSpan w:val="3"/>
            <w:vAlign w:val="center"/>
          </w:tcPr>
          <w:p w:rsidR="00035E91" w:rsidRPr="00D630D1" w:rsidRDefault="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施工期</w:t>
            </w:r>
          </w:p>
        </w:tc>
        <w:tc>
          <w:tcPr>
            <w:tcW w:w="244" w:type="pct"/>
            <w:vAlign w:val="center"/>
          </w:tcPr>
          <w:p w:rsidR="00035E91" w:rsidRPr="00D630D1" w:rsidRDefault="0054593A">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20</w:t>
            </w:r>
          </w:p>
        </w:tc>
        <w:tc>
          <w:tcPr>
            <w:tcW w:w="3247" w:type="pct"/>
            <w:vAlign w:val="center"/>
          </w:tcPr>
          <w:p w:rsidR="00035E91" w:rsidRPr="00D630D1" w:rsidRDefault="00035E91">
            <w:pPr>
              <w:pStyle w:val="TableParagraph"/>
              <w:kinsoku w:val="0"/>
              <w:overflowPunct w:val="0"/>
              <w:spacing w:line="240" w:lineRule="auto"/>
              <w:ind w:firstLineChars="0" w:firstLine="0"/>
              <w:rPr>
                <w:rFonts w:ascii="Times New Roman" w:cs="Times New Roman"/>
                <w:kern w:val="2"/>
                <w:sz w:val="21"/>
                <w:szCs w:val="21"/>
              </w:rPr>
            </w:pPr>
            <w:bookmarkStart w:id="651" w:name="_Hlk22306402"/>
            <w:r w:rsidRPr="00D630D1">
              <w:rPr>
                <w:rFonts w:ascii="Times New Roman" w:cs="Times New Roman"/>
                <w:kern w:val="2"/>
                <w:sz w:val="21"/>
                <w:szCs w:val="21"/>
              </w:rPr>
              <w:t>合理安排施工作业时间，合理布局施工现场，禁止夜间施工</w:t>
            </w:r>
            <w:bookmarkEnd w:id="651"/>
            <w:r w:rsidR="0054593A" w:rsidRPr="00D630D1">
              <w:rPr>
                <w:rFonts w:ascii="Times New Roman" w:cs="Times New Roman" w:hint="eastAsia"/>
                <w:kern w:val="2"/>
                <w:sz w:val="21"/>
                <w:szCs w:val="21"/>
              </w:rPr>
              <w:t>；钻井使用网电</w:t>
            </w:r>
            <w:r w:rsidR="006F49C4" w:rsidRPr="00D630D1">
              <w:rPr>
                <w:rFonts w:ascii="Times New Roman" w:cs="Times New Roman" w:hint="eastAsia"/>
                <w:kern w:val="2"/>
                <w:sz w:val="21"/>
                <w:szCs w:val="21"/>
              </w:rPr>
              <w:t>。</w:t>
            </w:r>
          </w:p>
        </w:tc>
        <w:tc>
          <w:tcPr>
            <w:tcW w:w="241" w:type="pct"/>
            <w:vAlign w:val="center"/>
          </w:tcPr>
          <w:p w:rsidR="00035E91" w:rsidRPr="00D630D1" w:rsidRDefault="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r>
      <w:tr w:rsidR="00035E91" w:rsidRPr="00D630D1" w:rsidTr="00035E91">
        <w:trPr>
          <w:trHeight w:val="20"/>
        </w:trPr>
        <w:tc>
          <w:tcPr>
            <w:tcW w:w="424" w:type="pct"/>
            <w:vMerge/>
            <w:vAlign w:val="center"/>
          </w:tcPr>
          <w:p w:rsidR="00035E91" w:rsidRPr="00D630D1" w:rsidRDefault="00035E91">
            <w:pPr>
              <w:pStyle w:val="TableParagraph"/>
              <w:spacing w:line="240" w:lineRule="auto"/>
              <w:ind w:firstLineChars="0" w:firstLine="0"/>
              <w:rPr>
                <w:rFonts w:ascii="Times New Roman" w:cs="Times New Roman"/>
                <w:kern w:val="2"/>
                <w:sz w:val="21"/>
                <w:szCs w:val="21"/>
              </w:rPr>
            </w:pPr>
          </w:p>
        </w:tc>
        <w:tc>
          <w:tcPr>
            <w:tcW w:w="844" w:type="pct"/>
            <w:gridSpan w:val="3"/>
            <w:vAlign w:val="center"/>
          </w:tcPr>
          <w:p w:rsidR="00035E91" w:rsidRPr="00D630D1" w:rsidRDefault="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运营期</w:t>
            </w:r>
          </w:p>
        </w:tc>
        <w:tc>
          <w:tcPr>
            <w:tcW w:w="244" w:type="pct"/>
            <w:vAlign w:val="center"/>
          </w:tcPr>
          <w:p w:rsidR="00035E91" w:rsidRPr="00D630D1" w:rsidRDefault="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c>
          <w:tcPr>
            <w:tcW w:w="3247" w:type="pct"/>
            <w:vAlign w:val="center"/>
          </w:tcPr>
          <w:p w:rsidR="00035E91" w:rsidRPr="00D630D1" w:rsidRDefault="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基础减振和距离衰减</w:t>
            </w:r>
          </w:p>
        </w:tc>
        <w:tc>
          <w:tcPr>
            <w:tcW w:w="241" w:type="pct"/>
            <w:vAlign w:val="center"/>
          </w:tcPr>
          <w:p w:rsidR="00035E91" w:rsidRPr="00D630D1" w:rsidRDefault="00035E91">
            <w:pPr>
              <w:pStyle w:val="TableParagraph"/>
              <w:kinsoku w:val="0"/>
              <w:overflowPunct w:val="0"/>
              <w:spacing w:line="240" w:lineRule="auto"/>
              <w:ind w:firstLineChars="0" w:firstLine="0"/>
              <w:rPr>
                <w:rFonts w:ascii="Times New Roman" w:cs="Times New Roman"/>
                <w:kern w:val="2"/>
                <w:sz w:val="21"/>
                <w:szCs w:val="21"/>
              </w:rPr>
            </w:pPr>
          </w:p>
        </w:tc>
      </w:tr>
      <w:tr w:rsidR="00C04B07" w:rsidRPr="00D630D1" w:rsidTr="00035E91">
        <w:trPr>
          <w:trHeight w:val="20"/>
        </w:trPr>
        <w:tc>
          <w:tcPr>
            <w:tcW w:w="424" w:type="pct"/>
            <w:vMerge w:val="restart"/>
            <w:vAlign w:val="center"/>
          </w:tcPr>
          <w:p w:rsidR="00C04B07" w:rsidRPr="00D630D1" w:rsidRDefault="00C04B07">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固废处理措施</w:t>
            </w:r>
          </w:p>
        </w:tc>
        <w:tc>
          <w:tcPr>
            <w:tcW w:w="307" w:type="pct"/>
            <w:gridSpan w:val="2"/>
            <w:vMerge w:val="restart"/>
            <w:tcBorders>
              <w:right w:val="single" w:sz="2" w:space="0" w:color="000000"/>
            </w:tcBorders>
            <w:vAlign w:val="center"/>
          </w:tcPr>
          <w:p w:rsidR="00C04B07" w:rsidRPr="00D630D1" w:rsidRDefault="00C04B0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施工期</w:t>
            </w:r>
          </w:p>
        </w:tc>
        <w:tc>
          <w:tcPr>
            <w:tcW w:w="537" w:type="pct"/>
            <w:tcBorders>
              <w:left w:val="single" w:sz="2" w:space="0" w:color="000000"/>
            </w:tcBorders>
            <w:vAlign w:val="center"/>
          </w:tcPr>
          <w:p w:rsidR="00C04B07" w:rsidRPr="00D630D1" w:rsidRDefault="00C04B0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施工人员生活垃圾</w:t>
            </w:r>
          </w:p>
        </w:tc>
        <w:tc>
          <w:tcPr>
            <w:tcW w:w="244" w:type="pct"/>
            <w:vAlign w:val="center"/>
          </w:tcPr>
          <w:p w:rsidR="00C04B07" w:rsidRPr="00D630D1" w:rsidRDefault="00C04B0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1</w:t>
            </w:r>
          </w:p>
        </w:tc>
        <w:tc>
          <w:tcPr>
            <w:tcW w:w="3247" w:type="pct"/>
            <w:vAlign w:val="center"/>
          </w:tcPr>
          <w:p w:rsidR="00C04B07" w:rsidRPr="00D630D1" w:rsidRDefault="00C04B07" w:rsidP="00E5228E">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交由环卫部门处理</w:t>
            </w:r>
          </w:p>
        </w:tc>
        <w:tc>
          <w:tcPr>
            <w:tcW w:w="241" w:type="pct"/>
            <w:vAlign w:val="center"/>
          </w:tcPr>
          <w:p w:rsidR="00C04B07" w:rsidRPr="00D630D1" w:rsidRDefault="00C04B0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r>
      <w:tr w:rsidR="00C04B07" w:rsidRPr="00D630D1" w:rsidTr="00035E91">
        <w:trPr>
          <w:trHeight w:val="20"/>
        </w:trPr>
        <w:tc>
          <w:tcPr>
            <w:tcW w:w="424" w:type="pct"/>
            <w:vMerge/>
            <w:vAlign w:val="center"/>
          </w:tcPr>
          <w:p w:rsidR="00C04B07" w:rsidRPr="00D630D1" w:rsidRDefault="00C04B07" w:rsidP="00035E91">
            <w:pPr>
              <w:spacing w:line="240" w:lineRule="auto"/>
              <w:ind w:firstLineChars="0" w:firstLine="0"/>
              <w:jc w:val="center"/>
              <w:rPr>
                <w:rFonts w:ascii="Times New Roman" w:cs="Times New Roman"/>
                <w:kern w:val="2"/>
                <w:sz w:val="21"/>
                <w:szCs w:val="21"/>
              </w:rPr>
            </w:pPr>
          </w:p>
        </w:tc>
        <w:tc>
          <w:tcPr>
            <w:tcW w:w="307" w:type="pct"/>
            <w:gridSpan w:val="2"/>
            <w:vMerge/>
            <w:tcBorders>
              <w:right w:val="single" w:sz="2" w:space="0" w:color="000000"/>
            </w:tcBorders>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p>
        </w:tc>
        <w:tc>
          <w:tcPr>
            <w:tcW w:w="537" w:type="pct"/>
            <w:tcBorders>
              <w:left w:val="single" w:sz="2" w:space="0" w:color="000000"/>
            </w:tcBorders>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施工废料</w:t>
            </w:r>
          </w:p>
        </w:tc>
        <w:tc>
          <w:tcPr>
            <w:tcW w:w="244" w:type="pct"/>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1</w:t>
            </w:r>
          </w:p>
        </w:tc>
        <w:tc>
          <w:tcPr>
            <w:tcW w:w="3247" w:type="pct"/>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施工废料部分回收利用，剩余废料依托当地环卫部门处置</w:t>
            </w:r>
          </w:p>
        </w:tc>
        <w:tc>
          <w:tcPr>
            <w:tcW w:w="241" w:type="pct"/>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r>
      <w:tr w:rsidR="00C04B07" w:rsidRPr="00D630D1" w:rsidTr="00035E91">
        <w:trPr>
          <w:trHeight w:val="20"/>
        </w:trPr>
        <w:tc>
          <w:tcPr>
            <w:tcW w:w="424" w:type="pct"/>
            <w:vMerge/>
            <w:vAlign w:val="center"/>
          </w:tcPr>
          <w:p w:rsidR="00C04B07" w:rsidRPr="00D630D1" w:rsidRDefault="00C04B07" w:rsidP="00035E91">
            <w:pPr>
              <w:spacing w:line="240" w:lineRule="auto"/>
              <w:ind w:firstLineChars="0" w:firstLine="0"/>
              <w:jc w:val="center"/>
              <w:rPr>
                <w:rFonts w:ascii="Times New Roman" w:cs="Times New Roman"/>
                <w:kern w:val="2"/>
                <w:sz w:val="21"/>
                <w:szCs w:val="21"/>
              </w:rPr>
            </w:pPr>
          </w:p>
        </w:tc>
        <w:tc>
          <w:tcPr>
            <w:tcW w:w="307" w:type="pct"/>
            <w:gridSpan w:val="2"/>
            <w:vMerge/>
            <w:tcBorders>
              <w:right w:val="single" w:sz="2" w:space="0" w:color="000000"/>
            </w:tcBorders>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p>
        </w:tc>
        <w:tc>
          <w:tcPr>
            <w:tcW w:w="537" w:type="pct"/>
            <w:tcBorders>
              <w:left w:val="single" w:sz="2" w:space="0" w:color="000000"/>
            </w:tcBorders>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废水基</w:t>
            </w:r>
            <w:r w:rsidRPr="00D630D1">
              <w:rPr>
                <w:rFonts w:ascii="Times New Roman" w:cs="Times New Roman" w:hint="eastAsia"/>
                <w:kern w:val="2"/>
                <w:sz w:val="21"/>
                <w:szCs w:val="21"/>
              </w:rPr>
              <w:t>泥浆、</w:t>
            </w:r>
            <w:r>
              <w:rPr>
                <w:rFonts w:ascii="Times New Roman" w:cs="Times New Roman" w:hint="eastAsia"/>
                <w:kern w:val="2"/>
                <w:sz w:val="21"/>
                <w:szCs w:val="21"/>
              </w:rPr>
              <w:t>水基</w:t>
            </w:r>
            <w:r w:rsidRPr="00D630D1">
              <w:rPr>
                <w:rFonts w:ascii="Times New Roman" w:cs="Times New Roman" w:hint="eastAsia"/>
                <w:kern w:val="2"/>
                <w:sz w:val="21"/>
                <w:szCs w:val="21"/>
              </w:rPr>
              <w:t>岩屑</w:t>
            </w:r>
          </w:p>
        </w:tc>
        <w:tc>
          <w:tcPr>
            <w:tcW w:w="244" w:type="pct"/>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3</w:t>
            </w:r>
            <w:r w:rsidRPr="00D630D1">
              <w:rPr>
                <w:rFonts w:ascii="Times New Roman" w:cs="Times New Roman" w:hint="eastAsia"/>
                <w:kern w:val="2"/>
                <w:sz w:val="21"/>
                <w:szCs w:val="21"/>
              </w:rPr>
              <w:t>00</w:t>
            </w:r>
          </w:p>
        </w:tc>
        <w:tc>
          <w:tcPr>
            <w:tcW w:w="3247" w:type="pct"/>
            <w:vAlign w:val="center"/>
          </w:tcPr>
          <w:p w:rsidR="00C04B07" w:rsidRPr="00D630D1" w:rsidRDefault="00C04B07" w:rsidP="00C04B0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本项目采取清洁化操作平台，</w:t>
            </w:r>
            <w:r w:rsidRPr="00D630D1">
              <w:rPr>
                <w:rFonts w:ascii="Times New Roman" w:cs="Times New Roman"/>
                <w:bCs/>
                <w:kern w:val="2"/>
                <w:sz w:val="21"/>
                <w:szCs w:val="21"/>
              </w:rPr>
              <w:t>并采取泥浆不落地措施</w:t>
            </w:r>
            <w:r w:rsidRPr="00D630D1">
              <w:rPr>
                <w:rFonts w:ascii="Times New Roman" w:cs="Times New Roman"/>
                <w:kern w:val="2"/>
                <w:sz w:val="21"/>
                <w:szCs w:val="21"/>
              </w:rPr>
              <w:t>，</w:t>
            </w:r>
            <w:r>
              <w:rPr>
                <w:rFonts w:ascii="Times New Roman" w:cs="Times New Roman" w:hint="eastAsia"/>
                <w:kern w:val="2"/>
                <w:sz w:val="21"/>
                <w:szCs w:val="21"/>
              </w:rPr>
              <w:t>废水基</w:t>
            </w:r>
            <w:r w:rsidRPr="00D630D1">
              <w:rPr>
                <w:rFonts w:ascii="Times New Roman" w:cs="Times New Roman" w:hint="eastAsia"/>
                <w:kern w:val="2"/>
                <w:sz w:val="21"/>
                <w:szCs w:val="21"/>
              </w:rPr>
              <w:t>泥浆、</w:t>
            </w:r>
            <w:r>
              <w:rPr>
                <w:rFonts w:ascii="Times New Roman" w:cs="Times New Roman" w:hint="eastAsia"/>
                <w:kern w:val="2"/>
                <w:sz w:val="21"/>
                <w:szCs w:val="21"/>
              </w:rPr>
              <w:t>水基</w:t>
            </w:r>
            <w:r w:rsidRPr="00D630D1">
              <w:rPr>
                <w:rFonts w:ascii="Times New Roman" w:cs="Times New Roman" w:hint="eastAsia"/>
                <w:kern w:val="2"/>
                <w:sz w:val="21"/>
                <w:szCs w:val="21"/>
              </w:rPr>
              <w:t>岩屑</w:t>
            </w:r>
            <w:r w:rsidRPr="00D630D1">
              <w:rPr>
                <w:rFonts w:ascii="Times New Roman" w:cs="Times New Roman"/>
                <w:kern w:val="2"/>
                <w:sz w:val="21"/>
                <w:szCs w:val="21"/>
              </w:rPr>
              <w:t>按照《达州市生态环境局办公室关于</w:t>
            </w:r>
            <w:r w:rsidRPr="00D630D1">
              <w:rPr>
                <w:rFonts w:ascii="Times New Roman" w:cs="Times New Roman" w:hint="eastAsia"/>
                <w:kern w:val="2"/>
                <w:sz w:val="21"/>
                <w:szCs w:val="21"/>
              </w:rPr>
              <w:t>进一步</w:t>
            </w:r>
            <w:r w:rsidRPr="00D630D1">
              <w:rPr>
                <w:rFonts w:ascii="Times New Roman" w:cs="Times New Roman"/>
                <w:kern w:val="2"/>
                <w:sz w:val="21"/>
                <w:szCs w:val="21"/>
              </w:rPr>
              <w:t>加强固体废物污染防治工作的通知》（达市环办发〔</w:t>
            </w:r>
            <w:r w:rsidRPr="00D630D1">
              <w:rPr>
                <w:rFonts w:ascii="Times New Roman" w:cs="Times New Roman"/>
                <w:kern w:val="2"/>
                <w:sz w:val="21"/>
                <w:szCs w:val="21"/>
              </w:rPr>
              <w:t>20</w:t>
            </w:r>
            <w:r w:rsidRPr="00D630D1">
              <w:rPr>
                <w:rFonts w:ascii="Times New Roman" w:cs="Times New Roman" w:hint="eastAsia"/>
                <w:kern w:val="2"/>
                <w:sz w:val="21"/>
                <w:szCs w:val="21"/>
              </w:rPr>
              <w:t>21</w:t>
            </w:r>
            <w:r w:rsidRPr="00D630D1">
              <w:rPr>
                <w:rFonts w:ascii="Times New Roman" w:cs="Times New Roman"/>
                <w:kern w:val="2"/>
                <w:sz w:val="21"/>
                <w:szCs w:val="21"/>
              </w:rPr>
              <w:t>〕</w:t>
            </w:r>
            <w:r w:rsidRPr="00D630D1">
              <w:rPr>
                <w:rFonts w:ascii="Times New Roman" w:cs="Times New Roman" w:hint="eastAsia"/>
                <w:kern w:val="2"/>
                <w:sz w:val="21"/>
                <w:szCs w:val="21"/>
              </w:rPr>
              <w:t>24</w:t>
            </w:r>
            <w:r w:rsidRPr="00D630D1">
              <w:rPr>
                <w:rFonts w:ascii="Times New Roman" w:cs="Times New Roman"/>
                <w:kern w:val="2"/>
                <w:sz w:val="21"/>
                <w:szCs w:val="21"/>
              </w:rPr>
              <w:t>号）要求，就近交给依</w:t>
            </w:r>
            <w:r w:rsidRPr="00D630D1">
              <w:rPr>
                <w:rFonts w:ascii="Times New Roman" w:cs="Times New Roman"/>
                <w:kern w:val="2"/>
                <w:sz w:val="21"/>
                <w:szCs w:val="21"/>
              </w:rPr>
              <w:lastRenderedPageBreak/>
              <w:t>法取得生态环境部门关于利用和处置相关工业固体废物项目环评批复、具有处理处置相应固体废物能力并配套建设有废气、废水、固废等污染物治理设施的单位</w:t>
            </w:r>
            <w:r w:rsidRPr="00D630D1">
              <w:rPr>
                <w:rFonts w:ascii="Times New Roman" w:cs="Times New Roman" w:hint="eastAsia"/>
                <w:kern w:val="2"/>
                <w:sz w:val="21"/>
                <w:szCs w:val="21"/>
              </w:rPr>
              <w:t>进行资源化利用。</w:t>
            </w:r>
          </w:p>
        </w:tc>
        <w:tc>
          <w:tcPr>
            <w:tcW w:w="241" w:type="pct"/>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lastRenderedPageBreak/>
              <w:t>/</w:t>
            </w:r>
          </w:p>
        </w:tc>
      </w:tr>
      <w:tr w:rsidR="00C04B07" w:rsidRPr="00D630D1" w:rsidTr="00035E91">
        <w:trPr>
          <w:trHeight w:val="20"/>
        </w:trPr>
        <w:tc>
          <w:tcPr>
            <w:tcW w:w="424" w:type="pct"/>
            <w:vMerge/>
            <w:vAlign w:val="center"/>
          </w:tcPr>
          <w:p w:rsidR="00C04B07" w:rsidRPr="00D630D1" w:rsidRDefault="00C04B07" w:rsidP="00035E91">
            <w:pPr>
              <w:spacing w:line="240" w:lineRule="auto"/>
              <w:ind w:firstLineChars="0" w:firstLine="0"/>
              <w:jc w:val="center"/>
              <w:rPr>
                <w:rFonts w:ascii="Times New Roman" w:cs="Times New Roman"/>
                <w:kern w:val="2"/>
                <w:sz w:val="21"/>
                <w:szCs w:val="21"/>
              </w:rPr>
            </w:pPr>
          </w:p>
        </w:tc>
        <w:tc>
          <w:tcPr>
            <w:tcW w:w="307" w:type="pct"/>
            <w:gridSpan w:val="2"/>
            <w:vMerge/>
            <w:tcBorders>
              <w:right w:val="single" w:sz="2" w:space="0" w:color="000000"/>
            </w:tcBorders>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p>
        </w:tc>
        <w:tc>
          <w:tcPr>
            <w:tcW w:w="537" w:type="pct"/>
            <w:tcBorders>
              <w:left w:val="single" w:sz="2" w:space="0" w:color="000000"/>
            </w:tcBorders>
            <w:vAlign w:val="center"/>
          </w:tcPr>
          <w:p w:rsidR="00C04B07" w:rsidRPr="00D630D1" w:rsidRDefault="00C04B07" w:rsidP="00C04B07">
            <w:pPr>
              <w:pStyle w:val="TableParagraph"/>
              <w:kinsoku w:val="0"/>
              <w:overflowPunct w:val="0"/>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废油基</w:t>
            </w:r>
            <w:r w:rsidRPr="00D630D1">
              <w:rPr>
                <w:rFonts w:ascii="Times New Roman" w:cs="Times New Roman" w:hint="eastAsia"/>
                <w:kern w:val="2"/>
                <w:sz w:val="21"/>
                <w:szCs w:val="21"/>
              </w:rPr>
              <w:t>泥浆、</w:t>
            </w:r>
            <w:r>
              <w:rPr>
                <w:rFonts w:ascii="Times New Roman" w:cs="Times New Roman" w:hint="eastAsia"/>
                <w:kern w:val="2"/>
                <w:sz w:val="21"/>
                <w:szCs w:val="21"/>
              </w:rPr>
              <w:t>油基</w:t>
            </w:r>
            <w:r w:rsidRPr="00D630D1">
              <w:rPr>
                <w:rFonts w:ascii="Times New Roman" w:cs="Times New Roman" w:hint="eastAsia"/>
                <w:kern w:val="2"/>
                <w:sz w:val="21"/>
                <w:szCs w:val="21"/>
              </w:rPr>
              <w:t>岩屑</w:t>
            </w:r>
          </w:p>
        </w:tc>
        <w:tc>
          <w:tcPr>
            <w:tcW w:w="244" w:type="pct"/>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300</w:t>
            </w:r>
          </w:p>
        </w:tc>
        <w:tc>
          <w:tcPr>
            <w:tcW w:w="3247" w:type="pct"/>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委托有资质单位处理</w:t>
            </w:r>
          </w:p>
        </w:tc>
        <w:tc>
          <w:tcPr>
            <w:tcW w:w="241" w:type="pct"/>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r>
      <w:tr w:rsidR="00C04B07" w:rsidRPr="00D630D1" w:rsidTr="00035E91">
        <w:trPr>
          <w:trHeight w:val="20"/>
        </w:trPr>
        <w:tc>
          <w:tcPr>
            <w:tcW w:w="424" w:type="pct"/>
            <w:vMerge/>
            <w:vAlign w:val="center"/>
          </w:tcPr>
          <w:p w:rsidR="00C04B07" w:rsidRPr="00D630D1" w:rsidRDefault="00C04B07" w:rsidP="00035E91">
            <w:pPr>
              <w:spacing w:line="240" w:lineRule="auto"/>
              <w:ind w:firstLineChars="0" w:firstLine="0"/>
              <w:jc w:val="center"/>
              <w:rPr>
                <w:rFonts w:ascii="Times New Roman" w:cs="Times New Roman"/>
                <w:kern w:val="2"/>
                <w:sz w:val="21"/>
                <w:szCs w:val="21"/>
              </w:rPr>
            </w:pPr>
          </w:p>
        </w:tc>
        <w:tc>
          <w:tcPr>
            <w:tcW w:w="307" w:type="pct"/>
            <w:gridSpan w:val="2"/>
            <w:vMerge/>
            <w:tcBorders>
              <w:right w:val="single" w:sz="2" w:space="0" w:color="000000"/>
            </w:tcBorders>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p>
        </w:tc>
        <w:tc>
          <w:tcPr>
            <w:tcW w:w="537" w:type="pct"/>
            <w:tcBorders>
              <w:left w:val="single" w:sz="2" w:space="0" w:color="000000"/>
            </w:tcBorders>
            <w:vAlign w:val="center"/>
          </w:tcPr>
          <w:p w:rsidR="00C04B07" w:rsidRDefault="00C04B07" w:rsidP="00C04B0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废油</w:t>
            </w:r>
          </w:p>
        </w:tc>
        <w:tc>
          <w:tcPr>
            <w:tcW w:w="244" w:type="pct"/>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2</w:t>
            </w:r>
          </w:p>
        </w:tc>
        <w:tc>
          <w:tcPr>
            <w:tcW w:w="3247" w:type="pct"/>
            <w:vAlign w:val="center"/>
          </w:tcPr>
          <w:p w:rsidR="00C04B07" w:rsidRPr="00D630D1" w:rsidRDefault="00C04B07"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委托有资质单位处理</w:t>
            </w:r>
          </w:p>
        </w:tc>
        <w:tc>
          <w:tcPr>
            <w:tcW w:w="241" w:type="pct"/>
            <w:vAlign w:val="center"/>
          </w:tcPr>
          <w:p w:rsidR="00C04B07" w:rsidRPr="00D630D1" w:rsidRDefault="00895B09"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r>
      <w:tr w:rsidR="00035E91" w:rsidRPr="00D630D1" w:rsidTr="00035E91">
        <w:trPr>
          <w:trHeight w:val="20"/>
        </w:trPr>
        <w:tc>
          <w:tcPr>
            <w:tcW w:w="424" w:type="pct"/>
            <w:vMerge/>
            <w:vAlign w:val="center"/>
          </w:tcPr>
          <w:p w:rsidR="00035E91" w:rsidRPr="00D630D1" w:rsidRDefault="00035E91" w:rsidP="00035E91">
            <w:pPr>
              <w:spacing w:line="240" w:lineRule="auto"/>
              <w:ind w:firstLineChars="0" w:firstLine="0"/>
              <w:jc w:val="center"/>
              <w:rPr>
                <w:rFonts w:ascii="Times New Roman" w:cs="Times New Roman"/>
                <w:kern w:val="2"/>
                <w:sz w:val="21"/>
                <w:szCs w:val="21"/>
              </w:rPr>
            </w:pPr>
          </w:p>
        </w:tc>
        <w:tc>
          <w:tcPr>
            <w:tcW w:w="307" w:type="pct"/>
            <w:gridSpan w:val="2"/>
            <w:vMerge w:val="restart"/>
            <w:tcBorders>
              <w:right w:val="single" w:sz="2" w:space="0" w:color="000000"/>
            </w:tcBorders>
            <w:vAlign w:val="center"/>
          </w:tcPr>
          <w:p w:rsidR="00035E91" w:rsidRPr="00D630D1" w:rsidRDefault="00035E91"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运营期</w:t>
            </w:r>
          </w:p>
        </w:tc>
        <w:tc>
          <w:tcPr>
            <w:tcW w:w="537" w:type="pct"/>
            <w:tcBorders>
              <w:left w:val="single" w:sz="2" w:space="0" w:color="000000"/>
            </w:tcBorders>
            <w:vAlign w:val="center"/>
          </w:tcPr>
          <w:p w:rsidR="00035E91" w:rsidRPr="00D630D1" w:rsidRDefault="00035E91"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清管废渣、检修废渣</w:t>
            </w:r>
          </w:p>
        </w:tc>
        <w:tc>
          <w:tcPr>
            <w:tcW w:w="244" w:type="pct"/>
            <w:vAlign w:val="center"/>
          </w:tcPr>
          <w:p w:rsidR="00035E91" w:rsidRPr="00D630D1" w:rsidRDefault="00035E91"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2</w:t>
            </w:r>
          </w:p>
        </w:tc>
        <w:tc>
          <w:tcPr>
            <w:tcW w:w="3247" w:type="pct"/>
            <w:vAlign w:val="center"/>
          </w:tcPr>
          <w:p w:rsidR="00035E91" w:rsidRPr="00D630D1" w:rsidRDefault="00035E91"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集中收集后交由检修作业单位集中处置</w:t>
            </w:r>
          </w:p>
        </w:tc>
        <w:tc>
          <w:tcPr>
            <w:tcW w:w="241" w:type="pct"/>
            <w:vAlign w:val="center"/>
          </w:tcPr>
          <w:p w:rsidR="00035E91" w:rsidRPr="00D630D1" w:rsidRDefault="00035E91"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r>
      <w:tr w:rsidR="00895B09" w:rsidRPr="00D630D1" w:rsidTr="00035E91">
        <w:trPr>
          <w:trHeight w:val="20"/>
        </w:trPr>
        <w:tc>
          <w:tcPr>
            <w:tcW w:w="424" w:type="pct"/>
            <w:vMerge/>
            <w:vAlign w:val="center"/>
          </w:tcPr>
          <w:p w:rsidR="00895B09" w:rsidRPr="00D630D1" w:rsidRDefault="00895B09" w:rsidP="00035E91">
            <w:pPr>
              <w:spacing w:line="240" w:lineRule="auto"/>
              <w:ind w:firstLineChars="0" w:firstLine="0"/>
              <w:jc w:val="center"/>
              <w:rPr>
                <w:rFonts w:ascii="Times New Roman" w:cs="Times New Roman"/>
                <w:kern w:val="2"/>
                <w:sz w:val="21"/>
                <w:szCs w:val="21"/>
              </w:rPr>
            </w:pPr>
          </w:p>
        </w:tc>
        <w:tc>
          <w:tcPr>
            <w:tcW w:w="307" w:type="pct"/>
            <w:gridSpan w:val="2"/>
            <w:vMerge/>
            <w:tcBorders>
              <w:right w:val="single" w:sz="2" w:space="0" w:color="000000"/>
            </w:tcBorders>
            <w:vAlign w:val="center"/>
          </w:tcPr>
          <w:p w:rsidR="00895B09" w:rsidRPr="00D630D1" w:rsidRDefault="00895B09" w:rsidP="00035E91">
            <w:pPr>
              <w:pStyle w:val="TableParagraph"/>
              <w:kinsoku w:val="0"/>
              <w:overflowPunct w:val="0"/>
              <w:spacing w:line="240" w:lineRule="auto"/>
              <w:ind w:firstLineChars="0" w:firstLine="0"/>
              <w:rPr>
                <w:rFonts w:ascii="Times New Roman" w:cs="Times New Roman"/>
                <w:kern w:val="2"/>
                <w:sz w:val="21"/>
                <w:szCs w:val="21"/>
              </w:rPr>
            </w:pPr>
          </w:p>
        </w:tc>
        <w:tc>
          <w:tcPr>
            <w:tcW w:w="537" w:type="pct"/>
            <w:tcBorders>
              <w:left w:val="single" w:sz="2" w:space="0" w:color="000000"/>
            </w:tcBorders>
            <w:vAlign w:val="center"/>
          </w:tcPr>
          <w:p w:rsidR="00895B09" w:rsidRPr="00D630D1" w:rsidRDefault="00895B09" w:rsidP="00035E91">
            <w:pPr>
              <w:pStyle w:val="TableParagraph"/>
              <w:kinsoku w:val="0"/>
              <w:overflowPunct w:val="0"/>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凝析油</w:t>
            </w:r>
          </w:p>
        </w:tc>
        <w:tc>
          <w:tcPr>
            <w:tcW w:w="244" w:type="pct"/>
            <w:vAlign w:val="center"/>
          </w:tcPr>
          <w:p w:rsidR="00895B09" w:rsidRPr="00D630D1" w:rsidRDefault="00895B09"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c>
          <w:tcPr>
            <w:tcW w:w="3247" w:type="pct"/>
            <w:vAlign w:val="center"/>
          </w:tcPr>
          <w:p w:rsidR="00895B09" w:rsidRPr="00D630D1" w:rsidRDefault="00895B09" w:rsidP="00035E91">
            <w:pPr>
              <w:pStyle w:val="TableParagraph"/>
              <w:kinsoku w:val="0"/>
              <w:overflowPunct w:val="0"/>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作为副产品外售</w:t>
            </w:r>
          </w:p>
        </w:tc>
        <w:tc>
          <w:tcPr>
            <w:tcW w:w="241" w:type="pct"/>
            <w:vAlign w:val="center"/>
          </w:tcPr>
          <w:p w:rsidR="00895B09" w:rsidRPr="00D630D1" w:rsidRDefault="00895B09"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r>
      <w:tr w:rsidR="00035E91" w:rsidRPr="00D630D1" w:rsidTr="00035E91">
        <w:trPr>
          <w:trHeight w:val="20"/>
        </w:trPr>
        <w:tc>
          <w:tcPr>
            <w:tcW w:w="424" w:type="pct"/>
            <w:vMerge/>
            <w:vAlign w:val="center"/>
          </w:tcPr>
          <w:p w:rsidR="00035E91" w:rsidRPr="00D630D1" w:rsidRDefault="00035E91" w:rsidP="00035E91">
            <w:pPr>
              <w:spacing w:line="240" w:lineRule="auto"/>
              <w:ind w:firstLineChars="0" w:firstLine="0"/>
              <w:jc w:val="center"/>
              <w:rPr>
                <w:rFonts w:ascii="Times New Roman" w:cs="Times New Roman"/>
                <w:kern w:val="2"/>
                <w:sz w:val="21"/>
                <w:szCs w:val="21"/>
              </w:rPr>
            </w:pPr>
          </w:p>
        </w:tc>
        <w:tc>
          <w:tcPr>
            <w:tcW w:w="307" w:type="pct"/>
            <w:gridSpan w:val="2"/>
            <w:vMerge/>
            <w:tcBorders>
              <w:right w:val="single" w:sz="2" w:space="0" w:color="000000"/>
            </w:tcBorders>
            <w:vAlign w:val="center"/>
          </w:tcPr>
          <w:p w:rsidR="00035E91" w:rsidRPr="00D630D1" w:rsidRDefault="00035E91" w:rsidP="00035E91">
            <w:pPr>
              <w:pStyle w:val="TableParagraph"/>
              <w:kinsoku w:val="0"/>
              <w:overflowPunct w:val="0"/>
              <w:spacing w:line="240" w:lineRule="auto"/>
              <w:ind w:firstLineChars="0" w:firstLine="0"/>
              <w:rPr>
                <w:rFonts w:ascii="Times New Roman" w:cs="Times New Roman"/>
                <w:kern w:val="2"/>
                <w:sz w:val="21"/>
                <w:szCs w:val="21"/>
              </w:rPr>
            </w:pPr>
          </w:p>
        </w:tc>
        <w:tc>
          <w:tcPr>
            <w:tcW w:w="537" w:type="pct"/>
            <w:tcBorders>
              <w:left w:val="single" w:sz="2" w:space="0" w:color="000000"/>
            </w:tcBorders>
            <w:vAlign w:val="center"/>
          </w:tcPr>
          <w:p w:rsidR="00035E91" w:rsidRPr="00D630D1" w:rsidRDefault="00035E91"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生活垃圾</w:t>
            </w:r>
          </w:p>
        </w:tc>
        <w:tc>
          <w:tcPr>
            <w:tcW w:w="244" w:type="pct"/>
            <w:vAlign w:val="center"/>
          </w:tcPr>
          <w:p w:rsidR="00035E91" w:rsidRPr="00D630D1" w:rsidRDefault="00035E91"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1</w:t>
            </w:r>
          </w:p>
        </w:tc>
        <w:tc>
          <w:tcPr>
            <w:tcW w:w="3247" w:type="pct"/>
            <w:vAlign w:val="center"/>
          </w:tcPr>
          <w:p w:rsidR="00035E91" w:rsidRPr="00D630D1" w:rsidRDefault="00035E91"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工作人员生活垃圾用垃圾桶收集，委托当地环卫部门清运处置。</w:t>
            </w:r>
          </w:p>
        </w:tc>
        <w:tc>
          <w:tcPr>
            <w:tcW w:w="241" w:type="pct"/>
            <w:vAlign w:val="center"/>
          </w:tcPr>
          <w:p w:rsidR="00035E91" w:rsidRPr="00D630D1" w:rsidRDefault="00035E91" w:rsidP="00035E91">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r>
      <w:tr w:rsidR="00502B3B" w:rsidRPr="00D630D1" w:rsidTr="00035E91">
        <w:trPr>
          <w:trHeight w:val="75"/>
        </w:trPr>
        <w:tc>
          <w:tcPr>
            <w:tcW w:w="424" w:type="pct"/>
            <w:vMerge w:val="restart"/>
            <w:vAlign w:val="center"/>
          </w:tcPr>
          <w:p w:rsidR="00502B3B" w:rsidRPr="00D630D1" w:rsidRDefault="00502B3B">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地下水防治措施</w:t>
            </w:r>
          </w:p>
        </w:tc>
        <w:tc>
          <w:tcPr>
            <w:tcW w:w="844" w:type="pct"/>
            <w:gridSpan w:val="3"/>
            <w:vMerge w:val="restart"/>
            <w:vAlign w:val="center"/>
          </w:tcPr>
          <w:p w:rsidR="00502B3B" w:rsidRPr="00D630D1" w:rsidRDefault="00502B3B">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施工期</w:t>
            </w:r>
          </w:p>
        </w:tc>
        <w:tc>
          <w:tcPr>
            <w:tcW w:w="244" w:type="pct"/>
            <w:vAlign w:val="center"/>
          </w:tcPr>
          <w:p w:rsidR="00502B3B" w:rsidRPr="00D630D1" w:rsidRDefault="00502B3B">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c>
          <w:tcPr>
            <w:tcW w:w="3247" w:type="pct"/>
            <w:vAlign w:val="center"/>
          </w:tcPr>
          <w:p w:rsidR="00502B3B" w:rsidRPr="00D630D1" w:rsidRDefault="00502B3B">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管沟开挖钱对沿线地质情况就行详细勘察。</w:t>
            </w:r>
          </w:p>
        </w:tc>
        <w:tc>
          <w:tcPr>
            <w:tcW w:w="241" w:type="pct"/>
            <w:vMerge w:val="restart"/>
            <w:vAlign w:val="center"/>
          </w:tcPr>
          <w:p w:rsidR="00502B3B" w:rsidRPr="00D630D1" w:rsidRDefault="00502B3B" w:rsidP="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计入工程设计</w:t>
            </w:r>
          </w:p>
        </w:tc>
      </w:tr>
      <w:tr w:rsidR="00502B3B" w:rsidRPr="00D630D1" w:rsidTr="00035E91">
        <w:trPr>
          <w:trHeight w:val="75"/>
        </w:trPr>
        <w:tc>
          <w:tcPr>
            <w:tcW w:w="424" w:type="pct"/>
            <w:vMerge/>
            <w:vAlign w:val="center"/>
          </w:tcPr>
          <w:p w:rsidR="00502B3B" w:rsidRPr="00D630D1" w:rsidRDefault="00502B3B">
            <w:pPr>
              <w:spacing w:line="240" w:lineRule="auto"/>
              <w:ind w:firstLineChars="0" w:firstLine="0"/>
              <w:jc w:val="center"/>
              <w:rPr>
                <w:rFonts w:ascii="Times New Roman" w:cs="Times New Roman"/>
                <w:kern w:val="2"/>
                <w:sz w:val="21"/>
                <w:szCs w:val="21"/>
              </w:rPr>
            </w:pPr>
          </w:p>
        </w:tc>
        <w:tc>
          <w:tcPr>
            <w:tcW w:w="844" w:type="pct"/>
            <w:gridSpan w:val="3"/>
            <w:vMerge/>
            <w:vAlign w:val="center"/>
          </w:tcPr>
          <w:p w:rsidR="00502B3B" w:rsidRPr="00D630D1" w:rsidRDefault="00502B3B">
            <w:pPr>
              <w:pStyle w:val="TableParagraph"/>
              <w:kinsoku w:val="0"/>
              <w:overflowPunct w:val="0"/>
              <w:spacing w:line="240" w:lineRule="auto"/>
              <w:ind w:firstLineChars="0" w:firstLine="0"/>
              <w:rPr>
                <w:rFonts w:ascii="Times New Roman" w:cs="Times New Roman"/>
                <w:kern w:val="2"/>
                <w:sz w:val="21"/>
                <w:szCs w:val="21"/>
              </w:rPr>
            </w:pPr>
          </w:p>
        </w:tc>
        <w:tc>
          <w:tcPr>
            <w:tcW w:w="244" w:type="pct"/>
            <w:vAlign w:val="center"/>
          </w:tcPr>
          <w:p w:rsidR="00502B3B" w:rsidRPr="00D630D1" w:rsidRDefault="00502B3B">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c>
          <w:tcPr>
            <w:tcW w:w="3247" w:type="pct"/>
            <w:vAlign w:val="center"/>
          </w:tcPr>
          <w:p w:rsidR="00502B3B" w:rsidRPr="00D630D1" w:rsidRDefault="00502B3B">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放喷池池底、池壁防渗。</w:t>
            </w:r>
          </w:p>
        </w:tc>
        <w:tc>
          <w:tcPr>
            <w:tcW w:w="241" w:type="pct"/>
            <w:vMerge/>
            <w:vAlign w:val="center"/>
          </w:tcPr>
          <w:p w:rsidR="00502B3B" w:rsidRPr="00D630D1" w:rsidRDefault="00502B3B" w:rsidP="00A10DD3">
            <w:pPr>
              <w:pStyle w:val="TableParagraph"/>
              <w:kinsoku w:val="0"/>
              <w:overflowPunct w:val="0"/>
              <w:spacing w:line="240" w:lineRule="auto"/>
              <w:ind w:firstLineChars="0" w:firstLine="0"/>
              <w:rPr>
                <w:rFonts w:ascii="Times New Roman" w:cs="Times New Roman"/>
                <w:kern w:val="2"/>
                <w:sz w:val="21"/>
                <w:szCs w:val="21"/>
              </w:rPr>
            </w:pPr>
          </w:p>
        </w:tc>
      </w:tr>
      <w:tr w:rsidR="00C31657" w:rsidRPr="00D630D1" w:rsidTr="00035E91">
        <w:trPr>
          <w:trHeight w:val="75"/>
        </w:trPr>
        <w:tc>
          <w:tcPr>
            <w:tcW w:w="424" w:type="pct"/>
            <w:vMerge/>
            <w:vAlign w:val="center"/>
          </w:tcPr>
          <w:p w:rsidR="005B6AEE" w:rsidRPr="00D630D1" w:rsidRDefault="005B6AEE">
            <w:pPr>
              <w:spacing w:line="240" w:lineRule="auto"/>
              <w:ind w:firstLineChars="0" w:firstLine="0"/>
              <w:jc w:val="center"/>
              <w:rPr>
                <w:rFonts w:ascii="Times New Roman" w:cs="Times New Roman"/>
                <w:kern w:val="2"/>
                <w:sz w:val="21"/>
                <w:szCs w:val="21"/>
              </w:rPr>
            </w:pPr>
          </w:p>
        </w:tc>
        <w:tc>
          <w:tcPr>
            <w:tcW w:w="844" w:type="pct"/>
            <w:gridSpan w:val="3"/>
            <w:vAlign w:val="center"/>
          </w:tcPr>
          <w:p w:rsidR="005B6AEE" w:rsidRPr="00D630D1" w:rsidRDefault="005B6AEE">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运营期</w:t>
            </w:r>
          </w:p>
        </w:tc>
        <w:tc>
          <w:tcPr>
            <w:tcW w:w="244" w:type="pct"/>
            <w:vAlign w:val="center"/>
          </w:tcPr>
          <w:p w:rsidR="005B6AEE" w:rsidRPr="00D630D1" w:rsidRDefault="00C3165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w:t>
            </w:r>
          </w:p>
        </w:tc>
        <w:tc>
          <w:tcPr>
            <w:tcW w:w="3247" w:type="pct"/>
            <w:vAlign w:val="center"/>
          </w:tcPr>
          <w:p w:rsidR="005B6AEE" w:rsidRPr="00D630D1" w:rsidRDefault="00DB6EC5">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柴油储罐</w:t>
            </w:r>
            <w:r w:rsidR="00A62354">
              <w:rPr>
                <w:rFonts w:ascii="Times New Roman" w:cs="Times New Roman" w:hint="eastAsia"/>
                <w:kern w:val="2"/>
                <w:sz w:val="21"/>
                <w:szCs w:val="21"/>
              </w:rPr>
              <w:t>、凝析油储罐</w:t>
            </w:r>
            <w:r w:rsidRPr="00D630D1">
              <w:rPr>
                <w:rFonts w:ascii="Times New Roman" w:cs="Times New Roman" w:hint="eastAsia"/>
                <w:kern w:val="2"/>
                <w:sz w:val="21"/>
                <w:szCs w:val="21"/>
              </w:rPr>
              <w:t>四周</w:t>
            </w:r>
            <w:r w:rsidR="005B6AEE" w:rsidRPr="00D630D1">
              <w:rPr>
                <w:rFonts w:ascii="Times New Roman" w:cs="Times New Roman"/>
                <w:kern w:val="2"/>
                <w:sz w:val="21"/>
                <w:szCs w:val="21"/>
              </w:rPr>
              <w:t>设置防渗围堰，</w:t>
            </w:r>
            <w:r w:rsidR="00EF360A" w:rsidRPr="00D630D1">
              <w:rPr>
                <w:rFonts w:ascii="Times New Roman" w:cs="Times New Roman"/>
                <w:kern w:val="2"/>
                <w:sz w:val="21"/>
                <w:szCs w:val="21"/>
              </w:rPr>
              <w:t>污水缓冲罐</w:t>
            </w:r>
            <w:r w:rsidR="001927D1" w:rsidRPr="00D630D1">
              <w:rPr>
                <w:rFonts w:ascii="Times New Roman" w:cs="Times New Roman"/>
                <w:kern w:val="2"/>
                <w:sz w:val="21"/>
                <w:szCs w:val="21"/>
              </w:rPr>
              <w:t>四周设置防渗围堰</w:t>
            </w:r>
            <w:r w:rsidR="005B6AEE" w:rsidRPr="00D630D1">
              <w:rPr>
                <w:rFonts w:ascii="Times New Roman" w:cs="Times New Roman"/>
                <w:kern w:val="2"/>
                <w:sz w:val="21"/>
                <w:szCs w:val="21"/>
              </w:rPr>
              <w:t>，站场内进行分区防渗</w:t>
            </w:r>
            <w:r w:rsidR="00C31657" w:rsidRPr="00D630D1">
              <w:rPr>
                <w:rFonts w:ascii="Times New Roman" w:cs="Times New Roman" w:hint="eastAsia"/>
                <w:kern w:val="2"/>
                <w:sz w:val="21"/>
                <w:szCs w:val="21"/>
              </w:rPr>
              <w:t>。</w:t>
            </w:r>
          </w:p>
        </w:tc>
        <w:tc>
          <w:tcPr>
            <w:tcW w:w="241" w:type="pct"/>
            <w:vMerge/>
            <w:vAlign w:val="center"/>
          </w:tcPr>
          <w:p w:rsidR="005B6AEE" w:rsidRPr="00D630D1" w:rsidRDefault="005B6AEE" w:rsidP="00A10DD3">
            <w:pPr>
              <w:pStyle w:val="TableParagraph"/>
              <w:kinsoku w:val="0"/>
              <w:overflowPunct w:val="0"/>
              <w:spacing w:line="240" w:lineRule="auto"/>
              <w:ind w:firstLineChars="0" w:firstLine="0"/>
              <w:rPr>
                <w:rFonts w:ascii="Times New Roman" w:cs="Times New Roman"/>
                <w:kern w:val="2"/>
                <w:sz w:val="21"/>
                <w:szCs w:val="21"/>
              </w:rPr>
            </w:pPr>
          </w:p>
        </w:tc>
      </w:tr>
      <w:tr w:rsidR="00C31657" w:rsidRPr="00D630D1" w:rsidTr="00035E91">
        <w:trPr>
          <w:trHeight w:val="20"/>
        </w:trPr>
        <w:tc>
          <w:tcPr>
            <w:tcW w:w="424" w:type="pct"/>
            <w:vMerge w:val="restart"/>
            <w:vAlign w:val="center"/>
          </w:tcPr>
          <w:p w:rsidR="00C31657" w:rsidRPr="00D630D1" w:rsidRDefault="00C31657">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环境风险措施</w:t>
            </w:r>
          </w:p>
        </w:tc>
        <w:tc>
          <w:tcPr>
            <w:tcW w:w="844" w:type="pct"/>
            <w:gridSpan w:val="3"/>
            <w:vAlign w:val="center"/>
          </w:tcPr>
          <w:p w:rsidR="00C31657" w:rsidRPr="00D630D1" w:rsidRDefault="00C3165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管道施工防护措施</w:t>
            </w:r>
          </w:p>
        </w:tc>
        <w:tc>
          <w:tcPr>
            <w:tcW w:w="244" w:type="pct"/>
            <w:vAlign w:val="center"/>
          </w:tcPr>
          <w:p w:rsidR="00C31657" w:rsidRPr="00D630D1" w:rsidRDefault="00C3165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c>
          <w:tcPr>
            <w:tcW w:w="3247" w:type="pct"/>
            <w:vAlign w:val="center"/>
          </w:tcPr>
          <w:p w:rsidR="00C31657" w:rsidRPr="00D630D1" w:rsidRDefault="00C3165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做好管道防护加固措施、防腐工程、阴极保护等措施</w:t>
            </w:r>
            <w:r w:rsidRPr="00D630D1">
              <w:rPr>
                <w:rFonts w:ascii="Times New Roman" w:cs="Times New Roman" w:hint="eastAsia"/>
                <w:kern w:val="2"/>
                <w:sz w:val="21"/>
                <w:szCs w:val="21"/>
              </w:rPr>
              <w:t>。</w:t>
            </w:r>
          </w:p>
        </w:tc>
        <w:tc>
          <w:tcPr>
            <w:tcW w:w="241" w:type="pct"/>
            <w:vMerge w:val="restart"/>
            <w:vAlign w:val="center"/>
          </w:tcPr>
          <w:p w:rsidR="00C31657" w:rsidRPr="00D630D1" w:rsidRDefault="00C3165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计入主体工程</w:t>
            </w:r>
          </w:p>
        </w:tc>
      </w:tr>
      <w:tr w:rsidR="00C31657" w:rsidRPr="00D630D1" w:rsidTr="00035E91">
        <w:trPr>
          <w:trHeight w:val="20"/>
        </w:trPr>
        <w:tc>
          <w:tcPr>
            <w:tcW w:w="424" w:type="pct"/>
            <w:vMerge/>
            <w:vAlign w:val="center"/>
          </w:tcPr>
          <w:p w:rsidR="00C31657" w:rsidRPr="00D630D1" w:rsidRDefault="00C31657">
            <w:pPr>
              <w:spacing w:line="240" w:lineRule="auto"/>
              <w:ind w:firstLineChars="0" w:firstLine="0"/>
              <w:jc w:val="center"/>
              <w:rPr>
                <w:rFonts w:ascii="Times New Roman" w:cs="Times New Roman"/>
                <w:kern w:val="2"/>
                <w:sz w:val="21"/>
                <w:szCs w:val="21"/>
              </w:rPr>
            </w:pPr>
          </w:p>
        </w:tc>
        <w:tc>
          <w:tcPr>
            <w:tcW w:w="844" w:type="pct"/>
            <w:gridSpan w:val="3"/>
            <w:vAlign w:val="center"/>
          </w:tcPr>
          <w:p w:rsidR="00C31657" w:rsidRPr="00D630D1" w:rsidRDefault="00C3165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消防措施</w:t>
            </w:r>
          </w:p>
        </w:tc>
        <w:tc>
          <w:tcPr>
            <w:tcW w:w="244" w:type="pct"/>
            <w:vAlign w:val="center"/>
          </w:tcPr>
          <w:p w:rsidR="00C31657" w:rsidRPr="00D630D1" w:rsidRDefault="00C3165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c>
          <w:tcPr>
            <w:tcW w:w="3247" w:type="pct"/>
            <w:vAlign w:val="center"/>
          </w:tcPr>
          <w:p w:rsidR="00C31657" w:rsidRPr="00D630D1" w:rsidRDefault="00C31657" w:rsidP="008A707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按《建筑灭火器的配置设计规范》，在站</w:t>
            </w:r>
            <w:r w:rsidR="008A7077" w:rsidRPr="00D630D1">
              <w:rPr>
                <w:rFonts w:ascii="Times New Roman" w:cs="Times New Roman" w:hint="eastAsia"/>
                <w:kern w:val="2"/>
                <w:sz w:val="21"/>
                <w:szCs w:val="21"/>
              </w:rPr>
              <w:t>场</w:t>
            </w:r>
            <w:r w:rsidRPr="00D630D1">
              <w:rPr>
                <w:rFonts w:ascii="Times New Roman" w:cs="Times New Roman"/>
                <w:kern w:val="2"/>
                <w:sz w:val="21"/>
                <w:szCs w:val="21"/>
              </w:rPr>
              <w:t>装置区配置消防栓、各种手提式、推车式的</w:t>
            </w:r>
            <w:r w:rsidRPr="00D630D1">
              <w:rPr>
                <w:rFonts w:ascii="Times New Roman" w:cs="Times New Roman"/>
                <w:kern w:val="2"/>
                <w:sz w:val="21"/>
                <w:szCs w:val="21"/>
              </w:rPr>
              <w:t>CO</w:t>
            </w:r>
            <w:r w:rsidRPr="00D630D1">
              <w:rPr>
                <w:rFonts w:ascii="Times New Roman" w:cs="Times New Roman"/>
                <w:kern w:val="2"/>
                <w:sz w:val="21"/>
                <w:szCs w:val="21"/>
                <w:vertAlign w:val="subscript"/>
              </w:rPr>
              <w:t>2</w:t>
            </w:r>
            <w:r w:rsidRPr="00D630D1">
              <w:rPr>
                <w:rFonts w:ascii="Times New Roman" w:cs="Times New Roman"/>
                <w:kern w:val="2"/>
                <w:sz w:val="21"/>
                <w:szCs w:val="21"/>
              </w:rPr>
              <w:t>、干粉、泡沫等灭火器</w:t>
            </w:r>
            <w:r w:rsidRPr="00D630D1">
              <w:rPr>
                <w:rFonts w:ascii="Times New Roman" w:cs="Times New Roman" w:hint="eastAsia"/>
                <w:kern w:val="2"/>
                <w:sz w:val="21"/>
                <w:szCs w:val="21"/>
              </w:rPr>
              <w:t>。</w:t>
            </w:r>
          </w:p>
        </w:tc>
        <w:tc>
          <w:tcPr>
            <w:tcW w:w="241" w:type="pct"/>
            <w:vMerge/>
            <w:vAlign w:val="center"/>
          </w:tcPr>
          <w:p w:rsidR="00C31657" w:rsidRPr="00D630D1" w:rsidRDefault="00C31657">
            <w:pPr>
              <w:pStyle w:val="TableParagraph"/>
              <w:kinsoku w:val="0"/>
              <w:overflowPunct w:val="0"/>
              <w:spacing w:line="240" w:lineRule="auto"/>
              <w:ind w:firstLineChars="0" w:firstLine="0"/>
              <w:rPr>
                <w:rFonts w:ascii="Times New Roman" w:cs="Times New Roman"/>
                <w:kern w:val="2"/>
                <w:sz w:val="21"/>
                <w:szCs w:val="21"/>
              </w:rPr>
            </w:pPr>
          </w:p>
        </w:tc>
      </w:tr>
      <w:tr w:rsidR="00C31657" w:rsidRPr="00D630D1" w:rsidTr="00035E91">
        <w:trPr>
          <w:trHeight w:val="20"/>
        </w:trPr>
        <w:tc>
          <w:tcPr>
            <w:tcW w:w="424" w:type="pct"/>
            <w:vMerge/>
            <w:vAlign w:val="center"/>
          </w:tcPr>
          <w:p w:rsidR="00C31657" w:rsidRPr="00D630D1" w:rsidRDefault="00C31657">
            <w:pPr>
              <w:spacing w:line="240" w:lineRule="auto"/>
              <w:ind w:firstLineChars="0" w:firstLine="0"/>
              <w:jc w:val="center"/>
              <w:rPr>
                <w:rFonts w:ascii="Times New Roman" w:cs="Times New Roman"/>
                <w:kern w:val="2"/>
                <w:sz w:val="21"/>
                <w:szCs w:val="21"/>
              </w:rPr>
            </w:pPr>
          </w:p>
        </w:tc>
        <w:tc>
          <w:tcPr>
            <w:tcW w:w="844" w:type="pct"/>
            <w:gridSpan w:val="3"/>
            <w:vAlign w:val="center"/>
          </w:tcPr>
          <w:p w:rsidR="00C31657" w:rsidRPr="00D630D1" w:rsidRDefault="00C3165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探测仪器</w:t>
            </w:r>
          </w:p>
        </w:tc>
        <w:tc>
          <w:tcPr>
            <w:tcW w:w="244" w:type="pct"/>
            <w:vAlign w:val="center"/>
          </w:tcPr>
          <w:p w:rsidR="00C31657" w:rsidRPr="00D630D1" w:rsidRDefault="00C3165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c>
          <w:tcPr>
            <w:tcW w:w="3247" w:type="pct"/>
            <w:vAlign w:val="center"/>
          </w:tcPr>
          <w:p w:rsidR="00C31657" w:rsidRPr="00D630D1" w:rsidRDefault="00C31657">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安装可燃气体探测仪和烟雾报警装置</w:t>
            </w:r>
          </w:p>
        </w:tc>
        <w:tc>
          <w:tcPr>
            <w:tcW w:w="241" w:type="pct"/>
            <w:vMerge/>
            <w:vAlign w:val="center"/>
          </w:tcPr>
          <w:p w:rsidR="00C31657" w:rsidRPr="00D630D1" w:rsidRDefault="00C31657">
            <w:pPr>
              <w:pStyle w:val="TableParagraph"/>
              <w:kinsoku w:val="0"/>
              <w:overflowPunct w:val="0"/>
              <w:spacing w:line="240" w:lineRule="auto"/>
              <w:ind w:firstLineChars="0" w:firstLine="0"/>
              <w:rPr>
                <w:rFonts w:ascii="Times New Roman" w:cs="Times New Roman"/>
                <w:kern w:val="2"/>
                <w:sz w:val="21"/>
                <w:szCs w:val="21"/>
              </w:rPr>
            </w:pPr>
          </w:p>
        </w:tc>
      </w:tr>
      <w:tr w:rsidR="006854E2" w:rsidRPr="00D630D1" w:rsidTr="00035E91">
        <w:trPr>
          <w:trHeight w:val="20"/>
        </w:trPr>
        <w:tc>
          <w:tcPr>
            <w:tcW w:w="424" w:type="pct"/>
            <w:vMerge w:val="restart"/>
            <w:vAlign w:val="center"/>
          </w:tcPr>
          <w:p w:rsidR="00117C3D" w:rsidRPr="00D630D1" w:rsidRDefault="008B5B84">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环境管理</w:t>
            </w:r>
          </w:p>
        </w:tc>
        <w:tc>
          <w:tcPr>
            <w:tcW w:w="844" w:type="pct"/>
            <w:gridSpan w:val="3"/>
            <w:vAlign w:val="center"/>
          </w:tcPr>
          <w:p w:rsidR="00117C3D" w:rsidRPr="00D630D1" w:rsidRDefault="008B5B84" w:rsidP="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环境监测</w:t>
            </w:r>
          </w:p>
        </w:tc>
        <w:tc>
          <w:tcPr>
            <w:tcW w:w="244" w:type="pct"/>
            <w:vAlign w:val="center"/>
          </w:tcPr>
          <w:p w:rsidR="00117C3D" w:rsidRPr="00D630D1" w:rsidRDefault="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5</w:t>
            </w:r>
          </w:p>
        </w:tc>
        <w:tc>
          <w:tcPr>
            <w:tcW w:w="3247" w:type="pct"/>
            <w:vAlign w:val="center"/>
          </w:tcPr>
          <w:p w:rsidR="00117C3D" w:rsidRPr="00D630D1" w:rsidRDefault="008B5B84" w:rsidP="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开展施工期环境监测工作</w:t>
            </w:r>
            <w:r w:rsidR="00C31657" w:rsidRPr="00D630D1">
              <w:rPr>
                <w:rFonts w:ascii="Times New Roman" w:cs="Times New Roman" w:hint="eastAsia"/>
                <w:kern w:val="2"/>
                <w:sz w:val="21"/>
                <w:szCs w:val="21"/>
              </w:rPr>
              <w:t>。</w:t>
            </w:r>
          </w:p>
        </w:tc>
        <w:tc>
          <w:tcPr>
            <w:tcW w:w="241" w:type="pct"/>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r>
      <w:tr w:rsidR="006854E2" w:rsidRPr="00D630D1" w:rsidTr="00035E91">
        <w:trPr>
          <w:trHeight w:val="20"/>
        </w:trPr>
        <w:tc>
          <w:tcPr>
            <w:tcW w:w="424" w:type="pct"/>
            <w:vMerge/>
            <w:vAlign w:val="center"/>
          </w:tcPr>
          <w:p w:rsidR="00117C3D" w:rsidRPr="00D630D1" w:rsidRDefault="00117C3D">
            <w:pPr>
              <w:spacing w:line="240" w:lineRule="auto"/>
              <w:ind w:firstLineChars="0" w:firstLine="0"/>
              <w:jc w:val="center"/>
              <w:rPr>
                <w:rFonts w:ascii="Times New Roman" w:cs="Times New Roman"/>
                <w:kern w:val="2"/>
                <w:sz w:val="21"/>
                <w:szCs w:val="21"/>
              </w:rPr>
            </w:pPr>
          </w:p>
        </w:tc>
        <w:tc>
          <w:tcPr>
            <w:tcW w:w="844" w:type="pct"/>
            <w:gridSpan w:val="3"/>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环境宣传、保护</w:t>
            </w:r>
          </w:p>
        </w:tc>
        <w:tc>
          <w:tcPr>
            <w:tcW w:w="244" w:type="pct"/>
            <w:vAlign w:val="center"/>
          </w:tcPr>
          <w:p w:rsidR="00117C3D" w:rsidRPr="00D630D1" w:rsidRDefault="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2</w:t>
            </w:r>
          </w:p>
        </w:tc>
        <w:tc>
          <w:tcPr>
            <w:tcW w:w="3247" w:type="pct"/>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开展环保知识培训；宣传环境保护法律、法规；建设并设施环保</w:t>
            </w:r>
            <w:r w:rsidRPr="00D630D1">
              <w:rPr>
                <w:rFonts w:ascii="Times New Roman" w:cs="Times New Roman"/>
                <w:kern w:val="2"/>
                <w:sz w:val="21"/>
                <w:szCs w:val="21"/>
              </w:rPr>
              <w:t>“</w:t>
            </w:r>
            <w:r w:rsidRPr="00D630D1">
              <w:rPr>
                <w:rFonts w:ascii="Times New Roman" w:cs="Times New Roman"/>
                <w:kern w:val="2"/>
                <w:sz w:val="21"/>
                <w:szCs w:val="21"/>
              </w:rPr>
              <w:t>三同时</w:t>
            </w:r>
            <w:r w:rsidRPr="00D630D1">
              <w:rPr>
                <w:rFonts w:ascii="Times New Roman" w:cs="Times New Roman"/>
                <w:kern w:val="2"/>
                <w:sz w:val="21"/>
                <w:szCs w:val="21"/>
              </w:rPr>
              <w:t>”</w:t>
            </w:r>
            <w:r w:rsidRPr="00D630D1">
              <w:rPr>
                <w:rFonts w:ascii="Times New Roman" w:cs="Times New Roman"/>
                <w:kern w:val="2"/>
                <w:sz w:val="21"/>
                <w:szCs w:val="21"/>
              </w:rPr>
              <w:t>制度</w:t>
            </w:r>
            <w:r w:rsidR="00C31657" w:rsidRPr="00D630D1">
              <w:rPr>
                <w:rFonts w:ascii="Times New Roman" w:cs="Times New Roman" w:hint="eastAsia"/>
                <w:kern w:val="2"/>
                <w:sz w:val="21"/>
                <w:szCs w:val="21"/>
              </w:rPr>
              <w:t>。</w:t>
            </w:r>
          </w:p>
        </w:tc>
        <w:tc>
          <w:tcPr>
            <w:tcW w:w="241" w:type="pct"/>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r>
      <w:tr w:rsidR="006854E2" w:rsidRPr="00D630D1" w:rsidTr="00035E91">
        <w:trPr>
          <w:trHeight w:val="20"/>
        </w:trPr>
        <w:tc>
          <w:tcPr>
            <w:tcW w:w="424" w:type="pct"/>
            <w:vMerge/>
            <w:vAlign w:val="center"/>
          </w:tcPr>
          <w:p w:rsidR="00117C3D" w:rsidRPr="00D630D1" w:rsidRDefault="00117C3D">
            <w:pPr>
              <w:spacing w:line="240" w:lineRule="auto"/>
              <w:ind w:firstLineChars="0" w:firstLine="0"/>
              <w:jc w:val="center"/>
              <w:rPr>
                <w:rFonts w:ascii="Times New Roman" w:cs="Times New Roman"/>
                <w:kern w:val="2"/>
                <w:sz w:val="21"/>
                <w:szCs w:val="21"/>
              </w:rPr>
            </w:pPr>
          </w:p>
        </w:tc>
        <w:tc>
          <w:tcPr>
            <w:tcW w:w="844" w:type="pct"/>
            <w:gridSpan w:val="3"/>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竣工验收</w:t>
            </w:r>
          </w:p>
        </w:tc>
        <w:tc>
          <w:tcPr>
            <w:tcW w:w="244" w:type="pct"/>
            <w:vAlign w:val="center"/>
          </w:tcPr>
          <w:p w:rsidR="00117C3D" w:rsidRPr="00D630D1" w:rsidRDefault="00A10DD3">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15</w:t>
            </w:r>
          </w:p>
        </w:tc>
        <w:tc>
          <w:tcPr>
            <w:tcW w:w="3247" w:type="pct"/>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开展环保竣工验收工作</w:t>
            </w:r>
            <w:r w:rsidR="00C31657" w:rsidRPr="00D630D1">
              <w:rPr>
                <w:rFonts w:ascii="Times New Roman" w:cs="Times New Roman" w:hint="eastAsia"/>
                <w:kern w:val="2"/>
                <w:sz w:val="21"/>
                <w:szCs w:val="21"/>
              </w:rPr>
              <w:t>。</w:t>
            </w:r>
          </w:p>
        </w:tc>
        <w:tc>
          <w:tcPr>
            <w:tcW w:w="241" w:type="pct"/>
            <w:vAlign w:val="center"/>
          </w:tcPr>
          <w:p w:rsidR="00117C3D" w:rsidRPr="00D630D1" w:rsidRDefault="008B5B84">
            <w:pPr>
              <w:pStyle w:val="TableParagraph"/>
              <w:kinsoku w:val="0"/>
              <w:overflowPunct w:val="0"/>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w:t>
            </w:r>
          </w:p>
        </w:tc>
      </w:tr>
      <w:tr w:rsidR="00C31657" w:rsidRPr="00D630D1" w:rsidTr="00035E91">
        <w:trPr>
          <w:trHeight w:val="20"/>
        </w:trPr>
        <w:tc>
          <w:tcPr>
            <w:tcW w:w="1268" w:type="pct"/>
            <w:gridSpan w:val="4"/>
            <w:tcBorders>
              <w:right w:val="single" w:sz="2" w:space="0" w:color="000000"/>
            </w:tcBorders>
            <w:vAlign w:val="center"/>
          </w:tcPr>
          <w:p w:rsidR="00C31657" w:rsidRPr="00D630D1" w:rsidRDefault="00C31657">
            <w:pPr>
              <w:spacing w:line="240" w:lineRule="auto"/>
              <w:ind w:firstLineChars="0" w:firstLine="0"/>
              <w:jc w:val="center"/>
              <w:rPr>
                <w:rFonts w:ascii="Times New Roman" w:cs="Times New Roman"/>
                <w:kern w:val="2"/>
                <w:sz w:val="21"/>
                <w:szCs w:val="21"/>
              </w:rPr>
            </w:pPr>
            <w:r w:rsidRPr="00D630D1">
              <w:rPr>
                <w:rFonts w:ascii="Times New Roman" w:cs="Times New Roman"/>
                <w:kern w:val="2"/>
                <w:sz w:val="21"/>
                <w:szCs w:val="21"/>
              </w:rPr>
              <w:t>合计</w:t>
            </w:r>
          </w:p>
        </w:tc>
        <w:tc>
          <w:tcPr>
            <w:tcW w:w="3732" w:type="pct"/>
            <w:gridSpan w:val="3"/>
            <w:tcBorders>
              <w:left w:val="single" w:sz="2" w:space="0" w:color="000000"/>
            </w:tcBorders>
            <w:vAlign w:val="center"/>
          </w:tcPr>
          <w:p w:rsidR="00C31657" w:rsidRPr="00D630D1" w:rsidRDefault="00C04B07" w:rsidP="009F5E5D">
            <w:pPr>
              <w:widowControl/>
              <w:topLinePunct w:val="0"/>
              <w:adjustRightInd/>
              <w:spacing w:line="240" w:lineRule="auto"/>
              <w:ind w:firstLineChars="0" w:firstLine="0"/>
              <w:jc w:val="center"/>
              <w:rPr>
                <w:rFonts w:ascii="Times New Roman" w:cs="Times New Roman"/>
                <w:kern w:val="2"/>
                <w:sz w:val="21"/>
                <w:szCs w:val="22"/>
              </w:rPr>
            </w:pPr>
            <w:r>
              <w:rPr>
                <w:rFonts w:ascii="Times New Roman" w:cs="Times New Roman" w:hint="eastAsia"/>
                <w:kern w:val="2"/>
                <w:sz w:val="21"/>
                <w:szCs w:val="22"/>
              </w:rPr>
              <w:t>187</w:t>
            </w:r>
            <w:r w:rsidR="00502B3B" w:rsidRPr="00D630D1">
              <w:rPr>
                <w:rFonts w:ascii="Times New Roman" w:cs="Times New Roman" w:hint="eastAsia"/>
                <w:kern w:val="2"/>
                <w:sz w:val="21"/>
                <w:szCs w:val="22"/>
              </w:rPr>
              <w:t>0</w:t>
            </w:r>
          </w:p>
        </w:tc>
      </w:tr>
    </w:tbl>
    <w:p w:rsidR="00117C3D" w:rsidRPr="00D630D1" w:rsidRDefault="00117C3D">
      <w:pPr>
        <w:widowControl/>
        <w:topLinePunct w:val="0"/>
        <w:adjustRightInd/>
        <w:ind w:firstLineChars="0" w:firstLine="0"/>
        <w:jc w:val="left"/>
        <w:rPr>
          <w:rFonts w:ascii="Times New Roman" w:cs="Times New Roman"/>
          <w:b/>
          <w:bCs/>
          <w:sz w:val="32"/>
          <w:szCs w:val="32"/>
        </w:rPr>
        <w:sectPr w:rsidR="00117C3D" w:rsidRPr="00D630D1" w:rsidSect="00BA4F10">
          <w:pgSz w:w="16840" w:h="11910" w:orient="landscape"/>
          <w:pgMar w:top="1077" w:right="1281" w:bottom="1219" w:left="1021" w:header="885" w:footer="1026" w:gutter="0"/>
          <w:cols w:space="720"/>
          <w:docGrid w:linePitch="326"/>
        </w:sectPr>
      </w:pPr>
    </w:p>
    <w:p w:rsidR="00117C3D" w:rsidRPr="00D630D1" w:rsidRDefault="00290D1D" w:rsidP="00290D1D">
      <w:pPr>
        <w:pStyle w:val="1"/>
        <w:spacing w:before="0" w:beforeAutospacing="0" w:after="0" w:afterAutospacing="0"/>
        <w:rPr>
          <w:rFonts w:eastAsia="宋体"/>
        </w:rPr>
      </w:pPr>
      <w:bookmarkStart w:id="652" w:name="bookmark77"/>
      <w:bookmarkStart w:id="653" w:name="_Toc19816137"/>
      <w:bookmarkStart w:id="654" w:name="_Toc12288818"/>
      <w:bookmarkStart w:id="655" w:name="_Toc81515309"/>
      <w:bookmarkEnd w:id="652"/>
      <w:r w:rsidRPr="00D630D1">
        <w:rPr>
          <w:rFonts w:eastAsia="宋体"/>
        </w:rPr>
        <w:lastRenderedPageBreak/>
        <w:t>9</w:t>
      </w:r>
      <w:r w:rsidR="008B5B84" w:rsidRPr="00D630D1">
        <w:rPr>
          <w:rFonts w:eastAsia="宋体"/>
        </w:rPr>
        <w:t xml:space="preserve"> </w:t>
      </w:r>
      <w:r w:rsidR="008B5B84" w:rsidRPr="00D630D1">
        <w:rPr>
          <w:rFonts w:eastAsia="宋体"/>
        </w:rPr>
        <w:t>环境影响经济损益分析</w:t>
      </w:r>
      <w:bookmarkEnd w:id="653"/>
      <w:bookmarkEnd w:id="654"/>
      <w:bookmarkEnd w:id="655"/>
    </w:p>
    <w:p w:rsidR="00117C3D" w:rsidRPr="00D630D1" w:rsidRDefault="008B5B84" w:rsidP="004E00E5">
      <w:pPr>
        <w:pStyle w:val="afa"/>
        <w:ind w:firstLine="480"/>
      </w:pPr>
      <w:r w:rsidRPr="00D630D1">
        <w:t>环境影响经济损益分析是环境影响评价的一项主要内容，设置的目的在于衡量建设项目所需投入的环保投资和能收到的环保效果，以评价</w:t>
      </w:r>
      <w:r w:rsidR="00633FE9" w:rsidRPr="00D630D1">
        <w:t>本项目</w:t>
      </w:r>
      <w:r w:rsidRPr="00D630D1">
        <w:t>的环境经济可行性。因而在环境经济损益分析中除计算用于控制污染所需投资费用外，同时还需估算可能收到的环境与经济效益，以实现扩大生产、提高经济效益的同时不致于造成区域环境污染，做到经济效益、社会效益和环境效益的协调发展。</w:t>
      </w:r>
    </w:p>
    <w:p w:rsidR="00117C3D" w:rsidRPr="00D630D1" w:rsidRDefault="008B5B84" w:rsidP="004E00E5">
      <w:pPr>
        <w:pStyle w:val="afa"/>
        <w:ind w:firstLine="480"/>
      </w:pPr>
      <w:r w:rsidRPr="00D630D1">
        <w:t>由前述评价可见，管线建设对环境影响是多方面的，而这些影响又都难以进行经济核算，对环境影响采用的减缓措施取得的是社会和生态效益，目前这些效益也难以采用经济方法进行估价，为此下面仅从本项目的工程社会效益和环境保护措施的投资两方面进行经济损益分析。</w:t>
      </w:r>
    </w:p>
    <w:p w:rsidR="00117C3D" w:rsidRPr="00D630D1" w:rsidRDefault="00290D1D" w:rsidP="00290D1D">
      <w:pPr>
        <w:pStyle w:val="2"/>
        <w:spacing w:before="120"/>
        <w:rPr>
          <w:rFonts w:cs="Times New Roman"/>
        </w:rPr>
      </w:pPr>
      <w:bookmarkStart w:id="656" w:name="bookmark78"/>
      <w:bookmarkStart w:id="657" w:name="_Toc19816138"/>
      <w:bookmarkStart w:id="658" w:name="_Toc12288819"/>
      <w:bookmarkStart w:id="659" w:name="_Toc81515310"/>
      <w:bookmarkEnd w:id="656"/>
      <w:r w:rsidRPr="00D630D1">
        <w:rPr>
          <w:rFonts w:cs="Times New Roman"/>
        </w:rPr>
        <w:t>9</w:t>
      </w:r>
      <w:r w:rsidR="008B5B84" w:rsidRPr="00D630D1">
        <w:rPr>
          <w:rFonts w:cs="Times New Roman"/>
        </w:rPr>
        <w:t xml:space="preserve">.1 </w:t>
      </w:r>
      <w:r w:rsidR="008B5B84" w:rsidRPr="00D630D1">
        <w:rPr>
          <w:rFonts w:cs="Times New Roman"/>
        </w:rPr>
        <w:t>工程经济、社会效益分析</w:t>
      </w:r>
      <w:bookmarkEnd w:id="657"/>
      <w:bookmarkEnd w:id="658"/>
      <w:bookmarkEnd w:id="659"/>
    </w:p>
    <w:p w:rsidR="00EC2DBC" w:rsidRPr="00D630D1" w:rsidRDefault="00EC2DBC" w:rsidP="00EC2DBC">
      <w:pPr>
        <w:pStyle w:val="afa"/>
        <w:ind w:firstLine="480"/>
      </w:pPr>
      <w:r w:rsidRPr="00D630D1">
        <w:t>作为一种优质、高效、清洁的能源，天然气在能源竞争中的优势已逐步确立，开发利用天然气已成为当代世界的潮流。随着全球天然气探明储量和产量同步迅速增长，然气在能源构成中所占比例日益提高。有专家预计，</w:t>
      </w:r>
      <w:r w:rsidRPr="00D630D1">
        <w:t>2020</w:t>
      </w:r>
      <w:r w:rsidRPr="00D630D1">
        <w:t>年后，天然气将超过原油和煤炭，成为世界一次能源消费结构中的</w:t>
      </w:r>
      <w:r w:rsidRPr="00D630D1">
        <w:t>“</w:t>
      </w:r>
      <w:r w:rsidRPr="00D630D1">
        <w:t>首席能源</w:t>
      </w:r>
      <w:r w:rsidRPr="00D630D1">
        <w:t>”</w:t>
      </w:r>
      <w:r w:rsidRPr="00D630D1">
        <w:t>，天然气将进入一个全新的历史发展时期。</w:t>
      </w:r>
    </w:p>
    <w:p w:rsidR="00F50B57" w:rsidRPr="00D630D1" w:rsidRDefault="00EC2DBC" w:rsidP="00EC2DBC">
      <w:pPr>
        <w:pStyle w:val="afa"/>
        <w:ind w:firstLine="480"/>
      </w:pPr>
      <w:r w:rsidRPr="00D630D1">
        <w:t>工程的建设有利于区域天然气资源的开发利用，提供了高效畅通的运输，降低了运输成本，提高了运输的连续可靠性。本工程建设需要一定数量的人力，除施工单位外，还需在当地招募民工，因而可给当地居民和农民增加收入。另外，管道工程建设需要大批钢材、建材及配套设备，可带动机械、电力、化工、冶金、建材等相关工业的发展。</w:t>
      </w:r>
    </w:p>
    <w:p w:rsidR="00117C3D" w:rsidRPr="00D630D1" w:rsidRDefault="004E00E5" w:rsidP="004E00E5">
      <w:pPr>
        <w:pStyle w:val="2"/>
        <w:spacing w:before="120"/>
        <w:rPr>
          <w:rFonts w:cs="Times New Roman"/>
        </w:rPr>
      </w:pPr>
      <w:bookmarkStart w:id="660" w:name="bookmark79"/>
      <w:bookmarkStart w:id="661" w:name="_Toc19816141"/>
      <w:bookmarkStart w:id="662" w:name="_Toc12288822"/>
      <w:bookmarkStart w:id="663" w:name="_Toc81515311"/>
      <w:bookmarkEnd w:id="660"/>
      <w:r w:rsidRPr="00D630D1">
        <w:rPr>
          <w:rFonts w:cs="Times New Roman"/>
        </w:rPr>
        <w:t>9</w:t>
      </w:r>
      <w:r w:rsidR="008B5B84" w:rsidRPr="00D630D1">
        <w:rPr>
          <w:rFonts w:cs="Times New Roman"/>
        </w:rPr>
        <w:t xml:space="preserve">.2 </w:t>
      </w:r>
      <w:r w:rsidR="008B5B84" w:rsidRPr="00D630D1">
        <w:rPr>
          <w:rFonts w:cs="Times New Roman"/>
        </w:rPr>
        <w:t>环境损益分析</w:t>
      </w:r>
      <w:bookmarkEnd w:id="661"/>
      <w:bookmarkEnd w:id="662"/>
      <w:bookmarkEnd w:id="663"/>
    </w:p>
    <w:p w:rsidR="00117C3D" w:rsidRPr="00D630D1" w:rsidRDefault="004E00E5">
      <w:pPr>
        <w:pStyle w:val="3"/>
        <w:rPr>
          <w:rFonts w:eastAsia="宋体"/>
        </w:rPr>
      </w:pPr>
      <w:bookmarkStart w:id="664" w:name="_Toc12288823"/>
      <w:bookmarkStart w:id="665" w:name="_Toc19816142"/>
      <w:r w:rsidRPr="00D630D1">
        <w:rPr>
          <w:rFonts w:eastAsia="宋体"/>
        </w:rPr>
        <w:t>9</w:t>
      </w:r>
      <w:r w:rsidR="008B5B84" w:rsidRPr="00D630D1">
        <w:rPr>
          <w:rFonts w:eastAsia="宋体"/>
        </w:rPr>
        <w:t xml:space="preserve">.2.1 </w:t>
      </w:r>
      <w:r w:rsidR="008B5B84" w:rsidRPr="00D630D1">
        <w:rPr>
          <w:rFonts w:eastAsia="宋体"/>
        </w:rPr>
        <w:t>工程造成的环境损失分析</w:t>
      </w:r>
      <w:bookmarkEnd w:id="664"/>
      <w:bookmarkEnd w:id="665"/>
    </w:p>
    <w:p w:rsidR="00EC2DBC" w:rsidRPr="00D630D1" w:rsidRDefault="00EC2DBC" w:rsidP="00EC2DBC">
      <w:pPr>
        <w:pStyle w:val="afa"/>
        <w:ind w:firstLine="480"/>
      </w:pPr>
      <w:r w:rsidRPr="00D630D1">
        <w:t>本工程在建设过程中，需要临时占用一定数量的土地，主要占用的是旱地、水田和林地等。临时性占地只对耕作期的作物有影响，对农业带来的损失是暂时的，在施工结束后，经过一段时间皆可恢复其原有功能。一般来说，环境损失包括直接损失和间接损失，直接损失指由于项目建设对土壤、地表植被及其生境破坏所造成的环境经济损失，即土地资源破坏的经济损失，从而减少了耕地的面积；</w:t>
      </w:r>
      <w:r w:rsidRPr="00D630D1">
        <w:lastRenderedPageBreak/>
        <w:t>间接损失指由土地资源损失而引起的其它生态问题，如荒漠化、沙尘暴、生物多样性及生产力下降等生态灾害所造成的环境经济损失。间接损失的确定目前尚无一套完整的计算方法和参考数据，因此，仅通过计算直接农业生态和林地损失来代表环境损失。</w:t>
      </w:r>
    </w:p>
    <w:p w:rsidR="00117C3D" w:rsidRPr="00D630D1" w:rsidRDefault="004E00E5">
      <w:pPr>
        <w:pStyle w:val="3"/>
        <w:rPr>
          <w:rFonts w:eastAsia="宋体"/>
        </w:rPr>
      </w:pPr>
      <w:bookmarkStart w:id="666" w:name="_Toc19816143"/>
      <w:bookmarkStart w:id="667" w:name="_Toc12288824"/>
      <w:r w:rsidRPr="00D630D1">
        <w:rPr>
          <w:rFonts w:eastAsia="宋体"/>
        </w:rPr>
        <w:t>9</w:t>
      </w:r>
      <w:r w:rsidR="008B5B84" w:rsidRPr="00D630D1">
        <w:rPr>
          <w:rFonts w:eastAsia="宋体"/>
        </w:rPr>
        <w:t xml:space="preserve">.2.2 </w:t>
      </w:r>
      <w:r w:rsidR="008B5B84" w:rsidRPr="00D630D1">
        <w:rPr>
          <w:rFonts w:eastAsia="宋体"/>
        </w:rPr>
        <w:t>环境效益分析</w:t>
      </w:r>
      <w:bookmarkEnd w:id="666"/>
      <w:bookmarkEnd w:id="667"/>
    </w:p>
    <w:p w:rsidR="00EC2DBC" w:rsidRPr="00D630D1" w:rsidRDefault="00EC2DBC" w:rsidP="00EC2DBC">
      <w:pPr>
        <w:pStyle w:val="afa"/>
        <w:ind w:firstLine="480"/>
      </w:pPr>
      <w:r w:rsidRPr="00D630D1">
        <w:t>（</w:t>
      </w:r>
      <w:r w:rsidRPr="00D630D1">
        <w:t>1</w:t>
      </w:r>
      <w:r w:rsidRPr="00D630D1">
        <w:t>）本项目的建设，</w:t>
      </w:r>
      <w:r w:rsidR="00B11B9F" w:rsidRPr="00D630D1">
        <w:t>进一步服务普光气田</w:t>
      </w:r>
      <w:r w:rsidR="002944C0">
        <w:rPr>
          <w:rFonts w:hint="eastAsia"/>
        </w:rPr>
        <w:t>普光主体</w:t>
      </w:r>
      <w:r w:rsidR="00B11B9F" w:rsidRPr="00D630D1">
        <w:t>区块的开发，</w:t>
      </w:r>
      <w:r w:rsidR="00B11B9F" w:rsidRPr="00D630D1">
        <w:rPr>
          <w:rFonts w:hint="eastAsia"/>
        </w:rPr>
        <w:t>配合开发部门完成气井产量等评估工作</w:t>
      </w:r>
      <w:r w:rsidRPr="00D630D1">
        <w:t>，有利于区域的可持续发展。</w:t>
      </w:r>
    </w:p>
    <w:p w:rsidR="00EC2DBC" w:rsidRPr="00D630D1" w:rsidRDefault="00EC2DBC" w:rsidP="00EC2DBC">
      <w:pPr>
        <w:pStyle w:val="afa"/>
        <w:ind w:firstLine="480"/>
      </w:pPr>
      <w:r w:rsidRPr="00D630D1">
        <w:t>（</w:t>
      </w:r>
      <w:r w:rsidRPr="00D630D1">
        <w:t>2</w:t>
      </w:r>
      <w:r w:rsidRPr="00D630D1">
        <w:t>）本项目完成后，通过调度控制中心进行全线监控。同时管道</w:t>
      </w:r>
      <w:r w:rsidR="001205FA" w:rsidRPr="00D630D1">
        <w:t>防腐采用加强级三层结构聚乙烯防腐层，提高了运输安全性，降低了泄漏事故发生的概率，从而减少了因泄漏</w:t>
      </w:r>
      <w:r w:rsidRPr="00D630D1">
        <w:t>事故对环境的危害和对周边人员的伤害。</w:t>
      </w:r>
    </w:p>
    <w:p w:rsidR="00117C3D" w:rsidRPr="00D630D1" w:rsidRDefault="00EC2DBC" w:rsidP="00EC2DBC">
      <w:pPr>
        <w:pStyle w:val="afa"/>
        <w:ind w:firstLine="480"/>
      </w:pPr>
      <w:r w:rsidRPr="00D630D1">
        <w:t>（</w:t>
      </w:r>
      <w:r w:rsidRPr="00D630D1">
        <w:t>3</w:t>
      </w:r>
      <w:r w:rsidRPr="00D630D1">
        <w:t>）管道输送是一种安全、稳定、高效的运送方式，可减少由于运输带来的环境污染。由于天然气采用管道密闭输送，运输中不会对环境造成污染，而利用煤炭或者石油，需要车船运输，运输中会产生一定量的大气污染物，如汽车尾气、二次扬尘。因此，管道输送天然气避免了运输对环境的污染问题，保护了生态环境，具有较好的环境效益。</w:t>
      </w:r>
    </w:p>
    <w:p w:rsidR="00117C3D" w:rsidRPr="00D630D1" w:rsidRDefault="00F50B57" w:rsidP="004E00E5">
      <w:pPr>
        <w:pStyle w:val="2"/>
        <w:spacing w:before="120"/>
        <w:rPr>
          <w:rFonts w:cs="Times New Roman"/>
        </w:rPr>
      </w:pPr>
      <w:bookmarkStart w:id="668" w:name="bookmark80"/>
      <w:bookmarkStart w:id="669" w:name="_Toc19816145"/>
      <w:bookmarkStart w:id="670" w:name="_Toc12288826"/>
      <w:bookmarkStart w:id="671" w:name="_Toc81515312"/>
      <w:bookmarkEnd w:id="668"/>
      <w:r w:rsidRPr="00D630D1">
        <w:rPr>
          <w:rFonts w:cs="Times New Roman"/>
        </w:rPr>
        <w:t>9</w:t>
      </w:r>
      <w:r w:rsidR="008B5B84" w:rsidRPr="00D630D1">
        <w:rPr>
          <w:rFonts w:cs="Times New Roman"/>
        </w:rPr>
        <w:t xml:space="preserve">.3 </w:t>
      </w:r>
      <w:r w:rsidR="008B5B84" w:rsidRPr="00D630D1">
        <w:rPr>
          <w:rFonts w:cs="Times New Roman"/>
        </w:rPr>
        <w:t>结论</w:t>
      </w:r>
      <w:bookmarkEnd w:id="669"/>
      <w:bookmarkEnd w:id="670"/>
      <w:bookmarkEnd w:id="671"/>
    </w:p>
    <w:p w:rsidR="00117C3D" w:rsidRPr="00D630D1" w:rsidRDefault="00EC2DBC" w:rsidP="00EC2DBC">
      <w:pPr>
        <w:pStyle w:val="afa"/>
        <w:ind w:firstLine="480"/>
      </w:pPr>
      <w:r w:rsidRPr="00D630D1">
        <w:t>经上述分析可知，从长远角度考虑，本项目的建设有利于环境质量改善，区域长久稳定、安全的发展。对于工程在施工期产生的各类污染物及对生态环境的影响采取了相应的环境保护措施，减轻工程建设所带来的不利影响。由此可见，本工程实施后所带来的环境经济效益，比工程在施工中所造成的直接环境经济损失要大的多。因此，本工程实施后，产生的环境经济效益是显著的，项目建设符合社会效益、经济效益和环境效益统一的原则。</w:t>
      </w:r>
    </w:p>
    <w:p w:rsidR="00117C3D" w:rsidRPr="00D630D1" w:rsidRDefault="00117C3D">
      <w:pPr>
        <w:widowControl/>
        <w:topLinePunct w:val="0"/>
        <w:adjustRightInd/>
        <w:ind w:firstLineChars="0" w:firstLine="0"/>
        <w:jc w:val="left"/>
        <w:rPr>
          <w:rFonts w:ascii="Times New Roman" w:cs="Times New Roman"/>
          <w:b/>
          <w:bCs/>
          <w:sz w:val="32"/>
          <w:szCs w:val="32"/>
        </w:rPr>
        <w:sectPr w:rsidR="00117C3D" w:rsidRPr="00D630D1" w:rsidSect="00BA4F10">
          <w:pgSz w:w="11910" w:h="16840"/>
          <w:pgMar w:top="1440" w:right="1800" w:bottom="1440" w:left="1800" w:header="885" w:footer="1025" w:gutter="0"/>
          <w:cols w:space="720"/>
          <w:docGrid w:linePitch="326"/>
        </w:sectPr>
      </w:pPr>
    </w:p>
    <w:p w:rsidR="00117C3D" w:rsidRPr="00D630D1" w:rsidRDefault="00F50B57" w:rsidP="00F50B57">
      <w:pPr>
        <w:pStyle w:val="1"/>
        <w:spacing w:before="0" w:beforeAutospacing="0" w:after="0" w:afterAutospacing="0"/>
        <w:rPr>
          <w:rFonts w:eastAsia="宋体"/>
        </w:rPr>
      </w:pPr>
      <w:bookmarkStart w:id="672" w:name="bookmark81"/>
      <w:bookmarkStart w:id="673" w:name="_Toc12288827"/>
      <w:bookmarkStart w:id="674" w:name="_Toc19816146"/>
      <w:bookmarkStart w:id="675" w:name="_Toc81515313"/>
      <w:bookmarkEnd w:id="672"/>
      <w:r w:rsidRPr="00D630D1">
        <w:rPr>
          <w:rFonts w:eastAsia="宋体"/>
        </w:rPr>
        <w:lastRenderedPageBreak/>
        <w:t>10</w:t>
      </w:r>
      <w:r w:rsidR="008B5B84" w:rsidRPr="00D630D1">
        <w:rPr>
          <w:rFonts w:eastAsia="宋体"/>
        </w:rPr>
        <w:t xml:space="preserve"> </w:t>
      </w:r>
      <w:r w:rsidR="008B5B84" w:rsidRPr="00D630D1">
        <w:rPr>
          <w:rFonts w:eastAsia="宋体"/>
        </w:rPr>
        <w:t>环境管理与监测计划</w:t>
      </w:r>
      <w:bookmarkEnd w:id="673"/>
      <w:bookmarkEnd w:id="674"/>
      <w:bookmarkEnd w:id="675"/>
    </w:p>
    <w:p w:rsidR="00117C3D" w:rsidRPr="00D630D1" w:rsidRDefault="008B5B84">
      <w:pPr>
        <w:pStyle w:val="a1"/>
        <w:ind w:firstLine="480"/>
        <w:rPr>
          <w:rFonts w:ascii="Times New Roman" w:cs="Times New Roman"/>
        </w:rPr>
      </w:pPr>
      <w:r w:rsidRPr="00D630D1">
        <w:rPr>
          <w:rFonts w:ascii="Times New Roman" w:cs="Times New Roman"/>
        </w:rPr>
        <w:t>环境管理是企业管理的一项重要内容。加强环境监督管理力度，尽可能的减少</w:t>
      </w:r>
      <w:r w:rsidRPr="00D630D1">
        <w:rPr>
          <w:rFonts w:ascii="Times New Roman" w:cs="Times New Roman"/>
        </w:rPr>
        <w:t>“</w:t>
      </w:r>
      <w:r w:rsidRPr="00D630D1">
        <w:rPr>
          <w:rFonts w:ascii="Times New Roman" w:cs="Times New Roman"/>
        </w:rPr>
        <w:t>三废</w:t>
      </w:r>
      <w:r w:rsidRPr="00D630D1">
        <w:rPr>
          <w:rFonts w:ascii="Times New Roman" w:cs="Times New Roman"/>
        </w:rPr>
        <w:t>”</w:t>
      </w:r>
      <w:r w:rsidRPr="00D630D1">
        <w:rPr>
          <w:rFonts w:ascii="Times New Roman" w:cs="Times New Roman"/>
        </w:rPr>
        <w:t>排放数量及提高资源的合理利用率，把对环境的不良影响减小到最低限度，是企业实现环境、生产、经济协调持续发展的重要措施。环境监测是环境管理的重要组成部分，是工业污染防治的依据和环境监督管理工作的哨兵，加强环境监测是了解和掌握项目排污特征，研究污染发展趋势及防治对策的重要依据与途径。</w:t>
      </w:r>
    </w:p>
    <w:p w:rsidR="00117C3D" w:rsidRPr="00D630D1" w:rsidRDefault="008B5B84">
      <w:pPr>
        <w:pStyle w:val="a1"/>
        <w:ind w:firstLine="480"/>
        <w:rPr>
          <w:rFonts w:ascii="Times New Roman" w:cs="Times New Roman"/>
        </w:rPr>
      </w:pPr>
      <w:r w:rsidRPr="00D630D1">
        <w:rPr>
          <w:rFonts w:ascii="Times New Roman" w:cs="Times New Roman"/>
        </w:rPr>
        <w:t>本管道工程线路长度</w:t>
      </w:r>
      <w:r w:rsidR="005F0550" w:rsidRPr="00D630D1">
        <w:rPr>
          <w:rFonts w:ascii="Times New Roman" w:cs="Times New Roman" w:hint="eastAsia"/>
        </w:rPr>
        <w:t>较短</w:t>
      </w:r>
      <w:r w:rsidRPr="00D630D1">
        <w:rPr>
          <w:rFonts w:ascii="Times New Roman" w:cs="Times New Roman"/>
        </w:rPr>
        <w:t>，对环境的影响主要来自施工期的各种作业活动及运行期的风险事故。无论是施工期的各种作业活动还是运行期的事故，都将会给生态环境带来较大的影响。为最大限度地减轻施工作业对生态环境的影响，减少事故的发生，确保管道安全运行，建立科学有效的环境管理体制，落实各项环保和安全措施尤为重要。</w:t>
      </w:r>
    </w:p>
    <w:p w:rsidR="00117C3D" w:rsidRPr="00D630D1" w:rsidRDefault="008B5B84">
      <w:pPr>
        <w:pStyle w:val="a1"/>
        <w:ind w:firstLine="480"/>
        <w:rPr>
          <w:rFonts w:ascii="Times New Roman" w:cs="Times New Roman"/>
        </w:rPr>
      </w:pPr>
      <w:r w:rsidRPr="00D630D1">
        <w:rPr>
          <w:rFonts w:ascii="Times New Roman" w:cs="Times New Roman"/>
        </w:rPr>
        <w:t>本章将根据工程在施工期和运营期的环境污染特征，提出施工期和运营期的环境管理、施工环境监理和环境监测计划的具体内容。</w:t>
      </w:r>
    </w:p>
    <w:p w:rsidR="00117C3D" w:rsidRPr="00D630D1" w:rsidRDefault="00F50B57" w:rsidP="000215DE">
      <w:pPr>
        <w:pStyle w:val="2"/>
        <w:spacing w:before="120"/>
        <w:rPr>
          <w:rFonts w:cs="Times New Roman"/>
        </w:rPr>
      </w:pPr>
      <w:bookmarkStart w:id="676" w:name="bookmark82"/>
      <w:bookmarkStart w:id="677" w:name="_Toc19816147"/>
      <w:bookmarkStart w:id="678" w:name="_Toc12288828"/>
      <w:bookmarkStart w:id="679" w:name="_Toc81515314"/>
      <w:bookmarkEnd w:id="676"/>
      <w:r w:rsidRPr="00D630D1">
        <w:rPr>
          <w:rFonts w:cs="Times New Roman"/>
        </w:rPr>
        <w:t>10</w:t>
      </w:r>
      <w:r w:rsidR="008B5B84" w:rsidRPr="00D630D1">
        <w:rPr>
          <w:rFonts w:cs="Times New Roman"/>
        </w:rPr>
        <w:t xml:space="preserve">.1 </w:t>
      </w:r>
      <w:r w:rsidR="008B5B84" w:rsidRPr="00D630D1">
        <w:rPr>
          <w:rFonts w:cs="Times New Roman"/>
        </w:rPr>
        <w:t>施工期环境管理</w:t>
      </w:r>
      <w:bookmarkEnd w:id="677"/>
      <w:bookmarkEnd w:id="678"/>
      <w:bookmarkEnd w:id="679"/>
    </w:p>
    <w:p w:rsidR="00117C3D" w:rsidRPr="00D630D1" w:rsidRDefault="0058748A">
      <w:pPr>
        <w:pStyle w:val="a1"/>
        <w:ind w:firstLine="480"/>
        <w:rPr>
          <w:rFonts w:ascii="Times New Roman" w:cs="Times New Roman"/>
        </w:rPr>
      </w:pPr>
      <w:r w:rsidRPr="00D630D1">
        <w:rPr>
          <w:rFonts w:ascii="Times New Roman" w:cs="Times New Roman"/>
        </w:rPr>
        <w:t>项目施工</w:t>
      </w:r>
      <w:r w:rsidR="008B5B84" w:rsidRPr="00D630D1">
        <w:rPr>
          <w:rFonts w:ascii="Times New Roman" w:cs="Times New Roman"/>
        </w:rPr>
        <w:t>对环境的影响主要是在建设施工期，为确保各项环保措施的落实，最大限度地减轻施工作业对环境的影响，建立环境管理体系和监督机制尤为重要。本项目施工期环境管理由</w:t>
      </w:r>
      <w:r w:rsidRPr="00D630D1">
        <w:rPr>
          <w:rFonts w:ascii="Times New Roman" w:cs="Times New Roman"/>
        </w:rPr>
        <w:t>中国石油化工股份有限公司中原油田普光分公司</w:t>
      </w:r>
      <w:r w:rsidR="008B5B84" w:rsidRPr="00D630D1">
        <w:rPr>
          <w:rFonts w:ascii="Times New Roman" w:cs="Times New Roman"/>
        </w:rPr>
        <w:t>负责。</w:t>
      </w:r>
    </w:p>
    <w:p w:rsidR="00117C3D" w:rsidRPr="00D630D1" w:rsidRDefault="00F50B57">
      <w:pPr>
        <w:pStyle w:val="3"/>
        <w:rPr>
          <w:rFonts w:eastAsia="宋体"/>
        </w:rPr>
      </w:pPr>
      <w:bookmarkStart w:id="680" w:name="_Toc12288829"/>
      <w:bookmarkStart w:id="681" w:name="_Toc19816148"/>
      <w:r w:rsidRPr="00D630D1">
        <w:rPr>
          <w:rFonts w:eastAsia="宋体"/>
        </w:rPr>
        <w:t>10</w:t>
      </w:r>
      <w:r w:rsidR="008B5B84" w:rsidRPr="00D630D1">
        <w:rPr>
          <w:rFonts w:eastAsia="宋体"/>
        </w:rPr>
        <w:t xml:space="preserve">.1.1 </w:t>
      </w:r>
      <w:r w:rsidR="008B5B84" w:rsidRPr="00D630D1">
        <w:rPr>
          <w:rFonts w:eastAsia="宋体"/>
        </w:rPr>
        <w:t>施工期的环境管理</w:t>
      </w:r>
      <w:bookmarkEnd w:id="680"/>
      <w:bookmarkEnd w:id="681"/>
    </w:p>
    <w:p w:rsidR="00117C3D" w:rsidRPr="00D630D1" w:rsidRDefault="008B5B84">
      <w:pPr>
        <w:pStyle w:val="a1"/>
        <w:ind w:firstLine="480"/>
        <w:rPr>
          <w:rFonts w:ascii="Times New Roman" w:cs="Times New Roman"/>
        </w:rPr>
      </w:pPr>
      <w:r w:rsidRPr="00D630D1">
        <w:rPr>
          <w:rFonts w:ascii="Times New Roman" w:cs="Times New Roman"/>
        </w:rPr>
        <w:t>（</w:t>
      </w:r>
      <w:r w:rsidRPr="00D630D1">
        <w:rPr>
          <w:rFonts w:ascii="Times New Roman" w:cs="Times New Roman"/>
        </w:rPr>
        <w:t>1</w:t>
      </w:r>
      <w:r w:rsidRPr="00D630D1">
        <w:rPr>
          <w:rFonts w:ascii="Times New Roman" w:cs="Times New Roman"/>
        </w:rPr>
        <w:t>）贯彻执行国家环境保护的方针、政策、法律和法规。</w:t>
      </w:r>
    </w:p>
    <w:p w:rsidR="00117C3D" w:rsidRPr="00D630D1" w:rsidRDefault="008B5B84">
      <w:pPr>
        <w:pStyle w:val="a1"/>
        <w:ind w:firstLine="480"/>
        <w:rPr>
          <w:rFonts w:ascii="Times New Roman" w:cs="Times New Roman"/>
        </w:rPr>
      </w:pPr>
      <w:r w:rsidRPr="00D630D1">
        <w:rPr>
          <w:rFonts w:ascii="Times New Roman" w:cs="Times New Roman"/>
        </w:rPr>
        <w:t>（</w:t>
      </w:r>
      <w:r w:rsidRPr="00D630D1">
        <w:rPr>
          <w:rFonts w:ascii="Times New Roman" w:cs="Times New Roman"/>
        </w:rPr>
        <w:t>2</w:t>
      </w:r>
      <w:r w:rsidRPr="00D630D1">
        <w:rPr>
          <w:rFonts w:ascii="Times New Roman" w:cs="Times New Roman"/>
        </w:rPr>
        <w:t>）组织制定本部门环境保护的规章制度和标准，并督促检查其执行。</w:t>
      </w:r>
    </w:p>
    <w:p w:rsidR="00117C3D" w:rsidRPr="00D630D1" w:rsidRDefault="008B5B84">
      <w:pPr>
        <w:pStyle w:val="a1"/>
        <w:ind w:firstLine="480"/>
        <w:rPr>
          <w:rFonts w:ascii="Times New Roman" w:cs="Times New Roman"/>
        </w:rPr>
      </w:pPr>
      <w:r w:rsidRPr="00D630D1">
        <w:rPr>
          <w:rFonts w:ascii="Times New Roman" w:cs="Times New Roman"/>
        </w:rPr>
        <w:t>（</w:t>
      </w:r>
      <w:r w:rsidRPr="00D630D1">
        <w:rPr>
          <w:rFonts w:ascii="Times New Roman" w:cs="Times New Roman"/>
        </w:rPr>
        <w:t>3</w:t>
      </w:r>
      <w:r w:rsidRPr="00D630D1">
        <w:rPr>
          <w:rFonts w:ascii="Times New Roman" w:cs="Times New Roman"/>
        </w:rPr>
        <w:t>）选择环保业绩优秀的施工承包方。施工期对环境的破坏程度与施工承包方的素质和管理水平有很大关系。在承包方的选择上，除实力、人员素质和装备技术等方面外，还要考虑施工承包方的</w:t>
      </w:r>
      <w:r w:rsidRPr="00D630D1">
        <w:rPr>
          <w:rFonts w:ascii="Times New Roman" w:cs="Times New Roman"/>
        </w:rPr>
        <w:t>HSE</w:t>
      </w:r>
      <w:r w:rsidRPr="00D630D1">
        <w:rPr>
          <w:rFonts w:ascii="Times New Roman" w:cs="Times New Roman"/>
        </w:rPr>
        <w:t>表现，应优先那些</w:t>
      </w:r>
      <w:r w:rsidRPr="00D630D1">
        <w:rPr>
          <w:rFonts w:ascii="Times New Roman" w:cs="Times New Roman"/>
        </w:rPr>
        <w:t>HSE</w:t>
      </w:r>
      <w:r w:rsidRPr="00D630D1">
        <w:rPr>
          <w:rFonts w:ascii="Times New Roman" w:cs="Times New Roman"/>
        </w:rPr>
        <w:t>管理水平高、业绩好的单位。</w:t>
      </w:r>
    </w:p>
    <w:p w:rsidR="00117C3D" w:rsidRPr="00D630D1" w:rsidRDefault="008B5B84">
      <w:pPr>
        <w:pStyle w:val="a1"/>
        <w:ind w:firstLine="480"/>
        <w:rPr>
          <w:rFonts w:ascii="Times New Roman" w:cs="Times New Roman"/>
        </w:rPr>
      </w:pPr>
      <w:r w:rsidRPr="00D630D1">
        <w:rPr>
          <w:rFonts w:ascii="Times New Roman" w:cs="Times New Roman"/>
        </w:rPr>
        <w:t>（</w:t>
      </w:r>
      <w:r w:rsidRPr="00D630D1">
        <w:rPr>
          <w:rFonts w:ascii="Times New Roman" w:cs="Times New Roman"/>
        </w:rPr>
        <w:t>4</w:t>
      </w:r>
      <w:r w:rsidRPr="00D630D1">
        <w:rPr>
          <w:rFonts w:ascii="Times New Roman" w:cs="Times New Roman"/>
        </w:rPr>
        <w:t>）对施工承包方提出明确的环保要求。在承包合同中应明确规定有关环境保护条款，如承包施工段的主要环境保护目标应采取的水、气、声、生态保护及水土保持等，将环保工作的执行情况作为工程验收的标准之一。要求承包方按照</w:t>
      </w:r>
      <w:r w:rsidR="0058748A" w:rsidRPr="00D630D1">
        <w:rPr>
          <w:rFonts w:ascii="Times New Roman" w:cs="Times New Roman"/>
        </w:rPr>
        <w:t>中国石油化工股份有限公司中原油田普光分公司</w:t>
      </w:r>
      <w:r w:rsidRPr="00D630D1">
        <w:rPr>
          <w:rFonts w:ascii="Times New Roman" w:cs="Times New Roman"/>
        </w:rPr>
        <w:t>HSE</w:t>
      </w:r>
      <w:r w:rsidRPr="00D630D1">
        <w:rPr>
          <w:rFonts w:ascii="Times New Roman" w:cs="Times New Roman"/>
        </w:rPr>
        <w:t>体系要求，建立相应的</w:t>
      </w:r>
      <w:r w:rsidRPr="00D630D1">
        <w:rPr>
          <w:rFonts w:ascii="Times New Roman" w:cs="Times New Roman"/>
        </w:rPr>
        <w:lastRenderedPageBreak/>
        <w:t>HSE</w:t>
      </w:r>
      <w:r w:rsidRPr="00D630D1">
        <w:rPr>
          <w:rFonts w:ascii="Times New Roman" w:cs="Times New Roman"/>
        </w:rPr>
        <w:t>管理机构，明确人员、职责等。要求施工承包方在施工前，按照其施工段的环保要求，编制详细的</w:t>
      </w:r>
      <w:r w:rsidRPr="00D630D1">
        <w:rPr>
          <w:rFonts w:ascii="Times New Roman" w:cs="Times New Roman"/>
        </w:rPr>
        <w:t>“</w:t>
      </w:r>
      <w:r w:rsidRPr="00D630D1">
        <w:rPr>
          <w:rFonts w:ascii="Times New Roman" w:cs="Times New Roman"/>
        </w:rPr>
        <w:t>环境管理方案</w:t>
      </w:r>
      <w:r w:rsidRPr="00D630D1">
        <w:rPr>
          <w:rFonts w:ascii="Times New Roman" w:cs="Times New Roman"/>
        </w:rPr>
        <w:t>”</w:t>
      </w:r>
      <w:r w:rsidRPr="00D630D1">
        <w:rPr>
          <w:rFonts w:ascii="Times New Roman" w:cs="Times New Roman"/>
        </w:rPr>
        <w:t>，并连同施工计划一起呈报</w:t>
      </w:r>
      <w:r w:rsidR="0058748A" w:rsidRPr="00D630D1">
        <w:rPr>
          <w:rFonts w:ascii="Times New Roman" w:cs="Times New Roman"/>
        </w:rPr>
        <w:t>中国石油化工股份有限公司中原油田普光分公司</w:t>
      </w:r>
      <w:r w:rsidRPr="00D630D1">
        <w:rPr>
          <w:rFonts w:ascii="Times New Roman" w:cs="Times New Roman"/>
        </w:rPr>
        <w:t>HSE</w:t>
      </w:r>
      <w:r w:rsidRPr="00D630D1">
        <w:rPr>
          <w:rFonts w:ascii="Times New Roman" w:cs="Times New Roman"/>
        </w:rPr>
        <w:t>管理部门，批准后方可开工。</w:t>
      </w:r>
    </w:p>
    <w:p w:rsidR="00117C3D" w:rsidRPr="00D630D1" w:rsidRDefault="008B5B84">
      <w:pPr>
        <w:pStyle w:val="a1"/>
        <w:ind w:firstLine="480"/>
        <w:rPr>
          <w:rFonts w:ascii="Times New Roman" w:cs="Times New Roman"/>
        </w:rPr>
      </w:pPr>
      <w:r w:rsidRPr="00D630D1">
        <w:rPr>
          <w:rFonts w:ascii="Times New Roman" w:cs="Times New Roman"/>
        </w:rPr>
        <w:t>（</w:t>
      </w:r>
      <w:r w:rsidRPr="00D630D1">
        <w:rPr>
          <w:rFonts w:ascii="Times New Roman" w:cs="Times New Roman"/>
        </w:rPr>
        <w:t>5</w:t>
      </w:r>
      <w:r w:rsidRPr="00D630D1">
        <w:rPr>
          <w:rFonts w:ascii="Times New Roman" w:cs="Times New Roman"/>
        </w:rPr>
        <w:t>）根据管线各区段不同的环境保护目标，负责制定或审核各区段施工作业的监督计划，根据施工中各工种的作业特点和各施工区段的敏感目标，分别提出不同的环境保护要求，制定发生环境事故的应急计划和措施。</w:t>
      </w:r>
    </w:p>
    <w:p w:rsidR="00117C3D" w:rsidRPr="00D630D1" w:rsidRDefault="008B5B84">
      <w:pPr>
        <w:pStyle w:val="a1"/>
        <w:ind w:firstLine="480"/>
        <w:rPr>
          <w:rFonts w:ascii="Times New Roman" w:cs="Times New Roman"/>
        </w:rPr>
      </w:pPr>
      <w:r w:rsidRPr="00D630D1">
        <w:rPr>
          <w:rFonts w:ascii="Times New Roman" w:cs="Times New Roman"/>
        </w:rPr>
        <w:t>（</w:t>
      </w:r>
      <w:r w:rsidRPr="00D630D1">
        <w:rPr>
          <w:rFonts w:ascii="Times New Roman" w:cs="Times New Roman"/>
        </w:rPr>
        <w:t>6</w:t>
      </w:r>
      <w:r w:rsidRPr="00D630D1">
        <w:rPr>
          <w:rFonts w:ascii="Times New Roman" w:cs="Times New Roman"/>
        </w:rPr>
        <w:t>）监督施工期各项环保措施的落实情况，负责环保工程的检查和预验收，负责协调与</w:t>
      </w:r>
      <w:r w:rsidR="000215DE" w:rsidRPr="00D630D1">
        <w:rPr>
          <w:rFonts w:ascii="Times New Roman" w:cs="Times New Roman"/>
        </w:rPr>
        <w:t>县</w:t>
      </w:r>
      <w:r w:rsidRPr="00D630D1">
        <w:rPr>
          <w:rFonts w:ascii="Times New Roman" w:cs="Times New Roman"/>
        </w:rPr>
        <w:t>环保、水利、土地等部门的关系，以及群众团体的生态环境保护问题，调查处理管道施工中的环境破坏和污染事故。</w:t>
      </w:r>
    </w:p>
    <w:p w:rsidR="00117C3D" w:rsidRPr="00D630D1" w:rsidRDefault="008B5B84">
      <w:pPr>
        <w:pStyle w:val="a1"/>
        <w:ind w:firstLine="480"/>
        <w:rPr>
          <w:rFonts w:ascii="Times New Roman" w:cs="Times New Roman"/>
        </w:rPr>
      </w:pPr>
      <w:r w:rsidRPr="00D630D1">
        <w:rPr>
          <w:rFonts w:ascii="Times New Roman" w:cs="Times New Roman"/>
        </w:rPr>
        <w:t>（</w:t>
      </w:r>
      <w:r w:rsidRPr="00D630D1">
        <w:rPr>
          <w:rFonts w:ascii="Times New Roman" w:cs="Times New Roman"/>
        </w:rPr>
        <w:t>7</w:t>
      </w:r>
      <w:r w:rsidRPr="00D630D1">
        <w:rPr>
          <w:rFonts w:ascii="Times New Roman" w:cs="Times New Roman"/>
        </w:rPr>
        <w:t>）审定、落实并督促实施生态恢复和污染治理方案，监督恢复治理资金和物质的使用；负责有关环保文件、技术资料和施工期现场环境监测资料的收集建档。</w:t>
      </w:r>
    </w:p>
    <w:p w:rsidR="00117C3D" w:rsidRPr="00D630D1" w:rsidRDefault="008B5B84">
      <w:pPr>
        <w:pStyle w:val="a1"/>
        <w:ind w:firstLine="480"/>
        <w:rPr>
          <w:rFonts w:ascii="Times New Roman" w:cs="Times New Roman"/>
        </w:rPr>
      </w:pPr>
      <w:r w:rsidRPr="00D630D1">
        <w:rPr>
          <w:rFonts w:ascii="Times New Roman" w:cs="Times New Roman"/>
        </w:rPr>
        <w:t>（</w:t>
      </w:r>
      <w:r w:rsidRPr="00D630D1">
        <w:rPr>
          <w:rFonts w:ascii="Times New Roman" w:cs="Times New Roman"/>
        </w:rPr>
        <w:t>8</w:t>
      </w:r>
      <w:r w:rsidRPr="00D630D1">
        <w:rPr>
          <w:rFonts w:ascii="Times New Roman" w:cs="Times New Roman"/>
        </w:rPr>
        <w:t>）监督检查保护生态环境和防止污染设施与管道主体工程同时设计、同时施工、同时投入使用的执行情况。</w:t>
      </w:r>
    </w:p>
    <w:p w:rsidR="00117C3D" w:rsidRPr="00D630D1" w:rsidRDefault="008B5B84">
      <w:pPr>
        <w:pStyle w:val="a1"/>
        <w:ind w:firstLine="480"/>
        <w:rPr>
          <w:rFonts w:ascii="Times New Roman" w:cs="Times New Roman"/>
        </w:rPr>
      </w:pPr>
      <w:r w:rsidRPr="00D630D1">
        <w:rPr>
          <w:rFonts w:ascii="Times New Roman" w:cs="Times New Roman"/>
        </w:rPr>
        <w:t>（</w:t>
      </w:r>
      <w:r w:rsidRPr="00D630D1">
        <w:rPr>
          <w:rFonts w:ascii="Times New Roman" w:cs="Times New Roman"/>
        </w:rPr>
        <w:t>9</w:t>
      </w:r>
      <w:r w:rsidRPr="00D630D1">
        <w:rPr>
          <w:rFonts w:ascii="Times New Roman" w:cs="Times New Roman"/>
        </w:rPr>
        <w:t>）组织开展管道环境保护的科研、宣传教育、培训工作。</w:t>
      </w:r>
    </w:p>
    <w:p w:rsidR="00117C3D" w:rsidRPr="00D630D1" w:rsidRDefault="008B5B84" w:rsidP="000215DE">
      <w:pPr>
        <w:pStyle w:val="10"/>
        <w:rPr>
          <w:rFonts w:cs="Times New Roman"/>
        </w:rPr>
      </w:pPr>
      <w:r w:rsidRPr="00D630D1">
        <w:rPr>
          <w:rFonts w:cs="Times New Roman"/>
        </w:rPr>
        <w:t>表</w:t>
      </w:r>
      <w:r w:rsidR="00F50B57" w:rsidRPr="00D630D1">
        <w:rPr>
          <w:rFonts w:cs="Times New Roman"/>
        </w:rPr>
        <w:t>10</w:t>
      </w:r>
      <w:r w:rsidRPr="00D630D1">
        <w:rPr>
          <w:rFonts w:cs="Times New Roman"/>
        </w:rPr>
        <w:t>.1-1</w:t>
      </w:r>
      <w:r w:rsidR="000215DE" w:rsidRPr="00D630D1">
        <w:rPr>
          <w:rFonts w:cs="Times New Roman"/>
        </w:rPr>
        <w:t xml:space="preserve">  </w:t>
      </w:r>
      <w:r w:rsidRPr="00D630D1">
        <w:rPr>
          <w:rFonts w:cs="Times New Roman"/>
        </w:rPr>
        <w:t>施工期</w:t>
      </w:r>
      <w:r w:rsidRPr="00D630D1">
        <w:rPr>
          <w:rFonts w:cs="Times New Roman"/>
        </w:rPr>
        <w:t>HSE</w:t>
      </w:r>
      <w:r w:rsidRPr="00D630D1">
        <w:rPr>
          <w:rFonts w:cs="Times New Roman"/>
        </w:rPr>
        <w:t>管理方案的重点监控内容</w:t>
      </w:r>
    </w:p>
    <w:tbl>
      <w:tblPr>
        <w:tblW w:w="5087" w:type="pct"/>
        <w:jc w:val="center"/>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tblPr>
      <w:tblGrid>
        <w:gridCol w:w="1298"/>
        <w:gridCol w:w="5049"/>
        <w:gridCol w:w="2104"/>
      </w:tblGrid>
      <w:tr w:rsidR="00F617AC" w:rsidRPr="00D630D1" w:rsidTr="000F705A">
        <w:trPr>
          <w:trHeight w:val="19"/>
          <w:jc w:val="center"/>
        </w:trPr>
        <w:tc>
          <w:tcPr>
            <w:tcW w:w="768" w:type="pct"/>
            <w:tcBorders>
              <w:top w:val="single" w:sz="12" w:space="0" w:color="000000"/>
              <w:left w:val="nil"/>
              <w:bottom w:val="single" w:sz="4" w:space="0" w:color="000000"/>
              <w:right w:val="single" w:sz="4" w:space="0" w:color="000000"/>
            </w:tcBorders>
            <w:vAlign w:val="center"/>
          </w:tcPr>
          <w:p w:rsidR="00117C3D" w:rsidRPr="00D630D1" w:rsidRDefault="008B5B84" w:rsidP="000215DE">
            <w:pPr>
              <w:pStyle w:val="aff2"/>
              <w:rPr>
                <w:b/>
                <w:bCs/>
              </w:rPr>
            </w:pPr>
            <w:r w:rsidRPr="00D630D1">
              <w:rPr>
                <w:b/>
                <w:bCs/>
              </w:rPr>
              <w:t>重点地段</w:t>
            </w:r>
          </w:p>
        </w:tc>
        <w:tc>
          <w:tcPr>
            <w:tcW w:w="2987" w:type="pc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rsidP="000215DE">
            <w:pPr>
              <w:pStyle w:val="aff2"/>
              <w:rPr>
                <w:b/>
                <w:bCs/>
              </w:rPr>
            </w:pPr>
            <w:r w:rsidRPr="00D630D1">
              <w:rPr>
                <w:b/>
                <w:bCs/>
              </w:rPr>
              <w:t>重点监理内容</w:t>
            </w:r>
          </w:p>
        </w:tc>
        <w:tc>
          <w:tcPr>
            <w:tcW w:w="1245" w:type="pct"/>
            <w:tcBorders>
              <w:top w:val="single" w:sz="12" w:space="0" w:color="000000"/>
              <w:left w:val="single" w:sz="4" w:space="0" w:color="000000"/>
              <w:bottom w:val="single" w:sz="4" w:space="0" w:color="000000"/>
              <w:right w:val="nil"/>
            </w:tcBorders>
            <w:vAlign w:val="center"/>
          </w:tcPr>
          <w:p w:rsidR="00117C3D" w:rsidRPr="00D630D1" w:rsidRDefault="008B5B84" w:rsidP="000215DE">
            <w:pPr>
              <w:pStyle w:val="aff2"/>
              <w:rPr>
                <w:b/>
                <w:bCs/>
              </w:rPr>
            </w:pPr>
            <w:r w:rsidRPr="00D630D1">
              <w:rPr>
                <w:b/>
                <w:bCs/>
              </w:rPr>
              <w:t>目的</w:t>
            </w:r>
          </w:p>
        </w:tc>
      </w:tr>
      <w:tr w:rsidR="00F617AC" w:rsidRPr="00D630D1" w:rsidTr="000F705A">
        <w:trPr>
          <w:trHeight w:val="19"/>
          <w:jc w:val="center"/>
        </w:trPr>
        <w:tc>
          <w:tcPr>
            <w:tcW w:w="768" w:type="pct"/>
            <w:tcBorders>
              <w:top w:val="single" w:sz="4" w:space="0" w:color="000000"/>
              <w:left w:val="nil"/>
              <w:bottom w:val="single" w:sz="4" w:space="0" w:color="000000"/>
              <w:right w:val="single" w:sz="4" w:space="0" w:color="000000"/>
            </w:tcBorders>
            <w:vAlign w:val="center"/>
          </w:tcPr>
          <w:p w:rsidR="00117C3D" w:rsidRPr="00D630D1" w:rsidRDefault="008B5B84" w:rsidP="000215DE">
            <w:pPr>
              <w:pStyle w:val="aff2"/>
            </w:pPr>
            <w:r w:rsidRPr="00D630D1">
              <w:t>沿线农田</w:t>
            </w:r>
          </w:p>
        </w:tc>
        <w:tc>
          <w:tcPr>
            <w:tcW w:w="2987"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215DE">
            <w:pPr>
              <w:pStyle w:val="aff2"/>
              <w:jc w:val="left"/>
            </w:pPr>
            <w:r w:rsidRPr="00D630D1">
              <w:t>1</w:t>
            </w:r>
            <w:r w:rsidRPr="00D630D1">
              <w:t>．是否严格执行了</w:t>
            </w:r>
            <w:r w:rsidRPr="00D630D1">
              <w:t>“</w:t>
            </w:r>
            <w:r w:rsidRPr="00D630D1">
              <w:t>分层开挖、分层堆放、分层回填</w:t>
            </w:r>
            <w:r w:rsidRPr="00D630D1">
              <w:t>”</w:t>
            </w:r>
            <w:r w:rsidRPr="00D630D1">
              <w:t>；</w:t>
            </w:r>
          </w:p>
          <w:p w:rsidR="00117C3D" w:rsidRPr="00D630D1" w:rsidRDefault="008B5B84" w:rsidP="000215DE">
            <w:pPr>
              <w:pStyle w:val="aff2"/>
              <w:jc w:val="left"/>
            </w:pPr>
            <w:r w:rsidRPr="00D630D1">
              <w:t>2</w:t>
            </w:r>
            <w:r w:rsidRPr="00D630D1">
              <w:t>．施工作业场地设置是否合理，施工、运输车辆是否按指定路线行驶；</w:t>
            </w:r>
          </w:p>
          <w:p w:rsidR="00117C3D" w:rsidRPr="00D630D1" w:rsidRDefault="008B5B84" w:rsidP="000215DE">
            <w:pPr>
              <w:pStyle w:val="aff2"/>
              <w:jc w:val="left"/>
            </w:pPr>
            <w:r w:rsidRPr="00D630D1">
              <w:t>3</w:t>
            </w:r>
            <w:r w:rsidRPr="00D630D1">
              <w:t>．施工人员是否超越施工作业带施工；</w:t>
            </w:r>
          </w:p>
          <w:p w:rsidR="00117C3D" w:rsidRPr="00D630D1" w:rsidRDefault="008B5B84" w:rsidP="000215DE">
            <w:pPr>
              <w:pStyle w:val="aff2"/>
              <w:jc w:val="left"/>
            </w:pPr>
            <w:r w:rsidRPr="00D630D1">
              <w:t>4</w:t>
            </w:r>
            <w:r w:rsidRPr="00D630D1">
              <w:t>．施工人员是否超越施工活动范围；</w:t>
            </w:r>
          </w:p>
          <w:p w:rsidR="00117C3D" w:rsidRPr="00D630D1" w:rsidRDefault="008B5B84" w:rsidP="000215DE">
            <w:pPr>
              <w:pStyle w:val="aff2"/>
              <w:jc w:val="left"/>
            </w:pPr>
            <w:r w:rsidRPr="00D630D1">
              <w:t>5</w:t>
            </w:r>
            <w:r w:rsidRPr="00D630D1">
              <w:t>．垃圾、废物是否有指定地点堆放，是否及时清理；</w:t>
            </w:r>
          </w:p>
          <w:p w:rsidR="00117C3D" w:rsidRPr="00D630D1" w:rsidRDefault="008B5B84" w:rsidP="000215DE">
            <w:pPr>
              <w:pStyle w:val="aff2"/>
              <w:jc w:val="left"/>
            </w:pPr>
            <w:r w:rsidRPr="00D630D1">
              <w:t>6</w:t>
            </w:r>
            <w:r w:rsidRPr="00D630D1">
              <w:t>．施工结束后临时用地是否彻底恢复。</w:t>
            </w:r>
          </w:p>
        </w:tc>
        <w:tc>
          <w:tcPr>
            <w:tcW w:w="1245" w:type="pct"/>
            <w:tcBorders>
              <w:top w:val="single" w:sz="4" w:space="0" w:color="000000"/>
              <w:left w:val="single" w:sz="4" w:space="0" w:color="000000"/>
              <w:bottom w:val="single" w:sz="4" w:space="0" w:color="000000"/>
              <w:right w:val="nil"/>
            </w:tcBorders>
            <w:vAlign w:val="center"/>
          </w:tcPr>
          <w:p w:rsidR="00117C3D" w:rsidRPr="00D630D1" w:rsidRDefault="008B5B84" w:rsidP="000215DE">
            <w:pPr>
              <w:pStyle w:val="aff2"/>
            </w:pPr>
            <w:r w:rsidRPr="00D630D1">
              <w:t>减少土壤和农作物的破坏</w:t>
            </w:r>
          </w:p>
        </w:tc>
      </w:tr>
      <w:tr w:rsidR="00F617AC" w:rsidRPr="00D630D1" w:rsidTr="000F705A">
        <w:trPr>
          <w:trHeight w:val="19"/>
          <w:jc w:val="center"/>
        </w:trPr>
        <w:tc>
          <w:tcPr>
            <w:tcW w:w="768" w:type="pct"/>
            <w:tcBorders>
              <w:top w:val="single" w:sz="4" w:space="0" w:color="000000"/>
              <w:left w:val="nil"/>
              <w:bottom w:val="single" w:sz="4" w:space="0" w:color="000000"/>
              <w:right w:val="single" w:sz="4" w:space="0" w:color="000000"/>
            </w:tcBorders>
            <w:vAlign w:val="center"/>
          </w:tcPr>
          <w:p w:rsidR="00117C3D" w:rsidRPr="00D630D1" w:rsidRDefault="008B5B84" w:rsidP="000215DE">
            <w:pPr>
              <w:pStyle w:val="aff2"/>
            </w:pPr>
            <w:r w:rsidRPr="00D630D1">
              <w:t>沿线林地等</w:t>
            </w:r>
          </w:p>
        </w:tc>
        <w:tc>
          <w:tcPr>
            <w:tcW w:w="2987" w:type="pct"/>
            <w:tcBorders>
              <w:top w:val="single" w:sz="4" w:space="0" w:color="000000"/>
              <w:left w:val="single" w:sz="4" w:space="0" w:color="000000"/>
              <w:bottom w:val="single" w:sz="4" w:space="0" w:color="000000"/>
              <w:right w:val="single" w:sz="4" w:space="0" w:color="000000"/>
            </w:tcBorders>
            <w:vAlign w:val="center"/>
          </w:tcPr>
          <w:p w:rsidR="007B6E09" w:rsidRDefault="007B6E09" w:rsidP="000215DE">
            <w:pPr>
              <w:pStyle w:val="aff2"/>
              <w:jc w:val="left"/>
            </w:pPr>
            <w:r w:rsidRPr="007B6E09">
              <w:t>1</w:t>
            </w:r>
            <w:r w:rsidRPr="007B6E09">
              <w:t>．</w:t>
            </w:r>
            <w:r w:rsidRPr="007B6E09">
              <w:rPr>
                <w:rFonts w:hint="eastAsia"/>
              </w:rPr>
              <w:t>对占地范围内的二级公益林进行移栽</w:t>
            </w:r>
            <w:r>
              <w:rPr>
                <w:rFonts w:hint="eastAsia"/>
              </w:rPr>
              <w:t>，施工完成后回栽；</w:t>
            </w:r>
          </w:p>
          <w:p w:rsidR="00117C3D" w:rsidRPr="00D630D1" w:rsidRDefault="007B6E09" w:rsidP="000215DE">
            <w:pPr>
              <w:pStyle w:val="aff2"/>
              <w:jc w:val="left"/>
            </w:pPr>
            <w:r>
              <w:rPr>
                <w:rFonts w:hint="eastAsia"/>
              </w:rPr>
              <w:t>2</w:t>
            </w:r>
            <w:r w:rsidR="008B5B84" w:rsidRPr="00D630D1">
              <w:t>．减少管道穿越对林地造成的损坏；</w:t>
            </w:r>
          </w:p>
          <w:p w:rsidR="00117C3D" w:rsidRPr="00D630D1" w:rsidRDefault="007B6E09" w:rsidP="000215DE">
            <w:pPr>
              <w:pStyle w:val="aff2"/>
              <w:jc w:val="left"/>
            </w:pPr>
            <w:r>
              <w:rPr>
                <w:rFonts w:hint="eastAsia"/>
              </w:rPr>
              <w:t>3</w:t>
            </w:r>
            <w:r w:rsidR="008B5B84" w:rsidRPr="00D630D1">
              <w:t>．是否超越施工作业带施工；</w:t>
            </w:r>
          </w:p>
          <w:p w:rsidR="00117C3D" w:rsidRPr="00D630D1" w:rsidRDefault="007B6E09" w:rsidP="000215DE">
            <w:pPr>
              <w:pStyle w:val="aff2"/>
              <w:jc w:val="left"/>
            </w:pPr>
            <w:r>
              <w:rPr>
                <w:rFonts w:hint="eastAsia"/>
              </w:rPr>
              <w:t>4</w:t>
            </w:r>
            <w:r w:rsidR="008B5B84" w:rsidRPr="00D630D1">
              <w:t>．施工是否利用现有便道；</w:t>
            </w:r>
          </w:p>
          <w:p w:rsidR="00117C3D" w:rsidRPr="00D630D1" w:rsidRDefault="007B6E09" w:rsidP="000215DE">
            <w:pPr>
              <w:pStyle w:val="aff2"/>
              <w:jc w:val="left"/>
            </w:pPr>
            <w:r>
              <w:rPr>
                <w:rFonts w:hint="eastAsia"/>
              </w:rPr>
              <w:t>5</w:t>
            </w:r>
            <w:r w:rsidR="008B5B84" w:rsidRPr="00D630D1">
              <w:t>．施工人员是否有捕食野生动物的行为；</w:t>
            </w:r>
          </w:p>
          <w:p w:rsidR="00117C3D" w:rsidRPr="00D630D1" w:rsidRDefault="007B6E09" w:rsidP="000215DE">
            <w:pPr>
              <w:pStyle w:val="aff2"/>
              <w:jc w:val="left"/>
            </w:pPr>
            <w:r>
              <w:rPr>
                <w:rFonts w:hint="eastAsia"/>
              </w:rPr>
              <w:t>6</w:t>
            </w:r>
            <w:r w:rsidR="008B5B84" w:rsidRPr="00D630D1">
              <w:t>．施工是否按要求进行施工。</w:t>
            </w:r>
          </w:p>
        </w:tc>
        <w:tc>
          <w:tcPr>
            <w:tcW w:w="1245" w:type="pct"/>
            <w:tcBorders>
              <w:top w:val="single" w:sz="4" w:space="0" w:color="000000"/>
              <w:left w:val="single" w:sz="4" w:space="0" w:color="000000"/>
              <w:bottom w:val="single" w:sz="4" w:space="0" w:color="000000"/>
              <w:right w:val="nil"/>
            </w:tcBorders>
            <w:vAlign w:val="center"/>
          </w:tcPr>
          <w:p w:rsidR="00117C3D" w:rsidRPr="00D630D1" w:rsidRDefault="008B5B84" w:rsidP="000215DE">
            <w:pPr>
              <w:pStyle w:val="aff2"/>
            </w:pPr>
            <w:r w:rsidRPr="00D630D1">
              <w:t>保护林地，减少损失</w:t>
            </w:r>
          </w:p>
        </w:tc>
      </w:tr>
      <w:tr w:rsidR="00F617AC" w:rsidRPr="00D630D1" w:rsidTr="000F705A">
        <w:trPr>
          <w:trHeight w:val="19"/>
          <w:jc w:val="center"/>
        </w:trPr>
        <w:tc>
          <w:tcPr>
            <w:tcW w:w="768" w:type="pct"/>
            <w:tcBorders>
              <w:top w:val="single" w:sz="4" w:space="0" w:color="000000"/>
              <w:left w:val="nil"/>
              <w:bottom w:val="single" w:sz="12" w:space="0" w:color="000000"/>
              <w:right w:val="single" w:sz="4" w:space="0" w:color="000000"/>
            </w:tcBorders>
            <w:vAlign w:val="center"/>
          </w:tcPr>
          <w:p w:rsidR="00117C3D" w:rsidRPr="00D630D1" w:rsidRDefault="008B5B84" w:rsidP="000215DE">
            <w:pPr>
              <w:pStyle w:val="aff2"/>
            </w:pPr>
            <w:r w:rsidRPr="00D630D1">
              <w:t>参见所列的村庄敏感点</w:t>
            </w:r>
          </w:p>
        </w:tc>
        <w:tc>
          <w:tcPr>
            <w:tcW w:w="2987" w:type="pct"/>
            <w:tcBorders>
              <w:top w:val="single" w:sz="4" w:space="0" w:color="000000"/>
              <w:left w:val="single" w:sz="4" w:space="0" w:color="000000"/>
              <w:bottom w:val="single" w:sz="12" w:space="0" w:color="000000"/>
              <w:right w:val="single" w:sz="4" w:space="0" w:color="000000"/>
            </w:tcBorders>
            <w:vAlign w:val="center"/>
          </w:tcPr>
          <w:p w:rsidR="00117C3D" w:rsidRPr="00D630D1" w:rsidRDefault="008B5B84" w:rsidP="000215DE">
            <w:pPr>
              <w:pStyle w:val="aff2"/>
              <w:jc w:val="left"/>
            </w:pPr>
            <w:r w:rsidRPr="00D630D1">
              <w:t>1</w:t>
            </w:r>
            <w:r w:rsidRPr="00D630D1">
              <w:t>．施工噪声对居民的影响；</w:t>
            </w:r>
          </w:p>
          <w:p w:rsidR="00117C3D" w:rsidRPr="00D630D1" w:rsidRDefault="008B5B84" w:rsidP="000215DE">
            <w:pPr>
              <w:pStyle w:val="aff2"/>
              <w:jc w:val="left"/>
            </w:pPr>
            <w:r w:rsidRPr="00D630D1">
              <w:t>2</w:t>
            </w:r>
            <w:r w:rsidRPr="00D630D1">
              <w:t>．施工路段、灰土拌和场地是否定时洒水；</w:t>
            </w:r>
          </w:p>
          <w:p w:rsidR="00117C3D" w:rsidRPr="00D630D1" w:rsidRDefault="008B5B84" w:rsidP="000215DE">
            <w:pPr>
              <w:pStyle w:val="aff2"/>
              <w:jc w:val="left"/>
            </w:pPr>
            <w:r w:rsidRPr="00D630D1">
              <w:t>3</w:t>
            </w:r>
            <w:r w:rsidRPr="00D630D1">
              <w:t>．粉状材料（主要为临时堆放弃土）堆放时是否覆盖。</w:t>
            </w:r>
          </w:p>
        </w:tc>
        <w:tc>
          <w:tcPr>
            <w:tcW w:w="1245" w:type="pct"/>
            <w:tcBorders>
              <w:top w:val="single" w:sz="4" w:space="0" w:color="000000"/>
              <w:left w:val="single" w:sz="4" w:space="0" w:color="000000"/>
              <w:bottom w:val="single" w:sz="12" w:space="0" w:color="000000"/>
              <w:right w:val="nil"/>
            </w:tcBorders>
            <w:vAlign w:val="center"/>
          </w:tcPr>
          <w:p w:rsidR="00117C3D" w:rsidRPr="00D630D1" w:rsidRDefault="008B5B84" w:rsidP="000215DE">
            <w:pPr>
              <w:pStyle w:val="aff2"/>
            </w:pPr>
            <w:r w:rsidRPr="00D630D1">
              <w:t>防止施工噪声影响居民的正常生活；减少施工扬尘对居民的影响</w:t>
            </w:r>
          </w:p>
        </w:tc>
      </w:tr>
    </w:tbl>
    <w:p w:rsidR="00117C3D" w:rsidRPr="00D630D1" w:rsidRDefault="00F50B57">
      <w:pPr>
        <w:pStyle w:val="3"/>
        <w:rPr>
          <w:rFonts w:eastAsia="宋体"/>
        </w:rPr>
      </w:pPr>
      <w:bookmarkStart w:id="682" w:name="_Toc12288830"/>
      <w:bookmarkStart w:id="683" w:name="_Toc19816149"/>
      <w:r w:rsidRPr="00D630D1">
        <w:rPr>
          <w:rFonts w:eastAsia="宋体"/>
        </w:rPr>
        <w:t>10</w:t>
      </w:r>
      <w:r w:rsidR="008B5B84" w:rsidRPr="00D630D1">
        <w:rPr>
          <w:rFonts w:eastAsia="宋体"/>
        </w:rPr>
        <w:t xml:space="preserve">.1.2 </w:t>
      </w:r>
      <w:r w:rsidR="008B5B84" w:rsidRPr="00D630D1">
        <w:rPr>
          <w:rFonts w:eastAsia="宋体"/>
        </w:rPr>
        <w:t>施工期的环境监测</w:t>
      </w:r>
      <w:bookmarkEnd w:id="682"/>
      <w:bookmarkEnd w:id="683"/>
    </w:p>
    <w:p w:rsidR="00117C3D" w:rsidRPr="00D630D1" w:rsidRDefault="008B5B84">
      <w:pPr>
        <w:pStyle w:val="a1"/>
        <w:ind w:firstLine="480"/>
        <w:rPr>
          <w:rFonts w:ascii="Times New Roman" w:cs="Times New Roman"/>
        </w:rPr>
      </w:pPr>
      <w:r w:rsidRPr="00D630D1">
        <w:rPr>
          <w:rFonts w:ascii="Times New Roman" w:cs="Times New Roman"/>
        </w:rPr>
        <w:t>施工期的环境监测主要是对作业场所的控制监测和事故发生后的影响监测，主要监测对象有土壤、植被、施工作业废气、废水和噪声等。对作业场所的控制</w:t>
      </w:r>
      <w:r w:rsidRPr="00D630D1">
        <w:rPr>
          <w:rFonts w:ascii="Times New Roman" w:cs="Times New Roman"/>
        </w:rPr>
        <w:lastRenderedPageBreak/>
        <w:t>监测可视当地具体情况及当地环</w:t>
      </w:r>
      <w:r w:rsidR="005F0550" w:rsidRPr="00D630D1">
        <w:rPr>
          <w:rFonts w:ascii="Times New Roman" w:cs="Times New Roman"/>
        </w:rPr>
        <w:t>保部门要求等情况而定，诸如：在人群密集区施工可进行适当噪声监测</w:t>
      </w:r>
      <w:r w:rsidRPr="00D630D1">
        <w:rPr>
          <w:rFonts w:ascii="Times New Roman" w:cs="Times New Roman"/>
        </w:rPr>
        <w:t>等。对事故监测可根据事故性质、事故影响的大小等，视具体情况监测大气、土壤、水等。本项目监督、监测计划见下表。</w:t>
      </w:r>
    </w:p>
    <w:p w:rsidR="00117C3D" w:rsidRPr="00D630D1" w:rsidRDefault="008B5B84" w:rsidP="000215DE">
      <w:pPr>
        <w:pStyle w:val="10"/>
        <w:rPr>
          <w:rFonts w:cs="Times New Roman"/>
        </w:rPr>
      </w:pPr>
      <w:r w:rsidRPr="00D630D1">
        <w:rPr>
          <w:rFonts w:cs="Times New Roman"/>
        </w:rPr>
        <w:t>表</w:t>
      </w:r>
      <w:r w:rsidR="000215DE" w:rsidRPr="00D630D1">
        <w:rPr>
          <w:rFonts w:cs="Times New Roman"/>
        </w:rPr>
        <w:t>10</w:t>
      </w:r>
      <w:r w:rsidRPr="00D630D1">
        <w:rPr>
          <w:rFonts w:cs="Times New Roman"/>
        </w:rPr>
        <w:t>.1-2</w:t>
      </w:r>
      <w:r w:rsidR="000215DE" w:rsidRPr="00D630D1">
        <w:rPr>
          <w:rFonts w:cs="Times New Roman"/>
        </w:rPr>
        <w:t xml:space="preserve">  </w:t>
      </w:r>
      <w:r w:rsidRPr="00D630D1">
        <w:rPr>
          <w:rFonts w:cs="Times New Roman"/>
        </w:rPr>
        <w:t>施工期环境监督、监测计划</w:t>
      </w:r>
    </w:p>
    <w:tbl>
      <w:tblPr>
        <w:tblW w:w="5164" w:type="pct"/>
        <w:jc w:val="center"/>
        <w:tblCellMar>
          <w:left w:w="0" w:type="dxa"/>
          <w:right w:w="0" w:type="dxa"/>
        </w:tblCellMar>
        <w:tblLook w:val="04A0"/>
      </w:tblPr>
      <w:tblGrid>
        <w:gridCol w:w="1011"/>
        <w:gridCol w:w="3927"/>
        <w:gridCol w:w="1525"/>
        <w:gridCol w:w="2115"/>
      </w:tblGrid>
      <w:tr w:rsidR="00F617AC" w:rsidRPr="00D630D1" w:rsidTr="000F705A">
        <w:trPr>
          <w:trHeight w:val="18"/>
          <w:jc w:val="center"/>
        </w:trPr>
        <w:tc>
          <w:tcPr>
            <w:tcW w:w="589" w:type="pct"/>
            <w:tcBorders>
              <w:top w:val="single" w:sz="12" w:space="0" w:color="000000"/>
              <w:left w:val="nil"/>
              <w:bottom w:val="single" w:sz="4" w:space="0" w:color="000000"/>
              <w:right w:val="single" w:sz="4" w:space="0" w:color="000000"/>
            </w:tcBorders>
            <w:vAlign w:val="center"/>
          </w:tcPr>
          <w:p w:rsidR="00117C3D" w:rsidRPr="00D630D1" w:rsidRDefault="008B5B84" w:rsidP="000215DE">
            <w:pPr>
              <w:pStyle w:val="aff2"/>
              <w:rPr>
                <w:b/>
                <w:bCs/>
              </w:rPr>
            </w:pPr>
            <w:r w:rsidRPr="00D630D1">
              <w:rPr>
                <w:b/>
                <w:bCs/>
              </w:rPr>
              <w:t>监测项目</w:t>
            </w:r>
          </w:p>
        </w:tc>
        <w:tc>
          <w:tcPr>
            <w:tcW w:w="2289" w:type="pc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rsidP="000215DE">
            <w:pPr>
              <w:pStyle w:val="aff2"/>
              <w:rPr>
                <w:b/>
                <w:bCs/>
              </w:rPr>
            </w:pPr>
            <w:r w:rsidRPr="00D630D1">
              <w:rPr>
                <w:b/>
                <w:bCs/>
              </w:rPr>
              <w:t>监督、监测内容</w:t>
            </w:r>
          </w:p>
        </w:tc>
        <w:tc>
          <w:tcPr>
            <w:tcW w:w="889" w:type="pc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rsidP="000215DE">
            <w:pPr>
              <w:pStyle w:val="aff2"/>
              <w:rPr>
                <w:b/>
                <w:bCs/>
              </w:rPr>
            </w:pPr>
            <w:r w:rsidRPr="00D630D1">
              <w:rPr>
                <w:b/>
                <w:bCs/>
              </w:rPr>
              <w:t>报告制度</w:t>
            </w:r>
          </w:p>
        </w:tc>
        <w:tc>
          <w:tcPr>
            <w:tcW w:w="1233" w:type="pct"/>
            <w:tcBorders>
              <w:top w:val="single" w:sz="12" w:space="0" w:color="000000"/>
              <w:left w:val="single" w:sz="4" w:space="0" w:color="000000"/>
              <w:bottom w:val="single" w:sz="4" w:space="0" w:color="000000"/>
              <w:right w:val="nil"/>
            </w:tcBorders>
            <w:vAlign w:val="center"/>
          </w:tcPr>
          <w:p w:rsidR="00117C3D" w:rsidRPr="00D630D1" w:rsidRDefault="008B5B84" w:rsidP="000215DE">
            <w:pPr>
              <w:pStyle w:val="aff2"/>
              <w:rPr>
                <w:b/>
                <w:bCs/>
              </w:rPr>
            </w:pPr>
            <w:r w:rsidRPr="00D630D1">
              <w:rPr>
                <w:b/>
                <w:bCs/>
              </w:rPr>
              <w:t>实施单位</w:t>
            </w:r>
          </w:p>
        </w:tc>
      </w:tr>
      <w:tr w:rsidR="00F617AC" w:rsidRPr="00D630D1" w:rsidTr="000F705A">
        <w:trPr>
          <w:trHeight w:val="18"/>
          <w:jc w:val="center"/>
        </w:trPr>
        <w:tc>
          <w:tcPr>
            <w:tcW w:w="589" w:type="pct"/>
            <w:tcBorders>
              <w:top w:val="single" w:sz="4" w:space="0" w:color="000000"/>
              <w:left w:val="nil"/>
              <w:bottom w:val="single" w:sz="4" w:space="0" w:color="000000"/>
              <w:right w:val="single" w:sz="4" w:space="0" w:color="000000"/>
            </w:tcBorders>
            <w:vAlign w:val="center"/>
          </w:tcPr>
          <w:p w:rsidR="00117C3D" w:rsidRPr="00D630D1" w:rsidRDefault="008B5B84" w:rsidP="000215DE">
            <w:pPr>
              <w:pStyle w:val="aff2"/>
            </w:pPr>
            <w:r w:rsidRPr="00D630D1">
              <w:t>施工现场清理</w:t>
            </w:r>
          </w:p>
        </w:tc>
        <w:tc>
          <w:tcPr>
            <w:tcW w:w="228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215DE">
            <w:pPr>
              <w:pStyle w:val="aff2"/>
            </w:pPr>
            <w:r w:rsidRPr="00D630D1">
              <w:t>施工结束后，施工现场的弃土、石、渣等垃圾和生态环境恢复情况；监督频率：施工结束后</w:t>
            </w:r>
            <w:r w:rsidRPr="00D630D1">
              <w:t>1</w:t>
            </w:r>
            <w:r w:rsidRPr="00D630D1">
              <w:t>次；监督点：各施工区段</w:t>
            </w:r>
            <w:r w:rsidR="0021697D" w:rsidRPr="00D630D1">
              <w:t>。</w:t>
            </w:r>
          </w:p>
        </w:tc>
        <w:tc>
          <w:tcPr>
            <w:tcW w:w="88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215DE">
            <w:pPr>
              <w:pStyle w:val="aff2"/>
            </w:pPr>
            <w:r w:rsidRPr="00D630D1">
              <w:t>报建设单位</w:t>
            </w:r>
          </w:p>
        </w:tc>
        <w:tc>
          <w:tcPr>
            <w:tcW w:w="1233" w:type="pct"/>
            <w:tcBorders>
              <w:top w:val="single" w:sz="4" w:space="0" w:color="000000"/>
              <w:left w:val="single" w:sz="4" w:space="0" w:color="000000"/>
              <w:bottom w:val="single" w:sz="4" w:space="0" w:color="000000"/>
              <w:right w:val="nil"/>
            </w:tcBorders>
            <w:vAlign w:val="center"/>
          </w:tcPr>
          <w:p w:rsidR="00117C3D" w:rsidRPr="00D630D1" w:rsidRDefault="008B5B84" w:rsidP="000215DE">
            <w:pPr>
              <w:pStyle w:val="aff2"/>
            </w:pPr>
            <w:r w:rsidRPr="00D630D1">
              <w:t>建设单位和施工单位专、兼职环保人员</w:t>
            </w:r>
            <w:r w:rsidR="0021697D" w:rsidRPr="00D630D1">
              <w:t>。</w:t>
            </w:r>
          </w:p>
        </w:tc>
      </w:tr>
      <w:tr w:rsidR="00F617AC" w:rsidRPr="00D630D1" w:rsidTr="000F705A">
        <w:trPr>
          <w:trHeight w:val="18"/>
          <w:jc w:val="center"/>
        </w:trPr>
        <w:tc>
          <w:tcPr>
            <w:tcW w:w="589" w:type="pct"/>
            <w:tcBorders>
              <w:top w:val="single" w:sz="4" w:space="0" w:color="000000"/>
              <w:left w:val="nil"/>
              <w:bottom w:val="single" w:sz="4" w:space="0" w:color="000000"/>
              <w:right w:val="single" w:sz="4" w:space="0" w:color="000000"/>
            </w:tcBorders>
            <w:vAlign w:val="center"/>
          </w:tcPr>
          <w:p w:rsidR="00117C3D" w:rsidRPr="00D630D1" w:rsidRDefault="008B5B84" w:rsidP="000215DE">
            <w:pPr>
              <w:pStyle w:val="aff2"/>
            </w:pPr>
            <w:r w:rsidRPr="00D630D1">
              <w:t>施工噪声</w:t>
            </w:r>
          </w:p>
        </w:tc>
        <w:tc>
          <w:tcPr>
            <w:tcW w:w="228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215DE">
            <w:pPr>
              <w:pStyle w:val="aff2"/>
            </w:pPr>
            <w:r w:rsidRPr="00D630D1">
              <w:t>居民密集区厂界噪声；监测频率：施工中视情况而定；监测点：各环境敏感点段</w:t>
            </w:r>
            <w:r w:rsidR="0021697D" w:rsidRPr="00D630D1">
              <w:t>。</w:t>
            </w:r>
          </w:p>
        </w:tc>
        <w:tc>
          <w:tcPr>
            <w:tcW w:w="88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215DE">
            <w:pPr>
              <w:pStyle w:val="aff2"/>
            </w:pPr>
            <w:r w:rsidRPr="00D630D1">
              <w:t>报建设单位</w:t>
            </w:r>
          </w:p>
        </w:tc>
        <w:tc>
          <w:tcPr>
            <w:tcW w:w="1233" w:type="pct"/>
            <w:tcBorders>
              <w:top w:val="single" w:sz="4" w:space="0" w:color="000000"/>
              <w:left w:val="single" w:sz="4" w:space="0" w:color="000000"/>
              <w:bottom w:val="single" w:sz="4" w:space="0" w:color="000000"/>
              <w:right w:val="nil"/>
            </w:tcBorders>
            <w:vAlign w:val="center"/>
          </w:tcPr>
          <w:p w:rsidR="00117C3D" w:rsidRPr="00D630D1" w:rsidRDefault="008B5B84" w:rsidP="000215DE">
            <w:pPr>
              <w:pStyle w:val="aff2"/>
            </w:pPr>
            <w:r w:rsidRPr="00D630D1">
              <w:t>业主和施工单位专、兼职环保人员</w:t>
            </w:r>
            <w:r w:rsidR="0021697D" w:rsidRPr="00D630D1">
              <w:t>。</w:t>
            </w:r>
          </w:p>
        </w:tc>
      </w:tr>
      <w:tr w:rsidR="00F617AC" w:rsidRPr="00D630D1" w:rsidTr="000F705A">
        <w:trPr>
          <w:trHeight w:val="18"/>
          <w:jc w:val="center"/>
        </w:trPr>
        <w:tc>
          <w:tcPr>
            <w:tcW w:w="589" w:type="pct"/>
            <w:tcBorders>
              <w:top w:val="single" w:sz="4" w:space="0" w:color="000000"/>
              <w:left w:val="nil"/>
              <w:bottom w:val="single" w:sz="4" w:space="0" w:color="000000"/>
              <w:right w:val="single" w:sz="4" w:space="0" w:color="000000"/>
            </w:tcBorders>
            <w:vAlign w:val="center"/>
          </w:tcPr>
          <w:p w:rsidR="00117C3D" w:rsidRPr="00D630D1" w:rsidRDefault="008B5B84" w:rsidP="000215DE">
            <w:pPr>
              <w:pStyle w:val="aff2"/>
            </w:pPr>
            <w:r w:rsidRPr="00D630D1">
              <w:t>事故监测</w:t>
            </w:r>
          </w:p>
        </w:tc>
        <w:tc>
          <w:tcPr>
            <w:tcW w:w="228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215DE">
            <w:pPr>
              <w:pStyle w:val="aff2"/>
            </w:pPr>
            <w:r w:rsidRPr="00D630D1">
              <w:t>根据事故性质、事故影响的大小，视具体情况监测大气、土壤、水等</w:t>
            </w:r>
            <w:r w:rsidR="0021697D" w:rsidRPr="00D630D1">
              <w:t>。</w:t>
            </w:r>
          </w:p>
        </w:tc>
        <w:tc>
          <w:tcPr>
            <w:tcW w:w="889" w:type="pct"/>
            <w:tcBorders>
              <w:top w:val="single" w:sz="4" w:space="0" w:color="000000"/>
              <w:left w:val="single" w:sz="4" w:space="0" w:color="000000"/>
              <w:bottom w:val="single" w:sz="4" w:space="0" w:color="000000"/>
              <w:right w:val="single" w:sz="4" w:space="0" w:color="000000"/>
            </w:tcBorders>
            <w:vAlign w:val="center"/>
          </w:tcPr>
          <w:p w:rsidR="00117C3D" w:rsidRPr="00D630D1" w:rsidRDefault="008B5B84" w:rsidP="000215DE">
            <w:pPr>
              <w:pStyle w:val="aff2"/>
            </w:pPr>
            <w:r w:rsidRPr="00D630D1">
              <w:t>报建设单位和</w:t>
            </w:r>
            <w:r w:rsidR="003D3F73" w:rsidRPr="00D630D1">
              <w:t>市生态环境</w:t>
            </w:r>
            <w:r w:rsidRPr="00D630D1">
              <w:t>部门</w:t>
            </w:r>
          </w:p>
        </w:tc>
        <w:tc>
          <w:tcPr>
            <w:tcW w:w="1233" w:type="pct"/>
            <w:tcBorders>
              <w:top w:val="single" w:sz="4" w:space="0" w:color="000000"/>
              <w:left w:val="single" w:sz="4" w:space="0" w:color="000000"/>
              <w:bottom w:val="single" w:sz="4" w:space="0" w:color="000000"/>
              <w:right w:val="nil"/>
            </w:tcBorders>
            <w:vAlign w:val="center"/>
          </w:tcPr>
          <w:p w:rsidR="00117C3D" w:rsidRPr="00D630D1" w:rsidRDefault="008B5B84" w:rsidP="000215DE">
            <w:pPr>
              <w:pStyle w:val="aff2"/>
            </w:pPr>
            <w:r w:rsidRPr="00D630D1">
              <w:t>当地环境监测站</w:t>
            </w:r>
            <w:r w:rsidR="0021697D" w:rsidRPr="00D630D1">
              <w:t>。</w:t>
            </w:r>
          </w:p>
        </w:tc>
      </w:tr>
      <w:tr w:rsidR="00F617AC" w:rsidRPr="00D630D1" w:rsidTr="000F705A">
        <w:trPr>
          <w:trHeight w:val="18"/>
          <w:jc w:val="center"/>
        </w:trPr>
        <w:tc>
          <w:tcPr>
            <w:tcW w:w="589" w:type="pct"/>
            <w:tcBorders>
              <w:top w:val="single" w:sz="4" w:space="0" w:color="000000"/>
              <w:left w:val="nil"/>
              <w:bottom w:val="single" w:sz="12" w:space="0" w:color="000000"/>
              <w:right w:val="single" w:sz="4" w:space="0" w:color="000000"/>
            </w:tcBorders>
            <w:vAlign w:val="center"/>
          </w:tcPr>
          <w:p w:rsidR="00117C3D" w:rsidRPr="00D630D1" w:rsidRDefault="008B5B84" w:rsidP="000215DE">
            <w:pPr>
              <w:pStyle w:val="aff2"/>
            </w:pPr>
            <w:r w:rsidRPr="00D630D1">
              <w:t>水土保持</w:t>
            </w:r>
          </w:p>
        </w:tc>
        <w:tc>
          <w:tcPr>
            <w:tcW w:w="2289" w:type="pct"/>
            <w:tcBorders>
              <w:top w:val="single" w:sz="4" w:space="0" w:color="000000"/>
              <w:left w:val="single" w:sz="4" w:space="0" w:color="000000"/>
              <w:bottom w:val="single" w:sz="12" w:space="0" w:color="000000"/>
              <w:right w:val="single" w:sz="4" w:space="0" w:color="000000"/>
            </w:tcBorders>
            <w:vAlign w:val="center"/>
          </w:tcPr>
          <w:p w:rsidR="00117C3D" w:rsidRPr="00D630D1" w:rsidRDefault="008B5B84" w:rsidP="000215DE">
            <w:pPr>
              <w:pStyle w:val="aff2"/>
            </w:pPr>
            <w:r w:rsidRPr="00D630D1">
              <w:t>影响水土流失的因子；水土流失量；水土流失灾害；水土保持设施效益</w:t>
            </w:r>
            <w:r w:rsidR="0021697D" w:rsidRPr="00D630D1">
              <w:t>。</w:t>
            </w:r>
          </w:p>
        </w:tc>
        <w:tc>
          <w:tcPr>
            <w:tcW w:w="889" w:type="pct"/>
            <w:tcBorders>
              <w:top w:val="single" w:sz="4" w:space="0" w:color="000000"/>
              <w:left w:val="single" w:sz="4" w:space="0" w:color="000000"/>
              <w:bottom w:val="single" w:sz="12" w:space="0" w:color="000000"/>
              <w:right w:val="single" w:sz="4" w:space="0" w:color="000000"/>
            </w:tcBorders>
            <w:vAlign w:val="center"/>
          </w:tcPr>
          <w:p w:rsidR="00117C3D" w:rsidRPr="00D630D1" w:rsidRDefault="008B5B84" w:rsidP="000215DE">
            <w:pPr>
              <w:pStyle w:val="aff2"/>
            </w:pPr>
            <w:r w:rsidRPr="00D630D1">
              <w:t>报建设单位</w:t>
            </w:r>
          </w:p>
        </w:tc>
        <w:tc>
          <w:tcPr>
            <w:tcW w:w="1233" w:type="pct"/>
            <w:tcBorders>
              <w:top w:val="single" w:sz="4" w:space="0" w:color="000000"/>
              <w:left w:val="single" w:sz="4" w:space="0" w:color="000000"/>
              <w:bottom w:val="single" w:sz="12" w:space="0" w:color="000000"/>
              <w:right w:val="nil"/>
            </w:tcBorders>
            <w:vAlign w:val="center"/>
          </w:tcPr>
          <w:p w:rsidR="00117C3D" w:rsidRPr="00D630D1" w:rsidRDefault="008B5B84" w:rsidP="000215DE">
            <w:pPr>
              <w:pStyle w:val="aff2"/>
            </w:pPr>
            <w:r w:rsidRPr="00D630D1">
              <w:t>在有关行政主管部门的协调指导下，委托当地水保监测单位完成</w:t>
            </w:r>
            <w:r w:rsidR="0021697D" w:rsidRPr="00D630D1">
              <w:t>。</w:t>
            </w:r>
          </w:p>
        </w:tc>
      </w:tr>
    </w:tbl>
    <w:p w:rsidR="00117C3D" w:rsidRPr="00D630D1" w:rsidRDefault="00F50B57" w:rsidP="003D3F73">
      <w:pPr>
        <w:pStyle w:val="2"/>
        <w:spacing w:before="120"/>
        <w:rPr>
          <w:rFonts w:cs="Times New Roman"/>
        </w:rPr>
      </w:pPr>
      <w:bookmarkStart w:id="684" w:name="bookmark83"/>
      <w:bookmarkStart w:id="685" w:name="_Toc12288837"/>
      <w:bookmarkStart w:id="686" w:name="_Toc19816151"/>
      <w:bookmarkStart w:id="687" w:name="_Toc81515315"/>
      <w:bookmarkEnd w:id="684"/>
      <w:r w:rsidRPr="00D630D1">
        <w:rPr>
          <w:rFonts w:cs="Times New Roman"/>
        </w:rPr>
        <w:t>10</w:t>
      </w:r>
      <w:r w:rsidR="008B5B84" w:rsidRPr="00D630D1">
        <w:rPr>
          <w:rFonts w:cs="Times New Roman"/>
        </w:rPr>
        <w:t xml:space="preserve">.2 </w:t>
      </w:r>
      <w:r w:rsidR="008B5B84" w:rsidRPr="00D630D1">
        <w:rPr>
          <w:rFonts w:cs="Times New Roman"/>
        </w:rPr>
        <w:t>运营期环境管理</w:t>
      </w:r>
      <w:bookmarkEnd w:id="685"/>
      <w:bookmarkEnd w:id="686"/>
      <w:bookmarkEnd w:id="687"/>
    </w:p>
    <w:p w:rsidR="0021697D" w:rsidRPr="00D630D1" w:rsidRDefault="0021697D" w:rsidP="0021697D">
      <w:pPr>
        <w:pStyle w:val="3"/>
        <w:rPr>
          <w:rFonts w:eastAsia="宋体"/>
        </w:rPr>
      </w:pPr>
      <w:r w:rsidRPr="00D630D1">
        <w:rPr>
          <w:rFonts w:eastAsia="宋体"/>
        </w:rPr>
        <w:t xml:space="preserve">10.2.1 </w:t>
      </w:r>
      <w:r w:rsidRPr="00D630D1">
        <w:rPr>
          <w:rFonts w:eastAsia="宋体"/>
        </w:rPr>
        <w:t>营运期环境监测计划</w:t>
      </w:r>
    </w:p>
    <w:p w:rsidR="0021697D" w:rsidRPr="00D630D1" w:rsidRDefault="0021697D" w:rsidP="0021697D">
      <w:pPr>
        <w:pStyle w:val="afa"/>
        <w:ind w:firstLine="480"/>
      </w:pPr>
      <w:r w:rsidRPr="00D630D1">
        <w:t>排污单位应查清本单位污染源、污染物指标及潜在的环境影响，制定监测方案，设置和维护监测设施，按照监测方案开展自行监测，做好质量保证和质量控制，记录和保存监测数据，并依法向社会公开监测结果。</w:t>
      </w:r>
    </w:p>
    <w:p w:rsidR="0021697D" w:rsidRPr="00D630D1" w:rsidRDefault="0021697D" w:rsidP="0021697D">
      <w:pPr>
        <w:pStyle w:val="afa"/>
        <w:ind w:firstLine="480"/>
        <w:rPr>
          <w:b/>
          <w:bCs/>
        </w:rPr>
      </w:pPr>
      <w:r w:rsidRPr="00D630D1">
        <w:t>本次评价根据或者参照《排污单位自</w:t>
      </w:r>
      <w:r w:rsidR="009F5E5D" w:rsidRPr="00D630D1">
        <w:rPr>
          <w:rFonts w:hint="eastAsia"/>
        </w:rPr>
        <w:t>行</w:t>
      </w:r>
      <w:r w:rsidRPr="00D630D1">
        <w:t>监测技术指南</w:t>
      </w:r>
      <w:r w:rsidR="009F5E5D" w:rsidRPr="00D630D1">
        <w:rPr>
          <w:rFonts w:hint="eastAsia"/>
        </w:rPr>
        <w:t xml:space="preserve"> </w:t>
      </w:r>
      <w:r w:rsidRPr="00D630D1">
        <w:t>总则》（</w:t>
      </w:r>
      <w:r w:rsidR="009F5E5D" w:rsidRPr="00D630D1">
        <w:rPr>
          <w:rFonts w:hint="eastAsia"/>
        </w:rPr>
        <w:t>HJ</w:t>
      </w:r>
      <w:r w:rsidRPr="00D630D1">
        <w:t xml:space="preserve">819-2017 </w:t>
      </w:r>
      <w:r w:rsidRPr="00D630D1">
        <w:t>）、《环境影响评价技术导则</w:t>
      </w:r>
      <w:r w:rsidR="009F5E5D" w:rsidRPr="00D630D1">
        <w:rPr>
          <w:rFonts w:hint="eastAsia"/>
        </w:rPr>
        <w:t xml:space="preserve"> </w:t>
      </w:r>
      <w:r w:rsidRPr="00D630D1">
        <w:t>大气环境》（</w:t>
      </w:r>
      <w:r w:rsidRPr="00D630D1">
        <w:t>HJ2.2-2018</w:t>
      </w:r>
      <w:r w:rsidRPr="00D630D1">
        <w:t>）等制定本监测计划，供建设单位参考。</w:t>
      </w:r>
    </w:p>
    <w:p w:rsidR="00117C3D" w:rsidRPr="00D630D1" w:rsidRDefault="008B5B84" w:rsidP="003D3F73">
      <w:pPr>
        <w:pStyle w:val="10"/>
        <w:rPr>
          <w:rFonts w:cs="Times New Roman"/>
        </w:rPr>
      </w:pPr>
      <w:r w:rsidRPr="00D630D1">
        <w:rPr>
          <w:rFonts w:cs="Times New Roman"/>
        </w:rPr>
        <w:t>表</w:t>
      </w:r>
      <w:r w:rsidR="003D3F73" w:rsidRPr="00D630D1">
        <w:rPr>
          <w:rFonts w:cs="Times New Roman"/>
        </w:rPr>
        <w:t>10</w:t>
      </w:r>
      <w:r w:rsidRPr="00D630D1">
        <w:rPr>
          <w:rFonts w:cs="Times New Roman"/>
        </w:rPr>
        <w:t>.2-1</w:t>
      </w:r>
      <w:r w:rsidR="003D3F73" w:rsidRPr="00D630D1">
        <w:rPr>
          <w:rFonts w:cs="Times New Roman"/>
        </w:rPr>
        <w:t xml:space="preserve">  </w:t>
      </w:r>
      <w:r w:rsidRPr="00D630D1">
        <w:rPr>
          <w:rFonts w:cs="Times New Roman"/>
        </w:rPr>
        <w:t>运营期环境监测计划</w:t>
      </w:r>
    </w:p>
    <w:tbl>
      <w:tblPr>
        <w:tblW w:w="5228" w:type="pct"/>
        <w:jc w:val="center"/>
        <w:tblCellMar>
          <w:left w:w="0" w:type="dxa"/>
          <w:right w:w="0" w:type="dxa"/>
        </w:tblCellMar>
        <w:tblLook w:val="04A0"/>
      </w:tblPr>
      <w:tblGrid>
        <w:gridCol w:w="687"/>
        <w:gridCol w:w="1317"/>
        <w:gridCol w:w="2058"/>
        <w:gridCol w:w="2903"/>
        <w:gridCol w:w="1720"/>
      </w:tblGrid>
      <w:tr w:rsidR="00F617AC" w:rsidRPr="00D630D1" w:rsidTr="00950B6F">
        <w:trPr>
          <w:trHeight w:val="19"/>
          <w:jc w:val="center"/>
        </w:trPr>
        <w:tc>
          <w:tcPr>
            <w:tcW w:w="396" w:type="pct"/>
            <w:tcBorders>
              <w:top w:val="single" w:sz="12" w:space="0" w:color="000000"/>
              <w:left w:val="nil"/>
              <w:bottom w:val="single" w:sz="4" w:space="0" w:color="000000"/>
              <w:right w:val="single" w:sz="4" w:space="0" w:color="000000"/>
            </w:tcBorders>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序号</w:t>
            </w:r>
          </w:p>
        </w:tc>
        <w:tc>
          <w:tcPr>
            <w:tcW w:w="758" w:type="pc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监测内容</w:t>
            </w:r>
          </w:p>
        </w:tc>
        <w:tc>
          <w:tcPr>
            <w:tcW w:w="1185" w:type="pc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监测项目</w:t>
            </w:r>
          </w:p>
        </w:tc>
        <w:tc>
          <w:tcPr>
            <w:tcW w:w="1671" w:type="pct"/>
            <w:tcBorders>
              <w:top w:val="single" w:sz="12" w:space="0" w:color="000000"/>
              <w:left w:val="single" w:sz="4" w:space="0" w:color="000000"/>
              <w:bottom w:val="single" w:sz="4" w:space="0" w:color="000000"/>
              <w:right w:val="single" w:sz="4" w:space="0" w:color="000000"/>
            </w:tcBorders>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监测点位</w:t>
            </w:r>
          </w:p>
        </w:tc>
        <w:tc>
          <w:tcPr>
            <w:tcW w:w="990" w:type="pct"/>
            <w:tcBorders>
              <w:top w:val="single" w:sz="12" w:space="0" w:color="000000"/>
              <w:left w:val="single" w:sz="4" w:space="0" w:color="000000"/>
              <w:bottom w:val="single" w:sz="4" w:space="0" w:color="000000"/>
              <w:right w:val="nil"/>
            </w:tcBorders>
            <w:vAlign w:val="center"/>
          </w:tcPr>
          <w:p w:rsidR="00117C3D" w:rsidRPr="00D630D1" w:rsidRDefault="008B5B84">
            <w:pPr>
              <w:pStyle w:val="TableParagraph"/>
              <w:spacing w:line="240" w:lineRule="auto"/>
              <w:ind w:firstLineChars="0" w:firstLine="0"/>
              <w:rPr>
                <w:rFonts w:ascii="Times New Roman" w:cs="Times New Roman"/>
                <w:b/>
                <w:kern w:val="2"/>
                <w:sz w:val="21"/>
                <w:szCs w:val="21"/>
              </w:rPr>
            </w:pPr>
            <w:r w:rsidRPr="00D630D1">
              <w:rPr>
                <w:rFonts w:ascii="Times New Roman" w:cs="Times New Roman"/>
                <w:b/>
                <w:kern w:val="2"/>
                <w:sz w:val="21"/>
                <w:szCs w:val="21"/>
              </w:rPr>
              <w:t>监测时间及频率</w:t>
            </w:r>
          </w:p>
        </w:tc>
      </w:tr>
      <w:tr w:rsidR="003E7A8B" w:rsidRPr="00D630D1" w:rsidTr="00024BF9">
        <w:trPr>
          <w:trHeight w:val="19"/>
          <w:jc w:val="center"/>
        </w:trPr>
        <w:tc>
          <w:tcPr>
            <w:tcW w:w="396" w:type="pct"/>
            <w:tcBorders>
              <w:top w:val="single" w:sz="12" w:space="0" w:color="000000"/>
              <w:left w:val="nil"/>
              <w:right w:val="single" w:sz="4" w:space="0" w:color="000000"/>
            </w:tcBorders>
            <w:vAlign w:val="center"/>
          </w:tcPr>
          <w:p w:rsidR="003E7A8B" w:rsidRPr="00D630D1" w:rsidRDefault="003E7A8B" w:rsidP="009F5E5D">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1</w:t>
            </w:r>
          </w:p>
        </w:tc>
        <w:tc>
          <w:tcPr>
            <w:tcW w:w="758" w:type="pct"/>
            <w:tcBorders>
              <w:top w:val="single" w:sz="12" w:space="0" w:color="000000"/>
              <w:left w:val="single" w:sz="4" w:space="0" w:color="000000"/>
              <w:right w:val="single" w:sz="4" w:space="0" w:color="000000"/>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废气</w:t>
            </w:r>
          </w:p>
        </w:tc>
        <w:tc>
          <w:tcPr>
            <w:tcW w:w="1185" w:type="pct"/>
            <w:tcBorders>
              <w:top w:val="single" w:sz="12" w:space="0" w:color="000000"/>
              <w:left w:val="single" w:sz="4" w:space="0" w:color="000000"/>
              <w:bottom w:val="single" w:sz="4" w:space="0" w:color="000000"/>
              <w:right w:val="single" w:sz="4" w:space="0" w:color="000000"/>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SO</w:t>
            </w:r>
            <w:r w:rsidRPr="00D630D1">
              <w:rPr>
                <w:rFonts w:ascii="Times New Roman" w:cs="Times New Roman"/>
                <w:kern w:val="2"/>
                <w:sz w:val="21"/>
                <w:szCs w:val="21"/>
                <w:vertAlign w:val="subscript"/>
              </w:rPr>
              <w:t>2</w:t>
            </w:r>
            <w:r w:rsidRPr="00D630D1">
              <w:rPr>
                <w:rFonts w:ascii="Times New Roman" w:cs="Times New Roman"/>
                <w:kern w:val="2"/>
                <w:sz w:val="21"/>
                <w:szCs w:val="21"/>
              </w:rPr>
              <w:t>、</w:t>
            </w:r>
            <w:r w:rsidRPr="00D630D1">
              <w:rPr>
                <w:rFonts w:ascii="Times New Roman" w:cs="Times New Roman"/>
                <w:kern w:val="2"/>
                <w:sz w:val="21"/>
                <w:szCs w:val="21"/>
              </w:rPr>
              <w:t>NO</w:t>
            </w:r>
            <w:r w:rsidRPr="00D630D1">
              <w:rPr>
                <w:rFonts w:ascii="Times New Roman" w:cs="Times New Roman"/>
                <w:kern w:val="2"/>
                <w:sz w:val="21"/>
                <w:szCs w:val="21"/>
                <w:vertAlign w:val="subscript"/>
              </w:rPr>
              <w:t>X</w:t>
            </w:r>
            <w:r w:rsidRPr="00D630D1">
              <w:rPr>
                <w:rFonts w:ascii="Times New Roman" w:cs="Times New Roman"/>
                <w:kern w:val="2"/>
                <w:sz w:val="21"/>
                <w:szCs w:val="21"/>
              </w:rPr>
              <w:t>、颗粒物</w:t>
            </w:r>
          </w:p>
        </w:tc>
        <w:tc>
          <w:tcPr>
            <w:tcW w:w="1671" w:type="pct"/>
            <w:tcBorders>
              <w:top w:val="single" w:sz="12" w:space="0" w:color="000000"/>
              <w:left w:val="single" w:sz="4" w:space="0" w:color="000000"/>
              <w:bottom w:val="single" w:sz="4" w:space="0" w:color="000000"/>
              <w:right w:val="single" w:sz="4" w:space="0" w:color="000000"/>
            </w:tcBorders>
            <w:vAlign w:val="center"/>
          </w:tcPr>
          <w:p w:rsidR="003E7A8B" w:rsidRPr="00D630D1" w:rsidRDefault="003E7A8B" w:rsidP="009F5E5D">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水套加热炉排气筒</w:t>
            </w:r>
          </w:p>
        </w:tc>
        <w:tc>
          <w:tcPr>
            <w:tcW w:w="990" w:type="pct"/>
            <w:tcBorders>
              <w:top w:val="single" w:sz="12" w:space="0" w:color="000000"/>
              <w:left w:val="single" w:sz="4" w:space="0" w:color="000000"/>
              <w:bottom w:val="single" w:sz="4" w:space="0" w:color="000000"/>
              <w:right w:val="nil"/>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次</w:t>
            </w:r>
            <w:r w:rsidRPr="00D630D1">
              <w:rPr>
                <w:rFonts w:ascii="Times New Roman" w:cs="Times New Roman"/>
                <w:kern w:val="2"/>
                <w:sz w:val="21"/>
                <w:szCs w:val="21"/>
              </w:rPr>
              <w:t>/</w:t>
            </w:r>
            <w:r w:rsidRPr="00D630D1">
              <w:rPr>
                <w:rFonts w:ascii="Times New Roman" w:cs="Times New Roman"/>
                <w:kern w:val="2"/>
                <w:sz w:val="21"/>
                <w:szCs w:val="21"/>
              </w:rPr>
              <w:t>年</w:t>
            </w:r>
          </w:p>
        </w:tc>
      </w:tr>
      <w:tr w:rsidR="003E7A8B" w:rsidRPr="00D630D1" w:rsidTr="00950B6F">
        <w:trPr>
          <w:trHeight w:val="19"/>
          <w:jc w:val="center"/>
        </w:trPr>
        <w:tc>
          <w:tcPr>
            <w:tcW w:w="396" w:type="pct"/>
            <w:tcBorders>
              <w:top w:val="single" w:sz="4" w:space="0" w:color="000000"/>
              <w:left w:val="nil"/>
              <w:bottom w:val="single" w:sz="4" w:space="0" w:color="000000"/>
              <w:right w:val="single" w:sz="4" w:space="0" w:color="000000"/>
            </w:tcBorders>
            <w:vAlign w:val="center"/>
          </w:tcPr>
          <w:p w:rsidR="003E7A8B" w:rsidRPr="00D630D1" w:rsidRDefault="003E7A8B" w:rsidP="00024BF9">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2</w:t>
            </w:r>
          </w:p>
        </w:tc>
        <w:tc>
          <w:tcPr>
            <w:tcW w:w="758" w:type="pct"/>
            <w:tcBorders>
              <w:top w:val="single" w:sz="4" w:space="0" w:color="000000"/>
              <w:left w:val="single" w:sz="4" w:space="0" w:color="000000"/>
              <w:bottom w:val="single" w:sz="4" w:space="0" w:color="000000"/>
              <w:right w:val="single" w:sz="4" w:space="0" w:color="000000"/>
            </w:tcBorders>
            <w:vAlign w:val="center"/>
          </w:tcPr>
          <w:p w:rsidR="003E7A8B" w:rsidRPr="00D630D1" w:rsidRDefault="003E7A8B" w:rsidP="00024BF9">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设备噪声</w:t>
            </w:r>
          </w:p>
        </w:tc>
        <w:tc>
          <w:tcPr>
            <w:tcW w:w="1185" w:type="pct"/>
            <w:tcBorders>
              <w:top w:val="single" w:sz="4" w:space="0" w:color="000000"/>
              <w:left w:val="single" w:sz="4" w:space="0" w:color="000000"/>
              <w:bottom w:val="single" w:sz="4" w:space="0" w:color="000000"/>
              <w:right w:val="single" w:sz="4" w:space="0" w:color="000000"/>
            </w:tcBorders>
            <w:vAlign w:val="center"/>
          </w:tcPr>
          <w:p w:rsidR="003E7A8B" w:rsidRPr="00D630D1" w:rsidRDefault="003E7A8B" w:rsidP="00024BF9">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厂界噪声</w:t>
            </w:r>
          </w:p>
        </w:tc>
        <w:tc>
          <w:tcPr>
            <w:tcW w:w="1671" w:type="pct"/>
            <w:tcBorders>
              <w:top w:val="single" w:sz="4" w:space="0" w:color="000000"/>
              <w:left w:val="single" w:sz="4" w:space="0" w:color="000000"/>
              <w:bottom w:val="single" w:sz="4" w:space="0" w:color="000000"/>
              <w:right w:val="single" w:sz="4" w:space="0" w:color="000000"/>
            </w:tcBorders>
            <w:vAlign w:val="center"/>
          </w:tcPr>
          <w:p w:rsidR="003E7A8B" w:rsidRPr="00D630D1" w:rsidRDefault="002C00AE" w:rsidP="00024BF9">
            <w:pPr>
              <w:pStyle w:val="TableParagraph"/>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普光</w:t>
            </w:r>
            <w:r>
              <w:rPr>
                <w:rFonts w:ascii="Times New Roman" w:cs="Times New Roman" w:hint="eastAsia"/>
                <w:kern w:val="2"/>
                <w:sz w:val="21"/>
                <w:szCs w:val="21"/>
              </w:rPr>
              <w:t>12</w:t>
            </w:r>
            <w:r>
              <w:rPr>
                <w:rFonts w:ascii="Times New Roman" w:cs="Times New Roman" w:hint="eastAsia"/>
                <w:kern w:val="2"/>
                <w:sz w:val="21"/>
                <w:szCs w:val="21"/>
              </w:rPr>
              <w:t>采气站</w:t>
            </w:r>
            <w:r w:rsidR="003E7A8B" w:rsidRPr="00D630D1">
              <w:rPr>
                <w:rFonts w:ascii="Times New Roman" w:cs="Times New Roman"/>
                <w:kern w:val="2"/>
                <w:sz w:val="21"/>
                <w:szCs w:val="21"/>
              </w:rPr>
              <w:t>厂界外</w:t>
            </w:r>
            <w:r w:rsidR="003E7A8B" w:rsidRPr="00D630D1">
              <w:rPr>
                <w:rFonts w:ascii="Times New Roman" w:cs="Times New Roman"/>
                <w:kern w:val="2"/>
                <w:sz w:val="21"/>
                <w:szCs w:val="21"/>
              </w:rPr>
              <w:t>4</w:t>
            </w:r>
            <w:r w:rsidR="003E7A8B" w:rsidRPr="00D630D1">
              <w:rPr>
                <w:rFonts w:ascii="Times New Roman" w:cs="Times New Roman"/>
                <w:kern w:val="2"/>
                <w:sz w:val="21"/>
                <w:szCs w:val="21"/>
              </w:rPr>
              <w:t>个点</w:t>
            </w:r>
          </w:p>
        </w:tc>
        <w:tc>
          <w:tcPr>
            <w:tcW w:w="990" w:type="pct"/>
            <w:tcBorders>
              <w:top w:val="single" w:sz="4" w:space="0" w:color="000000"/>
              <w:left w:val="single" w:sz="4" w:space="0" w:color="000000"/>
              <w:bottom w:val="single" w:sz="4" w:space="0" w:color="000000"/>
              <w:right w:val="nil"/>
            </w:tcBorders>
            <w:vAlign w:val="center"/>
          </w:tcPr>
          <w:p w:rsidR="003E7A8B" w:rsidRPr="00D630D1" w:rsidRDefault="003E7A8B" w:rsidP="00024BF9">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次</w:t>
            </w:r>
            <w:r w:rsidRPr="00D630D1">
              <w:rPr>
                <w:rFonts w:ascii="Times New Roman" w:cs="Times New Roman"/>
                <w:kern w:val="2"/>
                <w:sz w:val="21"/>
                <w:szCs w:val="21"/>
              </w:rPr>
              <w:t>/</w:t>
            </w:r>
            <w:r w:rsidRPr="00D630D1">
              <w:rPr>
                <w:rFonts w:ascii="Times New Roman" w:cs="Times New Roman"/>
                <w:kern w:val="2"/>
                <w:sz w:val="21"/>
                <w:szCs w:val="21"/>
              </w:rPr>
              <w:t>年</w:t>
            </w:r>
          </w:p>
        </w:tc>
      </w:tr>
      <w:tr w:rsidR="003E7A8B" w:rsidRPr="00D630D1" w:rsidTr="00950B6F">
        <w:trPr>
          <w:trHeight w:val="19"/>
          <w:jc w:val="center"/>
        </w:trPr>
        <w:tc>
          <w:tcPr>
            <w:tcW w:w="396" w:type="pct"/>
            <w:tcBorders>
              <w:top w:val="single" w:sz="4" w:space="0" w:color="000000"/>
              <w:left w:val="nil"/>
              <w:bottom w:val="single" w:sz="4" w:space="0" w:color="000000"/>
              <w:right w:val="single" w:sz="4" w:space="0" w:color="000000"/>
            </w:tcBorders>
            <w:vAlign w:val="center"/>
          </w:tcPr>
          <w:p w:rsidR="003E7A8B" w:rsidRPr="00D630D1" w:rsidRDefault="003E7A8B" w:rsidP="009F5E5D">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3</w:t>
            </w:r>
          </w:p>
        </w:tc>
        <w:tc>
          <w:tcPr>
            <w:tcW w:w="758" w:type="pct"/>
            <w:tcBorders>
              <w:top w:val="single" w:sz="4" w:space="0" w:color="000000"/>
              <w:left w:val="single" w:sz="4" w:space="0" w:color="000000"/>
              <w:bottom w:val="single" w:sz="4" w:space="0" w:color="000000"/>
              <w:right w:val="single" w:sz="4" w:space="0" w:color="000000"/>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地下水</w:t>
            </w:r>
          </w:p>
        </w:tc>
        <w:tc>
          <w:tcPr>
            <w:tcW w:w="1185" w:type="pct"/>
            <w:tcBorders>
              <w:top w:val="single" w:sz="4" w:space="0" w:color="000000"/>
              <w:left w:val="single" w:sz="4" w:space="0" w:color="000000"/>
              <w:bottom w:val="single" w:sz="4" w:space="0" w:color="000000"/>
              <w:right w:val="single" w:sz="4" w:space="0" w:color="000000"/>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石油类</w:t>
            </w:r>
          </w:p>
        </w:tc>
        <w:tc>
          <w:tcPr>
            <w:tcW w:w="1671" w:type="pct"/>
            <w:tcBorders>
              <w:top w:val="single" w:sz="4" w:space="0" w:color="000000"/>
              <w:left w:val="single" w:sz="4" w:space="0" w:color="000000"/>
              <w:bottom w:val="single" w:sz="4" w:space="0" w:color="000000"/>
              <w:right w:val="single" w:sz="4" w:space="0" w:color="000000"/>
            </w:tcBorders>
            <w:vAlign w:val="center"/>
          </w:tcPr>
          <w:p w:rsidR="003E7A8B" w:rsidRPr="00D630D1" w:rsidRDefault="00A62354" w:rsidP="00DB2055">
            <w:pPr>
              <w:pStyle w:val="TableParagraph"/>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普光</w:t>
            </w:r>
            <w:r>
              <w:rPr>
                <w:rFonts w:ascii="Times New Roman" w:cs="Times New Roman" w:hint="eastAsia"/>
                <w:kern w:val="2"/>
                <w:sz w:val="21"/>
                <w:szCs w:val="21"/>
              </w:rPr>
              <w:t>12</w:t>
            </w:r>
            <w:r>
              <w:rPr>
                <w:rFonts w:ascii="Times New Roman" w:cs="Times New Roman" w:hint="eastAsia"/>
                <w:kern w:val="2"/>
                <w:sz w:val="21"/>
                <w:szCs w:val="21"/>
              </w:rPr>
              <w:t>采气站上游</w:t>
            </w:r>
            <w:r w:rsidRPr="00D630D1">
              <w:rPr>
                <w:rFonts w:ascii="Times New Roman" w:cs="Times New Roman"/>
                <w:kern w:val="2"/>
                <w:sz w:val="21"/>
                <w:szCs w:val="21"/>
              </w:rPr>
              <w:t>水井</w:t>
            </w:r>
            <w:r w:rsidRPr="00D630D1">
              <w:rPr>
                <w:rFonts w:ascii="Times New Roman" w:cs="Times New Roman" w:hint="eastAsia"/>
                <w:kern w:val="2"/>
                <w:sz w:val="21"/>
                <w:szCs w:val="21"/>
              </w:rPr>
              <w:t>（</w:t>
            </w:r>
            <w:r w:rsidRPr="00D630D1">
              <w:rPr>
                <w:rFonts w:ascii="Times New Roman" w:cs="Times New Roman" w:hint="eastAsia"/>
                <w:kern w:val="2"/>
                <w:sz w:val="21"/>
                <w:szCs w:val="21"/>
              </w:rPr>
              <w:t>E</w:t>
            </w:r>
            <w:r w:rsidRPr="00D630D1">
              <w:rPr>
                <w:rFonts w:ascii="Times New Roman" w:cs="Times New Roman" w:hint="eastAsia"/>
                <w:kern w:val="2"/>
                <w:sz w:val="21"/>
                <w:szCs w:val="21"/>
              </w:rPr>
              <w:t>：</w:t>
            </w:r>
            <w:r w:rsidRPr="00D630D1">
              <w:rPr>
                <w:rFonts w:ascii="Times New Roman" w:cs="Times New Roman"/>
                <w:sz w:val="21"/>
                <w:szCs w:val="21"/>
              </w:rPr>
              <w:t>107.</w:t>
            </w:r>
            <w:r>
              <w:rPr>
                <w:rFonts w:ascii="Times New Roman" w:cs="Times New Roman" w:hint="eastAsia"/>
                <w:sz w:val="21"/>
                <w:szCs w:val="21"/>
              </w:rPr>
              <w:t>829839</w:t>
            </w:r>
            <w:r w:rsidRPr="00D630D1">
              <w:rPr>
                <w:rFonts w:ascii="Times New Roman" w:cs="Times New Roman" w:hint="eastAsia"/>
                <w:kern w:val="2"/>
                <w:sz w:val="21"/>
                <w:szCs w:val="21"/>
              </w:rPr>
              <w:t>N</w:t>
            </w:r>
            <w:r w:rsidRPr="00D630D1">
              <w:rPr>
                <w:rFonts w:ascii="Times New Roman" w:cs="Times New Roman" w:hint="eastAsia"/>
                <w:kern w:val="2"/>
                <w:sz w:val="21"/>
                <w:szCs w:val="21"/>
              </w:rPr>
              <w:t>：</w:t>
            </w:r>
            <w:r w:rsidRPr="00D630D1">
              <w:rPr>
                <w:rFonts w:ascii="Times New Roman" w:cs="Times New Roman"/>
                <w:sz w:val="21"/>
                <w:szCs w:val="21"/>
              </w:rPr>
              <w:t>31.</w:t>
            </w:r>
            <w:r>
              <w:rPr>
                <w:rFonts w:ascii="Times New Roman" w:cs="Times New Roman" w:hint="eastAsia"/>
                <w:sz w:val="21"/>
                <w:szCs w:val="21"/>
              </w:rPr>
              <w:t>536162</w:t>
            </w:r>
            <w:r w:rsidRPr="00D630D1">
              <w:rPr>
                <w:rFonts w:ascii="Times New Roman" w:cs="Times New Roman" w:hint="eastAsia"/>
                <w:kern w:val="2"/>
                <w:sz w:val="21"/>
                <w:szCs w:val="21"/>
              </w:rPr>
              <w:t>）</w:t>
            </w:r>
            <w:r>
              <w:rPr>
                <w:rFonts w:ascii="Times New Roman" w:cs="Times New Roman"/>
                <w:kern w:val="2"/>
                <w:sz w:val="21"/>
                <w:szCs w:val="21"/>
              </w:rPr>
              <w:t>、</w:t>
            </w:r>
            <w:r>
              <w:rPr>
                <w:rFonts w:ascii="Times New Roman" w:cs="Times New Roman" w:hint="eastAsia"/>
                <w:kern w:val="2"/>
                <w:sz w:val="21"/>
                <w:szCs w:val="21"/>
              </w:rPr>
              <w:t>下游</w:t>
            </w:r>
            <w:r w:rsidRPr="00D630D1">
              <w:rPr>
                <w:rFonts w:ascii="Times New Roman" w:cs="Times New Roman"/>
                <w:kern w:val="2"/>
                <w:sz w:val="21"/>
                <w:szCs w:val="21"/>
              </w:rPr>
              <w:t>水井</w:t>
            </w:r>
            <w:r w:rsidRPr="00D630D1">
              <w:rPr>
                <w:rFonts w:ascii="Times New Roman" w:cs="Times New Roman" w:hint="eastAsia"/>
                <w:kern w:val="2"/>
                <w:sz w:val="21"/>
                <w:szCs w:val="21"/>
              </w:rPr>
              <w:t>（</w:t>
            </w:r>
            <w:r w:rsidRPr="00D630D1">
              <w:rPr>
                <w:rFonts w:ascii="Times New Roman" w:cs="Times New Roman" w:hint="eastAsia"/>
                <w:kern w:val="2"/>
                <w:sz w:val="21"/>
                <w:szCs w:val="21"/>
              </w:rPr>
              <w:t>E</w:t>
            </w:r>
            <w:r w:rsidRPr="00D630D1">
              <w:rPr>
                <w:rFonts w:ascii="Times New Roman" w:cs="Times New Roman" w:hint="eastAsia"/>
                <w:kern w:val="2"/>
                <w:sz w:val="21"/>
                <w:szCs w:val="21"/>
              </w:rPr>
              <w:t>：</w:t>
            </w:r>
            <w:r w:rsidRPr="002C63AC">
              <w:rPr>
                <w:rFonts w:ascii="Times New Roman" w:cs="Times New Roman" w:hint="eastAsia"/>
                <w:sz w:val="21"/>
                <w:szCs w:val="21"/>
              </w:rPr>
              <w:t>107.</w:t>
            </w:r>
            <w:r>
              <w:rPr>
                <w:rFonts w:ascii="Times New Roman" w:cs="Times New Roman" w:hint="eastAsia"/>
                <w:sz w:val="21"/>
                <w:szCs w:val="21"/>
              </w:rPr>
              <w:t>821823</w:t>
            </w:r>
            <w:r w:rsidRPr="00D630D1">
              <w:rPr>
                <w:rFonts w:ascii="Times New Roman" w:cs="Times New Roman" w:hint="eastAsia"/>
                <w:kern w:val="2"/>
                <w:sz w:val="21"/>
                <w:szCs w:val="21"/>
              </w:rPr>
              <w:t>N</w:t>
            </w:r>
            <w:r w:rsidRPr="00D630D1">
              <w:rPr>
                <w:rFonts w:ascii="Times New Roman" w:cs="Times New Roman" w:hint="eastAsia"/>
                <w:kern w:val="2"/>
                <w:sz w:val="21"/>
                <w:szCs w:val="21"/>
              </w:rPr>
              <w:t>：</w:t>
            </w:r>
            <w:r w:rsidRPr="002C63AC">
              <w:rPr>
                <w:rFonts w:ascii="Times New Roman" w:cs="Times New Roman" w:hint="eastAsia"/>
                <w:sz w:val="21"/>
                <w:szCs w:val="21"/>
              </w:rPr>
              <w:t>31.</w:t>
            </w:r>
            <w:r>
              <w:rPr>
                <w:rFonts w:ascii="Times New Roman" w:cs="Times New Roman" w:hint="eastAsia"/>
                <w:sz w:val="21"/>
                <w:szCs w:val="21"/>
              </w:rPr>
              <w:t>527882</w:t>
            </w:r>
            <w:r w:rsidRPr="00D630D1">
              <w:rPr>
                <w:rFonts w:ascii="Times New Roman" w:cs="Times New Roman" w:hint="eastAsia"/>
                <w:kern w:val="2"/>
                <w:sz w:val="21"/>
                <w:szCs w:val="21"/>
              </w:rPr>
              <w:t>）</w:t>
            </w:r>
            <w:r w:rsidRPr="00D630D1">
              <w:rPr>
                <w:rFonts w:ascii="Times New Roman" w:cs="Times New Roman"/>
                <w:kern w:val="2"/>
                <w:sz w:val="21"/>
                <w:szCs w:val="21"/>
              </w:rPr>
              <w:t>、下游水井</w:t>
            </w:r>
            <w:r w:rsidRPr="00D630D1">
              <w:rPr>
                <w:rFonts w:ascii="Times New Roman" w:cs="Times New Roman" w:hint="eastAsia"/>
                <w:kern w:val="2"/>
                <w:sz w:val="21"/>
                <w:szCs w:val="21"/>
              </w:rPr>
              <w:t>（</w:t>
            </w:r>
            <w:r w:rsidRPr="00D630D1">
              <w:rPr>
                <w:rFonts w:ascii="Times New Roman" w:cs="Times New Roman" w:hint="eastAsia"/>
                <w:kern w:val="2"/>
                <w:sz w:val="21"/>
                <w:szCs w:val="21"/>
              </w:rPr>
              <w:t>E</w:t>
            </w:r>
            <w:r w:rsidRPr="00D630D1">
              <w:rPr>
                <w:rFonts w:ascii="Times New Roman" w:cs="Times New Roman" w:hint="eastAsia"/>
                <w:kern w:val="2"/>
                <w:sz w:val="21"/>
                <w:szCs w:val="21"/>
              </w:rPr>
              <w:t>：</w:t>
            </w:r>
            <w:r w:rsidRPr="00D630D1">
              <w:rPr>
                <w:rFonts w:ascii="Times New Roman" w:cs="Times New Roman"/>
                <w:sz w:val="21"/>
                <w:szCs w:val="21"/>
              </w:rPr>
              <w:t>107.</w:t>
            </w:r>
            <w:r>
              <w:rPr>
                <w:rFonts w:ascii="Times New Roman" w:cs="Times New Roman" w:hint="eastAsia"/>
                <w:sz w:val="21"/>
                <w:szCs w:val="21"/>
              </w:rPr>
              <w:t>803882</w:t>
            </w:r>
            <w:r w:rsidRPr="00D630D1">
              <w:rPr>
                <w:rFonts w:ascii="Times New Roman" w:cs="Times New Roman" w:hint="eastAsia"/>
                <w:kern w:val="2"/>
                <w:sz w:val="21"/>
                <w:szCs w:val="21"/>
              </w:rPr>
              <w:t>N</w:t>
            </w:r>
            <w:r w:rsidRPr="00D630D1">
              <w:rPr>
                <w:rFonts w:ascii="Times New Roman" w:cs="Times New Roman" w:hint="eastAsia"/>
                <w:kern w:val="2"/>
                <w:sz w:val="21"/>
                <w:szCs w:val="21"/>
              </w:rPr>
              <w:t>：</w:t>
            </w:r>
            <w:r w:rsidRPr="00D630D1">
              <w:rPr>
                <w:rFonts w:ascii="Times New Roman" w:cs="Times New Roman"/>
                <w:sz w:val="21"/>
                <w:szCs w:val="21"/>
              </w:rPr>
              <w:t>31.</w:t>
            </w:r>
            <w:r>
              <w:rPr>
                <w:rFonts w:ascii="Times New Roman" w:cs="Times New Roman" w:hint="eastAsia"/>
                <w:sz w:val="21"/>
                <w:szCs w:val="21"/>
              </w:rPr>
              <w:t>534996</w:t>
            </w:r>
            <w:r w:rsidRPr="00D630D1">
              <w:rPr>
                <w:rFonts w:ascii="Times New Roman" w:cs="Times New Roman" w:hint="eastAsia"/>
                <w:kern w:val="2"/>
                <w:sz w:val="21"/>
                <w:szCs w:val="21"/>
              </w:rPr>
              <w:t>）</w:t>
            </w:r>
          </w:p>
        </w:tc>
        <w:tc>
          <w:tcPr>
            <w:tcW w:w="990" w:type="pct"/>
            <w:tcBorders>
              <w:top w:val="single" w:sz="4" w:space="0" w:color="000000"/>
              <w:left w:val="single" w:sz="4" w:space="0" w:color="000000"/>
              <w:bottom w:val="single" w:sz="4" w:space="0" w:color="000000"/>
              <w:right w:val="nil"/>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次</w:t>
            </w:r>
            <w:r w:rsidRPr="00D630D1">
              <w:rPr>
                <w:rFonts w:ascii="Times New Roman" w:cs="Times New Roman"/>
                <w:kern w:val="2"/>
                <w:sz w:val="21"/>
                <w:szCs w:val="21"/>
              </w:rPr>
              <w:t>/</w:t>
            </w:r>
            <w:r w:rsidRPr="00D630D1">
              <w:rPr>
                <w:rFonts w:ascii="Times New Roman" w:cs="Times New Roman"/>
                <w:kern w:val="2"/>
                <w:sz w:val="21"/>
                <w:szCs w:val="21"/>
              </w:rPr>
              <w:t>年</w:t>
            </w:r>
          </w:p>
        </w:tc>
      </w:tr>
      <w:tr w:rsidR="003E7A8B" w:rsidRPr="00D630D1" w:rsidTr="00950B6F">
        <w:trPr>
          <w:trHeight w:val="19"/>
          <w:jc w:val="center"/>
        </w:trPr>
        <w:tc>
          <w:tcPr>
            <w:tcW w:w="396" w:type="pct"/>
            <w:tcBorders>
              <w:top w:val="single" w:sz="4" w:space="0" w:color="000000"/>
              <w:left w:val="nil"/>
              <w:bottom w:val="single" w:sz="4" w:space="0" w:color="000000"/>
              <w:right w:val="single" w:sz="4" w:space="0" w:color="000000"/>
            </w:tcBorders>
            <w:vAlign w:val="center"/>
          </w:tcPr>
          <w:p w:rsidR="003E7A8B" w:rsidRPr="00D630D1" w:rsidRDefault="003E7A8B" w:rsidP="009F5E5D">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4</w:t>
            </w:r>
          </w:p>
        </w:tc>
        <w:tc>
          <w:tcPr>
            <w:tcW w:w="758" w:type="pct"/>
            <w:tcBorders>
              <w:top w:val="single" w:sz="4" w:space="0" w:color="000000"/>
              <w:left w:val="single" w:sz="4" w:space="0" w:color="000000"/>
              <w:bottom w:val="single" w:sz="4" w:space="0" w:color="000000"/>
              <w:right w:val="single" w:sz="4" w:space="0" w:color="000000"/>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土壤</w:t>
            </w:r>
          </w:p>
        </w:tc>
        <w:tc>
          <w:tcPr>
            <w:tcW w:w="1185" w:type="pct"/>
            <w:tcBorders>
              <w:top w:val="single" w:sz="4" w:space="0" w:color="000000"/>
              <w:left w:val="single" w:sz="4" w:space="0" w:color="000000"/>
              <w:bottom w:val="single" w:sz="4" w:space="0" w:color="000000"/>
              <w:right w:val="single" w:sz="4" w:space="0" w:color="000000"/>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石油类</w:t>
            </w:r>
          </w:p>
        </w:tc>
        <w:tc>
          <w:tcPr>
            <w:tcW w:w="1671" w:type="pct"/>
            <w:tcBorders>
              <w:top w:val="single" w:sz="4" w:space="0" w:color="000000"/>
              <w:left w:val="single" w:sz="4" w:space="0" w:color="000000"/>
              <w:bottom w:val="single" w:sz="4" w:space="0" w:color="000000"/>
              <w:right w:val="single" w:sz="4" w:space="0" w:color="000000"/>
            </w:tcBorders>
            <w:vAlign w:val="center"/>
          </w:tcPr>
          <w:p w:rsidR="003E7A8B" w:rsidRPr="00D630D1" w:rsidRDefault="002C00AE">
            <w:pPr>
              <w:pStyle w:val="TableParagraph"/>
              <w:spacing w:line="240" w:lineRule="auto"/>
              <w:ind w:firstLineChars="0" w:firstLine="0"/>
              <w:rPr>
                <w:rFonts w:ascii="Times New Roman" w:cs="Times New Roman"/>
                <w:kern w:val="2"/>
                <w:sz w:val="21"/>
                <w:szCs w:val="21"/>
              </w:rPr>
            </w:pPr>
            <w:r>
              <w:rPr>
                <w:rFonts w:ascii="Times New Roman" w:cs="Times New Roman" w:hint="eastAsia"/>
                <w:kern w:val="2"/>
                <w:sz w:val="21"/>
                <w:szCs w:val="21"/>
              </w:rPr>
              <w:t>普光</w:t>
            </w:r>
            <w:r>
              <w:rPr>
                <w:rFonts w:ascii="Times New Roman" w:cs="Times New Roman" w:hint="eastAsia"/>
                <w:kern w:val="2"/>
                <w:sz w:val="21"/>
                <w:szCs w:val="21"/>
              </w:rPr>
              <w:t>12</w:t>
            </w:r>
            <w:r>
              <w:rPr>
                <w:rFonts w:ascii="Times New Roman" w:cs="Times New Roman" w:hint="eastAsia"/>
                <w:kern w:val="2"/>
                <w:sz w:val="21"/>
                <w:szCs w:val="21"/>
              </w:rPr>
              <w:t>采气站</w:t>
            </w:r>
            <w:r w:rsidR="003E7A8B" w:rsidRPr="00D630D1">
              <w:rPr>
                <w:rFonts w:ascii="Times New Roman" w:cs="Times New Roman"/>
                <w:kern w:val="2"/>
                <w:sz w:val="21"/>
                <w:szCs w:val="21"/>
              </w:rPr>
              <w:t>周围耕地</w:t>
            </w:r>
          </w:p>
        </w:tc>
        <w:tc>
          <w:tcPr>
            <w:tcW w:w="990" w:type="pct"/>
            <w:tcBorders>
              <w:top w:val="single" w:sz="4" w:space="0" w:color="000000"/>
              <w:left w:val="single" w:sz="4" w:space="0" w:color="000000"/>
              <w:bottom w:val="single" w:sz="4" w:space="0" w:color="000000"/>
              <w:right w:val="nil"/>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1</w:t>
            </w:r>
            <w:r w:rsidRPr="00D630D1">
              <w:rPr>
                <w:rFonts w:ascii="Times New Roman" w:cs="Times New Roman"/>
                <w:kern w:val="2"/>
                <w:sz w:val="21"/>
                <w:szCs w:val="21"/>
              </w:rPr>
              <w:t>次</w:t>
            </w:r>
            <w:r w:rsidRPr="00D630D1">
              <w:rPr>
                <w:rFonts w:ascii="Times New Roman" w:cs="Times New Roman"/>
                <w:kern w:val="2"/>
                <w:sz w:val="21"/>
                <w:szCs w:val="21"/>
              </w:rPr>
              <w:t>/5</w:t>
            </w:r>
            <w:r w:rsidRPr="00D630D1">
              <w:rPr>
                <w:rFonts w:ascii="Times New Roman" w:cs="Times New Roman"/>
                <w:kern w:val="2"/>
                <w:sz w:val="21"/>
                <w:szCs w:val="21"/>
              </w:rPr>
              <w:t>年</w:t>
            </w:r>
          </w:p>
        </w:tc>
      </w:tr>
      <w:tr w:rsidR="003E7A8B" w:rsidRPr="00D630D1" w:rsidTr="00950B6F">
        <w:trPr>
          <w:trHeight w:val="19"/>
          <w:jc w:val="center"/>
        </w:trPr>
        <w:tc>
          <w:tcPr>
            <w:tcW w:w="396" w:type="pct"/>
            <w:tcBorders>
              <w:top w:val="single" w:sz="4" w:space="0" w:color="000000"/>
              <w:left w:val="nil"/>
              <w:bottom w:val="single" w:sz="4" w:space="0" w:color="000000"/>
              <w:right w:val="single" w:sz="4" w:space="0" w:color="000000"/>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hint="eastAsia"/>
                <w:kern w:val="2"/>
                <w:sz w:val="21"/>
                <w:szCs w:val="21"/>
              </w:rPr>
              <w:t>5</w:t>
            </w:r>
          </w:p>
        </w:tc>
        <w:tc>
          <w:tcPr>
            <w:tcW w:w="758" w:type="pct"/>
            <w:tcBorders>
              <w:top w:val="single" w:sz="4" w:space="0" w:color="000000"/>
              <w:left w:val="single" w:sz="4" w:space="0" w:color="000000"/>
              <w:bottom w:val="single" w:sz="4" w:space="0" w:color="000000"/>
              <w:right w:val="single" w:sz="4" w:space="0" w:color="000000"/>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事故监测</w:t>
            </w:r>
            <w:r w:rsidRPr="00D630D1">
              <w:rPr>
                <w:rFonts w:hAnsi="宋体" w:hint="eastAsia"/>
                <w:kern w:val="2"/>
                <w:sz w:val="21"/>
                <w:szCs w:val="21"/>
                <w:vertAlign w:val="superscript"/>
              </w:rPr>
              <w:t>①</w:t>
            </w:r>
          </w:p>
        </w:tc>
        <w:tc>
          <w:tcPr>
            <w:tcW w:w="1185" w:type="pct"/>
            <w:tcBorders>
              <w:top w:val="single" w:sz="4" w:space="0" w:color="000000"/>
              <w:left w:val="single" w:sz="4" w:space="0" w:color="000000"/>
              <w:bottom w:val="single" w:sz="4" w:space="0" w:color="000000"/>
              <w:right w:val="single" w:sz="4" w:space="0" w:color="000000"/>
            </w:tcBorders>
            <w:vAlign w:val="center"/>
          </w:tcPr>
          <w:p w:rsidR="003E7A8B" w:rsidRPr="00D630D1" w:rsidRDefault="003E7A8B" w:rsidP="003D6310">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非甲烷总烃、</w:t>
            </w:r>
            <w:r w:rsidR="003D6310">
              <w:rPr>
                <w:rFonts w:ascii="Times New Roman" w:cs="Times New Roman" w:hint="eastAsia"/>
                <w:kern w:val="2"/>
                <w:sz w:val="21"/>
                <w:szCs w:val="21"/>
              </w:rPr>
              <w:t>甲烷</w:t>
            </w:r>
          </w:p>
        </w:tc>
        <w:tc>
          <w:tcPr>
            <w:tcW w:w="1671" w:type="pct"/>
            <w:tcBorders>
              <w:top w:val="single" w:sz="4" w:space="0" w:color="000000"/>
              <w:left w:val="single" w:sz="4" w:space="0" w:color="000000"/>
              <w:bottom w:val="single" w:sz="4" w:space="0" w:color="000000"/>
              <w:right w:val="single" w:sz="4" w:space="0" w:color="000000"/>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事故地段</w:t>
            </w:r>
          </w:p>
        </w:tc>
        <w:tc>
          <w:tcPr>
            <w:tcW w:w="990" w:type="pct"/>
            <w:tcBorders>
              <w:top w:val="single" w:sz="4" w:space="0" w:color="000000"/>
              <w:left w:val="single" w:sz="4" w:space="0" w:color="000000"/>
              <w:bottom w:val="single" w:sz="4" w:space="0" w:color="000000"/>
              <w:right w:val="nil"/>
            </w:tcBorders>
            <w:vAlign w:val="center"/>
          </w:tcPr>
          <w:p w:rsidR="003E7A8B" w:rsidRPr="00D630D1" w:rsidRDefault="003E7A8B">
            <w:pPr>
              <w:pStyle w:val="TableParagraph"/>
              <w:spacing w:line="240" w:lineRule="auto"/>
              <w:ind w:firstLineChars="0" w:firstLine="0"/>
              <w:rPr>
                <w:rFonts w:ascii="Times New Roman" w:cs="Times New Roman"/>
                <w:kern w:val="2"/>
                <w:sz w:val="21"/>
                <w:szCs w:val="21"/>
              </w:rPr>
            </w:pPr>
            <w:r w:rsidRPr="00D630D1">
              <w:rPr>
                <w:rFonts w:ascii="Times New Roman" w:cs="Times New Roman"/>
                <w:kern w:val="2"/>
                <w:sz w:val="21"/>
                <w:szCs w:val="21"/>
              </w:rPr>
              <w:t>立即进行</w:t>
            </w:r>
          </w:p>
        </w:tc>
      </w:tr>
      <w:tr w:rsidR="003E7A8B" w:rsidRPr="00D630D1" w:rsidTr="00950B6F">
        <w:trPr>
          <w:trHeight w:val="19"/>
          <w:jc w:val="center"/>
        </w:trPr>
        <w:tc>
          <w:tcPr>
            <w:tcW w:w="5000" w:type="pct"/>
            <w:gridSpan w:val="5"/>
            <w:tcBorders>
              <w:top w:val="single" w:sz="4" w:space="0" w:color="000000"/>
              <w:left w:val="nil"/>
              <w:bottom w:val="single" w:sz="12" w:space="0" w:color="000000"/>
            </w:tcBorders>
            <w:vAlign w:val="center"/>
          </w:tcPr>
          <w:p w:rsidR="003E7A8B" w:rsidRPr="00D630D1" w:rsidRDefault="003E7A8B" w:rsidP="0021697D">
            <w:pPr>
              <w:pStyle w:val="Default"/>
              <w:rPr>
                <w:rFonts w:ascii="Times New Roman" w:hAnsi="Times New Roman" w:cs="Times New Roman"/>
                <w:color w:val="auto"/>
                <w:kern w:val="2"/>
                <w:sz w:val="21"/>
                <w:szCs w:val="21"/>
              </w:rPr>
            </w:pPr>
            <w:r w:rsidRPr="00D630D1">
              <w:rPr>
                <w:rFonts w:ascii="Times New Roman" w:hAnsi="Times New Roman" w:cs="Times New Roman"/>
                <w:color w:val="auto"/>
                <w:sz w:val="20"/>
                <w:szCs w:val="20"/>
              </w:rPr>
              <w:t>注：</w:t>
            </w:r>
            <w:r w:rsidRPr="00D630D1">
              <w:rPr>
                <w:rFonts w:hAnsi="宋体" w:hint="eastAsia"/>
                <w:color w:val="auto"/>
                <w:sz w:val="20"/>
                <w:szCs w:val="20"/>
              </w:rPr>
              <w:t>①</w:t>
            </w:r>
            <w:r w:rsidRPr="00D630D1">
              <w:rPr>
                <w:rFonts w:ascii="Times New Roman" w:hAnsi="Times New Roman" w:cs="Times New Roman"/>
                <w:color w:val="auto"/>
                <w:sz w:val="20"/>
                <w:szCs w:val="20"/>
              </w:rPr>
              <w:t>事故发生时的环境监测：因管线发生泄漏</w:t>
            </w:r>
          </w:p>
        </w:tc>
      </w:tr>
    </w:tbl>
    <w:p w:rsidR="0021697D" w:rsidRPr="00D630D1" w:rsidRDefault="0021697D" w:rsidP="0021697D">
      <w:pPr>
        <w:pStyle w:val="3"/>
        <w:rPr>
          <w:rFonts w:eastAsia="宋体"/>
        </w:rPr>
      </w:pPr>
      <w:r w:rsidRPr="00D630D1">
        <w:rPr>
          <w:rFonts w:eastAsia="宋体"/>
        </w:rPr>
        <w:t xml:space="preserve">10.2.2 </w:t>
      </w:r>
      <w:r w:rsidRPr="00D630D1">
        <w:rPr>
          <w:rFonts w:eastAsia="宋体"/>
        </w:rPr>
        <w:t>营运期环境管理</w:t>
      </w:r>
    </w:p>
    <w:p w:rsidR="00117C3D" w:rsidRPr="00D630D1" w:rsidRDefault="0021697D" w:rsidP="000F705A">
      <w:pPr>
        <w:pStyle w:val="a1"/>
        <w:ind w:firstLine="482"/>
        <w:rPr>
          <w:rFonts w:ascii="Times New Roman" w:cs="Times New Roman"/>
          <w:b/>
          <w:bCs/>
        </w:rPr>
      </w:pPr>
      <w:r w:rsidRPr="00D630D1">
        <w:rPr>
          <w:rFonts w:ascii="Times New Roman" w:cs="Times New Roman"/>
          <w:b/>
          <w:bCs/>
        </w:rPr>
        <w:t>1</w:t>
      </w:r>
      <w:r w:rsidR="008B5B84" w:rsidRPr="00D630D1">
        <w:rPr>
          <w:rFonts w:ascii="Times New Roman" w:cs="Times New Roman"/>
          <w:b/>
          <w:bCs/>
        </w:rPr>
        <w:t>、加强环保设备的管理</w:t>
      </w:r>
    </w:p>
    <w:p w:rsidR="00117C3D" w:rsidRPr="00D630D1" w:rsidRDefault="008B5B84">
      <w:pPr>
        <w:pStyle w:val="a1"/>
        <w:ind w:firstLine="480"/>
        <w:rPr>
          <w:rFonts w:ascii="Times New Roman" w:cs="Times New Roman"/>
        </w:rPr>
      </w:pPr>
      <w:r w:rsidRPr="00D630D1">
        <w:rPr>
          <w:rFonts w:ascii="Times New Roman" w:cs="Times New Roman"/>
        </w:rPr>
        <w:lastRenderedPageBreak/>
        <w:t>建立环保设备台帐，制定主要环保设备的操作规程及安排专门操作人员，建立重点处理设备的</w:t>
      </w:r>
      <w:r w:rsidRPr="00D630D1">
        <w:rPr>
          <w:rFonts w:ascii="Times New Roman" w:cs="Times New Roman"/>
        </w:rPr>
        <w:t>“</w:t>
      </w:r>
      <w:r w:rsidRPr="00D630D1">
        <w:rPr>
          <w:rFonts w:ascii="Times New Roman" w:cs="Times New Roman"/>
        </w:rPr>
        <w:t>环保运行记录</w:t>
      </w:r>
      <w:r w:rsidRPr="00D630D1">
        <w:rPr>
          <w:rFonts w:ascii="Times New Roman" w:cs="Times New Roman"/>
        </w:rPr>
        <w:t>”</w:t>
      </w:r>
      <w:r w:rsidRPr="00D630D1">
        <w:rPr>
          <w:rFonts w:ascii="Times New Roman" w:cs="Times New Roman"/>
        </w:rPr>
        <w:t>等。</w:t>
      </w:r>
    </w:p>
    <w:p w:rsidR="00117C3D" w:rsidRPr="00D630D1" w:rsidRDefault="0021697D">
      <w:pPr>
        <w:pStyle w:val="a1"/>
        <w:ind w:firstLine="482"/>
        <w:rPr>
          <w:rFonts w:ascii="Times New Roman" w:cs="Times New Roman"/>
          <w:b/>
          <w:bCs/>
        </w:rPr>
      </w:pPr>
      <w:r w:rsidRPr="00D630D1">
        <w:rPr>
          <w:rFonts w:ascii="Times New Roman" w:cs="Times New Roman"/>
          <w:b/>
          <w:bCs/>
        </w:rPr>
        <w:t>2</w:t>
      </w:r>
      <w:r w:rsidR="008B5B84" w:rsidRPr="00D630D1">
        <w:rPr>
          <w:rFonts w:ascii="Times New Roman" w:cs="Times New Roman"/>
          <w:b/>
          <w:bCs/>
        </w:rPr>
        <w:t>、落实管理制度</w:t>
      </w:r>
    </w:p>
    <w:p w:rsidR="00117C3D" w:rsidRPr="00D630D1" w:rsidRDefault="008B5B84">
      <w:pPr>
        <w:pStyle w:val="a1"/>
        <w:ind w:firstLine="480"/>
        <w:rPr>
          <w:rFonts w:ascii="Times New Roman" w:cs="Times New Roman"/>
        </w:rPr>
      </w:pPr>
      <w:r w:rsidRPr="00D630D1">
        <w:rPr>
          <w:rFonts w:ascii="Times New Roman" w:cs="Times New Roman"/>
        </w:rPr>
        <w:t>除加强环保设备的基础管理外，尚需狠抓制度的落实，制定环保经济责任制考核制度，以提高各部门对环境保护的责任感。</w:t>
      </w:r>
    </w:p>
    <w:p w:rsidR="00117C3D" w:rsidRPr="00D630D1" w:rsidRDefault="008B5B84">
      <w:pPr>
        <w:ind w:firstLine="480"/>
        <w:rPr>
          <w:rFonts w:ascii="Times New Roman" w:cs="Times New Roman"/>
        </w:rPr>
      </w:pPr>
      <w:r w:rsidRPr="00D630D1">
        <w:rPr>
          <w:rFonts w:ascii="Times New Roman" w:cs="Times New Roman"/>
        </w:rPr>
        <w:t>在管道运行期，环境管理除做好监督与检查站场各项环保设施的运行和维护等工作外，工作重点应针对管线破裂后天然气泄漏着火爆炸、着火爆炸等重大事故的预防和处理上。重大环境污染事故不同于一般的环境污染，它没有固定的排放方式和排放途径，具有发生突然、危害严重、污染影响长远且难于完全消除等特点。为此，必须制定相应的事故预防措施、事故应急措施以及恢复补偿措施等。</w:t>
      </w:r>
    </w:p>
    <w:p w:rsidR="00DB1FC1" w:rsidRPr="00D630D1" w:rsidRDefault="00DB1FC1" w:rsidP="00DB1FC1">
      <w:pPr>
        <w:pStyle w:val="3"/>
        <w:rPr>
          <w:rFonts w:eastAsia="宋体"/>
        </w:rPr>
      </w:pPr>
      <w:r w:rsidRPr="00D630D1">
        <w:rPr>
          <w:rFonts w:eastAsia="宋体"/>
        </w:rPr>
        <w:t>10.2.</w:t>
      </w:r>
      <w:r w:rsidRPr="00D630D1">
        <w:rPr>
          <w:rFonts w:eastAsia="宋体" w:hint="eastAsia"/>
        </w:rPr>
        <w:t>3</w:t>
      </w:r>
      <w:r w:rsidR="00AB72A1" w:rsidRPr="00D630D1">
        <w:rPr>
          <w:rFonts w:eastAsia="宋体" w:hint="eastAsia"/>
        </w:rPr>
        <w:t>试采</w:t>
      </w:r>
      <w:r w:rsidRPr="00D630D1">
        <w:rPr>
          <w:rFonts w:eastAsia="宋体" w:hint="eastAsia"/>
        </w:rPr>
        <w:t>期结束后现有设施设备的</w:t>
      </w:r>
      <w:r w:rsidRPr="00D630D1">
        <w:rPr>
          <w:rFonts w:eastAsia="宋体"/>
        </w:rPr>
        <w:t>环境管理</w:t>
      </w:r>
    </w:p>
    <w:p w:rsidR="00DB1FC1" w:rsidRPr="00D630D1" w:rsidRDefault="00AB72A1" w:rsidP="00DB1FC1">
      <w:pPr>
        <w:ind w:firstLine="480"/>
        <w:rPr>
          <w:rFonts w:ascii="Times New Roman" w:cs="Times New Roman"/>
        </w:rPr>
      </w:pPr>
      <w:r w:rsidRPr="00D630D1">
        <w:rPr>
          <w:rFonts w:hint="eastAsia"/>
        </w:rPr>
        <w:t>本项目试采期为</w:t>
      </w:r>
      <w:r w:rsidRPr="00D630D1">
        <w:rPr>
          <w:rFonts w:ascii="Times New Roman" w:cs="Times New Roman"/>
        </w:rPr>
        <w:t>2</w:t>
      </w:r>
      <w:r w:rsidRPr="00D630D1">
        <w:rPr>
          <w:rFonts w:hint="eastAsia"/>
        </w:rPr>
        <w:t>年，</w:t>
      </w:r>
      <w:r w:rsidRPr="00D630D1">
        <w:rPr>
          <w:rFonts w:ascii="Times New Roman" w:cs="Times New Roman"/>
        </w:rPr>
        <w:t>试采期结束后</w:t>
      </w:r>
      <w:r w:rsidRPr="00D630D1">
        <w:rPr>
          <w:rFonts w:ascii="Times New Roman" w:cs="Times New Roman" w:hint="eastAsia"/>
        </w:rPr>
        <w:t>，若能够满足后期</w:t>
      </w:r>
      <w:r w:rsidR="00A301BE" w:rsidRPr="00DF0037">
        <w:t>普光主体</w:t>
      </w:r>
      <w:r w:rsidRPr="00D630D1">
        <w:rPr>
          <w:rFonts w:hint="eastAsia"/>
        </w:rPr>
        <w:t>区块</w:t>
      </w:r>
      <w:r w:rsidRPr="00D630D1">
        <w:rPr>
          <w:rFonts w:ascii="Times New Roman" w:cs="Times New Roman" w:hint="eastAsia"/>
        </w:rPr>
        <w:t>开发需要，则现有设施设备继续服务于</w:t>
      </w:r>
      <w:r w:rsidR="00A301BE" w:rsidRPr="00DF0037">
        <w:t>普光主体</w:t>
      </w:r>
      <w:r w:rsidRPr="00D630D1">
        <w:rPr>
          <w:rFonts w:hint="eastAsia"/>
        </w:rPr>
        <w:t>区块</w:t>
      </w:r>
      <w:r w:rsidRPr="00D630D1">
        <w:rPr>
          <w:rFonts w:ascii="Times New Roman" w:cs="Times New Roman" w:hint="eastAsia"/>
        </w:rPr>
        <w:t>开发，并</w:t>
      </w:r>
      <w:r w:rsidRPr="00D630D1">
        <w:rPr>
          <w:rFonts w:hint="eastAsia"/>
        </w:rPr>
        <w:t>需按照区块</w:t>
      </w:r>
      <w:r w:rsidRPr="00D630D1">
        <w:rPr>
          <w:rFonts w:ascii="Times New Roman" w:cs="Times New Roman" w:hint="eastAsia"/>
        </w:rPr>
        <w:t>开发相关要求另行办理相关环保手续；若不能满足</w:t>
      </w:r>
      <w:r w:rsidR="00A301BE" w:rsidRPr="00DF0037">
        <w:t>普光主体</w:t>
      </w:r>
      <w:r w:rsidR="00A301BE">
        <w:rPr>
          <w:rFonts w:hint="eastAsia"/>
        </w:rPr>
        <w:t>区块</w:t>
      </w:r>
      <w:r w:rsidRPr="00D630D1">
        <w:rPr>
          <w:rFonts w:ascii="Times New Roman" w:cs="Times New Roman" w:hint="eastAsia"/>
        </w:rPr>
        <w:t>开发需要，现有设施设备原则上进行暂时保留，不予拆除，若根据确需配合开发部门进行转移或利旧的，应按照《企业设备、建（构）筑物拆除活动污染防治技术指南》要求进行，同时，对防治设施内涉及的废水、废渣及时进行清运处置，防止造成环境污染事故</w:t>
      </w:r>
      <w:r w:rsidR="00DB1FC1" w:rsidRPr="00D630D1">
        <w:rPr>
          <w:rFonts w:ascii="Times New Roman" w:cs="Times New Roman"/>
        </w:rPr>
        <w:t>。</w:t>
      </w:r>
    </w:p>
    <w:p w:rsidR="00DB1FC1" w:rsidRPr="00D630D1" w:rsidRDefault="00DB1FC1">
      <w:pPr>
        <w:ind w:firstLine="480"/>
        <w:rPr>
          <w:rFonts w:ascii="Times New Roman" w:cs="Times New Roman"/>
        </w:rPr>
        <w:sectPr w:rsidR="00DB1FC1" w:rsidRPr="00D630D1" w:rsidSect="00BA4F10">
          <w:pgSz w:w="11906" w:h="16838"/>
          <w:pgMar w:top="1440" w:right="1800" w:bottom="1440" w:left="1800" w:header="851" w:footer="992" w:gutter="0"/>
          <w:cols w:space="425"/>
          <w:docGrid w:type="lines" w:linePitch="312"/>
        </w:sectPr>
      </w:pPr>
    </w:p>
    <w:p w:rsidR="00117C3D" w:rsidRPr="00D630D1" w:rsidRDefault="009B1EE1" w:rsidP="009B1EE1">
      <w:pPr>
        <w:pStyle w:val="1"/>
        <w:spacing w:before="0" w:beforeAutospacing="0" w:after="0" w:afterAutospacing="0"/>
        <w:rPr>
          <w:rFonts w:eastAsia="宋体"/>
          <w:kern w:val="0"/>
        </w:rPr>
      </w:pPr>
      <w:bookmarkStart w:id="688" w:name="_Toc19816152"/>
      <w:bookmarkStart w:id="689" w:name="_Toc81515316"/>
      <w:bookmarkStart w:id="690" w:name="_Toc12288838"/>
      <w:r w:rsidRPr="00D630D1">
        <w:rPr>
          <w:rFonts w:eastAsia="宋体"/>
          <w:kern w:val="0"/>
        </w:rPr>
        <w:lastRenderedPageBreak/>
        <w:t>11</w:t>
      </w:r>
      <w:r w:rsidR="008B5B84" w:rsidRPr="00D630D1">
        <w:rPr>
          <w:rFonts w:eastAsia="宋体"/>
          <w:kern w:val="0"/>
        </w:rPr>
        <w:t xml:space="preserve"> </w:t>
      </w:r>
      <w:r w:rsidR="008B5B84" w:rsidRPr="00D630D1">
        <w:rPr>
          <w:rFonts w:eastAsia="宋体"/>
          <w:kern w:val="0"/>
        </w:rPr>
        <w:t>结论与建议</w:t>
      </w:r>
      <w:bookmarkEnd w:id="688"/>
      <w:bookmarkEnd w:id="689"/>
    </w:p>
    <w:p w:rsidR="00117C3D" w:rsidRPr="00D630D1" w:rsidRDefault="008B5B84" w:rsidP="009B1EE1">
      <w:pPr>
        <w:pStyle w:val="2"/>
        <w:spacing w:before="120"/>
        <w:rPr>
          <w:rFonts w:cs="Times New Roman"/>
        </w:rPr>
      </w:pPr>
      <w:bookmarkStart w:id="691" w:name="_Toc19816153"/>
      <w:bookmarkStart w:id="692" w:name="_Toc81515317"/>
      <w:r w:rsidRPr="00D630D1">
        <w:rPr>
          <w:rFonts w:cs="Times New Roman"/>
        </w:rPr>
        <w:t>1</w:t>
      </w:r>
      <w:r w:rsidR="009B1EE1" w:rsidRPr="00D630D1">
        <w:rPr>
          <w:rFonts w:cs="Times New Roman"/>
        </w:rPr>
        <w:t>1</w:t>
      </w:r>
      <w:r w:rsidRPr="00D630D1">
        <w:rPr>
          <w:rFonts w:cs="Times New Roman"/>
        </w:rPr>
        <w:t xml:space="preserve">.1 </w:t>
      </w:r>
      <w:r w:rsidRPr="00D630D1">
        <w:rPr>
          <w:rFonts w:cs="Times New Roman"/>
        </w:rPr>
        <w:t>项目基本情况</w:t>
      </w:r>
      <w:bookmarkEnd w:id="690"/>
      <w:bookmarkEnd w:id="691"/>
      <w:bookmarkEnd w:id="692"/>
    </w:p>
    <w:p w:rsidR="00117C3D" w:rsidRPr="00D630D1" w:rsidRDefault="008B5B84">
      <w:pPr>
        <w:pStyle w:val="3"/>
        <w:rPr>
          <w:rFonts w:eastAsia="宋体"/>
        </w:rPr>
      </w:pPr>
      <w:bookmarkStart w:id="693" w:name="_Toc19816155"/>
      <w:r w:rsidRPr="00D630D1">
        <w:rPr>
          <w:rFonts w:eastAsia="宋体"/>
        </w:rPr>
        <w:t>1</w:t>
      </w:r>
      <w:r w:rsidR="009B1EE1" w:rsidRPr="00D630D1">
        <w:rPr>
          <w:rFonts w:eastAsia="宋体"/>
        </w:rPr>
        <w:t>1</w:t>
      </w:r>
      <w:r w:rsidRPr="00D630D1">
        <w:rPr>
          <w:rFonts w:eastAsia="宋体"/>
        </w:rPr>
        <w:t>.1.</w:t>
      </w:r>
      <w:r w:rsidR="0097231A" w:rsidRPr="00D630D1">
        <w:rPr>
          <w:rFonts w:eastAsia="宋体"/>
        </w:rPr>
        <w:t>1</w:t>
      </w:r>
      <w:r w:rsidRPr="00D630D1">
        <w:rPr>
          <w:rFonts w:eastAsia="宋体"/>
        </w:rPr>
        <w:t xml:space="preserve"> </w:t>
      </w:r>
      <w:r w:rsidRPr="00D630D1">
        <w:rPr>
          <w:rFonts w:eastAsia="宋体"/>
        </w:rPr>
        <w:t>项目规模</w:t>
      </w:r>
      <w:bookmarkEnd w:id="693"/>
    </w:p>
    <w:p w:rsidR="00D53C0D" w:rsidRPr="00D53C0D" w:rsidRDefault="00D53C0D" w:rsidP="00D53C0D">
      <w:pPr>
        <w:pStyle w:val="a1"/>
        <w:ind w:firstLine="480"/>
        <w:rPr>
          <w:rFonts w:ascii="Times New Roman" w:cs="Times New Roman"/>
        </w:rPr>
      </w:pPr>
      <w:r w:rsidRPr="00D53C0D">
        <w:rPr>
          <w:rFonts w:ascii="Times New Roman" w:cs="Times New Roman"/>
        </w:rPr>
        <w:t>为了进一步服务普光气田普光主体区块的开发，</w:t>
      </w:r>
      <w:r w:rsidRPr="00D53C0D">
        <w:rPr>
          <w:rFonts w:ascii="Times New Roman" w:cs="Times New Roman" w:hint="eastAsia"/>
        </w:rPr>
        <w:t>配合开发部门完成气井产量等评估工作，以满足对普光陆相气藏勘探评价的需求，同时为后续普光陆相气井的规模性开发提供现场经验，填补普光气田陆相凝析气藏开发的空白，逐步形成标准化设计</w:t>
      </w:r>
      <w:r w:rsidRPr="00D53C0D">
        <w:rPr>
          <w:rFonts w:ascii="Times New Roman" w:cs="Times New Roman"/>
        </w:rPr>
        <w:t>，中国石油化工股份有限公司中原油田普光分公司</w:t>
      </w:r>
      <w:r w:rsidRPr="00D53C0D">
        <w:rPr>
          <w:rFonts w:ascii="Times New Roman" w:cs="Times New Roman" w:hint="eastAsia"/>
        </w:rPr>
        <w:t>拟</w:t>
      </w:r>
      <w:r w:rsidRPr="00D53C0D">
        <w:rPr>
          <w:rFonts w:ascii="Times New Roman" w:cs="Times New Roman"/>
        </w:rPr>
        <w:t>实施新建普光气田普陆页</w:t>
      </w:r>
      <w:r w:rsidRPr="00D53C0D">
        <w:rPr>
          <w:rFonts w:ascii="Times New Roman" w:cs="Times New Roman"/>
        </w:rPr>
        <w:t>1</w:t>
      </w:r>
      <w:r w:rsidRPr="00D53C0D">
        <w:rPr>
          <w:rFonts w:ascii="Times New Roman" w:cs="Times New Roman"/>
        </w:rPr>
        <w:t>试验井组项目</w:t>
      </w:r>
      <w:r w:rsidRPr="00D53C0D">
        <w:rPr>
          <w:rFonts w:ascii="Times New Roman" w:cs="Times New Roman" w:hint="eastAsia"/>
        </w:rPr>
        <w:t>，试采普光陆相气藏，为期</w:t>
      </w:r>
      <w:r w:rsidRPr="00D53C0D">
        <w:rPr>
          <w:rFonts w:ascii="Times New Roman" w:cs="Times New Roman" w:hint="eastAsia"/>
        </w:rPr>
        <w:t>2</w:t>
      </w:r>
      <w:r w:rsidRPr="00D53C0D">
        <w:rPr>
          <w:rFonts w:ascii="Times New Roman" w:cs="Times New Roman" w:hint="eastAsia"/>
        </w:rPr>
        <w:t>年，为下一步</w:t>
      </w:r>
      <w:r w:rsidRPr="00D53C0D">
        <w:rPr>
          <w:rFonts w:ascii="Times New Roman" w:cs="Times New Roman"/>
        </w:rPr>
        <w:t>普光主体</w:t>
      </w:r>
      <w:r w:rsidRPr="00D53C0D">
        <w:rPr>
          <w:rFonts w:ascii="Times New Roman" w:cs="Times New Roman" w:hint="eastAsia"/>
        </w:rPr>
        <w:t>区块开发做准备。本项目</w:t>
      </w:r>
      <w:r w:rsidRPr="00D53C0D">
        <w:rPr>
          <w:rFonts w:ascii="Times New Roman" w:cs="Times New Roman"/>
        </w:rPr>
        <w:t>试采期结束后</w:t>
      </w:r>
      <w:r w:rsidRPr="00D53C0D">
        <w:rPr>
          <w:rFonts w:ascii="Times New Roman" w:cs="Times New Roman" w:hint="eastAsia"/>
        </w:rPr>
        <w:t>，若能够满足后期</w:t>
      </w:r>
      <w:r w:rsidRPr="00D53C0D">
        <w:rPr>
          <w:rFonts w:ascii="Times New Roman" w:cs="Times New Roman"/>
        </w:rPr>
        <w:t>普光主体</w:t>
      </w:r>
      <w:r w:rsidRPr="00D53C0D">
        <w:rPr>
          <w:rFonts w:ascii="Times New Roman" w:cs="Times New Roman" w:hint="eastAsia"/>
        </w:rPr>
        <w:t>区块开发需要，则现有设施设备继续服务于</w:t>
      </w:r>
      <w:r w:rsidRPr="00D53C0D">
        <w:rPr>
          <w:rFonts w:ascii="Times New Roman" w:cs="Times New Roman"/>
        </w:rPr>
        <w:t>普光主体</w:t>
      </w:r>
      <w:r w:rsidRPr="00D53C0D">
        <w:rPr>
          <w:rFonts w:ascii="Times New Roman" w:cs="Times New Roman" w:hint="eastAsia"/>
        </w:rPr>
        <w:t>区块开发，并需按照区块开发相关要求另行办理相关环保手续</w:t>
      </w:r>
      <w:r w:rsidRPr="00D53C0D">
        <w:rPr>
          <w:rFonts w:ascii="Times New Roman" w:cs="Times New Roman"/>
        </w:rPr>
        <w:t>。</w:t>
      </w:r>
    </w:p>
    <w:p w:rsidR="00D53C0D" w:rsidRPr="00D53C0D" w:rsidRDefault="00D53C0D" w:rsidP="00D53C0D">
      <w:pPr>
        <w:pStyle w:val="a1"/>
        <w:ind w:firstLine="480"/>
        <w:rPr>
          <w:rFonts w:ascii="Times New Roman" w:cs="Times New Roman"/>
        </w:rPr>
      </w:pPr>
      <w:r w:rsidRPr="00D53C0D">
        <w:rPr>
          <w:rFonts w:ascii="Times New Roman" w:cs="Times New Roman" w:hint="eastAsia"/>
        </w:rPr>
        <w:t>根据开发部署试采方案，本次在普光陆相气藏新建普光</w:t>
      </w:r>
      <w:r w:rsidRPr="00D53C0D">
        <w:rPr>
          <w:rFonts w:ascii="Times New Roman" w:cs="Times New Roman" w:hint="eastAsia"/>
        </w:rPr>
        <w:t>12</w:t>
      </w:r>
      <w:r w:rsidRPr="00D53C0D">
        <w:rPr>
          <w:rFonts w:ascii="Times New Roman" w:cs="Times New Roman" w:hint="eastAsia"/>
        </w:rPr>
        <w:t>采气平台</w:t>
      </w:r>
      <w:r w:rsidRPr="00D53C0D">
        <w:rPr>
          <w:rFonts w:ascii="Times New Roman" w:cs="Times New Roman" w:hint="eastAsia"/>
        </w:rPr>
        <w:t>1</w:t>
      </w:r>
      <w:r w:rsidRPr="00D53C0D">
        <w:rPr>
          <w:rFonts w:ascii="Times New Roman" w:cs="Times New Roman" w:hint="eastAsia"/>
        </w:rPr>
        <w:t>座，部署页岩气井</w:t>
      </w:r>
      <w:r w:rsidRPr="00D53C0D">
        <w:rPr>
          <w:rFonts w:ascii="Times New Roman" w:cs="Times New Roman" w:hint="eastAsia"/>
        </w:rPr>
        <w:t>6</w:t>
      </w:r>
      <w:r w:rsidRPr="00D53C0D">
        <w:rPr>
          <w:rFonts w:ascii="Times New Roman" w:cs="Times New Roman" w:hint="eastAsia"/>
        </w:rPr>
        <w:t>口（普陆页</w:t>
      </w:r>
      <w:r w:rsidRPr="00D53C0D">
        <w:rPr>
          <w:rFonts w:ascii="Times New Roman" w:cs="Times New Roman" w:hint="eastAsia"/>
        </w:rPr>
        <w:t>1-1~6</w:t>
      </w:r>
      <w:r w:rsidRPr="00D53C0D">
        <w:rPr>
          <w:rFonts w:ascii="Times New Roman" w:cs="Times New Roman" w:hint="eastAsia"/>
        </w:rPr>
        <w:t>）和普陆</w:t>
      </w:r>
      <w:r w:rsidRPr="00D53C0D">
        <w:rPr>
          <w:rFonts w:ascii="Times New Roman" w:cs="Times New Roman" w:hint="eastAsia"/>
        </w:rPr>
        <w:t>3-1</w:t>
      </w:r>
      <w:r w:rsidRPr="00D53C0D">
        <w:rPr>
          <w:rFonts w:ascii="Times New Roman" w:cs="Times New Roman" w:hint="eastAsia"/>
        </w:rPr>
        <w:t>井、普陆</w:t>
      </w:r>
      <w:r w:rsidRPr="00D53C0D">
        <w:rPr>
          <w:rFonts w:ascii="Times New Roman" w:cs="Times New Roman" w:hint="eastAsia"/>
        </w:rPr>
        <w:t>3-2</w:t>
      </w:r>
      <w:r w:rsidRPr="00D53C0D">
        <w:rPr>
          <w:rFonts w:ascii="Times New Roman" w:cs="Times New Roman" w:hint="eastAsia"/>
        </w:rPr>
        <w:t>井，其中普陆</w:t>
      </w:r>
      <w:r w:rsidRPr="00D53C0D">
        <w:rPr>
          <w:rFonts w:ascii="Times New Roman" w:cs="Times New Roman" w:hint="eastAsia"/>
        </w:rPr>
        <w:t>3-1</w:t>
      </w:r>
      <w:r w:rsidRPr="00D53C0D">
        <w:rPr>
          <w:rFonts w:ascii="Times New Roman" w:cs="Times New Roman" w:hint="eastAsia"/>
        </w:rPr>
        <w:t>井、普陆</w:t>
      </w:r>
      <w:r w:rsidRPr="00D53C0D">
        <w:rPr>
          <w:rFonts w:ascii="Times New Roman" w:cs="Times New Roman" w:hint="eastAsia"/>
        </w:rPr>
        <w:t>3-2</w:t>
      </w:r>
      <w:r w:rsidRPr="00D53C0D">
        <w:rPr>
          <w:rFonts w:ascii="Times New Roman" w:cs="Times New Roman" w:hint="eastAsia"/>
        </w:rPr>
        <w:t>井建设内容不在本次评价范围内。预计</w:t>
      </w:r>
      <w:r w:rsidRPr="00D53C0D">
        <w:rPr>
          <w:rFonts w:ascii="Times New Roman" w:cs="Times New Roman" w:hint="eastAsia"/>
        </w:rPr>
        <w:t>6</w:t>
      </w:r>
      <w:r w:rsidRPr="00D53C0D">
        <w:rPr>
          <w:rFonts w:ascii="Times New Roman" w:cs="Times New Roman" w:hint="eastAsia"/>
        </w:rPr>
        <w:t>口陆相气井试采</w:t>
      </w:r>
      <w:r w:rsidRPr="00D53C0D">
        <w:rPr>
          <w:rFonts w:ascii="Times New Roman" w:cs="Times New Roman"/>
        </w:rPr>
        <w:t>2</w:t>
      </w:r>
      <w:r w:rsidRPr="00D53C0D">
        <w:rPr>
          <w:rFonts w:ascii="Times New Roman" w:cs="Times New Roman" w:hint="eastAsia"/>
        </w:rPr>
        <w:t>年，设计规模</w:t>
      </w:r>
      <w:r w:rsidRPr="00D53C0D">
        <w:rPr>
          <w:rFonts w:ascii="Times New Roman" w:cs="Times New Roman"/>
        </w:rPr>
        <w:t>60</w:t>
      </w:r>
      <w:r w:rsidRPr="00D53C0D">
        <w:rPr>
          <w:rFonts w:ascii="Times New Roman" w:cs="Times New Roman" w:hint="eastAsia"/>
        </w:rPr>
        <w:t>万立方米</w:t>
      </w:r>
      <w:r w:rsidRPr="00D53C0D">
        <w:rPr>
          <w:rFonts w:ascii="Times New Roman" w:cs="Times New Roman"/>
        </w:rPr>
        <w:t>/</w:t>
      </w:r>
      <w:r w:rsidRPr="00D53C0D">
        <w:rPr>
          <w:rFonts w:ascii="Times New Roman" w:cs="Times New Roman" w:hint="eastAsia"/>
        </w:rPr>
        <w:t>天。</w:t>
      </w:r>
      <w:r w:rsidRPr="00D53C0D">
        <w:rPr>
          <w:rFonts w:ascii="Times New Roman" w:cs="Times New Roman"/>
        </w:rPr>
        <w:t>具体建设内容为：</w:t>
      </w:r>
    </w:p>
    <w:p w:rsidR="00D53C0D" w:rsidRPr="00D53C0D" w:rsidRDefault="00D53C0D" w:rsidP="00D53C0D">
      <w:pPr>
        <w:pStyle w:val="a1"/>
        <w:ind w:firstLine="480"/>
        <w:rPr>
          <w:rFonts w:ascii="Times New Roman" w:cs="Times New Roman"/>
        </w:rPr>
      </w:pPr>
      <w:r w:rsidRPr="00D53C0D">
        <w:rPr>
          <w:rFonts w:ascii="Times New Roman" w:cs="Times New Roman"/>
        </w:rPr>
        <w:t>（</w:t>
      </w:r>
      <w:r w:rsidRPr="00D53C0D">
        <w:rPr>
          <w:rFonts w:ascii="Times New Roman" w:cs="Times New Roman"/>
        </w:rPr>
        <w:t>1</w:t>
      </w:r>
      <w:r w:rsidRPr="00D53C0D">
        <w:rPr>
          <w:rFonts w:ascii="Times New Roman" w:cs="Times New Roman"/>
        </w:rPr>
        <w:t>）</w:t>
      </w:r>
      <w:r w:rsidRPr="00D53C0D">
        <w:rPr>
          <w:rFonts w:ascii="Times New Roman" w:cs="Times New Roman" w:hint="eastAsia"/>
        </w:rPr>
        <w:t>气藏地质与气藏工程</w:t>
      </w:r>
    </w:p>
    <w:p w:rsidR="00D53C0D" w:rsidRPr="00D53C0D" w:rsidRDefault="00D53C0D" w:rsidP="00D53C0D">
      <w:pPr>
        <w:pStyle w:val="a1"/>
        <w:ind w:firstLine="480"/>
        <w:rPr>
          <w:rFonts w:ascii="Times New Roman" w:cs="Times New Roman"/>
        </w:rPr>
      </w:pPr>
      <w:r w:rsidRPr="00D53C0D">
        <w:rPr>
          <w:rFonts w:ascii="Times New Roman" w:cs="Times New Roman" w:hint="eastAsia"/>
        </w:rPr>
        <w:t>在充分开展普陆页</w:t>
      </w:r>
      <w:r w:rsidRPr="00D53C0D">
        <w:rPr>
          <w:rFonts w:ascii="Times New Roman" w:cs="Times New Roman"/>
        </w:rPr>
        <w:t xml:space="preserve">1 </w:t>
      </w:r>
      <w:r w:rsidRPr="00D53C0D">
        <w:rPr>
          <w:rFonts w:ascii="Times New Roman" w:cs="Times New Roman" w:hint="eastAsia"/>
        </w:rPr>
        <w:t>井试采跟踪分析的基础上，综合考虑地质工程一体化、地面地下一体化，优选普光东向斜普光</w:t>
      </w:r>
      <w:r w:rsidRPr="00D53C0D">
        <w:rPr>
          <w:rFonts w:ascii="Times New Roman" w:cs="Times New Roman"/>
        </w:rPr>
        <w:t>12</w:t>
      </w:r>
      <w:r w:rsidRPr="00D53C0D">
        <w:rPr>
          <w:rFonts w:ascii="Times New Roman" w:cs="Times New Roman" w:hint="eastAsia"/>
        </w:rPr>
        <w:t>井区，采用“井工厂”开发模式，部署先导试验井组，目的为论证凝析气藏开发技术政策合理性（水平段长度、井距、穿行靶窗等），论证优快钻井可靠性，压裂改造及采气工艺适应性，探索“井工厂”模式提速降本增效，为整体效益开发奠定基础。</w:t>
      </w:r>
    </w:p>
    <w:p w:rsidR="00D53C0D" w:rsidRPr="00D53C0D" w:rsidRDefault="00D53C0D" w:rsidP="00D53C0D">
      <w:pPr>
        <w:pStyle w:val="a1"/>
        <w:ind w:firstLine="480"/>
        <w:rPr>
          <w:rFonts w:ascii="Times New Roman" w:cs="Times New Roman"/>
        </w:rPr>
      </w:pPr>
      <w:r w:rsidRPr="00D53C0D">
        <w:rPr>
          <w:rFonts w:ascii="Times New Roman" w:cs="Times New Roman" w:hint="eastAsia"/>
        </w:rPr>
        <w:t>试验井组部署井位</w:t>
      </w:r>
      <w:r w:rsidRPr="00D53C0D">
        <w:rPr>
          <w:rFonts w:ascii="Times New Roman" w:cs="Times New Roman"/>
        </w:rPr>
        <w:t>6</w:t>
      </w:r>
      <w:r w:rsidRPr="00D53C0D">
        <w:rPr>
          <w:rFonts w:ascii="Times New Roman" w:cs="Times New Roman" w:hint="eastAsia"/>
        </w:rPr>
        <w:t>口，南北方向各</w:t>
      </w:r>
      <w:r w:rsidRPr="00D53C0D">
        <w:rPr>
          <w:rFonts w:ascii="Times New Roman" w:cs="Times New Roman"/>
        </w:rPr>
        <w:t>3</w:t>
      </w:r>
      <w:r w:rsidRPr="00D53C0D">
        <w:rPr>
          <w:rFonts w:ascii="Times New Roman" w:cs="Times New Roman" w:hint="eastAsia"/>
        </w:rPr>
        <w:t>口，井距</w:t>
      </w:r>
      <w:r w:rsidRPr="00D53C0D">
        <w:rPr>
          <w:rFonts w:ascii="Times New Roman" w:cs="Times New Roman"/>
        </w:rPr>
        <w:t>300</w:t>
      </w:r>
      <w:r w:rsidRPr="00D53C0D">
        <w:rPr>
          <w:rFonts w:ascii="Times New Roman" w:cs="Times New Roman" w:hint="eastAsia"/>
        </w:rPr>
        <w:t>米。其中北边</w:t>
      </w:r>
      <w:r w:rsidRPr="00D53C0D">
        <w:rPr>
          <w:rFonts w:ascii="Times New Roman" w:cs="Times New Roman"/>
        </w:rPr>
        <w:t>3</w:t>
      </w:r>
      <w:r w:rsidRPr="00D53C0D">
        <w:rPr>
          <w:rFonts w:ascii="Times New Roman" w:cs="Times New Roman" w:hint="eastAsia"/>
        </w:rPr>
        <w:t>口普陆页</w:t>
      </w:r>
      <w:r w:rsidRPr="00D53C0D">
        <w:rPr>
          <w:rFonts w:ascii="Times New Roman" w:cs="Times New Roman"/>
        </w:rPr>
        <w:t>1-1</w:t>
      </w:r>
      <w:r w:rsidRPr="00D53C0D">
        <w:rPr>
          <w:rFonts w:ascii="Times New Roman" w:cs="Times New Roman" w:hint="eastAsia"/>
        </w:rPr>
        <w:t>、普陆页</w:t>
      </w:r>
      <w:r w:rsidRPr="00D53C0D">
        <w:rPr>
          <w:rFonts w:ascii="Times New Roman" w:cs="Times New Roman"/>
        </w:rPr>
        <w:t>1-2</w:t>
      </w:r>
      <w:r w:rsidRPr="00D53C0D">
        <w:rPr>
          <w:rFonts w:ascii="Times New Roman" w:cs="Times New Roman" w:hint="eastAsia"/>
        </w:rPr>
        <w:t>、普陆页</w:t>
      </w:r>
      <w:r w:rsidRPr="00D53C0D">
        <w:rPr>
          <w:rFonts w:ascii="Times New Roman" w:cs="Times New Roman"/>
        </w:rPr>
        <w:t>1-3</w:t>
      </w:r>
      <w:r w:rsidRPr="00D53C0D">
        <w:rPr>
          <w:rFonts w:ascii="Times New Roman" w:cs="Times New Roman" w:hint="eastAsia"/>
        </w:rPr>
        <w:t>井，水平段长度均为</w:t>
      </w:r>
      <w:r w:rsidRPr="00D53C0D">
        <w:rPr>
          <w:rFonts w:ascii="Times New Roman" w:cs="Times New Roman"/>
        </w:rPr>
        <w:t>2000</w:t>
      </w:r>
      <w:r w:rsidRPr="00D53C0D">
        <w:rPr>
          <w:rFonts w:ascii="Times New Roman" w:cs="Times New Roman" w:hint="eastAsia"/>
        </w:rPr>
        <w:t>米，以论证穿行层位为主；南边</w:t>
      </w:r>
      <w:r w:rsidRPr="00D53C0D">
        <w:rPr>
          <w:rFonts w:ascii="Times New Roman" w:cs="Times New Roman"/>
        </w:rPr>
        <w:t>3</w:t>
      </w:r>
      <w:r w:rsidRPr="00D53C0D">
        <w:rPr>
          <w:rFonts w:ascii="Times New Roman" w:cs="Times New Roman" w:hint="eastAsia"/>
        </w:rPr>
        <w:t>口普陆页</w:t>
      </w:r>
      <w:r w:rsidRPr="00D53C0D">
        <w:rPr>
          <w:rFonts w:ascii="Times New Roman" w:cs="Times New Roman"/>
        </w:rPr>
        <w:t>1-4</w:t>
      </w:r>
      <w:r w:rsidRPr="00D53C0D">
        <w:rPr>
          <w:rFonts w:ascii="Times New Roman" w:cs="Times New Roman" w:hint="eastAsia"/>
        </w:rPr>
        <w:t>、普陆页</w:t>
      </w:r>
      <w:r w:rsidRPr="00D53C0D">
        <w:rPr>
          <w:rFonts w:ascii="Times New Roman" w:cs="Times New Roman"/>
        </w:rPr>
        <w:t>1-5</w:t>
      </w:r>
      <w:r w:rsidRPr="00D53C0D">
        <w:rPr>
          <w:rFonts w:ascii="Times New Roman" w:cs="Times New Roman" w:hint="eastAsia"/>
        </w:rPr>
        <w:t>、普陆页</w:t>
      </w:r>
      <w:r w:rsidRPr="00D53C0D">
        <w:rPr>
          <w:rFonts w:ascii="Times New Roman" w:cs="Times New Roman"/>
        </w:rPr>
        <w:t>1-6</w:t>
      </w:r>
      <w:r w:rsidRPr="00D53C0D">
        <w:rPr>
          <w:rFonts w:ascii="Times New Roman" w:cs="Times New Roman" w:hint="eastAsia"/>
        </w:rPr>
        <w:t>井，水平段长度分别为</w:t>
      </w:r>
      <w:r w:rsidRPr="00D53C0D">
        <w:rPr>
          <w:rFonts w:ascii="Times New Roman" w:cs="Times New Roman"/>
        </w:rPr>
        <w:t>2700</w:t>
      </w:r>
      <w:r w:rsidRPr="00D53C0D">
        <w:rPr>
          <w:rFonts w:ascii="Times New Roman" w:cs="Times New Roman" w:hint="eastAsia"/>
        </w:rPr>
        <w:t>米、</w:t>
      </w:r>
      <w:r w:rsidRPr="00D53C0D">
        <w:rPr>
          <w:rFonts w:ascii="Times New Roman" w:cs="Times New Roman"/>
        </w:rPr>
        <w:t>3000</w:t>
      </w:r>
      <w:r w:rsidRPr="00D53C0D">
        <w:rPr>
          <w:rFonts w:ascii="Times New Roman" w:cs="Times New Roman" w:hint="eastAsia"/>
        </w:rPr>
        <w:t>米和</w:t>
      </w:r>
      <w:r w:rsidRPr="00D53C0D">
        <w:rPr>
          <w:rFonts w:ascii="Times New Roman" w:cs="Times New Roman"/>
        </w:rPr>
        <w:t>3000</w:t>
      </w:r>
      <w:r w:rsidRPr="00D53C0D">
        <w:rPr>
          <w:rFonts w:ascii="Times New Roman" w:cs="Times New Roman" w:hint="eastAsia"/>
        </w:rPr>
        <w:t>米，以论证长水平段产能效果为主。试验井组方案预计动用天然气地质储量</w:t>
      </w:r>
      <w:r w:rsidRPr="00D53C0D">
        <w:rPr>
          <w:rFonts w:ascii="Times New Roman" w:cs="Times New Roman"/>
        </w:rPr>
        <w:t>12.14</w:t>
      </w:r>
      <w:r w:rsidRPr="00D53C0D">
        <w:rPr>
          <w:rFonts w:ascii="Times New Roman" w:cs="Times New Roman" w:hint="eastAsia"/>
        </w:rPr>
        <w:t>亿立方米，凝析油地质储量</w:t>
      </w:r>
      <w:r w:rsidRPr="00D53C0D">
        <w:rPr>
          <w:rFonts w:ascii="Times New Roman" w:cs="Times New Roman"/>
        </w:rPr>
        <w:t>4.84</w:t>
      </w:r>
      <w:r w:rsidRPr="00D53C0D">
        <w:rPr>
          <w:rFonts w:ascii="Times New Roman" w:cs="Times New Roman" w:hint="eastAsia"/>
        </w:rPr>
        <w:t>万吨。预测单井</w:t>
      </w:r>
      <w:r w:rsidRPr="00D53C0D">
        <w:rPr>
          <w:rFonts w:ascii="Times New Roman" w:cs="Times New Roman"/>
        </w:rPr>
        <w:t>EUR1.01</w:t>
      </w:r>
      <w:r w:rsidRPr="00D53C0D">
        <w:rPr>
          <w:rFonts w:ascii="Times New Roman" w:cs="Times New Roman" w:hint="eastAsia"/>
        </w:rPr>
        <w:t>～</w:t>
      </w:r>
      <w:r w:rsidRPr="00D53C0D">
        <w:rPr>
          <w:rFonts w:ascii="Times New Roman" w:cs="Times New Roman"/>
        </w:rPr>
        <w:t>1.39</w:t>
      </w:r>
      <w:r w:rsidRPr="00D53C0D">
        <w:rPr>
          <w:rFonts w:ascii="Times New Roman" w:cs="Times New Roman" w:hint="eastAsia"/>
        </w:rPr>
        <w:t>亿立方米，凝析油</w:t>
      </w:r>
      <w:r w:rsidRPr="00D53C0D">
        <w:rPr>
          <w:rFonts w:ascii="Times New Roman" w:cs="Times New Roman"/>
        </w:rPr>
        <w:t>0.61</w:t>
      </w:r>
      <w:r w:rsidRPr="00D53C0D">
        <w:rPr>
          <w:rFonts w:ascii="Times New Roman" w:cs="Times New Roman" w:hint="eastAsia"/>
        </w:rPr>
        <w:t>～</w:t>
      </w:r>
      <w:r w:rsidRPr="00D53C0D">
        <w:rPr>
          <w:rFonts w:ascii="Times New Roman" w:cs="Times New Roman"/>
        </w:rPr>
        <w:t>0.85</w:t>
      </w:r>
      <w:r w:rsidRPr="00D53C0D">
        <w:rPr>
          <w:rFonts w:ascii="Times New Roman" w:cs="Times New Roman" w:hint="eastAsia"/>
        </w:rPr>
        <w:t>万吨。</w:t>
      </w:r>
    </w:p>
    <w:p w:rsidR="00D53C0D" w:rsidRPr="00D53C0D" w:rsidRDefault="00D53C0D" w:rsidP="00D53C0D">
      <w:pPr>
        <w:pStyle w:val="a1"/>
        <w:ind w:firstLine="480"/>
        <w:rPr>
          <w:rFonts w:ascii="Times New Roman" w:cs="Times New Roman"/>
        </w:rPr>
      </w:pPr>
      <w:r w:rsidRPr="00D53C0D">
        <w:rPr>
          <w:rFonts w:ascii="Times New Roman" w:cs="Times New Roman"/>
        </w:rPr>
        <w:t>（</w:t>
      </w:r>
      <w:r w:rsidRPr="00D53C0D">
        <w:rPr>
          <w:rFonts w:ascii="Times New Roman" w:cs="Times New Roman"/>
        </w:rPr>
        <w:t>2</w:t>
      </w:r>
      <w:r w:rsidRPr="00D53C0D">
        <w:rPr>
          <w:rFonts w:ascii="Times New Roman" w:cs="Times New Roman"/>
        </w:rPr>
        <w:t>）</w:t>
      </w:r>
      <w:r w:rsidRPr="00D53C0D">
        <w:rPr>
          <w:rFonts w:ascii="Times New Roman" w:cs="Times New Roman" w:hint="eastAsia"/>
        </w:rPr>
        <w:t>钻前工程</w:t>
      </w:r>
    </w:p>
    <w:p w:rsidR="00D53C0D" w:rsidRPr="00D53C0D" w:rsidRDefault="00D53C0D" w:rsidP="00D53C0D">
      <w:pPr>
        <w:pStyle w:val="a1"/>
        <w:ind w:firstLine="480"/>
        <w:rPr>
          <w:rFonts w:ascii="Times New Roman" w:cs="Times New Roman"/>
        </w:rPr>
      </w:pPr>
      <w:r w:rsidRPr="00D53C0D">
        <w:rPr>
          <w:rFonts w:ascii="Times New Roman" w:cs="Times New Roman" w:hint="eastAsia"/>
        </w:rPr>
        <w:t>利用原普光</w:t>
      </w:r>
      <w:r w:rsidRPr="00D53C0D">
        <w:rPr>
          <w:rFonts w:ascii="Times New Roman" w:cs="Times New Roman"/>
        </w:rPr>
        <w:t>12</w:t>
      </w:r>
      <w:r w:rsidRPr="00D53C0D">
        <w:rPr>
          <w:rFonts w:ascii="Times New Roman" w:cs="Times New Roman" w:hint="eastAsia"/>
        </w:rPr>
        <w:t>井场，新建方井</w:t>
      </w:r>
      <w:r w:rsidRPr="00D53C0D">
        <w:rPr>
          <w:rFonts w:ascii="Times New Roman" w:cs="Times New Roman"/>
        </w:rPr>
        <w:t>6</w:t>
      </w:r>
      <w:r w:rsidRPr="00D53C0D">
        <w:rPr>
          <w:rFonts w:ascii="Times New Roman" w:cs="Times New Roman" w:hint="eastAsia"/>
        </w:rPr>
        <w:t>口，加长型井架基础、泥浆泵基础、发电</w:t>
      </w:r>
      <w:r w:rsidRPr="00D53C0D">
        <w:rPr>
          <w:rFonts w:ascii="Times New Roman" w:cs="Times New Roman" w:hint="eastAsia"/>
        </w:rPr>
        <w:lastRenderedPageBreak/>
        <w:t>机房基础、循环罐基础等各</w:t>
      </w:r>
      <w:r w:rsidRPr="00D53C0D">
        <w:rPr>
          <w:rFonts w:ascii="Times New Roman" w:cs="Times New Roman"/>
        </w:rPr>
        <w:t>1</w:t>
      </w:r>
      <w:r w:rsidRPr="00D53C0D">
        <w:rPr>
          <w:rFonts w:ascii="Times New Roman" w:cs="Times New Roman" w:hint="eastAsia"/>
        </w:rPr>
        <w:t>套，利旧修复原污水池和放喷池各</w:t>
      </w:r>
      <w:r w:rsidRPr="00D53C0D">
        <w:rPr>
          <w:rFonts w:ascii="Times New Roman" w:cs="Times New Roman"/>
        </w:rPr>
        <w:t>1</w:t>
      </w:r>
      <w:r w:rsidRPr="00D53C0D">
        <w:rPr>
          <w:rFonts w:ascii="Times New Roman" w:cs="Times New Roman" w:hint="eastAsia"/>
        </w:rPr>
        <w:t>座，新建排水边沟及内排污沟，井场原破损地面修复。</w:t>
      </w:r>
    </w:p>
    <w:p w:rsidR="00D53C0D" w:rsidRPr="00D53C0D" w:rsidRDefault="00D53C0D" w:rsidP="00D53C0D">
      <w:pPr>
        <w:pStyle w:val="a1"/>
        <w:ind w:firstLine="480"/>
        <w:rPr>
          <w:rFonts w:ascii="Times New Roman" w:cs="Times New Roman"/>
          <w:bCs/>
        </w:rPr>
      </w:pPr>
      <w:r w:rsidRPr="00D53C0D">
        <w:rPr>
          <w:rFonts w:ascii="Times New Roman" w:cs="Times New Roman" w:hint="eastAsia"/>
        </w:rPr>
        <w:t>（</w:t>
      </w:r>
      <w:r w:rsidRPr="00D53C0D">
        <w:rPr>
          <w:rFonts w:ascii="Times New Roman" w:cs="Times New Roman" w:hint="eastAsia"/>
        </w:rPr>
        <w:t>3</w:t>
      </w:r>
      <w:r w:rsidRPr="00D53C0D">
        <w:rPr>
          <w:rFonts w:ascii="Times New Roman" w:cs="Times New Roman" w:hint="eastAsia"/>
        </w:rPr>
        <w:t>）</w:t>
      </w:r>
      <w:r w:rsidRPr="00D53C0D">
        <w:rPr>
          <w:rFonts w:ascii="Times New Roman" w:cs="Times New Roman" w:hint="eastAsia"/>
          <w:bCs/>
        </w:rPr>
        <w:t>钻井工程</w:t>
      </w:r>
    </w:p>
    <w:p w:rsidR="00D53C0D" w:rsidRPr="00D53C0D" w:rsidRDefault="00D53C0D" w:rsidP="00D53C0D">
      <w:pPr>
        <w:pStyle w:val="a1"/>
        <w:ind w:firstLine="480"/>
        <w:rPr>
          <w:rFonts w:ascii="Times New Roman" w:cs="Times New Roman"/>
        </w:rPr>
      </w:pPr>
      <w:r w:rsidRPr="00D53C0D">
        <w:rPr>
          <w:rFonts w:ascii="Times New Roman" w:cs="Times New Roman" w:hint="eastAsia"/>
        </w:rPr>
        <w:t>新钻井</w:t>
      </w:r>
      <w:r w:rsidRPr="00D53C0D">
        <w:rPr>
          <w:rFonts w:ascii="Times New Roman" w:cs="Times New Roman"/>
        </w:rPr>
        <w:t xml:space="preserve">6 </w:t>
      </w:r>
      <w:r w:rsidRPr="00D53C0D">
        <w:rPr>
          <w:rFonts w:ascii="Times New Roman" w:cs="Times New Roman" w:hint="eastAsia"/>
        </w:rPr>
        <w:t>口（均为水平井），目的层为千佛崖组，选择</w:t>
      </w:r>
      <w:r w:rsidRPr="00D53C0D">
        <w:rPr>
          <w:rFonts w:ascii="Times New Roman" w:cs="Times New Roman"/>
        </w:rPr>
        <w:t>70</w:t>
      </w:r>
      <w:r w:rsidRPr="00D53C0D">
        <w:rPr>
          <w:rFonts w:ascii="Times New Roman" w:cs="Times New Roman" w:hint="eastAsia"/>
        </w:rPr>
        <w:t>型电动滑轨钻机，采用“井工厂”模式，设计“导管</w:t>
      </w:r>
      <w:r w:rsidRPr="00D53C0D">
        <w:rPr>
          <w:rFonts w:ascii="Times New Roman" w:cs="Times New Roman"/>
        </w:rPr>
        <w:t>+</w:t>
      </w:r>
      <w:r w:rsidRPr="00D53C0D">
        <w:rPr>
          <w:rFonts w:ascii="Times New Roman" w:cs="Times New Roman" w:hint="eastAsia"/>
        </w:rPr>
        <w:t>二开”井身结构，套管完井。总进尺</w:t>
      </w:r>
      <w:r w:rsidRPr="00D53C0D">
        <w:rPr>
          <w:rFonts w:ascii="Times New Roman" w:cs="Times New Roman"/>
        </w:rPr>
        <w:t>37474</w:t>
      </w:r>
      <w:r w:rsidRPr="00D53C0D">
        <w:rPr>
          <w:rFonts w:ascii="Times New Roman" w:cs="Times New Roman" w:hint="eastAsia"/>
        </w:rPr>
        <w:t>米，其中普陆页</w:t>
      </w:r>
      <w:r w:rsidRPr="00D53C0D">
        <w:rPr>
          <w:rFonts w:ascii="Times New Roman" w:cs="Times New Roman"/>
        </w:rPr>
        <w:t>1-1</w:t>
      </w:r>
      <w:r w:rsidRPr="00D53C0D">
        <w:rPr>
          <w:rFonts w:ascii="Times New Roman" w:cs="Times New Roman" w:hint="eastAsia"/>
        </w:rPr>
        <w:t>井设计井深</w:t>
      </w:r>
      <w:r w:rsidRPr="00D53C0D">
        <w:rPr>
          <w:rFonts w:ascii="Times New Roman" w:cs="Times New Roman"/>
        </w:rPr>
        <w:t>5986.86</w:t>
      </w:r>
      <w:r w:rsidRPr="00D53C0D">
        <w:rPr>
          <w:rFonts w:ascii="Times New Roman" w:cs="Times New Roman" w:hint="eastAsia"/>
        </w:rPr>
        <w:t>米，普陆页</w:t>
      </w:r>
      <w:r w:rsidRPr="00D53C0D">
        <w:rPr>
          <w:rFonts w:ascii="Times New Roman" w:cs="Times New Roman"/>
        </w:rPr>
        <w:t>1-2</w:t>
      </w:r>
      <w:r w:rsidRPr="00D53C0D">
        <w:rPr>
          <w:rFonts w:ascii="Times New Roman" w:cs="Times New Roman" w:hint="eastAsia"/>
        </w:rPr>
        <w:t>井设计井深</w:t>
      </w:r>
      <w:r w:rsidRPr="00D53C0D">
        <w:rPr>
          <w:rFonts w:ascii="Times New Roman" w:cs="Times New Roman"/>
        </w:rPr>
        <w:t>5683.92</w:t>
      </w:r>
      <w:r w:rsidRPr="00D53C0D">
        <w:rPr>
          <w:rFonts w:ascii="Times New Roman" w:cs="Times New Roman" w:hint="eastAsia"/>
        </w:rPr>
        <w:t>米，普陆页</w:t>
      </w:r>
      <w:r w:rsidRPr="00D53C0D">
        <w:rPr>
          <w:rFonts w:ascii="Times New Roman" w:cs="Times New Roman"/>
        </w:rPr>
        <w:t>1-3</w:t>
      </w:r>
      <w:r w:rsidRPr="00D53C0D">
        <w:rPr>
          <w:rFonts w:ascii="Times New Roman" w:cs="Times New Roman" w:hint="eastAsia"/>
        </w:rPr>
        <w:t>井设计井深</w:t>
      </w:r>
      <w:r w:rsidRPr="00D53C0D">
        <w:rPr>
          <w:rFonts w:ascii="Times New Roman" w:cs="Times New Roman"/>
        </w:rPr>
        <w:t>5740.45</w:t>
      </w:r>
      <w:r w:rsidRPr="00D53C0D">
        <w:rPr>
          <w:rFonts w:ascii="Times New Roman" w:cs="Times New Roman" w:hint="eastAsia"/>
        </w:rPr>
        <w:t>米，普陆页</w:t>
      </w:r>
      <w:r w:rsidRPr="00D53C0D">
        <w:rPr>
          <w:rFonts w:ascii="Times New Roman" w:cs="Times New Roman"/>
        </w:rPr>
        <w:t>1-4</w:t>
      </w:r>
      <w:r w:rsidRPr="00D53C0D">
        <w:rPr>
          <w:rFonts w:ascii="Times New Roman" w:cs="Times New Roman" w:hint="eastAsia"/>
        </w:rPr>
        <w:t>井设计井深</w:t>
      </w:r>
      <w:r w:rsidRPr="00D53C0D">
        <w:rPr>
          <w:rFonts w:ascii="Times New Roman" w:cs="Times New Roman"/>
        </w:rPr>
        <w:t>6488.49</w:t>
      </w:r>
      <w:r w:rsidRPr="00D53C0D">
        <w:rPr>
          <w:rFonts w:ascii="Times New Roman" w:cs="Times New Roman" w:hint="eastAsia"/>
        </w:rPr>
        <w:t>米，普陆页</w:t>
      </w:r>
      <w:r w:rsidRPr="00D53C0D">
        <w:rPr>
          <w:rFonts w:ascii="Times New Roman" w:cs="Times New Roman"/>
        </w:rPr>
        <w:t>1-5</w:t>
      </w:r>
      <w:r w:rsidRPr="00D53C0D">
        <w:rPr>
          <w:rFonts w:ascii="Times New Roman" w:cs="Times New Roman" w:hint="eastAsia"/>
        </w:rPr>
        <w:t>井设计井深</w:t>
      </w:r>
      <w:r w:rsidRPr="00D53C0D">
        <w:rPr>
          <w:rFonts w:ascii="Times New Roman" w:cs="Times New Roman"/>
        </w:rPr>
        <w:t>6699.35</w:t>
      </w:r>
      <w:r w:rsidRPr="00D53C0D">
        <w:rPr>
          <w:rFonts w:ascii="Times New Roman" w:cs="Times New Roman" w:hint="eastAsia"/>
        </w:rPr>
        <w:t>米，普陆页</w:t>
      </w:r>
      <w:r w:rsidRPr="00D53C0D">
        <w:rPr>
          <w:rFonts w:ascii="Times New Roman" w:cs="Times New Roman"/>
        </w:rPr>
        <w:t>1-6</w:t>
      </w:r>
      <w:r w:rsidRPr="00D53C0D">
        <w:rPr>
          <w:rFonts w:ascii="Times New Roman" w:cs="Times New Roman" w:hint="eastAsia"/>
        </w:rPr>
        <w:t>井设计井深</w:t>
      </w:r>
      <w:r w:rsidRPr="00D53C0D">
        <w:rPr>
          <w:rFonts w:ascii="Times New Roman" w:cs="Times New Roman"/>
        </w:rPr>
        <w:t>6874.93</w:t>
      </w:r>
      <w:r w:rsidRPr="00D53C0D">
        <w:rPr>
          <w:rFonts w:ascii="Times New Roman" w:cs="Times New Roman" w:hint="eastAsia"/>
        </w:rPr>
        <w:t>米。</w:t>
      </w:r>
      <w:r w:rsidRPr="00D53C0D">
        <w:rPr>
          <w:rFonts w:ascii="Times New Roman" w:cs="Times New Roman"/>
        </w:rPr>
        <w:cr/>
      </w:r>
      <w:r w:rsidRPr="00D53C0D">
        <w:rPr>
          <w:rFonts w:ascii="Times New Roman" w:cs="Times New Roman" w:hint="eastAsia"/>
        </w:rPr>
        <w:t xml:space="preserve">    </w:t>
      </w:r>
      <w:r w:rsidRPr="00D53C0D">
        <w:rPr>
          <w:rFonts w:ascii="Times New Roman" w:cs="Times New Roman" w:hint="eastAsia"/>
        </w:rPr>
        <w:t>（</w:t>
      </w:r>
      <w:r w:rsidRPr="00D53C0D">
        <w:rPr>
          <w:rFonts w:ascii="Times New Roman" w:cs="Times New Roman" w:hint="eastAsia"/>
        </w:rPr>
        <w:t>4</w:t>
      </w:r>
      <w:r w:rsidRPr="00D53C0D">
        <w:rPr>
          <w:rFonts w:ascii="Times New Roman" w:cs="Times New Roman" w:hint="eastAsia"/>
        </w:rPr>
        <w:t>）采气工程</w:t>
      </w:r>
    </w:p>
    <w:p w:rsidR="00D53C0D" w:rsidRPr="00D53C0D" w:rsidRDefault="00D53C0D" w:rsidP="00D53C0D">
      <w:pPr>
        <w:pStyle w:val="a1"/>
        <w:ind w:firstLine="480"/>
        <w:rPr>
          <w:rFonts w:ascii="Times New Roman" w:cs="Times New Roman"/>
        </w:rPr>
      </w:pPr>
      <w:r w:rsidRPr="00D53C0D">
        <w:rPr>
          <w:rFonts w:ascii="Times New Roman" w:cs="Times New Roman"/>
        </w:rPr>
        <w:t>6</w:t>
      </w:r>
      <w:r w:rsidRPr="00D53C0D">
        <w:rPr>
          <w:rFonts w:ascii="Times New Roman" w:cs="Times New Roman" w:hint="eastAsia"/>
        </w:rPr>
        <w:t>口页岩气井均采用“密切割</w:t>
      </w:r>
      <w:r w:rsidRPr="00D53C0D">
        <w:rPr>
          <w:rFonts w:ascii="Times New Roman" w:cs="Times New Roman"/>
        </w:rPr>
        <w:t>+</w:t>
      </w:r>
      <w:r w:rsidRPr="00D53C0D">
        <w:rPr>
          <w:rFonts w:ascii="Times New Roman" w:cs="Times New Roman" w:hint="eastAsia"/>
        </w:rPr>
        <w:t>投球</w:t>
      </w:r>
      <w:r w:rsidRPr="00D53C0D">
        <w:rPr>
          <w:rFonts w:ascii="Times New Roman" w:cs="Times New Roman"/>
        </w:rPr>
        <w:t>+</w:t>
      </w:r>
      <w:r w:rsidRPr="00D53C0D">
        <w:rPr>
          <w:rFonts w:ascii="Times New Roman" w:cs="Times New Roman" w:hint="eastAsia"/>
        </w:rPr>
        <w:t>缝内暂堵</w:t>
      </w:r>
      <w:r w:rsidRPr="00D53C0D">
        <w:rPr>
          <w:rFonts w:ascii="Times New Roman" w:cs="Times New Roman"/>
        </w:rPr>
        <w:t>+</w:t>
      </w:r>
      <w:r w:rsidRPr="00D53C0D">
        <w:rPr>
          <w:rFonts w:ascii="Times New Roman" w:cs="Times New Roman" w:hint="eastAsia"/>
        </w:rPr>
        <w:t>多尺度裂缝强加砂</w:t>
      </w:r>
      <w:r w:rsidRPr="00D53C0D">
        <w:rPr>
          <w:rFonts w:ascii="Times New Roman" w:cs="Times New Roman"/>
        </w:rPr>
        <w:t>+</w:t>
      </w:r>
      <w:r w:rsidRPr="00D53C0D">
        <w:rPr>
          <w:rFonts w:ascii="Times New Roman" w:cs="Times New Roman" w:hint="eastAsia"/>
        </w:rPr>
        <w:t>穿层扩体”体积压裂工艺技术，每</w:t>
      </w:r>
      <w:r w:rsidRPr="00D53C0D">
        <w:rPr>
          <w:rFonts w:ascii="Times New Roman" w:cs="Times New Roman"/>
        </w:rPr>
        <w:t>3</w:t>
      </w:r>
      <w:r w:rsidRPr="00D53C0D">
        <w:rPr>
          <w:rFonts w:ascii="Times New Roman" w:cs="Times New Roman" w:hint="eastAsia"/>
        </w:rPr>
        <w:t>口井交叉拉链式压裂；套管安装双趾端滑套建立首段压裂通道，其他段采用泵送可溶桥塞</w:t>
      </w:r>
      <w:r w:rsidRPr="00D53C0D">
        <w:rPr>
          <w:rFonts w:ascii="Times New Roman" w:cs="Times New Roman"/>
        </w:rPr>
        <w:t>+</w:t>
      </w:r>
      <w:r w:rsidRPr="00D53C0D">
        <w:rPr>
          <w:rFonts w:ascii="Times New Roman" w:cs="Times New Roman" w:hint="eastAsia"/>
        </w:rPr>
        <w:t>电缆簇射孔方式分段压裂，其中普陆页</w:t>
      </w:r>
      <w:r w:rsidRPr="00D53C0D">
        <w:rPr>
          <w:rFonts w:ascii="Times New Roman" w:cs="Times New Roman"/>
        </w:rPr>
        <w:t>1-1</w:t>
      </w:r>
      <w:r w:rsidRPr="00D53C0D">
        <w:rPr>
          <w:rFonts w:ascii="Times New Roman" w:cs="Times New Roman" w:hint="eastAsia"/>
        </w:rPr>
        <w:t>分</w:t>
      </w:r>
      <w:r w:rsidRPr="00D53C0D">
        <w:rPr>
          <w:rFonts w:ascii="Times New Roman" w:cs="Times New Roman"/>
        </w:rPr>
        <w:t>25</w:t>
      </w:r>
      <w:r w:rsidRPr="00D53C0D">
        <w:rPr>
          <w:rFonts w:ascii="Times New Roman" w:cs="Times New Roman" w:hint="eastAsia"/>
        </w:rPr>
        <w:t>段、总液量</w:t>
      </w:r>
      <w:r w:rsidRPr="00D53C0D">
        <w:rPr>
          <w:rFonts w:ascii="Times New Roman" w:cs="Times New Roman"/>
        </w:rPr>
        <w:t>52500</w:t>
      </w:r>
      <w:r w:rsidRPr="00D53C0D">
        <w:rPr>
          <w:rFonts w:ascii="Times New Roman" w:cs="Times New Roman" w:hint="eastAsia"/>
        </w:rPr>
        <w:t>立方米，普陆页</w:t>
      </w:r>
      <w:r w:rsidRPr="00D53C0D">
        <w:rPr>
          <w:rFonts w:ascii="Times New Roman" w:cs="Times New Roman"/>
        </w:rPr>
        <w:t>1-2</w:t>
      </w:r>
      <w:r w:rsidRPr="00D53C0D">
        <w:rPr>
          <w:rFonts w:ascii="Times New Roman" w:cs="Times New Roman" w:hint="eastAsia"/>
        </w:rPr>
        <w:t>分</w:t>
      </w:r>
      <w:r w:rsidRPr="00D53C0D">
        <w:rPr>
          <w:rFonts w:ascii="Times New Roman" w:cs="Times New Roman"/>
        </w:rPr>
        <w:t>25</w:t>
      </w:r>
      <w:r w:rsidRPr="00D53C0D">
        <w:rPr>
          <w:rFonts w:ascii="Times New Roman" w:cs="Times New Roman" w:hint="eastAsia"/>
        </w:rPr>
        <w:t>段、总液量</w:t>
      </w:r>
      <w:r w:rsidRPr="00D53C0D">
        <w:rPr>
          <w:rFonts w:ascii="Times New Roman" w:cs="Times New Roman"/>
        </w:rPr>
        <w:t>45000</w:t>
      </w:r>
      <w:r w:rsidRPr="00D53C0D">
        <w:rPr>
          <w:rFonts w:ascii="Times New Roman" w:cs="Times New Roman" w:hint="eastAsia"/>
        </w:rPr>
        <w:t>立方米，普陆页</w:t>
      </w:r>
      <w:r w:rsidRPr="00D53C0D">
        <w:rPr>
          <w:rFonts w:ascii="Times New Roman" w:cs="Times New Roman"/>
        </w:rPr>
        <w:t>1-3</w:t>
      </w:r>
      <w:r w:rsidRPr="00D53C0D">
        <w:rPr>
          <w:rFonts w:ascii="Times New Roman" w:cs="Times New Roman" w:hint="eastAsia"/>
        </w:rPr>
        <w:t>分</w:t>
      </w:r>
      <w:r w:rsidRPr="00D53C0D">
        <w:rPr>
          <w:rFonts w:ascii="Times New Roman" w:cs="Times New Roman"/>
        </w:rPr>
        <w:t>25</w:t>
      </w:r>
      <w:r w:rsidRPr="00D53C0D">
        <w:rPr>
          <w:rFonts w:ascii="Times New Roman" w:cs="Times New Roman" w:hint="eastAsia"/>
        </w:rPr>
        <w:t>段、总液量</w:t>
      </w:r>
      <w:r w:rsidRPr="00D53C0D">
        <w:rPr>
          <w:rFonts w:ascii="Times New Roman" w:cs="Times New Roman"/>
        </w:rPr>
        <w:t>52500</w:t>
      </w:r>
      <w:r w:rsidRPr="00D53C0D">
        <w:rPr>
          <w:rFonts w:ascii="Times New Roman" w:cs="Times New Roman" w:hint="eastAsia"/>
        </w:rPr>
        <w:t>立方米，普陆页</w:t>
      </w:r>
      <w:r w:rsidRPr="00D53C0D">
        <w:rPr>
          <w:rFonts w:ascii="Times New Roman" w:cs="Times New Roman"/>
        </w:rPr>
        <w:t>1-4</w:t>
      </w:r>
      <w:r w:rsidRPr="00D53C0D">
        <w:rPr>
          <w:rFonts w:ascii="Times New Roman" w:cs="Times New Roman" w:hint="eastAsia"/>
        </w:rPr>
        <w:t>分</w:t>
      </w:r>
      <w:r w:rsidRPr="00D53C0D">
        <w:rPr>
          <w:rFonts w:ascii="Times New Roman" w:cs="Times New Roman"/>
        </w:rPr>
        <w:t>34</w:t>
      </w:r>
      <w:r w:rsidRPr="00D53C0D">
        <w:rPr>
          <w:rFonts w:ascii="Times New Roman" w:cs="Times New Roman" w:hint="eastAsia"/>
        </w:rPr>
        <w:t>段、总液量</w:t>
      </w:r>
      <w:r w:rsidRPr="00D53C0D">
        <w:rPr>
          <w:rFonts w:ascii="Times New Roman" w:cs="Times New Roman"/>
        </w:rPr>
        <w:t>54400</w:t>
      </w:r>
      <w:r w:rsidRPr="00D53C0D">
        <w:rPr>
          <w:rFonts w:ascii="Times New Roman" w:cs="Times New Roman" w:hint="eastAsia"/>
        </w:rPr>
        <w:t>立方米，普陆页</w:t>
      </w:r>
      <w:r w:rsidRPr="00D53C0D">
        <w:rPr>
          <w:rFonts w:ascii="Times New Roman" w:cs="Times New Roman"/>
        </w:rPr>
        <w:t>1-5</w:t>
      </w:r>
      <w:r w:rsidRPr="00D53C0D">
        <w:rPr>
          <w:rFonts w:ascii="Times New Roman" w:cs="Times New Roman" w:hint="eastAsia"/>
        </w:rPr>
        <w:t>分</w:t>
      </w:r>
      <w:r w:rsidRPr="00D53C0D">
        <w:rPr>
          <w:rFonts w:ascii="Times New Roman" w:cs="Times New Roman"/>
        </w:rPr>
        <w:t>38</w:t>
      </w:r>
      <w:r w:rsidRPr="00D53C0D">
        <w:rPr>
          <w:rFonts w:ascii="Times New Roman" w:cs="Times New Roman" w:hint="eastAsia"/>
        </w:rPr>
        <w:t>段、总液量</w:t>
      </w:r>
      <w:r w:rsidRPr="00D53C0D">
        <w:rPr>
          <w:rFonts w:ascii="Times New Roman" w:cs="Times New Roman"/>
        </w:rPr>
        <w:t>60800</w:t>
      </w:r>
      <w:r w:rsidRPr="00D53C0D">
        <w:rPr>
          <w:rFonts w:ascii="Times New Roman" w:cs="Times New Roman" w:hint="eastAsia"/>
        </w:rPr>
        <w:t>立方米，普陆页</w:t>
      </w:r>
      <w:r w:rsidRPr="00D53C0D">
        <w:rPr>
          <w:rFonts w:ascii="Times New Roman" w:cs="Times New Roman"/>
        </w:rPr>
        <w:t>1-6</w:t>
      </w:r>
      <w:r w:rsidRPr="00D53C0D">
        <w:rPr>
          <w:rFonts w:ascii="Times New Roman" w:cs="Times New Roman" w:hint="eastAsia"/>
        </w:rPr>
        <w:t>分</w:t>
      </w:r>
      <w:r w:rsidRPr="00D53C0D">
        <w:rPr>
          <w:rFonts w:ascii="Times New Roman" w:cs="Times New Roman"/>
        </w:rPr>
        <w:t>38</w:t>
      </w:r>
      <w:r w:rsidRPr="00D53C0D">
        <w:rPr>
          <w:rFonts w:ascii="Times New Roman" w:cs="Times New Roman" w:hint="eastAsia"/>
        </w:rPr>
        <w:t>段、总液量</w:t>
      </w:r>
      <w:r w:rsidRPr="00D53C0D">
        <w:rPr>
          <w:rFonts w:ascii="Times New Roman" w:cs="Times New Roman"/>
        </w:rPr>
        <w:t>68400</w:t>
      </w:r>
      <w:r w:rsidRPr="00D53C0D">
        <w:rPr>
          <w:rFonts w:ascii="Times New Roman" w:cs="Times New Roman" w:hint="eastAsia"/>
        </w:rPr>
        <w:t>立方米；带压下</w:t>
      </w:r>
      <w:r w:rsidRPr="00D53C0D">
        <w:rPr>
          <w:rFonts w:ascii="Times New Roman" w:cs="Times New Roman"/>
        </w:rPr>
        <w:t>73</w:t>
      </w:r>
      <w:r w:rsidRPr="00D53C0D">
        <w:rPr>
          <w:rFonts w:ascii="Times New Roman" w:cs="Times New Roman" w:hint="eastAsia"/>
        </w:rPr>
        <w:t>毫米完井管柱；采气井口为</w:t>
      </w:r>
      <w:r w:rsidRPr="00D53C0D">
        <w:rPr>
          <w:rFonts w:ascii="Times New Roman" w:cs="Times New Roman"/>
        </w:rPr>
        <w:t>70</w:t>
      </w:r>
      <w:r w:rsidRPr="00D53C0D">
        <w:rPr>
          <w:rFonts w:ascii="Times New Roman" w:cs="Times New Roman" w:hint="eastAsia"/>
        </w:rPr>
        <w:t>兆帕</w:t>
      </w:r>
      <w:r w:rsidRPr="00D53C0D">
        <w:rPr>
          <w:rFonts w:ascii="Times New Roman" w:cs="Times New Roman"/>
        </w:rPr>
        <w:t>DD</w:t>
      </w:r>
      <w:r w:rsidRPr="00D53C0D">
        <w:rPr>
          <w:rFonts w:ascii="Times New Roman" w:cs="Times New Roman" w:hint="eastAsia"/>
        </w:rPr>
        <w:t>级采气树、压裂井口为</w:t>
      </w:r>
      <w:r w:rsidRPr="00D53C0D">
        <w:rPr>
          <w:rFonts w:ascii="Times New Roman" w:cs="Times New Roman"/>
        </w:rPr>
        <w:t>140</w:t>
      </w:r>
      <w:r w:rsidRPr="00D53C0D">
        <w:rPr>
          <w:rFonts w:ascii="Times New Roman" w:cs="Times New Roman" w:hint="eastAsia"/>
        </w:rPr>
        <w:t>兆帕</w:t>
      </w:r>
      <w:r w:rsidRPr="00D53C0D">
        <w:rPr>
          <w:rFonts w:ascii="Times New Roman" w:cs="Times New Roman"/>
        </w:rPr>
        <w:t>DD</w:t>
      </w:r>
      <w:r w:rsidRPr="00D53C0D">
        <w:rPr>
          <w:rFonts w:ascii="Times New Roman" w:cs="Times New Roman" w:hint="eastAsia"/>
        </w:rPr>
        <w:t>级；放喷流程为</w:t>
      </w:r>
      <w:r w:rsidRPr="00D53C0D">
        <w:rPr>
          <w:rFonts w:ascii="Times New Roman" w:cs="Times New Roman"/>
        </w:rPr>
        <w:t>105-70</w:t>
      </w:r>
      <w:r w:rsidRPr="00D53C0D">
        <w:rPr>
          <w:rFonts w:ascii="Times New Roman" w:cs="Times New Roman" w:hint="eastAsia"/>
        </w:rPr>
        <w:t>兆帕</w:t>
      </w:r>
      <w:r w:rsidRPr="00D53C0D">
        <w:rPr>
          <w:rFonts w:ascii="Times New Roman" w:cs="Times New Roman"/>
        </w:rPr>
        <w:t>DD</w:t>
      </w:r>
      <w:r w:rsidRPr="00D53C0D">
        <w:rPr>
          <w:rFonts w:ascii="Times New Roman" w:cs="Times New Roman" w:hint="eastAsia"/>
        </w:rPr>
        <w:t>级二级节流。</w:t>
      </w:r>
    </w:p>
    <w:p w:rsidR="00D53C0D" w:rsidRPr="00D53C0D" w:rsidRDefault="00D53C0D" w:rsidP="00D53C0D">
      <w:pPr>
        <w:pStyle w:val="a1"/>
        <w:ind w:firstLine="480"/>
        <w:rPr>
          <w:rFonts w:ascii="Times New Roman" w:cs="Times New Roman"/>
        </w:rPr>
      </w:pPr>
      <w:r w:rsidRPr="00D53C0D">
        <w:rPr>
          <w:rFonts w:ascii="Times New Roman" w:cs="Times New Roman" w:hint="eastAsia"/>
        </w:rPr>
        <w:t>（</w:t>
      </w:r>
      <w:r w:rsidRPr="00D53C0D">
        <w:rPr>
          <w:rFonts w:ascii="Times New Roman" w:cs="Times New Roman" w:hint="eastAsia"/>
        </w:rPr>
        <w:t>5</w:t>
      </w:r>
      <w:r w:rsidRPr="00D53C0D">
        <w:rPr>
          <w:rFonts w:ascii="Times New Roman" w:cs="Times New Roman" w:hint="eastAsia"/>
        </w:rPr>
        <w:t>）地面集输工程</w:t>
      </w:r>
    </w:p>
    <w:p w:rsidR="00D53C0D" w:rsidRPr="00D53C0D" w:rsidRDefault="00D53C0D" w:rsidP="00D53C0D">
      <w:pPr>
        <w:pStyle w:val="a1"/>
        <w:ind w:firstLine="480"/>
        <w:rPr>
          <w:rFonts w:ascii="Times New Roman" w:cs="Times New Roman"/>
        </w:rPr>
      </w:pPr>
      <w:r w:rsidRPr="00D53C0D">
        <w:rPr>
          <w:rFonts w:ascii="Times New Roman" w:cs="Times New Roman" w:hint="eastAsia"/>
        </w:rPr>
        <w:t>新建普光</w:t>
      </w:r>
      <w:r w:rsidRPr="00D53C0D">
        <w:rPr>
          <w:rFonts w:ascii="Times New Roman" w:cs="Times New Roman"/>
        </w:rPr>
        <w:t>12</w:t>
      </w:r>
      <w:r w:rsidRPr="00D53C0D">
        <w:rPr>
          <w:rFonts w:ascii="Times New Roman" w:cs="Times New Roman" w:hint="eastAsia"/>
        </w:rPr>
        <w:t>采气平台</w:t>
      </w:r>
      <w:r w:rsidRPr="00D53C0D">
        <w:rPr>
          <w:rFonts w:ascii="Times New Roman" w:cs="Times New Roman"/>
        </w:rPr>
        <w:t xml:space="preserve">1 </w:t>
      </w:r>
      <w:r w:rsidRPr="00D53C0D">
        <w:rPr>
          <w:rFonts w:ascii="Times New Roman" w:cs="Times New Roman" w:hint="eastAsia"/>
        </w:rPr>
        <w:t>座，设计规模</w:t>
      </w:r>
      <w:r w:rsidRPr="00D53C0D">
        <w:rPr>
          <w:rFonts w:ascii="Times New Roman" w:cs="Times New Roman"/>
        </w:rPr>
        <w:t>60</w:t>
      </w:r>
      <w:r w:rsidRPr="00D53C0D">
        <w:rPr>
          <w:rFonts w:ascii="Times New Roman" w:cs="Times New Roman" w:hint="eastAsia"/>
        </w:rPr>
        <w:t>万立方米</w:t>
      </w:r>
      <w:r w:rsidRPr="00D53C0D">
        <w:rPr>
          <w:rFonts w:ascii="Times New Roman" w:cs="Times New Roman"/>
        </w:rPr>
        <w:t>/</w:t>
      </w:r>
      <w:r w:rsidRPr="00D53C0D">
        <w:rPr>
          <w:rFonts w:ascii="Times New Roman" w:cs="Times New Roman" w:hint="eastAsia"/>
        </w:rPr>
        <w:t>天，采用“加热节流、带液计量、重力分离、低压闪蒸、预留增压接口、近期油水拉运、远期油水管输”集输工艺。平台内配套集输工艺、仪控、通信、消防、给排水等。新建普光</w:t>
      </w:r>
      <w:r w:rsidRPr="00D53C0D">
        <w:rPr>
          <w:rFonts w:ascii="Times New Roman" w:cs="Times New Roman" w:hint="eastAsia"/>
        </w:rPr>
        <w:t>12</w:t>
      </w:r>
      <w:r w:rsidRPr="00D53C0D">
        <w:rPr>
          <w:rFonts w:ascii="Times New Roman" w:cs="Times New Roman" w:hint="eastAsia"/>
        </w:rPr>
        <w:t>采气站</w:t>
      </w:r>
      <w:r w:rsidRPr="00D53C0D">
        <w:rPr>
          <w:rFonts w:ascii="Times New Roman" w:cs="Times New Roman" w:hint="eastAsia"/>
        </w:rPr>
        <w:t>~</w:t>
      </w:r>
      <w:r w:rsidRPr="00D53C0D">
        <w:rPr>
          <w:rFonts w:ascii="Times New Roman" w:cs="Times New Roman" w:hint="eastAsia"/>
        </w:rPr>
        <w:t>普陆</w:t>
      </w:r>
      <w:r w:rsidRPr="00D53C0D">
        <w:rPr>
          <w:rFonts w:ascii="Times New Roman" w:cs="Times New Roman" w:hint="eastAsia"/>
        </w:rPr>
        <w:t>3</w:t>
      </w:r>
      <w:r w:rsidRPr="00D53C0D">
        <w:rPr>
          <w:rFonts w:ascii="Times New Roman" w:cs="Times New Roman" w:hint="eastAsia"/>
        </w:rPr>
        <w:t>集气站集输管线</w:t>
      </w:r>
      <w:r w:rsidRPr="00D53C0D">
        <w:rPr>
          <w:rFonts w:ascii="Times New Roman" w:cs="Times New Roman" w:hint="eastAsia"/>
        </w:rPr>
        <w:t>1</w:t>
      </w:r>
      <w:r w:rsidRPr="00D53C0D">
        <w:rPr>
          <w:rFonts w:ascii="Times New Roman" w:cs="Times New Roman" w:hint="eastAsia"/>
        </w:rPr>
        <w:t>条，设计压力</w:t>
      </w:r>
      <w:r w:rsidRPr="00D53C0D">
        <w:rPr>
          <w:rFonts w:ascii="Times New Roman" w:cs="Times New Roman" w:hint="eastAsia"/>
        </w:rPr>
        <w:t>11MPa</w:t>
      </w:r>
      <w:r w:rsidRPr="00D53C0D">
        <w:rPr>
          <w:rFonts w:ascii="Times New Roman" w:cs="Times New Roman" w:hint="eastAsia"/>
        </w:rPr>
        <w:t>，</w:t>
      </w:r>
      <w:r w:rsidRPr="00D53C0D">
        <w:rPr>
          <w:rFonts w:ascii="Times New Roman" w:cs="Times New Roman"/>
        </w:rPr>
        <w:t>材质为</w:t>
      </w:r>
      <w:r w:rsidRPr="00D53C0D">
        <w:rPr>
          <w:rFonts w:ascii="Times New Roman" w:cs="Times New Roman" w:hint="eastAsia"/>
        </w:rPr>
        <w:t>L</w:t>
      </w:r>
      <w:r w:rsidRPr="00D53C0D">
        <w:rPr>
          <w:rFonts w:ascii="Times New Roman" w:cs="Times New Roman"/>
        </w:rPr>
        <w:t>245</w:t>
      </w:r>
      <w:r w:rsidRPr="00D53C0D">
        <w:rPr>
          <w:rFonts w:ascii="Times New Roman" w:cs="Times New Roman" w:hint="eastAsia"/>
        </w:rPr>
        <w:t>N</w:t>
      </w:r>
      <w:r w:rsidRPr="00D53C0D">
        <w:rPr>
          <w:rFonts w:ascii="Times New Roman" w:cs="Times New Roman" w:hint="eastAsia"/>
        </w:rPr>
        <w:t>无缝钢管</w:t>
      </w:r>
      <w:r w:rsidRPr="00D53C0D">
        <w:rPr>
          <w:rFonts w:ascii="Times New Roman" w:cs="Times New Roman" w:hint="eastAsia"/>
        </w:rPr>
        <w:t>PSL2</w:t>
      </w:r>
      <w:r w:rsidRPr="00D53C0D">
        <w:rPr>
          <w:rFonts w:ascii="Times New Roman" w:cs="Times New Roman" w:hint="eastAsia"/>
        </w:rPr>
        <w:t>，管径</w:t>
      </w:r>
      <w:r w:rsidRPr="00D53C0D">
        <w:rPr>
          <w:rFonts w:ascii="Times New Roman" w:cs="Times New Roman" w:hint="eastAsia"/>
        </w:rPr>
        <w:t>DN200</w:t>
      </w:r>
      <w:r w:rsidRPr="00D53C0D">
        <w:rPr>
          <w:rFonts w:ascii="Times New Roman" w:cs="Times New Roman" w:hint="eastAsia"/>
        </w:rPr>
        <w:t>，长度约</w:t>
      </w:r>
      <w:r w:rsidRPr="00D53C0D">
        <w:rPr>
          <w:rFonts w:ascii="Times New Roman" w:cs="Times New Roman" w:hint="eastAsia"/>
        </w:rPr>
        <w:t>3km</w:t>
      </w:r>
      <w:r w:rsidRPr="00D53C0D">
        <w:rPr>
          <w:rFonts w:ascii="Times New Roman" w:cs="Times New Roman" w:hint="eastAsia"/>
        </w:rPr>
        <w:t>；新建普陆</w:t>
      </w:r>
      <w:r w:rsidRPr="00D53C0D">
        <w:rPr>
          <w:rFonts w:ascii="Times New Roman" w:cs="Times New Roman" w:hint="eastAsia"/>
        </w:rPr>
        <w:t>3</w:t>
      </w:r>
      <w:r w:rsidRPr="00D53C0D">
        <w:rPr>
          <w:rFonts w:ascii="Times New Roman" w:cs="Times New Roman" w:hint="eastAsia"/>
        </w:rPr>
        <w:t>集气站</w:t>
      </w:r>
      <w:r w:rsidRPr="00D53C0D">
        <w:rPr>
          <w:rFonts w:ascii="Times New Roman" w:cs="Times New Roman" w:hint="eastAsia"/>
        </w:rPr>
        <w:t>~P105</w:t>
      </w:r>
      <w:r w:rsidRPr="00D53C0D">
        <w:rPr>
          <w:rFonts w:ascii="Times New Roman" w:cs="Times New Roman" w:hint="eastAsia"/>
        </w:rPr>
        <w:t>集气站集输管线</w:t>
      </w:r>
      <w:r w:rsidRPr="00D53C0D">
        <w:rPr>
          <w:rFonts w:ascii="Times New Roman" w:cs="Times New Roman" w:hint="eastAsia"/>
        </w:rPr>
        <w:t>1</w:t>
      </w:r>
      <w:r w:rsidRPr="00D53C0D">
        <w:rPr>
          <w:rFonts w:ascii="Times New Roman" w:cs="Times New Roman" w:hint="eastAsia"/>
        </w:rPr>
        <w:t>条，设计压力</w:t>
      </w:r>
      <w:r w:rsidRPr="00D53C0D">
        <w:rPr>
          <w:rFonts w:ascii="Times New Roman" w:cs="Times New Roman" w:hint="eastAsia"/>
        </w:rPr>
        <w:t>11MPa</w:t>
      </w:r>
      <w:r w:rsidRPr="00D53C0D">
        <w:rPr>
          <w:rFonts w:ascii="Times New Roman" w:cs="Times New Roman" w:hint="eastAsia"/>
        </w:rPr>
        <w:t>，</w:t>
      </w:r>
      <w:r w:rsidRPr="00D53C0D">
        <w:rPr>
          <w:rFonts w:ascii="Times New Roman" w:cs="Times New Roman"/>
        </w:rPr>
        <w:t>材质为</w:t>
      </w:r>
      <w:r w:rsidRPr="00D53C0D">
        <w:rPr>
          <w:rFonts w:ascii="Times New Roman" w:cs="Times New Roman" w:hint="eastAsia"/>
        </w:rPr>
        <w:t>L</w:t>
      </w:r>
      <w:r w:rsidRPr="00D53C0D">
        <w:rPr>
          <w:rFonts w:ascii="Times New Roman" w:cs="Times New Roman"/>
        </w:rPr>
        <w:t>245</w:t>
      </w:r>
      <w:r w:rsidRPr="00D53C0D">
        <w:rPr>
          <w:rFonts w:ascii="Times New Roman" w:cs="Times New Roman" w:hint="eastAsia"/>
        </w:rPr>
        <w:t>N</w:t>
      </w:r>
      <w:r w:rsidRPr="00D53C0D">
        <w:rPr>
          <w:rFonts w:ascii="Times New Roman" w:cs="Times New Roman" w:hint="eastAsia"/>
        </w:rPr>
        <w:t>无缝钢管</w:t>
      </w:r>
      <w:r w:rsidRPr="00D53C0D">
        <w:rPr>
          <w:rFonts w:ascii="Times New Roman" w:cs="Times New Roman" w:hint="eastAsia"/>
        </w:rPr>
        <w:t>PSL2</w:t>
      </w:r>
      <w:r w:rsidRPr="00D53C0D">
        <w:rPr>
          <w:rFonts w:ascii="Times New Roman" w:cs="Times New Roman" w:hint="eastAsia"/>
        </w:rPr>
        <w:t>，管径</w:t>
      </w:r>
      <w:r w:rsidRPr="00D53C0D">
        <w:rPr>
          <w:rFonts w:ascii="Times New Roman" w:cs="Times New Roman" w:hint="eastAsia"/>
        </w:rPr>
        <w:t>DN150</w:t>
      </w:r>
      <w:r w:rsidRPr="00D53C0D">
        <w:rPr>
          <w:rFonts w:ascii="Times New Roman" w:cs="Times New Roman" w:hint="eastAsia"/>
        </w:rPr>
        <w:t>，长度约</w:t>
      </w:r>
      <w:r w:rsidRPr="00D53C0D">
        <w:rPr>
          <w:rFonts w:ascii="Times New Roman" w:cs="Times New Roman" w:hint="eastAsia"/>
        </w:rPr>
        <w:t>0.98km</w:t>
      </w:r>
      <w:r w:rsidRPr="00D53C0D">
        <w:rPr>
          <w:rFonts w:ascii="Times New Roman" w:cs="Times New Roman" w:hint="eastAsia"/>
        </w:rPr>
        <w:t>。</w:t>
      </w:r>
    </w:p>
    <w:p w:rsidR="00117C3D" w:rsidRPr="00D630D1" w:rsidRDefault="00D53C0D" w:rsidP="00D53C0D">
      <w:pPr>
        <w:pStyle w:val="a1"/>
        <w:ind w:firstLine="480"/>
        <w:rPr>
          <w:rFonts w:ascii="Times New Roman" w:cs="Times New Roman"/>
        </w:rPr>
      </w:pPr>
      <w:r w:rsidRPr="00D53C0D">
        <w:rPr>
          <w:rFonts w:ascii="Times New Roman" w:cs="Times New Roman" w:hint="eastAsia"/>
        </w:rPr>
        <w:t>本</w:t>
      </w:r>
      <w:r w:rsidRPr="00D53C0D">
        <w:rPr>
          <w:rFonts w:ascii="Times New Roman" w:cs="Times New Roman"/>
        </w:rPr>
        <w:t>项目总投资</w:t>
      </w:r>
      <w:r w:rsidRPr="00D53C0D">
        <w:rPr>
          <w:rFonts w:ascii="Times New Roman" w:cs="Times New Roman"/>
        </w:rPr>
        <w:t>38141.6</w:t>
      </w:r>
      <w:r w:rsidRPr="00D53C0D">
        <w:rPr>
          <w:rFonts w:ascii="Times New Roman" w:cs="Times New Roman"/>
        </w:rPr>
        <w:t>万元，其中环保投资</w:t>
      </w:r>
      <w:r w:rsidRPr="00D53C0D">
        <w:rPr>
          <w:rFonts w:ascii="Times New Roman" w:cs="Times New Roman" w:hint="eastAsia"/>
        </w:rPr>
        <w:t>187</w:t>
      </w:r>
      <w:r w:rsidRPr="00D53C0D">
        <w:rPr>
          <w:rFonts w:ascii="Times New Roman" w:cs="Times New Roman"/>
        </w:rPr>
        <w:t>0</w:t>
      </w:r>
      <w:r w:rsidRPr="00D53C0D">
        <w:rPr>
          <w:rFonts w:ascii="Times New Roman" w:cs="Times New Roman"/>
        </w:rPr>
        <w:t>万元，占项目总投资的</w:t>
      </w:r>
      <w:r w:rsidRPr="00D53C0D">
        <w:rPr>
          <w:rFonts w:ascii="Times New Roman" w:cs="Times New Roman" w:hint="eastAsia"/>
        </w:rPr>
        <w:t>4.9</w:t>
      </w:r>
      <w:r w:rsidRPr="00D53C0D">
        <w:rPr>
          <w:rFonts w:ascii="Times New Roman" w:cs="Times New Roman"/>
        </w:rPr>
        <w:t>%</w:t>
      </w:r>
      <w:r w:rsidRPr="00D53C0D">
        <w:rPr>
          <w:rFonts w:ascii="Times New Roman" w:cs="Times New Roman" w:hint="eastAsia"/>
        </w:rPr>
        <w:t>。</w:t>
      </w:r>
    </w:p>
    <w:p w:rsidR="00117C3D" w:rsidRPr="00D630D1" w:rsidRDefault="008B5B84" w:rsidP="0099033B">
      <w:pPr>
        <w:pStyle w:val="2"/>
        <w:spacing w:before="120"/>
        <w:rPr>
          <w:rFonts w:cs="Times New Roman"/>
        </w:rPr>
      </w:pPr>
      <w:bookmarkStart w:id="694" w:name="bookmark86"/>
      <w:bookmarkStart w:id="695" w:name="_Toc12288839"/>
      <w:bookmarkStart w:id="696" w:name="_Toc19816157"/>
      <w:bookmarkStart w:id="697" w:name="_Toc81515318"/>
      <w:bookmarkEnd w:id="694"/>
      <w:r w:rsidRPr="00D630D1">
        <w:rPr>
          <w:rFonts w:cs="Times New Roman"/>
        </w:rPr>
        <w:t>1</w:t>
      </w:r>
      <w:r w:rsidR="0099033B" w:rsidRPr="00D630D1">
        <w:rPr>
          <w:rFonts w:cs="Times New Roman"/>
        </w:rPr>
        <w:t>1</w:t>
      </w:r>
      <w:r w:rsidRPr="00D630D1">
        <w:rPr>
          <w:rFonts w:cs="Times New Roman"/>
        </w:rPr>
        <w:t xml:space="preserve">.2 </w:t>
      </w:r>
      <w:bookmarkEnd w:id="695"/>
      <w:bookmarkEnd w:id="696"/>
      <w:r w:rsidR="00392E67" w:rsidRPr="00D630D1">
        <w:rPr>
          <w:rFonts w:cs="Times New Roman"/>
        </w:rPr>
        <w:t>产业政策符合性分析</w:t>
      </w:r>
      <w:bookmarkEnd w:id="697"/>
    </w:p>
    <w:p w:rsidR="00392E67" w:rsidRPr="00D630D1" w:rsidRDefault="00392E67" w:rsidP="00392E67">
      <w:pPr>
        <w:ind w:firstLine="480"/>
        <w:rPr>
          <w:rFonts w:ascii="Times New Roman" w:cs="Times New Roman"/>
        </w:rPr>
      </w:pPr>
      <w:r w:rsidRPr="00D630D1">
        <w:rPr>
          <w:rFonts w:ascii="Times New Roman" w:cs="Times New Roman"/>
        </w:rPr>
        <w:t>根据《产业结构调整指导目录》（</w:t>
      </w:r>
      <w:r w:rsidRPr="00D630D1">
        <w:rPr>
          <w:rFonts w:ascii="Times New Roman" w:cs="Times New Roman"/>
        </w:rPr>
        <w:t>2019</w:t>
      </w:r>
      <w:r w:rsidRPr="00D630D1">
        <w:rPr>
          <w:rFonts w:ascii="Times New Roman" w:cs="Times New Roman"/>
        </w:rPr>
        <w:t>年），本项目属于《产业结构调整指导目录》（</w:t>
      </w:r>
      <w:r w:rsidRPr="00D630D1">
        <w:rPr>
          <w:rFonts w:ascii="Times New Roman" w:cs="Times New Roman"/>
        </w:rPr>
        <w:t>2019</w:t>
      </w:r>
      <w:r w:rsidRPr="00D630D1">
        <w:rPr>
          <w:rFonts w:ascii="Times New Roman" w:cs="Times New Roman"/>
        </w:rPr>
        <w:t>年本）鼓励类中第七条</w:t>
      </w:r>
      <w:r w:rsidRPr="00D630D1">
        <w:rPr>
          <w:rFonts w:ascii="Times New Roman" w:cs="Times New Roman"/>
        </w:rPr>
        <w:t>“</w:t>
      </w:r>
      <w:r w:rsidRPr="00D630D1">
        <w:rPr>
          <w:rFonts w:ascii="Times New Roman" w:cs="Times New Roman"/>
        </w:rPr>
        <w:t>石油、天然气</w:t>
      </w:r>
      <w:r w:rsidRPr="00D630D1">
        <w:rPr>
          <w:rFonts w:ascii="Times New Roman" w:cs="Times New Roman"/>
        </w:rPr>
        <w:t>”</w:t>
      </w:r>
      <w:r w:rsidRPr="00D630D1">
        <w:rPr>
          <w:rFonts w:ascii="Times New Roman" w:cs="Times New Roman"/>
        </w:rPr>
        <w:t>中的第三款：</w:t>
      </w:r>
      <w:r w:rsidRPr="00D630D1">
        <w:rPr>
          <w:rFonts w:ascii="Times New Roman" w:cs="Times New Roman"/>
        </w:rPr>
        <w:t>“</w:t>
      </w:r>
      <w:r w:rsidRPr="00D630D1">
        <w:rPr>
          <w:rFonts w:ascii="Times New Roman" w:cs="Times New Roman"/>
        </w:rPr>
        <w:t>原油、天然气、液化天然气、成品油的储运和管道输送设施、网络和液化天然气加注设</w:t>
      </w:r>
      <w:r w:rsidRPr="00D630D1">
        <w:rPr>
          <w:rFonts w:ascii="Times New Roman" w:cs="Times New Roman"/>
        </w:rPr>
        <w:lastRenderedPageBreak/>
        <w:t>施建设</w:t>
      </w:r>
      <w:r w:rsidRPr="00D630D1">
        <w:rPr>
          <w:rFonts w:ascii="Times New Roman" w:cs="Times New Roman"/>
        </w:rPr>
        <w:t>”</w:t>
      </w:r>
      <w:r w:rsidRPr="00D630D1">
        <w:rPr>
          <w:rFonts w:ascii="Times New Roman" w:cs="Times New Roman"/>
        </w:rPr>
        <w:t>。</w:t>
      </w:r>
    </w:p>
    <w:p w:rsidR="00117C3D" w:rsidRPr="00D630D1" w:rsidRDefault="00392E67" w:rsidP="00392E67">
      <w:pPr>
        <w:ind w:firstLine="480"/>
        <w:rPr>
          <w:rFonts w:ascii="Times New Roman" w:cs="Times New Roman"/>
        </w:rPr>
      </w:pPr>
      <w:r w:rsidRPr="00D630D1">
        <w:rPr>
          <w:rFonts w:ascii="Times New Roman" w:cs="Times New Roman"/>
        </w:rPr>
        <w:t>因此本项目建设符合国家产业政策。</w:t>
      </w:r>
    </w:p>
    <w:p w:rsidR="00117C3D" w:rsidRPr="00D630D1" w:rsidRDefault="008B5B84" w:rsidP="0099033B">
      <w:pPr>
        <w:pStyle w:val="2"/>
        <w:spacing w:before="120"/>
        <w:rPr>
          <w:rFonts w:cs="Times New Roman"/>
        </w:rPr>
      </w:pPr>
      <w:bookmarkStart w:id="698" w:name="bookmark87"/>
      <w:bookmarkStart w:id="699" w:name="_Toc12288840"/>
      <w:bookmarkStart w:id="700" w:name="_Toc19816160"/>
      <w:bookmarkStart w:id="701" w:name="_Toc81515319"/>
      <w:bookmarkEnd w:id="698"/>
      <w:r w:rsidRPr="00D630D1">
        <w:rPr>
          <w:rFonts w:cs="Times New Roman"/>
        </w:rPr>
        <w:t>1</w:t>
      </w:r>
      <w:r w:rsidR="0099033B" w:rsidRPr="00D630D1">
        <w:rPr>
          <w:rFonts w:cs="Times New Roman"/>
        </w:rPr>
        <w:t>1</w:t>
      </w:r>
      <w:r w:rsidRPr="00D630D1">
        <w:rPr>
          <w:rFonts w:cs="Times New Roman"/>
        </w:rPr>
        <w:t xml:space="preserve">.3 </w:t>
      </w:r>
      <w:r w:rsidRPr="00D630D1">
        <w:rPr>
          <w:rFonts w:cs="Times New Roman"/>
        </w:rPr>
        <w:t>清洁生产</w:t>
      </w:r>
      <w:bookmarkEnd w:id="699"/>
      <w:bookmarkEnd w:id="700"/>
      <w:bookmarkEnd w:id="701"/>
    </w:p>
    <w:p w:rsidR="00117C3D" w:rsidRPr="00D630D1" w:rsidRDefault="00392E67" w:rsidP="00392E67">
      <w:pPr>
        <w:pStyle w:val="afa"/>
        <w:ind w:firstLine="480"/>
      </w:pPr>
      <w:r w:rsidRPr="00D630D1">
        <w:t>本项目输送介质为天然气，属清洁能源；通过采用先进的输送工艺，减少了</w:t>
      </w:r>
      <w:r w:rsidRPr="00D630D1">
        <w:t>“</w:t>
      </w:r>
      <w:r w:rsidRPr="00D630D1">
        <w:t>三废</w:t>
      </w:r>
      <w:r w:rsidRPr="00D630D1">
        <w:t>”</w:t>
      </w:r>
      <w:r w:rsidRPr="00D630D1">
        <w:t>排放源，从工艺技术、能耗、防腐、节水、施工管理、污染物的排放、运营管理等方面均符合清洁生产原则。工程从输气工艺及施工工艺来看，均最大限度的减少了生态破坏、污染物排放及能源消耗，最大限度的保证了管道的安全运行及管输能力，降低事故的发生和对环境的危害，达到了国内先进的清洁生产水平。因此，本次评价认为，本项目贯彻了清洁生产的原则。</w:t>
      </w:r>
    </w:p>
    <w:p w:rsidR="00117C3D" w:rsidRPr="00D630D1" w:rsidRDefault="008B5B84" w:rsidP="0099033B">
      <w:pPr>
        <w:pStyle w:val="2"/>
        <w:spacing w:before="120"/>
        <w:rPr>
          <w:rFonts w:cs="Times New Roman"/>
        </w:rPr>
      </w:pPr>
      <w:bookmarkStart w:id="702" w:name="bookmark88"/>
      <w:bookmarkStart w:id="703" w:name="_Toc19816161"/>
      <w:bookmarkStart w:id="704" w:name="_Toc12288841"/>
      <w:bookmarkStart w:id="705" w:name="_Toc81515320"/>
      <w:bookmarkEnd w:id="702"/>
      <w:r w:rsidRPr="00D630D1">
        <w:rPr>
          <w:rFonts w:cs="Times New Roman"/>
        </w:rPr>
        <w:t>1</w:t>
      </w:r>
      <w:r w:rsidR="0099033B" w:rsidRPr="00D630D1">
        <w:rPr>
          <w:rFonts w:cs="Times New Roman"/>
        </w:rPr>
        <w:t>1</w:t>
      </w:r>
      <w:r w:rsidRPr="00D630D1">
        <w:rPr>
          <w:rFonts w:cs="Times New Roman"/>
        </w:rPr>
        <w:t xml:space="preserve">.4 </w:t>
      </w:r>
      <w:r w:rsidRPr="00D630D1">
        <w:rPr>
          <w:rFonts w:cs="Times New Roman"/>
        </w:rPr>
        <w:t>总量控制</w:t>
      </w:r>
      <w:bookmarkEnd w:id="703"/>
      <w:bookmarkEnd w:id="704"/>
      <w:bookmarkEnd w:id="705"/>
    </w:p>
    <w:p w:rsidR="00392E67" w:rsidRPr="00D630D1" w:rsidRDefault="00392E67" w:rsidP="00392E67">
      <w:pPr>
        <w:pStyle w:val="afa"/>
        <w:ind w:firstLine="480"/>
      </w:pPr>
      <w:r w:rsidRPr="00D630D1">
        <w:t>工程投产后，正常运行时天然气处于密闭输送状态，一般无气体污染物外排；正常工况条件下，仅有水套炉燃料气（不含硫）燃烧产生的</w:t>
      </w:r>
      <w:r w:rsidRPr="00D630D1">
        <w:t>NO</w:t>
      </w:r>
      <w:r w:rsidRPr="00D630D1">
        <w:rPr>
          <w:sz w:val="16"/>
          <w:szCs w:val="16"/>
        </w:rPr>
        <w:t>X</w:t>
      </w:r>
      <w:r w:rsidRPr="00D630D1">
        <w:t>排放，其排放量为</w:t>
      </w:r>
      <w:r w:rsidRPr="00D630D1">
        <w:t>NO</w:t>
      </w:r>
      <w:r w:rsidRPr="00D630D1">
        <w:rPr>
          <w:sz w:val="16"/>
          <w:szCs w:val="16"/>
        </w:rPr>
        <w:t>X</w:t>
      </w:r>
      <w:r w:rsidRPr="00D630D1">
        <w:t>：</w:t>
      </w:r>
      <w:r w:rsidR="00502B3B" w:rsidRPr="00D630D1">
        <w:rPr>
          <w:rFonts w:hint="eastAsia"/>
        </w:rPr>
        <w:t>35.56</w:t>
      </w:r>
      <w:r w:rsidRPr="00D630D1">
        <w:t>kg/a</w:t>
      </w:r>
      <w:r w:rsidRPr="00D630D1">
        <w:t>；营运期不产生生产废水和生活污水。</w:t>
      </w:r>
    </w:p>
    <w:p w:rsidR="00392E67" w:rsidRPr="00D630D1" w:rsidRDefault="00392E67" w:rsidP="00392E67">
      <w:pPr>
        <w:pStyle w:val="afa"/>
        <w:ind w:firstLine="480"/>
      </w:pPr>
      <w:r w:rsidRPr="00D630D1">
        <w:t>综上，项目的建设虽有</w:t>
      </w:r>
      <w:r w:rsidRPr="00D630D1">
        <w:t>NO</w:t>
      </w:r>
      <w:r w:rsidRPr="00D630D1">
        <w:rPr>
          <w:sz w:val="16"/>
          <w:szCs w:val="16"/>
        </w:rPr>
        <w:t>X</w:t>
      </w:r>
      <w:r w:rsidRPr="00D630D1">
        <w:t>产生，燃料气来自净化厂净化后天然气，不含硫化氢，且氮氧化物排放量很小，因此本次评价建议不设总量控制指标。</w:t>
      </w:r>
    </w:p>
    <w:p w:rsidR="00117C3D" w:rsidRPr="00D630D1" w:rsidRDefault="008B5B84" w:rsidP="0099033B">
      <w:pPr>
        <w:pStyle w:val="2"/>
        <w:spacing w:before="120"/>
        <w:rPr>
          <w:rFonts w:cs="Times New Roman"/>
        </w:rPr>
      </w:pPr>
      <w:bookmarkStart w:id="706" w:name="bookmark89"/>
      <w:bookmarkStart w:id="707" w:name="_Toc12288842"/>
      <w:bookmarkStart w:id="708" w:name="_Toc19816162"/>
      <w:bookmarkStart w:id="709" w:name="_Toc81515321"/>
      <w:bookmarkEnd w:id="706"/>
      <w:r w:rsidRPr="00D630D1">
        <w:rPr>
          <w:rFonts w:cs="Times New Roman"/>
        </w:rPr>
        <w:t>1</w:t>
      </w:r>
      <w:r w:rsidR="0099033B" w:rsidRPr="00D630D1">
        <w:rPr>
          <w:rFonts w:cs="Times New Roman"/>
        </w:rPr>
        <w:t>1</w:t>
      </w:r>
      <w:r w:rsidRPr="00D630D1">
        <w:rPr>
          <w:rFonts w:cs="Times New Roman"/>
        </w:rPr>
        <w:t xml:space="preserve">.5 </w:t>
      </w:r>
      <w:r w:rsidRPr="00D630D1">
        <w:rPr>
          <w:rFonts w:cs="Times New Roman"/>
        </w:rPr>
        <w:t>环境现状评价结论</w:t>
      </w:r>
      <w:bookmarkEnd w:id="707"/>
      <w:bookmarkEnd w:id="708"/>
      <w:bookmarkEnd w:id="709"/>
    </w:p>
    <w:p w:rsidR="00117C3D" w:rsidRPr="00D630D1" w:rsidRDefault="008B5B84">
      <w:pPr>
        <w:pStyle w:val="3"/>
        <w:rPr>
          <w:rFonts w:eastAsia="宋体"/>
        </w:rPr>
      </w:pPr>
      <w:bookmarkStart w:id="710" w:name="_Toc12288844"/>
      <w:bookmarkStart w:id="711" w:name="_Toc19816164"/>
      <w:r w:rsidRPr="00D630D1">
        <w:rPr>
          <w:rFonts w:eastAsia="宋体"/>
        </w:rPr>
        <w:t>1</w:t>
      </w:r>
      <w:r w:rsidR="00BE1207" w:rsidRPr="00D630D1">
        <w:rPr>
          <w:rFonts w:eastAsia="宋体"/>
        </w:rPr>
        <w:t>1</w:t>
      </w:r>
      <w:r w:rsidRPr="00D630D1">
        <w:rPr>
          <w:rFonts w:eastAsia="宋体"/>
        </w:rPr>
        <w:t>.5.</w:t>
      </w:r>
      <w:r w:rsidR="00392E67" w:rsidRPr="00D630D1">
        <w:rPr>
          <w:rFonts w:eastAsia="宋体"/>
        </w:rPr>
        <w:t>1</w:t>
      </w:r>
      <w:r w:rsidRPr="00D630D1">
        <w:rPr>
          <w:rFonts w:eastAsia="宋体"/>
        </w:rPr>
        <w:t xml:space="preserve"> </w:t>
      </w:r>
      <w:r w:rsidRPr="00D630D1">
        <w:rPr>
          <w:rFonts w:eastAsia="宋体"/>
        </w:rPr>
        <w:t>环境空气</w:t>
      </w:r>
      <w:bookmarkEnd w:id="710"/>
      <w:bookmarkEnd w:id="711"/>
    </w:p>
    <w:p w:rsidR="0099033B" w:rsidRPr="00D630D1" w:rsidRDefault="0099033B" w:rsidP="0099033B">
      <w:pPr>
        <w:pStyle w:val="afa"/>
        <w:ind w:firstLine="480"/>
      </w:pPr>
      <w:r w:rsidRPr="00D630D1">
        <w:t>根据达州市生态环境局发布的《达州市主城区</w:t>
      </w:r>
      <w:r w:rsidRPr="00D630D1">
        <w:t>20</w:t>
      </w:r>
      <w:r w:rsidR="00392E67" w:rsidRPr="00D630D1">
        <w:t>20</w:t>
      </w:r>
      <w:r w:rsidRPr="00D630D1">
        <w:t>年环境空气质量</w:t>
      </w:r>
      <w:r w:rsidRPr="00D630D1">
        <w:rPr>
          <w:bCs/>
        </w:rPr>
        <w:t>公报</w:t>
      </w:r>
      <w:r w:rsidRPr="00D630D1">
        <w:t>》，项目所在区</w:t>
      </w:r>
      <w:r w:rsidRPr="00D630D1">
        <w:rPr>
          <w:szCs w:val="24"/>
        </w:rPr>
        <w:t>SO</w:t>
      </w:r>
      <w:r w:rsidRPr="00D630D1">
        <w:rPr>
          <w:szCs w:val="24"/>
          <w:vertAlign w:val="subscript"/>
        </w:rPr>
        <w:t>2</w:t>
      </w:r>
      <w:r w:rsidRPr="00D630D1">
        <w:rPr>
          <w:szCs w:val="24"/>
        </w:rPr>
        <w:t>、</w:t>
      </w:r>
      <w:r w:rsidRPr="00D630D1">
        <w:rPr>
          <w:szCs w:val="24"/>
        </w:rPr>
        <w:t>NO</w:t>
      </w:r>
      <w:r w:rsidRPr="00D630D1">
        <w:rPr>
          <w:szCs w:val="24"/>
          <w:vertAlign w:val="subscript"/>
        </w:rPr>
        <w:t>2</w:t>
      </w:r>
      <w:r w:rsidRPr="00D630D1">
        <w:rPr>
          <w:szCs w:val="24"/>
        </w:rPr>
        <w:t>、</w:t>
      </w:r>
      <w:r w:rsidRPr="00D630D1">
        <w:rPr>
          <w:szCs w:val="24"/>
        </w:rPr>
        <w:t>PM</w:t>
      </w:r>
      <w:r w:rsidRPr="00D630D1">
        <w:rPr>
          <w:szCs w:val="24"/>
          <w:vertAlign w:val="subscript"/>
        </w:rPr>
        <w:t>10</w:t>
      </w:r>
      <w:r w:rsidRPr="00D630D1">
        <w:rPr>
          <w:szCs w:val="24"/>
        </w:rPr>
        <w:t>、</w:t>
      </w:r>
      <w:r w:rsidRPr="00D630D1">
        <w:rPr>
          <w:szCs w:val="24"/>
        </w:rPr>
        <w:t>CO</w:t>
      </w:r>
      <w:r w:rsidRPr="00D630D1">
        <w:rPr>
          <w:szCs w:val="24"/>
        </w:rPr>
        <w:t>、</w:t>
      </w:r>
      <w:r w:rsidRPr="00D630D1">
        <w:rPr>
          <w:szCs w:val="24"/>
        </w:rPr>
        <w:t>O</w:t>
      </w:r>
      <w:r w:rsidRPr="00D630D1">
        <w:rPr>
          <w:szCs w:val="24"/>
          <w:vertAlign w:val="subscript"/>
        </w:rPr>
        <w:t>3</w:t>
      </w:r>
      <w:r w:rsidRPr="00D630D1">
        <w:t>、</w:t>
      </w:r>
      <w:r w:rsidRPr="00D630D1">
        <w:rPr>
          <w:szCs w:val="24"/>
        </w:rPr>
        <w:t>PM</w:t>
      </w:r>
      <w:r w:rsidRPr="00D630D1">
        <w:rPr>
          <w:szCs w:val="24"/>
          <w:vertAlign w:val="subscript"/>
        </w:rPr>
        <w:t>2.5</w:t>
      </w:r>
      <w:r w:rsidRPr="00D630D1">
        <w:t>均达标，项目所在区为达标区。</w:t>
      </w:r>
      <w:r w:rsidR="008969DA" w:rsidRPr="00D630D1">
        <w:rPr>
          <w:rFonts w:hint="eastAsia"/>
          <w:lang w:val="zh-TW"/>
        </w:rPr>
        <w:t>项目所在地</w:t>
      </w:r>
      <w:r w:rsidRPr="00D630D1">
        <w:rPr>
          <w:lang w:val="zh-TW"/>
        </w:rPr>
        <w:t>环境空气中特征污染物</w:t>
      </w:r>
      <w:r w:rsidR="00D53C0D">
        <w:rPr>
          <w:lang w:val="zh-TW"/>
        </w:rPr>
        <w:t>硫化氢现状监测值</w:t>
      </w:r>
      <w:r w:rsidR="008969DA" w:rsidRPr="00D630D1">
        <w:rPr>
          <w:rFonts w:hint="eastAsia"/>
          <w:lang w:val="zh-TW"/>
        </w:rPr>
        <w:t>满足</w:t>
      </w:r>
      <w:r w:rsidRPr="00D630D1">
        <w:rPr>
          <w:lang w:val="zh-TW"/>
        </w:rPr>
        <w:t>《环境影响评价技术导则大气环境》（</w:t>
      </w:r>
      <w:r w:rsidRPr="00D630D1">
        <w:rPr>
          <w:lang w:val="zh-TW"/>
        </w:rPr>
        <w:t>HJ2.2-2018</w:t>
      </w:r>
      <w:r w:rsidRPr="00D630D1">
        <w:rPr>
          <w:lang w:val="zh-TW"/>
        </w:rPr>
        <w:t>）中附录</w:t>
      </w:r>
      <w:r w:rsidRPr="00D630D1">
        <w:rPr>
          <w:lang w:val="zh-TW"/>
        </w:rPr>
        <w:t>D</w:t>
      </w:r>
      <w:r w:rsidRPr="00D630D1">
        <w:rPr>
          <w:lang w:val="zh-TW"/>
        </w:rPr>
        <w:t>标准限值</w:t>
      </w:r>
      <w:r w:rsidR="00D53C0D">
        <w:rPr>
          <w:rFonts w:hint="eastAsia"/>
          <w:lang w:val="zh-TW"/>
        </w:rPr>
        <w:t>；</w:t>
      </w:r>
      <w:r w:rsidR="00D53C0D" w:rsidRPr="00DD1647">
        <w:rPr>
          <w:rFonts w:hint="eastAsia"/>
        </w:rPr>
        <w:t>非甲烷总烃</w:t>
      </w:r>
      <w:r w:rsidR="00D53C0D">
        <w:rPr>
          <w:rFonts w:hint="eastAsia"/>
        </w:rPr>
        <w:t>满足《大气污染物综合排放标准详解》浓度限值</w:t>
      </w:r>
      <w:r w:rsidRPr="00D630D1">
        <w:rPr>
          <w:lang w:val="zh-TW"/>
        </w:rPr>
        <w:t>。</w:t>
      </w:r>
    </w:p>
    <w:p w:rsidR="00117C3D" w:rsidRPr="00D630D1" w:rsidRDefault="008B5B84">
      <w:pPr>
        <w:pStyle w:val="3"/>
        <w:rPr>
          <w:rFonts w:eastAsia="宋体"/>
        </w:rPr>
      </w:pPr>
      <w:bookmarkStart w:id="712" w:name="_Toc19816165"/>
      <w:bookmarkStart w:id="713" w:name="_Toc12288845"/>
      <w:r w:rsidRPr="00D630D1">
        <w:rPr>
          <w:rFonts w:eastAsia="宋体"/>
        </w:rPr>
        <w:t>1</w:t>
      </w:r>
      <w:r w:rsidR="0099033B" w:rsidRPr="00D630D1">
        <w:rPr>
          <w:rFonts w:eastAsia="宋体"/>
        </w:rPr>
        <w:t>1</w:t>
      </w:r>
      <w:r w:rsidRPr="00D630D1">
        <w:rPr>
          <w:rFonts w:eastAsia="宋体"/>
        </w:rPr>
        <w:t>.5.</w:t>
      </w:r>
      <w:r w:rsidR="00392E67" w:rsidRPr="00D630D1">
        <w:rPr>
          <w:rFonts w:eastAsia="宋体"/>
        </w:rPr>
        <w:t>2</w:t>
      </w:r>
      <w:r w:rsidRPr="00D630D1">
        <w:rPr>
          <w:rFonts w:eastAsia="宋体"/>
        </w:rPr>
        <w:t xml:space="preserve"> </w:t>
      </w:r>
      <w:r w:rsidRPr="00D630D1">
        <w:rPr>
          <w:rFonts w:eastAsia="宋体"/>
        </w:rPr>
        <w:t>地表水环境</w:t>
      </w:r>
      <w:bookmarkEnd w:id="712"/>
      <w:bookmarkEnd w:id="713"/>
    </w:p>
    <w:p w:rsidR="0099033B" w:rsidRPr="00D630D1" w:rsidRDefault="00D53C0D" w:rsidP="000D1B44">
      <w:pPr>
        <w:pStyle w:val="afa"/>
        <w:ind w:firstLine="480"/>
      </w:pPr>
      <w:r w:rsidRPr="00D53C0D">
        <w:rPr>
          <w:rFonts w:hint="eastAsia"/>
        </w:rPr>
        <w:t>根据《</w:t>
      </w:r>
      <w:r w:rsidRPr="00D53C0D">
        <w:rPr>
          <w:rFonts w:hint="eastAsia"/>
        </w:rPr>
        <w:t>2020</w:t>
      </w:r>
      <w:r w:rsidRPr="00D53C0D">
        <w:rPr>
          <w:rFonts w:hint="eastAsia"/>
        </w:rPr>
        <w:t>年达州市环境状况公报》，渠江在宣汉县境内水质均符合《地表水环境质量标准》（</w:t>
      </w:r>
      <w:r w:rsidRPr="00D53C0D">
        <w:rPr>
          <w:rFonts w:hint="eastAsia"/>
        </w:rPr>
        <w:t>GB3838-2002</w:t>
      </w:r>
      <w:r w:rsidRPr="00D53C0D">
        <w:rPr>
          <w:rFonts w:hint="eastAsia"/>
        </w:rPr>
        <w:t>）中Ⅲ类水质标准限值要求</w:t>
      </w:r>
      <w:r w:rsidR="00392E67" w:rsidRPr="00D630D1">
        <w:t>。</w:t>
      </w:r>
    </w:p>
    <w:p w:rsidR="00117C3D" w:rsidRPr="00D630D1" w:rsidRDefault="008B5B84">
      <w:pPr>
        <w:pStyle w:val="3"/>
        <w:rPr>
          <w:rFonts w:eastAsia="宋体"/>
        </w:rPr>
      </w:pPr>
      <w:bookmarkStart w:id="714" w:name="_Toc12288846"/>
      <w:bookmarkStart w:id="715" w:name="_Toc19816166"/>
      <w:r w:rsidRPr="00D630D1">
        <w:rPr>
          <w:rFonts w:eastAsia="宋体"/>
        </w:rPr>
        <w:t>1</w:t>
      </w:r>
      <w:r w:rsidR="0099033B" w:rsidRPr="00D630D1">
        <w:rPr>
          <w:rFonts w:eastAsia="宋体"/>
        </w:rPr>
        <w:t>1</w:t>
      </w:r>
      <w:r w:rsidRPr="00D630D1">
        <w:rPr>
          <w:rFonts w:eastAsia="宋体"/>
        </w:rPr>
        <w:t>.5.</w:t>
      </w:r>
      <w:r w:rsidR="00392E67" w:rsidRPr="00D630D1">
        <w:rPr>
          <w:rFonts w:eastAsia="宋体"/>
        </w:rPr>
        <w:t>3</w:t>
      </w:r>
      <w:r w:rsidRPr="00D630D1">
        <w:rPr>
          <w:rFonts w:eastAsia="宋体"/>
        </w:rPr>
        <w:t xml:space="preserve"> </w:t>
      </w:r>
      <w:r w:rsidRPr="00D630D1">
        <w:rPr>
          <w:rFonts w:eastAsia="宋体"/>
        </w:rPr>
        <w:t>地下水环境</w:t>
      </w:r>
      <w:bookmarkEnd w:id="714"/>
      <w:bookmarkEnd w:id="715"/>
    </w:p>
    <w:p w:rsidR="0099033B" w:rsidRPr="00D630D1" w:rsidRDefault="00392E67" w:rsidP="0099033B">
      <w:pPr>
        <w:pStyle w:val="afa"/>
        <w:ind w:firstLine="480"/>
      </w:pPr>
      <w:r w:rsidRPr="00D630D1">
        <w:t>根据地下水监测统计结果可知，项目</w:t>
      </w:r>
      <w:r w:rsidR="008969DA" w:rsidRPr="00D630D1">
        <w:rPr>
          <w:rFonts w:hint="eastAsia"/>
        </w:rPr>
        <w:t>所在地</w:t>
      </w:r>
      <w:r w:rsidRPr="00D630D1">
        <w:t>地下水监测点各监测因子标准指数均小于</w:t>
      </w:r>
      <w:r w:rsidRPr="00D630D1">
        <w:t>1</w:t>
      </w:r>
      <w:r w:rsidRPr="00D630D1">
        <w:t>，满足《地下水质量标准》（</w:t>
      </w:r>
      <w:r w:rsidRPr="00D630D1">
        <w:t>GB/T14848-93</w:t>
      </w:r>
      <w:r w:rsidRPr="00D630D1">
        <w:t>）</w:t>
      </w:r>
      <w:r w:rsidRPr="00D630D1">
        <w:t>Ⅲ</w:t>
      </w:r>
      <w:r w:rsidRPr="00D630D1">
        <w:t>类标准要求，石油类</w:t>
      </w:r>
      <w:r w:rsidRPr="00D630D1">
        <w:lastRenderedPageBreak/>
        <w:t>满足《地表水环境质量标准》（</w:t>
      </w:r>
      <w:r w:rsidRPr="00D630D1">
        <w:t>GB3838-2002</w:t>
      </w:r>
      <w:r w:rsidRPr="00D630D1">
        <w:t>）</w:t>
      </w:r>
      <w:r w:rsidRPr="00D630D1">
        <w:t>Ⅲ</w:t>
      </w:r>
      <w:r w:rsidRPr="00D630D1">
        <w:t>类标准要求。</w:t>
      </w:r>
    </w:p>
    <w:p w:rsidR="00117C3D" w:rsidRPr="00D630D1" w:rsidRDefault="008B5B84">
      <w:pPr>
        <w:pStyle w:val="3"/>
        <w:rPr>
          <w:rFonts w:eastAsia="宋体"/>
        </w:rPr>
      </w:pPr>
      <w:bookmarkStart w:id="716" w:name="_Toc12288847"/>
      <w:bookmarkStart w:id="717" w:name="_Toc19816167"/>
      <w:r w:rsidRPr="00D630D1">
        <w:rPr>
          <w:rFonts w:eastAsia="宋体"/>
        </w:rPr>
        <w:t>1</w:t>
      </w:r>
      <w:r w:rsidR="00BE1207" w:rsidRPr="00D630D1">
        <w:rPr>
          <w:rFonts w:eastAsia="宋体"/>
        </w:rPr>
        <w:t>1</w:t>
      </w:r>
      <w:r w:rsidRPr="00D630D1">
        <w:rPr>
          <w:rFonts w:eastAsia="宋体"/>
        </w:rPr>
        <w:t>.5.</w:t>
      </w:r>
      <w:r w:rsidR="00392E67" w:rsidRPr="00D630D1">
        <w:rPr>
          <w:rFonts w:eastAsia="宋体"/>
        </w:rPr>
        <w:t>4</w:t>
      </w:r>
      <w:r w:rsidRPr="00D630D1">
        <w:rPr>
          <w:rFonts w:eastAsia="宋体"/>
        </w:rPr>
        <w:t xml:space="preserve"> </w:t>
      </w:r>
      <w:r w:rsidRPr="00D630D1">
        <w:rPr>
          <w:rFonts w:eastAsia="宋体"/>
        </w:rPr>
        <w:t>声环境</w:t>
      </w:r>
      <w:bookmarkEnd w:id="716"/>
      <w:bookmarkEnd w:id="717"/>
    </w:p>
    <w:p w:rsidR="00117C3D" w:rsidRPr="00D630D1" w:rsidRDefault="00392E67" w:rsidP="00654567">
      <w:pPr>
        <w:pStyle w:val="afa"/>
        <w:ind w:firstLine="480"/>
      </w:pPr>
      <w:r w:rsidRPr="00D630D1">
        <w:t>根据</w:t>
      </w:r>
      <w:r w:rsidR="00D53C0D">
        <w:rPr>
          <w:rFonts w:hint="eastAsia"/>
        </w:rPr>
        <w:t>声环境</w:t>
      </w:r>
      <w:r w:rsidRPr="00D630D1">
        <w:t>监测结果可知，本项目</w:t>
      </w:r>
      <w:r w:rsidR="00D53C0D">
        <w:rPr>
          <w:rFonts w:hint="eastAsia"/>
        </w:rPr>
        <w:t>所在的</w:t>
      </w:r>
      <w:r w:rsidRPr="00D630D1">
        <w:t>昼间和夜间声环境质量现状值均满足《声环境质量标准》（</w:t>
      </w:r>
      <w:r w:rsidRPr="00D630D1">
        <w:t>GB3096-2008</w:t>
      </w:r>
      <w:r w:rsidRPr="00D630D1">
        <w:t>）中</w:t>
      </w:r>
      <w:r w:rsidRPr="00D630D1">
        <w:t>2</w:t>
      </w:r>
      <w:r w:rsidRPr="00D630D1">
        <w:t>类环境噪声限值要求。</w:t>
      </w:r>
    </w:p>
    <w:p w:rsidR="00240DD3" w:rsidRPr="00D630D1" w:rsidRDefault="00240DD3" w:rsidP="00240DD3">
      <w:pPr>
        <w:pStyle w:val="3"/>
        <w:rPr>
          <w:rFonts w:eastAsia="宋体"/>
        </w:rPr>
      </w:pPr>
      <w:r w:rsidRPr="00D630D1">
        <w:rPr>
          <w:rFonts w:eastAsia="宋体"/>
        </w:rPr>
        <w:t>11.5.</w:t>
      </w:r>
      <w:r w:rsidRPr="00D630D1">
        <w:rPr>
          <w:rFonts w:eastAsia="宋体" w:hint="eastAsia"/>
        </w:rPr>
        <w:t>5</w:t>
      </w:r>
      <w:r w:rsidRPr="00D630D1">
        <w:rPr>
          <w:rFonts w:eastAsia="宋体"/>
        </w:rPr>
        <w:t xml:space="preserve"> </w:t>
      </w:r>
      <w:r w:rsidRPr="00D630D1">
        <w:rPr>
          <w:rFonts w:eastAsia="宋体" w:hint="eastAsia"/>
        </w:rPr>
        <w:t>土壤</w:t>
      </w:r>
      <w:r w:rsidRPr="00D630D1">
        <w:rPr>
          <w:rFonts w:eastAsia="宋体"/>
        </w:rPr>
        <w:t>环境</w:t>
      </w:r>
    </w:p>
    <w:p w:rsidR="00240DD3" w:rsidRPr="00D630D1" w:rsidRDefault="00240DD3" w:rsidP="00240DD3">
      <w:pPr>
        <w:pStyle w:val="afa"/>
        <w:ind w:firstLine="480"/>
      </w:pPr>
      <w:r w:rsidRPr="00D630D1">
        <w:t>根据监测结果可知，</w:t>
      </w:r>
      <w:r w:rsidRPr="00D630D1">
        <w:rPr>
          <w:rFonts w:hint="eastAsia"/>
        </w:rPr>
        <w:t>项目</w:t>
      </w:r>
      <w:r w:rsidRPr="00D630D1">
        <w:t>站场</w:t>
      </w:r>
      <w:r w:rsidRPr="00D630D1">
        <w:rPr>
          <w:rFonts w:hint="eastAsia"/>
        </w:rPr>
        <w:t>内土壤中各项监测指标均符合《土壤环境质量</w:t>
      </w:r>
      <w:r w:rsidRPr="00D630D1">
        <w:rPr>
          <w:rFonts w:hint="eastAsia"/>
        </w:rPr>
        <w:t xml:space="preserve"> </w:t>
      </w:r>
      <w:r w:rsidRPr="00D630D1">
        <w:rPr>
          <w:rFonts w:hint="eastAsia"/>
        </w:rPr>
        <w:t>建设用地土壤污染风险管控标准（试行）》（</w:t>
      </w:r>
      <w:r w:rsidRPr="00D630D1">
        <w:rPr>
          <w:rFonts w:hint="eastAsia"/>
        </w:rPr>
        <w:t>GB 36600-2018</w:t>
      </w:r>
      <w:r w:rsidRPr="00D630D1">
        <w:rPr>
          <w:rFonts w:hint="eastAsia"/>
        </w:rPr>
        <w:t>）中风险筛选值；</w:t>
      </w:r>
      <w:r w:rsidRPr="00D630D1">
        <w:t>站场周边耕地土壤环境质量良好，各因子均满足《土壤环境质量</w:t>
      </w:r>
      <w:r w:rsidRPr="00D630D1">
        <w:t xml:space="preserve"> </w:t>
      </w:r>
      <w:r w:rsidRPr="00D630D1">
        <w:t>农用地土壤污染风险管控标准（试行）》（</w:t>
      </w:r>
      <w:r w:rsidRPr="00D630D1">
        <w:t>GB-15618-2018</w:t>
      </w:r>
      <w:r w:rsidRPr="00D630D1">
        <w:t>）中农用地土壤污染风险筛选值。土壤环境质量良好。</w:t>
      </w:r>
    </w:p>
    <w:p w:rsidR="00117C3D" w:rsidRPr="00D630D1" w:rsidRDefault="008B5B84" w:rsidP="00796959">
      <w:pPr>
        <w:pStyle w:val="2"/>
        <w:spacing w:before="120"/>
        <w:rPr>
          <w:rFonts w:cs="Times New Roman"/>
        </w:rPr>
      </w:pPr>
      <w:bookmarkStart w:id="718" w:name="bookmark37"/>
      <w:bookmarkStart w:id="719" w:name="bookmark90"/>
      <w:bookmarkStart w:id="720" w:name="_Toc12288848"/>
      <w:bookmarkStart w:id="721" w:name="_Toc19816168"/>
      <w:bookmarkStart w:id="722" w:name="_Toc81515322"/>
      <w:bookmarkEnd w:id="718"/>
      <w:bookmarkEnd w:id="719"/>
      <w:r w:rsidRPr="00D630D1">
        <w:rPr>
          <w:rFonts w:cs="Times New Roman"/>
        </w:rPr>
        <w:t>1</w:t>
      </w:r>
      <w:r w:rsidR="00796959" w:rsidRPr="00D630D1">
        <w:rPr>
          <w:rFonts w:cs="Times New Roman"/>
        </w:rPr>
        <w:t>1</w:t>
      </w:r>
      <w:r w:rsidRPr="00D630D1">
        <w:rPr>
          <w:rFonts w:cs="Times New Roman"/>
        </w:rPr>
        <w:t>.</w:t>
      </w:r>
      <w:r w:rsidR="00392E67" w:rsidRPr="00D630D1">
        <w:rPr>
          <w:rFonts w:cs="Times New Roman"/>
        </w:rPr>
        <w:t>6</w:t>
      </w:r>
      <w:r w:rsidRPr="00D630D1">
        <w:rPr>
          <w:rFonts w:cs="Times New Roman"/>
        </w:rPr>
        <w:t xml:space="preserve"> </w:t>
      </w:r>
      <w:r w:rsidRPr="00D630D1">
        <w:rPr>
          <w:rFonts w:cs="Times New Roman"/>
        </w:rPr>
        <w:t>环境影响评价结论</w:t>
      </w:r>
      <w:bookmarkEnd w:id="720"/>
      <w:bookmarkEnd w:id="721"/>
      <w:bookmarkEnd w:id="722"/>
    </w:p>
    <w:p w:rsidR="00117C3D" w:rsidRPr="00D630D1" w:rsidRDefault="008B5B84">
      <w:pPr>
        <w:pStyle w:val="3"/>
        <w:rPr>
          <w:rFonts w:eastAsia="宋体"/>
        </w:rPr>
      </w:pPr>
      <w:bookmarkStart w:id="723" w:name="_Toc19816169"/>
      <w:bookmarkStart w:id="724" w:name="_Toc12288849"/>
      <w:r w:rsidRPr="00D630D1">
        <w:rPr>
          <w:rFonts w:eastAsia="宋体"/>
        </w:rPr>
        <w:t>1</w:t>
      </w:r>
      <w:r w:rsidR="00796959" w:rsidRPr="00D630D1">
        <w:rPr>
          <w:rFonts w:eastAsia="宋体"/>
        </w:rPr>
        <w:t>1</w:t>
      </w:r>
      <w:r w:rsidRPr="00D630D1">
        <w:rPr>
          <w:rFonts w:eastAsia="宋体"/>
        </w:rPr>
        <w:t>.</w:t>
      </w:r>
      <w:r w:rsidR="00392E67" w:rsidRPr="00D630D1">
        <w:rPr>
          <w:rFonts w:eastAsia="宋体"/>
        </w:rPr>
        <w:t>6</w:t>
      </w:r>
      <w:r w:rsidRPr="00D630D1">
        <w:rPr>
          <w:rFonts w:eastAsia="宋体"/>
        </w:rPr>
        <w:t xml:space="preserve">.1 </w:t>
      </w:r>
      <w:r w:rsidRPr="00D630D1">
        <w:rPr>
          <w:rFonts w:eastAsia="宋体"/>
        </w:rPr>
        <w:t>环境空气</w:t>
      </w:r>
      <w:bookmarkEnd w:id="723"/>
      <w:bookmarkEnd w:id="724"/>
    </w:p>
    <w:p w:rsidR="00654567" w:rsidRPr="00D630D1" w:rsidRDefault="00654567" w:rsidP="00654567">
      <w:pPr>
        <w:pStyle w:val="afa"/>
        <w:ind w:firstLine="480"/>
      </w:pPr>
      <w:bookmarkStart w:id="725" w:name="_Hlk82897008"/>
      <w:r w:rsidRPr="00D630D1">
        <w:t>施工期地面开挖、回填、土石堆放和运输车辆行驶产生的扬尘（粉尘）、及施工机械、运输车辆排放的烟气、焊接废气</w:t>
      </w:r>
      <w:r w:rsidR="00FB2376" w:rsidRPr="00D630D1">
        <w:rPr>
          <w:rFonts w:hint="eastAsia"/>
        </w:rPr>
        <w:t>、气体钻粉尘、测试放喷废气</w:t>
      </w:r>
      <w:r w:rsidRPr="00D630D1">
        <w:t>以及放空废气将对大气环境产生轻微、暂时的影响。</w:t>
      </w:r>
    </w:p>
    <w:p w:rsidR="00700951" w:rsidRPr="00D630D1" w:rsidRDefault="00654567" w:rsidP="00654567">
      <w:pPr>
        <w:pStyle w:val="afa"/>
        <w:ind w:firstLine="480"/>
      </w:pPr>
      <w:r w:rsidRPr="00D630D1">
        <w:t>项目正常生产时，天然气处于完全密闭系统内，输气管道在正常生产时无废气产生和排放。</w:t>
      </w:r>
      <w:r w:rsidR="002C00AE">
        <w:rPr>
          <w:rFonts w:hint="eastAsia"/>
        </w:rPr>
        <w:t>普光</w:t>
      </w:r>
      <w:r w:rsidR="002C00AE">
        <w:rPr>
          <w:rFonts w:hint="eastAsia"/>
        </w:rPr>
        <w:t>12</w:t>
      </w:r>
      <w:r w:rsidR="002C00AE">
        <w:rPr>
          <w:rFonts w:hint="eastAsia"/>
        </w:rPr>
        <w:t>采气站</w:t>
      </w:r>
      <w:r w:rsidRPr="00D630D1">
        <w:t>正常工况下仅有水套炉废气产生，该水套炉所使用的天然气来源于净化厂净化后的天然气（不含硫），其主要污染物为</w:t>
      </w:r>
      <w:r w:rsidRPr="00D630D1">
        <w:t>NO</w:t>
      </w:r>
      <w:r w:rsidRPr="00D630D1">
        <w:rPr>
          <w:sz w:val="16"/>
          <w:szCs w:val="16"/>
        </w:rPr>
        <w:t>X</w:t>
      </w:r>
      <w:r w:rsidRPr="00D630D1">
        <w:t>，对周围大气环境影响较小。</w:t>
      </w:r>
    </w:p>
    <w:p w:rsidR="00117C3D" w:rsidRPr="00D630D1" w:rsidRDefault="008B5B84">
      <w:pPr>
        <w:pStyle w:val="3"/>
        <w:rPr>
          <w:rFonts w:eastAsia="宋体"/>
        </w:rPr>
      </w:pPr>
      <w:bookmarkStart w:id="726" w:name="_Toc19816170"/>
      <w:bookmarkStart w:id="727" w:name="_Toc12288850"/>
      <w:r w:rsidRPr="00D630D1">
        <w:rPr>
          <w:rFonts w:eastAsia="宋体"/>
        </w:rPr>
        <w:t>1</w:t>
      </w:r>
      <w:r w:rsidR="00796959" w:rsidRPr="00D630D1">
        <w:rPr>
          <w:rFonts w:eastAsia="宋体"/>
        </w:rPr>
        <w:t>1</w:t>
      </w:r>
      <w:r w:rsidRPr="00D630D1">
        <w:rPr>
          <w:rFonts w:eastAsia="宋体"/>
        </w:rPr>
        <w:t>.</w:t>
      </w:r>
      <w:r w:rsidR="00392E67" w:rsidRPr="00D630D1">
        <w:rPr>
          <w:rFonts w:eastAsia="宋体"/>
        </w:rPr>
        <w:t>6</w:t>
      </w:r>
      <w:r w:rsidRPr="00D630D1">
        <w:rPr>
          <w:rFonts w:eastAsia="宋体"/>
        </w:rPr>
        <w:t xml:space="preserve">.2 </w:t>
      </w:r>
      <w:r w:rsidRPr="00D630D1">
        <w:rPr>
          <w:rFonts w:eastAsia="宋体"/>
        </w:rPr>
        <w:t>地表水环境</w:t>
      </w:r>
      <w:bookmarkEnd w:id="726"/>
      <w:bookmarkEnd w:id="727"/>
    </w:p>
    <w:p w:rsidR="00117C3D" w:rsidRPr="00D630D1" w:rsidRDefault="00654567" w:rsidP="00654567">
      <w:pPr>
        <w:pStyle w:val="afa"/>
        <w:ind w:firstLine="480"/>
      </w:pPr>
      <w:r w:rsidRPr="00D630D1">
        <w:t>施工期：</w:t>
      </w:r>
      <w:r w:rsidR="00645A40" w:rsidRPr="00D630D1">
        <w:t>施工期管线施工人员生活污水依托租用附近居民房收集处理，井场</w:t>
      </w:r>
      <w:r w:rsidR="00FB2376" w:rsidRPr="00D630D1">
        <w:rPr>
          <w:rFonts w:hint="eastAsia"/>
        </w:rPr>
        <w:t>、钻井</w:t>
      </w:r>
      <w:r w:rsidR="00645A40" w:rsidRPr="00D630D1">
        <w:t>施工生活污水</w:t>
      </w:r>
      <w:r w:rsidR="00034734" w:rsidRPr="00D630D1">
        <w:rPr>
          <w:rFonts w:hint="eastAsia"/>
        </w:rPr>
        <w:t>经</w:t>
      </w:r>
      <w:r w:rsidR="00645A40" w:rsidRPr="00D630D1">
        <w:rPr>
          <w:rFonts w:hint="eastAsia"/>
        </w:rPr>
        <w:t>生态</w:t>
      </w:r>
      <w:r w:rsidR="00645A40" w:rsidRPr="00D630D1">
        <w:t>环保厕所收集后，用作周边农肥，不外排</w:t>
      </w:r>
      <w:r w:rsidRPr="00D630D1">
        <w:t>；清管试压废水经沉淀后</w:t>
      </w:r>
      <w:r w:rsidR="006F49C4" w:rsidRPr="00D630D1">
        <w:rPr>
          <w:rFonts w:hint="eastAsia"/>
        </w:rPr>
        <w:t>回用，不外排</w:t>
      </w:r>
      <w:r w:rsidRPr="00D630D1">
        <w:t>。对周边地表水环境影响较小</w:t>
      </w:r>
      <w:r w:rsidR="00FB2376" w:rsidRPr="00D630D1">
        <w:rPr>
          <w:rFonts w:hint="eastAsia"/>
        </w:rPr>
        <w:t>；</w:t>
      </w:r>
      <w:r w:rsidR="00FB2376" w:rsidRPr="00D630D1">
        <w:t>初期雨水</w:t>
      </w:r>
      <w:r w:rsidR="000C6323" w:rsidRPr="00D630D1">
        <w:rPr>
          <w:rFonts w:hint="eastAsia"/>
        </w:rPr>
        <w:t>经清洁化操作平台</w:t>
      </w:r>
      <w:r w:rsidR="00FB2376" w:rsidRPr="00D630D1">
        <w:t>处理达到毛开</w:t>
      </w:r>
      <w:r w:rsidR="00FB2376" w:rsidRPr="00D630D1">
        <w:t>1</w:t>
      </w:r>
      <w:r w:rsidR="00FB2376" w:rsidRPr="00D630D1">
        <w:t>井回注标准后回注</w:t>
      </w:r>
      <w:r w:rsidR="00FB2376" w:rsidRPr="00D630D1">
        <w:rPr>
          <w:rFonts w:hint="eastAsia"/>
        </w:rPr>
        <w:t>；钻井废水</w:t>
      </w:r>
      <w:r w:rsidR="000C6323" w:rsidRPr="00D630D1">
        <w:rPr>
          <w:rFonts w:hint="eastAsia"/>
        </w:rPr>
        <w:t>经清洁化操作平台</w:t>
      </w:r>
      <w:r w:rsidR="00FB2376" w:rsidRPr="00D630D1">
        <w:t>预处理后达到毛开</w:t>
      </w:r>
      <w:r w:rsidR="00FB2376" w:rsidRPr="00D630D1">
        <w:t>1</w:t>
      </w:r>
      <w:r w:rsidR="00FB2376" w:rsidRPr="00D630D1">
        <w:t>井回注标准后，拉运至毛开</w:t>
      </w:r>
      <w:r w:rsidR="00FB2376" w:rsidRPr="00D630D1">
        <w:t>1</w:t>
      </w:r>
      <w:r w:rsidR="00FB2376" w:rsidRPr="00D630D1">
        <w:t>井回注</w:t>
      </w:r>
      <w:r w:rsidR="00FB2376" w:rsidRPr="00D630D1">
        <w:rPr>
          <w:rFonts w:hint="eastAsia"/>
        </w:rPr>
        <w:t>；</w:t>
      </w:r>
      <w:r w:rsidR="00775840" w:rsidRPr="00D630D1">
        <w:rPr>
          <w:spacing w:val="-8"/>
          <w:szCs w:val="21"/>
        </w:rPr>
        <w:t>压裂废水和洗井废水</w:t>
      </w:r>
      <w:r w:rsidR="00775840" w:rsidRPr="00D630D1">
        <w:rPr>
          <w:rFonts w:hint="eastAsia"/>
          <w:spacing w:val="-8"/>
          <w:szCs w:val="21"/>
        </w:rPr>
        <w:t>部分</w:t>
      </w:r>
      <w:r w:rsidR="00775840" w:rsidRPr="00D630D1">
        <w:rPr>
          <w:spacing w:val="-8"/>
          <w:szCs w:val="21"/>
        </w:rPr>
        <w:t>暂存</w:t>
      </w:r>
      <w:r w:rsidR="00775840" w:rsidRPr="00D630D1">
        <w:rPr>
          <w:rFonts w:hint="eastAsia"/>
          <w:spacing w:val="-8"/>
          <w:szCs w:val="21"/>
        </w:rPr>
        <w:t>于放喷池，剩余部分暂存于污水缓冲罐</w:t>
      </w:r>
      <w:r w:rsidR="00775840" w:rsidRPr="00D630D1">
        <w:rPr>
          <w:spacing w:val="-8"/>
          <w:szCs w:val="21"/>
        </w:rPr>
        <w:t>，装车拉运至大湾</w:t>
      </w:r>
      <w:r w:rsidR="00775840" w:rsidRPr="00D630D1">
        <w:rPr>
          <w:spacing w:val="-8"/>
          <w:szCs w:val="21"/>
        </w:rPr>
        <w:t>403</w:t>
      </w:r>
      <w:r w:rsidR="00775840" w:rsidRPr="00D630D1">
        <w:rPr>
          <w:spacing w:val="-8"/>
          <w:szCs w:val="21"/>
        </w:rPr>
        <w:t>污水站处理达标后管输至毛开</w:t>
      </w:r>
      <w:r w:rsidR="00775840" w:rsidRPr="00D630D1">
        <w:rPr>
          <w:spacing w:val="-8"/>
          <w:szCs w:val="21"/>
        </w:rPr>
        <w:t>1</w:t>
      </w:r>
      <w:r w:rsidR="00775840" w:rsidRPr="00D630D1">
        <w:rPr>
          <w:spacing w:val="-8"/>
          <w:szCs w:val="21"/>
        </w:rPr>
        <w:t>井回注站回注</w:t>
      </w:r>
      <w:r w:rsidRPr="00D630D1">
        <w:t>。</w:t>
      </w:r>
    </w:p>
    <w:p w:rsidR="00654567" w:rsidRPr="00D630D1" w:rsidRDefault="008B5B84" w:rsidP="00654567">
      <w:pPr>
        <w:pStyle w:val="afa"/>
        <w:ind w:firstLine="480"/>
      </w:pPr>
      <w:r w:rsidRPr="00D630D1">
        <w:t>运营期</w:t>
      </w:r>
      <w:r w:rsidR="00654567" w:rsidRPr="00D630D1">
        <w:t>：</w:t>
      </w:r>
      <w:r w:rsidR="007200A5" w:rsidRPr="007200A5">
        <w:t>本项目运营期产生的气田水</w:t>
      </w:r>
      <w:r w:rsidR="007200A5" w:rsidRPr="007200A5">
        <w:rPr>
          <w:rFonts w:hint="eastAsia"/>
        </w:rPr>
        <w:t>暂存于污水缓冲罐</w:t>
      </w:r>
      <w:r w:rsidR="007200A5" w:rsidRPr="007200A5">
        <w:t>，然后通过密闭罐车拉运至大湾</w:t>
      </w:r>
      <w:r w:rsidR="007200A5" w:rsidRPr="007200A5">
        <w:t>403</w:t>
      </w:r>
      <w:r w:rsidR="007200A5" w:rsidRPr="007200A5">
        <w:t>污水站处理达到《气田水回注方法》（</w:t>
      </w:r>
      <w:r w:rsidR="007200A5" w:rsidRPr="007200A5">
        <w:t>SY/T 6596</w:t>
      </w:r>
      <w:r w:rsidR="007200A5" w:rsidRPr="007200A5">
        <w:rPr>
          <w:rFonts w:hint="eastAsia"/>
        </w:rPr>
        <w:t>-</w:t>
      </w:r>
      <w:r w:rsidR="007200A5" w:rsidRPr="007200A5">
        <w:t>2016</w:t>
      </w:r>
      <w:r w:rsidR="007200A5" w:rsidRPr="007200A5">
        <w:t>）中注入</w:t>
      </w:r>
      <w:r w:rsidR="007200A5" w:rsidRPr="007200A5">
        <w:lastRenderedPageBreak/>
        <w:t>水基本要求后管输至毛开</w:t>
      </w:r>
      <w:r w:rsidR="007200A5" w:rsidRPr="007200A5">
        <w:t>1</w:t>
      </w:r>
      <w:r w:rsidR="007200A5" w:rsidRPr="007200A5">
        <w:t>井回注站回注处理，不外排</w:t>
      </w:r>
      <w:r w:rsidR="007200A5">
        <w:rPr>
          <w:rFonts w:hint="eastAsia"/>
        </w:rPr>
        <w:t>；</w:t>
      </w:r>
      <w:r w:rsidR="007200A5" w:rsidRPr="007200A5">
        <w:rPr>
          <w:rFonts w:hint="eastAsia"/>
        </w:rPr>
        <w:t>值守</w:t>
      </w:r>
      <w:r w:rsidR="007200A5" w:rsidRPr="007200A5">
        <w:t>人员生活</w:t>
      </w:r>
      <w:r w:rsidR="007200A5" w:rsidRPr="007200A5">
        <w:rPr>
          <w:rFonts w:hint="eastAsia"/>
        </w:rPr>
        <w:t>污水经</w:t>
      </w:r>
      <w:r w:rsidR="007200A5" w:rsidRPr="007200A5">
        <w:t>生态环保厕所收集后，用作周边农肥，不外排</w:t>
      </w:r>
      <w:r w:rsidR="00006097" w:rsidRPr="00D630D1">
        <w:t>。</w:t>
      </w:r>
    </w:p>
    <w:p w:rsidR="00117C3D" w:rsidRPr="00D630D1" w:rsidRDefault="008B5B84">
      <w:pPr>
        <w:pStyle w:val="3"/>
        <w:rPr>
          <w:rFonts w:eastAsia="宋体"/>
        </w:rPr>
      </w:pPr>
      <w:bookmarkStart w:id="728" w:name="_Toc19816171"/>
      <w:bookmarkStart w:id="729" w:name="_Toc12288851"/>
      <w:r w:rsidRPr="00D630D1">
        <w:rPr>
          <w:rFonts w:eastAsia="宋体"/>
        </w:rPr>
        <w:t>1</w:t>
      </w:r>
      <w:r w:rsidR="00796959" w:rsidRPr="00D630D1">
        <w:rPr>
          <w:rFonts w:eastAsia="宋体"/>
        </w:rPr>
        <w:t>1</w:t>
      </w:r>
      <w:r w:rsidRPr="00D630D1">
        <w:rPr>
          <w:rFonts w:eastAsia="宋体"/>
        </w:rPr>
        <w:t>.</w:t>
      </w:r>
      <w:r w:rsidR="00392E67" w:rsidRPr="00D630D1">
        <w:rPr>
          <w:rFonts w:eastAsia="宋体"/>
        </w:rPr>
        <w:t>6</w:t>
      </w:r>
      <w:r w:rsidRPr="00D630D1">
        <w:rPr>
          <w:rFonts w:eastAsia="宋体"/>
        </w:rPr>
        <w:t xml:space="preserve">.3 </w:t>
      </w:r>
      <w:r w:rsidRPr="00D630D1">
        <w:rPr>
          <w:rFonts w:eastAsia="宋体"/>
        </w:rPr>
        <w:t>地下水环境</w:t>
      </w:r>
      <w:bookmarkEnd w:id="728"/>
      <w:bookmarkEnd w:id="729"/>
    </w:p>
    <w:p w:rsidR="00654567" w:rsidRPr="00D630D1" w:rsidRDefault="00654567" w:rsidP="00654567">
      <w:pPr>
        <w:pStyle w:val="afa"/>
        <w:ind w:firstLine="480"/>
      </w:pPr>
      <w:r w:rsidRPr="00D630D1">
        <w:t>施工期：本工程集气管线施工时开挖地表深度不超过</w:t>
      </w:r>
      <w:r w:rsidRPr="00D630D1">
        <w:t>1m</w:t>
      </w:r>
      <w:r w:rsidRPr="00D630D1">
        <w:t>，主要以砂土、粘土和碎块石为主，不涉及地下水。</w:t>
      </w:r>
      <w:r w:rsidR="00FB2376" w:rsidRPr="00D630D1">
        <w:rPr>
          <w:rFonts w:hint="eastAsia"/>
        </w:rPr>
        <w:t>钻井施工期，对</w:t>
      </w:r>
      <w:r w:rsidR="00DB6EC5" w:rsidRPr="00D630D1">
        <w:rPr>
          <w:rFonts w:hint="eastAsia"/>
        </w:rPr>
        <w:t>柴油储罐</w:t>
      </w:r>
      <w:r w:rsidR="00D53C0D">
        <w:rPr>
          <w:rFonts w:hint="eastAsia"/>
        </w:rPr>
        <w:t>、凝析油储罐</w:t>
      </w:r>
      <w:r w:rsidR="00DB6EC5" w:rsidRPr="00D630D1">
        <w:rPr>
          <w:rFonts w:hint="eastAsia"/>
        </w:rPr>
        <w:t>、污水缓冲罐</w:t>
      </w:r>
      <w:r w:rsidR="00FB2376" w:rsidRPr="00D630D1">
        <w:t>和</w:t>
      </w:r>
      <w:r w:rsidR="00DB6EC5" w:rsidRPr="00D630D1">
        <w:rPr>
          <w:rFonts w:hint="eastAsia"/>
        </w:rPr>
        <w:t>放喷</w:t>
      </w:r>
      <w:r w:rsidR="00FB2376" w:rsidRPr="00D630D1">
        <w:t>池的防渗处理，渗透系数</w:t>
      </w:r>
      <w:r w:rsidR="00FB2376" w:rsidRPr="00D630D1">
        <w:t>≤10</w:t>
      </w:r>
      <w:r w:rsidR="00FB2376" w:rsidRPr="00D630D1">
        <w:rPr>
          <w:vertAlign w:val="superscript"/>
        </w:rPr>
        <w:t>-7</w:t>
      </w:r>
      <w:r w:rsidR="00FB2376" w:rsidRPr="00D630D1">
        <w:t>cm/s</w:t>
      </w:r>
      <w:r w:rsidR="00FB2376" w:rsidRPr="00D630D1">
        <w:t>，</w:t>
      </w:r>
      <w:r w:rsidR="00DB6EC5" w:rsidRPr="00D630D1">
        <w:rPr>
          <w:rFonts w:hint="eastAsia"/>
        </w:rPr>
        <w:t>柴油储罐</w:t>
      </w:r>
      <w:r w:rsidR="00D53C0D">
        <w:rPr>
          <w:rFonts w:hint="eastAsia"/>
        </w:rPr>
        <w:t>、凝析油储罐</w:t>
      </w:r>
      <w:r w:rsidR="00DB6EC5" w:rsidRPr="00D630D1">
        <w:rPr>
          <w:rFonts w:hint="eastAsia"/>
        </w:rPr>
        <w:t>、污水缓冲罐</w:t>
      </w:r>
      <w:r w:rsidR="00FB2376" w:rsidRPr="00D630D1">
        <w:t>设置围堰，及时收集处理事故废水，杜绝事故废水流入周边环境</w:t>
      </w:r>
      <w:r w:rsidRPr="00D630D1">
        <w:t>。因此，本工程施工期不会对区域地下水环境造成影响。</w:t>
      </w:r>
    </w:p>
    <w:p w:rsidR="00117C3D" w:rsidRPr="00D630D1" w:rsidRDefault="00654567" w:rsidP="00654567">
      <w:pPr>
        <w:pStyle w:val="afa"/>
        <w:ind w:firstLine="480"/>
      </w:pPr>
      <w:r w:rsidRPr="00D630D1">
        <w:t>营运期：井站采取相应防渗措施后，确保不对周边地下水造成污染。集输过程中，加强各项措施落实情况的监督和管理，防止造成地下水水质污染。项目运营期间不会对区域地下水环境造成影响。</w:t>
      </w:r>
    </w:p>
    <w:p w:rsidR="00117C3D" w:rsidRPr="00D630D1" w:rsidRDefault="008B5B84">
      <w:pPr>
        <w:pStyle w:val="3"/>
        <w:rPr>
          <w:rFonts w:eastAsia="宋体"/>
        </w:rPr>
      </w:pPr>
      <w:bookmarkStart w:id="730" w:name="_Toc19816172"/>
      <w:bookmarkStart w:id="731" w:name="_Toc12288852"/>
      <w:r w:rsidRPr="00D630D1">
        <w:rPr>
          <w:rFonts w:eastAsia="宋体"/>
        </w:rPr>
        <w:t>1</w:t>
      </w:r>
      <w:r w:rsidR="00796959" w:rsidRPr="00D630D1">
        <w:rPr>
          <w:rFonts w:eastAsia="宋体"/>
        </w:rPr>
        <w:t>1</w:t>
      </w:r>
      <w:r w:rsidRPr="00D630D1">
        <w:rPr>
          <w:rFonts w:eastAsia="宋体"/>
        </w:rPr>
        <w:t>.</w:t>
      </w:r>
      <w:r w:rsidR="00392E67" w:rsidRPr="00D630D1">
        <w:rPr>
          <w:rFonts w:eastAsia="宋体"/>
        </w:rPr>
        <w:t>6</w:t>
      </w:r>
      <w:r w:rsidRPr="00D630D1">
        <w:rPr>
          <w:rFonts w:eastAsia="宋体"/>
        </w:rPr>
        <w:t xml:space="preserve">.4 </w:t>
      </w:r>
      <w:r w:rsidRPr="00D630D1">
        <w:rPr>
          <w:rFonts w:eastAsia="宋体"/>
        </w:rPr>
        <w:t>声环境</w:t>
      </w:r>
      <w:bookmarkEnd w:id="730"/>
      <w:bookmarkEnd w:id="731"/>
    </w:p>
    <w:p w:rsidR="00654567" w:rsidRPr="00D630D1" w:rsidRDefault="00654567" w:rsidP="00654567">
      <w:pPr>
        <w:pStyle w:val="afa"/>
        <w:ind w:firstLine="480"/>
      </w:pPr>
      <w:r w:rsidRPr="00D630D1">
        <w:t>施工期：施工噪声对周边环境的影响有一定影响，但时间较短，影响可接受。</w:t>
      </w:r>
    </w:p>
    <w:p w:rsidR="00117C3D" w:rsidRPr="00D630D1" w:rsidRDefault="00654567" w:rsidP="00654567">
      <w:pPr>
        <w:pStyle w:val="afa"/>
        <w:ind w:firstLine="480"/>
      </w:pPr>
      <w:r w:rsidRPr="00D630D1">
        <w:t>营运期：工程完工后井站内噪声源经基础减振和距离衰减后，各场界噪声均满足噪声《工业企业厂界环境噪声排放标准》</w:t>
      </w:r>
      <w:r w:rsidR="008969DA" w:rsidRPr="00D630D1">
        <w:rPr>
          <w:rFonts w:hint="eastAsia"/>
        </w:rPr>
        <w:t>（</w:t>
      </w:r>
      <w:r w:rsidR="008969DA" w:rsidRPr="00D630D1">
        <w:t>GB12348-2008</w:t>
      </w:r>
      <w:r w:rsidR="008969DA" w:rsidRPr="00D630D1">
        <w:rPr>
          <w:rFonts w:hint="eastAsia"/>
        </w:rPr>
        <w:t>）</w:t>
      </w:r>
      <w:r w:rsidRPr="00D630D1">
        <w:t>中</w:t>
      </w:r>
      <w:r w:rsidRPr="00D630D1">
        <w:t>2</w:t>
      </w:r>
      <w:r w:rsidRPr="00D630D1">
        <w:t>类标准限值要求，</w:t>
      </w:r>
      <w:r w:rsidR="00DB2055" w:rsidRPr="00D630D1">
        <w:rPr>
          <w:rFonts w:hint="eastAsia"/>
        </w:rPr>
        <w:t>放空时及时疏散附近居民，</w:t>
      </w:r>
      <w:r w:rsidRPr="00D630D1">
        <w:t>对环境影响较小。</w:t>
      </w:r>
    </w:p>
    <w:p w:rsidR="00117C3D" w:rsidRPr="00D630D1" w:rsidRDefault="008B5B84">
      <w:pPr>
        <w:pStyle w:val="3"/>
        <w:rPr>
          <w:rFonts w:eastAsia="宋体"/>
        </w:rPr>
      </w:pPr>
      <w:bookmarkStart w:id="732" w:name="_Toc19816173"/>
      <w:bookmarkStart w:id="733" w:name="_Toc12288853"/>
      <w:r w:rsidRPr="00D630D1">
        <w:rPr>
          <w:rFonts w:eastAsia="宋体"/>
        </w:rPr>
        <w:t>1</w:t>
      </w:r>
      <w:r w:rsidR="00796959" w:rsidRPr="00D630D1">
        <w:rPr>
          <w:rFonts w:eastAsia="宋体"/>
        </w:rPr>
        <w:t>1</w:t>
      </w:r>
      <w:r w:rsidRPr="00D630D1">
        <w:rPr>
          <w:rFonts w:eastAsia="宋体"/>
        </w:rPr>
        <w:t>.</w:t>
      </w:r>
      <w:r w:rsidR="00392E67" w:rsidRPr="00D630D1">
        <w:rPr>
          <w:rFonts w:eastAsia="宋体"/>
        </w:rPr>
        <w:t>6</w:t>
      </w:r>
      <w:r w:rsidRPr="00D630D1">
        <w:rPr>
          <w:rFonts w:eastAsia="宋体"/>
        </w:rPr>
        <w:t xml:space="preserve">.5 </w:t>
      </w:r>
      <w:r w:rsidRPr="00D630D1">
        <w:rPr>
          <w:rFonts w:eastAsia="宋体"/>
        </w:rPr>
        <w:t>固体废物</w:t>
      </w:r>
      <w:bookmarkEnd w:id="732"/>
      <w:bookmarkEnd w:id="733"/>
    </w:p>
    <w:p w:rsidR="00654567" w:rsidRPr="00D630D1" w:rsidRDefault="00654567" w:rsidP="00654567">
      <w:pPr>
        <w:pStyle w:val="a1"/>
        <w:ind w:firstLine="480"/>
        <w:rPr>
          <w:rFonts w:ascii="Times New Roman" w:cs="Times New Roman"/>
        </w:rPr>
      </w:pPr>
      <w:r w:rsidRPr="00D630D1">
        <w:rPr>
          <w:rFonts w:ascii="Times New Roman" w:cs="Times New Roman"/>
        </w:rPr>
        <w:t>施工期：施工人员生活垃圾交由环卫部门处理；</w:t>
      </w:r>
      <w:r w:rsidR="00035E91" w:rsidRPr="00D630D1">
        <w:rPr>
          <w:rFonts w:ascii="Times New Roman" w:cs="Times New Roman" w:hint="eastAsia"/>
        </w:rPr>
        <w:t>管沟开挖</w:t>
      </w:r>
      <w:r w:rsidRPr="00D630D1">
        <w:rPr>
          <w:rFonts w:ascii="Times New Roman" w:cs="Times New Roman"/>
        </w:rPr>
        <w:t>全部回填，无弃方产生，</w:t>
      </w:r>
      <w:r w:rsidR="00987595" w:rsidRPr="00D630D1">
        <w:rPr>
          <w:rFonts w:ascii="Times New Roman" w:cs="Times New Roman"/>
        </w:rPr>
        <w:t>施工废料部分回收利用，剩余废料依托当地环卫部门处置</w:t>
      </w:r>
      <w:r w:rsidR="00FB2376" w:rsidRPr="00D630D1">
        <w:rPr>
          <w:rFonts w:ascii="Times New Roman" w:cs="Times New Roman" w:hint="eastAsia"/>
        </w:rPr>
        <w:t>，</w:t>
      </w:r>
      <w:r w:rsidR="00A62354" w:rsidRPr="00A62354">
        <w:rPr>
          <w:rFonts w:ascii="Times New Roman" w:cs="Times New Roman"/>
        </w:rPr>
        <w:t>本项目采取清洁化操作平台，</w:t>
      </w:r>
      <w:r w:rsidR="00A62354" w:rsidRPr="00A62354">
        <w:rPr>
          <w:rFonts w:ascii="Times New Roman" w:cs="Times New Roman"/>
          <w:bCs/>
        </w:rPr>
        <w:t>并采取泥浆不落地措施</w:t>
      </w:r>
      <w:r w:rsidR="00A62354" w:rsidRPr="00A62354">
        <w:rPr>
          <w:rFonts w:ascii="Times New Roman" w:cs="Times New Roman"/>
        </w:rPr>
        <w:t>，</w:t>
      </w:r>
      <w:r w:rsidR="00A62354" w:rsidRPr="00A62354">
        <w:rPr>
          <w:rFonts w:ascii="Times New Roman" w:cs="Times New Roman" w:hint="eastAsia"/>
        </w:rPr>
        <w:t>废水基泥浆、水基岩屑</w:t>
      </w:r>
      <w:r w:rsidR="00A62354" w:rsidRPr="00A62354">
        <w:rPr>
          <w:rFonts w:ascii="Times New Roman" w:cs="Times New Roman"/>
        </w:rPr>
        <w:t>按照《达州市生态环境局办公室关于</w:t>
      </w:r>
      <w:r w:rsidR="00A62354" w:rsidRPr="00A62354">
        <w:rPr>
          <w:rFonts w:ascii="Times New Roman" w:cs="Times New Roman" w:hint="eastAsia"/>
        </w:rPr>
        <w:t>进一步</w:t>
      </w:r>
      <w:r w:rsidR="00A62354" w:rsidRPr="00A62354">
        <w:rPr>
          <w:rFonts w:ascii="Times New Roman" w:cs="Times New Roman"/>
        </w:rPr>
        <w:t>加强固体废物污染防治工作的通知》（达市环办发〔</w:t>
      </w:r>
      <w:r w:rsidR="00A62354" w:rsidRPr="00A62354">
        <w:rPr>
          <w:rFonts w:ascii="Times New Roman" w:cs="Times New Roman"/>
        </w:rPr>
        <w:t>20</w:t>
      </w:r>
      <w:r w:rsidR="00A62354" w:rsidRPr="00A62354">
        <w:rPr>
          <w:rFonts w:ascii="Times New Roman" w:cs="Times New Roman" w:hint="eastAsia"/>
        </w:rPr>
        <w:t>21</w:t>
      </w:r>
      <w:r w:rsidR="00A62354" w:rsidRPr="00A62354">
        <w:rPr>
          <w:rFonts w:ascii="Times New Roman" w:cs="Times New Roman"/>
        </w:rPr>
        <w:t>〕</w:t>
      </w:r>
      <w:r w:rsidR="00A62354" w:rsidRPr="00A62354">
        <w:rPr>
          <w:rFonts w:ascii="Times New Roman" w:cs="Times New Roman" w:hint="eastAsia"/>
        </w:rPr>
        <w:t>24</w:t>
      </w:r>
      <w:r w:rsidR="00A62354" w:rsidRPr="00A62354">
        <w:rPr>
          <w:rFonts w:ascii="Times New Roman" w:cs="Times New Roman"/>
        </w:rPr>
        <w:t>号）要求，就近交给依法取得生态环境部门关于利用和处置相关工业固体废物项目环评批复、具有处理处置相应固体废物能力并配套建设有废气、废水、固废等污染物治理设施的单位</w:t>
      </w:r>
      <w:r w:rsidR="00A62354">
        <w:rPr>
          <w:rFonts w:ascii="Times New Roman" w:cs="Times New Roman" w:hint="eastAsia"/>
        </w:rPr>
        <w:t>进行资源化利用</w:t>
      </w:r>
      <w:r w:rsidR="00FB2376" w:rsidRPr="00D630D1">
        <w:rPr>
          <w:rFonts w:ascii="Times New Roman" w:cs="Times New Roman" w:hint="eastAsia"/>
        </w:rPr>
        <w:t>；</w:t>
      </w:r>
      <w:r w:rsidR="00A62354" w:rsidRPr="00A62354">
        <w:rPr>
          <w:rFonts w:ascii="Times New Roman" w:cs="Times New Roman" w:hint="eastAsia"/>
        </w:rPr>
        <w:t>废</w:t>
      </w:r>
      <w:r w:rsidR="00A62354">
        <w:rPr>
          <w:rFonts w:ascii="Times New Roman" w:cs="Times New Roman" w:hint="eastAsia"/>
        </w:rPr>
        <w:t>油</w:t>
      </w:r>
      <w:r w:rsidR="00A62354" w:rsidRPr="00A62354">
        <w:rPr>
          <w:rFonts w:ascii="Times New Roman" w:cs="Times New Roman" w:hint="eastAsia"/>
        </w:rPr>
        <w:t>基泥浆、</w:t>
      </w:r>
      <w:r w:rsidR="00A62354">
        <w:rPr>
          <w:rFonts w:ascii="Times New Roman" w:cs="Times New Roman" w:hint="eastAsia"/>
        </w:rPr>
        <w:t>油</w:t>
      </w:r>
      <w:r w:rsidR="00A62354" w:rsidRPr="00A62354">
        <w:rPr>
          <w:rFonts w:ascii="Times New Roman" w:cs="Times New Roman" w:hint="eastAsia"/>
        </w:rPr>
        <w:t>基岩屑</w:t>
      </w:r>
      <w:r w:rsidR="00A62354">
        <w:rPr>
          <w:rFonts w:ascii="Times New Roman" w:cs="Times New Roman" w:hint="eastAsia"/>
        </w:rPr>
        <w:t>、</w:t>
      </w:r>
      <w:r w:rsidR="00FB2376" w:rsidRPr="00D630D1">
        <w:rPr>
          <w:rFonts w:ascii="Times New Roman" w:cs="Times New Roman" w:hint="eastAsia"/>
        </w:rPr>
        <w:t>废油</w:t>
      </w:r>
      <w:r w:rsidR="00FB2376" w:rsidRPr="00D630D1">
        <w:rPr>
          <w:rFonts w:ascii="Times New Roman" w:cs="Times New Roman"/>
        </w:rPr>
        <w:t>委托有资质单位进行处理</w:t>
      </w:r>
      <w:r w:rsidRPr="00D630D1">
        <w:rPr>
          <w:rFonts w:ascii="Times New Roman" w:cs="Times New Roman"/>
        </w:rPr>
        <w:t>。</w:t>
      </w:r>
    </w:p>
    <w:p w:rsidR="00654567" w:rsidRPr="00D630D1" w:rsidRDefault="00654567" w:rsidP="00654567">
      <w:pPr>
        <w:pStyle w:val="afa"/>
        <w:ind w:firstLine="480"/>
      </w:pPr>
      <w:r w:rsidRPr="00D630D1">
        <w:t>营运期：清管废渣、检修废渣主要为机械杂质等，其主要成分为氧化铁粉末，属一般固体废物，集中收集后交由检修作业单位集中处置</w:t>
      </w:r>
      <w:r w:rsidR="00D53C0D">
        <w:rPr>
          <w:rFonts w:hint="eastAsia"/>
        </w:rPr>
        <w:t>；凝析油作为副产品外售</w:t>
      </w:r>
      <w:r w:rsidRPr="00D630D1">
        <w:t>；</w:t>
      </w:r>
      <w:r w:rsidR="002C00AE">
        <w:rPr>
          <w:rFonts w:hint="eastAsia"/>
        </w:rPr>
        <w:t>普光</w:t>
      </w:r>
      <w:r w:rsidR="002C00AE">
        <w:rPr>
          <w:rFonts w:hint="eastAsia"/>
        </w:rPr>
        <w:t>12</w:t>
      </w:r>
      <w:r w:rsidR="002C00AE">
        <w:rPr>
          <w:rFonts w:hint="eastAsia"/>
        </w:rPr>
        <w:t>采气站</w:t>
      </w:r>
      <w:r w:rsidRPr="00D630D1">
        <w:t>工作人员生活垃圾用垃圾桶收集，委托当地环卫部门清运处置。</w:t>
      </w:r>
    </w:p>
    <w:p w:rsidR="00117C3D" w:rsidRPr="00D630D1" w:rsidRDefault="008B5B84">
      <w:pPr>
        <w:pStyle w:val="3"/>
        <w:rPr>
          <w:rFonts w:eastAsia="宋体"/>
        </w:rPr>
      </w:pPr>
      <w:bookmarkStart w:id="734" w:name="_Toc19816174"/>
      <w:bookmarkStart w:id="735" w:name="_Toc12288854"/>
      <w:r w:rsidRPr="00D630D1">
        <w:rPr>
          <w:rFonts w:eastAsia="宋体"/>
        </w:rPr>
        <w:lastRenderedPageBreak/>
        <w:t>1</w:t>
      </w:r>
      <w:r w:rsidR="00796959" w:rsidRPr="00D630D1">
        <w:rPr>
          <w:rFonts w:eastAsia="宋体"/>
        </w:rPr>
        <w:t>1</w:t>
      </w:r>
      <w:r w:rsidRPr="00D630D1">
        <w:rPr>
          <w:rFonts w:eastAsia="宋体"/>
        </w:rPr>
        <w:t>.</w:t>
      </w:r>
      <w:r w:rsidR="00392E67" w:rsidRPr="00D630D1">
        <w:rPr>
          <w:rFonts w:eastAsia="宋体"/>
        </w:rPr>
        <w:t>6</w:t>
      </w:r>
      <w:r w:rsidRPr="00D630D1">
        <w:rPr>
          <w:rFonts w:eastAsia="宋体"/>
        </w:rPr>
        <w:t xml:space="preserve">.6 </w:t>
      </w:r>
      <w:r w:rsidRPr="00D630D1">
        <w:rPr>
          <w:rFonts w:eastAsia="宋体"/>
        </w:rPr>
        <w:t>生态环境</w:t>
      </w:r>
      <w:bookmarkEnd w:id="734"/>
      <w:bookmarkEnd w:id="735"/>
    </w:p>
    <w:p w:rsidR="00654567" w:rsidRPr="00D630D1" w:rsidRDefault="00654567" w:rsidP="00654567">
      <w:pPr>
        <w:pStyle w:val="afa"/>
        <w:ind w:firstLine="480"/>
      </w:pPr>
      <w:r w:rsidRPr="00D630D1">
        <w:t>施工期对环境的影响主要表现为输气管道开挖和站场永久占地对土壤、植被、水土流失等的影响。工程的建设将改变了项目区部分土地的利用性质。造成生物量的减少；管道施工开挖土方引起土壤结构、土壤紧实度、土壤养分变化，同时，防腐材料和施工废弃物也会对土壤的理化性质产生影响。管线评价范围内无珍稀野生动物分布，也没有涉及野生动物的通道、栖息地等敏感场所。永久占地不涉及</w:t>
      </w:r>
      <w:r w:rsidR="005B4B8C" w:rsidRPr="00D630D1">
        <w:t>永久</w:t>
      </w:r>
      <w:r w:rsidRPr="00D630D1">
        <w:t>基本农田，不会对农业生态系统有明显影响。工程建成后不会对整个评价区的生态完整性产生影响，生物多样性的影响也很小，属可接受范围；工程的建设不会造成物种缺失，不会影响生物迁徒和物质能量流，也无须预留通道。该项目涉及的生态系统的结构和功能没有受到影响，在干扰之后可以较好的恢复，没有显著的生态问题。</w:t>
      </w:r>
    </w:p>
    <w:p w:rsidR="00117C3D" w:rsidRPr="00D630D1" w:rsidRDefault="008B5B84" w:rsidP="00796959">
      <w:pPr>
        <w:pStyle w:val="2"/>
        <w:spacing w:before="120"/>
        <w:rPr>
          <w:rFonts w:cs="Times New Roman"/>
        </w:rPr>
      </w:pPr>
      <w:bookmarkStart w:id="736" w:name="bookmark91"/>
      <w:bookmarkStart w:id="737" w:name="_Toc12288856"/>
      <w:bookmarkStart w:id="738" w:name="_Toc19816176"/>
      <w:bookmarkStart w:id="739" w:name="_Toc81515323"/>
      <w:bookmarkEnd w:id="725"/>
      <w:bookmarkEnd w:id="736"/>
      <w:r w:rsidRPr="00D630D1">
        <w:rPr>
          <w:rFonts w:cs="Times New Roman"/>
        </w:rPr>
        <w:t>1</w:t>
      </w:r>
      <w:r w:rsidR="00796959" w:rsidRPr="00D630D1">
        <w:rPr>
          <w:rFonts w:cs="Times New Roman"/>
        </w:rPr>
        <w:t>1</w:t>
      </w:r>
      <w:r w:rsidRPr="00D630D1">
        <w:rPr>
          <w:rFonts w:cs="Times New Roman"/>
        </w:rPr>
        <w:t>.</w:t>
      </w:r>
      <w:r w:rsidR="00392E67" w:rsidRPr="00D630D1">
        <w:rPr>
          <w:rFonts w:cs="Times New Roman"/>
        </w:rPr>
        <w:t>7</w:t>
      </w:r>
      <w:r w:rsidRPr="00D630D1">
        <w:rPr>
          <w:rFonts w:cs="Times New Roman"/>
        </w:rPr>
        <w:t xml:space="preserve"> </w:t>
      </w:r>
      <w:r w:rsidRPr="00D630D1">
        <w:rPr>
          <w:rFonts w:cs="Times New Roman"/>
        </w:rPr>
        <w:t>环保措施及经济技术论证</w:t>
      </w:r>
      <w:bookmarkEnd w:id="737"/>
      <w:bookmarkEnd w:id="738"/>
      <w:bookmarkEnd w:id="739"/>
    </w:p>
    <w:p w:rsidR="00117C3D" w:rsidRPr="00D630D1" w:rsidRDefault="008B5B84">
      <w:pPr>
        <w:pStyle w:val="a1"/>
        <w:ind w:firstLine="480"/>
        <w:rPr>
          <w:rFonts w:ascii="Times New Roman" w:cs="Times New Roman"/>
        </w:rPr>
      </w:pPr>
      <w:r w:rsidRPr="00D630D1">
        <w:rPr>
          <w:rFonts w:ascii="Times New Roman" w:cs="Times New Roman"/>
        </w:rPr>
        <w:t>在本报告书的第</w:t>
      </w:r>
      <w:r w:rsidR="00796959" w:rsidRPr="00D630D1">
        <w:rPr>
          <w:rFonts w:ascii="Times New Roman" w:cs="Times New Roman"/>
        </w:rPr>
        <w:t>8</w:t>
      </w:r>
      <w:r w:rsidRPr="00D630D1">
        <w:rPr>
          <w:rFonts w:ascii="Times New Roman" w:cs="Times New Roman"/>
        </w:rPr>
        <w:t>章就本项目的生态、大气、地表水、声环境、固体废物等几个方面对本工程拟采用的环保措施进行了分析，分析认为工程拟采用的各项环保措施能够满足环境保护的要求，经济技术可行。本项目环保投资</w:t>
      </w:r>
      <w:r w:rsidR="00D53C0D">
        <w:rPr>
          <w:rFonts w:ascii="Times New Roman" w:cs="Times New Roman" w:hint="eastAsia"/>
        </w:rPr>
        <w:t>187</w:t>
      </w:r>
      <w:r w:rsidR="0013448D" w:rsidRPr="00D630D1">
        <w:rPr>
          <w:rFonts w:ascii="Times New Roman" w:cs="Times New Roman"/>
        </w:rPr>
        <w:t>0</w:t>
      </w:r>
      <w:r w:rsidRPr="00D630D1">
        <w:rPr>
          <w:rFonts w:ascii="Times New Roman" w:cs="Times New Roman"/>
        </w:rPr>
        <w:t>万元，占工程总投资的</w:t>
      </w:r>
      <w:r w:rsidR="00D53C0D">
        <w:rPr>
          <w:rFonts w:ascii="Times New Roman" w:cs="Times New Roman" w:hint="eastAsia"/>
        </w:rPr>
        <w:t>4.9</w:t>
      </w:r>
      <w:r w:rsidR="00796959" w:rsidRPr="00D630D1">
        <w:rPr>
          <w:rFonts w:ascii="Times New Roman" w:cs="Times New Roman"/>
        </w:rPr>
        <w:t>%</w:t>
      </w:r>
      <w:r w:rsidRPr="00D630D1">
        <w:rPr>
          <w:rFonts w:ascii="Times New Roman" w:cs="Times New Roman"/>
        </w:rPr>
        <w:t>。</w:t>
      </w:r>
    </w:p>
    <w:p w:rsidR="00117C3D" w:rsidRPr="00D630D1" w:rsidRDefault="008B5B84" w:rsidP="00BE1207">
      <w:pPr>
        <w:pStyle w:val="2"/>
        <w:spacing w:before="120"/>
        <w:rPr>
          <w:rFonts w:cs="Times New Roman"/>
        </w:rPr>
      </w:pPr>
      <w:bookmarkStart w:id="740" w:name="bookmark92"/>
      <w:bookmarkStart w:id="741" w:name="_Toc12288857"/>
      <w:bookmarkStart w:id="742" w:name="_Toc19816177"/>
      <w:bookmarkStart w:id="743" w:name="_Toc81515324"/>
      <w:bookmarkEnd w:id="740"/>
      <w:r w:rsidRPr="00D630D1">
        <w:rPr>
          <w:rFonts w:cs="Times New Roman"/>
        </w:rPr>
        <w:t>1</w:t>
      </w:r>
      <w:r w:rsidR="00BE1207" w:rsidRPr="00D630D1">
        <w:rPr>
          <w:rFonts w:cs="Times New Roman"/>
        </w:rPr>
        <w:t>1</w:t>
      </w:r>
      <w:r w:rsidRPr="00D630D1">
        <w:rPr>
          <w:rFonts w:cs="Times New Roman"/>
        </w:rPr>
        <w:t>.</w:t>
      </w:r>
      <w:r w:rsidR="00392E67" w:rsidRPr="00D630D1">
        <w:rPr>
          <w:rFonts w:cs="Times New Roman"/>
        </w:rPr>
        <w:t>8</w:t>
      </w:r>
      <w:r w:rsidRPr="00D630D1">
        <w:rPr>
          <w:rFonts w:cs="Times New Roman"/>
        </w:rPr>
        <w:t xml:space="preserve"> </w:t>
      </w:r>
      <w:r w:rsidRPr="00D630D1">
        <w:rPr>
          <w:rFonts w:cs="Times New Roman"/>
        </w:rPr>
        <w:t>环境风险</w:t>
      </w:r>
      <w:bookmarkEnd w:id="741"/>
      <w:bookmarkEnd w:id="742"/>
      <w:r w:rsidRPr="00D630D1">
        <w:rPr>
          <w:rFonts w:cs="Times New Roman"/>
        </w:rPr>
        <w:t>评价结论</w:t>
      </w:r>
      <w:bookmarkEnd w:id="743"/>
    </w:p>
    <w:p w:rsidR="00117C3D" w:rsidRPr="00D630D1" w:rsidRDefault="008B5B84">
      <w:pPr>
        <w:pStyle w:val="a1"/>
        <w:ind w:firstLine="480"/>
        <w:rPr>
          <w:rFonts w:ascii="Times New Roman" w:cs="Times New Roman"/>
        </w:rPr>
      </w:pPr>
      <w:r w:rsidRPr="00D630D1">
        <w:rPr>
          <w:rFonts w:ascii="Times New Roman" w:cs="Times New Roman"/>
        </w:rPr>
        <w:t>本工程通过采取报告中提出的各项环境风险防范措施，其发生事故的概率较低，在落实应急预案后，能将事故危害降至最低。因此，从环境风险的角度分析，本项目的风险水平是可以接受的。</w:t>
      </w:r>
    </w:p>
    <w:p w:rsidR="00117C3D" w:rsidRPr="00D630D1" w:rsidRDefault="008B5B84" w:rsidP="00BE1207">
      <w:pPr>
        <w:pStyle w:val="2"/>
        <w:spacing w:before="120"/>
        <w:rPr>
          <w:rFonts w:cs="Times New Roman"/>
        </w:rPr>
      </w:pPr>
      <w:bookmarkStart w:id="744" w:name="bookmark93"/>
      <w:bookmarkStart w:id="745" w:name="_Toc12288858"/>
      <w:bookmarkStart w:id="746" w:name="_Toc19816178"/>
      <w:bookmarkStart w:id="747" w:name="_Toc81515325"/>
      <w:bookmarkEnd w:id="744"/>
      <w:r w:rsidRPr="00D630D1">
        <w:rPr>
          <w:rFonts w:cs="Times New Roman"/>
        </w:rPr>
        <w:t>1</w:t>
      </w:r>
      <w:r w:rsidR="00BE1207" w:rsidRPr="00D630D1">
        <w:rPr>
          <w:rFonts w:cs="Times New Roman"/>
        </w:rPr>
        <w:t>1</w:t>
      </w:r>
      <w:r w:rsidRPr="00D630D1">
        <w:rPr>
          <w:rFonts w:cs="Times New Roman"/>
        </w:rPr>
        <w:t>.</w:t>
      </w:r>
      <w:r w:rsidR="00392E67" w:rsidRPr="00D630D1">
        <w:rPr>
          <w:rFonts w:cs="Times New Roman"/>
        </w:rPr>
        <w:t>9</w:t>
      </w:r>
      <w:r w:rsidRPr="00D630D1">
        <w:rPr>
          <w:rFonts w:cs="Times New Roman"/>
        </w:rPr>
        <w:t xml:space="preserve"> </w:t>
      </w:r>
      <w:r w:rsidRPr="00D630D1">
        <w:rPr>
          <w:rFonts w:cs="Times New Roman"/>
        </w:rPr>
        <w:t>选线、选址的环境可行性</w:t>
      </w:r>
      <w:bookmarkEnd w:id="745"/>
      <w:bookmarkEnd w:id="746"/>
      <w:bookmarkEnd w:id="747"/>
    </w:p>
    <w:p w:rsidR="00117C3D" w:rsidRPr="00D630D1" w:rsidRDefault="00654567" w:rsidP="00654567">
      <w:pPr>
        <w:pStyle w:val="afa"/>
        <w:ind w:firstLine="480"/>
      </w:pPr>
      <w:r w:rsidRPr="00D630D1">
        <w:t>本项目的选址、选线符合国家的相关法律法规，符合国家的产业政策和相关规划，本工程管道沿线交通发达，评价区域内不涉及风景名胜和文物古迹，拟建管道沿线</w:t>
      </w:r>
      <w:r w:rsidRPr="00D630D1">
        <w:t>200m</w:t>
      </w:r>
      <w:r w:rsidRPr="00D630D1">
        <w:t>带宽范围内未发现不良地质构造。项目建成后所在区域的环境功能不会发生大的改变，对环境敏感目标的影响属可接受的范围。因此，本项目的选址、选线从环保角度认为可行。</w:t>
      </w:r>
    </w:p>
    <w:p w:rsidR="00117C3D" w:rsidRPr="00D630D1" w:rsidRDefault="008B5B84" w:rsidP="00BE1207">
      <w:pPr>
        <w:pStyle w:val="2"/>
        <w:spacing w:before="120"/>
        <w:rPr>
          <w:rFonts w:cs="Times New Roman"/>
        </w:rPr>
      </w:pPr>
      <w:bookmarkStart w:id="748" w:name="bookmark94"/>
      <w:bookmarkStart w:id="749" w:name="_Toc12288859"/>
      <w:bookmarkStart w:id="750" w:name="_Toc19816179"/>
      <w:bookmarkStart w:id="751" w:name="_Toc81515326"/>
      <w:bookmarkEnd w:id="748"/>
      <w:r w:rsidRPr="00D630D1">
        <w:rPr>
          <w:rFonts w:cs="Times New Roman"/>
        </w:rPr>
        <w:lastRenderedPageBreak/>
        <w:t>1</w:t>
      </w:r>
      <w:r w:rsidR="00BE1207" w:rsidRPr="00D630D1">
        <w:rPr>
          <w:rFonts w:cs="Times New Roman"/>
        </w:rPr>
        <w:t>1</w:t>
      </w:r>
      <w:r w:rsidRPr="00D630D1">
        <w:rPr>
          <w:rFonts w:cs="Times New Roman"/>
        </w:rPr>
        <w:t>.1</w:t>
      </w:r>
      <w:r w:rsidR="00392E67" w:rsidRPr="00D630D1">
        <w:rPr>
          <w:rFonts w:cs="Times New Roman"/>
        </w:rPr>
        <w:t>0</w:t>
      </w:r>
      <w:r w:rsidRPr="00D630D1">
        <w:rPr>
          <w:rFonts w:cs="Times New Roman"/>
        </w:rPr>
        <w:t xml:space="preserve"> </w:t>
      </w:r>
      <w:r w:rsidRPr="00D630D1">
        <w:rPr>
          <w:rFonts w:cs="Times New Roman"/>
        </w:rPr>
        <w:t>环境影响经济损益分析</w:t>
      </w:r>
      <w:bookmarkEnd w:id="749"/>
      <w:bookmarkEnd w:id="750"/>
      <w:bookmarkEnd w:id="751"/>
    </w:p>
    <w:p w:rsidR="00F23F93" w:rsidRPr="00D630D1" w:rsidRDefault="00654567" w:rsidP="00654567">
      <w:pPr>
        <w:pStyle w:val="afa"/>
        <w:ind w:firstLine="480"/>
      </w:pPr>
      <w:r w:rsidRPr="00D630D1">
        <w:t>工程实施后，从长远角度考虑，本项目的建设有利于环境质量改善，区域长久稳定、安全的发展。对于工程在施工期产生的各类污染物及对生态环境的影响采取了相应的环境保护措施，减轻工程建设所带来的不利影响。由此可见，本工程实施后所带来的环境经济效益，比工程在施工中所造成的直接环境经济损失要大的多。因此，本工程实施后，产生的环境经济效益是显著的，项目建设符合社会效益、经济效益和环境效益统一的原则。</w:t>
      </w:r>
    </w:p>
    <w:p w:rsidR="00117C3D" w:rsidRPr="00D630D1" w:rsidRDefault="008B5B84" w:rsidP="00BE1207">
      <w:pPr>
        <w:pStyle w:val="2"/>
        <w:spacing w:before="120"/>
        <w:rPr>
          <w:rFonts w:cs="Times New Roman"/>
        </w:rPr>
      </w:pPr>
      <w:bookmarkStart w:id="752" w:name="bookmark95"/>
      <w:bookmarkStart w:id="753" w:name="_Toc12288860"/>
      <w:bookmarkStart w:id="754" w:name="_Toc19816180"/>
      <w:bookmarkStart w:id="755" w:name="_Toc81515327"/>
      <w:bookmarkEnd w:id="752"/>
      <w:r w:rsidRPr="00D630D1">
        <w:rPr>
          <w:rFonts w:cs="Times New Roman"/>
        </w:rPr>
        <w:t>1</w:t>
      </w:r>
      <w:r w:rsidR="00BE1207" w:rsidRPr="00D630D1">
        <w:rPr>
          <w:rFonts w:cs="Times New Roman"/>
        </w:rPr>
        <w:t>1</w:t>
      </w:r>
      <w:r w:rsidRPr="00D630D1">
        <w:rPr>
          <w:rFonts w:cs="Times New Roman"/>
        </w:rPr>
        <w:t>.1</w:t>
      </w:r>
      <w:r w:rsidR="00392E67" w:rsidRPr="00D630D1">
        <w:rPr>
          <w:rFonts w:cs="Times New Roman"/>
        </w:rPr>
        <w:t>1</w:t>
      </w:r>
      <w:r w:rsidRPr="00D630D1">
        <w:rPr>
          <w:rFonts w:cs="Times New Roman"/>
        </w:rPr>
        <w:t xml:space="preserve"> </w:t>
      </w:r>
      <w:r w:rsidRPr="00D630D1">
        <w:rPr>
          <w:rFonts w:cs="Times New Roman"/>
        </w:rPr>
        <w:t>公众参与调查</w:t>
      </w:r>
      <w:bookmarkEnd w:id="753"/>
      <w:bookmarkEnd w:id="754"/>
      <w:bookmarkEnd w:id="755"/>
    </w:p>
    <w:p w:rsidR="00117C3D" w:rsidRPr="00D630D1" w:rsidRDefault="0064592E">
      <w:pPr>
        <w:pStyle w:val="a1"/>
        <w:ind w:firstLine="480"/>
        <w:rPr>
          <w:rFonts w:ascii="Times New Roman" w:cs="Times New Roman"/>
        </w:rPr>
      </w:pPr>
      <w:r w:rsidRPr="00D630D1">
        <w:rPr>
          <w:rFonts w:ascii="Times New Roman" w:cs="Times New Roman"/>
        </w:rPr>
        <w:t>建设单位建设单位根据《环境影响评价公众参与办法》（生态环境部令部令</w:t>
      </w:r>
      <w:r w:rsidRPr="00D630D1">
        <w:rPr>
          <w:rFonts w:ascii="Times New Roman" w:cs="Times New Roman"/>
        </w:rPr>
        <w:t xml:space="preserve"> </w:t>
      </w:r>
      <w:r w:rsidRPr="00D630D1">
        <w:rPr>
          <w:rFonts w:ascii="Times New Roman" w:cs="Times New Roman"/>
        </w:rPr>
        <w:t>第</w:t>
      </w:r>
      <w:r w:rsidRPr="00D630D1">
        <w:rPr>
          <w:rFonts w:ascii="Times New Roman" w:cs="Times New Roman"/>
        </w:rPr>
        <w:t>4</w:t>
      </w:r>
      <w:r w:rsidRPr="00D630D1">
        <w:rPr>
          <w:rFonts w:ascii="Times New Roman" w:cs="Times New Roman"/>
        </w:rPr>
        <w:t>号）要求</w:t>
      </w:r>
      <w:r w:rsidRPr="00D630D1">
        <w:rPr>
          <w:rFonts w:ascii="Times New Roman" w:cs="Times New Roman" w:hint="eastAsia"/>
        </w:rPr>
        <w:t>对本</w:t>
      </w:r>
      <w:r w:rsidRPr="00D630D1">
        <w:rPr>
          <w:rFonts w:ascii="Times New Roman" w:cs="Times New Roman"/>
        </w:rPr>
        <w:t>项目进行了</w:t>
      </w:r>
      <w:r w:rsidR="001549F6" w:rsidRPr="00D630D1">
        <w:rPr>
          <w:rFonts w:ascii="Times New Roman" w:cs="Times New Roman" w:hint="eastAsia"/>
        </w:rPr>
        <w:t>三</w:t>
      </w:r>
      <w:r w:rsidRPr="00D630D1">
        <w:rPr>
          <w:rFonts w:ascii="Times New Roman" w:cs="Times New Roman" w:hint="eastAsia"/>
        </w:rPr>
        <w:t>次公示（包含网络</w:t>
      </w:r>
      <w:r w:rsidRPr="00D630D1">
        <w:rPr>
          <w:rFonts w:ascii="Times New Roman" w:cs="Times New Roman"/>
        </w:rPr>
        <w:t>公示</w:t>
      </w:r>
      <w:r w:rsidRPr="00D630D1">
        <w:rPr>
          <w:rFonts w:ascii="Times New Roman" w:cs="Times New Roman" w:hint="eastAsia"/>
        </w:rPr>
        <w:t>、登报和现场公示</w:t>
      </w:r>
      <w:r w:rsidR="001549F6" w:rsidRPr="00D630D1">
        <w:rPr>
          <w:rFonts w:ascii="Times New Roman" w:cs="Times New Roman" w:hint="eastAsia"/>
        </w:rPr>
        <w:t>、报批前公示</w:t>
      </w:r>
      <w:r w:rsidRPr="00D630D1">
        <w:rPr>
          <w:rFonts w:ascii="Times New Roman" w:cs="Times New Roman" w:hint="eastAsia"/>
        </w:rPr>
        <w:t>等）</w:t>
      </w:r>
      <w:r w:rsidRPr="00D630D1">
        <w:rPr>
          <w:rFonts w:ascii="Times New Roman" w:cs="Times New Roman"/>
        </w:rPr>
        <w:t>，</w:t>
      </w:r>
      <w:r w:rsidR="001549F6" w:rsidRPr="00D630D1">
        <w:rPr>
          <w:rFonts w:ascii="Times New Roman" w:cs="Times New Roman" w:hint="eastAsia"/>
        </w:rPr>
        <w:t>三</w:t>
      </w:r>
      <w:r w:rsidRPr="00D630D1">
        <w:rPr>
          <w:rFonts w:ascii="Times New Roman" w:cs="Times New Roman" w:hint="eastAsia"/>
        </w:rPr>
        <w:t>次</w:t>
      </w:r>
      <w:r w:rsidRPr="00D630D1">
        <w:rPr>
          <w:rFonts w:ascii="Times New Roman" w:cs="Times New Roman"/>
        </w:rPr>
        <w:t>公示期间，建设单位及评价单位未收到来自公众、企业、单位反馈的针对</w:t>
      </w:r>
      <w:r w:rsidRPr="00D630D1">
        <w:rPr>
          <w:rFonts w:ascii="Times New Roman" w:cs="Times New Roman" w:hint="eastAsia"/>
        </w:rPr>
        <w:t>本</w:t>
      </w:r>
      <w:r w:rsidRPr="00D630D1">
        <w:rPr>
          <w:rFonts w:ascii="Times New Roman" w:cs="Times New Roman"/>
        </w:rPr>
        <w:t>项目环境保护方面的意见信息，无人致电建设单位及评价单位、无人反馈公众意见表，没有公众、企业、单位反对</w:t>
      </w:r>
      <w:r w:rsidRPr="00D630D1">
        <w:rPr>
          <w:rFonts w:ascii="Times New Roman" w:cs="Times New Roman" w:hint="eastAsia"/>
        </w:rPr>
        <w:t>本</w:t>
      </w:r>
      <w:r w:rsidRPr="00D630D1">
        <w:rPr>
          <w:rFonts w:ascii="Times New Roman" w:cs="Times New Roman"/>
        </w:rPr>
        <w:t>项目的建设</w:t>
      </w:r>
      <w:r w:rsidR="008B5B84" w:rsidRPr="00D630D1">
        <w:rPr>
          <w:rFonts w:ascii="Times New Roman" w:cs="Times New Roman"/>
        </w:rPr>
        <w:t>。</w:t>
      </w:r>
    </w:p>
    <w:p w:rsidR="0064592E" w:rsidRPr="00D630D1" w:rsidRDefault="0064592E">
      <w:pPr>
        <w:pStyle w:val="a1"/>
        <w:ind w:firstLine="480"/>
        <w:rPr>
          <w:rFonts w:ascii="Times New Roman" w:cs="Times New Roman"/>
        </w:rPr>
      </w:pPr>
      <w:r w:rsidRPr="00D630D1">
        <w:rPr>
          <w:rFonts w:ascii="Times New Roman" w:cs="Times New Roman"/>
        </w:rPr>
        <w:t>总体而言，只要建设单位切实采取环评提出的污染防治措施，可以最大程度的减轻项目建设所带来的环境污染，公众参与工作程序合法、工作过程透明有效、调查结果真实可靠。建设单位已将环境影响报告书编制过程中公众参与的相关原始资料存档备查</w:t>
      </w:r>
      <w:r w:rsidRPr="00D630D1">
        <w:rPr>
          <w:rFonts w:ascii="Times New Roman" w:cs="Times New Roman" w:hint="eastAsia"/>
        </w:rPr>
        <w:t>。</w:t>
      </w:r>
    </w:p>
    <w:p w:rsidR="00117C3D" w:rsidRPr="00D630D1" w:rsidRDefault="008B5B84" w:rsidP="00BE1207">
      <w:pPr>
        <w:pStyle w:val="2"/>
        <w:spacing w:before="120"/>
        <w:rPr>
          <w:rFonts w:cs="Times New Roman"/>
        </w:rPr>
      </w:pPr>
      <w:bookmarkStart w:id="756" w:name="bookmark96"/>
      <w:bookmarkStart w:id="757" w:name="_Toc12288861"/>
      <w:bookmarkStart w:id="758" w:name="_Toc19816181"/>
      <w:bookmarkStart w:id="759" w:name="_Toc81515328"/>
      <w:bookmarkEnd w:id="756"/>
      <w:r w:rsidRPr="00D630D1">
        <w:rPr>
          <w:rFonts w:cs="Times New Roman"/>
        </w:rPr>
        <w:t>1</w:t>
      </w:r>
      <w:r w:rsidR="00BE1207" w:rsidRPr="00D630D1">
        <w:rPr>
          <w:rFonts w:cs="Times New Roman"/>
        </w:rPr>
        <w:t>1</w:t>
      </w:r>
      <w:r w:rsidRPr="00D630D1">
        <w:rPr>
          <w:rFonts w:cs="Times New Roman"/>
        </w:rPr>
        <w:t>.1</w:t>
      </w:r>
      <w:r w:rsidR="00392E67" w:rsidRPr="00D630D1">
        <w:rPr>
          <w:rFonts w:cs="Times New Roman"/>
        </w:rPr>
        <w:t>2</w:t>
      </w:r>
      <w:r w:rsidRPr="00D630D1">
        <w:rPr>
          <w:rFonts w:cs="Times New Roman"/>
        </w:rPr>
        <w:t xml:space="preserve"> </w:t>
      </w:r>
      <w:r w:rsidRPr="00D630D1">
        <w:rPr>
          <w:rFonts w:cs="Times New Roman"/>
        </w:rPr>
        <w:t>评价结论</w:t>
      </w:r>
      <w:bookmarkEnd w:id="757"/>
      <w:bookmarkEnd w:id="758"/>
      <w:bookmarkEnd w:id="759"/>
    </w:p>
    <w:p w:rsidR="00AA2CA8" w:rsidRPr="00D630D1" w:rsidRDefault="00AA2CA8" w:rsidP="00AA2CA8">
      <w:pPr>
        <w:pStyle w:val="a1"/>
        <w:ind w:firstLine="480"/>
        <w:rPr>
          <w:rFonts w:ascii="Times New Roman" w:cs="Times New Roman"/>
        </w:rPr>
      </w:pPr>
      <w:r w:rsidRPr="00D630D1">
        <w:rPr>
          <w:rFonts w:ascii="Times New Roman" w:cs="Times New Roman"/>
        </w:rPr>
        <w:t>中国石油化工股份有限公司中原油田普光分公司</w:t>
      </w:r>
      <w:r w:rsidR="00BE1207" w:rsidRPr="00D630D1">
        <w:rPr>
          <w:rFonts w:ascii="Times New Roman" w:cs="Times New Roman"/>
        </w:rPr>
        <w:t>建设的</w:t>
      </w:r>
      <w:r w:rsidR="00D630D1" w:rsidRPr="00D630D1">
        <w:rPr>
          <w:rFonts w:ascii="Times New Roman" w:cs="Times New Roman"/>
        </w:rPr>
        <w:t>普光气田普陆页</w:t>
      </w:r>
      <w:r w:rsidR="00D630D1" w:rsidRPr="00D630D1">
        <w:rPr>
          <w:rFonts w:ascii="Times New Roman" w:cs="Times New Roman"/>
        </w:rPr>
        <w:t>1</w:t>
      </w:r>
      <w:r w:rsidR="00D630D1" w:rsidRPr="00D630D1">
        <w:rPr>
          <w:rFonts w:ascii="Times New Roman" w:cs="Times New Roman"/>
        </w:rPr>
        <w:t>试验井组项目</w:t>
      </w:r>
      <w:r w:rsidR="008B5B84" w:rsidRPr="00D630D1">
        <w:rPr>
          <w:rFonts w:ascii="Times New Roman" w:cs="Times New Roman"/>
        </w:rPr>
        <w:t>，</w:t>
      </w:r>
      <w:r w:rsidRPr="00D630D1">
        <w:rPr>
          <w:rFonts w:ascii="Times New Roman" w:cs="Times New Roman"/>
        </w:rPr>
        <w:t>符合国家产业政策，符合当地规划要求。项目贯彻了</w:t>
      </w:r>
      <w:r w:rsidRPr="00D630D1">
        <w:rPr>
          <w:rFonts w:ascii="Times New Roman" w:cs="Times New Roman"/>
        </w:rPr>
        <w:t>“</w:t>
      </w:r>
      <w:r w:rsidRPr="00D630D1">
        <w:rPr>
          <w:rFonts w:ascii="Times New Roman" w:cs="Times New Roman"/>
        </w:rPr>
        <w:t>清洁生产、总量控制、达标排放</w:t>
      </w:r>
      <w:r w:rsidRPr="00D630D1">
        <w:rPr>
          <w:rFonts w:ascii="Times New Roman" w:cs="Times New Roman"/>
        </w:rPr>
        <w:t>"</w:t>
      </w:r>
      <w:r w:rsidRPr="00D630D1">
        <w:rPr>
          <w:rFonts w:ascii="Times New Roman" w:cs="Times New Roman"/>
        </w:rPr>
        <w:t>原则；采取的生态保护和恢复措施可行，污染治理措施经济技术可行；风险防范措施可靠。在施工期和营运期，只要认真落实本报告提出的各项污染防治、生态恢复、水土保持措施，风险防范措施，并建立突发事故应急预案后，对环境的影响能降到最低，环境风险属可接受水平。</w:t>
      </w:r>
    </w:p>
    <w:p w:rsidR="00AA2CA8" w:rsidRPr="00D630D1" w:rsidRDefault="00AA2CA8" w:rsidP="00AA2CA8">
      <w:pPr>
        <w:pStyle w:val="a1"/>
        <w:ind w:firstLine="480"/>
        <w:rPr>
          <w:rFonts w:ascii="Times New Roman" w:cs="Times New Roman"/>
        </w:rPr>
      </w:pPr>
      <w:r w:rsidRPr="00D630D1">
        <w:rPr>
          <w:rFonts w:ascii="Times New Roman" w:cs="Times New Roman"/>
        </w:rPr>
        <w:t>因此，从环境保护角度论证，在落实报告书中提出的各项污染防治和风险防范措施的前提下，</w:t>
      </w:r>
      <w:r w:rsidR="00633FE9" w:rsidRPr="00D630D1">
        <w:rPr>
          <w:rFonts w:ascii="Times New Roman" w:cs="Times New Roman"/>
        </w:rPr>
        <w:t>本项目</w:t>
      </w:r>
      <w:r w:rsidRPr="00D630D1">
        <w:rPr>
          <w:rFonts w:ascii="Times New Roman" w:cs="Times New Roman"/>
        </w:rPr>
        <w:t>在该地建设是可行的。</w:t>
      </w:r>
    </w:p>
    <w:p w:rsidR="00117C3D" w:rsidRPr="00D630D1" w:rsidRDefault="008B5B84" w:rsidP="00BE1207">
      <w:pPr>
        <w:pStyle w:val="2"/>
        <w:spacing w:before="120"/>
        <w:rPr>
          <w:rFonts w:cs="Times New Roman"/>
        </w:rPr>
      </w:pPr>
      <w:bookmarkStart w:id="760" w:name="bookmark97"/>
      <w:bookmarkStart w:id="761" w:name="_Toc12288862"/>
      <w:bookmarkStart w:id="762" w:name="_Toc19816182"/>
      <w:bookmarkStart w:id="763" w:name="_Toc81515329"/>
      <w:bookmarkEnd w:id="760"/>
      <w:r w:rsidRPr="00D630D1">
        <w:rPr>
          <w:rFonts w:cs="Times New Roman"/>
        </w:rPr>
        <w:lastRenderedPageBreak/>
        <w:t>1</w:t>
      </w:r>
      <w:r w:rsidR="00BE1207" w:rsidRPr="00D630D1">
        <w:rPr>
          <w:rFonts w:cs="Times New Roman"/>
        </w:rPr>
        <w:t>1</w:t>
      </w:r>
      <w:r w:rsidRPr="00D630D1">
        <w:rPr>
          <w:rFonts w:cs="Times New Roman"/>
        </w:rPr>
        <w:t>.1</w:t>
      </w:r>
      <w:r w:rsidR="00392E67" w:rsidRPr="00D630D1">
        <w:rPr>
          <w:rFonts w:cs="Times New Roman"/>
        </w:rPr>
        <w:t>3</w:t>
      </w:r>
      <w:r w:rsidRPr="00D630D1">
        <w:rPr>
          <w:rFonts w:cs="Times New Roman"/>
        </w:rPr>
        <w:t xml:space="preserve"> </w:t>
      </w:r>
      <w:r w:rsidRPr="00D630D1">
        <w:rPr>
          <w:rFonts w:cs="Times New Roman"/>
        </w:rPr>
        <w:t>建议</w:t>
      </w:r>
      <w:bookmarkEnd w:id="761"/>
      <w:bookmarkEnd w:id="762"/>
      <w:bookmarkEnd w:id="763"/>
    </w:p>
    <w:p w:rsidR="00117C3D" w:rsidRPr="00D630D1" w:rsidRDefault="008B5B84">
      <w:pPr>
        <w:pStyle w:val="a1"/>
        <w:ind w:firstLine="480"/>
        <w:rPr>
          <w:rFonts w:ascii="Times New Roman" w:cs="Times New Roman"/>
        </w:rPr>
      </w:pPr>
      <w:r w:rsidRPr="00D630D1">
        <w:rPr>
          <w:rFonts w:ascii="Times New Roman" w:cs="Times New Roman"/>
        </w:rPr>
        <w:t>1</w:t>
      </w:r>
      <w:r w:rsidRPr="00D630D1">
        <w:rPr>
          <w:rFonts w:ascii="Times New Roman" w:cs="Times New Roman"/>
        </w:rPr>
        <w:t>、加强施工队伍的管理，严格控制施工作业带，减少对沿线生态环境的影响，施工结束后应及时进行生态恢复。</w:t>
      </w:r>
    </w:p>
    <w:p w:rsidR="00117C3D" w:rsidRPr="00D630D1" w:rsidRDefault="008B5B84">
      <w:pPr>
        <w:pStyle w:val="a1"/>
        <w:ind w:firstLine="480"/>
        <w:rPr>
          <w:rFonts w:ascii="Times New Roman" w:cs="Times New Roman"/>
        </w:rPr>
      </w:pPr>
      <w:r w:rsidRPr="00D630D1">
        <w:rPr>
          <w:rFonts w:ascii="Times New Roman" w:cs="Times New Roman"/>
        </w:rPr>
        <w:t>2</w:t>
      </w:r>
      <w:r w:rsidRPr="00D630D1">
        <w:rPr>
          <w:rFonts w:ascii="Times New Roman" w:cs="Times New Roman"/>
        </w:rPr>
        <w:t>、</w:t>
      </w:r>
      <w:r w:rsidR="00FB2376" w:rsidRPr="00D630D1">
        <w:rPr>
          <w:rFonts w:ascii="Times New Roman" w:cs="Times New Roman" w:hint="eastAsia"/>
        </w:rPr>
        <w:t>加强钻井施工过程中的环境管理，确保污染物达标排放</w:t>
      </w:r>
      <w:r w:rsidRPr="00D630D1">
        <w:rPr>
          <w:rFonts w:ascii="Times New Roman" w:cs="Times New Roman"/>
        </w:rPr>
        <w:t>。</w:t>
      </w:r>
    </w:p>
    <w:p w:rsidR="00AA2CA8" w:rsidRPr="00D630D1" w:rsidRDefault="008B5B84" w:rsidP="00AA2CA8">
      <w:pPr>
        <w:pStyle w:val="a1"/>
        <w:ind w:firstLine="480"/>
        <w:rPr>
          <w:rFonts w:ascii="Times New Roman" w:cs="Times New Roman"/>
        </w:rPr>
      </w:pPr>
      <w:r w:rsidRPr="00D630D1">
        <w:rPr>
          <w:rFonts w:ascii="Times New Roman" w:cs="Times New Roman"/>
        </w:rPr>
        <w:t>3</w:t>
      </w:r>
      <w:r w:rsidRPr="00D630D1">
        <w:rPr>
          <w:rFonts w:ascii="Times New Roman" w:cs="Times New Roman"/>
        </w:rPr>
        <w:t>、建设单位应随时与当地规划部门保持联系，确保管道安全。</w:t>
      </w:r>
    </w:p>
    <w:p w:rsidR="00117C3D" w:rsidRPr="00D630D1" w:rsidRDefault="008B5B84" w:rsidP="00AA2CA8">
      <w:pPr>
        <w:pStyle w:val="a1"/>
        <w:ind w:firstLine="480"/>
        <w:rPr>
          <w:rFonts w:ascii="Times New Roman" w:cs="Times New Roman"/>
        </w:rPr>
      </w:pPr>
      <w:r w:rsidRPr="00D630D1">
        <w:rPr>
          <w:rFonts w:ascii="Times New Roman" w:cs="Times New Roman"/>
        </w:rPr>
        <w:t>4</w:t>
      </w:r>
      <w:r w:rsidRPr="00D630D1">
        <w:rPr>
          <w:rFonts w:ascii="Times New Roman" w:cs="Times New Roman"/>
        </w:rPr>
        <w:t>、</w:t>
      </w:r>
      <w:r w:rsidR="00AA2CA8" w:rsidRPr="00D630D1">
        <w:rPr>
          <w:rFonts w:ascii="Times New Roman" w:cs="Times New Roman"/>
        </w:rPr>
        <w:t>建议建设单位对周边居民大力宣传管道保护法律、法规，使沿线群众熟悉和了解管道保护的意义和方法。重点宣传《中华人民共和国石油天然气管道保护法》。</w:t>
      </w:r>
    </w:p>
    <w:p w:rsidR="00117C3D" w:rsidRPr="00D630D1" w:rsidRDefault="008B5B84">
      <w:pPr>
        <w:pStyle w:val="a1"/>
        <w:ind w:firstLine="480"/>
        <w:rPr>
          <w:rFonts w:ascii="Times New Roman" w:cs="Times New Roman"/>
        </w:rPr>
      </w:pPr>
      <w:r w:rsidRPr="00D630D1">
        <w:rPr>
          <w:rFonts w:ascii="Times New Roman" w:cs="Times New Roman"/>
        </w:rPr>
        <w:t>5</w:t>
      </w:r>
      <w:r w:rsidRPr="00D630D1">
        <w:rPr>
          <w:rFonts w:ascii="Times New Roman" w:cs="Times New Roman"/>
        </w:rPr>
        <w:t>、建议加强外部联系，积极与地方环保部门和安全部门紧密结合，避免第三方对管道的破坏，保障管道运行安全，并以地方医疗、消防、社会保障系统为依托，建立健全应急保障系统。</w:t>
      </w:r>
    </w:p>
    <w:sectPr w:rsidR="00117C3D" w:rsidRPr="00D630D1" w:rsidSect="00BA4F10">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6A3F" w:rsidRDefault="00496A3F">
      <w:pPr>
        <w:spacing w:line="240" w:lineRule="auto"/>
        <w:ind w:firstLine="480"/>
      </w:pPr>
      <w:r>
        <w:separator/>
      </w:r>
    </w:p>
  </w:endnote>
  <w:endnote w:type="continuationSeparator" w:id="0">
    <w:p w:rsidR="00496A3F" w:rsidRDefault="00496A3F">
      <w:pPr>
        <w:spacing w:line="240" w:lineRule="auto"/>
        <w:ind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altName w:val="微软雅黑"/>
    <w:charset w:val="86"/>
    <w:family w:val="modern"/>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新宋体">
    <w:panose1 w:val="02010609030101010101"/>
    <w:charset w:val="86"/>
    <w:family w:val="modern"/>
    <w:pitch w:val="fixed"/>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华文中宋">
    <w:panose1 w:val="02010600040101010101"/>
    <w:charset w:val="86"/>
    <w:family w:val="auto"/>
    <w:pitch w:val="variable"/>
    <w:sig w:usb0="00000287" w:usb1="080F0000" w:usb2="00000010" w:usb3="00000000" w:csb0="0004009F" w:csb1="00000000"/>
  </w:font>
  <w:font w:name="Arial Narrow">
    <w:panose1 w:val="020B0606020202030204"/>
    <w:charset w:val="00"/>
    <w:family w:val="swiss"/>
    <w:pitch w:val="variable"/>
    <w:sig w:usb0="00000287" w:usb1="00000800" w:usb2="00000000" w:usb3="00000000" w:csb0="0000009F" w:csb1="00000000"/>
  </w:font>
  <w:font w:name="楷体_GB2312">
    <w:altName w:val="楷体"/>
    <w:charset w:val="86"/>
    <w:family w:val="modern"/>
    <w:pitch w:val="fixed"/>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仿宋">
    <w:panose1 w:val="02010609060101010101"/>
    <w:charset w:val="86"/>
    <w:family w:val="modern"/>
    <w:pitch w:val="fixed"/>
    <w:sig w:usb0="800002BF" w:usb1="38CF7CFA" w:usb2="00000016" w:usb3="00000000" w:csb0="0004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ˎ̥">
    <w:altName w:val="Times New Roman"/>
    <w:charset w:val="00"/>
    <w:family w:val="roman"/>
    <w:pitch w:val="default"/>
    <w:sig w:usb0="00000000" w:usb1="00000000" w:usb2="00000000" w:usb3="00000000" w:csb0="0004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等线">
    <w:altName w:val="Arial Unicode MS"/>
    <w:charset w:val="86"/>
    <w:family w:val="auto"/>
    <w:pitch w:val="variable"/>
    <w:sig w:usb0="00000000" w:usb1="38CF7CFA" w:usb2="00000016" w:usb3="00000000" w:csb0="0004000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9913C3">
    <w:pPr>
      <w:pStyle w:val="aa"/>
      <w:rPr>
        <w:rFonts w:ascii="Times New Roman" w:cs="Times New Roman"/>
      </w:rPr>
    </w:pPr>
    <w:r>
      <w:rPr>
        <w:rFonts w:ascii="Times New Roman" w:cs="Times New Roman"/>
      </w:rPr>
      <w:fldChar w:fldCharType="begin"/>
    </w:r>
    <w:r w:rsidR="00A62354">
      <w:rPr>
        <w:rFonts w:ascii="Times New Roman" w:cs="Times New Roman"/>
      </w:rPr>
      <w:instrText>PAGE   \* MERGEFORMAT</w:instrText>
    </w:r>
    <w:r>
      <w:rPr>
        <w:rFonts w:ascii="Times New Roman" w:cs="Times New Roman"/>
      </w:rPr>
      <w:fldChar w:fldCharType="separate"/>
    </w:r>
    <w:r w:rsidR="00F96E37" w:rsidRPr="00F96E37">
      <w:rPr>
        <w:rFonts w:ascii="Times New Roman" w:cs="Times New Roman"/>
        <w:noProof/>
        <w:lang w:val="zh-CN"/>
      </w:rPr>
      <w:t>124</w:t>
    </w:r>
    <w:r>
      <w:rPr>
        <w:rFonts w:ascii="Times New Roman" w:cs="Times New Roman"/>
      </w:rPr>
      <w:fldChar w:fldCharType="end"/>
    </w:r>
  </w:p>
  <w:p w:rsidR="00A62354" w:rsidRDefault="00A62354">
    <w:pPr>
      <w:pStyle w:val="aa"/>
      <w:ind w:left="2400" w:firstLine="36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9913C3">
    <w:pPr>
      <w:pStyle w:val="aa"/>
      <w:rPr>
        <w:rFonts w:ascii="Times New Roman" w:cs="Times New Roman"/>
      </w:rPr>
    </w:pPr>
    <w:r>
      <w:rPr>
        <w:rFonts w:ascii="Times New Roman" w:cs="Times New Roman"/>
      </w:rPr>
      <w:fldChar w:fldCharType="begin"/>
    </w:r>
    <w:r w:rsidR="00A62354">
      <w:rPr>
        <w:rFonts w:ascii="Times New Roman" w:cs="Times New Roman"/>
      </w:rPr>
      <w:instrText>PAGE   \* MERGEFORMAT</w:instrText>
    </w:r>
    <w:r>
      <w:rPr>
        <w:rFonts w:ascii="Times New Roman" w:cs="Times New Roman"/>
      </w:rPr>
      <w:fldChar w:fldCharType="separate"/>
    </w:r>
    <w:r w:rsidR="00F96E37" w:rsidRPr="00F96E37">
      <w:rPr>
        <w:rFonts w:ascii="Times New Roman" w:cs="Times New Roman"/>
        <w:noProof/>
        <w:lang w:val="zh-CN"/>
      </w:rPr>
      <w:t>217</w:t>
    </w:r>
    <w:r>
      <w:rPr>
        <w:rFonts w:ascii="Times New Roman" w:cs="Times New Roman"/>
      </w:rPr>
      <w:fldChar w:fldCharType="end"/>
    </w:r>
  </w:p>
  <w:p w:rsidR="00A62354" w:rsidRDefault="00A62354">
    <w:pPr>
      <w:pStyle w:val="aa"/>
      <w:ind w:firstLine="360"/>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9913C3">
    <w:pPr>
      <w:pStyle w:val="aa"/>
      <w:rPr>
        <w:rFonts w:ascii="Times New Roman" w:cs="Times New Roman"/>
      </w:rPr>
    </w:pPr>
    <w:r>
      <w:rPr>
        <w:rFonts w:ascii="Times New Roman" w:cs="Times New Roman"/>
      </w:rPr>
      <w:fldChar w:fldCharType="begin"/>
    </w:r>
    <w:r w:rsidR="00A62354">
      <w:rPr>
        <w:rFonts w:ascii="Times New Roman" w:cs="Times New Roman"/>
      </w:rPr>
      <w:instrText>PAGE   \* MERGEFORMAT</w:instrText>
    </w:r>
    <w:r>
      <w:rPr>
        <w:rFonts w:ascii="Times New Roman" w:cs="Times New Roman"/>
      </w:rPr>
      <w:fldChar w:fldCharType="separate"/>
    </w:r>
    <w:r w:rsidR="00F96E37" w:rsidRPr="00F96E37">
      <w:rPr>
        <w:rFonts w:ascii="Times New Roman" w:cs="Times New Roman"/>
        <w:noProof/>
        <w:lang w:val="zh-CN"/>
      </w:rPr>
      <w:t>224</w:t>
    </w:r>
    <w:r>
      <w:rPr>
        <w:rFonts w:ascii="Times New Roman" w:cs="Times New Roman"/>
      </w:rPr>
      <w:fldChar w:fldCharType="end"/>
    </w:r>
  </w:p>
  <w:p w:rsidR="00A62354" w:rsidRDefault="00A62354">
    <w:pPr>
      <w:pStyle w:val="aa"/>
      <w:ind w:firstLine="360"/>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9913C3">
    <w:pPr>
      <w:pStyle w:val="aa"/>
      <w:rPr>
        <w:rFonts w:ascii="Times New Roman" w:cs="Times New Roman"/>
      </w:rPr>
    </w:pPr>
    <w:r>
      <w:rPr>
        <w:rFonts w:ascii="Times New Roman" w:cs="Times New Roman"/>
      </w:rPr>
      <w:fldChar w:fldCharType="begin"/>
    </w:r>
    <w:r w:rsidR="00A62354">
      <w:rPr>
        <w:rFonts w:ascii="Times New Roman" w:cs="Times New Roman"/>
      </w:rPr>
      <w:instrText>PAGE   \* MERGEFORMAT</w:instrText>
    </w:r>
    <w:r>
      <w:rPr>
        <w:rFonts w:ascii="Times New Roman" w:cs="Times New Roman"/>
      </w:rPr>
      <w:fldChar w:fldCharType="separate"/>
    </w:r>
    <w:r w:rsidR="00F96E37" w:rsidRPr="00F96E37">
      <w:rPr>
        <w:rFonts w:ascii="Times New Roman" w:cs="Times New Roman"/>
        <w:noProof/>
        <w:lang w:val="zh-CN"/>
      </w:rPr>
      <w:t>312</w:t>
    </w:r>
    <w:r>
      <w:rPr>
        <w:rFonts w:ascii="Times New Roman" w:cs="Times New Roman"/>
      </w:rPr>
      <w:fldChar w:fldCharType="end"/>
    </w:r>
  </w:p>
  <w:p w:rsidR="00A62354" w:rsidRDefault="00A62354">
    <w:pPr>
      <w:pStyle w:val="aa"/>
      <w:ind w:firstLine="360"/>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9913C3">
    <w:pPr>
      <w:pStyle w:val="aa"/>
      <w:rPr>
        <w:rFonts w:ascii="Times New Roman" w:cs="Times New Roman"/>
      </w:rPr>
    </w:pPr>
    <w:r>
      <w:rPr>
        <w:rFonts w:ascii="Times New Roman" w:cs="Times New Roman"/>
      </w:rPr>
      <w:fldChar w:fldCharType="begin"/>
    </w:r>
    <w:r w:rsidR="00A62354">
      <w:rPr>
        <w:rFonts w:ascii="Times New Roman" w:cs="Times New Roman"/>
      </w:rPr>
      <w:instrText>PAGE   \* MERGEFORMAT</w:instrText>
    </w:r>
    <w:r>
      <w:rPr>
        <w:rFonts w:ascii="Times New Roman" w:cs="Times New Roman"/>
      </w:rPr>
      <w:fldChar w:fldCharType="separate"/>
    </w:r>
    <w:r w:rsidR="00F96E37" w:rsidRPr="00F96E37">
      <w:rPr>
        <w:rFonts w:ascii="Times New Roman" w:cs="Times New Roman"/>
        <w:noProof/>
        <w:lang w:val="zh-CN"/>
      </w:rPr>
      <w:t>1</w:t>
    </w:r>
    <w:r>
      <w:rPr>
        <w:rFonts w:ascii="Times New Roman" w:cs="Times New Roman"/>
      </w:rPr>
      <w:fldChar w:fldCharType="end"/>
    </w:r>
  </w:p>
  <w:p w:rsidR="00A62354" w:rsidRDefault="00A62354">
    <w:pPr>
      <w:pStyle w:val="aa"/>
      <w:ind w:firstLine="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9913C3">
    <w:pPr>
      <w:pStyle w:val="aa"/>
      <w:ind w:left="482"/>
      <w:rPr>
        <w:rFonts w:ascii="Times New Roman" w:cs="Times New Roman"/>
      </w:rPr>
    </w:pPr>
    <w:r>
      <w:rPr>
        <w:rFonts w:ascii="Times New Roman" w:cs="Times New Roman"/>
      </w:rPr>
      <w:fldChar w:fldCharType="begin"/>
    </w:r>
    <w:r w:rsidR="00A62354">
      <w:rPr>
        <w:rFonts w:ascii="Times New Roman" w:cs="Times New Roman"/>
      </w:rPr>
      <w:instrText>PAGE   \* MERGEFORMAT</w:instrText>
    </w:r>
    <w:r>
      <w:rPr>
        <w:rFonts w:ascii="Times New Roman" w:cs="Times New Roman"/>
      </w:rPr>
      <w:fldChar w:fldCharType="separate"/>
    </w:r>
    <w:r w:rsidR="00F96E37">
      <w:rPr>
        <w:rFonts w:ascii="Times New Roman" w:cs="Times New Roman"/>
        <w:noProof/>
      </w:rPr>
      <w:t>77</w:t>
    </w:r>
    <w:r>
      <w:rPr>
        <w:rFonts w:ascii="Times New Roman" w:cs="Times New Roman"/>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a"/>
      <w:ind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6A3F" w:rsidRDefault="00496A3F">
      <w:pPr>
        <w:spacing w:line="240" w:lineRule="auto"/>
        <w:ind w:firstLine="480"/>
      </w:pPr>
      <w:r>
        <w:separator/>
      </w:r>
    </w:p>
  </w:footnote>
  <w:footnote w:type="continuationSeparator" w:id="0">
    <w:p w:rsidR="00496A3F" w:rsidRDefault="00496A3F">
      <w:pPr>
        <w:spacing w:line="240" w:lineRule="auto"/>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ind w:firstLine="360"/>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ind w:firstLine="360"/>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rsidP="00732EFD">
    <w:pPr>
      <w:pStyle w:val="ab"/>
      <w:pBdr>
        <w:bottom w:val="none" w:sz="0" w:space="0" w:color="auto"/>
      </w:pBdr>
      <w:ind w:left="1440" w:firstLine="360"/>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ind w:firstLine="360"/>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rsidP="003163DE">
    <w:pPr>
      <w:pStyle w:val="00"/>
      <w:ind w:firstLine="420"/>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ind w:firstLine="360"/>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ind w:firstLine="360"/>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rsidP="0062455D">
    <w:pPr>
      <w:pStyle w:val="ab"/>
      <w:pBdr>
        <w:bottom w:val="none" w:sz="0" w:space="0" w:color="auto"/>
      </w:pBdr>
      <w:ind w:firstLine="360"/>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ind w:firstLine="360"/>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ind w:firstLine="360"/>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rsidP="009A22FB">
    <w:pPr>
      <w:pStyle w:val="00"/>
      <w:ind w:firstLine="42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rsidP="00DF146B">
    <w:pPr>
      <w:pStyle w:val="ab"/>
      <w:pBdr>
        <w:bottom w:val="none" w:sz="0" w:space="0" w:color="auto"/>
      </w:pBdr>
      <w:ind w:firstLine="360"/>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ind w:firstLine="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ind w:firstLine="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ind w:firstLine="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rsidP="006A0815">
    <w:pPr>
      <w:pStyle w:val="ab"/>
      <w:pBdr>
        <w:bottom w:val="none" w:sz="0" w:space="0" w:color="auto"/>
      </w:pBdr>
      <w:ind w:firstLine="36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ind w:firstLine="36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pBdr>
        <w:bottom w:val="none" w:sz="0" w:space="0" w:color="auto"/>
      </w:pBdr>
      <w:ind w:firstLineChars="0" w:firstLine="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ind w:firstLine="360"/>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354" w:rsidRDefault="00A62354">
    <w:pPr>
      <w:pStyle w:val="ab"/>
      <w:pBdr>
        <w:bottom w:val="none" w:sz="0" w:space="0" w:color="auto"/>
      </w:pBdr>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3E19F8B"/>
    <w:multiLevelType w:val="singleLevel"/>
    <w:tmpl w:val="83E19F8B"/>
    <w:lvl w:ilvl="0">
      <w:start w:val="4"/>
      <w:numFmt w:val="decimal"/>
      <w:suff w:val="nothing"/>
      <w:lvlText w:val="（%1）"/>
      <w:lvlJc w:val="left"/>
    </w:lvl>
  </w:abstractNum>
  <w:abstractNum w:abstractNumId="1">
    <w:nsid w:val="AAA58113"/>
    <w:multiLevelType w:val="singleLevel"/>
    <w:tmpl w:val="AAA58113"/>
    <w:lvl w:ilvl="0">
      <w:start w:val="1"/>
      <w:numFmt w:val="decimal"/>
      <w:suff w:val="nothing"/>
      <w:lvlText w:val="（%1）"/>
      <w:lvlJc w:val="left"/>
    </w:lvl>
  </w:abstractNum>
  <w:abstractNum w:abstractNumId="2">
    <w:nsid w:val="B9368538"/>
    <w:multiLevelType w:val="singleLevel"/>
    <w:tmpl w:val="B9368538"/>
    <w:lvl w:ilvl="0">
      <w:start w:val="1"/>
      <w:numFmt w:val="decimal"/>
      <w:suff w:val="nothing"/>
      <w:lvlText w:val="%1、"/>
      <w:lvlJc w:val="left"/>
    </w:lvl>
  </w:abstractNum>
  <w:abstractNum w:abstractNumId="3">
    <w:nsid w:val="CFFDBCF8"/>
    <w:multiLevelType w:val="singleLevel"/>
    <w:tmpl w:val="CFFDBCF8"/>
    <w:lvl w:ilvl="0">
      <w:start w:val="2"/>
      <w:numFmt w:val="decimal"/>
      <w:suff w:val="nothing"/>
      <w:lvlText w:val="%1、"/>
      <w:lvlJc w:val="left"/>
      <w:pPr>
        <w:ind w:left="0" w:firstLine="0"/>
      </w:pPr>
    </w:lvl>
  </w:abstractNum>
  <w:abstractNum w:abstractNumId="4">
    <w:nsid w:val="DC42DB00"/>
    <w:multiLevelType w:val="singleLevel"/>
    <w:tmpl w:val="DC42DB00"/>
    <w:lvl w:ilvl="0">
      <w:start w:val="2"/>
      <w:numFmt w:val="decimal"/>
      <w:suff w:val="nothing"/>
      <w:lvlText w:val="%1、"/>
      <w:lvlJc w:val="left"/>
    </w:lvl>
  </w:abstractNum>
  <w:abstractNum w:abstractNumId="5">
    <w:nsid w:val="E57D667F"/>
    <w:multiLevelType w:val="singleLevel"/>
    <w:tmpl w:val="E57D667F"/>
    <w:lvl w:ilvl="0">
      <w:start w:val="1"/>
      <w:numFmt w:val="decimal"/>
      <w:suff w:val="nothing"/>
      <w:lvlText w:val="%1）"/>
      <w:lvlJc w:val="left"/>
    </w:lvl>
  </w:abstractNum>
  <w:abstractNum w:abstractNumId="6">
    <w:nsid w:val="EF90D7FF"/>
    <w:multiLevelType w:val="singleLevel"/>
    <w:tmpl w:val="EF90D7FF"/>
    <w:lvl w:ilvl="0">
      <w:start w:val="1"/>
      <w:numFmt w:val="decimal"/>
      <w:suff w:val="nothing"/>
      <w:lvlText w:val="（%1）"/>
      <w:lvlJc w:val="left"/>
    </w:lvl>
  </w:abstractNum>
  <w:abstractNum w:abstractNumId="7">
    <w:nsid w:val="00000001"/>
    <w:multiLevelType w:val="multilevel"/>
    <w:tmpl w:val="00000001"/>
    <w:lvl w:ilvl="0">
      <w:start w:val="2"/>
      <w:numFmt w:val="decimal"/>
      <w:lvlText w:val="%1"/>
      <w:lvlJc w:val="left"/>
      <w:pPr>
        <w:tabs>
          <w:tab w:val="num" w:pos="995"/>
        </w:tabs>
        <w:ind w:left="995" w:hanging="435"/>
      </w:pPr>
      <w:rPr>
        <w:rFonts w:hint="default"/>
      </w:rPr>
    </w:lvl>
    <w:lvl w:ilvl="1">
      <w:start w:val="1"/>
      <w:numFmt w:val="lowerLetter"/>
      <w:lvlText w:val="%2)"/>
      <w:lvlJc w:val="left"/>
      <w:pPr>
        <w:tabs>
          <w:tab w:val="num" w:pos="1400"/>
        </w:tabs>
        <w:ind w:left="1400" w:hanging="420"/>
      </w:pPr>
    </w:lvl>
    <w:lvl w:ilvl="2">
      <w:start w:val="1"/>
      <w:numFmt w:val="lowerRoman"/>
      <w:lvlText w:val="%3."/>
      <w:lvlJc w:val="right"/>
      <w:pPr>
        <w:tabs>
          <w:tab w:val="num" w:pos="1820"/>
        </w:tabs>
        <w:ind w:left="1820" w:hanging="420"/>
      </w:pPr>
    </w:lvl>
    <w:lvl w:ilvl="3">
      <w:start w:val="1"/>
      <w:numFmt w:val="decimal"/>
      <w:lvlText w:val="%4."/>
      <w:lvlJc w:val="left"/>
      <w:pPr>
        <w:tabs>
          <w:tab w:val="num" w:pos="2240"/>
        </w:tabs>
        <w:ind w:left="2240" w:hanging="420"/>
      </w:pPr>
    </w:lvl>
    <w:lvl w:ilvl="4">
      <w:start w:val="1"/>
      <w:numFmt w:val="lowerLetter"/>
      <w:lvlText w:val="%5)"/>
      <w:lvlJc w:val="left"/>
      <w:pPr>
        <w:tabs>
          <w:tab w:val="num" w:pos="2660"/>
        </w:tabs>
        <w:ind w:left="2660" w:hanging="420"/>
      </w:pPr>
    </w:lvl>
    <w:lvl w:ilvl="5">
      <w:start w:val="1"/>
      <w:numFmt w:val="lowerRoman"/>
      <w:lvlText w:val="%6."/>
      <w:lvlJc w:val="right"/>
      <w:pPr>
        <w:tabs>
          <w:tab w:val="num" w:pos="3080"/>
        </w:tabs>
        <w:ind w:left="3080" w:hanging="420"/>
      </w:pPr>
    </w:lvl>
    <w:lvl w:ilvl="6">
      <w:start w:val="1"/>
      <w:numFmt w:val="decimal"/>
      <w:lvlText w:val="%7."/>
      <w:lvlJc w:val="left"/>
      <w:pPr>
        <w:tabs>
          <w:tab w:val="num" w:pos="3500"/>
        </w:tabs>
        <w:ind w:left="3500" w:hanging="420"/>
      </w:pPr>
    </w:lvl>
    <w:lvl w:ilvl="7">
      <w:start w:val="1"/>
      <w:numFmt w:val="lowerLetter"/>
      <w:lvlText w:val="%8)"/>
      <w:lvlJc w:val="left"/>
      <w:pPr>
        <w:tabs>
          <w:tab w:val="num" w:pos="3920"/>
        </w:tabs>
        <w:ind w:left="3920" w:hanging="420"/>
      </w:pPr>
    </w:lvl>
    <w:lvl w:ilvl="8">
      <w:start w:val="1"/>
      <w:numFmt w:val="lowerRoman"/>
      <w:lvlText w:val="%9."/>
      <w:lvlJc w:val="right"/>
      <w:pPr>
        <w:tabs>
          <w:tab w:val="num" w:pos="4340"/>
        </w:tabs>
        <w:ind w:left="4340" w:hanging="420"/>
      </w:pPr>
    </w:lvl>
  </w:abstractNum>
  <w:abstractNum w:abstractNumId="8">
    <w:nsid w:val="0000000C"/>
    <w:multiLevelType w:val="multilevel"/>
    <w:tmpl w:val="0000000C"/>
    <w:lvl w:ilvl="0">
      <w:start w:val="1"/>
      <w:numFmt w:val="decimal"/>
      <w:suff w:val="space"/>
      <w:lvlText w:val="%1    "/>
      <w:lvlJc w:val="left"/>
      <w:pPr>
        <w:ind w:left="0" w:firstLine="0"/>
      </w:pPr>
      <w:rPr>
        <w:rFonts w:ascii="Times New Roman" w:eastAsia="宋体" w:hAnsi="Times New Roman" w:hint="default"/>
        <w:b/>
        <w:i w:val="0"/>
        <w:color w:val="auto"/>
        <w:sz w:val="30"/>
      </w:rPr>
    </w:lvl>
    <w:lvl w:ilvl="1">
      <w:start w:val="1"/>
      <w:numFmt w:val="decimal"/>
      <w:suff w:val="space"/>
      <w:lvlText w:val="%1.%2    "/>
      <w:lvlJc w:val="left"/>
      <w:pPr>
        <w:ind w:left="0" w:firstLine="0"/>
      </w:pPr>
      <w:rPr>
        <w:rFonts w:ascii="Times New Roman" w:eastAsia="宋体" w:hAnsi="Times New Roman" w:hint="default"/>
        <w:b/>
        <w:i w:val="0"/>
        <w:spacing w:val="0"/>
        <w:w w:val="100"/>
        <w:position w:val="0"/>
        <w:sz w:val="28"/>
      </w:rPr>
    </w:lvl>
    <w:lvl w:ilvl="2">
      <w:start w:val="1"/>
      <w:numFmt w:val="decimal"/>
      <w:suff w:val="space"/>
      <w:lvlText w:val="%1.%2.%3  "/>
      <w:lvlJc w:val="left"/>
      <w:pPr>
        <w:ind w:left="0" w:firstLine="0"/>
      </w:pPr>
      <w:rPr>
        <w:rFonts w:ascii="Times New Roman" w:eastAsia="宋体" w:hAnsi="Times New Roman" w:hint="default"/>
        <w:b/>
        <w:i w:val="0"/>
        <w:sz w:val="28"/>
      </w:rPr>
    </w:lvl>
    <w:lvl w:ilvl="3">
      <w:start w:val="1"/>
      <w:numFmt w:val="decimal"/>
      <w:lvlText w:val="%1.%2.%3.%4"/>
      <w:lvlJc w:val="left"/>
      <w:pPr>
        <w:tabs>
          <w:tab w:val="num" w:pos="1080"/>
        </w:tabs>
        <w:ind w:left="0" w:firstLine="0"/>
      </w:pPr>
      <w:rPr>
        <w:rFonts w:ascii="Arial" w:eastAsia="宋体" w:hAnsi="Arial" w:hint="default"/>
        <w:b w:val="0"/>
        <w:i w:val="0"/>
        <w:sz w:val="28"/>
      </w:rPr>
    </w:lvl>
    <w:lvl w:ilvl="4">
      <w:start w:val="1"/>
      <w:numFmt w:val="decimal"/>
      <w:lvlText w:val="%1.%2.%3.%4.%5"/>
      <w:lvlJc w:val="left"/>
      <w:pPr>
        <w:tabs>
          <w:tab w:val="num" w:pos="3861"/>
        </w:tabs>
        <w:ind w:left="2551" w:hanging="850"/>
      </w:pPr>
      <w:rPr>
        <w:rFonts w:hint="eastAsia"/>
      </w:rPr>
    </w:lvl>
    <w:lvl w:ilvl="5">
      <w:start w:val="1"/>
      <w:numFmt w:val="decimal"/>
      <w:lvlText w:val="%1.%2.%3.%4.%5.%6"/>
      <w:lvlJc w:val="left"/>
      <w:pPr>
        <w:tabs>
          <w:tab w:val="num" w:pos="4646"/>
        </w:tabs>
        <w:ind w:left="3260" w:hanging="1134"/>
      </w:pPr>
      <w:rPr>
        <w:rFonts w:hint="eastAsia"/>
      </w:rPr>
    </w:lvl>
    <w:lvl w:ilvl="6">
      <w:start w:val="1"/>
      <w:numFmt w:val="decimal"/>
      <w:lvlText w:val="%1.%2.%3.%4.%5.%6.%7"/>
      <w:lvlJc w:val="left"/>
      <w:pPr>
        <w:tabs>
          <w:tab w:val="num" w:pos="5431"/>
        </w:tabs>
        <w:ind w:left="3827" w:hanging="1276"/>
      </w:pPr>
      <w:rPr>
        <w:rFonts w:hint="eastAsia"/>
      </w:rPr>
    </w:lvl>
    <w:lvl w:ilvl="7">
      <w:start w:val="1"/>
      <w:numFmt w:val="decimal"/>
      <w:lvlText w:val="%1.%2.%3.%4.%5.%6.%7.%8"/>
      <w:lvlJc w:val="left"/>
      <w:pPr>
        <w:tabs>
          <w:tab w:val="num" w:pos="6216"/>
        </w:tabs>
        <w:ind w:left="4394" w:hanging="1418"/>
      </w:pPr>
      <w:rPr>
        <w:rFonts w:hint="eastAsia"/>
      </w:rPr>
    </w:lvl>
    <w:lvl w:ilvl="8">
      <w:start w:val="1"/>
      <w:numFmt w:val="decimal"/>
      <w:lvlText w:val="%1.%2.%3.%4.%5.%6.%7.%8.%9"/>
      <w:lvlJc w:val="left"/>
      <w:pPr>
        <w:tabs>
          <w:tab w:val="num" w:pos="7002"/>
        </w:tabs>
        <w:ind w:left="5102" w:hanging="1700"/>
      </w:pPr>
      <w:rPr>
        <w:rFonts w:hint="eastAsia"/>
      </w:rPr>
    </w:lvl>
  </w:abstractNum>
  <w:abstractNum w:abstractNumId="9">
    <w:nsid w:val="053F9A2D"/>
    <w:multiLevelType w:val="singleLevel"/>
    <w:tmpl w:val="053F9A2D"/>
    <w:lvl w:ilvl="0">
      <w:start w:val="2"/>
      <w:numFmt w:val="decimal"/>
      <w:suff w:val="nothing"/>
      <w:lvlText w:val="（%1）"/>
      <w:lvlJc w:val="left"/>
    </w:lvl>
  </w:abstractNum>
  <w:abstractNum w:abstractNumId="10">
    <w:nsid w:val="08420C11"/>
    <w:multiLevelType w:val="multilevel"/>
    <w:tmpl w:val="08420C11"/>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nsid w:val="08653A1F"/>
    <w:multiLevelType w:val="multilevel"/>
    <w:tmpl w:val="08653A1F"/>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nsid w:val="11C3BB56"/>
    <w:multiLevelType w:val="singleLevel"/>
    <w:tmpl w:val="11C3BB56"/>
    <w:lvl w:ilvl="0">
      <w:start w:val="1"/>
      <w:numFmt w:val="decimal"/>
      <w:suff w:val="nothing"/>
      <w:lvlText w:val="（%1）"/>
      <w:lvlJc w:val="left"/>
    </w:lvl>
  </w:abstractNum>
  <w:abstractNum w:abstractNumId="13">
    <w:nsid w:val="29D87A87"/>
    <w:multiLevelType w:val="multilevel"/>
    <w:tmpl w:val="29D87A87"/>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4">
    <w:nsid w:val="3D15039B"/>
    <w:multiLevelType w:val="hybridMultilevel"/>
    <w:tmpl w:val="6160149A"/>
    <w:lvl w:ilvl="0" w:tplc="F7506D4C">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
    <w:nsid w:val="47F54DF2"/>
    <w:multiLevelType w:val="hybridMultilevel"/>
    <w:tmpl w:val="0AEE8A4E"/>
    <w:lvl w:ilvl="0" w:tplc="305CAF92">
      <w:start w:val="2"/>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6">
    <w:nsid w:val="5895D4CC"/>
    <w:multiLevelType w:val="singleLevel"/>
    <w:tmpl w:val="5895D4CC"/>
    <w:lvl w:ilvl="0">
      <w:start w:val="1"/>
      <w:numFmt w:val="decimal"/>
      <w:suff w:val="nothing"/>
      <w:lvlText w:val="%1)"/>
      <w:lvlJc w:val="left"/>
    </w:lvl>
  </w:abstractNum>
  <w:abstractNum w:abstractNumId="17">
    <w:nsid w:val="667FBB14"/>
    <w:multiLevelType w:val="singleLevel"/>
    <w:tmpl w:val="667FBB14"/>
    <w:lvl w:ilvl="0">
      <w:start w:val="1"/>
      <w:numFmt w:val="decimal"/>
      <w:lvlText w:val="%1."/>
      <w:lvlJc w:val="left"/>
      <w:pPr>
        <w:tabs>
          <w:tab w:val="num" w:pos="2040"/>
        </w:tabs>
        <w:ind w:left="2040" w:hanging="360"/>
      </w:pPr>
    </w:lvl>
  </w:abstractNum>
  <w:abstractNum w:abstractNumId="18">
    <w:nsid w:val="71B21497"/>
    <w:multiLevelType w:val="multilevel"/>
    <w:tmpl w:val="71949BC8"/>
    <w:lvl w:ilvl="0">
      <w:start w:val="1"/>
      <w:numFmt w:val="decimal"/>
      <w:pStyle w:val="SSEC1"/>
      <w:isLgl/>
      <w:suff w:val="nothing"/>
      <w:lvlText w:val="（%1）"/>
      <w:lvlJc w:val="left"/>
      <w:pPr>
        <w:ind w:left="0" w:firstLine="476"/>
      </w:pPr>
      <w:rPr>
        <w:rFonts w:ascii="宋体" w:eastAsia="宋体" w:hint="eastAsia"/>
      </w:rPr>
    </w:lvl>
    <w:lvl w:ilvl="1">
      <w:start w:val="1"/>
      <w:numFmt w:val="decimal"/>
      <w:isLgl/>
      <w:suff w:val="nothing"/>
      <w:lvlText w:val="%2）"/>
      <w:lvlJc w:val="left"/>
      <w:pPr>
        <w:ind w:left="0" w:firstLine="476"/>
      </w:pPr>
      <w:rPr>
        <w:rFonts w:ascii="宋体" w:eastAsia="宋体" w:hint="eastAsia"/>
      </w:rPr>
    </w:lvl>
    <w:lvl w:ilvl="2">
      <w:start w:val="1"/>
      <w:numFmt w:val="decimalEnclosedCircle"/>
      <w:suff w:val="nothing"/>
      <w:lvlText w:val="%3"/>
      <w:lvlJc w:val="left"/>
      <w:pPr>
        <w:ind w:left="0" w:firstLine="476"/>
      </w:pPr>
      <w:rPr>
        <w:rFonts w:ascii="宋体" w:eastAsia="宋体" w:hint="eastAsia"/>
      </w:rPr>
    </w:lvl>
    <w:lvl w:ilvl="3">
      <w:start w:val="1"/>
      <w:numFmt w:val="lowerLetter"/>
      <w:suff w:val="nothing"/>
      <w:lvlText w:val="%4."/>
      <w:lvlJc w:val="left"/>
      <w:pPr>
        <w:ind w:left="0" w:firstLine="476"/>
      </w:pPr>
      <w:rPr>
        <w:rFonts w:ascii="宋体" w:eastAsia="宋体" w:hint="eastAsia"/>
        <w:b w:val="0"/>
      </w:rPr>
    </w:lvl>
    <w:lvl w:ilvl="4">
      <w:start w:val="1"/>
      <w:numFmt w:val="lowerLetter"/>
      <w:suff w:val="nothing"/>
      <w:lvlText w:val="%5）"/>
      <w:lvlJc w:val="left"/>
      <w:pPr>
        <w:ind w:left="1509" w:firstLine="476"/>
      </w:pPr>
      <w:rPr>
        <w:rFonts w:ascii="宋体" w:eastAsia="宋体" w:hint="eastAsia"/>
        <w:b w:val="0"/>
      </w:rPr>
    </w:lvl>
    <w:lvl w:ilvl="5">
      <w:start w:val="1"/>
      <w:numFmt w:val="upperRoman"/>
      <w:suff w:val="nothing"/>
      <w:lvlText w:val="%6"/>
      <w:lvlJc w:val="left"/>
      <w:pPr>
        <w:ind w:left="0" w:firstLine="476"/>
      </w:pPr>
      <w:rPr>
        <w:rFonts w:ascii="宋体" w:eastAsia="宋体" w:hint="eastAsia"/>
      </w:rPr>
    </w:lvl>
    <w:lvl w:ilvl="6">
      <w:start w:val="1"/>
      <w:numFmt w:val="lowerRoman"/>
      <w:suff w:val="nothing"/>
      <w:lvlText w:val="%7."/>
      <w:lvlJc w:val="left"/>
      <w:pPr>
        <w:ind w:left="0" w:firstLine="476"/>
      </w:pPr>
      <w:rPr>
        <w:rFonts w:hint="eastAsia"/>
      </w:rPr>
    </w:lvl>
    <w:lvl w:ilvl="7">
      <w:start w:val="1"/>
      <w:numFmt w:val="upperRoman"/>
      <w:suff w:val="nothing"/>
      <w:lvlText w:val="%8"/>
      <w:lvlJc w:val="left"/>
      <w:pPr>
        <w:ind w:left="0" w:firstLine="476"/>
      </w:pPr>
      <w:rPr>
        <w:rFonts w:hint="eastAsia"/>
      </w:rPr>
    </w:lvl>
    <w:lvl w:ilvl="8">
      <w:start w:val="1"/>
      <w:numFmt w:val="lowerRoman"/>
      <w:suff w:val="nothing"/>
      <w:lvlText w:val="%9"/>
      <w:lvlJc w:val="left"/>
      <w:pPr>
        <w:ind w:left="0" w:firstLine="476"/>
      </w:pPr>
      <w:rPr>
        <w:rFonts w:hint="eastAsia"/>
      </w:rPr>
    </w:lvl>
  </w:abstractNum>
  <w:abstractNum w:abstractNumId="19">
    <w:nsid w:val="741A6650"/>
    <w:multiLevelType w:val="hybridMultilevel"/>
    <w:tmpl w:val="97701D00"/>
    <w:lvl w:ilvl="0" w:tplc="CEDAFD78">
      <w:start w:val="1"/>
      <w:numFmt w:val="decimal"/>
      <w:lvlText w:val="%1."/>
      <w:lvlJc w:val="left"/>
      <w:pPr>
        <w:ind w:left="420" w:hanging="420"/>
      </w:pPr>
    </w:lvl>
    <w:lvl w:ilvl="1" w:tplc="7AB2A31A" w:tentative="1">
      <w:start w:val="1"/>
      <w:numFmt w:val="lowerLetter"/>
      <w:lvlText w:val="%2)"/>
      <w:lvlJc w:val="left"/>
      <w:pPr>
        <w:ind w:left="840" w:hanging="420"/>
      </w:pPr>
    </w:lvl>
    <w:lvl w:ilvl="2" w:tplc="A6FA463A" w:tentative="1">
      <w:start w:val="1"/>
      <w:numFmt w:val="lowerRoman"/>
      <w:lvlText w:val="%3."/>
      <w:lvlJc w:val="right"/>
      <w:pPr>
        <w:ind w:left="1260" w:hanging="420"/>
      </w:pPr>
    </w:lvl>
    <w:lvl w:ilvl="3" w:tplc="B22E09FC" w:tentative="1">
      <w:start w:val="1"/>
      <w:numFmt w:val="decimal"/>
      <w:lvlText w:val="%4."/>
      <w:lvlJc w:val="left"/>
      <w:pPr>
        <w:ind w:left="1680" w:hanging="420"/>
      </w:pPr>
    </w:lvl>
    <w:lvl w:ilvl="4" w:tplc="881AD018" w:tentative="1">
      <w:start w:val="1"/>
      <w:numFmt w:val="lowerLetter"/>
      <w:lvlText w:val="%5)"/>
      <w:lvlJc w:val="left"/>
      <w:pPr>
        <w:ind w:left="2100" w:hanging="420"/>
      </w:pPr>
    </w:lvl>
    <w:lvl w:ilvl="5" w:tplc="E1D65A42" w:tentative="1">
      <w:start w:val="1"/>
      <w:numFmt w:val="lowerRoman"/>
      <w:lvlText w:val="%6."/>
      <w:lvlJc w:val="right"/>
      <w:pPr>
        <w:ind w:left="2520" w:hanging="420"/>
      </w:pPr>
    </w:lvl>
    <w:lvl w:ilvl="6" w:tplc="22603556" w:tentative="1">
      <w:start w:val="1"/>
      <w:numFmt w:val="decimal"/>
      <w:lvlText w:val="%7."/>
      <w:lvlJc w:val="left"/>
      <w:pPr>
        <w:ind w:left="2940" w:hanging="420"/>
      </w:pPr>
    </w:lvl>
    <w:lvl w:ilvl="7" w:tplc="95DA65A2" w:tentative="1">
      <w:start w:val="1"/>
      <w:numFmt w:val="lowerLetter"/>
      <w:lvlText w:val="%8)"/>
      <w:lvlJc w:val="left"/>
      <w:pPr>
        <w:ind w:left="3360" w:hanging="420"/>
      </w:pPr>
    </w:lvl>
    <w:lvl w:ilvl="8" w:tplc="8BB05626" w:tentative="1">
      <w:start w:val="1"/>
      <w:numFmt w:val="lowerRoman"/>
      <w:lvlText w:val="%9."/>
      <w:lvlJc w:val="right"/>
      <w:pPr>
        <w:ind w:left="3780" w:hanging="420"/>
      </w:pPr>
    </w:lvl>
  </w:abstractNum>
  <w:abstractNum w:abstractNumId="20">
    <w:nsid w:val="7ABC514E"/>
    <w:multiLevelType w:val="multilevel"/>
    <w:tmpl w:val="7ABC514E"/>
    <w:lvl w:ilvl="0">
      <w:start w:val="1"/>
      <w:numFmt w:val="decimalEnclosedCircle"/>
      <w:pStyle w:val="a"/>
      <w:lvlText w:val="%1"/>
      <w:lvlJc w:val="left"/>
      <w:pPr>
        <w:ind w:left="840" w:hanging="360"/>
      </w:pPr>
      <w:rPr>
        <w:rFonts w:ascii="宋体" w:eastAsia="宋体" w:hAnsi="宋体" w:cs="宋体"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pStyle w:val="4111"/>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1">
    <w:nsid w:val="7B6CAF15"/>
    <w:multiLevelType w:val="singleLevel"/>
    <w:tmpl w:val="7B6CAF15"/>
    <w:lvl w:ilvl="0">
      <w:start w:val="1"/>
      <w:numFmt w:val="decimal"/>
      <w:suff w:val="nothing"/>
      <w:lvlText w:val="（%1）"/>
      <w:lvlJc w:val="left"/>
    </w:lvl>
  </w:abstractNum>
  <w:abstractNum w:abstractNumId="22">
    <w:nsid w:val="7B894AC8"/>
    <w:multiLevelType w:val="singleLevel"/>
    <w:tmpl w:val="7B894AC8"/>
    <w:lvl w:ilvl="0">
      <w:start w:val="1"/>
      <w:numFmt w:val="decimal"/>
      <w:suff w:val="nothing"/>
      <w:lvlText w:val="%1）"/>
      <w:lvlJc w:val="left"/>
    </w:lvl>
  </w:abstractNum>
  <w:abstractNum w:abstractNumId="23">
    <w:nsid w:val="7E32E534"/>
    <w:multiLevelType w:val="singleLevel"/>
    <w:tmpl w:val="7E32E534"/>
    <w:lvl w:ilvl="0">
      <w:start w:val="1"/>
      <w:numFmt w:val="decimal"/>
      <w:suff w:val="nothing"/>
      <w:lvlText w:val="%1、"/>
      <w:lvlJc w:val="left"/>
    </w:lvl>
  </w:abstractNum>
  <w:num w:numId="1">
    <w:abstractNumId w:val="20"/>
  </w:num>
  <w:num w:numId="2">
    <w:abstractNumId w:val="3"/>
    <w:lvlOverride w:ilvl="0">
      <w:startOverride w:val="2"/>
    </w:lvlOverride>
  </w:num>
  <w:num w:numId="3">
    <w:abstractNumId w:val="13"/>
  </w:num>
  <w:num w:numId="4">
    <w:abstractNumId w:val="12"/>
  </w:num>
  <w:num w:numId="5">
    <w:abstractNumId w:val="6"/>
  </w:num>
  <w:num w:numId="6">
    <w:abstractNumId w:val="5"/>
  </w:num>
  <w:num w:numId="7">
    <w:abstractNumId w:val="22"/>
  </w:num>
  <w:num w:numId="8">
    <w:abstractNumId w:val="8"/>
  </w:num>
  <w:num w:numId="9">
    <w:abstractNumId w:val="7"/>
  </w:num>
  <w:num w:numId="10">
    <w:abstractNumId w:val="23"/>
  </w:num>
  <w:num w:numId="11">
    <w:abstractNumId w:val="2"/>
  </w:num>
  <w:num w:numId="12">
    <w:abstractNumId w:val="16"/>
  </w:num>
  <w:num w:numId="13">
    <w:abstractNumId w:val="10"/>
  </w:num>
  <w:num w:numId="14">
    <w:abstractNumId w:val="11"/>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19"/>
  </w:num>
  <w:num w:numId="18">
    <w:abstractNumId w:val="18"/>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9"/>
  </w:num>
  <w:num w:numId="22">
    <w:abstractNumId w:val="0"/>
  </w:num>
  <w:num w:numId="23">
    <w:abstractNumId w:val="4"/>
  </w:num>
  <w:num w:numId="24">
    <w:abstractNumId w:val="17"/>
  </w:num>
  <w:num w:numId="25">
    <w:abstractNumId w:val="1"/>
  </w:num>
  <w:num w:numId="26">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3"/>
  <w:bordersDoNotSurroundHeader/>
  <w:bordersDoNotSurroundFooter/>
  <w:hideSpellingErrors/>
  <w:defaultTabStop w:val="420"/>
  <w:drawingGridHorizontalSpacing w:val="120"/>
  <w:drawingGridVerticalSpacing w:val="163"/>
  <w:displayHorizontalDrawingGridEvery w:val="0"/>
  <w:displayVerticalDrawingGridEvery w:val="2"/>
  <w:characterSpacingControl w:val="compressPunctuation"/>
  <w:hdrShapeDefaults>
    <o:shapedefaults v:ext="edit" spidmax="100354"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F6860"/>
    <w:rsid w:val="00000A9D"/>
    <w:rsid w:val="00001757"/>
    <w:rsid w:val="00002647"/>
    <w:rsid w:val="000033AA"/>
    <w:rsid w:val="00003D80"/>
    <w:rsid w:val="00006097"/>
    <w:rsid w:val="00006F4A"/>
    <w:rsid w:val="00011028"/>
    <w:rsid w:val="000113A8"/>
    <w:rsid w:val="000127FE"/>
    <w:rsid w:val="0001315C"/>
    <w:rsid w:val="00016A5F"/>
    <w:rsid w:val="00017303"/>
    <w:rsid w:val="00020DA9"/>
    <w:rsid w:val="000215DE"/>
    <w:rsid w:val="0002420D"/>
    <w:rsid w:val="00024BF9"/>
    <w:rsid w:val="00024CC8"/>
    <w:rsid w:val="000255B6"/>
    <w:rsid w:val="0002625A"/>
    <w:rsid w:val="00030601"/>
    <w:rsid w:val="00031D6F"/>
    <w:rsid w:val="00032123"/>
    <w:rsid w:val="000327C3"/>
    <w:rsid w:val="00032CF1"/>
    <w:rsid w:val="00034734"/>
    <w:rsid w:val="000357C8"/>
    <w:rsid w:val="00035E91"/>
    <w:rsid w:val="00036505"/>
    <w:rsid w:val="00042195"/>
    <w:rsid w:val="00043E39"/>
    <w:rsid w:val="00044303"/>
    <w:rsid w:val="00051B44"/>
    <w:rsid w:val="00052C45"/>
    <w:rsid w:val="00053203"/>
    <w:rsid w:val="00053AE5"/>
    <w:rsid w:val="00055EC3"/>
    <w:rsid w:val="00057F74"/>
    <w:rsid w:val="00062F6D"/>
    <w:rsid w:val="000637D9"/>
    <w:rsid w:val="0006480A"/>
    <w:rsid w:val="00064D98"/>
    <w:rsid w:val="00067C6D"/>
    <w:rsid w:val="00067DBE"/>
    <w:rsid w:val="0007009A"/>
    <w:rsid w:val="000713CB"/>
    <w:rsid w:val="00072471"/>
    <w:rsid w:val="00072F4D"/>
    <w:rsid w:val="00074CB2"/>
    <w:rsid w:val="00075350"/>
    <w:rsid w:val="00081032"/>
    <w:rsid w:val="00081889"/>
    <w:rsid w:val="000819D9"/>
    <w:rsid w:val="00082066"/>
    <w:rsid w:val="00082D90"/>
    <w:rsid w:val="000846A1"/>
    <w:rsid w:val="00084DD2"/>
    <w:rsid w:val="00084FA3"/>
    <w:rsid w:val="000851B1"/>
    <w:rsid w:val="00091F65"/>
    <w:rsid w:val="0009382D"/>
    <w:rsid w:val="00095B51"/>
    <w:rsid w:val="00096FB9"/>
    <w:rsid w:val="00097B2C"/>
    <w:rsid w:val="000A2E7B"/>
    <w:rsid w:val="000A3853"/>
    <w:rsid w:val="000A4AB5"/>
    <w:rsid w:val="000A55F2"/>
    <w:rsid w:val="000A5965"/>
    <w:rsid w:val="000A6257"/>
    <w:rsid w:val="000B193E"/>
    <w:rsid w:val="000B2F07"/>
    <w:rsid w:val="000B2F10"/>
    <w:rsid w:val="000B4BFB"/>
    <w:rsid w:val="000B68BB"/>
    <w:rsid w:val="000B7A10"/>
    <w:rsid w:val="000C0F0D"/>
    <w:rsid w:val="000C44C6"/>
    <w:rsid w:val="000C4E8D"/>
    <w:rsid w:val="000C5DAE"/>
    <w:rsid w:val="000C6323"/>
    <w:rsid w:val="000C65A8"/>
    <w:rsid w:val="000C6E05"/>
    <w:rsid w:val="000D06B4"/>
    <w:rsid w:val="000D0A68"/>
    <w:rsid w:val="000D1B44"/>
    <w:rsid w:val="000D2CA4"/>
    <w:rsid w:val="000D389E"/>
    <w:rsid w:val="000D3DA5"/>
    <w:rsid w:val="000D3DD2"/>
    <w:rsid w:val="000D4243"/>
    <w:rsid w:val="000D4303"/>
    <w:rsid w:val="000D4CF7"/>
    <w:rsid w:val="000D775D"/>
    <w:rsid w:val="000E3D17"/>
    <w:rsid w:val="000E4591"/>
    <w:rsid w:val="000E5160"/>
    <w:rsid w:val="000F012A"/>
    <w:rsid w:val="000F232E"/>
    <w:rsid w:val="000F28EC"/>
    <w:rsid w:val="000F2E61"/>
    <w:rsid w:val="000F57FD"/>
    <w:rsid w:val="000F6BEF"/>
    <w:rsid w:val="000F705A"/>
    <w:rsid w:val="000F7383"/>
    <w:rsid w:val="0010055E"/>
    <w:rsid w:val="001007F2"/>
    <w:rsid w:val="001009BC"/>
    <w:rsid w:val="001011F2"/>
    <w:rsid w:val="00101FE1"/>
    <w:rsid w:val="00102095"/>
    <w:rsid w:val="00102E33"/>
    <w:rsid w:val="00104961"/>
    <w:rsid w:val="00104CE9"/>
    <w:rsid w:val="00110F02"/>
    <w:rsid w:val="0011144B"/>
    <w:rsid w:val="0011179D"/>
    <w:rsid w:val="00112504"/>
    <w:rsid w:val="00112738"/>
    <w:rsid w:val="00117C3D"/>
    <w:rsid w:val="001205FA"/>
    <w:rsid w:val="001231CF"/>
    <w:rsid w:val="00124375"/>
    <w:rsid w:val="00124F3E"/>
    <w:rsid w:val="00126822"/>
    <w:rsid w:val="00126D01"/>
    <w:rsid w:val="00130544"/>
    <w:rsid w:val="0013064A"/>
    <w:rsid w:val="001318DC"/>
    <w:rsid w:val="0013448D"/>
    <w:rsid w:val="001364E0"/>
    <w:rsid w:val="00137B2F"/>
    <w:rsid w:val="00143564"/>
    <w:rsid w:val="00143A4D"/>
    <w:rsid w:val="0014404A"/>
    <w:rsid w:val="0014487A"/>
    <w:rsid w:val="00146A53"/>
    <w:rsid w:val="00146FCA"/>
    <w:rsid w:val="00147EAE"/>
    <w:rsid w:val="00150DB2"/>
    <w:rsid w:val="00152DD1"/>
    <w:rsid w:val="001533B5"/>
    <w:rsid w:val="001540E2"/>
    <w:rsid w:val="0015431B"/>
    <w:rsid w:val="001549F6"/>
    <w:rsid w:val="001600C0"/>
    <w:rsid w:val="00160BE4"/>
    <w:rsid w:val="00161567"/>
    <w:rsid w:val="00162134"/>
    <w:rsid w:val="001626C7"/>
    <w:rsid w:val="00162952"/>
    <w:rsid w:val="00163678"/>
    <w:rsid w:val="00165EAC"/>
    <w:rsid w:val="0016641A"/>
    <w:rsid w:val="00166EC3"/>
    <w:rsid w:val="00172FF3"/>
    <w:rsid w:val="00173715"/>
    <w:rsid w:val="001737E6"/>
    <w:rsid w:val="00174753"/>
    <w:rsid w:val="0017585A"/>
    <w:rsid w:val="0018209F"/>
    <w:rsid w:val="0018459E"/>
    <w:rsid w:val="0018583F"/>
    <w:rsid w:val="001862BD"/>
    <w:rsid w:val="00187AAF"/>
    <w:rsid w:val="00187B2E"/>
    <w:rsid w:val="0019193E"/>
    <w:rsid w:val="001921D7"/>
    <w:rsid w:val="001927D1"/>
    <w:rsid w:val="00194517"/>
    <w:rsid w:val="001947C2"/>
    <w:rsid w:val="00194AFC"/>
    <w:rsid w:val="001950D0"/>
    <w:rsid w:val="001964D5"/>
    <w:rsid w:val="00196A53"/>
    <w:rsid w:val="001A254A"/>
    <w:rsid w:val="001A28CE"/>
    <w:rsid w:val="001A48A3"/>
    <w:rsid w:val="001A4D50"/>
    <w:rsid w:val="001A6093"/>
    <w:rsid w:val="001A683F"/>
    <w:rsid w:val="001A7776"/>
    <w:rsid w:val="001B2F69"/>
    <w:rsid w:val="001B32FD"/>
    <w:rsid w:val="001B6E46"/>
    <w:rsid w:val="001B764A"/>
    <w:rsid w:val="001B7678"/>
    <w:rsid w:val="001C15BE"/>
    <w:rsid w:val="001C43F5"/>
    <w:rsid w:val="001C4BC6"/>
    <w:rsid w:val="001C7921"/>
    <w:rsid w:val="001D3574"/>
    <w:rsid w:val="001D3F0F"/>
    <w:rsid w:val="001D4A49"/>
    <w:rsid w:val="001D5C63"/>
    <w:rsid w:val="001D642B"/>
    <w:rsid w:val="001D7628"/>
    <w:rsid w:val="001E45AD"/>
    <w:rsid w:val="001E48DD"/>
    <w:rsid w:val="001E4C1E"/>
    <w:rsid w:val="001E7766"/>
    <w:rsid w:val="001E79D3"/>
    <w:rsid w:val="001F01B0"/>
    <w:rsid w:val="001F1370"/>
    <w:rsid w:val="001F1394"/>
    <w:rsid w:val="001F1679"/>
    <w:rsid w:val="001F4A69"/>
    <w:rsid w:val="001F5B9C"/>
    <w:rsid w:val="001F63EB"/>
    <w:rsid w:val="001F7814"/>
    <w:rsid w:val="00200C3C"/>
    <w:rsid w:val="00200E4A"/>
    <w:rsid w:val="002016A1"/>
    <w:rsid w:val="00202BCF"/>
    <w:rsid w:val="00203FCF"/>
    <w:rsid w:val="00205574"/>
    <w:rsid w:val="002055B5"/>
    <w:rsid w:val="002062D5"/>
    <w:rsid w:val="00206626"/>
    <w:rsid w:val="0021079D"/>
    <w:rsid w:val="00211A77"/>
    <w:rsid w:val="00213A2B"/>
    <w:rsid w:val="00214B41"/>
    <w:rsid w:val="00214E53"/>
    <w:rsid w:val="0021697D"/>
    <w:rsid w:val="002169CB"/>
    <w:rsid w:val="00216A66"/>
    <w:rsid w:val="00216A74"/>
    <w:rsid w:val="00217AE8"/>
    <w:rsid w:val="002209D1"/>
    <w:rsid w:val="00221E85"/>
    <w:rsid w:val="0022383C"/>
    <w:rsid w:val="00223E81"/>
    <w:rsid w:val="00224317"/>
    <w:rsid w:val="002246E4"/>
    <w:rsid w:val="00226CA6"/>
    <w:rsid w:val="00227D7D"/>
    <w:rsid w:val="00230D2D"/>
    <w:rsid w:val="00231D5B"/>
    <w:rsid w:val="0023209D"/>
    <w:rsid w:val="002330C4"/>
    <w:rsid w:val="0023542E"/>
    <w:rsid w:val="00235D61"/>
    <w:rsid w:val="00240248"/>
    <w:rsid w:val="002408F4"/>
    <w:rsid w:val="002409BF"/>
    <w:rsid w:val="00240DD3"/>
    <w:rsid w:val="00241B86"/>
    <w:rsid w:val="00245667"/>
    <w:rsid w:val="00246531"/>
    <w:rsid w:val="00246ABB"/>
    <w:rsid w:val="00251CEC"/>
    <w:rsid w:val="002528C5"/>
    <w:rsid w:val="00252FD0"/>
    <w:rsid w:val="00253AF1"/>
    <w:rsid w:val="002548A4"/>
    <w:rsid w:val="002554E9"/>
    <w:rsid w:val="00256996"/>
    <w:rsid w:val="00262163"/>
    <w:rsid w:val="002622A7"/>
    <w:rsid w:val="00263096"/>
    <w:rsid w:val="002641F6"/>
    <w:rsid w:val="00264D2E"/>
    <w:rsid w:val="00265A8C"/>
    <w:rsid w:val="00265C62"/>
    <w:rsid w:val="00272065"/>
    <w:rsid w:val="00272A45"/>
    <w:rsid w:val="00272B1E"/>
    <w:rsid w:val="0027458E"/>
    <w:rsid w:val="00277566"/>
    <w:rsid w:val="00280A35"/>
    <w:rsid w:val="0028375E"/>
    <w:rsid w:val="00283BF3"/>
    <w:rsid w:val="00284647"/>
    <w:rsid w:val="002869D5"/>
    <w:rsid w:val="002871C9"/>
    <w:rsid w:val="00287CE3"/>
    <w:rsid w:val="0029055C"/>
    <w:rsid w:val="00290D1D"/>
    <w:rsid w:val="00292BF2"/>
    <w:rsid w:val="002941D3"/>
    <w:rsid w:val="002944C0"/>
    <w:rsid w:val="002957A2"/>
    <w:rsid w:val="00297479"/>
    <w:rsid w:val="002A0385"/>
    <w:rsid w:val="002A1C47"/>
    <w:rsid w:val="002A3528"/>
    <w:rsid w:val="002A4396"/>
    <w:rsid w:val="002B0BB1"/>
    <w:rsid w:val="002B0F01"/>
    <w:rsid w:val="002B1712"/>
    <w:rsid w:val="002B3E0C"/>
    <w:rsid w:val="002B7CAC"/>
    <w:rsid w:val="002C00AE"/>
    <w:rsid w:val="002C08DC"/>
    <w:rsid w:val="002C0965"/>
    <w:rsid w:val="002C36C4"/>
    <w:rsid w:val="002C3D53"/>
    <w:rsid w:val="002C62CA"/>
    <w:rsid w:val="002C63AC"/>
    <w:rsid w:val="002C6900"/>
    <w:rsid w:val="002C7DE6"/>
    <w:rsid w:val="002D10F1"/>
    <w:rsid w:val="002D5153"/>
    <w:rsid w:val="002D6259"/>
    <w:rsid w:val="002E0D4A"/>
    <w:rsid w:val="002E1DBF"/>
    <w:rsid w:val="002E40B1"/>
    <w:rsid w:val="002E6511"/>
    <w:rsid w:val="002E691B"/>
    <w:rsid w:val="002E779E"/>
    <w:rsid w:val="002E7EEF"/>
    <w:rsid w:val="002F00DB"/>
    <w:rsid w:val="002F0C6A"/>
    <w:rsid w:val="002F2873"/>
    <w:rsid w:val="002F2C1D"/>
    <w:rsid w:val="002F5050"/>
    <w:rsid w:val="002F6860"/>
    <w:rsid w:val="002F70C4"/>
    <w:rsid w:val="002F7292"/>
    <w:rsid w:val="00300933"/>
    <w:rsid w:val="00300BA0"/>
    <w:rsid w:val="00302320"/>
    <w:rsid w:val="003030B4"/>
    <w:rsid w:val="003049FF"/>
    <w:rsid w:val="00304FD7"/>
    <w:rsid w:val="00305DB0"/>
    <w:rsid w:val="00311E26"/>
    <w:rsid w:val="00312119"/>
    <w:rsid w:val="00312435"/>
    <w:rsid w:val="00314C06"/>
    <w:rsid w:val="00314CB3"/>
    <w:rsid w:val="00315747"/>
    <w:rsid w:val="003163DE"/>
    <w:rsid w:val="003171EC"/>
    <w:rsid w:val="0031720E"/>
    <w:rsid w:val="0032084F"/>
    <w:rsid w:val="00321EEC"/>
    <w:rsid w:val="003228E0"/>
    <w:rsid w:val="003229D8"/>
    <w:rsid w:val="00323202"/>
    <w:rsid w:val="003251F0"/>
    <w:rsid w:val="00325348"/>
    <w:rsid w:val="003262CF"/>
    <w:rsid w:val="00326579"/>
    <w:rsid w:val="00327691"/>
    <w:rsid w:val="00330BDA"/>
    <w:rsid w:val="00332450"/>
    <w:rsid w:val="003345B2"/>
    <w:rsid w:val="003371DA"/>
    <w:rsid w:val="00337B64"/>
    <w:rsid w:val="00344757"/>
    <w:rsid w:val="00345AF9"/>
    <w:rsid w:val="00350739"/>
    <w:rsid w:val="00351256"/>
    <w:rsid w:val="00351C0A"/>
    <w:rsid w:val="003530C3"/>
    <w:rsid w:val="003536F6"/>
    <w:rsid w:val="00353B08"/>
    <w:rsid w:val="00354D39"/>
    <w:rsid w:val="003608BC"/>
    <w:rsid w:val="0036092F"/>
    <w:rsid w:val="00362106"/>
    <w:rsid w:val="00362D50"/>
    <w:rsid w:val="003655DE"/>
    <w:rsid w:val="003706B8"/>
    <w:rsid w:val="00370C33"/>
    <w:rsid w:val="00370DF5"/>
    <w:rsid w:val="0037392F"/>
    <w:rsid w:val="00377CAA"/>
    <w:rsid w:val="00380568"/>
    <w:rsid w:val="00380F96"/>
    <w:rsid w:val="00381CA3"/>
    <w:rsid w:val="00382C6A"/>
    <w:rsid w:val="00383319"/>
    <w:rsid w:val="00383D53"/>
    <w:rsid w:val="00384099"/>
    <w:rsid w:val="003857F5"/>
    <w:rsid w:val="00386B13"/>
    <w:rsid w:val="00390E60"/>
    <w:rsid w:val="00392E67"/>
    <w:rsid w:val="003975B2"/>
    <w:rsid w:val="003A0A1F"/>
    <w:rsid w:val="003A12C9"/>
    <w:rsid w:val="003A4E34"/>
    <w:rsid w:val="003A7CE8"/>
    <w:rsid w:val="003B23E9"/>
    <w:rsid w:val="003B38AE"/>
    <w:rsid w:val="003B52A6"/>
    <w:rsid w:val="003B58A5"/>
    <w:rsid w:val="003B6DBD"/>
    <w:rsid w:val="003C05C7"/>
    <w:rsid w:val="003C1FBC"/>
    <w:rsid w:val="003C2664"/>
    <w:rsid w:val="003C2923"/>
    <w:rsid w:val="003C3D81"/>
    <w:rsid w:val="003C3F3A"/>
    <w:rsid w:val="003C4CAF"/>
    <w:rsid w:val="003C5A27"/>
    <w:rsid w:val="003C6AD6"/>
    <w:rsid w:val="003D1F10"/>
    <w:rsid w:val="003D21D0"/>
    <w:rsid w:val="003D3D79"/>
    <w:rsid w:val="003D3F73"/>
    <w:rsid w:val="003D6310"/>
    <w:rsid w:val="003D7C96"/>
    <w:rsid w:val="003E1BEF"/>
    <w:rsid w:val="003E2A7C"/>
    <w:rsid w:val="003E327E"/>
    <w:rsid w:val="003E3DE7"/>
    <w:rsid w:val="003E4F1C"/>
    <w:rsid w:val="003E7A8B"/>
    <w:rsid w:val="003F0C16"/>
    <w:rsid w:val="003F128D"/>
    <w:rsid w:val="003F1619"/>
    <w:rsid w:val="003F1710"/>
    <w:rsid w:val="003F5E50"/>
    <w:rsid w:val="00401740"/>
    <w:rsid w:val="00403672"/>
    <w:rsid w:val="00403916"/>
    <w:rsid w:val="00403C6A"/>
    <w:rsid w:val="00403D70"/>
    <w:rsid w:val="00404320"/>
    <w:rsid w:val="00404445"/>
    <w:rsid w:val="00405131"/>
    <w:rsid w:val="00407A52"/>
    <w:rsid w:val="004106A3"/>
    <w:rsid w:val="0041271A"/>
    <w:rsid w:val="004127D5"/>
    <w:rsid w:val="004131A0"/>
    <w:rsid w:val="00413A18"/>
    <w:rsid w:val="00417585"/>
    <w:rsid w:val="004210B7"/>
    <w:rsid w:val="00422077"/>
    <w:rsid w:val="00422112"/>
    <w:rsid w:val="00422512"/>
    <w:rsid w:val="00423978"/>
    <w:rsid w:val="0042573A"/>
    <w:rsid w:val="00425FC3"/>
    <w:rsid w:val="00426806"/>
    <w:rsid w:val="0042730F"/>
    <w:rsid w:val="004302B1"/>
    <w:rsid w:val="00435B22"/>
    <w:rsid w:val="00435B66"/>
    <w:rsid w:val="0043787D"/>
    <w:rsid w:val="00442EEB"/>
    <w:rsid w:val="00443182"/>
    <w:rsid w:val="004437DE"/>
    <w:rsid w:val="00445566"/>
    <w:rsid w:val="00445FD8"/>
    <w:rsid w:val="00446969"/>
    <w:rsid w:val="004470C4"/>
    <w:rsid w:val="004475B5"/>
    <w:rsid w:val="00450146"/>
    <w:rsid w:val="00450249"/>
    <w:rsid w:val="004523C7"/>
    <w:rsid w:val="00455E0D"/>
    <w:rsid w:val="00455EB1"/>
    <w:rsid w:val="00456969"/>
    <w:rsid w:val="00457BA1"/>
    <w:rsid w:val="00457C87"/>
    <w:rsid w:val="00460D1C"/>
    <w:rsid w:val="004615A1"/>
    <w:rsid w:val="004623FB"/>
    <w:rsid w:val="00464C05"/>
    <w:rsid w:val="00466139"/>
    <w:rsid w:val="0046627D"/>
    <w:rsid w:val="0046752E"/>
    <w:rsid w:val="0047210F"/>
    <w:rsid w:val="0047248F"/>
    <w:rsid w:val="00473CDB"/>
    <w:rsid w:val="0047504A"/>
    <w:rsid w:val="004750C5"/>
    <w:rsid w:val="00475289"/>
    <w:rsid w:val="00475E3C"/>
    <w:rsid w:val="00476617"/>
    <w:rsid w:val="004767EB"/>
    <w:rsid w:val="00481D5D"/>
    <w:rsid w:val="0048351B"/>
    <w:rsid w:val="004844A8"/>
    <w:rsid w:val="00486503"/>
    <w:rsid w:val="00486C6A"/>
    <w:rsid w:val="00486D81"/>
    <w:rsid w:val="004933A6"/>
    <w:rsid w:val="004951DA"/>
    <w:rsid w:val="00496A3F"/>
    <w:rsid w:val="00497EC8"/>
    <w:rsid w:val="004A1902"/>
    <w:rsid w:val="004A2F30"/>
    <w:rsid w:val="004A321D"/>
    <w:rsid w:val="004A32D7"/>
    <w:rsid w:val="004A6C77"/>
    <w:rsid w:val="004A6D3D"/>
    <w:rsid w:val="004A6E71"/>
    <w:rsid w:val="004B05C3"/>
    <w:rsid w:val="004B093C"/>
    <w:rsid w:val="004B0EEE"/>
    <w:rsid w:val="004B2814"/>
    <w:rsid w:val="004B2867"/>
    <w:rsid w:val="004B4690"/>
    <w:rsid w:val="004B51D7"/>
    <w:rsid w:val="004B5C3E"/>
    <w:rsid w:val="004B6624"/>
    <w:rsid w:val="004C003B"/>
    <w:rsid w:val="004C05C7"/>
    <w:rsid w:val="004C35E7"/>
    <w:rsid w:val="004C3F28"/>
    <w:rsid w:val="004C3F35"/>
    <w:rsid w:val="004C4396"/>
    <w:rsid w:val="004D0B22"/>
    <w:rsid w:val="004D269E"/>
    <w:rsid w:val="004D269F"/>
    <w:rsid w:val="004D3E6E"/>
    <w:rsid w:val="004D52BB"/>
    <w:rsid w:val="004D57D2"/>
    <w:rsid w:val="004D5BA4"/>
    <w:rsid w:val="004D7160"/>
    <w:rsid w:val="004E00E5"/>
    <w:rsid w:val="004E0A38"/>
    <w:rsid w:val="004E18BF"/>
    <w:rsid w:val="004E23B7"/>
    <w:rsid w:val="004E24E2"/>
    <w:rsid w:val="004E264E"/>
    <w:rsid w:val="004E33E6"/>
    <w:rsid w:val="004E5A66"/>
    <w:rsid w:val="004E75BF"/>
    <w:rsid w:val="004E7855"/>
    <w:rsid w:val="004F074B"/>
    <w:rsid w:val="00502B3B"/>
    <w:rsid w:val="00502CEA"/>
    <w:rsid w:val="0050511D"/>
    <w:rsid w:val="00505824"/>
    <w:rsid w:val="00506E88"/>
    <w:rsid w:val="00507154"/>
    <w:rsid w:val="00507B82"/>
    <w:rsid w:val="00513410"/>
    <w:rsid w:val="005143D5"/>
    <w:rsid w:val="005163AB"/>
    <w:rsid w:val="00516E62"/>
    <w:rsid w:val="00517571"/>
    <w:rsid w:val="00517854"/>
    <w:rsid w:val="00520ACF"/>
    <w:rsid w:val="00521C82"/>
    <w:rsid w:val="0052323B"/>
    <w:rsid w:val="00527612"/>
    <w:rsid w:val="00530EE9"/>
    <w:rsid w:val="0053213F"/>
    <w:rsid w:val="00534053"/>
    <w:rsid w:val="00535171"/>
    <w:rsid w:val="00535F05"/>
    <w:rsid w:val="00537157"/>
    <w:rsid w:val="00537B12"/>
    <w:rsid w:val="00537D60"/>
    <w:rsid w:val="0054593A"/>
    <w:rsid w:val="00545D57"/>
    <w:rsid w:val="00546B44"/>
    <w:rsid w:val="005471F7"/>
    <w:rsid w:val="0054736B"/>
    <w:rsid w:val="00550C06"/>
    <w:rsid w:val="005511F9"/>
    <w:rsid w:val="00552471"/>
    <w:rsid w:val="00552B6B"/>
    <w:rsid w:val="0055325E"/>
    <w:rsid w:val="00554C80"/>
    <w:rsid w:val="005556BB"/>
    <w:rsid w:val="005556D5"/>
    <w:rsid w:val="00555FE4"/>
    <w:rsid w:val="0055650C"/>
    <w:rsid w:val="0055688D"/>
    <w:rsid w:val="005577EA"/>
    <w:rsid w:val="005608CB"/>
    <w:rsid w:val="00562990"/>
    <w:rsid w:val="005645BE"/>
    <w:rsid w:val="005649C2"/>
    <w:rsid w:val="0057018C"/>
    <w:rsid w:val="00570BE8"/>
    <w:rsid w:val="00570E54"/>
    <w:rsid w:val="00571024"/>
    <w:rsid w:val="00571DAF"/>
    <w:rsid w:val="00572AB4"/>
    <w:rsid w:val="0057322F"/>
    <w:rsid w:val="00573CD9"/>
    <w:rsid w:val="0057458D"/>
    <w:rsid w:val="00575763"/>
    <w:rsid w:val="00576767"/>
    <w:rsid w:val="00576E38"/>
    <w:rsid w:val="00580231"/>
    <w:rsid w:val="005804DA"/>
    <w:rsid w:val="00580D8D"/>
    <w:rsid w:val="00581820"/>
    <w:rsid w:val="005827E5"/>
    <w:rsid w:val="00583FE0"/>
    <w:rsid w:val="00584463"/>
    <w:rsid w:val="00586636"/>
    <w:rsid w:val="00586C59"/>
    <w:rsid w:val="0058748A"/>
    <w:rsid w:val="00591302"/>
    <w:rsid w:val="00591F34"/>
    <w:rsid w:val="005920BD"/>
    <w:rsid w:val="00594FDC"/>
    <w:rsid w:val="00595C3C"/>
    <w:rsid w:val="00596175"/>
    <w:rsid w:val="005970CE"/>
    <w:rsid w:val="005A0677"/>
    <w:rsid w:val="005A3CC0"/>
    <w:rsid w:val="005A5F05"/>
    <w:rsid w:val="005B4B8C"/>
    <w:rsid w:val="005B552D"/>
    <w:rsid w:val="005B5E45"/>
    <w:rsid w:val="005B6AEE"/>
    <w:rsid w:val="005B7B91"/>
    <w:rsid w:val="005C084D"/>
    <w:rsid w:val="005C7698"/>
    <w:rsid w:val="005C7A30"/>
    <w:rsid w:val="005D1D0B"/>
    <w:rsid w:val="005D3A58"/>
    <w:rsid w:val="005D56AE"/>
    <w:rsid w:val="005D6B63"/>
    <w:rsid w:val="005D76B7"/>
    <w:rsid w:val="005E0E91"/>
    <w:rsid w:val="005E247F"/>
    <w:rsid w:val="005E32F8"/>
    <w:rsid w:val="005E5334"/>
    <w:rsid w:val="005E5945"/>
    <w:rsid w:val="005E7131"/>
    <w:rsid w:val="005E7AC9"/>
    <w:rsid w:val="005F0550"/>
    <w:rsid w:val="005F4317"/>
    <w:rsid w:val="005F5B7A"/>
    <w:rsid w:val="005F5F1E"/>
    <w:rsid w:val="005F7AFA"/>
    <w:rsid w:val="00600287"/>
    <w:rsid w:val="00602CF9"/>
    <w:rsid w:val="006030F3"/>
    <w:rsid w:val="00603C50"/>
    <w:rsid w:val="00606FFF"/>
    <w:rsid w:val="00607C67"/>
    <w:rsid w:val="00607D0A"/>
    <w:rsid w:val="00610374"/>
    <w:rsid w:val="006119E3"/>
    <w:rsid w:val="00612940"/>
    <w:rsid w:val="0061485A"/>
    <w:rsid w:val="00615F4D"/>
    <w:rsid w:val="00617206"/>
    <w:rsid w:val="0061759A"/>
    <w:rsid w:val="00621607"/>
    <w:rsid w:val="006243C4"/>
    <w:rsid w:val="0062455D"/>
    <w:rsid w:val="00624EC7"/>
    <w:rsid w:val="0062500C"/>
    <w:rsid w:val="006269A7"/>
    <w:rsid w:val="00627E58"/>
    <w:rsid w:val="00630B5B"/>
    <w:rsid w:val="00630DF2"/>
    <w:rsid w:val="0063106D"/>
    <w:rsid w:val="0063141B"/>
    <w:rsid w:val="00631CEC"/>
    <w:rsid w:val="00632127"/>
    <w:rsid w:val="00633FBE"/>
    <w:rsid w:val="00633FE9"/>
    <w:rsid w:val="00635315"/>
    <w:rsid w:val="00636ED8"/>
    <w:rsid w:val="0064170C"/>
    <w:rsid w:val="00644481"/>
    <w:rsid w:val="0064592E"/>
    <w:rsid w:val="00645A40"/>
    <w:rsid w:val="00646F79"/>
    <w:rsid w:val="00647CF2"/>
    <w:rsid w:val="00651A96"/>
    <w:rsid w:val="00653F09"/>
    <w:rsid w:val="00654567"/>
    <w:rsid w:val="00661B41"/>
    <w:rsid w:val="006632F7"/>
    <w:rsid w:val="00671AE7"/>
    <w:rsid w:val="00675807"/>
    <w:rsid w:val="00676307"/>
    <w:rsid w:val="0068062C"/>
    <w:rsid w:val="006813FE"/>
    <w:rsid w:val="0068242A"/>
    <w:rsid w:val="00682A18"/>
    <w:rsid w:val="00682BFD"/>
    <w:rsid w:val="00683F02"/>
    <w:rsid w:val="0068488F"/>
    <w:rsid w:val="006854E2"/>
    <w:rsid w:val="00686381"/>
    <w:rsid w:val="006872D4"/>
    <w:rsid w:val="006877EB"/>
    <w:rsid w:val="0069000F"/>
    <w:rsid w:val="006906FC"/>
    <w:rsid w:val="006912EA"/>
    <w:rsid w:val="00695DB1"/>
    <w:rsid w:val="006969C2"/>
    <w:rsid w:val="006A0815"/>
    <w:rsid w:val="006A0A66"/>
    <w:rsid w:val="006A1DCA"/>
    <w:rsid w:val="006A286A"/>
    <w:rsid w:val="006A3F08"/>
    <w:rsid w:val="006A42B3"/>
    <w:rsid w:val="006B1C6A"/>
    <w:rsid w:val="006B2EB5"/>
    <w:rsid w:val="006B3974"/>
    <w:rsid w:val="006B4E48"/>
    <w:rsid w:val="006B62A9"/>
    <w:rsid w:val="006B7428"/>
    <w:rsid w:val="006B7E2C"/>
    <w:rsid w:val="006C187A"/>
    <w:rsid w:val="006C2B8D"/>
    <w:rsid w:val="006C4127"/>
    <w:rsid w:val="006C5611"/>
    <w:rsid w:val="006C6841"/>
    <w:rsid w:val="006C6B57"/>
    <w:rsid w:val="006C7E79"/>
    <w:rsid w:val="006D1C76"/>
    <w:rsid w:val="006D2FAC"/>
    <w:rsid w:val="006D62D6"/>
    <w:rsid w:val="006D63C0"/>
    <w:rsid w:val="006D7030"/>
    <w:rsid w:val="006E0EEA"/>
    <w:rsid w:val="006E0F85"/>
    <w:rsid w:val="006E3278"/>
    <w:rsid w:val="006E3512"/>
    <w:rsid w:val="006E46FC"/>
    <w:rsid w:val="006E58EC"/>
    <w:rsid w:val="006F0E40"/>
    <w:rsid w:val="006F3CAC"/>
    <w:rsid w:val="006F3D85"/>
    <w:rsid w:val="006F4551"/>
    <w:rsid w:val="006F49C4"/>
    <w:rsid w:val="006F623C"/>
    <w:rsid w:val="006F71CC"/>
    <w:rsid w:val="00700951"/>
    <w:rsid w:val="00702E84"/>
    <w:rsid w:val="00703F55"/>
    <w:rsid w:val="00706811"/>
    <w:rsid w:val="0070690F"/>
    <w:rsid w:val="0071021F"/>
    <w:rsid w:val="00710765"/>
    <w:rsid w:val="0071222C"/>
    <w:rsid w:val="00714C21"/>
    <w:rsid w:val="00715A3C"/>
    <w:rsid w:val="0071622A"/>
    <w:rsid w:val="007177C5"/>
    <w:rsid w:val="00717AC7"/>
    <w:rsid w:val="007200A5"/>
    <w:rsid w:val="007230AA"/>
    <w:rsid w:val="00725C9F"/>
    <w:rsid w:val="00726D7A"/>
    <w:rsid w:val="00727367"/>
    <w:rsid w:val="00732454"/>
    <w:rsid w:val="00732D7E"/>
    <w:rsid w:val="00732ED9"/>
    <w:rsid w:val="00732EFD"/>
    <w:rsid w:val="00732F70"/>
    <w:rsid w:val="00733363"/>
    <w:rsid w:val="00733954"/>
    <w:rsid w:val="00734744"/>
    <w:rsid w:val="0073480D"/>
    <w:rsid w:val="00736EB1"/>
    <w:rsid w:val="00741238"/>
    <w:rsid w:val="00741753"/>
    <w:rsid w:val="007422A2"/>
    <w:rsid w:val="00743803"/>
    <w:rsid w:val="0074669D"/>
    <w:rsid w:val="00747A0A"/>
    <w:rsid w:val="00747ED0"/>
    <w:rsid w:val="0075190E"/>
    <w:rsid w:val="00753052"/>
    <w:rsid w:val="007530E3"/>
    <w:rsid w:val="00753ED9"/>
    <w:rsid w:val="00756685"/>
    <w:rsid w:val="0075729E"/>
    <w:rsid w:val="007622AB"/>
    <w:rsid w:val="00763FC5"/>
    <w:rsid w:val="00764475"/>
    <w:rsid w:val="007658AC"/>
    <w:rsid w:val="00766EEB"/>
    <w:rsid w:val="007679D9"/>
    <w:rsid w:val="00767E5E"/>
    <w:rsid w:val="007703A6"/>
    <w:rsid w:val="00771FA6"/>
    <w:rsid w:val="00773F96"/>
    <w:rsid w:val="00775840"/>
    <w:rsid w:val="00777ABC"/>
    <w:rsid w:val="00782ADD"/>
    <w:rsid w:val="00783589"/>
    <w:rsid w:val="007835BF"/>
    <w:rsid w:val="00784348"/>
    <w:rsid w:val="007851CB"/>
    <w:rsid w:val="00791D8B"/>
    <w:rsid w:val="007921C2"/>
    <w:rsid w:val="0079284C"/>
    <w:rsid w:val="00795131"/>
    <w:rsid w:val="007952C1"/>
    <w:rsid w:val="00795D60"/>
    <w:rsid w:val="0079614C"/>
    <w:rsid w:val="007965B8"/>
    <w:rsid w:val="00796959"/>
    <w:rsid w:val="00796BE9"/>
    <w:rsid w:val="00796E71"/>
    <w:rsid w:val="00796EFD"/>
    <w:rsid w:val="00796F6E"/>
    <w:rsid w:val="007A22BD"/>
    <w:rsid w:val="007A3ABD"/>
    <w:rsid w:val="007A3D54"/>
    <w:rsid w:val="007A3F35"/>
    <w:rsid w:val="007A77A7"/>
    <w:rsid w:val="007B0D59"/>
    <w:rsid w:val="007B1068"/>
    <w:rsid w:val="007B287D"/>
    <w:rsid w:val="007B2AB5"/>
    <w:rsid w:val="007B3182"/>
    <w:rsid w:val="007B400E"/>
    <w:rsid w:val="007B6743"/>
    <w:rsid w:val="007B6829"/>
    <w:rsid w:val="007B6E09"/>
    <w:rsid w:val="007B7965"/>
    <w:rsid w:val="007C0542"/>
    <w:rsid w:val="007C0DFD"/>
    <w:rsid w:val="007C1654"/>
    <w:rsid w:val="007C176B"/>
    <w:rsid w:val="007C384E"/>
    <w:rsid w:val="007C4688"/>
    <w:rsid w:val="007D0114"/>
    <w:rsid w:val="007D35ED"/>
    <w:rsid w:val="007D517E"/>
    <w:rsid w:val="007D6E2A"/>
    <w:rsid w:val="007E236C"/>
    <w:rsid w:val="007E2A68"/>
    <w:rsid w:val="007E3162"/>
    <w:rsid w:val="007E403F"/>
    <w:rsid w:val="007E40F9"/>
    <w:rsid w:val="007E5171"/>
    <w:rsid w:val="007E5702"/>
    <w:rsid w:val="007E69D6"/>
    <w:rsid w:val="007E6F57"/>
    <w:rsid w:val="007E741D"/>
    <w:rsid w:val="007E7AC5"/>
    <w:rsid w:val="007E7CBD"/>
    <w:rsid w:val="007F04C8"/>
    <w:rsid w:val="007F0E7C"/>
    <w:rsid w:val="007F0FC4"/>
    <w:rsid w:val="007F1E85"/>
    <w:rsid w:val="007F3FBC"/>
    <w:rsid w:val="007F4C87"/>
    <w:rsid w:val="007F4E8D"/>
    <w:rsid w:val="007F68A1"/>
    <w:rsid w:val="0080497A"/>
    <w:rsid w:val="008049F3"/>
    <w:rsid w:val="00810BEF"/>
    <w:rsid w:val="008128AC"/>
    <w:rsid w:val="008165B4"/>
    <w:rsid w:val="0081740B"/>
    <w:rsid w:val="00817ADE"/>
    <w:rsid w:val="00817B1D"/>
    <w:rsid w:val="00821956"/>
    <w:rsid w:val="00821E09"/>
    <w:rsid w:val="00831A9D"/>
    <w:rsid w:val="008322EE"/>
    <w:rsid w:val="00833289"/>
    <w:rsid w:val="00833DAF"/>
    <w:rsid w:val="00833FC0"/>
    <w:rsid w:val="008369CC"/>
    <w:rsid w:val="00836CF8"/>
    <w:rsid w:val="008373E2"/>
    <w:rsid w:val="00840852"/>
    <w:rsid w:val="00841F8D"/>
    <w:rsid w:val="00842019"/>
    <w:rsid w:val="00843B6F"/>
    <w:rsid w:val="00843DBF"/>
    <w:rsid w:val="008457E9"/>
    <w:rsid w:val="008469EB"/>
    <w:rsid w:val="00847EC1"/>
    <w:rsid w:val="008524F9"/>
    <w:rsid w:val="00853604"/>
    <w:rsid w:val="00854FF3"/>
    <w:rsid w:val="00860FBA"/>
    <w:rsid w:val="0086344A"/>
    <w:rsid w:val="008662AE"/>
    <w:rsid w:val="00867450"/>
    <w:rsid w:val="00867A54"/>
    <w:rsid w:val="00870C8D"/>
    <w:rsid w:val="00871754"/>
    <w:rsid w:val="00872AA5"/>
    <w:rsid w:val="00874FED"/>
    <w:rsid w:val="00875654"/>
    <w:rsid w:val="00876DE4"/>
    <w:rsid w:val="00880633"/>
    <w:rsid w:val="0088152C"/>
    <w:rsid w:val="008825E9"/>
    <w:rsid w:val="00884269"/>
    <w:rsid w:val="00886DA8"/>
    <w:rsid w:val="00887CC0"/>
    <w:rsid w:val="008917B0"/>
    <w:rsid w:val="00891D77"/>
    <w:rsid w:val="0089329A"/>
    <w:rsid w:val="008939D7"/>
    <w:rsid w:val="00895B09"/>
    <w:rsid w:val="008969DA"/>
    <w:rsid w:val="008A1B18"/>
    <w:rsid w:val="008A2EC7"/>
    <w:rsid w:val="008A3508"/>
    <w:rsid w:val="008A363F"/>
    <w:rsid w:val="008A4F3F"/>
    <w:rsid w:val="008A655B"/>
    <w:rsid w:val="008A7077"/>
    <w:rsid w:val="008B17C2"/>
    <w:rsid w:val="008B3B0D"/>
    <w:rsid w:val="008B3D4A"/>
    <w:rsid w:val="008B3DCC"/>
    <w:rsid w:val="008B491B"/>
    <w:rsid w:val="008B4E08"/>
    <w:rsid w:val="008B5B84"/>
    <w:rsid w:val="008B60CF"/>
    <w:rsid w:val="008B63ED"/>
    <w:rsid w:val="008B6B5F"/>
    <w:rsid w:val="008C0160"/>
    <w:rsid w:val="008C02B8"/>
    <w:rsid w:val="008C0D17"/>
    <w:rsid w:val="008C25DD"/>
    <w:rsid w:val="008C6284"/>
    <w:rsid w:val="008C6A0B"/>
    <w:rsid w:val="008C70CC"/>
    <w:rsid w:val="008C76F1"/>
    <w:rsid w:val="008D058C"/>
    <w:rsid w:val="008D059A"/>
    <w:rsid w:val="008D0B1C"/>
    <w:rsid w:val="008D1659"/>
    <w:rsid w:val="008D1781"/>
    <w:rsid w:val="008D3FB5"/>
    <w:rsid w:val="008D5208"/>
    <w:rsid w:val="008D7139"/>
    <w:rsid w:val="008E03F3"/>
    <w:rsid w:val="008E25EA"/>
    <w:rsid w:val="008E6FCE"/>
    <w:rsid w:val="008F1499"/>
    <w:rsid w:val="008F2B19"/>
    <w:rsid w:val="008F32C2"/>
    <w:rsid w:val="009013EB"/>
    <w:rsid w:val="009014AC"/>
    <w:rsid w:val="009025F1"/>
    <w:rsid w:val="00902C14"/>
    <w:rsid w:val="009043D9"/>
    <w:rsid w:val="00907B8A"/>
    <w:rsid w:val="00911614"/>
    <w:rsid w:val="009123F8"/>
    <w:rsid w:val="00914741"/>
    <w:rsid w:val="009150DD"/>
    <w:rsid w:val="00915B39"/>
    <w:rsid w:val="009161F1"/>
    <w:rsid w:val="00917583"/>
    <w:rsid w:val="00920447"/>
    <w:rsid w:val="00921E2C"/>
    <w:rsid w:val="0092466C"/>
    <w:rsid w:val="009246AA"/>
    <w:rsid w:val="00924CA4"/>
    <w:rsid w:val="00924F96"/>
    <w:rsid w:val="0092582D"/>
    <w:rsid w:val="00925ADD"/>
    <w:rsid w:val="00931050"/>
    <w:rsid w:val="00931A0E"/>
    <w:rsid w:val="00933B71"/>
    <w:rsid w:val="00934F8F"/>
    <w:rsid w:val="00941AC9"/>
    <w:rsid w:val="00943200"/>
    <w:rsid w:val="00943BBA"/>
    <w:rsid w:val="00944029"/>
    <w:rsid w:val="009454C5"/>
    <w:rsid w:val="00950603"/>
    <w:rsid w:val="00950B6F"/>
    <w:rsid w:val="00950F49"/>
    <w:rsid w:val="00951F11"/>
    <w:rsid w:val="00952E48"/>
    <w:rsid w:val="0095333E"/>
    <w:rsid w:val="00953C0F"/>
    <w:rsid w:val="00954E6C"/>
    <w:rsid w:val="009553B6"/>
    <w:rsid w:val="00955B88"/>
    <w:rsid w:val="0095646F"/>
    <w:rsid w:val="00956FBF"/>
    <w:rsid w:val="00960220"/>
    <w:rsid w:val="00960DFD"/>
    <w:rsid w:val="009620CD"/>
    <w:rsid w:val="00967A24"/>
    <w:rsid w:val="0097231A"/>
    <w:rsid w:val="00974D66"/>
    <w:rsid w:val="009753F2"/>
    <w:rsid w:val="0097602D"/>
    <w:rsid w:val="009841B1"/>
    <w:rsid w:val="00985E89"/>
    <w:rsid w:val="009866A7"/>
    <w:rsid w:val="00987050"/>
    <w:rsid w:val="009872A1"/>
    <w:rsid w:val="00987595"/>
    <w:rsid w:val="00987B45"/>
    <w:rsid w:val="00987BAF"/>
    <w:rsid w:val="00987BFD"/>
    <w:rsid w:val="0099033B"/>
    <w:rsid w:val="009913C3"/>
    <w:rsid w:val="0099264C"/>
    <w:rsid w:val="0099352E"/>
    <w:rsid w:val="009970D9"/>
    <w:rsid w:val="0099742E"/>
    <w:rsid w:val="009A0B01"/>
    <w:rsid w:val="009A22FB"/>
    <w:rsid w:val="009A3467"/>
    <w:rsid w:val="009A34A1"/>
    <w:rsid w:val="009A366C"/>
    <w:rsid w:val="009A64D0"/>
    <w:rsid w:val="009A6B5C"/>
    <w:rsid w:val="009A7EFA"/>
    <w:rsid w:val="009B1506"/>
    <w:rsid w:val="009B1A2F"/>
    <w:rsid w:val="009B1EE1"/>
    <w:rsid w:val="009B2B86"/>
    <w:rsid w:val="009B3109"/>
    <w:rsid w:val="009B411A"/>
    <w:rsid w:val="009B5AAE"/>
    <w:rsid w:val="009B63E3"/>
    <w:rsid w:val="009B7700"/>
    <w:rsid w:val="009C41DD"/>
    <w:rsid w:val="009C4D29"/>
    <w:rsid w:val="009C5AFD"/>
    <w:rsid w:val="009C7AD7"/>
    <w:rsid w:val="009D06C0"/>
    <w:rsid w:val="009D153A"/>
    <w:rsid w:val="009D3AFA"/>
    <w:rsid w:val="009D52F7"/>
    <w:rsid w:val="009D6983"/>
    <w:rsid w:val="009E24C5"/>
    <w:rsid w:val="009E2729"/>
    <w:rsid w:val="009E4484"/>
    <w:rsid w:val="009E459B"/>
    <w:rsid w:val="009E5083"/>
    <w:rsid w:val="009E57A3"/>
    <w:rsid w:val="009E5D2B"/>
    <w:rsid w:val="009E60C7"/>
    <w:rsid w:val="009E7637"/>
    <w:rsid w:val="009E76BB"/>
    <w:rsid w:val="009F1580"/>
    <w:rsid w:val="009F2144"/>
    <w:rsid w:val="009F2783"/>
    <w:rsid w:val="009F5E5D"/>
    <w:rsid w:val="00A00C0A"/>
    <w:rsid w:val="00A00E8E"/>
    <w:rsid w:val="00A03549"/>
    <w:rsid w:val="00A043AC"/>
    <w:rsid w:val="00A058C9"/>
    <w:rsid w:val="00A059E7"/>
    <w:rsid w:val="00A05EEF"/>
    <w:rsid w:val="00A0659D"/>
    <w:rsid w:val="00A07924"/>
    <w:rsid w:val="00A1072C"/>
    <w:rsid w:val="00A10DD3"/>
    <w:rsid w:val="00A11619"/>
    <w:rsid w:val="00A122B4"/>
    <w:rsid w:val="00A126C5"/>
    <w:rsid w:val="00A140DC"/>
    <w:rsid w:val="00A14E61"/>
    <w:rsid w:val="00A21ABE"/>
    <w:rsid w:val="00A24B1A"/>
    <w:rsid w:val="00A2535E"/>
    <w:rsid w:val="00A2569C"/>
    <w:rsid w:val="00A274D8"/>
    <w:rsid w:val="00A301BE"/>
    <w:rsid w:val="00A30965"/>
    <w:rsid w:val="00A31DAB"/>
    <w:rsid w:val="00A321AE"/>
    <w:rsid w:val="00A32467"/>
    <w:rsid w:val="00A3522C"/>
    <w:rsid w:val="00A3537E"/>
    <w:rsid w:val="00A36CD3"/>
    <w:rsid w:val="00A41C7D"/>
    <w:rsid w:val="00A4370D"/>
    <w:rsid w:val="00A504C7"/>
    <w:rsid w:val="00A5360A"/>
    <w:rsid w:val="00A53768"/>
    <w:rsid w:val="00A55CCB"/>
    <w:rsid w:val="00A56456"/>
    <w:rsid w:val="00A565D0"/>
    <w:rsid w:val="00A576CF"/>
    <w:rsid w:val="00A57E20"/>
    <w:rsid w:val="00A605E6"/>
    <w:rsid w:val="00A62354"/>
    <w:rsid w:val="00A624BD"/>
    <w:rsid w:val="00A62690"/>
    <w:rsid w:val="00A64242"/>
    <w:rsid w:val="00A6525C"/>
    <w:rsid w:val="00A6730D"/>
    <w:rsid w:val="00A67B4D"/>
    <w:rsid w:val="00A706F0"/>
    <w:rsid w:val="00A709D4"/>
    <w:rsid w:val="00A71F59"/>
    <w:rsid w:val="00A71FCF"/>
    <w:rsid w:val="00A72BCB"/>
    <w:rsid w:val="00A73661"/>
    <w:rsid w:val="00A75AB5"/>
    <w:rsid w:val="00A775D0"/>
    <w:rsid w:val="00A80FEA"/>
    <w:rsid w:val="00A8317B"/>
    <w:rsid w:val="00A842BE"/>
    <w:rsid w:val="00A85C31"/>
    <w:rsid w:val="00A85D9B"/>
    <w:rsid w:val="00A85F07"/>
    <w:rsid w:val="00A875E1"/>
    <w:rsid w:val="00A87BCC"/>
    <w:rsid w:val="00A90CC4"/>
    <w:rsid w:val="00A924FB"/>
    <w:rsid w:val="00A95C4C"/>
    <w:rsid w:val="00A9736A"/>
    <w:rsid w:val="00A97ED0"/>
    <w:rsid w:val="00AA0920"/>
    <w:rsid w:val="00AA1CE9"/>
    <w:rsid w:val="00AA2CA8"/>
    <w:rsid w:val="00AA2DA0"/>
    <w:rsid w:val="00AA4355"/>
    <w:rsid w:val="00AA5F68"/>
    <w:rsid w:val="00AA6D02"/>
    <w:rsid w:val="00AB0BE5"/>
    <w:rsid w:val="00AB179F"/>
    <w:rsid w:val="00AB2218"/>
    <w:rsid w:val="00AB3242"/>
    <w:rsid w:val="00AB3399"/>
    <w:rsid w:val="00AB4A38"/>
    <w:rsid w:val="00AB7146"/>
    <w:rsid w:val="00AB72A1"/>
    <w:rsid w:val="00AB7794"/>
    <w:rsid w:val="00AC126A"/>
    <w:rsid w:val="00AC430B"/>
    <w:rsid w:val="00AC5BFD"/>
    <w:rsid w:val="00AC5DA2"/>
    <w:rsid w:val="00AC6371"/>
    <w:rsid w:val="00AC6DB9"/>
    <w:rsid w:val="00AD05DB"/>
    <w:rsid w:val="00AD124B"/>
    <w:rsid w:val="00AD2BB6"/>
    <w:rsid w:val="00AD4B6B"/>
    <w:rsid w:val="00AD506A"/>
    <w:rsid w:val="00AD59E9"/>
    <w:rsid w:val="00AD5B79"/>
    <w:rsid w:val="00AD6A08"/>
    <w:rsid w:val="00AE3108"/>
    <w:rsid w:val="00AE4616"/>
    <w:rsid w:val="00AF16EF"/>
    <w:rsid w:val="00AF36E2"/>
    <w:rsid w:val="00B00174"/>
    <w:rsid w:val="00B003A3"/>
    <w:rsid w:val="00B04B14"/>
    <w:rsid w:val="00B06FB5"/>
    <w:rsid w:val="00B10341"/>
    <w:rsid w:val="00B11B9F"/>
    <w:rsid w:val="00B11DA4"/>
    <w:rsid w:val="00B13323"/>
    <w:rsid w:val="00B1397A"/>
    <w:rsid w:val="00B14B6A"/>
    <w:rsid w:val="00B16A14"/>
    <w:rsid w:val="00B21D1D"/>
    <w:rsid w:val="00B22383"/>
    <w:rsid w:val="00B22C9E"/>
    <w:rsid w:val="00B25135"/>
    <w:rsid w:val="00B25E3B"/>
    <w:rsid w:val="00B26697"/>
    <w:rsid w:val="00B26CC8"/>
    <w:rsid w:val="00B31E61"/>
    <w:rsid w:val="00B34AD8"/>
    <w:rsid w:val="00B40159"/>
    <w:rsid w:val="00B4166C"/>
    <w:rsid w:val="00B4366A"/>
    <w:rsid w:val="00B43C65"/>
    <w:rsid w:val="00B4795D"/>
    <w:rsid w:val="00B47A77"/>
    <w:rsid w:val="00B53DD8"/>
    <w:rsid w:val="00B54F83"/>
    <w:rsid w:val="00B57B1E"/>
    <w:rsid w:val="00B60C73"/>
    <w:rsid w:val="00B634D4"/>
    <w:rsid w:val="00B647F3"/>
    <w:rsid w:val="00B71B08"/>
    <w:rsid w:val="00B737CD"/>
    <w:rsid w:val="00B73FBF"/>
    <w:rsid w:val="00B74C46"/>
    <w:rsid w:val="00B751C8"/>
    <w:rsid w:val="00B756CB"/>
    <w:rsid w:val="00B75D3D"/>
    <w:rsid w:val="00B813D3"/>
    <w:rsid w:val="00B81A7E"/>
    <w:rsid w:val="00B85CB8"/>
    <w:rsid w:val="00B874C7"/>
    <w:rsid w:val="00B916F7"/>
    <w:rsid w:val="00B9377E"/>
    <w:rsid w:val="00B9506A"/>
    <w:rsid w:val="00B951D6"/>
    <w:rsid w:val="00B958B8"/>
    <w:rsid w:val="00B95D98"/>
    <w:rsid w:val="00B97463"/>
    <w:rsid w:val="00BA0CE9"/>
    <w:rsid w:val="00BA3B51"/>
    <w:rsid w:val="00BA3E89"/>
    <w:rsid w:val="00BA4733"/>
    <w:rsid w:val="00BA4F10"/>
    <w:rsid w:val="00BA56AC"/>
    <w:rsid w:val="00BA5DEB"/>
    <w:rsid w:val="00BA76CC"/>
    <w:rsid w:val="00BB06B3"/>
    <w:rsid w:val="00BB1120"/>
    <w:rsid w:val="00BB75E0"/>
    <w:rsid w:val="00BC05B4"/>
    <w:rsid w:val="00BC2219"/>
    <w:rsid w:val="00BC2E2F"/>
    <w:rsid w:val="00BC7580"/>
    <w:rsid w:val="00BD22C8"/>
    <w:rsid w:val="00BD2CD1"/>
    <w:rsid w:val="00BD3248"/>
    <w:rsid w:val="00BD495D"/>
    <w:rsid w:val="00BD5448"/>
    <w:rsid w:val="00BD7293"/>
    <w:rsid w:val="00BE0268"/>
    <w:rsid w:val="00BE0451"/>
    <w:rsid w:val="00BE1207"/>
    <w:rsid w:val="00BE21F2"/>
    <w:rsid w:val="00BE31F0"/>
    <w:rsid w:val="00BE373F"/>
    <w:rsid w:val="00BE68D7"/>
    <w:rsid w:val="00BF02E9"/>
    <w:rsid w:val="00BF0A0F"/>
    <w:rsid w:val="00BF1B6C"/>
    <w:rsid w:val="00BF2335"/>
    <w:rsid w:val="00BF276A"/>
    <w:rsid w:val="00C001C8"/>
    <w:rsid w:val="00C00846"/>
    <w:rsid w:val="00C01C7F"/>
    <w:rsid w:val="00C04B07"/>
    <w:rsid w:val="00C062E6"/>
    <w:rsid w:val="00C0740D"/>
    <w:rsid w:val="00C0769E"/>
    <w:rsid w:val="00C106D4"/>
    <w:rsid w:val="00C11BC5"/>
    <w:rsid w:val="00C13041"/>
    <w:rsid w:val="00C149FD"/>
    <w:rsid w:val="00C15414"/>
    <w:rsid w:val="00C159F6"/>
    <w:rsid w:val="00C15FFC"/>
    <w:rsid w:val="00C171EA"/>
    <w:rsid w:val="00C17A2E"/>
    <w:rsid w:val="00C20917"/>
    <w:rsid w:val="00C217BD"/>
    <w:rsid w:val="00C218E4"/>
    <w:rsid w:val="00C21B92"/>
    <w:rsid w:val="00C2778A"/>
    <w:rsid w:val="00C3162A"/>
    <w:rsid w:val="00C31657"/>
    <w:rsid w:val="00C32CB3"/>
    <w:rsid w:val="00C35F96"/>
    <w:rsid w:val="00C366ED"/>
    <w:rsid w:val="00C37FF4"/>
    <w:rsid w:val="00C42F30"/>
    <w:rsid w:val="00C43B5C"/>
    <w:rsid w:val="00C44868"/>
    <w:rsid w:val="00C45E32"/>
    <w:rsid w:val="00C460E1"/>
    <w:rsid w:val="00C463BF"/>
    <w:rsid w:val="00C50A40"/>
    <w:rsid w:val="00C50C73"/>
    <w:rsid w:val="00C52020"/>
    <w:rsid w:val="00C5736E"/>
    <w:rsid w:val="00C610FC"/>
    <w:rsid w:val="00C61A0E"/>
    <w:rsid w:val="00C6368E"/>
    <w:rsid w:val="00C6481F"/>
    <w:rsid w:val="00C65523"/>
    <w:rsid w:val="00C6593E"/>
    <w:rsid w:val="00C663DE"/>
    <w:rsid w:val="00C66952"/>
    <w:rsid w:val="00C674D5"/>
    <w:rsid w:val="00C67558"/>
    <w:rsid w:val="00C70FB8"/>
    <w:rsid w:val="00C722F3"/>
    <w:rsid w:val="00C7238B"/>
    <w:rsid w:val="00C75CA2"/>
    <w:rsid w:val="00C76A00"/>
    <w:rsid w:val="00C77CD8"/>
    <w:rsid w:val="00C83783"/>
    <w:rsid w:val="00C841CB"/>
    <w:rsid w:val="00C869C5"/>
    <w:rsid w:val="00C86D9A"/>
    <w:rsid w:val="00C8781B"/>
    <w:rsid w:val="00C9196E"/>
    <w:rsid w:val="00C9221A"/>
    <w:rsid w:val="00C94A4A"/>
    <w:rsid w:val="00C94AF2"/>
    <w:rsid w:val="00C96F27"/>
    <w:rsid w:val="00CA01FA"/>
    <w:rsid w:val="00CA06E3"/>
    <w:rsid w:val="00CA0959"/>
    <w:rsid w:val="00CA211F"/>
    <w:rsid w:val="00CA3926"/>
    <w:rsid w:val="00CA39EB"/>
    <w:rsid w:val="00CA3FA2"/>
    <w:rsid w:val="00CA412B"/>
    <w:rsid w:val="00CA529F"/>
    <w:rsid w:val="00CA5544"/>
    <w:rsid w:val="00CA7B11"/>
    <w:rsid w:val="00CA7FF5"/>
    <w:rsid w:val="00CB09C9"/>
    <w:rsid w:val="00CB1B19"/>
    <w:rsid w:val="00CB25F5"/>
    <w:rsid w:val="00CB58E1"/>
    <w:rsid w:val="00CB77CF"/>
    <w:rsid w:val="00CC0D0B"/>
    <w:rsid w:val="00CC35FA"/>
    <w:rsid w:val="00CC46BB"/>
    <w:rsid w:val="00CC46D2"/>
    <w:rsid w:val="00CC4E02"/>
    <w:rsid w:val="00CC603F"/>
    <w:rsid w:val="00CC61A3"/>
    <w:rsid w:val="00CD0194"/>
    <w:rsid w:val="00CD1332"/>
    <w:rsid w:val="00CD1567"/>
    <w:rsid w:val="00CD32AC"/>
    <w:rsid w:val="00CD333E"/>
    <w:rsid w:val="00CD41DF"/>
    <w:rsid w:val="00CD4E9B"/>
    <w:rsid w:val="00CE068A"/>
    <w:rsid w:val="00CE0EBC"/>
    <w:rsid w:val="00CE272A"/>
    <w:rsid w:val="00CE5A2E"/>
    <w:rsid w:val="00CF02EB"/>
    <w:rsid w:val="00CF082A"/>
    <w:rsid w:val="00CF0AF7"/>
    <w:rsid w:val="00CF1F86"/>
    <w:rsid w:val="00CF28E5"/>
    <w:rsid w:val="00CF41B1"/>
    <w:rsid w:val="00CF4EB8"/>
    <w:rsid w:val="00CF63FA"/>
    <w:rsid w:val="00CF68E6"/>
    <w:rsid w:val="00CF7B73"/>
    <w:rsid w:val="00D00A04"/>
    <w:rsid w:val="00D01CD7"/>
    <w:rsid w:val="00D01FAE"/>
    <w:rsid w:val="00D03037"/>
    <w:rsid w:val="00D037FA"/>
    <w:rsid w:val="00D10308"/>
    <w:rsid w:val="00D12572"/>
    <w:rsid w:val="00D14FB3"/>
    <w:rsid w:val="00D15468"/>
    <w:rsid w:val="00D1608A"/>
    <w:rsid w:val="00D1611E"/>
    <w:rsid w:val="00D169CC"/>
    <w:rsid w:val="00D1797D"/>
    <w:rsid w:val="00D17F35"/>
    <w:rsid w:val="00D20930"/>
    <w:rsid w:val="00D21ED8"/>
    <w:rsid w:val="00D22BB9"/>
    <w:rsid w:val="00D22E1E"/>
    <w:rsid w:val="00D237DC"/>
    <w:rsid w:val="00D23958"/>
    <w:rsid w:val="00D25F28"/>
    <w:rsid w:val="00D2634D"/>
    <w:rsid w:val="00D26881"/>
    <w:rsid w:val="00D26A12"/>
    <w:rsid w:val="00D26A13"/>
    <w:rsid w:val="00D31DA2"/>
    <w:rsid w:val="00D330DC"/>
    <w:rsid w:val="00D37812"/>
    <w:rsid w:val="00D4235D"/>
    <w:rsid w:val="00D4562D"/>
    <w:rsid w:val="00D45808"/>
    <w:rsid w:val="00D47C72"/>
    <w:rsid w:val="00D5091D"/>
    <w:rsid w:val="00D50AB4"/>
    <w:rsid w:val="00D51DC8"/>
    <w:rsid w:val="00D533B4"/>
    <w:rsid w:val="00D5346E"/>
    <w:rsid w:val="00D53ACA"/>
    <w:rsid w:val="00D53C0D"/>
    <w:rsid w:val="00D53D7C"/>
    <w:rsid w:val="00D54051"/>
    <w:rsid w:val="00D5466E"/>
    <w:rsid w:val="00D54B0A"/>
    <w:rsid w:val="00D54C27"/>
    <w:rsid w:val="00D55034"/>
    <w:rsid w:val="00D558B4"/>
    <w:rsid w:val="00D56328"/>
    <w:rsid w:val="00D57583"/>
    <w:rsid w:val="00D62509"/>
    <w:rsid w:val="00D628B2"/>
    <w:rsid w:val="00D630D1"/>
    <w:rsid w:val="00D71DEA"/>
    <w:rsid w:val="00D729E4"/>
    <w:rsid w:val="00D7410B"/>
    <w:rsid w:val="00D74817"/>
    <w:rsid w:val="00D800CD"/>
    <w:rsid w:val="00D802A9"/>
    <w:rsid w:val="00D81528"/>
    <w:rsid w:val="00D83821"/>
    <w:rsid w:val="00D83B37"/>
    <w:rsid w:val="00D8425D"/>
    <w:rsid w:val="00D8489C"/>
    <w:rsid w:val="00D86399"/>
    <w:rsid w:val="00D87AEF"/>
    <w:rsid w:val="00D93A24"/>
    <w:rsid w:val="00D96431"/>
    <w:rsid w:val="00D968BC"/>
    <w:rsid w:val="00DA27EB"/>
    <w:rsid w:val="00DA2C71"/>
    <w:rsid w:val="00DA4FF5"/>
    <w:rsid w:val="00DA5A50"/>
    <w:rsid w:val="00DA5C10"/>
    <w:rsid w:val="00DA5F7F"/>
    <w:rsid w:val="00DA703F"/>
    <w:rsid w:val="00DB073B"/>
    <w:rsid w:val="00DB1ADA"/>
    <w:rsid w:val="00DB1FC1"/>
    <w:rsid w:val="00DB2055"/>
    <w:rsid w:val="00DB40DE"/>
    <w:rsid w:val="00DB6EC5"/>
    <w:rsid w:val="00DB748A"/>
    <w:rsid w:val="00DB79DB"/>
    <w:rsid w:val="00DC07D5"/>
    <w:rsid w:val="00DC2861"/>
    <w:rsid w:val="00DC2DF3"/>
    <w:rsid w:val="00DC3E38"/>
    <w:rsid w:val="00DC5D18"/>
    <w:rsid w:val="00DC6370"/>
    <w:rsid w:val="00DC6697"/>
    <w:rsid w:val="00DC6EE4"/>
    <w:rsid w:val="00DD022B"/>
    <w:rsid w:val="00DD13F6"/>
    <w:rsid w:val="00DD1647"/>
    <w:rsid w:val="00DD1E9A"/>
    <w:rsid w:val="00DD23F5"/>
    <w:rsid w:val="00DD3EA1"/>
    <w:rsid w:val="00DD40C6"/>
    <w:rsid w:val="00DE0E80"/>
    <w:rsid w:val="00DE4334"/>
    <w:rsid w:val="00DE602D"/>
    <w:rsid w:val="00DE660A"/>
    <w:rsid w:val="00DE7807"/>
    <w:rsid w:val="00DF0037"/>
    <w:rsid w:val="00DF021F"/>
    <w:rsid w:val="00DF146B"/>
    <w:rsid w:val="00DF44C3"/>
    <w:rsid w:val="00DF5313"/>
    <w:rsid w:val="00DF6070"/>
    <w:rsid w:val="00DF6E43"/>
    <w:rsid w:val="00E00516"/>
    <w:rsid w:val="00E01866"/>
    <w:rsid w:val="00E020BE"/>
    <w:rsid w:val="00E029EE"/>
    <w:rsid w:val="00E03624"/>
    <w:rsid w:val="00E0363B"/>
    <w:rsid w:val="00E057E0"/>
    <w:rsid w:val="00E102DE"/>
    <w:rsid w:val="00E118C8"/>
    <w:rsid w:val="00E13873"/>
    <w:rsid w:val="00E1528E"/>
    <w:rsid w:val="00E1560A"/>
    <w:rsid w:val="00E168FA"/>
    <w:rsid w:val="00E211D7"/>
    <w:rsid w:val="00E21449"/>
    <w:rsid w:val="00E22778"/>
    <w:rsid w:val="00E312B2"/>
    <w:rsid w:val="00E32462"/>
    <w:rsid w:val="00E326C4"/>
    <w:rsid w:val="00E32A5E"/>
    <w:rsid w:val="00E32DEA"/>
    <w:rsid w:val="00E33968"/>
    <w:rsid w:val="00E34481"/>
    <w:rsid w:val="00E35006"/>
    <w:rsid w:val="00E352C5"/>
    <w:rsid w:val="00E37B0F"/>
    <w:rsid w:val="00E40139"/>
    <w:rsid w:val="00E407B9"/>
    <w:rsid w:val="00E41233"/>
    <w:rsid w:val="00E41BA5"/>
    <w:rsid w:val="00E41E22"/>
    <w:rsid w:val="00E444BA"/>
    <w:rsid w:val="00E44C40"/>
    <w:rsid w:val="00E46F96"/>
    <w:rsid w:val="00E51D3B"/>
    <w:rsid w:val="00E5228E"/>
    <w:rsid w:val="00E529A2"/>
    <w:rsid w:val="00E53130"/>
    <w:rsid w:val="00E55C62"/>
    <w:rsid w:val="00E578D9"/>
    <w:rsid w:val="00E57FE9"/>
    <w:rsid w:val="00E61B0F"/>
    <w:rsid w:val="00E62A52"/>
    <w:rsid w:val="00E64FEE"/>
    <w:rsid w:val="00E6567D"/>
    <w:rsid w:val="00E65ACD"/>
    <w:rsid w:val="00E65D24"/>
    <w:rsid w:val="00E660E9"/>
    <w:rsid w:val="00E664BB"/>
    <w:rsid w:val="00E6722C"/>
    <w:rsid w:val="00E67813"/>
    <w:rsid w:val="00E70DBA"/>
    <w:rsid w:val="00E71269"/>
    <w:rsid w:val="00E72C74"/>
    <w:rsid w:val="00E72C8A"/>
    <w:rsid w:val="00E74B40"/>
    <w:rsid w:val="00E84120"/>
    <w:rsid w:val="00E84E95"/>
    <w:rsid w:val="00E87092"/>
    <w:rsid w:val="00E92F8F"/>
    <w:rsid w:val="00E942B6"/>
    <w:rsid w:val="00E9604D"/>
    <w:rsid w:val="00E976D5"/>
    <w:rsid w:val="00EA0850"/>
    <w:rsid w:val="00EA097C"/>
    <w:rsid w:val="00EA20E8"/>
    <w:rsid w:val="00EA24B2"/>
    <w:rsid w:val="00EA2ECF"/>
    <w:rsid w:val="00EA43D3"/>
    <w:rsid w:val="00EA51F0"/>
    <w:rsid w:val="00EA5682"/>
    <w:rsid w:val="00EA607C"/>
    <w:rsid w:val="00EA631B"/>
    <w:rsid w:val="00EA664B"/>
    <w:rsid w:val="00EA67E0"/>
    <w:rsid w:val="00EA7E77"/>
    <w:rsid w:val="00EB155A"/>
    <w:rsid w:val="00EB2894"/>
    <w:rsid w:val="00EB34DA"/>
    <w:rsid w:val="00EB51F0"/>
    <w:rsid w:val="00EB5327"/>
    <w:rsid w:val="00EB7BA2"/>
    <w:rsid w:val="00EB7F29"/>
    <w:rsid w:val="00EC0203"/>
    <w:rsid w:val="00EC21E3"/>
    <w:rsid w:val="00EC2DBC"/>
    <w:rsid w:val="00EC49D5"/>
    <w:rsid w:val="00EC5E0B"/>
    <w:rsid w:val="00EC630C"/>
    <w:rsid w:val="00EC700B"/>
    <w:rsid w:val="00ED0BBC"/>
    <w:rsid w:val="00ED383D"/>
    <w:rsid w:val="00ED6A44"/>
    <w:rsid w:val="00ED6C9B"/>
    <w:rsid w:val="00ED6FE0"/>
    <w:rsid w:val="00ED7CB7"/>
    <w:rsid w:val="00EE1653"/>
    <w:rsid w:val="00EE1C9F"/>
    <w:rsid w:val="00EE3E61"/>
    <w:rsid w:val="00EE61C6"/>
    <w:rsid w:val="00EF0F2B"/>
    <w:rsid w:val="00EF2299"/>
    <w:rsid w:val="00EF31C0"/>
    <w:rsid w:val="00EF360A"/>
    <w:rsid w:val="00EF6C21"/>
    <w:rsid w:val="00F01C09"/>
    <w:rsid w:val="00F01C49"/>
    <w:rsid w:val="00F03532"/>
    <w:rsid w:val="00F042AA"/>
    <w:rsid w:val="00F0561A"/>
    <w:rsid w:val="00F0615B"/>
    <w:rsid w:val="00F070C0"/>
    <w:rsid w:val="00F075F9"/>
    <w:rsid w:val="00F101E9"/>
    <w:rsid w:val="00F14204"/>
    <w:rsid w:val="00F147F0"/>
    <w:rsid w:val="00F214FA"/>
    <w:rsid w:val="00F23D2F"/>
    <w:rsid w:val="00F23EBB"/>
    <w:rsid w:val="00F23F93"/>
    <w:rsid w:val="00F2484F"/>
    <w:rsid w:val="00F2713C"/>
    <w:rsid w:val="00F2763B"/>
    <w:rsid w:val="00F276B0"/>
    <w:rsid w:val="00F27971"/>
    <w:rsid w:val="00F31B5C"/>
    <w:rsid w:val="00F31FBD"/>
    <w:rsid w:val="00F32BF2"/>
    <w:rsid w:val="00F35CBE"/>
    <w:rsid w:val="00F35EA9"/>
    <w:rsid w:val="00F361C7"/>
    <w:rsid w:val="00F37742"/>
    <w:rsid w:val="00F4031D"/>
    <w:rsid w:val="00F40696"/>
    <w:rsid w:val="00F4090B"/>
    <w:rsid w:val="00F4330E"/>
    <w:rsid w:val="00F4794D"/>
    <w:rsid w:val="00F50B39"/>
    <w:rsid w:val="00F50B57"/>
    <w:rsid w:val="00F5220B"/>
    <w:rsid w:val="00F5377F"/>
    <w:rsid w:val="00F54A36"/>
    <w:rsid w:val="00F56098"/>
    <w:rsid w:val="00F568C1"/>
    <w:rsid w:val="00F575CC"/>
    <w:rsid w:val="00F617AC"/>
    <w:rsid w:val="00F62275"/>
    <w:rsid w:val="00F624B4"/>
    <w:rsid w:val="00F62EB3"/>
    <w:rsid w:val="00F6383E"/>
    <w:rsid w:val="00F6410F"/>
    <w:rsid w:val="00F64138"/>
    <w:rsid w:val="00F646E1"/>
    <w:rsid w:val="00F64BEF"/>
    <w:rsid w:val="00F669AD"/>
    <w:rsid w:val="00F66A99"/>
    <w:rsid w:val="00F67B93"/>
    <w:rsid w:val="00F7444B"/>
    <w:rsid w:val="00F7614B"/>
    <w:rsid w:val="00F7691B"/>
    <w:rsid w:val="00F773C2"/>
    <w:rsid w:val="00F8192F"/>
    <w:rsid w:val="00F82130"/>
    <w:rsid w:val="00F828F9"/>
    <w:rsid w:val="00F830FB"/>
    <w:rsid w:val="00F83833"/>
    <w:rsid w:val="00F84AF8"/>
    <w:rsid w:val="00F84DE1"/>
    <w:rsid w:val="00F85C1C"/>
    <w:rsid w:val="00F9150E"/>
    <w:rsid w:val="00F91CAA"/>
    <w:rsid w:val="00F92EDF"/>
    <w:rsid w:val="00F955EA"/>
    <w:rsid w:val="00F96E37"/>
    <w:rsid w:val="00F975D4"/>
    <w:rsid w:val="00FA1A23"/>
    <w:rsid w:val="00FA24B2"/>
    <w:rsid w:val="00FA349B"/>
    <w:rsid w:val="00FA4C86"/>
    <w:rsid w:val="00FA6FD4"/>
    <w:rsid w:val="00FB2376"/>
    <w:rsid w:val="00FB2D80"/>
    <w:rsid w:val="00FB4955"/>
    <w:rsid w:val="00FB4F2B"/>
    <w:rsid w:val="00FB72EC"/>
    <w:rsid w:val="00FC092A"/>
    <w:rsid w:val="00FC14A4"/>
    <w:rsid w:val="00FC1DAD"/>
    <w:rsid w:val="00FC2684"/>
    <w:rsid w:val="00FC2F91"/>
    <w:rsid w:val="00FC46A8"/>
    <w:rsid w:val="00FC49BC"/>
    <w:rsid w:val="00FC4C2C"/>
    <w:rsid w:val="00FC510D"/>
    <w:rsid w:val="00FC6D35"/>
    <w:rsid w:val="00FD21B5"/>
    <w:rsid w:val="00FD386E"/>
    <w:rsid w:val="00FD3961"/>
    <w:rsid w:val="00FD40BA"/>
    <w:rsid w:val="00FD4E4E"/>
    <w:rsid w:val="00FD5966"/>
    <w:rsid w:val="00FD5D8C"/>
    <w:rsid w:val="00FD6638"/>
    <w:rsid w:val="00FD766D"/>
    <w:rsid w:val="00FE014C"/>
    <w:rsid w:val="00FE2E10"/>
    <w:rsid w:val="00FE43DE"/>
    <w:rsid w:val="00FE7B31"/>
    <w:rsid w:val="00FF2E24"/>
    <w:rsid w:val="00FF36BE"/>
    <w:rsid w:val="00FF41BF"/>
    <w:rsid w:val="00FF478B"/>
    <w:rsid w:val="00FF6C0C"/>
    <w:rsid w:val="14D711C2"/>
    <w:rsid w:val="51CD7CE8"/>
    <w:rsid w:val="58714E8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0354" fillcolor="white">
      <v:fill color="white"/>
    </o:shapedefaults>
    <o:shapelayout v:ext="edit">
      <o:idmap v:ext="edit" data="1"/>
      <o:rules v:ext="edit">
        <o:r id="V:Rule1" type="callout" idref="#自选图形 4"/>
        <o:r id="V:Rule2" type="callout" idref="#_x0000_s1045"/>
        <o:r id="V:Rule3" type="callout" idref="#_x0000_s11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0" w:defUnhideWhenUsed="1" w:defQFormat="0" w:count="267">
    <w:lsdException w:name="Normal" w:uiPriority="1" w:unhideWhenUsed="0" w:qFormat="1"/>
    <w:lsdException w:name="heading 1" w:uiPriority="0" w:unhideWhenUsed="0" w:qFormat="1"/>
    <w:lsdException w:name="heading 2" w:uiPriority="0" w:unhideWhenUsed="0" w:qFormat="1"/>
    <w:lsdException w:name="heading 3" w:uiPriority="0" w:unhideWhenUsed="0" w:qFormat="1"/>
    <w:lsdException w:name="heading 4" w:uiPriority="0" w:unhideWhenUsed="0" w:qFormat="1"/>
    <w:lsdException w:name="heading 5" w:uiPriority="0" w:unhideWhenUsed="0" w:qFormat="1"/>
    <w:lsdException w:name="heading 6" w:uiPriority="9" w:unhideWhenUsed="0" w:qFormat="1"/>
    <w:lsdException w:name="heading 7" w:uiPriority="0" w:unhideWhenUsed="0" w:qFormat="1"/>
    <w:lsdException w:name="heading 8" w:uiPriority="0" w:unhideWhenUsed="0" w:qFormat="1"/>
    <w:lsdException w:name="heading 9" w:uiPriority="0" w:unhideWhenUsed="0" w:qFormat="1"/>
    <w:lsdException w:name="index 1" w:semiHidden="1" w:uiPriority="0"/>
    <w:lsdException w:name="index 2" w:semiHidden="1"/>
    <w:lsdException w:name="index 3" w:semiHidden="1"/>
    <w:lsdException w:name="index 4" w:semiHidden="1"/>
    <w:lsdException w:name="index 5" w:semiHidden="1"/>
    <w:lsdException w:name="index 6" w:semiHidden="1" w:uiPriority="0"/>
    <w:lsdException w:name="index 7" w:semiHidden="1" w:uiPriority="0"/>
    <w:lsdException w:name="index 8" w:semiHidden="1"/>
    <w:lsdException w:name="index 9" w:semiHidden="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semiHidden="1" w:uiPriority="0"/>
    <w:lsdException w:name="footnote text" w:semiHidden="1"/>
    <w:lsdException w:name="annotation text" w:semiHidden="1" w:uiPriority="0"/>
    <w:lsdException w:name="header" w:uiPriority="0"/>
    <w:lsdException w:name="footer" w:uiPriority="0" w:qFormat="1"/>
    <w:lsdException w:name="index heading" w:semiHidden="1" w:uiPriority="0"/>
    <w:lsdException w:name="caption" w:uiPriority="0" w:unhideWhenUsed="0" w:qFormat="1"/>
    <w:lsdException w:name="table of figures" w:semiHidden="1" w:uiPriority="0"/>
    <w:lsdException w:name="envelope address" w:semiHidden="1"/>
    <w:lsdException w:name="envelope return" w:semiHidden="1"/>
    <w:lsdException w:name="footnote reference" w:semiHidden="1"/>
    <w:lsdException w:name="annotation reference" w:semiHidden="1" w:uiPriority="0" w:qFormat="1"/>
    <w:lsdException w:name="line number" w:semiHidden="1"/>
    <w:lsdException w:name="page number" w:semiHidden="1" w:uiPriority="0"/>
    <w:lsdException w:name="endnote reference" w:semiHidden="1"/>
    <w:lsdException w:name="endnote text" w:semiHidden="1"/>
    <w:lsdException w:name="table of authorities" w:semiHidden="1" w:uiPriority="0"/>
    <w:lsdException w:name="macro" w:semiHidden="1"/>
    <w:lsdException w:name="toa heading" w:semiHidden="1" w:uiPriority="0"/>
    <w:lsdException w:name="List" w:semiHidden="1" w:uiPriority="0"/>
    <w:lsdException w:name="List Bullet" w:semiHidden="1"/>
    <w:lsdException w:name="List Number" w:semiHidden="1" w:uiPriority="0"/>
    <w:lsdException w:name="List 2" w:semiHidden="1" w:uiPriority="0"/>
    <w:lsdException w:name="List 3" w:semiHidden="1" w:uiPriority="0" w:qFormat="1"/>
    <w:lsdException w:name="List 4" w:semiHidden="1"/>
    <w:lsdException w:name="List 5" w:semiHidden="1"/>
    <w:lsdException w:name="List Bullet 2" w:semiHidden="1"/>
    <w:lsdException w:name="List Bullet 3" w:semiHidden="1" w:uiPriority="0"/>
    <w:lsdException w:name="List Bullet 4" w:semiHidden="1"/>
    <w:lsdException w:name="List Bullet 5" w:semiHidden="1"/>
    <w:lsdException w:name="List Number 2" w:semiHidden="1"/>
    <w:lsdException w:name="List Number 3" w:semiHidden="1"/>
    <w:lsdException w:name="List Number 4" w:semiHidden="1"/>
    <w:lsdException w:name="List Number 5" w:semiHidden="1" w:uiPriority="0"/>
    <w:lsdException w:name="Title" w:uiPriority="0" w:unhideWhenUsed="0" w:qFormat="1"/>
    <w:lsdException w:name="Closing" w:semiHidden="1"/>
    <w:lsdException w:name="Signature" w:semiHidden="1"/>
    <w:lsdException w:name="Default Paragraph Font" w:uiPriority="1" w:qFormat="1"/>
    <w:lsdException w:name="Body Text" w:uiPriority="0"/>
    <w:lsdException w:name="Body Text Indent" w:semiHidden="1" w:uiPriority="0"/>
    <w:lsdException w:name="List Continue" w:semiHidden="1"/>
    <w:lsdException w:name="List Continue 2" w:semiHidden="1" w:uiPriority="0"/>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uiPriority="0"/>
    <w:lsdException w:name="Body Text First Indent" w:semiHidden="1" w:uiPriority="0"/>
    <w:lsdException w:name="Body Text First Indent 2" w:semiHidden="1" w:uiPriority="0"/>
    <w:lsdException w:name="Note Heading" w:semiHidden="1" w:uiPriority="0"/>
    <w:lsdException w:name="Body Text 2" w:semiHidden="1" w:uiPriority="0"/>
    <w:lsdException w:name="Body Text 3" w:semiHidden="1" w:uiPriority="0"/>
    <w:lsdException w:name="Body Text Indent 2" w:semiHidden="1" w:uiPriority="0"/>
    <w:lsdException w:name="Body Text Indent 3" w:semiHidden="1" w:uiPriority="0"/>
    <w:lsdException w:name="Block Text" w:semiHidden="1" w:uiPriority="0"/>
    <w:lsdException w:name="Hyperlink" w:qFormat="1"/>
    <w:lsdException w:name="FollowedHyperlink" w:semiHidden="1" w:uiPriority="0"/>
    <w:lsdException w:name="Strong" w:uiPriority="0" w:unhideWhenUsed="0" w:qFormat="1"/>
    <w:lsdException w:name="Emphasis" w:uiPriority="0" w:unhideWhenUsed="0" w:qFormat="1"/>
    <w:lsdException w:name="Document Map" w:semiHidden="1" w:uiPriority="0"/>
    <w:lsdException w:name="Plain Text" w:semiHidden="1" w:uiPriority="0"/>
    <w:lsdException w:name="E-mail Signature" w:semiHidden="1"/>
    <w:lsdException w:name="HTML Top of Form" w:semiHidden="1" w:uiPriority="0"/>
    <w:lsdException w:name="HTML Bottom of Form" w:semiHidden="1" w:uiPriority="0"/>
    <w:lsdException w:name="Normal (Web)" w:semiHidden="1" w:uiPriority="0"/>
    <w:lsdException w:name="HTML Acronym" w:semiHidden="1"/>
    <w:lsdException w:name="HTML Address" w:semiHidden="1"/>
    <w:lsdException w:name="HTML Cite" w:semiHidden="1" w:uiPriority="0"/>
    <w:lsdException w:name="HTML Code" w:semiHidden="1"/>
    <w:lsdException w:name="HTML Definition" w:semiHidden="1" w:uiPriority="0"/>
    <w:lsdException w:name="HTML Keyboard" w:semiHidden="1"/>
    <w:lsdException w:name="HTML Preformatted" w:semiHidden="1" w:uiPriority="0"/>
    <w:lsdException w:name="HTML Sample" w:semiHidden="1"/>
    <w:lsdException w:name="HTML Typewriter" w:semiHidden="1"/>
    <w:lsdException w:name="HTML Variable" w:semiHidden="1"/>
    <w:lsdException w:name="Normal Table" w:semiHidden="1" w:qFormat="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uiPriority="0"/>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uiPriority="0"/>
    <w:lsdException w:name="Table Grid" w:uiPriority="0" w:unhideWhenUsed="0" w:qFormat="1"/>
    <w:lsdException w:name="Table Theme" w:semiHidden="1"/>
    <w:lsdException w:name="Placeholder Text" w:semiHidden="1" w:unhideWhenUsed="0"/>
    <w:lsdException w:name="No Spacing"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nhideWhenUsed="0"/>
    <w:lsdException w:name="List Paragraph" w:uiPriority="34" w:unhideWhenUsed="0" w:qFormat="1"/>
    <w:lsdException w:name="Quote" w:uiPriority="29" w:unhideWhenUsed="0" w:qFormat="1"/>
    <w:lsdException w:name="Intense Quote" w:uiPriority="30" w:unhideWhenUsed="0" w:qFormat="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uiPriority="39" w:unhideWhenUsed="0" w:qFormat="1"/>
  </w:latentStyles>
  <w:style w:type="paragraph" w:default="1" w:styleId="a0">
    <w:name w:val="Normal"/>
    <w:uiPriority w:val="1"/>
    <w:qFormat/>
    <w:rsid w:val="007E40F9"/>
    <w:pPr>
      <w:widowControl w:val="0"/>
      <w:topLinePunct/>
      <w:adjustRightInd w:val="0"/>
      <w:spacing w:line="360" w:lineRule="auto"/>
      <w:ind w:firstLineChars="200" w:firstLine="200"/>
      <w:jc w:val="both"/>
    </w:pPr>
    <w:rPr>
      <w:rFonts w:ascii="宋体" w:hAnsi="Times New Roman" w:cs="宋体"/>
      <w:sz w:val="24"/>
      <w:szCs w:val="24"/>
    </w:rPr>
  </w:style>
  <w:style w:type="paragraph" w:styleId="1">
    <w:name w:val="heading 1"/>
    <w:basedOn w:val="a0"/>
    <w:next w:val="a0"/>
    <w:link w:val="1Char"/>
    <w:qFormat/>
    <w:rsid w:val="007E40F9"/>
    <w:pPr>
      <w:keepNext/>
      <w:keepLines/>
      <w:spacing w:before="100" w:beforeAutospacing="1" w:after="100" w:afterAutospacing="1"/>
      <w:ind w:firstLineChars="0" w:firstLine="0"/>
      <w:jc w:val="left"/>
      <w:outlineLvl w:val="0"/>
    </w:pPr>
    <w:rPr>
      <w:rFonts w:ascii="Times New Roman" w:eastAsia="Times New Roman" w:cs="Times New Roman"/>
      <w:b/>
      <w:kern w:val="44"/>
      <w:sz w:val="32"/>
      <w:szCs w:val="44"/>
    </w:rPr>
  </w:style>
  <w:style w:type="paragraph" w:styleId="2">
    <w:name w:val="heading 2"/>
    <w:basedOn w:val="a0"/>
    <w:next w:val="a0"/>
    <w:link w:val="2Char1"/>
    <w:qFormat/>
    <w:rsid w:val="007E40F9"/>
    <w:pPr>
      <w:keepNext/>
      <w:keepLines/>
      <w:spacing w:before="240"/>
      <w:ind w:firstLineChars="0" w:firstLine="0"/>
      <w:outlineLvl w:val="1"/>
    </w:pPr>
    <w:rPr>
      <w:rFonts w:ascii="Times New Roman"/>
      <w:b/>
      <w:bCs/>
      <w:sz w:val="28"/>
      <w:szCs w:val="32"/>
    </w:rPr>
  </w:style>
  <w:style w:type="paragraph" w:styleId="3">
    <w:name w:val="heading 3"/>
    <w:basedOn w:val="a0"/>
    <w:next w:val="a0"/>
    <w:link w:val="3Char3"/>
    <w:qFormat/>
    <w:rsid w:val="007E40F9"/>
    <w:pPr>
      <w:keepNext/>
      <w:keepLines/>
      <w:ind w:firstLineChars="0" w:firstLine="0"/>
      <w:outlineLvl w:val="2"/>
    </w:pPr>
    <w:rPr>
      <w:rFonts w:ascii="Times New Roman" w:eastAsia="Times New Roman" w:cs="Times New Roman"/>
      <w:b/>
      <w:szCs w:val="32"/>
    </w:rPr>
  </w:style>
  <w:style w:type="paragraph" w:styleId="4">
    <w:name w:val="heading 4"/>
    <w:basedOn w:val="a1"/>
    <w:next w:val="a0"/>
    <w:link w:val="4Char"/>
    <w:qFormat/>
    <w:rsid w:val="007E40F9"/>
    <w:pPr>
      <w:widowControl/>
      <w:topLinePunct w:val="0"/>
      <w:snapToGrid w:val="0"/>
      <w:spacing w:beforeLines="50" w:line="240" w:lineRule="auto"/>
      <w:ind w:firstLineChars="0" w:firstLine="600"/>
      <w:jc w:val="left"/>
      <w:outlineLvl w:val="3"/>
    </w:pPr>
    <w:rPr>
      <w:rFonts w:ascii="Arial" w:hAnsi="Arial" w:cs="Times New Roman"/>
      <w:kern w:val="2"/>
      <w:sz w:val="28"/>
      <w:szCs w:val="21"/>
    </w:rPr>
  </w:style>
  <w:style w:type="paragraph" w:styleId="5">
    <w:name w:val="heading 5"/>
    <w:basedOn w:val="a1"/>
    <w:next w:val="a0"/>
    <w:link w:val="5Char"/>
    <w:qFormat/>
    <w:rsid w:val="007E40F9"/>
    <w:pPr>
      <w:widowControl/>
      <w:topLinePunct w:val="0"/>
      <w:snapToGrid w:val="0"/>
      <w:spacing w:beforeLines="50"/>
      <w:ind w:left="600" w:firstLineChars="0" w:firstLine="600"/>
      <w:jc w:val="left"/>
      <w:outlineLvl w:val="4"/>
    </w:pPr>
    <w:rPr>
      <w:rFonts w:ascii="Arial" w:hAnsi="Arial" w:cs="Times New Roman"/>
      <w:bCs/>
      <w:kern w:val="2"/>
      <w:sz w:val="28"/>
      <w:szCs w:val="28"/>
    </w:rPr>
  </w:style>
  <w:style w:type="paragraph" w:styleId="6">
    <w:name w:val="heading 6"/>
    <w:basedOn w:val="a1"/>
    <w:next w:val="a0"/>
    <w:link w:val="6Char"/>
    <w:uiPriority w:val="9"/>
    <w:qFormat/>
    <w:rsid w:val="007E40F9"/>
    <w:pPr>
      <w:topLinePunct w:val="0"/>
      <w:snapToGrid w:val="0"/>
      <w:ind w:left="1075" w:firstLineChars="0" w:hanging="507"/>
      <w:jc w:val="left"/>
      <w:outlineLvl w:val="5"/>
    </w:pPr>
    <w:rPr>
      <w:rFonts w:ascii="Arial" w:hAnsi="Arial" w:cs="Times New Roman"/>
      <w:bCs/>
      <w:kern w:val="2"/>
      <w:sz w:val="28"/>
    </w:rPr>
  </w:style>
  <w:style w:type="paragraph" w:styleId="7">
    <w:name w:val="heading 7"/>
    <w:basedOn w:val="a0"/>
    <w:next w:val="a0"/>
    <w:link w:val="7Char"/>
    <w:qFormat/>
    <w:rsid w:val="007E40F9"/>
    <w:pPr>
      <w:topLinePunct w:val="0"/>
      <w:snapToGrid w:val="0"/>
      <w:ind w:left="1103" w:firstLineChars="0" w:firstLine="499"/>
      <w:outlineLvl w:val="6"/>
    </w:pPr>
    <w:rPr>
      <w:rFonts w:ascii="Times New Roman" w:cs="Times New Roman"/>
      <w:bCs/>
      <w:kern w:val="2"/>
    </w:rPr>
  </w:style>
  <w:style w:type="paragraph" w:styleId="8">
    <w:name w:val="heading 8"/>
    <w:basedOn w:val="a1"/>
    <w:next w:val="a0"/>
    <w:link w:val="8Char"/>
    <w:qFormat/>
    <w:rsid w:val="007E40F9"/>
    <w:pPr>
      <w:widowControl/>
      <w:topLinePunct w:val="0"/>
      <w:snapToGrid w:val="0"/>
      <w:ind w:left="1103" w:firstLineChars="0" w:firstLine="500"/>
      <w:jc w:val="left"/>
      <w:outlineLvl w:val="7"/>
    </w:pPr>
    <w:rPr>
      <w:rFonts w:ascii="Arial" w:hAnsi="Arial" w:cs="Times New Roman"/>
      <w:kern w:val="2"/>
    </w:rPr>
  </w:style>
  <w:style w:type="paragraph" w:styleId="9">
    <w:name w:val="heading 9"/>
    <w:basedOn w:val="a1"/>
    <w:next w:val="a0"/>
    <w:link w:val="9Char"/>
    <w:qFormat/>
    <w:rsid w:val="007E40F9"/>
    <w:pPr>
      <w:keepNext/>
      <w:keepLines/>
      <w:widowControl/>
      <w:topLinePunct w:val="0"/>
      <w:snapToGrid w:val="0"/>
      <w:ind w:left="419" w:firstLineChars="0" w:firstLine="500"/>
      <w:jc w:val="left"/>
      <w:outlineLvl w:val="8"/>
    </w:pPr>
    <w:rPr>
      <w:rFonts w:ascii="Arial" w:hAnsi="Arial" w:cs="Times New Roman"/>
      <w:kern w:val="2"/>
      <w:szCs w:val="21"/>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Char">
    <w:name w:val="标题 1 Char"/>
    <w:basedOn w:val="a2"/>
    <w:link w:val="1"/>
    <w:qFormat/>
    <w:rsid w:val="007E40F9"/>
    <w:rPr>
      <w:rFonts w:ascii="Times New Roman" w:eastAsia="Times New Roman" w:hAnsi="Times New Roman" w:cs="Times New Roman"/>
      <w:b/>
      <w:kern w:val="44"/>
      <w:sz w:val="32"/>
      <w:szCs w:val="44"/>
    </w:rPr>
  </w:style>
  <w:style w:type="character" w:customStyle="1" w:styleId="2Char1">
    <w:name w:val="标题 2 Char1"/>
    <w:basedOn w:val="a2"/>
    <w:link w:val="2"/>
    <w:qFormat/>
    <w:rsid w:val="007E40F9"/>
    <w:rPr>
      <w:rFonts w:ascii="Times New Roman" w:eastAsia="宋体" w:hAnsi="Times New Roman" w:cs="宋体"/>
      <w:b/>
      <w:bCs/>
      <w:kern w:val="0"/>
      <w:sz w:val="28"/>
      <w:szCs w:val="32"/>
    </w:rPr>
  </w:style>
  <w:style w:type="character" w:customStyle="1" w:styleId="3Char3">
    <w:name w:val="标题 3 Char3"/>
    <w:basedOn w:val="a2"/>
    <w:link w:val="3"/>
    <w:qFormat/>
    <w:rsid w:val="007E40F9"/>
    <w:rPr>
      <w:rFonts w:ascii="Times New Roman" w:eastAsia="Times New Roman" w:hAnsi="Times New Roman" w:cs="Times New Roman"/>
      <w:b/>
      <w:kern w:val="0"/>
      <w:sz w:val="24"/>
      <w:szCs w:val="32"/>
    </w:rPr>
  </w:style>
  <w:style w:type="paragraph" w:styleId="a1">
    <w:name w:val="Body Text"/>
    <w:basedOn w:val="a0"/>
    <w:link w:val="Char"/>
    <w:unhideWhenUsed/>
    <w:rsid w:val="007E40F9"/>
  </w:style>
  <w:style w:type="character" w:customStyle="1" w:styleId="Char">
    <w:name w:val="正文文本 Char"/>
    <w:basedOn w:val="a2"/>
    <w:link w:val="a1"/>
    <w:qFormat/>
    <w:rsid w:val="007E40F9"/>
    <w:rPr>
      <w:rFonts w:ascii="宋体" w:hAnsi="Times New Roman" w:cs="宋体"/>
      <w:kern w:val="0"/>
      <w:sz w:val="24"/>
      <w:szCs w:val="24"/>
    </w:rPr>
  </w:style>
  <w:style w:type="character" w:customStyle="1" w:styleId="4Char">
    <w:name w:val="标题 4 Char"/>
    <w:basedOn w:val="a2"/>
    <w:link w:val="4"/>
    <w:qFormat/>
    <w:rsid w:val="007E40F9"/>
    <w:rPr>
      <w:rFonts w:ascii="Arial" w:eastAsia="宋体" w:hAnsi="Arial" w:cs="Times New Roman"/>
      <w:sz w:val="28"/>
      <w:szCs w:val="21"/>
    </w:rPr>
  </w:style>
  <w:style w:type="character" w:customStyle="1" w:styleId="5Char">
    <w:name w:val="标题 5 Char"/>
    <w:basedOn w:val="a2"/>
    <w:link w:val="5"/>
    <w:qFormat/>
    <w:rsid w:val="007E40F9"/>
    <w:rPr>
      <w:rFonts w:ascii="Arial" w:eastAsia="宋体" w:hAnsi="Arial" w:cs="Times New Roman"/>
      <w:bCs/>
      <w:sz w:val="28"/>
      <w:szCs w:val="28"/>
    </w:rPr>
  </w:style>
  <w:style w:type="character" w:customStyle="1" w:styleId="6Char">
    <w:name w:val="标题 6 Char"/>
    <w:basedOn w:val="a2"/>
    <w:link w:val="6"/>
    <w:qFormat/>
    <w:rsid w:val="007E40F9"/>
    <w:rPr>
      <w:rFonts w:ascii="Arial" w:eastAsia="宋体" w:hAnsi="Arial" w:cs="Times New Roman"/>
      <w:bCs/>
      <w:sz w:val="28"/>
      <w:szCs w:val="24"/>
    </w:rPr>
  </w:style>
  <w:style w:type="character" w:customStyle="1" w:styleId="7Char">
    <w:name w:val="标题 7 Char"/>
    <w:basedOn w:val="a2"/>
    <w:link w:val="7"/>
    <w:qFormat/>
    <w:rsid w:val="007E40F9"/>
    <w:rPr>
      <w:rFonts w:ascii="Times New Roman" w:eastAsia="宋体" w:hAnsi="Times New Roman" w:cs="Times New Roman"/>
      <w:bCs/>
      <w:sz w:val="24"/>
      <w:szCs w:val="24"/>
    </w:rPr>
  </w:style>
  <w:style w:type="character" w:customStyle="1" w:styleId="8Char">
    <w:name w:val="标题 8 Char"/>
    <w:basedOn w:val="a2"/>
    <w:link w:val="8"/>
    <w:qFormat/>
    <w:rsid w:val="007E40F9"/>
    <w:rPr>
      <w:rFonts w:ascii="Arial" w:eastAsia="宋体" w:hAnsi="Arial" w:cs="Times New Roman"/>
      <w:sz w:val="24"/>
      <w:szCs w:val="24"/>
    </w:rPr>
  </w:style>
  <w:style w:type="character" w:customStyle="1" w:styleId="9Char">
    <w:name w:val="标题 9 Char"/>
    <w:basedOn w:val="a2"/>
    <w:link w:val="9"/>
    <w:qFormat/>
    <w:rsid w:val="007E40F9"/>
    <w:rPr>
      <w:rFonts w:ascii="Arial" w:eastAsia="宋体" w:hAnsi="Arial" w:cs="Times New Roman"/>
      <w:sz w:val="24"/>
      <w:szCs w:val="21"/>
    </w:rPr>
  </w:style>
  <w:style w:type="paragraph" w:styleId="70">
    <w:name w:val="toc 7"/>
    <w:basedOn w:val="a0"/>
    <w:next w:val="a0"/>
    <w:uiPriority w:val="39"/>
    <w:unhideWhenUsed/>
    <w:qFormat/>
    <w:rsid w:val="007E40F9"/>
    <w:pPr>
      <w:topLinePunct w:val="0"/>
      <w:adjustRightInd/>
      <w:spacing w:line="240" w:lineRule="auto"/>
      <w:ind w:leftChars="1200" w:left="2520" w:firstLineChars="0" w:firstLine="0"/>
    </w:pPr>
    <w:rPr>
      <w:rFonts w:ascii="Calibri" w:hAnsi="Calibri" w:cs="Times New Roman"/>
      <w:kern w:val="2"/>
      <w:sz w:val="21"/>
      <w:szCs w:val="22"/>
    </w:rPr>
  </w:style>
  <w:style w:type="paragraph" w:styleId="a5">
    <w:name w:val="caption"/>
    <w:aliases w:val="实德题注,Char Char Char Char Char Char Char Char Char Char Char Char Char Char Char,SSEC图表题20150323,题注 Char1 Char Char,题注 Char Char Char Char,题注 Char Char Char Char Char1,题注 Char1 Char1 Char,题注 Char Char Char1 Char,题注 Char1 Char Char Char Char Char,图例,表"/>
    <w:basedOn w:val="a0"/>
    <w:next w:val="a0"/>
    <w:link w:val="Char0"/>
    <w:qFormat/>
    <w:rsid w:val="007E40F9"/>
    <w:rPr>
      <w:rFonts w:ascii="Cambria" w:eastAsia="黑体" w:hAnsi="Cambria" w:cs="Times New Roman"/>
      <w:sz w:val="20"/>
      <w:szCs w:val="20"/>
    </w:rPr>
  </w:style>
  <w:style w:type="paragraph" w:styleId="a6">
    <w:name w:val="Document Map"/>
    <w:basedOn w:val="a0"/>
    <w:link w:val="Char1"/>
    <w:unhideWhenUsed/>
    <w:rsid w:val="007E40F9"/>
    <w:rPr>
      <w:sz w:val="18"/>
      <w:szCs w:val="18"/>
    </w:rPr>
  </w:style>
  <w:style w:type="character" w:customStyle="1" w:styleId="Char1">
    <w:name w:val="文档结构图 Char"/>
    <w:basedOn w:val="a2"/>
    <w:link w:val="a6"/>
    <w:qFormat/>
    <w:rsid w:val="007E40F9"/>
    <w:rPr>
      <w:rFonts w:ascii="宋体" w:hAnsi="Times New Roman" w:cs="宋体"/>
      <w:kern w:val="0"/>
      <w:sz w:val="18"/>
      <w:szCs w:val="18"/>
    </w:rPr>
  </w:style>
  <w:style w:type="paragraph" w:styleId="a7">
    <w:name w:val="annotation text"/>
    <w:basedOn w:val="a0"/>
    <w:link w:val="Char2"/>
    <w:unhideWhenUsed/>
    <w:rsid w:val="007E40F9"/>
    <w:pPr>
      <w:jc w:val="left"/>
    </w:pPr>
  </w:style>
  <w:style w:type="character" w:customStyle="1" w:styleId="Char2">
    <w:name w:val="批注文字 Char2"/>
    <w:basedOn w:val="a2"/>
    <w:link w:val="a7"/>
    <w:rsid w:val="00F669AD"/>
    <w:rPr>
      <w:rFonts w:ascii="宋体" w:hAnsi="Times New Roman" w:cs="宋体"/>
      <w:sz w:val="24"/>
      <w:szCs w:val="24"/>
    </w:rPr>
  </w:style>
  <w:style w:type="paragraph" w:styleId="50">
    <w:name w:val="toc 5"/>
    <w:basedOn w:val="a0"/>
    <w:next w:val="a0"/>
    <w:uiPriority w:val="39"/>
    <w:unhideWhenUsed/>
    <w:qFormat/>
    <w:rsid w:val="007E40F9"/>
    <w:pPr>
      <w:topLinePunct w:val="0"/>
      <w:adjustRightInd/>
      <w:spacing w:line="240" w:lineRule="auto"/>
      <w:ind w:leftChars="800" w:left="1680" w:firstLineChars="0" w:firstLine="0"/>
    </w:pPr>
    <w:rPr>
      <w:rFonts w:ascii="Calibri" w:hAnsi="Calibri" w:cs="Times New Roman"/>
      <w:kern w:val="2"/>
      <w:sz w:val="21"/>
      <w:szCs w:val="22"/>
    </w:rPr>
  </w:style>
  <w:style w:type="paragraph" w:styleId="30">
    <w:name w:val="toc 3"/>
    <w:basedOn w:val="a0"/>
    <w:next w:val="a0"/>
    <w:uiPriority w:val="39"/>
    <w:unhideWhenUsed/>
    <w:qFormat/>
    <w:rsid w:val="007E40F9"/>
    <w:pPr>
      <w:ind w:leftChars="400" w:left="840"/>
    </w:pPr>
  </w:style>
  <w:style w:type="paragraph" w:styleId="80">
    <w:name w:val="toc 8"/>
    <w:basedOn w:val="a0"/>
    <w:next w:val="a0"/>
    <w:uiPriority w:val="39"/>
    <w:unhideWhenUsed/>
    <w:qFormat/>
    <w:rsid w:val="007E40F9"/>
    <w:pPr>
      <w:topLinePunct w:val="0"/>
      <w:adjustRightInd/>
      <w:spacing w:line="240" w:lineRule="auto"/>
      <w:ind w:leftChars="1400" w:left="2940" w:firstLineChars="0" w:firstLine="0"/>
    </w:pPr>
    <w:rPr>
      <w:rFonts w:ascii="Calibri" w:hAnsi="Calibri" w:cs="Times New Roman"/>
      <w:kern w:val="2"/>
      <w:sz w:val="21"/>
      <w:szCs w:val="22"/>
    </w:rPr>
  </w:style>
  <w:style w:type="paragraph" w:styleId="a8">
    <w:name w:val="Date"/>
    <w:basedOn w:val="a0"/>
    <w:next w:val="a0"/>
    <w:link w:val="Char3"/>
    <w:unhideWhenUsed/>
    <w:rsid w:val="007E40F9"/>
    <w:pPr>
      <w:ind w:leftChars="2500" w:left="100"/>
    </w:pPr>
  </w:style>
  <w:style w:type="character" w:customStyle="1" w:styleId="Char3">
    <w:name w:val="日期 Char"/>
    <w:basedOn w:val="a2"/>
    <w:link w:val="a8"/>
    <w:qFormat/>
    <w:rsid w:val="007E40F9"/>
    <w:rPr>
      <w:rFonts w:ascii="宋体" w:hAnsi="Times New Roman" w:cs="宋体"/>
      <w:kern w:val="0"/>
      <w:sz w:val="24"/>
      <w:szCs w:val="24"/>
    </w:rPr>
  </w:style>
  <w:style w:type="paragraph" w:styleId="20">
    <w:name w:val="Body Text Indent 2"/>
    <w:basedOn w:val="a0"/>
    <w:link w:val="2Char"/>
    <w:unhideWhenUsed/>
    <w:rsid w:val="007E40F9"/>
    <w:pPr>
      <w:spacing w:after="120" w:line="480" w:lineRule="auto"/>
      <w:ind w:leftChars="200" w:left="420"/>
    </w:pPr>
  </w:style>
  <w:style w:type="character" w:customStyle="1" w:styleId="2Char">
    <w:name w:val="正文文本缩进 2 Char"/>
    <w:basedOn w:val="a2"/>
    <w:link w:val="20"/>
    <w:qFormat/>
    <w:rsid w:val="007E40F9"/>
    <w:rPr>
      <w:rFonts w:ascii="宋体" w:hAnsi="Times New Roman" w:cs="宋体"/>
      <w:kern w:val="0"/>
      <w:sz w:val="24"/>
      <w:szCs w:val="24"/>
    </w:rPr>
  </w:style>
  <w:style w:type="paragraph" w:styleId="a9">
    <w:name w:val="Balloon Text"/>
    <w:basedOn w:val="a0"/>
    <w:link w:val="Char4"/>
    <w:unhideWhenUsed/>
    <w:rsid w:val="007E40F9"/>
    <w:rPr>
      <w:sz w:val="18"/>
      <w:szCs w:val="18"/>
    </w:rPr>
  </w:style>
  <w:style w:type="character" w:customStyle="1" w:styleId="Char4">
    <w:name w:val="批注框文本 Char"/>
    <w:basedOn w:val="a2"/>
    <w:link w:val="a9"/>
    <w:qFormat/>
    <w:rsid w:val="007E40F9"/>
    <w:rPr>
      <w:rFonts w:ascii="宋体" w:hAnsi="Times New Roman" w:cs="宋体"/>
      <w:kern w:val="0"/>
      <w:sz w:val="18"/>
      <w:szCs w:val="18"/>
    </w:rPr>
  </w:style>
  <w:style w:type="paragraph" w:styleId="aa">
    <w:name w:val="footer"/>
    <w:basedOn w:val="a0"/>
    <w:link w:val="Char5"/>
    <w:unhideWhenUsed/>
    <w:qFormat/>
    <w:rsid w:val="007E40F9"/>
    <w:pPr>
      <w:tabs>
        <w:tab w:val="center" w:pos="4153"/>
        <w:tab w:val="right" w:pos="8306"/>
      </w:tabs>
      <w:snapToGrid w:val="0"/>
      <w:spacing w:line="240" w:lineRule="auto"/>
      <w:ind w:firstLineChars="0" w:firstLine="0"/>
      <w:jc w:val="center"/>
    </w:pPr>
    <w:rPr>
      <w:rFonts w:eastAsia="Times New Roman"/>
      <w:sz w:val="18"/>
      <w:szCs w:val="18"/>
    </w:rPr>
  </w:style>
  <w:style w:type="character" w:customStyle="1" w:styleId="Char5">
    <w:name w:val="页脚 Char"/>
    <w:basedOn w:val="a2"/>
    <w:link w:val="aa"/>
    <w:qFormat/>
    <w:rsid w:val="007E40F9"/>
    <w:rPr>
      <w:rFonts w:ascii="宋体" w:eastAsia="Times New Roman" w:hAnsi="Times New Roman" w:cs="宋体"/>
      <w:kern w:val="0"/>
      <w:sz w:val="18"/>
      <w:szCs w:val="18"/>
    </w:rPr>
  </w:style>
  <w:style w:type="paragraph" w:styleId="ab">
    <w:name w:val="header"/>
    <w:basedOn w:val="a0"/>
    <w:link w:val="Char6"/>
    <w:unhideWhenUsed/>
    <w:rsid w:val="007E40F9"/>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6">
    <w:name w:val="页眉 Char"/>
    <w:basedOn w:val="a2"/>
    <w:link w:val="ab"/>
    <w:qFormat/>
    <w:rsid w:val="007E40F9"/>
    <w:rPr>
      <w:rFonts w:ascii="宋体" w:hAnsi="Times New Roman" w:cs="宋体"/>
      <w:kern w:val="0"/>
      <w:sz w:val="18"/>
      <w:szCs w:val="18"/>
    </w:rPr>
  </w:style>
  <w:style w:type="paragraph" w:styleId="10">
    <w:name w:val="toc 1"/>
    <w:basedOn w:val="a0"/>
    <w:next w:val="a0"/>
    <w:uiPriority w:val="39"/>
    <w:unhideWhenUsed/>
    <w:qFormat/>
    <w:rsid w:val="00337B64"/>
    <w:pPr>
      <w:ind w:firstLineChars="0" w:firstLine="0"/>
      <w:jc w:val="center"/>
    </w:pPr>
    <w:rPr>
      <w:rFonts w:ascii="Times New Roman"/>
      <w:b/>
      <w:sz w:val="21"/>
    </w:rPr>
  </w:style>
  <w:style w:type="paragraph" w:styleId="40">
    <w:name w:val="toc 4"/>
    <w:basedOn w:val="a0"/>
    <w:next w:val="a0"/>
    <w:uiPriority w:val="39"/>
    <w:unhideWhenUsed/>
    <w:qFormat/>
    <w:rsid w:val="007E40F9"/>
    <w:pPr>
      <w:topLinePunct w:val="0"/>
      <w:adjustRightInd/>
      <w:spacing w:line="240" w:lineRule="auto"/>
      <w:ind w:leftChars="600" w:left="1260" w:firstLineChars="0" w:firstLine="0"/>
    </w:pPr>
    <w:rPr>
      <w:rFonts w:ascii="Calibri" w:hAnsi="Calibri" w:cs="Times New Roman"/>
      <w:kern w:val="2"/>
      <w:sz w:val="21"/>
      <w:szCs w:val="22"/>
    </w:rPr>
  </w:style>
  <w:style w:type="paragraph" w:styleId="60">
    <w:name w:val="toc 6"/>
    <w:basedOn w:val="a0"/>
    <w:next w:val="a0"/>
    <w:uiPriority w:val="39"/>
    <w:unhideWhenUsed/>
    <w:qFormat/>
    <w:rsid w:val="007E40F9"/>
    <w:pPr>
      <w:topLinePunct w:val="0"/>
      <w:adjustRightInd/>
      <w:spacing w:line="240" w:lineRule="auto"/>
      <w:ind w:leftChars="1000" w:left="2100" w:firstLineChars="0" w:firstLine="0"/>
    </w:pPr>
    <w:rPr>
      <w:rFonts w:ascii="Calibri" w:hAnsi="Calibri" w:cs="Times New Roman"/>
      <w:kern w:val="2"/>
      <w:sz w:val="21"/>
      <w:szCs w:val="22"/>
    </w:rPr>
  </w:style>
  <w:style w:type="paragraph" w:styleId="21">
    <w:name w:val="toc 2"/>
    <w:basedOn w:val="a0"/>
    <w:next w:val="a0"/>
    <w:uiPriority w:val="39"/>
    <w:unhideWhenUsed/>
    <w:qFormat/>
    <w:rsid w:val="007E40F9"/>
    <w:pPr>
      <w:ind w:leftChars="200" w:left="420"/>
    </w:pPr>
  </w:style>
  <w:style w:type="paragraph" w:styleId="90">
    <w:name w:val="toc 9"/>
    <w:basedOn w:val="a0"/>
    <w:next w:val="a0"/>
    <w:uiPriority w:val="39"/>
    <w:unhideWhenUsed/>
    <w:qFormat/>
    <w:rsid w:val="007E40F9"/>
    <w:pPr>
      <w:topLinePunct w:val="0"/>
      <w:adjustRightInd/>
      <w:spacing w:line="240" w:lineRule="auto"/>
      <w:ind w:leftChars="1600" w:left="3360" w:firstLineChars="0" w:firstLine="0"/>
    </w:pPr>
    <w:rPr>
      <w:rFonts w:ascii="Calibri" w:hAnsi="Calibri" w:cs="Times New Roman"/>
      <w:kern w:val="2"/>
      <w:sz w:val="21"/>
      <w:szCs w:val="22"/>
    </w:rPr>
  </w:style>
  <w:style w:type="paragraph" w:styleId="ac">
    <w:name w:val="Title"/>
    <w:basedOn w:val="a0"/>
    <w:next w:val="a0"/>
    <w:link w:val="Char30"/>
    <w:qFormat/>
    <w:rsid w:val="007E40F9"/>
    <w:pPr>
      <w:spacing w:before="240" w:after="60"/>
      <w:jc w:val="center"/>
      <w:outlineLvl w:val="0"/>
    </w:pPr>
    <w:rPr>
      <w:rFonts w:ascii="Cambria" w:hAnsi="Cambria" w:cs="Times New Roman"/>
      <w:b/>
      <w:bCs/>
      <w:sz w:val="32"/>
      <w:szCs w:val="32"/>
    </w:rPr>
  </w:style>
  <w:style w:type="character" w:customStyle="1" w:styleId="Char30">
    <w:name w:val="标题 Char3"/>
    <w:basedOn w:val="a2"/>
    <w:link w:val="ac"/>
    <w:qFormat/>
    <w:rsid w:val="007E40F9"/>
    <w:rPr>
      <w:rFonts w:ascii="Cambria" w:eastAsia="宋体" w:hAnsi="Cambria" w:cs="Times New Roman"/>
      <w:b/>
      <w:bCs/>
      <w:kern w:val="0"/>
      <w:sz w:val="32"/>
      <w:szCs w:val="32"/>
    </w:rPr>
  </w:style>
  <w:style w:type="table" w:styleId="ad">
    <w:name w:val="Table Grid"/>
    <w:basedOn w:val="a3"/>
    <w:qFormat/>
    <w:rsid w:val="007E40F9"/>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e">
    <w:name w:val="Strong"/>
    <w:aliases w:val="表头"/>
    <w:basedOn w:val="a2"/>
    <w:qFormat/>
    <w:rsid w:val="0042730F"/>
    <w:rPr>
      <w:rFonts w:ascii="Times New Roman" w:eastAsia="宋体" w:hAnsi="Times New Roman"/>
      <w:b/>
      <w:bCs/>
      <w:spacing w:val="2"/>
      <w:w w:val="100"/>
      <w:position w:val="2"/>
      <w:sz w:val="21"/>
    </w:rPr>
  </w:style>
  <w:style w:type="character" w:styleId="af">
    <w:name w:val="FollowedHyperlink"/>
    <w:basedOn w:val="a2"/>
    <w:unhideWhenUsed/>
    <w:rsid w:val="007E40F9"/>
    <w:rPr>
      <w:color w:val="800080"/>
      <w:u w:val="single"/>
    </w:rPr>
  </w:style>
  <w:style w:type="character" w:styleId="af0">
    <w:name w:val="Emphasis"/>
    <w:basedOn w:val="a2"/>
    <w:qFormat/>
    <w:rsid w:val="007E40F9"/>
    <w:rPr>
      <w:rFonts w:ascii="Times New Roman" w:eastAsia="宋体" w:hAnsi="Times New Roman"/>
      <w:b/>
      <w:iCs/>
      <w:sz w:val="24"/>
    </w:rPr>
  </w:style>
  <w:style w:type="character" w:styleId="af1">
    <w:name w:val="Hyperlink"/>
    <w:basedOn w:val="a2"/>
    <w:uiPriority w:val="99"/>
    <w:unhideWhenUsed/>
    <w:qFormat/>
    <w:rsid w:val="007E40F9"/>
    <w:rPr>
      <w:color w:val="0000FF"/>
      <w:u w:val="single"/>
    </w:rPr>
  </w:style>
  <w:style w:type="character" w:customStyle="1" w:styleId="1Char1">
    <w:name w:val="标题 1 Char1"/>
    <w:aliases w:val="h1 Char,1st level Char,Section Head Char,l1 Char Char,l1 Char3,my标题1 Char,OG Heading 1 Char,标题 1 Char Char,第一章 Char,1 Char,11 Char Char,第一章 Char2,h1 Char2,1st level Char2,Section Head Char2"/>
    <w:basedOn w:val="a2"/>
    <w:rsid w:val="007E40F9"/>
    <w:rPr>
      <w:rFonts w:ascii="宋体" w:eastAsia="宋体" w:cs="宋体"/>
      <w:b/>
      <w:bCs/>
      <w:kern w:val="44"/>
      <w:sz w:val="44"/>
      <w:szCs w:val="44"/>
    </w:rPr>
  </w:style>
  <w:style w:type="character" w:customStyle="1" w:styleId="3Char1">
    <w:name w:val="标题 3 Char1"/>
    <w:aliases w:val="标题 3 Char Char,1.1.1标题 3 Char"/>
    <w:basedOn w:val="a2"/>
    <w:qFormat/>
    <w:rsid w:val="007E40F9"/>
    <w:rPr>
      <w:rFonts w:ascii="宋体" w:eastAsia="宋体" w:cs="宋体"/>
      <w:b/>
      <w:bCs/>
      <w:sz w:val="32"/>
      <w:szCs w:val="32"/>
    </w:rPr>
  </w:style>
  <w:style w:type="character" w:customStyle="1" w:styleId="4Char1">
    <w:name w:val="标题 4 Char1"/>
    <w:aliases w:val="w 标题 4 Char,1.1.1.1 Char1,标题 4.1.1.1.1 Char,款 Char,四级标题，黑粗，小四，序号 Char,H4 Char,h4 sub sub heading Char,Ref Heading 1 Char,rh1 Char,Heading sql Char,sect 1.2.3.4 Char,Level 2 - a Char,1.1.1.1 Char Char Char Char,图标题 Char1,图标题 Char Char"/>
    <w:basedOn w:val="a2"/>
    <w:rsid w:val="007E40F9"/>
    <w:rPr>
      <w:rFonts w:ascii="Cambria" w:eastAsia="宋体" w:hAnsi="Cambria" w:cs="Times New Roman"/>
      <w:b/>
      <w:bCs/>
      <w:sz w:val="28"/>
      <w:szCs w:val="28"/>
    </w:rPr>
  </w:style>
  <w:style w:type="character" w:customStyle="1" w:styleId="5Char1">
    <w:name w:val="标题 5 Char1"/>
    <w:basedOn w:val="a2"/>
    <w:semiHidden/>
    <w:qFormat/>
    <w:rsid w:val="007E40F9"/>
    <w:rPr>
      <w:rFonts w:ascii="宋体" w:eastAsia="宋体" w:cs="宋体"/>
      <w:b/>
      <w:bCs/>
      <w:sz w:val="28"/>
      <w:szCs w:val="28"/>
    </w:rPr>
  </w:style>
  <w:style w:type="character" w:customStyle="1" w:styleId="6Char1">
    <w:name w:val="标题 6 Char1"/>
    <w:basedOn w:val="a2"/>
    <w:semiHidden/>
    <w:qFormat/>
    <w:rsid w:val="007E40F9"/>
    <w:rPr>
      <w:rFonts w:ascii="Cambria" w:eastAsia="宋体" w:hAnsi="Cambria" w:cs="Times New Roman"/>
      <w:b/>
      <w:bCs/>
      <w:sz w:val="24"/>
      <w:szCs w:val="24"/>
    </w:rPr>
  </w:style>
  <w:style w:type="character" w:customStyle="1" w:styleId="7Char1">
    <w:name w:val="标题 7 Char1"/>
    <w:basedOn w:val="a2"/>
    <w:semiHidden/>
    <w:qFormat/>
    <w:rsid w:val="007E40F9"/>
    <w:rPr>
      <w:rFonts w:ascii="宋体" w:eastAsia="宋体" w:cs="宋体"/>
      <w:b/>
      <w:bCs/>
      <w:sz w:val="24"/>
      <w:szCs w:val="24"/>
    </w:rPr>
  </w:style>
  <w:style w:type="character" w:customStyle="1" w:styleId="8Char2">
    <w:name w:val="标题 8 Char2"/>
    <w:basedOn w:val="a2"/>
    <w:semiHidden/>
    <w:qFormat/>
    <w:rsid w:val="007E40F9"/>
    <w:rPr>
      <w:rFonts w:ascii="Cambria" w:eastAsia="宋体" w:hAnsi="Cambria" w:cs="Times New Roman"/>
      <w:sz w:val="24"/>
      <w:szCs w:val="24"/>
    </w:rPr>
  </w:style>
  <w:style w:type="character" w:customStyle="1" w:styleId="9Char2">
    <w:name w:val="标题 9 Char2"/>
    <w:basedOn w:val="a2"/>
    <w:semiHidden/>
    <w:qFormat/>
    <w:rsid w:val="007E40F9"/>
    <w:rPr>
      <w:rFonts w:ascii="Cambria" w:eastAsia="宋体" w:hAnsi="Cambria" w:cs="Times New Roman"/>
      <w:sz w:val="21"/>
      <w:szCs w:val="21"/>
    </w:rPr>
  </w:style>
  <w:style w:type="paragraph" w:styleId="af2">
    <w:name w:val="No Spacing"/>
    <w:uiPriority w:val="99"/>
    <w:qFormat/>
    <w:rsid w:val="007E40F9"/>
    <w:pPr>
      <w:widowControl w:val="0"/>
      <w:jc w:val="center"/>
    </w:pPr>
    <w:rPr>
      <w:rFonts w:ascii="Times New Roman" w:hAnsi="Times New Roman"/>
      <w:kern w:val="2"/>
      <w:sz w:val="21"/>
      <w:szCs w:val="24"/>
    </w:rPr>
  </w:style>
  <w:style w:type="paragraph" w:styleId="af3">
    <w:name w:val="List Paragraph"/>
    <w:basedOn w:val="a0"/>
    <w:uiPriority w:val="34"/>
    <w:qFormat/>
    <w:rsid w:val="007E40F9"/>
    <w:pPr>
      <w:spacing w:before="111"/>
      <w:ind w:left="760" w:hanging="600"/>
    </w:pPr>
  </w:style>
  <w:style w:type="paragraph" w:customStyle="1" w:styleId="TOC1">
    <w:name w:val="TOC 标题1"/>
    <w:basedOn w:val="1"/>
    <w:next w:val="a0"/>
    <w:uiPriority w:val="39"/>
    <w:unhideWhenUsed/>
    <w:qFormat/>
    <w:rsid w:val="007E40F9"/>
    <w:pPr>
      <w:widowControl/>
      <w:topLinePunct w:val="0"/>
      <w:adjustRightInd/>
      <w:spacing w:before="480" w:beforeAutospacing="0" w:after="0" w:afterAutospacing="0" w:line="276" w:lineRule="auto"/>
      <w:outlineLvl w:val="9"/>
    </w:pPr>
    <w:rPr>
      <w:rFonts w:ascii="Cambria" w:eastAsia="宋体" w:hAnsi="Cambria"/>
      <w:b w:val="0"/>
      <w:bCs/>
      <w:color w:val="365F91"/>
      <w:kern w:val="0"/>
      <w:sz w:val="28"/>
      <w:szCs w:val="28"/>
    </w:rPr>
  </w:style>
  <w:style w:type="paragraph" w:customStyle="1" w:styleId="11">
    <w:name w:val="标题 11"/>
    <w:basedOn w:val="a0"/>
    <w:uiPriority w:val="1"/>
    <w:rsid w:val="007E40F9"/>
    <w:pPr>
      <w:spacing w:before="106"/>
      <w:ind w:left="4314" w:hanging="560"/>
      <w:outlineLvl w:val="0"/>
    </w:pPr>
    <w:rPr>
      <w:b/>
      <w:bCs/>
      <w:sz w:val="32"/>
      <w:szCs w:val="32"/>
    </w:rPr>
  </w:style>
  <w:style w:type="paragraph" w:customStyle="1" w:styleId="210">
    <w:name w:val="标题 21"/>
    <w:basedOn w:val="a0"/>
    <w:uiPriority w:val="1"/>
    <w:rsid w:val="007E40F9"/>
    <w:pPr>
      <w:spacing w:before="73"/>
      <w:ind w:left="652" w:hanging="492"/>
      <w:outlineLvl w:val="1"/>
    </w:pPr>
    <w:rPr>
      <w:b/>
      <w:bCs/>
      <w:sz w:val="28"/>
      <w:szCs w:val="28"/>
    </w:rPr>
  </w:style>
  <w:style w:type="paragraph" w:customStyle="1" w:styleId="31">
    <w:name w:val="标题 31"/>
    <w:basedOn w:val="a0"/>
    <w:uiPriority w:val="1"/>
    <w:rsid w:val="007E40F9"/>
    <w:pPr>
      <w:spacing w:before="135"/>
      <w:ind w:left="644"/>
      <w:outlineLvl w:val="2"/>
    </w:pPr>
    <w:rPr>
      <w:b/>
      <w:bCs/>
    </w:rPr>
  </w:style>
  <w:style w:type="paragraph" w:customStyle="1" w:styleId="TableParagraph">
    <w:name w:val="Table Paragraph"/>
    <w:basedOn w:val="a0"/>
    <w:uiPriority w:val="1"/>
    <w:qFormat/>
    <w:rsid w:val="007E40F9"/>
    <w:pPr>
      <w:jc w:val="center"/>
    </w:pPr>
  </w:style>
  <w:style w:type="paragraph" w:customStyle="1" w:styleId="af4">
    <w:name w:val="表正文"/>
    <w:basedOn w:val="a0"/>
    <w:rsid w:val="007E40F9"/>
    <w:pPr>
      <w:topLinePunct w:val="0"/>
      <w:autoSpaceDE w:val="0"/>
      <w:autoSpaceDN w:val="0"/>
      <w:snapToGrid w:val="0"/>
      <w:spacing w:beforeLines="20" w:line="300" w:lineRule="auto"/>
      <w:ind w:firstLineChars="0" w:firstLine="0"/>
      <w:jc w:val="center"/>
    </w:pPr>
    <w:rPr>
      <w:rFonts w:ascii="Times New Roman" w:cs="Times New Roman"/>
      <w:szCs w:val="20"/>
    </w:rPr>
  </w:style>
  <w:style w:type="character" w:customStyle="1" w:styleId="Char7">
    <w:name w:val="表名 Char"/>
    <w:link w:val="af5"/>
    <w:qFormat/>
    <w:locked/>
    <w:rsid w:val="007E40F9"/>
    <w:rPr>
      <w:rFonts w:ascii="Times New Roman" w:eastAsia="Times New Roman" w:hAnsi="Times New Roman" w:cs="Times New Roman"/>
      <w:b/>
      <w:kern w:val="0"/>
      <w:szCs w:val="20"/>
    </w:rPr>
  </w:style>
  <w:style w:type="paragraph" w:customStyle="1" w:styleId="af5">
    <w:name w:val="表名"/>
    <w:basedOn w:val="a0"/>
    <w:next w:val="a5"/>
    <w:link w:val="Char7"/>
    <w:rsid w:val="007E40F9"/>
    <w:pPr>
      <w:topLinePunct w:val="0"/>
      <w:adjustRightInd/>
      <w:spacing w:line="240" w:lineRule="auto"/>
      <w:ind w:firstLineChars="0" w:firstLine="0"/>
      <w:jc w:val="center"/>
    </w:pPr>
    <w:rPr>
      <w:rFonts w:ascii="Times New Roman" w:eastAsia="Times New Roman" w:cs="Times New Roman"/>
      <w:b/>
      <w:sz w:val="20"/>
      <w:szCs w:val="20"/>
    </w:rPr>
  </w:style>
  <w:style w:type="paragraph" w:customStyle="1" w:styleId="af6">
    <w:name w:val="表格正文"/>
    <w:basedOn w:val="a0"/>
    <w:next w:val="a0"/>
    <w:rsid w:val="007E40F9"/>
    <w:pPr>
      <w:topLinePunct w:val="0"/>
      <w:autoSpaceDE w:val="0"/>
      <w:autoSpaceDN w:val="0"/>
      <w:spacing w:after="60" w:line="360" w:lineRule="atLeast"/>
      <w:ind w:firstLineChars="0" w:firstLine="0"/>
      <w:jc w:val="center"/>
    </w:pPr>
    <w:rPr>
      <w:rFonts w:cs="Times New Roman"/>
      <w:sz w:val="21"/>
      <w:szCs w:val="20"/>
    </w:rPr>
  </w:style>
  <w:style w:type="character" w:customStyle="1" w:styleId="Char8">
    <w:name w:val="表格 Char"/>
    <w:aliases w:val="正文缩进 Char1,正文2 Char,正文（首行缩进两字） Char Char1,正文2 Char1 Char,正文2 Char Char Char,表格 Char Char Char,首行缩进两字 Char,首行缩进 Char,正文缩进 Char Char,正文缩进 Char Char Char Char Char Char,正文不缩进 Char,正文（首行缩进两字） Char Char,表格标题 Char,bt Cha,正文1 Char,四号 Char,段1 Char"/>
    <w:link w:val="af7"/>
    <w:qFormat/>
    <w:locked/>
    <w:rsid w:val="007E40F9"/>
    <w:rPr>
      <w:rFonts w:ascii="Times New Roman" w:eastAsia="宋体" w:hAnsi="Times New Roman"/>
      <w:szCs w:val="24"/>
    </w:rPr>
  </w:style>
  <w:style w:type="paragraph" w:customStyle="1" w:styleId="af7">
    <w:name w:val="表格"/>
    <w:aliases w:val="图文,正文缩进2,identication,正文缩进 Char Char Char Char1,正文缩进 Char Char Char Char Char Char Char1,正文缩进 Char Char Char Char Char Char1,正文缩进 Char Char1,正文缩进 Char Char Char Char Char Char Char2,首行缩进两字,图表,普通文字 Char Char,五宋,Body text ident 1,首"/>
    <w:basedOn w:val="a0"/>
    <w:link w:val="Char8"/>
    <w:qFormat/>
    <w:rsid w:val="007E40F9"/>
    <w:pPr>
      <w:tabs>
        <w:tab w:val="left" w:pos="5355"/>
      </w:tabs>
      <w:topLinePunct w:val="0"/>
      <w:adjustRightInd/>
      <w:spacing w:line="240" w:lineRule="auto"/>
      <w:ind w:firstLineChars="0" w:firstLine="0"/>
      <w:jc w:val="center"/>
    </w:pPr>
    <w:rPr>
      <w:rFonts w:ascii="Times New Roman" w:cs="Times New Roman"/>
      <w:sz w:val="20"/>
    </w:rPr>
  </w:style>
  <w:style w:type="character" w:customStyle="1" w:styleId="Char9">
    <w:name w:val="正文(首缩进) Char"/>
    <w:link w:val="af8"/>
    <w:qFormat/>
    <w:locked/>
    <w:rsid w:val="007E40F9"/>
    <w:rPr>
      <w:rFonts w:ascii="Times New Roman" w:hAnsi="Times New Roman"/>
      <w:sz w:val="24"/>
    </w:rPr>
  </w:style>
  <w:style w:type="paragraph" w:customStyle="1" w:styleId="af8">
    <w:name w:val="正文(首缩进)"/>
    <w:basedOn w:val="a0"/>
    <w:link w:val="Char9"/>
    <w:rsid w:val="007E40F9"/>
    <w:pPr>
      <w:topLinePunct w:val="0"/>
      <w:adjustRightInd/>
    </w:pPr>
    <w:rPr>
      <w:rFonts w:ascii="Times New Roman" w:cs="Times New Roman"/>
      <w:szCs w:val="20"/>
    </w:rPr>
  </w:style>
  <w:style w:type="paragraph" w:customStyle="1" w:styleId="af9">
    <w:name w:val="表格内容"/>
    <w:basedOn w:val="a0"/>
    <w:next w:val="a0"/>
    <w:rsid w:val="007E40F9"/>
    <w:pPr>
      <w:framePr w:hSpace="180" w:wrap="around" w:vAnchor="text" w:hAnchor="margin" w:xAlign="center" w:y="690"/>
      <w:topLinePunct w:val="0"/>
      <w:adjustRightInd/>
      <w:spacing w:line="240" w:lineRule="auto"/>
      <w:ind w:firstLineChars="0" w:firstLine="0"/>
      <w:jc w:val="center"/>
    </w:pPr>
    <w:rPr>
      <w:rFonts w:cs="Arial"/>
      <w:sz w:val="21"/>
      <w:szCs w:val="21"/>
    </w:rPr>
  </w:style>
  <w:style w:type="paragraph" w:customStyle="1" w:styleId="12">
    <w:name w:val="无间隔1"/>
    <w:rsid w:val="007E40F9"/>
    <w:pPr>
      <w:widowControl w:val="0"/>
      <w:jc w:val="center"/>
    </w:pPr>
    <w:rPr>
      <w:rFonts w:ascii="Times New Roman" w:hAnsi="Times New Roman"/>
      <w:kern w:val="2"/>
      <w:sz w:val="21"/>
      <w:szCs w:val="24"/>
    </w:rPr>
  </w:style>
  <w:style w:type="paragraph" w:customStyle="1" w:styleId="afa">
    <w:name w:val="正文（川油）"/>
    <w:qFormat/>
    <w:rsid w:val="00B13323"/>
    <w:pPr>
      <w:widowControl w:val="0"/>
      <w:spacing w:line="360" w:lineRule="auto"/>
      <w:ind w:firstLineChars="200" w:firstLine="200"/>
      <w:jc w:val="both"/>
    </w:pPr>
    <w:rPr>
      <w:rFonts w:ascii="Times New Roman" w:hAnsi="Times New Roman"/>
      <w:sz w:val="24"/>
    </w:rPr>
  </w:style>
  <w:style w:type="paragraph" w:customStyle="1" w:styleId="afb">
    <w:name w:val="表格（左对齐）"/>
    <w:basedOn w:val="a0"/>
    <w:next w:val="a0"/>
    <w:rsid w:val="007E40F9"/>
    <w:pPr>
      <w:topLinePunct w:val="0"/>
      <w:adjustRightInd/>
      <w:spacing w:line="240" w:lineRule="auto"/>
      <w:ind w:firstLineChars="0" w:firstLine="0"/>
      <w:jc w:val="left"/>
    </w:pPr>
    <w:rPr>
      <w:rFonts w:ascii="Times New Roman" w:cs="Times New Roman"/>
      <w:sz w:val="21"/>
      <w:szCs w:val="20"/>
    </w:rPr>
  </w:style>
  <w:style w:type="character" w:customStyle="1" w:styleId="CharChar">
    <w:name w:val="段落(首缩进) Char Char"/>
    <w:link w:val="afc"/>
    <w:qFormat/>
    <w:locked/>
    <w:rsid w:val="007E40F9"/>
    <w:rPr>
      <w:rFonts w:ascii="Arial" w:hAnsi="Arial" w:cs="Arial"/>
      <w:sz w:val="28"/>
      <w:szCs w:val="28"/>
    </w:rPr>
  </w:style>
  <w:style w:type="paragraph" w:customStyle="1" w:styleId="afc">
    <w:name w:val="段落(首缩进)"/>
    <w:basedOn w:val="a1"/>
    <w:link w:val="CharChar"/>
    <w:rsid w:val="007E40F9"/>
    <w:pPr>
      <w:topLinePunct w:val="0"/>
      <w:snapToGrid w:val="0"/>
      <w:ind w:firstLine="560"/>
    </w:pPr>
    <w:rPr>
      <w:rFonts w:ascii="Arial" w:hAnsi="Arial" w:cs="Times New Roman"/>
      <w:sz w:val="28"/>
      <w:szCs w:val="28"/>
    </w:rPr>
  </w:style>
  <w:style w:type="character" w:customStyle="1" w:styleId="Chara">
    <w:name w:val="表内居中 Char"/>
    <w:link w:val="afd"/>
    <w:qFormat/>
    <w:locked/>
    <w:rsid w:val="007E40F9"/>
    <w:rPr>
      <w:sz w:val="24"/>
      <w:szCs w:val="21"/>
    </w:rPr>
  </w:style>
  <w:style w:type="paragraph" w:customStyle="1" w:styleId="afd">
    <w:name w:val="表内居中"/>
    <w:basedOn w:val="a0"/>
    <w:link w:val="Chara"/>
    <w:rsid w:val="007E40F9"/>
    <w:pPr>
      <w:topLinePunct w:val="0"/>
      <w:adjustRightInd/>
      <w:spacing w:line="240" w:lineRule="auto"/>
      <w:ind w:firstLineChars="0" w:firstLine="0"/>
      <w:jc w:val="center"/>
    </w:pPr>
    <w:rPr>
      <w:rFonts w:ascii="Calibri" w:hAnsi="Calibri" w:cs="Times New Roman"/>
      <w:szCs w:val="21"/>
    </w:rPr>
  </w:style>
  <w:style w:type="paragraph" w:customStyle="1" w:styleId="CM2">
    <w:name w:val="CM2"/>
    <w:basedOn w:val="a0"/>
    <w:next w:val="a0"/>
    <w:rsid w:val="007E40F9"/>
    <w:pPr>
      <w:topLinePunct w:val="0"/>
      <w:autoSpaceDE w:val="0"/>
      <w:autoSpaceDN w:val="0"/>
      <w:spacing w:line="468" w:lineRule="atLeast"/>
      <w:ind w:firstLineChars="0" w:firstLine="0"/>
      <w:jc w:val="left"/>
    </w:pPr>
    <w:rPr>
      <w:rFonts w:ascii="Arial" w:hAnsi="Arial" w:cs="Times New Roman"/>
    </w:rPr>
  </w:style>
  <w:style w:type="paragraph" w:customStyle="1" w:styleId="Default">
    <w:name w:val="Default"/>
    <w:rsid w:val="007E40F9"/>
    <w:pPr>
      <w:widowControl w:val="0"/>
      <w:autoSpaceDE w:val="0"/>
      <w:autoSpaceDN w:val="0"/>
      <w:adjustRightInd w:val="0"/>
    </w:pPr>
    <w:rPr>
      <w:rFonts w:ascii="宋体" w:cs="宋体"/>
      <w:color w:val="000000"/>
      <w:sz w:val="24"/>
      <w:szCs w:val="24"/>
    </w:rPr>
  </w:style>
  <w:style w:type="character" w:styleId="afe">
    <w:name w:val="Placeholder Text"/>
    <w:basedOn w:val="a2"/>
    <w:uiPriority w:val="99"/>
    <w:semiHidden/>
    <w:qFormat/>
    <w:rsid w:val="007E40F9"/>
    <w:rPr>
      <w:color w:val="808080"/>
    </w:rPr>
  </w:style>
  <w:style w:type="character" w:customStyle="1" w:styleId="description">
    <w:name w:val="description"/>
    <w:basedOn w:val="a2"/>
    <w:rsid w:val="007E40F9"/>
  </w:style>
  <w:style w:type="paragraph" w:customStyle="1" w:styleId="32">
    <w:name w:val="标题3"/>
    <w:basedOn w:val="3"/>
    <w:link w:val="3Char"/>
    <w:qFormat/>
    <w:rsid w:val="007E40F9"/>
    <w:pPr>
      <w:spacing w:before="240"/>
    </w:pPr>
    <w:rPr>
      <w:rFonts w:eastAsia="宋体"/>
    </w:rPr>
  </w:style>
  <w:style w:type="character" w:customStyle="1" w:styleId="3Char">
    <w:name w:val="标题3 Char"/>
    <w:basedOn w:val="3Char3"/>
    <w:link w:val="32"/>
    <w:uiPriority w:val="1"/>
    <w:rsid w:val="007E40F9"/>
    <w:rPr>
      <w:rFonts w:ascii="Times New Roman" w:eastAsia="宋体" w:hAnsi="Times New Roman" w:cs="Times New Roman"/>
      <w:b/>
      <w:kern w:val="0"/>
      <w:sz w:val="24"/>
      <w:szCs w:val="32"/>
    </w:rPr>
  </w:style>
  <w:style w:type="table" w:customStyle="1" w:styleId="13">
    <w:name w:val="网格型1"/>
    <w:basedOn w:val="a3"/>
    <w:uiPriority w:val="59"/>
    <w:qFormat/>
    <w:rsid w:val="007E40F9"/>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11">
    <w:name w:val="TOC 标题11"/>
    <w:next w:val="a0"/>
    <w:uiPriority w:val="39"/>
    <w:unhideWhenUsed/>
    <w:qFormat/>
    <w:rsid w:val="007703A6"/>
    <w:pPr>
      <w:spacing w:line="360" w:lineRule="auto"/>
      <w:jc w:val="center"/>
    </w:pPr>
    <w:rPr>
      <w:rFonts w:ascii="Times New Roman" w:eastAsia="Times New Roman" w:hAnsi="Times New Roman"/>
      <w:b/>
      <w:bCs/>
      <w:sz w:val="21"/>
      <w:szCs w:val="28"/>
    </w:rPr>
  </w:style>
  <w:style w:type="character" w:customStyle="1" w:styleId="14">
    <w:name w:val="未处理的提及1"/>
    <w:basedOn w:val="a2"/>
    <w:uiPriority w:val="99"/>
    <w:semiHidden/>
    <w:unhideWhenUsed/>
    <w:rsid w:val="007E40F9"/>
    <w:rPr>
      <w:color w:val="605E5C"/>
      <w:shd w:val="clear" w:color="auto" w:fill="E1DFDD"/>
    </w:rPr>
  </w:style>
  <w:style w:type="character" w:styleId="aff">
    <w:name w:val="annotation reference"/>
    <w:basedOn w:val="a2"/>
    <w:unhideWhenUsed/>
    <w:qFormat/>
    <w:rsid w:val="007E40F9"/>
    <w:rPr>
      <w:sz w:val="21"/>
      <w:szCs w:val="21"/>
    </w:rPr>
  </w:style>
  <w:style w:type="character" w:customStyle="1" w:styleId="3Char10">
    <w:name w:val="正文文本缩进 3 Char1"/>
    <w:rsid w:val="00277566"/>
    <w:rPr>
      <w:kern w:val="2"/>
      <w:sz w:val="16"/>
      <w:szCs w:val="16"/>
    </w:rPr>
  </w:style>
  <w:style w:type="paragraph" w:customStyle="1" w:styleId="0222">
    <w:name w:val="样式 样式 样式 左  0 字符 首行缩进:  2 字符 + 首行缩进:  2 字符 + 首行缩进:  2 字符"/>
    <w:basedOn w:val="a0"/>
    <w:rsid w:val="006E46FC"/>
    <w:pPr>
      <w:topLinePunct w:val="0"/>
      <w:adjustRightInd/>
      <w:spacing w:line="276" w:lineRule="auto"/>
    </w:pPr>
    <w:rPr>
      <w:rFonts w:ascii="Times New Roman" w:eastAsia="仿宋_GB2312" w:cs="Times New Roman"/>
      <w:kern w:val="2"/>
      <w:sz w:val="28"/>
      <w:szCs w:val="20"/>
    </w:rPr>
  </w:style>
  <w:style w:type="character" w:customStyle="1" w:styleId="Charb">
    <w:name w:val="引用 Char"/>
    <w:link w:val="aff0"/>
    <w:rsid w:val="00B43C65"/>
    <w:rPr>
      <w:i/>
      <w:color w:val="000000"/>
      <w:kern w:val="2"/>
      <w:sz w:val="24"/>
    </w:rPr>
  </w:style>
  <w:style w:type="paragraph" w:styleId="aff0">
    <w:name w:val="Quote"/>
    <w:basedOn w:val="a0"/>
    <w:next w:val="a0"/>
    <w:link w:val="Charb"/>
    <w:qFormat/>
    <w:rsid w:val="00B43C65"/>
    <w:pPr>
      <w:topLinePunct w:val="0"/>
      <w:adjustRightInd/>
      <w:spacing w:line="240" w:lineRule="auto"/>
      <w:ind w:firstLineChars="0" w:firstLine="0"/>
      <w:jc w:val="center"/>
    </w:pPr>
    <w:rPr>
      <w:rFonts w:ascii="Calibri" w:hAnsi="Calibri" w:cs="Times New Roman"/>
      <w:i/>
      <w:color w:val="000000"/>
      <w:kern w:val="2"/>
      <w:szCs w:val="20"/>
    </w:rPr>
  </w:style>
  <w:style w:type="character" w:customStyle="1" w:styleId="aff1">
    <w:name w:val="引用 字符"/>
    <w:basedOn w:val="a2"/>
    <w:uiPriority w:val="99"/>
    <w:rsid w:val="00B43C65"/>
    <w:rPr>
      <w:rFonts w:ascii="宋体" w:hAnsi="Times New Roman" w:cs="宋体"/>
      <w:i/>
      <w:iCs/>
      <w:color w:val="404040"/>
      <w:sz w:val="24"/>
      <w:szCs w:val="24"/>
    </w:rPr>
  </w:style>
  <w:style w:type="paragraph" w:customStyle="1" w:styleId="aff2">
    <w:name w:val="表标题名"/>
    <w:basedOn w:val="af5"/>
    <w:link w:val="Charc"/>
    <w:rsid w:val="00B43C65"/>
    <w:pPr>
      <w:tabs>
        <w:tab w:val="left" w:pos="1350"/>
      </w:tabs>
      <w:autoSpaceDE w:val="0"/>
      <w:autoSpaceDN w:val="0"/>
      <w:adjustRightInd w:val="0"/>
      <w:snapToGrid w:val="0"/>
    </w:pPr>
    <w:rPr>
      <w:rFonts w:eastAsia="宋体"/>
      <w:b w:val="0"/>
      <w:kern w:val="2"/>
      <w:sz w:val="21"/>
      <w:szCs w:val="24"/>
      <w:shd w:val="clear" w:color="auto" w:fill="FFFFFF"/>
    </w:rPr>
  </w:style>
  <w:style w:type="character" w:customStyle="1" w:styleId="Charc">
    <w:name w:val="表标题名 Char"/>
    <w:link w:val="aff2"/>
    <w:rsid w:val="00B43C65"/>
    <w:rPr>
      <w:rFonts w:ascii="Times New Roman" w:eastAsia="宋体" w:hAnsi="Times New Roman" w:cs="Times New Roman"/>
      <w:kern w:val="2"/>
      <w:sz w:val="21"/>
      <w:szCs w:val="24"/>
    </w:rPr>
  </w:style>
  <w:style w:type="paragraph" w:customStyle="1" w:styleId="Style2">
    <w:name w:val="_Style 2"/>
    <w:basedOn w:val="a0"/>
    <w:rsid w:val="00B43C65"/>
    <w:pPr>
      <w:topLinePunct w:val="0"/>
      <w:adjustRightInd/>
      <w:spacing w:line="240" w:lineRule="auto"/>
      <w:ind w:firstLine="420"/>
    </w:pPr>
    <w:rPr>
      <w:rFonts w:ascii="Times New Roman" w:cs="Times New Roman"/>
      <w:kern w:val="2"/>
      <w:sz w:val="21"/>
    </w:rPr>
  </w:style>
  <w:style w:type="character" w:customStyle="1" w:styleId="Chard">
    <w:name w:val="【表头】 Char"/>
    <w:link w:val="aff3"/>
    <w:qFormat/>
    <w:rsid w:val="00FC46A8"/>
    <w:rPr>
      <w:rFonts w:ascii="Times New Roman" w:hAnsi="Times New Roman"/>
      <w:color w:val="000000"/>
      <w:kern w:val="2"/>
      <w:sz w:val="21"/>
      <w:szCs w:val="24"/>
      <w:lang w:val="en-US" w:eastAsia="zh-CN" w:bidi="ar-SA"/>
    </w:rPr>
  </w:style>
  <w:style w:type="paragraph" w:customStyle="1" w:styleId="aff3">
    <w:name w:val="【表头】"/>
    <w:link w:val="Chard"/>
    <w:rsid w:val="00FC46A8"/>
    <w:pPr>
      <w:adjustRightInd w:val="0"/>
      <w:snapToGrid w:val="0"/>
      <w:jc w:val="center"/>
    </w:pPr>
    <w:rPr>
      <w:rFonts w:ascii="Times New Roman" w:hAnsi="Times New Roman"/>
      <w:color w:val="000000"/>
      <w:kern w:val="2"/>
      <w:sz w:val="21"/>
      <w:szCs w:val="24"/>
    </w:rPr>
  </w:style>
  <w:style w:type="character" w:customStyle="1" w:styleId="Chare">
    <w:name w:val="【表内字】 Char"/>
    <w:link w:val="aff4"/>
    <w:qFormat/>
    <w:rsid w:val="00380F96"/>
    <w:rPr>
      <w:sz w:val="21"/>
      <w:szCs w:val="24"/>
    </w:rPr>
  </w:style>
  <w:style w:type="paragraph" w:customStyle="1" w:styleId="aff4">
    <w:name w:val="【表内字】"/>
    <w:basedOn w:val="a0"/>
    <w:link w:val="Chare"/>
    <w:rsid w:val="00380F96"/>
    <w:pPr>
      <w:topLinePunct w:val="0"/>
      <w:adjustRightInd/>
      <w:spacing w:line="240" w:lineRule="auto"/>
      <w:ind w:firstLineChars="0" w:firstLine="0"/>
      <w:jc w:val="center"/>
    </w:pPr>
    <w:rPr>
      <w:rFonts w:ascii="Calibri" w:hAnsi="Calibri" w:cs="Times New Roman"/>
      <w:sz w:val="21"/>
    </w:rPr>
  </w:style>
  <w:style w:type="character" w:customStyle="1" w:styleId="Charf">
    <w:name w:val="【正文】 Char"/>
    <w:link w:val="aff5"/>
    <w:qFormat/>
    <w:rsid w:val="00380F96"/>
    <w:rPr>
      <w:kern w:val="2"/>
      <w:sz w:val="24"/>
      <w:szCs w:val="24"/>
    </w:rPr>
  </w:style>
  <w:style w:type="paragraph" w:customStyle="1" w:styleId="aff5">
    <w:name w:val="【正文】"/>
    <w:basedOn w:val="a0"/>
    <w:link w:val="Charf"/>
    <w:rsid w:val="00380F96"/>
    <w:pPr>
      <w:widowControl/>
      <w:topLinePunct w:val="0"/>
      <w:adjustRightInd/>
    </w:pPr>
    <w:rPr>
      <w:rFonts w:ascii="Calibri" w:hAnsi="Calibri" w:cs="Times New Roman"/>
      <w:kern w:val="2"/>
    </w:rPr>
  </w:style>
  <w:style w:type="character" w:customStyle="1" w:styleId="Char10">
    <w:name w:val="正文(首缩进) Char1"/>
    <w:rsid w:val="00F669AD"/>
    <w:rPr>
      <w:rFonts w:eastAsia="宋体"/>
      <w:kern w:val="2"/>
      <w:sz w:val="28"/>
      <w:szCs w:val="28"/>
      <w:lang w:val="en-US" w:eastAsia="zh-CN" w:bidi="ar-SA"/>
    </w:rPr>
  </w:style>
  <w:style w:type="paragraph" w:styleId="aff6">
    <w:name w:val="annotation subject"/>
    <w:basedOn w:val="a7"/>
    <w:next w:val="a7"/>
    <w:link w:val="Charf0"/>
    <w:uiPriority w:val="99"/>
    <w:unhideWhenUsed/>
    <w:rsid w:val="00F669AD"/>
    <w:rPr>
      <w:b/>
      <w:bCs/>
    </w:rPr>
  </w:style>
  <w:style w:type="character" w:customStyle="1" w:styleId="Charf0">
    <w:name w:val="批注主题 Char"/>
    <w:basedOn w:val="Char2"/>
    <w:link w:val="aff6"/>
    <w:uiPriority w:val="99"/>
    <w:rsid w:val="00F669AD"/>
    <w:rPr>
      <w:rFonts w:ascii="宋体" w:hAnsi="Times New Roman" w:cs="宋体"/>
      <w:b/>
      <w:bCs/>
      <w:sz w:val="24"/>
      <w:szCs w:val="24"/>
    </w:rPr>
  </w:style>
  <w:style w:type="character" w:customStyle="1" w:styleId="font01">
    <w:name w:val="font01"/>
    <w:rsid w:val="00A775D0"/>
    <w:rPr>
      <w:rFonts w:ascii="宋体" w:eastAsia="宋体" w:hAnsi="宋体" w:cs="宋体" w:hint="eastAsia"/>
      <w:color w:val="auto"/>
      <w:sz w:val="24"/>
      <w:szCs w:val="24"/>
      <w:u w:val="none"/>
    </w:rPr>
  </w:style>
  <w:style w:type="character" w:customStyle="1" w:styleId="HTMLChar">
    <w:name w:val="HTML 预设格式 Char"/>
    <w:link w:val="HTML"/>
    <w:qFormat/>
    <w:rsid w:val="00A775D0"/>
    <w:rPr>
      <w:rFonts w:ascii="Arial" w:hAnsi="Arial" w:cs="Arial"/>
      <w:sz w:val="24"/>
      <w:szCs w:val="24"/>
    </w:rPr>
  </w:style>
  <w:style w:type="paragraph" w:styleId="HTML">
    <w:name w:val="HTML Preformatted"/>
    <w:basedOn w:val="a0"/>
    <w:link w:val="HTMLChar"/>
    <w:rsid w:val="00A775D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opLinePunct w:val="0"/>
      <w:adjustRightInd/>
      <w:spacing w:line="240" w:lineRule="auto"/>
      <w:ind w:firstLineChars="0" w:firstLine="0"/>
      <w:jc w:val="left"/>
    </w:pPr>
    <w:rPr>
      <w:rFonts w:ascii="Arial" w:hAnsi="Arial" w:cs="Times New Roman"/>
    </w:rPr>
  </w:style>
  <w:style w:type="character" w:customStyle="1" w:styleId="HTML0">
    <w:name w:val="HTML 预设格式 字符"/>
    <w:basedOn w:val="a2"/>
    <w:uiPriority w:val="99"/>
    <w:rsid w:val="00A775D0"/>
    <w:rPr>
      <w:rFonts w:ascii="Courier New" w:hAnsi="Courier New" w:cs="Courier New"/>
    </w:rPr>
  </w:style>
  <w:style w:type="character" w:customStyle="1" w:styleId="2Char10">
    <w:name w:val="正文首行缩进 2 Char1"/>
    <w:rsid w:val="00631CEC"/>
    <w:rPr>
      <w:rFonts w:ascii="Arial" w:eastAsia="仿宋_GB2312" w:hAnsi="Arial" w:cs="Arial"/>
      <w:kern w:val="2"/>
      <w:sz w:val="21"/>
    </w:rPr>
  </w:style>
  <w:style w:type="character" w:styleId="aff7">
    <w:name w:val="page number"/>
    <w:basedOn w:val="a2"/>
    <w:rsid w:val="00631CEC"/>
  </w:style>
  <w:style w:type="character" w:customStyle="1" w:styleId="CharChar0">
    <w:name w:val="正文(首缩进) Char Char"/>
    <w:rsid w:val="00631CEC"/>
    <w:rPr>
      <w:rFonts w:eastAsia="仿宋_GB2312"/>
      <w:kern w:val="2"/>
      <w:sz w:val="28"/>
      <w:lang w:val="en-US" w:eastAsia="zh-CN" w:bidi="ar-SA"/>
    </w:rPr>
  </w:style>
  <w:style w:type="character" w:customStyle="1" w:styleId="CharCharChar2">
    <w:name w:val="正文（首行缩进两字） Char Char Char2"/>
    <w:aliases w:val="正文（首行缩进两字） Char Char3,正文缩进 Char1 Char1,正文缩进 Char Char Char1,正文（首行缩进两字） Char1 Char Char1,正文（首行缩进两字） Char Char Char Char1,正文（首行缩进两字） Char2 Char1,正文（首行缩进两字） Char Char1 Char1,正文缩进 Char2 Char Char Char1,正文非缩进 Char,首行缩进 Char Char"/>
    <w:rsid w:val="00631CEC"/>
    <w:rPr>
      <w:rFonts w:eastAsia="宋体"/>
      <w:kern w:val="2"/>
      <w:sz w:val="21"/>
      <w:szCs w:val="24"/>
      <w:lang w:val="en-US" w:eastAsia="zh-CN" w:bidi="ar-SA"/>
    </w:rPr>
  </w:style>
  <w:style w:type="character" w:customStyle="1" w:styleId="h11">
    <w:name w:val="h11"/>
    <w:aliases w:val="1st level1,Section Head1,l1 Char1,l1 Char2,标题 1 Char2,标题 1 Char Char1,第一章 Char1,h1 Char1,1st level Char1,Section Head Char1"/>
    <w:rsid w:val="00631CEC"/>
    <w:rPr>
      <w:rFonts w:eastAsia="宋体"/>
      <w:b/>
      <w:kern w:val="44"/>
      <w:sz w:val="44"/>
      <w:lang w:val="en-US" w:eastAsia="zh-CN"/>
    </w:rPr>
  </w:style>
  <w:style w:type="character" w:customStyle="1" w:styleId="Charf1">
    <w:name w:val="条标题（科宏） Char"/>
    <w:rsid w:val="00631CEC"/>
    <w:rPr>
      <w:rFonts w:ascii="Arial" w:eastAsia="仿宋_GB2312" w:hAnsi="Arial"/>
      <w:sz w:val="28"/>
      <w:lang w:val="en-US" w:eastAsia="zh-CN" w:bidi="ar-SA"/>
    </w:rPr>
  </w:style>
  <w:style w:type="character" w:customStyle="1" w:styleId="1Char0">
    <w:name w:val="样式 标题 1 + 橙色 Char"/>
    <w:rsid w:val="00631CEC"/>
    <w:rPr>
      <w:rFonts w:eastAsia="宋体"/>
      <w:b/>
      <w:bCs/>
      <w:kern w:val="44"/>
      <w:sz w:val="30"/>
      <w:szCs w:val="30"/>
      <w:lang w:val="en-US" w:eastAsia="zh-CN" w:bidi="ar-SA"/>
    </w:rPr>
  </w:style>
  <w:style w:type="character" w:customStyle="1" w:styleId="CharChar10">
    <w:name w:val="Char Char10"/>
    <w:rsid w:val="00631CEC"/>
    <w:rPr>
      <w:rFonts w:eastAsia="宋体"/>
      <w:kern w:val="2"/>
      <w:sz w:val="18"/>
      <w:szCs w:val="18"/>
      <w:lang w:val="en-US" w:eastAsia="zh-CN" w:bidi="ar-SA"/>
    </w:rPr>
  </w:style>
  <w:style w:type="character" w:customStyle="1" w:styleId="ourfont31">
    <w:name w:val="ourfont31"/>
    <w:rsid w:val="00631CEC"/>
    <w:rPr>
      <w:spacing w:val="20"/>
      <w:sz w:val="21"/>
    </w:rPr>
  </w:style>
  <w:style w:type="character" w:customStyle="1" w:styleId="ArialGB2312">
    <w:name w:val="样式 (西文) Arial (中文) 仿宋_GB2312"/>
    <w:rsid w:val="00631CEC"/>
    <w:rPr>
      <w:rFonts w:ascii="Arial" w:eastAsia="仿宋_GB2312" w:hAnsi="Arial"/>
      <w:sz w:val="28"/>
      <w:szCs w:val="28"/>
    </w:rPr>
  </w:style>
  <w:style w:type="character" w:customStyle="1" w:styleId="3Char11">
    <w:name w:val="正文文本 3 Char1"/>
    <w:rsid w:val="00631CEC"/>
    <w:rPr>
      <w:kern w:val="2"/>
      <w:sz w:val="16"/>
      <w:szCs w:val="16"/>
    </w:rPr>
  </w:style>
  <w:style w:type="character" w:customStyle="1" w:styleId="1CharCharCharChar">
    <w:name w:val="标题 1 宋体 三号 Char Char Char Char"/>
    <w:link w:val="1CharChar"/>
    <w:rsid w:val="00631CEC"/>
    <w:rPr>
      <w:rFonts w:ascii="宋体" w:eastAsia="宋体" w:hAnsi="宋体"/>
      <w:b/>
      <w:kern w:val="44"/>
      <w:sz w:val="32"/>
    </w:rPr>
  </w:style>
  <w:style w:type="paragraph" w:customStyle="1" w:styleId="1CharChar">
    <w:name w:val="标题 1 宋体 三号 Char Char"/>
    <w:basedOn w:val="1"/>
    <w:link w:val="1CharCharCharChar"/>
    <w:rsid w:val="00631CEC"/>
    <w:pPr>
      <w:tabs>
        <w:tab w:val="left" w:pos="425"/>
      </w:tabs>
      <w:topLinePunct w:val="0"/>
      <w:adjustRightInd/>
      <w:spacing w:before="340" w:beforeAutospacing="0" w:after="330" w:afterAutospacing="0"/>
      <w:ind w:left="425" w:hanging="425"/>
      <w:jc w:val="center"/>
    </w:pPr>
    <w:rPr>
      <w:rFonts w:ascii="宋体" w:eastAsia="宋体" w:hAnsi="宋体"/>
      <w:szCs w:val="20"/>
    </w:rPr>
  </w:style>
  <w:style w:type="character" w:customStyle="1" w:styleId="Char11">
    <w:name w:val="纯文本 Char1"/>
    <w:rsid w:val="00631CEC"/>
    <w:rPr>
      <w:rFonts w:ascii="宋体" w:eastAsia="宋体" w:hAnsi="Courier New" w:cs="Courier New"/>
      <w:kern w:val="2"/>
      <w:sz w:val="21"/>
      <w:szCs w:val="21"/>
      <w:lang w:val="en-US" w:eastAsia="zh-CN" w:bidi="ar-SA"/>
    </w:rPr>
  </w:style>
  <w:style w:type="character" w:customStyle="1" w:styleId="Charf2">
    <w:name w:val="正文缩进 Char"/>
    <w:link w:val="aff8"/>
    <w:rsid w:val="00631CEC"/>
    <w:rPr>
      <w:rFonts w:eastAsia="宋体"/>
    </w:rPr>
  </w:style>
  <w:style w:type="paragraph" w:styleId="aff8">
    <w:name w:val="Normal Indent"/>
    <w:basedOn w:val="a0"/>
    <w:link w:val="Charf2"/>
    <w:rsid w:val="00631CEC"/>
    <w:pPr>
      <w:topLinePunct w:val="0"/>
      <w:adjustRightInd/>
      <w:spacing w:line="240" w:lineRule="auto"/>
      <w:ind w:firstLine="420"/>
    </w:pPr>
    <w:rPr>
      <w:rFonts w:ascii="Calibri" w:hAnsi="Calibri" w:cs="Times New Roman"/>
      <w:sz w:val="20"/>
      <w:szCs w:val="20"/>
    </w:rPr>
  </w:style>
  <w:style w:type="character" w:customStyle="1" w:styleId="fwriter1">
    <w:name w:val="fwriter1"/>
    <w:rsid w:val="00631CEC"/>
    <w:rPr>
      <w:color w:val="A50010"/>
    </w:rPr>
  </w:style>
  <w:style w:type="character" w:customStyle="1" w:styleId="CharChar1">
    <w:name w:val="初设正文 Char Char"/>
    <w:link w:val="aff9"/>
    <w:rsid w:val="00631CEC"/>
    <w:rPr>
      <w:rFonts w:ascii="宋体" w:eastAsia="宋体" w:hAnsi="宋体"/>
      <w:sz w:val="24"/>
      <w:szCs w:val="24"/>
    </w:rPr>
  </w:style>
  <w:style w:type="paragraph" w:customStyle="1" w:styleId="aff9">
    <w:name w:val="初设正文"/>
    <w:basedOn w:val="a0"/>
    <w:link w:val="CharChar1"/>
    <w:rsid w:val="00631CEC"/>
    <w:pPr>
      <w:topLinePunct w:val="0"/>
      <w:snapToGrid w:val="0"/>
      <w:spacing w:line="324" w:lineRule="auto"/>
      <w:ind w:left="227" w:right="170"/>
    </w:pPr>
    <w:rPr>
      <w:rFonts w:hAnsi="宋体" w:cs="Times New Roman"/>
    </w:rPr>
  </w:style>
  <w:style w:type="character" w:customStyle="1" w:styleId="CharChar18">
    <w:name w:val="Char Char18"/>
    <w:rsid w:val="00631CEC"/>
    <w:rPr>
      <w:rFonts w:ascii="Arial" w:eastAsia="黑体" w:hAnsi="Arial"/>
      <w:b/>
      <w:kern w:val="2"/>
      <w:sz w:val="28"/>
    </w:rPr>
  </w:style>
  <w:style w:type="character" w:customStyle="1" w:styleId="CharCharChar1">
    <w:name w:val="正文（首行缩进两字） Char Char Char1"/>
    <w:aliases w:val="正文（首行缩进两字） Char Char2,正文缩进 Char1 Char,正文缩进 Char Char Char,正文（首行缩进两字） Char1 Char Char,正文（首行缩进两字） Char Char Char Char,正文（首行缩进两字） Char2 Char,正文（首行缩进两字） Char Char1 Char,正文缩进 Char2 Char Char Char,正文缩进 Char1 Char1 Char Char Char"/>
    <w:rsid w:val="00631CEC"/>
    <w:rPr>
      <w:rFonts w:eastAsia="宋体"/>
      <w:kern w:val="2"/>
      <w:sz w:val="21"/>
      <w:lang w:val="en-US" w:eastAsia="zh-CN" w:bidi="ar-SA"/>
    </w:rPr>
  </w:style>
  <w:style w:type="character" w:customStyle="1" w:styleId="unnamed51">
    <w:name w:val="unnamed51"/>
    <w:rsid w:val="00631CEC"/>
    <w:rPr>
      <w:rFonts w:ascii="宋体" w:eastAsia="宋体" w:hAnsi="宋体" w:hint="eastAsia"/>
      <w:color w:val="0066CC"/>
      <w:sz w:val="18"/>
    </w:rPr>
  </w:style>
  <w:style w:type="character" w:customStyle="1" w:styleId="titletext1">
    <w:name w:val="titletext1"/>
    <w:rsid w:val="00631CEC"/>
    <w:rPr>
      <w:color w:val="000000"/>
      <w:sz w:val="21"/>
    </w:rPr>
  </w:style>
  <w:style w:type="character" w:customStyle="1" w:styleId="211">
    <w:name w:val="标题 2 字符1"/>
    <w:rsid w:val="00631CEC"/>
    <w:rPr>
      <w:rFonts w:ascii="Arial" w:eastAsia="黑体" w:hAnsi="Arial" w:cs="Times New Roman"/>
      <w:b/>
      <w:sz w:val="32"/>
      <w:szCs w:val="20"/>
    </w:rPr>
  </w:style>
  <w:style w:type="character" w:customStyle="1" w:styleId="p121">
    <w:name w:val="p121"/>
    <w:rsid w:val="00631CEC"/>
    <w:rPr>
      <w:strike w:val="0"/>
      <w:dstrike w:val="0"/>
      <w:color w:val="000000"/>
      <w:sz w:val="24"/>
      <w:szCs w:val="24"/>
      <w:u w:val="none"/>
    </w:rPr>
  </w:style>
  <w:style w:type="character" w:customStyle="1" w:styleId="CharCharChar">
    <w:name w:val="正文（科宏） Char Char Char"/>
    <w:rsid w:val="00631CEC"/>
    <w:rPr>
      <w:rFonts w:ascii="Arial" w:eastAsia="仿宋_GB2312" w:hAnsi="Arial"/>
      <w:sz w:val="28"/>
      <w:lang w:val="en-US" w:eastAsia="zh-CN" w:bidi="ar-SA"/>
    </w:rPr>
  </w:style>
  <w:style w:type="character" w:customStyle="1" w:styleId="111CharChar">
    <w:name w:val="1.1.1 Char Char"/>
    <w:rsid w:val="00631CEC"/>
    <w:rPr>
      <w:rFonts w:ascii="Arial" w:eastAsia="宋体" w:hAnsi="Arial"/>
      <w:kern w:val="2"/>
      <w:position w:val="-30"/>
      <w:sz w:val="28"/>
      <w:lang w:val="en-US" w:eastAsia="zh-CN"/>
    </w:rPr>
  </w:style>
  <w:style w:type="character" w:customStyle="1" w:styleId="14hei1">
    <w:name w:val="14hei1"/>
    <w:rsid w:val="00631CEC"/>
    <w:rPr>
      <w:strike w:val="0"/>
      <w:dstrike w:val="0"/>
      <w:color w:val="000000"/>
      <w:sz w:val="16"/>
      <w:u w:val="none"/>
    </w:rPr>
  </w:style>
  <w:style w:type="character" w:customStyle="1" w:styleId="CharCharCharCharChar">
    <w:name w:val="偶的正文 Char Char Char Char Char"/>
    <w:link w:val="CharCharChar0"/>
    <w:rsid w:val="00631CEC"/>
    <w:rPr>
      <w:sz w:val="24"/>
    </w:rPr>
  </w:style>
  <w:style w:type="paragraph" w:customStyle="1" w:styleId="CharCharChar0">
    <w:name w:val="偶的正文 Char Char Char"/>
    <w:basedOn w:val="affa"/>
    <w:link w:val="CharCharCharCharChar"/>
    <w:rsid w:val="00631CEC"/>
    <w:pPr>
      <w:spacing w:beforeLines="50" w:afterLines="50" w:line="460" w:lineRule="exact"/>
      <w:ind w:firstLineChars="200" w:firstLine="480"/>
    </w:pPr>
    <w:rPr>
      <w:sz w:val="24"/>
    </w:rPr>
  </w:style>
  <w:style w:type="paragraph" w:styleId="affa">
    <w:name w:val="Body Text First Indent"/>
    <w:basedOn w:val="a1"/>
    <w:link w:val="Charf3"/>
    <w:rsid w:val="00631CEC"/>
    <w:pPr>
      <w:topLinePunct w:val="0"/>
      <w:adjustRightInd/>
      <w:spacing w:after="120" w:line="240" w:lineRule="auto"/>
      <w:ind w:firstLineChars="100" w:firstLine="420"/>
    </w:pPr>
    <w:rPr>
      <w:rFonts w:ascii="Calibri" w:hAnsi="Calibri" w:cs="Times New Roman"/>
      <w:sz w:val="20"/>
      <w:szCs w:val="20"/>
    </w:rPr>
  </w:style>
  <w:style w:type="character" w:customStyle="1" w:styleId="Charf3">
    <w:name w:val="正文首行缩进 Char"/>
    <w:link w:val="affa"/>
    <w:rsid w:val="00631CEC"/>
  </w:style>
  <w:style w:type="character" w:customStyle="1" w:styleId="1ArialGB2312Char">
    <w:name w:val="样式 标题 1 + (西文) Arial (中文) 仿宋_GB2312 四号 Char"/>
    <w:rsid w:val="00631CEC"/>
    <w:rPr>
      <w:rFonts w:ascii="Arial" w:eastAsia="仿宋_GB2312" w:hAnsi="Arial" w:cs="Arial"/>
      <w:b/>
      <w:bCs/>
      <w:color w:val="000000"/>
      <w:kern w:val="44"/>
      <w:sz w:val="32"/>
      <w:szCs w:val="44"/>
      <w:lang w:val="en-US" w:eastAsia="zh-CN" w:bidi="ar-SA"/>
    </w:rPr>
  </w:style>
  <w:style w:type="character" w:customStyle="1" w:styleId="Charf4">
    <w:name w:val="列表编号 Char"/>
    <w:link w:val="affb"/>
    <w:rsid w:val="00631CEC"/>
    <w:rPr>
      <w:rFonts w:eastAsia="宋体"/>
    </w:rPr>
  </w:style>
  <w:style w:type="paragraph" w:styleId="affb">
    <w:name w:val="List Number"/>
    <w:basedOn w:val="a0"/>
    <w:link w:val="Charf4"/>
    <w:rsid w:val="00631CEC"/>
    <w:pPr>
      <w:tabs>
        <w:tab w:val="left" w:pos="1280"/>
      </w:tabs>
      <w:topLinePunct w:val="0"/>
      <w:adjustRightInd/>
      <w:spacing w:line="240" w:lineRule="auto"/>
      <w:ind w:left="1280" w:firstLineChars="0" w:hanging="720"/>
    </w:pPr>
    <w:rPr>
      <w:rFonts w:ascii="Calibri" w:hAnsi="Calibri" w:cs="Times New Roman"/>
      <w:sz w:val="20"/>
      <w:szCs w:val="20"/>
    </w:rPr>
  </w:style>
  <w:style w:type="character" w:customStyle="1" w:styleId="Char12">
    <w:name w:val="正文文本缩进 Char1"/>
    <w:rsid w:val="00631CEC"/>
    <w:rPr>
      <w:rFonts w:ascii="Arial" w:eastAsia="仿宋_GB2312" w:hAnsi="Arial" w:cs="Arial"/>
      <w:kern w:val="2"/>
      <w:sz w:val="28"/>
    </w:rPr>
  </w:style>
  <w:style w:type="character" w:customStyle="1" w:styleId="style211">
    <w:name w:val="style211"/>
    <w:rsid w:val="00631CEC"/>
    <w:rPr>
      <w:rFonts w:ascii="宋体" w:eastAsia="宋体" w:hAnsi="宋体" w:hint="eastAsia"/>
      <w:sz w:val="18"/>
    </w:rPr>
  </w:style>
  <w:style w:type="character" w:customStyle="1" w:styleId="2Char11">
    <w:name w:val="正文文本 2 Char1"/>
    <w:rsid w:val="00631CEC"/>
    <w:rPr>
      <w:kern w:val="2"/>
      <w:sz w:val="21"/>
    </w:rPr>
  </w:style>
  <w:style w:type="character" w:customStyle="1" w:styleId="Charf5">
    <w:name w:val="表格字体（科宏） Char"/>
    <w:rsid w:val="00631CEC"/>
    <w:rPr>
      <w:rFonts w:ascii="Arial" w:eastAsia="仿宋_GB2312" w:hAnsi="Arial" w:cs="Times New Roman"/>
      <w:kern w:val="0"/>
      <w:sz w:val="24"/>
      <w:szCs w:val="20"/>
    </w:rPr>
  </w:style>
  <w:style w:type="character" w:customStyle="1" w:styleId="h91">
    <w:name w:val="h91"/>
    <w:rsid w:val="00631CEC"/>
    <w:rPr>
      <w:color w:val="000000"/>
      <w:sz w:val="21"/>
    </w:rPr>
  </w:style>
  <w:style w:type="character" w:customStyle="1" w:styleId="CharCharChar3">
    <w:name w:val="条标题（科宏） Char Char Char"/>
    <w:rsid w:val="00631CEC"/>
    <w:rPr>
      <w:rFonts w:ascii="Arial" w:eastAsia="仿宋_GB2312" w:hAnsi="Arial"/>
      <w:sz w:val="28"/>
      <w:lang w:val="en-US" w:eastAsia="zh-CN" w:bidi="ar-SA"/>
    </w:rPr>
  </w:style>
  <w:style w:type="character" w:customStyle="1" w:styleId="CharChar11">
    <w:name w:val="Char Char1"/>
    <w:rsid w:val="00631CEC"/>
    <w:rPr>
      <w:rFonts w:eastAsia="宋体"/>
      <w:kern w:val="2"/>
      <w:sz w:val="21"/>
      <w:lang w:val="en-US" w:eastAsia="zh-CN" w:bidi="ar-SA"/>
    </w:rPr>
  </w:style>
  <w:style w:type="character" w:customStyle="1" w:styleId="1111Char">
    <w:name w:val="1.1.1.1 Char"/>
    <w:aliases w:val="二级子标题 Char Char"/>
    <w:rsid w:val="00631CEC"/>
    <w:rPr>
      <w:rFonts w:ascii="Arial" w:eastAsia="黑体" w:hAnsi="Arial"/>
      <w:b/>
      <w:kern w:val="2"/>
      <w:sz w:val="28"/>
      <w:lang w:val="en-US" w:eastAsia="zh-CN"/>
    </w:rPr>
  </w:style>
  <w:style w:type="character" w:customStyle="1" w:styleId="CharChar2">
    <w:name w:val="陕西，正文 Char Char"/>
    <w:rsid w:val="00631CEC"/>
    <w:rPr>
      <w:rFonts w:eastAsia="宋体" w:cs="宋体"/>
      <w:kern w:val="2"/>
      <w:sz w:val="28"/>
      <w:lang w:val="en-US" w:eastAsia="zh-CN" w:bidi="ar-SA"/>
    </w:rPr>
  </w:style>
  <w:style w:type="character" w:customStyle="1" w:styleId="3Char0">
    <w:name w:val="正文文本 3 Char"/>
    <w:link w:val="33"/>
    <w:rsid w:val="00631CEC"/>
    <w:rPr>
      <w:rFonts w:eastAsia="宋体"/>
      <w:sz w:val="16"/>
      <w:szCs w:val="16"/>
    </w:rPr>
  </w:style>
  <w:style w:type="paragraph" w:styleId="33">
    <w:name w:val="Body Text 3"/>
    <w:basedOn w:val="a0"/>
    <w:link w:val="3Char0"/>
    <w:rsid w:val="00631CEC"/>
    <w:pPr>
      <w:topLinePunct w:val="0"/>
      <w:adjustRightInd/>
      <w:spacing w:after="120" w:line="240" w:lineRule="auto"/>
      <w:ind w:firstLineChars="0" w:firstLine="0"/>
    </w:pPr>
    <w:rPr>
      <w:rFonts w:ascii="Calibri" w:hAnsi="Calibri" w:cs="Times New Roman"/>
      <w:sz w:val="16"/>
      <w:szCs w:val="16"/>
    </w:rPr>
  </w:style>
  <w:style w:type="character" w:customStyle="1" w:styleId="310">
    <w:name w:val="标题 3 字符1"/>
    <w:rsid w:val="00631CEC"/>
    <w:rPr>
      <w:rFonts w:ascii="Times New Roman" w:eastAsia="宋体" w:hAnsi="Times New Roman" w:cs="Times New Roman"/>
      <w:b/>
      <w:bCs/>
      <w:sz w:val="32"/>
      <w:szCs w:val="32"/>
    </w:rPr>
  </w:style>
  <w:style w:type="character" w:customStyle="1" w:styleId="2Char0">
    <w:name w:val="正文文本 2 Char"/>
    <w:link w:val="22"/>
    <w:rsid w:val="00631CEC"/>
    <w:rPr>
      <w:rFonts w:eastAsia="宋体"/>
    </w:rPr>
  </w:style>
  <w:style w:type="paragraph" w:styleId="22">
    <w:name w:val="Body Text 2"/>
    <w:basedOn w:val="a0"/>
    <w:link w:val="2Char0"/>
    <w:rsid w:val="00631CEC"/>
    <w:pPr>
      <w:topLinePunct w:val="0"/>
      <w:adjustRightInd/>
      <w:spacing w:after="120" w:line="480" w:lineRule="auto"/>
      <w:ind w:firstLineChars="0" w:firstLine="0"/>
    </w:pPr>
    <w:rPr>
      <w:rFonts w:ascii="Calibri" w:hAnsi="Calibri" w:cs="Times New Roman"/>
      <w:sz w:val="20"/>
      <w:szCs w:val="20"/>
    </w:rPr>
  </w:style>
  <w:style w:type="character" w:customStyle="1" w:styleId="z-Char">
    <w:name w:val="z-窗体顶端 Char"/>
    <w:link w:val="z-"/>
    <w:rsid w:val="00631CEC"/>
    <w:rPr>
      <w:rFonts w:ascii="Arial" w:eastAsia="仿宋_GB2312" w:hAnsi="Arial" w:cs="Arial"/>
      <w:vanish/>
      <w:sz w:val="16"/>
      <w:szCs w:val="16"/>
    </w:rPr>
  </w:style>
  <w:style w:type="paragraph" w:styleId="z-">
    <w:name w:val="HTML Top of Form"/>
    <w:basedOn w:val="a0"/>
    <w:next w:val="a0"/>
    <w:link w:val="z-Char"/>
    <w:rsid w:val="00631CEC"/>
    <w:pPr>
      <w:pBdr>
        <w:bottom w:val="single" w:sz="6" w:space="1" w:color="auto"/>
      </w:pBdr>
      <w:topLinePunct w:val="0"/>
      <w:adjustRightInd/>
      <w:ind w:firstLineChars="0" w:firstLine="0"/>
      <w:jc w:val="center"/>
    </w:pPr>
    <w:rPr>
      <w:rFonts w:ascii="Arial" w:eastAsia="仿宋_GB2312" w:hAnsi="Arial" w:cs="Times New Roman"/>
      <w:vanish/>
      <w:sz w:val="16"/>
      <w:szCs w:val="16"/>
    </w:rPr>
  </w:style>
  <w:style w:type="character" w:customStyle="1" w:styleId="CharChar3">
    <w:name w:val="条标题（科宏） Char Char"/>
    <w:rsid w:val="00631CEC"/>
    <w:rPr>
      <w:rFonts w:ascii="Arial" w:eastAsia="仿宋_GB2312" w:hAnsi="Arial"/>
      <w:kern w:val="2"/>
      <w:sz w:val="28"/>
      <w:szCs w:val="36"/>
      <w:lang w:val="en-US" w:eastAsia="zh-CN" w:bidi="ar-SA"/>
    </w:rPr>
  </w:style>
  <w:style w:type="character" w:customStyle="1" w:styleId="space201">
    <w:name w:val="space201"/>
    <w:basedOn w:val="a2"/>
    <w:rsid w:val="00631CEC"/>
  </w:style>
  <w:style w:type="character" w:customStyle="1" w:styleId="3Char2">
    <w:name w:val="标题 3 Char"/>
    <w:aliases w:val="1.1.1 Char,Level 3 Head Char,level_3 Char,PIM 3 Char,h3 Char,3 Char,3rd level Char,l3 Char,list 3 Char,Head 3 Char,CT Char,条标题 Char,Otsikko 3 Char,Heading Char,标题 3 Char Char Char,hseHeading 3 Char,Re Char,Head 3 WSA Char,.X.X Char,H31 Char"/>
    <w:rsid w:val="00631CEC"/>
    <w:rPr>
      <w:rFonts w:ascii="Arial" w:eastAsia="宋体" w:hAnsi="Arial"/>
      <w:bCs/>
      <w:kern w:val="2"/>
      <w:position w:val="-30"/>
      <w:sz w:val="28"/>
      <w:szCs w:val="32"/>
      <w:lang w:val="en-US" w:eastAsia="zh-CN" w:bidi="ar-SA"/>
    </w:rPr>
  </w:style>
  <w:style w:type="character" w:customStyle="1" w:styleId="3Char4">
    <w:name w:val="正文文本缩进 3 Char"/>
    <w:link w:val="34"/>
    <w:rsid w:val="00631CEC"/>
    <w:rPr>
      <w:rFonts w:eastAsia="宋体"/>
      <w:sz w:val="16"/>
      <w:szCs w:val="16"/>
    </w:rPr>
  </w:style>
  <w:style w:type="paragraph" w:styleId="34">
    <w:name w:val="Body Text Indent 3"/>
    <w:basedOn w:val="a0"/>
    <w:link w:val="3Char4"/>
    <w:rsid w:val="00631CEC"/>
    <w:pPr>
      <w:topLinePunct w:val="0"/>
      <w:adjustRightInd/>
      <w:spacing w:after="120" w:line="240" w:lineRule="auto"/>
      <w:ind w:leftChars="200" w:left="420" w:firstLineChars="0" w:firstLine="0"/>
    </w:pPr>
    <w:rPr>
      <w:rFonts w:ascii="Calibri" w:hAnsi="Calibri" w:cs="Times New Roman"/>
      <w:sz w:val="16"/>
      <w:szCs w:val="16"/>
    </w:rPr>
  </w:style>
  <w:style w:type="character" w:customStyle="1" w:styleId="CharCharChar4">
    <w:name w:val="Char Char Char"/>
    <w:link w:val="Charf6"/>
    <w:rsid w:val="00631CEC"/>
    <w:rPr>
      <w:rFonts w:eastAsia="宋体"/>
    </w:rPr>
  </w:style>
  <w:style w:type="paragraph" w:customStyle="1" w:styleId="Charf6">
    <w:name w:val="Char"/>
    <w:basedOn w:val="a0"/>
    <w:link w:val="CharCharChar4"/>
    <w:rsid w:val="00631CEC"/>
    <w:pPr>
      <w:topLinePunct w:val="0"/>
      <w:adjustRightInd/>
      <w:spacing w:line="240" w:lineRule="auto"/>
      <w:ind w:firstLineChars="0" w:firstLine="0"/>
    </w:pPr>
    <w:rPr>
      <w:rFonts w:ascii="Calibri" w:hAnsi="Calibri" w:cs="Times New Roman"/>
      <w:sz w:val="20"/>
      <w:szCs w:val="20"/>
    </w:rPr>
  </w:style>
  <w:style w:type="character" w:customStyle="1" w:styleId="CharCharChar5">
    <w:name w:val="表格字体（科宏） Char Char Char"/>
    <w:rsid w:val="00631CEC"/>
    <w:rPr>
      <w:rFonts w:ascii="Arial" w:eastAsia="仿宋_GB2312" w:hAnsi="Arial" w:cs="Times New Roman"/>
      <w:kern w:val="0"/>
      <w:sz w:val="24"/>
      <w:szCs w:val="20"/>
    </w:rPr>
  </w:style>
  <w:style w:type="character" w:customStyle="1" w:styleId="affc">
    <w:name w:val="正文缩进 字符"/>
    <w:aliases w:val="正文（首行缩进两字） Char Char 字符,正文（首行缩进两字） Char 字符,正文缩进 Char1 字符,正文缩进 Char Char 字符,正文（首行缩进两字） Char1 Char 字符,正文（首行缩进两字） Char Char Char 字符,正文（首行缩进两字） Char2 字符,正文（首行缩进两字） Char Char1 字符,正文缩进 Char2 Char Char 字符,正文缩进 Char1 Char1 Char Char 字符,文本条款 字符,首行缩进两字 字符"/>
    <w:rsid w:val="00631CEC"/>
    <w:rPr>
      <w:rFonts w:eastAsia="宋体"/>
      <w:kern w:val="2"/>
      <w:sz w:val="21"/>
      <w:lang w:val="en-US" w:eastAsia="zh-CN" w:bidi="ar-SA"/>
    </w:rPr>
  </w:style>
  <w:style w:type="character" w:customStyle="1" w:styleId="1234">
    <w:name w:val="正文1234"/>
    <w:rsid w:val="00631CEC"/>
    <w:rPr>
      <w:sz w:val="28"/>
    </w:rPr>
  </w:style>
  <w:style w:type="character" w:customStyle="1" w:styleId="CharChar4">
    <w:name w:val="总院 Char Char"/>
    <w:link w:val="affd"/>
    <w:rsid w:val="00631CEC"/>
    <w:rPr>
      <w:rFonts w:ascii="宋体" w:eastAsia="宋体" w:hAnsi="宋体"/>
      <w:sz w:val="28"/>
      <w:lang w:val="ru-RU"/>
    </w:rPr>
  </w:style>
  <w:style w:type="paragraph" w:customStyle="1" w:styleId="affd">
    <w:name w:val="总院"/>
    <w:basedOn w:val="a0"/>
    <w:link w:val="CharChar4"/>
    <w:rsid w:val="00631CEC"/>
    <w:pPr>
      <w:topLinePunct w:val="0"/>
      <w:adjustRightInd/>
      <w:snapToGrid w:val="0"/>
      <w:spacing w:line="300" w:lineRule="auto"/>
      <w:ind w:firstLine="560"/>
    </w:pPr>
    <w:rPr>
      <w:rFonts w:hAnsi="宋体" w:cs="Times New Roman"/>
      <w:sz w:val="28"/>
      <w:szCs w:val="20"/>
      <w:lang w:val="ru-RU"/>
    </w:rPr>
  </w:style>
  <w:style w:type="character" w:customStyle="1" w:styleId="4Char2">
    <w:name w:val="标题 4 Char2"/>
    <w:aliases w:val="标题 4 Char Char1,1.1.1.1 Char2,标题 4 Char Char Char"/>
    <w:rsid w:val="00631CEC"/>
    <w:rPr>
      <w:rFonts w:ascii="Arial" w:eastAsia="仿宋_GB2312" w:hAnsi="Arial"/>
      <w:kern w:val="2"/>
      <w:sz w:val="28"/>
      <w:szCs w:val="28"/>
      <w:lang w:val="en-US" w:eastAsia="zh-CN" w:bidi="ar-SA"/>
    </w:rPr>
  </w:style>
  <w:style w:type="character" w:customStyle="1" w:styleId="CharChar5">
    <w:name w:val="马学海内容 Char Char"/>
    <w:link w:val="affe"/>
    <w:rsid w:val="00631CEC"/>
    <w:rPr>
      <w:rFonts w:ascii="新宋体" w:eastAsia="宋体" w:hAnsi="新宋体"/>
      <w:kern w:val="44"/>
      <w:sz w:val="24"/>
      <w:szCs w:val="24"/>
    </w:rPr>
  </w:style>
  <w:style w:type="paragraph" w:customStyle="1" w:styleId="affe">
    <w:name w:val="马学海内容"/>
    <w:basedOn w:val="a0"/>
    <w:link w:val="CharChar5"/>
    <w:rsid w:val="00631CEC"/>
    <w:pPr>
      <w:tabs>
        <w:tab w:val="left" w:pos="5725"/>
        <w:tab w:val="left" w:pos="5880"/>
      </w:tabs>
      <w:topLinePunct w:val="0"/>
      <w:adjustRightInd/>
    </w:pPr>
    <w:rPr>
      <w:rFonts w:ascii="新宋体" w:hAnsi="新宋体" w:cs="Times New Roman"/>
      <w:kern w:val="44"/>
    </w:rPr>
  </w:style>
  <w:style w:type="character" w:customStyle="1" w:styleId="Char20">
    <w:name w:val="正文缩进 Char2"/>
    <w:aliases w:val="正文（首行缩进两字） Char Char Char3,正文（首行缩进两字） Char Char4,正文缩进 Char1 Char2,正文缩进 Char Char Char2,正文（首行缩进两字） Char1 Char Char2,正文（首行缩进两字） Char Char Char Char2,正文（首行缩进两字） Char2 Char2,正文（首行缩进两字） Char Char1 Char2,正文缩进 Char2 Char Char Char2,文本条款 Char"/>
    <w:rsid w:val="00631CEC"/>
    <w:rPr>
      <w:rFonts w:eastAsia="宋体"/>
      <w:kern w:val="2"/>
      <w:sz w:val="21"/>
      <w:lang w:val="en-US" w:eastAsia="zh-CN" w:bidi="ar-SA"/>
    </w:rPr>
  </w:style>
  <w:style w:type="character" w:customStyle="1" w:styleId="1ArialGB2312CharChar">
    <w:name w:val="样式 标题 1 + (西文) Arial (中文) 仿宋_GB2312 四号 Char Char"/>
    <w:link w:val="1ArialGB2312"/>
    <w:rsid w:val="00631CEC"/>
    <w:rPr>
      <w:rFonts w:ascii="Arial" w:eastAsia="仿宋_GB2312" w:hAnsi="Arial" w:cs="Arial"/>
      <w:b/>
      <w:bCs/>
      <w:color w:val="000000"/>
      <w:kern w:val="44"/>
      <w:sz w:val="32"/>
      <w:szCs w:val="44"/>
    </w:rPr>
  </w:style>
  <w:style w:type="paragraph" w:customStyle="1" w:styleId="1ArialGB2312">
    <w:name w:val="样式 标题 1 + (西文) Arial (中文) 仿宋_GB2312 四号"/>
    <w:basedOn w:val="1"/>
    <w:link w:val="1ArialGB2312CharChar"/>
    <w:rsid w:val="00631CEC"/>
    <w:pPr>
      <w:pageBreakBefore/>
      <w:topLinePunct w:val="0"/>
      <w:adjustRightInd/>
      <w:spacing w:beforeLines="50" w:afterLines="50"/>
      <w:jc w:val="center"/>
    </w:pPr>
    <w:rPr>
      <w:rFonts w:ascii="Arial" w:eastAsia="仿宋_GB2312" w:hAnsi="Arial"/>
      <w:bCs/>
      <w:color w:val="000000"/>
    </w:rPr>
  </w:style>
  <w:style w:type="character" w:customStyle="1" w:styleId="3CharChar">
    <w:name w:val="3级标题 Char Char"/>
    <w:link w:val="35"/>
    <w:rsid w:val="00631CEC"/>
    <w:rPr>
      <w:rFonts w:eastAsia="黑体"/>
      <w:sz w:val="24"/>
    </w:rPr>
  </w:style>
  <w:style w:type="paragraph" w:customStyle="1" w:styleId="35">
    <w:name w:val="3级标题"/>
    <w:basedOn w:val="a0"/>
    <w:link w:val="3CharChar"/>
    <w:rsid w:val="00631CEC"/>
    <w:pPr>
      <w:topLinePunct w:val="0"/>
      <w:adjustRightInd/>
      <w:ind w:firstLineChars="0" w:firstLine="0"/>
    </w:pPr>
    <w:rPr>
      <w:rFonts w:ascii="Calibri" w:eastAsia="黑体" w:hAnsi="Calibri" w:cs="Times New Roman"/>
      <w:szCs w:val="20"/>
    </w:rPr>
  </w:style>
  <w:style w:type="character" w:customStyle="1" w:styleId="1Char3">
    <w:name w:val="标题 1 Char3"/>
    <w:aliases w:val="第一章 Char3,h1 Char3,1st level Char3,Section Head Char3,l1 Char"/>
    <w:rsid w:val="00631CEC"/>
    <w:rPr>
      <w:rFonts w:eastAsia="宋体"/>
      <w:b/>
      <w:bCs/>
      <w:kern w:val="44"/>
      <w:sz w:val="44"/>
      <w:szCs w:val="44"/>
      <w:lang w:val="en-US" w:eastAsia="zh-CN" w:bidi="ar-SA"/>
    </w:rPr>
  </w:style>
  <w:style w:type="character" w:customStyle="1" w:styleId="4111CharChar">
    <w:name w:val="马学海4.1.1.1 Char Char"/>
    <w:link w:val="4111"/>
    <w:rsid w:val="00631CEC"/>
    <w:rPr>
      <w:rFonts w:ascii="Arial" w:hAnsi="Arial"/>
      <w:b/>
      <w:bCs/>
      <w:sz w:val="24"/>
      <w:szCs w:val="24"/>
    </w:rPr>
  </w:style>
  <w:style w:type="paragraph" w:customStyle="1" w:styleId="4111">
    <w:name w:val="马学海4.1.1.1"/>
    <w:basedOn w:val="4"/>
    <w:next w:val="affe"/>
    <w:link w:val="4111CharChar"/>
    <w:rsid w:val="00631CEC"/>
    <w:pPr>
      <w:keepNext/>
      <w:keepLines/>
      <w:widowControl w:val="0"/>
      <w:numPr>
        <w:ilvl w:val="3"/>
        <w:numId w:val="1"/>
      </w:numPr>
      <w:tabs>
        <w:tab w:val="left" w:pos="2585"/>
      </w:tabs>
      <w:adjustRightInd/>
      <w:snapToGrid/>
      <w:spacing w:before="156" w:afterLines="50" w:line="360" w:lineRule="auto"/>
      <w:ind w:left="1133"/>
    </w:pPr>
    <w:rPr>
      <w:b/>
      <w:bCs/>
      <w:kern w:val="0"/>
      <w:sz w:val="24"/>
      <w:szCs w:val="24"/>
    </w:rPr>
  </w:style>
  <w:style w:type="character" w:customStyle="1" w:styleId="CharChar6">
    <w:name w:val="表格字体（科宏） Char Char"/>
    <w:link w:val="afff"/>
    <w:rsid w:val="00631CEC"/>
    <w:rPr>
      <w:rFonts w:ascii="Arial" w:eastAsia="仿宋_GB2312" w:hAnsi="Arial"/>
      <w:sz w:val="28"/>
    </w:rPr>
  </w:style>
  <w:style w:type="paragraph" w:customStyle="1" w:styleId="afff">
    <w:name w:val="表格字体（科宏）"/>
    <w:basedOn w:val="afff0"/>
    <w:link w:val="CharChar6"/>
    <w:rsid w:val="00631CEC"/>
    <w:pPr>
      <w:jc w:val="center"/>
    </w:pPr>
    <w:rPr>
      <w:sz w:val="28"/>
    </w:rPr>
  </w:style>
  <w:style w:type="paragraph" w:customStyle="1" w:styleId="afff0">
    <w:name w:val="正文（科宏）"/>
    <w:link w:val="CharChar7"/>
    <w:rsid w:val="00631CEC"/>
    <w:pPr>
      <w:jc w:val="both"/>
    </w:pPr>
    <w:rPr>
      <w:rFonts w:ascii="Arial" w:eastAsia="仿宋_GB2312" w:hAnsi="Arial"/>
    </w:rPr>
  </w:style>
  <w:style w:type="character" w:customStyle="1" w:styleId="CharChar7">
    <w:name w:val="正文（科宏） Char Char"/>
    <w:link w:val="afff0"/>
    <w:qFormat/>
    <w:rsid w:val="00631CEC"/>
    <w:rPr>
      <w:rFonts w:ascii="Arial" w:eastAsia="仿宋_GB2312" w:hAnsi="Arial"/>
      <w:lang w:val="en-US" w:eastAsia="zh-CN" w:bidi="ar-SA"/>
    </w:rPr>
  </w:style>
  <w:style w:type="character" w:customStyle="1" w:styleId="1CharCharChar1">
    <w:name w:val="标题 1 宋体 三号 Char Char Char1"/>
    <w:rsid w:val="00631CEC"/>
    <w:rPr>
      <w:rFonts w:ascii="宋体" w:eastAsia="宋体" w:hAnsi="宋体"/>
      <w:b/>
      <w:kern w:val="44"/>
      <w:position w:val="-30"/>
      <w:sz w:val="32"/>
      <w:lang w:val="en-US" w:eastAsia="zh-CN"/>
    </w:rPr>
  </w:style>
  <w:style w:type="character" w:customStyle="1" w:styleId="CharChar20">
    <w:name w:val="Char Char2"/>
    <w:rsid w:val="00631CEC"/>
    <w:rPr>
      <w:kern w:val="2"/>
      <w:sz w:val="21"/>
      <w:szCs w:val="18"/>
    </w:rPr>
  </w:style>
  <w:style w:type="character" w:customStyle="1" w:styleId="Char13">
    <w:name w:val="正文文本 Char1"/>
    <w:rsid w:val="00631CEC"/>
    <w:rPr>
      <w:kern w:val="2"/>
      <w:sz w:val="21"/>
    </w:rPr>
  </w:style>
  <w:style w:type="character" w:customStyle="1" w:styleId="CharChar17">
    <w:name w:val="Char Char17"/>
    <w:rsid w:val="00631CEC"/>
    <w:rPr>
      <w:rFonts w:ascii="Times New Roman" w:hAnsi="Times New Roman"/>
      <w:b/>
      <w:kern w:val="2"/>
      <w:sz w:val="24"/>
    </w:rPr>
  </w:style>
  <w:style w:type="character" w:customStyle="1" w:styleId="51">
    <w:name w:val="样式5"/>
    <w:rsid w:val="00631CEC"/>
    <w:rPr>
      <w:b/>
      <w:sz w:val="32"/>
    </w:rPr>
  </w:style>
  <w:style w:type="character" w:customStyle="1" w:styleId="HTMLChar1">
    <w:name w:val="HTML 预设格式 Char1"/>
    <w:rsid w:val="00631CEC"/>
    <w:rPr>
      <w:rFonts w:ascii="Courier New" w:hAnsi="Courier New" w:cs="Courier New"/>
      <w:kern w:val="2"/>
    </w:rPr>
  </w:style>
  <w:style w:type="character" w:customStyle="1" w:styleId="text2">
    <w:name w:val="text2"/>
    <w:basedOn w:val="a2"/>
    <w:rsid w:val="00631CEC"/>
  </w:style>
  <w:style w:type="character" w:customStyle="1" w:styleId="CharChar8">
    <w:name w:val="款正文（科宏） Char Char"/>
    <w:link w:val="afff1"/>
    <w:rsid w:val="00631CEC"/>
    <w:rPr>
      <w:rFonts w:ascii="Arial" w:eastAsia="仿宋_GB2312" w:hAnsi="Arial"/>
      <w:sz w:val="28"/>
      <w:lang w:val="en-US" w:eastAsia="zh-CN" w:bidi="ar-SA"/>
    </w:rPr>
  </w:style>
  <w:style w:type="paragraph" w:customStyle="1" w:styleId="afff1">
    <w:name w:val="款正文（科宏）"/>
    <w:next w:val="afff0"/>
    <w:link w:val="CharChar8"/>
    <w:rsid w:val="00631CEC"/>
    <w:pPr>
      <w:widowControl w:val="0"/>
      <w:tabs>
        <w:tab w:val="left" w:pos="927"/>
      </w:tabs>
      <w:spacing w:line="360" w:lineRule="auto"/>
      <w:ind w:firstLine="567"/>
      <w:jc w:val="both"/>
    </w:pPr>
    <w:rPr>
      <w:rFonts w:ascii="Arial" w:eastAsia="仿宋_GB2312" w:hAnsi="Arial"/>
      <w:sz w:val="28"/>
    </w:rPr>
  </w:style>
  <w:style w:type="character" w:customStyle="1" w:styleId="CharChar9">
    <w:name w:val="我的图表标题 Char Char"/>
    <w:link w:val="afff2"/>
    <w:rsid w:val="00631CEC"/>
    <w:rPr>
      <w:rFonts w:ascii="Arial" w:eastAsia="仿宋_GB2312" w:hAnsi="Arial" w:cs="Arial"/>
      <w:bCs/>
      <w:sz w:val="28"/>
      <w:szCs w:val="28"/>
    </w:rPr>
  </w:style>
  <w:style w:type="paragraph" w:customStyle="1" w:styleId="afff2">
    <w:name w:val="我的图表标题"/>
    <w:basedOn w:val="afff3"/>
    <w:link w:val="CharChar9"/>
    <w:rsid w:val="00631CEC"/>
    <w:pPr>
      <w:spacing w:after="0" w:line="360" w:lineRule="auto"/>
      <w:ind w:leftChars="0" w:left="0"/>
    </w:pPr>
    <w:rPr>
      <w:rFonts w:ascii="Arial" w:eastAsia="仿宋_GB2312" w:hAnsi="Arial"/>
      <w:bCs/>
      <w:kern w:val="0"/>
      <w:sz w:val="28"/>
      <w:szCs w:val="28"/>
    </w:rPr>
  </w:style>
  <w:style w:type="paragraph" w:styleId="afff3">
    <w:name w:val="Body Text Indent"/>
    <w:basedOn w:val="a0"/>
    <w:link w:val="Charf7"/>
    <w:unhideWhenUsed/>
    <w:rsid w:val="00631CEC"/>
    <w:pPr>
      <w:topLinePunct w:val="0"/>
      <w:adjustRightInd/>
      <w:spacing w:after="120" w:line="240" w:lineRule="auto"/>
      <w:ind w:leftChars="200" w:left="420" w:firstLineChars="0" w:firstLine="0"/>
    </w:pPr>
    <w:rPr>
      <w:rFonts w:ascii="Times New Roman" w:cs="Times New Roman"/>
      <w:kern w:val="2"/>
      <w:sz w:val="21"/>
    </w:rPr>
  </w:style>
  <w:style w:type="character" w:customStyle="1" w:styleId="Charf7">
    <w:name w:val="正文文本缩进 Char"/>
    <w:basedOn w:val="a2"/>
    <w:link w:val="afff3"/>
    <w:rsid w:val="00631CEC"/>
    <w:rPr>
      <w:rFonts w:ascii="Times New Roman" w:eastAsia="宋体" w:hAnsi="Times New Roman" w:cs="Times New Roman"/>
      <w:kern w:val="2"/>
      <w:sz w:val="21"/>
      <w:szCs w:val="24"/>
    </w:rPr>
  </w:style>
  <w:style w:type="character" w:customStyle="1" w:styleId="CharChara">
    <w:name w:val="(页眉)科宏 Char Char"/>
    <w:rsid w:val="00631CEC"/>
    <w:rPr>
      <w:rFonts w:ascii="Arial" w:eastAsia="仿宋_GB2312" w:hAnsi="Arial"/>
      <w:sz w:val="21"/>
    </w:rPr>
  </w:style>
  <w:style w:type="character" w:customStyle="1" w:styleId="11Char1">
    <w:name w:val="1.1 Char1"/>
    <w:aliases w:val="1.1 Char2"/>
    <w:rsid w:val="00631CEC"/>
    <w:rPr>
      <w:rFonts w:ascii="Arial" w:eastAsia="宋体" w:hAnsi="Arial"/>
      <w:b/>
      <w:bCs/>
      <w:kern w:val="2"/>
      <w:sz w:val="28"/>
      <w:szCs w:val="28"/>
      <w:lang w:val="en-US" w:eastAsia="zh-CN" w:bidi="ar-SA"/>
    </w:rPr>
  </w:style>
  <w:style w:type="character" w:customStyle="1" w:styleId="CharCharCharChar">
    <w:name w:val="条标题（科宏） Char Char Char Char"/>
    <w:link w:val="afff4"/>
    <w:rsid w:val="00631CEC"/>
    <w:rPr>
      <w:rFonts w:ascii="Arial" w:eastAsia="仿宋_GB2312" w:hAnsi="Arial"/>
      <w:sz w:val="28"/>
      <w:lang w:val="en-US" w:eastAsia="zh-CN" w:bidi="ar-SA"/>
    </w:rPr>
  </w:style>
  <w:style w:type="paragraph" w:customStyle="1" w:styleId="afff4">
    <w:name w:val="条标题（科宏）"/>
    <w:next w:val="a0"/>
    <w:link w:val="CharCharCharChar"/>
    <w:rsid w:val="00631CEC"/>
    <w:pPr>
      <w:widowControl w:val="0"/>
      <w:spacing w:line="360" w:lineRule="auto"/>
      <w:jc w:val="both"/>
      <w:outlineLvl w:val="2"/>
    </w:pPr>
    <w:rPr>
      <w:rFonts w:ascii="Arial" w:eastAsia="仿宋_GB2312" w:hAnsi="Arial"/>
      <w:sz w:val="28"/>
    </w:rPr>
  </w:style>
  <w:style w:type="character" w:customStyle="1" w:styleId="CharCharb">
    <w:name w:val="偶的正文 Char Char"/>
    <w:link w:val="afff5"/>
    <w:rsid w:val="00631CEC"/>
    <w:rPr>
      <w:rFonts w:ascii="仿宋_GB2312" w:eastAsia="仿宋_GB2312" w:cs="Arial"/>
      <w:sz w:val="28"/>
      <w:szCs w:val="28"/>
    </w:rPr>
  </w:style>
  <w:style w:type="paragraph" w:customStyle="1" w:styleId="afff5">
    <w:name w:val="偶的正文"/>
    <w:basedOn w:val="affa"/>
    <w:link w:val="CharCharb"/>
    <w:rsid w:val="00631CEC"/>
    <w:pPr>
      <w:spacing w:after="0" w:line="360" w:lineRule="auto"/>
      <w:ind w:firstLineChars="200" w:firstLine="560"/>
    </w:pPr>
    <w:rPr>
      <w:rFonts w:ascii="仿宋_GB2312" w:eastAsia="仿宋_GB2312"/>
      <w:sz w:val="28"/>
      <w:szCs w:val="28"/>
    </w:rPr>
  </w:style>
  <w:style w:type="character" w:customStyle="1" w:styleId="CharCharc">
    <w:name w:val="文本一 Char Char"/>
    <w:link w:val="afff6"/>
    <w:rsid w:val="00631CEC"/>
    <w:rPr>
      <w:rFonts w:eastAsia="仿宋_GB2312"/>
      <w:sz w:val="24"/>
    </w:rPr>
  </w:style>
  <w:style w:type="paragraph" w:customStyle="1" w:styleId="afff6">
    <w:name w:val="文本一"/>
    <w:basedOn w:val="a1"/>
    <w:link w:val="CharCharc"/>
    <w:rsid w:val="00631CEC"/>
    <w:pPr>
      <w:topLinePunct w:val="0"/>
      <w:adjustRightInd/>
    </w:pPr>
    <w:rPr>
      <w:rFonts w:ascii="Calibri" w:eastAsia="仿宋_GB2312" w:hAnsi="Calibri" w:cs="Times New Roman"/>
      <w:szCs w:val="20"/>
    </w:rPr>
  </w:style>
  <w:style w:type="character" w:customStyle="1" w:styleId="CharChard">
    <w:name w:val="无节款 Char Char"/>
    <w:rsid w:val="00631CEC"/>
    <w:rPr>
      <w:rFonts w:ascii="Arial" w:hAnsi="Arial"/>
      <w:b/>
      <w:spacing w:val="-4"/>
      <w:kern w:val="20"/>
      <w:sz w:val="18"/>
    </w:rPr>
  </w:style>
  <w:style w:type="character" w:customStyle="1" w:styleId="Char21">
    <w:name w:val="标题 Char2"/>
    <w:rsid w:val="00631CEC"/>
    <w:rPr>
      <w:rFonts w:ascii="Cambria" w:hAnsi="Cambria" w:cs="Times New Roman"/>
      <w:b/>
      <w:bCs/>
      <w:kern w:val="2"/>
      <w:sz w:val="32"/>
      <w:szCs w:val="32"/>
    </w:rPr>
  </w:style>
  <w:style w:type="character" w:customStyle="1" w:styleId="Charf8">
    <w:name w:val="款正文（科宏） Char"/>
    <w:rsid w:val="00631CEC"/>
    <w:rPr>
      <w:rFonts w:ascii="Arial" w:eastAsia="仿宋_GB2312" w:hAnsi="Arial"/>
      <w:sz w:val="28"/>
      <w:lang w:val="en-US" w:eastAsia="zh-CN" w:bidi="ar-SA"/>
    </w:rPr>
  </w:style>
  <w:style w:type="character" w:customStyle="1" w:styleId="4CharChar">
    <w:name w:val="样式 标题 4 + (符号) 宋体 小四 非加粗 两端对齐 Char Char"/>
    <w:rsid w:val="00631CEC"/>
    <w:rPr>
      <w:rFonts w:eastAsia="宋体"/>
      <w:kern w:val="2"/>
      <w:sz w:val="21"/>
      <w:lang w:val="en-US" w:eastAsia="zh-CN"/>
    </w:rPr>
  </w:style>
  <w:style w:type="character" w:customStyle="1" w:styleId="2Char2">
    <w:name w:val="正文首行缩进 2 Char"/>
    <w:link w:val="23"/>
    <w:rsid w:val="00631CEC"/>
    <w:rPr>
      <w:rFonts w:ascii="Arial" w:eastAsia="宋体" w:hAnsi="Arial" w:cs="Arial"/>
    </w:rPr>
  </w:style>
  <w:style w:type="paragraph" w:styleId="23">
    <w:name w:val="Body Text First Indent 2"/>
    <w:basedOn w:val="afff3"/>
    <w:link w:val="2Char2"/>
    <w:rsid w:val="00631CEC"/>
    <w:pPr>
      <w:ind w:firstLineChars="200" w:firstLine="420"/>
    </w:pPr>
    <w:rPr>
      <w:rFonts w:ascii="Arial" w:hAnsi="Arial"/>
      <w:kern w:val="0"/>
      <w:sz w:val="20"/>
      <w:szCs w:val="20"/>
    </w:rPr>
  </w:style>
  <w:style w:type="character" w:customStyle="1" w:styleId="style21">
    <w:name w:val="style21"/>
    <w:rsid w:val="00631CEC"/>
    <w:rPr>
      <w:sz w:val="40"/>
    </w:rPr>
  </w:style>
  <w:style w:type="character" w:customStyle="1" w:styleId="11CharChar">
    <w:name w:val="1.1 Char Char"/>
    <w:rsid w:val="00631CEC"/>
    <w:rPr>
      <w:rFonts w:ascii="Arial" w:eastAsia="黑体" w:hAnsi="Arial"/>
      <w:b/>
      <w:kern w:val="2"/>
      <w:sz w:val="32"/>
      <w:lang w:val="en-US" w:eastAsia="zh-CN"/>
    </w:rPr>
  </w:style>
  <w:style w:type="character" w:customStyle="1" w:styleId="2CharCharChar">
    <w:name w:val="标题 2 Char Char Char"/>
    <w:aliases w:val="标题节 Char,MB2 Char,2 Char,Header 2nd Page Char,A.B.C. Char,h2 main heading Char,A Char,l2 Char,2nd level Char,Titre2 Char,Header 2 Char,UNDERRUBRIK 1-2 Char,一级节名 Char,章 Char"/>
    <w:rsid w:val="00631CEC"/>
    <w:rPr>
      <w:rFonts w:ascii="黑体" w:eastAsia="黑体" w:hAnsi="宋体"/>
      <w:b/>
      <w:bCs/>
      <w:kern w:val="2"/>
      <w:sz w:val="32"/>
      <w:szCs w:val="32"/>
      <w:lang w:val="en-US" w:eastAsia="zh-CN" w:bidi="ar-SA"/>
    </w:rPr>
  </w:style>
  <w:style w:type="character" w:customStyle="1" w:styleId="xl26CharChar">
    <w:name w:val="xl26 Char Char"/>
    <w:link w:val="xl26"/>
    <w:rsid w:val="00631CEC"/>
    <w:rPr>
      <w:rFonts w:ascii="Arial Unicode MS" w:eastAsia="Arial Unicode MS" w:hAnsi="Arial Unicode MS"/>
      <w:sz w:val="24"/>
      <w:szCs w:val="24"/>
    </w:rPr>
  </w:style>
  <w:style w:type="paragraph" w:customStyle="1" w:styleId="xl26">
    <w:name w:val="xl26"/>
    <w:basedOn w:val="a0"/>
    <w:link w:val="xl26CharChar"/>
    <w:rsid w:val="00631CEC"/>
    <w:pPr>
      <w:widowControl/>
      <w:topLinePunct w:val="0"/>
      <w:adjustRightInd/>
      <w:spacing w:before="100" w:beforeAutospacing="1" w:after="100" w:afterAutospacing="1" w:line="240" w:lineRule="auto"/>
      <w:ind w:firstLineChars="0" w:firstLine="0"/>
      <w:jc w:val="center"/>
    </w:pPr>
    <w:rPr>
      <w:rFonts w:ascii="Arial Unicode MS" w:eastAsia="Arial Unicode MS" w:hAnsi="Arial Unicode MS" w:cs="Times New Roman"/>
    </w:rPr>
  </w:style>
  <w:style w:type="character" w:customStyle="1" w:styleId="114CharChar">
    <w:name w:val="样式 标题 1 + 两端对齐 行距: 多倍行距 1.4 字行 Char Char"/>
    <w:link w:val="114"/>
    <w:rsid w:val="00631CEC"/>
    <w:rPr>
      <w:rFonts w:ascii="宋体" w:eastAsia="黑体" w:hAnsi="宋体"/>
      <w:b/>
      <w:kern w:val="44"/>
      <w:position w:val="-30"/>
      <w:sz w:val="28"/>
    </w:rPr>
  </w:style>
  <w:style w:type="paragraph" w:customStyle="1" w:styleId="114">
    <w:name w:val="样式 标题 1 + 两端对齐 行距: 多倍行距 1.4 字行"/>
    <w:basedOn w:val="1"/>
    <w:link w:val="114CharChar"/>
    <w:rsid w:val="00631CEC"/>
    <w:pPr>
      <w:topLinePunct w:val="0"/>
      <w:snapToGrid w:val="0"/>
      <w:spacing w:before="120" w:beforeAutospacing="0" w:after="120" w:afterAutospacing="0"/>
      <w:ind w:left="240" w:right="240"/>
      <w:jc w:val="center"/>
      <w:textAlignment w:val="baseline"/>
    </w:pPr>
    <w:rPr>
      <w:rFonts w:ascii="宋体" w:eastAsia="黑体" w:hAnsi="宋体"/>
      <w:position w:val="-30"/>
      <w:sz w:val="28"/>
      <w:szCs w:val="20"/>
    </w:rPr>
  </w:style>
  <w:style w:type="character" w:customStyle="1" w:styleId="Charf9">
    <w:name w:val="正文（科宏） Char"/>
    <w:rsid w:val="00631CEC"/>
    <w:rPr>
      <w:rFonts w:ascii="Arial" w:eastAsia="仿宋_GB2312" w:hAnsi="Arial"/>
      <w:sz w:val="28"/>
      <w:lang w:val="en-US" w:eastAsia="zh-CN" w:bidi="ar-SA"/>
    </w:rPr>
  </w:style>
  <w:style w:type="character" w:customStyle="1" w:styleId="110">
    <w:name w:val="标题 1 字符1"/>
    <w:rsid w:val="00631CEC"/>
    <w:rPr>
      <w:rFonts w:ascii="Times New Roman" w:eastAsia="宋体" w:hAnsi="Times New Roman" w:cs="Times New Roman"/>
      <w:b/>
      <w:bCs/>
      <w:kern w:val="44"/>
      <w:sz w:val="44"/>
      <w:szCs w:val="44"/>
    </w:rPr>
  </w:style>
  <w:style w:type="character" w:customStyle="1" w:styleId="2Char3">
    <w:name w:val="章2 Char"/>
    <w:link w:val="24"/>
    <w:rsid w:val="00631CEC"/>
    <w:rPr>
      <w:rFonts w:ascii="Arial" w:hAnsi="Arial"/>
      <w:b/>
      <w:bCs/>
      <w:sz w:val="24"/>
      <w:szCs w:val="21"/>
      <w:lang w:val="en-US" w:eastAsia="zh-CN" w:bidi="ar-SA"/>
    </w:rPr>
  </w:style>
  <w:style w:type="paragraph" w:customStyle="1" w:styleId="24">
    <w:name w:val="章2"/>
    <w:link w:val="2Char3"/>
    <w:rsid w:val="00631CEC"/>
    <w:pPr>
      <w:spacing w:before="50" w:after="50" w:line="360" w:lineRule="auto"/>
      <w:jc w:val="center"/>
      <w:outlineLvl w:val="0"/>
    </w:pPr>
    <w:rPr>
      <w:rFonts w:ascii="Arial" w:hAnsi="Arial"/>
      <w:b/>
      <w:bCs/>
      <w:sz w:val="24"/>
      <w:szCs w:val="21"/>
    </w:rPr>
  </w:style>
  <w:style w:type="character" w:customStyle="1" w:styleId="3Char20">
    <w:name w:val="标题 3 Char2"/>
    <w:rsid w:val="00631CEC"/>
    <w:rPr>
      <w:rFonts w:eastAsia="宋体"/>
      <w:b/>
      <w:kern w:val="2"/>
      <w:sz w:val="32"/>
      <w:lang w:val="en-US" w:eastAsia="zh-CN"/>
    </w:rPr>
  </w:style>
  <w:style w:type="character" w:customStyle="1" w:styleId="3Char5">
    <w:name w:val="3级标题 Char"/>
    <w:rsid w:val="00631CEC"/>
    <w:rPr>
      <w:rFonts w:eastAsia="黑体"/>
      <w:kern w:val="2"/>
      <w:sz w:val="24"/>
      <w:szCs w:val="24"/>
      <w:lang w:val="en-US" w:eastAsia="zh-CN" w:bidi="ar-SA"/>
    </w:rPr>
  </w:style>
  <w:style w:type="character" w:customStyle="1" w:styleId="t13l14green1">
    <w:name w:val="t13l14green1"/>
    <w:rsid w:val="00631CEC"/>
    <w:rPr>
      <w:color w:val="008484"/>
      <w:sz w:val="21"/>
    </w:rPr>
  </w:style>
  <w:style w:type="character" w:customStyle="1" w:styleId="CharCharChar6">
    <w:name w:val="款正文（科宏） Char Char Char"/>
    <w:rsid w:val="00631CEC"/>
    <w:rPr>
      <w:rFonts w:ascii="Arial" w:eastAsia="仿宋_GB2312" w:hAnsi="Arial"/>
      <w:sz w:val="28"/>
      <w:lang w:val="en-US" w:eastAsia="zh-CN" w:bidi="ar-SA"/>
    </w:rPr>
  </w:style>
  <w:style w:type="character" w:customStyle="1" w:styleId="Char14">
    <w:name w:val="标题 Char1"/>
    <w:rsid w:val="00631CEC"/>
    <w:rPr>
      <w:rFonts w:ascii="Cambria" w:hAnsi="Cambria"/>
      <w:b/>
      <w:kern w:val="2"/>
      <w:sz w:val="32"/>
    </w:rPr>
  </w:style>
  <w:style w:type="character" w:customStyle="1" w:styleId="4CharCharCharCharChar">
    <w:name w:val="样式 标题 4 + (符号) 宋体 小四 非加粗 两端对齐 Char Char Char Char Char"/>
    <w:link w:val="4CharCharChar"/>
    <w:rsid w:val="00631CEC"/>
    <w:rPr>
      <w:rFonts w:eastAsia="宋体"/>
    </w:rPr>
  </w:style>
  <w:style w:type="paragraph" w:customStyle="1" w:styleId="4CharCharChar">
    <w:name w:val="样式 标题 4 + (符号) 宋体 小四 非加粗 两端对齐 Char Char Char"/>
    <w:basedOn w:val="a0"/>
    <w:link w:val="4CharCharCharCharChar"/>
    <w:rsid w:val="00631CEC"/>
    <w:pPr>
      <w:tabs>
        <w:tab w:val="left" w:pos="425"/>
      </w:tabs>
      <w:topLinePunct w:val="0"/>
      <w:adjustRightInd/>
      <w:spacing w:line="240" w:lineRule="auto"/>
      <w:ind w:left="360" w:firstLineChars="0" w:hanging="360"/>
    </w:pPr>
    <w:rPr>
      <w:rFonts w:ascii="Calibri" w:hAnsi="Calibri" w:cs="Times New Roman"/>
      <w:sz w:val="20"/>
      <w:szCs w:val="20"/>
    </w:rPr>
  </w:style>
  <w:style w:type="character" w:customStyle="1" w:styleId="Charfa">
    <w:name w:val="章标题（科宏） Char"/>
    <w:link w:val="a"/>
    <w:rsid w:val="00631CEC"/>
    <w:rPr>
      <w:rFonts w:ascii="Arial" w:eastAsia="仿宋_GB2312" w:hAnsi="Arial"/>
      <w:b/>
      <w:sz w:val="32"/>
      <w:lang w:val="en-US" w:eastAsia="zh-CN" w:bidi="ar-SA"/>
    </w:rPr>
  </w:style>
  <w:style w:type="paragraph" w:customStyle="1" w:styleId="a">
    <w:name w:val="章标题（科宏）"/>
    <w:next w:val="afff0"/>
    <w:link w:val="Charfa"/>
    <w:rsid w:val="00631CEC"/>
    <w:pPr>
      <w:pageBreakBefore/>
      <w:widowControl w:val="0"/>
      <w:numPr>
        <w:numId w:val="1"/>
      </w:numPr>
      <w:spacing w:beforeLines="50" w:afterLines="50" w:line="360" w:lineRule="auto"/>
      <w:jc w:val="center"/>
      <w:outlineLvl w:val="0"/>
    </w:pPr>
    <w:rPr>
      <w:rFonts w:ascii="Arial" w:eastAsia="仿宋_GB2312" w:hAnsi="Arial"/>
      <w:b/>
      <w:sz w:val="32"/>
    </w:rPr>
  </w:style>
  <w:style w:type="character" w:customStyle="1" w:styleId="afff7">
    <w:name w:val="正文文本缩进 字符"/>
    <w:rsid w:val="00631CEC"/>
    <w:rPr>
      <w:rFonts w:ascii="Arial" w:eastAsia="仿宋_GB2312" w:hAnsi="Arial" w:cs="Arial"/>
      <w:kern w:val="2"/>
      <w:sz w:val="28"/>
      <w:lang w:val="en-US" w:eastAsia="zh-CN" w:bidi="ar-SA"/>
    </w:rPr>
  </w:style>
  <w:style w:type="character" w:customStyle="1" w:styleId="z-Char0">
    <w:name w:val="z-窗体底端 Char"/>
    <w:link w:val="z-0"/>
    <w:rsid w:val="00631CEC"/>
    <w:rPr>
      <w:rFonts w:ascii="Arial" w:eastAsia="仿宋_GB2312" w:hAnsi="Arial" w:cs="Arial"/>
      <w:vanish/>
      <w:sz w:val="16"/>
      <w:szCs w:val="16"/>
    </w:rPr>
  </w:style>
  <w:style w:type="paragraph" w:styleId="z-0">
    <w:name w:val="HTML Bottom of Form"/>
    <w:basedOn w:val="a0"/>
    <w:next w:val="a0"/>
    <w:link w:val="z-Char0"/>
    <w:rsid w:val="00631CEC"/>
    <w:pPr>
      <w:pBdr>
        <w:top w:val="single" w:sz="6" w:space="1" w:color="auto"/>
      </w:pBdr>
      <w:topLinePunct w:val="0"/>
      <w:adjustRightInd/>
      <w:ind w:firstLineChars="0" w:firstLine="0"/>
      <w:jc w:val="center"/>
    </w:pPr>
    <w:rPr>
      <w:rFonts w:ascii="Arial" w:eastAsia="仿宋_GB2312" w:hAnsi="Arial" w:cs="Times New Roman"/>
      <w:vanish/>
      <w:sz w:val="16"/>
      <w:szCs w:val="16"/>
    </w:rPr>
  </w:style>
  <w:style w:type="character" w:customStyle="1" w:styleId="CharChar22">
    <w:name w:val="Char Char22"/>
    <w:rsid w:val="00631CEC"/>
    <w:rPr>
      <w:rFonts w:eastAsia="宋体"/>
      <w:kern w:val="2"/>
      <w:sz w:val="21"/>
      <w:lang w:val="en-US" w:eastAsia="zh-CN"/>
    </w:rPr>
  </w:style>
  <w:style w:type="character" w:customStyle="1" w:styleId="CharChar27">
    <w:name w:val="Char Char27"/>
    <w:rsid w:val="00631CEC"/>
    <w:rPr>
      <w:rFonts w:eastAsia="宋体"/>
      <w:b/>
      <w:bCs/>
      <w:kern w:val="2"/>
      <w:sz w:val="32"/>
      <w:szCs w:val="32"/>
      <w:lang w:val="en-US" w:eastAsia="zh-CN" w:bidi="ar-SA"/>
    </w:rPr>
  </w:style>
  <w:style w:type="character" w:customStyle="1" w:styleId="Charfb">
    <w:name w:val="(页眉)科宏 Char"/>
    <w:link w:val="afff8"/>
    <w:rsid w:val="00631CEC"/>
    <w:rPr>
      <w:rFonts w:ascii="Arial" w:eastAsia="仿宋_GB2312" w:hAnsi="Arial"/>
      <w:lang w:val="en-US" w:eastAsia="zh-CN" w:bidi="ar-SA"/>
    </w:rPr>
  </w:style>
  <w:style w:type="paragraph" w:customStyle="1" w:styleId="afff8">
    <w:name w:val="(页眉)科宏"/>
    <w:link w:val="Charfb"/>
    <w:rsid w:val="00631CEC"/>
    <w:rPr>
      <w:rFonts w:ascii="Arial" w:eastAsia="仿宋_GB2312" w:hAnsi="Arial"/>
    </w:rPr>
  </w:style>
  <w:style w:type="character" w:customStyle="1" w:styleId="textcontents">
    <w:name w:val="textcontents"/>
    <w:basedOn w:val="a2"/>
    <w:rsid w:val="00631CEC"/>
  </w:style>
  <w:style w:type="character" w:customStyle="1" w:styleId="CharChare">
    <w:name w:val="纯文本 Char Char"/>
    <w:rsid w:val="00631CEC"/>
    <w:rPr>
      <w:rFonts w:ascii="宋体" w:eastAsia="仿宋_GB2312" w:hAnsi="Courier New"/>
      <w:kern w:val="2"/>
      <w:sz w:val="28"/>
      <w:lang w:val="en-US" w:eastAsia="zh-CN" w:bidi="he-IL"/>
    </w:rPr>
  </w:style>
  <w:style w:type="character" w:customStyle="1" w:styleId="CharChar70">
    <w:name w:val="Char Char7"/>
    <w:rsid w:val="00631CEC"/>
    <w:rPr>
      <w:rFonts w:ascii="Arial" w:eastAsia="仿宋_GB2312" w:hAnsi="Arial"/>
      <w:kern w:val="2"/>
      <w:sz w:val="28"/>
    </w:rPr>
  </w:style>
  <w:style w:type="character" w:customStyle="1" w:styleId="311103Level3HeadH3level3PIM3h333rdlevelCharChar">
    <w:name w:val="样式 标题 31.1.1标题03Level 3 HeadH3level_3PIM 3h333rd level... Char Char"/>
    <w:link w:val="311103Level3HeadH3level3PIM3h333rdlevel"/>
    <w:rsid w:val="00631CEC"/>
    <w:rPr>
      <w:rFonts w:ascii="宋体" w:eastAsia="宋体" w:hAnsi="宋体"/>
      <w:sz w:val="24"/>
    </w:rPr>
  </w:style>
  <w:style w:type="paragraph" w:customStyle="1" w:styleId="311103Level3HeadH3level3PIM3h333rdlevel">
    <w:name w:val="样式 标题 31.1.1标题03Level 3 HeadH3level_3PIM 3h333rd level..."/>
    <w:basedOn w:val="3"/>
    <w:link w:val="311103Level3HeadH3level3PIM3h333rdlevelCharChar"/>
    <w:rsid w:val="00631CEC"/>
    <w:pPr>
      <w:topLinePunct w:val="0"/>
      <w:jc w:val="left"/>
      <w:textAlignment w:val="baseline"/>
    </w:pPr>
    <w:rPr>
      <w:rFonts w:ascii="宋体" w:eastAsia="宋体" w:hAnsi="宋体"/>
      <w:b w:val="0"/>
      <w:szCs w:val="20"/>
    </w:rPr>
  </w:style>
  <w:style w:type="character" w:customStyle="1" w:styleId="2Char4">
    <w:name w:val="标题 2 Char"/>
    <w:aliases w:val="1.1 Char,1.1标题 2 Char,Major Heading Char,L2 Char,ËÑÇ¢ˆmÍ 2 Char,RSKH2 Char,hseHeading 2 Char,top heading 2 Char,Se Char,ËÑÇ¢éÍ 2 Char,título 2 Char,节标题 Char,H2 Char,h2 Char,第一层条 Char,4.1 Char,二级标题 Char1,标题 lxb2 Char,节 Char"/>
    <w:rsid w:val="00631CEC"/>
    <w:rPr>
      <w:rFonts w:ascii="Arial" w:eastAsia="黑体" w:hAnsi="Arial"/>
      <w:b/>
      <w:kern w:val="2"/>
      <w:sz w:val="32"/>
      <w:lang w:val="en-US" w:eastAsia="zh-CN" w:bidi="ar-SA"/>
    </w:rPr>
  </w:style>
  <w:style w:type="character" w:customStyle="1" w:styleId="Charfc">
    <w:name w:val="纯文本 Char"/>
    <w:link w:val="afff9"/>
    <w:rsid w:val="00631CEC"/>
    <w:rPr>
      <w:rFonts w:ascii="宋体" w:eastAsia="宋体" w:hAnsi="Courier New" w:cs="Courier New"/>
      <w:szCs w:val="21"/>
    </w:rPr>
  </w:style>
  <w:style w:type="paragraph" w:styleId="afff9">
    <w:name w:val="Plain Text"/>
    <w:basedOn w:val="a0"/>
    <w:link w:val="Charfc"/>
    <w:rsid w:val="00631CEC"/>
    <w:pPr>
      <w:topLinePunct w:val="0"/>
      <w:adjustRightInd/>
      <w:spacing w:line="240" w:lineRule="auto"/>
      <w:ind w:firstLineChars="0" w:firstLine="0"/>
    </w:pPr>
    <w:rPr>
      <w:rFonts w:hAnsi="Courier New" w:cs="Times New Roman"/>
      <w:sz w:val="20"/>
      <w:szCs w:val="21"/>
    </w:rPr>
  </w:style>
  <w:style w:type="character" w:customStyle="1" w:styleId="CharChar16">
    <w:name w:val="Char Char16"/>
    <w:rsid w:val="00631CEC"/>
    <w:rPr>
      <w:rFonts w:ascii="Arial" w:eastAsia="仿宋_GB2312" w:hAnsi="Arial"/>
      <w:b/>
      <w:kern w:val="2"/>
      <w:sz w:val="30"/>
      <w:lang w:val="en-US" w:eastAsia="zh-CN"/>
    </w:rPr>
  </w:style>
  <w:style w:type="character" w:customStyle="1" w:styleId="CharChar21">
    <w:name w:val="Char Char21"/>
    <w:rsid w:val="00631CEC"/>
    <w:rPr>
      <w:rFonts w:eastAsia="宋体"/>
      <w:kern w:val="2"/>
      <w:sz w:val="21"/>
      <w:szCs w:val="18"/>
      <w:lang w:val="en-US" w:eastAsia="zh-CN" w:bidi="ar-SA"/>
    </w:rPr>
  </w:style>
  <w:style w:type="paragraph" w:customStyle="1" w:styleId="xl61">
    <w:name w:val="xl61"/>
    <w:basedOn w:val="a0"/>
    <w:rsid w:val="00631CEC"/>
    <w:pPr>
      <w:widowControl/>
      <w:pBdr>
        <w:top w:val="single" w:sz="4" w:space="0" w:color="auto"/>
        <w:lef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color w:val="FF0000"/>
      <w:sz w:val="20"/>
      <w:szCs w:val="20"/>
    </w:rPr>
  </w:style>
  <w:style w:type="paragraph" w:customStyle="1" w:styleId="afffa">
    <w:name w:val="表格文字"/>
    <w:basedOn w:val="a0"/>
    <w:rsid w:val="00631CEC"/>
    <w:pPr>
      <w:topLinePunct w:val="0"/>
      <w:snapToGrid w:val="0"/>
      <w:spacing w:line="240" w:lineRule="auto"/>
      <w:ind w:firstLineChars="0" w:firstLine="0"/>
      <w:jc w:val="center"/>
    </w:pPr>
    <w:rPr>
      <w:rFonts w:ascii="Arial" w:eastAsia="仿宋_GB2312" w:hAnsi="Arial" w:cs="Arial"/>
      <w:color w:val="000000"/>
      <w:spacing w:val="-20"/>
      <w:kern w:val="2"/>
      <w:szCs w:val="20"/>
    </w:rPr>
  </w:style>
  <w:style w:type="paragraph" w:customStyle="1" w:styleId="afffb">
    <w:name w:val="小标题"/>
    <w:basedOn w:val="a0"/>
    <w:rsid w:val="00631CEC"/>
    <w:pPr>
      <w:topLinePunct w:val="0"/>
      <w:adjustRightInd/>
      <w:spacing w:line="240" w:lineRule="auto"/>
      <w:ind w:firstLineChars="0" w:firstLine="0"/>
    </w:pPr>
    <w:rPr>
      <w:rFonts w:hAnsi="宋体" w:cs="Times New Roman" w:hint="eastAsia"/>
      <w:kern w:val="2"/>
      <w:sz w:val="28"/>
      <w:szCs w:val="20"/>
    </w:rPr>
  </w:style>
  <w:style w:type="paragraph" w:customStyle="1" w:styleId="xl74">
    <w:name w:val="xl74"/>
    <w:basedOn w:val="a0"/>
    <w:rsid w:val="00631CEC"/>
    <w:pPr>
      <w:widowControl/>
      <w:pBdr>
        <w:top w:val="single" w:sz="4" w:space="0" w:color="auto"/>
        <w:left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ascii="Times New Roman" w:eastAsia="Arial Unicode MS" w:cs="Times New Roman"/>
      <w:sz w:val="20"/>
      <w:szCs w:val="20"/>
    </w:rPr>
  </w:style>
  <w:style w:type="paragraph" w:styleId="afffc">
    <w:name w:val="List"/>
    <w:basedOn w:val="a0"/>
    <w:rsid w:val="00631CEC"/>
    <w:pPr>
      <w:topLinePunct w:val="0"/>
      <w:adjustRightInd/>
      <w:spacing w:line="240" w:lineRule="auto"/>
      <w:ind w:left="200" w:hangingChars="200" w:hanging="200"/>
    </w:pPr>
    <w:rPr>
      <w:rFonts w:ascii="Times New Roman" w:cs="Times New Roman"/>
      <w:kern w:val="2"/>
      <w:sz w:val="21"/>
      <w:szCs w:val="20"/>
    </w:rPr>
  </w:style>
  <w:style w:type="paragraph" w:customStyle="1" w:styleId="afffd">
    <w:name w:val="小表左"/>
    <w:basedOn w:val="a0"/>
    <w:rsid w:val="00631CEC"/>
    <w:pPr>
      <w:keepNext/>
      <w:topLinePunct w:val="0"/>
      <w:adjustRightInd/>
      <w:snapToGrid w:val="0"/>
      <w:spacing w:line="240" w:lineRule="atLeast"/>
      <w:ind w:leftChars="30" w:left="63" w:firstLineChars="0" w:firstLine="0"/>
      <w:jc w:val="center"/>
    </w:pPr>
    <w:rPr>
      <w:rFonts w:hAnsi="宋体" w:cs="Times New Roman" w:hint="eastAsia"/>
      <w:kern w:val="2"/>
      <w:sz w:val="21"/>
      <w:szCs w:val="20"/>
    </w:rPr>
  </w:style>
  <w:style w:type="paragraph" w:styleId="afffe">
    <w:name w:val="Normal (Web)"/>
    <w:basedOn w:val="a0"/>
    <w:rsid w:val="00631CEC"/>
    <w:pPr>
      <w:topLinePunct w:val="0"/>
      <w:adjustRightInd/>
      <w:spacing w:line="240" w:lineRule="auto"/>
      <w:ind w:firstLineChars="0" w:firstLine="0"/>
    </w:pPr>
    <w:rPr>
      <w:rFonts w:ascii="Times New Roman" w:cs="Times New Roman"/>
      <w:kern w:val="2"/>
      <w:szCs w:val="20"/>
    </w:rPr>
  </w:style>
  <w:style w:type="paragraph" w:customStyle="1" w:styleId="MY">
    <w:name w:val="MY 表格文字"/>
    <w:next w:val="a0"/>
    <w:rsid w:val="00631CEC"/>
    <w:pPr>
      <w:adjustRightInd w:val="0"/>
      <w:snapToGrid w:val="0"/>
      <w:jc w:val="center"/>
    </w:pPr>
    <w:rPr>
      <w:rFonts w:ascii="宋体" w:hAnsi="Times New Roman"/>
      <w:kern w:val="2"/>
      <w:sz w:val="21"/>
      <w:szCs w:val="21"/>
    </w:rPr>
  </w:style>
  <w:style w:type="paragraph" w:customStyle="1" w:styleId="affff">
    <w:name w:val="正文段落"/>
    <w:basedOn w:val="a0"/>
    <w:rsid w:val="00631CEC"/>
    <w:pPr>
      <w:topLinePunct w:val="0"/>
      <w:adjustRightInd/>
      <w:spacing w:line="288" w:lineRule="auto"/>
    </w:pPr>
    <w:rPr>
      <w:rFonts w:ascii="Times New Roman" w:cs="Times New Roman"/>
      <w:kern w:val="2"/>
      <w:szCs w:val="20"/>
    </w:rPr>
  </w:style>
  <w:style w:type="paragraph" w:styleId="affff0">
    <w:name w:val="table of figures"/>
    <w:basedOn w:val="a0"/>
    <w:next w:val="a0"/>
    <w:rsid w:val="00631CEC"/>
    <w:pPr>
      <w:topLinePunct w:val="0"/>
      <w:adjustRightInd/>
      <w:spacing w:line="240" w:lineRule="auto"/>
      <w:ind w:leftChars="200" w:left="200" w:hangingChars="200" w:hanging="200"/>
    </w:pPr>
    <w:rPr>
      <w:rFonts w:ascii="Times New Roman" w:eastAsia="仿宋_GB2312" w:cs="Times New Roman"/>
      <w:kern w:val="2"/>
      <w:sz w:val="28"/>
      <w:szCs w:val="20"/>
    </w:rPr>
  </w:style>
  <w:style w:type="paragraph" w:customStyle="1" w:styleId="25">
    <w:name w:val="节内编号2"/>
    <w:rsid w:val="00631CEC"/>
    <w:pPr>
      <w:adjustRightInd w:val="0"/>
      <w:snapToGrid w:val="0"/>
      <w:spacing w:line="360" w:lineRule="auto"/>
      <w:ind w:rightChars="100" w:right="100"/>
      <w:jc w:val="both"/>
    </w:pPr>
    <w:rPr>
      <w:rFonts w:ascii="Times New Roman" w:hAnsi="Times New Roman"/>
      <w:color w:val="000000"/>
      <w:sz w:val="24"/>
    </w:rPr>
  </w:style>
  <w:style w:type="paragraph" w:customStyle="1" w:styleId="CharCharCharCharCharCharCharCharChar1CharCharCharChar">
    <w:name w:val="Char Char Char Char Char Char Char Char Char1 Char Char Char Char"/>
    <w:basedOn w:val="a0"/>
    <w:rsid w:val="00631CEC"/>
    <w:pPr>
      <w:topLinePunct w:val="0"/>
      <w:adjustRightInd/>
      <w:spacing w:line="240" w:lineRule="auto"/>
      <w:ind w:firstLineChars="0" w:firstLine="0"/>
    </w:pPr>
    <w:rPr>
      <w:rFonts w:ascii="Times New Roman" w:eastAsia="仿宋_GB2312" w:cs="Times New Roman"/>
      <w:kern w:val="2"/>
      <w:sz w:val="28"/>
      <w:szCs w:val="20"/>
    </w:rPr>
  </w:style>
  <w:style w:type="character" w:customStyle="1" w:styleId="212">
    <w:name w:val="正文文本首行缩进 2 字符1"/>
    <w:basedOn w:val="Charf7"/>
    <w:uiPriority w:val="99"/>
    <w:semiHidden/>
    <w:rsid w:val="00631CEC"/>
    <w:rPr>
      <w:rFonts w:ascii="Times New Roman" w:eastAsia="宋体" w:hAnsi="Times New Roman" w:cs="Times New Roman"/>
      <w:kern w:val="2"/>
      <w:sz w:val="21"/>
      <w:szCs w:val="24"/>
    </w:rPr>
  </w:style>
  <w:style w:type="paragraph" w:customStyle="1" w:styleId="xl80">
    <w:name w:val="xl80"/>
    <w:basedOn w:val="a0"/>
    <w:rsid w:val="00631CEC"/>
    <w:pPr>
      <w:widowControl/>
      <w:pBdr>
        <w:top w:val="single" w:sz="4" w:space="0" w:color="auto"/>
        <w:bottom w:val="single" w:sz="4" w:space="0" w:color="auto"/>
      </w:pBdr>
      <w:topLinePunct w:val="0"/>
      <w:adjustRightInd/>
      <w:spacing w:before="100" w:beforeAutospacing="1" w:after="100" w:afterAutospacing="1" w:line="240" w:lineRule="auto"/>
      <w:ind w:firstLineChars="0" w:firstLine="0"/>
      <w:jc w:val="center"/>
      <w:textAlignment w:val="center"/>
    </w:pPr>
    <w:rPr>
      <w:rFonts w:ascii="Arial Unicode MS" w:eastAsia="Arial Unicode MS" w:hAnsi="Arial Unicode MS" w:cs="Times New Roman"/>
      <w:sz w:val="20"/>
      <w:szCs w:val="20"/>
    </w:rPr>
  </w:style>
  <w:style w:type="paragraph" w:styleId="affff1">
    <w:name w:val="table of authorities"/>
    <w:basedOn w:val="a0"/>
    <w:next w:val="a0"/>
    <w:rsid w:val="00631CEC"/>
    <w:pPr>
      <w:topLinePunct w:val="0"/>
      <w:adjustRightInd/>
      <w:spacing w:line="240" w:lineRule="auto"/>
      <w:ind w:leftChars="200" w:left="420" w:firstLineChars="0" w:firstLine="0"/>
    </w:pPr>
    <w:rPr>
      <w:rFonts w:ascii="Times New Roman" w:cs="Times New Roman"/>
      <w:kern w:val="2"/>
      <w:sz w:val="21"/>
      <w:szCs w:val="20"/>
    </w:rPr>
  </w:style>
  <w:style w:type="paragraph" w:customStyle="1" w:styleId="affff2">
    <w:name w:val="备注"/>
    <w:basedOn w:val="a0"/>
    <w:rsid w:val="00631CEC"/>
    <w:pPr>
      <w:keepNext/>
      <w:topLinePunct w:val="0"/>
      <w:adjustRightInd/>
      <w:snapToGrid w:val="0"/>
      <w:spacing w:line="240" w:lineRule="atLeast"/>
      <w:ind w:firstLine="420"/>
    </w:pPr>
    <w:rPr>
      <w:rFonts w:cs="Times New Roman"/>
      <w:kern w:val="2"/>
      <w:sz w:val="21"/>
      <w:szCs w:val="20"/>
    </w:rPr>
  </w:style>
  <w:style w:type="paragraph" w:customStyle="1" w:styleId="400">
    <w:name w:val="样式 标题 4  +段后：0磅"/>
    <w:basedOn w:val="4CharCharChar"/>
    <w:next w:val="4"/>
    <w:rsid w:val="00631CEC"/>
    <w:pPr>
      <w:tabs>
        <w:tab w:val="clear" w:pos="425"/>
        <w:tab w:val="left" w:pos="2240"/>
      </w:tabs>
      <w:spacing w:line="480" w:lineRule="auto"/>
      <w:ind w:left="2240" w:hanging="420"/>
    </w:pPr>
  </w:style>
  <w:style w:type="paragraph" w:customStyle="1" w:styleId="ST4">
    <w:name w:val="正文－ST4"/>
    <w:basedOn w:val="a0"/>
    <w:rsid w:val="00631CEC"/>
    <w:pPr>
      <w:topLinePunct w:val="0"/>
      <w:snapToGrid w:val="0"/>
      <w:ind w:leftChars="100" w:left="240" w:right="-57" w:firstLine="480"/>
    </w:pPr>
    <w:rPr>
      <w:rFonts w:hAnsi="宋体" w:cs="Times New Roman"/>
      <w:color w:val="000000"/>
      <w:szCs w:val="20"/>
    </w:rPr>
  </w:style>
  <w:style w:type="paragraph" w:customStyle="1" w:styleId="15">
    <w:name w:val="目录1"/>
    <w:basedOn w:val="a0"/>
    <w:next w:val="21"/>
    <w:rsid w:val="00631CEC"/>
    <w:pPr>
      <w:topLinePunct w:val="0"/>
      <w:adjustRightInd/>
      <w:spacing w:line="300" w:lineRule="auto"/>
      <w:ind w:firstLineChars="0" w:firstLine="0"/>
    </w:pPr>
    <w:rPr>
      <w:rFonts w:ascii="Times New Roman" w:cs="Times New Roman"/>
      <w:b/>
      <w:kern w:val="2"/>
      <w:sz w:val="28"/>
      <w:szCs w:val="20"/>
    </w:rPr>
  </w:style>
  <w:style w:type="paragraph" w:customStyle="1" w:styleId="200">
    <w:name w:val="标题：样式 标题 2 + 左侧:  0 厘米 首行缩进:  0 厘米"/>
    <w:basedOn w:val="2"/>
    <w:rsid w:val="00631CEC"/>
    <w:pPr>
      <w:tabs>
        <w:tab w:val="left" w:pos="1320"/>
      </w:tabs>
      <w:topLinePunct w:val="0"/>
      <w:adjustRightInd/>
      <w:spacing w:before="260" w:after="260" w:line="413" w:lineRule="auto"/>
      <w:ind w:left="1320" w:hanging="420"/>
      <w:jc w:val="center"/>
    </w:pPr>
    <w:rPr>
      <w:rFonts w:ascii="华文中宋" w:eastAsia="华文中宋" w:hAnsi="华文中宋" w:cs="Times New Roman"/>
      <w:b w:val="0"/>
      <w:bCs w:val="0"/>
      <w:kern w:val="2"/>
      <w:sz w:val="36"/>
      <w:szCs w:val="20"/>
    </w:rPr>
  </w:style>
  <w:style w:type="paragraph" w:styleId="affff3">
    <w:name w:val="Block Text"/>
    <w:basedOn w:val="a0"/>
    <w:rsid w:val="00631CEC"/>
    <w:pPr>
      <w:topLinePunct w:val="0"/>
      <w:adjustRightInd/>
      <w:spacing w:line="240" w:lineRule="auto"/>
      <w:ind w:leftChars="50" w:left="105" w:right="284" w:firstLine="560"/>
    </w:pPr>
    <w:rPr>
      <w:rFonts w:ascii="Arial" w:eastAsia="仿宋_GB2312" w:hAnsi="Arial" w:cs="Arial"/>
      <w:kern w:val="2"/>
      <w:sz w:val="28"/>
    </w:rPr>
  </w:style>
  <w:style w:type="paragraph" w:customStyle="1" w:styleId="203">
    <w:name w:val="样式 标题 2 + 段前: 0.3 行"/>
    <w:basedOn w:val="2"/>
    <w:next w:val="a0"/>
    <w:rsid w:val="00631CEC"/>
    <w:pPr>
      <w:widowControl/>
      <w:topLinePunct w:val="0"/>
      <w:spacing w:beforeLines="10" w:afterLines="10"/>
    </w:pPr>
    <w:rPr>
      <w:rFonts w:ascii="Arial Unicode MS" w:hAnsi="Arial Unicode MS" w:cs="Times New Roman"/>
      <w:b w:val="0"/>
      <w:bCs w:val="0"/>
      <w:color w:val="3366FF"/>
      <w:kern w:val="2"/>
      <w:szCs w:val="20"/>
    </w:rPr>
  </w:style>
  <w:style w:type="paragraph" w:customStyle="1" w:styleId="xl58">
    <w:name w:val="xl58"/>
    <w:basedOn w:val="a0"/>
    <w:rsid w:val="00631CEC"/>
    <w:pPr>
      <w:widowControl/>
      <w:pBdr>
        <w:righ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Cs w:val="20"/>
    </w:rPr>
  </w:style>
  <w:style w:type="character" w:customStyle="1" w:styleId="311">
    <w:name w:val="正文文本 3 字符1"/>
    <w:basedOn w:val="a2"/>
    <w:uiPriority w:val="99"/>
    <w:semiHidden/>
    <w:rsid w:val="00631CEC"/>
    <w:rPr>
      <w:rFonts w:ascii="宋体" w:hAnsi="Times New Roman" w:cs="宋体"/>
      <w:sz w:val="16"/>
      <w:szCs w:val="16"/>
    </w:rPr>
  </w:style>
  <w:style w:type="character" w:customStyle="1" w:styleId="z-1">
    <w:name w:val="z-窗体顶端 字符1"/>
    <w:basedOn w:val="a2"/>
    <w:uiPriority w:val="99"/>
    <w:semiHidden/>
    <w:rsid w:val="00631CEC"/>
    <w:rPr>
      <w:rFonts w:ascii="Arial" w:hAnsi="Arial" w:cs="Arial"/>
      <w:vanish/>
      <w:sz w:val="16"/>
      <w:szCs w:val="16"/>
    </w:rPr>
  </w:style>
  <w:style w:type="paragraph" w:customStyle="1" w:styleId="xl53">
    <w:name w:val="xl53"/>
    <w:basedOn w:val="a0"/>
    <w:rsid w:val="00631CEC"/>
    <w:pPr>
      <w:widowControl/>
      <w:pBdr>
        <w:top w:val="single" w:sz="4" w:space="0" w:color="auto"/>
        <w:left w:val="single" w:sz="4" w:space="0" w:color="auto"/>
        <w:bottom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styleId="26">
    <w:name w:val="List 2"/>
    <w:basedOn w:val="a0"/>
    <w:rsid w:val="00631CEC"/>
    <w:pPr>
      <w:topLinePunct w:val="0"/>
      <w:adjustRightInd/>
      <w:spacing w:line="240" w:lineRule="auto"/>
      <w:ind w:left="840" w:firstLineChars="0" w:hanging="420"/>
    </w:pPr>
    <w:rPr>
      <w:rFonts w:ascii="Times New Roman" w:cs="Times New Roman"/>
      <w:kern w:val="2"/>
      <w:sz w:val="21"/>
      <w:szCs w:val="20"/>
    </w:rPr>
  </w:style>
  <w:style w:type="paragraph" w:customStyle="1" w:styleId="27">
    <w:name w:val="标题 2（用）"/>
    <w:basedOn w:val="2"/>
    <w:rsid w:val="00631CEC"/>
    <w:pPr>
      <w:tabs>
        <w:tab w:val="center" w:pos="4918"/>
        <w:tab w:val="left" w:pos="6375"/>
      </w:tabs>
      <w:topLinePunct w:val="0"/>
      <w:snapToGrid w:val="0"/>
      <w:spacing w:beforeLines="50" w:afterLines="25" w:line="336" w:lineRule="auto"/>
      <w:ind w:leftChars="50" w:left="57" w:rightChars="100" w:right="210" w:firstLineChars="37" w:firstLine="104"/>
      <w:jc w:val="center"/>
    </w:pPr>
    <w:rPr>
      <w:rFonts w:ascii="黑体" w:eastAsia="黑体" w:hAnsi="宋体" w:cs="Arial"/>
      <w:bCs w:val="0"/>
      <w:color w:val="000000"/>
      <w:kern w:val="2"/>
      <w:szCs w:val="28"/>
    </w:rPr>
  </w:style>
  <w:style w:type="paragraph" w:styleId="28">
    <w:name w:val="List Continue 2"/>
    <w:basedOn w:val="a0"/>
    <w:rsid w:val="00631CEC"/>
    <w:pPr>
      <w:topLinePunct w:val="0"/>
      <w:adjustRightInd/>
      <w:spacing w:after="120" w:line="240" w:lineRule="auto"/>
      <w:ind w:leftChars="400" w:left="840" w:firstLineChars="0" w:firstLine="0"/>
    </w:pPr>
    <w:rPr>
      <w:rFonts w:ascii="Times New Roman" w:cs="Times New Roman"/>
      <w:kern w:val="2"/>
      <w:sz w:val="21"/>
      <w:szCs w:val="20"/>
    </w:rPr>
  </w:style>
  <w:style w:type="paragraph" w:customStyle="1" w:styleId="100">
    <w:name w:val="10"/>
    <w:basedOn w:val="a0"/>
    <w:next w:val="afff9"/>
    <w:rsid w:val="00631CEC"/>
    <w:pPr>
      <w:topLinePunct w:val="0"/>
      <w:adjustRightInd/>
      <w:spacing w:line="240" w:lineRule="auto"/>
      <w:ind w:firstLineChars="0" w:firstLine="0"/>
    </w:pPr>
    <w:rPr>
      <w:rFonts w:hAnsi="Courier New" w:cs="Times New Roman"/>
      <w:kern w:val="2"/>
      <w:sz w:val="28"/>
      <w:szCs w:val="20"/>
    </w:rPr>
  </w:style>
  <w:style w:type="character" w:customStyle="1" w:styleId="312">
    <w:name w:val="正文文本缩进 3 字符1"/>
    <w:basedOn w:val="a2"/>
    <w:uiPriority w:val="99"/>
    <w:semiHidden/>
    <w:rsid w:val="00631CEC"/>
    <w:rPr>
      <w:rFonts w:ascii="宋体" w:hAnsi="Times New Roman" w:cs="宋体"/>
      <w:sz w:val="16"/>
      <w:szCs w:val="16"/>
    </w:rPr>
  </w:style>
  <w:style w:type="paragraph" w:customStyle="1" w:styleId="CharCharCharCharCharCharCharCharCharChar">
    <w:name w:val="Char Char Char Char Char Char Char Char Char Char"/>
    <w:basedOn w:val="a0"/>
    <w:rsid w:val="00631CEC"/>
    <w:pPr>
      <w:widowControl/>
      <w:topLinePunct w:val="0"/>
      <w:adjustRightInd/>
      <w:ind w:firstLineChars="0" w:firstLine="0"/>
      <w:jc w:val="left"/>
    </w:pPr>
    <w:rPr>
      <w:rFonts w:ascii="Times New Roman" w:eastAsia="黑体" w:cs="Times New Roman"/>
      <w:szCs w:val="20"/>
    </w:rPr>
  </w:style>
  <w:style w:type="paragraph" w:customStyle="1" w:styleId="xl48">
    <w:name w:val="xl48"/>
    <w:basedOn w:val="a0"/>
    <w:rsid w:val="00631CEC"/>
    <w:pPr>
      <w:widowControl/>
      <w:pBdr>
        <w:lef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CharCharChar1CharCharCharCharCharCharCharCharCharChar">
    <w:name w:val="Char Char Char1 Char Char Char Char Char Char Char Char Char Char"/>
    <w:basedOn w:val="a0"/>
    <w:rsid w:val="00631CEC"/>
    <w:pPr>
      <w:widowControl/>
      <w:topLinePunct w:val="0"/>
      <w:adjustRightInd/>
      <w:spacing w:line="540" w:lineRule="exact"/>
      <w:jc w:val="left"/>
    </w:pPr>
    <w:rPr>
      <w:rFonts w:hAnsi="宋体"/>
      <w:szCs w:val="21"/>
    </w:rPr>
  </w:style>
  <w:style w:type="paragraph" w:styleId="TOC">
    <w:name w:val="TOC Heading"/>
    <w:basedOn w:val="1"/>
    <w:next w:val="a0"/>
    <w:uiPriority w:val="39"/>
    <w:qFormat/>
    <w:rsid w:val="00631CEC"/>
    <w:pPr>
      <w:widowControl/>
      <w:topLinePunct w:val="0"/>
      <w:adjustRightInd/>
      <w:spacing w:before="480" w:beforeAutospacing="0" w:after="0" w:afterAutospacing="0" w:line="276" w:lineRule="auto"/>
      <w:outlineLvl w:val="9"/>
    </w:pPr>
    <w:rPr>
      <w:rFonts w:ascii="Cambria" w:eastAsia="宋体" w:hAnsi="Cambria"/>
      <w:color w:val="365F91"/>
      <w:kern w:val="0"/>
      <w:sz w:val="28"/>
      <w:szCs w:val="20"/>
    </w:rPr>
  </w:style>
  <w:style w:type="character" w:customStyle="1" w:styleId="16">
    <w:name w:val="纯文本 字符1"/>
    <w:basedOn w:val="a2"/>
    <w:uiPriority w:val="99"/>
    <w:semiHidden/>
    <w:rsid w:val="00631CEC"/>
    <w:rPr>
      <w:rFonts w:ascii="宋体" w:hAnsi="Courier New" w:cs="Courier New"/>
      <w:sz w:val="24"/>
      <w:szCs w:val="24"/>
    </w:rPr>
  </w:style>
  <w:style w:type="paragraph" w:customStyle="1" w:styleId="xl33">
    <w:name w:val="xl33"/>
    <w:basedOn w:val="a0"/>
    <w:rsid w:val="00631CEC"/>
    <w:pPr>
      <w:widowControl/>
      <w:pBdr>
        <w:top w:val="single" w:sz="4" w:space="0" w:color="auto"/>
        <w:left w:val="single" w:sz="8"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left"/>
    </w:pPr>
    <w:rPr>
      <w:rFonts w:hAnsi="宋体" w:cs="Times New Roman"/>
    </w:rPr>
  </w:style>
  <w:style w:type="paragraph" w:customStyle="1" w:styleId="xl45">
    <w:name w:val="xl45"/>
    <w:basedOn w:val="a0"/>
    <w:rsid w:val="00631CEC"/>
    <w:pPr>
      <w:widowControl/>
      <w:pBdr>
        <w:lef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styleId="61">
    <w:name w:val="index 6"/>
    <w:basedOn w:val="a0"/>
    <w:next w:val="a0"/>
    <w:rsid w:val="00631CEC"/>
    <w:pPr>
      <w:topLinePunct w:val="0"/>
      <w:adjustRightInd/>
      <w:spacing w:line="240" w:lineRule="auto"/>
      <w:ind w:leftChars="1000" w:left="1000" w:firstLineChars="0" w:firstLine="0"/>
    </w:pPr>
    <w:rPr>
      <w:rFonts w:ascii="Times New Roman" w:cs="Times New Roman"/>
      <w:kern w:val="2"/>
      <w:sz w:val="21"/>
      <w:szCs w:val="20"/>
    </w:rPr>
  </w:style>
  <w:style w:type="character" w:customStyle="1" w:styleId="17">
    <w:name w:val="正文文本首行缩进 字符1"/>
    <w:basedOn w:val="Char"/>
    <w:uiPriority w:val="99"/>
    <w:semiHidden/>
    <w:rsid w:val="00631CEC"/>
    <w:rPr>
      <w:rFonts w:ascii="宋体" w:hAnsi="Times New Roman" w:cs="宋体"/>
      <w:kern w:val="0"/>
      <w:sz w:val="24"/>
      <w:szCs w:val="24"/>
    </w:rPr>
  </w:style>
  <w:style w:type="paragraph" w:styleId="71">
    <w:name w:val="index 7"/>
    <w:basedOn w:val="a0"/>
    <w:next w:val="a0"/>
    <w:rsid w:val="00631CEC"/>
    <w:pPr>
      <w:topLinePunct w:val="0"/>
      <w:adjustRightInd/>
      <w:spacing w:line="240" w:lineRule="auto"/>
      <w:ind w:leftChars="1200" w:left="1200" w:firstLineChars="0" w:firstLine="0"/>
    </w:pPr>
    <w:rPr>
      <w:rFonts w:ascii="Times New Roman" w:cs="Times New Roman"/>
      <w:kern w:val="2"/>
      <w:sz w:val="21"/>
      <w:szCs w:val="20"/>
    </w:rPr>
  </w:style>
  <w:style w:type="paragraph" w:styleId="18">
    <w:name w:val="index 1"/>
    <w:basedOn w:val="a0"/>
    <w:next w:val="a0"/>
    <w:autoRedefine/>
    <w:unhideWhenUsed/>
    <w:rsid w:val="00631CEC"/>
    <w:pPr>
      <w:topLinePunct w:val="0"/>
      <w:adjustRightInd/>
      <w:spacing w:line="240" w:lineRule="auto"/>
      <w:ind w:firstLineChars="0" w:firstLine="0"/>
    </w:pPr>
    <w:rPr>
      <w:rFonts w:ascii="Times New Roman" w:cs="Times New Roman"/>
      <w:kern w:val="2"/>
      <w:sz w:val="21"/>
    </w:rPr>
  </w:style>
  <w:style w:type="paragraph" w:styleId="affff4">
    <w:name w:val="index heading"/>
    <w:basedOn w:val="a0"/>
    <w:next w:val="18"/>
    <w:rsid w:val="00631CEC"/>
    <w:pPr>
      <w:topLinePunct w:val="0"/>
      <w:adjustRightInd/>
      <w:spacing w:line="240" w:lineRule="auto"/>
      <w:ind w:firstLineChars="0" w:firstLine="0"/>
    </w:pPr>
    <w:rPr>
      <w:rFonts w:ascii="Times New Roman" w:eastAsia="仿宋_GB2312" w:cs="Times New Roman"/>
      <w:kern w:val="2"/>
      <w:sz w:val="28"/>
      <w:szCs w:val="20"/>
    </w:rPr>
  </w:style>
  <w:style w:type="paragraph" w:customStyle="1" w:styleId="01">
    <w:name w:val="孙立刚01"/>
    <w:basedOn w:val="10"/>
    <w:rsid w:val="00631CEC"/>
    <w:pPr>
      <w:tabs>
        <w:tab w:val="right" w:leader="dot" w:pos="8296"/>
      </w:tabs>
      <w:topLinePunct w:val="0"/>
      <w:adjustRightInd/>
      <w:spacing w:before="120" w:after="80"/>
      <w:jc w:val="left"/>
    </w:pPr>
    <w:rPr>
      <w:rFonts w:ascii="黑体" w:eastAsia="黑体" w:cs="Times New Roman"/>
      <w:b w:val="0"/>
      <w:caps/>
      <w:kern w:val="2"/>
      <w:szCs w:val="20"/>
    </w:rPr>
  </w:style>
  <w:style w:type="paragraph" w:customStyle="1" w:styleId="affff5">
    <w:name w:val="表文字"/>
    <w:basedOn w:val="aff8"/>
    <w:link w:val="Charfd"/>
    <w:rsid w:val="00631CEC"/>
    <w:pPr>
      <w:widowControl/>
      <w:spacing w:line="380" w:lineRule="exact"/>
      <w:ind w:firstLineChars="0" w:firstLine="0"/>
      <w:jc w:val="center"/>
    </w:pPr>
    <w:rPr>
      <w:snapToGrid w:val="0"/>
      <w:sz w:val="24"/>
      <w:szCs w:val="21"/>
    </w:rPr>
  </w:style>
  <w:style w:type="paragraph" w:customStyle="1" w:styleId="111">
    <w:name w:val="11"/>
    <w:basedOn w:val="a0"/>
    <w:next w:val="afff9"/>
    <w:rsid w:val="00631CEC"/>
    <w:pPr>
      <w:topLinePunct w:val="0"/>
      <w:snapToGrid w:val="0"/>
      <w:spacing w:line="580" w:lineRule="exact"/>
      <w:ind w:firstLineChars="0" w:firstLine="510"/>
    </w:pPr>
    <w:rPr>
      <w:rFonts w:hAnsi="Courier New" w:cs="Times New Roman"/>
      <w:kern w:val="2"/>
      <w:sz w:val="28"/>
      <w:szCs w:val="20"/>
    </w:rPr>
  </w:style>
  <w:style w:type="paragraph" w:customStyle="1" w:styleId="Style17">
    <w:name w:val="_Style 17"/>
    <w:basedOn w:val="a0"/>
    <w:rsid w:val="00631CEC"/>
    <w:pPr>
      <w:topLinePunct w:val="0"/>
      <w:adjustRightInd/>
      <w:spacing w:line="240" w:lineRule="auto"/>
      <w:ind w:firstLineChars="0" w:firstLine="0"/>
    </w:pPr>
    <w:rPr>
      <w:rFonts w:ascii="Times New Roman" w:cs="Times New Roman"/>
      <w:kern w:val="2"/>
      <w:sz w:val="21"/>
      <w:szCs w:val="20"/>
    </w:rPr>
  </w:style>
  <w:style w:type="character" w:customStyle="1" w:styleId="19">
    <w:name w:val="标题 字符1"/>
    <w:basedOn w:val="a2"/>
    <w:uiPriority w:val="10"/>
    <w:rsid w:val="00631CEC"/>
    <w:rPr>
      <w:rFonts w:ascii="Cambria" w:eastAsia="宋体" w:hAnsi="Cambria" w:cs="Times New Roman"/>
      <w:b/>
      <w:bCs/>
      <w:sz w:val="32"/>
      <w:szCs w:val="32"/>
    </w:rPr>
  </w:style>
  <w:style w:type="paragraph" w:customStyle="1" w:styleId="1h11stlevelSectionHeadl1">
    <w:name w:val="样式 标题 1h11st levelSection Headl1 + 宋体 三号"/>
    <w:basedOn w:val="1"/>
    <w:rsid w:val="00631CEC"/>
    <w:pPr>
      <w:tabs>
        <w:tab w:val="left" w:pos="3751"/>
      </w:tabs>
      <w:topLinePunct w:val="0"/>
      <w:adjustRightInd/>
      <w:spacing w:before="340" w:beforeAutospacing="0" w:after="330" w:afterAutospacing="0"/>
      <w:ind w:left="3751" w:firstLine="29"/>
      <w:jc w:val="center"/>
    </w:pPr>
    <w:rPr>
      <w:rFonts w:ascii="宋体" w:eastAsia="宋体" w:hAnsi="宋体"/>
      <w:szCs w:val="20"/>
    </w:rPr>
  </w:style>
  <w:style w:type="paragraph" w:customStyle="1" w:styleId="CharCharChar1Char">
    <w:name w:val="Char Char Char1 Char"/>
    <w:basedOn w:val="a0"/>
    <w:rsid w:val="00631CEC"/>
    <w:pPr>
      <w:topLinePunct w:val="0"/>
      <w:adjustRightInd/>
      <w:spacing w:line="240" w:lineRule="auto"/>
      <w:ind w:firstLineChars="0" w:firstLine="0"/>
    </w:pPr>
    <w:rPr>
      <w:rFonts w:ascii="Times New Roman" w:cs="Times New Roman"/>
      <w:kern w:val="2"/>
      <w:sz w:val="21"/>
    </w:rPr>
  </w:style>
  <w:style w:type="paragraph" w:customStyle="1" w:styleId="LS2">
    <w:name w:val="LS2"/>
    <w:basedOn w:val="a0"/>
    <w:rsid w:val="00631CEC"/>
    <w:pPr>
      <w:topLinePunct w:val="0"/>
      <w:adjustRightInd/>
      <w:snapToGrid w:val="0"/>
      <w:spacing w:line="336" w:lineRule="auto"/>
      <w:ind w:firstLineChars="0" w:firstLine="0"/>
      <w:jc w:val="center"/>
    </w:pPr>
    <w:rPr>
      <w:rFonts w:cs="Times New Roman"/>
      <w:color w:val="000000"/>
      <w:kern w:val="2"/>
      <w:szCs w:val="20"/>
    </w:rPr>
  </w:style>
  <w:style w:type="paragraph" w:customStyle="1" w:styleId="Char1CharCharCharCharCharChar">
    <w:name w:val="Char1 Char Char Char Char Char Char"/>
    <w:basedOn w:val="a0"/>
    <w:rsid w:val="00631CEC"/>
    <w:pPr>
      <w:topLinePunct w:val="0"/>
      <w:adjustRightInd/>
      <w:spacing w:line="240" w:lineRule="auto"/>
      <w:ind w:firstLineChars="0" w:firstLine="0"/>
    </w:pPr>
    <w:rPr>
      <w:rFonts w:ascii="Times New Roman" w:cs="Times New Roman"/>
      <w:kern w:val="2"/>
      <w:sz w:val="21"/>
    </w:rPr>
  </w:style>
  <w:style w:type="paragraph" w:customStyle="1" w:styleId="affff6">
    <w:name w:val="内容"/>
    <w:basedOn w:val="a0"/>
    <w:rsid w:val="00631CEC"/>
    <w:pPr>
      <w:tabs>
        <w:tab w:val="left" w:pos="5725"/>
      </w:tabs>
      <w:topLinePunct w:val="0"/>
      <w:snapToGrid w:val="0"/>
      <w:ind w:leftChars="100" w:left="280" w:rightChars="100" w:right="280" w:firstLine="560"/>
    </w:pPr>
    <w:rPr>
      <w:rFonts w:ascii="Times New Roman" w:cs="Arial"/>
      <w:kern w:val="2"/>
      <w:sz w:val="28"/>
      <w:szCs w:val="20"/>
    </w:rPr>
  </w:style>
  <w:style w:type="paragraph" w:customStyle="1" w:styleId="affff7">
    <w:name w:val="表中"/>
    <w:basedOn w:val="a0"/>
    <w:rsid w:val="00631CEC"/>
    <w:pPr>
      <w:keepNext/>
      <w:topLinePunct w:val="0"/>
      <w:adjustRightInd/>
      <w:snapToGrid w:val="0"/>
      <w:spacing w:line="200" w:lineRule="atLeast"/>
      <w:ind w:firstLineChars="0" w:firstLine="0"/>
      <w:jc w:val="center"/>
    </w:pPr>
    <w:rPr>
      <w:rFonts w:hAnsi="宋体" w:cs="Times New Roman"/>
      <w:kern w:val="2"/>
      <w:szCs w:val="20"/>
    </w:rPr>
  </w:style>
  <w:style w:type="paragraph" w:customStyle="1" w:styleId="xl63">
    <w:name w:val="xl63"/>
    <w:basedOn w:val="a0"/>
    <w:rsid w:val="00631CEC"/>
    <w:pPr>
      <w:widowControl/>
      <w:pBdr>
        <w:left w:val="single" w:sz="4" w:space="0" w:color="auto"/>
        <w:bottom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color w:val="FF0000"/>
      <w:sz w:val="20"/>
      <w:szCs w:val="20"/>
    </w:rPr>
  </w:style>
  <w:style w:type="paragraph" w:customStyle="1" w:styleId="1a">
    <w:name w:val="表头1"/>
    <w:link w:val="1Char2"/>
    <w:rsid w:val="00631CEC"/>
    <w:pPr>
      <w:tabs>
        <w:tab w:val="left" w:pos="284"/>
        <w:tab w:val="center" w:pos="4253"/>
        <w:tab w:val="left" w:pos="7938"/>
      </w:tabs>
      <w:spacing w:before="240" w:after="240"/>
    </w:pPr>
    <w:rPr>
      <w:rFonts w:ascii="黑体" w:eastAsia="黑体" w:hAnsi="Times New Roman"/>
      <w:sz w:val="24"/>
    </w:rPr>
  </w:style>
  <w:style w:type="character" w:customStyle="1" w:styleId="213">
    <w:name w:val="正文文本 2 字符1"/>
    <w:basedOn w:val="a2"/>
    <w:uiPriority w:val="99"/>
    <w:semiHidden/>
    <w:rsid w:val="00631CEC"/>
    <w:rPr>
      <w:rFonts w:ascii="宋体" w:hAnsi="Times New Roman" w:cs="宋体"/>
      <w:sz w:val="24"/>
      <w:szCs w:val="24"/>
    </w:rPr>
  </w:style>
  <w:style w:type="paragraph" w:customStyle="1" w:styleId="52">
    <w:name w:val="5"/>
    <w:basedOn w:val="a0"/>
    <w:next w:val="affff3"/>
    <w:rsid w:val="00631CEC"/>
    <w:pPr>
      <w:tabs>
        <w:tab w:val="left" w:pos="120"/>
      </w:tabs>
      <w:topLinePunct w:val="0"/>
      <w:ind w:leftChars="100" w:left="280" w:rightChars="100" w:right="100" w:firstLine="560"/>
      <w:jc w:val="left"/>
      <w:textAlignment w:val="baseline"/>
    </w:pPr>
    <w:rPr>
      <w:rFonts w:hAnsi="宋体" w:cs="Times New Roman"/>
      <w:color w:val="000000"/>
      <w:sz w:val="28"/>
      <w:szCs w:val="20"/>
    </w:rPr>
  </w:style>
  <w:style w:type="paragraph" w:customStyle="1" w:styleId="36">
    <w:name w:val="一级子标题：样式 标题 3 + 四号"/>
    <w:basedOn w:val="3"/>
    <w:rsid w:val="00631CEC"/>
    <w:pPr>
      <w:topLinePunct w:val="0"/>
      <w:adjustRightInd/>
      <w:spacing w:before="260" w:after="260" w:line="413" w:lineRule="auto"/>
    </w:pPr>
    <w:rPr>
      <w:rFonts w:ascii="Arial" w:eastAsia="宋体" w:hAnsi="Arial"/>
      <w:kern w:val="2"/>
      <w:sz w:val="28"/>
      <w:szCs w:val="20"/>
    </w:rPr>
  </w:style>
  <w:style w:type="paragraph" w:customStyle="1" w:styleId="1b">
    <w:name w:val="正文文本缩进1"/>
    <w:basedOn w:val="a0"/>
    <w:rsid w:val="00631CEC"/>
    <w:pPr>
      <w:topLinePunct w:val="0"/>
      <w:spacing w:line="360" w:lineRule="atLeast"/>
      <w:ind w:left="280" w:firstLineChars="0" w:firstLine="560"/>
      <w:jc w:val="left"/>
      <w:textAlignment w:val="baseline"/>
    </w:pPr>
    <w:rPr>
      <w:rFonts w:ascii="Times New Roman" w:cs="Times New Roman"/>
    </w:rPr>
  </w:style>
  <w:style w:type="paragraph" w:customStyle="1" w:styleId="1c">
    <w:name w:val="列表段落1"/>
    <w:basedOn w:val="a0"/>
    <w:uiPriority w:val="34"/>
    <w:rsid w:val="00631CEC"/>
    <w:pPr>
      <w:topLinePunct w:val="0"/>
      <w:adjustRightInd/>
      <w:spacing w:line="240" w:lineRule="auto"/>
      <w:ind w:firstLine="420"/>
    </w:pPr>
    <w:rPr>
      <w:rFonts w:ascii="Times New Roman" w:cs="Times New Roman"/>
      <w:kern w:val="2"/>
      <w:sz w:val="21"/>
      <w:szCs w:val="20"/>
    </w:rPr>
  </w:style>
  <w:style w:type="paragraph" w:customStyle="1" w:styleId="CharCharf">
    <w:name w:val="表内文字 Char Char"/>
    <w:rsid w:val="00631CEC"/>
    <w:rPr>
      <w:rFonts w:ascii="Times New Roman" w:hAnsi="Times New Roman"/>
      <w:kern w:val="2"/>
      <w:sz w:val="21"/>
    </w:rPr>
  </w:style>
  <w:style w:type="paragraph" w:customStyle="1" w:styleId="30151">
    <w:name w:val="样式 标题 3 + 段后: 0 磅 行距: 1.5 倍行距1"/>
    <w:basedOn w:val="a0"/>
    <w:rsid w:val="00631CEC"/>
    <w:pPr>
      <w:tabs>
        <w:tab w:val="left" w:pos="709"/>
      </w:tabs>
      <w:topLinePunct w:val="0"/>
      <w:adjustRightInd/>
      <w:spacing w:line="240" w:lineRule="auto"/>
      <w:ind w:left="709" w:firstLineChars="0" w:hanging="709"/>
    </w:pPr>
    <w:rPr>
      <w:rFonts w:ascii="Times New Roman" w:cs="Times New Roman"/>
      <w:kern w:val="2"/>
      <w:szCs w:val="20"/>
    </w:rPr>
  </w:style>
  <w:style w:type="paragraph" w:customStyle="1" w:styleId="affff8">
    <w:name w:val="È±Ê¡ÎÄ±¾"/>
    <w:basedOn w:val="a0"/>
    <w:rsid w:val="00631CEC"/>
    <w:pPr>
      <w:widowControl/>
      <w:overflowPunct w:val="0"/>
      <w:topLinePunct w:val="0"/>
      <w:autoSpaceDE w:val="0"/>
      <w:autoSpaceDN w:val="0"/>
      <w:spacing w:line="240" w:lineRule="auto"/>
      <w:ind w:firstLineChars="0" w:firstLine="0"/>
      <w:jc w:val="left"/>
      <w:textAlignment w:val="baseline"/>
    </w:pPr>
    <w:rPr>
      <w:rFonts w:ascii="Times New Roman" w:cs="Times New Roman"/>
      <w:szCs w:val="20"/>
    </w:rPr>
  </w:style>
  <w:style w:type="paragraph" w:customStyle="1" w:styleId="211112MajorHeadingL2m2RSKH2hseHeading1">
    <w:name w:val="样式 样式 样式 标题 21.11.1标题 2Major HeadingL2ËÑÇ¢ˆmÍ 2RSKH2hseHeading ....1"/>
    <w:basedOn w:val="a0"/>
    <w:rsid w:val="00631CEC"/>
    <w:pPr>
      <w:keepNext/>
      <w:keepLines/>
      <w:topLinePunct w:val="0"/>
      <w:spacing w:beforeLines="50"/>
      <w:ind w:firstLineChars="0" w:firstLine="0"/>
      <w:jc w:val="center"/>
      <w:textAlignment w:val="baseline"/>
      <w:outlineLvl w:val="1"/>
    </w:pPr>
    <w:rPr>
      <w:rFonts w:ascii="仿宋_GB2312" w:eastAsia="仿宋_GB2312" w:cs="Times New Roman"/>
      <w:sz w:val="28"/>
      <w:szCs w:val="20"/>
    </w:rPr>
  </w:style>
  <w:style w:type="paragraph" w:customStyle="1" w:styleId="CharCharCharCharCharCharCharCharChar1CharCharCharChar1">
    <w:name w:val="Char Char Char Char Char Char Char Char Char1 Char Char Char Char1"/>
    <w:basedOn w:val="a0"/>
    <w:rsid w:val="00631CEC"/>
    <w:pPr>
      <w:topLinePunct w:val="0"/>
      <w:adjustRightInd/>
      <w:spacing w:line="240" w:lineRule="auto"/>
      <w:ind w:firstLineChars="0" w:firstLine="0"/>
    </w:pPr>
    <w:rPr>
      <w:rFonts w:ascii="Times New Roman" w:eastAsia="仿宋_GB2312" w:cs="Times New Roman"/>
      <w:kern w:val="2"/>
      <w:sz w:val="28"/>
      <w:szCs w:val="20"/>
    </w:rPr>
  </w:style>
  <w:style w:type="paragraph" w:customStyle="1" w:styleId="150">
    <w:name w:val="样式15"/>
    <w:basedOn w:val="affff9"/>
    <w:rsid w:val="00631CEC"/>
  </w:style>
  <w:style w:type="paragraph" w:customStyle="1" w:styleId="affff9">
    <w:name w:val="节标题（科宏）"/>
    <w:next w:val="a0"/>
    <w:rsid w:val="00631CEC"/>
    <w:pPr>
      <w:widowControl w:val="0"/>
      <w:spacing w:beforeLines="50" w:afterLines="50" w:line="360" w:lineRule="auto"/>
      <w:ind w:left="1320" w:hanging="420"/>
      <w:jc w:val="center"/>
      <w:outlineLvl w:val="1"/>
    </w:pPr>
    <w:rPr>
      <w:rFonts w:ascii="Arial" w:eastAsia="仿宋_GB2312" w:hAnsi="Arial"/>
      <w:b/>
      <w:sz w:val="30"/>
    </w:rPr>
  </w:style>
  <w:style w:type="paragraph" w:customStyle="1" w:styleId="affffa">
    <w:name w:val="简单回函地址"/>
    <w:basedOn w:val="a0"/>
    <w:rsid w:val="00631CEC"/>
    <w:pPr>
      <w:topLinePunct w:val="0"/>
      <w:adjustRightInd/>
      <w:spacing w:line="240" w:lineRule="auto"/>
      <w:ind w:firstLineChars="0" w:firstLine="0"/>
    </w:pPr>
    <w:rPr>
      <w:rFonts w:ascii="Times New Roman" w:eastAsia="仿宋_GB2312" w:cs="Times New Roman"/>
      <w:kern w:val="2"/>
      <w:szCs w:val="20"/>
    </w:rPr>
  </w:style>
  <w:style w:type="paragraph" w:customStyle="1" w:styleId="xl65">
    <w:name w:val="xl65"/>
    <w:basedOn w:val="a0"/>
    <w:rsid w:val="00631CEC"/>
    <w:pPr>
      <w:widowControl/>
      <w:pBdr>
        <w:top w:val="single" w:sz="4" w:space="0" w:color="auto"/>
        <w:left w:val="single" w:sz="4" w:space="0" w:color="auto"/>
        <w:bottom w:val="single" w:sz="4" w:space="0" w:color="auto"/>
      </w:pBdr>
      <w:topLinePunct w:val="0"/>
      <w:adjustRightInd/>
      <w:spacing w:before="100" w:beforeAutospacing="1" w:after="100" w:afterAutospacing="1" w:line="240" w:lineRule="auto"/>
      <w:ind w:firstLineChars="0" w:firstLine="0"/>
      <w:jc w:val="center"/>
    </w:pPr>
    <w:rPr>
      <w:rFonts w:hAnsi="宋体" w:cs="Times New Roman"/>
      <w:sz w:val="20"/>
      <w:szCs w:val="20"/>
    </w:rPr>
  </w:style>
  <w:style w:type="paragraph" w:customStyle="1" w:styleId="affffb">
    <w:name w:val="a"/>
    <w:basedOn w:val="a0"/>
    <w:rsid w:val="00631CEC"/>
    <w:pPr>
      <w:widowControl/>
      <w:topLinePunct w:val="0"/>
      <w:adjustRightInd/>
      <w:spacing w:line="240" w:lineRule="auto"/>
      <w:ind w:firstLineChars="0" w:firstLine="0"/>
      <w:jc w:val="center"/>
    </w:pPr>
    <w:rPr>
      <w:rFonts w:ascii="Times New Roman" w:cs="Times New Roman"/>
      <w:szCs w:val="20"/>
    </w:rPr>
  </w:style>
  <w:style w:type="paragraph" w:customStyle="1" w:styleId="xl76">
    <w:name w:val="xl76"/>
    <w:basedOn w:val="a0"/>
    <w:rsid w:val="00631CEC"/>
    <w:pPr>
      <w:widowControl/>
      <w:pBdr>
        <w:top w:val="single" w:sz="4" w:space="0" w:color="auto"/>
        <w:left w:val="single" w:sz="4" w:space="0" w:color="auto"/>
        <w:bottom w:val="single" w:sz="4" w:space="0" w:color="auto"/>
      </w:pBdr>
      <w:topLinePunct w:val="0"/>
      <w:adjustRightInd/>
      <w:spacing w:before="100" w:beforeAutospacing="1" w:after="100" w:afterAutospacing="1" w:line="240" w:lineRule="auto"/>
      <w:ind w:firstLineChars="0" w:firstLine="0"/>
      <w:jc w:val="center"/>
      <w:textAlignment w:val="center"/>
    </w:pPr>
    <w:rPr>
      <w:rFonts w:ascii="Arial Unicode MS" w:eastAsia="Arial Unicode MS" w:hAnsi="Arial Unicode MS" w:cs="Times New Roman"/>
      <w:sz w:val="20"/>
      <w:szCs w:val="20"/>
    </w:rPr>
  </w:style>
  <w:style w:type="paragraph" w:customStyle="1" w:styleId="1d">
    <w:name w:val="样式1"/>
    <w:basedOn w:val="a0"/>
    <w:link w:val="1Char4"/>
    <w:rsid w:val="00631CEC"/>
    <w:pPr>
      <w:topLinePunct w:val="0"/>
      <w:adjustRightInd/>
      <w:spacing w:line="240" w:lineRule="auto"/>
      <w:ind w:firstLineChars="0" w:firstLine="0"/>
    </w:pPr>
    <w:rPr>
      <w:rFonts w:ascii="Times New Roman" w:cs="Times New Roman"/>
      <w:kern w:val="2"/>
      <w:sz w:val="28"/>
    </w:rPr>
  </w:style>
  <w:style w:type="paragraph" w:customStyle="1" w:styleId="affffc">
    <w:name w:val="图表正文"/>
    <w:basedOn w:val="a0"/>
    <w:rsid w:val="00631CEC"/>
    <w:pPr>
      <w:topLinePunct w:val="0"/>
      <w:adjustRightInd/>
      <w:spacing w:line="0" w:lineRule="atLeast"/>
      <w:ind w:firstLineChars="0" w:firstLine="0"/>
      <w:jc w:val="center"/>
      <w:textAlignment w:val="center"/>
    </w:pPr>
    <w:rPr>
      <w:rFonts w:ascii="Times New Roman" w:cs="Times New Roman"/>
      <w:kern w:val="2"/>
      <w:sz w:val="21"/>
      <w:szCs w:val="20"/>
    </w:rPr>
  </w:style>
  <w:style w:type="paragraph" w:customStyle="1" w:styleId="affffd">
    <w:name w:val="总院表格"/>
    <w:basedOn w:val="afffa"/>
    <w:next w:val="affd"/>
    <w:rsid w:val="00631CEC"/>
    <w:pPr>
      <w:spacing w:beforeLines="15" w:afterLines="10" w:line="336" w:lineRule="auto"/>
      <w:ind w:leftChars="-45" w:left="63" w:rightChars="-7" w:right="-7" w:firstLine="12"/>
      <w:jc w:val="both"/>
      <w:textAlignment w:val="baseline"/>
    </w:pPr>
    <w:rPr>
      <w:rFonts w:ascii="宋体" w:eastAsia="宋体" w:hAnsi="宋体" w:cs="Times New Roman"/>
      <w:spacing w:val="0"/>
    </w:rPr>
  </w:style>
  <w:style w:type="paragraph" w:customStyle="1" w:styleId="affffe">
    <w:name w:val="科宏表格文字"/>
    <w:basedOn w:val="a0"/>
    <w:rsid w:val="00631CEC"/>
    <w:pPr>
      <w:topLinePunct w:val="0"/>
      <w:adjustRightInd/>
      <w:ind w:firstLineChars="0" w:firstLine="0"/>
      <w:jc w:val="center"/>
    </w:pPr>
    <w:rPr>
      <w:rFonts w:ascii="Arial" w:eastAsia="仿宋_GB2312" w:hAnsi="Arial" w:cs="Times New Roman"/>
      <w:color w:val="FF0000"/>
      <w:kern w:val="2"/>
      <w:szCs w:val="20"/>
    </w:rPr>
  </w:style>
  <w:style w:type="paragraph" w:customStyle="1" w:styleId="font10">
    <w:name w:val="font10"/>
    <w:basedOn w:val="a0"/>
    <w:rsid w:val="00631CEC"/>
    <w:pPr>
      <w:widowControl/>
      <w:topLinePunct w:val="0"/>
      <w:adjustRightInd/>
      <w:spacing w:before="100" w:beforeAutospacing="1" w:after="100" w:afterAutospacing="1" w:line="240" w:lineRule="auto"/>
      <w:ind w:firstLineChars="0" w:firstLine="0"/>
      <w:jc w:val="left"/>
    </w:pPr>
    <w:rPr>
      <w:rFonts w:hAnsi="宋体" w:cs="Times New Roman" w:hint="eastAsia"/>
      <w:sz w:val="20"/>
      <w:szCs w:val="20"/>
    </w:rPr>
  </w:style>
  <w:style w:type="character" w:customStyle="1" w:styleId="z-10">
    <w:name w:val="z-窗体底端 字符1"/>
    <w:basedOn w:val="a2"/>
    <w:uiPriority w:val="99"/>
    <w:semiHidden/>
    <w:rsid w:val="00631CEC"/>
    <w:rPr>
      <w:rFonts w:ascii="Arial" w:hAnsi="Arial" w:cs="Arial"/>
      <w:vanish/>
      <w:sz w:val="16"/>
      <w:szCs w:val="16"/>
    </w:rPr>
  </w:style>
  <w:style w:type="paragraph" w:customStyle="1" w:styleId="xl68">
    <w:name w:val="xl68"/>
    <w:basedOn w:val="a0"/>
    <w:rsid w:val="00631CEC"/>
    <w:pPr>
      <w:widowControl/>
      <w:pBdr>
        <w:top w:val="single" w:sz="4" w:space="0" w:color="auto"/>
        <w:left w:val="single" w:sz="4" w:space="0" w:color="auto"/>
        <w:bottom w:val="single" w:sz="4" w:space="0" w:color="auto"/>
      </w:pBdr>
      <w:topLinePunct w:val="0"/>
      <w:adjustRightInd/>
      <w:spacing w:before="100" w:beforeAutospacing="1" w:after="100" w:afterAutospacing="1" w:line="240" w:lineRule="auto"/>
      <w:ind w:firstLineChars="0" w:firstLine="0"/>
      <w:jc w:val="center"/>
      <w:textAlignment w:val="center"/>
    </w:pPr>
    <w:rPr>
      <w:rFonts w:ascii="Times New Roman" w:cs="Times New Roman"/>
      <w:sz w:val="20"/>
      <w:szCs w:val="20"/>
    </w:rPr>
  </w:style>
  <w:style w:type="paragraph" w:customStyle="1" w:styleId="xl64">
    <w:name w:val="xl64"/>
    <w:basedOn w:val="a0"/>
    <w:rsid w:val="00631CEC"/>
    <w:pPr>
      <w:widowControl/>
      <w:pBdr>
        <w:bottom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color w:val="FF0000"/>
      <w:sz w:val="20"/>
      <w:szCs w:val="20"/>
    </w:rPr>
  </w:style>
  <w:style w:type="paragraph" w:customStyle="1" w:styleId="afffff">
    <w:name w:val="我的表格文字"/>
    <w:basedOn w:val="a0"/>
    <w:rsid w:val="00631CEC"/>
    <w:pPr>
      <w:shd w:val="clear" w:color="auto" w:fill="FFFFFF"/>
      <w:topLinePunct w:val="0"/>
      <w:adjustRightInd/>
      <w:spacing w:line="240" w:lineRule="auto"/>
      <w:ind w:firstLineChars="0" w:firstLine="0"/>
      <w:jc w:val="center"/>
    </w:pPr>
    <w:rPr>
      <w:rFonts w:ascii="Times New Roman" w:cs="Times New Roman"/>
      <w:kern w:val="2"/>
      <w:sz w:val="21"/>
      <w:szCs w:val="21"/>
    </w:rPr>
  </w:style>
  <w:style w:type="paragraph" w:customStyle="1" w:styleId="41">
    <w:name w:val="样式4"/>
    <w:basedOn w:val="42"/>
    <w:link w:val="4Char0"/>
    <w:rsid w:val="00631CEC"/>
    <w:pPr>
      <w:tabs>
        <w:tab w:val="clear" w:pos="425"/>
      </w:tabs>
    </w:pPr>
  </w:style>
  <w:style w:type="paragraph" w:customStyle="1" w:styleId="42">
    <w:name w:val="样式 标题 4 宋体"/>
    <w:basedOn w:val="4CharCharChar"/>
    <w:rsid w:val="00631CEC"/>
    <w:pPr>
      <w:spacing w:beforeLines="50" w:line="360" w:lineRule="auto"/>
      <w:ind w:left="0" w:firstLine="0"/>
      <w:jc w:val="center"/>
      <w:outlineLvl w:val="3"/>
    </w:pPr>
    <w:rPr>
      <w:rFonts w:ascii="宋体" w:hAnsi="宋体"/>
      <w:sz w:val="24"/>
    </w:rPr>
  </w:style>
  <w:style w:type="paragraph" w:customStyle="1" w:styleId="afffff0">
    <w:name w:val="地告正文"/>
    <w:basedOn w:val="a0"/>
    <w:rsid w:val="00631CEC"/>
    <w:pPr>
      <w:topLinePunct w:val="0"/>
      <w:snapToGrid w:val="0"/>
      <w:spacing w:line="620" w:lineRule="atLeast"/>
    </w:pPr>
    <w:rPr>
      <w:rFonts w:ascii="Times New Roman" w:cs="Times New Roman"/>
      <w:kern w:val="2"/>
      <w:sz w:val="28"/>
      <w:szCs w:val="21"/>
    </w:rPr>
  </w:style>
  <w:style w:type="paragraph" w:customStyle="1" w:styleId="style10">
    <w:name w:val="style10"/>
    <w:basedOn w:val="a0"/>
    <w:rsid w:val="00631CEC"/>
    <w:pPr>
      <w:widowControl/>
      <w:topLinePunct w:val="0"/>
      <w:adjustRightInd/>
      <w:spacing w:before="100" w:beforeAutospacing="1" w:after="100" w:afterAutospacing="1" w:line="288" w:lineRule="atLeast"/>
      <w:ind w:firstLineChars="0" w:firstLine="0"/>
      <w:jc w:val="left"/>
    </w:pPr>
    <w:rPr>
      <w:rFonts w:hAnsi="宋体"/>
      <w:sz w:val="40"/>
      <w:szCs w:val="40"/>
    </w:rPr>
  </w:style>
  <w:style w:type="paragraph" w:customStyle="1" w:styleId="xl34">
    <w:name w:val="xl34"/>
    <w:basedOn w:val="a0"/>
    <w:rsid w:val="00631CEC"/>
    <w:pPr>
      <w:widowControl/>
      <w:pBdr>
        <w:top w:val="single" w:sz="4" w:space="0" w:color="auto"/>
        <w:left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pPr>
    <w:rPr>
      <w:rFonts w:hAnsi="宋体" w:cs="Times New Roman"/>
      <w:sz w:val="20"/>
      <w:szCs w:val="20"/>
    </w:rPr>
  </w:style>
  <w:style w:type="paragraph" w:customStyle="1" w:styleId="-ST-4">
    <w:name w:val="正文-ST-4"/>
    <w:basedOn w:val="a0"/>
    <w:rsid w:val="00631CEC"/>
    <w:pPr>
      <w:widowControl/>
      <w:topLinePunct w:val="0"/>
      <w:adjustRightInd/>
      <w:ind w:firstLineChars="0" w:firstLine="567"/>
    </w:pPr>
    <w:rPr>
      <w:rFonts w:ascii="Times New Roman" w:cs="Times New Roman"/>
      <w:sz w:val="28"/>
      <w:szCs w:val="20"/>
    </w:rPr>
  </w:style>
  <w:style w:type="paragraph" w:customStyle="1" w:styleId="afffff1">
    <w:name w:val="附件"/>
    <w:basedOn w:val="a0"/>
    <w:next w:val="a0"/>
    <w:rsid w:val="00631CEC"/>
    <w:pPr>
      <w:topLinePunct w:val="0"/>
      <w:snapToGrid w:val="0"/>
      <w:spacing w:line="300" w:lineRule="auto"/>
      <w:ind w:firstLineChars="0" w:firstLine="527"/>
    </w:pPr>
    <w:rPr>
      <w:rFonts w:ascii="Times New Roman" w:cs="Times New Roman"/>
      <w:kern w:val="2"/>
      <w:sz w:val="28"/>
      <w:szCs w:val="20"/>
    </w:rPr>
  </w:style>
  <w:style w:type="paragraph" w:customStyle="1" w:styleId="afffff2">
    <w:name w:val="(页眉)天科"/>
    <w:rsid w:val="00631CEC"/>
    <w:rPr>
      <w:rFonts w:ascii="Arial" w:eastAsia="仿宋_GB2312" w:hAnsi="Arial"/>
      <w:sz w:val="21"/>
    </w:rPr>
  </w:style>
  <w:style w:type="paragraph" w:customStyle="1" w:styleId="xl69">
    <w:name w:val="xl69"/>
    <w:basedOn w:val="a0"/>
    <w:rsid w:val="00631CEC"/>
    <w:pPr>
      <w:widowControl/>
      <w:pBdr>
        <w:top w:val="single" w:sz="4" w:space="0" w:color="auto"/>
        <w:left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afffff3">
    <w:name w:val="小表右"/>
    <w:basedOn w:val="a0"/>
    <w:rsid w:val="00631CEC"/>
    <w:pPr>
      <w:keepNext/>
      <w:topLinePunct w:val="0"/>
      <w:adjustRightInd/>
      <w:snapToGrid w:val="0"/>
      <w:spacing w:line="240" w:lineRule="atLeast"/>
      <w:ind w:rightChars="30" w:right="30" w:firstLineChars="0" w:firstLine="0"/>
      <w:jc w:val="right"/>
    </w:pPr>
    <w:rPr>
      <w:rFonts w:hAnsi="宋体" w:cs="Times New Roman" w:hint="eastAsia"/>
      <w:kern w:val="2"/>
      <w:sz w:val="21"/>
      <w:szCs w:val="20"/>
    </w:rPr>
  </w:style>
  <w:style w:type="paragraph" w:customStyle="1" w:styleId="afffff4">
    <w:name w:val="页脚(科宏)"/>
    <w:rsid w:val="00631CEC"/>
    <w:pPr>
      <w:jc w:val="center"/>
    </w:pPr>
    <w:rPr>
      <w:rFonts w:ascii="Arial" w:eastAsia="仿宋_GB2312" w:hAnsi="Arial"/>
      <w:sz w:val="21"/>
    </w:rPr>
  </w:style>
  <w:style w:type="paragraph" w:customStyle="1" w:styleId="xl56">
    <w:name w:val="xl56"/>
    <w:basedOn w:val="a0"/>
    <w:rsid w:val="00631CEC"/>
    <w:pPr>
      <w:widowControl/>
      <w:pBdr>
        <w:top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Cs w:val="20"/>
    </w:rPr>
  </w:style>
  <w:style w:type="paragraph" w:customStyle="1" w:styleId="afffff5">
    <w:name w:val="图"/>
    <w:basedOn w:val="aff8"/>
    <w:next w:val="a0"/>
    <w:rsid w:val="00631CEC"/>
    <w:pPr>
      <w:adjustRightInd w:val="0"/>
      <w:snapToGrid w:val="0"/>
      <w:ind w:firstLine="480"/>
      <w:jc w:val="center"/>
    </w:pPr>
    <w:rPr>
      <w:rFonts w:ascii="Arial" w:hAnsi="Arial"/>
      <w:color w:val="000000"/>
      <w:sz w:val="24"/>
    </w:rPr>
  </w:style>
  <w:style w:type="paragraph" w:customStyle="1" w:styleId="2211211sect12H2H21R2h2Level2TopicHead">
    <w:name w:val="样式 标题 2标题21.1标题 21.1sect 1.2H2H21R2h2Level 2 Topic Head..."/>
    <w:basedOn w:val="2"/>
    <w:rsid w:val="00631CEC"/>
    <w:pPr>
      <w:keepLines w:val="0"/>
      <w:tabs>
        <w:tab w:val="left" w:pos="840"/>
      </w:tabs>
      <w:topLinePunct w:val="0"/>
      <w:snapToGrid w:val="0"/>
      <w:spacing w:beforeLines="50" w:afterLines="50"/>
      <w:ind w:left="840" w:hanging="420"/>
    </w:pPr>
    <w:rPr>
      <w:rFonts w:cs="Times New Roman"/>
      <w:bCs w:val="0"/>
      <w:color w:val="000000"/>
      <w:kern w:val="2"/>
      <w:sz w:val="24"/>
      <w:szCs w:val="20"/>
    </w:rPr>
  </w:style>
  <w:style w:type="paragraph" w:customStyle="1" w:styleId="xl79">
    <w:name w:val="xl79"/>
    <w:basedOn w:val="a0"/>
    <w:rsid w:val="00631CEC"/>
    <w:pPr>
      <w:widowControl/>
      <w:pBdr>
        <w:top w:val="single" w:sz="4" w:space="0" w:color="auto"/>
        <w:left w:val="single" w:sz="4" w:space="0" w:color="auto"/>
        <w:bottom w:val="single" w:sz="4" w:space="0" w:color="auto"/>
      </w:pBdr>
      <w:topLinePunct w:val="0"/>
      <w:adjustRightInd/>
      <w:spacing w:before="100" w:beforeAutospacing="1" w:after="100" w:afterAutospacing="1" w:line="240" w:lineRule="auto"/>
      <w:ind w:firstLineChars="0" w:firstLine="0"/>
      <w:jc w:val="center"/>
      <w:textAlignment w:val="center"/>
    </w:pPr>
    <w:rPr>
      <w:rFonts w:ascii="Arial Unicode MS" w:eastAsia="Arial Unicode MS" w:hAnsi="Arial Unicode MS" w:cs="Times New Roman"/>
      <w:sz w:val="20"/>
      <w:szCs w:val="20"/>
    </w:rPr>
  </w:style>
  <w:style w:type="paragraph" w:customStyle="1" w:styleId="CharCharCharCharCharCharCharCharCharChar1">
    <w:name w:val="Char Char Char Char Char Char Char Char Char Char1"/>
    <w:basedOn w:val="a0"/>
    <w:rsid w:val="00631CEC"/>
    <w:pPr>
      <w:widowControl/>
      <w:topLinePunct w:val="0"/>
      <w:adjustRightInd/>
      <w:ind w:firstLineChars="0" w:firstLine="0"/>
      <w:jc w:val="left"/>
    </w:pPr>
    <w:rPr>
      <w:rFonts w:ascii="Times New Roman" w:eastAsia="黑体" w:cs="Times New Roman"/>
      <w:szCs w:val="20"/>
    </w:rPr>
  </w:style>
  <w:style w:type="paragraph" w:customStyle="1" w:styleId="xl50">
    <w:name w:val="xl50"/>
    <w:basedOn w:val="a0"/>
    <w:rsid w:val="00631CEC"/>
    <w:pPr>
      <w:widowControl/>
      <w:pBdr>
        <w:top w:val="single" w:sz="4" w:space="0" w:color="auto"/>
        <w:left w:val="single" w:sz="4" w:space="0" w:color="auto"/>
        <w:bottom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xl49">
    <w:name w:val="xl49"/>
    <w:basedOn w:val="a0"/>
    <w:rsid w:val="00631CEC"/>
    <w:pPr>
      <w:widowControl/>
      <w:pBdr>
        <w:left w:val="single" w:sz="4" w:space="0" w:color="auto"/>
        <w:bottom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Cs w:val="20"/>
    </w:rPr>
  </w:style>
  <w:style w:type="paragraph" w:customStyle="1" w:styleId="afffff6">
    <w:name w:val="页脚(利能)"/>
    <w:rsid w:val="00631CEC"/>
    <w:pPr>
      <w:jc w:val="center"/>
    </w:pPr>
    <w:rPr>
      <w:rFonts w:ascii="Arial" w:eastAsia="仿宋_GB2312" w:hAnsi="Arial"/>
      <w:sz w:val="21"/>
    </w:rPr>
  </w:style>
  <w:style w:type="paragraph" w:customStyle="1" w:styleId="GB231220">
    <w:name w:val="样式 仿宋_GB2312 小四 居中 行距: 固定值 20 磅"/>
    <w:basedOn w:val="a0"/>
    <w:rsid w:val="00631CEC"/>
    <w:pPr>
      <w:topLinePunct w:val="0"/>
      <w:adjustRightInd/>
      <w:spacing w:line="400" w:lineRule="exact"/>
      <w:ind w:firstLineChars="0" w:firstLine="0"/>
      <w:jc w:val="center"/>
    </w:pPr>
    <w:rPr>
      <w:rFonts w:ascii="Arial" w:eastAsia="仿宋_GB2312" w:hAnsi="Arial" w:cs="Times New Roman"/>
      <w:kern w:val="2"/>
      <w:szCs w:val="20"/>
    </w:rPr>
  </w:style>
  <w:style w:type="paragraph" w:customStyle="1" w:styleId="62">
    <w:name w:val="6"/>
    <w:basedOn w:val="a0"/>
    <w:next w:val="afff3"/>
    <w:rsid w:val="00631CEC"/>
    <w:pPr>
      <w:widowControl/>
      <w:topLinePunct w:val="0"/>
      <w:ind w:firstLineChars="0" w:firstLine="735"/>
      <w:jc w:val="left"/>
      <w:textAlignment w:val="baseline"/>
    </w:pPr>
    <w:rPr>
      <w:rFonts w:ascii="Times New Roman" w:cs="Times New Roman"/>
      <w:sz w:val="28"/>
      <w:szCs w:val="20"/>
    </w:rPr>
  </w:style>
  <w:style w:type="paragraph" w:customStyle="1" w:styleId="29">
    <w:name w:val="样式2"/>
    <w:basedOn w:val="a0"/>
    <w:link w:val="2Char5"/>
    <w:rsid w:val="00631CEC"/>
    <w:pPr>
      <w:topLinePunct w:val="0"/>
      <w:snapToGrid w:val="0"/>
      <w:ind w:left="280" w:right="280" w:firstLineChars="0" w:firstLine="560"/>
      <w:jc w:val="left"/>
      <w:textAlignment w:val="baseline"/>
    </w:pPr>
    <w:rPr>
      <w:rFonts w:ascii="Times New Roman" w:cs="Times New Roman"/>
      <w:color w:val="000000"/>
      <w:sz w:val="28"/>
      <w:szCs w:val="20"/>
    </w:rPr>
  </w:style>
  <w:style w:type="paragraph" w:customStyle="1" w:styleId="xl44">
    <w:name w:val="xl44"/>
    <w:basedOn w:val="a0"/>
    <w:rsid w:val="00631CEC"/>
    <w:pPr>
      <w:widowControl/>
      <w:pBdr>
        <w:top w:val="single" w:sz="4" w:space="0" w:color="auto"/>
        <w:left w:val="single" w:sz="4" w:space="0" w:color="auto"/>
        <w:bottom w:val="single" w:sz="4" w:space="0" w:color="auto"/>
        <w:right w:val="single" w:sz="4" w:space="0" w:color="auto"/>
      </w:pBdr>
      <w:shd w:val="clear" w:color="auto" w:fill="C0C0C0"/>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1e">
    <w:name w:val="正文1"/>
    <w:basedOn w:val="a0"/>
    <w:next w:val="aff8"/>
    <w:rsid w:val="00631CEC"/>
    <w:pPr>
      <w:topLinePunct w:val="0"/>
      <w:adjustRightInd/>
      <w:spacing w:line="240" w:lineRule="auto"/>
      <w:ind w:firstLineChars="0" w:firstLine="0"/>
      <w:jc w:val="center"/>
    </w:pPr>
    <w:rPr>
      <w:rFonts w:ascii="Times New Roman" w:cs="Times New Roman"/>
      <w:kern w:val="2"/>
      <w:sz w:val="21"/>
      <w:szCs w:val="20"/>
    </w:rPr>
  </w:style>
  <w:style w:type="paragraph" w:customStyle="1" w:styleId="81">
    <w:name w:val="8"/>
    <w:basedOn w:val="a0"/>
    <w:next w:val="afff3"/>
    <w:rsid w:val="00631CEC"/>
    <w:pPr>
      <w:topLinePunct w:val="0"/>
      <w:ind w:left="280" w:firstLineChars="0" w:firstLine="560"/>
      <w:jc w:val="left"/>
      <w:textAlignment w:val="baseline"/>
    </w:pPr>
    <w:rPr>
      <w:rFonts w:ascii="Times New Roman" w:cs="Times New Roman"/>
      <w:sz w:val="28"/>
      <w:szCs w:val="20"/>
    </w:rPr>
  </w:style>
  <w:style w:type="paragraph" w:customStyle="1" w:styleId="b2">
    <w:name w:val="总院b2"/>
    <w:basedOn w:val="2"/>
    <w:next w:val="affd"/>
    <w:rsid w:val="00631CEC"/>
    <w:pPr>
      <w:topLinePunct w:val="0"/>
      <w:adjustRightInd/>
      <w:snapToGrid w:val="0"/>
      <w:spacing w:before="120" w:after="120" w:line="300" w:lineRule="auto"/>
    </w:pPr>
    <w:rPr>
      <w:rFonts w:ascii="宋体" w:eastAsia="黑体" w:hAnsi="宋体" w:cs="Times New Roman"/>
      <w:bCs w:val="0"/>
      <w:kern w:val="2"/>
      <w:szCs w:val="20"/>
      <w:lang w:val="ru-RU"/>
    </w:rPr>
  </w:style>
  <w:style w:type="paragraph" w:customStyle="1" w:styleId="220">
    <w:name w:val="标题 22"/>
    <w:basedOn w:val="a0"/>
    <w:next w:val="a0"/>
    <w:rsid w:val="00631CEC"/>
    <w:pPr>
      <w:keepNext/>
      <w:keepLines/>
      <w:topLinePunct w:val="0"/>
      <w:adjustRightInd/>
      <w:spacing w:before="260" w:after="260" w:line="413" w:lineRule="auto"/>
      <w:ind w:firstLineChars="0" w:firstLine="0"/>
      <w:outlineLvl w:val="1"/>
    </w:pPr>
    <w:rPr>
      <w:rFonts w:ascii="Cambria" w:hAnsi="Cambria" w:cs="Times New Roman" w:hint="eastAsia"/>
      <w:b/>
      <w:kern w:val="2"/>
      <w:sz w:val="32"/>
      <w:szCs w:val="20"/>
    </w:rPr>
  </w:style>
  <w:style w:type="paragraph" w:customStyle="1" w:styleId="font9">
    <w:name w:val="font9"/>
    <w:basedOn w:val="a0"/>
    <w:rsid w:val="00631CEC"/>
    <w:pPr>
      <w:widowControl/>
      <w:topLinePunct w:val="0"/>
      <w:adjustRightInd/>
      <w:spacing w:before="100" w:beforeAutospacing="1" w:after="100" w:afterAutospacing="1" w:line="240" w:lineRule="auto"/>
      <w:ind w:firstLineChars="0" w:firstLine="0"/>
      <w:jc w:val="left"/>
    </w:pPr>
    <w:rPr>
      <w:rFonts w:ascii="Times New Roman" w:eastAsia="Arial Unicode MS" w:cs="Times New Roman"/>
      <w:sz w:val="28"/>
      <w:szCs w:val="28"/>
    </w:rPr>
  </w:style>
  <w:style w:type="paragraph" w:customStyle="1" w:styleId="2a">
    <w:name w:val="正文文字（首行缩进2字）"/>
    <w:basedOn w:val="a0"/>
    <w:rsid w:val="00631CEC"/>
    <w:pPr>
      <w:topLinePunct w:val="0"/>
      <w:adjustRightInd/>
    </w:pPr>
    <w:rPr>
      <w:rFonts w:ascii="Arial" w:hAnsi="Arial" w:cs="Times New Roman"/>
      <w:kern w:val="2"/>
      <w:position w:val="-30"/>
      <w:sz w:val="28"/>
      <w:szCs w:val="20"/>
    </w:rPr>
  </w:style>
  <w:style w:type="paragraph" w:customStyle="1" w:styleId="afffff7">
    <w:name w:val="科宏表头和图号"/>
    <w:basedOn w:val="a0"/>
    <w:next w:val="a0"/>
    <w:rsid w:val="00631CEC"/>
    <w:pPr>
      <w:topLinePunct w:val="0"/>
      <w:adjustRightInd/>
      <w:spacing w:line="240" w:lineRule="auto"/>
      <w:ind w:firstLineChars="0" w:firstLine="0"/>
      <w:jc w:val="center"/>
    </w:pPr>
    <w:rPr>
      <w:rFonts w:ascii="Arial" w:eastAsia="仿宋_GB2312" w:hAnsi="Arial" w:cs="Times New Roman"/>
      <w:b/>
      <w:kern w:val="2"/>
      <w:szCs w:val="20"/>
    </w:rPr>
  </w:style>
  <w:style w:type="paragraph" w:customStyle="1" w:styleId="xl35">
    <w:name w:val="xl35"/>
    <w:basedOn w:val="a0"/>
    <w:rsid w:val="00631CEC"/>
    <w:pPr>
      <w:widowControl/>
      <w:pBdr>
        <w:top w:val="single" w:sz="4" w:space="0" w:color="auto"/>
        <w:left w:val="single" w:sz="4" w:space="0" w:color="auto"/>
        <w:bottom w:val="single" w:sz="4" w:space="0" w:color="auto"/>
        <w:right w:val="single" w:sz="4" w:space="0" w:color="auto"/>
      </w:pBdr>
      <w:shd w:val="clear" w:color="auto" w:fill="FFFF00"/>
      <w:topLinePunct w:val="0"/>
      <w:adjustRightInd/>
      <w:spacing w:before="100" w:beforeAutospacing="1" w:after="100" w:afterAutospacing="1" w:line="240" w:lineRule="auto"/>
      <w:ind w:firstLineChars="0" w:firstLine="0"/>
      <w:jc w:val="center"/>
    </w:pPr>
    <w:rPr>
      <w:rFonts w:hAnsi="宋体" w:cs="Times New Roman"/>
      <w:sz w:val="20"/>
      <w:szCs w:val="20"/>
    </w:rPr>
  </w:style>
  <w:style w:type="paragraph" w:customStyle="1" w:styleId="2b">
    <w:name w:val="标题2"/>
    <w:basedOn w:val="aff8"/>
    <w:next w:val="3"/>
    <w:rsid w:val="00631CEC"/>
    <w:pPr>
      <w:adjustRightInd w:val="0"/>
      <w:snapToGrid w:val="0"/>
      <w:spacing w:line="360" w:lineRule="auto"/>
      <w:ind w:firstLine="560"/>
    </w:pPr>
    <w:rPr>
      <w:rFonts w:ascii="宋体" w:hAnsi="宋体"/>
      <w:snapToGrid w:val="0"/>
      <w:sz w:val="28"/>
    </w:rPr>
  </w:style>
  <w:style w:type="paragraph" w:customStyle="1" w:styleId="xl78">
    <w:name w:val="xl78"/>
    <w:basedOn w:val="a0"/>
    <w:rsid w:val="00631CEC"/>
    <w:pPr>
      <w:widowControl/>
      <w:pBdr>
        <w:top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ascii="Arial Unicode MS" w:eastAsia="Arial Unicode MS" w:hAnsi="Arial Unicode MS" w:cs="Times New Roman"/>
      <w:sz w:val="20"/>
      <w:szCs w:val="20"/>
    </w:rPr>
  </w:style>
  <w:style w:type="paragraph" w:customStyle="1" w:styleId="CharCharCharCharCharCharChar">
    <w:name w:val="Char Char Char Char Char Char Char"/>
    <w:basedOn w:val="a0"/>
    <w:rsid w:val="00631CEC"/>
    <w:pPr>
      <w:topLinePunct w:val="0"/>
      <w:adjustRightInd/>
      <w:spacing w:before="300" w:after="300" w:line="560" w:lineRule="exact"/>
      <w:ind w:firstLineChars="0" w:firstLine="0"/>
    </w:pPr>
    <w:rPr>
      <w:rFonts w:ascii="Times New Roman" w:eastAsia="黑体" w:cs="Times New Roman"/>
      <w:kern w:val="2"/>
      <w:sz w:val="36"/>
      <w:szCs w:val="36"/>
    </w:rPr>
  </w:style>
  <w:style w:type="paragraph" w:customStyle="1" w:styleId="afffff8">
    <w:name w:val="表格标题"/>
    <w:basedOn w:val="aff8"/>
    <w:rsid w:val="00631CEC"/>
    <w:pPr>
      <w:adjustRightInd w:val="0"/>
      <w:snapToGrid w:val="0"/>
      <w:ind w:rightChars="450" w:right="945" w:firstLine="560"/>
    </w:pPr>
    <w:rPr>
      <w:rFonts w:ascii="Arial" w:hAnsi="Arial" w:cs="Arial"/>
      <w:sz w:val="28"/>
    </w:rPr>
  </w:style>
  <w:style w:type="paragraph" w:customStyle="1" w:styleId="160">
    <w:name w:val="样式16"/>
    <w:basedOn w:val="a"/>
    <w:rsid w:val="00631CEC"/>
  </w:style>
  <w:style w:type="paragraph" w:customStyle="1" w:styleId="xl73">
    <w:name w:val="xl73"/>
    <w:basedOn w:val="a0"/>
    <w:rsid w:val="00631CEC"/>
    <w:pPr>
      <w:widowControl/>
      <w:pBdr>
        <w:righ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214">
    <w:name w:val="样式 标题 2 + 行距: 多倍行距 1.4 字行"/>
    <w:basedOn w:val="2"/>
    <w:rsid w:val="00631CEC"/>
    <w:pPr>
      <w:topLinePunct w:val="0"/>
      <w:snapToGrid w:val="0"/>
      <w:spacing w:before="0" w:afterLines="50"/>
      <w:ind w:left="100" w:right="100"/>
      <w:jc w:val="center"/>
      <w:textAlignment w:val="baseline"/>
    </w:pPr>
    <w:rPr>
      <w:rFonts w:ascii="宋体" w:hAnsi="宋体" w:cs="Times New Roman"/>
      <w:b w:val="0"/>
      <w:bCs w:val="0"/>
      <w:szCs w:val="20"/>
    </w:rPr>
  </w:style>
  <w:style w:type="paragraph" w:customStyle="1" w:styleId="afffff9">
    <w:name w:val="正文（利能）"/>
    <w:rsid w:val="00631CEC"/>
    <w:pPr>
      <w:jc w:val="both"/>
    </w:pPr>
    <w:rPr>
      <w:rFonts w:ascii="Arial" w:eastAsia="仿宋_GB2312" w:hAnsi="Arial"/>
      <w:sz w:val="21"/>
    </w:rPr>
  </w:style>
  <w:style w:type="paragraph" w:customStyle="1" w:styleId="afffffa">
    <w:name w:val="我的样式（表格内容）"/>
    <w:basedOn w:val="a0"/>
    <w:next w:val="a0"/>
    <w:rsid w:val="00631CEC"/>
    <w:pPr>
      <w:topLinePunct w:val="0"/>
      <w:adjustRightInd/>
      <w:ind w:firstLineChars="0" w:firstLine="0"/>
      <w:jc w:val="center"/>
    </w:pPr>
    <w:rPr>
      <w:rFonts w:ascii="Times New Roman" w:cs="Times New Roman"/>
      <w:kern w:val="2"/>
      <w:sz w:val="21"/>
      <w:szCs w:val="20"/>
    </w:rPr>
  </w:style>
  <w:style w:type="paragraph" w:customStyle="1" w:styleId="xl77">
    <w:name w:val="xl77"/>
    <w:basedOn w:val="a0"/>
    <w:rsid w:val="00631CEC"/>
    <w:pPr>
      <w:widowControl/>
      <w:pBdr>
        <w:top w:val="single" w:sz="4" w:space="0" w:color="auto"/>
        <w:bottom w:val="single" w:sz="4" w:space="0" w:color="auto"/>
      </w:pBdr>
      <w:topLinePunct w:val="0"/>
      <w:adjustRightInd/>
      <w:spacing w:before="100" w:beforeAutospacing="1" w:after="100" w:afterAutospacing="1" w:line="240" w:lineRule="auto"/>
      <w:ind w:firstLineChars="0" w:firstLine="0"/>
      <w:jc w:val="center"/>
      <w:textAlignment w:val="center"/>
    </w:pPr>
    <w:rPr>
      <w:rFonts w:ascii="Arial Unicode MS" w:eastAsia="Arial Unicode MS" w:hAnsi="Arial Unicode MS" w:cs="Times New Roman"/>
      <w:sz w:val="20"/>
      <w:szCs w:val="20"/>
    </w:rPr>
  </w:style>
  <w:style w:type="paragraph" w:customStyle="1" w:styleId="afffffb">
    <w:name w:val="正文（首行缩进两字）"/>
    <w:basedOn w:val="a0"/>
    <w:rsid w:val="00631CEC"/>
    <w:pPr>
      <w:topLinePunct w:val="0"/>
      <w:autoSpaceDE w:val="0"/>
      <w:autoSpaceDN w:val="0"/>
      <w:snapToGrid w:val="0"/>
      <w:ind w:firstLine="560"/>
    </w:pPr>
    <w:rPr>
      <w:rFonts w:ascii="Arial" w:eastAsia="仿宋_GB2312" w:hAnsi="Arial" w:cs="Arial"/>
      <w:bCs/>
      <w:color w:val="000000"/>
      <w:kern w:val="11"/>
      <w:sz w:val="28"/>
      <w:szCs w:val="28"/>
    </w:rPr>
  </w:style>
  <w:style w:type="paragraph" w:customStyle="1" w:styleId="4015">
    <w:name w:val="样式 标题 4 + 段后：0磅 行距1.5倍行距 宋体"/>
    <w:basedOn w:val="2c"/>
    <w:rsid w:val="00631CEC"/>
    <w:pPr>
      <w:keepNext/>
      <w:keepLines/>
      <w:tabs>
        <w:tab w:val="clear" w:pos="840"/>
        <w:tab w:val="left" w:pos="1400"/>
        <w:tab w:val="left" w:pos="3420"/>
      </w:tabs>
      <w:spacing w:before="260" w:after="260" w:line="413" w:lineRule="auto"/>
      <w:ind w:left="3420"/>
      <w:jc w:val="center"/>
      <w:outlineLvl w:val="1"/>
    </w:pPr>
    <w:rPr>
      <w:b/>
      <w:sz w:val="24"/>
      <w:szCs w:val="20"/>
    </w:rPr>
  </w:style>
  <w:style w:type="paragraph" w:customStyle="1" w:styleId="2c">
    <w:name w:val="样式 标题 2 + 宋体 居中"/>
    <w:basedOn w:val="a0"/>
    <w:rsid w:val="00631CEC"/>
    <w:pPr>
      <w:tabs>
        <w:tab w:val="left" w:pos="840"/>
      </w:tabs>
      <w:topLinePunct w:val="0"/>
      <w:adjustRightInd/>
      <w:spacing w:line="240" w:lineRule="auto"/>
      <w:ind w:left="840" w:firstLineChars="0" w:hanging="420"/>
    </w:pPr>
    <w:rPr>
      <w:rFonts w:ascii="Times New Roman" w:cs="Times New Roman"/>
      <w:kern w:val="2"/>
      <w:sz w:val="21"/>
      <w:szCs w:val="21"/>
    </w:rPr>
  </w:style>
  <w:style w:type="paragraph" w:customStyle="1" w:styleId="CharCharChar10">
    <w:name w:val="Char Char Char1"/>
    <w:basedOn w:val="a0"/>
    <w:rsid w:val="00631CEC"/>
    <w:pPr>
      <w:topLinePunct w:val="0"/>
      <w:adjustRightInd/>
      <w:ind w:firstLineChars="0" w:firstLine="0"/>
    </w:pPr>
    <w:rPr>
      <w:rFonts w:ascii="Times New Roman" w:cs="Times New Roman"/>
      <w:kern w:val="2"/>
    </w:rPr>
  </w:style>
  <w:style w:type="paragraph" w:customStyle="1" w:styleId="xl67">
    <w:name w:val="xl67"/>
    <w:basedOn w:val="a0"/>
    <w:rsid w:val="00631CEC"/>
    <w:pPr>
      <w:widowControl/>
      <w:pBdr>
        <w:top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pPr>
    <w:rPr>
      <w:rFonts w:hAnsi="宋体" w:cs="Times New Roman"/>
      <w:sz w:val="20"/>
      <w:szCs w:val="20"/>
    </w:rPr>
  </w:style>
  <w:style w:type="paragraph" w:customStyle="1" w:styleId="b1">
    <w:name w:val="总院b1"/>
    <w:basedOn w:val="1"/>
    <w:next w:val="b2"/>
    <w:rsid w:val="00631CEC"/>
    <w:pPr>
      <w:topLinePunct w:val="0"/>
      <w:adjustRightInd/>
      <w:snapToGrid w:val="0"/>
      <w:spacing w:before="0" w:beforeAutospacing="0" w:after="240" w:afterAutospacing="0" w:line="300" w:lineRule="auto"/>
    </w:pPr>
    <w:rPr>
      <w:rFonts w:ascii="黑体" w:eastAsia="黑体" w:hAnsi="Arial Narrow"/>
      <w:b w:val="0"/>
      <w:sz w:val="28"/>
      <w:szCs w:val="20"/>
    </w:rPr>
  </w:style>
  <w:style w:type="paragraph" w:customStyle="1" w:styleId="xl38">
    <w:name w:val="xl38"/>
    <w:basedOn w:val="a0"/>
    <w:rsid w:val="00631CEC"/>
    <w:pPr>
      <w:widowControl/>
      <w:pBdr>
        <w:top w:val="single" w:sz="4" w:space="0" w:color="auto"/>
        <w:left w:val="single" w:sz="4" w:space="0" w:color="auto"/>
        <w:bottom w:val="single" w:sz="4" w:space="0" w:color="auto"/>
        <w:right w:val="single" w:sz="4" w:space="0" w:color="auto"/>
      </w:pBdr>
      <w:shd w:val="clear" w:color="auto" w:fill="FFFF00"/>
      <w:topLinePunct w:val="0"/>
      <w:adjustRightInd/>
      <w:spacing w:before="100" w:beforeAutospacing="1" w:after="100" w:afterAutospacing="1" w:line="240" w:lineRule="auto"/>
      <w:ind w:firstLineChars="0" w:firstLine="0"/>
      <w:jc w:val="center"/>
    </w:pPr>
    <w:rPr>
      <w:rFonts w:hAnsi="宋体" w:cs="Times New Roman"/>
      <w:sz w:val="20"/>
      <w:szCs w:val="20"/>
    </w:rPr>
  </w:style>
  <w:style w:type="paragraph" w:customStyle="1" w:styleId="INENormal">
    <w:name w:val="INE Normal"/>
    <w:basedOn w:val="a0"/>
    <w:rsid w:val="00631CEC"/>
    <w:pPr>
      <w:widowControl/>
      <w:tabs>
        <w:tab w:val="left" w:pos="6445"/>
      </w:tabs>
      <w:topLinePunct w:val="0"/>
      <w:adjustRightInd/>
      <w:spacing w:line="240" w:lineRule="auto"/>
      <w:ind w:left="1077" w:firstLineChars="0" w:firstLine="0"/>
    </w:pPr>
    <w:rPr>
      <w:rFonts w:ascii="Arial" w:hAnsi="Arial" w:cs="Times New Roman"/>
      <w:sz w:val="22"/>
      <w:szCs w:val="20"/>
    </w:rPr>
  </w:style>
  <w:style w:type="paragraph" w:customStyle="1" w:styleId="AA22CharCharCharCharCharCharCharCharChar">
    <w:name w:val="样式 AA正文首行缩进 2 + 首行缩进:  2 字符 Char Char Char Char Char Char Char Char Char"/>
    <w:basedOn w:val="a0"/>
    <w:rsid w:val="00631CEC"/>
    <w:pPr>
      <w:topLinePunct w:val="0"/>
      <w:adjustRightInd/>
      <w:spacing w:after="120" w:line="240" w:lineRule="auto"/>
      <w:ind w:firstLine="560"/>
    </w:pPr>
    <w:rPr>
      <w:rFonts w:ascii="Times New Roman" w:eastAsia="仿宋_GB2312" w:cs="Times New Roman"/>
      <w:kern w:val="28"/>
      <w:sz w:val="28"/>
      <w:szCs w:val="20"/>
    </w:rPr>
  </w:style>
  <w:style w:type="paragraph" w:customStyle="1" w:styleId="120">
    <w:name w:val="12"/>
    <w:basedOn w:val="a0"/>
    <w:next w:val="afff9"/>
    <w:rsid w:val="00631CEC"/>
    <w:pPr>
      <w:topLinePunct w:val="0"/>
      <w:snapToGrid w:val="0"/>
      <w:spacing w:line="580" w:lineRule="exact"/>
      <w:ind w:firstLineChars="0" w:firstLine="510"/>
    </w:pPr>
    <w:rPr>
      <w:rFonts w:hAnsi="Courier New" w:cs="Times New Roman"/>
      <w:kern w:val="2"/>
      <w:sz w:val="28"/>
      <w:szCs w:val="20"/>
    </w:rPr>
  </w:style>
  <w:style w:type="paragraph" w:customStyle="1" w:styleId="afffffc">
    <w:name w:val="缩进正文"/>
    <w:basedOn w:val="afff3"/>
    <w:rsid w:val="00631CEC"/>
    <w:pPr>
      <w:adjustRightInd w:val="0"/>
      <w:snapToGrid w:val="0"/>
      <w:spacing w:after="0" w:line="300" w:lineRule="auto"/>
      <w:ind w:leftChars="0" w:left="0" w:firstLine="200"/>
    </w:pPr>
    <w:rPr>
      <w:rFonts w:ascii="宋体"/>
      <w:sz w:val="28"/>
      <w:szCs w:val="20"/>
    </w:rPr>
  </w:style>
  <w:style w:type="paragraph" w:customStyle="1" w:styleId="30505">
    <w:name w:val="样式 样式 标题 3 + 段前: 自动 段后: 自动 + 段前: 0.5 行 段后: 0.5 行"/>
    <w:basedOn w:val="a0"/>
    <w:rsid w:val="00631CEC"/>
    <w:pPr>
      <w:keepNext/>
      <w:keepLines/>
      <w:topLinePunct w:val="0"/>
      <w:adjustRightInd/>
      <w:spacing w:beforeLines="50" w:afterLines="50" w:line="240" w:lineRule="auto"/>
      <w:ind w:firstLineChars="0" w:firstLine="0"/>
      <w:outlineLvl w:val="2"/>
    </w:pPr>
    <w:rPr>
      <w:rFonts w:ascii="Times New Roman" w:cs="Times New Roman"/>
      <w:b/>
      <w:kern w:val="2"/>
      <w:szCs w:val="20"/>
    </w:rPr>
  </w:style>
  <w:style w:type="paragraph" w:customStyle="1" w:styleId="font11">
    <w:name w:val="font11"/>
    <w:basedOn w:val="a0"/>
    <w:rsid w:val="00631CEC"/>
    <w:pPr>
      <w:widowControl/>
      <w:topLinePunct w:val="0"/>
      <w:adjustRightInd/>
      <w:spacing w:before="100" w:beforeAutospacing="1" w:after="100" w:afterAutospacing="1" w:line="240" w:lineRule="auto"/>
      <w:ind w:firstLineChars="0" w:firstLine="0"/>
      <w:jc w:val="left"/>
    </w:pPr>
    <w:rPr>
      <w:rFonts w:hAnsi="宋体" w:cs="Times New Roman" w:hint="eastAsia"/>
      <w:color w:val="000000"/>
      <w:sz w:val="16"/>
      <w:szCs w:val="20"/>
    </w:rPr>
  </w:style>
  <w:style w:type="paragraph" w:customStyle="1" w:styleId="2d">
    <w:name w:val="2"/>
    <w:basedOn w:val="a0"/>
    <w:next w:val="affff3"/>
    <w:rsid w:val="00631CEC"/>
    <w:pPr>
      <w:topLinePunct w:val="0"/>
      <w:snapToGrid w:val="0"/>
      <w:spacing w:line="600" w:lineRule="exact"/>
      <w:ind w:left="329" w:right="284" w:firstLineChars="0" w:firstLine="515"/>
    </w:pPr>
    <w:rPr>
      <w:rFonts w:ascii="Arial" w:eastAsia="仿宋_GB2312" w:hAnsi="Arial" w:cs="Times New Roman"/>
      <w:kern w:val="2"/>
      <w:sz w:val="28"/>
      <w:szCs w:val="20"/>
    </w:rPr>
  </w:style>
  <w:style w:type="paragraph" w:customStyle="1" w:styleId="1f">
    <w:name w:val="内容1"/>
    <w:basedOn w:val="a0"/>
    <w:rsid w:val="00631CEC"/>
    <w:pPr>
      <w:topLinePunct w:val="0"/>
      <w:adjustRightInd/>
      <w:spacing w:line="240" w:lineRule="auto"/>
      <w:ind w:leftChars="100" w:left="100" w:rightChars="100" w:right="100"/>
    </w:pPr>
    <w:rPr>
      <w:rFonts w:ascii="Times New Roman" w:eastAsia="仿宋_GB2312" w:cs="Times New Roman"/>
      <w:kern w:val="2"/>
      <w:sz w:val="28"/>
      <w:szCs w:val="20"/>
    </w:rPr>
  </w:style>
  <w:style w:type="paragraph" w:customStyle="1" w:styleId="151">
    <w:name w:val="样式 行距: 1.5 倍行距"/>
    <w:basedOn w:val="a0"/>
    <w:rsid w:val="00631CEC"/>
    <w:pPr>
      <w:topLinePunct w:val="0"/>
      <w:adjustRightInd/>
      <w:spacing w:line="240" w:lineRule="auto"/>
      <w:ind w:firstLine="560"/>
    </w:pPr>
    <w:rPr>
      <w:rFonts w:ascii="Arial" w:eastAsia="仿宋_GB2312" w:hAnsi="Arial"/>
      <w:kern w:val="2"/>
      <w:sz w:val="28"/>
      <w:szCs w:val="28"/>
    </w:rPr>
  </w:style>
  <w:style w:type="paragraph" w:customStyle="1" w:styleId="xl30">
    <w:name w:val="xl30"/>
    <w:basedOn w:val="a0"/>
    <w:rsid w:val="00631CEC"/>
    <w:pPr>
      <w:widowControl/>
      <w:pBdr>
        <w:left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rPr>
  </w:style>
  <w:style w:type="paragraph" w:customStyle="1" w:styleId="2e">
    <w:name w:val="表头2"/>
    <w:basedOn w:val="a0"/>
    <w:rsid w:val="00631CEC"/>
    <w:pPr>
      <w:widowControl/>
      <w:tabs>
        <w:tab w:val="left" w:pos="284"/>
        <w:tab w:val="center" w:pos="6237"/>
      </w:tabs>
      <w:topLinePunct w:val="0"/>
      <w:adjustRightInd/>
      <w:spacing w:before="240" w:after="240" w:line="240" w:lineRule="auto"/>
      <w:ind w:firstLineChars="0" w:firstLine="0"/>
      <w:jc w:val="center"/>
    </w:pPr>
    <w:rPr>
      <w:rFonts w:ascii="黑体" w:eastAsia="黑体" w:cs="Times New Roman"/>
      <w:szCs w:val="20"/>
    </w:rPr>
  </w:style>
  <w:style w:type="paragraph" w:customStyle="1" w:styleId="91">
    <w:name w:val="9"/>
    <w:basedOn w:val="a0"/>
    <w:next w:val="aff8"/>
    <w:rsid w:val="00631CEC"/>
    <w:pPr>
      <w:topLinePunct w:val="0"/>
      <w:adjustRightInd/>
      <w:spacing w:line="240" w:lineRule="auto"/>
      <w:ind w:firstLineChars="0" w:firstLine="420"/>
    </w:pPr>
    <w:rPr>
      <w:rFonts w:ascii="Times New Roman" w:cs="Times New Roman"/>
      <w:kern w:val="2"/>
      <w:sz w:val="21"/>
      <w:szCs w:val="20"/>
    </w:rPr>
  </w:style>
  <w:style w:type="paragraph" w:customStyle="1" w:styleId="xl22">
    <w:name w:val="xl22"/>
    <w:basedOn w:val="a0"/>
    <w:rsid w:val="00631CEC"/>
    <w:pPr>
      <w:widowControl/>
      <w:topLinePunct w:val="0"/>
      <w:adjustRightInd/>
      <w:spacing w:before="100" w:beforeAutospacing="1" w:after="100" w:afterAutospacing="1" w:line="240" w:lineRule="auto"/>
      <w:ind w:firstLineChars="0" w:firstLine="0"/>
      <w:jc w:val="center"/>
    </w:pPr>
    <w:rPr>
      <w:rFonts w:cs="Times New Roman"/>
      <w:szCs w:val="20"/>
    </w:rPr>
  </w:style>
  <w:style w:type="paragraph" w:customStyle="1" w:styleId="140">
    <w:name w:val="样式14"/>
    <w:basedOn w:val="affff9"/>
    <w:rsid w:val="00631CEC"/>
  </w:style>
  <w:style w:type="paragraph" w:customStyle="1" w:styleId="TESTO">
    <w:name w:val="TESTO"/>
    <w:basedOn w:val="a0"/>
    <w:rsid w:val="00631CEC"/>
    <w:pPr>
      <w:widowControl/>
      <w:tabs>
        <w:tab w:val="left" w:pos="1418"/>
        <w:tab w:val="left" w:pos="1701"/>
        <w:tab w:val="left" w:pos="2424"/>
        <w:tab w:val="left" w:pos="3024"/>
        <w:tab w:val="left" w:pos="3624"/>
        <w:tab w:val="left" w:pos="4224"/>
        <w:tab w:val="left" w:pos="4824"/>
        <w:tab w:val="left" w:pos="5424"/>
        <w:tab w:val="left" w:pos="6024"/>
        <w:tab w:val="left" w:pos="6624"/>
        <w:tab w:val="left" w:pos="7224"/>
      </w:tabs>
      <w:overflowPunct w:val="0"/>
      <w:topLinePunct w:val="0"/>
      <w:autoSpaceDE w:val="0"/>
      <w:autoSpaceDN w:val="0"/>
      <w:spacing w:line="240" w:lineRule="atLeast"/>
      <w:ind w:left="1247" w:right="851" w:firstLineChars="0" w:hanging="851"/>
      <w:textAlignment w:val="baseline"/>
    </w:pPr>
    <w:rPr>
      <w:rFonts w:ascii="Arial" w:hAnsi="Arial" w:cs="Times New Roman"/>
      <w:sz w:val="22"/>
      <w:szCs w:val="20"/>
      <w:lang w:val="en-GB"/>
    </w:rPr>
  </w:style>
  <w:style w:type="paragraph" w:customStyle="1" w:styleId="Char2CharCharCharCharCharChar">
    <w:name w:val="Char2 Char Char Char Char Char Char"/>
    <w:basedOn w:val="a0"/>
    <w:rsid w:val="00631CEC"/>
    <w:pPr>
      <w:topLinePunct w:val="0"/>
      <w:adjustRightInd/>
      <w:spacing w:line="240" w:lineRule="auto"/>
      <w:ind w:firstLineChars="0" w:firstLine="0"/>
    </w:pPr>
    <w:rPr>
      <w:rFonts w:ascii="Times New Roman" w:cs="Times New Roman"/>
      <w:kern w:val="2"/>
      <w:sz w:val="21"/>
      <w:szCs w:val="20"/>
    </w:rPr>
  </w:style>
  <w:style w:type="paragraph" w:customStyle="1" w:styleId="xl25">
    <w:name w:val="xl25"/>
    <w:basedOn w:val="a0"/>
    <w:rsid w:val="00631CEC"/>
    <w:pPr>
      <w:widowControl/>
      <w:pBdr>
        <w:top w:val="single" w:sz="4" w:space="0" w:color="auto"/>
        <w:left w:val="single" w:sz="4" w:space="0" w:color="auto"/>
      </w:pBdr>
      <w:topLinePunct w:val="0"/>
      <w:adjustRightInd/>
      <w:spacing w:before="100" w:beforeAutospacing="1" w:after="100" w:afterAutospacing="1" w:line="240" w:lineRule="auto"/>
      <w:ind w:firstLineChars="0" w:firstLine="0"/>
      <w:jc w:val="center"/>
    </w:pPr>
    <w:rPr>
      <w:rFonts w:hAnsi="宋体" w:cs="Times New Roman"/>
      <w:sz w:val="20"/>
      <w:szCs w:val="20"/>
    </w:rPr>
  </w:style>
  <w:style w:type="paragraph" w:customStyle="1" w:styleId="CharCharCharChar0">
    <w:name w:val="Char Char Char Char"/>
    <w:basedOn w:val="a0"/>
    <w:rsid w:val="00631CEC"/>
    <w:pPr>
      <w:topLinePunct w:val="0"/>
      <w:adjustRightInd/>
      <w:spacing w:line="240" w:lineRule="auto"/>
      <w:ind w:firstLineChars="0" w:firstLine="0"/>
    </w:pPr>
    <w:rPr>
      <w:rFonts w:ascii="Times New Roman" w:cs="Times New Roman"/>
      <w:kern w:val="2"/>
      <w:sz w:val="21"/>
    </w:rPr>
  </w:style>
  <w:style w:type="paragraph" w:customStyle="1" w:styleId="a00">
    <w:name w:val="a0"/>
    <w:basedOn w:val="a0"/>
    <w:rsid w:val="00631CEC"/>
    <w:pPr>
      <w:widowControl/>
      <w:topLinePunct w:val="0"/>
      <w:autoSpaceDE w:val="0"/>
      <w:autoSpaceDN w:val="0"/>
      <w:adjustRightInd/>
      <w:spacing w:line="480" w:lineRule="atLeast"/>
      <w:ind w:firstLineChars="0" w:firstLine="0"/>
    </w:pPr>
    <w:rPr>
      <w:rFonts w:ascii="Times New Roman" w:cs="Times New Roman"/>
      <w:spacing w:val="-12"/>
      <w:sz w:val="21"/>
      <w:szCs w:val="20"/>
    </w:rPr>
  </w:style>
  <w:style w:type="paragraph" w:customStyle="1" w:styleId="afffffd">
    <w:name w:val="报告正文"/>
    <w:basedOn w:val="a0"/>
    <w:qFormat/>
    <w:rsid w:val="00631CEC"/>
    <w:pPr>
      <w:topLinePunct w:val="0"/>
      <w:snapToGrid w:val="0"/>
      <w:spacing w:line="300" w:lineRule="auto"/>
      <w:ind w:firstLineChars="0" w:firstLine="0"/>
    </w:pPr>
    <w:rPr>
      <w:rFonts w:cs="Times New Roman"/>
      <w:kern w:val="2"/>
      <w:sz w:val="28"/>
      <w:szCs w:val="20"/>
    </w:rPr>
  </w:style>
  <w:style w:type="paragraph" w:customStyle="1" w:styleId="Char2CharCharCharCharCharChar1">
    <w:name w:val="Char2 Char Char Char Char Char Char1"/>
    <w:basedOn w:val="a0"/>
    <w:rsid w:val="00631CEC"/>
    <w:pPr>
      <w:topLinePunct w:val="0"/>
      <w:adjustRightInd/>
      <w:spacing w:line="240" w:lineRule="auto"/>
      <w:ind w:firstLineChars="0" w:firstLine="0"/>
    </w:pPr>
    <w:rPr>
      <w:rFonts w:ascii="Times New Roman" w:cs="Times New Roman"/>
      <w:kern w:val="2"/>
      <w:sz w:val="21"/>
      <w:szCs w:val="20"/>
    </w:rPr>
  </w:style>
  <w:style w:type="paragraph" w:customStyle="1" w:styleId="xl71">
    <w:name w:val="xl71"/>
    <w:basedOn w:val="a0"/>
    <w:rsid w:val="00631CEC"/>
    <w:pPr>
      <w:widowControl/>
      <w:pBdr>
        <w:left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ohz">
    <w:name w:val="ohz正文"/>
    <w:basedOn w:val="a0"/>
    <w:rsid w:val="00631CEC"/>
    <w:pPr>
      <w:topLinePunct w:val="0"/>
      <w:adjustRightInd/>
    </w:pPr>
    <w:rPr>
      <w:rFonts w:ascii="Times New Roman" w:cs="Times New Roman"/>
      <w:kern w:val="2"/>
      <w:szCs w:val="22"/>
    </w:rPr>
  </w:style>
  <w:style w:type="paragraph" w:customStyle="1" w:styleId="xl70">
    <w:name w:val="xl70"/>
    <w:basedOn w:val="a0"/>
    <w:rsid w:val="00631CEC"/>
    <w:pPr>
      <w:widowControl/>
      <w:pBdr>
        <w:left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112">
    <w:name w:val="1.1"/>
    <w:basedOn w:val="2"/>
    <w:rsid w:val="00631CEC"/>
    <w:pPr>
      <w:topLinePunct w:val="0"/>
      <w:adjustRightInd/>
      <w:spacing w:before="0"/>
      <w:jc w:val="center"/>
    </w:pPr>
    <w:rPr>
      <w:rFonts w:ascii="Arial" w:eastAsia="仿宋_GB2312" w:hAnsi="Arial" w:cs="Times New Roman"/>
      <w:bCs w:val="0"/>
      <w:sz w:val="30"/>
      <w:szCs w:val="20"/>
    </w:rPr>
  </w:style>
  <w:style w:type="paragraph" w:customStyle="1" w:styleId="2f">
    <w:name w:val="样式 正文首缩 + 首行缩进:  2 字符"/>
    <w:basedOn w:val="a0"/>
    <w:rsid w:val="00631CEC"/>
    <w:pPr>
      <w:topLinePunct w:val="0"/>
      <w:ind w:firstLine="560"/>
    </w:pPr>
    <w:rPr>
      <w:rFonts w:ascii="Arial" w:eastAsia="仿宋_GB2312" w:hAnsi="Arial" w:cs="Times New Roman"/>
      <w:kern w:val="2"/>
      <w:sz w:val="28"/>
      <w:szCs w:val="20"/>
    </w:rPr>
  </w:style>
  <w:style w:type="paragraph" w:customStyle="1" w:styleId="a10">
    <w:name w:val="a1"/>
    <w:basedOn w:val="a0"/>
    <w:rsid w:val="00631CEC"/>
    <w:pPr>
      <w:widowControl/>
      <w:topLinePunct w:val="0"/>
      <w:adjustRightInd/>
      <w:snapToGrid w:val="0"/>
      <w:spacing w:line="240" w:lineRule="auto"/>
      <w:ind w:firstLineChars="0" w:firstLine="0"/>
      <w:jc w:val="center"/>
    </w:pPr>
    <w:rPr>
      <w:rFonts w:ascii="Times New Roman" w:cs="Times New Roman"/>
      <w:spacing w:val="-16"/>
      <w:sz w:val="21"/>
      <w:szCs w:val="20"/>
    </w:rPr>
  </w:style>
  <w:style w:type="paragraph" w:customStyle="1" w:styleId="afffffe">
    <w:name w:val="批注"/>
    <w:basedOn w:val="a0"/>
    <w:rsid w:val="00631CEC"/>
    <w:pPr>
      <w:topLinePunct w:val="0"/>
      <w:adjustRightInd/>
      <w:spacing w:line="300" w:lineRule="auto"/>
    </w:pPr>
    <w:rPr>
      <w:rFonts w:ascii="Times New Roman" w:cs="Times New Roman"/>
      <w:kern w:val="2"/>
      <w:szCs w:val="20"/>
    </w:rPr>
  </w:style>
  <w:style w:type="paragraph" w:customStyle="1" w:styleId="xl36">
    <w:name w:val="xl36"/>
    <w:basedOn w:val="a0"/>
    <w:rsid w:val="00631CEC"/>
    <w:pPr>
      <w:widowControl/>
      <w:pBdr>
        <w:top w:val="single" w:sz="4" w:space="0" w:color="auto"/>
        <w:left w:val="single" w:sz="4" w:space="0" w:color="auto"/>
        <w:bottom w:val="single" w:sz="4" w:space="0" w:color="auto"/>
        <w:right w:val="single" w:sz="4" w:space="0" w:color="auto"/>
      </w:pBdr>
      <w:shd w:val="clear" w:color="auto" w:fill="FFFF00"/>
      <w:topLinePunct w:val="0"/>
      <w:adjustRightInd/>
      <w:spacing w:before="100" w:beforeAutospacing="1" w:after="100" w:afterAutospacing="1" w:line="240" w:lineRule="auto"/>
      <w:ind w:firstLineChars="0" w:firstLine="0"/>
      <w:jc w:val="center"/>
    </w:pPr>
    <w:rPr>
      <w:rFonts w:hAnsi="宋体" w:cs="Times New Roman"/>
      <w:color w:val="3333CC"/>
      <w:sz w:val="20"/>
      <w:szCs w:val="20"/>
    </w:rPr>
  </w:style>
  <w:style w:type="paragraph" w:customStyle="1" w:styleId="CharCharCharChar2">
    <w:name w:val="Char Char Char Char2"/>
    <w:basedOn w:val="a0"/>
    <w:rsid w:val="00631CEC"/>
    <w:pPr>
      <w:topLinePunct w:val="0"/>
      <w:adjustRightInd/>
      <w:spacing w:line="240" w:lineRule="auto"/>
      <w:ind w:firstLineChars="0" w:firstLine="0"/>
    </w:pPr>
    <w:rPr>
      <w:rFonts w:ascii="Times New Roman" w:cs="Times New Roman"/>
      <w:kern w:val="2"/>
      <w:sz w:val="21"/>
      <w:szCs w:val="20"/>
    </w:rPr>
  </w:style>
  <w:style w:type="paragraph" w:customStyle="1" w:styleId="xl42">
    <w:name w:val="xl42"/>
    <w:basedOn w:val="a0"/>
    <w:rsid w:val="00631CEC"/>
    <w:pPr>
      <w:widowControl/>
      <w:pBdr>
        <w:top w:val="single" w:sz="4" w:space="0" w:color="auto"/>
        <w:left w:val="single" w:sz="4" w:space="0" w:color="auto"/>
        <w:bottom w:val="single" w:sz="4" w:space="0" w:color="auto"/>
        <w:right w:val="single" w:sz="4" w:space="0" w:color="auto"/>
      </w:pBdr>
      <w:shd w:val="clear" w:color="auto" w:fill="C0C0C0"/>
      <w:topLinePunct w:val="0"/>
      <w:adjustRightInd/>
      <w:spacing w:before="100" w:beforeAutospacing="1" w:after="100" w:afterAutospacing="1" w:line="240" w:lineRule="auto"/>
      <w:ind w:firstLineChars="0" w:firstLine="0"/>
      <w:jc w:val="center"/>
      <w:textAlignment w:val="center"/>
    </w:pPr>
    <w:rPr>
      <w:rFonts w:hAnsi="宋体" w:cs="Times New Roman"/>
      <w:color w:val="3333CC"/>
      <w:sz w:val="20"/>
      <w:szCs w:val="20"/>
    </w:rPr>
  </w:style>
  <w:style w:type="paragraph" w:customStyle="1" w:styleId="affffff">
    <w:name w:val="篇号"/>
    <w:basedOn w:val="a0"/>
    <w:rsid w:val="00631CEC"/>
    <w:pPr>
      <w:tabs>
        <w:tab w:val="left" w:pos="1729"/>
        <w:tab w:val="left" w:pos="1882"/>
      </w:tabs>
      <w:topLinePunct w:val="0"/>
      <w:snapToGrid w:val="0"/>
      <w:spacing w:line="300" w:lineRule="auto"/>
      <w:ind w:firstLineChars="0" w:firstLine="567"/>
      <w:jc w:val="center"/>
    </w:pPr>
    <w:rPr>
      <w:rFonts w:ascii="Times New Roman" w:eastAsia="黑体" w:cs="Times New Roman"/>
      <w:kern w:val="2"/>
      <w:sz w:val="32"/>
      <w:szCs w:val="20"/>
    </w:rPr>
  </w:style>
  <w:style w:type="paragraph" w:customStyle="1" w:styleId="font8">
    <w:name w:val="font8"/>
    <w:basedOn w:val="a0"/>
    <w:rsid w:val="00631CEC"/>
    <w:pPr>
      <w:widowControl/>
      <w:topLinePunct w:val="0"/>
      <w:adjustRightInd/>
      <w:spacing w:before="100" w:beforeAutospacing="1" w:after="100" w:afterAutospacing="1" w:line="240" w:lineRule="auto"/>
      <w:ind w:firstLineChars="0" w:firstLine="0"/>
      <w:jc w:val="left"/>
    </w:pPr>
    <w:rPr>
      <w:rFonts w:ascii="Times New Roman" w:cs="Times New Roman"/>
      <w:color w:val="FF0000"/>
      <w:sz w:val="20"/>
      <w:szCs w:val="20"/>
    </w:rPr>
  </w:style>
  <w:style w:type="paragraph" w:customStyle="1" w:styleId="15082">
    <w:name w:val="样式 行距: 1.5 倍行距 左  0.8 字符 首行缩进:  2 字符"/>
    <w:basedOn w:val="a0"/>
    <w:rsid w:val="00631CEC"/>
    <w:pPr>
      <w:topLinePunct w:val="0"/>
      <w:snapToGrid w:val="0"/>
      <w:ind w:firstLine="560"/>
    </w:pPr>
    <w:rPr>
      <w:rFonts w:ascii="Times New Roman" w:eastAsia="仿宋_GB2312" w:cs="Times New Roman"/>
      <w:snapToGrid w:val="0"/>
      <w:sz w:val="28"/>
      <w:szCs w:val="20"/>
    </w:rPr>
  </w:style>
  <w:style w:type="paragraph" w:customStyle="1" w:styleId="37">
    <w:name w:val="样式 标题 3 + 非加粗"/>
    <w:basedOn w:val="3"/>
    <w:rsid w:val="00631CEC"/>
    <w:pPr>
      <w:keepNext w:val="0"/>
      <w:keepLines w:val="0"/>
      <w:tabs>
        <w:tab w:val="left" w:pos="1470"/>
      </w:tabs>
      <w:topLinePunct w:val="0"/>
      <w:adjustRightInd/>
    </w:pPr>
    <w:rPr>
      <w:rFonts w:ascii="仿宋_GB2312" w:eastAsia="仿宋_GB2312" w:hAnsi="Arial"/>
      <w:b w:val="0"/>
      <w:kern w:val="2"/>
      <w:sz w:val="28"/>
      <w:szCs w:val="28"/>
    </w:rPr>
  </w:style>
  <w:style w:type="paragraph" w:customStyle="1" w:styleId="xl60">
    <w:name w:val="xl60"/>
    <w:basedOn w:val="a0"/>
    <w:rsid w:val="00631CEC"/>
    <w:pPr>
      <w:widowControl/>
      <w:pBdr>
        <w:bottom w:val="single" w:sz="4" w:space="0" w:color="auto"/>
      </w:pBdr>
      <w:topLinePunct w:val="0"/>
      <w:adjustRightInd/>
      <w:spacing w:before="100" w:beforeAutospacing="1" w:after="100" w:afterAutospacing="1" w:line="240" w:lineRule="auto"/>
      <w:ind w:firstLineChars="0" w:firstLine="0"/>
      <w:jc w:val="center"/>
    </w:pPr>
    <w:rPr>
      <w:rFonts w:hAnsi="宋体" w:cs="Times New Roman"/>
      <w:color w:val="FF0000"/>
      <w:sz w:val="20"/>
      <w:szCs w:val="20"/>
    </w:rPr>
  </w:style>
  <w:style w:type="paragraph" w:customStyle="1" w:styleId="affffff0">
    <w:name w:val="陕西，正文"/>
    <w:basedOn w:val="a0"/>
    <w:rsid w:val="00631CEC"/>
    <w:pPr>
      <w:topLinePunct w:val="0"/>
      <w:adjustRightInd/>
      <w:ind w:firstLine="560"/>
    </w:pPr>
    <w:rPr>
      <w:rFonts w:ascii="Times New Roman"/>
      <w:kern w:val="2"/>
      <w:sz w:val="28"/>
      <w:szCs w:val="20"/>
    </w:rPr>
  </w:style>
  <w:style w:type="paragraph" w:customStyle="1" w:styleId="affffff1">
    <w:name w:val="标准"/>
    <w:basedOn w:val="a0"/>
    <w:rsid w:val="00631CEC"/>
    <w:pPr>
      <w:topLinePunct w:val="0"/>
      <w:spacing w:before="120" w:line="336" w:lineRule="auto"/>
      <w:ind w:firstLineChars="0" w:firstLine="0"/>
      <w:jc w:val="center"/>
      <w:textAlignment w:val="baseline"/>
    </w:pPr>
    <w:rPr>
      <w:rFonts w:ascii="黑体" w:eastAsia="黑体" w:cs="Times New Roman"/>
      <w:kern w:val="2"/>
      <w:sz w:val="21"/>
      <w:szCs w:val="20"/>
    </w:rPr>
  </w:style>
  <w:style w:type="paragraph" w:customStyle="1" w:styleId="38">
    <w:name w:val="样式3"/>
    <w:basedOn w:val="4015"/>
    <w:rsid w:val="00631CEC"/>
    <w:rPr>
      <w:b w:val="0"/>
      <w:sz w:val="28"/>
    </w:rPr>
  </w:style>
  <w:style w:type="paragraph" w:customStyle="1" w:styleId="121">
    <w:name w:val="样式12"/>
    <w:basedOn w:val="1"/>
    <w:rsid w:val="00631CEC"/>
    <w:pPr>
      <w:keepLines w:val="0"/>
      <w:tabs>
        <w:tab w:val="left" w:pos="425"/>
      </w:tabs>
      <w:topLinePunct w:val="0"/>
      <w:adjustRightInd/>
      <w:spacing w:before="0" w:beforeAutospacing="0" w:after="0" w:afterAutospacing="0" w:line="240" w:lineRule="auto"/>
      <w:ind w:left="425" w:hanging="425"/>
      <w:jc w:val="both"/>
    </w:pPr>
    <w:rPr>
      <w:rFonts w:ascii="黑体" w:eastAsia="黑体" w:hAnsi="楷体_GB2312"/>
      <w:kern w:val="0"/>
      <w:sz w:val="28"/>
      <w:szCs w:val="20"/>
    </w:rPr>
  </w:style>
  <w:style w:type="paragraph" w:customStyle="1" w:styleId="Style12">
    <w:name w:val="_Style 12"/>
    <w:basedOn w:val="a0"/>
    <w:rsid w:val="00631CEC"/>
    <w:pPr>
      <w:topLinePunct w:val="0"/>
      <w:adjustRightInd/>
      <w:spacing w:line="240" w:lineRule="auto"/>
      <w:ind w:firstLineChars="0" w:firstLine="0"/>
    </w:pPr>
    <w:rPr>
      <w:rFonts w:ascii="Times New Roman" w:cs="Times New Roman"/>
      <w:kern w:val="2"/>
      <w:sz w:val="21"/>
      <w:szCs w:val="20"/>
    </w:rPr>
  </w:style>
  <w:style w:type="paragraph" w:customStyle="1" w:styleId="affffff2">
    <w:name w:val="表格字体（利能）"/>
    <w:basedOn w:val="afffff9"/>
    <w:rsid w:val="00631CEC"/>
    <w:pPr>
      <w:jc w:val="center"/>
    </w:pPr>
  </w:style>
  <w:style w:type="paragraph" w:customStyle="1" w:styleId="xl46">
    <w:name w:val="xl46"/>
    <w:basedOn w:val="a0"/>
    <w:rsid w:val="00631CEC"/>
    <w:pPr>
      <w:widowControl/>
      <w:pBdr>
        <w:top w:val="single" w:sz="4" w:space="0" w:color="auto"/>
        <w:left w:val="single" w:sz="4" w:space="0" w:color="auto"/>
        <w:bottom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font6">
    <w:name w:val="font6"/>
    <w:basedOn w:val="a0"/>
    <w:rsid w:val="00631CEC"/>
    <w:pPr>
      <w:widowControl/>
      <w:topLinePunct w:val="0"/>
      <w:adjustRightInd/>
      <w:spacing w:before="100" w:beforeAutospacing="1" w:after="100" w:afterAutospacing="1" w:line="240" w:lineRule="auto"/>
      <w:ind w:firstLineChars="0" w:firstLine="0"/>
      <w:jc w:val="left"/>
    </w:pPr>
    <w:rPr>
      <w:rFonts w:ascii="Times New Roman" w:eastAsia="Arial Unicode MS" w:cs="Times New Roman"/>
    </w:rPr>
  </w:style>
  <w:style w:type="paragraph" w:customStyle="1" w:styleId="CM114">
    <w:name w:val="CM114"/>
    <w:basedOn w:val="a0"/>
    <w:next w:val="a0"/>
    <w:rsid w:val="00631CEC"/>
    <w:pPr>
      <w:topLinePunct w:val="0"/>
      <w:autoSpaceDE w:val="0"/>
      <w:autoSpaceDN w:val="0"/>
      <w:spacing w:after="170" w:line="240" w:lineRule="auto"/>
      <w:ind w:firstLineChars="0" w:firstLine="0"/>
      <w:jc w:val="left"/>
    </w:pPr>
    <w:rPr>
      <w:rFonts w:cs="Times New Roman"/>
    </w:rPr>
  </w:style>
  <w:style w:type="paragraph" w:customStyle="1" w:styleId="xl62">
    <w:name w:val="xl62"/>
    <w:basedOn w:val="a0"/>
    <w:rsid w:val="00631CEC"/>
    <w:pPr>
      <w:widowControl/>
      <w:pBdr>
        <w:top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color w:val="FF0000"/>
      <w:sz w:val="20"/>
      <w:szCs w:val="20"/>
    </w:rPr>
  </w:style>
  <w:style w:type="paragraph" w:customStyle="1" w:styleId="-FS-L">
    <w:name w:val="正文-FS-L"/>
    <w:rsid w:val="00631CEC"/>
    <w:pPr>
      <w:spacing w:line="360" w:lineRule="auto"/>
      <w:ind w:firstLine="567"/>
      <w:jc w:val="both"/>
    </w:pPr>
    <w:rPr>
      <w:rFonts w:ascii="Times New Roman" w:eastAsia="仿宋_GB2312" w:hAnsi="Times New Roman"/>
      <w:sz w:val="28"/>
    </w:rPr>
  </w:style>
  <w:style w:type="paragraph" w:customStyle="1" w:styleId="affffff3">
    <w:name w:val="样式 表格字体（利能） + 小四"/>
    <w:basedOn w:val="affffff4"/>
    <w:rsid w:val="00631CEC"/>
    <w:rPr>
      <w:sz w:val="24"/>
    </w:rPr>
  </w:style>
  <w:style w:type="paragraph" w:customStyle="1" w:styleId="affffff4">
    <w:name w:val="表格字体（）"/>
    <w:basedOn w:val="a0"/>
    <w:rsid w:val="00631CEC"/>
    <w:pPr>
      <w:widowControl/>
      <w:topLinePunct w:val="0"/>
      <w:adjustRightInd/>
      <w:spacing w:line="240" w:lineRule="auto"/>
      <w:ind w:firstLineChars="0" w:firstLine="0"/>
      <w:jc w:val="center"/>
    </w:pPr>
    <w:rPr>
      <w:rFonts w:ascii="Arial" w:eastAsia="仿宋_GB2312" w:hAnsi="Arial" w:cs="Times New Roman"/>
      <w:sz w:val="21"/>
      <w:szCs w:val="20"/>
    </w:rPr>
  </w:style>
  <w:style w:type="paragraph" w:customStyle="1" w:styleId="xl40">
    <w:name w:val="xl40"/>
    <w:basedOn w:val="a0"/>
    <w:rsid w:val="00631CEC"/>
    <w:pPr>
      <w:widowControl/>
      <w:pBdr>
        <w:top w:val="single" w:sz="4" w:space="0" w:color="auto"/>
        <w:left w:val="single" w:sz="4" w:space="0" w:color="auto"/>
        <w:bottom w:val="single" w:sz="4" w:space="0" w:color="auto"/>
        <w:right w:val="single" w:sz="4" w:space="0" w:color="auto"/>
      </w:pBdr>
      <w:shd w:val="clear" w:color="auto" w:fill="C0C0C0"/>
      <w:topLinePunct w:val="0"/>
      <w:adjustRightInd/>
      <w:spacing w:before="100" w:beforeAutospacing="1" w:after="100" w:afterAutospacing="1" w:line="240" w:lineRule="auto"/>
      <w:ind w:firstLineChars="0" w:firstLine="0"/>
      <w:jc w:val="center"/>
    </w:pPr>
    <w:rPr>
      <w:rFonts w:hAnsi="宋体" w:cs="Times New Roman"/>
      <w:color w:val="FF0000"/>
      <w:sz w:val="20"/>
      <w:szCs w:val="20"/>
    </w:rPr>
  </w:style>
  <w:style w:type="paragraph" w:customStyle="1" w:styleId="affffff5">
    <w:name w:val="表格文字（科宏）"/>
    <w:basedOn w:val="afff0"/>
    <w:rsid w:val="00631CEC"/>
    <w:pPr>
      <w:jc w:val="center"/>
    </w:pPr>
  </w:style>
  <w:style w:type="paragraph" w:customStyle="1" w:styleId="Char31">
    <w:name w:val="Char3"/>
    <w:basedOn w:val="a0"/>
    <w:rsid w:val="00631CEC"/>
    <w:pPr>
      <w:topLinePunct w:val="0"/>
      <w:adjustRightInd/>
      <w:spacing w:line="240" w:lineRule="auto"/>
      <w:ind w:firstLineChars="0" w:firstLine="0"/>
    </w:pPr>
    <w:rPr>
      <w:rFonts w:ascii="Times New Roman" w:cs="Times New Roman"/>
      <w:kern w:val="2"/>
      <w:sz w:val="21"/>
      <w:szCs w:val="20"/>
    </w:rPr>
  </w:style>
  <w:style w:type="paragraph" w:customStyle="1" w:styleId="affffff6">
    <w:name w:val="表字"/>
    <w:basedOn w:val="a0"/>
    <w:rsid w:val="00631CEC"/>
    <w:pPr>
      <w:topLinePunct w:val="0"/>
      <w:adjustRightInd/>
      <w:snapToGrid w:val="0"/>
      <w:spacing w:line="360" w:lineRule="exact"/>
      <w:ind w:firstLineChars="0" w:firstLine="0"/>
    </w:pPr>
    <w:rPr>
      <w:rFonts w:ascii="Times New Roman" w:cs="Times New Roman"/>
      <w:kern w:val="2"/>
      <w:sz w:val="21"/>
      <w:szCs w:val="20"/>
    </w:rPr>
  </w:style>
  <w:style w:type="paragraph" w:customStyle="1" w:styleId="1f0">
    <w:name w:val="标题 1 宋体 三号"/>
    <w:basedOn w:val="1"/>
    <w:rsid w:val="00631CEC"/>
    <w:pPr>
      <w:tabs>
        <w:tab w:val="left" w:pos="425"/>
      </w:tabs>
      <w:topLinePunct w:val="0"/>
      <w:adjustRightInd/>
      <w:spacing w:before="340" w:beforeAutospacing="0" w:after="330" w:afterAutospacing="0"/>
      <w:ind w:left="425" w:hanging="425"/>
      <w:jc w:val="center"/>
    </w:pPr>
    <w:rPr>
      <w:rFonts w:ascii="宋体" w:eastAsia="宋体" w:hAnsi="宋体"/>
      <w:szCs w:val="20"/>
    </w:rPr>
  </w:style>
  <w:style w:type="paragraph" w:customStyle="1" w:styleId="43">
    <w:name w:val="样式 标题 4 + (符号) 宋体 小四 非加粗 两端对齐"/>
    <w:basedOn w:val="a0"/>
    <w:rsid w:val="00631CEC"/>
    <w:pPr>
      <w:tabs>
        <w:tab w:val="left" w:pos="425"/>
      </w:tabs>
      <w:topLinePunct w:val="0"/>
      <w:adjustRightInd/>
      <w:spacing w:line="240" w:lineRule="auto"/>
      <w:ind w:left="360" w:firstLineChars="0" w:hanging="360"/>
    </w:pPr>
    <w:rPr>
      <w:rFonts w:ascii="Times New Roman" w:cs="Times New Roman"/>
      <w:kern w:val="2"/>
      <w:sz w:val="21"/>
      <w:szCs w:val="20"/>
    </w:rPr>
  </w:style>
  <w:style w:type="paragraph" w:customStyle="1" w:styleId="affffff7">
    <w:name w:val="方框"/>
    <w:basedOn w:val="a0"/>
    <w:rsid w:val="00631CEC"/>
    <w:pPr>
      <w:widowControl/>
      <w:topLinePunct w:val="0"/>
      <w:adjustRightInd/>
      <w:spacing w:line="0" w:lineRule="atLeast"/>
      <w:ind w:firstLineChars="0" w:firstLine="0"/>
    </w:pPr>
    <w:rPr>
      <w:rFonts w:cs="Times New Roman"/>
      <w:szCs w:val="20"/>
    </w:rPr>
  </w:style>
  <w:style w:type="paragraph" w:customStyle="1" w:styleId="affffff8">
    <w:name w:val="节名"/>
    <w:basedOn w:val="a0"/>
    <w:rsid w:val="00631CEC"/>
    <w:pPr>
      <w:topLinePunct w:val="0"/>
      <w:snapToGrid w:val="0"/>
      <w:spacing w:line="300" w:lineRule="auto"/>
      <w:ind w:firstLineChars="0" w:firstLine="0"/>
      <w:jc w:val="center"/>
    </w:pPr>
    <w:rPr>
      <w:rFonts w:ascii="Times New Roman" w:cs="Times New Roman"/>
      <w:kern w:val="2"/>
      <w:szCs w:val="20"/>
    </w:rPr>
  </w:style>
  <w:style w:type="paragraph" w:customStyle="1" w:styleId="2f0">
    <w:name w:val="京唐秦正文2"/>
    <w:basedOn w:val="a0"/>
    <w:next w:val="a0"/>
    <w:rsid w:val="00631CEC"/>
    <w:pPr>
      <w:tabs>
        <w:tab w:val="left" w:pos="700"/>
      </w:tabs>
      <w:topLinePunct w:val="0"/>
      <w:adjustRightInd/>
      <w:snapToGrid w:val="0"/>
      <w:spacing w:beforeLines="50"/>
      <w:ind w:firstLine="424"/>
      <w:jc w:val="left"/>
    </w:pPr>
    <w:rPr>
      <w:rFonts w:ascii="Times New Roman" w:cs="Times New Roman"/>
      <w:szCs w:val="20"/>
      <w:lang w:eastAsia="en-US"/>
    </w:rPr>
  </w:style>
  <w:style w:type="paragraph" w:customStyle="1" w:styleId="ourfont3">
    <w:name w:val="ourfont3"/>
    <w:basedOn w:val="a0"/>
    <w:rsid w:val="00631CEC"/>
    <w:pPr>
      <w:widowControl/>
      <w:topLinePunct w:val="0"/>
      <w:adjustRightInd/>
      <w:spacing w:before="100" w:beforeAutospacing="1" w:after="100" w:afterAutospacing="1" w:line="340" w:lineRule="atLeast"/>
      <w:ind w:firstLineChars="0" w:firstLine="0"/>
      <w:jc w:val="left"/>
    </w:pPr>
    <w:rPr>
      <w:rFonts w:hAnsi="宋体" w:cs="Times New Roman"/>
      <w:spacing w:val="20"/>
      <w:sz w:val="21"/>
      <w:szCs w:val="20"/>
    </w:rPr>
  </w:style>
  <w:style w:type="paragraph" w:customStyle="1" w:styleId="xl47">
    <w:name w:val="xl47"/>
    <w:basedOn w:val="a0"/>
    <w:rsid w:val="00631CEC"/>
    <w:pPr>
      <w:widowControl/>
      <w:pBdr>
        <w:top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xl52">
    <w:name w:val="xl52"/>
    <w:basedOn w:val="a0"/>
    <w:rsid w:val="00631CEC"/>
    <w:pPr>
      <w:widowControl/>
      <w:pBdr>
        <w:top w:val="single" w:sz="4" w:space="0" w:color="auto"/>
        <w:bottom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xl28">
    <w:name w:val="xl28"/>
    <w:basedOn w:val="a0"/>
    <w:rsid w:val="00631CEC"/>
    <w:pPr>
      <w:widowControl/>
      <w:pBdr>
        <w:left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ascii="Arial" w:hAnsi="Arial" w:cs="Arial"/>
    </w:rPr>
  </w:style>
  <w:style w:type="paragraph" w:customStyle="1" w:styleId="39">
    <w:name w:val="总院3"/>
    <w:basedOn w:val="affd"/>
    <w:rsid w:val="00631CEC"/>
    <w:pPr>
      <w:ind w:firstLineChars="0" w:firstLine="0"/>
    </w:pPr>
  </w:style>
  <w:style w:type="paragraph" w:customStyle="1" w:styleId="xl29">
    <w:name w:val="xl29"/>
    <w:basedOn w:val="a0"/>
    <w:rsid w:val="00631CEC"/>
    <w:pPr>
      <w:widowControl/>
      <w:pBdr>
        <w:left w:val="single" w:sz="4" w:space="0" w:color="auto"/>
        <w:right w:val="single" w:sz="4" w:space="0" w:color="auto"/>
      </w:pBdr>
      <w:topLinePunct w:val="0"/>
      <w:adjustRightInd/>
      <w:spacing w:before="100" w:beforeAutospacing="1" w:after="100" w:afterAutospacing="1" w:line="240" w:lineRule="auto"/>
      <w:ind w:firstLineChars="0" w:firstLine="0"/>
      <w:jc w:val="center"/>
    </w:pPr>
    <w:rPr>
      <w:rFonts w:hAnsi="宋体" w:cs="Times New Roman"/>
      <w:color w:val="FF0000"/>
      <w:sz w:val="20"/>
      <w:szCs w:val="20"/>
    </w:rPr>
  </w:style>
  <w:style w:type="paragraph" w:customStyle="1" w:styleId="215">
    <w:name w:val="样式 标题 2 + 宋体 小四 行距: 1.5 倍行距"/>
    <w:basedOn w:val="a0"/>
    <w:rsid w:val="00631CEC"/>
    <w:pPr>
      <w:tabs>
        <w:tab w:val="left" w:pos="0"/>
      </w:tabs>
      <w:topLinePunct w:val="0"/>
      <w:adjustRightInd/>
      <w:spacing w:line="240" w:lineRule="auto"/>
      <w:ind w:firstLineChars="0" w:firstLine="0"/>
    </w:pPr>
    <w:rPr>
      <w:rFonts w:ascii="Times New Roman" w:cs="Times New Roman"/>
      <w:kern w:val="2"/>
      <w:sz w:val="21"/>
      <w:szCs w:val="20"/>
    </w:rPr>
  </w:style>
  <w:style w:type="paragraph" w:customStyle="1" w:styleId="007">
    <w:name w:val="007"/>
    <w:basedOn w:val="a0"/>
    <w:rsid w:val="00631CEC"/>
    <w:pPr>
      <w:topLinePunct w:val="0"/>
      <w:adjustRightInd/>
      <w:spacing w:line="240" w:lineRule="auto"/>
      <w:ind w:firstLineChars="0" w:firstLine="0"/>
    </w:pPr>
    <w:rPr>
      <w:rFonts w:ascii="Times New Roman" w:cs="Times New Roman"/>
      <w:kern w:val="2"/>
      <w:sz w:val="21"/>
    </w:rPr>
  </w:style>
  <w:style w:type="paragraph" w:customStyle="1" w:styleId="affffff9">
    <w:name w:val="样式 小四"/>
    <w:basedOn w:val="a0"/>
    <w:rsid w:val="00631CEC"/>
    <w:pPr>
      <w:topLinePunct w:val="0"/>
      <w:adjustRightInd/>
      <w:spacing w:line="240" w:lineRule="auto"/>
      <w:ind w:leftChars="13" w:left="13" w:firstLineChars="0" w:firstLine="0"/>
    </w:pPr>
    <w:rPr>
      <w:rFonts w:ascii="Times New Roman" w:cs="Times New Roman"/>
      <w:kern w:val="2"/>
      <w:szCs w:val="20"/>
    </w:rPr>
  </w:style>
  <w:style w:type="paragraph" w:customStyle="1" w:styleId="Char1CharCharChar1">
    <w:name w:val="Char1 Char Char Char1"/>
    <w:basedOn w:val="a0"/>
    <w:rsid w:val="00631CEC"/>
    <w:pPr>
      <w:widowControl/>
      <w:topLinePunct w:val="0"/>
      <w:adjustRightInd/>
      <w:spacing w:after="160" w:line="240" w:lineRule="exact"/>
      <w:ind w:firstLineChars="0" w:firstLine="0"/>
      <w:jc w:val="left"/>
    </w:pPr>
    <w:rPr>
      <w:rFonts w:ascii="Verdana" w:hAnsi="Verdana" w:cs="Times New Roman"/>
      <w:snapToGrid w:val="0"/>
      <w:sz w:val="20"/>
      <w:szCs w:val="20"/>
      <w:lang w:eastAsia="en-US"/>
    </w:rPr>
  </w:style>
  <w:style w:type="paragraph" w:customStyle="1" w:styleId="1f1">
    <w:name w:val="1正文"/>
    <w:basedOn w:val="a0"/>
    <w:rsid w:val="00631CEC"/>
    <w:pPr>
      <w:topLinePunct w:val="0"/>
      <w:ind w:leftChars="-38" w:left="-38" w:firstLineChars="0" w:firstLine="482"/>
      <w:textAlignment w:val="baseline"/>
    </w:pPr>
    <w:rPr>
      <w:rFonts w:hAnsi="宋体" w:cs="Times New Roman"/>
      <w:szCs w:val="20"/>
    </w:rPr>
  </w:style>
  <w:style w:type="paragraph" w:customStyle="1" w:styleId="C1">
    <w:name w:val="C 正文  1"/>
    <w:basedOn w:val="a0"/>
    <w:rsid w:val="00631CEC"/>
    <w:pPr>
      <w:topLinePunct w:val="0"/>
      <w:adjustRightInd/>
      <w:ind w:firstLine="560"/>
    </w:pPr>
    <w:rPr>
      <w:rFonts w:ascii="Arial" w:eastAsia="仿宋_GB2312" w:hAnsi="Arial"/>
      <w:kern w:val="2"/>
      <w:sz w:val="28"/>
      <w:szCs w:val="20"/>
    </w:rPr>
  </w:style>
  <w:style w:type="paragraph" w:customStyle="1" w:styleId="affffffa">
    <w:name w:val="图表名"/>
    <w:basedOn w:val="a0"/>
    <w:next w:val="a0"/>
    <w:rsid w:val="00631CEC"/>
    <w:pPr>
      <w:topLinePunct w:val="0"/>
      <w:snapToGrid w:val="0"/>
      <w:spacing w:line="240" w:lineRule="auto"/>
      <w:ind w:rightChars="-38" w:right="-38" w:firstLineChars="0" w:firstLine="0"/>
      <w:jc w:val="center"/>
    </w:pPr>
    <w:rPr>
      <w:rFonts w:ascii="黑体" w:eastAsia="黑体" w:hAnsi="宋体" w:cs="Times New Roman"/>
      <w:kern w:val="2"/>
      <w:szCs w:val="20"/>
    </w:rPr>
  </w:style>
  <w:style w:type="paragraph" w:customStyle="1" w:styleId="xl72">
    <w:name w:val="xl72"/>
    <w:basedOn w:val="a0"/>
    <w:rsid w:val="00631CEC"/>
    <w:pPr>
      <w:widowControl/>
      <w:pBdr>
        <w:top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xl66">
    <w:name w:val="xl66"/>
    <w:basedOn w:val="a0"/>
    <w:rsid w:val="00631CEC"/>
    <w:pPr>
      <w:widowControl/>
      <w:pBdr>
        <w:top w:val="single" w:sz="4" w:space="0" w:color="auto"/>
        <w:bottom w:val="single" w:sz="4" w:space="0" w:color="auto"/>
      </w:pBdr>
      <w:topLinePunct w:val="0"/>
      <w:adjustRightInd/>
      <w:spacing w:before="100" w:beforeAutospacing="1" w:after="100" w:afterAutospacing="1" w:line="240" w:lineRule="auto"/>
      <w:ind w:firstLineChars="0" w:firstLine="0"/>
      <w:jc w:val="center"/>
    </w:pPr>
    <w:rPr>
      <w:rFonts w:hAnsi="宋体" w:cs="Times New Roman"/>
      <w:sz w:val="20"/>
      <w:szCs w:val="20"/>
    </w:rPr>
  </w:style>
  <w:style w:type="paragraph" w:customStyle="1" w:styleId="44">
    <w:name w:val="4"/>
    <w:basedOn w:val="a0"/>
    <w:next w:val="affff3"/>
    <w:qFormat/>
    <w:rsid w:val="00631CEC"/>
    <w:pPr>
      <w:topLinePunct w:val="0"/>
      <w:snapToGrid w:val="0"/>
      <w:spacing w:line="600" w:lineRule="exact"/>
      <w:ind w:left="329" w:right="284" w:firstLineChars="0" w:firstLine="515"/>
    </w:pPr>
    <w:rPr>
      <w:rFonts w:ascii="Arial" w:eastAsia="仿宋_GB2312" w:hAnsi="Arial" w:cs="Times New Roman"/>
      <w:kern w:val="2"/>
      <w:sz w:val="28"/>
      <w:szCs w:val="20"/>
    </w:rPr>
  </w:style>
  <w:style w:type="paragraph" w:customStyle="1" w:styleId="0">
    <w:name w:val="分类0"/>
    <w:basedOn w:val="a0"/>
    <w:rsid w:val="00631CEC"/>
    <w:pPr>
      <w:topLinePunct w:val="0"/>
      <w:adjustRightInd/>
      <w:spacing w:line="240" w:lineRule="auto"/>
      <w:ind w:firstLineChars="0" w:firstLine="0"/>
      <w:outlineLvl w:val="0"/>
    </w:pPr>
    <w:rPr>
      <w:rFonts w:eastAsia="仿宋_GB2312" w:cs="Times New Roman"/>
      <w:kern w:val="2"/>
      <w:sz w:val="28"/>
      <w:szCs w:val="20"/>
    </w:rPr>
  </w:style>
  <w:style w:type="paragraph" w:customStyle="1" w:styleId="affffffb">
    <w:name w:val="表左"/>
    <w:basedOn w:val="a0"/>
    <w:rsid w:val="00631CEC"/>
    <w:pPr>
      <w:keepNext/>
      <w:topLinePunct w:val="0"/>
      <w:adjustRightInd/>
      <w:spacing w:line="240" w:lineRule="atLeast"/>
      <w:ind w:rightChars="30" w:right="30" w:firstLineChars="0" w:firstLine="0"/>
      <w:jc w:val="center"/>
    </w:pPr>
    <w:rPr>
      <w:rFonts w:hAnsi="宋体" w:cs="Times New Roman"/>
      <w:kern w:val="2"/>
      <w:szCs w:val="20"/>
    </w:rPr>
  </w:style>
  <w:style w:type="paragraph" w:customStyle="1" w:styleId="3015">
    <w:name w:val="样式 标题 3 + 段后: 0 磅 行距: 1.5 倍行距"/>
    <w:basedOn w:val="a0"/>
    <w:rsid w:val="00631CEC"/>
    <w:pPr>
      <w:tabs>
        <w:tab w:val="left" w:pos="709"/>
      </w:tabs>
      <w:topLinePunct w:val="0"/>
      <w:adjustRightInd/>
      <w:spacing w:line="240" w:lineRule="auto"/>
      <w:ind w:left="709" w:firstLineChars="0" w:hanging="709"/>
    </w:pPr>
    <w:rPr>
      <w:rFonts w:ascii="Times New Roman" w:cs="Times New Roman"/>
      <w:kern w:val="2"/>
      <w:sz w:val="21"/>
      <w:szCs w:val="20"/>
    </w:rPr>
  </w:style>
  <w:style w:type="paragraph" w:customStyle="1" w:styleId="xl59">
    <w:name w:val="xl59"/>
    <w:basedOn w:val="a0"/>
    <w:rsid w:val="00631CEC"/>
    <w:pPr>
      <w:widowControl/>
      <w:pBdr>
        <w:bottom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Cs w:val="20"/>
    </w:rPr>
  </w:style>
  <w:style w:type="paragraph" w:customStyle="1" w:styleId="152">
    <w:name w:val="样式 样式 行距: 1.5 倍行距 + 首行缩进:  2 字符"/>
    <w:basedOn w:val="151"/>
    <w:rsid w:val="00631CEC"/>
    <w:pPr>
      <w:spacing w:line="360" w:lineRule="auto"/>
      <w:ind w:rightChars="-33" w:right="-79" w:firstLineChars="0" w:firstLine="539"/>
    </w:pPr>
    <w:rPr>
      <w:rFonts w:cs="Arial"/>
      <w:sz w:val="24"/>
      <w:szCs w:val="24"/>
    </w:rPr>
  </w:style>
  <w:style w:type="paragraph" w:customStyle="1" w:styleId="xl37">
    <w:name w:val="xl37"/>
    <w:basedOn w:val="a0"/>
    <w:rsid w:val="00631CEC"/>
    <w:pPr>
      <w:widowControl/>
      <w:pBdr>
        <w:top w:val="single" w:sz="4" w:space="0" w:color="auto"/>
        <w:left w:val="single" w:sz="4" w:space="0" w:color="auto"/>
        <w:bottom w:val="single" w:sz="4" w:space="0" w:color="auto"/>
        <w:right w:val="single" w:sz="4" w:space="0" w:color="auto"/>
      </w:pBdr>
      <w:shd w:val="clear" w:color="auto" w:fill="FFFF00"/>
      <w:topLinePunct w:val="0"/>
      <w:adjustRightInd/>
      <w:spacing w:before="100" w:beforeAutospacing="1" w:after="100" w:afterAutospacing="1" w:line="240" w:lineRule="auto"/>
      <w:ind w:firstLineChars="0" w:firstLine="0"/>
      <w:jc w:val="center"/>
    </w:pPr>
    <w:rPr>
      <w:rFonts w:hAnsi="宋体" w:cs="Times New Roman"/>
      <w:color w:val="FF0000"/>
      <w:sz w:val="20"/>
      <w:szCs w:val="20"/>
    </w:rPr>
  </w:style>
  <w:style w:type="paragraph" w:customStyle="1" w:styleId="CharCharChar1CharCharCharCharCharCharCharCharCharCharCharCharChar">
    <w:name w:val="Char Char Char1 Char Char Char Char Char Char Char Char Char Char Char Char Char"/>
    <w:basedOn w:val="4"/>
    <w:rsid w:val="00631CEC"/>
    <w:pPr>
      <w:keepNext/>
      <w:keepLines/>
      <w:tabs>
        <w:tab w:val="left" w:pos="2585"/>
      </w:tabs>
      <w:adjustRightInd/>
      <w:snapToGrid/>
      <w:spacing w:beforeLines="0" w:after="120" w:line="360" w:lineRule="auto"/>
      <w:ind w:left="1133" w:hanging="420"/>
    </w:pPr>
    <w:rPr>
      <w:rFonts w:ascii="Times New Roman" w:eastAsia="仿宋_GB2312" w:hAnsi="Times New Roman" w:cs="宋体"/>
      <w:bCs/>
      <w:kern w:val="0"/>
      <w:szCs w:val="28"/>
    </w:rPr>
  </w:style>
  <w:style w:type="paragraph" w:customStyle="1" w:styleId="content">
    <w:name w:val="content"/>
    <w:basedOn w:val="a0"/>
    <w:rsid w:val="00631CEC"/>
    <w:pPr>
      <w:widowControl/>
      <w:topLinePunct w:val="0"/>
      <w:adjustRightInd/>
      <w:spacing w:line="240" w:lineRule="auto"/>
      <w:ind w:firstLineChars="0" w:firstLine="0"/>
    </w:pPr>
    <w:rPr>
      <w:rFonts w:ascii="Times New Roman" w:cs="Times New Roman"/>
      <w:szCs w:val="18"/>
    </w:rPr>
  </w:style>
  <w:style w:type="paragraph" w:customStyle="1" w:styleId="xl27">
    <w:name w:val="xl27"/>
    <w:basedOn w:val="a0"/>
    <w:rsid w:val="00631CEC"/>
    <w:pPr>
      <w:widowControl/>
      <w:pBdr>
        <w:left w:val="single" w:sz="4" w:space="0" w:color="auto"/>
        <w:bottom w:val="single" w:sz="4" w:space="0" w:color="auto"/>
      </w:pBdr>
      <w:topLinePunct w:val="0"/>
      <w:adjustRightInd/>
      <w:spacing w:before="100" w:beforeAutospacing="1" w:after="100" w:afterAutospacing="1" w:line="240" w:lineRule="auto"/>
      <w:ind w:firstLineChars="0" w:firstLine="0"/>
      <w:jc w:val="center"/>
    </w:pPr>
    <w:rPr>
      <w:rFonts w:hAnsi="宋体" w:cs="Times New Roman"/>
      <w:sz w:val="20"/>
      <w:szCs w:val="20"/>
    </w:rPr>
  </w:style>
  <w:style w:type="paragraph" w:customStyle="1" w:styleId="216">
    <w:name w:val="样式 标题 2 + 宋体 居中1"/>
    <w:basedOn w:val="2"/>
    <w:rsid w:val="00631CEC"/>
    <w:pPr>
      <w:tabs>
        <w:tab w:val="left" w:pos="0"/>
      </w:tabs>
      <w:topLinePunct w:val="0"/>
      <w:adjustRightInd/>
      <w:spacing w:beforeLines="50" w:afterLines="50" w:line="240" w:lineRule="auto"/>
      <w:jc w:val="center"/>
    </w:pPr>
    <w:rPr>
      <w:rFonts w:ascii="仿宋_GB2312" w:eastAsia="仿宋_GB2312" w:hAnsi="宋体" w:cs="Arial"/>
      <w:kern w:val="2"/>
      <w:szCs w:val="20"/>
    </w:rPr>
  </w:style>
  <w:style w:type="paragraph" w:customStyle="1" w:styleId="affffffc">
    <w:name w:val="表格内部"/>
    <w:basedOn w:val="a0"/>
    <w:rsid w:val="00631CEC"/>
    <w:pPr>
      <w:topLinePunct w:val="0"/>
      <w:snapToGrid w:val="0"/>
      <w:spacing w:line="300" w:lineRule="auto"/>
      <w:ind w:firstLineChars="0" w:firstLine="0"/>
      <w:jc w:val="center"/>
    </w:pPr>
    <w:rPr>
      <w:rFonts w:ascii="Arial" w:eastAsia="仿宋_GB2312" w:hAnsi="Arial" w:cs="Times New Roman"/>
      <w:kern w:val="2"/>
      <w:sz w:val="21"/>
      <w:szCs w:val="20"/>
    </w:rPr>
  </w:style>
  <w:style w:type="paragraph" w:customStyle="1" w:styleId="xl39">
    <w:name w:val="xl39"/>
    <w:basedOn w:val="a0"/>
    <w:rsid w:val="00631CEC"/>
    <w:pPr>
      <w:widowControl/>
      <w:pBdr>
        <w:top w:val="single" w:sz="4" w:space="0" w:color="auto"/>
        <w:left w:val="single" w:sz="4" w:space="0" w:color="auto"/>
        <w:bottom w:val="single" w:sz="4" w:space="0" w:color="auto"/>
        <w:right w:val="single" w:sz="4" w:space="0" w:color="auto"/>
      </w:pBdr>
      <w:shd w:val="clear" w:color="auto" w:fill="FFFF00"/>
      <w:topLinePunct w:val="0"/>
      <w:adjustRightInd/>
      <w:spacing w:before="100" w:beforeAutospacing="1" w:after="100" w:afterAutospacing="1" w:line="240" w:lineRule="auto"/>
      <w:ind w:firstLineChars="0" w:firstLine="0"/>
      <w:jc w:val="center"/>
    </w:pPr>
    <w:rPr>
      <w:rFonts w:hAnsi="宋体" w:cs="Times New Roman"/>
      <w:sz w:val="20"/>
      <w:szCs w:val="20"/>
    </w:rPr>
  </w:style>
  <w:style w:type="paragraph" w:customStyle="1" w:styleId="ParaChar">
    <w:name w:val="默认段落字体 Para Char"/>
    <w:basedOn w:val="a0"/>
    <w:rsid w:val="00631CEC"/>
    <w:pPr>
      <w:topLinePunct w:val="0"/>
      <w:adjustRightInd/>
      <w:ind w:firstLineChars="0" w:firstLine="0"/>
    </w:pPr>
    <w:rPr>
      <w:rFonts w:ascii="Times New Roman" w:cs="Times New Roman"/>
      <w:kern w:val="2"/>
    </w:rPr>
  </w:style>
  <w:style w:type="paragraph" w:customStyle="1" w:styleId="GB231215">
    <w:name w:val="样式 (中文) 楷体_GB2312 四号 行距: 1.5 倍行距"/>
    <w:basedOn w:val="a0"/>
    <w:rsid w:val="00631CEC"/>
    <w:pPr>
      <w:topLinePunct w:val="0"/>
      <w:adjustRightInd/>
      <w:spacing w:line="560" w:lineRule="exact"/>
      <w:ind w:firstLine="560"/>
    </w:pPr>
    <w:rPr>
      <w:rFonts w:ascii="Times New Roman" w:eastAsia="仿宋_GB2312" w:cs="Times New Roman"/>
      <w:kern w:val="28"/>
      <w:sz w:val="28"/>
      <w:szCs w:val="20"/>
    </w:rPr>
  </w:style>
  <w:style w:type="paragraph" w:customStyle="1" w:styleId="72">
    <w:name w:val="7"/>
    <w:basedOn w:val="a0"/>
    <w:next w:val="a0"/>
    <w:rsid w:val="00631CEC"/>
    <w:pPr>
      <w:topLinePunct w:val="0"/>
      <w:adjustRightInd/>
      <w:snapToGrid w:val="0"/>
      <w:ind w:firstLineChars="0" w:firstLine="493"/>
    </w:pPr>
    <w:rPr>
      <w:rFonts w:cs="Times New Roman"/>
      <w:kern w:val="2"/>
      <w:szCs w:val="20"/>
    </w:rPr>
  </w:style>
  <w:style w:type="paragraph" w:customStyle="1" w:styleId="xl55">
    <w:name w:val="xl55"/>
    <w:basedOn w:val="a0"/>
    <w:rsid w:val="00631CEC"/>
    <w:pPr>
      <w:widowControl/>
      <w:pBdr>
        <w:top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1f2">
    <w:name w:val="节内编号1"/>
    <w:basedOn w:val="a0"/>
    <w:rsid w:val="00631CEC"/>
    <w:pPr>
      <w:topLinePunct w:val="0"/>
      <w:snapToGrid w:val="0"/>
      <w:spacing w:line="336" w:lineRule="auto"/>
      <w:ind w:rightChars="100" w:right="100" w:firstLineChars="300" w:firstLine="672"/>
    </w:pPr>
    <w:rPr>
      <w:rFonts w:hAnsi="宋体" w:cs="Times New Roman"/>
      <w:color w:val="000000"/>
      <w:spacing w:val="-8"/>
      <w:kern w:val="2"/>
      <w:szCs w:val="20"/>
    </w:rPr>
  </w:style>
  <w:style w:type="paragraph" w:customStyle="1" w:styleId="2f1">
    <w:name w:val="表正文2"/>
    <w:basedOn w:val="a0"/>
    <w:rsid w:val="00631CEC"/>
    <w:pPr>
      <w:topLinePunct w:val="0"/>
      <w:snapToGrid w:val="0"/>
      <w:spacing w:line="240" w:lineRule="auto"/>
      <w:ind w:right="-106" w:firstLineChars="0" w:firstLine="0"/>
      <w:jc w:val="center"/>
    </w:pPr>
    <w:rPr>
      <w:rFonts w:hAnsi="宋体" w:cs="Times New Roman"/>
      <w:kern w:val="2"/>
      <w:sz w:val="21"/>
      <w:szCs w:val="20"/>
    </w:rPr>
  </w:style>
  <w:style w:type="paragraph" w:customStyle="1" w:styleId="301510">
    <w:name w:val="30151"/>
    <w:basedOn w:val="a0"/>
    <w:rsid w:val="00631CEC"/>
    <w:pPr>
      <w:widowControl/>
      <w:tabs>
        <w:tab w:val="left" w:pos="1260"/>
      </w:tabs>
      <w:topLinePunct w:val="0"/>
      <w:adjustRightInd/>
      <w:spacing w:line="240" w:lineRule="auto"/>
      <w:ind w:left="1260" w:firstLineChars="0" w:hanging="420"/>
    </w:pPr>
    <w:rPr>
      <w:rFonts w:ascii="Times New Roman" w:cs="Times New Roman"/>
      <w:szCs w:val="20"/>
    </w:rPr>
  </w:style>
  <w:style w:type="paragraph" w:customStyle="1" w:styleId="141">
    <w:name w:val="14"/>
    <w:basedOn w:val="a0"/>
    <w:next w:val="22"/>
    <w:rsid w:val="00631CEC"/>
    <w:pPr>
      <w:topLinePunct w:val="0"/>
      <w:adjustRightInd/>
      <w:spacing w:after="120" w:line="480" w:lineRule="auto"/>
      <w:ind w:firstLineChars="0" w:firstLine="0"/>
    </w:pPr>
    <w:rPr>
      <w:rFonts w:ascii="Times New Roman" w:cs="Times New Roman"/>
      <w:kern w:val="2"/>
      <w:sz w:val="21"/>
      <w:szCs w:val="20"/>
    </w:rPr>
  </w:style>
  <w:style w:type="paragraph" w:customStyle="1" w:styleId="xl81">
    <w:name w:val="xl81"/>
    <w:basedOn w:val="a0"/>
    <w:rsid w:val="00631CEC"/>
    <w:pPr>
      <w:widowControl/>
      <w:pBdr>
        <w:top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ascii="Arial Unicode MS" w:eastAsia="Arial Unicode MS" w:hAnsi="Arial Unicode MS" w:cs="Times New Roman"/>
      <w:sz w:val="20"/>
      <w:szCs w:val="20"/>
    </w:rPr>
  </w:style>
  <w:style w:type="paragraph" w:customStyle="1" w:styleId="xl43">
    <w:name w:val="xl43"/>
    <w:basedOn w:val="a0"/>
    <w:rsid w:val="00631CEC"/>
    <w:pPr>
      <w:widowControl/>
      <w:pBdr>
        <w:top w:val="single" w:sz="4" w:space="0" w:color="auto"/>
        <w:left w:val="single" w:sz="4" w:space="0" w:color="auto"/>
        <w:bottom w:val="single" w:sz="4" w:space="0" w:color="auto"/>
        <w:right w:val="single" w:sz="4" w:space="0" w:color="auto"/>
      </w:pBdr>
      <w:shd w:val="clear" w:color="auto" w:fill="C0C0C0"/>
      <w:topLinePunct w:val="0"/>
      <w:adjustRightInd/>
      <w:spacing w:before="100" w:beforeAutospacing="1" w:after="100" w:afterAutospacing="1" w:line="240" w:lineRule="auto"/>
      <w:ind w:firstLineChars="0" w:firstLine="0"/>
      <w:jc w:val="center"/>
      <w:textAlignment w:val="center"/>
    </w:pPr>
    <w:rPr>
      <w:rFonts w:hAnsi="宋体" w:cs="Times New Roman"/>
      <w:color w:val="FF0000"/>
      <w:sz w:val="20"/>
      <w:szCs w:val="20"/>
    </w:rPr>
  </w:style>
  <w:style w:type="paragraph" w:customStyle="1" w:styleId="CharCharCharChar1">
    <w:name w:val="Char Char Char Char1"/>
    <w:basedOn w:val="a0"/>
    <w:rsid w:val="00631CEC"/>
    <w:pPr>
      <w:topLinePunct w:val="0"/>
      <w:adjustRightInd/>
      <w:spacing w:line="240" w:lineRule="auto"/>
      <w:ind w:firstLineChars="0" w:firstLine="0"/>
    </w:pPr>
    <w:rPr>
      <w:rFonts w:ascii="Times New Roman" w:cs="Times New Roman"/>
      <w:kern w:val="2"/>
      <w:sz w:val="21"/>
      <w:szCs w:val="20"/>
    </w:rPr>
  </w:style>
  <w:style w:type="paragraph" w:customStyle="1" w:styleId="xl32">
    <w:name w:val="xl32"/>
    <w:basedOn w:val="a0"/>
    <w:rsid w:val="00631CEC"/>
    <w:pPr>
      <w:widowControl/>
      <w:pBdr>
        <w:top w:val="single" w:sz="4" w:space="0" w:color="auto"/>
        <w:left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pPr>
    <w:rPr>
      <w:rFonts w:hAnsi="宋体" w:cs="Times New Roman"/>
      <w:sz w:val="20"/>
      <w:szCs w:val="20"/>
    </w:rPr>
  </w:style>
  <w:style w:type="paragraph" w:customStyle="1" w:styleId="pp">
    <w:name w:val="pp"/>
    <w:basedOn w:val="a0"/>
    <w:rsid w:val="00631CEC"/>
    <w:pPr>
      <w:topLinePunct w:val="0"/>
      <w:ind w:leftChars="51" w:left="51" w:right="142"/>
      <w:jc w:val="left"/>
      <w:textAlignment w:val="baseline"/>
    </w:pPr>
    <w:rPr>
      <w:rFonts w:ascii="Times New Roman" w:cs="Times New Roman"/>
      <w:szCs w:val="20"/>
    </w:rPr>
  </w:style>
  <w:style w:type="paragraph" w:customStyle="1" w:styleId="affffffd">
    <w:name w:val="八角正文"/>
    <w:basedOn w:val="a0"/>
    <w:rsid w:val="00631CEC"/>
    <w:pPr>
      <w:tabs>
        <w:tab w:val="left" w:pos="0"/>
      </w:tabs>
      <w:topLinePunct w:val="0"/>
      <w:spacing w:line="500" w:lineRule="exact"/>
      <w:ind w:firstLineChars="0" w:firstLine="0"/>
    </w:pPr>
    <w:rPr>
      <w:rFonts w:ascii="Times New Roman" w:cs="Times New Roman"/>
      <w:color w:val="000000"/>
      <w:sz w:val="28"/>
      <w:szCs w:val="20"/>
    </w:rPr>
  </w:style>
  <w:style w:type="paragraph" w:customStyle="1" w:styleId="1f3">
    <w:name w:val="1"/>
    <w:basedOn w:val="a0"/>
    <w:next w:val="aff8"/>
    <w:rsid w:val="00631CEC"/>
    <w:pPr>
      <w:topLinePunct w:val="0"/>
      <w:adjustRightInd/>
      <w:spacing w:line="240" w:lineRule="auto"/>
      <w:ind w:firstLine="420"/>
    </w:pPr>
    <w:rPr>
      <w:rFonts w:ascii="Times New Roman" w:cs="Times New Roman"/>
      <w:kern w:val="2"/>
      <w:sz w:val="21"/>
      <w:szCs w:val="20"/>
    </w:rPr>
  </w:style>
  <w:style w:type="paragraph" w:customStyle="1" w:styleId="11114">
    <w:name w:val="1.1.1.1标题 4 宋体"/>
    <w:basedOn w:val="4"/>
    <w:rsid w:val="00631CEC"/>
    <w:pPr>
      <w:keepNext/>
      <w:keepLines/>
      <w:widowControl w:val="0"/>
      <w:tabs>
        <w:tab w:val="left" w:pos="2585"/>
      </w:tabs>
      <w:adjustRightInd/>
      <w:snapToGrid/>
      <w:spacing w:beforeLines="0" w:after="290" w:line="372" w:lineRule="auto"/>
      <w:ind w:left="1133" w:hanging="420"/>
      <w:jc w:val="both"/>
    </w:pPr>
    <w:rPr>
      <w:rFonts w:eastAsia="黑体"/>
      <w:b/>
      <w:szCs w:val="20"/>
    </w:rPr>
  </w:style>
  <w:style w:type="paragraph" w:customStyle="1" w:styleId="130">
    <w:name w:val="样式13"/>
    <w:basedOn w:val="affff9"/>
    <w:rsid w:val="00631CEC"/>
  </w:style>
  <w:style w:type="paragraph" w:customStyle="1" w:styleId="ZW">
    <w:name w:val="ZW"/>
    <w:basedOn w:val="a0"/>
    <w:rsid w:val="00631CEC"/>
    <w:pPr>
      <w:topLinePunct w:val="0"/>
      <w:spacing w:beforeLines="50"/>
      <w:ind w:firstLine="480"/>
    </w:pPr>
    <w:rPr>
      <w:rFonts w:ascii="Times New Roman" w:cs="Times New Roman"/>
    </w:rPr>
  </w:style>
  <w:style w:type="paragraph" w:customStyle="1" w:styleId="131">
    <w:name w:val="13"/>
    <w:basedOn w:val="a0"/>
    <w:next w:val="aff8"/>
    <w:rsid w:val="00631CEC"/>
    <w:pPr>
      <w:topLinePunct w:val="0"/>
      <w:adjustRightInd/>
      <w:spacing w:line="240" w:lineRule="auto"/>
      <w:ind w:firstLineChars="0" w:firstLine="420"/>
    </w:pPr>
    <w:rPr>
      <w:rFonts w:ascii="Times New Roman" w:cs="Times New Roman"/>
      <w:kern w:val="2"/>
      <w:sz w:val="28"/>
      <w:szCs w:val="20"/>
    </w:rPr>
  </w:style>
  <w:style w:type="paragraph" w:customStyle="1" w:styleId="affffffe">
    <w:name w:val="(页眉)利能"/>
    <w:rsid w:val="00631CEC"/>
    <w:rPr>
      <w:rFonts w:ascii="Arial" w:eastAsia="仿宋_GB2312" w:hAnsi="Arial"/>
      <w:sz w:val="21"/>
    </w:rPr>
  </w:style>
  <w:style w:type="paragraph" w:customStyle="1" w:styleId="xl54">
    <w:name w:val="xl54"/>
    <w:basedOn w:val="a0"/>
    <w:rsid w:val="00631CEC"/>
    <w:pPr>
      <w:widowControl/>
      <w:pBdr>
        <w:top w:val="single" w:sz="4" w:space="0" w:color="auto"/>
        <w:bottom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113">
    <w:name w:val="标题1：样式 标题 1 + 居中"/>
    <w:basedOn w:val="1"/>
    <w:rsid w:val="00631CEC"/>
    <w:pPr>
      <w:pBdr>
        <w:top w:val="single" w:sz="12" w:space="1" w:color="auto"/>
        <w:left w:val="single" w:sz="12" w:space="4" w:color="auto"/>
        <w:bottom w:val="single" w:sz="12" w:space="1" w:color="auto"/>
        <w:right w:val="single" w:sz="12" w:space="4" w:color="auto"/>
      </w:pBdr>
      <w:tabs>
        <w:tab w:val="left" w:pos="900"/>
      </w:tabs>
      <w:topLinePunct w:val="0"/>
      <w:adjustRightInd/>
      <w:spacing w:before="340" w:beforeAutospacing="0" w:after="330" w:afterAutospacing="0" w:line="576" w:lineRule="auto"/>
      <w:ind w:left="900" w:hanging="420"/>
      <w:jc w:val="center"/>
    </w:pPr>
    <w:rPr>
      <w:rFonts w:eastAsia="宋体" w:hAnsi="楷体_GB2312"/>
      <w:sz w:val="44"/>
      <w:szCs w:val="20"/>
    </w:rPr>
  </w:style>
  <w:style w:type="paragraph" w:customStyle="1" w:styleId="198">
    <w:name w:val="样式 四号 左侧:  1.98 厘米"/>
    <w:basedOn w:val="a0"/>
    <w:rsid w:val="00631CEC"/>
    <w:pPr>
      <w:topLinePunct w:val="0"/>
      <w:snapToGrid w:val="0"/>
      <w:spacing w:line="240" w:lineRule="auto"/>
      <w:ind w:firstLineChars="0" w:firstLine="0"/>
    </w:pPr>
    <w:rPr>
      <w:rFonts w:ascii="Times New Roman" w:cs="Times New Roman"/>
      <w:kern w:val="2"/>
    </w:rPr>
  </w:style>
  <w:style w:type="paragraph" w:customStyle="1" w:styleId="New">
    <w:name w:val="正文 New"/>
    <w:rsid w:val="00631CEC"/>
    <w:pPr>
      <w:widowControl w:val="0"/>
      <w:jc w:val="both"/>
    </w:pPr>
    <w:rPr>
      <w:rFonts w:ascii="Times New Roman" w:hAnsi="Times New Roman"/>
      <w:kern w:val="2"/>
      <w:sz w:val="21"/>
      <w:szCs w:val="24"/>
    </w:rPr>
  </w:style>
  <w:style w:type="paragraph" w:customStyle="1" w:styleId="font5">
    <w:name w:val="font5"/>
    <w:basedOn w:val="a0"/>
    <w:rsid w:val="00631CEC"/>
    <w:pPr>
      <w:widowControl/>
      <w:topLinePunct w:val="0"/>
      <w:adjustRightInd/>
      <w:spacing w:before="100" w:beforeAutospacing="1" w:after="100" w:afterAutospacing="1" w:line="240" w:lineRule="auto"/>
      <w:ind w:firstLineChars="0" w:firstLine="0"/>
      <w:jc w:val="left"/>
    </w:pPr>
    <w:rPr>
      <w:rFonts w:hAnsi="宋体" w:cs="Times New Roman" w:hint="eastAsia"/>
      <w:sz w:val="18"/>
      <w:szCs w:val="20"/>
    </w:rPr>
  </w:style>
  <w:style w:type="paragraph" w:customStyle="1" w:styleId="CharCharCharCharCharCharCharCharCharCharCharCharCharCharCharCharCharCharCharChar">
    <w:name w:val="Char Char Char Char Char Char Char Char Char Char Char Char Char Char Char Char Char Char Char Char"/>
    <w:basedOn w:val="a0"/>
    <w:rsid w:val="00631CEC"/>
    <w:pPr>
      <w:topLinePunct w:val="0"/>
      <w:adjustRightInd/>
      <w:spacing w:line="240" w:lineRule="auto"/>
      <w:ind w:firstLineChars="0" w:firstLine="0"/>
    </w:pPr>
    <w:rPr>
      <w:rFonts w:ascii="Times New Roman" w:cs="Times New Roman"/>
      <w:kern w:val="2"/>
      <w:sz w:val="21"/>
    </w:rPr>
  </w:style>
  <w:style w:type="paragraph" w:customStyle="1" w:styleId="1f4">
    <w:name w:val="报告标1"/>
    <w:basedOn w:val="a0"/>
    <w:next w:val="a0"/>
    <w:rsid w:val="00631CEC"/>
    <w:pPr>
      <w:topLinePunct w:val="0"/>
      <w:snapToGrid w:val="0"/>
      <w:spacing w:line="300" w:lineRule="auto"/>
      <w:ind w:firstLineChars="0" w:firstLine="0"/>
    </w:pPr>
    <w:rPr>
      <w:rFonts w:ascii="黑体" w:eastAsia="黑体" w:cs="Times New Roman" w:hint="eastAsia"/>
      <w:kern w:val="2"/>
      <w:sz w:val="28"/>
      <w:szCs w:val="20"/>
    </w:rPr>
  </w:style>
  <w:style w:type="paragraph" w:customStyle="1" w:styleId="xl31">
    <w:name w:val="xl31"/>
    <w:basedOn w:val="a0"/>
    <w:rsid w:val="00631CEC"/>
    <w:pPr>
      <w:widowControl/>
      <w:pBdr>
        <w:top w:val="single" w:sz="4" w:space="0" w:color="auto"/>
        <w:lef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 w:val="20"/>
      <w:szCs w:val="20"/>
    </w:rPr>
  </w:style>
  <w:style w:type="paragraph" w:customStyle="1" w:styleId="afffffff">
    <w:name w:val="小表中"/>
    <w:basedOn w:val="a0"/>
    <w:rsid w:val="00631CEC"/>
    <w:pPr>
      <w:keepNext/>
      <w:topLinePunct w:val="0"/>
      <w:adjustRightInd/>
      <w:snapToGrid w:val="0"/>
      <w:spacing w:line="240" w:lineRule="atLeast"/>
      <w:ind w:firstLineChars="0" w:firstLine="0"/>
      <w:jc w:val="center"/>
    </w:pPr>
    <w:rPr>
      <w:rFonts w:hAnsi="宋体" w:cs="Times New Roman" w:hint="eastAsia"/>
      <w:kern w:val="2"/>
      <w:sz w:val="21"/>
      <w:szCs w:val="20"/>
    </w:rPr>
  </w:style>
  <w:style w:type="paragraph" w:customStyle="1" w:styleId="xl41">
    <w:name w:val="xl41"/>
    <w:basedOn w:val="a0"/>
    <w:rsid w:val="00631CEC"/>
    <w:pPr>
      <w:widowControl/>
      <w:pBdr>
        <w:top w:val="single" w:sz="4" w:space="0" w:color="auto"/>
        <w:left w:val="single" w:sz="4" w:space="0" w:color="auto"/>
        <w:bottom w:val="single" w:sz="4" w:space="0" w:color="auto"/>
        <w:right w:val="single" w:sz="4" w:space="0" w:color="auto"/>
      </w:pBdr>
      <w:shd w:val="clear" w:color="auto" w:fill="C0C0C0"/>
      <w:topLinePunct w:val="0"/>
      <w:adjustRightInd/>
      <w:spacing w:before="100" w:beforeAutospacing="1" w:after="100" w:afterAutospacing="1" w:line="240" w:lineRule="auto"/>
      <w:ind w:firstLineChars="0" w:firstLine="0"/>
      <w:jc w:val="center"/>
    </w:pPr>
    <w:rPr>
      <w:rFonts w:hAnsi="宋体" w:cs="Times New Roman"/>
      <w:sz w:val="20"/>
      <w:szCs w:val="20"/>
    </w:rPr>
  </w:style>
  <w:style w:type="paragraph" w:customStyle="1" w:styleId="xl75">
    <w:name w:val="xl75"/>
    <w:basedOn w:val="a0"/>
    <w:rsid w:val="00631CEC"/>
    <w:pPr>
      <w:widowControl/>
      <w:pBdr>
        <w:top w:val="single" w:sz="4" w:space="0" w:color="auto"/>
        <w:left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ascii="Times New Roman" w:eastAsia="Arial Unicode MS" w:cs="Times New Roman"/>
      <w:sz w:val="20"/>
      <w:szCs w:val="20"/>
    </w:rPr>
  </w:style>
  <w:style w:type="paragraph" w:customStyle="1" w:styleId="xl24">
    <w:name w:val="xl24"/>
    <w:basedOn w:val="a0"/>
    <w:rsid w:val="00631CEC"/>
    <w:pPr>
      <w:widowControl/>
      <w:pBdr>
        <w:top w:val="single" w:sz="4" w:space="0" w:color="auto"/>
        <w:left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pPr>
    <w:rPr>
      <w:rFonts w:hAnsi="宋体" w:cs="Times New Roman"/>
      <w:szCs w:val="20"/>
    </w:rPr>
  </w:style>
  <w:style w:type="paragraph" w:customStyle="1" w:styleId="CM4">
    <w:name w:val="CM4"/>
    <w:basedOn w:val="a0"/>
    <w:next w:val="a0"/>
    <w:rsid w:val="00631CEC"/>
    <w:pPr>
      <w:topLinePunct w:val="0"/>
      <w:autoSpaceDE w:val="0"/>
      <w:autoSpaceDN w:val="0"/>
      <w:spacing w:line="468" w:lineRule="atLeast"/>
      <w:ind w:firstLineChars="0" w:firstLine="0"/>
      <w:jc w:val="left"/>
    </w:pPr>
    <w:rPr>
      <w:rFonts w:eastAsia="仿宋_GB2312" w:cs="Times New Roman"/>
      <w:szCs w:val="20"/>
    </w:rPr>
  </w:style>
  <w:style w:type="paragraph" w:customStyle="1" w:styleId="xl51">
    <w:name w:val="xl51"/>
    <w:basedOn w:val="a0"/>
    <w:rsid w:val="00631CEC"/>
    <w:pPr>
      <w:widowControl/>
      <w:pBdr>
        <w:top w:val="single" w:sz="4" w:space="0" w:color="auto"/>
        <w:bottom w:val="single" w:sz="4" w:space="0" w:color="auto"/>
        <w:righ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Cs w:val="20"/>
    </w:rPr>
  </w:style>
  <w:style w:type="paragraph" w:customStyle="1" w:styleId="Char15">
    <w:name w:val="Char1"/>
    <w:basedOn w:val="a0"/>
    <w:rsid w:val="00631CEC"/>
    <w:pPr>
      <w:topLinePunct w:val="0"/>
      <w:adjustRightInd/>
      <w:spacing w:line="240" w:lineRule="auto"/>
      <w:ind w:firstLineChars="0" w:firstLine="0"/>
    </w:pPr>
    <w:rPr>
      <w:rFonts w:ascii="Arial" w:hAnsi="Arial" w:cs="Times New Roman"/>
      <w:kern w:val="2"/>
      <w:sz w:val="21"/>
      <w:szCs w:val="20"/>
    </w:rPr>
  </w:style>
  <w:style w:type="paragraph" w:customStyle="1" w:styleId="Char22">
    <w:name w:val="Char2"/>
    <w:basedOn w:val="a0"/>
    <w:rsid w:val="00631CEC"/>
    <w:pPr>
      <w:topLinePunct w:val="0"/>
      <w:adjustRightInd/>
      <w:spacing w:line="240" w:lineRule="auto"/>
      <w:ind w:firstLineChars="0" w:firstLine="0"/>
    </w:pPr>
    <w:rPr>
      <w:rFonts w:ascii="Times New Roman" w:cs="Times New Roman"/>
      <w:kern w:val="2"/>
      <w:sz w:val="21"/>
      <w:szCs w:val="20"/>
    </w:rPr>
  </w:style>
  <w:style w:type="paragraph" w:customStyle="1" w:styleId="45">
    <w:name w:val="标题4"/>
    <w:basedOn w:val="4"/>
    <w:next w:val="4"/>
    <w:rsid w:val="00631CEC"/>
    <w:pPr>
      <w:widowControl w:val="0"/>
      <w:tabs>
        <w:tab w:val="left" w:pos="2585"/>
      </w:tabs>
      <w:adjustRightInd/>
      <w:snapToGrid/>
      <w:spacing w:beforeLines="0" w:line="360" w:lineRule="auto"/>
      <w:ind w:leftChars="48" w:left="101" w:firstLineChars="235" w:firstLine="658"/>
      <w:jc w:val="both"/>
      <w:outlineLvl w:val="9"/>
    </w:pPr>
    <w:rPr>
      <w:rFonts w:eastAsia="仿宋_GB2312" w:cs="Arial"/>
      <w:bCs/>
      <w:color w:val="000000"/>
      <w:kern w:val="28"/>
      <w:szCs w:val="28"/>
    </w:rPr>
  </w:style>
  <w:style w:type="paragraph" w:customStyle="1" w:styleId="2CharChar">
    <w:name w:val="正文文字缩进 2 Char Char"/>
    <w:basedOn w:val="a0"/>
    <w:rsid w:val="00631CEC"/>
    <w:pPr>
      <w:topLinePunct w:val="0"/>
      <w:snapToGrid w:val="0"/>
      <w:spacing w:before="156" w:after="78" w:line="240" w:lineRule="auto"/>
      <w:ind w:left="105" w:firstLine="482"/>
      <w:jc w:val="center"/>
    </w:pPr>
    <w:rPr>
      <w:rFonts w:ascii="Arial" w:eastAsia="仿宋_GB2312" w:hAnsi="Arial" w:cs="Arial"/>
      <w:b/>
      <w:kern w:val="2"/>
    </w:rPr>
  </w:style>
  <w:style w:type="paragraph" w:customStyle="1" w:styleId="7815">
    <w:name w:val="样式 宋体 小四 段前: 7.8 磅 行距: 1.5 倍行距"/>
    <w:basedOn w:val="a0"/>
    <w:rsid w:val="00631CEC"/>
    <w:pPr>
      <w:topLinePunct w:val="0"/>
      <w:adjustRightInd/>
      <w:spacing w:before="100" w:beforeAutospacing="1" w:after="100" w:afterAutospacing="1"/>
    </w:pPr>
    <w:rPr>
      <w:rFonts w:cs="Times New Roman"/>
      <w:kern w:val="2"/>
      <w:szCs w:val="20"/>
    </w:rPr>
  </w:style>
  <w:style w:type="paragraph" w:customStyle="1" w:styleId="font7">
    <w:name w:val="font7"/>
    <w:basedOn w:val="a0"/>
    <w:rsid w:val="00631CEC"/>
    <w:pPr>
      <w:widowControl/>
      <w:topLinePunct w:val="0"/>
      <w:adjustRightInd/>
      <w:spacing w:before="100" w:beforeAutospacing="1" w:after="100" w:afterAutospacing="1" w:line="240" w:lineRule="auto"/>
      <w:ind w:firstLineChars="0" w:firstLine="0"/>
      <w:jc w:val="left"/>
    </w:pPr>
    <w:rPr>
      <w:rFonts w:hAnsi="宋体" w:cs="Times New Roman" w:hint="eastAsia"/>
      <w:sz w:val="20"/>
      <w:szCs w:val="20"/>
    </w:rPr>
  </w:style>
  <w:style w:type="paragraph" w:customStyle="1" w:styleId="1f5">
    <w:name w:val="标题1（用）"/>
    <w:basedOn w:val="a0"/>
    <w:rsid w:val="00631CEC"/>
    <w:pPr>
      <w:keepNext/>
      <w:keepLines/>
      <w:topLinePunct w:val="0"/>
      <w:snapToGrid w:val="0"/>
      <w:spacing w:beforeLines="50" w:afterLines="25"/>
      <w:ind w:firstLineChars="0" w:firstLine="0"/>
      <w:jc w:val="center"/>
      <w:outlineLvl w:val="0"/>
    </w:pPr>
    <w:rPr>
      <w:rFonts w:ascii="Times New Roman" w:eastAsia="黑体" w:cs="Times New Roman"/>
      <w:b/>
      <w:kern w:val="44"/>
      <w:sz w:val="28"/>
      <w:szCs w:val="20"/>
    </w:rPr>
  </w:style>
  <w:style w:type="paragraph" w:customStyle="1" w:styleId="CM113">
    <w:name w:val="CM113"/>
    <w:basedOn w:val="Default"/>
    <w:next w:val="Default"/>
    <w:rsid w:val="00631CEC"/>
    <w:pPr>
      <w:spacing w:after="303"/>
    </w:pPr>
    <w:rPr>
      <w:rFonts w:hAnsi="Times New Roman" w:cs="Times New Roman"/>
      <w:color w:val="auto"/>
      <w:szCs w:val="20"/>
    </w:rPr>
  </w:style>
  <w:style w:type="paragraph" w:customStyle="1" w:styleId="font0">
    <w:name w:val="font0"/>
    <w:basedOn w:val="a0"/>
    <w:rsid w:val="00631CEC"/>
    <w:pPr>
      <w:widowControl/>
      <w:topLinePunct w:val="0"/>
      <w:adjustRightInd/>
      <w:spacing w:before="100" w:beforeAutospacing="1" w:after="100" w:afterAutospacing="1" w:line="240" w:lineRule="auto"/>
      <w:ind w:firstLineChars="0" w:firstLine="0"/>
      <w:jc w:val="left"/>
    </w:pPr>
    <w:rPr>
      <w:rFonts w:hAnsi="宋体" w:cs="Times New Roman"/>
      <w:szCs w:val="20"/>
    </w:rPr>
  </w:style>
  <w:style w:type="paragraph" w:customStyle="1" w:styleId="xl57">
    <w:name w:val="xl57"/>
    <w:basedOn w:val="a0"/>
    <w:rsid w:val="00631CEC"/>
    <w:pPr>
      <w:widowControl/>
      <w:pBdr>
        <w:left w:val="single" w:sz="4" w:space="0" w:color="auto"/>
      </w:pBdr>
      <w:topLinePunct w:val="0"/>
      <w:adjustRightInd/>
      <w:spacing w:before="100" w:beforeAutospacing="1" w:after="100" w:afterAutospacing="1" w:line="240" w:lineRule="auto"/>
      <w:ind w:firstLineChars="0" w:firstLine="0"/>
      <w:jc w:val="center"/>
      <w:textAlignment w:val="center"/>
    </w:pPr>
    <w:rPr>
      <w:rFonts w:hAnsi="宋体" w:cs="Times New Roman"/>
      <w:szCs w:val="20"/>
    </w:rPr>
  </w:style>
  <w:style w:type="paragraph" w:customStyle="1" w:styleId="CharCharCharChar1Char">
    <w:name w:val="Char Char Char Char1 Char"/>
    <w:basedOn w:val="a0"/>
    <w:rsid w:val="00631CEC"/>
    <w:pPr>
      <w:topLinePunct w:val="0"/>
      <w:adjustRightInd/>
      <w:spacing w:line="240" w:lineRule="auto"/>
      <w:ind w:firstLineChars="0" w:firstLine="0"/>
    </w:pPr>
    <w:rPr>
      <w:rFonts w:ascii="Times New Roman" w:cs="Times New Roman"/>
      <w:kern w:val="2"/>
      <w:sz w:val="21"/>
    </w:rPr>
  </w:style>
  <w:style w:type="paragraph" w:customStyle="1" w:styleId="198005">
    <w:name w:val="样式 小四 居中 左侧:  1.98 厘米 右侧:  0.05 厘米"/>
    <w:basedOn w:val="a0"/>
    <w:rsid w:val="00631CEC"/>
    <w:pPr>
      <w:topLinePunct w:val="0"/>
      <w:adjustRightInd/>
      <w:spacing w:line="240" w:lineRule="auto"/>
      <w:ind w:firstLineChars="0" w:firstLine="0"/>
      <w:jc w:val="center"/>
    </w:pPr>
    <w:rPr>
      <w:rFonts w:ascii="Times New Roman" w:cs="Times New Roman"/>
      <w:kern w:val="2"/>
      <w:szCs w:val="20"/>
    </w:rPr>
  </w:style>
  <w:style w:type="paragraph" w:customStyle="1" w:styleId="CharCharCharChar1CharCharCharChar">
    <w:name w:val="Char Char Char Char1 Char Char Char Char"/>
    <w:basedOn w:val="a0"/>
    <w:rsid w:val="00631CEC"/>
    <w:pPr>
      <w:topLinePunct w:val="0"/>
      <w:adjustRightInd/>
      <w:spacing w:line="240" w:lineRule="auto"/>
      <w:ind w:firstLineChars="0" w:firstLine="0"/>
    </w:pPr>
    <w:rPr>
      <w:rFonts w:ascii="Times New Roman" w:cs="Times New Roman"/>
      <w:kern w:val="2"/>
      <w:sz w:val="21"/>
      <w:szCs w:val="20"/>
    </w:rPr>
  </w:style>
  <w:style w:type="paragraph" w:customStyle="1" w:styleId="2f2">
    <w:name w:val="正文文字缩进 2"/>
    <w:basedOn w:val="a0"/>
    <w:rsid w:val="00631CEC"/>
    <w:pPr>
      <w:widowControl/>
      <w:overflowPunct w:val="0"/>
      <w:topLinePunct w:val="0"/>
      <w:autoSpaceDE w:val="0"/>
      <w:autoSpaceDN w:val="0"/>
      <w:spacing w:after="120" w:line="480" w:lineRule="auto"/>
      <w:ind w:leftChars="200" w:left="420" w:firstLineChars="0" w:firstLine="0"/>
      <w:jc w:val="left"/>
      <w:textAlignment w:val="baseline"/>
    </w:pPr>
    <w:rPr>
      <w:rFonts w:ascii="Times New Roman" w:cs="Times New Roman"/>
      <w:szCs w:val="20"/>
    </w:rPr>
  </w:style>
  <w:style w:type="paragraph" w:customStyle="1" w:styleId="Char50">
    <w:name w:val="Char5"/>
    <w:basedOn w:val="a0"/>
    <w:rsid w:val="00631CEC"/>
    <w:pPr>
      <w:topLinePunct w:val="0"/>
      <w:adjustRightInd/>
      <w:spacing w:line="240" w:lineRule="auto"/>
      <w:ind w:firstLineChars="0" w:firstLine="0"/>
    </w:pPr>
    <w:rPr>
      <w:rFonts w:ascii="Times New Roman" w:cs="Times New Roman"/>
      <w:kern w:val="2"/>
      <w:sz w:val="21"/>
    </w:rPr>
  </w:style>
  <w:style w:type="character" w:customStyle="1" w:styleId="WChar">
    <w:name w:val="W正文 Char"/>
    <w:link w:val="W"/>
    <w:qFormat/>
    <w:rsid w:val="00FD5D8C"/>
    <w:rPr>
      <w:sz w:val="24"/>
    </w:rPr>
  </w:style>
  <w:style w:type="paragraph" w:customStyle="1" w:styleId="W">
    <w:name w:val="W正文"/>
    <w:basedOn w:val="a0"/>
    <w:link w:val="WChar"/>
    <w:rsid w:val="00FD5D8C"/>
    <w:pPr>
      <w:topLinePunct w:val="0"/>
      <w:snapToGrid w:val="0"/>
      <w:spacing w:line="460" w:lineRule="exact"/>
    </w:pPr>
    <w:rPr>
      <w:rFonts w:ascii="Calibri" w:hAnsi="Calibri" w:cs="Times New Roman"/>
      <w:szCs w:val="20"/>
    </w:rPr>
  </w:style>
  <w:style w:type="paragraph" w:customStyle="1" w:styleId="LRY">
    <w:name w:val="LRY正文"/>
    <w:basedOn w:val="1d"/>
    <w:rsid w:val="002C62CA"/>
    <w:pPr>
      <w:spacing w:line="360" w:lineRule="auto"/>
      <w:ind w:firstLineChars="200" w:firstLine="480"/>
      <w:outlineLvl w:val="0"/>
    </w:pPr>
    <w:rPr>
      <w:rFonts w:hAnsi="宋体"/>
      <w:bCs/>
      <w:sz w:val="24"/>
    </w:rPr>
  </w:style>
  <w:style w:type="character" w:customStyle="1" w:styleId="CharCharf0">
    <w:name w:val="【正文】 Char Char"/>
    <w:rsid w:val="00A30965"/>
    <w:rPr>
      <w:sz w:val="24"/>
      <w:lang w:bidi="ar-SA"/>
    </w:rPr>
  </w:style>
  <w:style w:type="character" w:customStyle="1" w:styleId="Charfe">
    <w:name w:val="批注文字 Char"/>
    <w:qFormat/>
    <w:rsid w:val="004D7160"/>
    <w:rPr>
      <w:rFonts w:eastAsia="宋体"/>
      <w:kern w:val="2"/>
      <w:sz w:val="21"/>
      <w:szCs w:val="24"/>
      <w:lang w:val="en-US" w:eastAsia="zh-CN" w:bidi="ar-SA"/>
    </w:rPr>
  </w:style>
  <w:style w:type="character" w:customStyle="1" w:styleId="Char16">
    <w:name w:val="批注文字 Char1"/>
    <w:rsid w:val="004D7160"/>
    <w:rPr>
      <w:kern w:val="2"/>
      <w:sz w:val="21"/>
    </w:rPr>
  </w:style>
  <w:style w:type="paragraph" w:customStyle="1" w:styleId="CharCharCharCharCharCharCharChar">
    <w:name w:val="Char Char Char Char Char Char Char Char"/>
    <w:basedOn w:val="a0"/>
    <w:rsid w:val="004B51D7"/>
    <w:pPr>
      <w:widowControl/>
      <w:topLinePunct w:val="0"/>
      <w:adjustRightInd/>
      <w:spacing w:after="160" w:line="240" w:lineRule="exact"/>
      <w:ind w:firstLineChars="0" w:firstLine="357"/>
      <w:jc w:val="left"/>
    </w:pPr>
    <w:rPr>
      <w:rFonts w:ascii="Verdana" w:hAnsi="Verdana" w:cs="Times New Roman"/>
      <w:sz w:val="20"/>
      <w:szCs w:val="20"/>
      <w:lang w:eastAsia="en-US"/>
    </w:rPr>
  </w:style>
  <w:style w:type="paragraph" w:customStyle="1" w:styleId="afffffff0">
    <w:name w:val="四级"/>
    <w:basedOn w:val="a0"/>
    <w:rsid w:val="004B51D7"/>
    <w:pPr>
      <w:widowControl/>
      <w:topLinePunct w:val="0"/>
      <w:adjustRightInd/>
      <w:ind w:firstLineChars="0" w:firstLine="0"/>
      <w:jc w:val="left"/>
      <w:outlineLvl w:val="3"/>
    </w:pPr>
    <w:rPr>
      <w:rFonts w:ascii="Times New Roman" w:cs="Times New Roman"/>
      <w:b/>
      <w:szCs w:val="22"/>
    </w:rPr>
  </w:style>
  <w:style w:type="character" w:styleId="HTML1">
    <w:name w:val="HTML Definition"/>
    <w:rsid w:val="00FC46A8"/>
    <w:rPr>
      <w:i/>
      <w:iCs/>
    </w:rPr>
  </w:style>
  <w:style w:type="paragraph" w:customStyle="1" w:styleId="afffffff1">
    <w:name w:val="表格头"/>
    <w:basedOn w:val="afff9"/>
    <w:rsid w:val="00FC46A8"/>
    <w:pPr>
      <w:widowControl/>
      <w:jc w:val="center"/>
    </w:pPr>
    <w:rPr>
      <w:rFonts w:ascii="Times New Roman" w:hAnsi="Times New Roman"/>
      <w:sz w:val="21"/>
      <w:szCs w:val="24"/>
    </w:rPr>
  </w:style>
  <w:style w:type="paragraph" w:customStyle="1" w:styleId="afffffff2">
    <w:name w:val="表内容"/>
    <w:basedOn w:val="a0"/>
    <w:rsid w:val="00FC46A8"/>
    <w:pPr>
      <w:widowControl/>
      <w:topLinePunct w:val="0"/>
      <w:autoSpaceDE w:val="0"/>
      <w:autoSpaceDN w:val="0"/>
      <w:spacing w:line="240" w:lineRule="auto"/>
      <w:ind w:firstLineChars="0" w:firstLine="0"/>
      <w:jc w:val="center"/>
    </w:pPr>
    <w:rPr>
      <w:rFonts w:ascii="Times New Roman" w:cs="Times New Roman"/>
      <w:snapToGrid w:val="0"/>
      <w:sz w:val="21"/>
      <w:szCs w:val="18"/>
    </w:rPr>
  </w:style>
  <w:style w:type="paragraph" w:customStyle="1" w:styleId="afffffff3">
    <w:name w:val="图框"/>
    <w:basedOn w:val="a0"/>
    <w:rsid w:val="000033AA"/>
    <w:pPr>
      <w:widowControl/>
      <w:topLinePunct w:val="0"/>
      <w:adjustRightInd/>
      <w:spacing w:line="240" w:lineRule="auto"/>
      <w:ind w:firstLineChars="0" w:firstLine="0"/>
      <w:jc w:val="center"/>
    </w:pPr>
    <w:rPr>
      <w:rFonts w:ascii="Times New Roman" w:cs="Times New Roman"/>
      <w:b/>
      <w:sz w:val="21"/>
      <w:szCs w:val="21"/>
    </w:rPr>
  </w:style>
  <w:style w:type="paragraph" w:customStyle="1" w:styleId="C">
    <w:name w:val="C小四正文"/>
    <w:basedOn w:val="a0"/>
    <w:next w:val="a0"/>
    <w:link w:val="CChar"/>
    <w:rsid w:val="00214E53"/>
    <w:pPr>
      <w:topLinePunct w:val="0"/>
      <w:adjustRightInd/>
    </w:pPr>
    <w:rPr>
      <w:rFonts w:ascii="Times New Roman" w:cs="Times New Roman"/>
      <w:kern w:val="2"/>
    </w:rPr>
  </w:style>
  <w:style w:type="character" w:customStyle="1" w:styleId="CChar">
    <w:name w:val="C小四正文 Char"/>
    <w:basedOn w:val="a2"/>
    <w:link w:val="C"/>
    <w:qFormat/>
    <w:rsid w:val="00214E53"/>
    <w:rPr>
      <w:rFonts w:ascii="Times New Roman" w:eastAsia="宋体" w:hAnsi="Times New Roman" w:cs="Times New Roman"/>
      <w:kern w:val="2"/>
      <w:sz w:val="24"/>
      <w:szCs w:val="24"/>
    </w:rPr>
  </w:style>
  <w:style w:type="table" w:customStyle="1" w:styleId="1f6">
    <w:name w:val="表格样式 1刘文"/>
    <w:basedOn w:val="a3"/>
    <w:qFormat/>
    <w:rsid w:val="00214E53"/>
    <w:pPr>
      <w:jc w:val="center"/>
    </w:pPr>
    <w:rPr>
      <w:rFonts w:ascii="Times New Roman" w:hAnsi="Times New Roman"/>
    </w:rPr>
    <w:tblPr>
      <w:tblInd w:w="0" w:type="dxa"/>
      <w:tblBorders>
        <w:top w:val="single" w:sz="12" w:space="0" w:color="auto"/>
        <w:bottom w:val="single" w:sz="12" w:space="0" w:color="auto"/>
        <w:insideH w:val="single" w:sz="4" w:space="0" w:color="auto"/>
        <w:insideV w:val="single" w:sz="4" w:space="0" w:color="auto"/>
      </w:tblBorders>
      <w:tblCellMar>
        <w:top w:w="0" w:type="dxa"/>
        <w:left w:w="28" w:type="dxa"/>
        <w:bottom w:w="0" w:type="dxa"/>
        <w:right w:w="28" w:type="dxa"/>
      </w:tblCellMar>
    </w:tblPr>
    <w:tcPr>
      <w:vAlign w:val="center"/>
    </w:tcPr>
  </w:style>
  <w:style w:type="paragraph" w:customStyle="1" w:styleId="afffffff4">
    <w:name w:val="【正文.】"/>
    <w:basedOn w:val="a0"/>
    <w:rsid w:val="00214E53"/>
    <w:pPr>
      <w:topLinePunct w:val="0"/>
      <w:snapToGrid w:val="0"/>
    </w:pPr>
    <w:rPr>
      <w:rFonts w:ascii="Times New Roman" w:cs="Times New Roman"/>
      <w:snapToGrid w:val="0"/>
    </w:rPr>
  </w:style>
  <w:style w:type="paragraph" w:customStyle="1" w:styleId="afffffff5">
    <w:name w:val="【图名】"/>
    <w:basedOn w:val="a0"/>
    <w:rsid w:val="0062455D"/>
    <w:pPr>
      <w:topLinePunct w:val="0"/>
      <w:snapToGrid w:val="0"/>
      <w:spacing w:afterLines="50" w:line="240" w:lineRule="auto"/>
      <w:ind w:firstLineChars="0" w:firstLine="0"/>
      <w:jc w:val="center"/>
    </w:pPr>
    <w:rPr>
      <w:rFonts w:ascii="Times New Roman" w:cs="Times New Roman"/>
      <w:b/>
      <w:kern w:val="2"/>
      <w:sz w:val="21"/>
    </w:rPr>
  </w:style>
  <w:style w:type="paragraph" w:customStyle="1" w:styleId="afffffff6">
    <w:name w:val="【表名】"/>
    <w:basedOn w:val="a0"/>
    <w:rsid w:val="0062455D"/>
    <w:pPr>
      <w:widowControl/>
      <w:topLinePunct w:val="0"/>
      <w:snapToGrid w:val="0"/>
      <w:spacing w:beforeLines="50" w:line="240" w:lineRule="auto"/>
      <w:ind w:firstLineChars="0" w:firstLine="0"/>
      <w:jc w:val="center"/>
    </w:pPr>
    <w:rPr>
      <w:rFonts w:ascii="Times New Roman" w:cs="Arial"/>
      <w:b/>
      <w:sz w:val="21"/>
      <w:szCs w:val="21"/>
      <w:lang w:bidi="en-US"/>
    </w:rPr>
  </w:style>
  <w:style w:type="character" w:customStyle="1" w:styleId="Charff">
    <w:name w:val="注释标题 Char"/>
    <w:link w:val="afffffff7"/>
    <w:rsid w:val="0055650C"/>
    <w:rPr>
      <w:szCs w:val="24"/>
    </w:rPr>
  </w:style>
  <w:style w:type="paragraph" w:styleId="afffffff7">
    <w:name w:val="Note Heading"/>
    <w:basedOn w:val="a0"/>
    <w:next w:val="a0"/>
    <w:link w:val="Charff"/>
    <w:rsid w:val="0055650C"/>
    <w:pPr>
      <w:topLinePunct w:val="0"/>
      <w:adjustRightInd/>
      <w:jc w:val="center"/>
    </w:pPr>
    <w:rPr>
      <w:rFonts w:ascii="Calibri" w:hAnsi="Calibri" w:cs="Times New Roman"/>
      <w:sz w:val="20"/>
    </w:rPr>
  </w:style>
  <w:style w:type="character" w:customStyle="1" w:styleId="afffffff8">
    <w:name w:val="注释标题 字符"/>
    <w:basedOn w:val="a2"/>
    <w:uiPriority w:val="99"/>
    <w:semiHidden/>
    <w:rsid w:val="0055650C"/>
    <w:rPr>
      <w:rFonts w:ascii="宋体" w:hAnsi="Times New Roman" w:cs="宋体"/>
      <w:sz w:val="24"/>
      <w:szCs w:val="24"/>
    </w:rPr>
  </w:style>
  <w:style w:type="character" w:customStyle="1" w:styleId="SSEC20150323Char">
    <w:name w:val="SSEC正文 20150323 Char"/>
    <w:link w:val="SSEC20150323"/>
    <w:qFormat/>
    <w:rsid w:val="00FB72EC"/>
    <w:rPr>
      <w:rFonts w:ascii="宋体" w:hAnsi="宋体"/>
      <w:kern w:val="2"/>
      <w:sz w:val="24"/>
      <w:szCs w:val="24"/>
      <w:lang w:val="en-US" w:eastAsia="zh-CN" w:bidi="ar-SA"/>
    </w:rPr>
  </w:style>
  <w:style w:type="paragraph" w:customStyle="1" w:styleId="SSEC20150323">
    <w:name w:val="SSEC正文 20150323"/>
    <w:link w:val="SSEC20150323Char"/>
    <w:qFormat/>
    <w:rsid w:val="00FB72EC"/>
    <w:pPr>
      <w:adjustRightInd w:val="0"/>
      <w:snapToGrid w:val="0"/>
      <w:spacing w:line="331" w:lineRule="auto"/>
      <w:ind w:firstLineChars="200" w:firstLine="200"/>
      <w:jc w:val="both"/>
    </w:pPr>
    <w:rPr>
      <w:rFonts w:ascii="宋体" w:hAnsi="宋体"/>
      <w:kern w:val="2"/>
      <w:sz w:val="24"/>
      <w:szCs w:val="24"/>
    </w:rPr>
  </w:style>
  <w:style w:type="paragraph" w:customStyle="1" w:styleId="00">
    <w:name w:val="0正文"/>
    <w:basedOn w:val="afffe"/>
    <w:link w:val="0Char"/>
    <w:qFormat/>
    <w:rsid w:val="001C43F5"/>
    <w:pPr>
      <w:widowControl/>
      <w:spacing w:line="360" w:lineRule="auto"/>
      <w:ind w:firstLineChars="200" w:firstLine="200"/>
    </w:pPr>
    <w:rPr>
      <w:sz w:val="21"/>
    </w:rPr>
  </w:style>
  <w:style w:type="paragraph" w:customStyle="1" w:styleId="1L">
    <w:name w:val="1、L表名、图名"/>
    <w:basedOn w:val="a0"/>
    <w:rsid w:val="00DB1ADA"/>
    <w:pPr>
      <w:topLinePunct w:val="0"/>
      <w:snapToGrid w:val="0"/>
      <w:spacing w:line="240" w:lineRule="auto"/>
      <w:ind w:firstLineChars="0" w:firstLine="0"/>
      <w:jc w:val="center"/>
    </w:pPr>
    <w:rPr>
      <w:rFonts w:ascii="Times New Roman" w:cs="Times New Roman"/>
      <w:bCs/>
      <w:kern w:val="2"/>
      <w:sz w:val="21"/>
      <w:szCs w:val="18"/>
    </w:rPr>
  </w:style>
  <w:style w:type="character" w:customStyle="1" w:styleId="SSEC20150323Char0">
    <w:name w:val="SSEC表字居中 20150323 Char"/>
    <w:link w:val="SSEC201503230"/>
    <w:qFormat/>
    <w:locked/>
    <w:rsid w:val="006F71CC"/>
    <w:rPr>
      <w:rFonts w:ascii="宋体" w:hAnsi="宋体"/>
      <w:kern w:val="2"/>
      <w:sz w:val="21"/>
      <w:szCs w:val="21"/>
      <w:lang w:val="en-US" w:eastAsia="zh-CN" w:bidi="ar-SA"/>
    </w:rPr>
  </w:style>
  <w:style w:type="character" w:customStyle="1" w:styleId="SSEC">
    <w:name w:val="SSEC 表字居中 字符"/>
    <w:link w:val="SSEC0"/>
    <w:qFormat/>
    <w:rsid w:val="006F71CC"/>
    <w:rPr>
      <w:rFonts w:ascii="宋体"/>
      <w:kern w:val="2"/>
      <w:sz w:val="21"/>
      <w:szCs w:val="21"/>
      <w:lang w:val="en-US" w:eastAsia="zh-CN" w:bidi="ar-SA"/>
    </w:rPr>
  </w:style>
  <w:style w:type="paragraph" w:customStyle="1" w:styleId="SSEC201503230">
    <w:name w:val="SSEC表字居中 20150323"/>
    <w:link w:val="SSEC20150323Char0"/>
    <w:qFormat/>
    <w:rsid w:val="006F71CC"/>
    <w:pPr>
      <w:adjustRightInd w:val="0"/>
      <w:snapToGrid w:val="0"/>
      <w:jc w:val="center"/>
    </w:pPr>
    <w:rPr>
      <w:rFonts w:ascii="宋体" w:hAnsi="宋体"/>
      <w:kern w:val="2"/>
      <w:sz w:val="21"/>
      <w:szCs w:val="21"/>
    </w:rPr>
  </w:style>
  <w:style w:type="paragraph" w:customStyle="1" w:styleId="SSEC0">
    <w:name w:val="SSEC 表字居中"/>
    <w:link w:val="SSEC"/>
    <w:rsid w:val="006F71CC"/>
    <w:pPr>
      <w:widowControl w:val="0"/>
      <w:adjustRightInd w:val="0"/>
      <w:snapToGrid w:val="0"/>
      <w:jc w:val="center"/>
      <w:textAlignment w:val="center"/>
    </w:pPr>
    <w:rPr>
      <w:rFonts w:ascii="宋体"/>
      <w:kern w:val="2"/>
      <w:sz w:val="21"/>
      <w:szCs w:val="21"/>
    </w:rPr>
  </w:style>
  <w:style w:type="character" w:customStyle="1" w:styleId="Charff0">
    <w:name w:val="标题 Char"/>
    <w:rsid w:val="000A3853"/>
    <w:rPr>
      <w:rFonts w:ascii="Arial" w:hAnsi="Arial" w:cs="Arial"/>
      <w:b/>
      <w:bCs/>
      <w:sz w:val="32"/>
      <w:szCs w:val="32"/>
    </w:rPr>
  </w:style>
  <w:style w:type="character" w:customStyle="1" w:styleId="Char0">
    <w:name w:val="题注 Char"/>
    <w:aliases w:val="实德题注 Char1,Char Char Char Char Char Char Char Char Char Char Char Char Char Char Char Char1,SSEC图表题20150323 Char,题注 Char1 Char Char Char,题注 Char Char Char Char Char,题注 Char Char Char Char Char1 Char,题注 Char1 Char1 Char Char,图例 Char1,表 Char"/>
    <w:link w:val="a5"/>
    <w:rsid w:val="00F6410F"/>
    <w:rPr>
      <w:rFonts w:ascii="Cambria" w:eastAsia="黑体" w:hAnsi="Cambria" w:cs="Times New Roman"/>
    </w:rPr>
  </w:style>
  <w:style w:type="character" w:customStyle="1" w:styleId="SSEC2">
    <w:name w:val="SSEC 2级序号 字符"/>
    <w:link w:val="SSEC20"/>
    <w:rsid w:val="001E48DD"/>
    <w:rPr>
      <w:rFonts w:ascii="宋体" w:hAnsi="宋体"/>
      <w:kern w:val="2"/>
      <w:sz w:val="24"/>
      <w:szCs w:val="24"/>
    </w:rPr>
  </w:style>
  <w:style w:type="paragraph" w:customStyle="1" w:styleId="SSEC20">
    <w:name w:val="SSEC 2级序号"/>
    <w:basedOn w:val="SSEC1"/>
    <w:link w:val="SSEC2"/>
    <w:qFormat/>
    <w:rsid w:val="001E48DD"/>
    <w:pPr>
      <w:numPr>
        <w:numId w:val="0"/>
      </w:numPr>
    </w:pPr>
  </w:style>
  <w:style w:type="paragraph" w:customStyle="1" w:styleId="SSEC1">
    <w:name w:val="SSEC 1级序号"/>
    <w:link w:val="SSEC10"/>
    <w:qFormat/>
    <w:rsid w:val="001E48DD"/>
    <w:pPr>
      <w:widowControl w:val="0"/>
      <w:numPr>
        <w:numId w:val="18"/>
      </w:numPr>
      <w:adjustRightInd w:val="0"/>
      <w:snapToGrid w:val="0"/>
      <w:spacing w:line="331" w:lineRule="auto"/>
      <w:jc w:val="both"/>
    </w:pPr>
    <w:rPr>
      <w:rFonts w:ascii="宋体" w:hAnsi="宋体"/>
      <w:kern w:val="2"/>
      <w:sz w:val="24"/>
      <w:szCs w:val="24"/>
    </w:rPr>
  </w:style>
  <w:style w:type="character" w:customStyle="1" w:styleId="1Char2">
    <w:name w:val="表头1 Char"/>
    <w:link w:val="1a"/>
    <w:rsid w:val="00A85F07"/>
    <w:rPr>
      <w:rFonts w:ascii="黑体" w:eastAsia="黑体" w:hAnsi="Times New Roman"/>
      <w:sz w:val="24"/>
      <w:lang w:bidi="ar-SA"/>
    </w:rPr>
  </w:style>
  <w:style w:type="character" w:customStyle="1" w:styleId="SSEC3">
    <w:name w:val="SSEC 3级序号 字符"/>
    <w:link w:val="SSEC30"/>
    <w:rsid w:val="00A85F07"/>
    <w:rPr>
      <w:rFonts w:ascii="宋体" w:hAnsi="宋体"/>
      <w:kern w:val="2"/>
      <w:sz w:val="24"/>
      <w:szCs w:val="24"/>
    </w:rPr>
  </w:style>
  <w:style w:type="paragraph" w:customStyle="1" w:styleId="SSEC30">
    <w:name w:val="SSEC 3级序号"/>
    <w:basedOn w:val="SSEC1"/>
    <w:link w:val="SSEC3"/>
    <w:qFormat/>
    <w:rsid w:val="00A85F07"/>
    <w:pPr>
      <w:numPr>
        <w:numId w:val="0"/>
      </w:numPr>
      <w:ind w:firstLine="476"/>
    </w:pPr>
  </w:style>
  <w:style w:type="character" w:customStyle="1" w:styleId="Char23">
    <w:name w:val="题注 Char2"/>
    <w:aliases w:val="实德题注 Char,Char Char Char Char Char Char Char Char Char Char Char Char Char Char Char Char2,SSEC图表题20150323 Char1,题注 Char1 Char Char Char1,题注 Char Char Char Char Char2,题注 Char Char Char Char Char1 Char1,题注 Char1 Char1 Char Char1,图例 Char"/>
    <w:locked/>
    <w:rsid w:val="00854FF3"/>
    <w:rPr>
      <w:rFonts w:ascii="Arial" w:eastAsia="黑体" w:hAnsi="Arial" w:cs="Arial"/>
      <w:kern w:val="2"/>
    </w:rPr>
  </w:style>
  <w:style w:type="paragraph" w:customStyle="1" w:styleId="afffffff9">
    <w:name w:val="表格体"/>
    <w:basedOn w:val="af2"/>
    <w:qFormat/>
    <w:rsid w:val="00BA4733"/>
    <w:pPr>
      <w:widowControl/>
    </w:pPr>
    <w:rPr>
      <w:szCs w:val="22"/>
    </w:rPr>
  </w:style>
  <w:style w:type="character" w:customStyle="1" w:styleId="0Char">
    <w:name w:val="0正文 Char"/>
    <w:link w:val="00"/>
    <w:rsid w:val="00213A2B"/>
    <w:rPr>
      <w:rFonts w:ascii="Times New Roman" w:hAnsi="Times New Roman"/>
      <w:kern w:val="2"/>
      <w:sz w:val="21"/>
    </w:rPr>
  </w:style>
  <w:style w:type="character" w:customStyle="1" w:styleId="SSEC10">
    <w:name w:val="SSEC 1级序号 字符"/>
    <w:link w:val="SSEC1"/>
    <w:rsid w:val="007422A2"/>
    <w:rPr>
      <w:rFonts w:ascii="宋体" w:hAnsi="宋体"/>
      <w:kern w:val="2"/>
      <w:sz w:val="24"/>
      <w:szCs w:val="24"/>
      <w:lang w:bidi="ar-SA"/>
    </w:rPr>
  </w:style>
  <w:style w:type="character" w:customStyle="1" w:styleId="SSEC4">
    <w:name w:val="SSEC 正文 字符"/>
    <w:link w:val="SSEC5"/>
    <w:qFormat/>
    <w:rsid w:val="007422A2"/>
    <w:rPr>
      <w:rFonts w:ascii="宋体" w:hAnsi="宋体"/>
      <w:kern w:val="2"/>
      <w:sz w:val="24"/>
      <w:szCs w:val="24"/>
      <w:lang w:val="en-US" w:eastAsia="zh-CN" w:bidi="ar-SA"/>
    </w:rPr>
  </w:style>
  <w:style w:type="paragraph" w:customStyle="1" w:styleId="SSEC5">
    <w:name w:val="SSEC 正文"/>
    <w:link w:val="SSEC4"/>
    <w:qFormat/>
    <w:rsid w:val="007422A2"/>
    <w:pPr>
      <w:widowControl w:val="0"/>
      <w:adjustRightInd w:val="0"/>
      <w:snapToGrid w:val="0"/>
      <w:spacing w:line="331" w:lineRule="auto"/>
      <w:ind w:firstLineChars="200" w:firstLine="200"/>
      <w:jc w:val="both"/>
    </w:pPr>
    <w:rPr>
      <w:rFonts w:ascii="宋体" w:hAnsi="宋体"/>
      <w:kern w:val="2"/>
      <w:sz w:val="24"/>
      <w:szCs w:val="24"/>
    </w:rPr>
  </w:style>
  <w:style w:type="character" w:customStyle="1" w:styleId="SSEC40">
    <w:name w:val="SSEC 4级序号 字符"/>
    <w:link w:val="SSEC41"/>
    <w:rsid w:val="00FF41BF"/>
    <w:rPr>
      <w:rFonts w:ascii="宋体" w:hAnsi="宋体"/>
      <w:kern w:val="2"/>
      <w:sz w:val="24"/>
      <w:szCs w:val="24"/>
    </w:rPr>
  </w:style>
  <w:style w:type="paragraph" w:customStyle="1" w:styleId="SSEC41">
    <w:name w:val="SSEC 4级序号"/>
    <w:basedOn w:val="SSEC1"/>
    <w:link w:val="SSEC40"/>
    <w:qFormat/>
    <w:rsid w:val="00FF41BF"/>
    <w:pPr>
      <w:numPr>
        <w:numId w:val="0"/>
      </w:numPr>
      <w:ind w:firstLine="476"/>
    </w:pPr>
  </w:style>
  <w:style w:type="character" w:customStyle="1" w:styleId="SSEC20150323Char1">
    <w:name w:val="SSEC表字居左 20150323 Char"/>
    <w:link w:val="SSEC201503231"/>
    <w:locked/>
    <w:rsid w:val="00FF41BF"/>
    <w:rPr>
      <w:rFonts w:ascii="宋体" w:hAnsi="宋体"/>
      <w:kern w:val="2"/>
      <w:sz w:val="21"/>
      <w:szCs w:val="21"/>
      <w:lang w:val="en-US" w:eastAsia="zh-CN" w:bidi="ar-SA"/>
    </w:rPr>
  </w:style>
  <w:style w:type="paragraph" w:customStyle="1" w:styleId="SSEC201503231">
    <w:name w:val="SSEC表字居左 20150323"/>
    <w:link w:val="SSEC20150323Char1"/>
    <w:qFormat/>
    <w:rsid w:val="00FF41BF"/>
    <w:rPr>
      <w:rFonts w:ascii="宋体" w:hAnsi="宋体"/>
      <w:kern w:val="2"/>
      <w:sz w:val="21"/>
      <w:szCs w:val="21"/>
    </w:rPr>
  </w:style>
  <w:style w:type="character" w:customStyle="1" w:styleId="1Char4">
    <w:name w:val="样式1 Char"/>
    <w:link w:val="1d"/>
    <w:rsid w:val="00D01CD7"/>
    <w:rPr>
      <w:rFonts w:ascii="Times New Roman" w:hAnsi="Times New Roman"/>
      <w:kern w:val="2"/>
      <w:sz w:val="28"/>
      <w:szCs w:val="24"/>
    </w:rPr>
  </w:style>
  <w:style w:type="table" w:customStyle="1" w:styleId="TableNormal">
    <w:name w:val="Table Normal"/>
    <w:unhideWhenUsed/>
    <w:qFormat/>
    <w:rsid w:val="00D01CD7"/>
    <w:rPr>
      <w:rFonts w:ascii="Times New Roman" w:hAnsi="Times New Roman"/>
    </w:rPr>
    <w:tblPr>
      <w:tblCellMar>
        <w:top w:w="0" w:type="dxa"/>
        <w:left w:w="0" w:type="dxa"/>
        <w:bottom w:w="0" w:type="dxa"/>
        <w:right w:w="0" w:type="dxa"/>
      </w:tblCellMar>
    </w:tblPr>
  </w:style>
  <w:style w:type="numbering" w:customStyle="1" w:styleId="1f7">
    <w:name w:val="无列表1"/>
    <w:next w:val="a4"/>
    <w:uiPriority w:val="99"/>
    <w:semiHidden/>
    <w:unhideWhenUsed/>
    <w:rsid w:val="00521C82"/>
  </w:style>
  <w:style w:type="paragraph" w:styleId="3a">
    <w:name w:val="List 3"/>
    <w:basedOn w:val="a0"/>
    <w:next w:val="a0"/>
    <w:qFormat/>
    <w:rsid w:val="00521C82"/>
    <w:pPr>
      <w:topLinePunct w:val="0"/>
      <w:autoSpaceDE w:val="0"/>
      <w:autoSpaceDN w:val="0"/>
      <w:spacing w:line="288" w:lineRule="auto"/>
      <w:ind w:left="1260" w:firstLineChars="0" w:hanging="420"/>
      <w:textAlignment w:val="baseline"/>
    </w:pPr>
    <w:rPr>
      <w:rFonts w:ascii="Calibri" w:eastAsia="仿宋" w:hAnsi="Calibri"/>
      <w:kern w:val="2"/>
      <w:sz w:val="21"/>
      <w:szCs w:val="20"/>
    </w:rPr>
  </w:style>
  <w:style w:type="paragraph" w:styleId="afffffffa">
    <w:name w:val="toa heading"/>
    <w:basedOn w:val="a0"/>
    <w:next w:val="a0"/>
    <w:rsid w:val="00521C82"/>
    <w:pPr>
      <w:topLinePunct w:val="0"/>
      <w:adjustRightInd/>
      <w:spacing w:before="120" w:line="240" w:lineRule="auto"/>
      <w:ind w:firstLineChars="0" w:firstLine="0"/>
    </w:pPr>
    <w:rPr>
      <w:rFonts w:ascii="Arial" w:hAnsi="Arial" w:cs="Arial"/>
      <w:kern w:val="2"/>
    </w:rPr>
  </w:style>
  <w:style w:type="paragraph" w:styleId="3b">
    <w:name w:val="List Bullet 3"/>
    <w:basedOn w:val="a0"/>
    <w:rsid w:val="00521C82"/>
    <w:pPr>
      <w:tabs>
        <w:tab w:val="left" w:pos="1280"/>
      </w:tabs>
      <w:topLinePunct w:val="0"/>
      <w:adjustRightInd/>
      <w:spacing w:line="240" w:lineRule="auto"/>
      <w:ind w:left="1280" w:firstLineChars="0" w:hanging="720"/>
    </w:pPr>
    <w:rPr>
      <w:rFonts w:ascii="Times New Roman" w:cs="Times New Roman"/>
      <w:kern w:val="2"/>
      <w:sz w:val="21"/>
      <w:szCs w:val="20"/>
    </w:rPr>
  </w:style>
  <w:style w:type="paragraph" w:styleId="53">
    <w:name w:val="List Number 5"/>
    <w:basedOn w:val="a0"/>
    <w:rsid w:val="00521C82"/>
    <w:pPr>
      <w:tabs>
        <w:tab w:val="left" w:pos="2040"/>
      </w:tabs>
      <w:topLinePunct w:val="0"/>
      <w:adjustRightInd/>
      <w:spacing w:line="240" w:lineRule="auto"/>
      <w:ind w:left="840" w:firstLineChars="0" w:firstLine="0"/>
    </w:pPr>
    <w:rPr>
      <w:rFonts w:ascii="Times New Roman" w:cs="Times New Roman"/>
      <w:kern w:val="2"/>
      <w:sz w:val="21"/>
    </w:rPr>
  </w:style>
  <w:style w:type="table" w:customStyle="1" w:styleId="2f3">
    <w:name w:val="网格型2"/>
    <w:basedOn w:val="a3"/>
    <w:next w:val="ad"/>
    <w:rsid w:val="00521C82"/>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54">
    <w:name w:val="Table Grid 5"/>
    <w:basedOn w:val="a3"/>
    <w:rsid w:val="00521C82"/>
    <w:pPr>
      <w:widowControl w:val="0"/>
      <w:adjustRightInd w:val="0"/>
      <w:snapToGrid w:val="0"/>
      <w:spacing w:line="460" w:lineRule="exact"/>
      <w:ind w:firstLineChars="200" w:firstLine="520"/>
      <w:jc w:val="both"/>
    </w:pPr>
    <w:rPr>
      <w:rFonts w:ascii="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character" w:styleId="HTML2">
    <w:name w:val="HTML Cite"/>
    <w:rsid w:val="00521C82"/>
    <w:rPr>
      <w:i w:val="0"/>
      <w:color w:val="008000"/>
    </w:rPr>
  </w:style>
  <w:style w:type="paragraph" w:customStyle="1" w:styleId="221">
    <w:name w:val="样式 样式 首行缩进:  2 字符 + 首行缩进:  2 字符"/>
    <w:basedOn w:val="a0"/>
    <w:next w:val="10"/>
    <w:qFormat/>
    <w:rsid w:val="00521C82"/>
    <w:pPr>
      <w:topLinePunct w:val="0"/>
      <w:adjustRightInd/>
      <w:snapToGrid w:val="0"/>
      <w:ind w:firstLine="560"/>
    </w:pPr>
    <w:rPr>
      <w:rFonts w:ascii="Times New Roman" w:cs="Times New Roman"/>
      <w:kern w:val="2"/>
      <w:sz w:val="28"/>
    </w:rPr>
  </w:style>
  <w:style w:type="character" w:customStyle="1" w:styleId="Char4CharCharCharTimesNewRomanChar">
    <w:name w:val="样式 Char4 Char Char Char + Times New Roman Char"/>
    <w:link w:val="Char4CharCharCharTimesNewRoman"/>
    <w:rsid w:val="00521C82"/>
    <w:rPr>
      <w:rFonts w:cs="宋体"/>
      <w:kern w:val="2"/>
      <w:sz w:val="24"/>
      <w:szCs w:val="26"/>
    </w:rPr>
  </w:style>
  <w:style w:type="paragraph" w:customStyle="1" w:styleId="Char4CharCharCharTimesNewRoman">
    <w:name w:val="样式 Char4 Char Char Char + Times New Roman"/>
    <w:basedOn w:val="Char4CharCharChar"/>
    <w:link w:val="Char4CharCharCharTimesNewRomanChar"/>
    <w:rsid w:val="00521C82"/>
    <w:rPr>
      <w:rFonts w:ascii="Calibri" w:hAnsi="Calibri"/>
    </w:rPr>
  </w:style>
  <w:style w:type="paragraph" w:customStyle="1" w:styleId="Char4CharCharChar">
    <w:name w:val="Char4 Char Char Char"/>
    <w:basedOn w:val="a0"/>
    <w:rsid w:val="00521C82"/>
    <w:pPr>
      <w:topLinePunct w:val="0"/>
      <w:snapToGrid w:val="0"/>
      <w:spacing w:line="400" w:lineRule="exact"/>
    </w:pPr>
    <w:rPr>
      <w:rFonts w:hAnsi="宋体"/>
      <w:kern w:val="2"/>
      <w:szCs w:val="26"/>
    </w:rPr>
  </w:style>
  <w:style w:type="character" w:customStyle="1" w:styleId="CharCharf1">
    <w:name w:val="标准样式 Char Char"/>
    <w:rsid w:val="00521C82"/>
    <w:rPr>
      <w:rFonts w:eastAsia="宋体"/>
      <w:kern w:val="2"/>
      <w:sz w:val="28"/>
      <w:lang w:val="en-US" w:eastAsia="zh-CN" w:bidi="ar-SA"/>
    </w:rPr>
  </w:style>
  <w:style w:type="character" w:customStyle="1" w:styleId="105Char">
    <w:name w:val="样式105 Char"/>
    <w:link w:val="105"/>
    <w:rsid w:val="00521C82"/>
    <w:rPr>
      <w:rFonts w:ascii="宋体" w:hAnsi="宋体" w:cs="宋体"/>
      <w:sz w:val="26"/>
      <w:szCs w:val="26"/>
    </w:rPr>
  </w:style>
  <w:style w:type="paragraph" w:customStyle="1" w:styleId="105">
    <w:name w:val="样式105"/>
    <w:basedOn w:val="1d"/>
    <w:link w:val="105Char"/>
    <w:qFormat/>
    <w:rsid w:val="00521C82"/>
    <w:pPr>
      <w:widowControl/>
      <w:adjustRightInd w:val="0"/>
      <w:snapToGrid w:val="0"/>
      <w:spacing w:line="460" w:lineRule="exact"/>
      <w:ind w:firstLineChars="200" w:firstLine="520"/>
      <w:jc w:val="left"/>
    </w:pPr>
    <w:rPr>
      <w:rFonts w:ascii="宋体" w:hAnsi="宋体" w:cs="宋体"/>
      <w:kern w:val="0"/>
      <w:sz w:val="26"/>
      <w:szCs w:val="26"/>
    </w:rPr>
  </w:style>
  <w:style w:type="character" w:customStyle="1" w:styleId="fontstyle11">
    <w:name w:val="fontstyle11"/>
    <w:rsid w:val="00521C82"/>
    <w:rPr>
      <w:rFonts w:ascii="Times New Roman" w:hAnsi="Times New Roman" w:cs="Times New Roman" w:hint="default"/>
      <w:b w:val="0"/>
      <w:bCs w:val="0"/>
      <w:i w:val="0"/>
      <w:iCs w:val="0"/>
      <w:color w:val="000000"/>
      <w:sz w:val="22"/>
      <w:szCs w:val="22"/>
    </w:rPr>
  </w:style>
  <w:style w:type="character" w:customStyle="1" w:styleId="Char17">
    <w:name w:val="标准样式 Char1"/>
    <w:link w:val="afffffffb"/>
    <w:rsid w:val="00521C82"/>
    <w:rPr>
      <w:rFonts w:ascii="宋体"/>
      <w:sz w:val="28"/>
    </w:rPr>
  </w:style>
  <w:style w:type="paragraph" w:customStyle="1" w:styleId="afffffffb">
    <w:name w:val="标准样式"/>
    <w:link w:val="Char17"/>
    <w:rsid w:val="00521C82"/>
    <w:pPr>
      <w:widowControl w:val="0"/>
      <w:spacing w:line="600" w:lineRule="exact"/>
      <w:ind w:firstLine="567"/>
      <w:jc w:val="both"/>
    </w:pPr>
    <w:rPr>
      <w:rFonts w:ascii="宋体"/>
      <w:sz w:val="28"/>
    </w:rPr>
  </w:style>
  <w:style w:type="character" w:customStyle="1" w:styleId="1f8">
    <w:name w:val="页码1"/>
    <w:basedOn w:val="a2"/>
    <w:rsid w:val="00521C82"/>
  </w:style>
  <w:style w:type="character" w:customStyle="1" w:styleId="Charff1">
    <w:name w:val="三级标题 Char"/>
    <w:rsid w:val="00521C82"/>
    <w:rPr>
      <w:rFonts w:eastAsia="宋体"/>
      <w:b/>
      <w:kern w:val="2"/>
      <w:sz w:val="26"/>
      <w:szCs w:val="26"/>
      <w:lang w:val="en-US" w:eastAsia="zh-CN" w:bidi="ar-SA"/>
    </w:rPr>
  </w:style>
  <w:style w:type="character" w:customStyle="1" w:styleId="apple-style-span">
    <w:name w:val="apple-style-span"/>
    <w:basedOn w:val="a2"/>
    <w:rsid w:val="00521C82"/>
  </w:style>
  <w:style w:type="character" w:customStyle="1" w:styleId="2Char6">
    <w:name w:val="正文（首行缩进2字） Char"/>
    <w:link w:val="2f4"/>
    <w:rsid w:val="00521C82"/>
    <w:rPr>
      <w:kern w:val="2"/>
      <w:sz w:val="28"/>
      <w:szCs w:val="30"/>
    </w:rPr>
  </w:style>
  <w:style w:type="paragraph" w:customStyle="1" w:styleId="2f4">
    <w:name w:val="正文（首行缩进2字）"/>
    <w:basedOn w:val="a0"/>
    <w:link w:val="2Char6"/>
    <w:rsid w:val="00521C82"/>
    <w:pPr>
      <w:topLinePunct w:val="0"/>
      <w:adjustRightInd/>
      <w:spacing w:line="500" w:lineRule="exact"/>
      <w:ind w:firstLine="560"/>
    </w:pPr>
    <w:rPr>
      <w:rFonts w:ascii="Calibri" w:hAnsi="Calibri" w:cs="Times New Roman"/>
      <w:kern w:val="2"/>
      <w:sz w:val="28"/>
      <w:szCs w:val="30"/>
    </w:rPr>
  </w:style>
  <w:style w:type="paragraph" w:customStyle="1" w:styleId="1f9">
    <w:name w:val="引用1"/>
    <w:basedOn w:val="a0"/>
    <w:next w:val="a0"/>
    <w:qFormat/>
    <w:rsid w:val="00521C82"/>
    <w:pPr>
      <w:topLinePunct w:val="0"/>
      <w:adjustRightInd/>
      <w:spacing w:line="240" w:lineRule="auto"/>
    </w:pPr>
    <w:rPr>
      <w:rFonts w:ascii="Times New Roman" w:cs="Times New Roman"/>
      <w:iCs/>
      <w:color w:val="000000"/>
      <w:kern w:val="2"/>
      <w:sz w:val="22"/>
    </w:rPr>
  </w:style>
  <w:style w:type="character" w:customStyle="1" w:styleId="115Char">
    <w:name w:val="样式 标题 1 + 段后: 1.5 行 Char"/>
    <w:rsid w:val="00521C82"/>
    <w:rPr>
      <w:rFonts w:ascii="宋体" w:eastAsia="宋体" w:hAnsi="宋体" w:cs="宋体"/>
      <w:b/>
      <w:bCs/>
      <w:kern w:val="44"/>
      <w:sz w:val="32"/>
      <w:szCs w:val="44"/>
      <w:lang w:val="en-US" w:eastAsia="zh-CN" w:bidi="ar-SA"/>
    </w:rPr>
  </w:style>
  <w:style w:type="character" w:customStyle="1" w:styleId="style81">
    <w:name w:val="style81"/>
    <w:rsid w:val="00521C82"/>
    <w:rPr>
      <w:sz w:val="20"/>
      <w:szCs w:val="20"/>
    </w:rPr>
  </w:style>
  <w:style w:type="character" w:customStyle="1" w:styleId="Charff2">
    <w:name w:val="表头排版 Char"/>
    <w:link w:val="afffffffc"/>
    <w:rsid w:val="00521C82"/>
    <w:rPr>
      <w:kern w:val="2"/>
      <w:sz w:val="26"/>
      <w:szCs w:val="21"/>
    </w:rPr>
  </w:style>
  <w:style w:type="paragraph" w:customStyle="1" w:styleId="afffffffc">
    <w:name w:val="表头排版"/>
    <w:basedOn w:val="a0"/>
    <w:link w:val="Charff2"/>
    <w:qFormat/>
    <w:rsid w:val="00521C82"/>
    <w:pPr>
      <w:topLinePunct w:val="0"/>
      <w:adjustRightInd/>
      <w:spacing w:line="480" w:lineRule="exact"/>
      <w:jc w:val="right"/>
    </w:pPr>
    <w:rPr>
      <w:rFonts w:ascii="Calibri" w:hAnsi="Calibri" w:cs="Times New Roman"/>
      <w:kern w:val="2"/>
      <w:sz w:val="26"/>
      <w:szCs w:val="21"/>
    </w:rPr>
  </w:style>
  <w:style w:type="character" w:customStyle="1" w:styleId="fontstyle21">
    <w:name w:val="fontstyle21"/>
    <w:rsid w:val="00521C82"/>
    <w:rPr>
      <w:rFonts w:ascii="TimesNewRomanPSMT" w:eastAsia="TimesNewRomanPSMT" w:hAnsi="TimesNewRomanPSMT" w:hint="eastAsia"/>
      <w:color w:val="000000"/>
      <w:sz w:val="24"/>
      <w:szCs w:val="24"/>
    </w:rPr>
  </w:style>
  <w:style w:type="character" w:customStyle="1" w:styleId="style61">
    <w:name w:val="style61"/>
    <w:rsid w:val="00521C82"/>
    <w:rPr>
      <w:color w:val="333333"/>
      <w:sz w:val="21"/>
      <w:szCs w:val="21"/>
    </w:rPr>
  </w:style>
  <w:style w:type="character" w:customStyle="1" w:styleId="f91">
    <w:name w:val="f91"/>
    <w:rsid w:val="00521C82"/>
    <w:rPr>
      <w:rFonts w:hint="default"/>
      <w:sz w:val="18"/>
      <w:szCs w:val="18"/>
    </w:rPr>
  </w:style>
  <w:style w:type="character" w:customStyle="1" w:styleId="title">
    <w:name w:val="title"/>
    <w:basedOn w:val="a2"/>
    <w:semiHidden/>
    <w:rsid w:val="00521C82"/>
  </w:style>
  <w:style w:type="character" w:customStyle="1" w:styleId="2CharChar0">
    <w:name w:val="样式2 Char Char"/>
    <w:rsid w:val="00521C82"/>
    <w:rPr>
      <w:rFonts w:ascii="黑体" w:eastAsia="黑体" w:hAnsi="宋体"/>
      <w:b/>
      <w:kern w:val="2"/>
      <w:sz w:val="28"/>
      <w:szCs w:val="28"/>
      <w:lang w:val="en-US" w:eastAsia="zh-CN" w:bidi="ar-SA"/>
    </w:rPr>
  </w:style>
  <w:style w:type="character" w:customStyle="1" w:styleId="92Char">
    <w:name w:val="样式92 Char"/>
    <w:link w:val="92"/>
    <w:rsid w:val="00521C82"/>
    <w:rPr>
      <w:rFonts w:cs="宋体"/>
      <w:sz w:val="26"/>
      <w:szCs w:val="26"/>
    </w:rPr>
  </w:style>
  <w:style w:type="paragraph" w:customStyle="1" w:styleId="92">
    <w:name w:val="样式92"/>
    <w:basedOn w:val="a0"/>
    <w:link w:val="92Char"/>
    <w:rsid w:val="00521C82"/>
    <w:pPr>
      <w:widowControl/>
      <w:topLinePunct w:val="0"/>
      <w:snapToGrid w:val="0"/>
      <w:spacing w:line="460" w:lineRule="exact"/>
      <w:ind w:firstLineChars="218" w:firstLine="567"/>
      <w:jc w:val="left"/>
    </w:pPr>
    <w:rPr>
      <w:rFonts w:ascii="Calibri" w:hAnsi="Calibri"/>
      <w:sz w:val="26"/>
      <w:szCs w:val="26"/>
    </w:rPr>
  </w:style>
  <w:style w:type="character" w:customStyle="1" w:styleId="txtbreak">
    <w:name w:val="txtbreak"/>
    <w:basedOn w:val="a2"/>
    <w:rsid w:val="00521C82"/>
  </w:style>
  <w:style w:type="character" w:customStyle="1" w:styleId="UserStyle0">
    <w:name w:val="UserStyle_0"/>
    <w:qFormat/>
    <w:rsid w:val="00521C82"/>
    <w:rPr>
      <w:rFonts w:ascii="宋体" w:eastAsia="宋体" w:hAnsi="宋体"/>
      <w:color w:val="000000"/>
      <w:sz w:val="24"/>
      <w:szCs w:val="24"/>
      <w:vertAlign w:val="superscript"/>
    </w:rPr>
  </w:style>
  <w:style w:type="character" w:customStyle="1" w:styleId="2Char5">
    <w:name w:val="样式2 Char"/>
    <w:link w:val="29"/>
    <w:rsid w:val="00521C82"/>
    <w:rPr>
      <w:rFonts w:ascii="Times New Roman" w:hAnsi="Times New Roman"/>
      <w:color w:val="000000"/>
      <w:sz w:val="28"/>
    </w:rPr>
  </w:style>
  <w:style w:type="paragraph" w:customStyle="1" w:styleId="22CharChar2">
    <w:name w:val="样式 标题 2标题节标题 2 Char Char + 段前: 2 行"/>
    <w:basedOn w:val="2"/>
    <w:next w:val="a0"/>
    <w:rsid w:val="00521C82"/>
    <w:pPr>
      <w:topLinePunct w:val="0"/>
      <w:snapToGrid w:val="0"/>
      <w:spacing w:beforeLines="50" w:line="460" w:lineRule="exact"/>
      <w:ind w:firstLineChars="200" w:firstLine="200"/>
    </w:pPr>
    <w:rPr>
      <w:rFonts w:eastAsia="黑体" w:hAnsi="Arial" w:cs="Times New Roman"/>
      <w:bCs w:val="0"/>
      <w:kern w:val="2"/>
      <w:sz w:val="26"/>
      <w:szCs w:val="20"/>
    </w:rPr>
  </w:style>
  <w:style w:type="character" w:customStyle="1" w:styleId="Charff3">
    <w:name w:val="排版正文 Char"/>
    <w:rsid w:val="00521C82"/>
    <w:rPr>
      <w:szCs w:val="24"/>
    </w:rPr>
  </w:style>
  <w:style w:type="character" w:customStyle="1" w:styleId="Char18">
    <w:name w:val="表头 Char1"/>
    <w:rsid w:val="00521C82"/>
    <w:rPr>
      <w:rFonts w:eastAsia="宋体"/>
      <w:spacing w:val="2"/>
      <w:kern w:val="2"/>
      <w:sz w:val="26"/>
      <w:szCs w:val="26"/>
      <w:lang w:val="en-US" w:eastAsia="zh-CN" w:bidi="ar-SA"/>
    </w:rPr>
  </w:style>
  <w:style w:type="character" w:customStyle="1" w:styleId="t141">
    <w:name w:val="t141"/>
    <w:rsid w:val="00521C82"/>
    <w:rPr>
      <w:rFonts w:ascii="ˎ̥" w:hAnsi="ˎ̥" w:hint="default"/>
      <w:sz w:val="21"/>
      <w:szCs w:val="21"/>
    </w:rPr>
  </w:style>
  <w:style w:type="character" w:customStyle="1" w:styleId="1Char5">
    <w:name w:val="标准样式1 Char"/>
    <w:link w:val="1fa"/>
    <w:rsid w:val="00521C82"/>
    <w:rPr>
      <w:rFonts w:ascii="宋体" w:hAnsi="宋体"/>
      <w:bCs/>
      <w:kern w:val="2"/>
      <w:sz w:val="28"/>
      <w:szCs w:val="24"/>
    </w:rPr>
  </w:style>
  <w:style w:type="paragraph" w:customStyle="1" w:styleId="1fa">
    <w:name w:val="标准样式1"/>
    <w:basedOn w:val="a0"/>
    <w:link w:val="1Char5"/>
    <w:rsid w:val="00521C82"/>
    <w:pPr>
      <w:topLinePunct w:val="0"/>
      <w:adjustRightInd/>
      <w:spacing w:line="600" w:lineRule="exact"/>
      <w:ind w:firstLineChars="150" w:firstLine="150"/>
    </w:pPr>
    <w:rPr>
      <w:rFonts w:hAnsi="宋体" w:cs="Times New Roman"/>
      <w:bCs/>
      <w:kern w:val="2"/>
      <w:sz w:val="28"/>
    </w:rPr>
  </w:style>
  <w:style w:type="character" w:customStyle="1" w:styleId="title10">
    <w:name w:val="title10"/>
    <w:basedOn w:val="a2"/>
    <w:rsid w:val="00521C82"/>
  </w:style>
  <w:style w:type="character" w:customStyle="1" w:styleId="Charfd">
    <w:name w:val="表文字 Char"/>
    <w:link w:val="affff5"/>
    <w:rsid w:val="00521C82"/>
    <w:rPr>
      <w:snapToGrid w:val="0"/>
      <w:sz w:val="24"/>
      <w:szCs w:val="21"/>
    </w:rPr>
  </w:style>
  <w:style w:type="character" w:customStyle="1" w:styleId="Charff4">
    <w:name w:val="环评证文 Char"/>
    <w:link w:val="afffffffd"/>
    <w:rsid w:val="00521C82"/>
    <w:rPr>
      <w:rFonts w:ascii="宋体" w:hAnsi="宋体"/>
      <w:color w:val="000000"/>
      <w:kern w:val="2"/>
      <w:sz w:val="24"/>
      <w:szCs w:val="24"/>
    </w:rPr>
  </w:style>
  <w:style w:type="paragraph" w:customStyle="1" w:styleId="afffffffd">
    <w:name w:val="环评证文"/>
    <w:basedOn w:val="a0"/>
    <w:link w:val="Charff4"/>
    <w:rsid w:val="00521C82"/>
    <w:pPr>
      <w:topLinePunct w:val="0"/>
      <w:adjustRightInd/>
      <w:spacing w:line="440" w:lineRule="exact"/>
      <w:ind w:firstLine="480"/>
    </w:pPr>
    <w:rPr>
      <w:rFonts w:hAnsi="宋体" w:cs="Times New Roman"/>
      <w:color w:val="000000"/>
      <w:kern w:val="2"/>
    </w:rPr>
  </w:style>
  <w:style w:type="character" w:customStyle="1" w:styleId="Charff5">
    <w:name w:val="环评正文 Char"/>
    <w:link w:val="afffffffe"/>
    <w:rsid w:val="00521C82"/>
    <w:rPr>
      <w:rFonts w:ascii="宋体" w:hAnsi="宋体"/>
      <w:color w:val="000000"/>
      <w:kern w:val="2"/>
      <w:sz w:val="24"/>
      <w:szCs w:val="24"/>
    </w:rPr>
  </w:style>
  <w:style w:type="paragraph" w:customStyle="1" w:styleId="afffffffe">
    <w:name w:val="环评正文"/>
    <w:basedOn w:val="a0"/>
    <w:link w:val="Charff5"/>
    <w:rsid w:val="00521C82"/>
    <w:pPr>
      <w:topLinePunct w:val="0"/>
      <w:snapToGrid w:val="0"/>
      <w:spacing w:line="440" w:lineRule="exact"/>
    </w:pPr>
    <w:rPr>
      <w:rFonts w:hAnsi="宋体" w:cs="Times New Roman"/>
      <w:color w:val="000000"/>
      <w:kern w:val="2"/>
    </w:rPr>
  </w:style>
  <w:style w:type="character" w:customStyle="1" w:styleId="5CharChar">
    <w:name w:val="样式5 Char Char"/>
    <w:rsid w:val="00521C82"/>
    <w:rPr>
      <w:rFonts w:eastAsia="宋体"/>
      <w:color w:val="FF0000"/>
      <w:kern w:val="2"/>
      <w:sz w:val="24"/>
      <w:lang w:val="en-US" w:eastAsia="zh-CN" w:bidi="ar-SA"/>
    </w:rPr>
  </w:style>
  <w:style w:type="character" w:customStyle="1" w:styleId="NormalCharacter">
    <w:name w:val="NormalCharacter"/>
    <w:semiHidden/>
    <w:qFormat/>
    <w:rsid w:val="00521C82"/>
  </w:style>
  <w:style w:type="character" w:customStyle="1" w:styleId="CharCharf2">
    <w:name w:val="表内字 Char Char"/>
    <w:link w:val="affffffff"/>
    <w:qFormat/>
    <w:rsid w:val="00521C82"/>
    <w:rPr>
      <w:rFonts w:ascii="Tahoma" w:hAnsi="Tahoma"/>
      <w:sz w:val="21"/>
      <w:szCs w:val="21"/>
    </w:rPr>
  </w:style>
  <w:style w:type="paragraph" w:customStyle="1" w:styleId="affffffff">
    <w:name w:val="表内字"/>
    <w:basedOn w:val="afffc"/>
    <w:link w:val="CharCharf2"/>
    <w:rsid w:val="00521C82"/>
    <w:pPr>
      <w:autoSpaceDE w:val="0"/>
      <w:autoSpaceDN w:val="0"/>
      <w:adjustRightInd w:val="0"/>
      <w:snapToGrid w:val="0"/>
      <w:ind w:left="0" w:firstLineChars="0" w:firstLine="0"/>
      <w:jc w:val="center"/>
    </w:pPr>
    <w:rPr>
      <w:rFonts w:ascii="Tahoma" w:hAnsi="Tahoma"/>
      <w:kern w:val="0"/>
      <w:szCs w:val="21"/>
    </w:rPr>
  </w:style>
  <w:style w:type="character" w:customStyle="1" w:styleId="fontstyle01">
    <w:name w:val="fontstyle01"/>
    <w:rsid w:val="00521C82"/>
    <w:rPr>
      <w:rFonts w:ascii="宋体" w:eastAsia="宋体" w:hAnsi="宋体" w:hint="eastAsia"/>
      <w:color w:val="000000"/>
      <w:sz w:val="24"/>
      <w:szCs w:val="24"/>
    </w:rPr>
  </w:style>
  <w:style w:type="character" w:customStyle="1" w:styleId="Charff6">
    <w:name w:val="表号 Char"/>
    <w:link w:val="affffffff0"/>
    <w:semiHidden/>
    <w:locked/>
    <w:rsid w:val="00521C82"/>
    <w:rPr>
      <w:sz w:val="24"/>
      <w:szCs w:val="24"/>
    </w:rPr>
  </w:style>
  <w:style w:type="paragraph" w:customStyle="1" w:styleId="affffffff0">
    <w:name w:val="表号"/>
    <w:link w:val="Charff6"/>
    <w:semiHidden/>
    <w:rsid w:val="00521C82"/>
    <w:pPr>
      <w:adjustRightInd w:val="0"/>
      <w:snapToGrid w:val="0"/>
      <w:jc w:val="both"/>
      <w:outlineLvl w:val="4"/>
    </w:pPr>
    <w:rPr>
      <w:sz w:val="24"/>
      <w:szCs w:val="24"/>
    </w:rPr>
  </w:style>
  <w:style w:type="character" w:customStyle="1" w:styleId="Charff7">
    <w:name w:val="标准样式 Char"/>
    <w:rsid w:val="00521C82"/>
    <w:rPr>
      <w:rFonts w:ascii="宋体" w:eastAsia="宋体"/>
      <w:sz w:val="28"/>
      <w:szCs w:val="28"/>
      <w:lang w:val="en-US" w:eastAsia="zh-CN" w:bidi="ar-SA"/>
    </w:rPr>
  </w:style>
  <w:style w:type="character" w:customStyle="1" w:styleId="115Char0">
    <w:name w:val="样式115 Char"/>
    <w:link w:val="115"/>
    <w:rsid w:val="00521C82"/>
    <w:rPr>
      <w:rFonts w:cs="宋体"/>
      <w:sz w:val="26"/>
      <w:szCs w:val="26"/>
    </w:rPr>
  </w:style>
  <w:style w:type="paragraph" w:customStyle="1" w:styleId="115">
    <w:name w:val="样式115"/>
    <w:basedOn w:val="a0"/>
    <w:link w:val="115Char0"/>
    <w:rsid w:val="00521C82"/>
    <w:pPr>
      <w:widowControl/>
      <w:topLinePunct w:val="0"/>
      <w:snapToGrid w:val="0"/>
      <w:spacing w:line="460" w:lineRule="exact"/>
      <w:ind w:firstLineChars="218" w:firstLine="567"/>
      <w:jc w:val="left"/>
    </w:pPr>
    <w:rPr>
      <w:rFonts w:ascii="Calibri" w:hAnsi="Calibri"/>
      <w:sz w:val="26"/>
      <w:szCs w:val="26"/>
    </w:rPr>
  </w:style>
  <w:style w:type="character" w:customStyle="1" w:styleId="1323Char">
    <w:name w:val="样式 13 磅 行距: 固定值 23 磅 Char"/>
    <w:rsid w:val="00521C82"/>
    <w:rPr>
      <w:rFonts w:eastAsia="宋体" w:cs="宋体"/>
      <w:kern w:val="2"/>
      <w:sz w:val="26"/>
      <w:lang w:val="en-US" w:eastAsia="zh-CN" w:bidi="ar-SA"/>
    </w:rPr>
  </w:style>
  <w:style w:type="character" w:customStyle="1" w:styleId="Charff8">
    <w:name w:val="样式 表头 + 小四 Char"/>
    <w:link w:val="affffffff1"/>
    <w:rsid w:val="00521C82"/>
    <w:rPr>
      <w:b/>
      <w:bCs/>
      <w:spacing w:val="2"/>
      <w:kern w:val="2"/>
      <w:sz w:val="24"/>
      <w:szCs w:val="24"/>
    </w:rPr>
  </w:style>
  <w:style w:type="paragraph" w:customStyle="1" w:styleId="affffffff1">
    <w:name w:val="样式 表头 + 小四"/>
    <w:link w:val="Charff8"/>
    <w:rsid w:val="00521C82"/>
    <w:pPr>
      <w:tabs>
        <w:tab w:val="left" w:pos="2040"/>
      </w:tabs>
      <w:spacing w:beforeLines="50" w:afterLines="50"/>
      <w:ind w:firstLine="420"/>
      <w:jc w:val="center"/>
    </w:pPr>
    <w:rPr>
      <w:b/>
      <w:bCs/>
      <w:spacing w:val="2"/>
      <w:kern w:val="2"/>
    </w:rPr>
  </w:style>
  <w:style w:type="character" w:customStyle="1" w:styleId="18CharChar">
    <w:name w:val="样式18 Char Char"/>
    <w:rsid w:val="00521C82"/>
    <w:rPr>
      <w:sz w:val="26"/>
      <w:szCs w:val="26"/>
    </w:rPr>
  </w:style>
  <w:style w:type="character" w:customStyle="1" w:styleId="affffffff2">
    <w:name w:val="样式 四号"/>
    <w:rsid w:val="00521C82"/>
    <w:rPr>
      <w:rFonts w:eastAsia="仿宋_GB2312"/>
      <w:sz w:val="28"/>
    </w:rPr>
  </w:style>
  <w:style w:type="character" w:customStyle="1" w:styleId="txt1">
    <w:name w:val="txt1"/>
    <w:rsid w:val="00521C82"/>
    <w:rPr>
      <w:spacing w:val="60"/>
      <w:sz w:val="14"/>
      <w:szCs w:val="14"/>
    </w:rPr>
  </w:style>
  <w:style w:type="character" w:customStyle="1" w:styleId="fontstyle31">
    <w:name w:val="fontstyle31"/>
    <w:rsid w:val="00521C82"/>
    <w:rPr>
      <w:rFonts w:ascii="Times New Roman" w:hAnsi="Times New Roman" w:cs="Times New Roman" w:hint="default"/>
      <w:b/>
      <w:bCs/>
      <w:i w:val="0"/>
      <w:iCs w:val="0"/>
      <w:color w:val="000000"/>
      <w:sz w:val="24"/>
      <w:szCs w:val="24"/>
    </w:rPr>
  </w:style>
  <w:style w:type="character" w:customStyle="1" w:styleId="Charff9">
    <w:name w:val="表头 Char"/>
    <w:rsid w:val="00521C82"/>
    <w:rPr>
      <w:rFonts w:eastAsia="宋体"/>
      <w:spacing w:val="2"/>
      <w:kern w:val="2"/>
      <w:sz w:val="26"/>
      <w:szCs w:val="26"/>
      <w:lang w:val="en-US" w:eastAsia="zh-CN" w:bidi="ar-SA"/>
    </w:rPr>
  </w:style>
  <w:style w:type="character" w:customStyle="1" w:styleId="c-">
    <w:name w:val="câ-¹"/>
    <w:basedOn w:val="a2"/>
    <w:rsid w:val="00521C82"/>
  </w:style>
  <w:style w:type="character" w:customStyle="1" w:styleId="1323Char1">
    <w:name w:val="样式 13 磅 行距: 固定值 23 磅 Char1"/>
    <w:rsid w:val="00521C82"/>
    <w:rPr>
      <w:rFonts w:eastAsia="宋体" w:cs="宋体"/>
      <w:kern w:val="2"/>
      <w:sz w:val="26"/>
      <w:lang w:val="en-US" w:eastAsia="zh-CN" w:bidi="ar-SA"/>
    </w:rPr>
  </w:style>
  <w:style w:type="character" w:customStyle="1" w:styleId="1fb">
    <w:name w:val="标题1"/>
    <w:basedOn w:val="a2"/>
    <w:rsid w:val="00521C82"/>
  </w:style>
  <w:style w:type="character" w:customStyle="1" w:styleId="5Char0">
    <w:name w:val="样式5 Char"/>
    <w:rsid w:val="00521C82"/>
    <w:rPr>
      <w:rFonts w:eastAsia="宋体"/>
      <w:kern w:val="2"/>
      <w:sz w:val="24"/>
      <w:lang w:val="en-US" w:eastAsia="zh-CN" w:bidi="ar-SA"/>
    </w:rPr>
  </w:style>
  <w:style w:type="character" w:customStyle="1" w:styleId="CharCharChar7">
    <w:name w:val="环评证文 Char Char Char"/>
    <w:rsid w:val="00521C82"/>
    <w:rPr>
      <w:rFonts w:ascii="宋体" w:eastAsia="宋体" w:hAnsi="宋体"/>
      <w:color w:val="000000"/>
      <w:kern w:val="2"/>
      <w:sz w:val="24"/>
      <w:szCs w:val="24"/>
      <w:lang w:val="en-US" w:eastAsia="zh-CN" w:bidi="ar-SA"/>
    </w:rPr>
  </w:style>
  <w:style w:type="character" w:customStyle="1" w:styleId="zhou11">
    <w:name w:val="zhou11"/>
    <w:rsid w:val="00521C82"/>
    <w:rPr>
      <w:color w:val="000000"/>
      <w:sz w:val="21"/>
      <w:szCs w:val="21"/>
    </w:rPr>
  </w:style>
  <w:style w:type="character" w:customStyle="1" w:styleId="Char4CharCharCharTimesNewRomanChar0">
    <w:name w:val="样式 样式 Char4 Char Char Char + Times New Roman + (符号) 宋体 Char"/>
    <w:link w:val="Char4CharCharCharTimesNewRoman0"/>
    <w:rsid w:val="00521C82"/>
    <w:rPr>
      <w:rFonts w:cs="宋体"/>
      <w:kern w:val="2"/>
      <w:sz w:val="24"/>
      <w:szCs w:val="26"/>
    </w:rPr>
  </w:style>
  <w:style w:type="paragraph" w:customStyle="1" w:styleId="Char4CharCharCharTimesNewRoman0">
    <w:name w:val="样式 样式 Char4 Char Char Char + Times New Roman + (符号) 宋体"/>
    <w:basedOn w:val="a0"/>
    <w:link w:val="Char4CharCharCharTimesNewRomanChar0"/>
    <w:rsid w:val="00521C82"/>
    <w:pPr>
      <w:topLinePunct w:val="0"/>
      <w:snapToGrid w:val="0"/>
      <w:spacing w:line="400" w:lineRule="exact"/>
      <w:ind w:firstLine="480"/>
    </w:pPr>
    <w:rPr>
      <w:rFonts w:ascii="Calibri" w:hAnsi="Calibri"/>
      <w:kern w:val="2"/>
      <w:szCs w:val="26"/>
    </w:rPr>
  </w:style>
  <w:style w:type="character" w:customStyle="1" w:styleId="content3">
    <w:name w:val="content3"/>
    <w:basedOn w:val="a2"/>
    <w:rsid w:val="00521C82"/>
  </w:style>
  <w:style w:type="character" w:customStyle="1" w:styleId="Char19">
    <w:name w:val="普通文字 Char1"/>
    <w:rsid w:val="00521C82"/>
    <w:rPr>
      <w:rFonts w:ascii="宋体" w:eastAsia="宋体" w:hAnsi="Courier New"/>
      <w:kern w:val="2"/>
      <w:sz w:val="21"/>
      <w:lang w:val="en-US" w:eastAsia="zh-CN" w:bidi="ar-SA"/>
    </w:rPr>
  </w:style>
  <w:style w:type="character" w:customStyle="1" w:styleId="apple-converted-space">
    <w:name w:val="apple-converted-space"/>
    <w:basedOn w:val="a2"/>
    <w:rsid w:val="00521C82"/>
  </w:style>
  <w:style w:type="character" w:customStyle="1" w:styleId="18Char">
    <w:name w:val="样式18 Char"/>
    <w:link w:val="180"/>
    <w:rsid w:val="00521C82"/>
    <w:rPr>
      <w:sz w:val="26"/>
      <w:szCs w:val="26"/>
    </w:rPr>
  </w:style>
  <w:style w:type="paragraph" w:customStyle="1" w:styleId="180">
    <w:name w:val="样式18"/>
    <w:basedOn w:val="115"/>
    <w:link w:val="18Char"/>
    <w:rsid w:val="00521C82"/>
    <w:rPr>
      <w:rFonts w:cs="Times New Roman"/>
    </w:rPr>
  </w:style>
  <w:style w:type="character" w:customStyle="1" w:styleId="4Char0">
    <w:name w:val="样式4 Char"/>
    <w:link w:val="41"/>
    <w:rsid w:val="00521C82"/>
    <w:rPr>
      <w:rFonts w:ascii="宋体" w:hAnsi="宋体"/>
      <w:sz w:val="24"/>
    </w:rPr>
  </w:style>
  <w:style w:type="character" w:customStyle="1" w:styleId="shareChar">
    <w:name w:val="share Char"/>
    <w:link w:val="share"/>
    <w:rsid w:val="00521C82"/>
    <w:rPr>
      <w:b/>
      <w:kern w:val="2"/>
      <w:sz w:val="24"/>
      <w:szCs w:val="24"/>
    </w:rPr>
  </w:style>
  <w:style w:type="paragraph" w:customStyle="1" w:styleId="share">
    <w:name w:val="share"/>
    <w:basedOn w:val="a0"/>
    <w:link w:val="shareChar"/>
    <w:rsid w:val="00521C82"/>
    <w:pPr>
      <w:topLinePunct w:val="0"/>
      <w:adjustRightInd/>
      <w:spacing w:line="400" w:lineRule="exact"/>
      <w:ind w:firstLine="482"/>
    </w:pPr>
    <w:rPr>
      <w:rFonts w:ascii="Calibri" w:hAnsi="Calibri" w:cs="Times New Roman"/>
      <w:b/>
      <w:kern w:val="2"/>
    </w:rPr>
  </w:style>
  <w:style w:type="character" w:customStyle="1" w:styleId="2Char7">
    <w:name w:val="正文 首行缩进:  2 字符 Char"/>
    <w:link w:val="2f5"/>
    <w:rsid w:val="00521C82"/>
    <w:rPr>
      <w:kern w:val="2"/>
      <w:sz w:val="28"/>
    </w:rPr>
  </w:style>
  <w:style w:type="paragraph" w:customStyle="1" w:styleId="2f5">
    <w:name w:val="正文 首行缩进:  2 字符"/>
    <w:basedOn w:val="a0"/>
    <w:link w:val="2Char7"/>
    <w:rsid w:val="00521C82"/>
    <w:pPr>
      <w:topLinePunct w:val="0"/>
      <w:adjustRightInd/>
      <w:spacing w:line="240" w:lineRule="auto"/>
      <w:ind w:firstLine="579"/>
    </w:pPr>
    <w:rPr>
      <w:rFonts w:ascii="Calibri" w:hAnsi="Calibri" w:cs="Times New Roman"/>
      <w:kern w:val="2"/>
      <w:sz w:val="28"/>
      <w:szCs w:val="20"/>
    </w:rPr>
  </w:style>
  <w:style w:type="character" w:customStyle="1" w:styleId="Char24">
    <w:name w:val="纯文本 Char2"/>
    <w:rsid w:val="00521C82"/>
    <w:rPr>
      <w:rFonts w:ascii="宋体" w:eastAsia="宋体" w:hAnsi="Courier New"/>
      <w:kern w:val="2"/>
      <w:sz w:val="24"/>
      <w:lang w:val="en-US" w:eastAsia="zh-CN" w:bidi="ar-SA"/>
    </w:rPr>
  </w:style>
  <w:style w:type="character" w:customStyle="1" w:styleId="CharCharf3">
    <w:name w:val="正文文字 Char Char"/>
    <w:rsid w:val="00521C82"/>
    <w:rPr>
      <w:rFonts w:eastAsia="宋体"/>
      <w:kern w:val="2"/>
      <w:sz w:val="26"/>
      <w:szCs w:val="26"/>
      <w:lang w:val="en-US" w:eastAsia="zh-CN" w:bidi="ar-SA"/>
    </w:rPr>
  </w:style>
  <w:style w:type="character" w:customStyle="1" w:styleId="font21">
    <w:name w:val="font21"/>
    <w:basedOn w:val="a2"/>
    <w:rsid w:val="00521C82"/>
    <w:rPr>
      <w:rFonts w:ascii="Times New Roman" w:hAnsi="Times New Roman" w:cs="Times New Roman" w:hint="default"/>
      <w:i w:val="0"/>
      <w:color w:val="000000"/>
      <w:sz w:val="18"/>
      <w:szCs w:val="18"/>
      <w:u w:val="none"/>
    </w:rPr>
  </w:style>
  <w:style w:type="character" w:customStyle="1" w:styleId="20Char">
    <w:name w:val="样式20 Char"/>
    <w:link w:val="201"/>
    <w:rsid w:val="00521C82"/>
    <w:rPr>
      <w:sz w:val="26"/>
      <w:szCs w:val="26"/>
    </w:rPr>
  </w:style>
  <w:style w:type="paragraph" w:customStyle="1" w:styleId="201">
    <w:name w:val="样式20"/>
    <w:basedOn w:val="a0"/>
    <w:link w:val="20Char"/>
    <w:rsid w:val="00521C82"/>
    <w:pPr>
      <w:keepNext/>
      <w:widowControl/>
      <w:tabs>
        <w:tab w:val="left" w:pos="630"/>
      </w:tabs>
      <w:topLinePunct w:val="0"/>
      <w:adjustRightInd/>
      <w:spacing w:line="460" w:lineRule="exact"/>
      <w:ind w:firstLineChars="0" w:firstLine="0"/>
      <w:jc w:val="center"/>
      <w:outlineLvl w:val="5"/>
    </w:pPr>
    <w:rPr>
      <w:rFonts w:ascii="Calibri" w:hAnsi="Calibri" w:cs="Times New Roman"/>
      <w:sz w:val="26"/>
      <w:szCs w:val="26"/>
    </w:rPr>
  </w:style>
  <w:style w:type="paragraph" w:customStyle="1" w:styleId="affffffff3">
    <w:name w:val="章"/>
    <w:basedOn w:val="1150"/>
    <w:next w:val="1d"/>
    <w:rsid w:val="00521C82"/>
    <w:pPr>
      <w:tabs>
        <w:tab w:val="clear" w:pos="2160"/>
      </w:tabs>
      <w:spacing w:beforeLines="0" w:afterLines="0" w:line="360" w:lineRule="auto"/>
    </w:pPr>
    <w:rPr>
      <w:rFonts w:hAnsi="宋体" w:cs="Times New Roman"/>
      <w:bCs w:val="0"/>
      <w:szCs w:val="32"/>
    </w:rPr>
  </w:style>
  <w:style w:type="paragraph" w:customStyle="1" w:styleId="1150">
    <w:name w:val="样式 标题 1 + 段后: 1.5 行"/>
    <w:basedOn w:val="1"/>
    <w:rsid w:val="00521C82"/>
    <w:pPr>
      <w:tabs>
        <w:tab w:val="left" w:pos="2160"/>
      </w:tabs>
      <w:topLinePunct w:val="0"/>
      <w:snapToGrid w:val="0"/>
      <w:spacing w:beforeLines="100" w:beforeAutospacing="0" w:afterLines="100" w:afterAutospacing="0" w:line="460" w:lineRule="exact"/>
      <w:jc w:val="center"/>
    </w:pPr>
    <w:rPr>
      <w:rFonts w:ascii="黑体" w:eastAsia="黑体" w:hAnsi="Arial" w:cs="Arial"/>
      <w:bCs/>
      <w:szCs w:val="20"/>
    </w:rPr>
  </w:style>
  <w:style w:type="paragraph" w:customStyle="1" w:styleId="affffffff4">
    <w:name w:val="中文报告书样式"/>
    <w:basedOn w:val="a0"/>
    <w:rsid w:val="00521C82"/>
    <w:pPr>
      <w:topLinePunct w:val="0"/>
      <w:spacing w:line="480" w:lineRule="atLeast"/>
      <w:ind w:firstLineChars="0" w:firstLine="482"/>
      <w:textAlignment w:val="baseline"/>
    </w:pPr>
    <w:rPr>
      <w:rFonts w:ascii="Times New Roman" w:cs="Times New Roman"/>
      <w:kern w:val="24"/>
      <w:szCs w:val="20"/>
    </w:rPr>
  </w:style>
  <w:style w:type="paragraph" w:customStyle="1" w:styleId="CharCharCharCharCharCharCharCharCharCharCharCharCharCharCharChar">
    <w:name w:val="Char Char Char Char Char Char Char Char Char Char Char Char Char Char Char Char"/>
    <w:basedOn w:val="a0"/>
    <w:next w:val="a0"/>
    <w:rsid w:val="00521C82"/>
    <w:pPr>
      <w:topLinePunct w:val="0"/>
      <w:adjustRightInd/>
    </w:pPr>
    <w:rPr>
      <w:rFonts w:ascii="Times New Roman" w:cs="Times New Roman"/>
      <w:kern w:val="2"/>
      <w:sz w:val="21"/>
    </w:rPr>
  </w:style>
  <w:style w:type="paragraph" w:customStyle="1" w:styleId="affffffff5">
    <w:name w:val="排版正文"/>
    <w:basedOn w:val="a0"/>
    <w:rsid w:val="00521C82"/>
    <w:pPr>
      <w:topLinePunct w:val="0"/>
      <w:snapToGrid w:val="0"/>
      <w:spacing w:line="460" w:lineRule="exact"/>
      <w:ind w:firstLine="560"/>
    </w:pPr>
    <w:rPr>
      <w:rFonts w:ascii="Times New Roman" w:cs="Times New Roman"/>
      <w:color w:val="000000"/>
      <w:kern w:val="2"/>
      <w:sz w:val="28"/>
    </w:rPr>
  </w:style>
  <w:style w:type="paragraph" w:customStyle="1" w:styleId="20015">
    <w:name w:val="样式 标题 2节 + (西文) 宋体 (中文) 宋体 小四 段前: 0 磅 段后: 0 磅 行距: 1.5 倍行距"/>
    <w:basedOn w:val="2"/>
    <w:rsid w:val="00521C82"/>
    <w:pPr>
      <w:topLinePunct w:val="0"/>
      <w:adjustRightInd/>
      <w:spacing w:before="0" w:line="480" w:lineRule="exact"/>
    </w:pPr>
    <w:rPr>
      <w:rFonts w:ascii="黑体" w:eastAsia="黑体" w:hAnsi="宋体"/>
      <w:kern w:val="2"/>
      <w:szCs w:val="28"/>
    </w:rPr>
  </w:style>
  <w:style w:type="paragraph" w:customStyle="1" w:styleId="4CharCharCharCharCharCharCharCharCharCharCharCharCharCharCharCharCharChar">
    <w:name w:val="4 Char Char Char Char Char Char Char Char Char Char Char Char Char Char Char Char Char Char"/>
    <w:basedOn w:val="a0"/>
    <w:semiHidden/>
    <w:rsid w:val="00521C82"/>
    <w:pPr>
      <w:topLinePunct w:val="0"/>
      <w:snapToGrid w:val="0"/>
    </w:pPr>
    <w:rPr>
      <w:rFonts w:hAnsi="宋体"/>
      <w:kern w:val="2"/>
      <w:sz w:val="30"/>
      <w:szCs w:val="30"/>
    </w:rPr>
  </w:style>
  <w:style w:type="paragraph" w:customStyle="1" w:styleId="20025">
    <w:name w:val="样式 标题 2节 + (西文) 宋体 (中文) 宋体 四号 段前: 0 磅 段后: 0 磅 行距: 固定值 25 磅"/>
    <w:basedOn w:val="2"/>
    <w:rsid w:val="00521C82"/>
    <w:pPr>
      <w:topLinePunct w:val="0"/>
      <w:adjustRightInd/>
      <w:spacing w:before="0" w:line="480" w:lineRule="exact"/>
    </w:pPr>
    <w:rPr>
      <w:rFonts w:ascii="宋体" w:eastAsia="黑体" w:hAnsi="宋体"/>
      <w:kern w:val="2"/>
      <w:szCs w:val="28"/>
    </w:rPr>
  </w:style>
  <w:style w:type="paragraph" w:customStyle="1" w:styleId="CharCharCharChar3">
    <w:name w:val="样式 正文缩进首行缩进两字特点 Char正文缩进 Char正文（首行缩进两字） Char正文（首行缩进两字） Char..."/>
    <w:basedOn w:val="a0"/>
    <w:rsid w:val="00521C82"/>
    <w:pPr>
      <w:topLinePunct w:val="0"/>
      <w:adjustRightInd/>
      <w:ind w:firstLine="480"/>
    </w:pPr>
    <w:rPr>
      <w:rFonts w:ascii="Times New Roman" w:cs="Times New Roman"/>
      <w:kern w:val="2"/>
    </w:rPr>
  </w:style>
  <w:style w:type="paragraph" w:customStyle="1" w:styleId="Heading1">
    <w:name w:val="Heading1"/>
    <w:basedOn w:val="a0"/>
    <w:next w:val="a0"/>
    <w:qFormat/>
    <w:rsid w:val="00521C82"/>
    <w:pPr>
      <w:keepNext/>
      <w:keepLines/>
      <w:tabs>
        <w:tab w:val="left" w:pos="1230"/>
      </w:tabs>
      <w:topLinePunct w:val="0"/>
      <w:adjustRightInd/>
      <w:spacing w:before="240" w:after="120" w:line="240" w:lineRule="auto"/>
      <w:ind w:left="1230" w:firstLineChars="0" w:hanging="1230"/>
      <w:jc w:val="center"/>
    </w:pPr>
    <w:rPr>
      <w:rFonts w:ascii="Times New Roman" w:eastAsia="黑体" w:cs="Times New Roman"/>
      <w:b/>
      <w:kern w:val="44"/>
      <w:sz w:val="42"/>
    </w:rPr>
  </w:style>
  <w:style w:type="paragraph" w:customStyle="1" w:styleId="pic-info">
    <w:name w:val="pic-info"/>
    <w:basedOn w:val="a0"/>
    <w:rsid w:val="00521C82"/>
    <w:pPr>
      <w:widowControl/>
      <w:topLinePunct w:val="0"/>
      <w:adjustRightInd/>
      <w:spacing w:before="100" w:beforeAutospacing="1" w:after="100" w:afterAutospacing="1" w:line="240" w:lineRule="auto"/>
      <w:ind w:firstLineChars="0" w:firstLine="0"/>
      <w:jc w:val="left"/>
    </w:pPr>
    <w:rPr>
      <w:rFonts w:hAnsi="宋体"/>
    </w:rPr>
  </w:style>
  <w:style w:type="paragraph" w:customStyle="1" w:styleId="111111111111111111222">
    <w:name w:val="111111111111111111222"/>
    <w:basedOn w:val="a0"/>
    <w:rsid w:val="00521C82"/>
    <w:pPr>
      <w:topLinePunct w:val="0"/>
      <w:adjustRightInd/>
      <w:spacing w:line="440" w:lineRule="exact"/>
      <w:ind w:firstLine="480"/>
    </w:pPr>
    <w:rPr>
      <w:rFonts w:hAnsi="宋体" w:cs="Times New Roman"/>
      <w:kern w:val="2"/>
    </w:rPr>
  </w:style>
  <w:style w:type="paragraph" w:customStyle="1" w:styleId="116">
    <w:name w:val="样式116"/>
    <w:basedOn w:val="92"/>
    <w:rsid w:val="00521C82"/>
    <w:pPr>
      <w:spacing w:line="240" w:lineRule="exact"/>
    </w:pPr>
  </w:style>
  <w:style w:type="paragraph" w:customStyle="1" w:styleId="affffffff6">
    <w:name w:val="报告表正文"/>
    <w:basedOn w:val="a0"/>
    <w:qFormat/>
    <w:rsid w:val="00521C82"/>
    <w:pPr>
      <w:topLinePunct w:val="0"/>
      <w:snapToGrid w:val="0"/>
      <w:spacing w:line="460" w:lineRule="atLeast"/>
      <w:ind w:firstLine="480"/>
    </w:pPr>
    <w:rPr>
      <w:rFonts w:ascii="Times New Roman" w:hAnsi="宋体" w:cs="Times New Roman"/>
      <w:bCs/>
      <w:kern w:val="2"/>
      <w:sz w:val="21"/>
    </w:rPr>
  </w:style>
  <w:style w:type="paragraph" w:customStyle="1" w:styleId="22CharChar214">
    <w:name w:val="样式 样式 标题 2标题节标题 2 Char Char + 段前: 2 行 + 左侧:  1 字符4"/>
    <w:basedOn w:val="22CharChar2"/>
    <w:rsid w:val="00521C82"/>
    <w:pPr>
      <w:spacing w:beforeLines="0" w:after="50"/>
    </w:pPr>
    <w:rPr>
      <w:rFonts w:eastAsia="宋体" w:hAnsi="Times New Roman" w:cs="宋体"/>
      <w:bCs/>
    </w:rPr>
  </w:style>
  <w:style w:type="paragraph" w:customStyle="1" w:styleId="zCharCharChar">
    <w:name w:val="z正文 Char Char Char"/>
    <w:basedOn w:val="a0"/>
    <w:rsid w:val="00521C82"/>
    <w:pPr>
      <w:topLinePunct w:val="0"/>
      <w:adjustRightInd/>
    </w:pPr>
    <w:rPr>
      <w:rFonts w:eastAsia="仿宋_GB2312" w:hAnsi="宋体"/>
      <w:kern w:val="2"/>
      <w:sz w:val="28"/>
      <w:szCs w:val="28"/>
    </w:rPr>
  </w:style>
  <w:style w:type="paragraph" w:customStyle="1" w:styleId="affffffff7">
    <w:name w:val="表文排版"/>
    <w:basedOn w:val="a1"/>
    <w:next w:val="a0"/>
    <w:qFormat/>
    <w:rsid w:val="00521C82"/>
    <w:pPr>
      <w:topLinePunct w:val="0"/>
      <w:snapToGrid w:val="0"/>
      <w:spacing w:line="240" w:lineRule="auto"/>
      <w:ind w:firstLineChars="0" w:firstLine="0"/>
      <w:jc w:val="center"/>
    </w:pPr>
    <w:rPr>
      <w:rFonts w:ascii="Times New Roman" w:cs="Times New Roman"/>
      <w:kern w:val="2"/>
      <w:sz w:val="22"/>
    </w:rPr>
  </w:style>
  <w:style w:type="paragraph" w:customStyle="1" w:styleId="UserStyle3">
    <w:name w:val="UserStyle_3"/>
    <w:basedOn w:val="Heading2"/>
    <w:next w:val="a0"/>
    <w:qFormat/>
    <w:rsid w:val="00521C82"/>
    <w:pPr>
      <w:keepLines/>
      <w:snapToGrid w:val="0"/>
      <w:spacing w:line="460" w:lineRule="exact"/>
      <w:ind w:firstLineChars="200" w:firstLine="200"/>
    </w:pPr>
    <w:rPr>
      <w:rFonts w:ascii="Times New Roman"/>
      <w:sz w:val="26"/>
      <w:szCs w:val="20"/>
    </w:rPr>
  </w:style>
  <w:style w:type="paragraph" w:customStyle="1" w:styleId="Heading2">
    <w:name w:val="Heading2"/>
    <w:basedOn w:val="a0"/>
    <w:next w:val="a0"/>
    <w:rsid w:val="00521C82"/>
    <w:pPr>
      <w:keepNext/>
      <w:topLinePunct w:val="0"/>
      <w:adjustRightInd/>
      <w:spacing w:before="156" w:line="440" w:lineRule="exact"/>
      <w:ind w:firstLineChars="196" w:firstLine="472"/>
    </w:pPr>
    <w:rPr>
      <w:rFonts w:ascii="Arial" w:eastAsia="黑体" w:hAnsi="Arial" w:cs="Times New Roman"/>
      <w:b/>
      <w:color w:val="000000"/>
      <w:kern w:val="2"/>
    </w:rPr>
  </w:style>
  <w:style w:type="paragraph" w:customStyle="1" w:styleId="3c">
    <w:name w:val="样式 标题 3 + 四号"/>
    <w:basedOn w:val="3"/>
    <w:rsid w:val="00521C82"/>
    <w:pPr>
      <w:topLinePunct w:val="0"/>
      <w:adjustRightInd/>
      <w:spacing w:before="100" w:after="100" w:line="460" w:lineRule="exact"/>
    </w:pPr>
    <w:rPr>
      <w:rFonts w:ascii="宋体" w:eastAsia="宋体" w:hAnsi="宋体"/>
      <w:b w:val="0"/>
      <w:bCs/>
      <w:kern w:val="2"/>
      <w:sz w:val="26"/>
      <w:szCs w:val="28"/>
    </w:rPr>
  </w:style>
  <w:style w:type="paragraph" w:customStyle="1" w:styleId="NormalIndent">
    <w:name w:val="NormalIndent"/>
    <w:basedOn w:val="a0"/>
    <w:next w:val="a0"/>
    <w:rsid w:val="00521C82"/>
    <w:pPr>
      <w:topLinePunct w:val="0"/>
      <w:adjustRightInd/>
      <w:spacing w:line="240" w:lineRule="auto"/>
      <w:ind w:firstLine="420"/>
    </w:pPr>
    <w:rPr>
      <w:rFonts w:ascii="Times New Roman" w:cs="Times New Roman"/>
      <w:kern w:val="2"/>
      <w:sz w:val="21"/>
    </w:rPr>
  </w:style>
  <w:style w:type="paragraph" w:customStyle="1" w:styleId="BodyText21">
    <w:name w:val="Body Text 21"/>
    <w:basedOn w:val="a0"/>
    <w:rsid w:val="00521C82"/>
    <w:pPr>
      <w:topLinePunct w:val="0"/>
      <w:snapToGrid w:val="0"/>
      <w:spacing w:line="312" w:lineRule="auto"/>
      <w:ind w:firstLineChars="0" w:firstLine="0"/>
      <w:textAlignment w:val="baseline"/>
    </w:pPr>
    <w:rPr>
      <w:rFonts w:ascii="Times New Roman" w:cs="Times New Roman"/>
      <w:sz w:val="28"/>
      <w:szCs w:val="20"/>
    </w:rPr>
  </w:style>
  <w:style w:type="paragraph" w:customStyle="1" w:styleId="2SLCON2">
    <w:name w:val="样式 正文 首行缩进:  2 字符 SL CON + 首行缩进:  2 字符"/>
    <w:basedOn w:val="2SLCON"/>
    <w:qFormat/>
    <w:rsid w:val="00521C82"/>
    <w:pPr>
      <w:ind w:firstLine="480"/>
    </w:pPr>
    <w:rPr>
      <w:szCs w:val="21"/>
    </w:rPr>
  </w:style>
  <w:style w:type="paragraph" w:customStyle="1" w:styleId="2SLCON">
    <w:name w:val="正文 首行缩进:  2 字符 SL CON"/>
    <w:basedOn w:val="a0"/>
    <w:qFormat/>
    <w:rsid w:val="00521C82"/>
    <w:pPr>
      <w:widowControl/>
      <w:tabs>
        <w:tab w:val="left" w:pos="377"/>
      </w:tabs>
      <w:topLinePunct w:val="0"/>
      <w:adjustRightInd/>
    </w:pPr>
  </w:style>
  <w:style w:type="paragraph" w:customStyle="1" w:styleId="affffffff8">
    <w:name w:val="何家沟正文"/>
    <w:basedOn w:val="a0"/>
    <w:qFormat/>
    <w:rsid w:val="00521C82"/>
    <w:pPr>
      <w:topLinePunct w:val="0"/>
      <w:adjustRightInd/>
      <w:ind w:firstLine="460"/>
    </w:pPr>
    <w:rPr>
      <w:rFonts w:ascii="Times New Roman" w:hAnsi="宋体"/>
      <w:kern w:val="2"/>
      <w:sz w:val="23"/>
      <w:szCs w:val="23"/>
    </w:rPr>
  </w:style>
  <w:style w:type="paragraph" w:customStyle="1" w:styleId="200150">
    <w:name w:val="样式 标题 2节 + (西文) 宋体 (中文) 宋体 四号 段前: 0 磅 段后: 0 磅 行距: 1.5 倍行距"/>
    <w:basedOn w:val="2"/>
    <w:rsid w:val="00521C82"/>
    <w:pPr>
      <w:topLinePunct w:val="0"/>
      <w:adjustRightInd/>
      <w:spacing w:before="0" w:line="500" w:lineRule="exact"/>
    </w:pPr>
    <w:rPr>
      <w:rFonts w:ascii="宋体" w:hAnsi="宋体"/>
      <w:kern w:val="2"/>
      <w:szCs w:val="28"/>
    </w:rPr>
  </w:style>
  <w:style w:type="paragraph" w:customStyle="1" w:styleId="22CharChar22051">
    <w:name w:val="样式 样式 标题 2标题节标题 2 Char Char + 段前: 2 行 + 首行缩进:  2 字符 段前: 0.5 行 ...1"/>
    <w:basedOn w:val="22CharChar2"/>
    <w:next w:val="a0"/>
    <w:rsid w:val="00521C82"/>
    <w:pPr>
      <w:spacing w:beforeLines="0" w:line="240" w:lineRule="auto"/>
      <w:ind w:firstLine="482"/>
    </w:pPr>
    <w:rPr>
      <w:rFonts w:ascii="Arial"/>
      <w:bCs/>
      <w:sz w:val="24"/>
      <w:szCs w:val="24"/>
    </w:rPr>
  </w:style>
  <w:style w:type="paragraph" w:customStyle="1" w:styleId="affffffff9">
    <w:name w:val="正文(首行缩进)"/>
    <w:basedOn w:val="a0"/>
    <w:rsid w:val="00521C82"/>
    <w:pPr>
      <w:topLinePunct w:val="0"/>
      <w:adjustRightInd/>
      <w:ind w:firstLineChars="0" w:firstLine="510"/>
    </w:pPr>
    <w:rPr>
      <w:rFonts w:hAnsi="宋体" w:cs="Times New Roman"/>
      <w:snapToGrid w:val="0"/>
      <w:szCs w:val="20"/>
    </w:rPr>
  </w:style>
  <w:style w:type="paragraph" w:customStyle="1" w:styleId="1fc">
    <w:name w:val="标书标题1"/>
    <w:basedOn w:val="1"/>
    <w:rsid w:val="00521C82"/>
    <w:pPr>
      <w:keepNext w:val="0"/>
      <w:keepLines w:val="0"/>
      <w:tabs>
        <w:tab w:val="left" w:pos="360"/>
      </w:tabs>
      <w:topLinePunct w:val="0"/>
      <w:snapToGrid w:val="0"/>
      <w:spacing w:beforeLines="100" w:beforeAutospacing="0" w:afterLines="100" w:afterAutospacing="0" w:line="460" w:lineRule="exact"/>
      <w:ind w:left="284" w:hanging="284"/>
      <w:jc w:val="center"/>
    </w:pPr>
    <w:rPr>
      <w:rFonts w:ascii="Arial Narrow" w:eastAsia="黑体" w:hAnsi="Arial Narrow"/>
      <w:b w:val="0"/>
      <w:snapToGrid w:val="0"/>
      <w:kern w:val="0"/>
      <w:sz w:val="30"/>
    </w:rPr>
  </w:style>
  <w:style w:type="paragraph" w:customStyle="1" w:styleId="Char210">
    <w:name w:val="Char21"/>
    <w:basedOn w:val="a0"/>
    <w:rsid w:val="00521C82"/>
    <w:pPr>
      <w:topLinePunct w:val="0"/>
      <w:adjustRightInd/>
    </w:pPr>
    <w:rPr>
      <w:rFonts w:ascii="Times New Roman" w:cs="Times New Roman"/>
      <w:kern w:val="2"/>
      <w:sz w:val="30"/>
      <w:szCs w:val="20"/>
    </w:rPr>
  </w:style>
  <w:style w:type="paragraph" w:customStyle="1" w:styleId="217">
    <w:name w:val="样式 首行缩进:  2 字符1"/>
    <w:basedOn w:val="a0"/>
    <w:rsid w:val="00521C82"/>
    <w:pPr>
      <w:topLinePunct w:val="0"/>
      <w:adjustRightInd/>
      <w:spacing w:before="120" w:line="440" w:lineRule="atLeast"/>
      <w:ind w:firstLineChars="207" w:firstLine="497"/>
    </w:pPr>
    <w:rPr>
      <w:rFonts w:ascii="Arial" w:hAnsi="宋体" w:cs="Arial"/>
      <w:kern w:val="2"/>
    </w:rPr>
  </w:style>
  <w:style w:type="paragraph" w:customStyle="1" w:styleId="22CharChar205051">
    <w:name w:val="样式 样式 标题 2标题节标题 2 Char Char + 段前: 2 行 + 段前: 0.5 行 段后: 0.5 行1"/>
    <w:basedOn w:val="22CharChar2"/>
    <w:rsid w:val="00521C82"/>
  </w:style>
  <w:style w:type="paragraph" w:customStyle="1" w:styleId="a30">
    <w:name w:val="a3"/>
    <w:basedOn w:val="a0"/>
    <w:rsid w:val="00521C82"/>
    <w:pPr>
      <w:topLinePunct w:val="0"/>
      <w:adjustRightInd/>
      <w:spacing w:line="288" w:lineRule="auto"/>
      <w:ind w:firstLineChars="0" w:firstLine="0"/>
      <w:jc w:val="center"/>
    </w:pPr>
    <w:rPr>
      <w:rFonts w:ascii="Times New Roman" w:cs="Times New Roman"/>
      <w:kern w:val="2"/>
      <w:sz w:val="21"/>
    </w:rPr>
  </w:style>
  <w:style w:type="paragraph" w:customStyle="1" w:styleId="22CharChar213">
    <w:name w:val="样式 样式 标题 2标题节标题 2 Char Char + 段前: 2 行 + 左侧:  1 字符3"/>
    <w:basedOn w:val="22CharChar2"/>
    <w:rsid w:val="00521C82"/>
    <w:pPr>
      <w:spacing w:beforeLines="0" w:after="50"/>
    </w:pPr>
    <w:rPr>
      <w:rFonts w:eastAsia="宋体" w:hAnsi="Times New Roman" w:cs="宋体"/>
      <w:bCs/>
    </w:rPr>
  </w:style>
  <w:style w:type="paragraph" w:customStyle="1" w:styleId="46">
    <w:name w:val="标书标题4"/>
    <w:basedOn w:val="4"/>
    <w:rsid w:val="00521C82"/>
    <w:pPr>
      <w:widowControl w:val="0"/>
      <w:tabs>
        <w:tab w:val="left" w:pos="851"/>
      </w:tabs>
      <w:spacing w:beforeLines="0" w:line="300" w:lineRule="auto"/>
      <w:ind w:left="851" w:firstLineChars="200" w:hanging="851"/>
      <w:jc w:val="both"/>
    </w:pPr>
    <w:rPr>
      <w:rFonts w:ascii="Arial Narrow" w:eastAsia="仿宋_GB2312" w:hAnsi="Arial Narrow"/>
      <w:kern w:val="0"/>
      <w:szCs w:val="20"/>
    </w:rPr>
  </w:style>
  <w:style w:type="paragraph" w:customStyle="1" w:styleId="Char4CharCharChar2">
    <w:name w:val="Char4 Char Char Char2"/>
    <w:basedOn w:val="a0"/>
    <w:semiHidden/>
    <w:rsid w:val="00521C82"/>
    <w:pPr>
      <w:topLinePunct w:val="0"/>
      <w:snapToGrid w:val="0"/>
    </w:pPr>
    <w:rPr>
      <w:rFonts w:hAnsi="宋体"/>
      <w:kern w:val="2"/>
      <w:szCs w:val="26"/>
    </w:rPr>
  </w:style>
  <w:style w:type="paragraph" w:customStyle="1" w:styleId="3d">
    <w:name w:val="标书标题3"/>
    <w:basedOn w:val="3"/>
    <w:rsid w:val="00521C82"/>
    <w:pPr>
      <w:keepNext w:val="0"/>
      <w:keepLines w:val="0"/>
      <w:topLinePunct w:val="0"/>
      <w:snapToGrid w:val="0"/>
      <w:spacing w:before="120" w:after="60" w:line="300" w:lineRule="auto"/>
      <w:ind w:firstLineChars="200" w:firstLine="522"/>
    </w:pPr>
    <w:rPr>
      <w:rFonts w:ascii="宋体" w:eastAsia="宋体" w:hAnsi="宋体"/>
      <w:bCs/>
      <w:color w:val="000000"/>
      <w:sz w:val="26"/>
      <w:szCs w:val="26"/>
    </w:rPr>
  </w:style>
  <w:style w:type="paragraph" w:customStyle="1" w:styleId="A222">
    <w:name w:val="样式 样式 样式 样式 样式 正文A + 首行缩进:  2 字符 + 首行缩进:  2 字符 + 两端对齐 首行缩进:  2 字..."/>
    <w:basedOn w:val="a0"/>
    <w:rsid w:val="00521C82"/>
    <w:pPr>
      <w:tabs>
        <w:tab w:val="left" w:pos="578"/>
        <w:tab w:val="left" w:pos="1074"/>
        <w:tab w:val="left" w:pos="1595"/>
        <w:tab w:val="left" w:pos="2073"/>
        <w:tab w:val="left" w:pos="2507"/>
        <w:tab w:val="left" w:pos="3025"/>
        <w:tab w:val="left" w:pos="3991"/>
      </w:tabs>
      <w:topLinePunct w:val="0"/>
      <w:adjustRightInd/>
      <w:ind w:firstLine="480"/>
    </w:pPr>
    <w:rPr>
      <w:rFonts w:ascii="Times New Roman"/>
      <w:szCs w:val="20"/>
    </w:rPr>
  </w:style>
  <w:style w:type="paragraph" w:customStyle="1" w:styleId="2f6">
    <w:name w:val="标书标题2"/>
    <w:basedOn w:val="2"/>
    <w:rsid w:val="00521C82"/>
    <w:pPr>
      <w:keepNext w:val="0"/>
      <w:keepLines w:val="0"/>
      <w:tabs>
        <w:tab w:val="left" w:pos="574"/>
      </w:tabs>
      <w:topLinePunct w:val="0"/>
      <w:snapToGrid w:val="0"/>
      <w:spacing w:after="120" w:line="300" w:lineRule="auto"/>
      <w:ind w:firstLineChars="200" w:firstLine="200"/>
      <w:jc w:val="left"/>
    </w:pPr>
    <w:rPr>
      <w:rFonts w:ascii="Arial Narrow" w:hAnsi="Arial Narrow" w:cs="Times New Roman"/>
      <w:bCs w:val="0"/>
    </w:rPr>
  </w:style>
  <w:style w:type="paragraph" w:customStyle="1" w:styleId="ygs">
    <w:name w:val="ygs正文"/>
    <w:basedOn w:val="a0"/>
    <w:rsid w:val="00521C82"/>
    <w:pPr>
      <w:topLinePunct w:val="0"/>
      <w:adjustRightInd/>
      <w:spacing w:line="440" w:lineRule="exact"/>
      <w:ind w:firstLine="480"/>
    </w:pPr>
    <w:rPr>
      <w:rFonts w:hAnsi="宋体" w:cs="Times New Roman"/>
      <w:bCs/>
      <w:kern w:val="2"/>
    </w:rPr>
  </w:style>
  <w:style w:type="paragraph" w:customStyle="1" w:styleId="CharCharCharCharChar2Char">
    <w:name w:val="Char Char Char Char Char2 Char"/>
    <w:basedOn w:val="a0"/>
    <w:rsid w:val="00521C82"/>
    <w:pPr>
      <w:topLinePunct w:val="0"/>
      <w:snapToGrid w:val="0"/>
    </w:pPr>
    <w:rPr>
      <w:rFonts w:hAnsi="宋体"/>
      <w:kern w:val="2"/>
      <w:szCs w:val="26"/>
    </w:rPr>
  </w:style>
  <w:style w:type="paragraph" w:customStyle="1" w:styleId="declear">
    <w:name w:val="declear"/>
    <w:basedOn w:val="a0"/>
    <w:rsid w:val="00521C82"/>
    <w:pPr>
      <w:widowControl/>
      <w:topLinePunct w:val="0"/>
      <w:adjustRightInd/>
      <w:spacing w:before="100" w:beforeAutospacing="1" w:after="100" w:afterAutospacing="1" w:line="240" w:lineRule="auto"/>
      <w:ind w:firstLineChars="0" w:firstLine="0"/>
      <w:jc w:val="left"/>
    </w:pPr>
    <w:rPr>
      <w:rFonts w:hAnsi="宋体"/>
    </w:rPr>
  </w:style>
  <w:style w:type="paragraph" w:customStyle="1" w:styleId="affffffffa">
    <w:name w:val="正 文"/>
    <w:basedOn w:val="a0"/>
    <w:qFormat/>
    <w:rsid w:val="00521C82"/>
    <w:pPr>
      <w:topLinePunct w:val="0"/>
      <w:adjustRightInd/>
      <w:spacing w:line="440" w:lineRule="exact"/>
      <w:ind w:firstLineChars="0" w:firstLine="0"/>
    </w:pPr>
    <w:rPr>
      <w:rFonts w:ascii="Times New Roman" w:hAnsi="宋体" w:cs="Times New Roman"/>
      <w:kern w:val="2"/>
      <w:sz w:val="21"/>
    </w:rPr>
  </w:style>
  <w:style w:type="paragraph" w:customStyle="1" w:styleId="1fd">
    <w:name w:val="正文   1"/>
    <w:basedOn w:val="a0"/>
    <w:qFormat/>
    <w:rsid w:val="00521C82"/>
    <w:pPr>
      <w:topLinePunct w:val="0"/>
      <w:adjustRightInd/>
      <w:snapToGrid w:val="0"/>
      <w:spacing w:line="460" w:lineRule="atLeast"/>
      <w:ind w:firstLine="520"/>
    </w:pPr>
    <w:rPr>
      <w:rFonts w:ascii="Times New Roman" w:cs="Times New Roman"/>
      <w:bCs/>
      <w:kern w:val="2"/>
      <w:sz w:val="26"/>
    </w:rPr>
  </w:style>
  <w:style w:type="paragraph" w:customStyle="1" w:styleId="affffffffb">
    <w:name w:val="表格中的文字"/>
    <w:basedOn w:val="a0"/>
    <w:qFormat/>
    <w:rsid w:val="00521C82"/>
    <w:pPr>
      <w:topLinePunct w:val="0"/>
      <w:adjustRightInd/>
      <w:snapToGrid w:val="0"/>
      <w:spacing w:line="240" w:lineRule="auto"/>
      <w:ind w:firstLineChars="0" w:firstLine="0"/>
      <w:jc w:val="center"/>
    </w:pPr>
    <w:rPr>
      <w:rFonts w:ascii="Times New Roman" w:cs="Times New Roman"/>
      <w:kern w:val="2"/>
      <w:sz w:val="21"/>
      <w:szCs w:val="22"/>
    </w:rPr>
  </w:style>
  <w:style w:type="paragraph" w:customStyle="1" w:styleId="63">
    <w:name w:val="6表格"/>
    <w:basedOn w:val="a0"/>
    <w:rsid w:val="00521C82"/>
    <w:pPr>
      <w:topLinePunct w:val="0"/>
      <w:snapToGrid w:val="0"/>
      <w:spacing w:before="120" w:line="240" w:lineRule="auto"/>
      <w:ind w:firstLineChars="0" w:firstLine="0"/>
      <w:jc w:val="center"/>
    </w:pPr>
    <w:rPr>
      <w:rFonts w:ascii="Times New Roman" w:cs="Times New Roman"/>
      <w:sz w:val="21"/>
      <w:szCs w:val="20"/>
    </w:rPr>
  </w:style>
  <w:style w:type="paragraph" w:customStyle="1" w:styleId="CharChar2CharCharCharCharCharChar">
    <w:name w:val="Char Char2 Char Char Char Char Char Char"/>
    <w:basedOn w:val="a0"/>
    <w:semiHidden/>
    <w:rsid w:val="00521C82"/>
    <w:pPr>
      <w:topLinePunct w:val="0"/>
      <w:snapToGrid w:val="0"/>
    </w:pPr>
    <w:rPr>
      <w:rFonts w:ascii="Times New Roman"/>
      <w:kern w:val="2"/>
      <w:szCs w:val="26"/>
    </w:rPr>
  </w:style>
  <w:style w:type="paragraph" w:customStyle="1" w:styleId="22CharChar2111">
    <w:name w:val="样式 样式 标题 2标题节标题 2 Char Char + 段前: 2 行 + 左侧:  1 字符 右侧:  1 字符1"/>
    <w:basedOn w:val="22CharChar2"/>
    <w:rsid w:val="00521C82"/>
    <w:pPr>
      <w:spacing w:beforeLines="0" w:after="50"/>
    </w:pPr>
    <w:rPr>
      <w:rFonts w:eastAsia="宋体" w:hAnsi="Times New Roman" w:cs="宋体"/>
      <w:bCs/>
    </w:rPr>
  </w:style>
  <w:style w:type="paragraph" w:customStyle="1" w:styleId="190">
    <w:name w:val="样式19"/>
    <w:basedOn w:val="a0"/>
    <w:rsid w:val="00521C82"/>
    <w:pPr>
      <w:keepNext/>
      <w:keepLines/>
      <w:widowControl/>
      <w:topLinePunct w:val="0"/>
      <w:snapToGrid w:val="0"/>
      <w:spacing w:line="460" w:lineRule="exact"/>
      <w:ind w:firstLineChars="0" w:firstLine="0"/>
      <w:jc w:val="left"/>
      <w:textAlignment w:val="baseline"/>
      <w:outlineLvl w:val="2"/>
    </w:pPr>
    <w:rPr>
      <w:rFonts w:ascii="Times New Roman" w:cs="Times New Roman"/>
      <w:b/>
      <w:sz w:val="26"/>
      <w:szCs w:val="26"/>
    </w:rPr>
  </w:style>
  <w:style w:type="paragraph" w:customStyle="1" w:styleId="22CharChar212">
    <w:name w:val="样式 样式 标题 2标题节标题 2 Char Char + 段前: 2 行 + 左侧:  1 字符2"/>
    <w:basedOn w:val="22CharChar2"/>
    <w:rsid w:val="00521C82"/>
    <w:pPr>
      <w:spacing w:beforeLines="0" w:after="50"/>
    </w:pPr>
    <w:rPr>
      <w:rFonts w:eastAsia="宋体" w:hAnsi="Times New Roman" w:cs="宋体"/>
      <w:bCs/>
    </w:rPr>
  </w:style>
  <w:style w:type="paragraph" w:customStyle="1" w:styleId="b">
    <w:name w:val="b"/>
    <w:basedOn w:val="2"/>
    <w:rsid w:val="00521C82"/>
    <w:pPr>
      <w:keepNext w:val="0"/>
      <w:keepLines w:val="0"/>
      <w:widowControl/>
      <w:topLinePunct w:val="0"/>
      <w:snapToGrid w:val="0"/>
      <w:spacing w:beforeLines="50" w:afterLines="50" w:line="240" w:lineRule="auto"/>
      <w:textAlignment w:val="baseline"/>
    </w:pPr>
    <w:rPr>
      <w:rFonts w:eastAsia="仿宋_GB2312" w:cs="Times New Roman"/>
      <w:color w:val="000000"/>
      <w:sz w:val="32"/>
    </w:rPr>
  </w:style>
  <w:style w:type="paragraph" w:customStyle="1" w:styleId="2CharCharCharCharCharCharChar">
    <w:name w:val="样式 正文缩进正文缩进2正文缩进 Char Char正文缩进 Char Char Char Char正文缩进 Char ..."/>
    <w:basedOn w:val="aff8"/>
    <w:qFormat/>
    <w:rsid w:val="00521C82"/>
    <w:pPr>
      <w:spacing w:line="360" w:lineRule="auto"/>
      <w:ind w:firstLine="200"/>
    </w:pPr>
    <w:rPr>
      <w:rFonts w:ascii="Times New Roman" w:hAnsi="Times New Roman" w:cs="宋体"/>
      <w:kern w:val="2"/>
      <w:sz w:val="24"/>
      <w:szCs w:val="24"/>
    </w:rPr>
  </w:style>
  <w:style w:type="paragraph" w:customStyle="1" w:styleId="123">
    <w:name w:val="123"/>
    <w:basedOn w:val="a0"/>
    <w:next w:val="a0"/>
    <w:rsid w:val="00521C82"/>
    <w:pPr>
      <w:topLinePunct w:val="0"/>
      <w:adjustRightInd/>
      <w:ind w:firstLine="562"/>
    </w:pPr>
    <w:rPr>
      <w:rFonts w:ascii="Times New Roman" w:cs="Times New Roman"/>
      <w:b/>
      <w:bCs/>
      <w:color w:val="000000"/>
      <w:kern w:val="2"/>
      <w:sz w:val="28"/>
    </w:rPr>
  </w:style>
  <w:style w:type="paragraph" w:customStyle="1" w:styleId="1323">
    <w:name w:val="样式 13 磅 行距: 固定值 23 磅"/>
    <w:basedOn w:val="a0"/>
    <w:rsid w:val="00521C82"/>
    <w:pPr>
      <w:topLinePunct w:val="0"/>
      <w:adjustRightInd/>
      <w:spacing w:line="460" w:lineRule="exact"/>
      <w:ind w:firstLine="520"/>
    </w:pPr>
    <w:rPr>
      <w:rFonts w:ascii="Times New Roman" w:cs="Times New Roman"/>
      <w:kern w:val="2"/>
      <w:sz w:val="26"/>
      <w:szCs w:val="20"/>
    </w:rPr>
  </w:style>
  <w:style w:type="paragraph" w:customStyle="1" w:styleId="6565656">
    <w:name w:val="样式6565656"/>
    <w:basedOn w:val="a0"/>
    <w:qFormat/>
    <w:rsid w:val="00521C82"/>
    <w:pPr>
      <w:topLinePunct w:val="0"/>
      <w:snapToGrid w:val="0"/>
      <w:spacing w:line="460" w:lineRule="atLeast"/>
      <w:ind w:firstLine="480"/>
    </w:pPr>
    <w:rPr>
      <w:rFonts w:ascii="Times New Roman" w:cs="Times New Roman"/>
      <w:bCs/>
      <w:kern w:val="2"/>
      <w:sz w:val="21"/>
    </w:rPr>
  </w:style>
  <w:style w:type="paragraph" w:customStyle="1" w:styleId="22CharChar20505">
    <w:name w:val="样式 样式 标题 2标题节标题 2 Char Char + 段前: 2 行 + 段前: 0.5 行 段后: 0.5 行"/>
    <w:basedOn w:val="22CharChar2"/>
    <w:next w:val="a0"/>
    <w:rsid w:val="00521C82"/>
    <w:pPr>
      <w:spacing w:beforeLines="0" w:after="120"/>
    </w:pPr>
    <w:rPr>
      <w:rFonts w:eastAsia="宋体" w:hAnsi="Times New Roman" w:cs="宋体"/>
      <w:bCs/>
    </w:rPr>
  </w:style>
  <w:style w:type="paragraph" w:customStyle="1" w:styleId="affffffffc">
    <w:name w:val="二级标题"/>
    <w:basedOn w:val="a0"/>
    <w:next w:val="a0"/>
    <w:rsid w:val="00521C82"/>
    <w:pPr>
      <w:topLinePunct w:val="0"/>
      <w:snapToGrid w:val="0"/>
      <w:spacing w:beforeLines="50" w:afterLines="50" w:line="460" w:lineRule="exact"/>
      <w:ind w:firstLineChars="0" w:firstLine="0"/>
      <w:outlineLvl w:val="1"/>
    </w:pPr>
    <w:rPr>
      <w:rFonts w:ascii="Times New Roman" w:cs="Times New Roman"/>
      <w:b/>
      <w:bCs/>
      <w:kern w:val="2"/>
      <w:sz w:val="30"/>
      <w:szCs w:val="30"/>
    </w:rPr>
  </w:style>
  <w:style w:type="paragraph" w:customStyle="1" w:styleId="0858">
    <w:name w:val="样式 首行缩进:  0.85 厘米8"/>
    <w:basedOn w:val="a0"/>
    <w:rsid w:val="00521C82"/>
    <w:pPr>
      <w:topLinePunct w:val="0"/>
      <w:snapToGrid w:val="0"/>
      <w:spacing w:line="288" w:lineRule="auto"/>
      <w:ind w:firstLine="482"/>
    </w:pPr>
    <w:rPr>
      <w:rFonts w:ascii="Times New Roman"/>
      <w:kern w:val="2"/>
      <w:szCs w:val="26"/>
    </w:rPr>
  </w:style>
  <w:style w:type="paragraph" w:customStyle="1" w:styleId="CharCharCharCharCharChar1Char">
    <w:name w:val="Char Char Char Char Char Char1 Char"/>
    <w:basedOn w:val="a0"/>
    <w:rsid w:val="00521C82"/>
    <w:pPr>
      <w:widowControl/>
      <w:topLinePunct w:val="0"/>
      <w:adjustRightInd/>
      <w:spacing w:after="160" w:line="240" w:lineRule="exact"/>
      <w:ind w:firstLineChars="0" w:firstLine="0"/>
      <w:jc w:val="left"/>
    </w:pPr>
    <w:rPr>
      <w:rFonts w:ascii="Times New Roman" w:cs="Times New Roman"/>
      <w:kern w:val="2"/>
      <w:sz w:val="21"/>
    </w:rPr>
  </w:style>
  <w:style w:type="paragraph" w:customStyle="1" w:styleId="CharCharChar3CharCharChar2Char">
    <w:name w:val="Char Char Char3 Char Char Char2 Char"/>
    <w:basedOn w:val="a0"/>
    <w:semiHidden/>
    <w:rsid w:val="00521C82"/>
    <w:pPr>
      <w:topLinePunct w:val="0"/>
      <w:snapToGrid w:val="0"/>
    </w:pPr>
    <w:rPr>
      <w:rFonts w:hAnsi="宋体"/>
      <w:kern w:val="2"/>
      <w:szCs w:val="26"/>
    </w:rPr>
  </w:style>
  <w:style w:type="paragraph" w:customStyle="1" w:styleId="affffffffd">
    <w:name w:val="编号正文"/>
    <w:basedOn w:val="a0"/>
    <w:rsid w:val="00521C82"/>
    <w:pPr>
      <w:tabs>
        <w:tab w:val="left" w:pos="1260"/>
      </w:tabs>
      <w:topLinePunct w:val="0"/>
      <w:snapToGrid w:val="0"/>
      <w:spacing w:afterLines="50" w:line="300" w:lineRule="auto"/>
      <w:ind w:left="1260" w:hanging="806"/>
    </w:pPr>
    <w:rPr>
      <w:rFonts w:ascii="Arial Narrow" w:eastAsia="仿宋_GB2312" w:hAnsi="Arial Narrow" w:cs="Times New Roman"/>
      <w:kern w:val="2"/>
      <w:sz w:val="28"/>
      <w:szCs w:val="28"/>
    </w:rPr>
  </w:style>
  <w:style w:type="paragraph" w:customStyle="1" w:styleId="Char40">
    <w:name w:val="Char4"/>
    <w:basedOn w:val="a0"/>
    <w:rsid w:val="00521C82"/>
    <w:pPr>
      <w:topLinePunct w:val="0"/>
      <w:adjustRightInd/>
      <w:spacing w:line="240" w:lineRule="auto"/>
      <w:ind w:firstLineChars="0" w:firstLine="0"/>
    </w:pPr>
    <w:rPr>
      <w:rFonts w:ascii="Times New Roman" w:cs="Times New Roman"/>
      <w:kern w:val="2"/>
      <w:sz w:val="21"/>
    </w:rPr>
  </w:style>
  <w:style w:type="paragraph" w:customStyle="1" w:styleId="affffffffe">
    <w:name w:val="表格文字居中"/>
    <w:basedOn w:val="a0"/>
    <w:next w:val="a0"/>
    <w:rsid w:val="00521C82"/>
    <w:pPr>
      <w:topLinePunct w:val="0"/>
      <w:snapToGrid w:val="0"/>
      <w:spacing w:line="460" w:lineRule="exact"/>
      <w:jc w:val="center"/>
    </w:pPr>
    <w:rPr>
      <w:rFonts w:ascii="Times New Roman" w:cs="Times New Roman"/>
      <w:color w:val="000000"/>
      <w:kern w:val="2"/>
      <w:sz w:val="22"/>
      <w:szCs w:val="22"/>
    </w:rPr>
  </w:style>
  <w:style w:type="paragraph" w:customStyle="1" w:styleId="2TimesNewRoman">
    <w:name w:val="样式 标题 2 + Times New Roman 非加粗"/>
    <w:basedOn w:val="2"/>
    <w:qFormat/>
    <w:rsid w:val="00521C82"/>
    <w:pPr>
      <w:keepLines w:val="0"/>
      <w:topLinePunct w:val="0"/>
      <w:adjustRightInd/>
      <w:spacing w:beforeLines="50" w:line="240" w:lineRule="auto"/>
      <w:ind w:firstLineChars="196" w:firstLine="472"/>
    </w:pPr>
    <w:rPr>
      <w:rFonts w:eastAsia="黑体" w:cs="Times New Roman"/>
      <w:b w:val="0"/>
      <w:bCs w:val="0"/>
      <w:color w:val="000000"/>
      <w:kern w:val="2"/>
      <w:sz w:val="24"/>
      <w:szCs w:val="24"/>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a0"/>
    <w:rsid w:val="00521C82"/>
    <w:pPr>
      <w:topLinePunct w:val="0"/>
      <w:snapToGrid w:val="0"/>
    </w:pPr>
    <w:rPr>
      <w:rFonts w:hAnsi="宋体"/>
      <w:kern w:val="2"/>
      <w:szCs w:val="26"/>
    </w:rPr>
  </w:style>
  <w:style w:type="paragraph" w:customStyle="1" w:styleId="Z7">
    <w:name w:val="Z7[图表]"/>
    <w:next w:val="a0"/>
    <w:rsid w:val="00521C82"/>
    <w:pPr>
      <w:jc w:val="center"/>
    </w:pPr>
    <w:rPr>
      <w:rFonts w:ascii="Times New Roman" w:eastAsia="仿宋_GB2312" w:hAnsi="Times New Roman"/>
      <w:bCs/>
      <w:sz w:val="21"/>
      <w:szCs w:val="44"/>
    </w:rPr>
  </w:style>
  <w:style w:type="paragraph" w:customStyle="1" w:styleId="HtmlNormal">
    <w:name w:val="HtmlNormal"/>
    <w:basedOn w:val="a0"/>
    <w:qFormat/>
    <w:rsid w:val="00521C82"/>
    <w:pPr>
      <w:topLinePunct w:val="0"/>
      <w:adjustRightInd/>
      <w:spacing w:before="100" w:beforeAutospacing="1" w:after="100" w:afterAutospacing="1" w:line="384" w:lineRule="auto"/>
      <w:ind w:firstLineChars="0" w:firstLine="0"/>
      <w:jc w:val="left"/>
    </w:pPr>
    <w:rPr>
      <w:rFonts w:ascii="Arial Unicode MS" w:eastAsia="Times New Roman" w:hAnsi="Arial Unicode MS" w:cs="Times New Roman"/>
      <w:color w:val="000000"/>
      <w:sz w:val="21"/>
      <w:szCs w:val="21"/>
    </w:rPr>
  </w:style>
  <w:style w:type="paragraph" w:customStyle="1" w:styleId="13230">
    <w:name w:val="样式 13 磅 黑色 行距: 固定值 23 磅"/>
    <w:basedOn w:val="a0"/>
    <w:rsid w:val="00521C82"/>
    <w:pPr>
      <w:topLinePunct w:val="0"/>
      <w:snapToGrid w:val="0"/>
      <w:spacing w:line="440" w:lineRule="exact"/>
      <w:ind w:firstLineChars="0" w:firstLine="0"/>
      <w:jc w:val="center"/>
    </w:pPr>
    <w:rPr>
      <w:rFonts w:hAnsi="宋体" w:cs="Arial"/>
      <w:kern w:val="2"/>
    </w:rPr>
  </w:style>
  <w:style w:type="paragraph" w:customStyle="1" w:styleId="22CharChar2205">
    <w:name w:val="样式 样式 标题 2标题节标题 2 Char Char + 段前: 2 行 + 首行缩进:  2 字符 段前: 0.5 行 ..."/>
    <w:basedOn w:val="22CharChar2"/>
    <w:rsid w:val="00521C82"/>
    <w:pPr>
      <w:spacing w:beforeLines="0"/>
      <w:ind w:firstLineChars="0" w:firstLine="0"/>
    </w:pPr>
    <w:rPr>
      <w:rFonts w:eastAsia="宋体" w:hAnsi="Times New Roman" w:cs="宋体"/>
      <w:bCs/>
    </w:rPr>
  </w:style>
  <w:style w:type="paragraph" w:customStyle="1" w:styleId="Z2">
    <w:name w:val="Z2[封面]"/>
    <w:next w:val="a0"/>
    <w:rsid w:val="00521C82"/>
    <w:pPr>
      <w:spacing w:line="360" w:lineRule="auto"/>
      <w:jc w:val="center"/>
    </w:pPr>
    <w:rPr>
      <w:rFonts w:ascii="Times New Roman" w:eastAsia="楷体_GB2312" w:hAnsi="Times New Roman"/>
      <w:bCs/>
      <w:sz w:val="32"/>
      <w:szCs w:val="44"/>
    </w:rPr>
  </w:style>
  <w:style w:type="paragraph" w:customStyle="1" w:styleId="UserStyle5">
    <w:name w:val="UserStyle_5"/>
    <w:rsid w:val="00521C82"/>
    <w:pPr>
      <w:spacing w:line="600" w:lineRule="exact"/>
      <w:ind w:firstLine="567"/>
      <w:jc w:val="both"/>
      <w:textAlignment w:val="baseline"/>
    </w:pPr>
    <w:rPr>
      <w:rFonts w:ascii="宋体" w:hAnsi="Times New Roman"/>
      <w:sz w:val="28"/>
    </w:rPr>
  </w:style>
  <w:style w:type="paragraph" w:customStyle="1" w:styleId="afffffffff">
    <w:name w:val="图表标题"/>
    <w:basedOn w:val="a0"/>
    <w:qFormat/>
    <w:rsid w:val="00521C82"/>
    <w:pPr>
      <w:tabs>
        <w:tab w:val="left" w:pos="9360"/>
      </w:tabs>
      <w:topLinePunct w:val="0"/>
      <w:adjustRightInd/>
      <w:spacing w:line="240" w:lineRule="auto"/>
      <w:ind w:rightChars="-128" w:right="-269" w:firstLineChars="0" w:firstLine="0"/>
      <w:jc w:val="center"/>
    </w:pPr>
    <w:rPr>
      <w:rFonts w:ascii="Times New Roman" w:eastAsia="仿宋" w:cs="Times New Roman"/>
      <w:b/>
      <w:bCs/>
      <w:color w:val="000000"/>
      <w:sz w:val="21"/>
      <w:szCs w:val="21"/>
    </w:rPr>
  </w:style>
  <w:style w:type="paragraph" w:customStyle="1" w:styleId="afffffffff0">
    <w:name w:val="正"/>
    <w:qFormat/>
    <w:rsid w:val="00521C82"/>
    <w:pPr>
      <w:spacing w:line="480" w:lineRule="exact"/>
      <w:ind w:firstLineChars="196" w:firstLine="470"/>
    </w:pPr>
    <w:rPr>
      <w:rFonts w:ascii="Times New Roman" w:hAnsi="Times New Roman"/>
      <w:bCs/>
      <w:kern w:val="2"/>
      <w:sz w:val="24"/>
      <w:szCs w:val="24"/>
    </w:rPr>
  </w:style>
  <w:style w:type="paragraph" w:customStyle="1" w:styleId="Z5">
    <w:name w:val="Z5[附件]"/>
    <w:next w:val="a0"/>
    <w:rsid w:val="00521C82"/>
    <w:pPr>
      <w:spacing w:line="360" w:lineRule="auto"/>
      <w:ind w:firstLineChars="200" w:firstLine="200"/>
    </w:pPr>
    <w:rPr>
      <w:rFonts w:ascii="Times New Roman" w:eastAsia="仿宋_GB2312" w:hAnsi="Times New Roman"/>
      <w:b/>
      <w:sz w:val="28"/>
      <w:szCs w:val="24"/>
    </w:rPr>
  </w:style>
  <w:style w:type="paragraph" w:customStyle="1" w:styleId="282">
    <w:name w:val="样式 四号 行距: 固定值 28 磅 首行缩进:  2 字符"/>
    <w:basedOn w:val="a0"/>
    <w:rsid w:val="00521C82"/>
    <w:pPr>
      <w:topLinePunct w:val="0"/>
      <w:adjustRightInd/>
      <w:spacing w:line="560" w:lineRule="exact"/>
      <w:ind w:firstLine="560"/>
    </w:pPr>
    <w:rPr>
      <w:rFonts w:ascii="Times New Roman"/>
      <w:kern w:val="2"/>
      <w:sz w:val="28"/>
      <w:szCs w:val="20"/>
    </w:rPr>
  </w:style>
  <w:style w:type="paragraph" w:customStyle="1" w:styleId="22CharChar21">
    <w:name w:val="样式 样式 标题 2标题节标题 2 Char Char + 段前: 2 行 + 左侧:  1 字符"/>
    <w:basedOn w:val="22CharChar2"/>
    <w:rsid w:val="00521C82"/>
    <w:pPr>
      <w:spacing w:beforeLines="0"/>
    </w:pPr>
    <w:rPr>
      <w:rFonts w:eastAsia="宋体" w:hAnsi="Times New Roman" w:cs="宋体"/>
      <w:bCs/>
    </w:rPr>
  </w:style>
  <w:style w:type="paragraph" w:customStyle="1" w:styleId="101">
    <w:name w:val="样式 左 首行缩进:  1.01 厘米"/>
    <w:basedOn w:val="a0"/>
    <w:rsid w:val="00521C82"/>
    <w:pPr>
      <w:topLinePunct w:val="0"/>
      <w:snapToGrid w:val="0"/>
      <w:spacing w:line="460" w:lineRule="exact"/>
    </w:pPr>
    <w:rPr>
      <w:rFonts w:ascii="Times New Roman"/>
      <w:kern w:val="2"/>
      <w:sz w:val="26"/>
      <w:szCs w:val="26"/>
    </w:rPr>
  </w:style>
  <w:style w:type="paragraph" w:customStyle="1" w:styleId="13232">
    <w:name w:val="样式 13 磅 行距: 固定值 23 磅 首行缩进:  2 字符"/>
    <w:basedOn w:val="a0"/>
    <w:rsid w:val="00521C82"/>
    <w:pPr>
      <w:topLinePunct w:val="0"/>
      <w:adjustRightInd/>
      <w:spacing w:line="460" w:lineRule="exact"/>
      <w:ind w:firstLine="520"/>
    </w:pPr>
    <w:rPr>
      <w:rFonts w:ascii="Times New Roman"/>
      <w:kern w:val="2"/>
      <w:sz w:val="26"/>
      <w:szCs w:val="20"/>
    </w:rPr>
  </w:style>
  <w:style w:type="paragraph" w:customStyle="1" w:styleId="-hao-">
    <w:name w:val="表格文字-hao-居中"/>
    <w:uiPriority w:val="99"/>
    <w:qFormat/>
    <w:rsid w:val="00521C82"/>
    <w:pPr>
      <w:adjustRightInd w:val="0"/>
      <w:snapToGrid w:val="0"/>
      <w:spacing w:beforeLines="20" w:afterLines="10" w:line="264" w:lineRule="auto"/>
      <w:jc w:val="center"/>
      <w:textAlignment w:val="center"/>
    </w:pPr>
    <w:rPr>
      <w:rFonts w:ascii="Times New Roman" w:hAnsi="Times New Roman"/>
      <w:szCs w:val="24"/>
    </w:rPr>
  </w:style>
  <w:style w:type="paragraph" w:customStyle="1" w:styleId="Z1">
    <w:name w:val="Z1[封面]"/>
    <w:next w:val="a0"/>
    <w:rsid w:val="00521C82"/>
    <w:pPr>
      <w:spacing w:line="360" w:lineRule="auto"/>
      <w:jc w:val="center"/>
    </w:pPr>
    <w:rPr>
      <w:rFonts w:ascii="Times New Roman" w:eastAsia="华文中宋" w:hAnsi="Times New Roman"/>
      <w:b/>
      <w:bCs/>
      <w:sz w:val="44"/>
      <w:szCs w:val="44"/>
    </w:rPr>
  </w:style>
  <w:style w:type="paragraph" w:customStyle="1" w:styleId="CharCharCharChar30">
    <w:name w:val="Char Char Char Char3"/>
    <w:basedOn w:val="a0"/>
    <w:rsid w:val="00521C82"/>
    <w:pPr>
      <w:topLinePunct w:val="0"/>
      <w:adjustRightInd/>
      <w:ind w:firstLineChars="0" w:firstLine="0"/>
    </w:pPr>
    <w:rPr>
      <w:rFonts w:ascii="仿宋_GB2312" w:eastAsia="仿宋_GB2312" w:hAnsi="Tahoma" w:cs="Times New Roman"/>
      <w:kern w:val="2"/>
      <w:sz w:val="21"/>
      <w:szCs w:val="21"/>
    </w:rPr>
  </w:style>
  <w:style w:type="paragraph" w:customStyle="1" w:styleId="1fe">
    <w:name w:val="表格1"/>
    <w:basedOn w:val="a0"/>
    <w:rsid w:val="00521C82"/>
    <w:pPr>
      <w:topLinePunct w:val="0"/>
      <w:adjustRightInd/>
      <w:spacing w:line="360" w:lineRule="exact"/>
      <w:ind w:firstLineChars="0" w:firstLine="0"/>
      <w:jc w:val="center"/>
    </w:pPr>
    <w:rPr>
      <w:rFonts w:ascii="Times New Roman" w:cs="Times New Roman"/>
      <w:color w:val="000000"/>
      <w:kern w:val="2"/>
    </w:rPr>
  </w:style>
  <w:style w:type="paragraph" w:customStyle="1" w:styleId="BodyTextIndent2">
    <w:name w:val="BodyTextIndent2"/>
    <w:basedOn w:val="a0"/>
    <w:qFormat/>
    <w:rsid w:val="00521C82"/>
    <w:pPr>
      <w:topLinePunct w:val="0"/>
      <w:adjustRightInd/>
      <w:spacing w:after="120" w:line="480" w:lineRule="auto"/>
      <w:ind w:leftChars="200" w:left="420" w:firstLineChars="0" w:firstLine="0"/>
    </w:pPr>
    <w:rPr>
      <w:rFonts w:ascii="Times New Roman" w:cs="Times New Roman"/>
      <w:kern w:val="2"/>
      <w:sz w:val="21"/>
    </w:rPr>
  </w:style>
  <w:style w:type="paragraph" w:customStyle="1" w:styleId="afffffffff1">
    <w:name w:val="三级标题"/>
    <w:basedOn w:val="a0"/>
    <w:next w:val="a0"/>
    <w:semiHidden/>
    <w:rsid w:val="00521C82"/>
    <w:pPr>
      <w:topLinePunct w:val="0"/>
      <w:adjustRightInd/>
      <w:snapToGrid w:val="0"/>
      <w:spacing w:line="240" w:lineRule="auto"/>
      <w:ind w:firstLineChars="0" w:firstLine="0"/>
      <w:outlineLvl w:val="2"/>
    </w:pPr>
    <w:rPr>
      <w:rFonts w:ascii="Times New Roman" w:cs="Times New Roman"/>
      <w:b/>
      <w:kern w:val="2"/>
      <w:sz w:val="26"/>
      <w:szCs w:val="26"/>
    </w:rPr>
  </w:style>
  <w:style w:type="paragraph" w:customStyle="1" w:styleId="ggbody">
    <w:name w:val="gg_body"/>
    <w:basedOn w:val="a0"/>
    <w:rsid w:val="00521C82"/>
    <w:pPr>
      <w:topLinePunct w:val="0"/>
      <w:adjustRightInd/>
      <w:spacing w:line="460" w:lineRule="exact"/>
      <w:ind w:firstLineChars="0" w:firstLine="0"/>
    </w:pPr>
    <w:rPr>
      <w:rFonts w:hAnsi="宋体" w:cs="Times New Roman"/>
      <w:kern w:val="2"/>
      <w:szCs w:val="20"/>
    </w:rPr>
  </w:style>
  <w:style w:type="paragraph" w:customStyle="1" w:styleId="82">
    <w:name w:val="样式8"/>
    <w:basedOn w:val="3"/>
    <w:rsid w:val="00521C82"/>
    <w:pPr>
      <w:topLinePunct w:val="0"/>
      <w:snapToGrid w:val="0"/>
      <w:spacing w:line="480" w:lineRule="exact"/>
    </w:pPr>
    <w:rPr>
      <w:rFonts w:eastAsia="宋体"/>
      <w:bCs/>
      <w:kern w:val="2"/>
      <w:sz w:val="26"/>
      <w:szCs w:val="24"/>
    </w:rPr>
  </w:style>
  <w:style w:type="paragraph" w:customStyle="1" w:styleId="afffffffff2">
    <w:name w:val="样式 正文文本缩进 + 宋体"/>
    <w:basedOn w:val="afff3"/>
    <w:rsid w:val="00521C82"/>
    <w:pPr>
      <w:spacing w:beforeLines="30" w:afterLines="30" w:line="460" w:lineRule="exact"/>
      <w:ind w:left="0" w:firstLineChars="200" w:firstLine="560"/>
    </w:pPr>
    <w:rPr>
      <w:rFonts w:ascii="宋体" w:hAnsi="宋体"/>
      <w:szCs w:val="28"/>
    </w:rPr>
  </w:style>
  <w:style w:type="paragraph" w:customStyle="1" w:styleId="22CharChar211">
    <w:name w:val="样式 样式 标题 2标题节标题 2 Char Char + 段前: 2 行 + 左侧:  1 字符 右侧:  1 字符"/>
    <w:basedOn w:val="22CharChar2"/>
    <w:rsid w:val="00521C82"/>
    <w:rPr>
      <w:szCs w:val="26"/>
    </w:rPr>
  </w:style>
  <w:style w:type="paragraph" w:customStyle="1" w:styleId="00000000000000000000000Char">
    <w:name w:val="00000000000000000000000 Char"/>
    <w:basedOn w:val="a0"/>
    <w:rsid w:val="00521C82"/>
    <w:pPr>
      <w:topLinePunct w:val="0"/>
      <w:adjustRightInd/>
      <w:ind w:firstLineChars="0" w:firstLine="510"/>
    </w:pPr>
    <w:rPr>
      <w:rFonts w:ascii="Times New Roman" w:cs="Times New Roman"/>
      <w:color w:val="000000"/>
      <w:kern w:val="2"/>
      <w:sz w:val="21"/>
      <w:lang w:val="zh-CN"/>
    </w:rPr>
  </w:style>
  <w:style w:type="paragraph" w:customStyle="1" w:styleId="CharCharChar2CharCharCharCharCharCharCharCharCharChar">
    <w:name w:val="Char Char Char2 Char Char Char Char Char Char Char Char Char Char"/>
    <w:basedOn w:val="a0"/>
    <w:semiHidden/>
    <w:rsid w:val="00521C82"/>
    <w:pPr>
      <w:topLinePunct w:val="0"/>
      <w:snapToGrid w:val="0"/>
    </w:pPr>
    <w:rPr>
      <w:rFonts w:hAnsi="宋体"/>
      <w:kern w:val="2"/>
      <w:szCs w:val="26"/>
    </w:rPr>
  </w:style>
  <w:style w:type="paragraph" w:customStyle="1" w:styleId="170">
    <w:name w:val="样式17"/>
    <w:basedOn w:val="a0"/>
    <w:rsid w:val="00521C82"/>
    <w:pPr>
      <w:keepNext/>
      <w:keepLines/>
      <w:widowControl/>
      <w:topLinePunct w:val="0"/>
      <w:snapToGrid w:val="0"/>
      <w:spacing w:before="80" w:line="460" w:lineRule="exact"/>
      <w:ind w:firstLineChars="0" w:firstLine="0"/>
      <w:jc w:val="left"/>
      <w:outlineLvl w:val="1"/>
    </w:pPr>
    <w:rPr>
      <w:rFonts w:ascii="Times New Roman" w:eastAsia="黑体" w:cs="Times New Roman"/>
      <w:b/>
      <w:bCs/>
      <w:sz w:val="28"/>
      <w:szCs w:val="28"/>
    </w:rPr>
  </w:style>
  <w:style w:type="paragraph" w:customStyle="1" w:styleId="Heading3">
    <w:name w:val="Heading3"/>
    <w:basedOn w:val="a0"/>
    <w:next w:val="a0"/>
    <w:qFormat/>
    <w:rsid w:val="00521C82"/>
    <w:pPr>
      <w:keepNext/>
      <w:keepLines/>
      <w:topLinePunct w:val="0"/>
      <w:adjustRightInd/>
      <w:spacing w:before="156" w:line="440" w:lineRule="exact"/>
      <w:ind w:firstLineChars="196" w:firstLine="472"/>
    </w:pPr>
    <w:rPr>
      <w:rFonts w:ascii="Arial" w:eastAsia="黑体" w:hAnsi="Arial" w:cs="Times New Roman"/>
      <w:b/>
      <w:color w:val="000000"/>
    </w:rPr>
  </w:style>
  <w:style w:type="paragraph" w:customStyle="1" w:styleId="22CharChar2105">
    <w:name w:val="样式 样式 样式 标题 2标题节标题 2 Char Char + 段前: 2 行 + 左侧:  1 字符 + 段前: 0.5 行..."/>
    <w:basedOn w:val="a0"/>
    <w:rsid w:val="00521C82"/>
    <w:pPr>
      <w:keepNext/>
      <w:keepLines/>
      <w:topLinePunct w:val="0"/>
      <w:snapToGrid w:val="0"/>
      <w:spacing w:line="460" w:lineRule="exact"/>
      <w:outlineLvl w:val="1"/>
    </w:pPr>
    <w:rPr>
      <w:rFonts w:ascii="Times New Roman"/>
      <w:b/>
      <w:bCs/>
      <w:kern w:val="2"/>
      <w:sz w:val="26"/>
      <w:szCs w:val="26"/>
    </w:rPr>
  </w:style>
  <w:style w:type="paragraph" w:customStyle="1" w:styleId="afffffffff3">
    <w:name w:val="一级标题"/>
    <w:basedOn w:val="a0"/>
    <w:next w:val="a0"/>
    <w:rsid w:val="00521C82"/>
    <w:pPr>
      <w:topLinePunct w:val="0"/>
      <w:snapToGrid w:val="0"/>
      <w:spacing w:before="100" w:beforeAutospacing="1" w:afterLines="50" w:line="460" w:lineRule="exact"/>
      <w:ind w:firstLineChars="0" w:firstLine="0"/>
      <w:jc w:val="center"/>
      <w:outlineLvl w:val="0"/>
    </w:pPr>
    <w:rPr>
      <w:rFonts w:ascii="Times New Roman" w:cs="Times New Roman"/>
      <w:b/>
      <w:bCs/>
      <w:kern w:val="2"/>
      <w:sz w:val="32"/>
      <w:szCs w:val="32"/>
    </w:rPr>
  </w:style>
  <w:style w:type="paragraph" w:customStyle="1" w:styleId="UserStyle1">
    <w:name w:val="UserStyle_1"/>
    <w:rsid w:val="00521C82"/>
    <w:pPr>
      <w:spacing w:line="480" w:lineRule="exact"/>
      <w:ind w:firstLineChars="196" w:firstLine="470"/>
      <w:textAlignment w:val="baseline"/>
    </w:pPr>
    <w:rPr>
      <w:rFonts w:ascii="Times New Roman" w:hAnsi="Times New Roman"/>
      <w:bCs/>
      <w:kern w:val="2"/>
      <w:sz w:val="24"/>
      <w:szCs w:val="24"/>
    </w:rPr>
  </w:style>
  <w:style w:type="paragraph" w:customStyle="1" w:styleId="afffffffff4">
    <w:name w:val="环评表头"/>
    <w:basedOn w:val="a0"/>
    <w:rsid w:val="00521C82"/>
    <w:pPr>
      <w:topLinePunct w:val="0"/>
      <w:adjustRightInd/>
      <w:spacing w:line="440" w:lineRule="exact"/>
      <w:ind w:firstLineChars="0" w:firstLine="0"/>
      <w:jc w:val="center"/>
    </w:pPr>
    <w:rPr>
      <w:rFonts w:ascii="黑体" w:eastAsia="黑体" w:hAnsi="Arial" w:cs="Arial"/>
      <w:b/>
      <w:color w:val="000000"/>
      <w:kern w:val="2"/>
    </w:rPr>
  </w:style>
  <w:style w:type="paragraph" w:customStyle="1" w:styleId="UserStyle6">
    <w:name w:val="UserStyle_6"/>
    <w:basedOn w:val="UserStyle4"/>
    <w:qFormat/>
    <w:rsid w:val="00521C82"/>
  </w:style>
  <w:style w:type="paragraph" w:customStyle="1" w:styleId="UserStyle4">
    <w:name w:val="UserStyle_4"/>
    <w:basedOn w:val="a0"/>
    <w:qFormat/>
    <w:rsid w:val="00521C82"/>
    <w:pPr>
      <w:topLinePunct w:val="0"/>
      <w:adjustRightInd/>
      <w:snapToGrid w:val="0"/>
      <w:spacing w:line="460" w:lineRule="exact"/>
      <w:ind w:firstLineChars="218" w:firstLine="567"/>
      <w:jc w:val="left"/>
    </w:pPr>
    <w:rPr>
      <w:rFonts w:ascii="Times New Roman" w:cs="Times New Roman"/>
      <w:sz w:val="26"/>
      <w:szCs w:val="26"/>
    </w:rPr>
  </w:style>
  <w:style w:type="paragraph" w:customStyle="1" w:styleId="afffffffff5">
    <w:name w:val="环评标题"/>
    <w:basedOn w:val="afffffffe"/>
    <w:rsid w:val="00521C82"/>
    <w:pPr>
      <w:ind w:firstLine="482"/>
    </w:pPr>
    <w:rPr>
      <w:rFonts w:ascii="黑体" w:eastAsia="黑体"/>
      <w:b/>
    </w:rPr>
  </w:style>
  <w:style w:type="paragraph" w:customStyle="1" w:styleId="CharCharCharCharCharCharChar1">
    <w:name w:val="Char Char Char Char Char Char Char1"/>
    <w:basedOn w:val="a0"/>
    <w:next w:val="a0"/>
    <w:rsid w:val="00521C82"/>
    <w:pPr>
      <w:topLinePunct w:val="0"/>
      <w:adjustRightInd/>
    </w:pPr>
    <w:rPr>
      <w:rFonts w:ascii="Times New Roman" w:cs="Times New Roman"/>
      <w:kern w:val="2"/>
      <w:sz w:val="21"/>
    </w:rPr>
  </w:style>
  <w:style w:type="paragraph" w:customStyle="1" w:styleId="CharCharCharCharChar2CharCharCharChar">
    <w:name w:val="Char Char Char Char Char2 Char Char Char Char"/>
    <w:basedOn w:val="a0"/>
    <w:rsid w:val="00521C82"/>
    <w:pPr>
      <w:topLinePunct w:val="0"/>
      <w:snapToGrid w:val="0"/>
    </w:pPr>
    <w:rPr>
      <w:rFonts w:hAnsi="宋体"/>
      <w:kern w:val="2"/>
      <w:szCs w:val="26"/>
    </w:rPr>
  </w:style>
  <w:style w:type="paragraph" w:customStyle="1" w:styleId="CharCharChar1CharCharCharChar">
    <w:name w:val="Char Char Char1 Char Char Char Char"/>
    <w:basedOn w:val="a0"/>
    <w:rsid w:val="00521C82"/>
    <w:pPr>
      <w:topLinePunct w:val="0"/>
      <w:snapToGrid w:val="0"/>
    </w:pPr>
    <w:rPr>
      <w:rFonts w:hAnsi="宋体"/>
      <w:kern w:val="2"/>
      <w:szCs w:val="26"/>
    </w:rPr>
  </w:style>
  <w:style w:type="paragraph" w:customStyle="1" w:styleId="afffffffff6">
    <w:name w:val="样式 正文（首行缩进两字） + 宋体"/>
    <w:basedOn w:val="aff8"/>
    <w:rsid w:val="00521C82"/>
    <w:pPr>
      <w:adjustRightInd w:val="0"/>
      <w:snapToGrid w:val="0"/>
      <w:ind w:firstLineChars="0" w:firstLine="567"/>
    </w:pPr>
    <w:rPr>
      <w:rFonts w:ascii="宋体" w:hAnsi="宋体"/>
      <w:kern w:val="2"/>
      <w:sz w:val="28"/>
    </w:rPr>
  </w:style>
  <w:style w:type="paragraph" w:customStyle="1" w:styleId="p0">
    <w:name w:val="p0"/>
    <w:basedOn w:val="a0"/>
    <w:rsid w:val="00521C82"/>
    <w:pPr>
      <w:widowControl/>
      <w:topLinePunct w:val="0"/>
      <w:adjustRightInd/>
      <w:spacing w:line="240" w:lineRule="auto"/>
      <w:ind w:firstLineChars="0" w:firstLine="0"/>
    </w:pPr>
    <w:rPr>
      <w:rFonts w:ascii="Times New Roman" w:cs="Times New Roman"/>
      <w:sz w:val="21"/>
      <w:szCs w:val="21"/>
    </w:rPr>
  </w:style>
  <w:style w:type="paragraph" w:customStyle="1" w:styleId="afffffffff7">
    <w:name w:val="正文四号"/>
    <w:basedOn w:val="a0"/>
    <w:qFormat/>
    <w:rsid w:val="00521C82"/>
    <w:pPr>
      <w:topLinePunct w:val="0"/>
      <w:adjustRightInd/>
    </w:pPr>
    <w:rPr>
      <w:szCs w:val="22"/>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a0"/>
    <w:rsid w:val="00521C82"/>
    <w:pPr>
      <w:widowControl/>
      <w:topLinePunct w:val="0"/>
      <w:adjustRightInd/>
      <w:spacing w:after="160" w:line="240" w:lineRule="exact"/>
      <w:ind w:firstLineChars="0" w:firstLine="0"/>
      <w:jc w:val="left"/>
    </w:pPr>
    <w:rPr>
      <w:rFonts w:ascii="Verdana" w:eastAsia="仿宋_GB2312" w:hAnsi="Verdana" w:cs="Verdana"/>
      <w:color w:val="000000"/>
      <w:szCs w:val="21"/>
      <w:lang w:eastAsia="en-US"/>
    </w:rPr>
  </w:style>
  <w:style w:type="paragraph" w:customStyle="1" w:styleId="CharCharChar1CharCharCharChar1">
    <w:name w:val="Char Char Char1 Char Char Char Char1"/>
    <w:basedOn w:val="a0"/>
    <w:semiHidden/>
    <w:rsid w:val="00521C82"/>
    <w:pPr>
      <w:topLinePunct w:val="0"/>
      <w:snapToGrid w:val="0"/>
    </w:pPr>
    <w:rPr>
      <w:rFonts w:hAnsi="宋体"/>
      <w:kern w:val="2"/>
      <w:szCs w:val="26"/>
    </w:rPr>
  </w:style>
  <w:style w:type="paragraph" w:customStyle="1" w:styleId="11CharCharCharCharCh">
    <w:name w:val="样式 正文缩进表格标题正文（首行缩进两字）1正文缩进1正文（首行缩进两字） Char Char Char Char Ch..."/>
    <w:basedOn w:val="aff8"/>
    <w:qFormat/>
    <w:rsid w:val="00521C82"/>
    <w:pPr>
      <w:spacing w:line="440" w:lineRule="exact"/>
      <w:ind w:firstLineChars="0" w:firstLine="200"/>
    </w:pPr>
    <w:rPr>
      <w:rFonts w:ascii="Times New Roman" w:hAnsi="Times New Roman" w:cs="宋体"/>
      <w:b/>
      <w:bCs/>
      <w:kern w:val="2"/>
      <w:sz w:val="28"/>
    </w:rPr>
  </w:style>
  <w:style w:type="paragraph" w:customStyle="1" w:styleId="03">
    <w:name w:val="标题03"/>
    <w:basedOn w:val="a0"/>
    <w:next w:val="a0"/>
    <w:rsid w:val="00521C82"/>
    <w:pPr>
      <w:topLinePunct w:val="0"/>
      <w:snapToGrid w:val="0"/>
      <w:spacing w:line="480" w:lineRule="atLeast"/>
      <w:ind w:firstLine="480"/>
    </w:pPr>
    <w:rPr>
      <w:rFonts w:ascii="Times New Roman" w:cs="Times New Roman"/>
      <w:b/>
      <w:kern w:val="2"/>
      <w:szCs w:val="20"/>
    </w:rPr>
  </w:style>
  <w:style w:type="paragraph" w:customStyle="1" w:styleId="Char4CharCharChar1">
    <w:name w:val="Char4 Char Char Char1"/>
    <w:basedOn w:val="a0"/>
    <w:rsid w:val="00521C82"/>
    <w:pPr>
      <w:topLinePunct w:val="0"/>
      <w:snapToGrid w:val="0"/>
    </w:pPr>
    <w:rPr>
      <w:rFonts w:hAnsi="宋体"/>
      <w:kern w:val="2"/>
      <w:szCs w:val="26"/>
    </w:rPr>
  </w:style>
  <w:style w:type="paragraph" w:customStyle="1" w:styleId="22CharChar2110">
    <w:name w:val="样式 样式 标题 2标题节标题 2 Char Char + 段前: 2 行 + 左侧:  1 字符1"/>
    <w:basedOn w:val="22CharChar2"/>
    <w:rsid w:val="00521C82"/>
    <w:pPr>
      <w:spacing w:beforeLines="0" w:after="50"/>
    </w:pPr>
    <w:rPr>
      <w:rFonts w:eastAsia="宋体" w:hAnsi="Times New Roman" w:cs="宋体"/>
      <w:bCs/>
    </w:rPr>
  </w:style>
  <w:style w:type="paragraph" w:customStyle="1" w:styleId="22CharChar205050">
    <w:name w:val="样式 样式 样式 标题 2标题节标题 2 Char Char + 段前: 2 行 + 段前: 0.5 行 段后: 0.5 行 +..."/>
    <w:basedOn w:val="22CharChar20505"/>
    <w:next w:val="a0"/>
    <w:rsid w:val="00521C82"/>
    <w:pPr>
      <w:spacing w:before="50" w:after="50"/>
      <w:ind w:firstLineChars="0" w:firstLine="0"/>
    </w:pPr>
  </w:style>
  <w:style w:type="paragraph" w:customStyle="1" w:styleId="1CharCharCharCharCharCharChar1">
    <w:name w:val="样式 正文缩进正文缩进1正文（首行缩进两字） Char Char Char Char Char Char Char文本条款...1"/>
    <w:basedOn w:val="aff8"/>
    <w:rsid w:val="00521C82"/>
    <w:pPr>
      <w:tabs>
        <w:tab w:val="left" w:pos="540"/>
        <w:tab w:val="left" w:pos="1050"/>
        <w:tab w:val="left" w:pos="1260"/>
        <w:tab w:val="left" w:pos="1800"/>
      </w:tabs>
      <w:spacing w:line="500" w:lineRule="exact"/>
      <w:ind w:firstLine="560"/>
    </w:pPr>
    <w:rPr>
      <w:rFonts w:ascii="Times New Roman" w:hAnsi="Times New Roman" w:cs="宋体"/>
      <w:kern w:val="24"/>
      <w:sz w:val="28"/>
      <w:szCs w:val="28"/>
    </w:rPr>
  </w:style>
  <w:style w:type="paragraph" w:customStyle="1" w:styleId="afffffffff8">
    <w:name w:val="样式 五号 居中 行距: 单倍行距"/>
    <w:basedOn w:val="a0"/>
    <w:rsid w:val="00521C82"/>
    <w:pPr>
      <w:topLinePunct w:val="0"/>
      <w:snapToGrid w:val="0"/>
      <w:spacing w:line="240" w:lineRule="auto"/>
      <w:ind w:firstLineChars="0" w:firstLine="0"/>
      <w:jc w:val="center"/>
    </w:pPr>
    <w:rPr>
      <w:rFonts w:ascii="Times New Roman"/>
      <w:sz w:val="21"/>
      <w:szCs w:val="21"/>
    </w:rPr>
  </w:style>
  <w:style w:type="paragraph" w:customStyle="1" w:styleId="200122">
    <w:name w:val="样式 样式 2001 + 首行缩进:  2 字符 + 首行缩进:  2 字符"/>
    <w:basedOn w:val="a0"/>
    <w:qFormat/>
    <w:rsid w:val="00521C82"/>
    <w:pPr>
      <w:topLinePunct w:val="0"/>
      <w:adjustRightInd/>
      <w:spacing w:line="360" w:lineRule="exact"/>
      <w:ind w:firstLine="560"/>
    </w:pPr>
    <w:rPr>
      <w:rFonts w:ascii="Times New Roman" w:cs="Times New Roman"/>
      <w:spacing w:val="20"/>
      <w:szCs w:val="20"/>
    </w:rPr>
  </w:style>
  <w:style w:type="paragraph" w:customStyle="1" w:styleId="33Char11">
    <w:name w:val="样式 标题 3标题 3 Char + 左侧:  1 字符 右侧:  1 字符"/>
    <w:basedOn w:val="3"/>
    <w:rsid w:val="00521C82"/>
    <w:pPr>
      <w:widowControl/>
      <w:topLinePunct w:val="0"/>
      <w:snapToGrid w:val="0"/>
      <w:spacing w:beforeLines="50" w:line="460" w:lineRule="exact"/>
      <w:ind w:firstLineChars="200" w:firstLine="200"/>
    </w:pPr>
    <w:rPr>
      <w:rFonts w:eastAsia="黑体"/>
      <w:color w:val="000000"/>
      <w:sz w:val="26"/>
      <w:szCs w:val="26"/>
    </w:rPr>
  </w:style>
  <w:style w:type="paragraph" w:customStyle="1" w:styleId="afffffffff9">
    <w:name w:val="表标题"/>
    <w:basedOn w:val="5"/>
    <w:rsid w:val="00521C82"/>
    <w:pPr>
      <w:keepNext/>
      <w:keepLines/>
      <w:widowControl w:val="0"/>
      <w:spacing w:beforeLines="0" w:after="60" w:line="377" w:lineRule="auto"/>
      <w:ind w:left="0" w:firstLineChars="200" w:firstLine="520"/>
      <w:jc w:val="center"/>
    </w:pPr>
    <w:rPr>
      <w:rFonts w:ascii="Times New Roman" w:eastAsia="黑体" w:hAnsi="Times New Roman"/>
      <w:b/>
      <w:sz w:val="24"/>
    </w:rPr>
  </w:style>
  <w:style w:type="paragraph" w:customStyle="1" w:styleId="350">
    <w:name w:val="样式35"/>
    <w:basedOn w:val="a0"/>
    <w:rsid w:val="00521C82"/>
    <w:pPr>
      <w:topLinePunct w:val="0"/>
      <w:spacing w:line="312" w:lineRule="auto"/>
      <w:ind w:firstLineChars="0" w:firstLine="567"/>
    </w:pPr>
    <w:rPr>
      <w:rFonts w:cs="Times New Roman"/>
      <w:sz w:val="28"/>
      <w:szCs w:val="20"/>
    </w:rPr>
  </w:style>
  <w:style w:type="paragraph" w:customStyle="1" w:styleId="313">
    <w:name w:val="样式31"/>
    <w:basedOn w:val="a0"/>
    <w:qFormat/>
    <w:rsid w:val="00521C82"/>
    <w:pPr>
      <w:widowControl/>
      <w:topLinePunct w:val="0"/>
      <w:adjustRightInd/>
      <w:spacing w:line="240" w:lineRule="auto"/>
      <w:ind w:firstLineChars="0" w:firstLine="0"/>
      <w:jc w:val="center"/>
    </w:pPr>
    <w:rPr>
      <w:rFonts w:hAnsi="宋体"/>
      <w:sz w:val="22"/>
      <w:szCs w:val="22"/>
    </w:rPr>
  </w:style>
  <w:style w:type="paragraph" w:customStyle="1" w:styleId="CharChar23">
    <w:name w:val="标准样式 Char Char2"/>
    <w:basedOn w:val="a0"/>
    <w:rsid w:val="00521C82"/>
    <w:pPr>
      <w:topLinePunct w:val="0"/>
      <w:adjustRightInd/>
      <w:spacing w:line="600" w:lineRule="exact"/>
      <w:ind w:firstLineChars="0" w:firstLine="567"/>
    </w:pPr>
    <w:rPr>
      <w:rFonts w:hAnsi="宋体" w:cs="Times New Roman"/>
      <w:kern w:val="2"/>
      <w:sz w:val="28"/>
      <w:szCs w:val="20"/>
    </w:rPr>
  </w:style>
  <w:style w:type="paragraph" w:customStyle="1" w:styleId="ParaCharCharCharChar">
    <w:name w:val="默认段落字体 Para Char Char Char Char"/>
    <w:basedOn w:val="a0"/>
    <w:qFormat/>
    <w:rsid w:val="00521C82"/>
    <w:pPr>
      <w:topLinePunct w:val="0"/>
      <w:adjustRightInd/>
      <w:spacing w:line="240" w:lineRule="auto"/>
      <w:ind w:firstLineChars="0" w:firstLine="0"/>
    </w:pPr>
    <w:rPr>
      <w:rFonts w:ascii="Times New Roman" w:cs="Times New Roman"/>
      <w:kern w:val="2"/>
    </w:rPr>
  </w:style>
  <w:style w:type="paragraph" w:customStyle="1" w:styleId="CharCharChar20">
    <w:name w:val="Char Char Char2"/>
    <w:basedOn w:val="a0"/>
    <w:rsid w:val="00521C82"/>
    <w:pPr>
      <w:topLinePunct w:val="0"/>
      <w:adjustRightInd/>
      <w:spacing w:line="240" w:lineRule="auto"/>
      <w:ind w:firstLineChars="0" w:firstLine="0"/>
    </w:pPr>
    <w:rPr>
      <w:rFonts w:ascii="Times New Roman" w:cs="Times New Roman"/>
      <w:kern w:val="2"/>
      <w:szCs w:val="20"/>
    </w:rPr>
  </w:style>
  <w:style w:type="paragraph" w:customStyle="1" w:styleId="afffffffffa">
    <w:name w:val="表签"/>
    <w:basedOn w:val="a0"/>
    <w:qFormat/>
    <w:rsid w:val="00521C82"/>
    <w:pPr>
      <w:topLinePunct w:val="0"/>
      <w:snapToGrid w:val="0"/>
      <w:spacing w:line="240" w:lineRule="auto"/>
      <w:ind w:firstLineChars="0" w:firstLine="0"/>
      <w:jc w:val="center"/>
    </w:pPr>
    <w:rPr>
      <w:rFonts w:ascii="Times New Roman" w:cs="Times New Roman"/>
      <w:b/>
      <w:kern w:val="2"/>
    </w:rPr>
  </w:style>
  <w:style w:type="paragraph" w:customStyle="1" w:styleId="1ff">
    <w:name w:val="表格样式1"/>
    <w:basedOn w:val="affa"/>
    <w:qFormat/>
    <w:rsid w:val="00521C82"/>
    <w:pPr>
      <w:spacing w:after="0"/>
      <w:ind w:firstLineChars="0" w:firstLine="0"/>
      <w:jc w:val="center"/>
    </w:pPr>
    <w:rPr>
      <w:rFonts w:ascii="Times New Roman" w:hAnsi="Times New Roman"/>
      <w:color w:val="000000"/>
      <w:sz w:val="24"/>
      <w:szCs w:val="24"/>
      <w:lang w:bidi="en-US"/>
    </w:rPr>
  </w:style>
  <w:style w:type="paragraph" w:customStyle="1" w:styleId="1ff0">
    <w:name w:val="表格文字1"/>
    <w:basedOn w:val="ac"/>
    <w:qFormat/>
    <w:rsid w:val="00521C82"/>
    <w:pPr>
      <w:topLinePunct w:val="0"/>
      <w:spacing w:before="0" w:after="0" w:line="240" w:lineRule="auto"/>
      <w:ind w:firstLineChars="0" w:firstLine="0"/>
      <w:jc w:val="left"/>
      <w:textAlignment w:val="baseline"/>
      <w:outlineLvl w:val="9"/>
    </w:pPr>
    <w:rPr>
      <w:rFonts w:ascii="Arial" w:hAnsi="Arial"/>
      <w:b w:val="0"/>
      <w:bCs w:val="0"/>
      <w:kern w:val="72"/>
      <w:sz w:val="21"/>
      <w:szCs w:val="72"/>
    </w:rPr>
  </w:style>
  <w:style w:type="paragraph" w:customStyle="1" w:styleId="afffffffffb">
    <w:name w:val="表体"/>
    <w:basedOn w:val="a0"/>
    <w:qFormat/>
    <w:rsid w:val="00521C82"/>
    <w:pPr>
      <w:topLinePunct w:val="0"/>
      <w:snapToGrid w:val="0"/>
      <w:spacing w:line="240" w:lineRule="atLeast"/>
      <w:ind w:leftChars="-30" w:left="-63" w:rightChars="-30" w:right="-63" w:firstLineChars="0" w:firstLine="0"/>
      <w:jc w:val="center"/>
    </w:pPr>
    <w:rPr>
      <w:rFonts w:ascii="Times New Roman" w:cs="Times New Roman"/>
      <w:color w:val="000000"/>
      <w:sz w:val="18"/>
      <w:szCs w:val="18"/>
    </w:rPr>
  </w:style>
  <w:style w:type="paragraph" w:customStyle="1" w:styleId="11111111">
    <w:name w:val="正文11111111"/>
    <w:basedOn w:val="a0"/>
    <w:qFormat/>
    <w:rsid w:val="00521C82"/>
    <w:pPr>
      <w:topLinePunct w:val="0"/>
      <w:adjustRightInd/>
      <w:spacing w:line="440" w:lineRule="exact"/>
    </w:pPr>
    <w:rPr>
      <w:rFonts w:ascii="Times New Roman"/>
      <w:kern w:val="2"/>
    </w:rPr>
  </w:style>
  <w:style w:type="character" w:customStyle="1" w:styleId="searchcontent1">
    <w:name w:val="search_content1"/>
    <w:qFormat/>
    <w:rsid w:val="00521C82"/>
    <w:rPr>
      <w:sz w:val="16"/>
      <w:szCs w:val="16"/>
    </w:rPr>
  </w:style>
  <w:style w:type="paragraph" w:customStyle="1" w:styleId="L">
    <w:name w:val="L正文"/>
    <w:basedOn w:val="a0"/>
    <w:qFormat/>
    <w:rsid w:val="00521C82"/>
    <w:pPr>
      <w:topLinePunct w:val="0"/>
      <w:snapToGrid w:val="0"/>
    </w:pPr>
    <w:rPr>
      <w:rFonts w:ascii="Times New Roman" w:cs="Times New Roman"/>
      <w:kern w:val="2"/>
    </w:rPr>
  </w:style>
  <w:style w:type="paragraph" w:customStyle="1" w:styleId="-L">
    <w:name w:val="表内容-L"/>
    <w:basedOn w:val="afffffffffc"/>
    <w:qFormat/>
    <w:rsid w:val="00521C82"/>
    <w:rPr>
      <w:kern w:val="0"/>
    </w:rPr>
  </w:style>
  <w:style w:type="paragraph" w:customStyle="1" w:styleId="afffffffffc">
    <w:name w:val="表格内居中"/>
    <w:basedOn w:val="a0"/>
    <w:qFormat/>
    <w:rsid w:val="00521C82"/>
    <w:pPr>
      <w:topLinePunct w:val="0"/>
      <w:adjustRightInd/>
      <w:spacing w:line="240" w:lineRule="auto"/>
      <w:ind w:firstLineChars="0" w:firstLine="0"/>
      <w:jc w:val="center"/>
    </w:pPr>
    <w:rPr>
      <w:rFonts w:ascii="Times New Roman" w:cs="Times New Roman"/>
      <w:kern w:val="2"/>
      <w:sz w:val="21"/>
      <w:szCs w:val="20"/>
    </w:rPr>
  </w:style>
  <w:style w:type="paragraph" w:customStyle="1" w:styleId="--L">
    <w:name w:val="表-表图题-L"/>
    <w:basedOn w:val="a0"/>
    <w:qFormat/>
    <w:rsid w:val="00521C82"/>
    <w:pPr>
      <w:topLinePunct w:val="0"/>
      <w:adjustRightInd/>
      <w:spacing w:line="240" w:lineRule="auto"/>
      <w:ind w:firstLineChars="0" w:firstLine="0"/>
      <w:jc w:val="center"/>
    </w:pPr>
    <w:rPr>
      <w:rFonts w:ascii="Times New Roman" w:cs="Times New Roman"/>
      <w:b/>
      <w:kern w:val="2"/>
      <w:sz w:val="21"/>
    </w:rPr>
  </w:style>
  <w:style w:type="paragraph" w:customStyle="1" w:styleId="3e">
    <w:name w:val="样式 标题 3 + 小四 黑色"/>
    <w:basedOn w:val="3"/>
    <w:qFormat/>
    <w:rsid w:val="00521C82"/>
    <w:pPr>
      <w:topLinePunct w:val="0"/>
      <w:adjustRightInd/>
      <w:spacing w:before="100" w:beforeAutospacing="1" w:after="100" w:afterAutospacing="1" w:line="240" w:lineRule="auto"/>
      <w:ind w:firstLineChars="196" w:firstLine="472"/>
    </w:pPr>
    <w:rPr>
      <w:rFonts w:ascii="Arial" w:eastAsia="仿宋_GB2312" w:hAnsi="Arial"/>
      <w:bCs/>
      <w:color w:val="000000"/>
      <w:sz w:val="28"/>
    </w:rPr>
  </w:style>
  <w:style w:type="paragraph" w:customStyle="1" w:styleId="HH">
    <w:name w:val="HH"/>
    <w:basedOn w:val="a0"/>
    <w:qFormat/>
    <w:rsid w:val="00521C82"/>
    <w:pPr>
      <w:topLinePunct w:val="0"/>
      <w:adjustRightInd/>
      <w:ind w:firstLine="480"/>
    </w:pPr>
    <w:rPr>
      <w:rFonts w:ascii="Times New Roman"/>
      <w:kern w:val="2"/>
    </w:rPr>
  </w:style>
  <w:style w:type="paragraph" w:customStyle="1" w:styleId="2f7">
    <w:name w:val="首行缩进:2 字符"/>
    <w:basedOn w:val="a0"/>
    <w:qFormat/>
    <w:rsid w:val="00521C82"/>
    <w:pPr>
      <w:topLinePunct w:val="0"/>
      <w:adjustRightInd/>
      <w:ind w:firstLine="560"/>
    </w:pPr>
    <w:rPr>
      <w:rFonts w:ascii="Times New Roman" w:cs="Times New Roman"/>
      <w:kern w:val="2"/>
      <w:sz w:val="28"/>
      <w:szCs w:val="20"/>
    </w:rPr>
  </w:style>
  <w:style w:type="paragraph" w:customStyle="1" w:styleId="afffffffffd">
    <w:name w:val="小表文居中"/>
    <w:basedOn w:val="afffffffffe"/>
    <w:rsid w:val="00521C82"/>
    <w:pPr>
      <w:jc w:val="center"/>
    </w:pPr>
  </w:style>
  <w:style w:type="paragraph" w:customStyle="1" w:styleId="afffffffffe">
    <w:name w:val="小表文"/>
    <w:basedOn w:val="a0"/>
    <w:qFormat/>
    <w:rsid w:val="00521C82"/>
    <w:pPr>
      <w:topLinePunct w:val="0"/>
      <w:adjustRightInd/>
      <w:spacing w:before="20" w:line="240" w:lineRule="auto"/>
      <w:ind w:firstLineChars="0" w:firstLine="0"/>
    </w:pPr>
    <w:rPr>
      <w:rFonts w:ascii="Times New Roman" w:cs="Times New Roman"/>
      <w:kern w:val="2"/>
      <w:sz w:val="18"/>
    </w:rPr>
  </w:style>
  <w:style w:type="paragraph" w:customStyle="1" w:styleId="affffffffff">
    <w:name w:val="最新表格"/>
    <w:basedOn w:val="a0"/>
    <w:qFormat/>
    <w:rsid w:val="00521C82"/>
    <w:pPr>
      <w:topLinePunct w:val="0"/>
      <w:adjustRightInd/>
      <w:snapToGrid w:val="0"/>
      <w:spacing w:line="240" w:lineRule="auto"/>
      <w:ind w:firstLineChars="0" w:firstLine="0"/>
      <w:jc w:val="center"/>
    </w:pPr>
    <w:rPr>
      <w:rFonts w:ascii="Times New Roman" w:cs="Times New Roman"/>
      <w:kern w:val="2"/>
      <w:sz w:val="21"/>
      <w:szCs w:val="21"/>
    </w:rPr>
  </w:style>
  <w:style w:type="paragraph" w:customStyle="1" w:styleId="1-L">
    <w:name w:val="1正文-L"/>
    <w:basedOn w:val="a0"/>
    <w:qFormat/>
    <w:rsid w:val="00521C82"/>
    <w:pPr>
      <w:topLinePunct w:val="0"/>
      <w:adjustRightInd/>
      <w:spacing w:line="240" w:lineRule="auto"/>
      <w:ind w:firstLineChars="0" w:firstLine="480"/>
    </w:pPr>
    <w:rPr>
      <w:rFonts w:ascii="Times New Roman" w:cs="Times New Roman"/>
      <w:kern w:val="2"/>
    </w:rPr>
  </w:style>
  <w:style w:type="paragraph" w:customStyle="1" w:styleId="Default1">
    <w:name w:val="Default1"/>
    <w:uiPriority w:val="99"/>
    <w:qFormat/>
    <w:rsid w:val="00521C82"/>
    <w:pPr>
      <w:widowControl w:val="0"/>
      <w:autoSpaceDE w:val="0"/>
      <w:autoSpaceDN w:val="0"/>
      <w:adjustRightInd w:val="0"/>
    </w:pPr>
    <w:rPr>
      <w:rFonts w:ascii="宋体" w:hAnsi="Times New Roman" w:cs="宋体"/>
      <w:color w:val="000000"/>
      <w:sz w:val="24"/>
      <w:szCs w:val="24"/>
    </w:rPr>
  </w:style>
  <w:style w:type="table" w:customStyle="1" w:styleId="3f">
    <w:name w:val="网格型3"/>
    <w:basedOn w:val="a3"/>
    <w:next w:val="ad"/>
    <w:rsid w:val="006F3D8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0">
    <w:name w:val="a表格字体"/>
    <w:basedOn w:val="a0"/>
    <w:qFormat/>
    <w:rsid w:val="00CE5A2E"/>
    <w:pPr>
      <w:topLinePunct w:val="0"/>
      <w:adjustRightInd/>
      <w:spacing w:line="240" w:lineRule="auto"/>
      <w:ind w:firstLineChars="0" w:firstLine="0"/>
      <w:jc w:val="center"/>
    </w:pPr>
    <w:rPr>
      <w:rFonts w:ascii="Times New Roman" w:cs="Times New Roman"/>
      <w:kern w:val="2"/>
      <w:sz w:val="21"/>
      <w:szCs w:val="21"/>
    </w:rPr>
  </w:style>
  <w:style w:type="paragraph" w:customStyle="1" w:styleId="sun">
    <w:name w:val="正文sun"/>
    <w:basedOn w:val="a0"/>
    <w:semiHidden/>
    <w:qFormat/>
    <w:rsid w:val="005556D5"/>
    <w:pPr>
      <w:topLinePunct w:val="0"/>
      <w:adjustRightInd/>
    </w:pPr>
    <w:rPr>
      <w:rFonts w:ascii="Times New Roman" w:cs="Times New Roman"/>
      <w:kern w:val="2"/>
    </w:rPr>
  </w:style>
  <w:style w:type="table" w:customStyle="1" w:styleId="47">
    <w:name w:val="网格型4"/>
    <w:basedOn w:val="a3"/>
    <w:next w:val="ad"/>
    <w:rsid w:val="002F0C6A"/>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网格型5"/>
    <w:basedOn w:val="a3"/>
    <w:next w:val="ad"/>
    <w:rsid w:val="00F575CC"/>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8720958">
      <w:bodyDiv w:val="1"/>
      <w:marLeft w:val="0"/>
      <w:marRight w:val="0"/>
      <w:marTop w:val="0"/>
      <w:marBottom w:val="0"/>
      <w:divBdr>
        <w:top w:val="none" w:sz="0" w:space="0" w:color="auto"/>
        <w:left w:val="none" w:sz="0" w:space="0" w:color="auto"/>
        <w:bottom w:val="none" w:sz="0" w:space="0" w:color="auto"/>
        <w:right w:val="none" w:sz="0" w:space="0" w:color="auto"/>
      </w:divBdr>
    </w:div>
    <w:div w:id="144976637">
      <w:bodyDiv w:val="1"/>
      <w:marLeft w:val="0"/>
      <w:marRight w:val="0"/>
      <w:marTop w:val="0"/>
      <w:marBottom w:val="0"/>
      <w:divBdr>
        <w:top w:val="none" w:sz="0" w:space="0" w:color="auto"/>
        <w:left w:val="none" w:sz="0" w:space="0" w:color="auto"/>
        <w:bottom w:val="none" w:sz="0" w:space="0" w:color="auto"/>
        <w:right w:val="none" w:sz="0" w:space="0" w:color="auto"/>
      </w:divBdr>
    </w:div>
    <w:div w:id="646666962">
      <w:bodyDiv w:val="1"/>
      <w:marLeft w:val="0"/>
      <w:marRight w:val="0"/>
      <w:marTop w:val="0"/>
      <w:marBottom w:val="0"/>
      <w:divBdr>
        <w:top w:val="none" w:sz="0" w:space="0" w:color="auto"/>
        <w:left w:val="none" w:sz="0" w:space="0" w:color="auto"/>
        <w:bottom w:val="none" w:sz="0" w:space="0" w:color="auto"/>
        <w:right w:val="none" w:sz="0" w:space="0" w:color="auto"/>
      </w:divBdr>
    </w:div>
    <w:div w:id="841973332">
      <w:bodyDiv w:val="1"/>
      <w:marLeft w:val="0"/>
      <w:marRight w:val="0"/>
      <w:marTop w:val="0"/>
      <w:marBottom w:val="0"/>
      <w:divBdr>
        <w:top w:val="none" w:sz="0" w:space="0" w:color="auto"/>
        <w:left w:val="none" w:sz="0" w:space="0" w:color="auto"/>
        <w:bottom w:val="none" w:sz="0" w:space="0" w:color="auto"/>
        <w:right w:val="none" w:sz="0" w:space="0" w:color="auto"/>
      </w:divBdr>
    </w:div>
    <w:div w:id="879974645">
      <w:bodyDiv w:val="1"/>
      <w:marLeft w:val="0"/>
      <w:marRight w:val="0"/>
      <w:marTop w:val="0"/>
      <w:marBottom w:val="0"/>
      <w:divBdr>
        <w:top w:val="none" w:sz="0" w:space="0" w:color="auto"/>
        <w:left w:val="none" w:sz="0" w:space="0" w:color="auto"/>
        <w:bottom w:val="none" w:sz="0" w:space="0" w:color="auto"/>
        <w:right w:val="none" w:sz="0" w:space="0" w:color="auto"/>
      </w:divBdr>
    </w:div>
    <w:div w:id="995643477">
      <w:bodyDiv w:val="1"/>
      <w:marLeft w:val="0"/>
      <w:marRight w:val="0"/>
      <w:marTop w:val="0"/>
      <w:marBottom w:val="0"/>
      <w:divBdr>
        <w:top w:val="none" w:sz="0" w:space="0" w:color="auto"/>
        <w:left w:val="none" w:sz="0" w:space="0" w:color="auto"/>
        <w:bottom w:val="none" w:sz="0" w:space="0" w:color="auto"/>
        <w:right w:val="none" w:sz="0" w:space="0" w:color="auto"/>
      </w:divBdr>
    </w:div>
    <w:div w:id="1279721945">
      <w:bodyDiv w:val="1"/>
      <w:marLeft w:val="0"/>
      <w:marRight w:val="0"/>
      <w:marTop w:val="0"/>
      <w:marBottom w:val="0"/>
      <w:divBdr>
        <w:top w:val="none" w:sz="0" w:space="0" w:color="auto"/>
        <w:left w:val="none" w:sz="0" w:space="0" w:color="auto"/>
        <w:bottom w:val="none" w:sz="0" w:space="0" w:color="auto"/>
        <w:right w:val="none" w:sz="0" w:space="0" w:color="auto"/>
      </w:divBdr>
    </w:div>
    <w:div w:id="1311863932">
      <w:bodyDiv w:val="1"/>
      <w:marLeft w:val="0"/>
      <w:marRight w:val="0"/>
      <w:marTop w:val="0"/>
      <w:marBottom w:val="0"/>
      <w:divBdr>
        <w:top w:val="none" w:sz="0" w:space="0" w:color="auto"/>
        <w:left w:val="none" w:sz="0" w:space="0" w:color="auto"/>
        <w:bottom w:val="none" w:sz="0" w:space="0" w:color="auto"/>
        <w:right w:val="none" w:sz="0" w:space="0" w:color="auto"/>
      </w:divBdr>
    </w:div>
    <w:div w:id="1346131492">
      <w:bodyDiv w:val="1"/>
      <w:marLeft w:val="0"/>
      <w:marRight w:val="0"/>
      <w:marTop w:val="0"/>
      <w:marBottom w:val="0"/>
      <w:divBdr>
        <w:top w:val="none" w:sz="0" w:space="0" w:color="auto"/>
        <w:left w:val="none" w:sz="0" w:space="0" w:color="auto"/>
        <w:bottom w:val="none" w:sz="0" w:space="0" w:color="auto"/>
        <w:right w:val="none" w:sz="0" w:space="0" w:color="auto"/>
      </w:divBdr>
      <w:divsChild>
        <w:div w:id="240987124">
          <w:marLeft w:val="0"/>
          <w:marRight w:val="0"/>
          <w:marTop w:val="320"/>
          <w:marBottom w:val="0"/>
          <w:divBdr>
            <w:top w:val="none" w:sz="0" w:space="0" w:color="auto"/>
            <w:left w:val="none" w:sz="0" w:space="0" w:color="auto"/>
            <w:bottom w:val="none" w:sz="0" w:space="0" w:color="auto"/>
            <w:right w:val="none" w:sz="0" w:space="0" w:color="auto"/>
          </w:divBdr>
        </w:div>
        <w:div w:id="1457524978">
          <w:marLeft w:val="0"/>
          <w:marRight w:val="0"/>
          <w:marTop w:val="320"/>
          <w:marBottom w:val="0"/>
          <w:divBdr>
            <w:top w:val="none" w:sz="0" w:space="0" w:color="auto"/>
            <w:left w:val="none" w:sz="0" w:space="0" w:color="auto"/>
            <w:bottom w:val="none" w:sz="0" w:space="0" w:color="auto"/>
            <w:right w:val="none" w:sz="0" w:space="0" w:color="auto"/>
          </w:divBdr>
        </w:div>
      </w:divsChild>
    </w:div>
    <w:div w:id="1491750228">
      <w:bodyDiv w:val="1"/>
      <w:marLeft w:val="0"/>
      <w:marRight w:val="0"/>
      <w:marTop w:val="0"/>
      <w:marBottom w:val="0"/>
      <w:divBdr>
        <w:top w:val="none" w:sz="0" w:space="0" w:color="auto"/>
        <w:left w:val="none" w:sz="0" w:space="0" w:color="auto"/>
        <w:bottom w:val="none" w:sz="0" w:space="0" w:color="auto"/>
        <w:right w:val="none" w:sz="0" w:space="0" w:color="auto"/>
      </w:divBdr>
    </w:div>
    <w:div w:id="1590654810">
      <w:bodyDiv w:val="1"/>
      <w:marLeft w:val="0"/>
      <w:marRight w:val="0"/>
      <w:marTop w:val="0"/>
      <w:marBottom w:val="0"/>
      <w:divBdr>
        <w:top w:val="none" w:sz="0" w:space="0" w:color="auto"/>
        <w:left w:val="none" w:sz="0" w:space="0" w:color="auto"/>
        <w:bottom w:val="none" w:sz="0" w:space="0" w:color="auto"/>
        <w:right w:val="none" w:sz="0" w:space="0" w:color="auto"/>
      </w:divBdr>
      <w:divsChild>
        <w:div w:id="640843340">
          <w:marLeft w:val="0"/>
          <w:marRight w:val="0"/>
          <w:marTop w:val="320"/>
          <w:marBottom w:val="0"/>
          <w:divBdr>
            <w:top w:val="none" w:sz="0" w:space="0" w:color="auto"/>
            <w:left w:val="none" w:sz="0" w:space="0" w:color="auto"/>
            <w:bottom w:val="none" w:sz="0" w:space="0" w:color="auto"/>
            <w:right w:val="none" w:sz="0" w:space="0" w:color="auto"/>
          </w:divBdr>
        </w:div>
        <w:div w:id="1664698194">
          <w:marLeft w:val="0"/>
          <w:marRight w:val="0"/>
          <w:marTop w:val="320"/>
          <w:marBottom w:val="0"/>
          <w:divBdr>
            <w:top w:val="none" w:sz="0" w:space="0" w:color="auto"/>
            <w:left w:val="none" w:sz="0" w:space="0" w:color="auto"/>
            <w:bottom w:val="none" w:sz="0" w:space="0" w:color="auto"/>
            <w:right w:val="none" w:sz="0" w:space="0" w:color="auto"/>
          </w:divBdr>
        </w:div>
      </w:divsChild>
    </w:div>
    <w:div w:id="1685404375">
      <w:bodyDiv w:val="1"/>
      <w:marLeft w:val="0"/>
      <w:marRight w:val="0"/>
      <w:marTop w:val="0"/>
      <w:marBottom w:val="0"/>
      <w:divBdr>
        <w:top w:val="none" w:sz="0" w:space="0" w:color="auto"/>
        <w:left w:val="none" w:sz="0" w:space="0" w:color="auto"/>
        <w:bottom w:val="none" w:sz="0" w:space="0" w:color="auto"/>
        <w:right w:val="none" w:sz="0" w:space="0" w:color="auto"/>
      </w:divBdr>
    </w:div>
    <w:div w:id="1782144329">
      <w:bodyDiv w:val="1"/>
      <w:marLeft w:val="0"/>
      <w:marRight w:val="0"/>
      <w:marTop w:val="0"/>
      <w:marBottom w:val="0"/>
      <w:divBdr>
        <w:top w:val="none" w:sz="0" w:space="0" w:color="auto"/>
        <w:left w:val="none" w:sz="0" w:space="0" w:color="auto"/>
        <w:bottom w:val="none" w:sz="0" w:space="0" w:color="auto"/>
        <w:right w:val="none" w:sz="0" w:space="0" w:color="auto"/>
      </w:divBdr>
    </w:div>
    <w:div w:id="20030065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oleObject" Target="embeddings/oleObject18.bin"/><Relationship Id="rId21" Type="http://schemas.openxmlformats.org/officeDocument/2006/relationships/image" Target="media/image2.png"/><Relationship Id="rId42" Type="http://schemas.openxmlformats.org/officeDocument/2006/relationships/footer" Target="footer8.xml"/><Relationship Id="rId47" Type="http://schemas.openxmlformats.org/officeDocument/2006/relationships/image" Target="media/image21.jpeg"/><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54.png"/><Relationship Id="rId89" Type="http://schemas.openxmlformats.org/officeDocument/2006/relationships/footer" Target="footer12.xml"/><Relationship Id="rId112" Type="http://schemas.openxmlformats.org/officeDocument/2006/relationships/image" Target="media/image64.wmf"/><Relationship Id="rId133" Type="http://schemas.openxmlformats.org/officeDocument/2006/relationships/header" Target="header15.xml"/><Relationship Id="rId138" Type="http://schemas.openxmlformats.org/officeDocument/2006/relationships/footer" Target="footer16.xml"/><Relationship Id="rId16" Type="http://schemas.openxmlformats.org/officeDocument/2006/relationships/footer" Target="footer5.xml"/><Relationship Id="rId107" Type="http://schemas.openxmlformats.org/officeDocument/2006/relationships/image" Target="media/image63.wmf"/><Relationship Id="rId11" Type="http://schemas.openxmlformats.org/officeDocument/2006/relationships/header" Target="header3.xml"/><Relationship Id="rId32" Type="http://schemas.openxmlformats.org/officeDocument/2006/relationships/image" Target="media/image11.png"/><Relationship Id="rId37" Type="http://schemas.openxmlformats.org/officeDocument/2006/relationships/image" Target="media/image16.jpeg"/><Relationship Id="rId53" Type="http://schemas.openxmlformats.org/officeDocument/2006/relationships/image" Target="media/image25.png"/><Relationship Id="rId58" Type="http://schemas.openxmlformats.org/officeDocument/2006/relationships/image" Target="media/image30.jpe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oleObject" Target="embeddings/oleObject9.bin"/><Relationship Id="rId123" Type="http://schemas.openxmlformats.org/officeDocument/2006/relationships/hyperlink" Target="http://baike.baidu.com/view/2278558.htm" TargetMode="External"/><Relationship Id="rId128" Type="http://schemas.openxmlformats.org/officeDocument/2006/relationships/image" Target="media/image74.png"/><Relationship Id="rId144" Type="http://schemas.openxmlformats.org/officeDocument/2006/relationships/footer" Target="footer19.xml"/><Relationship Id="rId5" Type="http://schemas.openxmlformats.org/officeDocument/2006/relationships/footnotes" Target="footnotes.xml"/><Relationship Id="rId90" Type="http://schemas.openxmlformats.org/officeDocument/2006/relationships/header" Target="header14.xml"/><Relationship Id="rId95" Type="http://schemas.openxmlformats.org/officeDocument/2006/relationships/image" Target="media/image57.wmf"/><Relationship Id="rId22" Type="http://schemas.openxmlformats.org/officeDocument/2006/relationships/image" Target="media/image3.png"/><Relationship Id="rId27" Type="http://schemas.openxmlformats.org/officeDocument/2006/relationships/footer" Target="footer7.xml"/><Relationship Id="rId43" Type="http://schemas.openxmlformats.org/officeDocument/2006/relationships/header" Target="header10.xml"/><Relationship Id="rId48" Type="http://schemas.openxmlformats.org/officeDocument/2006/relationships/header" Target="header11.xml"/><Relationship Id="rId64" Type="http://schemas.openxmlformats.org/officeDocument/2006/relationships/image" Target="media/image36.jpeg"/><Relationship Id="rId69" Type="http://schemas.openxmlformats.org/officeDocument/2006/relationships/image" Target="media/image41.jpeg"/><Relationship Id="rId113" Type="http://schemas.openxmlformats.org/officeDocument/2006/relationships/oleObject" Target="embeddings/oleObject16.bin"/><Relationship Id="rId118" Type="http://schemas.openxmlformats.org/officeDocument/2006/relationships/image" Target="media/image67.wmf"/><Relationship Id="rId134" Type="http://schemas.openxmlformats.org/officeDocument/2006/relationships/header" Target="header16.xml"/><Relationship Id="rId139" Type="http://schemas.openxmlformats.org/officeDocument/2006/relationships/header" Target="header18.xml"/><Relationship Id="rId80" Type="http://schemas.openxmlformats.org/officeDocument/2006/relationships/image" Target="media/image52.wmf"/><Relationship Id="rId85" Type="http://schemas.openxmlformats.org/officeDocument/2006/relationships/image" Target="media/image55.pn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eader" Target="header6.xml"/><Relationship Id="rId25" Type="http://schemas.openxmlformats.org/officeDocument/2006/relationships/image" Target="media/image6.png"/><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image" Target="media/image20.png"/><Relationship Id="rId59" Type="http://schemas.openxmlformats.org/officeDocument/2006/relationships/image" Target="media/image31.jpeg"/><Relationship Id="rId67" Type="http://schemas.openxmlformats.org/officeDocument/2006/relationships/image" Target="media/image39.jpeg"/><Relationship Id="rId103" Type="http://schemas.openxmlformats.org/officeDocument/2006/relationships/image" Target="media/image61.wmf"/><Relationship Id="rId108" Type="http://schemas.openxmlformats.org/officeDocument/2006/relationships/oleObject" Target="embeddings/oleObject12.bin"/><Relationship Id="rId116" Type="http://schemas.openxmlformats.org/officeDocument/2006/relationships/image" Target="media/image66.wmf"/><Relationship Id="rId124" Type="http://schemas.openxmlformats.org/officeDocument/2006/relationships/hyperlink" Target="http://baike.baidu.com/view/62511.htm" TargetMode="External"/><Relationship Id="rId129" Type="http://schemas.openxmlformats.org/officeDocument/2006/relationships/image" Target="media/image75.jpeg"/><Relationship Id="rId137" Type="http://schemas.openxmlformats.org/officeDocument/2006/relationships/header" Target="header17.xml"/><Relationship Id="rId20" Type="http://schemas.openxmlformats.org/officeDocument/2006/relationships/oleObject" Target="embeddings/oleObject1.bin"/><Relationship Id="rId41" Type="http://schemas.openxmlformats.org/officeDocument/2006/relationships/header" Target="header9.xml"/><Relationship Id="rId54" Type="http://schemas.openxmlformats.org/officeDocument/2006/relationships/image" Target="media/image26.pn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7.png"/><Relationship Id="rId83" Type="http://schemas.openxmlformats.org/officeDocument/2006/relationships/oleObject" Target="embeddings/oleObject3.bin"/><Relationship Id="rId88" Type="http://schemas.openxmlformats.org/officeDocument/2006/relationships/footer" Target="footer11.xml"/><Relationship Id="rId91" Type="http://schemas.openxmlformats.org/officeDocument/2006/relationships/footer" Target="footer13.xml"/><Relationship Id="rId96" Type="http://schemas.openxmlformats.org/officeDocument/2006/relationships/oleObject" Target="embeddings/oleObject6.bin"/><Relationship Id="rId111" Type="http://schemas.openxmlformats.org/officeDocument/2006/relationships/oleObject" Target="embeddings/oleObject15.bin"/><Relationship Id="rId132" Type="http://schemas.openxmlformats.org/officeDocument/2006/relationships/image" Target="media/image78.png"/><Relationship Id="rId140" Type="http://schemas.openxmlformats.org/officeDocument/2006/relationships/header" Target="header19.xml"/><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image" Target="media/image4.jpe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footer" Target="footer10.xml"/><Relationship Id="rId57" Type="http://schemas.openxmlformats.org/officeDocument/2006/relationships/image" Target="media/image29.jpeg"/><Relationship Id="rId106" Type="http://schemas.openxmlformats.org/officeDocument/2006/relationships/oleObject" Target="embeddings/oleObject11.bin"/><Relationship Id="rId114" Type="http://schemas.openxmlformats.org/officeDocument/2006/relationships/image" Target="media/image65.wmf"/><Relationship Id="rId119" Type="http://schemas.openxmlformats.org/officeDocument/2006/relationships/oleObject" Target="embeddings/oleObject19.bin"/><Relationship Id="rId127" Type="http://schemas.openxmlformats.org/officeDocument/2006/relationships/image" Target="media/image73.png"/><Relationship Id="rId10" Type="http://schemas.openxmlformats.org/officeDocument/2006/relationships/footer" Target="footer2.xml"/><Relationship Id="rId31" Type="http://schemas.openxmlformats.org/officeDocument/2006/relationships/image" Target="media/image10.jpeg"/><Relationship Id="rId44" Type="http://schemas.openxmlformats.org/officeDocument/2006/relationships/footer" Target="footer9.xml"/><Relationship Id="rId52" Type="http://schemas.openxmlformats.org/officeDocument/2006/relationships/image" Target="media/image24.pn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oleObject" Target="embeddings/oleObject2.bin"/><Relationship Id="rId86" Type="http://schemas.openxmlformats.org/officeDocument/2006/relationships/header" Target="header12.xml"/><Relationship Id="rId94" Type="http://schemas.openxmlformats.org/officeDocument/2006/relationships/oleObject" Target="embeddings/oleObject5.bin"/><Relationship Id="rId99" Type="http://schemas.openxmlformats.org/officeDocument/2006/relationships/image" Target="media/image59.wmf"/><Relationship Id="rId101" Type="http://schemas.openxmlformats.org/officeDocument/2006/relationships/image" Target="media/image60.wmf"/><Relationship Id="rId122" Type="http://schemas.openxmlformats.org/officeDocument/2006/relationships/image" Target="media/image70.emf"/><Relationship Id="rId130" Type="http://schemas.openxmlformats.org/officeDocument/2006/relationships/image" Target="media/image76.jpeg"/><Relationship Id="rId135" Type="http://schemas.openxmlformats.org/officeDocument/2006/relationships/footer" Target="footer14.xml"/><Relationship Id="rId143" Type="http://schemas.openxmlformats.org/officeDocument/2006/relationships/header" Target="header20.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eader" Target="header4.xml"/><Relationship Id="rId18" Type="http://schemas.openxmlformats.org/officeDocument/2006/relationships/footer" Target="footer6.xml"/><Relationship Id="rId39" Type="http://schemas.openxmlformats.org/officeDocument/2006/relationships/image" Target="media/image18.png"/><Relationship Id="rId109" Type="http://schemas.openxmlformats.org/officeDocument/2006/relationships/oleObject" Target="embeddings/oleObject13.bin"/><Relationship Id="rId34" Type="http://schemas.openxmlformats.org/officeDocument/2006/relationships/image" Target="media/image13.png"/><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image" Target="media/image48.png"/><Relationship Id="rId97" Type="http://schemas.openxmlformats.org/officeDocument/2006/relationships/image" Target="media/image58.wmf"/><Relationship Id="rId104" Type="http://schemas.openxmlformats.org/officeDocument/2006/relationships/oleObject" Target="embeddings/oleObject10.bin"/><Relationship Id="rId120" Type="http://schemas.openxmlformats.org/officeDocument/2006/relationships/image" Target="media/image68.emf"/><Relationship Id="rId125" Type="http://schemas.openxmlformats.org/officeDocument/2006/relationships/image" Target="media/image71.png"/><Relationship Id="rId141" Type="http://schemas.openxmlformats.org/officeDocument/2006/relationships/footer" Target="footer17.xml"/><Relationship Id="rId146"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image" Target="media/image43.jpeg"/><Relationship Id="rId92" Type="http://schemas.openxmlformats.org/officeDocument/2006/relationships/oleObject" Target="embeddings/oleObject4.bin"/><Relationship Id="rId2" Type="http://schemas.openxmlformats.org/officeDocument/2006/relationships/styles" Target="styles.xml"/><Relationship Id="rId29" Type="http://schemas.openxmlformats.org/officeDocument/2006/relationships/image" Target="media/image8.jpeg"/><Relationship Id="rId24" Type="http://schemas.openxmlformats.org/officeDocument/2006/relationships/image" Target="media/image5.jpeg"/><Relationship Id="rId40" Type="http://schemas.openxmlformats.org/officeDocument/2006/relationships/header" Target="header8.xml"/><Relationship Id="rId45" Type="http://schemas.openxmlformats.org/officeDocument/2006/relationships/image" Target="media/image19.png"/><Relationship Id="rId66" Type="http://schemas.openxmlformats.org/officeDocument/2006/relationships/image" Target="media/image38.jpeg"/><Relationship Id="rId87" Type="http://schemas.openxmlformats.org/officeDocument/2006/relationships/header" Target="header13.xml"/><Relationship Id="rId110" Type="http://schemas.openxmlformats.org/officeDocument/2006/relationships/oleObject" Target="embeddings/oleObject14.bin"/><Relationship Id="rId115" Type="http://schemas.openxmlformats.org/officeDocument/2006/relationships/oleObject" Target="embeddings/oleObject17.bin"/><Relationship Id="rId131" Type="http://schemas.openxmlformats.org/officeDocument/2006/relationships/image" Target="media/image77.png"/><Relationship Id="rId136" Type="http://schemas.openxmlformats.org/officeDocument/2006/relationships/footer" Target="footer15.xml"/><Relationship Id="rId61" Type="http://schemas.openxmlformats.org/officeDocument/2006/relationships/image" Target="media/image33.jpeg"/><Relationship Id="rId82" Type="http://schemas.openxmlformats.org/officeDocument/2006/relationships/image" Target="media/image53.wmf"/><Relationship Id="rId19" Type="http://schemas.openxmlformats.org/officeDocument/2006/relationships/image" Target="media/image1.wmf"/><Relationship Id="rId14" Type="http://schemas.openxmlformats.org/officeDocument/2006/relationships/header" Target="header5.xml"/><Relationship Id="rId30" Type="http://schemas.openxmlformats.org/officeDocument/2006/relationships/image" Target="media/image9.png"/><Relationship Id="rId35" Type="http://schemas.openxmlformats.org/officeDocument/2006/relationships/image" Target="media/image14.jpeg"/><Relationship Id="rId56" Type="http://schemas.openxmlformats.org/officeDocument/2006/relationships/image" Target="media/image28.jpeg"/><Relationship Id="rId77" Type="http://schemas.openxmlformats.org/officeDocument/2006/relationships/image" Target="media/image49.png"/><Relationship Id="rId100" Type="http://schemas.openxmlformats.org/officeDocument/2006/relationships/oleObject" Target="embeddings/oleObject8.bin"/><Relationship Id="rId105" Type="http://schemas.openxmlformats.org/officeDocument/2006/relationships/image" Target="media/image62.wmf"/><Relationship Id="rId126" Type="http://schemas.openxmlformats.org/officeDocument/2006/relationships/image" Target="media/image72.png"/><Relationship Id="rId8" Type="http://schemas.openxmlformats.org/officeDocument/2006/relationships/header" Target="header2.xml"/><Relationship Id="rId51" Type="http://schemas.openxmlformats.org/officeDocument/2006/relationships/image" Target="media/image23.png"/><Relationship Id="rId72" Type="http://schemas.openxmlformats.org/officeDocument/2006/relationships/image" Target="media/image44.png"/><Relationship Id="rId93" Type="http://schemas.openxmlformats.org/officeDocument/2006/relationships/image" Target="media/image56.wmf"/><Relationship Id="rId98" Type="http://schemas.openxmlformats.org/officeDocument/2006/relationships/oleObject" Target="embeddings/oleObject7.bin"/><Relationship Id="rId121" Type="http://schemas.openxmlformats.org/officeDocument/2006/relationships/image" Target="media/image69.emf"/><Relationship Id="rId142" Type="http://schemas.openxmlformats.org/officeDocument/2006/relationships/footer" Target="footer18.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5060</TotalTime>
  <Pages>323</Pages>
  <Words>37979</Words>
  <Characters>216481</Characters>
  <Application>Microsoft Office Word</Application>
  <DocSecurity>0</DocSecurity>
  <Lines>1804</Lines>
  <Paragraphs>507</Paragraphs>
  <ScaleCrop>false</ScaleCrop>
  <Company>china</Company>
  <LinksUpToDate>false</LinksUpToDate>
  <CharactersWithSpaces>253953</CharactersWithSpaces>
  <SharedDoc>false</SharedDoc>
  <HLinks>
    <vt:vector size="510" baseType="variant">
      <vt:variant>
        <vt:i4>5898318</vt:i4>
      </vt:variant>
      <vt:variant>
        <vt:i4>540</vt:i4>
      </vt:variant>
      <vt:variant>
        <vt:i4>0</vt:i4>
      </vt:variant>
      <vt:variant>
        <vt:i4>5</vt:i4>
      </vt:variant>
      <vt:variant>
        <vt:lpwstr>http://www.lib.whu.edu.cn/~calis/yrrd/txk/img/629.jpg</vt:lpwstr>
      </vt:variant>
      <vt:variant>
        <vt:lpwstr/>
      </vt:variant>
      <vt:variant>
        <vt:i4>1900602</vt:i4>
      </vt:variant>
      <vt:variant>
        <vt:i4>500</vt:i4>
      </vt:variant>
      <vt:variant>
        <vt:i4>0</vt:i4>
      </vt:variant>
      <vt:variant>
        <vt:i4>5</vt:i4>
      </vt:variant>
      <vt:variant>
        <vt:lpwstr/>
      </vt:variant>
      <vt:variant>
        <vt:lpwstr>_Toc81515329</vt:lpwstr>
      </vt:variant>
      <vt:variant>
        <vt:i4>1835066</vt:i4>
      </vt:variant>
      <vt:variant>
        <vt:i4>494</vt:i4>
      </vt:variant>
      <vt:variant>
        <vt:i4>0</vt:i4>
      </vt:variant>
      <vt:variant>
        <vt:i4>5</vt:i4>
      </vt:variant>
      <vt:variant>
        <vt:lpwstr/>
      </vt:variant>
      <vt:variant>
        <vt:lpwstr>_Toc81515328</vt:lpwstr>
      </vt:variant>
      <vt:variant>
        <vt:i4>1245242</vt:i4>
      </vt:variant>
      <vt:variant>
        <vt:i4>488</vt:i4>
      </vt:variant>
      <vt:variant>
        <vt:i4>0</vt:i4>
      </vt:variant>
      <vt:variant>
        <vt:i4>5</vt:i4>
      </vt:variant>
      <vt:variant>
        <vt:lpwstr/>
      </vt:variant>
      <vt:variant>
        <vt:lpwstr>_Toc81515327</vt:lpwstr>
      </vt:variant>
      <vt:variant>
        <vt:i4>1179706</vt:i4>
      </vt:variant>
      <vt:variant>
        <vt:i4>482</vt:i4>
      </vt:variant>
      <vt:variant>
        <vt:i4>0</vt:i4>
      </vt:variant>
      <vt:variant>
        <vt:i4>5</vt:i4>
      </vt:variant>
      <vt:variant>
        <vt:lpwstr/>
      </vt:variant>
      <vt:variant>
        <vt:lpwstr>_Toc81515326</vt:lpwstr>
      </vt:variant>
      <vt:variant>
        <vt:i4>1114170</vt:i4>
      </vt:variant>
      <vt:variant>
        <vt:i4>476</vt:i4>
      </vt:variant>
      <vt:variant>
        <vt:i4>0</vt:i4>
      </vt:variant>
      <vt:variant>
        <vt:i4>5</vt:i4>
      </vt:variant>
      <vt:variant>
        <vt:lpwstr/>
      </vt:variant>
      <vt:variant>
        <vt:lpwstr>_Toc81515325</vt:lpwstr>
      </vt:variant>
      <vt:variant>
        <vt:i4>1048634</vt:i4>
      </vt:variant>
      <vt:variant>
        <vt:i4>470</vt:i4>
      </vt:variant>
      <vt:variant>
        <vt:i4>0</vt:i4>
      </vt:variant>
      <vt:variant>
        <vt:i4>5</vt:i4>
      </vt:variant>
      <vt:variant>
        <vt:lpwstr/>
      </vt:variant>
      <vt:variant>
        <vt:lpwstr>_Toc81515324</vt:lpwstr>
      </vt:variant>
      <vt:variant>
        <vt:i4>1507386</vt:i4>
      </vt:variant>
      <vt:variant>
        <vt:i4>464</vt:i4>
      </vt:variant>
      <vt:variant>
        <vt:i4>0</vt:i4>
      </vt:variant>
      <vt:variant>
        <vt:i4>5</vt:i4>
      </vt:variant>
      <vt:variant>
        <vt:lpwstr/>
      </vt:variant>
      <vt:variant>
        <vt:lpwstr>_Toc81515323</vt:lpwstr>
      </vt:variant>
      <vt:variant>
        <vt:i4>1441850</vt:i4>
      </vt:variant>
      <vt:variant>
        <vt:i4>458</vt:i4>
      </vt:variant>
      <vt:variant>
        <vt:i4>0</vt:i4>
      </vt:variant>
      <vt:variant>
        <vt:i4>5</vt:i4>
      </vt:variant>
      <vt:variant>
        <vt:lpwstr/>
      </vt:variant>
      <vt:variant>
        <vt:lpwstr>_Toc81515322</vt:lpwstr>
      </vt:variant>
      <vt:variant>
        <vt:i4>1376314</vt:i4>
      </vt:variant>
      <vt:variant>
        <vt:i4>452</vt:i4>
      </vt:variant>
      <vt:variant>
        <vt:i4>0</vt:i4>
      </vt:variant>
      <vt:variant>
        <vt:i4>5</vt:i4>
      </vt:variant>
      <vt:variant>
        <vt:lpwstr/>
      </vt:variant>
      <vt:variant>
        <vt:lpwstr>_Toc81515321</vt:lpwstr>
      </vt:variant>
      <vt:variant>
        <vt:i4>1310778</vt:i4>
      </vt:variant>
      <vt:variant>
        <vt:i4>446</vt:i4>
      </vt:variant>
      <vt:variant>
        <vt:i4>0</vt:i4>
      </vt:variant>
      <vt:variant>
        <vt:i4>5</vt:i4>
      </vt:variant>
      <vt:variant>
        <vt:lpwstr/>
      </vt:variant>
      <vt:variant>
        <vt:lpwstr>_Toc81515320</vt:lpwstr>
      </vt:variant>
      <vt:variant>
        <vt:i4>1900601</vt:i4>
      </vt:variant>
      <vt:variant>
        <vt:i4>440</vt:i4>
      </vt:variant>
      <vt:variant>
        <vt:i4>0</vt:i4>
      </vt:variant>
      <vt:variant>
        <vt:i4>5</vt:i4>
      </vt:variant>
      <vt:variant>
        <vt:lpwstr/>
      </vt:variant>
      <vt:variant>
        <vt:lpwstr>_Toc81515319</vt:lpwstr>
      </vt:variant>
      <vt:variant>
        <vt:i4>1835065</vt:i4>
      </vt:variant>
      <vt:variant>
        <vt:i4>434</vt:i4>
      </vt:variant>
      <vt:variant>
        <vt:i4>0</vt:i4>
      </vt:variant>
      <vt:variant>
        <vt:i4>5</vt:i4>
      </vt:variant>
      <vt:variant>
        <vt:lpwstr/>
      </vt:variant>
      <vt:variant>
        <vt:lpwstr>_Toc81515318</vt:lpwstr>
      </vt:variant>
      <vt:variant>
        <vt:i4>1245241</vt:i4>
      </vt:variant>
      <vt:variant>
        <vt:i4>428</vt:i4>
      </vt:variant>
      <vt:variant>
        <vt:i4>0</vt:i4>
      </vt:variant>
      <vt:variant>
        <vt:i4>5</vt:i4>
      </vt:variant>
      <vt:variant>
        <vt:lpwstr/>
      </vt:variant>
      <vt:variant>
        <vt:lpwstr>_Toc81515317</vt:lpwstr>
      </vt:variant>
      <vt:variant>
        <vt:i4>1179705</vt:i4>
      </vt:variant>
      <vt:variant>
        <vt:i4>422</vt:i4>
      </vt:variant>
      <vt:variant>
        <vt:i4>0</vt:i4>
      </vt:variant>
      <vt:variant>
        <vt:i4>5</vt:i4>
      </vt:variant>
      <vt:variant>
        <vt:lpwstr/>
      </vt:variant>
      <vt:variant>
        <vt:lpwstr>_Toc81515316</vt:lpwstr>
      </vt:variant>
      <vt:variant>
        <vt:i4>1114169</vt:i4>
      </vt:variant>
      <vt:variant>
        <vt:i4>416</vt:i4>
      </vt:variant>
      <vt:variant>
        <vt:i4>0</vt:i4>
      </vt:variant>
      <vt:variant>
        <vt:i4>5</vt:i4>
      </vt:variant>
      <vt:variant>
        <vt:lpwstr/>
      </vt:variant>
      <vt:variant>
        <vt:lpwstr>_Toc81515315</vt:lpwstr>
      </vt:variant>
      <vt:variant>
        <vt:i4>1048633</vt:i4>
      </vt:variant>
      <vt:variant>
        <vt:i4>410</vt:i4>
      </vt:variant>
      <vt:variant>
        <vt:i4>0</vt:i4>
      </vt:variant>
      <vt:variant>
        <vt:i4>5</vt:i4>
      </vt:variant>
      <vt:variant>
        <vt:lpwstr/>
      </vt:variant>
      <vt:variant>
        <vt:lpwstr>_Toc81515314</vt:lpwstr>
      </vt:variant>
      <vt:variant>
        <vt:i4>1507385</vt:i4>
      </vt:variant>
      <vt:variant>
        <vt:i4>404</vt:i4>
      </vt:variant>
      <vt:variant>
        <vt:i4>0</vt:i4>
      </vt:variant>
      <vt:variant>
        <vt:i4>5</vt:i4>
      </vt:variant>
      <vt:variant>
        <vt:lpwstr/>
      </vt:variant>
      <vt:variant>
        <vt:lpwstr>_Toc81515313</vt:lpwstr>
      </vt:variant>
      <vt:variant>
        <vt:i4>1441849</vt:i4>
      </vt:variant>
      <vt:variant>
        <vt:i4>398</vt:i4>
      </vt:variant>
      <vt:variant>
        <vt:i4>0</vt:i4>
      </vt:variant>
      <vt:variant>
        <vt:i4>5</vt:i4>
      </vt:variant>
      <vt:variant>
        <vt:lpwstr/>
      </vt:variant>
      <vt:variant>
        <vt:lpwstr>_Toc81515312</vt:lpwstr>
      </vt:variant>
      <vt:variant>
        <vt:i4>1376313</vt:i4>
      </vt:variant>
      <vt:variant>
        <vt:i4>392</vt:i4>
      </vt:variant>
      <vt:variant>
        <vt:i4>0</vt:i4>
      </vt:variant>
      <vt:variant>
        <vt:i4>5</vt:i4>
      </vt:variant>
      <vt:variant>
        <vt:lpwstr/>
      </vt:variant>
      <vt:variant>
        <vt:lpwstr>_Toc81515311</vt:lpwstr>
      </vt:variant>
      <vt:variant>
        <vt:i4>1310777</vt:i4>
      </vt:variant>
      <vt:variant>
        <vt:i4>386</vt:i4>
      </vt:variant>
      <vt:variant>
        <vt:i4>0</vt:i4>
      </vt:variant>
      <vt:variant>
        <vt:i4>5</vt:i4>
      </vt:variant>
      <vt:variant>
        <vt:lpwstr/>
      </vt:variant>
      <vt:variant>
        <vt:lpwstr>_Toc81515310</vt:lpwstr>
      </vt:variant>
      <vt:variant>
        <vt:i4>1900600</vt:i4>
      </vt:variant>
      <vt:variant>
        <vt:i4>380</vt:i4>
      </vt:variant>
      <vt:variant>
        <vt:i4>0</vt:i4>
      </vt:variant>
      <vt:variant>
        <vt:i4>5</vt:i4>
      </vt:variant>
      <vt:variant>
        <vt:lpwstr/>
      </vt:variant>
      <vt:variant>
        <vt:lpwstr>_Toc81515309</vt:lpwstr>
      </vt:variant>
      <vt:variant>
        <vt:i4>1835064</vt:i4>
      </vt:variant>
      <vt:variant>
        <vt:i4>374</vt:i4>
      </vt:variant>
      <vt:variant>
        <vt:i4>0</vt:i4>
      </vt:variant>
      <vt:variant>
        <vt:i4>5</vt:i4>
      </vt:variant>
      <vt:variant>
        <vt:lpwstr/>
      </vt:variant>
      <vt:variant>
        <vt:lpwstr>_Toc81515308</vt:lpwstr>
      </vt:variant>
      <vt:variant>
        <vt:i4>1245240</vt:i4>
      </vt:variant>
      <vt:variant>
        <vt:i4>368</vt:i4>
      </vt:variant>
      <vt:variant>
        <vt:i4>0</vt:i4>
      </vt:variant>
      <vt:variant>
        <vt:i4>5</vt:i4>
      </vt:variant>
      <vt:variant>
        <vt:lpwstr/>
      </vt:variant>
      <vt:variant>
        <vt:lpwstr>_Toc81515307</vt:lpwstr>
      </vt:variant>
      <vt:variant>
        <vt:i4>1179704</vt:i4>
      </vt:variant>
      <vt:variant>
        <vt:i4>362</vt:i4>
      </vt:variant>
      <vt:variant>
        <vt:i4>0</vt:i4>
      </vt:variant>
      <vt:variant>
        <vt:i4>5</vt:i4>
      </vt:variant>
      <vt:variant>
        <vt:lpwstr/>
      </vt:variant>
      <vt:variant>
        <vt:lpwstr>_Toc81515306</vt:lpwstr>
      </vt:variant>
      <vt:variant>
        <vt:i4>1114168</vt:i4>
      </vt:variant>
      <vt:variant>
        <vt:i4>356</vt:i4>
      </vt:variant>
      <vt:variant>
        <vt:i4>0</vt:i4>
      </vt:variant>
      <vt:variant>
        <vt:i4>5</vt:i4>
      </vt:variant>
      <vt:variant>
        <vt:lpwstr/>
      </vt:variant>
      <vt:variant>
        <vt:lpwstr>_Toc81515305</vt:lpwstr>
      </vt:variant>
      <vt:variant>
        <vt:i4>1048632</vt:i4>
      </vt:variant>
      <vt:variant>
        <vt:i4>350</vt:i4>
      </vt:variant>
      <vt:variant>
        <vt:i4>0</vt:i4>
      </vt:variant>
      <vt:variant>
        <vt:i4>5</vt:i4>
      </vt:variant>
      <vt:variant>
        <vt:lpwstr/>
      </vt:variant>
      <vt:variant>
        <vt:lpwstr>_Toc81515304</vt:lpwstr>
      </vt:variant>
      <vt:variant>
        <vt:i4>1507384</vt:i4>
      </vt:variant>
      <vt:variant>
        <vt:i4>344</vt:i4>
      </vt:variant>
      <vt:variant>
        <vt:i4>0</vt:i4>
      </vt:variant>
      <vt:variant>
        <vt:i4>5</vt:i4>
      </vt:variant>
      <vt:variant>
        <vt:lpwstr/>
      </vt:variant>
      <vt:variant>
        <vt:lpwstr>_Toc81515303</vt:lpwstr>
      </vt:variant>
      <vt:variant>
        <vt:i4>1441848</vt:i4>
      </vt:variant>
      <vt:variant>
        <vt:i4>338</vt:i4>
      </vt:variant>
      <vt:variant>
        <vt:i4>0</vt:i4>
      </vt:variant>
      <vt:variant>
        <vt:i4>5</vt:i4>
      </vt:variant>
      <vt:variant>
        <vt:lpwstr/>
      </vt:variant>
      <vt:variant>
        <vt:lpwstr>_Toc81515302</vt:lpwstr>
      </vt:variant>
      <vt:variant>
        <vt:i4>1376312</vt:i4>
      </vt:variant>
      <vt:variant>
        <vt:i4>332</vt:i4>
      </vt:variant>
      <vt:variant>
        <vt:i4>0</vt:i4>
      </vt:variant>
      <vt:variant>
        <vt:i4>5</vt:i4>
      </vt:variant>
      <vt:variant>
        <vt:lpwstr/>
      </vt:variant>
      <vt:variant>
        <vt:lpwstr>_Toc81515301</vt:lpwstr>
      </vt:variant>
      <vt:variant>
        <vt:i4>1310776</vt:i4>
      </vt:variant>
      <vt:variant>
        <vt:i4>326</vt:i4>
      </vt:variant>
      <vt:variant>
        <vt:i4>0</vt:i4>
      </vt:variant>
      <vt:variant>
        <vt:i4>5</vt:i4>
      </vt:variant>
      <vt:variant>
        <vt:lpwstr/>
      </vt:variant>
      <vt:variant>
        <vt:lpwstr>_Toc81515300</vt:lpwstr>
      </vt:variant>
      <vt:variant>
        <vt:i4>1835057</vt:i4>
      </vt:variant>
      <vt:variant>
        <vt:i4>320</vt:i4>
      </vt:variant>
      <vt:variant>
        <vt:i4>0</vt:i4>
      </vt:variant>
      <vt:variant>
        <vt:i4>5</vt:i4>
      </vt:variant>
      <vt:variant>
        <vt:lpwstr/>
      </vt:variant>
      <vt:variant>
        <vt:lpwstr>_Toc81515299</vt:lpwstr>
      </vt:variant>
      <vt:variant>
        <vt:i4>1900593</vt:i4>
      </vt:variant>
      <vt:variant>
        <vt:i4>314</vt:i4>
      </vt:variant>
      <vt:variant>
        <vt:i4>0</vt:i4>
      </vt:variant>
      <vt:variant>
        <vt:i4>5</vt:i4>
      </vt:variant>
      <vt:variant>
        <vt:lpwstr/>
      </vt:variant>
      <vt:variant>
        <vt:lpwstr>_Toc81515298</vt:lpwstr>
      </vt:variant>
      <vt:variant>
        <vt:i4>1179697</vt:i4>
      </vt:variant>
      <vt:variant>
        <vt:i4>308</vt:i4>
      </vt:variant>
      <vt:variant>
        <vt:i4>0</vt:i4>
      </vt:variant>
      <vt:variant>
        <vt:i4>5</vt:i4>
      </vt:variant>
      <vt:variant>
        <vt:lpwstr/>
      </vt:variant>
      <vt:variant>
        <vt:lpwstr>_Toc81515297</vt:lpwstr>
      </vt:variant>
      <vt:variant>
        <vt:i4>1245233</vt:i4>
      </vt:variant>
      <vt:variant>
        <vt:i4>302</vt:i4>
      </vt:variant>
      <vt:variant>
        <vt:i4>0</vt:i4>
      </vt:variant>
      <vt:variant>
        <vt:i4>5</vt:i4>
      </vt:variant>
      <vt:variant>
        <vt:lpwstr/>
      </vt:variant>
      <vt:variant>
        <vt:lpwstr>_Toc81515296</vt:lpwstr>
      </vt:variant>
      <vt:variant>
        <vt:i4>1048625</vt:i4>
      </vt:variant>
      <vt:variant>
        <vt:i4>296</vt:i4>
      </vt:variant>
      <vt:variant>
        <vt:i4>0</vt:i4>
      </vt:variant>
      <vt:variant>
        <vt:i4>5</vt:i4>
      </vt:variant>
      <vt:variant>
        <vt:lpwstr/>
      </vt:variant>
      <vt:variant>
        <vt:lpwstr>_Toc81515295</vt:lpwstr>
      </vt:variant>
      <vt:variant>
        <vt:i4>1114161</vt:i4>
      </vt:variant>
      <vt:variant>
        <vt:i4>290</vt:i4>
      </vt:variant>
      <vt:variant>
        <vt:i4>0</vt:i4>
      </vt:variant>
      <vt:variant>
        <vt:i4>5</vt:i4>
      </vt:variant>
      <vt:variant>
        <vt:lpwstr/>
      </vt:variant>
      <vt:variant>
        <vt:lpwstr>_Toc81515294</vt:lpwstr>
      </vt:variant>
      <vt:variant>
        <vt:i4>1441841</vt:i4>
      </vt:variant>
      <vt:variant>
        <vt:i4>284</vt:i4>
      </vt:variant>
      <vt:variant>
        <vt:i4>0</vt:i4>
      </vt:variant>
      <vt:variant>
        <vt:i4>5</vt:i4>
      </vt:variant>
      <vt:variant>
        <vt:lpwstr/>
      </vt:variant>
      <vt:variant>
        <vt:lpwstr>_Toc81515293</vt:lpwstr>
      </vt:variant>
      <vt:variant>
        <vt:i4>1507377</vt:i4>
      </vt:variant>
      <vt:variant>
        <vt:i4>278</vt:i4>
      </vt:variant>
      <vt:variant>
        <vt:i4>0</vt:i4>
      </vt:variant>
      <vt:variant>
        <vt:i4>5</vt:i4>
      </vt:variant>
      <vt:variant>
        <vt:lpwstr/>
      </vt:variant>
      <vt:variant>
        <vt:lpwstr>_Toc81515292</vt:lpwstr>
      </vt:variant>
      <vt:variant>
        <vt:i4>1310769</vt:i4>
      </vt:variant>
      <vt:variant>
        <vt:i4>272</vt:i4>
      </vt:variant>
      <vt:variant>
        <vt:i4>0</vt:i4>
      </vt:variant>
      <vt:variant>
        <vt:i4>5</vt:i4>
      </vt:variant>
      <vt:variant>
        <vt:lpwstr/>
      </vt:variant>
      <vt:variant>
        <vt:lpwstr>_Toc81515291</vt:lpwstr>
      </vt:variant>
      <vt:variant>
        <vt:i4>1376305</vt:i4>
      </vt:variant>
      <vt:variant>
        <vt:i4>266</vt:i4>
      </vt:variant>
      <vt:variant>
        <vt:i4>0</vt:i4>
      </vt:variant>
      <vt:variant>
        <vt:i4>5</vt:i4>
      </vt:variant>
      <vt:variant>
        <vt:lpwstr/>
      </vt:variant>
      <vt:variant>
        <vt:lpwstr>_Toc81515290</vt:lpwstr>
      </vt:variant>
      <vt:variant>
        <vt:i4>1835056</vt:i4>
      </vt:variant>
      <vt:variant>
        <vt:i4>260</vt:i4>
      </vt:variant>
      <vt:variant>
        <vt:i4>0</vt:i4>
      </vt:variant>
      <vt:variant>
        <vt:i4>5</vt:i4>
      </vt:variant>
      <vt:variant>
        <vt:lpwstr/>
      </vt:variant>
      <vt:variant>
        <vt:lpwstr>_Toc81515289</vt:lpwstr>
      </vt:variant>
      <vt:variant>
        <vt:i4>1900592</vt:i4>
      </vt:variant>
      <vt:variant>
        <vt:i4>254</vt:i4>
      </vt:variant>
      <vt:variant>
        <vt:i4>0</vt:i4>
      </vt:variant>
      <vt:variant>
        <vt:i4>5</vt:i4>
      </vt:variant>
      <vt:variant>
        <vt:lpwstr/>
      </vt:variant>
      <vt:variant>
        <vt:lpwstr>_Toc81515288</vt:lpwstr>
      </vt:variant>
      <vt:variant>
        <vt:i4>1179696</vt:i4>
      </vt:variant>
      <vt:variant>
        <vt:i4>248</vt:i4>
      </vt:variant>
      <vt:variant>
        <vt:i4>0</vt:i4>
      </vt:variant>
      <vt:variant>
        <vt:i4>5</vt:i4>
      </vt:variant>
      <vt:variant>
        <vt:lpwstr/>
      </vt:variant>
      <vt:variant>
        <vt:lpwstr>_Toc81515287</vt:lpwstr>
      </vt:variant>
      <vt:variant>
        <vt:i4>1245232</vt:i4>
      </vt:variant>
      <vt:variant>
        <vt:i4>242</vt:i4>
      </vt:variant>
      <vt:variant>
        <vt:i4>0</vt:i4>
      </vt:variant>
      <vt:variant>
        <vt:i4>5</vt:i4>
      </vt:variant>
      <vt:variant>
        <vt:lpwstr/>
      </vt:variant>
      <vt:variant>
        <vt:lpwstr>_Toc81515286</vt:lpwstr>
      </vt:variant>
      <vt:variant>
        <vt:i4>1048624</vt:i4>
      </vt:variant>
      <vt:variant>
        <vt:i4>236</vt:i4>
      </vt:variant>
      <vt:variant>
        <vt:i4>0</vt:i4>
      </vt:variant>
      <vt:variant>
        <vt:i4>5</vt:i4>
      </vt:variant>
      <vt:variant>
        <vt:lpwstr/>
      </vt:variant>
      <vt:variant>
        <vt:lpwstr>_Toc81515285</vt:lpwstr>
      </vt:variant>
      <vt:variant>
        <vt:i4>1114160</vt:i4>
      </vt:variant>
      <vt:variant>
        <vt:i4>230</vt:i4>
      </vt:variant>
      <vt:variant>
        <vt:i4>0</vt:i4>
      </vt:variant>
      <vt:variant>
        <vt:i4>5</vt:i4>
      </vt:variant>
      <vt:variant>
        <vt:lpwstr/>
      </vt:variant>
      <vt:variant>
        <vt:lpwstr>_Toc81515284</vt:lpwstr>
      </vt:variant>
      <vt:variant>
        <vt:i4>1441840</vt:i4>
      </vt:variant>
      <vt:variant>
        <vt:i4>224</vt:i4>
      </vt:variant>
      <vt:variant>
        <vt:i4>0</vt:i4>
      </vt:variant>
      <vt:variant>
        <vt:i4>5</vt:i4>
      </vt:variant>
      <vt:variant>
        <vt:lpwstr/>
      </vt:variant>
      <vt:variant>
        <vt:lpwstr>_Toc81515283</vt:lpwstr>
      </vt:variant>
      <vt:variant>
        <vt:i4>1507376</vt:i4>
      </vt:variant>
      <vt:variant>
        <vt:i4>218</vt:i4>
      </vt:variant>
      <vt:variant>
        <vt:i4>0</vt:i4>
      </vt:variant>
      <vt:variant>
        <vt:i4>5</vt:i4>
      </vt:variant>
      <vt:variant>
        <vt:lpwstr/>
      </vt:variant>
      <vt:variant>
        <vt:lpwstr>_Toc81515282</vt:lpwstr>
      </vt:variant>
      <vt:variant>
        <vt:i4>1310768</vt:i4>
      </vt:variant>
      <vt:variant>
        <vt:i4>212</vt:i4>
      </vt:variant>
      <vt:variant>
        <vt:i4>0</vt:i4>
      </vt:variant>
      <vt:variant>
        <vt:i4>5</vt:i4>
      </vt:variant>
      <vt:variant>
        <vt:lpwstr/>
      </vt:variant>
      <vt:variant>
        <vt:lpwstr>_Toc81515281</vt:lpwstr>
      </vt:variant>
      <vt:variant>
        <vt:i4>1376304</vt:i4>
      </vt:variant>
      <vt:variant>
        <vt:i4>206</vt:i4>
      </vt:variant>
      <vt:variant>
        <vt:i4>0</vt:i4>
      </vt:variant>
      <vt:variant>
        <vt:i4>5</vt:i4>
      </vt:variant>
      <vt:variant>
        <vt:lpwstr/>
      </vt:variant>
      <vt:variant>
        <vt:lpwstr>_Toc81515280</vt:lpwstr>
      </vt:variant>
      <vt:variant>
        <vt:i4>1900607</vt:i4>
      </vt:variant>
      <vt:variant>
        <vt:i4>200</vt:i4>
      </vt:variant>
      <vt:variant>
        <vt:i4>0</vt:i4>
      </vt:variant>
      <vt:variant>
        <vt:i4>5</vt:i4>
      </vt:variant>
      <vt:variant>
        <vt:lpwstr/>
      </vt:variant>
      <vt:variant>
        <vt:lpwstr>_Toc81515278</vt:lpwstr>
      </vt:variant>
      <vt:variant>
        <vt:i4>1179711</vt:i4>
      </vt:variant>
      <vt:variant>
        <vt:i4>194</vt:i4>
      </vt:variant>
      <vt:variant>
        <vt:i4>0</vt:i4>
      </vt:variant>
      <vt:variant>
        <vt:i4>5</vt:i4>
      </vt:variant>
      <vt:variant>
        <vt:lpwstr/>
      </vt:variant>
      <vt:variant>
        <vt:lpwstr>_Toc81515277</vt:lpwstr>
      </vt:variant>
      <vt:variant>
        <vt:i4>1245247</vt:i4>
      </vt:variant>
      <vt:variant>
        <vt:i4>188</vt:i4>
      </vt:variant>
      <vt:variant>
        <vt:i4>0</vt:i4>
      </vt:variant>
      <vt:variant>
        <vt:i4>5</vt:i4>
      </vt:variant>
      <vt:variant>
        <vt:lpwstr/>
      </vt:variant>
      <vt:variant>
        <vt:lpwstr>_Toc81515276</vt:lpwstr>
      </vt:variant>
      <vt:variant>
        <vt:i4>1048639</vt:i4>
      </vt:variant>
      <vt:variant>
        <vt:i4>182</vt:i4>
      </vt:variant>
      <vt:variant>
        <vt:i4>0</vt:i4>
      </vt:variant>
      <vt:variant>
        <vt:i4>5</vt:i4>
      </vt:variant>
      <vt:variant>
        <vt:lpwstr/>
      </vt:variant>
      <vt:variant>
        <vt:lpwstr>_Toc81515275</vt:lpwstr>
      </vt:variant>
      <vt:variant>
        <vt:i4>1114175</vt:i4>
      </vt:variant>
      <vt:variant>
        <vt:i4>176</vt:i4>
      </vt:variant>
      <vt:variant>
        <vt:i4>0</vt:i4>
      </vt:variant>
      <vt:variant>
        <vt:i4>5</vt:i4>
      </vt:variant>
      <vt:variant>
        <vt:lpwstr/>
      </vt:variant>
      <vt:variant>
        <vt:lpwstr>_Toc81515274</vt:lpwstr>
      </vt:variant>
      <vt:variant>
        <vt:i4>1441855</vt:i4>
      </vt:variant>
      <vt:variant>
        <vt:i4>170</vt:i4>
      </vt:variant>
      <vt:variant>
        <vt:i4>0</vt:i4>
      </vt:variant>
      <vt:variant>
        <vt:i4>5</vt:i4>
      </vt:variant>
      <vt:variant>
        <vt:lpwstr/>
      </vt:variant>
      <vt:variant>
        <vt:lpwstr>_Toc81515273</vt:lpwstr>
      </vt:variant>
      <vt:variant>
        <vt:i4>1507391</vt:i4>
      </vt:variant>
      <vt:variant>
        <vt:i4>164</vt:i4>
      </vt:variant>
      <vt:variant>
        <vt:i4>0</vt:i4>
      </vt:variant>
      <vt:variant>
        <vt:i4>5</vt:i4>
      </vt:variant>
      <vt:variant>
        <vt:lpwstr/>
      </vt:variant>
      <vt:variant>
        <vt:lpwstr>_Toc81515272</vt:lpwstr>
      </vt:variant>
      <vt:variant>
        <vt:i4>1310783</vt:i4>
      </vt:variant>
      <vt:variant>
        <vt:i4>158</vt:i4>
      </vt:variant>
      <vt:variant>
        <vt:i4>0</vt:i4>
      </vt:variant>
      <vt:variant>
        <vt:i4>5</vt:i4>
      </vt:variant>
      <vt:variant>
        <vt:lpwstr/>
      </vt:variant>
      <vt:variant>
        <vt:lpwstr>_Toc81515271</vt:lpwstr>
      </vt:variant>
      <vt:variant>
        <vt:i4>1376319</vt:i4>
      </vt:variant>
      <vt:variant>
        <vt:i4>152</vt:i4>
      </vt:variant>
      <vt:variant>
        <vt:i4>0</vt:i4>
      </vt:variant>
      <vt:variant>
        <vt:i4>5</vt:i4>
      </vt:variant>
      <vt:variant>
        <vt:lpwstr/>
      </vt:variant>
      <vt:variant>
        <vt:lpwstr>_Toc81515270</vt:lpwstr>
      </vt:variant>
      <vt:variant>
        <vt:i4>1835070</vt:i4>
      </vt:variant>
      <vt:variant>
        <vt:i4>146</vt:i4>
      </vt:variant>
      <vt:variant>
        <vt:i4>0</vt:i4>
      </vt:variant>
      <vt:variant>
        <vt:i4>5</vt:i4>
      </vt:variant>
      <vt:variant>
        <vt:lpwstr/>
      </vt:variant>
      <vt:variant>
        <vt:lpwstr>_Toc81515269</vt:lpwstr>
      </vt:variant>
      <vt:variant>
        <vt:i4>1900606</vt:i4>
      </vt:variant>
      <vt:variant>
        <vt:i4>140</vt:i4>
      </vt:variant>
      <vt:variant>
        <vt:i4>0</vt:i4>
      </vt:variant>
      <vt:variant>
        <vt:i4>5</vt:i4>
      </vt:variant>
      <vt:variant>
        <vt:lpwstr/>
      </vt:variant>
      <vt:variant>
        <vt:lpwstr>_Toc81515268</vt:lpwstr>
      </vt:variant>
      <vt:variant>
        <vt:i4>1179710</vt:i4>
      </vt:variant>
      <vt:variant>
        <vt:i4>134</vt:i4>
      </vt:variant>
      <vt:variant>
        <vt:i4>0</vt:i4>
      </vt:variant>
      <vt:variant>
        <vt:i4>5</vt:i4>
      </vt:variant>
      <vt:variant>
        <vt:lpwstr/>
      </vt:variant>
      <vt:variant>
        <vt:lpwstr>_Toc81515267</vt:lpwstr>
      </vt:variant>
      <vt:variant>
        <vt:i4>1245246</vt:i4>
      </vt:variant>
      <vt:variant>
        <vt:i4>128</vt:i4>
      </vt:variant>
      <vt:variant>
        <vt:i4>0</vt:i4>
      </vt:variant>
      <vt:variant>
        <vt:i4>5</vt:i4>
      </vt:variant>
      <vt:variant>
        <vt:lpwstr/>
      </vt:variant>
      <vt:variant>
        <vt:lpwstr>_Toc81515266</vt:lpwstr>
      </vt:variant>
      <vt:variant>
        <vt:i4>1048638</vt:i4>
      </vt:variant>
      <vt:variant>
        <vt:i4>122</vt:i4>
      </vt:variant>
      <vt:variant>
        <vt:i4>0</vt:i4>
      </vt:variant>
      <vt:variant>
        <vt:i4>5</vt:i4>
      </vt:variant>
      <vt:variant>
        <vt:lpwstr/>
      </vt:variant>
      <vt:variant>
        <vt:lpwstr>_Toc81515265</vt:lpwstr>
      </vt:variant>
      <vt:variant>
        <vt:i4>1114174</vt:i4>
      </vt:variant>
      <vt:variant>
        <vt:i4>116</vt:i4>
      </vt:variant>
      <vt:variant>
        <vt:i4>0</vt:i4>
      </vt:variant>
      <vt:variant>
        <vt:i4>5</vt:i4>
      </vt:variant>
      <vt:variant>
        <vt:lpwstr/>
      </vt:variant>
      <vt:variant>
        <vt:lpwstr>_Toc81515264</vt:lpwstr>
      </vt:variant>
      <vt:variant>
        <vt:i4>1376318</vt:i4>
      </vt:variant>
      <vt:variant>
        <vt:i4>110</vt:i4>
      </vt:variant>
      <vt:variant>
        <vt:i4>0</vt:i4>
      </vt:variant>
      <vt:variant>
        <vt:i4>5</vt:i4>
      </vt:variant>
      <vt:variant>
        <vt:lpwstr/>
      </vt:variant>
      <vt:variant>
        <vt:lpwstr>_Toc81515260</vt:lpwstr>
      </vt:variant>
      <vt:variant>
        <vt:i4>1835069</vt:i4>
      </vt:variant>
      <vt:variant>
        <vt:i4>104</vt:i4>
      </vt:variant>
      <vt:variant>
        <vt:i4>0</vt:i4>
      </vt:variant>
      <vt:variant>
        <vt:i4>5</vt:i4>
      </vt:variant>
      <vt:variant>
        <vt:lpwstr/>
      </vt:variant>
      <vt:variant>
        <vt:lpwstr>_Toc81515259</vt:lpwstr>
      </vt:variant>
      <vt:variant>
        <vt:i4>1900605</vt:i4>
      </vt:variant>
      <vt:variant>
        <vt:i4>98</vt:i4>
      </vt:variant>
      <vt:variant>
        <vt:i4>0</vt:i4>
      </vt:variant>
      <vt:variant>
        <vt:i4>5</vt:i4>
      </vt:variant>
      <vt:variant>
        <vt:lpwstr/>
      </vt:variant>
      <vt:variant>
        <vt:lpwstr>_Toc81515258</vt:lpwstr>
      </vt:variant>
      <vt:variant>
        <vt:i4>1179709</vt:i4>
      </vt:variant>
      <vt:variant>
        <vt:i4>92</vt:i4>
      </vt:variant>
      <vt:variant>
        <vt:i4>0</vt:i4>
      </vt:variant>
      <vt:variant>
        <vt:i4>5</vt:i4>
      </vt:variant>
      <vt:variant>
        <vt:lpwstr/>
      </vt:variant>
      <vt:variant>
        <vt:lpwstr>_Toc81515257</vt:lpwstr>
      </vt:variant>
      <vt:variant>
        <vt:i4>1245245</vt:i4>
      </vt:variant>
      <vt:variant>
        <vt:i4>86</vt:i4>
      </vt:variant>
      <vt:variant>
        <vt:i4>0</vt:i4>
      </vt:variant>
      <vt:variant>
        <vt:i4>5</vt:i4>
      </vt:variant>
      <vt:variant>
        <vt:lpwstr/>
      </vt:variant>
      <vt:variant>
        <vt:lpwstr>_Toc81515256</vt:lpwstr>
      </vt:variant>
      <vt:variant>
        <vt:i4>1048637</vt:i4>
      </vt:variant>
      <vt:variant>
        <vt:i4>80</vt:i4>
      </vt:variant>
      <vt:variant>
        <vt:i4>0</vt:i4>
      </vt:variant>
      <vt:variant>
        <vt:i4>5</vt:i4>
      </vt:variant>
      <vt:variant>
        <vt:lpwstr/>
      </vt:variant>
      <vt:variant>
        <vt:lpwstr>_Toc81515255</vt:lpwstr>
      </vt:variant>
      <vt:variant>
        <vt:i4>1114173</vt:i4>
      </vt:variant>
      <vt:variant>
        <vt:i4>74</vt:i4>
      </vt:variant>
      <vt:variant>
        <vt:i4>0</vt:i4>
      </vt:variant>
      <vt:variant>
        <vt:i4>5</vt:i4>
      </vt:variant>
      <vt:variant>
        <vt:lpwstr/>
      </vt:variant>
      <vt:variant>
        <vt:lpwstr>_Toc81515254</vt:lpwstr>
      </vt:variant>
      <vt:variant>
        <vt:i4>1441853</vt:i4>
      </vt:variant>
      <vt:variant>
        <vt:i4>68</vt:i4>
      </vt:variant>
      <vt:variant>
        <vt:i4>0</vt:i4>
      </vt:variant>
      <vt:variant>
        <vt:i4>5</vt:i4>
      </vt:variant>
      <vt:variant>
        <vt:lpwstr/>
      </vt:variant>
      <vt:variant>
        <vt:lpwstr>_Toc81515253</vt:lpwstr>
      </vt:variant>
      <vt:variant>
        <vt:i4>1507389</vt:i4>
      </vt:variant>
      <vt:variant>
        <vt:i4>62</vt:i4>
      </vt:variant>
      <vt:variant>
        <vt:i4>0</vt:i4>
      </vt:variant>
      <vt:variant>
        <vt:i4>5</vt:i4>
      </vt:variant>
      <vt:variant>
        <vt:lpwstr/>
      </vt:variant>
      <vt:variant>
        <vt:lpwstr>_Toc81515252</vt:lpwstr>
      </vt:variant>
      <vt:variant>
        <vt:i4>1310781</vt:i4>
      </vt:variant>
      <vt:variant>
        <vt:i4>56</vt:i4>
      </vt:variant>
      <vt:variant>
        <vt:i4>0</vt:i4>
      </vt:variant>
      <vt:variant>
        <vt:i4>5</vt:i4>
      </vt:variant>
      <vt:variant>
        <vt:lpwstr/>
      </vt:variant>
      <vt:variant>
        <vt:lpwstr>_Toc81515251</vt:lpwstr>
      </vt:variant>
      <vt:variant>
        <vt:i4>1376317</vt:i4>
      </vt:variant>
      <vt:variant>
        <vt:i4>50</vt:i4>
      </vt:variant>
      <vt:variant>
        <vt:i4>0</vt:i4>
      </vt:variant>
      <vt:variant>
        <vt:i4>5</vt:i4>
      </vt:variant>
      <vt:variant>
        <vt:lpwstr/>
      </vt:variant>
      <vt:variant>
        <vt:lpwstr>_Toc81515250</vt:lpwstr>
      </vt:variant>
      <vt:variant>
        <vt:i4>1835068</vt:i4>
      </vt:variant>
      <vt:variant>
        <vt:i4>44</vt:i4>
      </vt:variant>
      <vt:variant>
        <vt:i4>0</vt:i4>
      </vt:variant>
      <vt:variant>
        <vt:i4>5</vt:i4>
      </vt:variant>
      <vt:variant>
        <vt:lpwstr/>
      </vt:variant>
      <vt:variant>
        <vt:lpwstr>_Toc81515249</vt:lpwstr>
      </vt:variant>
      <vt:variant>
        <vt:i4>1900604</vt:i4>
      </vt:variant>
      <vt:variant>
        <vt:i4>38</vt:i4>
      </vt:variant>
      <vt:variant>
        <vt:i4>0</vt:i4>
      </vt:variant>
      <vt:variant>
        <vt:i4>5</vt:i4>
      </vt:variant>
      <vt:variant>
        <vt:lpwstr/>
      </vt:variant>
      <vt:variant>
        <vt:lpwstr>_Toc81515248</vt:lpwstr>
      </vt:variant>
      <vt:variant>
        <vt:i4>1179708</vt:i4>
      </vt:variant>
      <vt:variant>
        <vt:i4>32</vt:i4>
      </vt:variant>
      <vt:variant>
        <vt:i4>0</vt:i4>
      </vt:variant>
      <vt:variant>
        <vt:i4>5</vt:i4>
      </vt:variant>
      <vt:variant>
        <vt:lpwstr/>
      </vt:variant>
      <vt:variant>
        <vt:lpwstr>_Toc81515247</vt:lpwstr>
      </vt:variant>
      <vt:variant>
        <vt:i4>1245244</vt:i4>
      </vt:variant>
      <vt:variant>
        <vt:i4>26</vt:i4>
      </vt:variant>
      <vt:variant>
        <vt:i4>0</vt:i4>
      </vt:variant>
      <vt:variant>
        <vt:i4>5</vt:i4>
      </vt:variant>
      <vt:variant>
        <vt:lpwstr/>
      </vt:variant>
      <vt:variant>
        <vt:lpwstr>_Toc81515246</vt:lpwstr>
      </vt:variant>
      <vt:variant>
        <vt:i4>1048636</vt:i4>
      </vt:variant>
      <vt:variant>
        <vt:i4>20</vt:i4>
      </vt:variant>
      <vt:variant>
        <vt:i4>0</vt:i4>
      </vt:variant>
      <vt:variant>
        <vt:i4>5</vt:i4>
      </vt:variant>
      <vt:variant>
        <vt:lpwstr/>
      </vt:variant>
      <vt:variant>
        <vt:lpwstr>_Toc81515245</vt:lpwstr>
      </vt:variant>
      <vt:variant>
        <vt:i4>1114172</vt:i4>
      </vt:variant>
      <vt:variant>
        <vt:i4>14</vt:i4>
      </vt:variant>
      <vt:variant>
        <vt:i4>0</vt:i4>
      </vt:variant>
      <vt:variant>
        <vt:i4>5</vt:i4>
      </vt:variant>
      <vt:variant>
        <vt:lpwstr/>
      </vt:variant>
      <vt:variant>
        <vt:lpwstr>_Toc81515244</vt:lpwstr>
      </vt:variant>
      <vt:variant>
        <vt:i4>1441852</vt:i4>
      </vt:variant>
      <vt:variant>
        <vt:i4>8</vt:i4>
      </vt:variant>
      <vt:variant>
        <vt:i4>0</vt:i4>
      </vt:variant>
      <vt:variant>
        <vt:i4>5</vt:i4>
      </vt:variant>
      <vt:variant>
        <vt:lpwstr/>
      </vt:variant>
      <vt:variant>
        <vt:lpwstr>_Toc81515243</vt:lpwstr>
      </vt:variant>
      <vt:variant>
        <vt:i4>1507388</vt:i4>
      </vt:variant>
      <vt:variant>
        <vt:i4>2</vt:i4>
      </vt:variant>
      <vt:variant>
        <vt:i4>0</vt:i4>
      </vt:variant>
      <vt:variant>
        <vt:i4>5</vt:i4>
      </vt:variant>
      <vt:variant>
        <vt:lpwstr/>
      </vt:variant>
      <vt:variant>
        <vt:lpwstr>_Toc81515242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用户</dc:creator>
  <cp:keywords/>
  <dc:description/>
  <cp:lastModifiedBy>Administrator</cp:lastModifiedBy>
  <cp:revision>28</cp:revision>
  <cp:lastPrinted>2022-07-29T01:43:00Z</cp:lastPrinted>
  <dcterms:created xsi:type="dcterms:W3CDTF">2022-01-05T00:50:00Z</dcterms:created>
  <dcterms:modified xsi:type="dcterms:W3CDTF">2022-08-28T16:40:00Z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