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96476"/>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w:t>
      </w:r>
      <w:r>
        <w:rPr>
          <w:rFonts w:hint="eastAsia" w:ascii="方正小标宋简体" w:hAnsi="宋体" w:eastAsia="方正小标宋简体"/>
          <w:color w:val="000000"/>
          <w:sz w:val="72"/>
          <w:szCs w:val="72"/>
          <w:lang w:val="en-US" w:eastAsia="zh-CN"/>
        </w:rPr>
        <w:t>土黄镇三胜中心校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rPr>
          <w:rFonts w:hint="eastAsia"/>
        </w:rPr>
      </w:pPr>
      <w:r>
        <w:rPr>
          <w:rFonts w:hint="eastAsia"/>
        </w:rPr>
        <w:t>公开时间：2019年8月29日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default"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12</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3</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fldChar w:fldCharType="end"/>
      </w:r>
      <w:r>
        <w:fldChar w:fldCharType="begin"/>
      </w:r>
      <w:r>
        <w:instrText xml:space="preserve"> HYPERLINK \l "_Toc15396618" </w:instrText>
      </w:r>
      <w:r>
        <w:fldChar w:fldCharType="separate"/>
      </w:r>
      <w:r>
        <w:rPr>
          <w:rStyle w:val="15"/>
          <w:bCs/>
          <w:kern w:val="44"/>
        </w:rPr>
        <w:t xml:space="preserve"> </w:t>
      </w:r>
      <w:r>
        <w:rPr>
          <w:rStyle w:val="15"/>
          <w:rFonts w:hint="eastAsia"/>
          <w:bCs/>
          <w:kern w:val="44"/>
        </w:rPr>
        <w:t>附表</w:t>
      </w:r>
      <w:r>
        <w:tab/>
      </w:r>
      <w:r>
        <w:rPr>
          <w:rFonts w:hint="eastAsia"/>
          <w:lang w:val="en-US" w:eastAsia="zh-CN"/>
        </w:rPr>
        <w:t>1</w:t>
      </w:r>
      <w:r>
        <w:fldChar w:fldCharType="end"/>
      </w:r>
      <w:r>
        <w:rPr>
          <w:rFonts w:hint="eastAsia"/>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四川省宣汉县土黄镇三胜中心校坐落在群山环抱、风景如画的宣汉县东北角。学校始建于1956年，校园占地面积6000平方米，建筑面积达3088余平方米，目前，学校是集幼儿、小学和初中教育于一体的九年一贯制学校。下辖3所村小，现有教学班23个，在校生600余人。教职工49人，其中大专以上学历34人，学历达标率100％。中学高级教师4人，小学高级教师11人，中学一级教师2人，省级骨干教师1人，市县骨干教师7人，市县学科带头人2人。</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adjustRightInd w:val="0"/>
        <w:snapToGrid w:val="0"/>
        <w:spacing w:before="93" w:line="600" w:lineRule="exact"/>
        <w:ind w:firstLine="672" w:firstLineChars="210"/>
        <w:outlineLvl w:val="2"/>
        <w:rPr>
          <w:rFonts w:hint="default" w:ascii="仿宋" w:hAnsi="仿宋" w:eastAsia="仿宋"/>
          <w:bCs/>
          <w:color w:val="000000"/>
          <w:sz w:val="32"/>
          <w:szCs w:val="32"/>
          <w:lang w:val="en-US"/>
        </w:rPr>
      </w:pPr>
      <w:bookmarkStart w:id="20" w:name="_Toc15396601"/>
      <w:bookmarkStart w:id="21" w:name="_Toc15377200"/>
      <w:r>
        <w:rPr>
          <w:rFonts w:hint="eastAsia" w:ascii="仿宋" w:hAnsi="仿宋" w:eastAsia="仿宋"/>
          <w:bCs/>
          <w:color w:val="000000"/>
          <w:sz w:val="32"/>
          <w:szCs w:val="32"/>
        </w:rPr>
        <w:t>一年来，在上级的指引下，在党、政、工、团的同心协力下，在全体教职工的不懈努力下，学校工作顺利、平稳、扎实推进，取得了有目共睹的成绩，在201</w:t>
      </w:r>
      <w:r>
        <w:rPr>
          <w:rFonts w:hint="eastAsia" w:ascii="仿宋" w:hAnsi="仿宋" w:eastAsia="仿宋"/>
          <w:bCs/>
          <w:color w:val="000000"/>
          <w:sz w:val="32"/>
          <w:szCs w:val="32"/>
          <w:lang w:val="en-US" w:eastAsia="zh-CN"/>
        </w:rPr>
        <w:t>8</w:t>
      </w:r>
      <w:r>
        <w:rPr>
          <w:rFonts w:hint="eastAsia" w:ascii="仿宋" w:hAnsi="仿宋" w:eastAsia="仿宋"/>
          <w:bCs/>
          <w:color w:val="000000"/>
          <w:sz w:val="32"/>
          <w:szCs w:val="32"/>
        </w:rPr>
        <w:t>年初中毕业年级统一检测中有</w:t>
      </w:r>
      <w:r>
        <w:rPr>
          <w:rFonts w:hint="eastAsia" w:ascii="仿宋" w:hAnsi="仿宋" w:eastAsia="仿宋"/>
          <w:bCs/>
          <w:color w:val="000000"/>
          <w:sz w:val="32"/>
          <w:szCs w:val="32"/>
          <w:lang w:val="en-US" w:eastAsia="zh-CN"/>
        </w:rPr>
        <w:t>100%进入高级</w:t>
      </w:r>
      <w:r>
        <w:rPr>
          <w:rFonts w:hint="eastAsia" w:ascii="仿宋" w:hAnsi="仿宋" w:eastAsia="仿宋"/>
          <w:bCs/>
          <w:color w:val="000000"/>
          <w:sz w:val="32"/>
          <w:szCs w:val="32"/>
        </w:rPr>
        <w:t>中学录取分数线，</w:t>
      </w:r>
      <w:r>
        <w:rPr>
          <w:rFonts w:hint="eastAsia" w:ascii="仿宋" w:hAnsi="仿宋" w:eastAsia="仿宋"/>
          <w:bCs/>
          <w:color w:val="000000"/>
          <w:sz w:val="32"/>
          <w:szCs w:val="32"/>
          <w:lang w:eastAsia="zh-CN"/>
        </w:rPr>
        <w:t>小学抽测科目</w:t>
      </w:r>
      <w:r>
        <w:rPr>
          <w:rFonts w:hint="eastAsia" w:ascii="仿宋" w:hAnsi="仿宋" w:eastAsia="仿宋"/>
          <w:bCs/>
          <w:color w:val="000000"/>
          <w:sz w:val="32"/>
          <w:szCs w:val="32"/>
        </w:rPr>
        <w:t>各科成绩名列全县</w:t>
      </w:r>
      <w:r>
        <w:rPr>
          <w:rFonts w:hint="eastAsia" w:ascii="仿宋" w:hAnsi="仿宋" w:eastAsia="仿宋"/>
          <w:bCs/>
          <w:color w:val="000000"/>
          <w:sz w:val="32"/>
          <w:szCs w:val="32"/>
          <w:lang w:eastAsia="zh-CN"/>
        </w:rPr>
        <w:t>同类学校</w:t>
      </w:r>
      <w:r>
        <w:rPr>
          <w:rFonts w:hint="eastAsia" w:ascii="仿宋" w:hAnsi="仿宋" w:eastAsia="仿宋"/>
          <w:bCs/>
          <w:color w:val="000000"/>
          <w:sz w:val="32"/>
          <w:szCs w:val="32"/>
        </w:rPr>
        <w:t>单科成绩前十名，受到教科局全县通报表彰</w:t>
      </w:r>
      <w:r>
        <w:rPr>
          <w:rFonts w:hint="eastAsia" w:ascii="仿宋" w:hAnsi="仿宋" w:eastAsia="仿宋"/>
          <w:bCs/>
          <w:color w:val="000000"/>
          <w:sz w:val="32"/>
          <w:szCs w:val="32"/>
          <w:lang w:eastAsia="zh-CN"/>
        </w:rPr>
        <w:t>，向仕途、肖涛涛、王柳柳、李欢欢等同学参加四川省艺术人才大赛获等级奖</w:t>
      </w:r>
      <w:r>
        <w:rPr>
          <w:rFonts w:hint="eastAsia" w:ascii="仿宋" w:hAnsi="仿宋" w:eastAsia="仿宋"/>
          <w:bCs/>
          <w:color w:val="000000"/>
          <w:sz w:val="32"/>
          <w:szCs w:val="32"/>
          <w:lang w:val="en-US" w:eastAsia="zh-CN"/>
        </w:rPr>
        <w:t>......</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我校将再接再厉、团结进取、奋力拼搏，再创辉煌！努力为全县的教育事业作出更大的贡献！</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我校下设党支部、工会、行政办公室、后勤办、政教处、教务处、安全办、团支部、少先队大队部、望乡村小、董坡村小、董坡村石盘小学</w:t>
      </w:r>
      <w:r>
        <w:rPr>
          <w:rFonts w:hint="eastAsia" w:ascii="仿宋" w:hAnsi="仿宋" w:eastAsia="仿宋"/>
          <w:sz w:val="32"/>
          <w:szCs w:val="32"/>
        </w:rPr>
        <w:t>。</w:t>
      </w:r>
    </w:p>
    <w:p>
      <w:pPr>
        <w:pStyle w:val="5"/>
        <w:adjustRightInd w:val="0"/>
        <w:snapToGrid w:val="0"/>
        <w:spacing w:before="93" w:line="600" w:lineRule="exact"/>
        <w:ind w:firstLine="1120" w:firstLineChars="35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均</w:t>
      </w:r>
      <w:r>
        <w:rPr>
          <w:rFonts w:hint="eastAsia" w:ascii="仿宋" w:hAnsi="仿宋" w:eastAsia="仿宋"/>
          <w:color w:val="000000"/>
          <w:sz w:val="32"/>
          <w:szCs w:val="32"/>
        </w:rPr>
        <w:t>纳入2018年度部门决算编制范围</w:t>
      </w:r>
      <w:r>
        <w:rPr>
          <w:rFonts w:hint="eastAsia" w:ascii="仿宋" w:hAnsi="仿宋" w:eastAsia="仿宋"/>
          <w:color w:val="000000"/>
          <w:sz w:val="32"/>
          <w:szCs w:val="32"/>
          <w:lang w:eastAsia="zh-CN"/>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总计642.68万元、支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总计642.68万元。与2017年相比，收、支总计各减少</w:t>
      </w:r>
      <w:r>
        <w:rPr>
          <w:rFonts w:hint="eastAsia" w:ascii="仿宋" w:hAnsi="仿宋" w:eastAsia="仿宋"/>
          <w:color w:val="000000"/>
          <w:sz w:val="32"/>
          <w:szCs w:val="32"/>
          <w:lang w:val="en-US" w:eastAsia="zh-CN"/>
        </w:rPr>
        <w:t>61.58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8.74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教师调离和老教师退休。</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642.68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642.68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642.68</w:t>
      </w:r>
      <w:r>
        <w:rPr>
          <w:rFonts w:hint="eastAsia" w:ascii="仿宋" w:hAnsi="仿宋" w:eastAsia="仿宋"/>
          <w:color w:val="000000"/>
          <w:sz w:val="32"/>
          <w:szCs w:val="32"/>
        </w:rPr>
        <w:t>万元，其中：基本支出543.36万元，占</w:t>
      </w:r>
      <w:r>
        <w:rPr>
          <w:rFonts w:hint="eastAsia" w:ascii="仿宋" w:hAnsi="仿宋" w:eastAsia="仿宋"/>
          <w:color w:val="000000"/>
          <w:sz w:val="32"/>
          <w:szCs w:val="32"/>
          <w:lang w:val="en-US" w:eastAsia="zh-CN"/>
        </w:rPr>
        <w:t>84.55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99.33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15.45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default" w:ascii="仿宋" w:hAnsi="仿宋" w:eastAsia="仿宋"/>
          <w:color w:val="000000"/>
          <w:sz w:val="32"/>
          <w:szCs w:val="32"/>
          <w:lang w:val="en-US"/>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642.68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61.58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8.74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教师调离和老教师退休。</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642.68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61.58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8.74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教师调离和老教师退休。</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outlineLvl w:val="2"/>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642.68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教育支出（类）529.97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82.46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支出57.14万元，占</w:t>
      </w:r>
      <w:r>
        <w:rPr>
          <w:rFonts w:hint="eastAsia" w:ascii="仿宋" w:hAnsi="仿宋" w:eastAsia="仿宋"/>
          <w:color w:val="000000" w:themeColor="text1"/>
          <w:sz w:val="32"/>
          <w:szCs w:val="32"/>
          <w:lang w:val="en-US" w:eastAsia="zh-CN"/>
          <w14:textFill>
            <w14:solidFill>
              <w14:schemeClr w14:val="tx1"/>
            </w14:solidFill>
          </w14:textFill>
        </w:rPr>
        <w:t>8.89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；医疗卫生支出19.27万元，占</w:t>
      </w:r>
      <w:r>
        <w:rPr>
          <w:rFonts w:hint="eastAsia" w:ascii="仿宋" w:hAnsi="仿宋" w:eastAsia="仿宋"/>
          <w:color w:val="000000" w:themeColor="text1"/>
          <w:sz w:val="32"/>
          <w:szCs w:val="32"/>
          <w:lang w:val="en-US" w:eastAsia="zh-CN"/>
          <w14:textFill>
            <w14:solidFill>
              <w14:schemeClr w14:val="tx1"/>
            </w14:solidFill>
          </w14:textFill>
        </w:rPr>
        <w:t>2.99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；住房保障支出36.3万元，占</w:t>
      </w:r>
      <w:r>
        <w:rPr>
          <w:rFonts w:hint="eastAsia" w:ascii="仿宋" w:hAnsi="仿宋" w:eastAsia="仿宋"/>
          <w:color w:val="000000" w:themeColor="text1"/>
          <w:sz w:val="32"/>
          <w:szCs w:val="32"/>
          <w:lang w:val="en-US" w:eastAsia="zh-CN"/>
          <w14:textFill>
            <w14:solidFill>
              <w14:schemeClr w14:val="tx1"/>
            </w14:solidFill>
          </w14:textFill>
        </w:rPr>
        <w:t>5.66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bookmarkStart w:id="36" w:name="_Toc15377212"/>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color w:val="000000"/>
          <w:sz w:val="32"/>
          <w:szCs w:val="32"/>
          <w:lang w:val="en-US" w:eastAsia="zh-CN"/>
        </w:rPr>
        <w:t>642.68</w:t>
      </w:r>
      <w:r>
        <w:rPr>
          <w:rFonts w:hint="eastAsia" w:ascii="仿宋" w:hAnsi="仿宋" w:eastAsia="仿宋"/>
          <w:color w:val="000000" w:themeColor="text1"/>
          <w:sz w:val="32"/>
          <w:szCs w:val="32"/>
          <w14:textFill>
            <w14:solidFill>
              <w14:schemeClr w14:val="tx1"/>
            </w14:solidFill>
          </w14:textFill>
        </w:rPr>
        <w:t>万元，</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6.25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支出决算为520.23万元，完成预算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45.88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06</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11.26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19.27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住房保障</w:t>
      </w:r>
      <w:r>
        <w:rPr>
          <w:rStyle w:val="14"/>
          <w:rFonts w:hint="eastAsia" w:ascii="仿宋" w:hAnsi="仿宋" w:eastAsia="仿宋"/>
          <w:bCs/>
          <w:color w:val="000000"/>
          <w:sz w:val="32"/>
          <w:szCs w:val="32"/>
          <w:lang w:val="en-US" w:eastAsia="zh-CN"/>
        </w:rPr>
        <w:t>221</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36.3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543.36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478.97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64.39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2.11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_GB2312"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8年“三公”经费财政拨款支出决算中，公务接待费支出决算</w:t>
      </w:r>
      <w:r>
        <w:rPr>
          <w:rFonts w:hint="eastAsia" w:ascii="仿宋" w:hAnsi="仿宋" w:eastAsia="仿宋"/>
          <w:color w:val="000000"/>
          <w:sz w:val="32"/>
          <w:szCs w:val="32"/>
          <w:lang w:val="en-US" w:eastAsia="zh-CN"/>
        </w:rPr>
        <w:t>2.11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2.11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略有下降</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学校力所能及地节省开支</w:t>
      </w:r>
      <w:r>
        <w:rPr>
          <w:rFonts w:hint="eastAsia" w:ascii="仿宋_GB2312" w:eastAsia="仿宋_GB2312"/>
          <w:color w:val="000000"/>
          <w:sz w:val="32"/>
          <w:szCs w:val="32"/>
        </w:rPr>
        <w:t>。</w:t>
      </w:r>
    </w:p>
    <w:p>
      <w:pPr>
        <w:spacing w:line="600" w:lineRule="exact"/>
        <w:ind w:firstLine="640"/>
        <w:outlineLvl w:val="1"/>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409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2.11</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接待捐资助学团体和个人</w:t>
      </w:r>
      <w:r>
        <w:rPr>
          <w:rFonts w:hint="eastAsia" w:ascii="仿宋_GB2312" w:eastAsia="仿宋_GB2312"/>
          <w:color w:val="000000"/>
          <w:sz w:val="32"/>
          <w:szCs w:val="32"/>
          <w:lang w:val="en-US" w:eastAsia="zh-CN"/>
        </w:rPr>
        <w:t>22批次0.98万元，接待上级检查16批次0.45万元，接待校际间学习交流16批次0.68万元</w:t>
      </w:r>
      <w:r>
        <w:rPr>
          <w:rFonts w:hint="eastAsia" w:ascii="仿宋_GB2312" w:eastAsia="仿宋_GB2312"/>
          <w:color w:val="000000"/>
          <w:sz w:val="32"/>
          <w:szCs w:val="32"/>
        </w:rPr>
        <w:t>。</w:t>
      </w: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320" w:firstLineChars="1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本部门按要求对2018年部门整体支出开展绩效自评，从评价情况来看各部门工作井然有序,教学工作成绩显著。</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pStyle w:val="23"/>
        <w:numPr>
          <w:ilvl w:val="0"/>
          <w:numId w:val="3"/>
        </w:numPr>
        <w:spacing w:line="580" w:lineRule="exact"/>
        <w:ind w:firstLineChars="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本部门在2018年度部门决算中反映、“学前教育幼儿学生建</w:t>
      </w:r>
      <w:r>
        <w:rPr>
          <w:rFonts w:ascii="仿宋_GB2312" w:hAnsi="仿宋_GB2312" w:eastAsia="仿宋_GB2312" w:cs="仿宋_GB2312"/>
          <w:sz w:val="32"/>
          <w:szCs w:val="32"/>
        </w:rPr>
        <w:t>档立卡</w:t>
      </w:r>
      <w:r>
        <w:rPr>
          <w:rFonts w:hint="eastAsia" w:ascii="仿宋_GB2312" w:hAnsi="仿宋_GB2312" w:eastAsia="仿宋_GB2312" w:cs="仿宋_GB2312"/>
          <w:sz w:val="32"/>
          <w:szCs w:val="32"/>
        </w:rPr>
        <w:t>保教费”、“义教学生营养改善计划金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w:t>
      </w:r>
      <w:r>
        <w:rPr>
          <w:rFonts w:hint="eastAsia" w:ascii="仿宋_GB2312" w:hAnsi="仿宋_GB2312" w:eastAsia="仿宋_GB2312" w:cs="仿宋_GB2312"/>
          <w:sz w:val="32"/>
          <w:szCs w:val="32"/>
          <w:lang w:eastAsia="zh-CN"/>
        </w:rPr>
        <w:t>综合楼及校门维修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学前教育保</w:t>
      </w:r>
      <w:r>
        <w:rPr>
          <w:rFonts w:ascii="仿宋_GB2312" w:hAnsi="仿宋_GB2312" w:eastAsia="仿宋_GB2312" w:cs="仿宋_GB2312"/>
          <w:sz w:val="32"/>
          <w:szCs w:val="32"/>
        </w:rPr>
        <w:t>教费及</w:t>
      </w:r>
      <w:r>
        <w:rPr>
          <w:rFonts w:hint="eastAsia" w:ascii="仿宋_GB2312" w:hAnsi="仿宋_GB2312" w:eastAsia="仿宋_GB2312" w:cs="仿宋_GB2312"/>
          <w:sz w:val="32"/>
          <w:szCs w:val="32"/>
        </w:rPr>
        <w:t>建档立卡贫困家庭免保教费项目绩效目标完成情况综述。项目全年预算数</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万元，完成预算的100%。</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w:t>
      </w:r>
      <w:r>
        <w:rPr>
          <w:rFonts w:hint="eastAsia" w:ascii="仿宋_GB2312" w:hAnsi="仿宋_GB2312" w:eastAsia="仿宋_GB2312" w:cs="仿宋_GB2312"/>
          <w:sz w:val="32"/>
          <w:szCs w:val="32"/>
          <w:lang w:val="en-US" w:eastAsia="zh-CN"/>
        </w:rPr>
        <w:t>30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30.455</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 义教贫困寄宿生生活补助项目绩效目标完成情况综述。项目全年预算数</w:t>
      </w:r>
      <w:r>
        <w:rPr>
          <w:rFonts w:hint="eastAsia" w:ascii="仿宋_GB2312" w:hAnsi="仿宋_GB2312" w:eastAsia="仿宋_GB2312" w:cs="仿宋_GB2312"/>
          <w:sz w:val="32"/>
          <w:szCs w:val="32"/>
          <w:lang w:val="en-US" w:eastAsia="zh-CN"/>
        </w:rPr>
        <w:t>28.625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28.625</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 均衡发展补助资金项目绩效目标完成情况综述。项目全年预算数10万元，执行数为10万元，完成预算的100%。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w:t>
      </w:r>
      <w:r>
        <w:rPr>
          <w:rFonts w:ascii="仿宋_GB2312" w:hAnsi="仿宋_GB2312" w:eastAsia="仿宋_GB2312" w:cs="仿宋_GB2312"/>
          <w:sz w:val="32"/>
          <w:szCs w:val="32"/>
        </w:rPr>
        <w:t>心校校舍维修</w:t>
      </w:r>
      <w:r>
        <w:rPr>
          <w:rFonts w:hint="eastAsia" w:ascii="仿宋_GB2312" w:hAnsi="仿宋_GB2312" w:eastAsia="仿宋_GB2312" w:cs="仿宋_GB2312"/>
          <w:sz w:val="32"/>
          <w:szCs w:val="32"/>
          <w:lang w:eastAsia="zh-CN"/>
        </w:rPr>
        <w:t>及校门改造</w:t>
      </w:r>
      <w:r>
        <w:rPr>
          <w:rFonts w:hint="eastAsia" w:ascii="仿宋_GB2312" w:hAnsi="仿宋_GB2312" w:eastAsia="仿宋_GB2312" w:cs="仿宋_GB2312"/>
          <w:sz w:val="32"/>
          <w:szCs w:val="32"/>
        </w:rPr>
        <w:t>资金项目绩效目标完成情况综述。项目全年预算数</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万元，完成预算的100%。</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宣汉县</w:t>
            </w:r>
            <w:r>
              <w:rPr>
                <w:rFonts w:hint="eastAsia" w:ascii="宋体" w:hAnsi="宋体" w:cs="宋体"/>
                <w:color w:val="000000"/>
                <w:sz w:val="24"/>
                <w:lang w:eastAsia="zh-CN"/>
              </w:rPr>
              <w:t>土黄</w:t>
            </w:r>
            <w:r>
              <w:rPr>
                <w:rFonts w:hint="eastAsia" w:ascii="宋体" w:hAnsi="宋体" w:cs="宋体"/>
                <w:color w:val="000000"/>
                <w:sz w:val="24"/>
              </w:rPr>
              <w:t>镇</w:t>
            </w:r>
            <w:r>
              <w:rPr>
                <w:rFonts w:hint="eastAsia" w:ascii="宋体" w:hAnsi="宋体" w:cs="宋体"/>
                <w:color w:val="000000"/>
                <w:sz w:val="24"/>
                <w:lang w:eastAsia="zh-CN"/>
              </w:rPr>
              <w:t>三胜中心校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600" w:lineRule="atLeast"/>
        <w:ind w:firstLine="640" w:firstLineChars="200"/>
        <w:rPr>
          <w:rFonts w:ascii="仿宋_GB2312" w:eastAsia="仿宋_GB2312"/>
          <w:color w:val="000000"/>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3"/>
        <w:numPr>
          <w:ilvl w:val="0"/>
          <w:numId w:val="3"/>
        </w:numPr>
        <w:spacing w:line="580" w:lineRule="exact"/>
        <w:ind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3"/>
        <w:spacing w:line="580" w:lineRule="exact"/>
        <w:ind w:left="420"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本部门按要求对2018年部门整体支出绩效评价情况开展自评，《宣汉县</w:t>
      </w:r>
      <w:r>
        <w:rPr>
          <w:rFonts w:hint="eastAsia" w:ascii="仿宋_GB2312" w:hAnsi="仿宋_GB2312" w:eastAsia="仿宋_GB2312" w:cs="仿宋_GB2312"/>
          <w:sz w:val="32"/>
          <w:szCs w:val="32"/>
          <w:lang w:eastAsia="zh-CN"/>
        </w:rPr>
        <w:t>土黄</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三胜</w:t>
      </w:r>
      <w:r>
        <w:rPr>
          <w:rFonts w:ascii="仿宋_GB2312" w:hAnsi="仿宋_GB2312" w:eastAsia="仿宋_GB2312" w:cs="仿宋_GB2312"/>
          <w:sz w:val="32"/>
          <w:szCs w:val="32"/>
        </w:rPr>
        <w:t>中心校</w:t>
      </w:r>
      <w:r>
        <w:rPr>
          <w:rFonts w:hint="eastAsia" w:ascii="仿宋_GB2312" w:hAnsi="仿宋_GB2312" w:eastAsia="仿宋_GB2312" w:cs="仿宋_GB2312"/>
          <w:sz w:val="32"/>
          <w:szCs w:val="32"/>
        </w:rPr>
        <w:t>2018年部门整体支出绩效评价报告》见附件1。</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一、其他重要事项的情况说明</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w:t>
      </w:r>
      <w:r>
        <w:rPr>
          <w:rFonts w:hint="eastAsia" w:ascii="仿宋_GB2312" w:hAnsi="Calibri" w:eastAsia="仿宋_GB2312" w:cs="仿宋"/>
          <w:color w:val="000000"/>
          <w:kern w:val="0"/>
          <w:sz w:val="32"/>
          <w:szCs w:val="32"/>
          <w:lang w:eastAsia="zh-CN"/>
        </w:rPr>
        <w:t>土黄</w:t>
      </w:r>
      <w:r>
        <w:rPr>
          <w:rFonts w:hint="eastAsia" w:ascii="仿宋_GB2312" w:hAnsi="Calibri" w:eastAsia="仿宋_GB2312" w:cs="仿宋"/>
          <w:color w:val="000000"/>
          <w:kern w:val="0"/>
          <w:sz w:val="32"/>
          <w:szCs w:val="32"/>
        </w:rPr>
        <w:t>镇</w:t>
      </w:r>
      <w:r>
        <w:rPr>
          <w:rFonts w:hint="eastAsia" w:ascii="仿宋_GB2312" w:hAnsi="Calibri" w:eastAsia="仿宋_GB2312" w:cs="仿宋"/>
          <w:color w:val="000000"/>
          <w:kern w:val="0"/>
          <w:sz w:val="32"/>
          <w:szCs w:val="32"/>
          <w:lang w:eastAsia="zh-CN"/>
        </w:rPr>
        <w:t>三胜</w:t>
      </w:r>
      <w:r>
        <w:rPr>
          <w:rFonts w:ascii="仿宋_GB2312" w:hAnsi="Calibri" w:eastAsia="仿宋_GB2312" w:cs="仿宋"/>
          <w:color w:val="000000"/>
          <w:kern w:val="0"/>
          <w:sz w:val="32"/>
          <w:szCs w:val="32"/>
        </w:rPr>
        <w:t>中心校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67" w:name="_GoBack"/>
      <w:bookmarkEnd w:id="67"/>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600" w:lineRule="exact"/>
        <w:ind w:firstLine="640"/>
        <w:rPr>
          <w:rFonts w:hint="eastAsia" w:ascii="仿宋_GB2312" w:eastAsia="仿宋_GB2312"/>
          <w:color w:val="000000"/>
          <w:sz w:val="32"/>
          <w:szCs w:val="32"/>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outlineLvl w:val="1"/>
        <w:rPr>
          <w:rStyle w:val="25"/>
          <w:rFonts w:hint="eastAsia" w:ascii="黑体" w:hAnsi="黑体" w:eastAsia="黑体"/>
          <w:b w:val="0"/>
          <w:lang w:eastAsia="zh-CN"/>
        </w:rPr>
      </w:pPr>
    </w:p>
    <w:p>
      <w:pPr>
        <w:numPr>
          <w:ilvl w:val="0"/>
          <w:numId w:val="0"/>
        </w:numPr>
        <w:spacing w:line="600" w:lineRule="exact"/>
        <w:outlineLvl w:val="1"/>
        <w:rPr>
          <w:rStyle w:val="25"/>
          <w:rFonts w:hint="eastAsia" w:ascii="黑体" w:hAnsi="黑体" w:eastAsia="黑体"/>
          <w:b w:val="0"/>
          <w:lang w:eastAsia="zh-CN"/>
        </w:rPr>
      </w:pPr>
    </w:p>
    <w:p>
      <w:pPr>
        <w:numPr>
          <w:ilvl w:val="0"/>
          <w:numId w:val="0"/>
        </w:numPr>
        <w:spacing w:line="600" w:lineRule="exact"/>
        <w:outlineLvl w:val="1"/>
        <w:rPr>
          <w:rStyle w:val="25"/>
          <w:rFonts w:hint="eastAsia" w:ascii="黑体" w:hAnsi="黑体" w:eastAsia="黑体"/>
          <w:b w:val="0"/>
          <w:lang w:eastAsia="zh-CN"/>
        </w:rPr>
      </w:pPr>
    </w:p>
    <w:p>
      <w:pPr>
        <w:numPr>
          <w:ilvl w:val="0"/>
          <w:numId w:val="0"/>
        </w:numPr>
        <w:spacing w:line="600" w:lineRule="exact"/>
        <w:outlineLvl w:val="1"/>
        <w:rPr>
          <w:rStyle w:val="25"/>
          <w:rFonts w:hint="eastAsia" w:ascii="黑体" w:hAnsi="黑体" w:eastAsia="黑体"/>
          <w:b w:val="0"/>
          <w:lang w:eastAsia="zh-CN"/>
        </w:rPr>
      </w:pPr>
    </w:p>
    <w:p>
      <w:pPr>
        <w:numPr>
          <w:ilvl w:val="0"/>
          <w:numId w:val="0"/>
        </w:numPr>
        <w:spacing w:line="600" w:lineRule="exact"/>
        <w:outlineLvl w:val="1"/>
        <w:rPr>
          <w:rStyle w:val="25"/>
          <w:rFonts w:hint="eastAsia" w:ascii="黑体" w:hAnsi="黑体" w:eastAsia="黑体"/>
          <w:b w:val="0"/>
          <w:lang w:eastAsia="zh-CN"/>
        </w:rPr>
      </w:pPr>
    </w:p>
    <w:p>
      <w:pPr>
        <w:numPr>
          <w:ilvl w:val="0"/>
          <w:numId w:val="5"/>
        </w:numPr>
        <w:spacing w:line="600" w:lineRule="exact"/>
        <w:ind w:firstLine="662" w:firstLineChars="150"/>
        <w:jc w:val="center"/>
        <w:outlineLvl w:val="0"/>
        <w:rPr>
          <w:rStyle w:val="24"/>
          <w:rFonts w:ascii="黑体" w:hAnsi="黑体" w:eastAsia="黑体"/>
          <w:b w:val="0"/>
        </w:rPr>
      </w:pPr>
      <w:bookmarkStart w:id="50" w:name="_Toc15377225"/>
      <w:bookmarkStart w:id="51"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学前教育</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小学教育</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机关事业单位养老保险缴费支出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06</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机关事业单位职业年金缴费支出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lang w:eastAsia="zh-CN"/>
        </w:rPr>
        <w:t>住房保障</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住房公积金支出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883" w:firstLineChars="200"/>
        <w:rPr>
          <w:rStyle w:val="24"/>
          <w:rFonts w:ascii="仿宋" w:hAnsi="仿宋" w:eastAsia="仿宋" w:cs="仿宋_GB2312"/>
          <w:b w:val="0"/>
          <w:bCs w:val="0"/>
          <w:kern w:val="2"/>
          <w:sz w:val="32"/>
          <w:szCs w:val="32"/>
        </w:rPr>
      </w:pPr>
      <w:bookmarkStart w:id="52" w:name="_Toc15377226"/>
      <w:r>
        <w:rPr>
          <w:rFonts w:ascii="宋体"/>
          <w:b/>
          <w:color w:val="000000"/>
          <w:sz w:val="44"/>
          <w:szCs w:val="44"/>
        </w:rPr>
        <w:br w:type="page"/>
      </w:r>
    </w:p>
    <w:p>
      <w:pPr>
        <w:spacing w:line="600" w:lineRule="exact"/>
        <w:jc w:val="center"/>
        <w:outlineLvl w:val="0"/>
        <w:rPr>
          <w:rStyle w:val="24"/>
          <w:rFonts w:ascii="黑体" w:hAnsi="黑体" w:eastAsia="黑体"/>
          <w:b w:val="0"/>
        </w:rPr>
      </w:pPr>
      <w:bookmarkStart w:id="53" w:name="_Toc15396618"/>
      <w:r>
        <w:rPr>
          <w:rFonts w:hint="eastAsia" w:ascii="黑体" w:hAnsi="黑体" w:eastAsia="黑体"/>
          <w:color w:val="000000"/>
          <w:sz w:val="44"/>
          <w:szCs w:val="44"/>
        </w:rPr>
        <w:t>第</w:t>
      </w:r>
      <w:r>
        <w:rPr>
          <w:rStyle w:val="24"/>
          <w:rFonts w:hint="eastAsia" w:ascii="黑体" w:hAnsi="黑体" w:eastAsia="黑体"/>
          <w:b w:val="0"/>
          <w:lang w:eastAsia="zh-CN"/>
        </w:rPr>
        <w:t>四</w:t>
      </w:r>
      <w:r>
        <w:rPr>
          <w:rStyle w:val="24"/>
          <w:rFonts w:hint="eastAsia" w:ascii="黑体" w:hAnsi="黑体" w:eastAsia="黑体"/>
          <w:b w:val="0"/>
        </w:rPr>
        <w:t>部分 附表</w:t>
      </w:r>
      <w:bookmarkEnd w:id="52"/>
      <w:bookmarkEnd w:id="5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4"/>
    </w:p>
    <w:p>
      <w:pPr>
        <w:pStyle w:val="3"/>
        <w:rPr>
          <w:rFonts w:ascii="仿宋" w:hAnsi="仿宋" w:eastAsia="仿宋"/>
          <w:color w:val="000000"/>
        </w:rPr>
      </w:pPr>
      <w:bookmarkStart w:id="55"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5"/>
    </w:p>
    <w:p>
      <w:pPr>
        <w:pStyle w:val="3"/>
        <w:rPr>
          <w:rFonts w:ascii="仿宋" w:hAnsi="仿宋" w:eastAsia="仿宋"/>
          <w:color w:val="000000"/>
        </w:rPr>
      </w:pPr>
      <w:bookmarkStart w:id="5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6"/>
    </w:p>
    <w:p>
      <w:pPr>
        <w:pStyle w:val="3"/>
        <w:rPr>
          <w:rFonts w:ascii="仿宋" w:hAnsi="仿宋" w:eastAsia="仿宋"/>
          <w:b w:val="0"/>
          <w:color w:val="000000"/>
        </w:rPr>
      </w:pPr>
      <w:bookmarkStart w:id="5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7"/>
    </w:p>
    <w:p>
      <w:pPr>
        <w:pStyle w:val="3"/>
        <w:rPr>
          <w:rFonts w:ascii="仿宋" w:hAnsi="仿宋" w:eastAsia="仿宋"/>
          <w:color w:val="000000"/>
        </w:rPr>
      </w:pPr>
      <w:bookmarkStart w:id="5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58"/>
    </w:p>
    <w:p>
      <w:pPr>
        <w:pStyle w:val="3"/>
        <w:rPr>
          <w:rFonts w:ascii="仿宋" w:hAnsi="仿宋" w:eastAsia="仿宋"/>
          <w:color w:val="000000"/>
        </w:rPr>
      </w:pPr>
      <w:bookmarkStart w:id="59"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59"/>
    </w:p>
    <w:p>
      <w:pPr>
        <w:pStyle w:val="3"/>
        <w:rPr>
          <w:rFonts w:ascii="仿宋" w:hAnsi="仿宋" w:eastAsia="仿宋"/>
          <w:color w:val="000000"/>
        </w:rPr>
      </w:pPr>
      <w:bookmarkStart w:id="6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0"/>
    </w:p>
    <w:p>
      <w:pPr>
        <w:pStyle w:val="3"/>
        <w:rPr>
          <w:rFonts w:ascii="仿宋" w:hAnsi="仿宋" w:eastAsia="仿宋"/>
          <w:color w:val="000000"/>
        </w:rPr>
      </w:pPr>
      <w:bookmarkStart w:id="6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1"/>
    </w:p>
    <w:p>
      <w:pPr>
        <w:pStyle w:val="3"/>
        <w:rPr>
          <w:rFonts w:ascii="仿宋" w:hAnsi="仿宋" w:eastAsia="仿宋"/>
          <w:color w:val="000000"/>
        </w:rPr>
      </w:pPr>
      <w:bookmarkStart w:id="6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2"/>
    </w:p>
    <w:p>
      <w:pPr>
        <w:pStyle w:val="3"/>
        <w:rPr>
          <w:rFonts w:ascii="仿宋" w:hAnsi="仿宋" w:eastAsia="仿宋"/>
          <w:color w:val="000000"/>
        </w:rPr>
      </w:pPr>
      <w:bookmarkStart w:id="6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3"/>
    </w:p>
    <w:p>
      <w:pPr>
        <w:pStyle w:val="3"/>
        <w:rPr>
          <w:rFonts w:ascii="仿宋" w:hAnsi="仿宋" w:eastAsia="仿宋"/>
          <w:color w:val="000000"/>
        </w:rPr>
      </w:pPr>
      <w:bookmarkStart w:id="6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4"/>
    </w:p>
    <w:p>
      <w:pPr>
        <w:pStyle w:val="3"/>
        <w:rPr>
          <w:rFonts w:ascii="仿宋" w:hAnsi="仿宋" w:eastAsia="仿宋"/>
          <w:color w:val="000000"/>
        </w:rPr>
      </w:pPr>
      <w:bookmarkStart w:id="6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5"/>
    </w:p>
    <w:p>
      <w:pPr>
        <w:pStyle w:val="3"/>
        <w:rPr>
          <w:rFonts w:ascii="仿宋" w:hAnsi="仿宋" w:eastAsia="仿宋"/>
          <w:color w:val="000000" w:themeColor="text1"/>
          <w14:textFill>
            <w14:solidFill>
              <w14:schemeClr w14:val="tx1"/>
            </w14:solidFill>
          </w14:textFill>
        </w:rPr>
      </w:pPr>
      <w:bookmarkStart w:id="6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4C4773A"/>
    <w:multiLevelType w:val="multilevel"/>
    <w:tmpl w:val="04C4773A"/>
    <w:lvl w:ilvl="0" w:tentative="0">
      <w:start w:val="2"/>
      <w:numFmt w:val="japaneseCounting"/>
      <w:lvlText w:val="（%1）"/>
      <w:lvlJc w:val="left"/>
      <w:pPr>
        <w:ind w:left="1080" w:hanging="1080"/>
      </w:pPr>
      <w:rPr>
        <w:rFonts w:hint="default" w:ascii="仿宋" w:hAnsi="仿宋" w:eastAsia="仿宋"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9E1D66"/>
    <w:rsid w:val="10C055FF"/>
    <w:rsid w:val="16BB723D"/>
    <w:rsid w:val="187319C8"/>
    <w:rsid w:val="240371BF"/>
    <w:rsid w:val="29FD04D3"/>
    <w:rsid w:val="2A7E7EDE"/>
    <w:rsid w:val="31650E11"/>
    <w:rsid w:val="319F7F4E"/>
    <w:rsid w:val="37A828EA"/>
    <w:rsid w:val="6B7E12C5"/>
    <w:rsid w:val="70385088"/>
    <w:rsid w:val="B1FF03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2022-02-22T16:35:06Z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