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96597"/>
      <w:bookmarkStart w:id="3" w:name="_Toc15378441"/>
      <w:bookmarkStart w:id="4" w:name="_Toc15377425"/>
      <w:bookmarkStart w:id="5" w:name="_Toc15377193"/>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78442"/>
      <w:bookmarkStart w:id="7" w:name="_Toc15377194"/>
      <w:bookmarkStart w:id="8" w:name="_Toc15377426"/>
      <w:bookmarkStart w:id="9" w:name="_Toc15396598"/>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val="en-US" w:eastAsia="zh-CN"/>
        </w:rPr>
        <w:t>宣汉县庙安乡卫生院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19</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22</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25</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ind w:firstLine="640" w:firstLineChars="200"/>
        <w:rPr>
          <w:rFonts w:hint="eastAsia" w:ascii="仿宋_GB2312" w:eastAsia="仿宋_GB2312"/>
          <w:sz w:val="32"/>
          <w:szCs w:val="32"/>
          <w:lang w:val="en"/>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r>
        <w:rPr>
          <w:rFonts w:hint="eastAsia" w:ascii="仿宋_GB2312" w:eastAsia="仿宋_GB2312"/>
          <w:sz w:val="32"/>
          <w:szCs w:val="32"/>
          <w:lang w:val="en"/>
        </w:rPr>
        <w:t>我院现有在职职工</w:t>
      </w:r>
      <w:r>
        <w:rPr>
          <w:rFonts w:hint="eastAsia" w:ascii="仿宋_GB2312" w:eastAsia="仿宋_GB2312"/>
          <w:sz w:val="32"/>
          <w:szCs w:val="32"/>
          <w:lang w:val="en-US" w:eastAsia="zh-CN"/>
        </w:rPr>
        <w:t>16</w:t>
      </w:r>
      <w:r>
        <w:rPr>
          <w:rFonts w:hint="eastAsia" w:ascii="仿宋_GB2312" w:eastAsia="仿宋_GB2312"/>
          <w:sz w:val="32"/>
          <w:szCs w:val="32"/>
          <w:lang w:val="en"/>
        </w:rPr>
        <w:t>人（其中在编在岗人员</w:t>
      </w:r>
      <w:r>
        <w:rPr>
          <w:rFonts w:hint="eastAsia" w:ascii="仿宋_GB2312" w:eastAsia="仿宋_GB2312"/>
          <w:sz w:val="32"/>
          <w:szCs w:val="32"/>
          <w:lang w:val="en-US" w:eastAsia="zh-CN"/>
        </w:rPr>
        <w:t>12</w:t>
      </w:r>
      <w:r>
        <w:rPr>
          <w:rFonts w:hint="eastAsia" w:ascii="仿宋_GB2312" w:eastAsia="仿宋_GB2312"/>
          <w:sz w:val="32"/>
          <w:szCs w:val="32"/>
          <w:lang w:val="en"/>
        </w:rPr>
        <w:t>人，临聘人员</w:t>
      </w:r>
      <w:r>
        <w:rPr>
          <w:rFonts w:hint="eastAsia" w:ascii="仿宋_GB2312" w:eastAsia="仿宋_GB2312"/>
          <w:sz w:val="32"/>
          <w:szCs w:val="32"/>
          <w:lang w:val="en-US" w:eastAsia="zh-CN"/>
        </w:rPr>
        <w:t>4</w:t>
      </w:r>
      <w:r>
        <w:rPr>
          <w:rFonts w:hint="eastAsia" w:ascii="仿宋_GB2312" w:eastAsia="仿宋_GB2312"/>
          <w:sz w:val="32"/>
          <w:szCs w:val="32"/>
          <w:lang w:val="en"/>
        </w:rPr>
        <w:t>人），退休职工</w:t>
      </w:r>
      <w:r>
        <w:rPr>
          <w:rFonts w:hint="eastAsia" w:ascii="仿宋_GB2312" w:eastAsia="仿宋_GB2312"/>
          <w:sz w:val="32"/>
          <w:szCs w:val="32"/>
          <w:lang w:val="en-US" w:eastAsia="zh-CN"/>
        </w:rPr>
        <w:t>1</w:t>
      </w:r>
      <w:r>
        <w:rPr>
          <w:rFonts w:hint="eastAsia" w:ascii="仿宋_GB2312" w:eastAsia="仿宋_GB2312"/>
          <w:sz w:val="32"/>
          <w:szCs w:val="32"/>
          <w:lang w:val="en"/>
        </w:rPr>
        <w:t>人，遗嘱</w:t>
      </w:r>
      <w:r>
        <w:rPr>
          <w:rFonts w:hint="eastAsia" w:ascii="仿宋_GB2312" w:eastAsia="仿宋_GB2312"/>
          <w:sz w:val="32"/>
          <w:szCs w:val="32"/>
          <w:lang w:val="en-US" w:eastAsia="zh-CN"/>
        </w:rPr>
        <w:t>1</w:t>
      </w:r>
      <w:r>
        <w:rPr>
          <w:rFonts w:hint="eastAsia" w:ascii="仿宋_GB2312" w:eastAsia="仿宋_GB2312"/>
          <w:sz w:val="32"/>
          <w:szCs w:val="32"/>
          <w:lang w:val="en"/>
        </w:rPr>
        <w:t>人，开放病床</w:t>
      </w:r>
      <w:r>
        <w:rPr>
          <w:rFonts w:hint="eastAsia" w:ascii="仿宋_GB2312" w:eastAsia="仿宋_GB2312"/>
          <w:sz w:val="32"/>
          <w:szCs w:val="32"/>
          <w:lang w:val="en-US" w:eastAsia="zh-CN"/>
        </w:rPr>
        <w:t>15</w:t>
      </w:r>
      <w:r>
        <w:rPr>
          <w:rFonts w:hint="eastAsia" w:ascii="仿宋_GB2312" w:eastAsia="仿宋_GB2312"/>
          <w:sz w:val="32"/>
          <w:szCs w:val="32"/>
          <w:lang w:val="en"/>
        </w:rPr>
        <w:t>张。是医保和新农合定点医院。担负着辖区居民的防病、治病重任，是集医药医疗、急救、预防、保健、康复于一体的</w:t>
      </w:r>
      <w:r>
        <w:rPr>
          <w:rFonts w:hint="eastAsia" w:ascii="仿宋" w:hAnsi="仿宋" w:eastAsia="仿宋"/>
          <w:sz w:val="32"/>
          <w:szCs w:val="32"/>
        </w:rPr>
        <w:t>的一级</w:t>
      </w:r>
      <w:r>
        <w:rPr>
          <w:rFonts w:hint="eastAsia" w:ascii="仿宋" w:hAnsi="仿宋" w:eastAsia="仿宋"/>
          <w:sz w:val="32"/>
          <w:szCs w:val="32"/>
          <w:lang w:val="en-US" w:eastAsia="zh-CN"/>
        </w:rPr>
        <w:t>乙</w:t>
      </w:r>
      <w:r>
        <w:rPr>
          <w:rFonts w:hint="eastAsia" w:ascii="仿宋" w:hAnsi="仿宋" w:eastAsia="仿宋"/>
          <w:sz w:val="32"/>
          <w:szCs w:val="32"/>
        </w:rPr>
        <w:t>等医院</w:t>
      </w:r>
      <w:r>
        <w:rPr>
          <w:rFonts w:hint="eastAsia" w:ascii="仿宋" w:hAnsi="仿宋" w:eastAsia="仿宋"/>
          <w:sz w:val="32"/>
          <w:szCs w:val="32"/>
          <w:lang w:eastAsia="zh-CN"/>
        </w:rPr>
        <w:t>，也</w:t>
      </w:r>
      <w:r>
        <w:rPr>
          <w:rFonts w:hint="eastAsia" w:ascii="仿宋_GB2312" w:eastAsia="仿宋_GB2312"/>
          <w:sz w:val="32"/>
          <w:szCs w:val="32"/>
          <w:lang w:val="en"/>
        </w:rPr>
        <w:t>是医保和新农合定点医院。并起着全辖区卫生事业的龙头带动作用。</w:t>
      </w:r>
      <w:r>
        <w:rPr>
          <w:rFonts w:hint="eastAsia" w:ascii="仿宋_GB2312" w:eastAsia="仿宋_GB2312"/>
          <w:sz w:val="32"/>
          <w:szCs w:val="32"/>
          <w:lang w:val="en" w:eastAsia="zh-CN"/>
        </w:rPr>
        <w:t>辖区共</w:t>
      </w:r>
      <w:r>
        <w:rPr>
          <w:rFonts w:hint="eastAsia" w:ascii="仿宋_GB2312" w:eastAsia="仿宋_GB2312"/>
          <w:sz w:val="32"/>
          <w:szCs w:val="32"/>
          <w:lang w:val="en-US" w:eastAsia="zh-CN"/>
        </w:rPr>
        <w:t>6个村卫生室，全镇总人口0.6791万人，财政基本公共卫生计算服务人口5385人。</w:t>
      </w:r>
    </w:p>
    <w:p>
      <w:pPr>
        <w:ind w:firstLine="640" w:firstLineChars="200"/>
        <w:rPr>
          <w:rFonts w:hint="eastAsia" w:ascii="仿宋_GB2312" w:eastAsia="仿宋_GB2312"/>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eastAsia" w:ascii="仿宋_GB2312" w:eastAsia="仿宋_GB2312"/>
          <w:bCs/>
          <w:sz w:val="32"/>
          <w:szCs w:val="32"/>
          <w:lang w:eastAsia="zh-CN"/>
        </w:rPr>
        <w:t>一是</w:t>
      </w:r>
      <w:r>
        <w:rPr>
          <w:rFonts w:hint="eastAsia" w:ascii="仿宋_GB2312" w:eastAsia="仿宋_GB2312"/>
          <w:bCs/>
          <w:sz w:val="32"/>
          <w:szCs w:val="32"/>
        </w:rPr>
        <w:t>不断加强管理，强化内涵建设，切实重抓医疗质量和安全管理，发展人才先行，不断优化病区环境</w:t>
      </w:r>
      <w:r>
        <w:rPr>
          <w:rFonts w:hint="eastAsia" w:ascii="仿宋_GB2312" w:eastAsia="仿宋_GB2312"/>
          <w:sz w:val="32"/>
          <w:szCs w:val="32"/>
        </w:rPr>
        <w:t>，打造让患者舒心、满意的家庭式病房，病人满意度不断提升。</w:t>
      </w:r>
      <w:r>
        <w:rPr>
          <w:rFonts w:hint="eastAsia" w:ascii="仿宋_GB2312" w:eastAsia="仿宋_GB2312"/>
          <w:sz w:val="32"/>
          <w:szCs w:val="32"/>
          <w:lang w:eastAsia="zh-CN"/>
        </w:rPr>
        <w:t>二是</w:t>
      </w:r>
      <w:r>
        <w:rPr>
          <w:rFonts w:hint="eastAsia" w:ascii="仿宋_GB2312" w:eastAsia="仿宋_GB2312"/>
          <w:bCs/>
          <w:sz w:val="32"/>
          <w:szCs w:val="32"/>
        </w:rPr>
        <w:t>不断加强基础设施建设</w:t>
      </w:r>
      <w:r>
        <w:rPr>
          <w:rFonts w:hint="eastAsia" w:ascii="仿宋_GB2312" w:eastAsia="仿宋_GB2312"/>
          <w:sz w:val="32"/>
          <w:szCs w:val="32"/>
        </w:rPr>
        <w:t>，</w:t>
      </w:r>
      <w:r>
        <w:rPr>
          <w:rFonts w:hint="eastAsia" w:ascii="仿宋_GB2312" w:eastAsia="仿宋_GB2312"/>
          <w:sz w:val="32"/>
          <w:szCs w:val="32"/>
          <w:lang w:eastAsia="zh-CN"/>
        </w:rPr>
        <w:t>集中打造中医诊疗区、三</w:t>
      </w:r>
      <w:r>
        <w:rPr>
          <w:rFonts w:hint="eastAsia" w:ascii="仿宋_GB2312" w:eastAsia="仿宋_GB2312"/>
          <w:sz w:val="32"/>
          <w:szCs w:val="32"/>
          <w:lang w:val="en-US" w:eastAsia="zh-CN"/>
        </w:rPr>
        <w:t>是污水处理设施、医疗废物处理间、</w:t>
      </w:r>
      <w:r>
        <w:rPr>
          <w:rFonts w:hint="eastAsia" w:ascii="仿宋_GB2312" w:eastAsia="仿宋_GB2312"/>
          <w:sz w:val="32"/>
          <w:szCs w:val="32"/>
        </w:rPr>
        <w:t>医院</w:t>
      </w:r>
      <w:r>
        <w:rPr>
          <w:rFonts w:hint="eastAsia" w:ascii="仿宋_GB2312" w:eastAsia="仿宋_GB2312"/>
          <w:sz w:val="32"/>
          <w:szCs w:val="32"/>
          <w:lang w:eastAsia="zh-CN"/>
        </w:rPr>
        <w:t>院坝整治</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完善了病房的改造及医院环境的改善，真正做到“住院环境花园式、病房宾馆式、服务人性化”。圆满完成城乡环境治理工作，</w:t>
      </w:r>
      <w:r>
        <w:rPr>
          <w:rFonts w:hint="eastAsia" w:ascii="仿宋_GB2312" w:eastAsia="仿宋_GB2312"/>
          <w:bCs/>
          <w:sz w:val="32"/>
          <w:szCs w:val="32"/>
        </w:rPr>
        <w:t>高度重视安全维稳信访工作</w:t>
      </w:r>
      <w:r>
        <w:rPr>
          <w:rFonts w:hint="eastAsia" w:ascii="仿宋_GB2312" w:eastAsia="仿宋_GB2312"/>
          <w:sz w:val="32"/>
          <w:szCs w:val="32"/>
        </w:rPr>
        <w:t>，</w:t>
      </w:r>
      <w:r>
        <w:rPr>
          <w:rFonts w:hint="eastAsia" w:ascii="仿宋_GB2312" w:eastAsia="仿宋_GB2312"/>
          <w:bCs/>
          <w:sz w:val="32"/>
          <w:szCs w:val="32"/>
        </w:rPr>
        <w:t>中医工作持续推进</w:t>
      </w:r>
      <w:r>
        <w:rPr>
          <w:rFonts w:hint="eastAsia" w:ascii="仿宋_GB2312" w:eastAsia="仿宋_GB2312"/>
          <w:sz w:val="32"/>
          <w:szCs w:val="32"/>
        </w:rPr>
        <w:t>。</w:t>
      </w:r>
    </w:p>
    <w:p>
      <w:pPr>
        <w:rPr>
          <w:rFonts w:hint="eastAsia" w:ascii="仿宋" w:hAnsi="仿宋" w:eastAsia="仿宋_GB2312"/>
          <w:sz w:val="32"/>
          <w:szCs w:val="32"/>
          <w:lang w:val="en-US" w:eastAsia="zh-CN"/>
        </w:rPr>
      </w:pPr>
      <w:r>
        <w:rPr>
          <w:rFonts w:hint="eastAsia" w:ascii="仿宋_GB2312" w:eastAsia="仿宋_GB2312"/>
          <w:sz w:val="32"/>
          <w:szCs w:val="32"/>
        </w:rPr>
        <w:t>公共卫生坚持“关口前移、重心下沉、主动出击、防患于未然”的工作原则。</w:t>
      </w:r>
      <w:r>
        <w:rPr>
          <w:rFonts w:hint="eastAsia" w:ascii="仿宋" w:hAnsi="仿宋" w:eastAsia="仿宋" w:cs="仿宋"/>
          <w:sz w:val="32"/>
          <w:szCs w:val="32"/>
        </w:rPr>
        <w:t>一是按照县卫计局要求以“家庭医生”签约服务为契机全面推进基本公共卫生服务工作。二是狠抓医疗服务质量</w:t>
      </w:r>
      <w:r>
        <w:rPr>
          <w:rFonts w:hint="eastAsia" w:ascii="仿宋" w:hAnsi="仿宋" w:eastAsia="仿宋" w:cs="仿宋"/>
          <w:sz w:val="32"/>
          <w:szCs w:val="32"/>
          <w:lang w:eastAsia="zh-CN"/>
        </w:rPr>
        <w:t>和安全</w:t>
      </w:r>
      <w:r>
        <w:rPr>
          <w:rFonts w:hint="eastAsia" w:ascii="仿宋" w:hAnsi="仿宋" w:eastAsia="仿宋" w:cs="仿宋"/>
          <w:sz w:val="32"/>
          <w:szCs w:val="32"/>
        </w:rPr>
        <w:t>。三是以认真学习领会中央八项规定，规范医疗行为，提升医疗队伍的业务素质能力，忠实践行“全心全意为人民服务”的宗旨。</w:t>
      </w:r>
      <w:r>
        <w:rPr>
          <w:rFonts w:hint="eastAsia" w:ascii="仿宋" w:hAnsi="仿宋" w:eastAsia="仿宋"/>
          <w:color w:val="auto"/>
          <w:sz w:val="32"/>
          <w:szCs w:val="32"/>
        </w:rPr>
        <w:t>201</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年我院诊疗人次</w:t>
      </w:r>
      <w:r>
        <w:rPr>
          <w:rFonts w:hint="eastAsia" w:ascii="仿宋" w:hAnsi="仿宋" w:eastAsia="仿宋"/>
          <w:color w:val="auto"/>
          <w:sz w:val="32"/>
          <w:szCs w:val="32"/>
          <w:lang w:val="en-US" w:eastAsia="zh-CN"/>
        </w:rPr>
        <w:t>9687</w:t>
      </w:r>
      <w:r>
        <w:rPr>
          <w:rFonts w:hint="eastAsia" w:ascii="仿宋" w:hAnsi="仿宋" w:eastAsia="仿宋"/>
          <w:color w:val="auto"/>
          <w:sz w:val="32"/>
          <w:szCs w:val="32"/>
        </w:rPr>
        <w:t>人次，收治住院病人</w:t>
      </w:r>
      <w:r>
        <w:rPr>
          <w:rFonts w:hint="eastAsia" w:ascii="仿宋" w:hAnsi="仿宋" w:eastAsia="仿宋"/>
          <w:color w:val="auto"/>
          <w:sz w:val="32"/>
          <w:szCs w:val="32"/>
          <w:lang w:val="en-US" w:eastAsia="zh-CN"/>
        </w:rPr>
        <w:t>626</w:t>
      </w:r>
      <w:r>
        <w:rPr>
          <w:rFonts w:hint="eastAsia" w:ascii="仿宋" w:hAnsi="仿宋" w:eastAsia="仿宋"/>
          <w:color w:val="auto"/>
          <w:sz w:val="32"/>
          <w:szCs w:val="32"/>
        </w:rPr>
        <w:t>人次，实现医疗收</w:t>
      </w:r>
      <w:bookmarkStart w:id="67" w:name="_GoBack"/>
      <w:bookmarkEnd w:id="67"/>
      <w:r>
        <w:rPr>
          <w:rFonts w:hint="eastAsia" w:ascii="仿宋" w:hAnsi="仿宋" w:eastAsia="仿宋"/>
          <w:color w:val="auto"/>
          <w:sz w:val="32"/>
          <w:szCs w:val="32"/>
        </w:rPr>
        <w:t>入</w:t>
      </w:r>
      <w:r>
        <w:rPr>
          <w:rFonts w:hint="eastAsia" w:ascii="仿宋" w:hAnsi="仿宋" w:eastAsia="仿宋"/>
          <w:color w:val="auto"/>
          <w:sz w:val="32"/>
          <w:szCs w:val="32"/>
          <w:lang w:val="en-US" w:eastAsia="zh-CN"/>
        </w:rPr>
        <w:t>119.75</w:t>
      </w:r>
      <w:r>
        <w:rPr>
          <w:rFonts w:hint="eastAsia" w:ascii="仿宋" w:hAnsi="仿宋" w:eastAsia="仿宋"/>
          <w:color w:val="auto"/>
          <w:sz w:val="32"/>
          <w:szCs w:val="32"/>
        </w:rPr>
        <w:t>元；居民健</w:t>
      </w:r>
      <w:r>
        <w:rPr>
          <w:rFonts w:hint="eastAsia" w:ascii="仿宋" w:hAnsi="仿宋" w:eastAsia="仿宋"/>
          <w:sz w:val="32"/>
          <w:szCs w:val="32"/>
        </w:rPr>
        <w:t>康建档人数</w:t>
      </w:r>
      <w:r>
        <w:rPr>
          <w:rFonts w:hint="eastAsia" w:ascii="仿宋" w:hAnsi="仿宋" w:eastAsia="仿宋"/>
          <w:sz w:val="32"/>
          <w:szCs w:val="32"/>
          <w:lang w:val="en-US" w:eastAsia="zh-CN"/>
        </w:rPr>
        <w:t>6791</w:t>
      </w:r>
      <w:r>
        <w:rPr>
          <w:rFonts w:hint="eastAsia" w:ascii="仿宋" w:hAnsi="仿宋" w:eastAsia="仿宋"/>
          <w:sz w:val="32"/>
          <w:szCs w:val="32"/>
        </w:rPr>
        <w:t>人，电子建档人数为</w:t>
      </w:r>
      <w:r>
        <w:rPr>
          <w:rFonts w:hint="eastAsia" w:ascii="仿宋" w:hAnsi="仿宋" w:eastAsia="仿宋"/>
          <w:sz w:val="32"/>
          <w:szCs w:val="32"/>
          <w:lang w:val="en-US" w:eastAsia="zh-CN"/>
        </w:rPr>
        <w:t>5385</w:t>
      </w:r>
      <w:r>
        <w:rPr>
          <w:rFonts w:hint="eastAsia" w:ascii="仿宋" w:hAnsi="仿宋" w:eastAsia="仿宋"/>
          <w:sz w:val="32"/>
          <w:szCs w:val="32"/>
        </w:rPr>
        <w:t>人，健康知识讲座受益人数达</w:t>
      </w:r>
      <w:r>
        <w:rPr>
          <w:rFonts w:hint="eastAsia" w:ascii="仿宋" w:hAnsi="仿宋" w:eastAsia="仿宋"/>
          <w:sz w:val="32"/>
          <w:szCs w:val="32"/>
          <w:lang w:val="en-US" w:eastAsia="zh-CN"/>
        </w:rPr>
        <w:t>5385</w:t>
      </w:r>
      <w:r>
        <w:rPr>
          <w:rFonts w:hint="eastAsia" w:ascii="仿宋" w:hAnsi="仿宋" w:eastAsia="仿宋"/>
          <w:sz w:val="32"/>
          <w:szCs w:val="32"/>
        </w:rPr>
        <w:t>人次</w:t>
      </w:r>
      <w:r>
        <w:rPr>
          <w:rFonts w:hint="eastAsia" w:ascii="仿宋_GB2312" w:hAnsi="仿宋" w:eastAsia="仿宋_GB2312"/>
          <w:sz w:val="32"/>
          <w:szCs w:val="32"/>
        </w:rPr>
        <w:t>。</w:t>
      </w:r>
      <w:r>
        <w:rPr>
          <w:rFonts w:hint="eastAsia" w:ascii="仿宋_GB2312" w:hAnsi="仿宋" w:eastAsia="仿宋_GB2312"/>
          <w:sz w:val="32"/>
          <w:szCs w:val="32"/>
          <w:lang w:eastAsia="zh-CN"/>
        </w:rPr>
        <w:t>健康扶贫工作三个一批信息录入全面完成，</w:t>
      </w:r>
      <w:r>
        <w:rPr>
          <w:rFonts w:hint="eastAsia" w:ascii="仿宋_GB2312" w:hAnsi="仿宋" w:eastAsia="仿宋_GB2312"/>
          <w:sz w:val="32"/>
          <w:szCs w:val="32"/>
          <w:lang w:val="en-US" w:eastAsia="zh-CN"/>
        </w:rPr>
        <w:t>2018年大病救治11人，慢病签约1011人，重病兜底20人。</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40" w:firstLineChars="200"/>
        <w:rPr>
          <w:rFonts w:ascii="仿宋" w:hAnsi="仿宋" w:eastAsia="仿宋"/>
          <w:color w:val="000000"/>
          <w:sz w:val="32"/>
          <w:szCs w:val="32"/>
        </w:rPr>
      </w:pPr>
      <w:r>
        <w:rPr>
          <w:rFonts w:hint="eastAsia" w:ascii="仿宋_GB2312" w:eastAsia="仿宋_GB2312"/>
          <w:sz w:val="32"/>
          <w:szCs w:val="32"/>
          <w:lang w:val="en"/>
        </w:rPr>
        <w:t>201</w:t>
      </w:r>
      <w:r>
        <w:rPr>
          <w:rFonts w:hint="eastAsia" w:ascii="仿宋_GB2312" w:eastAsia="仿宋_GB2312"/>
          <w:sz w:val="32"/>
          <w:szCs w:val="32"/>
          <w:lang w:val="en-US" w:eastAsia="zh-CN"/>
        </w:rPr>
        <w:t>8</w:t>
      </w:r>
      <w:r>
        <w:rPr>
          <w:rFonts w:hint="eastAsia" w:ascii="仿宋_GB2312" w:eastAsia="仿宋_GB2312"/>
          <w:sz w:val="32"/>
          <w:szCs w:val="32"/>
          <w:lang w:val="en"/>
        </w:rPr>
        <w:t>年我院部门决算公开单位1个，其中公益一类事业单位1个。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napToGrid w:val="0"/>
        <w:spacing w:line="520" w:lineRule="exact"/>
        <w:ind w:firstLine="660"/>
        <w:rPr>
          <w:rFonts w:hint="eastAsia" w:ascii="仿宋_GB2312" w:hAnsi="仿宋" w:eastAsia="宋体"/>
          <w:b/>
          <w:sz w:val="32"/>
          <w:szCs w:val="32"/>
          <w:lang w:val="en-US"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240.37</w:t>
      </w:r>
      <w:r>
        <w:rPr>
          <w:rFonts w:hint="eastAsia" w:ascii="仿宋" w:hAnsi="仿宋" w:eastAsia="仿宋"/>
          <w:color w:val="000000"/>
          <w:sz w:val="32"/>
          <w:szCs w:val="32"/>
        </w:rPr>
        <w:t>万元。与2017年相比，收</w:t>
      </w:r>
      <w:r>
        <w:rPr>
          <w:rFonts w:hint="eastAsia" w:ascii="仿宋_GB2312" w:eastAsia="仿宋_GB2312"/>
          <w:color w:val="000000"/>
          <w:sz w:val="32"/>
          <w:szCs w:val="32"/>
        </w:rPr>
        <w:t>274.67万元</w:t>
      </w:r>
      <w:r>
        <w:rPr>
          <w:rFonts w:hint="eastAsia" w:ascii="仿宋" w:hAnsi="仿宋" w:eastAsia="仿宋"/>
          <w:color w:val="000000"/>
          <w:sz w:val="32"/>
          <w:szCs w:val="32"/>
        </w:rPr>
        <w:t>、支总计各减少</w:t>
      </w:r>
      <w:r>
        <w:rPr>
          <w:rFonts w:hint="eastAsia" w:ascii="仿宋" w:hAnsi="仿宋" w:eastAsia="仿宋"/>
          <w:color w:val="000000"/>
          <w:sz w:val="32"/>
          <w:szCs w:val="32"/>
          <w:lang w:val="en-US" w:eastAsia="zh-CN"/>
        </w:rPr>
        <w:t>34.3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12.48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宋体" w:hAnsi="宋体"/>
          <w:b w:val="0"/>
          <w:bCs/>
          <w:color w:val="auto"/>
          <w:sz w:val="32"/>
          <w:szCs w:val="32"/>
          <w:lang w:val="en-US" w:eastAsia="zh-CN"/>
        </w:rPr>
        <w:t>主要增加了污水处理固定项目</w:t>
      </w:r>
      <w:r>
        <w:rPr>
          <w:rFonts w:hint="eastAsia" w:ascii="宋体" w:hAnsi="宋体"/>
          <w:b/>
          <w:sz w:val="32"/>
          <w:szCs w:val="32"/>
          <w:lang w:val="en-US" w:eastAsia="zh-CN"/>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lang w:eastAsia="zh-CN"/>
        </w:rPr>
        <w:drawing>
          <wp:anchor distT="0" distB="0" distL="114300" distR="114300" simplePos="0" relativeHeight="251659264" behindDoc="0" locked="0" layoutInCell="1" allowOverlap="1">
            <wp:simplePos x="0" y="0"/>
            <wp:positionH relativeFrom="column">
              <wp:posOffset>238125</wp:posOffset>
            </wp:positionH>
            <wp:positionV relativeFrom="paragraph">
              <wp:posOffset>70485</wp:posOffset>
            </wp:positionV>
            <wp:extent cx="4794250" cy="3231515"/>
            <wp:effectExtent l="4445" t="4445" r="20955" b="2159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240.37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63.26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26.31</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177.11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73.69</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drawing>
          <wp:anchor distT="0" distB="0" distL="114300" distR="114300" simplePos="0" relativeHeight="251660288" behindDoc="0" locked="0" layoutInCell="1" allowOverlap="1">
            <wp:simplePos x="0" y="0"/>
            <wp:positionH relativeFrom="column">
              <wp:posOffset>436245</wp:posOffset>
            </wp:positionH>
            <wp:positionV relativeFrom="paragraph">
              <wp:posOffset>137795</wp:posOffset>
            </wp:positionV>
            <wp:extent cx="4310380" cy="2893695"/>
            <wp:effectExtent l="4445" t="5080" r="952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240.37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230.37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95.83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4.17</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sz w:val="32"/>
          <w:szCs w:val="32"/>
        </w:rPr>
        <w:drawing>
          <wp:anchor distT="0" distB="0" distL="114300" distR="114300" simplePos="0" relativeHeight="251661312" behindDoc="0" locked="0" layoutInCell="1" allowOverlap="1">
            <wp:simplePos x="0" y="0"/>
            <wp:positionH relativeFrom="column">
              <wp:posOffset>360045</wp:posOffset>
            </wp:positionH>
            <wp:positionV relativeFrom="paragraph">
              <wp:posOffset>515620</wp:posOffset>
            </wp:positionV>
            <wp:extent cx="4310380" cy="2657475"/>
            <wp:effectExtent l="4445" t="5080" r="9525" b="444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5"/>
          <w:rFonts w:ascii="黑体" w:hAnsi="黑体" w:eastAsia="黑体"/>
          <w:b w:val="0"/>
          <w:color w:val="auto"/>
        </w:rPr>
      </w:pPr>
      <w:bookmarkStart w:id="30" w:name="_Toc15396606"/>
      <w:bookmarkStart w:id="31" w:name="_Toc15377208"/>
      <w:r>
        <w:rPr>
          <w:rFonts w:hint="eastAsia" w:ascii="黑体" w:hAnsi="黑体" w:eastAsia="黑体"/>
          <w:color w:val="auto"/>
          <w:sz w:val="32"/>
          <w:szCs w:val="32"/>
        </w:rPr>
        <w:t>四、财</w:t>
      </w:r>
      <w:r>
        <w:rPr>
          <w:rStyle w:val="25"/>
          <w:rFonts w:hint="eastAsia" w:ascii="黑体" w:hAnsi="黑体" w:eastAsia="黑体"/>
          <w:b w:val="0"/>
          <w:color w:val="auto"/>
        </w:rPr>
        <w:t>政拨款收入支出决算总体情况说明</w:t>
      </w:r>
      <w:bookmarkEnd w:id="30"/>
      <w:bookmarkEnd w:id="31"/>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63.26</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w:t>
      </w:r>
      <w:r>
        <w:rPr>
          <w:rFonts w:hint="eastAsia" w:ascii="仿宋" w:hAnsi="仿宋" w:eastAsia="仿宋"/>
          <w:color w:val="000000"/>
          <w:sz w:val="32"/>
          <w:szCs w:val="32"/>
          <w:lang w:val="en-US" w:eastAsia="zh-CN"/>
        </w:rPr>
        <w:t>86万元</w:t>
      </w:r>
      <w:r>
        <w:rPr>
          <w:rFonts w:hint="eastAsia" w:ascii="仿宋" w:hAnsi="仿宋" w:eastAsia="仿宋"/>
          <w:color w:val="000000"/>
          <w:sz w:val="32"/>
          <w:szCs w:val="32"/>
        </w:rPr>
        <w:t>、支总计各减少</w:t>
      </w:r>
      <w:r>
        <w:rPr>
          <w:rFonts w:hint="eastAsia" w:ascii="仿宋" w:hAnsi="仿宋" w:eastAsia="仿宋"/>
          <w:color w:val="000000"/>
          <w:sz w:val="32"/>
          <w:szCs w:val="32"/>
          <w:lang w:val="en-US" w:eastAsia="zh-CN"/>
        </w:rPr>
        <w:t>23.26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27.04</w:t>
      </w:r>
      <w:r>
        <w:rPr>
          <w:rFonts w:ascii="仿宋" w:hAnsi="仿宋" w:eastAsia="仿宋"/>
          <w:color w:val="000000"/>
          <w:sz w:val="32"/>
          <w:szCs w:val="32"/>
        </w:rPr>
        <w:t>%</w:t>
      </w:r>
      <w:r>
        <w:rPr>
          <w:rFonts w:hint="eastAsia" w:ascii="仿宋" w:hAnsi="仿宋" w:eastAsia="仿宋"/>
          <w:color w:val="000000"/>
          <w:sz w:val="32"/>
          <w:szCs w:val="32"/>
        </w:rPr>
        <w:t>。主要变动</w:t>
      </w:r>
      <w:r>
        <w:rPr>
          <w:rFonts w:hint="eastAsia" w:ascii="仿宋" w:hAnsi="仿宋" w:eastAsia="仿宋"/>
          <w:color w:val="auto"/>
          <w:sz w:val="32"/>
          <w:szCs w:val="32"/>
        </w:rPr>
        <w:t>原因是</w:t>
      </w:r>
      <w:r>
        <w:rPr>
          <w:rFonts w:hint="eastAsia"/>
          <w:color w:val="auto"/>
          <w:sz w:val="32"/>
          <w:szCs w:val="40"/>
        </w:rPr>
        <w:t>部分指标滚存下年</w:t>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rPr>
      </w:pPr>
      <w:bookmarkStart w:id="34" w:name="_Toc15377210"/>
      <w:r>
        <w:rPr>
          <w:rFonts w:hint="eastAsia" w:ascii="仿宋" w:hAnsi="仿宋" w:eastAsia="仿宋"/>
          <w:b/>
          <w:color w:val="auto"/>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63.26</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26.31</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w:t>
      </w:r>
      <w:r>
        <w:rPr>
          <w:rFonts w:hint="eastAsia" w:ascii="仿宋" w:hAnsi="仿宋" w:eastAsia="仿宋"/>
          <w:color w:val="000000"/>
          <w:sz w:val="32"/>
          <w:szCs w:val="32"/>
          <w:lang w:val="en-US" w:eastAsia="zh-CN"/>
        </w:rPr>
        <w:t>86万元，</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23.26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27.04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sz w:val="32"/>
          <w:szCs w:val="40"/>
        </w:rPr>
        <w:t>部分指标滚存下年</w:t>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b/>
          <w:color w:val="000000"/>
          <w:sz w:val="32"/>
          <w:szCs w:val="32"/>
        </w:rPr>
      </w:pPr>
      <w:bookmarkStart w:id="35" w:name="_Toc15377211"/>
      <w:r>
        <w:rPr>
          <w:rFonts w:hint="eastAsia" w:ascii="黑体" w:hAnsi="黑体" w:eastAsia="黑体"/>
          <w:color w:val="000000"/>
          <w:sz w:val="32"/>
          <w:szCs w:val="32"/>
          <w:lang w:eastAsia="zh-CN"/>
        </w:rPr>
        <w:drawing>
          <wp:anchor distT="0" distB="0" distL="114300" distR="114300" simplePos="0" relativeHeight="251662336" behindDoc="0" locked="0" layoutInCell="1" allowOverlap="1">
            <wp:simplePos x="0" y="0"/>
            <wp:positionH relativeFrom="column">
              <wp:posOffset>290830</wp:posOffset>
            </wp:positionH>
            <wp:positionV relativeFrom="paragraph">
              <wp:posOffset>125730</wp:posOffset>
            </wp:positionV>
            <wp:extent cx="4794250" cy="2492375"/>
            <wp:effectExtent l="4445" t="4445" r="20955" b="177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63.26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63.26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0.08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0.02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63.18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99.98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3360" behindDoc="0" locked="0" layoutInCell="1" allowOverlap="1">
            <wp:simplePos x="0" y="0"/>
            <wp:positionH relativeFrom="column">
              <wp:posOffset>252095</wp:posOffset>
            </wp:positionH>
            <wp:positionV relativeFrom="paragraph">
              <wp:posOffset>758825</wp:posOffset>
            </wp:positionV>
            <wp:extent cx="4709795" cy="2572385"/>
            <wp:effectExtent l="4445" t="4445" r="10160" b="1397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val="en-US"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color w:val="000000" w:themeColor="text1"/>
          <w:sz w:val="32"/>
          <w:szCs w:val="32"/>
          <w:lang w:val="en-US" w:eastAsia="zh-CN"/>
          <w14:textFill>
            <w14:solidFill>
              <w14:schemeClr w14:val="tx1"/>
            </w14:solidFill>
          </w14:textFill>
        </w:rPr>
        <w:t>63.26万元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Fonts w:hint="eastAsia" w:ascii="仿宋_GB2312" w:eastAsia="仿宋_GB2312"/>
          <w:color w:val="000000"/>
          <w:sz w:val="32"/>
          <w:szCs w:val="32"/>
        </w:rPr>
        <w:t>医疗卫生与计划生育支出</w:t>
      </w:r>
      <w:r>
        <w:rPr>
          <w:rStyle w:val="14"/>
          <w:rFonts w:hint="eastAsia" w:ascii="仿宋" w:hAnsi="仿宋" w:eastAsia="仿宋"/>
          <w:bCs/>
          <w:color w:val="000000"/>
          <w:sz w:val="32"/>
          <w:szCs w:val="32"/>
        </w:rPr>
        <w:t>（款）</w:t>
      </w:r>
      <w:r>
        <w:rPr>
          <w:rStyle w:val="14"/>
          <w:rFonts w:hint="eastAsia" w:ascii="仿宋_GB2312" w:eastAsia="仿宋_GB2312"/>
          <w:color w:val="000000"/>
          <w:sz w:val="32"/>
          <w:szCs w:val="32"/>
        </w:rPr>
        <w:t>乡镇卫生院</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63.26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hint="eastAsia" w:ascii="仿宋_GB2312" w:eastAsia="仿宋_GB2312"/>
          <w:color w:val="000000"/>
          <w:sz w:val="32"/>
          <w:szCs w:val="32"/>
        </w:rPr>
        <w:t>医疗保障</w:t>
      </w:r>
      <w:r>
        <w:rPr>
          <w:rStyle w:val="14"/>
          <w:rFonts w:hint="eastAsia" w:ascii="仿宋" w:hAnsi="仿宋" w:eastAsia="仿宋"/>
          <w:bCs/>
          <w:color w:val="000000"/>
          <w:sz w:val="32"/>
          <w:szCs w:val="32"/>
        </w:rPr>
        <w:t>（款）</w:t>
      </w:r>
      <w:r>
        <w:rPr>
          <w:rStyle w:val="14"/>
          <w:rFonts w:hint="eastAsia" w:ascii="仿宋_GB2312" w:eastAsia="仿宋_GB2312"/>
          <w:color w:val="000000"/>
          <w:sz w:val="32"/>
          <w:szCs w:val="32"/>
        </w:rPr>
        <w:t>乡镇卫生院</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0.08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医疗卫生与计划生育（类）</w:t>
      </w:r>
      <w:r>
        <w:rPr>
          <w:rStyle w:val="14"/>
          <w:rFonts w:hint="eastAsia" w:ascii="仿宋_GB2312" w:eastAsia="仿宋_GB2312"/>
          <w:color w:val="000000"/>
          <w:sz w:val="32"/>
          <w:szCs w:val="32"/>
        </w:rPr>
        <w:t>基层医疗卫生机构</w:t>
      </w:r>
      <w:r>
        <w:rPr>
          <w:rStyle w:val="14"/>
          <w:rFonts w:hint="eastAsia" w:ascii="仿宋" w:hAnsi="仿宋" w:eastAsia="仿宋"/>
          <w:bCs/>
          <w:color w:val="000000"/>
          <w:sz w:val="32"/>
          <w:szCs w:val="32"/>
        </w:rPr>
        <w:t>（款）</w:t>
      </w:r>
      <w:r>
        <w:rPr>
          <w:rStyle w:val="14"/>
          <w:rFonts w:hint="eastAsia" w:ascii="仿宋_GB2312" w:eastAsia="仿宋_GB2312"/>
          <w:color w:val="000000"/>
          <w:sz w:val="32"/>
          <w:szCs w:val="32"/>
        </w:rPr>
        <w:t>乡镇卫生院</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63.18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63.26</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8.46</w:t>
      </w:r>
      <w:r>
        <w:rPr>
          <w:rFonts w:hint="eastAsia" w:ascii="仿宋" w:hAnsi="仿宋" w:eastAsia="仿宋"/>
          <w:color w:val="auto"/>
          <w:sz w:val="32"/>
          <w:szCs w:val="32"/>
        </w:rPr>
        <w:t>万元</w:t>
      </w:r>
      <w:r>
        <w:rPr>
          <w:rFonts w:hint="eastAsia" w:ascii="仿宋" w:hAnsi="仿宋" w:eastAsia="仿宋"/>
          <w:color w:val="000000"/>
          <w:sz w:val="32"/>
          <w:szCs w:val="32"/>
        </w:rPr>
        <w:t>，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50.88</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w:t>
      </w:r>
      <w:r>
        <w:rPr>
          <w:rFonts w:hint="eastAsia" w:ascii="仿宋" w:hAnsi="仿宋" w:eastAsia="仿宋"/>
          <w:color w:val="auto"/>
          <w:sz w:val="32"/>
          <w:szCs w:val="32"/>
        </w:rPr>
        <w:t>算为</w:t>
      </w:r>
      <w:r>
        <w:rPr>
          <w:rFonts w:hint="eastAsia" w:ascii="仿宋" w:hAnsi="仿宋" w:eastAsia="仿宋"/>
          <w:color w:val="auto"/>
          <w:sz w:val="32"/>
          <w:szCs w:val="32"/>
          <w:lang w:val="en-US" w:eastAsia="zh-CN"/>
        </w:rPr>
        <w:t>1.79</w:t>
      </w:r>
      <w:r>
        <w:rPr>
          <w:rFonts w:hint="eastAsia" w:ascii="仿宋" w:hAnsi="仿宋" w:eastAsia="仿宋"/>
          <w:color w:val="auto"/>
          <w:sz w:val="32"/>
          <w:szCs w:val="32"/>
        </w:rPr>
        <w:t>万</w:t>
      </w:r>
      <w:r>
        <w:rPr>
          <w:rFonts w:hint="eastAsia" w:ascii="仿宋" w:hAnsi="仿宋" w:eastAsia="仿宋"/>
          <w:color w:val="000000"/>
          <w:sz w:val="32"/>
          <w:szCs w:val="32"/>
        </w:rPr>
        <w:t>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0.59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32.98</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307975</wp:posOffset>
            </wp:positionH>
            <wp:positionV relativeFrom="paragraph">
              <wp:posOffset>175260</wp:posOffset>
            </wp:positionV>
            <wp:extent cx="4709795" cy="2572385"/>
            <wp:effectExtent l="4445" t="4445" r="10160"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0.59</w:t>
      </w:r>
      <w:r>
        <w:rPr>
          <w:rFonts w:hint="eastAsia" w:ascii="仿宋_GB2312" w:eastAsia="仿宋_GB2312"/>
          <w:color w:val="000000"/>
          <w:sz w:val="32"/>
          <w:szCs w:val="32"/>
        </w:rPr>
        <w:t>万元。主要用于医疗救护及基本公共卫生服务下村体检及“3+X”团队服务等所需的公务用车燃料费、维修费、过路过桥费、保险费等支出。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1.2</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67.02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val="en-US" w:eastAsia="zh-CN"/>
        </w:rPr>
        <w:t>0.7万元，增加0.5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41.66</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上年度部分滚动到本年度</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85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513</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万元，具体内容包括：上级部门检查指导工作公务接待，各类医疗业务单位相互学习交流工作接待等。其中：</w:t>
      </w:r>
    </w:p>
    <w:p>
      <w:pPr>
        <w:spacing w:line="60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pPr>
        <w:spacing w:line="600" w:lineRule="exact"/>
        <w:ind w:firstLine="640"/>
        <w:rPr>
          <w:rFonts w:hint="eastAsia" w:ascii="仿宋_GB2312" w:eastAsia="仿宋_GB2312"/>
          <w:color w:val="000000"/>
          <w:sz w:val="32"/>
          <w:szCs w:val="32"/>
          <w:lang w:eastAsia="zh-CN"/>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outlineLvl w:val="1"/>
        <w:rPr>
          <w:rStyle w:val="25"/>
          <w:rFonts w:ascii="黑体" w:hAnsi="黑体" w:eastAsia="黑体"/>
        </w:rPr>
      </w:pPr>
      <w:bookmarkStart w:id="46" w:name="_Toc15377218"/>
      <w:bookmarkStart w:id="47" w:name="_Toc15396610"/>
      <w:r>
        <w:rPr>
          <w:rFonts w:hint="eastAsia" w:ascii="黑体" w:eastAsia="黑体"/>
          <w:color w:val="000000"/>
          <w:sz w:val="32"/>
          <w:szCs w:val="32"/>
          <w:lang w:val="en-US" w:eastAsia="zh-CN"/>
        </w:rPr>
        <w:t xml:space="preserve">    </w:t>
      </w: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bookmarkStart w:id="50" w:name="_Toc15396613"/>
      <w:bookmarkStart w:id="51" w:name="_Toc15377225"/>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val="en-US" w:eastAsia="zh-CN"/>
        </w:rPr>
        <w:t>庙安乡卫生院</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重大公共卫生项目</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val="en-US" w:eastAsia="zh-CN"/>
        </w:rPr>
        <w:t>按照上级安排部署，认真开展此项工作，圆满完成</w:t>
      </w:r>
      <w:r>
        <w:rPr>
          <w:rFonts w:hint="eastAsia" w:ascii="仿宋_GB2312" w:hAnsi="仿宋_GB2312" w:eastAsia="仿宋_GB2312" w:cs="仿宋_GB2312"/>
          <w:sz w:val="32"/>
          <w:szCs w:val="32"/>
        </w:rPr>
        <w:t>。</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val="en-US" w:eastAsia="zh-CN"/>
        </w:rPr>
        <w:t>重大公共卫生专项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项目绩效目标实际完成情况（公开内容包括完成情况综述和完成情况表）。</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重大公共卫生</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重大公共卫生</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w:t>
      </w:r>
      <w:r>
        <w:rPr>
          <w:rFonts w:hint="eastAsia" w:ascii="仿宋_GB2312" w:hAnsi="仿宋_GB2312" w:eastAsia="仿宋_GB2312" w:cs="仿宋_GB2312"/>
          <w:sz w:val="32"/>
          <w:szCs w:val="32"/>
          <w:lang w:val="en-US" w:eastAsia="zh-CN"/>
        </w:rPr>
        <w:t>了我乡公共卫生服务质量</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重大公共卫生专项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宣汉县庙安乡卫生院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已完成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numPr>
          <w:ilvl w:val="0"/>
          <w:numId w:val="6"/>
        </w:numPr>
        <w:spacing w:line="600" w:lineRule="exact"/>
        <w:ind w:firstLine="663" w:firstLineChars="150"/>
        <w:jc w:val="center"/>
        <w:outlineLvl w:val="0"/>
        <w:rPr>
          <w:rStyle w:val="24"/>
          <w:rFonts w:ascii="黑体" w:hAnsi="黑体" w:eastAsia="黑体"/>
          <w:b w:val="0"/>
        </w:rPr>
      </w:pPr>
      <w:r>
        <w:rPr>
          <w:rFonts w:hint="eastAsia" w:ascii="黑体" w:hAnsi="黑体" w:eastAsia="黑体"/>
          <w:b/>
          <w:color w:val="000000"/>
          <w:sz w:val="44"/>
          <w:szCs w:val="44"/>
        </w:rPr>
        <w:t>名</w:t>
      </w:r>
      <w:r>
        <w:rPr>
          <w:rStyle w:val="24"/>
          <w:rFonts w:hint="eastAsia" w:ascii="黑体" w:hAnsi="黑体" w:eastAsia="黑体"/>
          <w:b w:val="0"/>
        </w:rPr>
        <w:t>词解释</w:t>
      </w:r>
      <w:bookmarkEnd w:id="50"/>
      <w:bookmarkEnd w:id="51"/>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Fonts w:ascii="黑体" w:hAnsi="黑体" w:eastAsia="黑体" w:cs="方正小标宋简体"/>
          <w:sz w:val="36"/>
          <w:szCs w:val="36"/>
        </w:rPr>
      </w:pPr>
      <w:bookmarkStart w:id="52" w:name="_Toc15377226"/>
      <w:r>
        <w:rPr>
          <w:rFonts w:ascii="宋体"/>
          <w:b/>
          <w:color w:val="000000"/>
          <w:sz w:val="44"/>
          <w:szCs w:val="44"/>
        </w:rPr>
        <w:br w:type="page"/>
      </w:r>
      <w:bookmarkStart w:id="53" w:name="_Toc15396616"/>
      <w:r>
        <w:rPr>
          <w:rFonts w:hint="eastAsia" w:ascii="黑体" w:hAnsi="黑体" w:eastAsia="黑体" w:cs="方正小标宋简体"/>
          <w:sz w:val="36"/>
          <w:szCs w:val="36"/>
        </w:rPr>
        <w:t>宣汉县</w:t>
      </w:r>
      <w:r>
        <w:rPr>
          <w:rFonts w:hint="eastAsia" w:ascii="黑体" w:hAnsi="黑体" w:eastAsia="黑体" w:cs="方正小标宋简体"/>
          <w:sz w:val="36"/>
          <w:szCs w:val="36"/>
          <w:lang w:val="en-US" w:eastAsia="zh-CN"/>
        </w:rPr>
        <w:t>庙安乡</w:t>
      </w:r>
      <w:r>
        <w:rPr>
          <w:rFonts w:hint="eastAsia" w:ascii="黑体" w:hAnsi="黑体" w:eastAsia="黑体" w:cs="方正小标宋简体"/>
          <w:sz w:val="36"/>
          <w:szCs w:val="36"/>
        </w:rPr>
        <w:t>卫生院2018年部门整体</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支出绩效评价报告</w:t>
      </w:r>
      <w:bookmarkEnd w:id="53"/>
    </w:p>
    <w:p>
      <w:pPr>
        <w:spacing w:line="600" w:lineRule="exact"/>
        <w:jc w:val="center"/>
        <w:outlineLvl w:val="0"/>
        <w:rPr>
          <w:rFonts w:ascii="黑体" w:hAnsi="黑体" w:eastAsia="黑体" w:cs="方正小标宋简体"/>
          <w:sz w:val="36"/>
          <w:szCs w:val="36"/>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eastAsia="仿宋_GB2312"/>
          <w:sz w:val="32"/>
          <w:szCs w:val="32"/>
          <w:lang w:val="en-US" w:eastAsia="zh-CN"/>
        </w:rPr>
        <w:t>天宝乡</w:t>
      </w:r>
      <w:r>
        <w:rPr>
          <w:rFonts w:hint="eastAsia" w:ascii="仿宋_GB2312" w:eastAsia="仿宋_GB2312"/>
          <w:sz w:val="32"/>
          <w:szCs w:val="32"/>
        </w:rPr>
        <w:t>卫生院属一级预算公益一类事业单位，</w:t>
      </w:r>
      <w:r>
        <w:rPr>
          <w:rFonts w:hint="eastAsia" w:ascii="仿宋_GB2312" w:hAnsi="宋体" w:eastAsia="仿宋_GB2312" w:cs="宋体"/>
          <w:sz w:val="32"/>
          <w:szCs w:val="32"/>
        </w:rPr>
        <w:t>执行基层医疗卫生机构会计制度。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cs="仿宋_GB2312"/>
          <w:sz w:val="32"/>
          <w:szCs w:val="32"/>
        </w:rPr>
        <w:t>：</w:t>
      </w:r>
    </w:p>
    <w:p>
      <w:pPr>
        <w:ind w:firstLine="627" w:firstLineChars="196"/>
        <w:rPr>
          <w:rFonts w:ascii="仿宋_GB2312" w:hAnsi="宋体" w:eastAsia="仿宋_GB2312"/>
          <w:sz w:val="32"/>
          <w:szCs w:val="32"/>
        </w:rPr>
      </w:pPr>
      <w:r>
        <w:rPr>
          <w:rFonts w:hint="eastAsia" w:ascii="仿宋_GB2312" w:hAnsi="宋体" w:eastAsia="仿宋_GB2312"/>
          <w:sz w:val="32"/>
          <w:szCs w:val="32"/>
        </w:rPr>
        <w:t>宣汉县</w:t>
      </w:r>
      <w:r>
        <w:rPr>
          <w:rFonts w:hint="eastAsia" w:ascii="仿宋_GB2312" w:hAnsi="宋体" w:eastAsia="仿宋_GB2312"/>
          <w:sz w:val="32"/>
          <w:szCs w:val="32"/>
          <w:lang w:val="en-US" w:eastAsia="zh-CN"/>
        </w:rPr>
        <w:t>天宝乡</w:t>
      </w:r>
      <w:r>
        <w:rPr>
          <w:rFonts w:hint="eastAsia" w:ascii="仿宋_GB2312" w:hAnsi="宋体" w:eastAsia="仿宋_GB2312"/>
          <w:sz w:val="32"/>
          <w:szCs w:val="32"/>
        </w:rPr>
        <w:t>卫生院主要以基本公共卫生服务、一般医疗服务为主全面开展各项工作。卫生院设立了内科、外科、</w:t>
      </w:r>
      <w:r>
        <w:rPr>
          <w:rFonts w:hint="eastAsia" w:ascii="仿宋_GB2312" w:hAnsi="宋体" w:eastAsia="仿宋_GB2312"/>
          <w:sz w:val="32"/>
          <w:szCs w:val="32"/>
          <w:lang w:val="en-US" w:eastAsia="zh-CN"/>
        </w:rPr>
        <w:t>儿科、</w:t>
      </w:r>
      <w:r>
        <w:rPr>
          <w:rFonts w:hint="eastAsia" w:ascii="仿宋_GB2312" w:hAnsi="宋体" w:eastAsia="仿宋_GB2312"/>
          <w:sz w:val="32"/>
          <w:szCs w:val="32"/>
        </w:rPr>
        <w:t>中医科、防保站、居民健康档案室、医保办公室等科室，开展了检验、B超、等辅助科室。</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hAnsi="宋体" w:eastAsia="仿宋_GB2312"/>
          <w:sz w:val="32"/>
          <w:szCs w:val="32"/>
          <w:lang w:val="en-US" w:eastAsia="zh-CN"/>
        </w:rPr>
        <w:t>天宝乡</w:t>
      </w:r>
      <w:r>
        <w:rPr>
          <w:rFonts w:hint="eastAsia" w:ascii="仿宋_GB2312" w:hAnsi="宋体" w:eastAsia="仿宋_GB2312"/>
          <w:sz w:val="32"/>
          <w:szCs w:val="32"/>
        </w:rPr>
        <w:t>卫生院</w:t>
      </w:r>
      <w:r>
        <w:rPr>
          <w:rFonts w:hint="eastAsia" w:ascii="仿宋_GB2312" w:eastAsia="仿宋_GB2312"/>
          <w:sz w:val="32"/>
          <w:szCs w:val="32"/>
        </w:rPr>
        <w:t>核定编制数</w:t>
      </w:r>
      <w:r>
        <w:rPr>
          <w:rFonts w:hint="eastAsia" w:ascii="仿宋_GB2312" w:eastAsia="仿宋_GB2312"/>
          <w:sz w:val="32"/>
          <w:szCs w:val="32"/>
          <w:lang w:val="en-US" w:eastAsia="zh-CN"/>
        </w:rPr>
        <w:t>13</w:t>
      </w:r>
      <w:r>
        <w:rPr>
          <w:rFonts w:hint="eastAsia" w:ascii="仿宋_GB2312" w:eastAsia="仿宋_GB2312"/>
          <w:sz w:val="32"/>
          <w:szCs w:val="32"/>
        </w:rPr>
        <w:t>人。</w:t>
      </w:r>
      <w:r>
        <w:rPr>
          <w:rFonts w:hint="eastAsia" w:ascii="仿宋_GB2312" w:hAnsi="宋体" w:eastAsia="仿宋_GB2312"/>
          <w:sz w:val="32"/>
          <w:szCs w:val="32"/>
        </w:rPr>
        <w:t>现有在职职工</w:t>
      </w:r>
      <w:r>
        <w:rPr>
          <w:rFonts w:hint="eastAsia" w:ascii="仿宋_GB2312" w:hAnsi="宋体" w:eastAsia="仿宋_GB2312"/>
          <w:sz w:val="32"/>
          <w:szCs w:val="32"/>
          <w:lang w:val="en-US" w:eastAsia="zh-CN"/>
        </w:rPr>
        <w:t>18</w:t>
      </w:r>
      <w:r>
        <w:rPr>
          <w:rFonts w:hint="eastAsia" w:ascii="仿宋_GB2312" w:hAnsi="宋体" w:eastAsia="仿宋_GB2312"/>
          <w:sz w:val="32"/>
          <w:szCs w:val="32"/>
        </w:rPr>
        <w:t>人，在编人员</w:t>
      </w:r>
      <w:r>
        <w:rPr>
          <w:rFonts w:hint="eastAsia" w:ascii="仿宋_GB2312" w:hAnsi="宋体" w:eastAsia="仿宋_GB2312"/>
          <w:sz w:val="32"/>
          <w:szCs w:val="32"/>
          <w:lang w:val="en-US" w:eastAsia="zh-CN"/>
        </w:rPr>
        <w:t>15</w:t>
      </w:r>
      <w:r>
        <w:rPr>
          <w:rFonts w:hint="eastAsia" w:ascii="仿宋_GB2312" w:hAnsi="宋体" w:eastAsia="仿宋_GB2312"/>
          <w:sz w:val="32"/>
          <w:szCs w:val="32"/>
        </w:rPr>
        <w:t>人，年末退休人员1人已纳入社会保障管理。卫生技术人员</w:t>
      </w:r>
      <w:r>
        <w:rPr>
          <w:rFonts w:hint="eastAsia" w:ascii="仿宋_GB2312" w:hAnsi="宋体" w:eastAsia="仿宋_GB2312"/>
          <w:sz w:val="32"/>
          <w:szCs w:val="32"/>
          <w:lang w:val="en-US" w:eastAsia="zh-CN"/>
        </w:rPr>
        <w:t>17</w:t>
      </w:r>
      <w:r>
        <w:rPr>
          <w:rFonts w:hint="eastAsia" w:ascii="仿宋_GB2312" w:hAnsi="宋体" w:eastAsia="仿宋_GB2312"/>
          <w:sz w:val="32"/>
          <w:szCs w:val="32"/>
        </w:rPr>
        <w:t>人，其中从事公共卫生人员</w:t>
      </w:r>
      <w:r>
        <w:rPr>
          <w:rFonts w:hint="eastAsia" w:ascii="仿宋_GB2312" w:hAnsi="宋体" w:eastAsia="仿宋_GB2312"/>
          <w:sz w:val="32"/>
          <w:szCs w:val="32"/>
          <w:lang w:val="en-US" w:eastAsia="zh-CN"/>
        </w:rPr>
        <w:t>1</w:t>
      </w:r>
      <w:r>
        <w:rPr>
          <w:rFonts w:hint="eastAsia" w:ascii="仿宋_GB2312" w:hAnsi="宋体" w:eastAsia="仿宋_GB2312"/>
          <w:sz w:val="32"/>
          <w:szCs w:val="32"/>
        </w:rPr>
        <w:t>人，管理人员1人，财会人员</w:t>
      </w:r>
      <w:r>
        <w:rPr>
          <w:rFonts w:hint="eastAsia" w:ascii="仿宋_GB2312" w:hAnsi="宋体" w:eastAsia="仿宋_GB2312"/>
          <w:sz w:val="32"/>
          <w:szCs w:val="32"/>
          <w:lang w:val="en-US" w:eastAsia="zh-CN"/>
        </w:rPr>
        <w:t>2</w:t>
      </w:r>
      <w:r>
        <w:rPr>
          <w:rFonts w:hint="eastAsia" w:ascii="仿宋_GB2312" w:hAnsi="宋体" w:eastAsia="仿宋_GB2312"/>
          <w:sz w:val="32"/>
          <w:szCs w:val="32"/>
        </w:rPr>
        <w:t>人，内科</w:t>
      </w:r>
      <w:r>
        <w:rPr>
          <w:rFonts w:hint="eastAsia" w:ascii="仿宋_GB2312" w:hAnsi="宋体" w:eastAsia="仿宋_GB2312"/>
          <w:sz w:val="32"/>
          <w:szCs w:val="32"/>
          <w:lang w:val="en-US" w:eastAsia="zh-CN"/>
        </w:rPr>
        <w:t>2</w:t>
      </w:r>
      <w:r>
        <w:rPr>
          <w:rFonts w:hint="eastAsia" w:ascii="仿宋_GB2312" w:hAnsi="宋体" w:eastAsia="仿宋_GB2312"/>
          <w:sz w:val="32"/>
          <w:szCs w:val="32"/>
        </w:rPr>
        <w:t>人，，中医科</w:t>
      </w:r>
      <w:r>
        <w:rPr>
          <w:rFonts w:hint="eastAsia" w:ascii="仿宋_GB2312" w:hAnsi="宋体" w:eastAsia="仿宋_GB2312"/>
          <w:sz w:val="32"/>
          <w:szCs w:val="32"/>
          <w:lang w:val="en-US" w:eastAsia="zh-CN"/>
        </w:rPr>
        <w:t>1</w:t>
      </w:r>
      <w:r>
        <w:rPr>
          <w:rFonts w:hint="eastAsia" w:ascii="仿宋_GB2312" w:hAnsi="宋体" w:eastAsia="仿宋_GB2312"/>
          <w:sz w:val="32"/>
          <w:szCs w:val="32"/>
        </w:rPr>
        <w:t>人，护理工作</w:t>
      </w:r>
      <w:r>
        <w:rPr>
          <w:rFonts w:hint="eastAsia" w:ascii="仿宋_GB2312" w:hAnsi="宋体" w:eastAsia="仿宋_GB2312"/>
          <w:sz w:val="32"/>
          <w:szCs w:val="32"/>
          <w:lang w:val="en-US" w:eastAsia="zh-CN"/>
        </w:rPr>
        <w:t>2</w:t>
      </w:r>
      <w:r>
        <w:rPr>
          <w:rFonts w:hint="eastAsia" w:ascii="仿宋_GB2312" w:hAnsi="宋体" w:eastAsia="仿宋_GB2312"/>
          <w:sz w:val="32"/>
          <w:szCs w:val="32"/>
        </w:rPr>
        <w:t xml:space="preserve">人，辅助科室B超，检验，各1人。 </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2018年财政拨款收入</w:t>
      </w:r>
      <w:r>
        <w:rPr>
          <w:rFonts w:hint="eastAsia" w:ascii="仿宋_GB2312" w:hAnsi="仿宋" w:eastAsia="仿宋_GB2312"/>
          <w:sz w:val="32"/>
          <w:szCs w:val="32"/>
          <w:lang w:val="en-US" w:eastAsia="zh-CN"/>
        </w:rPr>
        <w:t>63.26</w:t>
      </w:r>
      <w:r>
        <w:rPr>
          <w:rFonts w:hint="eastAsia" w:ascii="仿宋_GB2312" w:hAnsi="仿宋" w:eastAsia="仿宋_GB2312"/>
          <w:sz w:val="32"/>
          <w:szCs w:val="32"/>
        </w:rPr>
        <w:t>万元，支出</w:t>
      </w:r>
      <w:r>
        <w:rPr>
          <w:rFonts w:hint="eastAsia" w:ascii="仿宋_GB2312" w:hAnsi="仿宋" w:eastAsia="仿宋_GB2312"/>
          <w:sz w:val="32"/>
          <w:szCs w:val="32"/>
          <w:lang w:val="en-US" w:eastAsia="zh-CN"/>
        </w:rPr>
        <w:t>63.26</w:t>
      </w:r>
      <w:r>
        <w:rPr>
          <w:rFonts w:hint="eastAsia" w:ascii="仿宋_GB2312" w:hAnsi="仿宋" w:eastAsia="仿宋_GB2312"/>
          <w:sz w:val="32"/>
          <w:szCs w:val="32"/>
        </w:rPr>
        <w:t>万元，其中：基本公共卫生服务支出</w:t>
      </w:r>
      <w:r>
        <w:rPr>
          <w:rFonts w:hint="eastAsia" w:ascii="仿宋_GB2312" w:hAnsi="仿宋" w:eastAsia="仿宋_GB2312"/>
          <w:sz w:val="32"/>
          <w:szCs w:val="32"/>
          <w:lang w:val="en-US" w:eastAsia="zh-CN"/>
        </w:rPr>
        <w:t>27.81</w:t>
      </w:r>
      <w:r>
        <w:rPr>
          <w:rFonts w:hint="eastAsia" w:ascii="仿宋_GB2312" w:hAnsi="仿宋" w:eastAsia="仿宋_GB2312"/>
          <w:sz w:val="32"/>
          <w:szCs w:val="32"/>
        </w:rPr>
        <w:t>万元，退休人员补充医疗保险缴费支出</w:t>
      </w:r>
      <w:r>
        <w:rPr>
          <w:rFonts w:hint="eastAsia" w:ascii="仿宋_GB2312" w:hAnsi="仿宋" w:eastAsia="仿宋_GB2312"/>
          <w:sz w:val="32"/>
          <w:szCs w:val="32"/>
          <w:lang w:val="en-US" w:eastAsia="zh-CN"/>
        </w:rPr>
        <w:t>0.08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综合支出35.37元</w:t>
      </w:r>
      <w:r>
        <w:rPr>
          <w:rFonts w:hint="eastAsia" w:ascii="仿宋_GB2312" w:hAnsi="仿宋" w:eastAsia="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2018年度本单位一如既往重视决算管理，严格编制要求，科学编制预算，严格执行决算编制内容。同时，本单位不断强化内控管理、资产管理、绩效管理，不断丰富和完善相关制度，坚决做到“更加规范、更加高效、更加便利” ，将财务管理与日常事务紧密结合，全力做好保障工作。</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bookmarkEnd w:id="52"/>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4"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4"/>
    </w:p>
    <w:p>
      <w:pPr>
        <w:pStyle w:val="3"/>
        <w:rPr>
          <w:rFonts w:ascii="仿宋" w:hAnsi="仿宋" w:eastAsia="仿宋"/>
          <w:color w:val="000000"/>
        </w:rPr>
      </w:pPr>
      <w:bookmarkStart w:id="55"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55"/>
    </w:p>
    <w:p>
      <w:pPr>
        <w:pStyle w:val="3"/>
        <w:rPr>
          <w:rFonts w:ascii="仿宋" w:hAnsi="仿宋" w:eastAsia="仿宋"/>
          <w:color w:val="000000"/>
        </w:rPr>
      </w:pPr>
      <w:bookmarkStart w:id="56"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56"/>
    </w:p>
    <w:p>
      <w:pPr>
        <w:pStyle w:val="3"/>
        <w:rPr>
          <w:rFonts w:ascii="仿宋" w:hAnsi="仿宋" w:eastAsia="仿宋"/>
          <w:b w:val="0"/>
          <w:color w:val="000000"/>
        </w:rPr>
      </w:pPr>
      <w:bookmarkStart w:id="57"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57"/>
    </w:p>
    <w:p>
      <w:pPr>
        <w:pStyle w:val="3"/>
        <w:rPr>
          <w:rFonts w:ascii="仿宋" w:hAnsi="仿宋" w:eastAsia="仿宋"/>
          <w:color w:val="000000"/>
        </w:rPr>
      </w:pPr>
      <w:bookmarkStart w:id="58"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58"/>
    </w:p>
    <w:p>
      <w:pPr>
        <w:pStyle w:val="3"/>
        <w:rPr>
          <w:rFonts w:ascii="仿宋" w:hAnsi="仿宋" w:eastAsia="仿宋"/>
          <w:color w:val="000000"/>
        </w:rPr>
      </w:pPr>
      <w:bookmarkStart w:id="59"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59"/>
    </w:p>
    <w:p>
      <w:pPr>
        <w:pStyle w:val="3"/>
        <w:rPr>
          <w:rFonts w:ascii="仿宋" w:hAnsi="仿宋" w:eastAsia="仿宋"/>
          <w:color w:val="000000"/>
        </w:rPr>
      </w:pPr>
      <w:bookmarkStart w:id="60"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0"/>
    </w:p>
    <w:p>
      <w:pPr>
        <w:pStyle w:val="3"/>
        <w:rPr>
          <w:rFonts w:ascii="仿宋" w:hAnsi="仿宋" w:eastAsia="仿宋"/>
          <w:color w:val="000000"/>
        </w:rPr>
      </w:pPr>
      <w:bookmarkStart w:id="61"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1"/>
    </w:p>
    <w:p>
      <w:pPr>
        <w:pStyle w:val="3"/>
        <w:rPr>
          <w:rFonts w:ascii="仿宋" w:hAnsi="仿宋" w:eastAsia="仿宋"/>
          <w:color w:val="000000"/>
        </w:rPr>
      </w:pPr>
      <w:bookmarkStart w:id="62"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2"/>
    </w:p>
    <w:p>
      <w:pPr>
        <w:pStyle w:val="3"/>
        <w:rPr>
          <w:rFonts w:ascii="仿宋" w:hAnsi="仿宋" w:eastAsia="仿宋"/>
          <w:color w:val="000000"/>
        </w:rPr>
      </w:pPr>
      <w:bookmarkStart w:id="63"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3"/>
    </w:p>
    <w:p>
      <w:pPr>
        <w:pStyle w:val="3"/>
        <w:rPr>
          <w:rFonts w:ascii="仿宋" w:hAnsi="仿宋" w:eastAsia="仿宋"/>
          <w:color w:val="000000"/>
        </w:rPr>
      </w:pPr>
      <w:bookmarkStart w:id="64"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4"/>
    </w:p>
    <w:p>
      <w:pPr>
        <w:pStyle w:val="3"/>
        <w:rPr>
          <w:rFonts w:ascii="仿宋" w:hAnsi="仿宋" w:eastAsia="仿宋"/>
          <w:color w:val="000000"/>
        </w:rPr>
      </w:pPr>
      <w:bookmarkStart w:id="65"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5"/>
    </w:p>
    <w:p>
      <w:pPr>
        <w:pStyle w:val="3"/>
        <w:rPr>
          <w:rFonts w:ascii="仿宋" w:hAnsi="仿宋" w:eastAsia="仿宋"/>
          <w:color w:val="000000" w:themeColor="text1"/>
          <w14:textFill>
            <w14:solidFill>
              <w14:schemeClr w14:val="tx1"/>
            </w14:solidFill>
          </w14:textFill>
        </w:rPr>
      </w:pPr>
      <w:bookmarkStart w:id="66"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64EB"/>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B2244E"/>
    <w:rsid w:val="03BB0FAE"/>
    <w:rsid w:val="04760E50"/>
    <w:rsid w:val="04BA251C"/>
    <w:rsid w:val="051426E0"/>
    <w:rsid w:val="05A80EF9"/>
    <w:rsid w:val="08B6667F"/>
    <w:rsid w:val="0BED6122"/>
    <w:rsid w:val="0C56327E"/>
    <w:rsid w:val="0CBF7435"/>
    <w:rsid w:val="0DB26BF2"/>
    <w:rsid w:val="0FDE13DF"/>
    <w:rsid w:val="10C055FF"/>
    <w:rsid w:val="1106232B"/>
    <w:rsid w:val="112948A9"/>
    <w:rsid w:val="11ED0AC8"/>
    <w:rsid w:val="11EF6C12"/>
    <w:rsid w:val="13CC05A1"/>
    <w:rsid w:val="157F281D"/>
    <w:rsid w:val="16BB723D"/>
    <w:rsid w:val="19F5530F"/>
    <w:rsid w:val="1B8A1379"/>
    <w:rsid w:val="23C22E31"/>
    <w:rsid w:val="240371BF"/>
    <w:rsid w:val="24E177C8"/>
    <w:rsid w:val="292D5216"/>
    <w:rsid w:val="29FD04D3"/>
    <w:rsid w:val="2A675CA6"/>
    <w:rsid w:val="2A9713C5"/>
    <w:rsid w:val="2ACA14CF"/>
    <w:rsid w:val="2AEE7970"/>
    <w:rsid w:val="2C2F09B1"/>
    <w:rsid w:val="2DCC0324"/>
    <w:rsid w:val="2FBB27D3"/>
    <w:rsid w:val="303C017B"/>
    <w:rsid w:val="314D27C7"/>
    <w:rsid w:val="319F7F4E"/>
    <w:rsid w:val="31B50670"/>
    <w:rsid w:val="33211AF2"/>
    <w:rsid w:val="369863F9"/>
    <w:rsid w:val="385A602C"/>
    <w:rsid w:val="38F47320"/>
    <w:rsid w:val="414250AC"/>
    <w:rsid w:val="47206005"/>
    <w:rsid w:val="48AB6338"/>
    <w:rsid w:val="4C691EE8"/>
    <w:rsid w:val="4DA43D1E"/>
    <w:rsid w:val="4DA9410E"/>
    <w:rsid w:val="4E36313E"/>
    <w:rsid w:val="4F931976"/>
    <w:rsid w:val="50B117E0"/>
    <w:rsid w:val="522A12FC"/>
    <w:rsid w:val="522C6C0C"/>
    <w:rsid w:val="55B13850"/>
    <w:rsid w:val="55F2332E"/>
    <w:rsid w:val="59864E88"/>
    <w:rsid w:val="5C53145F"/>
    <w:rsid w:val="5CC8174A"/>
    <w:rsid w:val="5E7E0AC6"/>
    <w:rsid w:val="6037770A"/>
    <w:rsid w:val="60AF3986"/>
    <w:rsid w:val="60F73490"/>
    <w:rsid w:val="61D25663"/>
    <w:rsid w:val="61E11456"/>
    <w:rsid w:val="636C0690"/>
    <w:rsid w:val="66170866"/>
    <w:rsid w:val="66C02B08"/>
    <w:rsid w:val="68E03A52"/>
    <w:rsid w:val="6A9B6021"/>
    <w:rsid w:val="6D392F61"/>
    <w:rsid w:val="6F2A37A0"/>
    <w:rsid w:val="73966FC2"/>
    <w:rsid w:val="754B0FB6"/>
    <w:rsid w:val="75615EBA"/>
    <w:rsid w:val="76C85E9F"/>
    <w:rsid w:val="775475E9"/>
    <w:rsid w:val="775D05E8"/>
    <w:rsid w:val="7A077230"/>
    <w:rsid w:val="7B2E19B1"/>
    <w:rsid w:val="7F2C47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274.67</c:v>
                </c:pt>
                <c:pt idx="1">
                  <c:v>240.37</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274.67</c:v>
                </c:pt>
                <c:pt idx="1">
                  <c:v>240.37</c:v>
                </c:pt>
              </c:numCache>
            </c:numRef>
          </c:val>
        </c:ser>
        <c:ser>
          <c:idx val="2"/>
          <c:order val="2"/>
          <c:tx>
            <c:strRef>
              <c:f>Sheet1!$D$1</c:f>
              <c:strCache>
                <c:ptCount val="1"/>
                <c:pt idx="0">
                  <c:v>增加减少</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Sheet1!$D$2:$D$3</c:f>
              <c:numCache>
                <c:formatCode>General</c:formatCode>
                <c:ptCount val="2"/>
                <c:pt idx="0">
                  <c:v>34.3</c:v>
                </c:pt>
              </c:numCache>
            </c:numRef>
          </c:val>
        </c:ser>
        <c:ser>
          <c:idx val="3"/>
          <c:order val="3"/>
          <c:tx>
            <c:strRef>
              <c:f>Sheet1!$E$1</c:f>
              <c:strCache>
                <c:ptCount val="1"/>
                <c:pt idx="0">
                  <c:v>增长下降</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Sheet1!$E$2:$E$3</c:f>
              <c:numCache>
                <c:formatCode>General</c:formatCode>
                <c:ptCount val="2"/>
                <c:pt idx="0">
                  <c:v>12.48</c:v>
                </c:pt>
              </c:numCache>
            </c:numRef>
          </c:val>
        </c:ser>
        <c:dLbls>
          <c:showLegendKey val="0"/>
          <c:showVal val="0"/>
          <c:showCatName val="0"/>
          <c:showSerName val="0"/>
          <c:showPercent val="0"/>
          <c:showBubbleSize val="0"/>
        </c:dLbls>
        <c:gapWidth val="219"/>
        <c:overlap val="-27"/>
        <c:axId val="45449985"/>
        <c:axId val="694479141"/>
      </c:barChart>
      <c:catAx>
        <c:axId val="454499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1"/>
        <c:lblAlgn val="ctr"/>
        <c:lblOffset val="100"/>
        <c:noMultiLvlLbl val="0"/>
      </c:catAx>
      <c:valAx>
        <c:axId val="69447914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302003535651149"/>
          <c:y val="0.11077359254759"/>
          <c:w val="0.933411903358869"/>
          <c:h val="0.761441879303362"/>
        </c:manualLayout>
      </c:layout>
      <c:pieChart>
        <c:varyColors val="1"/>
        <c:ser>
          <c:idx val="0"/>
          <c:order val="0"/>
          <c:tx>
            <c:strRef>
              <c:f>Sheet1!$B$1:$C$1</c:f>
              <c:strCache>
                <c:ptCount val="1"/>
                <c:pt idx="0">
                  <c:v>2018年总收入 占百分比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Pt>
            <c:idx val="6"/>
            <c:bubble3D val="0"/>
            <c:spPr>
              <a:solidFill>
                <a:schemeClr val="accent1">
                  <a:lumMod val="60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Sheet1!$B$2:$B$8</c:f>
              <c:numCache>
                <c:formatCode>General</c:formatCode>
                <c:ptCount val="7"/>
                <c:pt idx="0">
                  <c:v>63.26</c:v>
                </c:pt>
                <c:pt idx="3">
                  <c:v>177.11</c:v>
                </c:pt>
              </c:numCache>
            </c:numRef>
          </c:val>
        </c:ser>
        <c:ser>
          <c:idx val="1"/>
          <c:order val="1"/>
          <c:tx>
            <c:strRef>
              <c:f>Sheet1!$C$1</c:f>
              <c:strCache>
                <c:ptCount val="1"/>
                <c:pt idx="0">
                  <c:v>占百分比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Pt>
            <c:idx val="6"/>
            <c:bubble3D val="0"/>
            <c:spPr>
              <a:solidFill>
                <a:schemeClr val="accent1">
                  <a:lumMod val="60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Sheet1!$C$2:$C$8</c:f>
              <c:numCache>
                <c:formatCode>General</c:formatCode>
                <c:ptCount val="7"/>
                <c:pt idx="0">
                  <c:v>26.31</c:v>
                </c:pt>
                <c:pt idx="3">
                  <c:v>73.69</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02003535651149"/>
          <c:y val="0.11077359254759"/>
          <c:w val="0.933411903358869"/>
          <c:h val="0.761441879303362"/>
        </c:manualLayout>
      </c:layout>
      <c:pieChart>
        <c:varyColors val="1"/>
        <c:ser>
          <c:idx val="0"/>
          <c:order val="0"/>
          <c:tx>
            <c:strRef>
              <c:f>Sheet1!$B$1:$C$1</c:f>
              <c:strCache>
                <c:ptCount val="1"/>
                <c:pt idx="0">
                  <c:v>2018年总支出 占百分比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Sheet1!$B$2:$B$6</c:f>
              <c:numCache>
                <c:formatCode>General</c:formatCode>
                <c:ptCount val="5"/>
                <c:pt idx="0">
                  <c:v>230.37</c:v>
                </c:pt>
                <c:pt idx="1">
                  <c:v>10</c:v>
                </c:pt>
              </c:numCache>
            </c:numRef>
          </c:val>
        </c:ser>
        <c:ser>
          <c:idx val="1"/>
          <c:order val="1"/>
          <c:tx>
            <c:strRef>
              <c:f>Sheet1!$C$1</c:f>
              <c:strCache>
                <c:ptCount val="1"/>
                <c:pt idx="0">
                  <c:v>占百分比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Sheet1!$C$2:$C$6</c:f>
              <c:numCache>
                <c:formatCode>General</c:formatCode>
                <c:ptCount val="5"/>
                <c:pt idx="0">
                  <c:v>95.83</c:v>
                </c:pt>
                <c:pt idx="1">
                  <c:v>4.17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占本年支付%</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86</c:v>
                </c:pt>
                <c:pt idx="1">
                  <c:v>63.26</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86</c:v>
                </c:pt>
                <c:pt idx="1">
                  <c:v>63.26</c:v>
                </c:pt>
              </c:numCache>
            </c:numRef>
          </c:val>
        </c:ser>
        <c:ser>
          <c:idx val="2"/>
          <c:order val="2"/>
          <c:tx>
            <c:strRef>
              <c:f>Sheet1!$D$1</c:f>
              <c:strCache>
                <c:ptCount val="1"/>
                <c:pt idx="0">
                  <c:v>增加减少</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Sheet1!$D$2:$D$3</c:f>
              <c:numCache>
                <c:formatCode>General</c:formatCode>
                <c:ptCount val="2"/>
                <c:pt idx="0">
                  <c:v>23.26</c:v>
                </c:pt>
              </c:numCache>
            </c:numRef>
          </c:val>
        </c:ser>
        <c:ser>
          <c:idx val="3"/>
          <c:order val="3"/>
          <c:tx>
            <c:strRef>
              <c:f>Sheet1!$E$1</c:f>
              <c:strCache>
                <c:ptCount val="1"/>
                <c:pt idx="0">
                  <c:v>增长下降</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Sheet1!$E$2:$E$3</c:f>
              <c:numCache>
                <c:formatCode>General</c:formatCode>
                <c:ptCount val="2"/>
                <c:pt idx="0">
                  <c:v>27.04</c:v>
                </c:pt>
              </c:numCache>
            </c:numRef>
          </c:val>
        </c:ser>
        <c:dLbls>
          <c:showLegendKey val="0"/>
          <c:showVal val="0"/>
          <c:showCatName val="0"/>
          <c:showSerName val="0"/>
          <c:showPercent val="0"/>
          <c:showBubbleSize val="0"/>
        </c:dLbls>
        <c:gapWidth val="219"/>
        <c:overlap val="-27"/>
        <c:axId val="45449985"/>
        <c:axId val="694479141"/>
      </c:barChart>
      <c:catAx>
        <c:axId val="454499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1"/>
        <c:lblAlgn val="ctr"/>
        <c:lblOffset val="100"/>
        <c:noMultiLvlLbl val="0"/>
      </c:catAx>
      <c:valAx>
        <c:axId val="69447914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75"/>
          <c:y val="0.0463333333333333"/>
          <c:w val="0.945"/>
          <c:h val="0.8415"/>
        </c:manualLayout>
      </c:layout>
      <c:pieChart>
        <c:varyColors val="1"/>
        <c:ser>
          <c:idx val="0"/>
          <c:order val="0"/>
          <c:tx>
            <c:strRef>
              <c:f>Sheet1!$B$1</c:f>
              <c:strCache>
                <c:ptCount val="1"/>
                <c:pt idx="0">
                  <c:v>2018年总支出</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Lbls>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医疗卫生</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99.99</a:t>
                    </a:r>
                    <a:r>
                      <a:t>%</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住房保障</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0.01</a:t>
                    </a:r>
                    <a:r>
                      <a:t>%</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教育支出</c:v>
                </c:pt>
                <c:pt idx="1">
                  <c:v>科学技术</c:v>
                </c:pt>
                <c:pt idx="2">
                  <c:v>社会保障和就业</c:v>
                </c:pt>
                <c:pt idx="3">
                  <c:v>医疗卫生</c:v>
                </c:pt>
                <c:pt idx="4">
                  <c:v>住房保障</c:v>
                </c:pt>
              </c:strCache>
            </c:strRef>
          </c:cat>
          <c:val>
            <c:numRef>
              <c:f>Sheet1!$B$2:$B$6</c:f>
              <c:numCache>
                <c:formatCode>General</c:formatCode>
                <c:ptCount val="5"/>
                <c:pt idx="2">
                  <c:v>0.08</c:v>
                </c:pt>
                <c:pt idx="3">
                  <c:v>63.18</c:v>
                </c:pt>
                <c:pt idx="4">
                  <c:v>0</c:v>
                </c:pt>
              </c:numCache>
            </c:numRef>
          </c:val>
        </c:ser>
        <c:ser>
          <c:idx val="1"/>
          <c:order val="1"/>
          <c:tx>
            <c:strRef>
              <c:f>Sheet1!$C$1</c:f>
              <c:strCache>
                <c:ptCount val="1"/>
                <c:pt idx="0">
                  <c:v>占百分比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教育支出</c:v>
                </c:pt>
                <c:pt idx="1">
                  <c:v>科学技术</c:v>
                </c:pt>
                <c:pt idx="2">
                  <c:v>社会保障和就业</c:v>
                </c:pt>
                <c:pt idx="3">
                  <c:v>医疗卫生</c:v>
                </c:pt>
                <c:pt idx="4">
                  <c:v>住房保障</c:v>
                </c:pt>
              </c:strCache>
            </c:strRef>
          </c:cat>
          <c:val>
            <c:numRef>
              <c:f>Sheet1!$C$2:$C$6</c:f>
              <c:numCache>
                <c:formatCode>General</c:formatCode>
                <c:ptCount val="5"/>
                <c:pt idx="2">
                  <c:v>0.01</c:v>
                </c:pt>
                <c:pt idx="3">
                  <c:v>99.99</c:v>
                </c:pt>
                <c:pt idx="4">
                  <c:v>0</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75"/>
          <c:y val="0.0463333333333333"/>
          <c:w val="0.945"/>
          <c:h val="0.8415"/>
        </c:manualLayout>
      </c:layout>
      <c:pieChart>
        <c:varyColors val="1"/>
        <c:ser>
          <c:idx val="0"/>
          <c:order val="0"/>
          <c:tx>
            <c:strRef>
              <c:f>Sheet1!$B$1</c:f>
              <c:strCache>
                <c:ptCount val="1"/>
                <c:pt idx="0">
                  <c:v>2018年总支出</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Sheet1!$B$2:$B$4</c:f>
              <c:numCache>
                <c:formatCode>General</c:formatCode>
                <c:ptCount val="3"/>
                <c:pt idx="0">
                  <c:v>0</c:v>
                </c:pt>
                <c:pt idx="1">
                  <c:v>0.59</c:v>
                </c:pt>
                <c:pt idx="2">
                  <c:v>1.2</c:v>
                </c:pt>
              </c:numCache>
            </c:numRef>
          </c:val>
        </c:ser>
        <c:ser>
          <c:idx val="1"/>
          <c:order val="1"/>
          <c:tx>
            <c:strRef>
              <c:f>Sheet1!$C$1</c:f>
              <c:strCache>
                <c:ptCount val="1"/>
                <c:pt idx="0">
                  <c:v>占百分比</c:v>
                </c:pt>
              </c:strCache>
            </c:strRef>
          </c:tx>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Sheet1!$C$2:$C$4</c:f>
              <c:numCache>
                <c:formatCode>General</c:formatCode>
                <c:ptCount val="3"/>
                <c:pt idx="0">
                  <c:v>0</c:v>
                </c:pt>
                <c:pt idx="1">
                  <c:v>32.96</c:v>
                </c:pt>
                <c:pt idx="2">
                  <c:v>67.04</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0</TotalTime>
  <ScaleCrop>false</ScaleCrop>
  <LinksUpToDate>false</LinksUpToDate>
  <CharactersWithSpaces>9641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2019-09-04T07:54:00Z</cp:lastPrinted>
  <dcterms:modified xsi:type="dcterms:W3CDTF">2022-02-22T02:55:58Z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028DEEA2206949B3AC59EEDDAC049B44</vt:lpwstr>
  </property>
</Properties>
</file>