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425"/>
      <w:bookmarkStart w:id="5" w:name="_Toc15377193"/>
      <w:r>
        <w:rPr>
          <w:rFonts w:hint="eastAsia" w:ascii="黑体" w:hAnsi="黑体" w:eastAsia="黑体"/>
          <w:color w:val="000000"/>
          <w:sz w:val="72"/>
          <w:szCs w:val="72"/>
          <w:lang w:eastAsia="zh-CN"/>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土黄镇三胜中心校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rFonts w:hint="eastAsia"/>
        </w:rPr>
      </w:pPr>
      <w:r>
        <w:rPr>
          <w:rFonts w:hint="eastAsia"/>
        </w:rPr>
        <w:t>公开时间：2019年</w:t>
      </w:r>
      <w:r>
        <w:rPr>
          <w:rFonts w:hint="eastAsia"/>
          <w:lang w:val="en-US" w:eastAsia="zh-CN"/>
        </w:rPr>
        <w:t>11</w:t>
      </w:r>
      <w:r>
        <w:rPr>
          <w:rFonts w:hint="eastAsia"/>
        </w:rPr>
        <w:t>月</w:t>
      </w:r>
      <w:r>
        <w:rPr>
          <w:rFonts w:hint="eastAsia"/>
          <w:lang w:val="en-US" w:eastAsia="zh-CN"/>
        </w:rPr>
        <w:t>8</w:t>
      </w:r>
      <w:r>
        <w:rPr>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2019</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default"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12</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3</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fldChar w:fldCharType="end"/>
      </w:r>
      <w:r>
        <w:fldChar w:fldCharType="begin"/>
      </w:r>
      <w:r>
        <w:instrText xml:space="preserve"> HYPERLINK \l "_Toc15396618" </w:instrText>
      </w:r>
      <w:r>
        <w:fldChar w:fldCharType="separate"/>
      </w:r>
      <w:r>
        <w:rPr>
          <w:rStyle w:val="15"/>
          <w:bCs/>
          <w:kern w:val="44"/>
        </w:rPr>
        <w:t xml:space="preserve"> </w:t>
      </w:r>
      <w:r>
        <w:rPr>
          <w:rStyle w:val="15"/>
          <w:rFonts w:hint="eastAsia"/>
          <w:bCs/>
          <w:kern w:val="44"/>
        </w:rPr>
        <w:t>附表</w:t>
      </w:r>
      <w:r>
        <w:tab/>
      </w:r>
      <w:r>
        <w:rPr>
          <w:rFonts w:hint="eastAsia"/>
          <w:lang w:val="en-US" w:eastAsia="zh-CN"/>
        </w:rPr>
        <w:t>1</w:t>
      </w:r>
      <w:r>
        <w:fldChar w:fldCharType="end"/>
      </w:r>
      <w:r>
        <w:rPr>
          <w:rFonts w:hint="eastAsia"/>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w:t>
      </w:r>
      <w:r>
        <w:rPr>
          <w:rStyle w:val="15"/>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四川省宣汉县土黄镇三胜中心校坐落在群山环抱、风景如画的宣汉县东北角。学校始建于1956年，校园占地面积6000平方米，建筑面积达3088余平方米，目前，学校是集幼儿、小学和初中教育于一体的九年一贯制学校。下辖3所村小，现有教学班23个，在校生600余人。教职工</w:t>
      </w:r>
      <w:r>
        <w:rPr>
          <w:rFonts w:hint="eastAsia" w:ascii="仿宋" w:hAnsi="仿宋" w:eastAsia="仿宋"/>
          <w:bCs/>
          <w:color w:val="000000"/>
          <w:sz w:val="32"/>
          <w:szCs w:val="32"/>
          <w:lang w:val="en-US" w:eastAsia="zh-CN"/>
        </w:rPr>
        <w:t>42</w:t>
      </w:r>
      <w:r>
        <w:rPr>
          <w:rFonts w:hint="eastAsia" w:ascii="仿宋" w:hAnsi="仿宋" w:eastAsia="仿宋"/>
          <w:bCs/>
          <w:color w:val="000000"/>
          <w:sz w:val="32"/>
          <w:szCs w:val="32"/>
        </w:rPr>
        <w:t>人，其中大专以上学历</w:t>
      </w:r>
      <w:r>
        <w:rPr>
          <w:rFonts w:hint="eastAsia" w:ascii="仿宋" w:hAnsi="仿宋" w:eastAsia="仿宋"/>
          <w:bCs/>
          <w:color w:val="000000"/>
          <w:sz w:val="32"/>
          <w:szCs w:val="32"/>
          <w:lang w:val="en-US" w:eastAsia="zh-CN"/>
        </w:rPr>
        <w:t>38</w:t>
      </w:r>
      <w:r>
        <w:rPr>
          <w:rFonts w:hint="eastAsia" w:ascii="仿宋" w:hAnsi="仿宋" w:eastAsia="仿宋"/>
          <w:bCs/>
          <w:color w:val="000000"/>
          <w:sz w:val="32"/>
          <w:szCs w:val="32"/>
        </w:rPr>
        <w:t>人，学历达标率100％。高级教师</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人，</w:t>
      </w:r>
      <w:r>
        <w:rPr>
          <w:rFonts w:hint="eastAsia" w:ascii="仿宋" w:hAnsi="仿宋" w:eastAsia="仿宋"/>
          <w:bCs/>
          <w:color w:val="000000"/>
          <w:sz w:val="32"/>
          <w:szCs w:val="32"/>
          <w:lang w:eastAsia="zh-CN"/>
        </w:rPr>
        <w:t>一</w:t>
      </w:r>
      <w:r>
        <w:rPr>
          <w:rFonts w:hint="eastAsia" w:ascii="仿宋" w:hAnsi="仿宋" w:eastAsia="仿宋"/>
          <w:bCs/>
          <w:color w:val="000000"/>
          <w:sz w:val="32"/>
          <w:szCs w:val="32"/>
        </w:rPr>
        <w:t>级教师</w:t>
      </w:r>
      <w:r>
        <w:rPr>
          <w:rFonts w:hint="eastAsia" w:ascii="仿宋" w:hAnsi="仿宋" w:eastAsia="仿宋"/>
          <w:bCs/>
          <w:color w:val="000000"/>
          <w:sz w:val="32"/>
          <w:szCs w:val="32"/>
          <w:lang w:val="en-US" w:eastAsia="zh-CN"/>
        </w:rPr>
        <w:t>13</w:t>
      </w:r>
      <w:r>
        <w:rPr>
          <w:rFonts w:hint="eastAsia" w:ascii="仿宋" w:hAnsi="仿宋" w:eastAsia="仿宋"/>
          <w:bCs/>
          <w:color w:val="000000"/>
          <w:sz w:val="32"/>
          <w:szCs w:val="32"/>
        </w:rPr>
        <w:t>人，</w:t>
      </w:r>
      <w:r>
        <w:rPr>
          <w:rFonts w:hint="eastAsia" w:ascii="仿宋" w:hAnsi="仿宋" w:eastAsia="仿宋"/>
          <w:bCs/>
          <w:color w:val="000000"/>
          <w:sz w:val="32"/>
          <w:szCs w:val="32"/>
          <w:lang w:eastAsia="zh-CN"/>
        </w:rPr>
        <w:t>二</w:t>
      </w:r>
      <w:r>
        <w:rPr>
          <w:rFonts w:hint="eastAsia" w:ascii="仿宋" w:hAnsi="仿宋" w:eastAsia="仿宋"/>
          <w:bCs/>
          <w:color w:val="000000"/>
          <w:sz w:val="32"/>
          <w:szCs w:val="32"/>
        </w:rPr>
        <w:t>级教师</w:t>
      </w:r>
      <w:r>
        <w:rPr>
          <w:rFonts w:hint="eastAsia" w:ascii="仿宋" w:hAnsi="仿宋" w:eastAsia="仿宋"/>
          <w:bCs/>
          <w:color w:val="000000"/>
          <w:sz w:val="32"/>
          <w:szCs w:val="32"/>
          <w:lang w:val="en-US" w:eastAsia="zh-CN"/>
        </w:rPr>
        <w:t>26</w:t>
      </w:r>
      <w:r>
        <w:rPr>
          <w:rFonts w:hint="eastAsia" w:ascii="仿宋" w:hAnsi="仿宋" w:eastAsia="仿宋"/>
          <w:bCs/>
          <w:color w:val="000000"/>
          <w:sz w:val="32"/>
          <w:szCs w:val="32"/>
        </w:rPr>
        <w:t>人，省级骨干教师1人，市县骨干教师7人，市县学科带头人2人。</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2019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hint="default" w:ascii="仿宋" w:hAnsi="仿宋" w:eastAsia="仿宋"/>
          <w:bCs/>
          <w:color w:val="000000"/>
          <w:sz w:val="32"/>
          <w:szCs w:val="32"/>
          <w:lang w:val="en-US"/>
        </w:rPr>
      </w:pPr>
      <w:bookmarkStart w:id="20" w:name="_Toc15396601"/>
      <w:bookmarkStart w:id="21" w:name="_Toc15377200"/>
      <w:r>
        <w:rPr>
          <w:rFonts w:hint="eastAsia" w:ascii="仿宋" w:hAnsi="仿宋" w:eastAsia="仿宋"/>
          <w:bCs/>
          <w:color w:val="000000"/>
          <w:sz w:val="32"/>
          <w:szCs w:val="32"/>
        </w:rPr>
        <w:t>一年来，在上级的指引下，在党、政、工、团的同心协力下，在全体教职工的不懈努力下，学校工作顺利、平稳、扎实推进，取得了有目共睹的成绩，在</w:t>
      </w:r>
      <w:r>
        <w:rPr>
          <w:rFonts w:hint="eastAsia" w:ascii="仿宋" w:hAnsi="仿宋" w:eastAsia="仿宋"/>
          <w:bCs/>
          <w:color w:val="000000"/>
          <w:sz w:val="32"/>
          <w:szCs w:val="32"/>
          <w:lang w:eastAsia="zh-CN"/>
        </w:rPr>
        <w:t>2019</w:t>
      </w:r>
      <w:r>
        <w:rPr>
          <w:rFonts w:hint="eastAsia" w:ascii="仿宋" w:hAnsi="仿宋" w:eastAsia="仿宋"/>
          <w:bCs/>
          <w:color w:val="000000"/>
          <w:sz w:val="32"/>
          <w:szCs w:val="32"/>
        </w:rPr>
        <w:t>年初中毕业年级统一检测中有</w:t>
      </w:r>
      <w:r>
        <w:rPr>
          <w:rFonts w:hint="eastAsia" w:ascii="仿宋" w:hAnsi="仿宋" w:eastAsia="仿宋"/>
          <w:bCs/>
          <w:color w:val="000000"/>
          <w:sz w:val="32"/>
          <w:szCs w:val="32"/>
          <w:lang w:val="en-US" w:eastAsia="zh-CN"/>
        </w:rPr>
        <w:t>100%进入高级</w:t>
      </w:r>
      <w:r>
        <w:rPr>
          <w:rFonts w:hint="eastAsia" w:ascii="仿宋" w:hAnsi="仿宋" w:eastAsia="仿宋"/>
          <w:bCs/>
          <w:color w:val="000000"/>
          <w:sz w:val="32"/>
          <w:szCs w:val="32"/>
        </w:rPr>
        <w:t>中学录取分数线，</w:t>
      </w:r>
      <w:r>
        <w:rPr>
          <w:rFonts w:hint="eastAsia" w:ascii="仿宋" w:hAnsi="仿宋" w:eastAsia="仿宋"/>
          <w:bCs/>
          <w:color w:val="000000"/>
          <w:sz w:val="32"/>
          <w:szCs w:val="32"/>
          <w:lang w:eastAsia="zh-CN"/>
        </w:rPr>
        <w:t>小学抽测科目</w:t>
      </w:r>
      <w:r>
        <w:rPr>
          <w:rFonts w:hint="eastAsia" w:ascii="仿宋" w:hAnsi="仿宋" w:eastAsia="仿宋"/>
          <w:bCs/>
          <w:color w:val="000000"/>
          <w:sz w:val="32"/>
          <w:szCs w:val="32"/>
        </w:rPr>
        <w:t>各科成绩名列全县</w:t>
      </w:r>
      <w:r>
        <w:rPr>
          <w:rFonts w:hint="eastAsia" w:ascii="仿宋" w:hAnsi="仿宋" w:eastAsia="仿宋"/>
          <w:bCs/>
          <w:color w:val="000000"/>
          <w:sz w:val="32"/>
          <w:szCs w:val="32"/>
          <w:lang w:eastAsia="zh-CN"/>
        </w:rPr>
        <w:t>同类学校</w:t>
      </w:r>
      <w:r>
        <w:rPr>
          <w:rFonts w:hint="eastAsia" w:ascii="仿宋" w:hAnsi="仿宋" w:eastAsia="仿宋"/>
          <w:bCs/>
          <w:color w:val="000000"/>
          <w:sz w:val="32"/>
          <w:szCs w:val="32"/>
        </w:rPr>
        <w:t>单科成绩前十名，受到教科局全县通报表彰</w:t>
      </w:r>
      <w:r>
        <w:rPr>
          <w:rFonts w:hint="eastAsia" w:ascii="仿宋" w:hAnsi="仿宋" w:eastAsia="仿宋"/>
          <w:bCs/>
          <w:color w:val="000000"/>
          <w:sz w:val="32"/>
          <w:szCs w:val="32"/>
          <w:lang w:eastAsia="zh-CN"/>
        </w:rPr>
        <w:t>，文镜林、李绍丹、黄梦月、周泽丹等同学在各项考试中均取得优秀成绩</w:t>
      </w:r>
      <w:r>
        <w:rPr>
          <w:rFonts w:hint="eastAsia" w:ascii="仿宋" w:hAnsi="仿宋" w:eastAsia="仿宋"/>
          <w:bCs/>
          <w:color w:val="000000"/>
          <w:sz w:val="32"/>
          <w:szCs w:val="32"/>
          <w:lang w:val="en-US" w:eastAsia="zh-CN"/>
        </w:rPr>
        <w:t>......</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我校将再接再厉、团结进取、奋力拼搏，再创辉煌！努力为全县的教育事业作出更大的贡献！</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我校下设党支部、工会、行政办公室、后勤办、政教处、教务处、安全办、团支部、少先队大队部、望乡村小、董坡村小、董坡村石盘小学</w:t>
      </w:r>
      <w:r>
        <w:rPr>
          <w:rFonts w:hint="eastAsia" w:ascii="仿宋" w:hAnsi="仿宋" w:eastAsia="仿宋"/>
          <w:sz w:val="32"/>
          <w:szCs w:val="32"/>
        </w:rPr>
        <w:t>。</w:t>
      </w:r>
    </w:p>
    <w:p>
      <w:pPr>
        <w:pStyle w:val="5"/>
        <w:adjustRightInd w:val="0"/>
        <w:snapToGrid w:val="0"/>
        <w:spacing w:before="93" w:line="600" w:lineRule="exact"/>
        <w:ind w:firstLine="1120" w:firstLineChars="35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均</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年度部门决算编制范围</w:t>
      </w:r>
      <w:r>
        <w:rPr>
          <w:rFonts w:hint="eastAsia" w:ascii="仿宋" w:hAnsi="仿宋" w:eastAsia="仿宋"/>
          <w:color w:val="000000"/>
          <w:sz w:val="32"/>
          <w:szCs w:val="32"/>
          <w:lang w:eastAsia="zh-CN"/>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2019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万元。与2017年相比，收、支总计各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3.43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0.54%</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各项维修费的增加。</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554.54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91.57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14.17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仿宋" w:hAnsi="仿宋" w:eastAsia="仿宋"/>
          <w:color w:val="000000"/>
          <w:sz w:val="32"/>
          <w:szCs w:val="32"/>
          <w:lang w:val="en-US"/>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3.43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0.54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各项维修费的增加。</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3.43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0.54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各项维修费的增加。</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646.11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554.54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85.83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40.25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16.16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35.16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bookmarkStart w:id="36"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hint="eastAsia" w:ascii="仿宋" w:hAnsi="仿宋" w:eastAsia="仿宋"/>
          <w:b/>
          <w:color w:val="000000" w:themeColor="text1"/>
          <w:sz w:val="32"/>
          <w:szCs w:val="32"/>
          <w14:textFill>
            <w14:solidFill>
              <w14:schemeClr w14:val="tx1"/>
            </w14:solidFill>
          </w14:textFill>
        </w:rPr>
      </w:pPr>
      <w:bookmarkStart w:id="37" w:name="_Toc15377444"/>
      <w:bookmarkStart w:id="38" w:name="_Toc15378460"/>
      <w:bookmarkStart w:id="39" w:name="_Toc15377213"/>
      <w:r>
        <w:rPr>
          <w:rFonts w:hint="eastAsia" w:ascii="仿宋" w:hAnsi="仿宋" w:eastAsia="仿宋"/>
          <w:b/>
          <w:color w:val="000000" w:themeColor="text1"/>
          <w:sz w:val="32"/>
          <w:szCs w:val="32"/>
          <w:lang w:eastAsia="zh-CN"/>
          <w14:textFill>
            <w14:solidFill>
              <w14:schemeClr w14:val="tx1"/>
            </w14:solidFill>
          </w14:textFill>
        </w:rPr>
        <w:t>2019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sz w:val="32"/>
          <w:szCs w:val="32"/>
          <w:lang w:val="en-US" w:eastAsia="zh-CN"/>
        </w:rPr>
        <w:t>646.11</w:t>
      </w:r>
      <w:r>
        <w:rPr>
          <w:rFonts w:hint="eastAsia" w:ascii="仿宋" w:hAnsi="仿宋" w:eastAsia="仿宋"/>
          <w:color w:val="000000" w:themeColor="text1"/>
          <w:sz w:val="32"/>
          <w:szCs w:val="32"/>
          <w14:textFill>
            <w14:solidFill>
              <w14:schemeClr w14:val="tx1"/>
            </w14:solidFill>
          </w14:textFill>
        </w:rPr>
        <w:t>万元，</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w:t>
      </w:r>
      <w:r>
        <w:rPr>
          <w:rFonts w:hint="eastAsia" w:ascii="仿宋" w:hAnsi="仿宋" w:eastAsia="仿宋"/>
          <w:b/>
          <w:color w:val="000000" w:themeColor="text1"/>
          <w:sz w:val="32"/>
          <w:szCs w:val="32"/>
          <w14:textFill>
            <w14:solidFill>
              <w14:schemeClr w14:val="tx1"/>
            </w14:solidFill>
          </w14:textFill>
        </w:rPr>
        <w:t>算</w:t>
      </w:r>
      <w:r>
        <w:rPr>
          <w:rFonts w:hint="eastAsia" w:ascii="仿宋" w:hAnsi="仿宋" w:eastAsia="仿宋"/>
          <w:b/>
          <w:color w:val="000000" w:themeColor="text1"/>
          <w:sz w:val="32"/>
          <w:szCs w:val="32"/>
          <w:lang w:val="en-US" w:eastAsia="zh-CN"/>
          <w14:textFill>
            <w14:solidFill>
              <w14:schemeClr w14:val="tx1"/>
            </w14:solidFill>
          </w14:textFill>
        </w:rPr>
        <w:t>100</w:t>
      </w:r>
      <w:r>
        <w:rPr>
          <w:rFonts w:hint="eastAsia" w:ascii="仿宋" w:hAnsi="仿宋" w:eastAsia="仿宋"/>
          <w:b/>
          <w:color w:val="000000" w:themeColor="text1"/>
          <w:sz w:val="32"/>
          <w:szCs w:val="32"/>
          <w14:textFill>
            <w14:solidFill>
              <w14:schemeClr w14:val="tx1"/>
            </w14:solidFill>
          </w14:textFill>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19.99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534.55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40.25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lang w:eastAsia="zh-CN"/>
        </w:rPr>
        <w:t>卫生健康</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16.16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住房保障</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35.16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646.11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457.91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77.79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2.11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_GB2312" w:eastAsia="仿宋"/>
          <w:color w:val="000000"/>
          <w:sz w:val="32"/>
          <w:szCs w:val="32"/>
          <w:lang w:eastAsia="zh-CN"/>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年“三公”经费财政拨款支出决算中，公务接待费支出决算</w:t>
      </w:r>
      <w:r>
        <w:rPr>
          <w:rFonts w:hint="eastAsia" w:ascii="仿宋" w:hAnsi="仿宋" w:eastAsia="仿宋"/>
          <w:color w:val="000000"/>
          <w:sz w:val="32"/>
          <w:szCs w:val="32"/>
          <w:lang w:val="en-US" w:eastAsia="zh-CN"/>
        </w:rPr>
        <w:t>2.11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略有下降</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学校力所能及地节省开支</w:t>
      </w:r>
      <w:r>
        <w:rPr>
          <w:rFonts w:hint="eastAsia" w:ascii="仿宋_GB2312" w:eastAsia="仿宋_GB2312"/>
          <w:color w:val="000000"/>
          <w:sz w:val="32"/>
          <w:szCs w:val="32"/>
        </w:rPr>
        <w:t>。</w:t>
      </w:r>
    </w:p>
    <w:p>
      <w:pPr>
        <w:spacing w:line="600" w:lineRule="exact"/>
        <w:ind w:firstLine="640"/>
        <w:outlineLvl w:val="1"/>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62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411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接待捐资助学团体和个人</w:t>
      </w:r>
      <w:r>
        <w:rPr>
          <w:rFonts w:hint="eastAsia" w:ascii="仿宋_GB2312" w:eastAsia="仿宋_GB2312"/>
          <w:color w:val="000000"/>
          <w:sz w:val="32"/>
          <w:szCs w:val="32"/>
          <w:lang w:val="en-US" w:eastAsia="zh-CN"/>
        </w:rPr>
        <w:t>24批次0.98万元，接待上级检查20批次0.45万元，接待校际间学习交流18批次0.68万元</w:t>
      </w:r>
      <w:r>
        <w:rPr>
          <w:rFonts w:hint="eastAsia" w:ascii="仿宋_GB2312" w:eastAsia="仿宋_GB2312"/>
          <w:color w:val="000000"/>
          <w:sz w:val="32"/>
          <w:szCs w:val="32"/>
        </w:rPr>
        <w:t>。</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pStyle w:val="23"/>
        <w:numPr>
          <w:ilvl w:val="0"/>
          <w:numId w:val="3"/>
        </w:numPr>
        <w:spacing w:line="580" w:lineRule="exact"/>
        <w:ind w:firstLineChars="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年度部门决算中反映、“学前教育幼儿学生建</w:t>
      </w:r>
      <w:r>
        <w:rPr>
          <w:rFonts w:ascii="仿宋_GB2312" w:hAnsi="仿宋_GB2312" w:eastAsia="仿宋_GB2312" w:cs="仿宋_GB2312"/>
          <w:sz w:val="32"/>
          <w:szCs w:val="32"/>
        </w:rPr>
        <w:t>档立卡</w:t>
      </w:r>
      <w:r>
        <w:rPr>
          <w:rFonts w:hint="eastAsia" w:ascii="仿宋_GB2312" w:hAnsi="仿宋_GB2312" w:eastAsia="仿宋_GB2312" w:cs="仿宋_GB2312"/>
          <w:sz w:val="32"/>
          <w:szCs w:val="32"/>
        </w:rPr>
        <w:t>保教费”、“义教学生营养改善计划金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w:t>
      </w:r>
      <w:r>
        <w:rPr>
          <w:rFonts w:hint="eastAsia" w:ascii="仿宋_GB2312" w:hAnsi="仿宋_GB2312" w:eastAsia="仿宋_GB2312" w:cs="仿宋_GB2312"/>
          <w:sz w:val="32"/>
          <w:szCs w:val="32"/>
          <w:lang w:eastAsia="zh-CN"/>
        </w:rPr>
        <w:t>综合楼及校门维修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学前教育保</w:t>
      </w:r>
      <w:r>
        <w:rPr>
          <w:rFonts w:ascii="仿宋_GB2312" w:hAnsi="仿宋_GB2312" w:eastAsia="仿宋_GB2312" w:cs="仿宋_GB2312"/>
          <w:sz w:val="32"/>
          <w:szCs w:val="32"/>
        </w:rPr>
        <w:t>教费及</w:t>
      </w:r>
      <w:r>
        <w:rPr>
          <w:rFonts w:hint="eastAsia" w:ascii="仿宋_GB2312" w:hAnsi="仿宋_GB2312" w:eastAsia="仿宋_GB2312" w:cs="仿宋_GB2312"/>
          <w:sz w:val="32"/>
          <w:szCs w:val="32"/>
        </w:rPr>
        <w:t>建档立卡贫困家庭免保教费项目绩效目标完成情况综述。项目全年预算数</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万元，完成预算的100%。</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30.45</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义教贫困寄宿生生活补助项目绩效目标完成情况综述。项目全年预算数</w:t>
      </w:r>
      <w:r>
        <w:rPr>
          <w:rFonts w:hint="eastAsia" w:ascii="仿宋_GB2312" w:hAnsi="仿宋_GB2312" w:eastAsia="仿宋_GB2312" w:cs="仿宋_GB2312"/>
          <w:sz w:val="32"/>
          <w:szCs w:val="32"/>
          <w:lang w:val="en-US" w:eastAsia="zh-CN"/>
        </w:rPr>
        <w:t>50.29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50.29</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均衡发展补助资金项目绩效目标完成情况综述。项目全年预算数10万元，执行数为10万元，完成预算的100%。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w:t>
      </w:r>
      <w:r>
        <w:rPr>
          <w:rFonts w:ascii="仿宋_GB2312" w:hAnsi="仿宋_GB2312" w:eastAsia="仿宋_GB2312" w:cs="仿宋_GB2312"/>
          <w:sz w:val="32"/>
          <w:szCs w:val="32"/>
        </w:rPr>
        <w:t>心校</w:t>
      </w:r>
      <w:r>
        <w:rPr>
          <w:rFonts w:hint="eastAsia" w:ascii="仿宋_GB2312" w:hAnsi="仿宋_GB2312" w:eastAsia="仿宋_GB2312" w:cs="仿宋_GB2312"/>
          <w:sz w:val="32"/>
          <w:szCs w:val="32"/>
          <w:lang w:eastAsia="zh-CN"/>
        </w:rPr>
        <w:t>学前教育梯步工程</w:t>
      </w:r>
      <w:r>
        <w:rPr>
          <w:rFonts w:hint="eastAsia" w:ascii="仿宋_GB2312" w:hAnsi="仿宋_GB2312" w:eastAsia="仿宋_GB2312" w:cs="仿宋_GB2312"/>
          <w:sz w:val="32"/>
          <w:szCs w:val="32"/>
        </w:rPr>
        <w:t>资金项目绩效目标完成情况综述。项目全年预算数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万元，完成预算的100%。</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w:t>
            </w:r>
            <w:r>
              <w:rPr>
                <w:rFonts w:hint="eastAsia" w:ascii="宋体" w:hAnsi="宋体" w:cs="宋体"/>
                <w:color w:val="000000"/>
                <w:kern w:val="0"/>
                <w:sz w:val="36"/>
                <w:szCs w:val="36"/>
                <w:lang w:eastAsia="zh-CN" w:bidi="ar"/>
              </w:rPr>
              <w:t>2019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宣汉县</w:t>
            </w:r>
            <w:r>
              <w:rPr>
                <w:rFonts w:hint="eastAsia" w:ascii="宋体" w:hAnsi="宋体" w:cs="宋体"/>
                <w:color w:val="000000"/>
                <w:sz w:val="24"/>
                <w:lang w:eastAsia="zh-CN"/>
              </w:rPr>
              <w:t>土黄</w:t>
            </w:r>
            <w:r>
              <w:rPr>
                <w:rFonts w:hint="eastAsia" w:ascii="宋体" w:hAnsi="宋体" w:cs="宋体"/>
                <w:color w:val="000000"/>
                <w:sz w:val="24"/>
              </w:rPr>
              <w:t>镇</w:t>
            </w:r>
            <w:r>
              <w:rPr>
                <w:rFonts w:hint="eastAsia" w:ascii="宋体" w:hAnsi="宋体" w:cs="宋体"/>
                <w:color w:val="000000"/>
                <w:sz w:val="24"/>
                <w:lang w:eastAsia="zh-CN"/>
              </w:rPr>
              <w:t>三胜中心校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1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numPr>
          <w:ilvl w:val="0"/>
          <w:numId w:val="3"/>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年部门整体支出绩效评价情况开展自评，《宣汉县</w:t>
      </w:r>
      <w:r>
        <w:rPr>
          <w:rFonts w:hint="eastAsia" w:ascii="仿宋_GB2312" w:hAnsi="仿宋_GB2312" w:eastAsia="仿宋_GB2312" w:cs="仿宋_GB2312"/>
          <w:sz w:val="32"/>
          <w:szCs w:val="32"/>
          <w:lang w:eastAsia="zh-CN"/>
        </w:rPr>
        <w:t>土黄</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三胜</w:t>
      </w:r>
      <w:r>
        <w:rPr>
          <w:rFonts w:ascii="仿宋_GB2312" w:hAnsi="仿宋_GB2312" w:eastAsia="仿宋_GB2312" w:cs="仿宋_GB2312"/>
          <w:sz w:val="32"/>
          <w:szCs w:val="32"/>
        </w:rPr>
        <w:t>中心校</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年部门整体支出绩效评价报告》见附件1。</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一、其他重要事项的情况说明</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eastAsia="zh-CN"/>
        </w:rPr>
        <w:t>2019</w:t>
      </w:r>
      <w:r>
        <w:rPr>
          <w:rFonts w:hint="eastAsia" w:ascii="仿宋_GB2312" w:hAnsi="Calibri" w:eastAsia="仿宋_GB2312" w:cs="仿宋"/>
          <w:color w:val="000000"/>
          <w:kern w:val="0"/>
          <w:sz w:val="32"/>
          <w:szCs w:val="32"/>
        </w:rPr>
        <w:t>年度宣汉县</w:t>
      </w:r>
      <w:r>
        <w:rPr>
          <w:rFonts w:hint="eastAsia" w:ascii="仿宋_GB2312" w:hAnsi="Calibri" w:eastAsia="仿宋_GB2312" w:cs="仿宋"/>
          <w:color w:val="000000"/>
          <w:kern w:val="0"/>
          <w:sz w:val="32"/>
          <w:szCs w:val="32"/>
          <w:lang w:eastAsia="zh-CN"/>
        </w:rPr>
        <w:t>土黄</w:t>
      </w:r>
      <w:r>
        <w:rPr>
          <w:rFonts w:hint="eastAsia" w:ascii="仿宋_GB2312" w:hAnsi="Calibri" w:eastAsia="仿宋_GB2312" w:cs="仿宋"/>
          <w:color w:val="000000"/>
          <w:kern w:val="0"/>
          <w:sz w:val="32"/>
          <w:szCs w:val="32"/>
        </w:rPr>
        <w:t>镇</w:t>
      </w:r>
      <w:r>
        <w:rPr>
          <w:rFonts w:hint="eastAsia" w:ascii="仿宋_GB2312" w:hAnsi="Calibri" w:eastAsia="仿宋_GB2312" w:cs="仿宋"/>
          <w:color w:val="000000"/>
          <w:kern w:val="0"/>
          <w:sz w:val="32"/>
          <w:szCs w:val="32"/>
          <w:lang w:eastAsia="zh-CN"/>
        </w:rPr>
        <w:t>三胜</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67" w:name="_GoBack"/>
      <w:bookmarkEnd w:id="67"/>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600" w:lineRule="exact"/>
        <w:ind w:firstLine="640"/>
        <w:rPr>
          <w:rFonts w:hint="eastAsia" w:ascii="仿宋_GB2312" w:eastAsia="仿宋_GB2312"/>
          <w:color w:val="000000"/>
          <w:sz w:val="32"/>
          <w:szCs w:val="32"/>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ind w:left="709" w:leftChars="0"/>
        <w:outlineLvl w:val="1"/>
        <w:rPr>
          <w:rStyle w:val="25"/>
          <w:rFonts w:hint="eastAsia" w:ascii="黑体" w:hAnsi="黑体" w:eastAsia="黑体"/>
          <w:b w:val="0"/>
          <w:lang w:eastAsia="zh-CN"/>
        </w:rPr>
      </w:pPr>
    </w:p>
    <w:p>
      <w:pPr>
        <w:numPr>
          <w:ilvl w:val="0"/>
          <w:numId w:val="0"/>
        </w:numPr>
        <w:spacing w:line="600" w:lineRule="exact"/>
        <w:outlineLvl w:val="1"/>
        <w:rPr>
          <w:rStyle w:val="25"/>
          <w:rFonts w:hint="eastAsia" w:ascii="黑体" w:hAnsi="黑体" w:eastAsia="黑体"/>
          <w:b w:val="0"/>
          <w:lang w:eastAsia="zh-CN"/>
        </w:rPr>
      </w:pPr>
    </w:p>
    <w:p>
      <w:pPr>
        <w:numPr>
          <w:ilvl w:val="0"/>
          <w:numId w:val="5"/>
        </w:numPr>
        <w:spacing w:line="600" w:lineRule="exact"/>
        <w:ind w:firstLine="662"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学前教育</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小学教育</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机关事业单位养老保险缴费支出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住房保障</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住房公积金支出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883" w:firstLineChars="200"/>
        <w:rPr>
          <w:rStyle w:val="24"/>
          <w:rFonts w:ascii="仿宋" w:hAnsi="仿宋" w:eastAsia="仿宋" w:cs="仿宋_GB2312"/>
          <w:b w:val="0"/>
          <w:bCs w:val="0"/>
          <w:kern w:val="2"/>
          <w:sz w:val="32"/>
          <w:szCs w:val="32"/>
        </w:rPr>
      </w:pPr>
      <w:bookmarkStart w:id="52" w:name="_Toc15377226"/>
      <w:r>
        <w:rPr>
          <w:rFonts w:ascii="宋体"/>
          <w:b/>
          <w:color w:val="000000"/>
          <w:sz w:val="44"/>
          <w:szCs w:val="44"/>
        </w:rPr>
        <w:br w:type="page"/>
      </w:r>
    </w:p>
    <w:p>
      <w:pPr>
        <w:spacing w:line="600" w:lineRule="exact"/>
        <w:jc w:val="center"/>
        <w:outlineLvl w:val="0"/>
        <w:rPr>
          <w:rStyle w:val="24"/>
          <w:rFonts w:ascii="黑体" w:hAnsi="黑体" w:eastAsia="黑体"/>
          <w:b w:val="0"/>
        </w:rPr>
      </w:pPr>
      <w:bookmarkStart w:id="53" w:name="_Toc15396618"/>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bookmarkEnd w:id="52"/>
      <w:bookmarkEnd w:id="5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4"/>
    </w:p>
    <w:p>
      <w:pPr>
        <w:pStyle w:val="3"/>
        <w:rPr>
          <w:rFonts w:ascii="仿宋" w:hAnsi="仿宋" w:eastAsia="仿宋"/>
          <w:color w:val="000000"/>
        </w:rPr>
      </w:pPr>
      <w:bookmarkStart w:id="55" w:name="_Toc15396620"/>
      <w:r>
        <w:rPr>
          <w:rFonts w:hint="eastAsia" w:ascii="仿宋" w:hAnsi="仿宋" w:eastAsia="仿宋"/>
          <w:b w:val="0"/>
          <w:color w:val="000000"/>
        </w:rPr>
        <w:t>二、收</w:t>
      </w:r>
      <w:r>
        <w:rPr>
          <w:rStyle w:val="25"/>
          <w:rFonts w:hint="eastAsia" w:ascii="仿宋" w:hAnsi="仿宋" w:eastAsia="仿宋"/>
          <w:b w:val="0"/>
          <w:bCs w:val="0"/>
        </w:rPr>
        <w:t>入</w:t>
      </w:r>
      <w:r>
        <w:rPr>
          <w:rStyle w:val="25"/>
          <w:rFonts w:hint="eastAsia" w:ascii="仿宋" w:hAnsi="仿宋" w:eastAsia="仿宋"/>
          <w:b w:val="0"/>
          <w:bCs w:val="0"/>
          <w:lang w:eastAsia="zh-CN"/>
        </w:rPr>
        <w:t>决算</w:t>
      </w:r>
      <w:r>
        <w:rPr>
          <w:rStyle w:val="25"/>
          <w:rFonts w:hint="eastAsia" w:ascii="仿宋" w:hAnsi="仿宋" w:eastAsia="仿宋"/>
          <w:b w:val="0"/>
          <w:bCs w:val="0"/>
        </w:rPr>
        <w:t>表</w:t>
      </w:r>
      <w:bookmarkEnd w:id="55"/>
    </w:p>
    <w:p>
      <w:pPr>
        <w:pStyle w:val="3"/>
        <w:rPr>
          <w:rFonts w:ascii="仿宋" w:hAnsi="仿宋" w:eastAsia="仿宋"/>
          <w:color w:val="000000"/>
        </w:rPr>
      </w:pPr>
      <w:bookmarkStart w:id="5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r>
        <w:rPr>
          <w:rStyle w:val="25"/>
          <w:rFonts w:hint="eastAsia" w:ascii="仿宋" w:hAnsi="仿宋" w:eastAsia="仿宋"/>
          <w:b w:val="0"/>
          <w:bCs w:val="0"/>
          <w:lang w:eastAsia="zh-CN"/>
        </w:rPr>
        <w:t>决算</w:t>
      </w:r>
      <w:r>
        <w:rPr>
          <w:rStyle w:val="25"/>
          <w:rFonts w:hint="eastAsia" w:ascii="仿宋" w:hAnsi="仿宋" w:eastAsia="仿宋"/>
          <w:b w:val="0"/>
          <w:bCs w:val="0"/>
        </w:rPr>
        <w:t>表</w:t>
      </w:r>
      <w:bookmarkEnd w:id="56"/>
    </w:p>
    <w:p>
      <w:pPr>
        <w:pStyle w:val="3"/>
        <w:rPr>
          <w:rFonts w:ascii="仿宋" w:hAnsi="仿宋" w:eastAsia="仿宋"/>
          <w:b w:val="0"/>
          <w:color w:val="000000"/>
        </w:rPr>
      </w:pPr>
      <w:bookmarkStart w:id="5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7"/>
    </w:p>
    <w:p>
      <w:pPr>
        <w:pStyle w:val="3"/>
        <w:rPr>
          <w:rFonts w:ascii="仿宋" w:hAnsi="仿宋" w:eastAsia="仿宋"/>
          <w:color w:val="000000"/>
        </w:rPr>
      </w:pPr>
      <w:bookmarkStart w:id="5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58"/>
    </w:p>
    <w:p>
      <w:pPr>
        <w:pStyle w:val="3"/>
        <w:rPr>
          <w:rFonts w:ascii="仿宋" w:hAnsi="仿宋" w:eastAsia="仿宋"/>
          <w:color w:val="000000"/>
        </w:rPr>
      </w:pPr>
      <w:bookmarkStart w:id="5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9"/>
    </w:p>
    <w:p>
      <w:pPr>
        <w:pStyle w:val="3"/>
        <w:rPr>
          <w:rFonts w:ascii="仿宋" w:hAnsi="仿宋" w:eastAsia="仿宋"/>
          <w:color w:val="000000"/>
        </w:rPr>
      </w:pPr>
      <w:bookmarkStart w:id="6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0"/>
    </w:p>
    <w:p>
      <w:pPr>
        <w:pStyle w:val="3"/>
        <w:rPr>
          <w:rFonts w:ascii="仿宋" w:hAnsi="仿宋" w:eastAsia="仿宋"/>
          <w:color w:val="000000"/>
        </w:rPr>
      </w:pPr>
      <w:bookmarkStart w:id="6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1"/>
    </w:p>
    <w:p>
      <w:pPr>
        <w:pStyle w:val="3"/>
        <w:rPr>
          <w:rFonts w:ascii="仿宋" w:hAnsi="仿宋" w:eastAsia="仿宋"/>
          <w:color w:val="000000"/>
        </w:rPr>
      </w:pPr>
      <w:bookmarkStart w:id="6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2"/>
    </w:p>
    <w:p>
      <w:pPr>
        <w:pStyle w:val="3"/>
        <w:rPr>
          <w:rFonts w:ascii="仿宋" w:hAnsi="仿宋" w:eastAsia="仿宋"/>
          <w:color w:val="000000"/>
        </w:rPr>
      </w:pPr>
      <w:bookmarkStart w:id="6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3"/>
    </w:p>
    <w:p>
      <w:pPr>
        <w:pStyle w:val="3"/>
        <w:rPr>
          <w:rFonts w:ascii="仿宋" w:hAnsi="仿宋" w:eastAsia="仿宋"/>
          <w:color w:val="000000"/>
        </w:rPr>
      </w:pPr>
      <w:bookmarkStart w:id="6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4"/>
    </w:p>
    <w:p>
      <w:pPr>
        <w:pStyle w:val="3"/>
        <w:rPr>
          <w:rFonts w:ascii="仿宋" w:hAnsi="仿宋" w:eastAsia="仿宋"/>
          <w:color w:val="000000"/>
        </w:rPr>
      </w:pPr>
      <w:bookmarkStart w:id="6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5"/>
    </w:p>
    <w:p>
      <w:pPr>
        <w:pStyle w:val="3"/>
        <w:rPr>
          <w:rFonts w:ascii="仿宋" w:hAnsi="仿宋" w:eastAsia="仿宋"/>
          <w:color w:val="000000" w:themeColor="text1"/>
          <w14:textFill>
            <w14:solidFill>
              <w14:schemeClr w14:val="tx1"/>
            </w14:solidFill>
          </w14:textFill>
        </w:rPr>
      </w:pPr>
      <w:bookmarkStart w:id="6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4C4773A"/>
    <w:multiLevelType w:val="multilevel"/>
    <w:tmpl w:val="04C4773A"/>
    <w:lvl w:ilvl="0" w:tentative="0">
      <w:start w:val="2"/>
      <w:numFmt w:val="japaneseCounting"/>
      <w:lvlText w:val="（%1）"/>
      <w:lvlJc w:val="left"/>
      <w:pPr>
        <w:ind w:left="1080" w:hanging="1080"/>
      </w:pPr>
      <w:rPr>
        <w:rFonts w:hint="default" w:ascii="仿宋" w:hAnsi="仿宋" w:eastAsia="仿宋"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9E1D66"/>
    <w:rsid w:val="0BF94E8B"/>
    <w:rsid w:val="10C055FF"/>
    <w:rsid w:val="16BB723D"/>
    <w:rsid w:val="187319C8"/>
    <w:rsid w:val="240371BF"/>
    <w:rsid w:val="29FD04D3"/>
    <w:rsid w:val="2A7E7EDE"/>
    <w:rsid w:val="2C645B42"/>
    <w:rsid w:val="2DE72D6B"/>
    <w:rsid w:val="31650E11"/>
    <w:rsid w:val="319F7F4E"/>
    <w:rsid w:val="37A828EA"/>
    <w:rsid w:val="467231FB"/>
    <w:rsid w:val="5BCE5243"/>
    <w:rsid w:val="6B7E12C5"/>
    <w:rsid w:val="70385088"/>
    <w:rsid w:val="73E45FC8"/>
    <w:rsid w:val="FE5D52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43</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2022-02-22T14:54:04Z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