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8441"/>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8442"/>
      <w:bookmarkStart w:id="8" w:name="_Toc15396598"/>
      <w:bookmarkStart w:id="9" w:name="_Toc1537742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宣汉县黄石乡卫生院部门决算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12</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rPr>
        <w:t>14</w:t>
      </w:r>
      <w:r>
        <w:rPr>
          <w:rFonts w:hint="eastAsia"/>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16</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ascii="仿宋" w:hAnsi="仿宋" w:eastAsia="仿宋" w:cs="仿宋"/>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p>
    <w:p>
      <w:pPr>
        <w:ind w:firstLine="640" w:firstLineChars="200"/>
        <w:rPr>
          <w:rFonts w:ascii="仿宋" w:hAnsi="仿宋" w:eastAsia="仿宋" w:cs="仿宋"/>
          <w:sz w:val="32"/>
          <w:szCs w:val="32"/>
        </w:rPr>
      </w:pPr>
      <w:r>
        <w:rPr>
          <w:rFonts w:hint="eastAsia" w:ascii="仿宋" w:hAnsi="仿宋" w:eastAsia="仿宋" w:cs="仿宋"/>
          <w:sz w:val="32"/>
          <w:szCs w:val="32"/>
        </w:rPr>
        <w:t>负责本辖区范围内妇产保健、妇女保健、儿童保健等妇幼保健和妇女儿童常见病防治工作；负责计划生育技术服务相关工作；落实妇幼重大公共卫生服务项目和基本公共卫生服务项目，承担孕前优生健康检查项目等工作；负责村级卫生计划生育服务人员业务培训、指导工作。目前开展了常见病、多发病、突发病等的诊治及预防保健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p>
    <w:p>
      <w:pPr>
        <w:spacing w:line="450" w:lineRule="atLeast"/>
        <w:ind w:firstLine="600"/>
        <w:rPr>
          <w:rFonts w:ascii="仿宋" w:hAnsi="仿宋" w:eastAsia="仿宋" w:cs="仿宋"/>
          <w:sz w:val="32"/>
          <w:szCs w:val="32"/>
        </w:rPr>
      </w:pPr>
      <w:r>
        <w:rPr>
          <w:rFonts w:hint="eastAsia" w:ascii="仿宋" w:hAnsi="仿宋" w:eastAsia="仿宋" w:cs="仿宋"/>
          <w:sz w:val="32"/>
          <w:szCs w:val="32"/>
        </w:rPr>
        <w:t>一是基本公共卫生和家庭医生签约服务及扶贫工作；二是狠抓医疗服务工作质量；三是继续加强中央</w:t>
      </w:r>
      <w:bookmarkStart w:id="70" w:name="_GoBack"/>
      <w:bookmarkEnd w:id="70"/>
      <w:r>
        <w:rPr>
          <w:rFonts w:hint="eastAsia" w:ascii="仿宋" w:hAnsi="仿宋" w:eastAsia="仿宋" w:cs="仿宋"/>
          <w:sz w:val="32"/>
          <w:szCs w:val="32"/>
        </w:rPr>
        <w:t>八项规定，规范医疗行为，提升职工的综合素质，提升医院形象，忠实践行“全心全意为人民服务”的宗旨。</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宣汉县黄石乡卫生院属一级预算公益一类事业单位。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年度收入总计</w:t>
      </w:r>
      <w:r>
        <w:rPr>
          <w:rFonts w:hint="eastAsia" w:ascii="仿宋" w:hAnsi="仿宋" w:eastAsia="仿宋"/>
          <w:color w:val="000000"/>
          <w:sz w:val="32"/>
          <w:szCs w:val="32"/>
          <w:lang w:val="en-US" w:eastAsia="zh-CN"/>
        </w:rPr>
        <w:t>349.39</w:t>
      </w:r>
      <w:r>
        <w:rPr>
          <w:rFonts w:hint="eastAsia" w:ascii="仿宋" w:hAnsi="仿宋" w:eastAsia="仿宋"/>
          <w:color w:val="000000"/>
          <w:sz w:val="32"/>
          <w:szCs w:val="32"/>
        </w:rPr>
        <w:t>万元、支出总计</w:t>
      </w:r>
      <w:r>
        <w:rPr>
          <w:rFonts w:hint="eastAsia" w:ascii="仿宋" w:hAnsi="仿宋" w:eastAsia="仿宋"/>
          <w:color w:val="000000"/>
          <w:sz w:val="32"/>
          <w:szCs w:val="32"/>
          <w:lang w:val="en-US" w:eastAsia="zh-CN"/>
        </w:rPr>
        <w:t>349.39</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年相比，收入总计减少</w:t>
      </w:r>
      <w:r>
        <w:rPr>
          <w:rFonts w:hint="eastAsia" w:ascii="仿宋" w:hAnsi="仿宋" w:eastAsia="仿宋"/>
          <w:color w:val="000000"/>
          <w:sz w:val="32"/>
          <w:szCs w:val="32"/>
          <w:lang w:val="en-US" w:eastAsia="zh-CN"/>
        </w:rPr>
        <w:t>23.65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6.34</w:t>
      </w:r>
      <w:r>
        <w:rPr>
          <w:rFonts w:hint="eastAsia" w:ascii="仿宋" w:hAnsi="仿宋" w:eastAsia="仿宋"/>
          <w:color w:val="000000"/>
          <w:sz w:val="32"/>
          <w:szCs w:val="32"/>
        </w:rPr>
        <w:t>%，主要原因是医疗业务收入收费比上年减少；支出总计减少</w:t>
      </w:r>
      <w:r>
        <w:rPr>
          <w:rFonts w:hint="eastAsia" w:ascii="仿宋" w:hAnsi="仿宋" w:eastAsia="仿宋"/>
          <w:color w:val="000000"/>
          <w:sz w:val="32"/>
          <w:szCs w:val="32"/>
          <w:lang w:val="en-US" w:eastAsia="zh-CN"/>
        </w:rPr>
        <w:t>18.65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5.07</w:t>
      </w:r>
      <w:r>
        <w:rPr>
          <w:rFonts w:ascii="仿宋" w:hAnsi="仿宋" w:eastAsia="仿宋"/>
          <w:color w:val="000000"/>
          <w:sz w:val="32"/>
          <w:szCs w:val="32"/>
        </w:rPr>
        <w:t>%</w:t>
      </w:r>
      <w:r>
        <w:rPr>
          <w:rFonts w:hint="eastAsia" w:ascii="仿宋" w:hAnsi="仿宋" w:eastAsia="仿宋"/>
          <w:color w:val="000000"/>
          <w:sz w:val="32"/>
          <w:szCs w:val="32"/>
        </w:rPr>
        <w:t>，主要变动原因上是由于上年因医疗业务收入收费比今年多，同时医疗业务成本支出增加。</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仿宋" w:hAnsi="仿宋" w:eastAsia="仿宋"/>
          <w:color w:val="000000" w:themeColor="text1"/>
          <w:sz w:val="32"/>
          <w:szCs w:val="32"/>
          <w14:textFill>
            <w14:solidFill>
              <w14:schemeClr w14:val="tx1"/>
            </w14:solidFill>
          </w14:textFill>
        </w:rPr>
      </w:pPr>
      <w:r>
        <w:drawing>
          <wp:inline distT="0" distB="0" distL="114300" distR="114300">
            <wp:extent cx="4648200" cy="2752725"/>
            <wp:effectExtent l="0" t="0" r="0" b="952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6"/>
                    <a:stretch>
                      <a:fillRect/>
                    </a:stretch>
                  </pic:blipFill>
                  <pic:spPr>
                    <a:xfrm>
                      <a:off x="0" y="0"/>
                      <a:ext cx="4648200" cy="2752725"/>
                    </a:xfrm>
                    <a:prstGeom prst="rect">
                      <a:avLst/>
                    </a:prstGeom>
                    <a:noFill/>
                    <a:ln>
                      <a:noFill/>
                    </a:ln>
                  </pic:spPr>
                </pic:pic>
              </a:graphicData>
            </a:graphic>
          </wp:inline>
        </w:drawing>
      </w:r>
    </w:p>
    <w:p>
      <w:pPr>
        <w:spacing w:line="600" w:lineRule="exact"/>
        <w:ind w:firstLine="1600" w:firstLineChars="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rPr>
          <w:rFonts w:hint="eastAsia"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w:t>
      </w:r>
      <w:r>
        <w:rPr>
          <w:rFonts w:hint="eastAsia" w:ascii="仿宋" w:hAnsi="仿宋" w:eastAsia="仿宋"/>
          <w:sz w:val="32"/>
          <w:szCs w:val="32"/>
        </w:rPr>
        <w:t>收入合计</w:t>
      </w:r>
      <w:r>
        <w:rPr>
          <w:rFonts w:hint="eastAsia" w:ascii="仿宋" w:hAnsi="仿宋" w:eastAsia="仿宋"/>
          <w:sz w:val="32"/>
          <w:szCs w:val="32"/>
          <w:lang w:val="en-US" w:eastAsia="zh-CN"/>
        </w:rPr>
        <w:t>349.39</w:t>
      </w:r>
      <w:r>
        <w:rPr>
          <w:rFonts w:hint="eastAsia" w:ascii="仿宋" w:hAnsi="仿宋" w:eastAsia="仿宋"/>
          <w:sz w:val="32"/>
          <w:szCs w:val="32"/>
        </w:rPr>
        <w:t>万元，其中：财政拨款收入</w:t>
      </w:r>
      <w:r>
        <w:rPr>
          <w:rFonts w:hint="eastAsia" w:ascii="仿宋" w:hAnsi="仿宋" w:eastAsia="仿宋"/>
          <w:sz w:val="32"/>
          <w:szCs w:val="32"/>
          <w:lang w:val="en-US" w:eastAsia="zh-CN"/>
        </w:rPr>
        <w:t>143.76</w:t>
      </w:r>
      <w:r>
        <w:rPr>
          <w:rFonts w:hint="eastAsia" w:ascii="仿宋" w:hAnsi="仿宋" w:eastAsia="仿宋"/>
          <w:sz w:val="32"/>
          <w:szCs w:val="32"/>
        </w:rPr>
        <w:t>万元，占</w:t>
      </w:r>
      <w:r>
        <w:rPr>
          <w:rFonts w:hint="eastAsia" w:ascii="仿宋" w:hAnsi="仿宋" w:eastAsia="仿宋"/>
          <w:sz w:val="32"/>
          <w:szCs w:val="32"/>
          <w:lang w:val="en-US" w:eastAsia="zh-CN"/>
        </w:rPr>
        <w:t>41</w:t>
      </w:r>
      <w:r>
        <w:rPr>
          <w:rFonts w:hint="eastAsia" w:ascii="仿宋" w:hAnsi="仿宋" w:eastAsia="仿宋"/>
          <w:sz w:val="32"/>
          <w:szCs w:val="32"/>
        </w:rPr>
        <w:t>%；事业收入</w:t>
      </w:r>
      <w:r>
        <w:rPr>
          <w:rFonts w:hint="eastAsia" w:ascii="仿宋" w:hAnsi="仿宋" w:eastAsia="仿宋"/>
          <w:sz w:val="32"/>
          <w:szCs w:val="32"/>
          <w:lang w:val="en-US" w:eastAsia="zh-CN"/>
        </w:rPr>
        <w:t>205.63</w:t>
      </w:r>
      <w:r>
        <w:rPr>
          <w:rFonts w:hint="eastAsia" w:ascii="仿宋" w:hAnsi="仿宋" w:eastAsia="仿宋"/>
          <w:sz w:val="32"/>
          <w:szCs w:val="32"/>
        </w:rPr>
        <w:t>万元，占</w:t>
      </w:r>
      <w:r>
        <w:rPr>
          <w:rFonts w:hint="eastAsia" w:ascii="仿宋" w:hAnsi="仿宋" w:eastAsia="仿宋"/>
          <w:sz w:val="32"/>
          <w:szCs w:val="32"/>
          <w:lang w:val="en-US" w:eastAsia="zh-CN"/>
        </w:rPr>
        <w:t>59</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drawing>
          <wp:inline distT="0" distB="0" distL="114300" distR="114300">
            <wp:extent cx="4686300" cy="2857500"/>
            <wp:effectExtent l="0" t="0" r="0" b="0"/>
            <wp:docPr id="11"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true"/>
                    </pic:cNvPicPr>
                  </pic:nvPicPr>
                  <pic:blipFill>
                    <a:blip r:embed="rId7"/>
                    <a:stretch>
                      <a:fillRect/>
                    </a:stretch>
                  </pic:blipFill>
                  <pic:spPr>
                    <a:xfrm>
                      <a:off x="0" y="0"/>
                      <a:ext cx="4686300" cy="2857500"/>
                    </a:xfrm>
                    <a:prstGeom prst="rect">
                      <a:avLst/>
                    </a:prstGeom>
                    <a:noFill/>
                    <a:ln>
                      <a:noFill/>
                    </a:ln>
                  </pic:spPr>
                </pic:pic>
              </a:graphicData>
            </a:graphic>
          </wp:inline>
        </w:drawing>
      </w:r>
    </w:p>
    <w:p>
      <w:pPr>
        <w:spacing w:line="600" w:lineRule="exact"/>
        <w:ind w:firstLine="1920" w:firstLineChars="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349.39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349.39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本年没有</w:t>
      </w: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r>
        <w:drawing>
          <wp:inline distT="0" distB="0" distL="114300" distR="114300">
            <wp:extent cx="4657725" cy="2800350"/>
            <wp:effectExtent l="0" t="0" r="9525" b="0"/>
            <wp:docPr id="12"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true"/>
                    </pic:cNvPicPr>
                  </pic:nvPicPr>
                  <pic:blipFill>
                    <a:blip r:embed="rId8"/>
                    <a:stretch>
                      <a:fillRect/>
                    </a:stretch>
                  </pic:blipFill>
                  <pic:spPr>
                    <a:xfrm>
                      <a:off x="0" y="0"/>
                      <a:ext cx="4657725" cy="2800350"/>
                    </a:xfrm>
                    <a:prstGeom prst="rect">
                      <a:avLst/>
                    </a:prstGeom>
                    <a:noFill/>
                    <a:ln>
                      <a:noFill/>
                    </a:ln>
                  </pic:spPr>
                </pic:pic>
              </a:graphicData>
            </a:graphic>
          </wp:inline>
        </w:drawing>
      </w:r>
    </w:p>
    <w:p>
      <w:pPr>
        <w:spacing w:line="600" w:lineRule="exact"/>
        <w:ind w:firstLine="1920" w:firstLineChars="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auto"/>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年财政拨款收入总计</w:t>
      </w:r>
      <w:r>
        <w:rPr>
          <w:rFonts w:hint="eastAsia" w:ascii="仿宋" w:hAnsi="仿宋" w:eastAsia="仿宋"/>
          <w:color w:val="000000"/>
          <w:sz w:val="32"/>
          <w:szCs w:val="32"/>
          <w:lang w:val="en-US" w:eastAsia="zh-CN"/>
        </w:rPr>
        <w:t>143.76</w:t>
      </w:r>
      <w:r>
        <w:rPr>
          <w:rFonts w:hint="eastAsia" w:ascii="仿宋" w:hAnsi="仿宋" w:eastAsia="仿宋"/>
          <w:color w:val="000000"/>
          <w:sz w:val="32"/>
          <w:szCs w:val="32"/>
        </w:rPr>
        <w:t>万元</w:t>
      </w:r>
      <w:r>
        <w:rPr>
          <w:rFonts w:hint="eastAsia" w:ascii="仿宋" w:hAnsi="仿宋" w:eastAsia="仿宋"/>
          <w:sz w:val="32"/>
          <w:szCs w:val="32"/>
        </w:rPr>
        <w:t>，与201</w:t>
      </w:r>
      <w:r>
        <w:rPr>
          <w:rFonts w:hint="eastAsia" w:ascii="仿宋" w:hAnsi="仿宋" w:eastAsia="仿宋"/>
          <w:sz w:val="32"/>
          <w:szCs w:val="32"/>
          <w:lang w:val="en-US" w:eastAsia="zh-CN"/>
        </w:rPr>
        <w:t>8</w:t>
      </w:r>
      <w:r>
        <w:rPr>
          <w:rFonts w:hint="eastAsia" w:ascii="仿宋" w:hAnsi="仿宋" w:eastAsia="仿宋"/>
          <w:sz w:val="32"/>
          <w:szCs w:val="32"/>
        </w:rPr>
        <w:t>年相比</w:t>
      </w:r>
      <w:r>
        <w:rPr>
          <w:rFonts w:hint="eastAsia" w:ascii="仿宋" w:hAnsi="仿宋" w:eastAsia="仿宋"/>
          <w:sz w:val="32"/>
          <w:szCs w:val="32"/>
          <w:lang w:eastAsia="zh-CN"/>
        </w:rPr>
        <w:t>增加了</w:t>
      </w:r>
      <w:r>
        <w:rPr>
          <w:rFonts w:hint="eastAsia" w:ascii="仿宋" w:hAnsi="仿宋" w:eastAsia="仿宋"/>
          <w:sz w:val="32"/>
          <w:szCs w:val="32"/>
          <w:lang w:val="en-US" w:eastAsia="zh-CN"/>
        </w:rPr>
        <w:t>41.44万元</w:t>
      </w:r>
      <w:r>
        <w:rPr>
          <w:rFonts w:hint="eastAsia" w:ascii="仿宋" w:hAnsi="仿宋" w:eastAsia="仿宋"/>
          <w:sz w:val="32"/>
          <w:szCs w:val="32"/>
        </w:rPr>
        <w:t>，</w:t>
      </w:r>
      <w:r>
        <w:rPr>
          <w:rFonts w:hint="eastAsia" w:ascii="仿宋" w:hAnsi="仿宋" w:eastAsia="仿宋"/>
          <w:sz w:val="32"/>
          <w:szCs w:val="32"/>
          <w:lang w:eastAsia="zh-CN"/>
        </w:rPr>
        <w:t>增长了</w:t>
      </w:r>
      <w:r>
        <w:rPr>
          <w:rFonts w:hint="eastAsia" w:ascii="仿宋" w:hAnsi="仿宋" w:eastAsia="仿宋"/>
          <w:sz w:val="32"/>
          <w:szCs w:val="32"/>
          <w:lang w:val="en-US" w:eastAsia="zh-CN"/>
        </w:rPr>
        <w:t>40.5</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年支出总计</w:t>
      </w:r>
      <w:r>
        <w:rPr>
          <w:rFonts w:hint="eastAsia" w:ascii="仿宋" w:hAnsi="仿宋" w:eastAsia="仿宋"/>
          <w:sz w:val="32"/>
          <w:szCs w:val="32"/>
          <w:lang w:val="en-US" w:eastAsia="zh-CN"/>
        </w:rPr>
        <w:t>143.76</w:t>
      </w:r>
      <w:r>
        <w:rPr>
          <w:rFonts w:hint="eastAsia" w:ascii="仿宋" w:hAnsi="仿宋" w:eastAsia="仿宋"/>
          <w:sz w:val="32"/>
          <w:szCs w:val="32"/>
        </w:rPr>
        <w:t>万元.与201</w:t>
      </w:r>
      <w:r>
        <w:rPr>
          <w:rFonts w:hint="eastAsia" w:ascii="仿宋" w:hAnsi="仿宋" w:eastAsia="仿宋"/>
          <w:sz w:val="32"/>
          <w:szCs w:val="32"/>
          <w:lang w:val="en-US" w:eastAsia="zh-CN"/>
        </w:rPr>
        <w:t>8</w:t>
      </w:r>
      <w:r>
        <w:rPr>
          <w:rFonts w:hint="eastAsia" w:ascii="仿宋" w:hAnsi="仿宋" w:eastAsia="仿宋"/>
          <w:sz w:val="32"/>
          <w:szCs w:val="32"/>
        </w:rPr>
        <w:t>年相比</w:t>
      </w:r>
      <w:r>
        <w:rPr>
          <w:rFonts w:hint="eastAsia" w:ascii="仿宋" w:hAnsi="仿宋" w:eastAsia="仿宋"/>
          <w:sz w:val="32"/>
          <w:szCs w:val="32"/>
          <w:lang w:eastAsia="zh-CN"/>
        </w:rPr>
        <w:t>增长了</w:t>
      </w:r>
      <w:r>
        <w:rPr>
          <w:rFonts w:hint="eastAsia" w:ascii="仿宋" w:hAnsi="仿宋" w:eastAsia="仿宋"/>
          <w:sz w:val="32"/>
          <w:szCs w:val="32"/>
          <w:lang w:val="en-US" w:eastAsia="zh-CN"/>
        </w:rPr>
        <w:t>41.44</w:t>
      </w:r>
      <w:r>
        <w:rPr>
          <w:rFonts w:hint="eastAsia" w:ascii="仿宋" w:hAnsi="仿宋" w:eastAsia="仿宋"/>
          <w:sz w:val="32"/>
          <w:szCs w:val="32"/>
        </w:rPr>
        <w:t>万元，</w:t>
      </w:r>
      <w:r>
        <w:rPr>
          <w:rFonts w:hint="eastAsia" w:ascii="仿宋" w:hAnsi="仿宋" w:eastAsia="仿宋"/>
          <w:sz w:val="32"/>
          <w:szCs w:val="32"/>
          <w:lang w:eastAsia="zh-CN"/>
        </w:rPr>
        <w:t>增长了</w:t>
      </w:r>
      <w:r>
        <w:rPr>
          <w:rFonts w:hint="eastAsia" w:ascii="仿宋" w:hAnsi="仿宋" w:eastAsia="仿宋"/>
          <w:sz w:val="32"/>
          <w:szCs w:val="32"/>
          <w:lang w:val="en-US" w:eastAsia="zh-CN"/>
        </w:rPr>
        <w:t>40.5</w:t>
      </w:r>
      <w:r>
        <w:rPr>
          <w:rFonts w:hint="eastAsia" w:ascii="仿宋" w:hAnsi="仿宋" w:eastAsia="仿宋"/>
          <w:sz w:val="32"/>
          <w:szCs w:val="32"/>
        </w:rPr>
        <w:t>%。</w:t>
      </w:r>
      <w:r>
        <w:rPr>
          <w:rFonts w:hint="eastAsia" w:ascii="仿宋" w:hAnsi="仿宋" w:eastAsia="仿宋"/>
          <w:color w:val="auto"/>
          <w:sz w:val="32"/>
          <w:szCs w:val="32"/>
        </w:rPr>
        <w:t>主要变动是财政部分预算指标列入下年滚动安排。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ascii="仿宋" w:hAnsi="仿宋" w:eastAsia="仿宋"/>
          <w:color w:val="000000" w:themeColor="text1"/>
          <w:sz w:val="32"/>
          <w:szCs w:val="32"/>
          <w14:textFill>
            <w14:solidFill>
              <w14:schemeClr w14:val="tx1"/>
            </w14:solidFill>
          </w14:textFill>
        </w:rPr>
      </w:pPr>
      <w:r>
        <w:drawing>
          <wp:inline distT="0" distB="0" distL="114300" distR="114300">
            <wp:extent cx="4695825" cy="2743200"/>
            <wp:effectExtent l="0" t="0" r="9525" b="0"/>
            <wp:docPr id="13"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true"/>
                    </pic:cNvPicPr>
                  </pic:nvPicPr>
                  <pic:blipFill>
                    <a:blip r:embed="rId9"/>
                    <a:stretch>
                      <a:fillRect/>
                    </a:stretch>
                  </pic:blipFill>
                  <pic:spPr>
                    <a:xfrm>
                      <a:off x="0" y="0"/>
                      <a:ext cx="4695825" cy="2743200"/>
                    </a:xfrm>
                    <a:prstGeom prst="rect">
                      <a:avLst/>
                    </a:prstGeom>
                    <a:noFill/>
                    <a:ln>
                      <a:noFill/>
                    </a:ln>
                  </pic:spPr>
                </pic:pic>
              </a:graphicData>
            </a:graphic>
          </wp:inline>
        </w:drawing>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auto"/>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143.76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41.15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增长了</w:t>
      </w:r>
      <w:r>
        <w:rPr>
          <w:rFonts w:hint="eastAsia" w:ascii="仿宋" w:hAnsi="仿宋" w:eastAsia="仿宋"/>
          <w:color w:val="000000"/>
          <w:sz w:val="32"/>
          <w:szCs w:val="32"/>
          <w:lang w:val="en-US" w:eastAsia="zh-CN"/>
        </w:rPr>
        <w:t>41.44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增长率</w:t>
      </w:r>
      <w:r>
        <w:rPr>
          <w:rFonts w:hint="eastAsia" w:ascii="仿宋" w:hAnsi="仿宋" w:eastAsia="仿宋"/>
          <w:color w:val="000000"/>
          <w:sz w:val="32"/>
          <w:szCs w:val="32"/>
          <w:lang w:val="en-US" w:eastAsia="zh-CN"/>
        </w:rPr>
        <w:t>40.5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rPr>
        <w:t>主要变动原因是财政部分预算指标列入下年滚动安排</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lang w:val="en-US" w:eastAsia="zh-CN"/>
        </w:rPr>
        <w:t xml:space="preserve">       </w:t>
      </w:r>
      <w:r>
        <w:drawing>
          <wp:inline distT="0" distB="0" distL="114300" distR="114300">
            <wp:extent cx="4667250" cy="2790825"/>
            <wp:effectExtent l="0" t="0" r="0" b="952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0"/>
                    <a:stretch>
                      <a:fillRect/>
                    </a:stretch>
                  </pic:blipFill>
                  <pic:spPr>
                    <a:xfrm>
                      <a:off x="0" y="0"/>
                      <a:ext cx="4667250" cy="2790825"/>
                    </a:xfrm>
                    <a:prstGeom prst="rect">
                      <a:avLst/>
                    </a:prstGeom>
                    <a:noFill/>
                    <a:ln>
                      <a:noFill/>
                    </a:ln>
                  </pic:spPr>
                </pic:pic>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143.76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卫生健康</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143.76</w:t>
      </w:r>
      <w:r>
        <w:rPr>
          <w:rFonts w:hint="eastAsia" w:ascii="仿宋" w:hAnsi="仿宋" w:eastAsia="仿宋"/>
          <w:color w:val="000000" w:themeColor="text1"/>
          <w:sz w:val="32"/>
          <w:szCs w:val="32"/>
          <w14:textFill>
            <w14:solidFill>
              <w14:schemeClr w14:val="tx1"/>
            </w14:solidFill>
          </w14:textFill>
        </w:rPr>
        <w:t>万元，占100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olor w:val="000000"/>
          <w:sz w:val="32"/>
          <w:szCs w:val="32"/>
        </w:rPr>
      </w:pPr>
      <w:r>
        <w:rPr>
          <w:rFonts w:hint="eastAsia"/>
          <w:lang w:val="en-US" w:eastAsia="zh-CN"/>
        </w:rPr>
        <w:t xml:space="preserve">       </w:t>
      </w:r>
      <w:r>
        <w:drawing>
          <wp:inline distT="0" distB="0" distL="114300" distR="114300">
            <wp:extent cx="4667250" cy="2800350"/>
            <wp:effectExtent l="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1"/>
                    <a:stretch>
                      <a:fillRect/>
                    </a:stretch>
                  </pic:blipFill>
                  <pic:spPr>
                    <a:xfrm>
                      <a:off x="0" y="0"/>
                      <a:ext cx="4667250" cy="2800350"/>
                    </a:xfrm>
                    <a:prstGeom prst="rect">
                      <a:avLst/>
                    </a:prstGeom>
                    <a:noFill/>
                    <a:ln>
                      <a:noFill/>
                    </a:ln>
                  </pic:spPr>
                </pic:pic>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年一般公共预算支出决算数为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143.76</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lang w:eastAsia="zh-CN"/>
        </w:rPr>
        <w:t>社会保障和就业支出（类）行政事业单位离退休（款）其他行政事业单位离退休支出（项）：</w:t>
      </w:r>
      <w:r>
        <w:rPr>
          <w:rStyle w:val="14"/>
          <w:rFonts w:hint="eastAsia" w:ascii="仿宋" w:hAnsi="仿宋" w:eastAsia="仿宋"/>
          <w:b w:val="0"/>
          <w:bCs w:val="0"/>
          <w:color w:val="000000"/>
          <w:sz w:val="32"/>
          <w:szCs w:val="32"/>
          <w:lang w:eastAsia="zh-CN"/>
        </w:rPr>
        <w:t>支出决算</w:t>
      </w:r>
      <w:r>
        <w:rPr>
          <w:rStyle w:val="14"/>
          <w:rFonts w:hint="eastAsia" w:ascii="仿宋" w:hAnsi="仿宋" w:eastAsia="仿宋"/>
          <w:b w:val="0"/>
          <w:bCs w:val="0"/>
          <w:color w:val="000000"/>
          <w:sz w:val="32"/>
          <w:szCs w:val="32"/>
          <w:lang w:val="en-US" w:eastAsia="zh-CN"/>
        </w:rPr>
        <w:t>0.20万元，完成预算100%；</w:t>
      </w:r>
      <w:r>
        <w:rPr>
          <w:rStyle w:val="14"/>
          <w:rFonts w:hint="eastAsia" w:ascii="仿宋" w:hAnsi="仿宋" w:eastAsia="仿宋"/>
          <w:bCs/>
          <w:color w:val="000000"/>
          <w:sz w:val="32"/>
          <w:szCs w:val="32"/>
          <w:lang w:eastAsia="zh-CN"/>
        </w:rPr>
        <w:t>卫生健康支出</w:t>
      </w:r>
      <w:r>
        <w:rPr>
          <w:rStyle w:val="14"/>
          <w:rFonts w:hint="eastAsia" w:ascii="仿宋" w:hAnsi="仿宋" w:eastAsia="仿宋"/>
          <w:bCs/>
          <w:color w:val="000000"/>
          <w:sz w:val="32"/>
          <w:szCs w:val="32"/>
        </w:rPr>
        <w:t>（类）基层医疗卫生机构（款）乡镇卫生院（项）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50.39</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其他医疗卫生机构支出（项）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21.08</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公共卫生（款）基本公共卫生服务（项）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71.98</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w:t>
      </w:r>
      <w:r>
        <w:rPr>
          <w:rStyle w:val="14"/>
          <w:rFonts w:hint="eastAsia" w:ascii="仿宋" w:hAnsi="仿宋" w:eastAsia="仿宋"/>
          <w:b w:val="0"/>
          <w:bCs/>
          <w:color w:val="000000"/>
          <w:sz w:val="32"/>
          <w:szCs w:val="32"/>
          <w:lang w:val="en-US" w:eastAsia="zh-CN"/>
        </w:rPr>
        <w:t>11</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5"/>
        <w:rPr>
          <w:rFonts w:ascii="仿宋" w:hAnsi="仿宋" w:eastAsia="仿宋"/>
          <w:color w:val="000000"/>
          <w:sz w:val="32"/>
          <w:szCs w:val="32"/>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bookmarkEnd w:id="40"/>
      <w:bookmarkEnd w:id="41"/>
      <w:r>
        <w:rPr>
          <w:rFonts w:hint="eastAsia" w:ascii="宋体" w:hAnsi="宋体" w:eastAsia="宋体" w:cs="宋体"/>
          <w:b w:val="0"/>
          <w:bCs/>
          <w:color w:val="000000"/>
          <w:sz w:val="32"/>
          <w:szCs w:val="32"/>
          <w:lang w:val="en-US" w:eastAsia="zh-CN"/>
        </w:rPr>
        <w:t>2019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143.76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63.47</w:t>
      </w:r>
      <w:r>
        <w:rPr>
          <w:rFonts w:hint="eastAsia" w:ascii="仿宋" w:hAnsi="仿宋" w:eastAsia="仿宋"/>
          <w:color w:val="000000"/>
          <w:sz w:val="32"/>
          <w:szCs w:val="32"/>
        </w:rPr>
        <w:t>万元，主要包括：基本工资、绩效工资、</w:t>
      </w:r>
      <w:r>
        <w:rPr>
          <w:rFonts w:hint="eastAsia" w:ascii="仿宋" w:hAnsi="仿宋" w:eastAsia="仿宋"/>
          <w:color w:val="000000"/>
          <w:sz w:val="32"/>
          <w:szCs w:val="32"/>
          <w:lang w:eastAsia="zh-CN"/>
        </w:rPr>
        <w:t>职工基本医疗</w:t>
      </w:r>
      <w:r>
        <w:rPr>
          <w:rFonts w:hint="eastAsia" w:ascii="仿宋" w:hAnsi="仿宋" w:eastAsia="仿宋"/>
          <w:color w:val="000000"/>
          <w:sz w:val="32"/>
          <w:szCs w:val="32"/>
        </w:rPr>
        <w:t>保险缴费、其他社会保障缴费、生活补助</w:t>
      </w:r>
      <w:r>
        <w:rPr>
          <w:rFonts w:hint="eastAsia" w:ascii="仿宋" w:hAnsi="仿宋" w:eastAsia="仿宋"/>
          <w:color w:val="000000"/>
          <w:sz w:val="32"/>
          <w:szCs w:val="32"/>
          <w:lang w:eastAsia="zh-CN"/>
        </w:rPr>
        <w:t>，目标考核奖励支出等</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80.29</w:t>
      </w:r>
      <w:r>
        <w:rPr>
          <w:rFonts w:hint="eastAsia" w:ascii="仿宋" w:hAnsi="仿宋" w:eastAsia="仿宋"/>
          <w:color w:val="000000"/>
          <w:sz w:val="32"/>
          <w:szCs w:val="32"/>
        </w:rPr>
        <w:t>万元，主要包括：办公费、印刷费、电费、</w:t>
      </w:r>
      <w:r>
        <w:rPr>
          <w:rFonts w:hint="eastAsia" w:ascii="仿宋" w:hAnsi="仿宋" w:eastAsia="仿宋"/>
          <w:color w:val="000000"/>
          <w:sz w:val="32"/>
          <w:szCs w:val="32"/>
          <w:lang w:eastAsia="zh-CN"/>
        </w:rPr>
        <w:t>邮电费、</w:t>
      </w:r>
      <w:r>
        <w:rPr>
          <w:rFonts w:hint="eastAsia" w:ascii="仿宋" w:hAnsi="仿宋" w:eastAsia="仿宋"/>
          <w:color w:val="000000"/>
          <w:sz w:val="32"/>
          <w:szCs w:val="32"/>
        </w:rPr>
        <w:t>差旅费、专用材料费、劳务费、公务用车运行费、</w:t>
      </w:r>
      <w:r>
        <w:rPr>
          <w:rFonts w:hint="eastAsia" w:ascii="仿宋" w:hAnsi="仿宋" w:eastAsia="仿宋"/>
          <w:color w:val="000000"/>
          <w:sz w:val="32"/>
          <w:szCs w:val="32"/>
          <w:lang w:eastAsia="zh-CN"/>
        </w:rPr>
        <w:t>其他交通费用等</w:t>
      </w:r>
      <w:r>
        <w:rPr>
          <w:rFonts w:hint="eastAsia" w:ascii="仿宋" w:hAnsi="仿宋" w:eastAsia="仿宋"/>
          <w:color w:val="000000"/>
          <w:sz w:val="32"/>
          <w:szCs w:val="32"/>
        </w:rPr>
        <w:t>。</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 “三公”经费财政拨款支出中公务用车运行费为医疗服务和基本公共卫生服务应急车辆运行维护费1.2万元。</w:t>
      </w:r>
    </w:p>
    <w:p>
      <w:pPr>
        <w:spacing w:line="600" w:lineRule="exact"/>
        <w:ind w:firstLine="640"/>
        <w:outlineLvl w:val="1"/>
        <w:rPr>
          <w:rStyle w:val="25"/>
          <w:rFonts w:ascii="黑体" w:hAnsi="黑体" w:eastAsia="黑体"/>
        </w:rPr>
      </w:pPr>
      <w:bookmarkStart w:id="45" w:name="_Toc15396610"/>
      <w:bookmarkStart w:id="46"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黄石乡卫生院</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年没有政府性基金预算拨款支出。</w:t>
      </w:r>
    </w:p>
    <w:p>
      <w:pPr>
        <w:numPr>
          <w:ilvl w:val="0"/>
          <w:numId w:val="2"/>
        </w:numPr>
        <w:spacing w:line="600" w:lineRule="exact"/>
        <w:ind w:firstLine="640"/>
        <w:outlineLvl w:val="1"/>
        <w:rPr>
          <w:rStyle w:val="25"/>
          <w:rFonts w:ascii="黑体" w:hAnsi="黑体" w:eastAsia="黑体"/>
          <w:b w:val="0"/>
        </w:rPr>
      </w:pPr>
      <w:bookmarkStart w:id="47" w:name="_Toc15377219"/>
      <w:bookmarkStart w:id="48" w:name="_Toc15396611"/>
      <w:r>
        <w:rPr>
          <w:rStyle w:val="25"/>
          <w:rFonts w:hint="eastAsia" w:ascii="黑体" w:hAnsi="黑体" w:eastAsia="黑体"/>
          <w:b w:val="0"/>
        </w:rPr>
        <w:t>国有资本经营预算支出决算情况说明</w:t>
      </w:r>
      <w:bookmarkEnd w:id="47"/>
      <w:bookmarkEnd w:id="48"/>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黄石乡卫生院</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年没有国有资本经营预算拨款支出。</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0"/>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年部门整体支出绩效评价情况开展自评，《宣汉县</w:t>
      </w:r>
      <w:r>
        <w:rPr>
          <w:rFonts w:hint="eastAsia" w:ascii="仿宋_GB2312" w:hAnsi="仿宋_GB2312" w:eastAsia="仿宋_GB2312" w:cs="仿宋_GB2312"/>
          <w:sz w:val="32"/>
          <w:szCs w:val="32"/>
          <w:lang w:eastAsia="zh-CN"/>
        </w:rPr>
        <w:t>黄石乡</w:t>
      </w:r>
      <w:r>
        <w:rPr>
          <w:rFonts w:hint="eastAsia" w:ascii="仿宋_GB2312" w:hAnsi="仿宋_GB2312" w:eastAsia="仿宋_GB2312" w:cs="仿宋_GB2312"/>
          <w:sz w:val="32"/>
          <w:szCs w:val="32"/>
        </w:rPr>
        <w:t>卫生院201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无专项预算项目，因此未组织开展项目支出绩效评价</w:t>
      </w:r>
      <w:r>
        <w:rPr>
          <w:rFonts w:hint="eastAsia" w:ascii="仿宋_GB2312" w:hAnsi="仿宋_GB2312" w:eastAsia="仿宋_GB2312" w:cs="仿宋_GB2312"/>
          <w:sz w:val="32"/>
          <w:szCs w:val="32"/>
          <w:lang w:eastAsia="zh-CN"/>
        </w:rPr>
        <w:t>。</w:t>
      </w:r>
    </w:p>
    <w:p>
      <w:pPr>
        <w:spacing w:line="600" w:lineRule="exact"/>
        <w:ind w:firstLine="800" w:firstLineChars="250"/>
        <w:outlineLvl w:val="1"/>
        <w:rPr>
          <w:rStyle w:val="25"/>
          <w:rFonts w:ascii="黑体" w:hAnsi="黑体" w:eastAsia="黑体"/>
        </w:rPr>
      </w:pPr>
      <w:bookmarkStart w:id="49" w:name="_Toc15377221"/>
      <w:bookmarkStart w:id="50"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9"/>
      <w:bookmarkEnd w:id="50"/>
      <w:bookmarkStart w:id="51" w:name="_Toc15396613"/>
      <w:bookmarkStart w:id="52" w:name="_Toc15377225"/>
    </w:p>
    <w:p>
      <w:pPr>
        <w:spacing w:line="600" w:lineRule="exact"/>
        <w:ind w:firstLine="800" w:firstLineChars="250"/>
        <w:outlineLvl w:val="1"/>
        <w:rPr>
          <w:rFonts w:ascii="黑体" w:hAnsi="黑体" w:eastAsia="黑体"/>
          <w:b/>
          <w:bCs/>
          <w:sz w:val="32"/>
          <w:szCs w:val="32"/>
        </w:rPr>
      </w:pPr>
      <w:r>
        <w:rPr>
          <w:rFonts w:hint="eastAsia" w:ascii="仿宋" w:hAnsi="仿宋" w:eastAsia="仿宋"/>
          <w:sz w:val="32"/>
          <w:szCs w:val="32"/>
        </w:rPr>
        <w:t>本说明数据来源于决算数据。决算数据从软件提取自动转换为万元，因四舍五入原因，说明中数据稍有逻辑出入。</w:t>
      </w:r>
    </w:p>
    <w:p>
      <w:pPr>
        <w:pStyle w:val="23"/>
        <w:spacing w:line="600" w:lineRule="exact"/>
        <w:ind w:left="420" w:firstLine="0" w:firstLineChars="0"/>
        <w:rPr>
          <w:rFonts w:ascii="仿宋" w:hAnsi="仿宋" w:eastAsia="仿宋"/>
          <w:sz w:val="32"/>
          <w:szCs w:val="32"/>
        </w:rPr>
      </w:pPr>
    </w:p>
    <w:p>
      <w:pPr>
        <w:numPr>
          <w:ilvl w:val="0"/>
          <w:numId w:val="4"/>
        </w:numPr>
        <w:spacing w:line="600" w:lineRule="exact"/>
        <w:ind w:firstLine="662" w:firstLineChars="150"/>
        <w:jc w:val="center"/>
        <w:outlineLvl w:val="0"/>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事业收入：指事业单位开展专业业务活动及辅助活动取得的收入。如医疗业务活动收入等。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其他收入：指单位取得的除上述收入以外的各项收入。主要是银行存款利息收入。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7、年末结转和结余：指单位按有关规定结转到下年或以后年度继续使用的资金。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（类）基层医疗卫生机构（款）乡镇卫生院（项）：指其他工资福利支出和退休人员、遗属生活补助；其他基层医疗卫生机构支出（项）：指基本药物制度补助经费。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（类）公共卫生（款）基本公共卫生服务（项）：指基本公共卫生服务补助资金；重大公共卫生专项（项）：指重大公共卫生服务补助资金。</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（类）行政事业单位医疗（款）事业单位医疗（项）：指退休人员补充医疗保险缴费。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rPr>
      </w:pPr>
      <w:bookmarkStart w:id="53" w:name="_Toc15377226"/>
      <w:r>
        <w:rPr>
          <w:rFonts w:ascii="宋体"/>
          <w:b/>
          <w:color w:val="000000"/>
          <w:sz w:val="44"/>
          <w:szCs w:val="44"/>
        </w:rPr>
        <w:br w:type="page"/>
      </w:r>
      <w:bookmarkStart w:id="54"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4"/>
    </w:p>
    <w:p>
      <w:pPr>
        <w:spacing w:line="600" w:lineRule="exact"/>
        <w:jc w:val="center"/>
        <w:outlineLvl w:val="0"/>
        <w:rPr>
          <w:rStyle w:val="24"/>
        </w:rPr>
      </w:pPr>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宣汉县黄石乡卫生院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宣汉县黄石乡卫生院属一级预算公益一类事业单位，201</w:t>
      </w:r>
      <w:r>
        <w:rPr>
          <w:rFonts w:hint="eastAsia" w:ascii="仿宋_GB2312" w:eastAsia="仿宋_GB2312"/>
          <w:sz w:val="32"/>
          <w:szCs w:val="32"/>
          <w:lang w:val="en-US" w:eastAsia="zh-CN"/>
        </w:rPr>
        <w:t>9</w:t>
      </w:r>
      <w:r>
        <w:rPr>
          <w:rFonts w:hint="eastAsia" w:ascii="仿宋_GB2312" w:eastAsia="仿宋_GB2312"/>
          <w:sz w:val="32"/>
          <w:szCs w:val="32"/>
        </w:rPr>
        <w:t>年度</w:t>
      </w:r>
      <w:r>
        <w:rPr>
          <w:rFonts w:hint="eastAsia" w:ascii="仿宋_GB2312" w:hAnsi="宋体" w:eastAsia="仿宋_GB2312" w:cs="宋体"/>
          <w:sz w:val="32"/>
          <w:szCs w:val="32"/>
        </w:rPr>
        <w:t>执行</w:t>
      </w:r>
      <w:r>
        <w:rPr>
          <w:rFonts w:hint="eastAsia" w:ascii="仿宋_GB2312" w:hAnsi="宋体" w:eastAsia="仿宋_GB2312" w:cs="宋体"/>
          <w:sz w:val="32"/>
          <w:szCs w:val="32"/>
          <w:lang w:eastAsia="zh-CN"/>
        </w:rPr>
        <w:t>政府</w:t>
      </w:r>
      <w:r>
        <w:rPr>
          <w:rFonts w:hint="eastAsia" w:ascii="仿宋_GB2312" w:hAnsi="宋体" w:eastAsia="仿宋_GB2312" w:cs="宋体"/>
          <w:sz w:val="32"/>
          <w:szCs w:val="32"/>
        </w:rPr>
        <w:t>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ind w:firstLine="627" w:firstLineChars="196"/>
        <w:rPr>
          <w:rFonts w:ascii="仿宋_GB2312" w:hAnsi="宋体" w:eastAsia="仿宋_GB2312"/>
          <w:sz w:val="32"/>
          <w:szCs w:val="32"/>
        </w:rPr>
      </w:pPr>
      <w:r>
        <w:rPr>
          <w:rFonts w:hint="eastAsia" w:ascii="仿宋_GB2312" w:hAnsi="宋体" w:eastAsia="仿宋_GB2312"/>
          <w:sz w:val="32"/>
          <w:szCs w:val="32"/>
        </w:rPr>
        <w:t>主要以基本公共卫生服务、一般医疗服务为主全面开展各项工作。卫生院设立了内科、外科、中医科、防保站、居民健康档案室、医保办公室等科室，设置了发热门诊、腹泻门诊；开展了检验、B超等辅助科室。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rPr>
        <w:t>黄石乡卫生院</w:t>
      </w:r>
      <w:r>
        <w:rPr>
          <w:rFonts w:hint="eastAsia" w:ascii="仿宋_GB2312" w:eastAsia="仿宋_GB2312"/>
          <w:sz w:val="32"/>
          <w:szCs w:val="32"/>
        </w:rPr>
        <w:t>核定编制数16人。</w:t>
      </w:r>
      <w:r>
        <w:rPr>
          <w:rFonts w:hint="eastAsia" w:ascii="仿宋_GB2312" w:hAnsi="宋体" w:eastAsia="仿宋_GB2312"/>
          <w:sz w:val="32"/>
          <w:szCs w:val="32"/>
        </w:rPr>
        <w:t>现有在职职工</w:t>
      </w:r>
      <w:r>
        <w:rPr>
          <w:rFonts w:hint="eastAsia" w:ascii="仿宋_GB2312" w:hAnsi="宋体" w:eastAsia="仿宋_GB2312"/>
          <w:sz w:val="32"/>
          <w:szCs w:val="32"/>
          <w:lang w:val="en-US" w:eastAsia="zh-CN"/>
        </w:rPr>
        <w:t>12</w:t>
      </w:r>
      <w:r>
        <w:rPr>
          <w:rFonts w:hint="eastAsia" w:ascii="仿宋_GB2312" w:hAnsi="宋体" w:eastAsia="仿宋_GB2312"/>
          <w:sz w:val="32"/>
          <w:szCs w:val="32"/>
        </w:rPr>
        <w:t>人，在编在职人员</w:t>
      </w:r>
      <w:r>
        <w:rPr>
          <w:rFonts w:hint="eastAsia" w:ascii="仿宋_GB2312" w:hAnsi="宋体" w:eastAsia="仿宋_GB2312"/>
          <w:sz w:val="32"/>
          <w:szCs w:val="32"/>
          <w:lang w:val="en-US" w:eastAsia="zh-CN"/>
        </w:rPr>
        <w:t>12</w:t>
      </w:r>
      <w:r>
        <w:rPr>
          <w:rFonts w:hint="eastAsia" w:ascii="仿宋_GB2312" w:hAnsi="宋体" w:eastAsia="仿宋_GB2312"/>
          <w:sz w:val="32"/>
          <w:szCs w:val="32"/>
        </w:rPr>
        <w:t xml:space="preserve">人，年末退休人员6人已纳入社会保障管理。 </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年财政拨款收入</w:t>
      </w:r>
      <w:r>
        <w:rPr>
          <w:rFonts w:hint="eastAsia" w:ascii="仿宋_GB2312" w:hAnsi="仿宋" w:eastAsia="仿宋_GB2312"/>
          <w:sz w:val="32"/>
          <w:szCs w:val="32"/>
          <w:lang w:val="en-US" w:eastAsia="zh-CN"/>
        </w:rPr>
        <w:t>143.76万元</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143.76万</w:t>
      </w:r>
      <w:r>
        <w:rPr>
          <w:rFonts w:hint="eastAsia" w:ascii="仿宋_GB2312" w:hAnsi="仿宋" w:eastAsia="仿宋_GB2312"/>
          <w:sz w:val="32"/>
          <w:szCs w:val="32"/>
        </w:rPr>
        <w:t>元，其中：基本公共卫生服务</w:t>
      </w:r>
      <w:r>
        <w:rPr>
          <w:rFonts w:hint="eastAsia" w:ascii="仿宋_GB2312" w:hAnsi="仿宋" w:eastAsia="仿宋_GB2312"/>
          <w:sz w:val="32"/>
          <w:szCs w:val="32"/>
          <w:lang w:val="en-US" w:eastAsia="zh-CN"/>
        </w:rPr>
        <w:t>71.98万</w:t>
      </w:r>
      <w:r>
        <w:rPr>
          <w:rFonts w:hint="eastAsia" w:ascii="仿宋_GB2312" w:hAnsi="仿宋" w:eastAsia="仿宋_GB2312"/>
          <w:sz w:val="32"/>
          <w:szCs w:val="32"/>
        </w:rPr>
        <w:t>元，退休人员补充医疗保险缴费支出0.</w:t>
      </w:r>
      <w:r>
        <w:rPr>
          <w:rFonts w:hint="eastAsia" w:ascii="仿宋_GB2312" w:hAnsi="仿宋" w:eastAsia="仿宋_GB2312"/>
          <w:sz w:val="32"/>
          <w:szCs w:val="32"/>
          <w:lang w:val="en-US" w:eastAsia="zh-CN"/>
        </w:rPr>
        <w:t>11万</w:t>
      </w:r>
      <w:r>
        <w:rPr>
          <w:rFonts w:hint="eastAsia" w:ascii="仿宋_GB2312" w:hAnsi="仿宋" w:eastAsia="仿宋_GB2312"/>
          <w:sz w:val="32"/>
          <w:szCs w:val="32"/>
        </w:rPr>
        <w:t>元，综合补助经费等支出</w:t>
      </w:r>
      <w:r>
        <w:rPr>
          <w:rFonts w:hint="eastAsia" w:ascii="仿宋_GB2312" w:hAnsi="仿宋" w:eastAsia="仿宋_GB2312"/>
          <w:sz w:val="32"/>
          <w:szCs w:val="32"/>
          <w:lang w:val="en-US" w:eastAsia="zh-CN"/>
        </w:rPr>
        <w:t>71.47万</w:t>
      </w:r>
      <w:r>
        <w:rPr>
          <w:rFonts w:hint="eastAsia" w:ascii="仿宋_GB2312" w:hAnsi="仿宋" w:eastAsia="仿宋_GB2312"/>
          <w:sz w:val="32"/>
          <w:szCs w:val="32"/>
        </w:rPr>
        <w:t>元</w:t>
      </w:r>
      <w:r>
        <w:rPr>
          <w:rFonts w:hint="eastAsia" w:ascii="仿宋_GB2312" w:hAnsi="仿宋" w:eastAsia="仿宋_GB2312"/>
          <w:sz w:val="32"/>
          <w:szCs w:val="32"/>
          <w:lang w:eastAsia="zh-CN"/>
        </w:rPr>
        <w:t>，行政事业单位离退休支出</w:t>
      </w:r>
      <w:r>
        <w:rPr>
          <w:rFonts w:hint="eastAsia" w:ascii="仿宋_GB2312" w:hAnsi="仿宋" w:eastAsia="仿宋_GB2312"/>
          <w:sz w:val="32"/>
          <w:szCs w:val="32"/>
          <w:lang w:val="en-US" w:eastAsia="zh-CN"/>
        </w:rPr>
        <w:t>0.2万元</w:t>
      </w:r>
      <w:r>
        <w:rPr>
          <w:rFonts w:hint="eastAsia" w:ascii="仿宋_GB2312" w:hAnsi="仿宋" w:eastAsia="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widowControl/>
        <w:adjustRightInd w:val="0"/>
        <w:snapToGrid w:val="0"/>
        <w:spacing w:line="579" w:lineRule="exact"/>
        <w:ind w:firstLine="720"/>
        <w:jc w:val="left"/>
        <w:rPr>
          <w:rFonts w:hint="eastAsia" w:ascii="仿宋" w:hAnsi="仿宋" w:eastAsia="仿宋" w:cs="仿宋"/>
          <w:b w:val="0"/>
          <w:bCs/>
          <w:color w:val="000000"/>
          <w:kern w:val="0"/>
          <w:sz w:val="32"/>
          <w:szCs w:val="32"/>
          <w:shd w:val="clear" w:color="auto" w:fill="FFFFFF"/>
          <w:lang w:val="en-US" w:eastAsia="zh-CN"/>
        </w:rPr>
      </w:pPr>
      <w:r>
        <w:rPr>
          <w:rFonts w:hint="eastAsia" w:ascii="仿宋_GB2312" w:hAnsi="宋体" w:eastAsia="仿宋_GB2312" w:cs="宋体"/>
          <w:sz w:val="32"/>
          <w:szCs w:val="32"/>
        </w:rPr>
        <w:t>201</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年度本单位一如既往重视决算管理，严格编制要求，科学编制预算，严格执行决算编制内容。同时，本单位不断强化内控管理、资产管理、绩效管理，不断丰富和完善相关制度，坚决做到“更加规范、更加高效、更加便利”，将财务管理与日常事务紧密结合，全力做好保障工作。</w:t>
      </w:r>
      <w:r>
        <w:rPr>
          <w:rFonts w:hint="eastAsia" w:ascii="仿宋" w:hAnsi="仿宋" w:eastAsia="仿宋" w:cs="仿宋"/>
          <w:color w:val="000000"/>
          <w:kern w:val="0"/>
          <w:sz w:val="32"/>
          <w:szCs w:val="32"/>
          <w:shd w:val="clear" w:color="auto" w:fill="FFFFFF"/>
          <w:lang w:val="zh-CN"/>
        </w:rPr>
        <w:t>结合本单位实际，通过自评，</w:t>
      </w:r>
      <w:r>
        <w:rPr>
          <w:rFonts w:hint="eastAsia" w:ascii="仿宋" w:hAnsi="仿宋" w:eastAsia="仿宋" w:cs="仿宋"/>
          <w:color w:val="000000"/>
          <w:kern w:val="0"/>
          <w:sz w:val="32"/>
          <w:szCs w:val="32"/>
          <w:shd w:val="clear" w:color="auto" w:fill="FFFFFF"/>
          <w:lang w:val="en-US" w:eastAsia="zh-CN"/>
        </w:rPr>
        <w:t>2019年度部门预算整体支出基本与实际支出一致。</w:t>
      </w:r>
    </w:p>
    <w:p>
      <w:pPr>
        <w:ind w:firstLine="640" w:firstLineChars="200"/>
        <w:rPr>
          <w:rFonts w:ascii="仿宋_GB2312" w:hAnsi="宋体" w:eastAsia="仿宋_GB2312" w:cs="宋体"/>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spacing w:line="600" w:lineRule="exact"/>
        <w:jc w:val="center"/>
        <w:outlineLvl w:val="0"/>
        <w:rPr>
          <w:rStyle w:val="24"/>
          <w:rFonts w:ascii="黑体" w:hAnsi="黑体" w:eastAsia="黑体"/>
          <w:b w:val="0"/>
        </w:rPr>
      </w:pPr>
      <w:bookmarkStart w:id="5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3"/>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5"/>
          <w:rFonts w:hint="eastAsia" w:ascii="仿宋" w:hAnsi="仿宋" w:eastAsia="仿宋"/>
          <w:b w:val="0"/>
          <w:bCs w:val="0"/>
        </w:rPr>
        <w:t>入</w:t>
      </w:r>
      <w:r>
        <w:rPr>
          <w:rStyle w:val="25"/>
          <w:rFonts w:hint="eastAsia" w:ascii="仿宋" w:hAnsi="仿宋" w:eastAsia="仿宋"/>
          <w:b w:val="0"/>
          <w:bCs w:val="0"/>
          <w:lang w:eastAsia="zh-CN"/>
        </w:rPr>
        <w:t>决算</w:t>
      </w:r>
      <w:r>
        <w:rPr>
          <w:rStyle w:val="25"/>
          <w:rFonts w:hint="eastAsia" w:ascii="仿宋" w:hAnsi="仿宋" w:eastAsia="仿宋"/>
          <w:b w:val="0"/>
          <w:bCs w:val="0"/>
        </w:rPr>
        <w:t>表</w:t>
      </w:r>
      <w:bookmarkEnd w:id="58"/>
    </w:p>
    <w:p>
      <w:pPr>
        <w:pStyle w:val="3"/>
        <w:rPr>
          <w:rFonts w:ascii="仿宋" w:hAnsi="仿宋" w:eastAsia="仿宋"/>
          <w:color w:val="000000"/>
        </w:rPr>
      </w:pPr>
      <w:bookmarkStart w:id="5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w:t>
      </w:r>
      <w:r>
        <w:rPr>
          <w:rStyle w:val="25"/>
          <w:rFonts w:hint="eastAsia" w:ascii="仿宋" w:hAnsi="仿宋" w:eastAsia="仿宋"/>
          <w:b w:val="0"/>
          <w:bCs w:val="0"/>
          <w:lang w:eastAsia="zh-CN"/>
        </w:rPr>
        <w:t>决算</w:t>
      </w:r>
      <w:r>
        <w:rPr>
          <w:rStyle w:val="25"/>
          <w:rFonts w:hint="eastAsia" w:ascii="仿宋" w:hAnsi="仿宋" w:eastAsia="仿宋"/>
          <w:b w:val="0"/>
          <w:bCs w:val="0"/>
        </w:rPr>
        <w:t>表</w:t>
      </w:r>
      <w:bookmarkEnd w:id="59"/>
    </w:p>
    <w:p>
      <w:pPr>
        <w:pStyle w:val="3"/>
        <w:rPr>
          <w:rFonts w:ascii="仿宋" w:hAnsi="仿宋" w:eastAsia="仿宋"/>
          <w:b w:val="0"/>
          <w:color w:val="000000"/>
        </w:rPr>
      </w:pPr>
      <w:bookmarkStart w:id="6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0"/>
    </w:p>
    <w:p>
      <w:pPr>
        <w:pStyle w:val="3"/>
        <w:rPr>
          <w:rFonts w:ascii="仿宋" w:hAnsi="仿宋" w:eastAsia="仿宋"/>
          <w:color w:val="000000"/>
        </w:rPr>
      </w:pPr>
      <w:bookmarkStart w:id="6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1"/>
    </w:p>
    <w:p>
      <w:pPr>
        <w:pStyle w:val="3"/>
        <w:rPr>
          <w:rFonts w:ascii="仿宋" w:hAnsi="仿宋" w:eastAsia="仿宋"/>
          <w:color w:val="000000"/>
        </w:rPr>
      </w:pPr>
      <w:bookmarkStart w:id="62"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14:textFill>
            <w14:solidFill>
              <w14:schemeClr w14:val="tx1"/>
            </w14:solidFill>
          </w14:textFill>
        </w:rPr>
      </w:pPr>
      <w:bookmarkStart w:id="6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6F0F"/>
    <w:rsid w:val="000222C6"/>
    <w:rsid w:val="0002549F"/>
    <w:rsid w:val="00025FE1"/>
    <w:rsid w:val="00031B48"/>
    <w:rsid w:val="00054A9B"/>
    <w:rsid w:val="0005528C"/>
    <w:rsid w:val="0006487A"/>
    <w:rsid w:val="00065F8F"/>
    <w:rsid w:val="000768F2"/>
    <w:rsid w:val="0009184B"/>
    <w:rsid w:val="0009593C"/>
    <w:rsid w:val="000B047F"/>
    <w:rsid w:val="000B5923"/>
    <w:rsid w:val="000B5A48"/>
    <w:rsid w:val="000B6FF3"/>
    <w:rsid w:val="000C1E9B"/>
    <w:rsid w:val="000C3467"/>
    <w:rsid w:val="000C3CA6"/>
    <w:rsid w:val="000D1267"/>
    <w:rsid w:val="000D1D50"/>
    <w:rsid w:val="000D5782"/>
    <w:rsid w:val="000E585E"/>
    <w:rsid w:val="000E6613"/>
    <w:rsid w:val="000E7119"/>
    <w:rsid w:val="00103C37"/>
    <w:rsid w:val="00114E9B"/>
    <w:rsid w:val="00137C74"/>
    <w:rsid w:val="0014729F"/>
    <w:rsid w:val="00157702"/>
    <w:rsid w:val="00157BAB"/>
    <w:rsid w:val="001654D1"/>
    <w:rsid w:val="0018106D"/>
    <w:rsid w:val="00186670"/>
    <w:rsid w:val="001877A7"/>
    <w:rsid w:val="00191536"/>
    <w:rsid w:val="00196687"/>
    <w:rsid w:val="001A70B1"/>
    <w:rsid w:val="001C0962"/>
    <w:rsid w:val="001C6CE4"/>
    <w:rsid w:val="001D7531"/>
    <w:rsid w:val="001E737D"/>
    <w:rsid w:val="001F0592"/>
    <w:rsid w:val="001F7506"/>
    <w:rsid w:val="002006CD"/>
    <w:rsid w:val="00202B36"/>
    <w:rsid w:val="00204B7A"/>
    <w:rsid w:val="0021101A"/>
    <w:rsid w:val="00220536"/>
    <w:rsid w:val="00230F90"/>
    <w:rsid w:val="00235629"/>
    <w:rsid w:val="00260C38"/>
    <w:rsid w:val="002616C0"/>
    <w:rsid w:val="002662AA"/>
    <w:rsid w:val="00280496"/>
    <w:rsid w:val="00295495"/>
    <w:rsid w:val="002B2613"/>
    <w:rsid w:val="002F1818"/>
    <w:rsid w:val="002F567B"/>
    <w:rsid w:val="003060A1"/>
    <w:rsid w:val="003216A9"/>
    <w:rsid w:val="003628EB"/>
    <w:rsid w:val="0037013F"/>
    <w:rsid w:val="00380C92"/>
    <w:rsid w:val="003A484F"/>
    <w:rsid w:val="003B0BE0"/>
    <w:rsid w:val="003B0C1B"/>
    <w:rsid w:val="003B688C"/>
    <w:rsid w:val="003B7828"/>
    <w:rsid w:val="003C0291"/>
    <w:rsid w:val="003C39AE"/>
    <w:rsid w:val="003C7B60"/>
    <w:rsid w:val="003D1FB2"/>
    <w:rsid w:val="003D66DA"/>
    <w:rsid w:val="003D6E1F"/>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460B"/>
    <w:rsid w:val="005470B4"/>
    <w:rsid w:val="00553F47"/>
    <w:rsid w:val="005542FB"/>
    <w:rsid w:val="005664BB"/>
    <w:rsid w:val="0057481D"/>
    <w:rsid w:val="0058486E"/>
    <w:rsid w:val="005A2308"/>
    <w:rsid w:val="005D1C8B"/>
    <w:rsid w:val="005D4FEB"/>
    <w:rsid w:val="005D5CED"/>
    <w:rsid w:val="005F1A4C"/>
    <w:rsid w:val="00605688"/>
    <w:rsid w:val="006070AF"/>
    <w:rsid w:val="00607E6C"/>
    <w:rsid w:val="006101B1"/>
    <w:rsid w:val="00614E44"/>
    <w:rsid w:val="00622830"/>
    <w:rsid w:val="00630AEF"/>
    <w:rsid w:val="006325F8"/>
    <w:rsid w:val="00634C9A"/>
    <w:rsid w:val="006440E4"/>
    <w:rsid w:val="00644F7A"/>
    <w:rsid w:val="0066343B"/>
    <w:rsid w:val="00664777"/>
    <w:rsid w:val="006748A4"/>
    <w:rsid w:val="00683E73"/>
    <w:rsid w:val="00694756"/>
    <w:rsid w:val="006A3141"/>
    <w:rsid w:val="006A5E34"/>
    <w:rsid w:val="006B2422"/>
    <w:rsid w:val="006B2B9A"/>
    <w:rsid w:val="006C1937"/>
    <w:rsid w:val="006F020C"/>
    <w:rsid w:val="00701F81"/>
    <w:rsid w:val="007123C8"/>
    <w:rsid w:val="007127B7"/>
    <w:rsid w:val="00720765"/>
    <w:rsid w:val="007416B6"/>
    <w:rsid w:val="00746F48"/>
    <w:rsid w:val="0075404D"/>
    <w:rsid w:val="0076182A"/>
    <w:rsid w:val="00767B7E"/>
    <w:rsid w:val="00772439"/>
    <w:rsid w:val="007770C3"/>
    <w:rsid w:val="00784D24"/>
    <w:rsid w:val="00785FBA"/>
    <w:rsid w:val="00786E4A"/>
    <w:rsid w:val="007875EB"/>
    <w:rsid w:val="0079426B"/>
    <w:rsid w:val="007D312A"/>
    <w:rsid w:val="007D3F19"/>
    <w:rsid w:val="007E23B0"/>
    <w:rsid w:val="007E4F83"/>
    <w:rsid w:val="007F1943"/>
    <w:rsid w:val="007F1991"/>
    <w:rsid w:val="007F2C2F"/>
    <w:rsid w:val="007F55FC"/>
    <w:rsid w:val="007F5665"/>
    <w:rsid w:val="00800112"/>
    <w:rsid w:val="00811A49"/>
    <w:rsid w:val="00824DD9"/>
    <w:rsid w:val="008253BB"/>
    <w:rsid w:val="0083706E"/>
    <w:rsid w:val="008423A5"/>
    <w:rsid w:val="00842E90"/>
    <w:rsid w:val="00850625"/>
    <w:rsid w:val="00853718"/>
    <w:rsid w:val="00855221"/>
    <w:rsid w:val="0085557A"/>
    <w:rsid w:val="00860645"/>
    <w:rsid w:val="00861901"/>
    <w:rsid w:val="00871F71"/>
    <w:rsid w:val="00885AF4"/>
    <w:rsid w:val="00886E58"/>
    <w:rsid w:val="008939CD"/>
    <w:rsid w:val="008A16B8"/>
    <w:rsid w:val="008B4357"/>
    <w:rsid w:val="008B768C"/>
    <w:rsid w:val="008C424C"/>
    <w:rsid w:val="008C4DB1"/>
    <w:rsid w:val="008C4EAF"/>
    <w:rsid w:val="008C5176"/>
    <w:rsid w:val="008C7FD0"/>
    <w:rsid w:val="008E1DE7"/>
    <w:rsid w:val="008E707C"/>
    <w:rsid w:val="00900B08"/>
    <w:rsid w:val="00902155"/>
    <w:rsid w:val="00902FA3"/>
    <w:rsid w:val="009051BC"/>
    <w:rsid w:val="00913AC6"/>
    <w:rsid w:val="00916A91"/>
    <w:rsid w:val="00923564"/>
    <w:rsid w:val="0092392E"/>
    <w:rsid w:val="009315F9"/>
    <w:rsid w:val="00946945"/>
    <w:rsid w:val="00946BD3"/>
    <w:rsid w:val="00951248"/>
    <w:rsid w:val="0095152F"/>
    <w:rsid w:val="00954C49"/>
    <w:rsid w:val="0097099F"/>
    <w:rsid w:val="00971997"/>
    <w:rsid w:val="00971FFC"/>
    <w:rsid w:val="0098660A"/>
    <w:rsid w:val="009931C3"/>
    <w:rsid w:val="00995699"/>
    <w:rsid w:val="009B2C43"/>
    <w:rsid w:val="009B4EAE"/>
    <w:rsid w:val="009B6295"/>
    <w:rsid w:val="009B7573"/>
    <w:rsid w:val="009C22F4"/>
    <w:rsid w:val="009C2E98"/>
    <w:rsid w:val="009C756C"/>
    <w:rsid w:val="009D3447"/>
    <w:rsid w:val="009D4711"/>
    <w:rsid w:val="009F1185"/>
    <w:rsid w:val="009F18CD"/>
    <w:rsid w:val="009F2A13"/>
    <w:rsid w:val="00A04EB0"/>
    <w:rsid w:val="00A13CC1"/>
    <w:rsid w:val="00A16847"/>
    <w:rsid w:val="00A237D8"/>
    <w:rsid w:val="00A268C4"/>
    <w:rsid w:val="00A307CD"/>
    <w:rsid w:val="00A330BA"/>
    <w:rsid w:val="00A40A00"/>
    <w:rsid w:val="00A4142F"/>
    <w:rsid w:val="00A56DF2"/>
    <w:rsid w:val="00A67AB5"/>
    <w:rsid w:val="00A754D2"/>
    <w:rsid w:val="00A91760"/>
    <w:rsid w:val="00A93B00"/>
    <w:rsid w:val="00A93C21"/>
    <w:rsid w:val="00AB3179"/>
    <w:rsid w:val="00AC3C6A"/>
    <w:rsid w:val="00AD210C"/>
    <w:rsid w:val="00AD5620"/>
    <w:rsid w:val="00AD7C1B"/>
    <w:rsid w:val="00AE16BA"/>
    <w:rsid w:val="00AE1EBE"/>
    <w:rsid w:val="00AE3D37"/>
    <w:rsid w:val="00B03C9D"/>
    <w:rsid w:val="00B060AE"/>
    <w:rsid w:val="00B06544"/>
    <w:rsid w:val="00B10517"/>
    <w:rsid w:val="00B14E76"/>
    <w:rsid w:val="00B161B8"/>
    <w:rsid w:val="00B17317"/>
    <w:rsid w:val="00B2048C"/>
    <w:rsid w:val="00B310B9"/>
    <w:rsid w:val="00B35F3F"/>
    <w:rsid w:val="00B36CBB"/>
    <w:rsid w:val="00B425E0"/>
    <w:rsid w:val="00B440AA"/>
    <w:rsid w:val="00B44B70"/>
    <w:rsid w:val="00B53C56"/>
    <w:rsid w:val="00B77EA6"/>
    <w:rsid w:val="00B8079C"/>
    <w:rsid w:val="00B81598"/>
    <w:rsid w:val="00B841F1"/>
    <w:rsid w:val="00B8757F"/>
    <w:rsid w:val="00B944D6"/>
    <w:rsid w:val="00BB4DF0"/>
    <w:rsid w:val="00BC289F"/>
    <w:rsid w:val="00BC5361"/>
    <w:rsid w:val="00BC5460"/>
    <w:rsid w:val="00BC6B50"/>
    <w:rsid w:val="00BD0E25"/>
    <w:rsid w:val="00BD1CDE"/>
    <w:rsid w:val="00BD6B83"/>
    <w:rsid w:val="00BD7E1A"/>
    <w:rsid w:val="00BE22EF"/>
    <w:rsid w:val="00BE3131"/>
    <w:rsid w:val="00BF5BD6"/>
    <w:rsid w:val="00C03E31"/>
    <w:rsid w:val="00C11CE8"/>
    <w:rsid w:val="00C33E72"/>
    <w:rsid w:val="00C354B2"/>
    <w:rsid w:val="00C35554"/>
    <w:rsid w:val="00C42709"/>
    <w:rsid w:val="00C533CC"/>
    <w:rsid w:val="00C5751C"/>
    <w:rsid w:val="00C61BFC"/>
    <w:rsid w:val="00C62B85"/>
    <w:rsid w:val="00C65438"/>
    <w:rsid w:val="00C75B61"/>
    <w:rsid w:val="00C91CBB"/>
    <w:rsid w:val="00CA1F6A"/>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22D5"/>
    <w:rsid w:val="00DD73B7"/>
    <w:rsid w:val="00DE3DB7"/>
    <w:rsid w:val="00DF28BC"/>
    <w:rsid w:val="00DF34B9"/>
    <w:rsid w:val="00E01053"/>
    <w:rsid w:val="00E07ACF"/>
    <w:rsid w:val="00E331A1"/>
    <w:rsid w:val="00E33202"/>
    <w:rsid w:val="00E336A9"/>
    <w:rsid w:val="00E50624"/>
    <w:rsid w:val="00E56755"/>
    <w:rsid w:val="00E568DF"/>
    <w:rsid w:val="00E64269"/>
    <w:rsid w:val="00E82267"/>
    <w:rsid w:val="00E838E0"/>
    <w:rsid w:val="00EA010F"/>
    <w:rsid w:val="00EB2D16"/>
    <w:rsid w:val="00ED1B63"/>
    <w:rsid w:val="00ED3C1F"/>
    <w:rsid w:val="00ED4085"/>
    <w:rsid w:val="00ED420E"/>
    <w:rsid w:val="00EE2F57"/>
    <w:rsid w:val="00EF4C34"/>
    <w:rsid w:val="00EF77C6"/>
    <w:rsid w:val="00F05438"/>
    <w:rsid w:val="00F1361C"/>
    <w:rsid w:val="00F160C7"/>
    <w:rsid w:val="00F27F25"/>
    <w:rsid w:val="00F36D8F"/>
    <w:rsid w:val="00F417B1"/>
    <w:rsid w:val="00F602DF"/>
    <w:rsid w:val="00F81FD9"/>
    <w:rsid w:val="00F841AA"/>
    <w:rsid w:val="00FA23E8"/>
    <w:rsid w:val="00FB4C19"/>
    <w:rsid w:val="00FD3CC1"/>
    <w:rsid w:val="00FE0925"/>
    <w:rsid w:val="00FF1E02"/>
    <w:rsid w:val="00FF30B4"/>
    <w:rsid w:val="08F01B0E"/>
    <w:rsid w:val="10C055FF"/>
    <w:rsid w:val="155639EB"/>
    <w:rsid w:val="16BB723D"/>
    <w:rsid w:val="228E441B"/>
    <w:rsid w:val="240371BF"/>
    <w:rsid w:val="29FD04D3"/>
    <w:rsid w:val="302E05EF"/>
    <w:rsid w:val="30F4043D"/>
    <w:rsid w:val="319F7F4E"/>
    <w:rsid w:val="335543D0"/>
    <w:rsid w:val="34584CF7"/>
    <w:rsid w:val="373D2B2E"/>
    <w:rsid w:val="3CE80E5D"/>
    <w:rsid w:val="43D356A7"/>
    <w:rsid w:val="48AB6338"/>
    <w:rsid w:val="58B1314B"/>
    <w:rsid w:val="60EE1E7B"/>
    <w:rsid w:val="68E03A52"/>
    <w:rsid w:val="69A35432"/>
    <w:rsid w:val="6C9229F6"/>
    <w:rsid w:val="6D6C2C83"/>
    <w:rsid w:val="6E6B42F6"/>
    <w:rsid w:val="76C418B5"/>
    <w:rsid w:val="BD1FEC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981</Words>
  <Characters>5597</Characters>
  <Lines>46</Lines>
  <Paragraphs>13</Paragraphs>
  <TotalTime>6</TotalTime>
  <ScaleCrop>false</ScaleCrop>
  <LinksUpToDate>false</LinksUpToDate>
  <CharactersWithSpaces>6565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2022-02-22T14:50:33Z</dcterms:modified>
  <dc:title>四川省***</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