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96475"/>
      <w:bookmarkStart w:id="3" w:name="_Toc15377425"/>
      <w:bookmarkStart w:id="4" w:name="_Toc15378441"/>
      <w:bookmarkStart w:id="5" w:name="_Toc15377193"/>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72"/>
          <w:szCs w:val="72"/>
          <w:lang w:val="en-US" w:eastAsia="zh-CN"/>
        </w:rPr>
      </w:pPr>
      <w:bookmarkStart w:id="6" w:name="_Toc15377426"/>
      <w:bookmarkStart w:id="7" w:name="_Toc15378442"/>
      <w:bookmarkStart w:id="8" w:name="_Toc15377194"/>
      <w:bookmarkStart w:id="9" w:name="_Toc15396598"/>
      <w:bookmarkStart w:id="10" w:name="_Toc1539647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val="en-US" w:eastAsia="zh-CN"/>
        </w:rPr>
        <w:t>宣汉县七里镇卫生院</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r>
        <w:rPr>
          <w:rFonts w:hint="eastAsia" w:ascii="方正小标宋简体" w:hAnsi="宋体" w:eastAsia="方正小标宋简体"/>
          <w:color w:val="000000"/>
          <w:sz w:val="72"/>
          <w:szCs w:val="72"/>
          <w:lang w:eastAsia="zh-CN"/>
        </w:rPr>
        <w:t>公开编制说明</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w:t>
      </w:r>
      <w:r>
        <w:rPr>
          <w:rFonts w:hint="eastAsia"/>
          <w:lang w:val="en-US" w:eastAsia="zh-CN"/>
        </w:rPr>
        <w:t>9</w:t>
      </w:r>
      <w:r>
        <w:rPr>
          <w:rFonts w:hint="eastAsia"/>
        </w:rPr>
        <w:t>月</w:t>
      </w:r>
      <w:r>
        <w:rPr>
          <w:rFonts w:hint="eastAsia"/>
          <w:lang w:val="en-US" w:eastAsia="zh-CN"/>
        </w:rPr>
        <w:t>5</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6"/>
          <w:rFonts w:hint="eastAsia"/>
        </w:rPr>
        <w:t>第一部分</w:t>
      </w:r>
      <w:r>
        <w:rPr>
          <w:rStyle w:val="16"/>
        </w:rPr>
        <w:t xml:space="preserve"> </w:t>
      </w:r>
      <w:r>
        <w:rPr>
          <w:rStyle w:val="16"/>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6"/>
          <w:rFonts w:hint="eastAsia"/>
        </w:rPr>
        <w:t>第二部分</w:t>
      </w:r>
      <w:r>
        <w:rPr>
          <w:rStyle w:val="16"/>
        </w:rPr>
        <w:t xml:space="preserve"> 2018</w:t>
      </w:r>
      <w:r>
        <w:rPr>
          <w:rStyle w:val="16"/>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w:t>
      </w:r>
      <w:r>
        <w:rPr>
          <w:rStyle w:val="16"/>
          <w:bCs/>
          <w:kern w:val="44"/>
        </w:rPr>
        <w:t xml:space="preserve"> </w:t>
      </w:r>
      <w:r>
        <w:rPr>
          <w:rStyle w:val="16"/>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w:t>
      </w:r>
      <w:r>
        <w:rPr>
          <w:rStyle w:val="16"/>
          <w:bCs/>
          <w:kern w:val="44"/>
        </w:rPr>
        <w:t xml:space="preserve"> </w:t>
      </w:r>
      <w:r>
        <w:rPr>
          <w:rStyle w:val="16"/>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6"/>
          <w:rFonts w:ascii="仿宋" w:hAnsi="仿宋" w:eastAsia="仿宋"/>
          <w:b w:val="0"/>
          <w:bCs w:val="0"/>
          <w:color w:val="auto"/>
        </w:rPr>
      </w:pPr>
      <w:bookmarkStart w:id="14" w:name="_Toc15396600"/>
      <w:bookmarkStart w:id="15" w:name="_Toc15377197"/>
      <w:r>
        <w:rPr>
          <w:rFonts w:hint="eastAsia" w:ascii="黑体" w:hAnsi="黑体" w:eastAsia="黑体"/>
          <w:b w:val="0"/>
          <w:color w:val="000000"/>
        </w:rPr>
        <w:t>一、</w:t>
      </w:r>
      <w:r>
        <w:rPr>
          <w:rFonts w:hint="eastAsia" w:ascii="黑体" w:hAnsi="黑体" w:eastAsia="黑体"/>
          <w:b w:val="0"/>
          <w:color w:val="auto"/>
        </w:rPr>
        <w:t>基</w:t>
      </w:r>
      <w:r>
        <w:rPr>
          <w:rStyle w:val="26"/>
          <w:rFonts w:hint="eastAsia" w:ascii="黑体" w:hAnsi="黑体" w:eastAsia="黑体"/>
          <w:b w:val="0"/>
          <w:bCs w:val="0"/>
          <w:color w:val="auto"/>
        </w:rPr>
        <w:t>本职能及主要工作</w:t>
      </w:r>
      <w:bookmarkEnd w:id="14"/>
      <w:bookmarkEnd w:id="15"/>
    </w:p>
    <w:p>
      <w:pPr>
        <w:pStyle w:val="12"/>
        <w:spacing w:before="0" w:beforeAutospacing="0" w:after="0" w:afterAutospacing="0"/>
        <w:ind w:firstLine="640" w:firstLineChars="200"/>
        <w:rPr>
          <w:rFonts w:hint="eastAsia" w:ascii="仿宋" w:hAnsi="仿宋" w:eastAsia="仿宋"/>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bookmarkStart w:id="18" w:name="_Toc15377199"/>
      <w:bookmarkStart w:id="19" w:name="_Toc15378446"/>
      <w:r>
        <w:rPr>
          <w:rFonts w:hint="eastAsia" w:ascii="仿宋_GB2312" w:eastAsia="仿宋_GB2312"/>
          <w:sz w:val="32"/>
          <w:szCs w:val="32"/>
          <w:lang w:val="en"/>
        </w:rPr>
        <w:t>我院现有在职职工</w:t>
      </w:r>
      <w:r>
        <w:rPr>
          <w:rFonts w:hint="eastAsia" w:ascii="仿宋_GB2312" w:eastAsia="仿宋_GB2312"/>
          <w:sz w:val="32"/>
          <w:szCs w:val="32"/>
          <w:lang w:val="en-US" w:eastAsia="zh-CN"/>
        </w:rPr>
        <w:t>15</w:t>
      </w:r>
      <w:r>
        <w:rPr>
          <w:rFonts w:hint="eastAsia" w:ascii="仿宋_GB2312" w:eastAsia="仿宋_GB2312"/>
          <w:sz w:val="32"/>
          <w:szCs w:val="32"/>
          <w:lang w:val="en"/>
        </w:rPr>
        <w:t>人（其中在编在岗人员</w:t>
      </w:r>
      <w:r>
        <w:rPr>
          <w:rFonts w:hint="eastAsia" w:ascii="仿宋_GB2312" w:eastAsia="仿宋_GB2312"/>
          <w:sz w:val="32"/>
          <w:szCs w:val="32"/>
          <w:lang w:val="en-US" w:eastAsia="zh-CN"/>
        </w:rPr>
        <w:t>10</w:t>
      </w:r>
      <w:r>
        <w:rPr>
          <w:rFonts w:hint="eastAsia" w:ascii="仿宋_GB2312" w:eastAsia="仿宋_GB2312"/>
          <w:sz w:val="32"/>
          <w:szCs w:val="32"/>
          <w:lang w:val="en"/>
        </w:rPr>
        <w:t>人，临聘人员</w:t>
      </w:r>
      <w:r>
        <w:rPr>
          <w:rFonts w:hint="eastAsia" w:ascii="仿宋_GB2312" w:eastAsia="仿宋_GB2312"/>
          <w:sz w:val="32"/>
          <w:szCs w:val="32"/>
          <w:lang w:val="en-US" w:eastAsia="zh-CN"/>
        </w:rPr>
        <w:t>5</w:t>
      </w:r>
      <w:r>
        <w:rPr>
          <w:rFonts w:hint="eastAsia" w:ascii="仿宋_GB2312" w:eastAsia="仿宋_GB2312"/>
          <w:sz w:val="32"/>
          <w:szCs w:val="32"/>
          <w:lang w:val="en"/>
        </w:rPr>
        <w:t>人），退休职工</w:t>
      </w:r>
      <w:r>
        <w:rPr>
          <w:rFonts w:hint="eastAsia" w:ascii="仿宋_GB2312" w:eastAsia="仿宋_GB2312"/>
          <w:sz w:val="32"/>
          <w:szCs w:val="32"/>
          <w:lang w:val="en-US" w:eastAsia="zh-CN"/>
        </w:rPr>
        <w:t>6</w:t>
      </w:r>
      <w:r>
        <w:rPr>
          <w:rFonts w:hint="eastAsia" w:ascii="仿宋_GB2312" w:eastAsia="仿宋_GB2312"/>
          <w:sz w:val="32"/>
          <w:szCs w:val="32"/>
          <w:lang w:val="en"/>
        </w:rPr>
        <w:t>人，</w:t>
      </w:r>
      <w:r>
        <w:rPr>
          <w:rFonts w:hint="eastAsia" w:ascii="仿宋_GB2312" w:eastAsia="仿宋_GB2312"/>
          <w:color w:val="auto"/>
          <w:sz w:val="32"/>
          <w:szCs w:val="32"/>
          <w:lang w:val="en"/>
        </w:rPr>
        <w:t>遗嘱</w:t>
      </w:r>
      <w:r>
        <w:rPr>
          <w:rFonts w:hint="eastAsia" w:ascii="仿宋_GB2312" w:eastAsia="仿宋_GB2312"/>
          <w:color w:val="auto"/>
          <w:sz w:val="32"/>
          <w:szCs w:val="32"/>
          <w:lang w:val="en-US" w:eastAsia="zh-CN"/>
        </w:rPr>
        <w:t>2</w:t>
      </w:r>
      <w:r>
        <w:rPr>
          <w:rFonts w:hint="eastAsia" w:ascii="仿宋_GB2312" w:eastAsia="仿宋_GB2312"/>
          <w:sz w:val="32"/>
          <w:szCs w:val="32"/>
          <w:lang w:val="en"/>
        </w:rPr>
        <w:t>人，开放病床</w:t>
      </w:r>
      <w:r>
        <w:rPr>
          <w:rFonts w:hint="eastAsia" w:ascii="仿宋_GB2312" w:eastAsia="仿宋_GB2312"/>
          <w:sz w:val="32"/>
          <w:szCs w:val="32"/>
          <w:lang w:val="en-US" w:eastAsia="zh-CN"/>
        </w:rPr>
        <w:t>14</w:t>
      </w:r>
      <w:r>
        <w:rPr>
          <w:rFonts w:hint="eastAsia" w:ascii="仿宋_GB2312" w:eastAsia="仿宋_GB2312"/>
          <w:sz w:val="32"/>
          <w:szCs w:val="32"/>
          <w:lang w:val="en"/>
        </w:rPr>
        <w:t>张。是医保和新农合定点医院。担负着辖区居民的防病、治病重任，是集医药医疗、急救、预防、保健、康复于一体的</w:t>
      </w:r>
      <w:r>
        <w:rPr>
          <w:rFonts w:hint="eastAsia" w:ascii="仿宋" w:hAnsi="仿宋" w:eastAsia="仿宋"/>
          <w:sz w:val="32"/>
          <w:szCs w:val="32"/>
        </w:rPr>
        <w:t>的一级</w:t>
      </w:r>
      <w:r>
        <w:rPr>
          <w:rFonts w:hint="eastAsia" w:ascii="仿宋" w:hAnsi="仿宋" w:eastAsia="仿宋"/>
          <w:sz w:val="32"/>
          <w:szCs w:val="32"/>
          <w:lang w:val="en-US" w:eastAsia="zh-CN"/>
        </w:rPr>
        <w:t>乙</w:t>
      </w:r>
      <w:r>
        <w:rPr>
          <w:rFonts w:hint="eastAsia" w:ascii="仿宋" w:hAnsi="仿宋" w:eastAsia="仿宋"/>
          <w:sz w:val="32"/>
          <w:szCs w:val="32"/>
        </w:rPr>
        <w:t>等医院</w:t>
      </w:r>
      <w:r>
        <w:rPr>
          <w:rFonts w:hint="eastAsia" w:ascii="仿宋" w:hAnsi="仿宋" w:eastAsia="仿宋"/>
          <w:sz w:val="32"/>
          <w:szCs w:val="32"/>
          <w:lang w:eastAsia="zh-CN"/>
        </w:rPr>
        <w:t>，也</w:t>
      </w:r>
      <w:r>
        <w:rPr>
          <w:rFonts w:hint="eastAsia" w:ascii="仿宋_GB2312" w:eastAsia="仿宋_GB2312"/>
          <w:sz w:val="32"/>
          <w:szCs w:val="32"/>
          <w:lang w:val="en"/>
        </w:rPr>
        <w:t>是医保和新农合定点医院。并起着全辖区卫生事业的龙头带动作用。</w:t>
      </w:r>
      <w:r>
        <w:rPr>
          <w:rFonts w:hint="eastAsia" w:ascii="仿宋_GB2312" w:eastAsia="仿宋_GB2312"/>
          <w:color w:val="auto"/>
          <w:sz w:val="32"/>
          <w:szCs w:val="32"/>
          <w:lang w:val="en" w:eastAsia="zh-CN"/>
        </w:rPr>
        <w:t>辖区共</w:t>
      </w:r>
      <w:r>
        <w:rPr>
          <w:rFonts w:hint="eastAsia" w:ascii="仿宋_GB2312" w:eastAsia="仿宋_GB2312"/>
          <w:color w:val="auto"/>
          <w:sz w:val="32"/>
          <w:szCs w:val="32"/>
          <w:lang w:val="en-US" w:eastAsia="zh-CN"/>
        </w:rPr>
        <w:t>9个村卫生室，</w:t>
      </w:r>
      <w:r>
        <w:rPr>
          <w:rFonts w:hint="eastAsia" w:ascii="仿宋" w:hAnsi="仿宋" w:eastAsia="仿宋"/>
          <w:color w:val="auto"/>
          <w:sz w:val="32"/>
          <w:szCs w:val="32"/>
        </w:rPr>
        <w:t>全镇总人口</w:t>
      </w:r>
      <w:r>
        <w:rPr>
          <w:rFonts w:hint="eastAsia" w:ascii="仿宋" w:hAnsi="仿宋" w:eastAsia="仿宋"/>
          <w:color w:val="auto"/>
          <w:sz w:val="32"/>
          <w:szCs w:val="32"/>
          <w:lang w:val="en-US" w:eastAsia="zh-CN"/>
        </w:rPr>
        <w:t>1.9</w:t>
      </w:r>
      <w:r>
        <w:rPr>
          <w:rFonts w:hint="eastAsia" w:ascii="仿宋" w:hAnsi="仿宋" w:eastAsia="仿宋"/>
          <w:color w:val="auto"/>
          <w:sz w:val="32"/>
          <w:szCs w:val="32"/>
        </w:rPr>
        <w:t>万人，财政基本公共卫生服务计</w:t>
      </w:r>
      <w:r>
        <w:rPr>
          <w:rFonts w:hint="eastAsia" w:ascii="仿宋" w:hAnsi="仿宋" w:eastAsia="仿宋"/>
          <w:sz w:val="32"/>
          <w:szCs w:val="32"/>
        </w:rPr>
        <w:t>算人口数</w:t>
      </w:r>
      <w:r>
        <w:rPr>
          <w:rFonts w:hint="eastAsia" w:ascii="仿宋" w:hAnsi="仿宋" w:eastAsia="仿宋"/>
          <w:sz w:val="32"/>
          <w:szCs w:val="32"/>
          <w:lang w:val="en-US" w:eastAsia="zh-CN"/>
        </w:rPr>
        <w:t>14771</w:t>
      </w:r>
      <w:r>
        <w:rPr>
          <w:rFonts w:hint="eastAsia" w:ascii="仿宋" w:hAnsi="仿宋" w:eastAsia="仿宋"/>
          <w:sz w:val="32"/>
          <w:szCs w:val="32"/>
        </w:rPr>
        <w:t>人。</w:t>
      </w:r>
    </w:p>
    <w:p>
      <w:pPr>
        <w:ind w:firstLine="640" w:firstLineChars="200"/>
        <w:rPr>
          <w:rFonts w:hint="eastAsia" w:ascii="仿宋_GB2312" w:eastAsia="仿宋_GB2312"/>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r>
        <w:rPr>
          <w:rFonts w:hint="eastAsia" w:ascii="仿宋_GB2312" w:eastAsia="仿宋_GB2312"/>
          <w:bCs/>
          <w:sz w:val="32"/>
          <w:szCs w:val="32"/>
          <w:lang w:eastAsia="zh-CN"/>
        </w:rPr>
        <w:t>一是</w:t>
      </w:r>
      <w:r>
        <w:rPr>
          <w:rFonts w:hint="eastAsia" w:ascii="仿宋_GB2312" w:eastAsia="仿宋_GB2312"/>
          <w:bCs/>
          <w:sz w:val="32"/>
          <w:szCs w:val="32"/>
        </w:rPr>
        <w:t>不断加强管理，强化内涵建设，切实重抓医疗质量和安全管理，发展人才先行，不断优化病区环境</w:t>
      </w:r>
      <w:r>
        <w:rPr>
          <w:rFonts w:hint="eastAsia" w:ascii="仿宋_GB2312" w:eastAsia="仿宋_GB2312"/>
          <w:sz w:val="32"/>
          <w:szCs w:val="32"/>
        </w:rPr>
        <w:t>，打造让患者舒心、满意的家庭式病房，病人满意度不断提升。</w:t>
      </w:r>
      <w:r>
        <w:rPr>
          <w:rFonts w:hint="eastAsia" w:ascii="仿宋_GB2312" w:eastAsia="仿宋_GB2312"/>
          <w:sz w:val="32"/>
          <w:szCs w:val="32"/>
          <w:lang w:eastAsia="zh-CN"/>
        </w:rPr>
        <w:t>二是</w:t>
      </w:r>
      <w:r>
        <w:rPr>
          <w:rFonts w:hint="eastAsia" w:ascii="仿宋_GB2312" w:eastAsia="仿宋_GB2312"/>
          <w:bCs/>
          <w:sz w:val="32"/>
          <w:szCs w:val="32"/>
        </w:rPr>
        <w:t>不断加强基础设施建设</w:t>
      </w:r>
      <w:r>
        <w:rPr>
          <w:rFonts w:hint="eastAsia" w:ascii="仿宋_GB2312" w:eastAsia="仿宋_GB2312"/>
          <w:sz w:val="32"/>
          <w:szCs w:val="32"/>
        </w:rPr>
        <w:t>，</w:t>
      </w:r>
      <w:r>
        <w:rPr>
          <w:rFonts w:hint="eastAsia" w:ascii="仿宋_GB2312" w:eastAsia="仿宋_GB2312"/>
          <w:sz w:val="32"/>
          <w:szCs w:val="32"/>
          <w:lang w:eastAsia="zh-CN"/>
        </w:rPr>
        <w:t>集中打造中医诊疗区、三</w:t>
      </w:r>
      <w:r>
        <w:rPr>
          <w:rFonts w:hint="eastAsia" w:ascii="仿宋_GB2312" w:eastAsia="仿宋_GB2312"/>
          <w:sz w:val="32"/>
          <w:szCs w:val="32"/>
          <w:lang w:val="en-US" w:eastAsia="zh-CN"/>
        </w:rPr>
        <w:t>是污水处理设施、医疗废物处理间、</w:t>
      </w:r>
      <w:r>
        <w:rPr>
          <w:rFonts w:hint="eastAsia" w:ascii="仿宋_GB2312" w:eastAsia="仿宋_GB2312"/>
          <w:sz w:val="32"/>
          <w:szCs w:val="32"/>
        </w:rPr>
        <w:t>医院</w:t>
      </w:r>
      <w:r>
        <w:rPr>
          <w:rFonts w:hint="eastAsia" w:ascii="仿宋_GB2312" w:eastAsia="仿宋_GB2312"/>
          <w:sz w:val="32"/>
          <w:szCs w:val="32"/>
          <w:lang w:eastAsia="zh-CN"/>
        </w:rPr>
        <w:t>院坝整治</w:t>
      </w:r>
      <w:r>
        <w:rPr>
          <w:rFonts w:hint="eastAsia" w:ascii="仿宋_GB2312" w:eastAsia="仿宋_GB2312"/>
          <w:sz w:val="32"/>
          <w:szCs w:val="32"/>
        </w:rPr>
        <w:t>，</w:t>
      </w:r>
      <w:r>
        <w:rPr>
          <w:rFonts w:hint="eastAsia" w:ascii="仿宋_GB2312" w:eastAsia="仿宋_GB2312"/>
          <w:sz w:val="32"/>
          <w:szCs w:val="32"/>
          <w:lang w:val="en-US" w:eastAsia="zh-CN"/>
        </w:rPr>
        <w:t xml:space="preserve"> </w:t>
      </w:r>
      <w:r>
        <w:rPr>
          <w:rFonts w:hint="eastAsia" w:ascii="仿宋_GB2312" w:eastAsia="仿宋_GB2312"/>
          <w:sz w:val="32"/>
          <w:szCs w:val="32"/>
        </w:rPr>
        <w:t>完善了病房的改造及医院环境的改善，真正做到“住院环境花园式、病房宾馆式、服务人性化”。圆满完成城乡环境治理工作，</w:t>
      </w:r>
      <w:r>
        <w:rPr>
          <w:rFonts w:hint="eastAsia" w:ascii="仿宋_GB2312" w:eastAsia="仿宋_GB2312"/>
          <w:bCs/>
          <w:sz w:val="32"/>
          <w:szCs w:val="32"/>
        </w:rPr>
        <w:t>高度重视安全维稳信访工作</w:t>
      </w:r>
      <w:r>
        <w:rPr>
          <w:rFonts w:hint="eastAsia" w:ascii="仿宋_GB2312" w:eastAsia="仿宋_GB2312"/>
          <w:sz w:val="32"/>
          <w:szCs w:val="32"/>
        </w:rPr>
        <w:t>，</w:t>
      </w:r>
      <w:r>
        <w:rPr>
          <w:rFonts w:hint="eastAsia" w:ascii="仿宋_GB2312" w:eastAsia="仿宋_GB2312"/>
          <w:bCs/>
          <w:sz w:val="32"/>
          <w:szCs w:val="32"/>
        </w:rPr>
        <w:t>中医工作持续推进</w:t>
      </w:r>
      <w:r>
        <w:rPr>
          <w:rFonts w:hint="eastAsia" w:ascii="仿宋_GB2312" w:eastAsia="仿宋_GB2312"/>
          <w:sz w:val="32"/>
          <w:szCs w:val="32"/>
        </w:rPr>
        <w:t>。</w:t>
      </w:r>
    </w:p>
    <w:p>
      <w:pPr>
        <w:rPr>
          <w:rFonts w:hint="eastAsia" w:ascii="仿宋" w:hAnsi="仿宋" w:eastAsia="仿宋_GB2312"/>
          <w:sz w:val="32"/>
          <w:szCs w:val="32"/>
          <w:lang w:val="en-US" w:eastAsia="zh-CN"/>
        </w:rPr>
      </w:pPr>
      <w:r>
        <w:rPr>
          <w:rFonts w:hint="eastAsia" w:ascii="仿宋_GB2312" w:eastAsia="仿宋_GB2312"/>
          <w:sz w:val="32"/>
          <w:szCs w:val="32"/>
        </w:rPr>
        <w:t>公共卫生坚持“关口前移、重心下沉、主动出击、防患于未然”的工作原则。</w:t>
      </w:r>
      <w:r>
        <w:rPr>
          <w:rFonts w:hint="eastAsia" w:ascii="仿宋" w:hAnsi="仿宋" w:eastAsia="仿宋" w:cs="仿宋"/>
          <w:sz w:val="32"/>
          <w:szCs w:val="32"/>
        </w:rPr>
        <w:t>一是按照县卫计局要求以“家庭医生”签约服务为契机全面推进基本公共卫生服务工作。二是狠抓医疗服务质量</w:t>
      </w:r>
      <w:r>
        <w:rPr>
          <w:rFonts w:hint="eastAsia" w:ascii="仿宋" w:hAnsi="仿宋" w:eastAsia="仿宋" w:cs="仿宋"/>
          <w:sz w:val="32"/>
          <w:szCs w:val="32"/>
          <w:lang w:eastAsia="zh-CN"/>
        </w:rPr>
        <w:t>和安全</w:t>
      </w:r>
      <w:r>
        <w:rPr>
          <w:rFonts w:hint="eastAsia" w:ascii="仿宋" w:hAnsi="仿宋" w:eastAsia="仿宋" w:cs="仿宋"/>
          <w:sz w:val="32"/>
          <w:szCs w:val="32"/>
        </w:rPr>
        <w:t>。三是以认真学习领会中央八项规定，规范医疗行为，提升医疗队伍的业务素质能力，忠实践行“全心全意为人民服务”的宗旨。</w:t>
      </w:r>
      <w:r>
        <w:rPr>
          <w:rFonts w:hint="eastAsia" w:ascii="仿宋" w:hAnsi="仿宋" w:eastAsia="仿宋"/>
          <w:color w:val="auto"/>
          <w:sz w:val="32"/>
          <w:szCs w:val="32"/>
        </w:rPr>
        <w:t>201</w:t>
      </w:r>
      <w:r>
        <w:rPr>
          <w:rFonts w:hint="eastAsia" w:ascii="仿宋" w:hAnsi="仿宋" w:eastAsia="仿宋"/>
          <w:color w:val="auto"/>
          <w:sz w:val="32"/>
          <w:szCs w:val="32"/>
          <w:lang w:val="en-US" w:eastAsia="zh-CN"/>
        </w:rPr>
        <w:t>8</w:t>
      </w:r>
      <w:r>
        <w:rPr>
          <w:rFonts w:hint="eastAsia" w:ascii="仿宋" w:hAnsi="仿宋" w:eastAsia="仿宋"/>
          <w:color w:val="auto"/>
          <w:sz w:val="32"/>
          <w:szCs w:val="32"/>
        </w:rPr>
        <w:t>年我院诊疗人次</w:t>
      </w:r>
      <w:r>
        <w:rPr>
          <w:rFonts w:hint="eastAsia" w:ascii="仿宋" w:hAnsi="仿宋" w:eastAsia="仿宋"/>
          <w:color w:val="auto"/>
          <w:sz w:val="32"/>
          <w:szCs w:val="32"/>
          <w:lang w:val="en-US" w:eastAsia="zh-CN"/>
        </w:rPr>
        <w:t>7304</w:t>
      </w:r>
      <w:r>
        <w:rPr>
          <w:rFonts w:hint="eastAsia" w:ascii="仿宋" w:hAnsi="仿宋" w:eastAsia="仿宋"/>
          <w:color w:val="auto"/>
          <w:sz w:val="32"/>
          <w:szCs w:val="32"/>
        </w:rPr>
        <w:t>人次，收治住院病人</w:t>
      </w:r>
      <w:r>
        <w:rPr>
          <w:rFonts w:hint="eastAsia" w:ascii="仿宋" w:hAnsi="仿宋" w:eastAsia="仿宋"/>
          <w:color w:val="auto"/>
          <w:sz w:val="32"/>
          <w:szCs w:val="32"/>
          <w:lang w:val="en-US" w:eastAsia="zh-CN"/>
        </w:rPr>
        <w:t>798</w:t>
      </w:r>
      <w:r>
        <w:rPr>
          <w:rFonts w:hint="eastAsia" w:ascii="仿宋" w:hAnsi="仿宋" w:eastAsia="仿宋"/>
          <w:color w:val="auto"/>
          <w:sz w:val="32"/>
          <w:szCs w:val="32"/>
        </w:rPr>
        <w:t>人次，实现医疗收入</w:t>
      </w:r>
      <w:r>
        <w:rPr>
          <w:rFonts w:hint="eastAsia" w:ascii="仿宋" w:hAnsi="仿宋" w:eastAsia="仿宋"/>
          <w:color w:val="auto"/>
          <w:sz w:val="32"/>
          <w:szCs w:val="32"/>
          <w:lang w:val="en-US" w:eastAsia="zh-CN"/>
        </w:rPr>
        <w:t>1,495,040</w:t>
      </w:r>
      <w:r>
        <w:rPr>
          <w:rFonts w:hint="eastAsia" w:ascii="仿宋" w:hAnsi="仿宋" w:eastAsia="仿宋"/>
          <w:color w:val="auto"/>
          <w:sz w:val="32"/>
          <w:szCs w:val="32"/>
        </w:rPr>
        <w:t>元；居民健康建档人数</w:t>
      </w:r>
      <w:r>
        <w:rPr>
          <w:rFonts w:hint="eastAsia" w:ascii="仿宋" w:hAnsi="仿宋" w:eastAsia="仿宋"/>
          <w:color w:val="auto"/>
          <w:sz w:val="32"/>
          <w:szCs w:val="32"/>
          <w:lang w:val="en-US" w:eastAsia="zh-CN"/>
        </w:rPr>
        <w:t>14771</w:t>
      </w:r>
      <w:r>
        <w:rPr>
          <w:rFonts w:hint="eastAsia" w:ascii="仿宋" w:hAnsi="仿宋" w:eastAsia="仿宋"/>
          <w:color w:val="auto"/>
          <w:sz w:val="32"/>
          <w:szCs w:val="32"/>
        </w:rPr>
        <w:t>人，电子建档人数为</w:t>
      </w:r>
      <w:r>
        <w:rPr>
          <w:rFonts w:hint="eastAsia" w:ascii="仿宋" w:hAnsi="仿宋" w:eastAsia="仿宋"/>
          <w:color w:val="auto"/>
          <w:sz w:val="32"/>
          <w:szCs w:val="32"/>
          <w:lang w:val="en-US" w:eastAsia="zh-CN"/>
        </w:rPr>
        <w:t>14771</w:t>
      </w:r>
      <w:r>
        <w:rPr>
          <w:rFonts w:hint="eastAsia" w:ascii="仿宋" w:hAnsi="仿宋" w:eastAsia="仿宋"/>
          <w:color w:val="auto"/>
          <w:sz w:val="32"/>
          <w:szCs w:val="32"/>
        </w:rPr>
        <w:t>人，健康知识讲座受益人数达</w:t>
      </w:r>
      <w:r>
        <w:rPr>
          <w:rFonts w:hint="eastAsia" w:ascii="仿宋" w:hAnsi="仿宋" w:eastAsia="仿宋"/>
          <w:color w:val="auto"/>
          <w:sz w:val="32"/>
          <w:szCs w:val="32"/>
          <w:lang w:val="en-US" w:eastAsia="zh-CN"/>
        </w:rPr>
        <w:t>14771</w:t>
      </w:r>
      <w:r>
        <w:rPr>
          <w:rFonts w:hint="eastAsia" w:ascii="仿宋" w:hAnsi="仿宋" w:eastAsia="仿宋"/>
          <w:color w:val="auto"/>
          <w:sz w:val="32"/>
          <w:szCs w:val="32"/>
        </w:rPr>
        <w:t>人次</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健康扶贫工作三个一批</w:t>
      </w:r>
      <w:r>
        <w:rPr>
          <w:rFonts w:hint="eastAsia" w:ascii="仿宋_GB2312" w:hAnsi="仿宋" w:eastAsia="仿宋_GB2312"/>
          <w:sz w:val="32"/>
          <w:szCs w:val="32"/>
          <w:lang w:eastAsia="zh-CN"/>
        </w:rPr>
        <w:t>信息录入全面完成</w:t>
      </w:r>
      <w:r>
        <w:rPr>
          <w:rFonts w:hint="eastAsia" w:ascii="仿宋_GB2312" w:hAnsi="仿宋" w:eastAsia="仿宋_GB2312"/>
          <w:sz w:val="32"/>
          <w:szCs w:val="32"/>
          <w:lang w:val="en-US" w:eastAsia="zh-CN"/>
        </w:rPr>
        <w:t>2018</w:t>
      </w:r>
      <w:bookmarkStart w:id="73" w:name="_GoBack"/>
      <w:bookmarkEnd w:id="73"/>
      <w:r>
        <w:rPr>
          <w:rFonts w:hint="eastAsia" w:ascii="仿宋_GB2312" w:hAnsi="仿宋" w:eastAsia="仿宋_GB2312"/>
          <w:sz w:val="32"/>
          <w:szCs w:val="32"/>
          <w:lang w:val="en-US" w:eastAsia="zh-CN"/>
        </w:rPr>
        <w:t>年大病救治23人，慢病签约1022人，重病兜底11人。</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p>
    <w:p>
      <w:pPr>
        <w:pStyle w:val="3"/>
        <w:rPr>
          <w:rStyle w:val="26"/>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ind w:firstLine="640" w:firstLineChars="200"/>
        <w:rPr>
          <w:rFonts w:ascii="仿宋" w:hAnsi="仿宋" w:eastAsia="仿宋"/>
          <w:color w:val="000000"/>
          <w:sz w:val="32"/>
          <w:szCs w:val="32"/>
        </w:rPr>
      </w:pPr>
      <w:r>
        <w:rPr>
          <w:rFonts w:hint="eastAsia" w:ascii="仿宋_GB2312" w:eastAsia="仿宋_GB2312"/>
          <w:sz w:val="32"/>
          <w:szCs w:val="32"/>
          <w:lang w:val="en"/>
        </w:rPr>
        <w:t>201</w:t>
      </w:r>
      <w:r>
        <w:rPr>
          <w:rFonts w:hint="eastAsia" w:ascii="仿宋_GB2312" w:eastAsia="仿宋_GB2312"/>
          <w:sz w:val="32"/>
          <w:szCs w:val="32"/>
          <w:lang w:val="en-US" w:eastAsia="zh-CN"/>
        </w:rPr>
        <w:t>8</w:t>
      </w:r>
      <w:r>
        <w:rPr>
          <w:rFonts w:hint="eastAsia" w:ascii="仿宋_GB2312" w:eastAsia="仿宋_GB2312"/>
          <w:sz w:val="32"/>
          <w:szCs w:val="32"/>
          <w:lang w:val="en"/>
        </w:rPr>
        <w:t>年我院部门决算公开单位1个，其中公益一类事业单位1个。</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5"/>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2018年度部门决算情况说明</w:t>
      </w:r>
      <w:bookmarkEnd w:id="22"/>
      <w:bookmarkEnd w:id="23"/>
    </w:p>
    <w:p/>
    <w:p>
      <w:pPr>
        <w:pStyle w:val="24"/>
        <w:numPr>
          <w:ilvl w:val="0"/>
          <w:numId w:val="1"/>
        </w:numPr>
        <w:spacing w:line="600" w:lineRule="exact"/>
        <w:ind w:firstLineChars="0"/>
        <w:outlineLvl w:val="1"/>
        <w:rPr>
          <w:rStyle w:val="26"/>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snapToGrid w:val="0"/>
        <w:spacing w:line="520" w:lineRule="exact"/>
        <w:ind w:firstLine="660"/>
        <w:rPr>
          <w:rFonts w:hint="eastAsia" w:ascii="仿宋_GB2312" w:hAnsi="仿宋" w:eastAsia="宋体"/>
          <w:b/>
          <w:sz w:val="32"/>
          <w:szCs w:val="32"/>
          <w:lang w:val="en-US" w:eastAsia="zh-CN"/>
        </w:rPr>
      </w:pPr>
      <w:r>
        <w:rPr>
          <w:rFonts w:hint="eastAsia" w:ascii="仿宋" w:hAnsi="仿宋" w:eastAsia="仿宋"/>
          <w:color w:val="000000"/>
          <w:sz w:val="32"/>
          <w:szCs w:val="32"/>
        </w:rPr>
        <w:t>2018年度收、支总计</w:t>
      </w:r>
      <w:r>
        <w:rPr>
          <w:rFonts w:hint="eastAsia" w:ascii="仿宋" w:hAnsi="仿宋" w:eastAsia="仿宋"/>
          <w:color w:val="000000"/>
          <w:sz w:val="32"/>
          <w:szCs w:val="32"/>
          <w:lang w:val="en-US" w:eastAsia="zh-CN"/>
        </w:rPr>
        <w:t>361.13</w:t>
      </w:r>
      <w:r>
        <w:rPr>
          <w:rFonts w:hint="eastAsia" w:ascii="仿宋" w:hAnsi="仿宋" w:eastAsia="仿宋"/>
          <w:color w:val="000000"/>
          <w:sz w:val="32"/>
          <w:szCs w:val="32"/>
        </w:rPr>
        <w:t>万元。与2017年相比，收</w:t>
      </w:r>
      <w:r>
        <w:rPr>
          <w:rFonts w:hint="eastAsia" w:ascii="仿宋_GB2312" w:hAnsi="仿宋" w:eastAsia="仿宋_GB2312"/>
          <w:sz w:val="32"/>
          <w:szCs w:val="32"/>
        </w:rPr>
        <w:t>397.98万元</w:t>
      </w:r>
      <w:r>
        <w:rPr>
          <w:rFonts w:hint="eastAsia" w:ascii="仿宋" w:hAnsi="仿宋" w:eastAsia="仿宋"/>
          <w:color w:val="000000"/>
          <w:sz w:val="32"/>
          <w:szCs w:val="32"/>
        </w:rPr>
        <w:t>、支总计各减少</w:t>
      </w:r>
      <w:r>
        <w:rPr>
          <w:rFonts w:hint="eastAsia" w:ascii="仿宋" w:hAnsi="仿宋" w:eastAsia="仿宋"/>
          <w:color w:val="000000"/>
          <w:sz w:val="32"/>
          <w:szCs w:val="32"/>
          <w:lang w:val="en-US" w:eastAsia="zh-CN"/>
        </w:rPr>
        <w:t>36.85</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9.25</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宋体" w:hAnsi="宋体"/>
          <w:b w:val="0"/>
          <w:bCs/>
          <w:color w:val="auto"/>
          <w:sz w:val="32"/>
          <w:szCs w:val="32"/>
          <w:lang w:val="en-US" w:eastAsia="zh-CN"/>
        </w:rPr>
        <w:t>医保控费，导致业务收入减少</w:t>
      </w:r>
      <w:r>
        <w:rPr>
          <w:rFonts w:hint="eastAsia" w:ascii="宋体" w:hAnsi="宋体"/>
          <w:b/>
          <w:sz w:val="32"/>
          <w:szCs w:val="32"/>
          <w:lang w:val="en-US" w:eastAsia="zh-CN"/>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ind w:firstLine="640" w:firstLineChars="200"/>
        <w:jc w:val="left"/>
        <w:rPr>
          <w:rStyle w:val="26"/>
          <w:rFonts w:ascii="黑体" w:hAnsi="黑体" w:eastAsia="黑体"/>
          <w:b w:val="0"/>
        </w:rPr>
      </w:pPr>
      <w:bookmarkStart w:id="26" w:name="_Toc15377206"/>
      <w:bookmarkStart w:id="27" w:name="_Toc15396604"/>
      <w:r>
        <w:rPr>
          <w:rFonts w:hint="eastAsia" w:ascii="黑体" w:hAnsi="黑体" w:eastAsia="黑体"/>
          <w:color w:val="000000"/>
          <w:sz w:val="32"/>
          <w:szCs w:val="32"/>
          <w:lang w:eastAsia="zh-CN"/>
        </w:rPr>
        <w:drawing>
          <wp:anchor distT="0" distB="0" distL="114300" distR="114300" simplePos="0" relativeHeight="251658240" behindDoc="0" locked="0" layoutInCell="1" allowOverlap="1">
            <wp:simplePos x="0" y="0"/>
            <wp:positionH relativeFrom="column">
              <wp:posOffset>238125</wp:posOffset>
            </wp:positionH>
            <wp:positionV relativeFrom="paragraph">
              <wp:posOffset>70485</wp:posOffset>
            </wp:positionV>
            <wp:extent cx="4794250" cy="3231515"/>
            <wp:effectExtent l="4445" t="4445" r="20955" b="2159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r>
        <w:rPr>
          <w:rFonts w:hint="eastAsia" w:ascii="仿宋" w:hAnsi="仿宋" w:eastAsia="仿宋"/>
          <w:color w:val="000000"/>
          <w:sz w:val="32"/>
          <w:szCs w:val="32"/>
          <w:lang w:val="en-US" w:eastAsia="zh-CN"/>
        </w:rPr>
        <w:t>361.13</w:t>
      </w:r>
      <w:r>
        <w:rPr>
          <w:rFonts w:hint="eastAsia" w:ascii="仿宋" w:hAnsi="仿宋" w:eastAsia="仿宋"/>
          <w:color w:val="000000"/>
          <w:sz w:val="32"/>
          <w:szCs w:val="32"/>
        </w:rPr>
        <w:t>万元</w:t>
      </w:r>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361.13</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130.91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36.25</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221.7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61.39</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8.52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2.36</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ind w:firstLine="640" w:firstLineChars="200"/>
        <w:rPr>
          <w:rStyle w:val="26"/>
          <w:rFonts w:ascii="黑体" w:hAnsi="黑体" w:eastAsia="黑体"/>
          <w:b w:val="0"/>
        </w:rPr>
      </w:pPr>
      <w:bookmarkStart w:id="28" w:name="_Toc15377207"/>
      <w:bookmarkStart w:id="29" w:name="_Toc15396605"/>
      <w:r>
        <w:rPr>
          <w:rFonts w:hint="eastAsia" w:ascii="黑体" w:hAnsi="黑体" w:eastAsia="黑体"/>
          <w:color w:val="000000"/>
          <w:sz w:val="32"/>
          <w:szCs w:val="32"/>
        </w:rPr>
        <w:drawing>
          <wp:anchor distT="0" distB="0" distL="114300" distR="114300" simplePos="0" relativeHeight="251659264" behindDoc="0" locked="0" layoutInCell="1" allowOverlap="1">
            <wp:simplePos x="0" y="0"/>
            <wp:positionH relativeFrom="column">
              <wp:posOffset>436245</wp:posOffset>
            </wp:positionH>
            <wp:positionV relativeFrom="paragraph">
              <wp:posOffset>137795</wp:posOffset>
            </wp:positionV>
            <wp:extent cx="4310380" cy="2893695"/>
            <wp:effectExtent l="4445" t="5080" r="9525" b="1587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361.14</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351.14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97.23</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2.67</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黑体" w:hAnsi="黑体" w:eastAsia="黑体"/>
          <w:color w:val="000000"/>
          <w:sz w:val="32"/>
          <w:szCs w:val="32"/>
        </w:rPr>
        <w:drawing>
          <wp:anchor distT="0" distB="0" distL="114300" distR="114300" simplePos="0" relativeHeight="251661312" behindDoc="0" locked="0" layoutInCell="1" allowOverlap="1">
            <wp:simplePos x="0" y="0"/>
            <wp:positionH relativeFrom="column">
              <wp:posOffset>360045</wp:posOffset>
            </wp:positionH>
            <wp:positionV relativeFrom="paragraph">
              <wp:posOffset>515620</wp:posOffset>
            </wp:positionV>
            <wp:extent cx="4310380" cy="2657475"/>
            <wp:effectExtent l="4445" t="5080" r="9525" b="444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outlineLvl w:val="1"/>
        <w:rPr>
          <w:rStyle w:val="26"/>
          <w:rFonts w:ascii="黑体" w:hAnsi="黑体" w:eastAsia="黑体"/>
          <w:b w:val="0"/>
        </w:rPr>
      </w:pPr>
      <w:bookmarkStart w:id="30" w:name="_Toc15377208"/>
      <w:bookmarkStart w:id="31" w:name="_Toc15396606"/>
      <w:r>
        <w:rPr>
          <w:rFonts w:hint="eastAsia" w:ascii="黑体" w:hAnsi="黑体" w:eastAsia="黑体"/>
          <w:color w:val="FF0000"/>
          <w:sz w:val="32"/>
          <w:szCs w:val="32"/>
        </w:rPr>
        <w:t>四、财</w:t>
      </w:r>
      <w:r>
        <w:rPr>
          <w:rStyle w:val="26"/>
          <w:rFonts w:hint="eastAsia" w:ascii="黑体" w:hAnsi="黑体" w:eastAsia="黑体"/>
          <w:b w:val="0"/>
          <w:color w:val="FF0000"/>
        </w:rPr>
        <w:t>政拨款收入支出决算总体情况说明</w:t>
      </w:r>
      <w:bookmarkEnd w:id="30"/>
      <w:bookmarkEnd w:id="31"/>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8年财政拨款收、支总计</w:t>
      </w:r>
      <w:r>
        <w:rPr>
          <w:rFonts w:hint="eastAsia" w:ascii="仿宋" w:hAnsi="仿宋" w:eastAsia="仿宋"/>
          <w:color w:val="000000"/>
          <w:sz w:val="32"/>
          <w:szCs w:val="32"/>
          <w:lang w:val="en-US" w:eastAsia="zh-CN"/>
        </w:rPr>
        <w:t>130.91</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7年相比，财政拨款收</w:t>
      </w:r>
      <w:r>
        <w:rPr>
          <w:rFonts w:hint="eastAsia" w:ascii="仿宋_GB2312" w:eastAsia="仿宋_GB2312"/>
          <w:color w:val="000000"/>
          <w:sz w:val="32"/>
          <w:szCs w:val="32"/>
        </w:rPr>
        <w:t>197.71万元</w:t>
      </w:r>
      <w:r>
        <w:rPr>
          <w:rFonts w:hint="eastAsia" w:ascii="仿宋" w:hAnsi="仿宋" w:eastAsia="仿宋"/>
          <w:color w:val="000000"/>
          <w:sz w:val="32"/>
          <w:szCs w:val="32"/>
        </w:rPr>
        <w:t>、支总计各减少</w:t>
      </w:r>
      <w:r>
        <w:rPr>
          <w:rFonts w:hint="eastAsia" w:ascii="仿宋" w:hAnsi="仿宋" w:eastAsia="仿宋"/>
          <w:color w:val="000000"/>
          <w:sz w:val="32"/>
          <w:szCs w:val="32"/>
          <w:lang w:val="en-US" w:eastAsia="zh-CN"/>
        </w:rPr>
        <w:t>66.8</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33.78</w:t>
      </w:r>
      <w:r>
        <w:rPr>
          <w:rFonts w:ascii="仿宋" w:hAnsi="仿宋" w:eastAsia="仿宋"/>
          <w:color w:val="000000"/>
          <w:sz w:val="32"/>
          <w:szCs w:val="32"/>
        </w:rPr>
        <w:t>%</w:t>
      </w:r>
      <w:r>
        <w:rPr>
          <w:rFonts w:hint="eastAsia" w:ascii="仿宋" w:hAnsi="仿宋" w:eastAsia="仿宋"/>
          <w:color w:val="000000"/>
          <w:sz w:val="32"/>
          <w:szCs w:val="32"/>
        </w:rPr>
        <w:t>。主要</w:t>
      </w:r>
      <w:r>
        <w:rPr>
          <w:rFonts w:hint="eastAsia" w:ascii="仿宋" w:hAnsi="仿宋" w:eastAsia="仿宋"/>
          <w:color w:val="000000"/>
          <w:sz w:val="32"/>
          <w:szCs w:val="32"/>
          <w:lang w:val="en-US" w:eastAsia="zh-CN"/>
        </w:rPr>
        <w:t>原因</w:t>
      </w:r>
      <w:r>
        <w:rPr>
          <w:rFonts w:hint="eastAsia"/>
          <w:sz w:val="32"/>
          <w:szCs w:val="40"/>
          <w14:textFill>
            <w14:gradFill>
              <w14:gsLst>
                <w14:gs w14:pos="0">
                  <w14:srgbClr w14:val="FE4444"/>
                </w14:gs>
                <w14:gs w14:pos="100000">
                  <w14:srgbClr w14:val="832B2B"/>
                </w14:gs>
              </w14:gsLst>
              <w14:lin/>
            </w14:gradFill>
          </w14:textFill>
        </w:rPr>
        <w:t>部分指标滚存下年</w:t>
      </w: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6"/>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auto"/>
          <w:sz w:val="32"/>
          <w:szCs w:val="32"/>
        </w:rPr>
      </w:pPr>
      <w:bookmarkStart w:id="34" w:name="_Toc15377210"/>
      <w:r>
        <w:rPr>
          <w:rFonts w:hint="eastAsia" w:ascii="仿宋" w:hAnsi="仿宋" w:eastAsia="仿宋"/>
          <w:b/>
          <w:color w:val="auto"/>
          <w:sz w:val="32"/>
          <w:szCs w:val="32"/>
        </w:rPr>
        <w:t>（一）一般公共预算财政拨款支出决算总体情况</w:t>
      </w:r>
      <w:bookmarkEnd w:id="34"/>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130.91</w:t>
      </w:r>
      <w:r>
        <w:rPr>
          <w:rFonts w:hint="eastAsia" w:ascii="仿宋" w:hAnsi="仿宋" w:eastAsia="仿宋"/>
          <w:color w:val="000000"/>
          <w:sz w:val="32"/>
          <w:szCs w:val="32"/>
        </w:rPr>
        <w:t>万元，占本年支出合计的占</w:t>
      </w:r>
      <w:r>
        <w:rPr>
          <w:rFonts w:hint="eastAsia" w:ascii="仿宋" w:hAnsi="仿宋" w:eastAsia="仿宋"/>
          <w:color w:val="000000"/>
          <w:sz w:val="32"/>
          <w:szCs w:val="32"/>
          <w:lang w:val="en-US" w:eastAsia="zh-CN"/>
        </w:rPr>
        <w:t>36.25</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w:t>
      </w:r>
      <w:r>
        <w:rPr>
          <w:rFonts w:hint="eastAsia" w:ascii="仿宋_GB2312" w:eastAsia="仿宋_GB2312"/>
          <w:color w:val="000000"/>
          <w:sz w:val="32"/>
          <w:szCs w:val="32"/>
        </w:rPr>
        <w:t>197.71万元</w:t>
      </w:r>
      <w:r>
        <w:rPr>
          <w:rFonts w:hint="eastAsia" w:ascii="仿宋" w:hAnsi="仿宋" w:eastAsia="仿宋"/>
          <w:color w:val="000000"/>
          <w:sz w:val="32"/>
          <w:szCs w:val="32"/>
        </w:rPr>
        <w:t>、减少</w:t>
      </w:r>
      <w:r>
        <w:rPr>
          <w:rFonts w:hint="eastAsia" w:ascii="仿宋" w:hAnsi="仿宋" w:eastAsia="仿宋"/>
          <w:color w:val="000000"/>
          <w:sz w:val="32"/>
          <w:szCs w:val="32"/>
          <w:lang w:val="en-US" w:eastAsia="zh-CN"/>
        </w:rPr>
        <w:t>66.8</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33.78</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sz w:val="32"/>
          <w:szCs w:val="40"/>
        </w:rPr>
        <w:t>部分指标滚存下年</w:t>
      </w: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0" w:firstLineChars="200"/>
        <w:rPr>
          <w:rFonts w:ascii="仿宋" w:hAnsi="仿宋" w:eastAsia="仿宋"/>
          <w:b/>
          <w:color w:val="000000"/>
          <w:sz w:val="32"/>
          <w:szCs w:val="32"/>
        </w:rPr>
      </w:pPr>
      <w:bookmarkStart w:id="35" w:name="_Toc15377211"/>
      <w:r>
        <w:rPr>
          <w:rFonts w:hint="eastAsia" w:ascii="黑体" w:hAnsi="黑体" w:eastAsia="黑体"/>
          <w:color w:val="000000"/>
          <w:sz w:val="32"/>
          <w:szCs w:val="32"/>
          <w:lang w:eastAsia="zh-CN"/>
        </w:rPr>
        <w:drawing>
          <wp:anchor distT="0" distB="0" distL="114300" distR="114300" simplePos="0" relativeHeight="251667456" behindDoc="0" locked="0" layoutInCell="1" allowOverlap="1">
            <wp:simplePos x="0" y="0"/>
            <wp:positionH relativeFrom="column">
              <wp:posOffset>290830</wp:posOffset>
            </wp:positionH>
            <wp:positionV relativeFrom="paragraph">
              <wp:posOffset>125730</wp:posOffset>
            </wp:positionV>
            <wp:extent cx="4794250" cy="2492375"/>
            <wp:effectExtent l="4445" t="4445" r="20955" b="1778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130.91</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130.91</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91.75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1.85</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1.42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w:t>
      </w:r>
      <w:r>
        <w:rPr>
          <w:rFonts w:hint="eastAsia" w:ascii="仿宋" w:hAnsi="仿宋" w:eastAsia="仿宋"/>
          <w:color w:val="000000" w:themeColor="text1"/>
          <w:sz w:val="32"/>
          <w:szCs w:val="32"/>
          <w:lang w:val="en-US" w:eastAsia="zh-CN"/>
          <w14:textFill>
            <w14:solidFill>
              <w14:schemeClr w14:val="tx1"/>
            </w14:solidFill>
          </w14:textFill>
        </w:rPr>
        <w:t>129.06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98.58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8480" behindDoc="0" locked="0" layoutInCell="1" allowOverlap="1">
            <wp:simplePos x="0" y="0"/>
            <wp:positionH relativeFrom="column">
              <wp:posOffset>252095</wp:posOffset>
            </wp:positionH>
            <wp:positionV relativeFrom="paragraph">
              <wp:posOffset>758825</wp:posOffset>
            </wp:positionV>
            <wp:extent cx="4709795" cy="2572385"/>
            <wp:effectExtent l="4445" t="4445" r="10160" b="13970"/>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000000"/>
          <w:sz w:val="32"/>
          <w:szCs w:val="32"/>
        </w:rPr>
        <w:t>（图6：一般公共预算财政拨款支出决算结构）（饼状图）</w:t>
      </w: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8460"/>
      <w:bookmarkStart w:id="38" w:name="_Toc15377444"/>
      <w:bookmarkStart w:id="39" w:name="_Toc15377213"/>
      <w:r>
        <w:rPr>
          <w:rFonts w:hint="eastAsia" w:ascii="仿宋" w:hAnsi="仿宋" w:eastAsia="仿宋"/>
          <w:b/>
          <w:color w:val="000000" w:themeColor="text1"/>
          <w:sz w:val="32"/>
          <w:szCs w:val="32"/>
          <w14:textFill>
            <w14:solidFill>
              <w14:schemeClr w14:val="tx1"/>
            </w14:solidFill>
          </w14:textFill>
        </w:rPr>
        <w:t>2018年</w:t>
      </w:r>
      <w:r>
        <w:rPr>
          <w:rFonts w:hint="eastAsia" w:ascii="仿宋" w:hAnsi="仿宋" w:eastAsia="仿宋"/>
          <w:b/>
          <w:color w:val="000000" w:themeColor="text1"/>
          <w:sz w:val="32"/>
          <w:szCs w:val="32"/>
          <w:lang w:val="en-US"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130.91</w:t>
      </w:r>
      <w:r>
        <w:rPr>
          <w:rFonts w:hint="eastAsia" w:ascii="仿宋" w:hAnsi="仿宋" w:eastAsia="仿宋"/>
          <w:color w:val="000000" w:themeColor="text1"/>
          <w:sz w:val="32"/>
          <w:szCs w:val="32"/>
          <w:lang w:val="en-US" w:eastAsia="zh-CN"/>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完成</w:t>
      </w:r>
      <w:r>
        <w:rPr>
          <w:rStyle w:val="15"/>
          <w:rFonts w:hint="eastAsia" w:ascii="仿宋" w:hAnsi="仿宋" w:eastAsia="仿宋"/>
          <w:bCs/>
          <w:color w:val="000000"/>
          <w:sz w:val="32"/>
          <w:szCs w:val="32"/>
        </w:rPr>
        <w:t>预算</w:t>
      </w:r>
      <w:r>
        <w:rPr>
          <w:rStyle w:val="15"/>
          <w:rFonts w:hint="eastAsia" w:ascii="仿宋" w:hAnsi="仿宋" w:eastAsia="仿宋"/>
          <w:bCs/>
          <w:color w:val="000000"/>
          <w:sz w:val="32"/>
          <w:szCs w:val="32"/>
          <w:lang w:val="en-US" w:eastAsia="zh-CN"/>
        </w:rPr>
        <w:t>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spacing w:line="600" w:lineRule="exact"/>
        <w:ind w:firstLine="642" w:firstLineChars="200"/>
        <w:rPr>
          <w:rFonts w:ascii="仿宋" w:hAnsi="仿宋" w:eastAsia="仿宋"/>
          <w:b/>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一般公共服务（类）</w:t>
      </w:r>
      <w:r>
        <w:rPr>
          <w:rFonts w:hint="eastAsia" w:ascii="仿宋_GB2312" w:eastAsia="仿宋_GB2312"/>
          <w:color w:val="000000"/>
          <w:sz w:val="32"/>
          <w:szCs w:val="32"/>
        </w:rPr>
        <w:t>医疗卫生与计划生育支出</w:t>
      </w:r>
      <w:r>
        <w:rPr>
          <w:rStyle w:val="15"/>
          <w:rFonts w:hint="eastAsia" w:ascii="仿宋" w:hAnsi="仿宋" w:eastAsia="仿宋"/>
          <w:bCs/>
          <w:color w:val="000000"/>
          <w:sz w:val="32"/>
          <w:szCs w:val="32"/>
        </w:rPr>
        <w:t>（款）</w:t>
      </w:r>
      <w:r>
        <w:rPr>
          <w:rStyle w:val="15"/>
          <w:rFonts w:hint="eastAsia" w:ascii="仿宋_GB2312" w:eastAsia="仿宋_GB2312"/>
          <w:color w:val="000000"/>
          <w:sz w:val="32"/>
          <w:szCs w:val="32"/>
        </w:rPr>
        <w:t>乡镇卫生院</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130.91</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2" w:firstLineChars="200"/>
        <w:rPr>
          <w:rFonts w:ascii="仿宋" w:hAnsi="仿宋" w:eastAsia="仿宋"/>
          <w:b/>
          <w:color w:val="000000"/>
          <w:sz w:val="32"/>
          <w:szCs w:val="32"/>
        </w:rPr>
      </w:pPr>
      <w:r>
        <w:rPr>
          <w:rStyle w:val="15"/>
          <w:rFonts w:ascii="仿宋" w:hAnsi="仿宋" w:eastAsia="仿宋"/>
          <w:bCs/>
          <w:color w:val="000000"/>
          <w:sz w:val="32"/>
          <w:szCs w:val="32"/>
        </w:rPr>
        <w:t>2.</w:t>
      </w:r>
      <w:r>
        <w:rPr>
          <w:rStyle w:val="15"/>
          <w:rFonts w:hint="eastAsia" w:ascii="仿宋" w:hAnsi="仿宋" w:eastAsia="仿宋"/>
          <w:bCs/>
          <w:color w:val="000000"/>
          <w:sz w:val="32"/>
          <w:szCs w:val="32"/>
        </w:rPr>
        <w:t>教育（类）</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（款）</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w:t>
      </w:r>
      <w:r>
        <w:rPr>
          <w:rStyle w:val="15"/>
          <w:rFonts w:hint="eastAsia" w:ascii="仿宋" w:hAnsi="仿宋" w:eastAsia="仿宋"/>
          <w:b w:val="0"/>
          <w:bCs/>
          <w:color w:val="000000"/>
          <w:sz w:val="32"/>
          <w:szCs w:val="32"/>
        </w:rPr>
        <w:t>万元。</w:t>
      </w:r>
    </w:p>
    <w:p>
      <w:pPr>
        <w:spacing w:line="600" w:lineRule="exact"/>
        <w:ind w:firstLine="642" w:firstLineChars="200"/>
        <w:rPr>
          <w:rFonts w:ascii="仿宋" w:hAnsi="仿宋" w:eastAsia="仿宋"/>
          <w:b/>
          <w:color w:val="000000"/>
          <w:sz w:val="32"/>
          <w:szCs w:val="32"/>
        </w:rPr>
      </w:pPr>
      <w:r>
        <w:rPr>
          <w:rStyle w:val="15"/>
          <w:rFonts w:ascii="仿宋" w:hAnsi="仿宋" w:eastAsia="仿宋"/>
          <w:bCs/>
          <w:color w:val="000000"/>
          <w:sz w:val="32"/>
          <w:szCs w:val="32"/>
        </w:rPr>
        <w:t>3.</w:t>
      </w:r>
      <w:r>
        <w:rPr>
          <w:rStyle w:val="15"/>
          <w:rFonts w:hint="eastAsia" w:ascii="仿宋" w:hAnsi="仿宋" w:eastAsia="仿宋"/>
          <w:bCs/>
          <w:color w:val="000000"/>
          <w:sz w:val="32"/>
          <w:szCs w:val="32"/>
        </w:rPr>
        <w:t>科学技术（类）</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（款）</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w:t>
      </w:r>
      <w:r>
        <w:rPr>
          <w:rStyle w:val="15"/>
          <w:rFonts w:hint="eastAsia" w:ascii="仿宋" w:hAnsi="仿宋" w:eastAsia="仿宋"/>
          <w:b w:val="0"/>
          <w:bCs/>
          <w:color w:val="000000"/>
          <w:sz w:val="32"/>
          <w:szCs w:val="32"/>
        </w:rPr>
        <w:t>万元。</w:t>
      </w:r>
    </w:p>
    <w:p>
      <w:pPr>
        <w:spacing w:line="600" w:lineRule="exact"/>
        <w:ind w:firstLine="642" w:firstLineChars="200"/>
        <w:rPr>
          <w:rFonts w:ascii="仿宋" w:hAnsi="仿宋" w:eastAsia="仿宋"/>
          <w:b/>
          <w:color w:val="000000"/>
          <w:sz w:val="32"/>
          <w:szCs w:val="32"/>
        </w:rPr>
      </w:pPr>
      <w:r>
        <w:rPr>
          <w:rStyle w:val="15"/>
          <w:rFonts w:ascii="仿宋" w:hAnsi="仿宋" w:eastAsia="仿宋"/>
          <w:bCs/>
          <w:color w:val="000000"/>
          <w:sz w:val="32"/>
          <w:szCs w:val="32"/>
        </w:rPr>
        <w:t>4.</w:t>
      </w:r>
      <w:r>
        <w:rPr>
          <w:rStyle w:val="15"/>
          <w:rFonts w:hint="eastAsia" w:ascii="仿宋" w:hAnsi="仿宋" w:eastAsia="仿宋"/>
          <w:bCs/>
          <w:color w:val="000000"/>
          <w:sz w:val="32"/>
          <w:szCs w:val="32"/>
        </w:rPr>
        <w:t>文化体育与传媒（类）</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（款）</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w:t>
      </w:r>
      <w:r>
        <w:rPr>
          <w:rStyle w:val="15"/>
          <w:rFonts w:hint="eastAsia" w:ascii="仿宋" w:hAnsi="仿宋" w:eastAsia="仿宋"/>
          <w:b w:val="0"/>
          <w:bCs/>
          <w:color w:val="000000"/>
          <w:sz w:val="32"/>
          <w:szCs w:val="32"/>
        </w:rPr>
        <w:t>万元。</w:t>
      </w:r>
    </w:p>
    <w:p>
      <w:pPr>
        <w:spacing w:line="600" w:lineRule="exact"/>
        <w:ind w:firstLine="642" w:firstLineChars="200"/>
        <w:rPr>
          <w:rFonts w:ascii="仿宋" w:hAnsi="仿宋" w:eastAsia="仿宋"/>
          <w:b/>
          <w:color w:val="000000"/>
          <w:sz w:val="32"/>
          <w:szCs w:val="32"/>
        </w:rPr>
      </w:pPr>
      <w:r>
        <w:rPr>
          <w:rStyle w:val="15"/>
          <w:rFonts w:ascii="仿宋" w:hAnsi="仿宋" w:eastAsia="仿宋"/>
          <w:bCs/>
          <w:color w:val="000000"/>
          <w:sz w:val="32"/>
          <w:szCs w:val="32"/>
        </w:rPr>
        <w:t>5.</w:t>
      </w:r>
      <w:r>
        <w:rPr>
          <w:rStyle w:val="15"/>
          <w:rFonts w:hint="eastAsia" w:ascii="仿宋" w:hAnsi="仿宋" w:eastAsia="仿宋"/>
          <w:bCs/>
          <w:color w:val="000000"/>
          <w:sz w:val="32"/>
          <w:szCs w:val="32"/>
        </w:rPr>
        <w:t>社会保障和就业（类）</w:t>
      </w:r>
      <w:r>
        <w:rPr>
          <w:rStyle w:val="15"/>
          <w:rFonts w:hint="eastAsia" w:ascii="仿宋_GB2312" w:eastAsia="仿宋_GB2312"/>
          <w:color w:val="000000"/>
          <w:sz w:val="32"/>
          <w:szCs w:val="32"/>
        </w:rPr>
        <w:t>医疗保障</w:t>
      </w:r>
      <w:r>
        <w:rPr>
          <w:rStyle w:val="15"/>
          <w:rFonts w:hint="eastAsia" w:ascii="仿宋" w:hAnsi="仿宋" w:eastAsia="仿宋"/>
          <w:bCs/>
          <w:color w:val="000000"/>
          <w:sz w:val="32"/>
          <w:szCs w:val="32"/>
        </w:rPr>
        <w:t>（款）</w:t>
      </w:r>
      <w:r>
        <w:rPr>
          <w:rStyle w:val="15"/>
          <w:rFonts w:hint="eastAsia" w:ascii="仿宋_GB2312" w:eastAsia="仿宋_GB2312"/>
          <w:color w:val="000000"/>
          <w:sz w:val="32"/>
          <w:szCs w:val="32"/>
        </w:rPr>
        <w:t>乡镇卫生院</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1.85</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2" w:firstLineChars="200"/>
        <w:rPr>
          <w:rFonts w:ascii="仿宋" w:hAnsi="仿宋" w:eastAsia="仿宋"/>
          <w:b/>
          <w:color w:val="000000"/>
          <w:sz w:val="32"/>
          <w:szCs w:val="32"/>
        </w:rPr>
      </w:pPr>
      <w:r>
        <w:rPr>
          <w:rStyle w:val="15"/>
          <w:rFonts w:ascii="仿宋" w:hAnsi="仿宋" w:eastAsia="仿宋"/>
          <w:bCs/>
          <w:color w:val="000000"/>
          <w:sz w:val="32"/>
          <w:szCs w:val="32"/>
        </w:rPr>
        <w:t>6.</w:t>
      </w:r>
      <w:r>
        <w:rPr>
          <w:rStyle w:val="15"/>
          <w:rFonts w:hint="eastAsia" w:ascii="仿宋" w:hAnsi="仿宋" w:eastAsia="仿宋"/>
          <w:bCs/>
          <w:color w:val="000000"/>
          <w:sz w:val="32"/>
          <w:szCs w:val="32"/>
        </w:rPr>
        <w:t>医疗卫生与计划生育（类）</w:t>
      </w:r>
      <w:r>
        <w:rPr>
          <w:rStyle w:val="15"/>
          <w:rFonts w:hint="eastAsia" w:ascii="仿宋_GB2312" w:eastAsia="仿宋_GB2312"/>
          <w:color w:val="000000"/>
          <w:sz w:val="32"/>
          <w:szCs w:val="32"/>
        </w:rPr>
        <w:t>基层医疗卫生机构</w:t>
      </w:r>
      <w:r>
        <w:rPr>
          <w:rStyle w:val="15"/>
          <w:rFonts w:hint="eastAsia" w:ascii="仿宋" w:hAnsi="仿宋" w:eastAsia="仿宋"/>
          <w:bCs/>
          <w:color w:val="000000"/>
          <w:sz w:val="32"/>
          <w:szCs w:val="32"/>
        </w:rPr>
        <w:t>（款）</w:t>
      </w:r>
      <w:r>
        <w:rPr>
          <w:rStyle w:val="15"/>
          <w:rFonts w:hint="eastAsia" w:ascii="仿宋_GB2312" w:eastAsia="仿宋_GB2312"/>
          <w:color w:val="000000"/>
          <w:sz w:val="32"/>
          <w:szCs w:val="32"/>
        </w:rPr>
        <w:t>乡镇卫生院</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lang w:val="en-US" w:eastAsia="zh-CN"/>
          <w14:textFill>
            <w14:solidFill>
              <w14:schemeClr w14:val="tx1"/>
            </w14:solidFill>
          </w14:textFill>
        </w:rPr>
        <w:t>129.06</w:t>
      </w:r>
      <w:r>
        <w:rPr>
          <w:rFonts w:hint="eastAsia" w:ascii="仿宋" w:hAnsi="仿宋" w:eastAsia="仿宋"/>
          <w:color w:val="000000" w:themeColor="text1"/>
          <w:sz w:val="32"/>
          <w:szCs w:val="32"/>
          <w14:textFill>
            <w14:solidFill>
              <w14:schemeClr w14:val="tx1"/>
            </w14:solidFill>
          </w14:textFill>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6"/>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000000"/>
          <w:sz w:val="32"/>
          <w:szCs w:val="32"/>
          <w:lang w:val="en-US" w:eastAsia="zh-CN"/>
        </w:rPr>
        <w:t>130.91</w:t>
      </w:r>
      <w:r>
        <w:rPr>
          <w:rFonts w:hint="eastAsia" w:ascii="仿宋" w:hAnsi="仿宋" w:eastAsia="仿宋"/>
          <w:color w:val="000000"/>
          <w:sz w:val="32"/>
          <w:szCs w:val="32"/>
        </w:rPr>
        <w:t>万元，其中：</w:t>
      </w:r>
    </w:p>
    <w:p>
      <w:pPr>
        <w:spacing w:line="600" w:lineRule="exact"/>
        <w:ind w:firstLine="645"/>
        <w:rPr>
          <w:rFonts w:ascii="仿宋" w:hAnsi="仿宋" w:eastAsia="仿宋"/>
          <w:b/>
          <w:color w:val="FF0000"/>
          <w:sz w:val="32"/>
          <w:szCs w:val="32"/>
        </w:rPr>
      </w:pPr>
      <w:r>
        <w:rPr>
          <w:rFonts w:hint="eastAsia" w:ascii="仿宋" w:hAnsi="仿宋" w:eastAsia="仿宋"/>
          <w:color w:val="auto"/>
          <w:sz w:val="32"/>
          <w:szCs w:val="32"/>
        </w:rPr>
        <w:t>人员经费</w:t>
      </w:r>
      <w:r>
        <w:rPr>
          <w:rFonts w:hint="eastAsia" w:ascii="仿宋" w:hAnsi="仿宋" w:eastAsia="仿宋"/>
          <w:color w:val="auto"/>
          <w:sz w:val="32"/>
          <w:szCs w:val="32"/>
          <w:lang w:val="en-US" w:eastAsia="zh-CN"/>
        </w:rPr>
        <w:t>45.48</w:t>
      </w:r>
      <w:r>
        <w:rPr>
          <w:rFonts w:hint="eastAsia" w:ascii="仿宋" w:hAnsi="仿宋" w:eastAsia="仿宋"/>
          <w:color w:val="auto"/>
          <w:sz w:val="32"/>
          <w:szCs w:val="32"/>
        </w:rPr>
        <w:t>万元</w:t>
      </w:r>
      <w:r>
        <w:rPr>
          <w:rFonts w:hint="eastAsia" w:ascii="仿宋" w:hAnsi="仿宋" w:eastAsia="仿宋"/>
          <w:color w:val="000000"/>
          <w:sz w:val="32"/>
          <w:szCs w:val="32"/>
        </w:rPr>
        <w:t>，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85.43</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w:t>
      </w:r>
      <w:r>
        <w:rPr>
          <w:rFonts w:hint="eastAsia" w:ascii="仿宋" w:hAnsi="仿宋" w:eastAsia="仿宋"/>
          <w:color w:val="auto"/>
          <w:sz w:val="32"/>
          <w:szCs w:val="32"/>
        </w:rPr>
        <w:t>算为</w:t>
      </w:r>
      <w:r>
        <w:rPr>
          <w:rFonts w:hint="eastAsia" w:ascii="仿宋" w:hAnsi="仿宋" w:eastAsia="仿宋"/>
          <w:color w:val="auto"/>
          <w:sz w:val="32"/>
          <w:szCs w:val="32"/>
          <w:lang w:val="en-US" w:eastAsia="zh-CN"/>
        </w:rPr>
        <w:t>3.18</w:t>
      </w:r>
      <w:r>
        <w:rPr>
          <w:rFonts w:hint="eastAsia" w:ascii="仿宋" w:hAnsi="仿宋" w:eastAsia="仿宋"/>
          <w:color w:val="auto"/>
          <w:sz w:val="32"/>
          <w:szCs w:val="32"/>
        </w:rPr>
        <w:t>万</w:t>
      </w:r>
      <w:r>
        <w:rPr>
          <w:rFonts w:hint="eastAsia" w:ascii="仿宋" w:hAnsi="仿宋" w:eastAsia="仿宋"/>
          <w:color w:val="000000"/>
          <w:sz w:val="32"/>
          <w:szCs w:val="32"/>
        </w:rPr>
        <w:t>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，决算数与预算数持平。</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2.93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92.14</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0.25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7.86</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ind w:firstLine="640"/>
        <w:rPr>
          <w:rFonts w:ascii="仿宋_GB2312" w:eastAsia="仿宋_GB2312"/>
          <w:b/>
          <w:color w:val="000000"/>
          <w:sz w:val="32"/>
          <w:szCs w:val="32"/>
        </w:rPr>
      </w:pPr>
      <w:r>
        <w:rPr>
          <w:rFonts w:hint="eastAsia" w:ascii="仿宋" w:hAnsi="仿宋" w:eastAsia="仿宋"/>
          <w:color w:val="000000"/>
          <w:sz w:val="32"/>
          <w:szCs w:val="32"/>
          <w:lang w:eastAsia="zh-CN"/>
        </w:rPr>
        <w:drawing>
          <wp:anchor distT="0" distB="0" distL="114300" distR="114300" simplePos="0" relativeHeight="251679744" behindDoc="0" locked="0" layoutInCell="1" allowOverlap="1">
            <wp:simplePos x="0" y="0"/>
            <wp:positionH relativeFrom="column">
              <wp:posOffset>307975</wp:posOffset>
            </wp:positionH>
            <wp:positionV relativeFrom="paragraph">
              <wp:posOffset>175260</wp:posOffset>
            </wp:positionV>
            <wp:extent cx="4709795" cy="2572385"/>
            <wp:effectExtent l="4445" t="4445" r="10160" b="1397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b/>
          <w:color w:val="000000"/>
          <w:sz w:val="32"/>
          <w:szCs w:val="32"/>
          <w:lang w:val="en-US" w:eastAsia="zh-CN"/>
        </w:rPr>
        <w:t>2.93</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w:t>
      </w:r>
      <w:r>
        <w:rPr>
          <w:rFonts w:hint="eastAsia" w:ascii="仿宋_GB2312" w:eastAsia="仿宋_GB2312"/>
          <w:color w:val="000000"/>
          <w:sz w:val="32"/>
          <w:szCs w:val="32"/>
          <w:lang w:val="en-US" w:eastAsia="zh-CN"/>
        </w:rPr>
        <w:t>3.8万元，</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0.87</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22.89</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严格进行三公经费管理</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辆、载客汽车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2.93</w:t>
      </w:r>
      <w:r>
        <w:rPr>
          <w:rFonts w:hint="eastAsia" w:ascii="仿宋_GB2312" w:eastAsia="仿宋_GB2312"/>
          <w:color w:val="000000"/>
          <w:sz w:val="32"/>
          <w:szCs w:val="32"/>
        </w:rPr>
        <w:t>万元。主要用于医疗救护及基本公共卫生服务下村体检及“3+X”团队服务等所需的公务用车燃料费、维修费、过路过桥费、保险费等支出。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b/>
          <w:color w:val="000000"/>
          <w:sz w:val="32"/>
          <w:szCs w:val="32"/>
          <w:lang w:val="en-US" w:eastAsia="zh-CN"/>
        </w:rPr>
        <w:t>0.25</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w:t>
      </w:r>
      <w:r>
        <w:rPr>
          <w:rFonts w:hint="eastAsia" w:ascii="仿宋_GB2312" w:eastAsia="仿宋_GB2312"/>
          <w:color w:val="000000"/>
          <w:sz w:val="32"/>
          <w:szCs w:val="32"/>
          <w:lang w:val="en-US" w:eastAsia="zh-CN"/>
        </w:rPr>
        <w:t>0.25万元，减少0</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上年度部分滚动到本年度</w:t>
      </w:r>
      <w:r>
        <w:rPr>
          <w:rFonts w:hint="eastAsia" w:ascii="仿宋_GB2312" w:eastAsia="仿宋_GB2312"/>
          <w:color w:val="000000"/>
          <w:sz w:val="32"/>
          <w:szCs w:val="32"/>
        </w:rPr>
        <w:t>。</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13</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79</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0.25</w:t>
      </w:r>
      <w:r>
        <w:rPr>
          <w:rFonts w:hint="eastAsia" w:ascii="仿宋_GB2312" w:eastAsia="仿宋_GB2312"/>
          <w:color w:val="000000"/>
          <w:sz w:val="32"/>
          <w:szCs w:val="32"/>
        </w:rPr>
        <w:t>万元，具体内容包括：上级部门检查指导工作公务接待，各类医疗业务单位相互学习交流工作接待等。其中：</w:t>
      </w:r>
    </w:p>
    <w:p>
      <w:pPr>
        <w:spacing w:line="600" w:lineRule="exact"/>
        <w:ind w:firstLine="642"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spacing w:line="600" w:lineRule="exact"/>
        <w:ind w:firstLine="640"/>
        <w:rPr>
          <w:rFonts w:hint="eastAsia" w:ascii="仿宋_GB2312" w:eastAsia="仿宋_GB2312"/>
          <w:color w:val="000000"/>
          <w:sz w:val="32"/>
          <w:szCs w:val="32"/>
          <w:lang w:eastAsia="zh-CN"/>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spacing w:line="600" w:lineRule="exact"/>
        <w:outlineLvl w:val="1"/>
        <w:rPr>
          <w:rStyle w:val="26"/>
          <w:rFonts w:ascii="黑体" w:hAnsi="黑体" w:eastAsia="黑体"/>
        </w:rPr>
      </w:pPr>
      <w:bookmarkStart w:id="46" w:name="_Toc15396610"/>
      <w:bookmarkStart w:id="47" w:name="_Toc15377218"/>
      <w:r>
        <w:rPr>
          <w:rFonts w:hint="eastAsia" w:ascii="黑体" w:eastAsia="黑体"/>
          <w:color w:val="000000"/>
          <w:sz w:val="32"/>
          <w:szCs w:val="32"/>
          <w:lang w:val="en-US" w:eastAsia="zh-CN"/>
        </w:rPr>
        <w:t xml:space="preserve">    </w:t>
      </w: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26"/>
          <w:rFonts w:ascii="黑体" w:hAnsi="黑体" w:eastAsia="黑体"/>
          <w:b w:val="0"/>
        </w:rPr>
      </w:pPr>
      <w:bookmarkStart w:id="48" w:name="_Toc15396611"/>
      <w:bookmarkStart w:id="49" w:name="_Toc15377219"/>
      <w:r>
        <w:rPr>
          <w:rStyle w:val="26"/>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Style w:val="24"/>
        <w:numPr>
          <w:ilvl w:val="0"/>
          <w:numId w:val="3"/>
        </w:numPr>
        <w:spacing w:line="580" w:lineRule="exact"/>
        <w:ind w:firstLineChars="0"/>
        <w:rPr>
          <w:rStyle w:val="26"/>
          <w:rFonts w:ascii="黑体" w:hAnsi="黑体" w:eastAsia="黑体"/>
          <w:b w:val="0"/>
        </w:rPr>
      </w:pPr>
      <w:r>
        <w:rPr>
          <w:rStyle w:val="26"/>
          <w:rFonts w:hint="eastAsia" w:ascii="黑体" w:hAnsi="黑体" w:eastAsia="黑体"/>
          <w:b w:val="0"/>
        </w:rPr>
        <w:t>预算绩效情况说明</w:t>
      </w:r>
    </w:p>
    <w:p>
      <w:pPr>
        <w:numPr>
          <w:ilvl w:val="0"/>
          <w:numId w:val="4"/>
        </w:numPr>
        <w:spacing w:line="580" w:lineRule="exact"/>
        <w:ind w:firstLine="642" w:firstLineChars="200"/>
        <w:rPr>
          <w:rFonts w:ascii="仿宋" w:hAnsi="仿宋" w:eastAsia="仿宋" w:cs="楷体_GB2312"/>
          <w:b/>
          <w:bCs/>
          <w:sz w:val="32"/>
          <w:szCs w:val="32"/>
        </w:rPr>
      </w:pPr>
      <w:bookmarkStart w:id="50" w:name="_Toc15377221"/>
      <w:bookmarkStart w:id="51" w:name="_Toc15396612"/>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w:t>
      </w:r>
      <w:r>
        <w:rPr>
          <w:rFonts w:hint="eastAsia" w:ascii="仿宋_GB2312" w:hAnsi="仿宋_GB2312" w:eastAsia="仿宋_GB2312" w:cs="仿宋_GB2312"/>
          <w:sz w:val="32"/>
          <w:szCs w:val="32"/>
          <w:lang w:val="en-US" w:eastAsia="zh-CN"/>
        </w:rPr>
        <w:t>七里镇卫生院</w:t>
      </w:r>
      <w:r>
        <w:rPr>
          <w:rFonts w:hint="eastAsia" w:ascii="仿宋_GB2312" w:hAnsi="仿宋_GB2312" w:eastAsia="仿宋_GB2312" w:cs="仿宋_GB2312"/>
          <w:sz w:val="32"/>
          <w:szCs w:val="32"/>
        </w:rPr>
        <w:t>在年初预算编制阶段，组织对</w:t>
      </w:r>
      <w:r>
        <w:rPr>
          <w:rFonts w:hint="eastAsia" w:ascii="仿宋_GB2312" w:hAnsi="仿宋_GB2312" w:eastAsia="仿宋_GB2312" w:cs="仿宋_GB2312"/>
          <w:sz w:val="32"/>
          <w:szCs w:val="32"/>
          <w:lang w:val="en-US" w:eastAsia="zh-CN"/>
        </w:rPr>
        <w:t>重大公共卫生项目</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w:t>
      </w:r>
      <w:r>
        <w:rPr>
          <w:rFonts w:hint="eastAsia" w:ascii="仿宋_GB2312" w:hAnsi="仿宋_GB2312" w:eastAsia="仿宋_GB2312" w:cs="仿宋_GB2312"/>
          <w:sz w:val="32"/>
          <w:szCs w:val="32"/>
          <w:lang w:val="en-US" w:eastAsia="zh-CN"/>
        </w:rPr>
        <w:t>按照上级安排部署，认真开展此项工作，圆满完成</w:t>
      </w:r>
      <w:r>
        <w:rPr>
          <w:rFonts w:hint="eastAsia" w:ascii="仿宋_GB2312" w:hAnsi="仿宋_GB2312" w:eastAsia="仿宋_GB2312" w:cs="仿宋_GB2312"/>
          <w:sz w:val="32"/>
          <w:szCs w:val="32"/>
        </w:rPr>
        <w:t>。</w:t>
      </w:r>
    </w:p>
    <w:p>
      <w:pPr>
        <w:numPr>
          <w:ilvl w:val="0"/>
          <w:numId w:val="4"/>
        </w:numPr>
        <w:spacing w:line="580" w:lineRule="exact"/>
        <w:ind w:firstLine="642"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w:t>
      </w:r>
      <w:r>
        <w:rPr>
          <w:rFonts w:hint="eastAsia" w:ascii="仿宋_GB2312" w:hAnsi="仿宋_GB2312" w:eastAsia="仿宋_GB2312" w:cs="仿宋_GB2312"/>
          <w:sz w:val="32"/>
          <w:szCs w:val="32"/>
          <w:lang w:val="en-US" w:eastAsia="zh-CN"/>
        </w:rPr>
        <w:t>重大公共卫生专项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项目绩效目标实际完成情况（公开内容包括完成情况综述和完成情况表）。</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重大公共卫生</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重大公共卫生</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%。通过项目实施，提高</w:t>
      </w:r>
      <w:r>
        <w:rPr>
          <w:rFonts w:hint="eastAsia" w:ascii="仿宋_GB2312" w:hAnsi="仿宋_GB2312" w:eastAsia="仿宋_GB2312" w:cs="仿宋_GB2312"/>
          <w:sz w:val="32"/>
          <w:szCs w:val="32"/>
          <w:lang w:val="en-US" w:eastAsia="zh-CN"/>
        </w:rPr>
        <w:t>了我乡公共卫生服务质量</w:t>
      </w: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重大公共卫生专项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宣汉县七里镇卫生院</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已完成</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已完成</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bl>
    <w:p>
      <w:pPr>
        <w:spacing w:line="600" w:lineRule="exact"/>
        <w:ind w:firstLine="800" w:firstLineChars="250"/>
        <w:outlineLvl w:val="1"/>
        <w:rPr>
          <w:rStyle w:val="26"/>
          <w:rFonts w:ascii="黑体" w:hAnsi="黑体" w:eastAsia="黑体"/>
        </w:rPr>
      </w:pPr>
      <w:r>
        <w:rPr>
          <w:rFonts w:hint="eastAsia" w:ascii="黑体" w:hAnsi="黑体" w:eastAsia="黑体"/>
          <w:color w:val="000000"/>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50"/>
      <w:bookmarkEnd w:id="51"/>
    </w:p>
    <w:p>
      <w:pPr>
        <w:spacing w:line="600" w:lineRule="exact"/>
        <w:ind w:firstLine="800" w:firstLineChars="250"/>
        <w:outlineLvl w:val="1"/>
        <w:rPr>
          <w:rFonts w:hint="eastAsia" w:ascii="仿宋" w:hAnsi="仿宋" w:eastAsia="仿宋"/>
          <w:sz w:val="32"/>
          <w:szCs w:val="32"/>
        </w:rPr>
      </w:pPr>
      <w:bookmarkStart w:id="52" w:name="_Toc15396613"/>
      <w:bookmarkStart w:id="53" w:name="_Toc15377225"/>
      <w:r>
        <w:rPr>
          <w:rFonts w:hint="eastAsia" w:ascii="仿宋" w:hAnsi="仿宋" w:eastAsia="仿宋"/>
          <w:sz w:val="32"/>
          <w:szCs w:val="32"/>
        </w:rPr>
        <w:t>本说明数据来源于决算数据。决算数据从软件提取自动转换为万元，因四舍五入原因，说明中数据稍有逻辑出入。</w:t>
      </w:r>
    </w:p>
    <w:p>
      <w:pPr>
        <w:numPr>
          <w:ilvl w:val="0"/>
          <w:numId w:val="6"/>
        </w:numPr>
        <w:spacing w:line="600" w:lineRule="exact"/>
        <w:ind w:firstLine="662" w:firstLineChars="150"/>
        <w:jc w:val="center"/>
        <w:outlineLvl w:val="0"/>
        <w:rPr>
          <w:rStyle w:val="25"/>
          <w:rFonts w:ascii="黑体" w:hAnsi="黑体" w:eastAsia="黑体"/>
          <w:b w:val="0"/>
        </w:rPr>
      </w:pPr>
      <w:r>
        <w:rPr>
          <w:rFonts w:hint="eastAsia" w:ascii="黑体" w:hAnsi="黑体" w:eastAsia="黑体"/>
          <w:b/>
          <w:color w:val="000000"/>
          <w:sz w:val="44"/>
          <w:szCs w:val="44"/>
        </w:rPr>
        <w:t>名</w:t>
      </w:r>
      <w:r>
        <w:rPr>
          <w:rStyle w:val="25"/>
          <w:rFonts w:hint="eastAsia" w:ascii="黑体" w:hAnsi="黑体" w:eastAsia="黑体"/>
          <w:b w:val="0"/>
        </w:rPr>
        <w:t>词解释</w:t>
      </w:r>
      <w:bookmarkEnd w:id="52"/>
      <w:bookmarkEnd w:id="53"/>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3"/>
        <w:spacing w:line="560" w:lineRule="exact"/>
        <w:ind w:firstLine="640" w:firstLineChars="200"/>
        <w:rPr>
          <w:rFonts w:ascii="仿宋_GB2312" w:eastAsia="仿宋_GB2312" w:cs="黑体"/>
          <w:sz w:val="32"/>
          <w:szCs w:val="32"/>
        </w:rPr>
      </w:pP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5"/>
          <w:rFonts w:ascii="黑体" w:hAnsi="黑体" w:eastAsia="黑体"/>
          <w:b w:val="0"/>
        </w:rPr>
      </w:pPr>
      <w:bookmarkStart w:id="54" w:name="_Toc15377226"/>
      <w:r>
        <w:rPr>
          <w:rFonts w:ascii="宋体"/>
          <w:b/>
          <w:color w:val="000000"/>
          <w:sz w:val="44"/>
          <w:szCs w:val="44"/>
        </w:rPr>
        <w:br w:type="page"/>
      </w:r>
      <w:bookmarkStart w:id="55"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5"/>
    </w:p>
    <w:p>
      <w:pPr>
        <w:spacing w:line="600" w:lineRule="exact"/>
        <w:jc w:val="center"/>
        <w:outlineLvl w:val="0"/>
        <w:rPr>
          <w:rStyle w:val="25"/>
        </w:rPr>
      </w:pPr>
    </w:p>
    <w:p>
      <w:pPr>
        <w:pStyle w:val="3"/>
        <w:rPr>
          <w:rStyle w:val="25"/>
          <w:rFonts w:ascii="仿宋" w:hAnsi="仿宋" w:eastAsia="仿宋"/>
          <w:b w:val="0"/>
          <w:bCs w:val="0"/>
          <w:sz w:val="32"/>
          <w:szCs w:val="32"/>
        </w:rPr>
      </w:pPr>
      <w:bookmarkStart w:id="56" w:name="_Toc15396615"/>
      <w:bookmarkStart w:id="57" w:name="_Toc15396617"/>
      <w:r>
        <w:rPr>
          <w:rStyle w:val="25"/>
          <w:rFonts w:hint="eastAsia" w:ascii="仿宋" w:hAnsi="仿宋" w:eastAsia="仿宋"/>
          <w:b w:val="0"/>
          <w:bCs w:val="0"/>
          <w:sz w:val="32"/>
          <w:szCs w:val="32"/>
        </w:rPr>
        <w:t>附件1</w:t>
      </w:r>
      <w:bookmarkEnd w:id="56"/>
    </w:p>
    <w:p>
      <w:pPr>
        <w:spacing w:line="600" w:lineRule="exact"/>
        <w:jc w:val="center"/>
        <w:outlineLvl w:val="0"/>
        <w:rPr>
          <w:rFonts w:ascii="黑体" w:hAnsi="黑体" w:eastAsia="黑体" w:cs="方正小标宋简体"/>
          <w:sz w:val="36"/>
          <w:szCs w:val="36"/>
        </w:rPr>
      </w:pPr>
      <w:bookmarkStart w:id="58" w:name="_Toc15396616"/>
      <w:r>
        <w:rPr>
          <w:rFonts w:hint="eastAsia" w:ascii="黑体" w:hAnsi="黑体" w:eastAsia="黑体" w:cs="方正小标宋简体"/>
          <w:sz w:val="36"/>
          <w:szCs w:val="36"/>
        </w:rPr>
        <w:t>宣汉县</w:t>
      </w:r>
      <w:r>
        <w:rPr>
          <w:rFonts w:hint="eastAsia" w:ascii="黑体" w:hAnsi="黑体" w:eastAsia="黑体" w:cs="方正小标宋简体"/>
          <w:sz w:val="36"/>
          <w:szCs w:val="36"/>
          <w:lang w:val="en-US" w:eastAsia="zh-CN"/>
        </w:rPr>
        <w:t>七里镇</w:t>
      </w:r>
      <w:r>
        <w:rPr>
          <w:rFonts w:hint="eastAsia" w:ascii="黑体" w:hAnsi="黑体" w:eastAsia="黑体" w:cs="方正小标宋简体"/>
          <w:sz w:val="36"/>
          <w:szCs w:val="36"/>
        </w:rPr>
        <w:t>卫生院2018年部门整体</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支出绩效评价报告</w:t>
      </w:r>
      <w:bookmarkEnd w:id="58"/>
    </w:p>
    <w:p>
      <w:pPr>
        <w:spacing w:line="600" w:lineRule="exact"/>
        <w:jc w:val="center"/>
        <w:outlineLvl w:val="0"/>
        <w:rPr>
          <w:rFonts w:ascii="黑体" w:hAnsi="黑体" w:eastAsia="黑体" w:cs="方正小标宋简体"/>
          <w:sz w:val="36"/>
          <w:szCs w:val="36"/>
        </w:rPr>
      </w:pP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r>
        <w:rPr>
          <w:rFonts w:hint="eastAsia" w:ascii="仿宋" w:hAnsi="仿宋" w:eastAsia="仿宋" w:cs="仿宋_GB2312"/>
          <w:sz w:val="32"/>
          <w:szCs w:val="32"/>
        </w:rPr>
        <w:t>：</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宣汉县</w:t>
      </w:r>
      <w:r>
        <w:rPr>
          <w:rFonts w:hint="eastAsia" w:ascii="仿宋_GB2312" w:eastAsia="仿宋_GB2312"/>
          <w:sz w:val="32"/>
          <w:szCs w:val="32"/>
          <w:lang w:val="en-US" w:eastAsia="zh-CN"/>
        </w:rPr>
        <w:t>七里镇</w:t>
      </w:r>
      <w:r>
        <w:rPr>
          <w:rFonts w:hint="eastAsia" w:ascii="仿宋_GB2312" w:eastAsia="仿宋_GB2312"/>
          <w:sz w:val="32"/>
          <w:szCs w:val="32"/>
        </w:rPr>
        <w:t>卫生院属一级预算公益一类事业单位，</w:t>
      </w:r>
      <w:r>
        <w:rPr>
          <w:rFonts w:hint="eastAsia" w:ascii="仿宋_GB2312" w:hAnsi="宋体" w:eastAsia="仿宋_GB2312" w:cs="宋体"/>
          <w:sz w:val="32"/>
          <w:szCs w:val="32"/>
        </w:rPr>
        <w:t>执行基层医疗卫生机构会计制度。</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r>
        <w:rPr>
          <w:rFonts w:hint="eastAsia" w:ascii="仿宋" w:hAnsi="仿宋" w:eastAsia="仿宋" w:cs="仿宋_GB2312"/>
          <w:sz w:val="32"/>
          <w:szCs w:val="32"/>
        </w:rPr>
        <w:t>：</w:t>
      </w:r>
    </w:p>
    <w:p>
      <w:pPr>
        <w:ind w:firstLine="627" w:firstLineChars="196"/>
        <w:rPr>
          <w:rFonts w:ascii="仿宋_GB2312" w:hAnsi="宋体" w:eastAsia="仿宋_GB2312"/>
          <w:sz w:val="32"/>
          <w:szCs w:val="32"/>
        </w:rPr>
      </w:pPr>
      <w:r>
        <w:rPr>
          <w:rFonts w:hint="eastAsia" w:ascii="仿宋_GB2312" w:hAnsi="宋体" w:eastAsia="仿宋_GB2312"/>
          <w:sz w:val="32"/>
          <w:szCs w:val="32"/>
        </w:rPr>
        <w:t>宣汉县</w:t>
      </w:r>
      <w:r>
        <w:rPr>
          <w:rFonts w:hint="eastAsia" w:ascii="仿宋_GB2312" w:hAnsi="宋体" w:eastAsia="仿宋_GB2312"/>
          <w:sz w:val="32"/>
          <w:szCs w:val="32"/>
          <w:lang w:val="en-US" w:eastAsia="zh-CN"/>
        </w:rPr>
        <w:t>七里镇</w:t>
      </w:r>
      <w:r>
        <w:rPr>
          <w:rFonts w:hint="eastAsia" w:ascii="仿宋_GB2312" w:hAnsi="宋体" w:eastAsia="仿宋_GB2312"/>
          <w:sz w:val="32"/>
          <w:szCs w:val="32"/>
        </w:rPr>
        <w:t>卫生院主要以基本公共卫生服务、一般医疗服务为主全面开展各项工作。卫生院设立了内科、外科、</w:t>
      </w:r>
      <w:r>
        <w:rPr>
          <w:rFonts w:hint="eastAsia" w:ascii="仿宋_GB2312" w:hAnsi="宋体" w:eastAsia="仿宋_GB2312"/>
          <w:sz w:val="32"/>
          <w:szCs w:val="32"/>
          <w:lang w:val="en-US" w:eastAsia="zh-CN"/>
        </w:rPr>
        <w:t>儿科、</w:t>
      </w:r>
      <w:r>
        <w:rPr>
          <w:rFonts w:hint="eastAsia" w:ascii="仿宋_GB2312" w:hAnsi="宋体" w:eastAsia="仿宋_GB2312"/>
          <w:sz w:val="32"/>
          <w:szCs w:val="32"/>
        </w:rPr>
        <w:t>中医科、防保站、居民健康档案室、医保办公室等科室，开展了检验、B超、等辅助科室。</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r>
        <w:rPr>
          <w:rFonts w:hint="eastAsia" w:ascii="仿宋" w:hAnsi="仿宋" w:eastAsia="仿宋" w:cs="仿宋_GB2312"/>
          <w:sz w:val="32"/>
          <w:szCs w:val="32"/>
        </w:rPr>
        <w:t>：</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宣汉县</w:t>
      </w:r>
      <w:r>
        <w:rPr>
          <w:rFonts w:hint="eastAsia" w:ascii="仿宋_GB2312" w:eastAsia="仿宋_GB2312"/>
          <w:sz w:val="32"/>
          <w:szCs w:val="32"/>
          <w:lang w:val="en-US" w:eastAsia="zh-CN"/>
        </w:rPr>
        <w:t>七里镇</w:t>
      </w:r>
      <w:r>
        <w:rPr>
          <w:rFonts w:hint="eastAsia" w:ascii="仿宋_GB2312" w:hAnsi="宋体" w:eastAsia="仿宋_GB2312"/>
          <w:sz w:val="32"/>
          <w:szCs w:val="32"/>
        </w:rPr>
        <w:t>卫生院</w:t>
      </w:r>
      <w:r>
        <w:rPr>
          <w:rFonts w:hint="eastAsia" w:ascii="仿宋_GB2312" w:eastAsia="仿宋_GB2312"/>
          <w:sz w:val="32"/>
          <w:szCs w:val="32"/>
        </w:rPr>
        <w:t>核定编制数</w:t>
      </w:r>
      <w:r>
        <w:rPr>
          <w:rFonts w:hint="eastAsia" w:ascii="仿宋_GB2312" w:eastAsia="仿宋_GB2312"/>
          <w:sz w:val="32"/>
          <w:szCs w:val="32"/>
          <w:lang w:val="en-US" w:eastAsia="zh-CN"/>
        </w:rPr>
        <w:t>17</w:t>
      </w:r>
      <w:r>
        <w:rPr>
          <w:rFonts w:hint="eastAsia" w:ascii="仿宋_GB2312" w:eastAsia="仿宋_GB2312"/>
          <w:sz w:val="32"/>
          <w:szCs w:val="32"/>
        </w:rPr>
        <w:t>人。</w:t>
      </w:r>
      <w:r>
        <w:rPr>
          <w:rFonts w:hint="eastAsia" w:ascii="仿宋_GB2312" w:hAnsi="宋体" w:eastAsia="仿宋_GB2312"/>
          <w:sz w:val="32"/>
          <w:szCs w:val="32"/>
        </w:rPr>
        <w:t>现有在职职工</w:t>
      </w:r>
      <w:r>
        <w:rPr>
          <w:rFonts w:hint="eastAsia" w:ascii="仿宋_GB2312" w:hAnsi="宋体" w:eastAsia="仿宋_GB2312"/>
          <w:sz w:val="32"/>
          <w:szCs w:val="32"/>
          <w:lang w:val="en-US" w:eastAsia="zh-CN"/>
        </w:rPr>
        <w:t>19</w:t>
      </w:r>
      <w:r>
        <w:rPr>
          <w:rFonts w:hint="eastAsia" w:ascii="仿宋_GB2312" w:hAnsi="宋体" w:eastAsia="仿宋_GB2312"/>
          <w:sz w:val="32"/>
          <w:szCs w:val="32"/>
        </w:rPr>
        <w:t>人，在编人员</w:t>
      </w:r>
      <w:r>
        <w:rPr>
          <w:rFonts w:hint="eastAsia" w:ascii="仿宋_GB2312" w:hAnsi="宋体" w:eastAsia="仿宋_GB2312"/>
          <w:sz w:val="32"/>
          <w:szCs w:val="32"/>
          <w:lang w:val="en-US" w:eastAsia="zh-CN"/>
        </w:rPr>
        <w:t>15</w:t>
      </w:r>
      <w:r>
        <w:rPr>
          <w:rFonts w:hint="eastAsia" w:ascii="仿宋_GB2312" w:hAnsi="宋体" w:eastAsia="仿宋_GB2312"/>
          <w:sz w:val="32"/>
          <w:szCs w:val="32"/>
        </w:rPr>
        <w:t>人，年末退休人员</w:t>
      </w:r>
      <w:r>
        <w:rPr>
          <w:rFonts w:hint="eastAsia" w:ascii="仿宋_GB2312" w:hAnsi="宋体" w:eastAsia="仿宋_GB2312"/>
          <w:sz w:val="32"/>
          <w:szCs w:val="32"/>
          <w:lang w:val="en-US" w:eastAsia="zh-CN"/>
        </w:rPr>
        <w:t>5</w:t>
      </w:r>
      <w:r>
        <w:rPr>
          <w:rFonts w:hint="eastAsia" w:ascii="仿宋_GB2312" w:hAnsi="宋体" w:eastAsia="仿宋_GB2312"/>
          <w:sz w:val="32"/>
          <w:szCs w:val="32"/>
        </w:rPr>
        <w:t>人已纳入社会保障管理。卫生技术人员</w:t>
      </w:r>
      <w:r>
        <w:rPr>
          <w:rFonts w:hint="eastAsia" w:ascii="仿宋_GB2312" w:hAnsi="宋体" w:eastAsia="仿宋_GB2312"/>
          <w:sz w:val="32"/>
          <w:szCs w:val="32"/>
          <w:lang w:val="en-US" w:eastAsia="zh-CN"/>
        </w:rPr>
        <w:t>16</w:t>
      </w:r>
      <w:r>
        <w:rPr>
          <w:rFonts w:hint="eastAsia" w:ascii="仿宋_GB2312" w:hAnsi="宋体" w:eastAsia="仿宋_GB2312"/>
          <w:sz w:val="32"/>
          <w:szCs w:val="32"/>
        </w:rPr>
        <w:t>人，其中从事公共卫生人员</w:t>
      </w:r>
      <w:r>
        <w:rPr>
          <w:rFonts w:hint="eastAsia" w:ascii="仿宋_GB2312" w:hAnsi="宋体" w:eastAsia="仿宋_GB2312"/>
          <w:sz w:val="32"/>
          <w:szCs w:val="32"/>
          <w:lang w:val="en-US" w:eastAsia="zh-CN"/>
        </w:rPr>
        <w:t>2</w:t>
      </w:r>
      <w:r>
        <w:rPr>
          <w:rFonts w:hint="eastAsia" w:ascii="仿宋_GB2312" w:hAnsi="宋体" w:eastAsia="仿宋_GB2312"/>
          <w:sz w:val="32"/>
          <w:szCs w:val="32"/>
        </w:rPr>
        <w:t>人，管理人员1人，财会人员</w:t>
      </w:r>
      <w:r>
        <w:rPr>
          <w:rFonts w:hint="eastAsia" w:ascii="仿宋_GB2312" w:hAnsi="宋体" w:eastAsia="仿宋_GB2312"/>
          <w:sz w:val="32"/>
          <w:szCs w:val="32"/>
          <w:lang w:val="en-US" w:eastAsia="zh-CN"/>
        </w:rPr>
        <w:t>1</w:t>
      </w:r>
      <w:r>
        <w:rPr>
          <w:rFonts w:hint="eastAsia" w:ascii="仿宋_GB2312" w:hAnsi="宋体" w:eastAsia="仿宋_GB2312"/>
          <w:sz w:val="32"/>
          <w:szCs w:val="32"/>
        </w:rPr>
        <w:t>人，内科</w:t>
      </w:r>
      <w:r>
        <w:rPr>
          <w:rFonts w:hint="eastAsia" w:ascii="仿宋_GB2312" w:hAnsi="宋体" w:eastAsia="仿宋_GB2312"/>
          <w:sz w:val="32"/>
          <w:szCs w:val="32"/>
          <w:lang w:val="en-US" w:eastAsia="zh-CN"/>
        </w:rPr>
        <w:t>1</w:t>
      </w:r>
      <w:r>
        <w:rPr>
          <w:rFonts w:hint="eastAsia" w:ascii="仿宋_GB2312" w:hAnsi="宋体" w:eastAsia="仿宋_GB2312"/>
          <w:sz w:val="32"/>
          <w:szCs w:val="32"/>
        </w:rPr>
        <w:t>人，，中医科</w:t>
      </w:r>
      <w:r>
        <w:rPr>
          <w:rFonts w:hint="eastAsia" w:ascii="仿宋_GB2312" w:hAnsi="宋体" w:eastAsia="仿宋_GB2312"/>
          <w:sz w:val="32"/>
          <w:szCs w:val="32"/>
          <w:lang w:val="en-US" w:eastAsia="zh-CN"/>
        </w:rPr>
        <w:t>1</w:t>
      </w:r>
      <w:r>
        <w:rPr>
          <w:rFonts w:hint="eastAsia" w:ascii="仿宋_GB2312" w:hAnsi="宋体" w:eastAsia="仿宋_GB2312"/>
          <w:sz w:val="32"/>
          <w:szCs w:val="32"/>
        </w:rPr>
        <w:t>人，护理工作</w:t>
      </w:r>
      <w:r>
        <w:rPr>
          <w:rFonts w:hint="eastAsia" w:ascii="仿宋_GB2312" w:hAnsi="宋体" w:eastAsia="仿宋_GB2312"/>
          <w:sz w:val="32"/>
          <w:szCs w:val="32"/>
          <w:lang w:val="en-US" w:eastAsia="zh-CN"/>
        </w:rPr>
        <w:t>2</w:t>
      </w:r>
      <w:r>
        <w:rPr>
          <w:rFonts w:hint="eastAsia" w:ascii="仿宋_GB2312" w:hAnsi="宋体" w:eastAsia="仿宋_GB2312"/>
          <w:sz w:val="32"/>
          <w:szCs w:val="32"/>
        </w:rPr>
        <w:t>人，辅助科室B超，检验，</w:t>
      </w:r>
      <w:r>
        <w:rPr>
          <w:rFonts w:hint="eastAsia" w:ascii="仿宋_GB2312" w:hAnsi="宋体" w:eastAsia="仿宋_GB2312"/>
          <w:sz w:val="32"/>
          <w:szCs w:val="32"/>
          <w:lang w:val="en-US" w:eastAsia="zh-CN"/>
        </w:rPr>
        <w:t>放射</w:t>
      </w:r>
      <w:r>
        <w:rPr>
          <w:rFonts w:hint="eastAsia" w:ascii="仿宋_GB2312" w:hAnsi="宋体" w:eastAsia="仿宋_GB2312"/>
          <w:sz w:val="32"/>
          <w:szCs w:val="32"/>
        </w:rPr>
        <w:t xml:space="preserve">各1人。 </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hint="eastAsia" w:ascii="仿宋_GB2312" w:hAnsi="仿宋" w:eastAsia="仿宋_GB2312"/>
          <w:sz w:val="32"/>
          <w:szCs w:val="32"/>
        </w:rPr>
        <w:t>2018年财政拨款收入</w:t>
      </w:r>
      <w:r>
        <w:rPr>
          <w:rFonts w:hint="eastAsia" w:ascii="仿宋_GB2312" w:hAnsi="仿宋" w:eastAsia="仿宋_GB2312"/>
          <w:sz w:val="32"/>
          <w:szCs w:val="32"/>
          <w:lang w:val="en-US" w:eastAsia="zh-CN"/>
        </w:rPr>
        <w:t>130.91</w:t>
      </w:r>
      <w:r>
        <w:rPr>
          <w:rFonts w:hint="eastAsia" w:ascii="仿宋_GB2312" w:hAnsi="仿宋" w:eastAsia="仿宋_GB2312"/>
          <w:sz w:val="32"/>
          <w:szCs w:val="32"/>
        </w:rPr>
        <w:t>万元，支出</w:t>
      </w:r>
      <w:r>
        <w:rPr>
          <w:rFonts w:hint="eastAsia" w:ascii="仿宋_GB2312" w:hAnsi="仿宋" w:eastAsia="仿宋_GB2312"/>
          <w:sz w:val="32"/>
          <w:szCs w:val="32"/>
          <w:lang w:val="en-US" w:eastAsia="zh-CN"/>
        </w:rPr>
        <w:t>130.91</w:t>
      </w:r>
      <w:r>
        <w:rPr>
          <w:rFonts w:hint="eastAsia" w:ascii="仿宋_GB2312" w:hAnsi="仿宋" w:eastAsia="仿宋_GB2312"/>
          <w:sz w:val="32"/>
          <w:szCs w:val="32"/>
        </w:rPr>
        <w:t>万元，其中：基本公共卫生服务支出</w:t>
      </w:r>
      <w:r>
        <w:rPr>
          <w:rFonts w:hint="eastAsia" w:ascii="仿宋_GB2312" w:hAnsi="仿宋" w:eastAsia="仿宋_GB2312"/>
          <w:sz w:val="32"/>
          <w:szCs w:val="32"/>
          <w:lang w:val="en-US" w:eastAsia="zh-CN"/>
        </w:rPr>
        <w:t>76.31</w:t>
      </w:r>
      <w:r>
        <w:rPr>
          <w:rFonts w:hint="eastAsia" w:ascii="仿宋_GB2312" w:hAnsi="仿宋" w:eastAsia="仿宋_GB2312"/>
          <w:sz w:val="32"/>
          <w:szCs w:val="32"/>
        </w:rPr>
        <w:t>万元，退休人员补充医疗保险缴费支出</w:t>
      </w:r>
      <w:r>
        <w:rPr>
          <w:rFonts w:hint="eastAsia" w:ascii="仿宋_GB2312" w:hAnsi="仿宋" w:eastAsia="仿宋_GB2312"/>
          <w:sz w:val="32"/>
          <w:szCs w:val="32"/>
          <w:lang w:val="en-US" w:eastAsia="zh-CN"/>
        </w:rPr>
        <w:t>1.85</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综合支出52.75万元</w:t>
      </w:r>
      <w:r>
        <w:rPr>
          <w:rFonts w:hint="eastAsia" w:ascii="仿宋_GB2312" w:hAnsi="仿宋" w:eastAsia="仿宋_GB2312"/>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包括部门绩效目标制定、目标完成、预算编制准确、支出控制、预算动态调整、执行进度、预算完成情况和违规记录等情况。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包括专项预算项目程序严密、规划合理、结果符合、分配科学、分配及时、专项预算绩效目标完成、实施绩效、违规记录等情况。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包括部门自评质量、绩效目标公开和自评公开、评价结果整改和应用结果反馈等情况。</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2018年度本单位一如既往重视决算管理，严格编制要求，科学编制预算，严格执行决算编制内容。同时，本单位不断强化内控管理、资产管理、绩效管理，不断丰富和完善相关制度，坚决做到“更加规范、更加高效、更加便利” ，将财务管理与日常事务紧密结合，全力做好保障工作。</w:t>
      </w:r>
    </w:p>
    <w:bookmarkEnd w:id="57"/>
    <w:p>
      <w:pPr>
        <w:spacing w:line="600" w:lineRule="exact"/>
        <w:jc w:val="center"/>
        <w:outlineLvl w:val="0"/>
        <w:rPr>
          <w:rStyle w:val="25"/>
          <w:rFonts w:ascii="黑体" w:hAnsi="黑体" w:eastAsia="黑体"/>
          <w:b w:val="0"/>
        </w:rPr>
      </w:pPr>
      <w:bookmarkStart w:id="59"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4"/>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6"/>
          <w:rFonts w:hint="eastAsia" w:ascii="仿宋" w:hAnsi="仿宋" w:eastAsia="仿宋"/>
          <w:b w:val="0"/>
          <w:bCs w:val="0"/>
        </w:rPr>
        <w:t>入总表</w:t>
      </w:r>
      <w:bookmarkEnd w:id="61"/>
    </w:p>
    <w:p>
      <w:pPr>
        <w:pStyle w:val="3"/>
        <w:rPr>
          <w:rFonts w:ascii="仿宋" w:hAnsi="仿宋" w:eastAsia="仿宋"/>
          <w:color w:val="000000"/>
        </w:rPr>
      </w:pPr>
      <w:bookmarkStart w:id="62"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出总表</w:t>
      </w:r>
      <w:bookmarkEnd w:id="62"/>
    </w:p>
    <w:p>
      <w:pPr>
        <w:pStyle w:val="3"/>
        <w:rPr>
          <w:rFonts w:ascii="仿宋" w:hAnsi="仿宋" w:eastAsia="仿宋"/>
          <w:b w:val="0"/>
          <w:color w:val="000000"/>
        </w:rPr>
      </w:pPr>
      <w:bookmarkStart w:id="63"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3"/>
    </w:p>
    <w:p>
      <w:pPr>
        <w:pStyle w:val="3"/>
        <w:rPr>
          <w:rFonts w:ascii="仿宋" w:hAnsi="仿宋" w:eastAsia="仿宋"/>
          <w:color w:val="000000"/>
        </w:rPr>
      </w:pPr>
      <w:bookmarkStart w:id="64"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政拨款支出决算明细表（政府经济分类科目）</w:t>
      </w:r>
      <w:bookmarkEnd w:id="64"/>
    </w:p>
    <w:p>
      <w:pPr>
        <w:pStyle w:val="3"/>
        <w:rPr>
          <w:rFonts w:ascii="仿宋" w:hAnsi="仿宋" w:eastAsia="仿宋"/>
          <w:color w:val="000000"/>
        </w:rPr>
      </w:pPr>
      <w:bookmarkStart w:id="65" w:name="_Toc15396624"/>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14:textFill>
            <w14:solidFill>
              <w14:schemeClr w14:val="tx1"/>
            </w14:solidFill>
          </w14:textFill>
        </w:rPr>
      </w:pPr>
      <w:bookmarkStart w:id="72"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B64EB"/>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3BB0FAE"/>
    <w:rsid w:val="04760E50"/>
    <w:rsid w:val="05A80EF9"/>
    <w:rsid w:val="08B6667F"/>
    <w:rsid w:val="0C56327E"/>
    <w:rsid w:val="0CBF7435"/>
    <w:rsid w:val="0DB26BF2"/>
    <w:rsid w:val="0E346EBD"/>
    <w:rsid w:val="0FDE13DF"/>
    <w:rsid w:val="10C055FF"/>
    <w:rsid w:val="1106232B"/>
    <w:rsid w:val="112948A9"/>
    <w:rsid w:val="11EF6C12"/>
    <w:rsid w:val="12B52C3C"/>
    <w:rsid w:val="12F23F29"/>
    <w:rsid w:val="13CC05A1"/>
    <w:rsid w:val="157F281D"/>
    <w:rsid w:val="16BB723D"/>
    <w:rsid w:val="17623606"/>
    <w:rsid w:val="19F5530F"/>
    <w:rsid w:val="1A8173B4"/>
    <w:rsid w:val="1B8A1379"/>
    <w:rsid w:val="23C22E31"/>
    <w:rsid w:val="240371BF"/>
    <w:rsid w:val="245D128D"/>
    <w:rsid w:val="292D5216"/>
    <w:rsid w:val="29FD04D3"/>
    <w:rsid w:val="2A675CA6"/>
    <w:rsid w:val="2AEE7970"/>
    <w:rsid w:val="2B4762C9"/>
    <w:rsid w:val="2C2F09B1"/>
    <w:rsid w:val="2DCC0324"/>
    <w:rsid w:val="2FBB27D3"/>
    <w:rsid w:val="314D27C7"/>
    <w:rsid w:val="317746D9"/>
    <w:rsid w:val="319F7F4E"/>
    <w:rsid w:val="31B50670"/>
    <w:rsid w:val="34903D27"/>
    <w:rsid w:val="35F22927"/>
    <w:rsid w:val="369863F9"/>
    <w:rsid w:val="38C40B9F"/>
    <w:rsid w:val="38F47320"/>
    <w:rsid w:val="414250AC"/>
    <w:rsid w:val="448B7A0C"/>
    <w:rsid w:val="46BC6CDC"/>
    <w:rsid w:val="48AB6338"/>
    <w:rsid w:val="4C691EE8"/>
    <w:rsid w:val="4DA43D1E"/>
    <w:rsid w:val="4DA9410E"/>
    <w:rsid w:val="4E36313E"/>
    <w:rsid w:val="4F577FD9"/>
    <w:rsid w:val="4F931976"/>
    <w:rsid w:val="522C6C0C"/>
    <w:rsid w:val="54CD44B7"/>
    <w:rsid w:val="55B13850"/>
    <w:rsid w:val="55F2332E"/>
    <w:rsid w:val="56561D06"/>
    <w:rsid w:val="5B2F0736"/>
    <w:rsid w:val="5C53145F"/>
    <w:rsid w:val="5CC8174A"/>
    <w:rsid w:val="5E3533B6"/>
    <w:rsid w:val="5E7E0AC6"/>
    <w:rsid w:val="6037770A"/>
    <w:rsid w:val="60AF3986"/>
    <w:rsid w:val="60F73490"/>
    <w:rsid w:val="61D25663"/>
    <w:rsid w:val="61E11456"/>
    <w:rsid w:val="636C0690"/>
    <w:rsid w:val="65216BF3"/>
    <w:rsid w:val="66170866"/>
    <w:rsid w:val="66C02B08"/>
    <w:rsid w:val="68E03A52"/>
    <w:rsid w:val="6A9B6021"/>
    <w:rsid w:val="6D392F61"/>
    <w:rsid w:val="6F23118B"/>
    <w:rsid w:val="6F2A37A0"/>
    <w:rsid w:val="75344CBF"/>
    <w:rsid w:val="754B0FB6"/>
    <w:rsid w:val="775D05E8"/>
    <w:rsid w:val="AF7F5E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next w:val="5"/>
    <w:qFormat/>
    <w:uiPriority w:val="0"/>
    <w:pPr>
      <w:spacing w:before="100" w:beforeAutospacing="1" w:after="100" w:afterAutospacing="1"/>
    </w:pPr>
    <w:rPr>
      <w:rFonts w:ascii="宋体" w:hAnsi="Times New Roman" w:eastAsia="宋体" w:cs="Times New Roman"/>
      <w:sz w:val="24"/>
      <w:szCs w:val="24"/>
      <w:lang w:val="en-US" w:eastAsia="zh-CN" w:bidi="ar-SA"/>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收入</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Sheet1!$B$2:$B$3</c:f>
              <c:numCache>
                <c:formatCode>General</c:formatCode>
                <c:ptCount val="2"/>
                <c:pt idx="0">
                  <c:v>397.98</c:v>
                </c:pt>
                <c:pt idx="1">
                  <c:v>361.13</c:v>
                </c:pt>
              </c:numCache>
            </c:numRef>
          </c:val>
        </c:ser>
        <c:ser>
          <c:idx val="1"/>
          <c:order val="1"/>
          <c:tx>
            <c:strRef>
              <c:f>Sheet1!$C$1</c:f>
              <c:strCache>
                <c:ptCount val="1"/>
                <c:pt idx="0">
                  <c:v>支出</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Sheet1!$C$2:$C$3</c:f>
              <c:numCache>
                <c:formatCode>General</c:formatCode>
                <c:ptCount val="2"/>
                <c:pt idx="0">
                  <c:v>397.98</c:v>
                </c:pt>
                <c:pt idx="1">
                  <c:v>361.13</c:v>
                </c:pt>
              </c:numCache>
            </c:numRef>
          </c:val>
        </c:ser>
        <c:ser>
          <c:idx val="2"/>
          <c:order val="2"/>
          <c:tx>
            <c:strRef>
              <c:f>Sheet1!$D$1</c:f>
              <c:strCache>
                <c:ptCount val="1"/>
                <c:pt idx="0">
                  <c:v>增加减少</c:v>
                </c:pt>
              </c:strCache>
            </c:strRef>
          </c:tx>
          <c:spPr>
            <a:solidFill>
              <a:schemeClr val="accent3"/>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Sheet1!$D$2:$D$3</c:f>
              <c:numCache>
                <c:formatCode>General</c:formatCode>
                <c:ptCount val="2"/>
                <c:pt idx="0">
                  <c:v>36.85</c:v>
                </c:pt>
              </c:numCache>
            </c:numRef>
          </c:val>
        </c:ser>
        <c:ser>
          <c:idx val="3"/>
          <c:order val="3"/>
          <c:tx>
            <c:strRef>
              <c:f>Sheet1!$E$1</c:f>
              <c:strCache>
                <c:ptCount val="1"/>
                <c:pt idx="0">
                  <c:v>增长下降</c:v>
                </c:pt>
              </c:strCache>
            </c:strRef>
          </c:tx>
          <c:spPr>
            <a:solidFill>
              <a:schemeClr val="accent4"/>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Sheet1!$E$2:$E$3</c:f>
              <c:numCache>
                <c:formatCode>General</c:formatCode>
                <c:ptCount val="2"/>
                <c:pt idx="0">
                  <c:v>9.2</c:v>
                </c:pt>
              </c:numCache>
            </c:numRef>
          </c:val>
        </c:ser>
        <c:dLbls>
          <c:showLegendKey val="false"/>
          <c:showVal val="false"/>
          <c:showCatName val="false"/>
          <c:showSerName val="false"/>
          <c:showPercent val="false"/>
          <c:showBubbleSize val="false"/>
        </c:dLbls>
        <c:gapWidth val="219"/>
        <c:overlap val="-27"/>
        <c:axId val="45449985"/>
        <c:axId val="694479141"/>
      </c:barChart>
      <c:catAx>
        <c:axId val="45449985"/>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94479141"/>
        <c:crosses val="autoZero"/>
        <c:auto val="true"/>
        <c:lblAlgn val="ctr"/>
        <c:lblOffset val="100"/>
        <c:noMultiLvlLbl val="false"/>
      </c:catAx>
      <c:valAx>
        <c:axId val="694479141"/>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5449985"/>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manualLayout>
          <c:layoutTarget val="inner"/>
          <c:xMode val="edge"/>
          <c:yMode val="edge"/>
          <c:x val="0.0302003535651149"/>
          <c:y val="0.11077359254759"/>
          <c:w val="0.933411903358869"/>
          <c:h val="0.761441879303362"/>
        </c:manualLayout>
      </c:layout>
      <c:pieChart>
        <c:varyColors val="true"/>
        <c:ser>
          <c:idx val="0"/>
          <c:order val="0"/>
          <c:tx>
            <c:strRef>
              <c:f>Sheet1!$B$1:$C$1</c:f>
              <c:strCache>
                <c:ptCount val="1"/>
                <c:pt idx="0">
                  <c:v>2018年总收入 占百分比</c:v>
                </c:pt>
              </c:strCache>
            </c:strRef>
          </c:tx>
          <c:spPr>
            <a:scene3d>
              <a:camera prst="orthographicFront"/>
              <a:lightRig rig="threePt" dir="t"/>
            </a:scene3d>
            <a:sp3d contourW="25400"/>
          </c:spPr>
          <c:explosion val="0"/>
          <c:dPt>
            <c:idx val="0"/>
            <c:bubble3D val="false"/>
            <c:spPr>
              <a:solidFill>
                <a:schemeClr val="accent1"/>
              </a:solidFill>
              <a:ln w="25400">
                <a:solidFill>
                  <a:schemeClr val="lt1"/>
                </a:solidFill>
              </a:ln>
              <a:effectLst/>
            </c:spPr>
          </c:dPt>
          <c:dPt>
            <c:idx val="1"/>
            <c:bubble3D val="false"/>
            <c:spPr>
              <a:solidFill>
                <a:schemeClr val="accent2"/>
              </a:solidFill>
              <a:ln w="25400">
                <a:solidFill>
                  <a:schemeClr val="lt1"/>
                </a:solidFill>
              </a:ln>
              <a:effectLst/>
            </c:spPr>
          </c:dPt>
          <c:dPt>
            <c:idx val="2"/>
            <c:bubble3D val="false"/>
            <c:spPr>
              <a:solidFill>
                <a:schemeClr val="accent3"/>
              </a:solidFill>
              <a:ln w="25400">
                <a:solidFill>
                  <a:schemeClr val="lt1"/>
                </a:solidFill>
              </a:ln>
              <a:effectLst/>
            </c:spPr>
          </c:dPt>
          <c:dPt>
            <c:idx val="3"/>
            <c:bubble3D val="false"/>
            <c:spPr>
              <a:solidFill>
                <a:schemeClr val="accent4"/>
              </a:solidFill>
              <a:ln w="25400">
                <a:solidFill>
                  <a:schemeClr val="lt1"/>
                </a:solidFill>
              </a:ln>
              <a:effectLst/>
            </c:spPr>
          </c:dPt>
          <c:dPt>
            <c:idx val="4"/>
            <c:bubble3D val="false"/>
            <c:spPr>
              <a:solidFill>
                <a:schemeClr val="accent5"/>
              </a:solidFill>
              <a:ln w="25400">
                <a:solidFill>
                  <a:schemeClr val="lt1"/>
                </a:solidFill>
              </a:ln>
              <a:effectLst/>
            </c:spPr>
          </c:dPt>
          <c:dPt>
            <c:idx val="5"/>
            <c:bubble3D val="false"/>
            <c:spPr>
              <a:solidFill>
                <a:schemeClr val="accent6"/>
              </a:solidFill>
              <a:ln w="25400">
                <a:solidFill>
                  <a:schemeClr val="lt1"/>
                </a:solidFill>
              </a:ln>
              <a:effectLst/>
            </c:spPr>
          </c:dPt>
          <c:dPt>
            <c:idx val="6"/>
            <c:bubble3D val="false"/>
            <c:spPr>
              <a:solidFill>
                <a:schemeClr val="accent1">
                  <a:lumMod val="60000"/>
                </a:schemeClr>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Sheet1!$A$2:$A$8</c:f>
              <c:strCache>
                <c:ptCount val="7"/>
                <c:pt idx="0">
                  <c:v>一般公共</c:v>
                </c:pt>
                <c:pt idx="1">
                  <c:v>政府性基金</c:v>
                </c:pt>
                <c:pt idx="2">
                  <c:v>国有资本经营</c:v>
                </c:pt>
                <c:pt idx="3">
                  <c:v>事业</c:v>
                </c:pt>
                <c:pt idx="4">
                  <c:v>经营</c:v>
                </c:pt>
                <c:pt idx="5">
                  <c:v>附属单位</c:v>
                </c:pt>
                <c:pt idx="6">
                  <c:v>其他</c:v>
                </c:pt>
              </c:strCache>
            </c:strRef>
          </c:cat>
          <c:val>
            <c:numRef>
              <c:f>Sheet1!$B$2:$B$8</c:f>
              <c:numCache>
                <c:formatCode>General</c:formatCode>
                <c:ptCount val="7"/>
                <c:pt idx="0">
                  <c:v>130.91</c:v>
                </c:pt>
                <c:pt idx="3">
                  <c:v>221.7</c:v>
                </c:pt>
                <c:pt idx="6">
                  <c:v>8.52</c:v>
                </c:pt>
              </c:numCache>
            </c:numRef>
          </c:val>
        </c:ser>
        <c:ser>
          <c:idx val="1"/>
          <c:order val="1"/>
          <c:tx>
            <c:strRef>
              <c:f>Sheet1!$C$1</c:f>
              <c:strCache>
                <c:ptCount val="1"/>
                <c:pt idx="0">
                  <c:v>占百分比</c:v>
                </c:pt>
              </c:strCache>
            </c:strRef>
          </c:tx>
          <c:spPr/>
          <c:explosion val="0"/>
          <c:dPt>
            <c:idx val="0"/>
            <c:bubble3D val="false"/>
            <c:spPr>
              <a:solidFill>
                <a:schemeClr val="accent1"/>
              </a:solidFill>
              <a:ln w="25400">
                <a:solidFill>
                  <a:schemeClr val="lt1"/>
                </a:solidFill>
              </a:ln>
              <a:effectLst/>
            </c:spPr>
          </c:dPt>
          <c:dPt>
            <c:idx val="1"/>
            <c:bubble3D val="false"/>
            <c:spPr>
              <a:solidFill>
                <a:schemeClr val="accent2"/>
              </a:solidFill>
              <a:ln w="25400">
                <a:solidFill>
                  <a:schemeClr val="lt1"/>
                </a:solidFill>
              </a:ln>
              <a:effectLst/>
            </c:spPr>
          </c:dPt>
          <c:dPt>
            <c:idx val="2"/>
            <c:bubble3D val="false"/>
            <c:spPr>
              <a:solidFill>
                <a:schemeClr val="accent3"/>
              </a:solidFill>
              <a:ln w="25400">
                <a:solidFill>
                  <a:schemeClr val="lt1"/>
                </a:solidFill>
              </a:ln>
              <a:effectLst/>
            </c:spPr>
          </c:dPt>
          <c:dPt>
            <c:idx val="3"/>
            <c:bubble3D val="false"/>
            <c:spPr>
              <a:solidFill>
                <a:schemeClr val="accent4"/>
              </a:solidFill>
              <a:ln w="25400">
                <a:solidFill>
                  <a:schemeClr val="lt1"/>
                </a:solidFill>
              </a:ln>
              <a:effectLst/>
            </c:spPr>
          </c:dPt>
          <c:dPt>
            <c:idx val="4"/>
            <c:bubble3D val="false"/>
            <c:spPr>
              <a:solidFill>
                <a:schemeClr val="accent5"/>
              </a:solidFill>
              <a:ln w="25400">
                <a:solidFill>
                  <a:schemeClr val="lt1"/>
                </a:solidFill>
              </a:ln>
              <a:effectLst/>
            </c:spPr>
          </c:dPt>
          <c:dPt>
            <c:idx val="5"/>
            <c:bubble3D val="false"/>
            <c:spPr>
              <a:solidFill>
                <a:schemeClr val="accent6"/>
              </a:solidFill>
              <a:ln w="25400">
                <a:solidFill>
                  <a:schemeClr val="lt1"/>
                </a:solidFill>
              </a:ln>
              <a:effectLst/>
            </c:spPr>
          </c:dPt>
          <c:dPt>
            <c:idx val="6"/>
            <c:bubble3D val="false"/>
            <c:spPr>
              <a:solidFill>
                <a:schemeClr val="accent1">
                  <a:lumMod val="60000"/>
                </a:schemeClr>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Sheet1!$A$2:$A$8</c:f>
              <c:strCache>
                <c:ptCount val="7"/>
                <c:pt idx="0">
                  <c:v>一般公共</c:v>
                </c:pt>
                <c:pt idx="1">
                  <c:v>政府性基金</c:v>
                </c:pt>
                <c:pt idx="2">
                  <c:v>国有资本经营</c:v>
                </c:pt>
                <c:pt idx="3">
                  <c:v>事业</c:v>
                </c:pt>
                <c:pt idx="4">
                  <c:v>经营</c:v>
                </c:pt>
                <c:pt idx="5">
                  <c:v>附属单位</c:v>
                </c:pt>
                <c:pt idx="6">
                  <c:v>其他</c:v>
                </c:pt>
              </c:strCache>
            </c:strRef>
          </c:cat>
          <c:val>
            <c:numRef>
              <c:f>Sheet1!$C$2:$C$8</c:f>
              <c:numCache>
                <c:formatCode>General</c:formatCode>
                <c:ptCount val="7"/>
                <c:pt idx="0">
                  <c:v>36.25</c:v>
                </c:pt>
                <c:pt idx="3">
                  <c:v>61.39</c:v>
                </c:pt>
                <c:pt idx="6">
                  <c:v>2.36</c:v>
                </c:pt>
              </c:numCache>
            </c:numRef>
          </c:val>
        </c:ser>
        <c:dLbls>
          <c:showLegendKey val="false"/>
          <c:showVal val="false"/>
          <c:showCatName val="tru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302003535651149"/>
          <c:y val="0.11077359254759"/>
          <c:w val="0.933411903358869"/>
          <c:h val="0.761441879303362"/>
        </c:manualLayout>
      </c:layout>
      <c:pieChart>
        <c:varyColors val="true"/>
        <c:ser>
          <c:idx val="0"/>
          <c:order val="0"/>
          <c:tx>
            <c:strRef>
              <c:f>Sheet1!$B$1:$C$1</c:f>
              <c:strCache>
                <c:ptCount val="1"/>
                <c:pt idx="0">
                  <c:v>2018年总支出 占百分比</c:v>
                </c:pt>
              </c:strCache>
            </c:strRef>
          </c:tx>
          <c:spPr>
            <a:scene3d>
              <a:camera prst="orthographicFront"/>
              <a:lightRig rig="threePt" dir="t"/>
            </a:scene3d>
            <a:sp3d contourW="25400"/>
          </c:spPr>
          <c:explosion val="0"/>
          <c:dPt>
            <c:idx val="0"/>
            <c:bubble3D val="false"/>
            <c:spPr>
              <a:solidFill>
                <a:schemeClr val="accent1"/>
              </a:solidFill>
              <a:ln w="25400">
                <a:solidFill>
                  <a:schemeClr val="lt1"/>
                </a:solidFill>
              </a:ln>
              <a:effectLst/>
            </c:spPr>
          </c:dPt>
          <c:dPt>
            <c:idx val="1"/>
            <c:bubble3D val="false"/>
            <c:spPr>
              <a:solidFill>
                <a:schemeClr val="accent2"/>
              </a:solidFill>
              <a:ln w="25400">
                <a:solidFill>
                  <a:schemeClr val="lt1"/>
                </a:solidFill>
              </a:ln>
              <a:effectLst/>
            </c:spPr>
          </c:dPt>
          <c:dPt>
            <c:idx val="2"/>
            <c:bubble3D val="false"/>
            <c:spPr>
              <a:solidFill>
                <a:schemeClr val="accent3"/>
              </a:solidFill>
              <a:ln w="25400">
                <a:solidFill>
                  <a:schemeClr val="lt1"/>
                </a:solidFill>
              </a:ln>
              <a:effectLst/>
            </c:spPr>
          </c:dPt>
          <c:dPt>
            <c:idx val="3"/>
            <c:bubble3D val="false"/>
            <c:spPr>
              <a:solidFill>
                <a:schemeClr val="accent4"/>
              </a:solidFill>
              <a:ln w="25400">
                <a:solidFill>
                  <a:schemeClr val="lt1"/>
                </a:solidFill>
              </a:ln>
              <a:effectLst/>
            </c:spPr>
          </c:dPt>
          <c:dPt>
            <c:idx val="4"/>
            <c:bubble3D val="false"/>
            <c:spPr>
              <a:solidFill>
                <a:schemeClr val="accent5"/>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Sheet1!$A$2:$A$6</c:f>
              <c:strCache>
                <c:ptCount val="5"/>
                <c:pt idx="0">
                  <c:v>基本</c:v>
                </c:pt>
                <c:pt idx="1">
                  <c:v>项目</c:v>
                </c:pt>
                <c:pt idx="2">
                  <c:v>上缴上级</c:v>
                </c:pt>
                <c:pt idx="3">
                  <c:v>经营</c:v>
                </c:pt>
                <c:pt idx="4">
                  <c:v>附属单位补助</c:v>
                </c:pt>
              </c:strCache>
            </c:strRef>
          </c:cat>
          <c:val>
            <c:numRef>
              <c:f>Sheet1!$B$2:$B$6</c:f>
              <c:numCache>
                <c:formatCode>General</c:formatCode>
                <c:ptCount val="5"/>
                <c:pt idx="0">
                  <c:v>351.14</c:v>
                </c:pt>
                <c:pt idx="1">
                  <c:v>10</c:v>
                </c:pt>
              </c:numCache>
            </c:numRef>
          </c:val>
        </c:ser>
        <c:ser>
          <c:idx val="1"/>
          <c:order val="1"/>
          <c:tx>
            <c:strRef>
              <c:f>Sheet1!$C$1</c:f>
              <c:strCache>
                <c:ptCount val="1"/>
                <c:pt idx="0">
                  <c:v>占百分比</c:v>
                </c:pt>
              </c:strCache>
            </c:strRef>
          </c:tx>
          <c:spPr/>
          <c:explosion val="0"/>
          <c:dPt>
            <c:idx val="0"/>
            <c:bubble3D val="false"/>
            <c:spPr>
              <a:solidFill>
                <a:schemeClr val="accent1"/>
              </a:solidFill>
              <a:ln w="25400">
                <a:solidFill>
                  <a:schemeClr val="lt1"/>
                </a:solidFill>
              </a:ln>
              <a:effectLst/>
            </c:spPr>
          </c:dPt>
          <c:dPt>
            <c:idx val="1"/>
            <c:bubble3D val="false"/>
            <c:spPr>
              <a:solidFill>
                <a:schemeClr val="accent2"/>
              </a:solidFill>
              <a:ln w="25400">
                <a:solidFill>
                  <a:schemeClr val="lt1"/>
                </a:solidFill>
              </a:ln>
              <a:effectLst/>
            </c:spPr>
          </c:dPt>
          <c:dPt>
            <c:idx val="2"/>
            <c:bubble3D val="false"/>
            <c:spPr>
              <a:solidFill>
                <a:schemeClr val="accent3"/>
              </a:solidFill>
              <a:ln w="25400">
                <a:solidFill>
                  <a:schemeClr val="lt1"/>
                </a:solidFill>
              </a:ln>
              <a:effectLst/>
            </c:spPr>
          </c:dPt>
          <c:dPt>
            <c:idx val="3"/>
            <c:bubble3D val="false"/>
            <c:spPr>
              <a:solidFill>
                <a:schemeClr val="accent4"/>
              </a:solidFill>
              <a:ln w="25400">
                <a:solidFill>
                  <a:schemeClr val="lt1"/>
                </a:solidFill>
              </a:ln>
              <a:effectLst/>
            </c:spPr>
          </c:dPt>
          <c:dPt>
            <c:idx val="4"/>
            <c:bubble3D val="false"/>
            <c:spPr>
              <a:solidFill>
                <a:schemeClr val="accent5"/>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Sheet1!$A$2:$A$6</c:f>
              <c:strCache>
                <c:ptCount val="5"/>
                <c:pt idx="0">
                  <c:v>基本</c:v>
                </c:pt>
                <c:pt idx="1">
                  <c:v>项目</c:v>
                </c:pt>
                <c:pt idx="2">
                  <c:v>上缴上级</c:v>
                </c:pt>
                <c:pt idx="3">
                  <c:v>经营</c:v>
                </c:pt>
                <c:pt idx="4">
                  <c:v>附属单位补助</c:v>
                </c:pt>
              </c:strCache>
            </c:strRef>
          </c:cat>
          <c:val>
            <c:numRef>
              <c:f>Sheet1!$C$2:$C$6</c:f>
              <c:numCache>
                <c:formatCode>General</c:formatCode>
                <c:ptCount val="5"/>
                <c:pt idx="0">
                  <c:v>97.23</c:v>
                </c:pt>
                <c:pt idx="1">
                  <c:v>2.67</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占本年支付%</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Sheet1!$B$2:$B$3</c:f>
              <c:numCache>
                <c:formatCode>General</c:formatCode>
                <c:ptCount val="2"/>
              </c:numCache>
            </c:numRef>
          </c:val>
        </c:ser>
        <c:ser>
          <c:idx val="1"/>
          <c:order val="1"/>
          <c:tx>
            <c:strRef>
              <c:f>Sheet1!$C$1</c:f>
              <c:strCache>
                <c:ptCount val="1"/>
                <c:pt idx="0">
                  <c:v>支出</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Sheet1!$C$2:$C$3</c:f>
              <c:numCache>
                <c:formatCode>General</c:formatCode>
                <c:ptCount val="2"/>
                <c:pt idx="0">
                  <c:v>197.71</c:v>
                </c:pt>
                <c:pt idx="1">
                  <c:v>130.91</c:v>
                </c:pt>
              </c:numCache>
            </c:numRef>
          </c:val>
        </c:ser>
        <c:ser>
          <c:idx val="2"/>
          <c:order val="2"/>
          <c:tx>
            <c:strRef>
              <c:f>Sheet1!$D$1</c:f>
              <c:strCache>
                <c:ptCount val="1"/>
                <c:pt idx="0">
                  <c:v>增加减少</c:v>
                </c:pt>
              </c:strCache>
            </c:strRef>
          </c:tx>
          <c:spPr>
            <a:solidFill>
              <a:schemeClr val="accent3"/>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Sheet1!$D$2:$D$3</c:f>
              <c:numCache>
                <c:formatCode>General</c:formatCode>
                <c:ptCount val="2"/>
                <c:pt idx="0">
                  <c:v>66.8</c:v>
                </c:pt>
              </c:numCache>
            </c:numRef>
          </c:val>
        </c:ser>
        <c:ser>
          <c:idx val="3"/>
          <c:order val="3"/>
          <c:tx>
            <c:strRef>
              <c:f>Sheet1!$E$1</c:f>
              <c:strCache>
                <c:ptCount val="1"/>
                <c:pt idx="0">
                  <c:v>增长下降</c:v>
                </c:pt>
              </c:strCache>
            </c:strRef>
          </c:tx>
          <c:spPr>
            <a:solidFill>
              <a:schemeClr val="accent4"/>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Sheet1!$E$2:$E$3</c:f>
              <c:numCache>
                <c:formatCode>General</c:formatCode>
                <c:ptCount val="2"/>
                <c:pt idx="0">
                  <c:v>33.78</c:v>
                </c:pt>
              </c:numCache>
            </c:numRef>
          </c:val>
        </c:ser>
        <c:dLbls>
          <c:showLegendKey val="false"/>
          <c:showVal val="false"/>
          <c:showCatName val="false"/>
          <c:showSerName val="false"/>
          <c:showPercent val="false"/>
          <c:showBubbleSize val="false"/>
        </c:dLbls>
        <c:gapWidth val="219"/>
        <c:overlap val="-27"/>
        <c:axId val="45449985"/>
        <c:axId val="694479141"/>
      </c:barChart>
      <c:catAx>
        <c:axId val="45449985"/>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94479141"/>
        <c:crosses val="autoZero"/>
        <c:auto val="true"/>
        <c:lblAlgn val="ctr"/>
        <c:lblOffset val="100"/>
        <c:noMultiLvlLbl val="false"/>
      </c:catAx>
      <c:valAx>
        <c:axId val="694479141"/>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5449985"/>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275"/>
          <c:y val="0.0463333333333333"/>
          <c:w val="0.945"/>
          <c:h val="0.8415"/>
        </c:manualLayout>
      </c:layout>
      <c:pieChart>
        <c:varyColors val="true"/>
        <c:ser>
          <c:idx val="0"/>
          <c:order val="0"/>
          <c:tx>
            <c:strRef>
              <c:f>Sheet1!$B$1</c:f>
              <c:strCache>
                <c:ptCount val="1"/>
                <c:pt idx="0">
                  <c:v>2018年总支出</c:v>
                </c:pt>
              </c:strCache>
            </c:strRef>
          </c:tx>
          <c:spPr>
            <a:scene3d>
              <a:camera prst="orthographicFront"/>
              <a:lightRig rig="threePt" dir="t"/>
            </a:scene3d>
            <a:sp3d contourW="25400"/>
          </c:spPr>
          <c:explosion val="0"/>
          <c:dPt>
            <c:idx val="0"/>
            <c:bubble3D val="false"/>
            <c:spPr>
              <a:solidFill>
                <a:schemeClr val="accent1"/>
              </a:solidFill>
              <a:ln w="25400">
                <a:solidFill>
                  <a:schemeClr val="lt1"/>
                </a:solidFill>
              </a:ln>
              <a:effectLst/>
              <a:scene3d>
                <a:camera prst="orthographicFront"/>
                <a:lightRig rig="threePt" dir="t"/>
              </a:scene3d>
              <a:sp3d contourW="25400"/>
            </c:spPr>
          </c:dPt>
          <c:dPt>
            <c:idx val="1"/>
            <c:bubble3D val="false"/>
            <c:spPr>
              <a:solidFill>
                <a:schemeClr val="accent2"/>
              </a:solidFill>
              <a:ln w="25400">
                <a:solidFill>
                  <a:schemeClr val="lt1"/>
                </a:solidFill>
              </a:ln>
              <a:effectLst/>
              <a:scene3d>
                <a:camera prst="orthographicFront"/>
                <a:lightRig rig="threePt" dir="t"/>
              </a:scene3d>
              <a:sp3d contourW="25400"/>
            </c:spPr>
          </c:dPt>
          <c:dPt>
            <c:idx val="2"/>
            <c:bubble3D val="false"/>
            <c:spPr>
              <a:solidFill>
                <a:schemeClr val="accent3"/>
              </a:solidFill>
              <a:ln w="25400">
                <a:solidFill>
                  <a:schemeClr val="lt1"/>
                </a:solidFill>
              </a:ln>
              <a:effectLst/>
              <a:scene3d>
                <a:camera prst="orthographicFront"/>
                <a:lightRig rig="threePt" dir="t"/>
              </a:scene3d>
              <a:sp3d contourW="25400"/>
            </c:spPr>
          </c:dPt>
          <c:dPt>
            <c:idx val="3"/>
            <c:bubble3D val="false"/>
            <c:spPr>
              <a:solidFill>
                <a:schemeClr val="accent4"/>
              </a:solidFill>
              <a:ln w="25400">
                <a:solidFill>
                  <a:schemeClr val="lt1"/>
                </a:solidFill>
              </a:ln>
              <a:effectLst/>
              <a:scene3d>
                <a:camera prst="orthographicFront"/>
                <a:lightRig rig="threePt" dir="t"/>
              </a:scene3d>
              <a:sp3d contourW="25400"/>
            </c:spPr>
          </c:dPt>
          <c:dPt>
            <c:idx val="4"/>
            <c:bubble3D val="false"/>
            <c:spPr>
              <a:solidFill>
                <a:schemeClr val="accent5"/>
              </a:solidFill>
              <a:ln w="25400">
                <a:solidFill>
                  <a:schemeClr val="lt1"/>
                </a:solidFill>
              </a:ln>
              <a:effectLst/>
              <a:scene3d>
                <a:camera prst="orthographicFront"/>
                <a:lightRig rig="threePt" dir="t"/>
              </a:scene3d>
              <a:sp3d contourW="25400"/>
            </c:spPr>
          </c:dPt>
          <c:dPt>
            <c:idx val="5"/>
            <c:bubble3D val="false"/>
            <c:spPr>
              <a:solidFill>
                <a:schemeClr val="accent6"/>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Sheet1!$A$2:$A$7</c:f>
              <c:strCache>
                <c:ptCount val="6"/>
                <c:pt idx="0">
                  <c:v>一般公共服务</c:v>
                </c:pt>
                <c:pt idx="1">
                  <c:v>教育支出</c:v>
                </c:pt>
                <c:pt idx="2">
                  <c:v>科学技术</c:v>
                </c:pt>
                <c:pt idx="3">
                  <c:v>社会保障和就业</c:v>
                </c:pt>
                <c:pt idx="4">
                  <c:v>医疗卫生</c:v>
                </c:pt>
                <c:pt idx="5">
                  <c:v>住房保障</c:v>
                </c:pt>
              </c:strCache>
            </c:strRef>
          </c:cat>
          <c:val>
            <c:numRef>
              <c:f>Sheet1!$B$2:$B$7</c:f>
              <c:numCache>
                <c:formatCode>General</c:formatCode>
                <c:ptCount val="6"/>
                <c:pt idx="0">
                  <c:v>130.91</c:v>
                </c:pt>
                <c:pt idx="3">
                  <c:v>1.85</c:v>
                </c:pt>
                <c:pt idx="4">
                  <c:v>129.06</c:v>
                </c:pt>
                <c:pt idx="5">
                  <c:v>0</c:v>
                </c:pt>
              </c:numCache>
            </c:numRef>
          </c:val>
        </c:ser>
        <c:ser>
          <c:idx val="1"/>
          <c:order val="1"/>
          <c:tx>
            <c:strRef>
              <c:f>Sheet1!$C$1</c:f>
              <c:strCache>
                <c:ptCount val="1"/>
                <c:pt idx="0">
                  <c:v>占百分比</c:v>
                </c:pt>
              </c:strCache>
            </c:strRef>
          </c:tx>
          <c:spPr/>
          <c:explosion val="0"/>
          <c:dPt>
            <c:idx val="0"/>
            <c:bubble3D val="false"/>
            <c:spPr>
              <a:solidFill>
                <a:schemeClr val="accent1"/>
              </a:solidFill>
              <a:ln w="25400">
                <a:solidFill>
                  <a:schemeClr val="lt1"/>
                </a:solidFill>
              </a:ln>
              <a:effectLst/>
            </c:spPr>
          </c:dPt>
          <c:dPt>
            <c:idx val="1"/>
            <c:bubble3D val="false"/>
            <c:spPr>
              <a:solidFill>
                <a:schemeClr val="accent2"/>
              </a:solidFill>
              <a:ln w="25400">
                <a:solidFill>
                  <a:schemeClr val="lt1"/>
                </a:solidFill>
              </a:ln>
              <a:effectLst/>
            </c:spPr>
          </c:dPt>
          <c:dPt>
            <c:idx val="2"/>
            <c:bubble3D val="false"/>
            <c:spPr>
              <a:solidFill>
                <a:schemeClr val="accent3"/>
              </a:solidFill>
              <a:ln w="25400">
                <a:solidFill>
                  <a:schemeClr val="lt1"/>
                </a:solidFill>
              </a:ln>
              <a:effectLst/>
            </c:spPr>
          </c:dPt>
          <c:dPt>
            <c:idx val="3"/>
            <c:bubble3D val="false"/>
            <c:spPr>
              <a:solidFill>
                <a:schemeClr val="accent4"/>
              </a:solidFill>
              <a:ln w="25400">
                <a:solidFill>
                  <a:schemeClr val="lt1"/>
                </a:solidFill>
              </a:ln>
              <a:effectLst/>
            </c:spPr>
          </c:dPt>
          <c:dPt>
            <c:idx val="4"/>
            <c:bubble3D val="false"/>
            <c:spPr>
              <a:solidFill>
                <a:schemeClr val="accent5"/>
              </a:solidFill>
              <a:ln w="25400">
                <a:solidFill>
                  <a:schemeClr val="lt1"/>
                </a:solidFill>
              </a:ln>
              <a:effectLst/>
            </c:spPr>
          </c:dPt>
          <c:dPt>
            <c:idx val="5"/>
            <c:bubble3D val="false"/>
            <c:spPr>
              <a:solidFill>
                <a:schemeClr val="accent6"/>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Sheet1!$A$2:$A$7</c:f>
              <c:strCache>
                <c:ptCount val="6"/>
                <c:pt idx="0">
                  <c:v>一般公共服务</c:v>
                </c:pt>
                <c:pt idx="1">
                  <c:v>教育支出</c:v>
                </c:pt>
                <c:pt idx="2">
                  <c:v>科学技术</c:v>
                </c:pt>
                <c:pt idx="3">
                  <c:v>社会保障和就业</c:v>
                </c:pt>
                <c:pt idx="4">
                  <c:v>医疗卫生</c:v>
                </c:pt>
                <c:pt idx="5">
                  <c:v>住房保障</c:v>
                </c:pt>
              </c:strCache>
            </c:strRef>
          </c:cat>
          <c:val>
            <c:numRef>
              <c:f>Sheet1!$C$2:$C$7</c:f>
              <c:numCache>
                <c:formatCode>General</c:formatCode>
                <c:ptCount val="6"/>
                <c:pt idx="0">
                  <c:v>100</c:v>
                </c:pt>
                <c:pt idx="3">
                  <c:v>100</c:v>
                </c:pt>
                <c:pt idx="4">
                  <c:v>100</c:v>
                </c:pt>
                <c:pt idx="5">
                  <c:v>100</c:v>
                </c:pt>
              </c:numCache>
            </c:numRef>
          </c:val>
        </c:ser>
        <c:dLbls>
          <c:showLegendKey val="false"/>
          <c:showVal val="false"/>
          <c:showCatName val="tru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275"/>
          <c:y val="0.0463333333333333"/>
          <c:w val="0.945"/>
          <c:h val="0.8415"/>
        </c:manualLayout>
      </c:layout>
      <c:pieChart>
        <c:varyColors val="true"/>
        <c:ser>
          <c:idx val="0"/>
          <c:order val="0"/>
          <c:tx>
            <c:strRef>
              <c:f>Sheet1!$B$1</c:f>
              <c:strCache>
                <c:ptCount val="1"/>
                <c:pt idx="0">
                  <c:v>2018年总支出</c:v>
                </c:pt>
              </c:strCache>
            </c:strRef>
          </c:tx>
          <c:spPr>
            <a:scene3d>
              <a:camera prst="orthographicFront"/>
              <a:lightRig rig="threePt" dir="t"/>
            </a:scene3d>
            <a:sp3d contourW="25400"/>
          </c:spPr>
          <c:explosion val="0"/>
          <c:dPt>
            <c:idx val="0"/>
            <c:bubble3D val="false"/>
            <c:spPr>
              <a:solidFill>
                <a:schemeClr val="accent1"/>
              </a:solidFill>
              <a:ln w="25400">
                <a:solidFill>
                  <a:schemeClr val="lt1"/>
                </a:solidFill>
              </a:ln>
              <a:effectLst/>
              <a:scene3d>
                <a:camera prst="orthographicFront"/>
                <a:lightRig rig="threePt" dir="t"/>
              </a:scene3d>
              <a:sp3d contourW="25400"/>
            </c:spPr>
          </c:dPt>
          <c:dPt>
            <c:idx val="1"/>
            <c:bubble3D val="false"/>
            <c:spPr>
              <a:solidFill>
                <a:schemeClr val="accent2"/>
              </a:solidFill>
              <a:ln w="25400">
                <a:solidFill>
                  <a:schemeClr val="lt1"/>
                </a:solidFill>
              </a:ln>
              <a:effectLst/>
              <a:scene3d>
                <a:camera prst="orthographicFront"/>
                <a:lightRig rig="threePt" dir="t"/>
              </a:scene3d>
              <a:sp3d contourW="25400"/>
            </c:spPr>
          </c:dPt>
          <c:dPt>
            <c:idx val="2"/>
            <c:bubble3D val="false"/>
            <c:spPr>
              <a:solidFill>
                <a:schemeClr val="accent3"/>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公用车购置及运行维护费</c:v>
                </c:pt>
                <c:pt idx="2">
                  <c:v>公务接待费</c:v>
                </c:pt>
              </c:strCache>
            </c:strRef>
          </c:cat>
          <c:val>
            <c:numRef>
              <c:f>Sheet1!$B$2:$B$4</c:f>
              <c:numCache>
                <c:formatCode>General</c:formatCode>
                <c:ptCount val="3"/>
                <c:pt idx="0">
                  <c:v>0</c:v>
                </c:pt>
                <c:pt idx="1">
                  <c:v>2.31</c:v>
                </c:pt>
                <c:pt idx="2">
                  <c:v>0.33</c:v>
                </c:pt>
              </c:numCache>
            </c:numRef>
          </c:val>
        </c:ser>
        <c:ser>
          <c:idx val="1"/>
          <c:order val="1"/>
          <c:tx>
            <c:strRef>
              <c:f>Sheet1!$C$1</c:f>
              <c:strCache>
                <c:ptCount val="1"/>
                <c:pt idx="0">
                  <c:v>占百分比</c:v>
                </c:pt>
              </c:strCache>
            </c:strRef>
          </c:tx>
          <c:spPr/>
          <c:explosion val="0"/>
          <c:dPt>
            <c:idx val="0"/>
            <c:bubble3D val="false"/>
            <c:spPr>
              <a:solidFill>
                <a:schemeClr val="accent1"/>
              </a:solidFill>
              <a:ln w="25400">
                <a:solidFill>
                  <a:schemeClr val="lt1"/>
                </a:solidFill>
              </a:ln>
              <a:effectLst/>
            </c:spPr>
          </c:dPt>
          <c:dPt>
            <c:idx val="1"/>
            <c:bubble3D val="false"/>
            <c:spPr>
              <a:solidFill>
                <a:schemeClr val="accent2"/>
              </a:solidFill>
              <a:ln w="25400">
                <a:solidFill>
                  <a:schemeClr val="lt1"/>
                </a:solidFill>
              </a:ln>
              <a:effectLst/>
            </c:spPr>
          </c:dPt>
          <c:dPt>
            <c:idx val="2"/>
            <c:bubble3D val="false"/>
            <c:spPr>
              <a:solidFill>
                <a:schemeClr val="accent3"/>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公用车购置及运行维护费</c:v>
                </c:pt>
                <c:pt idx="2">
                  <c:v>公务接待费</c:v>
                </c:pt>
              </c:strCache>
            </c:strRef>
          </c:cat>
          <c:val>
            <c:numRef>
              <c:f>Sheet1!$C$2:$C$4</c:f>
              <c:numCache>
                <c:formatCode>General</c:formatCode>
                <c:ptCount val="3"/>
                <c:pt idx="0">
                  <c:v>0</c:v>
                </c:pt>
                <c:pt idx="1">
                  <c:v>87.5</c:v>
                </c:pt>
                <c:pt idx="2">
                  <c:v>12.5</c:v>
                </c:pt>
              </c:numCache>
            </c:numRef>
          </c:val>
        </c:ser>
        <c:dLbls>
          <c:showLegendKey val="false"/>
          <c:showVal val="false"/>
          <c:showCatName val="tru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0</TotalTime>
  <ScaleCrop>false</ScaleCrop>
  <LinksUpToDate>false</LinksUpToDate>
  <CharactersWithSpaces>9641</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仁可女青</cp:lastModifiedBy>
  <cp:lastPrinted>2019-08-01T08:48:00Z</cp:lastPrinted>
  <dcterms:modified xsi:type="dcterms:W3CDTF">2022-02-22T17:26:30Z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