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597"/>
      <w:bookmarkStart w:id="4" w:name="_Toc15377425"/>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ind w:left="2880" w:hanging="2880" w:hangingChars="400"/>
        <w:jc w:val="both"/>
        <w:outlineLvl w:val="0"/>
        <w:rPr>
          <w:rFonts w:ascii="方正小标宋简体" w:hAnsi="宋体" w:eastAsia="方正小标宋简体"/>
          <w:color w:val="000000"/>
          <w:sz w:val="72"/>
          <w:szCs w:val="72"/>
        </w:rPr>
      </w:pPr>
      <w:bookmarkStart w:id="6" w:name="_Toc15377426"/>
      <w:bookmarkStart w:id="7" w:name="_Toc15396476"/>
      <w:bookmarkStart w:id="8" w:name="_Toc15377194"/>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宣汉县黄金镇卫院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hint="eastAsia" w:ascii="黑体" w:hAnsi="黑体" w:eastAsia="黑体"/>
          <w:color w:val="000000"/>
          <w:sz w:val="48"/>
          <w:szCs w:val="48"/>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 xml:space="preserve">10 </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hint="eastAsia" w:ascii="仿宋" w:hAnsi="仿宋" w:eastAsia="仿宋"/>
          <w:sz w:val="24"/>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pStyle w:val="2"/>
        <w:jc w:val="center"/>
        <w:rPr>
          <w:rFonts w:hint="eastAsia" w:ascii="黑体" w:hAnsi="黑体" w:eastAsia="黑体"/>
          <w:b w:val="0"/>
        </w:rPr>
        <w:sectPr>
          <w:footerReference r:id="rId8" w:type="default"/>
          <w:pgSz w:w="11906" w:h="16838"/>
          <w:pgMar w:top="1440" w:right="1800" w:bottom="1440" w:left="1800" w:header="851" w:footer="992" w:gutter="0"/>
          <w:pgNumType w:fmt="decimal" w:start="1"/>
          <w:cols w:space="425" w:num="1"/>
          <w:docGrid w:type="lines" w:linePitch="312" w:charSpace="0"/>
        </w:sectPr>
      </w:pPr>
      <w:bookmarkStart w:id="12" w:name="_Toc15396599"/>
      <w:bookmarkStart w:id="13" w:name="_Toc15377196"/>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hint="eastAsia" w:ascii="黑体" w:hAnsi="黑体" w:eastAsia="黑体"/>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bookmarkStart w:id="16" w:name="_Toc15377199"/>
      <w:bookmarkStart w:id="17" w:name="_Toc15378446"/>
    </w:p>
    <w:p>
      <w:pPr>
        <w:pStyle w:val="3"/>
        <w:rPr>
          <w:rFonts w:hint="eastAsia" w:ascii="仿宋" w:hAnsi="仿宋" w:eastAsia="仿宋" w:cs="仿宋"/>
          <w:b w:val="0"/>
          <w:bCs w:val="0"/>
          <w:sz w:val="30"/>
          <w:szCs w:val="30"/>
        </w:rPr>
      </w:pPr>
      <w:r>
        <w:rPr>
          <w:rFonts w:hint="eastAsia" w:ascii="仿宋" w:hAnsi="仿宋" w:eastAsia="仿宋"/>
          <w:b w:val="0"/>
          <w:bCs w:val="0"/>
          <w:color w:val="000000"/>
          <w:sz w:val="32"/>
          <w:szCs w:val="32"/>
        </w:rPr>
        <w:t>（一）主要职能。</w:t>
      </w:r>
      <w:r>
        <w:rPr>
          <w:rFonts w:hint="eastAsia" w:ascii="仿宋" w:hAnsi="仿宋" w:eastAsia="仿宋" w:cs="仿宋"/>
          <w:b w:val="0"/>
          <w:bCs w:val="0"/>
          <w:sz w:val="32"/>
          <w:szCs w:val="32"/>
        </w:rPr>
        <w:t>宣汉县黄金镇卫生院主要职责：我始建于1958年9月，是一所集门诊、住院治疗、预防保健为一体的综合性乙等卫生院。担负着辖区3万余人及周边近4万人的基本医疗、基本公共卫生服务。院内分为门诊、住院、预防保健、医技、行后五大科组。医院内设（14）个科室（内科、外科、妇产科、放射科、检验科、B超室、财务科、办公室、护理室、理疗科、麻醉科、药房、体外碎石科、皮肤科）。目前开展了常见病、多发病、呼吸、消化、泌尿、心血管、神经系统、外科等的诊治及基本公共卫生服务工作。</w:t>
      </w:r>
      <w:r>
        <w:rPr>
          <w:rFonts w:hint="eastAsia" w:ascii="仿宋" w:hAnsi="仿宋" w:eastAsia="仿宋" w:cs="仿宋"/>
          <w:b w:val="0"/>
          <w:bCs w:val="0"/>
          <w:sz w:val="30"/>
          <w:szCs w:val="30"/>
        </w:rPr>
        <w:t>我院经中共宣汉县很机构编制委员会重新核定财政全额编制2</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人，本年实有人员总数</w:t>
      </w:r>
      <w:r>
        <w:rPr>
          <w:rFonts w:hint="eastAsia" w:ascii="仿宋" w:hAnsi="仿宋" w:eastAsia="仿宋" w:cs="仿宋"/>
          <w:b w:val="0"/>
          <w:bCs w:val="0"/>
          <w:sz w:val="30"/>
          <w:szCs w:val="30"/>
          <w:lang w:val="en-US" w:eastAsia="zh-CN"/>
        </w:rPr>
        <w:t>30</w:t>
      </w:r>
      <w:r>
        <w:rPr>
          <w:rFonts w:hint="eastAsia" w:ascii="仿宋" w:hAnsi="仿宋" w:eastAsia="仿宋" w:cs="仿宋"/>
          <w:b w:val="0"/>
          <w:bCs w:val="0"/>
          <w:sz w:val="30"/>
          <w:szCs w:val="30"/>
        </w:rPr>
        <w:t>人，其中：在职在编人数</w:t>
      </w:r>
      <w:r>
        <w:rPr>
          <w:rFonts w:hint="eastAsia" w:ascii="仿宋" w:hAnsi="仿宋" w:eastAsia="仿宋" w:cs="仿宋"/>
          <w:b w:val="0"/>
          <w:bCs w:val="0"/>
          <w:sz w:val="30"/>
          <w:szCs w:val="30"/>
          <w:lang w:val="en-US" w:eastAsia="zh-CN"/>
        </w:rPr>
        <w:t>19</w:t>
      </w:r>
      <w:r>
        <w:rPr>
          <w:rFonts w:hint="eastAsia" w:ascii="仿宋" w:hAnsi="仿宋" w:eastAsia="仿宋" w:cs="仿宋"/>
          <w:b w:val="0"/>
          <w:bCs w:val="0"/>
          <w:sz w:val="30"/>
          <w:szCs w:val="30"/>
        </w:rPr>
        <w:t>人，在职临聘人数</w:t>
      </w:r>
      <w:r>
        <w:rPr>
          <w:rFonts w:hint="eastAsia" w:ascii="仿宋" w:hAnsi="仿宋" w:eastAsia="仿宋" w:cs="仿宋"/>
          <w:b w:val="0"/>
          <w:bCs w:val="0"/>
          <w:sz w:val="30"/>
          <w:szCs w:val="30"/>
          <w:lang w:val="en-US" w:eastAsia="zh-CN"/>
        </w:rPr>
        <w:t>11</w:t>
      </w:r>
      <w:r>
        <w:rPr>
          <w:rFonts w:hint="eastAsia" w:ascii="仿宋" w:hAnsi="仿宋" w:eastAsia="仿宋" w:cs="仿宋"/>
          <w:b w:val="0"/>
          <w:bCs w:val="0"/>
          <w:sz w:val="30"/>
          <w:szCs w:val="30"/>
        </w:rPr>
        <w:t>人，退休人员数</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人，享受遗属补助1人。</w:t>
      </w:r>
    </w:p>
    <w:p>
      <w:pPr>
        <w:spacing w:line="450" w:lineRule="atLeast"/>
        <w:ind w:firstLine="600"/>
        <w:rPr>
          <w:rFonts w:hint="eastAsia" w:ascii="仿宋" w:hAnsi="仿宋" w:eastAsia="仿宋" w:cs="仿宋"/>
          <w:sz w:val="32"/>
          <w:szCs w:val="32"/>
          <w:lang w:eastAsia="zh-CN"/>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6"/>
      <w:bookmarkEnd w:id="17"/>
      <w:bookmarkStart w:id="18" w:name="_Toc15396601"/>
      <w:bookmarkStart w:id="19" w:name="_Toc15377200"/>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一是主要开展基本医疗服务、基本公共卫生和家庭医生签约服务工作；二是加强职工的自身专业技能的培训，提高服务技术，狠抓医疗服务质量和中医药服务能力提升工作；使我院基本公共卫生和医疗业务取得很大成绩，三是继续加强中央</w:t>
      </w:r>
      <w:bookmarkStart w:id="60" w:name="_GoBack"/>
      <w:bookmarkEnd w:id="60"/>
      <w:r>
        <w:rPr>
          <w:rFonts w:hint="eastAsia" w:ascii="仿宋" w:hAnsi="仿宋" w:eastAsia="仿宋" w:cs="仿宋"/>
          <w:sz w:val="32"/>
          <w:szCs w:val="32"/>
        </w:rPr>
        <w:t>八项规定，规范医疗行为，提升职工的综合素质，提升医院形象，忠实践行“全心全意为人民服务”的宗旨。</w:t>
      </w:r>
      <w:r>
        <w:rPr>
          <w:rFonts w:hint="eastAsia" w:ascii="仿宋" w:hAnsi="仿宋" w:eastAsia="仿宋" w:cs="仿宋"/>
          <w:sz w:val="32"/>
          <w:szCs w:val="32"/>
          <w:lang w:eastAsia="zh-CN"/>
        </w:rPr>
        <w:t>三是开展脱贫攻坚、健康扶贫工作以及建档立卡户帮扶工作，确保全县整体脱帽。</w:t>
      </w:r>
    </w:p>
    <w:p>
      <w:pPr>
        <w:ind w:firstLine="640" w:firstLineChars="200"/>
        <w:rPr>
          <w:rFonts w:hint="eastAsia" w:ascii="仿宋" w:hAnsi="仿宋" w:eastAsia="仿宋" w:cs="仿宋"/>
          <w:bCs/>
          <w:color w:val="000000"/>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实际开放床位40张，实际占有总床日</w:t>
      </w:r>
      <w:r>
        <w:rPr>
          <w:rFonts w:hint="eastAsia" w:ascii="仿宋" w:hAnsi="仿宋" w:eastAsia="仿宋" w:cs="仿宋"/>
          <w:sz w:val="32"/>
          <w:szCs w:val="32"/>
          <w:lang w:val="en-US" w:eastAsia="zh-CN"/>
        </w:rPr>
        <w:t>10296</w:t>
      </w:r>
      <w:r>
        <w:rPr>
          <w:rFonts w:hint="eastAsia" w:ascii="仿宋" w:hAnsi="仿宋" w:eastAsia="仿宋" w:cs="仿宋"/>
          <w:sz w:val="32"/>
          <w:szCs w:val="32"/>
        </w:rPr>
        <w:t>床日，住院治疗</w:t>
      </w:r>
      <w:r>
        <w:rPr>
          <w:rFonts w:hint="eastAsia" w:ascii="仿宋" w:hAnsi="仿宋" w:eastAsia="仿宋" w:cs="仿宋"/>
          <w:sz w:val="32"/>
          <w:szCs w:val="32"/>
          <w:lang w:val="en-US" w:eastAsia="zh-CN"/>
        </w:rPr>
        <w:t>1716</w:t>
      </w:r>
      <w:r>
        <w:rPr>
          <w:rFonts w:hint="eastAsia" w:ascii="仿宋" w:hAnsi="仿宋" w:eastAsia="仿宋" w:cs="仿宋"/>
          <w:sz w:val="32"/>
          <w:szCs w:val="32"/>
        </w:rPr>
        <w:t>人次，开展门急诊治疗</w:t>
      </w:r>
      <w:r>
        <w:rPr>
          <w:rFonts w:hint="eastAsia" w:ascii="仿宋" w:hAnsi="仿宋" w:eastAsia="仿宋" w:cs="仿宋"/>
          <w:sz w:val="32"/>
          <w:szCs w:val="32"/>
          <w:lang w:val="en-US" w:eastAsia="zh-CN"/>
        </w:rPr>
        <w:t>28650</w:t>
      </w:r>
      <w:r>
        <w:rPr>
          <w:rFonts w:hint="eastAsia" w:ascii="仿宋" w:hAnsi="仿宋" w:eastAsia="仿宋" w:cs="仿宋"/>
          <w:sz w:val="32"/>
          <w:szCs w:val="32"/>
        </w:rPr>
        <w:t>人次。</w:t>
      </w:r>
    </w:p>
    <w:p>
      <w:pPr>
        <w:pStyle w:val="5"/>
        <w:adjustRightInd w:val="0"/>
        <w:snapToGrid w:val="0"/>
        <w:spacing w:before="93" w:line="600" w:lineRule="exact"/>
        <w:ind w:firstLine="630" w:firstLineChars="210"/>
        <w:outlineLvl w:val="2"/>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8"/>
      <w:bookmarkEnd w:id="19"/>
    </w:p>
    <w:p>
      <w:pPr>
        <w:pStyle w:val="5"/>
        <w:adjustRightInd w:val="0"/>
        <w:snapToGri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黄金镇卫生院属于一级预算单位，无下级预算单位。</w:t>
      </w:r>
    </w:p>
    <w:p>
      <w:pPr>
        <w:pStyle w:val="5"/>
        <w:spacing w:line="450" w:lineRule="atLeast"/>
        <w:jc w:val="left"/>
        <w:rPr>
          <w:rFonts w:hint="eastAsia" w:ascii="仿宋" w:hAnsi="仿宋" w:eastAsia="仿宋" w:cs="仿宋"/>
          <w:color w:val="000000"/>
          <w:sz w:val="32"/>
          <w:szCs w:val="32"/>
        </w:rPr>
      </w:pPr>
      <w:r>
        <w:rPr>
          <w:rFonts w:hint="eastAsia" w:ascii="仿宋" w:hAnsi="仿宋" w:eastAsia="仿宋" w:cs="仿宋"/>
          <w:sz w:val="32"/>
          <w:szCs w:val="32"/>
          <w:lang w:eastAsia="zh-CN"/>
        </w:rPr>
        <w:t>从行政区划上看黄金镇辖区两个居委会，</w:t>
      </w:r>
      <w:r>
        <w:rPr>
          <w:rFonts w:hint="eastAsia" w:ascii="仿宋" w:hAnsi="仿宋" w:eastAsia="仿宋" w:cs="仿宋"/>
          <w:sz w:val="32"/>
          <w:szCs w:val="32"/>
          <w:lang w:val="en-US" w:eastAsia="zh-CN"/>
        </w:rPr>
        <w:t>8个行政村</w:t>
      </w:r>
      <w:r>
        <w:rPr>
          <w:rFonts w:hint="eastAsia" w:ascii="仿宋" w:hAnsi="仿宋" w:eastAsia="仿宋" w:cs="仿宋"/>
          <w:sz w:val="32"/>
          <w:szCs w:val="32"/>
          <w:lang w:eastAsia="zh-CN"/>
        </w:rPr>
        <w:t>。负责辖区</w:t>
      </w:r>
      <w:r>
        <w:rPr>
          <w:rFonts w:hint="eastAsia" w:ascii="仿宋" w:hAnsi="仿宋" w:eastAsia="仿宋" w:cs="仿宋"/>
          <w:sz w:val="32"/>
          <w:szCs w:val="32"/>
        </w:rPr>
        <w:t>宣传贯彻执行</w:t>
      </w:r>
      <w:r>
        <w:rPr>
          <w:rFonts w:hint="eastAsia" w:ascii="仿宋" w:hAnsi="仿宋" w:eastAsia="仿宋" w:cs="仿宋"/>
          <w:sz w:val="32"/>
          <w:szCs w:val="32"/>
          <w:lang w:eastAsia="zh-CN"/>
        </w:rPr>
        <w:t>医疗卫生制度</w:t>
      </w:r>
      <w:r>
        <w:rPr>
          <w:rFonts w:hint="eastAsia" w:ascii="仿宋" w:hAnsi="仿宋" w:eastAsia="仿宋" w:cs="仿宋"/>
          <w:sz w:val="32"/>
          <w:szCs w:val="32"/>
        </w:rPr>
        <w:t>和法律法规；负责</w:t>
      </w:r>
      <w:r>
        <w:rPr>
          <w:rFonts w:hint="eastAsia" w:ascii="仿宋" w:hAnsi="仿宋" w:eastAsia="仿宋" w:cs="仿宋"/>
          <w:sz w:val="32"/>
          <w:szCs w:val="32"/>
          <w:lang w:eastAsia="zh-CN"/>
        </w:rPr>
        <w:t>辖区卫生站医疗业务技术</w:t>
      </w:r>
      <w:r>
        <w:rPr>
          <w:rFonts w:hint="eastAsia" w:ascii="仿宋" w:hAnsi="仿宋" w:eastAsia="仿宋" w:cs="仿宋"/>
          <w:sz w:val="32"/>
          <w:szCs w:val="32"/>
        </w:rPr>
        <w:t>指导</w:t>
      </w:r>
      <w:r>
        <w:rPr>
          <w:rFonts w:hint="eastAsia" w:ascii="仿宋" w:hAnsi="仿宋" w:eastAsia="仿宋" w:cs="仿宋"/>
          <w:sz w:val="32"/>
          <w:szCs w:val="32"/>
          <w:lang w:eastAsia="zh-CN"/>
        </w:rPr>
        <w:t>和传达主管局的事务要求。</w:t>
      </w:r>
    </w:p>
    <w:p>
      <w:pPr>
        <w:widowControl/>
        <w:ind w:firstLine="880" w:firstLineChars="200"/>
        <w:jc w:val="left"/>
        <w:rPr>
          <w:rStyle w:val="24"/>
          <w:rFonts w:ascii="黑体" w:hAnsi="黑体" w:eastAsia="黑体"/>
          <w:b w:val="0"/>
          <w:bCs w:val="0"/>
        </w:rPr>
      </w:pPr>
      <w:bookmarkStart w:id="20" w:name="_Toc15377204"/>
      <w:bookmarkStart w:id="21" w:name="_Toc15396602"/>
      <w:r>
        <w:rPr>
          <w:rFonts w:hint="eastAsia" w:ascii="黑体" w:hAnsi="黑体" w:eastAsia="黑体"/>
          <w:b w:val="0"/>
          <w:color w:val="000000"/>
          <w:sz w:val="44"/>
          <w:szCs w:val="44"/>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0"/>
      <w:bookmarkEnd w:id="21"/>
    </w:p>
    <w:p/>
    <w:p>
      <w:pPr>
        <w:pStyle w:val="23"/>
        <w:numPr>
          <w:ilvl w:val="0"/>
          <w:numId w:val="1"/>
        </w:numPr>
        <w:spacing w:line="600" w:lineRule="exact"/>
        <w:ind w:firstLineChars="0"/>
        <w:outlineLvl w:val="1"/>
        <w:rPr>
          <w:rStyle w:val="25"/>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2"/>
      <w:bookmarkEnd w:id="23"/>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761.20</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693.23</w:t>
      </w:r>
      <w:r>
        <w:rPr>
          <w:rFonts w:hint="eastAsia" w:ascii="楷体_GB2312" w:eastAsia="楷体_GB2312"/>
          <w:color w:val="000000"/>
          <w:sz w:val="32"/>
          <w:szCs w:val="32"/>
          <w:lang w:eastAsia="zh-CN"/>
        </w:rPr>
        <w:t>万元</w:t>
      </w:r>
      <w:r>
        <w:rPr>
          <w:rFonts w:hint="eastAsia" w:ascii="仿宋" w:hAnsi="仿宋" w:eastAsia="仿宋"/>
          <w:color w:val="000000"/>
          <w:sz w:val="32"/>
          <w:szCs w:val="32"/>
        </w:rPr>
        <w:t>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67.97万元，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761.2元与2018年</w:t>
      </w:r>
      <w:r>
        <w:rPr>
          <w:rFonts w:hint="eastAsia" w:ascii="楷体_GB2312" w:eastAsia="楷体_GB2312"/>
          <w:color w:val="000000"/>
          <w:sz w:val="32"/>
          <w:szCs w:val="32"/>
          <w:lang w:val="en-US" w:eastAsia="zh-CN"/>
        </w:rPr>
        <w:t>693.23</w:t>
      </w:r>
      <w:r>
        <w:rPr>
          <w:rFonts w:hint="eastAsia" w:ascii="楷体_GB2312" w:eastAsia="楷体_GB2312"/>
          <w:color w:val="000000"/>
          <w:sz w:val="32"/>
          <w:szCs w:val="32"/>
          <w:lang w:eastAsia="zh-CN"/>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67.97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2019年基本医疗和基本公共卫生服务两手抓，门诊、住院病人相应增加36.17万元。财政补助收入比2018年相比增加</w:t>
      </w:r>
      <w:r>
        <w:rPr>
          <w:rFonts w:hint="eastAsia" w:ascii="仿宋" w:hAnsi="仿宋" w:eastAsia="仿宋"/>
          <w:color w:val="000000"/>
          <w:sz w:val="32"/>
          <w:szCs w:val="32"/>
          <w:lang w:eastAsia="zh-CN"/>
        </w:rPr>
        <w:t>了</w:t>
      </w:r>
      <w:r>
        <w:rPr>
          <w:rFonts w:hint="eastAsia" w:ascii="仿宋" w:hAnsi="仿宋" w:eastAsia="仿宋"/>
          <w:color w:val="000000"/>
          <w:sz w:val="32"/>
          <w:szCs w:val="32"/>
          <w:lang w:val="en-US" w:eastAsia="zh-CN"/>
        </w:rPr>
        <w:t>31.8万元。</w:t>
      </w:r>
    </w:p>
    <w:p>
      <w:pPr>
        <w:pStyle w:val="23"/>
        <w:numPr>
          <w:ilvl w:val="0"/>
          <w:numId w:val="0"/>
        </w:numPr>
        <w:spacing w:line="600" w:lineRule="exact"/>
        <w:ind w:firstLine="640" w:firstLineChars="200"/>
        <w:outlineLvl w:val="1"/>
        <w:rPr>
          <w:rStyle w:val="25"/>
          <w:rFonts w:ascii="黑体" w:hAnsi="黑体" w:eastAsia="黑体"/>
          <w:b w:val="0"/>
        </w:rPr>
      </w:pPr>
      <w:bookmarkStart w:id="24" w:name="_Toc15377206"/>
      <w:bookmarkStart w:id="25"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4"/>
      <w:bookmarkEnd w:id="25"/>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761.2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198.46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26.07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562.52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73.9</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0.03</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0"/>
        </w:numPr>
        <w:spacing w:line="600" w:lineRule="exact"/>
        <w:ind w:left="640" w:leftChars="0"/>
        <w:outlineLvl w:val="1"/>
        <w:rPr>
          <w:rStyle w:val="25"/>
          <w:rFonts w:ascii="黑体" w:hAnsi="黑体" w:eastAsia="黑体"/>
          <w:b w:val="0"/>
        </w:rPr>
      </w:pPr>
      <w:bookmarkStart w:id="26" w:name="_Toc15377207"/>
      <w:bookmarkStart w:id="27"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761.2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761.2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198.46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ascii="仿宋" w:hAnsi="仿宋" w:eastAsia="仿宋"/>
          <w:color w:val="000000"/>
          <w:sz w:val="32"/>
          <w:szCs w:val="32"/>
        </w:rPr>
        <w:t>/</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166.66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19.08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增加了公共卫生服务经费。</w:t>
      </w:r>
    </w:p>
    <w:p>
      <w:pPr>
        <w:spacing w:line="600" w:lineRule="exact"/>
        <w:ind w:firstLine="640" w:firstLineChars="200"/>
        <w:outlineLvl w:val="1"/>
        <w:rPr>
          <w:rStyle w:val="25"/>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198.46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26.07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ascii="仿宋" w:hAnsi="仿宋" w:eastAsia="仿宋"/>
          <w:color w:val="000000"/>
          <w:sz w:val="32"/>
          <w:szCs w:val="32"/>
        </w:rPr>
        <w:t>/</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31.8</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19.08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增加了公共卫生服务经费</w:t>
      </w:r>
      <w:r>
        <w:rPr>
          <w:rFonts w:hint="eastAsia" w:ascii="仿宋" w:hAnsi="仿宋" w:eastAsia="仿宋"/>
          <w:color w:val="000000"/>
          <w:sz w:val="32"/>
          <w:szCs w:val="32"/>
          <w:lang w:val="en-US" w:eastAsia="zh-CN"/>
        </w:rPr>
        <w:t>.</w:t>
      </w:r>
    </w:p>
    <w:p>
      <w:pPr>
        <w:spacing w:line="600" w:lineRule="exact"/>
        <w:ind w:firstLine="642"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198.46</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ascii="仿宋" w:hAnsi="仿宋" w:eastAsia="仿宋"/>
          <w:color w:val="000000" w:themeColor="text1"/>
          <w:sz w:val="32"/>
          <w:szCs w:val="32"/>
        </w:rPr>
        <w:t>**</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0</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198.46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100</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2"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2" w:firstLineChars="200"/>
        <w:outlineLvl w:val="2"/>
        <w:rPr>
          <w:rFonts w:ascii="仿宋" w:hAnsi="仿宋" w:eastAsia="仿宋"/>
          <w:color w:val="FF0000"/>
          <w:sz w:val="32"/>
          <w:szCs w:val="32"/>
        </w:rPr>
      </w:pPr>
      <w:bookmarkStart w:id="35" w:name="_Toc15378460"/>
      <w:bookmarkStart w:id="36" w:name="_Toc15377444"/>
      <w:bookmarkStart w:id="37" w:name="_Toc15377213"/>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198.46万元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Fonts w:hint="eastAsia" w:ascii="仿宋" w:hAnsi="仿宋" w:eastAsia="仿宋"/>
          <w:b/>
          <w:bCs/>
          <w:color w:val="000000" w:themeColor="text1"/>
          <w:sz w:val="32"/>
          <w:szCs w:val="32"/>
        </w:rPr>
        <w:t>卫生健康</w:t>
      </w:r>
      <w:r>
        <w:rPr>
          <w:rStyle w:val="14"/>
          <w:rFonts w:hint="eastAsia" w:ascii="楷体_GB2312" w:eastAsia="楷体_GB2312"/>
          <w:b w:val="0"/>
          <w:color w:val="000000"/>
          <w:sz w:val="32"/>
          <w:szCs w:val="32"/>
        </w:rPr>
        <w:t>（类）基层医疗卫生机构（款）乡镇卫生院（项）:</w:t>
      </w:r>
      <w:r>
        <w:rPr>
          <w:rFonts w:hint="eastAsia" w:ascii="楷体_GB2312" w:eastAsia="楷体_GB2312"/>
          <w:color w:val="000000"/>
          <w:sz w:val="32"/>
          <w:szCs w:val="32"/>
        </w:rPr>
        <w:t>201</w:t>
      </w:r>
      <w:r>
        <w:rPr>
          <w:rFonts w:hint="eastAsia" w:ascii="楷体_GB2312" w:eastAsia="楷体_GB2312"/>
          <w:color w:val="000000"/>
          <w:sz w:val="32"/>
          <w:szCs w:val="32"/>
          <w:lang w:val="en-US" w:eastAsia="zh-CN"/>
        </w:rPr>
        <w:t>9</w:t>
      </w:r>
      <w:r>
        <w:rPr>
          <w:rFonts w:hint="eastAsia" w:ascii="楷体_GB2312" w:eastAsia="楷体_GB2312"/>
          <w:color w:val="000000"/>
          <w:sz w:val="32"/>
          <w:szCs w:val="32"/>
        </w:rPr>
        <w:t>年决算数为</w:t>
      </w:r>
      <w:r>
        <w:rPr>
          <w:rFonts w:hint="eastAsia" w:ascii="楷体_GB2312" w:eastAsia="楷体_GB2312"/>
          <w:color w:val="000000"/>
          <w:sz w:val="32"/>
          <w:szCs w:val="32"/>
          <w:lang w:val="en-US" w:eastAsia="zh-CN"/>
        </w:rPr>
        <w:t>67.65</w:t>
      </w:r>
      <w:r>
        <w:rPr>
          <w:rFonts w:hint="eastAsia" w:ascii="楷体_GB2312" w:eastAsia="楷体_GB2312"/>
          <w:color w:val="000000"/>
          <w:sz w:val="32"/>
          <w:szCs w:val="32"/>
        </w:rPr>
        <w:t>万元，预算调整数</w:t>
      </w:r>
      <w:r>
        <w:rPr>
          <w:rFonts w:hint="eastAsia" w:ascii="楷体_GB2312" w:eastAsia="楷体_GB2312"/>
          <w:color w:val="000000"/>
          <w:sz w:val="32"/>
          <w:szCs w:val="32"/>
          <w:lang w:val="en-US" w:eastAsia="zh-CN"/>
        </w:rPr>
        <w:t>67.65</w:t>
      </w:r>
      <w:r>
        <w:rPr>
          <w:rFonts w:hint="eastAsia" w:ascii="楷体_GB2312" w:eastAsia="楷体_GB2312"/>
          <w:color w:val="000000"/>
          <w:sz w:val="32"/>
          <w:szCs w:val="32"/>
        </w:rPr>
        <w:t>万元，完成预算100%。</w:t>
      </w:r>
      <w:r>
        <w:rPr>
          <w:rStyle w:val="14"/>
          <w:rFonts w:hint="eastAsia" w:ascii="楷体_GB2312" w:eastAsia="楷体_GB2312"/>
          <w:b w:val="0"/>
          <w:color w:val="000000"/>
          <w:sz w:val="32"/>
          <w:szCs w:val="32"/>
        </w:rPr>
        <w:t>其他基层医疗卫生机构支出（项）:</w:t>
      </w:r>
      <w:r>
        <w:rPr>
          <w:rFonts w:hint="eastAsia" w:ascii="楷体_GB2312" w:eastAsia="楷体_GB2312"/>
          <w:color w:val="000000"/>
          <w:sz w:val="32"/>
          <w:szCs w:val="32"/>
        </w:rPr>
        <w:t>201</w:t>
      </w:r>
      <w:r>
        <w:rPr>
          <w:rFonts w:hint="eastAsia" w:ascii="楷体_GB2312" w:eastAsia="楷体_GB2312"/>
          <w:color w:val="000000"/>
          <w:sz w:val="32"/>
          <w:szCs w:val="32"/>
          <w:lang w:val="en-US" w:eastAsia="zh-CN"/>
        </w:rPr>
        <w:t>9</w:t>
      </w:r>
      <w:r>
        <w:rPr>
          <w:rFonts w:hint="eastAsia" w:ascii="楷体_GB2312" w:eastAsia="楷体_GB2312"/>
          <w:color w:val="000000"/>
          <w:sz w:val="32"/>
          <w:szCs w:val="32"/>
        </w:rPr>
        <w:t>年决算数为</w:t>
      </w:r>
      <w:r>
        <w:rPr>
          <w:rFonts w:hint="eastAsia" w:ascii="楷体_GB2312" w:eastAsia="楷体_GB2312"/>
          <w:color w:val="000000"/>
          <w:sz w:val="32"/>
          <w:szCs w:val="32"/>
          <w:lang w:val="en-US" w:eastAsia="zh-CN"/>
        </w:rPr>
        <w:t>631.77</w:t>
      </w:r>
      <w:r>
        <w:rPr>
          <w:rFonts w:hint="eastAsia" w:ascii="楷体_GB2312" w:eastAsia="楷体_GB2312"/>
          <w:color w:val="000000"/>
          <w:sz w:val="32"/>
          <w:szCs w:val="32"/>
        </w:rPr>
        <w:t>万元，完成预算100%。</w:t>
      </w:r>
      <w:r>
        <w:rPr>
          <w:rStyle w:val="14"/>
          <w:rFonts w:hint="eastAsia" w:ascii="楷体_GB2312" w:eastAsia="楷体_GB2312"/>
          <w:b w:val="0"/>
          <w:color w:val="000000"/>
          <w:sz w:val="32"/>
          <w:szCs w:val="32"/>
        </w:rPr>
        <w:t>公共卫生（款）基本公共卫生服务（项）:</w:t>
      </w:r>
      <w:r>
        <w:rPr>
          <w:rFonts w:hint="eastAsia" w:ascii="楷体_GB2312" w:eastAsia="楷体_GB2312"/>
          <w:color w:val="000000"/>
          <w:sz w:val="32"/>
          <w:szCs w:val="32"/>
        </w:rPr>
        <w:t>201</w:t>
      </w:r>
      <w:r>
        <w:rPr>
          <w:rFonts w:hint="eastAsia" w:ascii="楷体_GB2312" w:eastAsia="楷体_GB2312"/>
          <w:color w:val="000000"/>
          <w:sz w:val="32"/>
          <w:szCs w:val="32"/>
          <w:lang w:val="en-US" w:eastAsia="zh-CN"/>
        </w:rPr>
        <w:t>8</w:t>
      </w:r>
      <w:r>
        <w:rPr>
          <w:rFonts w:hint="eastAsia" w:ascii="楷体_GB2312" w:eastAsia="楷体_GB2312"/>
          <w:color w:val="000000"/>
          <w:sz w:val="32"/>
          <w:szCs w:val="32"/>
        </w:rPr>
        <w:t>年决算数为</w:t>
      </w:r>
      <w:r>
        <w:rPr>
          <w:rFonts w:hint="eastAsia" w:ascii="楷体_GB2312" w:eastAsia="楷体_GB2312"/>
          <w:color w:val="000000"/>
          <w:sz w:val="32"/>
          <w:szCs w:val="32"/>
          <w:lang w:val="en-US" w:eastAsia="zh-CN"/>
        </w:rPr>
        <w:t>99.42</w:t>
      </w:r>
      <w:r>
        <w:rPr>
          <w:rFonts w:hint="eastAsia" w:ascii="楷体_GB2312" w:eastAsia="楷体_GB2312"/>
          <w:color w:val="000000"/>
          <w:sz w:val="32"/>
          <w:szCs w:val="32"/>
        </w:rPr>
        <w:t>万元，完成预算100%。</w:t>
      </w:r>
      <w:r>
        <w:rPr>
          <w:rStyle w:val="14"/>
          <w:rFonts w:hint="eastAsia" w:ascii="楷体_GB2312" w:eastAsia="楷体_GB2312"/>
          <w:b w:val="0"/>
          <w:color w:val="000000"/>
          <w:sz w:val="32"/>
          <w:szCs w:val="32"/>
        </w:rPr>
        <w:t>疗保障（款）事业单位医疗（项）:</w:t>
      </w:r>
      <w:r>
        <w:rPr>
          <w:rFonts w:hint="eastAsia" w:ascii="楷体_GB2312" w:eastAsia="楷体_GB2312"/>
          <w:color w:val="000000"/>
          <w:sz w:val="32"/>
          <w:szCs w:val="32"/>
        </w:rPr>
        <w:t>201</w:t>
      </w:r>
      <w:r>
        <w:rPr>
          <w:rFonts w:hint="eastAsia" w:ascii="楷体_GB2312" w:eastAsia="楷体_GB2312"/>
          <w:color w:val="000000"/>
          <w:sz w:val="32"/>
          <w:szCs w:val="32"/>
          <w:lang w:val="en-US" w:eastAsia="zh-CN"/>
        </w:rPr>
        <w:t>8</w:t>
      </w:r>
      <w:r>
        <w:rPr>
          <w:rFonts w:hint="eastAsia" w:ascii="楷体_GB2312" w:eastAsia="楷体_GB2312"/>
          <w:color w:val="000000"/>
          <w:sz w:val="32"/>
          <w:szCs w:val="32"/>
        </w:rPr>
        <w:t>年决算数为0.</w:t>
      </w:r>
      <w:r>
        <w:rPr>
          <w:rFonts w:hint="eastAsia" w:ascii="楷体_GB2312" w:eastAsia="楷体_GB2312"/>
          <w:color w:val="000000"/>
          <w:sz w:val="32"/>
          <w:szCs w:val="32"/>
          <w:lang w:val="en-US" w:eastAsia="zh-CN"/>
        </w:rPr>
        <w:t>09</w:t>
      </w:r>
      <w:r>
        <w:rPr>
          <w:rFonts w:hint="eastAsia" w:ascii="楷体_GB2312" w:eastAsia="楷体_GB2312"/>
          <w:color w:val="000000"/>
          <w:sz w:val="32"/>
          <w:szCs w:val="32"/>
        </w:rPr>
        <w:t>万元，完成预算100%。</w:t>
      </w:r>
    </w:p>
    <w:p>
      <w:pPr>
        <w:tabs>
          <w:tab w:val="right" w:pos="8306"/>
        </w:tabs>
        <w:spacing w:line="600" w:lineRule="exact"/>
        <w:ind w:firstLine="640"/>
        <w:outlineLvl w:val="1"/>
        <w:rPr>
          <w:rStyle w:val="25"/>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198.46</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val="en-US" w:eastAsia="zh-CN"/>
        </w:rPr>
      </w:pPr>
      <w:bookmarkStart w:id="40" w:name="_Toc15377215"/>
      <w:bookmarkStart w:id="41" w:name="_Toc15396609"/>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108.84</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55万元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1.57万元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19.1万元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18.87万元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14.30万元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84.32</w:t>
      </w:r>
      <w:r>
        <w:rPr>
          <w:rFonts w:hint="eastAsia" w:ascii="仿宋" w:hAnsi="仿宋" w:eastAsia="仿宋"/>
          <w:color w:val="000000"/>
          <w:sz w:val="32"/>
          <w:szCs w:val="32"/>
        </w:rPr>
        <w:t>万元，主要包括：</w:t>
      </w:r>
      <w:r>
        <w:rPr>
          <w:rFonts w:hint="eastAsia" w:ascii="仿宋" w:hAnsi="仿宋" w:eastAsia="仿宋"/>
          <w:color w:val="000000"/>
          <w:sz w:val="32"/>
          <w:szCs w:val="32"/>
          <w:lang w:eastAsia="zh-CN"/>
        </w:rPr>
        <w:t>印刷</w:t>
      </w:r>
      <w:r>
        <w:rPr>
          <w:rFonts w:hint="eastAsia" w:ascii="仿宋" w:hAnsi="仿宋" w:eastAsia="仿宋"/>
          <w:color w:val="000000"/>
          <w:sz w:val="32"/>
          <w:szCs w:val="32"/>
        </w:rPr>
        <w:t>费</w:t>
      </w:r>
      <w:r>
        <w:rPr>
          <w:rFonts w:hint="eastAsia" w:ascii="仿宋" w:hAnsi="仿宋" w:eastAsia="仿宋"/>
          <w:color w:val="000000"/>
          <w:sz w:val="32"/>
          <w:szCs w:val="32"/>
          <w:lang w:val="en-US" w:eastAsia="zh-CN"/>
        </w:rPr>
        <w:t>1万元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0.16万元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0.28万元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专用材料费</w:t>
      </w:r>
      <w:r>
        <w:rPr>
          <w:rFonts w:hint="eastAsia" w:ascii="仿宋" w:hAnsi="仿宋" w:eastAsia="仿宋"/>
          <w:color w:val="000000"/>
          <w:sz w:val="32"/>
          <w:szCs w:val="32"/>
          <w:lang w:val="en-US" w:eastAsia="zh-CN"/>
        </w:rPr>
        <w:t>4.36万元，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59.03万元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1.83万元（救护车）</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17.66万元</w:t>
      </w:r>
      <w:r>
        <w:rPr>
          <w:rFonts w:hint="eastAsia" w:ascii="仿宋" w:hAnsi="仿宋" w:eastAsia="仿宋"/>
          <w:color w:val="000000"/>
          <w:sz w:val="32"/>
          <w:szCs w:val="32"/>
        </w:rPr>
        <w:t>等</w:t>
      </w:r>
      <w:r>
        <w:rPr>
          <w:rFonts w:hint="eastAsia" w:ascii="仿宋" w:hAnsi="仿宋" w:eastAsia="仿宋"/>
          <w:color w:val="000000"/>
          <w:sz w:val="32"/>
          <w:szCs w:val="32"/>
          <w:lang w:val="en-US" w:eastAsia="zh-CN"/>
        </w:rPr>
        <w:t>.</w:t>
      </w:r>
    </w:p>
    <w:p>
      <w:pPr>
        <w:spacing w:line="600" w:lineRule="exact"/>
        <w:ind w:firstLine="645"/>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3、对个人及家庭支出：遗属人员生活补助5.3万元。</w:t>
      </w:r>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198.46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0.92</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1.83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1.08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救护车出车减少。</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w:t>
      </w:r>
      <w:r>
        <w:rPr>
          <w:rFonts w:hint="eastAsia" w:ascii="仿宋_GB2312" w:eastAsia="仿宋_GB2312"/>
          <w:color w:val="000000"/>
          <w:sz w:val="32"/>
          <w:szCs w:val="32"/>
          <w:lang w:eastAsia="zh-CN"/>
        </w:rPr>
        <w:t>救护车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1.83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救护车转运病人</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outlineLvl w:val="1"/>
        <w:rPr>
          <w:rStyle w:val="25"/>
          <w:rFonts w:ascii="黑体" w:hAnsi="黑体" w:eastAsia="黑体"/>
        </w:rPr>
      </w:pPr>
      <w:bookmarkStart w:id="44" w:name="_Toc15377218"/>
      <w:bookmarkStart w:id="45"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25"/>
          <w:rFonts w:ascii="黑体" w:hAnsi="黑体" w:eastAsia="黑体"/>
          <w:b w:val="0"/>
        </w:rPr>
      </w:pPr>
      <w:bookmarkStart w:id="46" w:name="_Toc15396611"/>
      <w:bookmarkStart w:id="47" w:name="_Toc15377219"/>
      <w:r>
        <w:rPr>
          <w:rStyle w:val="25"/>
          <w:rFonts w:hint="eastAsia" w:ascii="黑体" w:hAnsi="黑体" w:eastAsia="黑体"/>
          <w:b w:val="0"/>
          <w:lang w:eastAsia="zh-CN"/>
        </w:rPr>
        <w:t>九、</w:t>
      </w:r>
      <w:r>
        <w:rPr>
          <w:rStyle w:val="25"/>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25"/>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8"/>
      <w:bookmarkEnd w:id="49"/>
    </w:p>
    <w:p>
      <w:pPr>
        <w:spacing w:line="600" w:lineRule="exact"/>
        <w:ind w:firstLine="642" w:firstLineChars="200"/>
        <w:outlineLvl w:val="2"/>
        <w:rPr>
          <w:rFonts w:hint="eastAsia" w:ascii="仿宋" w:hAnsi="仿宋" w:eastAsia="仿宋"/>
          <w:color w:val="000000"/>
          <w:sz w:val="32"/>
          <w:szCs w:val="32"/>
          <w:lang w:eastAsia="zh-CN"/>
        </w:rPr>
      </w:pPr>
      <w:bookmarkStart w:id="50" w:name="_Toc15377222"/>
      <w:r>
        <w:rPr>
          <w:rFonts w:hint="eastAsia" w:ascii="仿宋" w:hAnsi="仿宋" w:eastAsia="仿宋"/>
          <w:b/>
          <w:color w:val="000000"/>
          <w:sz w:val="32"/>
          <w:szCs w:val="32"/>
        </w:rPr>
        <w:t>（一）机关运行经费支出情况</w:t>
      </w:r>
      <w:bookmarkEnd w:id="50"/>
      <w:r>
        <w:rPr>
          <w:rFonts w:hint="eastAsia" w:ascii="仿宋" w:hAnsi="仿宋" w:eastAsia="仿宋"/>
          <w:b/>
          <w:color w:val="000000"/>
          <w:sz w:val="32"/>
          <w:szCs w:val="32"/>
          <w:lang w:eastAsia="zh-CN"/>
        </w:rPr>
        <w:t>（无）</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我院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我院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w:t>
      </w:r>
      <w:r>
        <w:rPr>
          <w:rFonts w:hint="eastAsia" w:ascii="仿宋_GB2312" w:eastAsia="仿宋_GB2312"/>
          <w:color w:val="000000"/>
          <w:sz w:val="32"/>
          <w:szCs w:val="32"/>
          <w:lang w:eastAsia="zh-CN"/>
        </w:rPr>
        <w:t>救护车转运病人需要。</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numPr>
          <w:ilvl w:val="0"/>
          <w:numId w:val="2"/>
        </w:numPr>
        <w:spacing w:line="580" w:lineRule="exact"/>
        <w:ind w:firstLine="560" w:firstLineChars="200"/>
        <w:rPr>
          <w:rFonts w:ascii="仿宋" w:hAnsi="仿宋" w:eastAsia="仿宋" w:cs="楷体_GB2312"/>
          <w:b w:val="0"/>
          <w:bCs w:val="0"/>
          <w:sz w:val="28"/>
          <w:szCs w:val="28"/>
        </w:rPr>
      </w:pPr>
      <w:bookmarkStart w:id="53" w:name="_Toc15396613"/>
      <w:bookmarkStart w:id="54" w:name="_Toc15377225"/>
      <w:r>
        <w:rPr>
          <w:rFonts w:hint="eastAsia" w:ascii="仿宋" w:hAnsi="仿宋" w:eastAsia="仿宋" w:cs="楷体_GB2312"/>
          <w:b w:val="0"/>
          <w:bCs w:val="0"/>
          <w:sz w:val="28"/>
          <w:szCs w:val="28"/>
        </w:rPr>
        <w:t>预算绩效管理工作开展情况。</w:t>
      </w:r>
    </w:p>
    <w:p>
      <w:pPr>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1.绩效目标管理情况。</w:t>
      </w:r>
    </w:p>
    <w:p>
      <w:pPr>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按照预算绩效管理要求，本部门对201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年一般公共预算项目支出开展了绩效目标管理，共编制绩效目标1个，涉及财政资金</w:t>
      </w:r>
      <w:r>
        <w:rPr>
          <w:rFonts w:hint="eastAsia" w:ascii="仿宋_GB2312" w:eastAsia="仿宋_GB2312"/>
          <w:color w:val="000000"/>
          <w:sz w:val="32"/>
          <w:szCs w:val="32"/>
          <w:lang w:val="en-US" w:eastAsia="zh-CN"/>
        </w:rPr>
        <w:t>198.46</w:t>
      </w:r>
      <w:r>
        <w:rPr>
          <w:rFonts w:hint="eastAsia" w:ascii="仿宋_GB2312" w:eastAsia="仿宋_GB2312"/>
          <w:color w:val="000000"/>
          <w:sz w:val="32"/>
          <w:szCs w:val="32"/>
        </w:rPr>
        <w:t>万元，覆盖率达到100%。</w:t>
      </w:r>
    </w:p>
    <w:p>
      <w:pPr>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2.部门整体支出绩效自评开展情况。</w:t>
      </w:r>
    </w:p>
    <w:p>
      <w:pPr>
        <w:spacing w:line="600" w:lineRule="atLeast"/>
        <w:ind w:firstLine="640" w:firstLineChars="200"/>
        <w:rPr>
          <w:rFonts w:hint="eastAsia" w:ascii="仿宋_GB2312" w:eastAsia="仿宋_GB2312"/>
          <w:b/>
          <w:color w:val="000000"/>
          <w:sz w:val="32"/>
          <w:szCs w:val="32"/>
        </w:rPr>
      </w:pPr>
      <w:r>
        <w:rPr>
          <w:rFonts w:hint="eastAsia" w:ascii="仿宋_GB2312" w:eastAsia="仿宋_GB2312"/>
          <w:color w:val="000000"/>
          <w:sz w:val="32"/>
          <w:szCs w:val="32"/>
        </w:rPr>
        <w:t>按照预算绩效管理要求，本部门对201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年整体支出开展绩效自评，自评得分9</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分，存在的问题：一是执行中期评估不到位扣1分，二是资产管理信息化1分，三是内部制度健全完整程度不高扣1分，四是评价结果应用不到位扣1分，五是履职成效不高，没有达到规范的效果，扣</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分。下一步改进措施：一是加强中期评估的执行力度，认真执行好中期评估，二是及时进行绩效目标的动态监控，三是高质量的完善内部制度建设，四是充分运用评价结果行质量监督，根据评价结果提出改进措施并落到实处，五是提高绩效评价质量，认真执行绩效监控，按照内部制度制度要求，依照相关流程提高履职成效。结合绩效评价结果，对存在不合理的、需要改进提高的工作方法、管理措施、监督力度，进行进一步提升和规范。</w:t>
      </w:r>
    </w:p>
    <w:p>
      <w:pPr>
        <w:numPr>
          <w:ilvl w:val="0"/>
          <w:numId w:val="0"/>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lang w:eastAsia="zh-CN"/>
        </w:rPr>
        <w:t>（二）、</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w:t>
      </w:r>
      <w:r>
        <w:rPr>
          <w:rFonts w:hint="eastAsia" w:ascii="仿宋_GB2312" w:hAnsi="仿宋_GB2312" w:eastAsia="仿宋_GB2312" w:cs="仿宋_GB2312"/>
          <w:sz w:val="32"/>
          <w:szCs w:val="32"/>
          <w:lang w:eastAsia="zh-CN"/>
        </w:rPr>
        <w:t>无项目绩效。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宣汉县黄金镇卫生院</w:t>
      </w:r>
      <w:r>
        <w:rPr>
          <w:rFonts w:hint="eastAsia" w:ascii="仿宋_GB2312" w:hAnsi="仿宋_GB2312" w:eastAsia="仿宋_GB2312" w:cs="仿宋_GB2312"/>
          <w:sz w:val="32"/>
          <w:szCs w:val="32"/>
        </w:rPr>
        <w:t>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hint="eastAsia" w:ascii="仿宋_GB2312" w:hAnsi="仿宋_GB2312" w:eastAsia="仿宋_GB2312" w:cs="仿宋_GB2312"/>
          <w:sz w:val="32"/>
          <w:szCs w:val="32"/>
        </w:rPr>
      </w:pPr>
    </w:p>
    <w:p>
      <w:pPr>
        <w:numPr>
          <w:ilvl w:val="0"/>
          <w:numId w:val="3"/>
        </w:numPr>
        <w:spacing w:line="600" w:lineRule="exact"/>
        <w:ind w:firstLine="660" w:firstLineChars="150"/>
        <w:jc w:val="center"/>
        <w:outlineLvl w:val="0"/>
        <w:rPr>
          <w:rStyle w:val="24"/>
          <w:rFonts w:ascii="黑体" w:hAnsi="黑体" w:eastAsia="黑体"/>
          <w:b w:val="0"/>
        </w:rPr>
      </w:pPr>
      <w:r>
        <w:rPr>
          <w:rFonts w:hint="eastAsia" w:ascii="黑体" w:hAnsi="黑体" w:eastAsia="黑体"/>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spacing w:line="600" w:lineRule="exact"/>
        <w:jc w:val="both"/>
        <w:outlineLvl w:val="0"/>
        <w:rPr>
          <w:rStyle w:val="24"/>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黄金镇卫生院</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w:t>
      </w:r>
      <w:r>
        <w:rPr>
          <w:rFonts w:hint="eastAsia" w:ascii="方正小标宋简体" w:hAnsi="宋体" w:eastAsia="方正小标宋简体"/>
          <w:color w:val="000000"/>
          <w:kern w:val="0"/>
          <w:sz w:val="40"/>
          <w:szCs w:val="44"/>
          <w:lang w:val="en-US" w:eastAsia="zh-CN"/>
        </w:rPr>
        <w:t xml:space="preserve">   </w:t>
      </w:r>
      <w:r>
        <w:rPr>
          <w:rFonts w:hint="eastAsia" w:ascii="方正小标宋简体" w:hAnsi="宋体" w:eastAsia="方正小标宋简体"/>
          <w:color w:val="000000"/>
          <w:kern w:val="0"/>
          <w:sz w:val="40"/>
          <w:szCs w:val="44"/>
          <w:lang w:val="zh-CN"/>
        </w:rPr>
        <w:t>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0"/>
          <w:szCs w:val="30"/>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Style w:val="5"/>
        <w:adjustRightInd w:val="0"/>
        <w:snapToGrid w:val="0"/>
        <w:spacing w:line="600" w:lineRule="exact"/>
        <w:ind w:firstLine="672" w:firstLineChars="210"/>
        <w:rPr>
          <w:rFonts w:hint="eastAsia"/>
          <w:bCs/>
          <w:color w:val="000000"/>
          <w:sz w:val="32"/>
          <w:szCs w:val="32"/>
        </w:rPr>
      </w:pPr>
      <w:r>
        <w:rPr>
          <w:rFonts w:hint="eastAsia" w:ascii="仿宋_GB2312" w:hAnsi="宋体" w:eastAsia="仿宋_GB2312" w:cs="宋体"/>
          <w:color w:val="000000"/>
          <w:kern w:val="0"/>
          <w:sz w:val="32"/>
          <w:szCs w:val="32"/>
          <w:shd w:val="clear" w:color="auto" w:fill="FFFFFF"/>
          <w:lang w:val="zh-CN"/>
        </w:rPr>
        <w:t>（一）机构组成。</w:t>
      </w:r>
      <w:r>
        <w:rPr>
          <w:rFonts w:hint="eastAsia"/>
          <w:bCs/>
          <w:color w:val="000000"/>
          <w:sz w:val="32"/>
          <w:szCs w:val="32"/>
          <w:lang w:eastAsia="zh-CN"/>
        </w:rPr>
        <w:t>黄金</w:t>
      </w:r>
      <w:r>
        <w:rPr>
          <w:rFonts w:hint="eastAsia"/>
          <w:bCs/>
          <w:color w:val="000000"/>
          <w:sz w:val="32"/>
          <w:szCs w:val="32"/>
        </w:rPr>
        <w:t>镇</w:t>
      </w:r>
      <w:r>
        <w:rPr>
          <w:rFonts w:hint="eastAsia"/>
          <w:bCs/>
          <w:color w:val="000000"/>
          <w:sz w:val="32"/>
          <w:szCs w:val="32"/>
          <w:lang w:eastAsia="zh-CN"/>
        </w:rPr>
        <w:t>卫生院</w:t>
      </w:r>
      <w:r>
        <w:rPr>
          <w:rFonts w:hint="eastAsia"/>
          <w:bCs/>
          <w:color w:val="000000"/>
          <w:sz w:val="32"/>
          <w:szCs w:val="32"/>
        </w:rPr>
        <w:t>是由政府举办的公益性</w:t>
      </w:r>
      <w:r>
        <w:rPr>
          <w:rFonts w:hint="eastAsia"/>
          <w:bCs/>
          <w:color w:val="000000"/>
          <w:sz w:val="32"/>
          <w:szCs w:val="32"/>
          <w:lang w:eastAsia="zh-CN"/>
        </w:rPr>
        <w:t>乡镇</w:t>
      </w:r>
      <w:r>
        <w:rPr>
          <w:rFonts w:hint="eastAsia"/>
          <w:bCs/>
          <w:color w:val="000000"/>
          <w:sz w:val="32"/>
          <w:szCs w:val="32"/>
        </w:rPr>
        <w:t>卫生机构，担负着</w:t>
      </w:r>
      <w:r>
        <w:rPr>
          <w:rFonts w:hint="eastAsia"/>
          <w:bCs/>
          <w:color w:val="000000"/>
          <w:sz w:val="32"/>
          <w:szCs w:val="32"/>
          <w:lang w:eastAsia="zh-CN"/>
        </w:rPr>
        <w:t>东乡镇</w:t>
      </w:r>
      <w:r>
        <w:rPr>
          <w:rFonts w:hint="eastAsia"/>
          <w:bCs/>
          <w:color w:val="000000"/>
          <w:sz w:val="32"/>
          <w:szCs w:val="32"/>
        </w:rPr>
        <w:t>辖区</w:t>
      </w:r>
      <w:r>
        <w:rPr>
          <w:rFonts w:hint="eastAsia"/>
          <w:bCs/>
          <w:color w:val="000000"/>
          <w:sz w:val="32"/>
          <w:szCs w:val="32"/>
          <w:lang w:val="en-US" w:eastAsia="zh-CN"/>
        </w:rPr>
        <w:t>2</w:t>
      </w:r>
      <w:r>
        <w:rPr>
          <w:rFonts w:hint="eastAsia"/>
          <w:bCs/>
          <w:color w:val="000000"/>
          <w:sz w:val="32"/>
          <w:szCs w:val="32"/>
        </w:rPr>
        <w:t>个社</w:t>
      </w:r>
      <w:r>
        <w:rPr>
          <w:rFonts w:hint="eastAsia"/>
          <w:bCs/>
          <w:color w:val="000000"/>
          <w:sz w:val="32"/>
          <w:szCs w:val="32"/>
          <w:lang w:val="en-US" w:eastAsia="zh-CN"/>
        </w:rPr>
        <w:t>8个行政村</w:t>
      </w:r>
      <w:r>
        <w:rPr>
          <w:rFonts w:hint="eastAsia"/>
          <w:bCs/>
          <w:color w:val="000000"/>
          <w:sz w:val="32"/>
          <w:szCs w:val="32"/>
        </w:rPr>
        <w:t>区近</w:t>
      </w:r>
      <w:r>
        <w:rPr>
          <w:rFonts w:hint="eastAsia"/>
          <w:bCs/>
          <w:color w:val="000000"/>
          <w:sz w:val="32"/>
          <w:szCs w:val="32"/>
          <w:lang w:val="en-US" w:eastAsia="zh-CN"/>
        </w:rPr>
        <w:t>3</w:t>
      </w:r>
      <w:r>
        <w:rPr>
          <w:rFonts w:hint="eastAsia"/>
          <w:bCs/>
          <w:color w:val="000000"/>
          <w:sz w:val="32"/>
          <w:szCs w:val="32"/>
        </w:rPr>
        <w:t>万常住人口的基本医疗和基本公共卫生服务职能，是城镇医保定点医疗机构。</w:t>
      </w:r>
    </w:p>
    <w:p>
      <w:pPr>
        <w:pStyle w:val="5"/>
        <w:adjustRightInd w:val="0"/>
        <w:snapToGrid w:val="0"/>
        <w:spacing w:line="600" w:lineRule="exact"/>
        <w:ind w:firstLine="640" w:firstLineChars="200"/>
        <w:rPr>
          <w:rFonts w:hint="eastAsia"/>
          <w:bCs/>
          <w:color w:val="000000"/>
          <w:sz w:val="32"/>
          <w:szCs w:val="32"/>
        </w:rPr>
      </w:pPr>
      <w:r>
        <w:rPr>
          <w:rFonts w:hint="eastAsia" w:ascii="仿宋_GB2312" w:hAnsi="宋体" w:eastAsia="仿宋_GB2312" w:cs="宋体"/>
          <w:color w:val="000000"/>
          <w:kern w:val="0"/>
          <w:sz w:val="32"/>
          <w:szCs w:val="32"/>
          <w:shd w:val="clear" w:color="auto" w:fill="FFFFFF"/>
          <w:lang w:val="zh-CN"/>
        </w:rPr>
        <w:t>（二）机构职能。</w:t>
      </w:r>
      <w:r>
        <w:rPr>
          <w:rFonts w:hint="eastAsia"/>
          <w:bCs/>
          <w:color w:val="000000"/>
          <w:sz w:val="32"/>
          <w:szCs w:val="32"/>
          <w:lang w:eastAsia="zh-CN"/>
        </w:rPr>
        <w:t>我院</w:t>
      </w:r>
      <w:r>
        <w:rPr>
          <w:rFonts w:hint="eastAsia"/>
          <w:bCs/>
          <w:color w:val="000000"/>
          <w:sz w:val="32"/>
          <w:szCs w:val="32"/>
        </w:rPr>
        <w:t>以社区、</w:t>
      </w:r>
      <w:r>
        <w:rPr>
          <w:rFonts w:hint="eastAsia"/>
          <w:bCs/>
          <w:color w:val="000000"/>
          <w:sz w:val="32"/>
          <w:szCs w:val="32"/>
          <w:lang w:eastAsia="zh-CN"/>
        </w:rPr>
        <w:t>村组、</w:t>
      </w:r>
      <w:r>
        <w:rPr>
          <w:rFonts w:hint="eastAsia"/>
          <w:bCs/>
          <w:color w:val="000000"/>
          <w:sz w:val="32"/>
          <w:szCs w:val="32"/>
        </w:rPr>
        <w:t>家庭、居民为服务对象，主要承担疾病预防等公共卫生服务和一般常见病、多发病的基本医疗服务。</w:t>
      </w:r>
    </w:p>
    <w:p>
      <w:pPr>
        <w:pStyle w:val="5"/>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eastAsia="zh-CN"/>
        </w:rPr>
        <w:t>疾病</w:t>
      </w:r>
      <w:r>
        <w:rPr>
          <w:rFonts w:hint="eastAsia"/>
          <w:bCs/>
          <w:color w:val="000000"/>
          <w:sz w:val="32"/>
          <w:szCs w:val="32"/>
        </w:rPr>
        <w:t>预防：社区</w:t>
      </w:r>
      <w:r>
        <w:rPr>
          <w:rFonts w:hint="eastAsia"/>
          <w:bCs/>
          <w:color w:val="000000"/>
          <w:sz w:val="32"/>
          <w:szCs w:val="32"/>
          <w:lang w:eastAsia="zh-CN"/>
        </w:rPr>
        <w:t>、村组</w:t>
      </w:r>
      <w:r>
        <w:rPr>
          <w:rFonts w:hint="eastAsia"/>
          <w:bCs/>
          <w:color w:val="000000"/>
          <w:sz w:val="32"/>
          <w:szCs w:val="32"/>
        </w:rPr>
        <w:t>卫生诊断，传染病疫情报告和监测，预防接种、结核病、艾滋病等重大传染病预防；常见传染病、地方病、寄生虫病防治；开展健康档案管理，爱国卫生指导等。</w:t>
      </w:r>
    </w:p>
    <w:p>
      <w:pPr>
        <w:pStyle w:val="5"/>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eastAsia="zh-CN"/>
        </w:rPr>
        <w:t>卫生</w:t>
      </w:r>
      <w:r>
        <w:rPr>
          <w:rFonts w:hint="eastAsia"/>
          <w:bCs/>
          <w:color w:val="000000"/>
          <w:sz w:val="32"/>
          <w:szCs w:val="32"/>
        </w:rPr>
        <w:t>保健:妇女保健，儿童保健，老年人保健等。</w:t>
      </w:r>
    </w:p>
    <w:p>
      <w:pPr>
        <w:pStyle w:val="5"/>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eastAsia="zh-CN"/>
        </w:rPr>
        <w:t>疾病</w:t>
      </w:r>
      <w:r>
        <w:rPr>
          <w:rFonts w:hint="eastAsia"/>
          <w:bCs/>
          <w:color w:val="000000"/>
          <w:sz w:val="32"/>
          <w:szCs w:val="32"/>
        </w:rPr>
        <w:t>医疗：一般常见病、多发病的诊疗，社区现场救护，慢性病筛查和重点慢性病病例管理，精神患者管理，转诊服务等。</w:t>
      </w:r>
    </w:p>
    <w:p>
      <w:pPr>
        <w:pStyle w:val="5"/>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eastAsia="zh-CN"/>
        </w:rPr>
        <w:t>保健</w:t>
      </w:r>
      <w:r>
        <w:rPr>
          <w:rFonts w:hint="eastAsia"/>
          <w:bCs/>
          <w:color w:val="000000"/>
          <w:sz w:val="32"/>
          <w:szCs w:val="32"/>
        </w:rPr>
        <w:t>康复:残疾康复，疾病恢复期康复，家庭和社区康复训练指导等。</w:t>
      </w:r>
    </w:p>
    <w:p>
      <w:pPr>
        <w:pStyle w:val="5"/>
        <w:adjustRightInd w:val="0"/>
        <w:snapToGrid w:val="0"/>
        <w:spacing w:line="600" w:lineRule="exact"/>
        <w:ind w:firstLine="672" w:firstLineChars="210"/>
        <w:rPr>
          <w:rFonts w:hint="eastAsia"/>
          <w:bCs/>
          <w:color w:val="000000"/>
          <w:sz w:val="32"/>
          <w:szCs w:val="32"/>
        </w:rPr>
      </w:pPr>
      <w:r>
        <w:rPr>
          <w:rFonts w:hint="eastAsia"/>
          <w:bCs/>
          <w:color w:val="000000"/>
          <w:sz w:val="32"/>
          <w:szCs w:val="32"/>
        </w:rPr>
        <w:t>健康教育:卫生知识普及，个体和群体的健康管理，重点人群与重点场所健康教育，宣传健康行为和生活方式等。</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机构内分设医疗</w:t>
      </w:r>
      <w:r>
        <w:rPr>
          <w:rFonts w:hint="eastAsia" w:ascii="仿宋" w:hAnsi="仿宋" w:eastAsia="仿宋" w:cs="仿宋"/>
          <w:sz w:val="32"/>
          <w:szCs w:val="32"/>
        </w:rPr>
        <w:t>、</w:t>
      </w:r>
      <w:r>
        <w:rPr>
          <w:rFonts w:hint="eastAsia" w:ascii="仿宋" w:hAnsi="仿宋" w:eastAsia="仿宋" w:cs="仿宋"/>
          <w:sz w:val="32"/>
          <w:szCs w:val="32"/>
          <w:lang w:eastAsia="zh-CN"/>
        </w:rPr>
        <w:t>公共卫生</w:t>
      </w:r>
      <w:r>
        <w:rPr>
          <w:rFonts w:hint="eastAsia" w:ascii="仿宋" w:hAnsi="仿宋" w:eastAsia="仿宋" w:cs="仿宋"/>
          <w:sz w:val="32"/>
          <w:szCs w:val="32"/>
        </w:rPr>
        <w:t>、行后</w:t>
      </w:r>
      <w:r>
        <w:rPr>
          <w:rFonts w:hint="eastAsia" w:ascii="仿宋" w:hAnsi="仿宋" w:eastAsia="仿宋" w:cs="仿宋"/>
          <w:sz w:val="32"/>
          <w:szCs w:val="32"/>
          <w:lang w:eastAsia="zh-CN"/>
        </w:rPr>
        <w:t>三</w:t>
      </w:r>
      <w:r>
        <w:rPr>
          <w:rFonts w:hint="eastAsia" w:ascii="仿宋" w:hAnsi="仿宋" w:eastAsia="仿宋" w:cs="仿宋"/>
          <w:sz w:val="32"/>
          <w:szCs w:val="32"/>
        </w:rPr>
        <w:t>大科组。内设</w:t>
      </w:r>
      <w:r>
        <w:rPr>
          <w:rFonts w:hint="eastAsia" w:ascii="仿宋" w:hAnsi="仿宋" w:eastAsia="仿宋" w:cs="仿宋"/>
          <w:sz w:val="32"/>
          <w:szCs w:val="32"/>
          <w:lang w:eastAsia="zh-CN"/>
        </w:rPr>
        <w:t>全科内外妇儿科等临床医疗科、护理室、中西药房、</w:t>
      </w:r>
      <w:r>
        <w:rPr>
          <w:rFonts w:hint="eastAsia" w:ascii="仿宋" w:hAnsi="仿宋" w:eastAsia="仿宋" w:cs="仿宋"/>
          <w:sz w:val="32"/>
          <w:szCs w:val="32"/>
          <w:lang w:val="en-US" w:eastAsia="zh-CN"/>
        </w:rPr>
        <w:t>医学影像科、检验科、康复理疗科、中医科、碎石科、公共卫生科、预防保健科、妇保科、行政办公室、党建办公室、财务科等14</w:t>
      </w:r>
      <w:r>
        <w:rPr>
          <w:rFonts w:hint="eastAsia" w:ascii="仿宋" w:hAnsi="仿宋" w:eastAsia="仿宋" w:cs="仿宋"/>
          <w:sz w:val="32"/>
          <w:szCs w:val="32"/>
        </w:rPr>
        <w:t>个科室</w:t>
      </w:r>
      <w:r>
        <w:rPr>
          <w:rFonts w:hint="eastAsia" w:ascii="仿宋" w:hAnsi="仿宋" w:eastAsia="仿宋" w:cs="仿宋"/>
          <w:sz w:val="32"/>
          <w:szCs w:val="32"/>
          <w:lang w:eastAsia="zh-CN"/>
        </w:rPr>
        <w:t>。</w:t>
      </w:r>
    </w:p>
    <w:p>
      <w:pPr>
        <w:spacing w:line="580" w:lineRule="exact"/>
        <w:ind w:firstLine="960" w:firstLineChars="300"/>
        <w:rPr>
          <w:rFonts w:ascii="仿宋" w:hAnsi="仿宋" w:eastAsia="仿宋" w:cs="仿宋_GB2312"/>
          <w:sz w:val="32"/>
          <w:szCs w:val="32"/>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 w:hAnsi="仿宋" w:eastAsia="仿宋" w:cs="仿宋"/>
          <w:bCs/>
          <w:sz w:val="30"/>
          <w:szCs w:val="30"/>
        </w:rPr>
        <w:t>财政编制</w:t>
      </w:r>
      <w:r>
        <w:rPr>
          <w:rFonts w:hint="eastAsia" w:ascii="仿宋" w:hAnsi="仿宋" w:eastAsia="仿宋" w:cs="仿宋"/>
          <w:bCs/>
          <w:sz w:val="30"/>
          <w:szCs w:val="30"/>
          <w:lang w:val="en-US" w:eastAsia="zh-CN"/>
        </w:rPr>
        <w:t>22</w:t>
      </w:r>
      <w:r>
        <w:rPr>
          <w:rFonts w:hint="eastAsia" w:ascii="仿宋" w:hAnsi="仿宋" w:eastAsia="仿宋" w:cs="仿宋"/>
          <w:bCs/>
          <w:sz w:val="30"/>
          <w:szCs w:val="30"/>
        </w:rPr>
        <w:t>人，</w:t>
      </w:r>
      <w:r>
        <w:rPr>
          <w:rFonts w:hint="eastAsia" w:ascii="仿宋" w:hAnsi="仿宋" w:eastAsia="仿宋" w:cs="仿宋"/>
          <w:sz w:val="30"/>
          <w:szCs w:val="30"/>
        </w:rPr>
        <w:t>本年实有人员总数</w:t>
      </w:r>
      <w:r>
        <w:rPr>
          <w:rFonts w:hint="eastAsia" w:ascii="仿宋" w:hAnsi="仿宋" w:eastAsia="仿宋" w:cs="仿宋"/>
          <w:sz w:val="30"/>
          <w:szCs w:val="30"/>
          <w:lang w:val="en-US" w:eastAsia="zh-CN"/>
        </w:rPr>
        <w:t>30</w:t>
      </w:r>
      <w:r>
        <w:rPr>
          <w:rFonts w:hint="eastAsia" w:ascii="仿宋" w:hAnsi="仿宋" w:eastAsia="仿宋" w:cs="仿宋"/>
          <w:sz w:val="30"/>
          <w:szCs w:val="30"/>
        </w:rPr>
        <w:t>人，其中：在职在编人数</w:t>
      </w:r>
      <w:r>
        <w:rPr>
          <w:rFonts w:hint="eastAsia" w:ascii="仿宋" w:hAnsi="仿宋" w:eastAsia="仿宋" w:cs="仿宋"/>
          <w:sz w:val="30"/>
          <w:szCs w:val="30"/>
          <w:lang w:val="en-US" w:eastAsia="zh-CN"/>
        </w:rPr>
        <w:t>19</w:t>
      </w:r>
      <w:r>
        <w:rPr>
          <w:rFonts w:hint="eastAsia" w:ascii="仿宋" w:hAnsi="仿宋" w:eastAsia="仿宋" w:cs="仿宋"/>
          <w:sz w:val="30"/>
          <w:szCs w:val="30"/>
        </w:rPr>
        <w:t>人</w:t>
      </w:r>
      <w:r>
        <w:rPr>
          <w:rFonts w:hint="eastAsia" w:ascii="仿宋" w:hAnsi="仿宋" w:eastAsia="仿宋" w:cs="仿宋"/>
          <w:sz w:val="30"/>
          <w:szCs w:val="30"/>
          <w:lang w:val="en-US" w:eastAsia="zh-CN"/>
        </w:rPr>
        <w:t>，</w:t>
      </w:r>
      <w:r>
        <w:rPr>
          <w:rFonts w:hint="eastAsia" w:ascii="仿宋" w:hAnsi="仿宋" w:eastAsia="仿宋" w:cs="仿宋"/>
          <w:sz w:val="30"/>
          <w:szCs w:val="30"/>
        </w:rPr>
        <w:t>在职临聘人数</w:t>
      </w:r>
      <w:r>
        <w:rPr>
          <w:rFonts w:hint="eastAsia" w:ascii="仿宋" w:hAnsi="仿宋" w:eastAsia="仿宋" w:cs="仿宋"/>
          <w:sz w:val="30"/>
          <w:szCs w:val="30"/>
          <w:lang w:val="en-US" w:eastAsia="zh-CN"/>
        </w:rPr>
        <w:t>11</w:t>
      </w:r>
      <w:r>
        <w:rPr>
          <w:rFonts w:hint="eastAsia" w:ascii="仿宋" w:hAnsi="仿宋" w:eastAsia="仿宋" w:cs="仿宋"/>
          <w:sz w:val="30"/>
          <w:szCs w:val="30"/>
        </w:rPr>
        <w:t>人，退休人员数</w:t>
      </w:r>
      <w:r>
        <w:rPr>
          <w:rFonts w:hint="eastAsia" w:ascii="仿宋" w:hAnsi="仿宋" w:eastAsia="仿宋" w:cs="仿宋"/>
          <w:sz w:val="30"/>
          <w:szCs w:val="30"/>
          <w:lang w:val="en-US" w:eastAsia="zh-CN"/>
        </w:rPr>
        <w:t>5</w:t>
      </w:r>
      <w:r>
        <w:rPr>
          <w:rFonts w:hint="eastAsia" w:ascii="仿宋" w:hAnsi="仿宋" w:eastAsia="仿宋" w:cs="仿宋"/>
          <w:sz w:val="30"/>
          <w:szCs w:val="30"/>
        </w:rPr>
        <w:t>人，享受</w:t>
      </w:r>
      <w:r>
        <w:rPr>
          <w:rFonts w:hint="eastAsia" w:ascii="仿宋" w:hAnsi="仿宋" w:eastAsia="仿宋" w:cs="仿宋"/>
          <w:bCs/>
          <w:sz w:val="30"/>
          <w:szCs w:val="30"/>
        </w:rPr>
        <w:t>遗属补助</w:t>
      </w:r>
      <w:r>
        <w:rPr>
          <w:rFonts w:hint="eastAsia" w:ascii="仿宋" w:hAnsi="仿宋" w:eastAsia="仿宋" w:cs="仿宋"/>
          <w:bCs/>
          <w:sz w:val="30"/>
          <w:szCs w:val="30"/>
          <w:lang w:val="en-US" w:eastAsia="zh-CN"/>
        </w:rPr>
        <w:t>1</w:t>
      </w:r>
      <w:r>
        <w:rPr>
          <w:rFonts w:hint="eastAsia" w:ascii="仿宋" w:hAnsi="仿宋" w:eastAsia="仿宋" w:cs="仿宋"/>
          <w:bCs/>
          <w:sz w:val="30"/>
          <w:szCs w:val="30"/>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198.46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ascii="仿宋" w:hAnsi="仿宋" w:eastAsia="仿宋"/>
          <w:color w:val="000000"/>
          <w:sz w:val="32"/>
          <w:szCs w:val="32"/>
        </w:rPr>
        <w:t>/</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166.66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19.08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增加了公共卫生服务经费</w:t>
      </w:r>
    </w:p>
    <w:p>
      <w:pPr>
        <w:numPr>
          <w:ilvl w:val="0"/>
          <w:numId w:val="0"/>
        </w:numPr>
        <w:spacing w:line="600" w:lineRule="exact"/>
        <w:ind w:left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numPr>
          <w:ilvl w:val="0"/>
          <w:numId w:val="0"/>
        </w:numPr>
        <w:spacing w:line="600" w:lineRule="exact"/>
        <w:ind w:left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198.46</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108.84</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55万元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1.57万元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19.1万元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18.87万元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14.30万元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84.32</w:t>
      </w:r>
      <w:r>
        <w:rPr>
          <w:rFonts w:hint="eastAsia" w:ascii="仿宋" w:hAnsi="仿宋" w:eastAsia="仿宋"/>
          <w:color w:val="000000"/>
          <w:sz w:val="32"/>
          <w:szCs w:val="32"/>
        </w:rPr>
        <w:t>万元，主要包括：</w:t>
      </w:r>
      <w:r>
        <w:rPr>
          <w:rFonts w:hint="eastAsia" w:ascii="仿宋" w:hAnsi="仿宋" w:eastAsia="仿宋"/>
          <w:color w:val="000000"/>
          <w:sz w:val="32"/>
          <w:szCs w:val="32"/>
          <w:lang w:eastAsia="zh-CN"/>
        </w:rPr>
        <w:t>印刷</w:t>
      </w:r>
      <w:r>
        <w:rPr>
          <w:rFonts w:hint="eastAsia" w:ascii="仿宋" w:hAnsi="仿宋" w:eastAsia="仿宋"/>
          <w:color w:val="000000"/>
          <w:sz w:val="32"/>
          <w:szCs w:val="32"/>
        </w:rPr>
        <w:t>费</w:t>
      </w:r>
      <w:r>
        <w:rPr>
          <w:rFonts w:hint="eastAsia" w:ascii="仿宋" w:hAnsi="仿宋" w:eastAsia="仿宋"/>
          <w:color w:val="000000"/>
          <w:sz w:val="32"/>
          <w:szCs w:val="32"/>
          <w:lang w:val="en-US" w:eastAsia="zh-CN"/>
        </w:rPr>
        <w:t>1万元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0.16万元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0.28万元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专用材料费</w:t>
      </w:r>
      <w:r>
        <w:rPr>
          <w:rFonts w:hint="eastAsia" w:ascii="仿宋" w:hAnsi="仿宋" w:eastAsia="仿宋"/>
          <w:color w:val="000000"/>
          <w:sz w:val="32"/>
          <w:szCs w:val="32"/>
          <w:lang w:val="en-US" w:eastAsia="zh-CN"/>
        </w:rPr>
        <w:t>4.36万元，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59.03万元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1.83万元（救护车）</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17.66万元</w:t>
      </w:r>
      <w:r>
        <w:rPr>
          <w:rFonts w:hint="eastAsia" w:ascii="仿宋" w:hAnsi="仿宋" w:eastAsia="仿宋"/>
          <w:color w:val="000000"/>
          <w:sz w:val="32"/>
          <w:szCs w:val="32"/>
        </w:rPr>
        <w:t>等</w:t>
      </w:r>
      <w:r>
        <w:rPr>
          <w:rFonts w:hint="eastAsia" w:ascii="仿宋" w:hAnsi="仿宋" w:eastAsia="仿宋"/>
          <w:color w:val="000000"/>
          <w:sz w:val="32"/>
          <w:szCs w:val="32"/>
          <w:lang w:val="en-US" w:eastAsia="zh-CN"/>
        </w:rPr>
        <w:t>.</w:t>
      </w:r>
    </w:p>
    <w:p>
      <w:pPr>
        <w:spacing w:line="600" w:lineRule="exact"/>
        <w:ind w:firstLine="645"/>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3、对个人及家庭支出：遗属人员生活补助5.3万元。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按照预算绩效管理要求，本部门对201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年一般公共预算项目支出开展了绩效目标管理，共编制绩效目标1个，涉及财政资金</w:t>
      </w:r>
      <w:r>
        <w:rPr>
          <w:rFonts w:hint="eastAsia" w:ascii="仿宋_GB2312" w:eastAsia="仿宋_GB2312"/>
          <w:color w:val="000000"/>
          <w:sz w:val="32"/>
          <w:szCs w:val="32"/>
          <w:lang w:val="en-US" w:eastAsia="zh-CN"/>
        </w:rPr>
        <w:t>198.46</w:t>
      </w:r>
      <w:r>
        <w:rPr>
          <w:rFonts w:hint="eastAsia" w:ascii="仿宋_GB2312" w:eastAsia="仿宋_GB2312"/>
          <w:color w:val="000000"/>
          <w:sz w:val="32"/>
          <w:szCs w:val="32"/>
        </w:rPr>
        <w:t>万元，覆盖率达到100%。</w:t>
      </w:r>
    </w:p>
    <w:p>
      <w:pPr>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2.部门整体支出绩效自评开展情况。</w:t>
      </w:r>
    </w:p>
    <w:p>
      <w:pPr>
        <w:spacing w:line="600" w:lineRule="atLeast"/>
        <w:ind w:firstLine="640" w:firstLineChars="200"/>
        <w:rPr>
          <w:rFonts w:hint="eastAsia" w:ascii="仿宋_GB2312" w:eastAsia="仿宋_GB2312"/>
          <w:b/>
          <w:color w:val="000000"/>
          <w:sz w:val="32"/>
          <w:szCs w:val="32"/>
        </w:rPr>
      </w:pPr>
      <w:r>
        <w:rPr>
          <w:rFonts w:hint="eastAsia" w:ascii="仿宋_GB2312" w:eastAsia="仿宋_GB2312"/>
          <w:color w:val="000000"/>
          <w:sz w:val="32"/>
          <w:szCs w:val="32"/>
        </w:rPr>
        <w:t>按照预算绩效管理要求，本部门对201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年整体支出开展绩效自评，自评得分9</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分，存在的问题：一是执行中期评估不到位扣1分，二是资产管理信息化1分，三是内部制度健全完整程度不高扣1分，四是评价结果应用不到位扣1分，五是履职成效不高，没有达到规范的效果，扣</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分。下一步改进措施：一是加强中期评估的执行力度，认真执行好中期评估，二是及时进行绩效目标的动态监控，三是高质量的完善内部制度建设，四是充分运用评价结果行质量监督，根据评价结果提出改进措施并落到实处，五是提高绩效评价质量，认真执行绩效监控，按照内部制度制度要求，依照相关流程提高履职成效。结合绩效评价结果，对存在不合理的、需要改进提高的工作方法、管理措施、监督力度，进行进一步提升和规范。</w:t>
      </w:r>
    </w:p>
    <w:p>
      <w:pPr>
        <w:ind w:firstLine="960" w:firstLineChars="300"/>
        <w:jc w:val="both"/>
        <w:rPr>
          <w:rFonts w:hint="eastAsia" w:ascii="黑体" w:hAnsi="黑体" w:eastAsia="黑体"/>
          <w:color w:val="000000"/>
          <w:sz w:val="32"/>
          <w:szCs w:val="32"/>
        </w:rPr>
      </w:pPr>
      <w:r>
        <w:rPr>
          <w:rFonts w:hint="eastAsia" w:ascii="黑体" w:hAnsi="黑体" w:eastAsia="黑体"/>
          <w:color w:val="000000"/>
          <w:sz w:val="32"/>
          <w:szCs w:val="32"/>
        </w:rPr>
        <w:t>201</w:t>
      </w:r>
      <w:r>
        <w:rPr>
          <w:rFonts w:hint="eastAsia" w:ascii="黑体" w:hAnsi="黑体" w:eastAsia="黑体"/>
          <w:color w:val="000000"/>
          <w:sz w:val="32"/>
          <w:szCs w:val="32"/>
          <w:lang w:val="en-US" w:eastAsia="zh-CN"/>
        </w:rPr>
        <w:t>9</w:t>
      </w:r>
      <w:r>
        <w:rPr>
          <w:rFonts w:hint="eastAsia" w:ascii="黑体" w:hAnsi="黑体" w:eastAsia="黑体"/>
          <w:color w:val="000000"/>
          <w:sz w:val="32"/>
          <w:szCs w:val="32"/>
        </w:rPr>
        <w:t>年部门整体支出绩效评价得分表</w:t>
      </w:r>
    </w:p>
    <w:tbl>
      <w:tblPr>
        <w:tblStyle w:val="12"/>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widowControl/>
              <w:jc w:val="center"/>
              <w:rPr>
                <w:rFonts w:hint="default" w:ascii="宋体" w:hAnsi="宋体" w:cs="宋体"/>
                <w:color w:val="000000"/>
                <w:kern w:val="0"/>
                <w:sz w:val="20"/>
                <w:szCs w:val="20"/>
                <w:lang w:val="en-US"/>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r>
    </w:tbl>
    <w:p>
      <w:pPr>
        <w:rPr>
          <w:rFonts w:hint="eastAsia"/>
          <w:color w:val="000000"/>
        </w:rPr>
      </w:pPr>
    </w:p>
    <w:p>
      <w:pPr>
        <w:spacing w:line="600" w:lineRule="atLeast"/>
        <w:ind w:firstLine="642" w:firstLineChars="200"/>
        <w:rPr>
          <w:rFonts w:hint="eastAsia" w:ascii="仿宋_GB2312" w:eastAsia="仿宋_GB2312"/>
          <w:b/>
          <w:color w:val="000000"/>
          <w:sz w:val="32"/>
          <w:szCs w:val="32"/>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宋体"/>
          <w:color w:val="000000"/>
          <w:kern w:val="0"/>
          <w:sz w:val="32"/>
          <w:szCs w:val="32"/>
          <w:shd w:val="clear" w:color="auto" w:fill="FFFFFF"/>
          <w:lang w:val="zh-CN"/>
        </w:rPr>
        <w:t>（一）评价结论。</w:t>
      </w:r>
      <w:r>
        <w:rPr>
          <w:rFonts w:ascii="仿宋" w:hAnsi="仿宋" w:eastAsia="仿宋" w:cs="仿宋_GB2312"/>
          <w:sz w:val="32"/>
          <w:szCs w:val="32"/>
        </w:rPr>
        <w:t>评价结论</w:t>
      </w:r>
      <w:r>
        <w:rPr>
          <w:rFonts w:hint="eastAsia" w:ascii="仿宋" w:hAnsi="仿宋" w:eastAsia="仿宋" w:cs="仿宋_GB2312"/>
          <w:sz w:val="32"/>
          <w:szCs w:val="32"/>
        </w:rPr>
        <w:t>：</w:t>
      </w:r>
      <w:r>
        <w:rPr>
          <w:rFonts w:hint="eastAsia" w:ascii="仿宋_GB2312" w:eastAsia="仿宋_GB2312"/>
          <w:color w:val="000000"/>
          <w:sz w:val="32"/>
          <w:szCs w:val="32"/>
        </w:rPr>
        <w:t>本</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年整体支出开展绩效自评，自评得分9</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分。</w:t>
      </w:r>
    </w:p>
    <w:p>
      <w:pPr>
        <w:spacing w:line="580" w:lineRule="exact"/>
        <w:ind w:firstLine="320" w:firstLineChars="100"/>
        <w:rPr>
          <w:rFonts w:ascii="仿宋" w:hAnsi="仿宋" w:eastAsia="仿宋" w:cs="仿宋_GB2312"/>
          <w:sz w:val="32"/>
          <w:szCs w:val="32"/>
        </w:rPr>
      </w:pPr>
      <w:r>
        <w:rPr>
          <w:rFonts w:hint="eastAsia" w:ascii="仿宋_GB2312" w:hAnsi="宋体" w:eastAsia="仿宋_GB2312" w:cs="宋体"/>
          <w:color w:val="000000"/>
          <w:kern w:val="0"/>
          <w:sz w:val="32"/>
          <w:szCs w:val="32"/>
          <w:shd w:val="clear" w:color="auto" w:fill="FFFFFF"/>
          <w:lang w:val="zh-CN"/>
        </w:rPr>
        <w:t>（二）存在问题。</w:t>
      </w:r>
      <w:r>
        <w:rPr>
          <w:rFonts w:hint="eastAsia" w:ascii="仿宋_GB2312" w:eastAsia="仿宋_GB2312"/>
          <w:color w:val="000000"/>
          <w:sz w:val="32"/>
          <w:szCs w:val="32"/>
        </w:rPr>
        <w:t>一是执行中期评估不到位扣1分，二是资产管理信息化1分，三是内部制度健全完整程度不高扣1分，四是评价结果应用不到位扣1分，五是履职成效不高，没有达到规范的效果，扣</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分。</w:t>
      </w:r>
    </w:p>
    <w:p>
      <w:pPr>
        <w:spacing w:line="600" w:lineRule="atLeast"/>
        <w:ind w:firstLine="320" w:firstLineChars="100"/>
        <w:rPr>
          <w:rFonts w:ascii="仿宋_GB2312" w:eastAsia="仿宋_GB2312"/>
          <w:b/>
          <w:color w:val="000000"/>
          <w:sz w:val="32"/>
          <w:szCs w:val="32"/>
        </w:rPr>
      </w:pPr>
      <w:r>
        <w:rPr>
          <w:rFonts w:hint="eastAsia" w:ascii="仿宋_GB2312" w:hAnsi="宋体" w:eastAsia="仿宋_GB2312" w:cs="宋体"/>
          <w:color w:val="000000"/>
          <w:kern w:val="0"/>
          <w:sz w:val="32"/>
          <w:szCs w:val="32"/>
          <w:shd w:val="clear" w:color="auto" w:fill="FFFFFF"/>
          <w:lang w:val="zh-CN"/>
        </w:rPr>
        <w:t>（三）改进建议。</w:t>
      </w:r>
      <w:r>
        <w:rPr>
          <w:rFonts w:hint="eastAsia" w:ascii="仿宋_GB2312" w:eastAsia="仿宋_GB2312"/>
          <w:color w:val="000000"/>
          <w:sz w:val="32"/>
          <w:szCs w:val="32"/>
        </w:rPr>
        <w:t>一是加强中期评估的执行力度，认真执行好中期评估，二是及时进行绩效目标的动态监控，三是高质量的完善内部制度建设，四是充分运用评价结果行质量监督，根据评价结果提出改进措施并落到实处，五是提高绩效评价质量，认真执行绩效监控，按照内部制度制度要求，依照相关流程提高履职成效。结合绩效评价结果，对存在不合理的、需要改进提高的工作方法、管理措施、监督力度，进行进一步提升和规范。</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黄金卫生院</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numPr>
          <w:ilvl w:val="0"/>
          <w:numId w:val="0"/>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w:t>
      </w:r>
      <w:r>
        <w:rPr>
          <w:rFonts w:hint="eastAsia" w:ascii="仿宋_GB2312" w:hAnsi="仿宋_GB2312" w:eastAsia="仿宋_GB2312" w:cs="仿宋_GB2312"/>
          <w:sz w:val="32"/>
          <w:szCs w:val="32"/>
          <w:lang w:eastAsia="zh-CN"/>
        </w:rPr>
        <w:t>无项目绩效。</w:t>
      </w:r>
    </w:p>
    <w:p>
      <w:pPr>
        <w:numPr>
          <w:ilvl w:val="0"/>
          <w:numId w:val="0"/>
        </w:numPr>
        <w:spacing w:line="600" w:lineRule="exact"/>
        <w:ind w:firstLine="2640" w:firstLineChars="600"/>
        <w:jc w:val="both"/>
        <w:outlineLvl w:val="0"/>
        <w:rPr>
          <w:rStyle w:val="24"/>
          <w:rFonts w:hint="eastAsia" w:ascii="黑体" w:hAnsi="黑体" w:eastAsia="黑体"/>
          <w:b w:val="0"/>
          <w:lang w:eastAsia="zh-CN"/>
        </w:rPr>
      </w:pPr>
      <w:bookmarkStart w:id="57" w:name="_Toc15396618"/>
    </w:p>
    <w:p>
      <w:pPr>
        <w:numPr>
          <w:ilvl w:val="0"/>
          <w:numId w:val="0"/>
        </w:numPr>
        <w:spacing w:line="600" w:lineRule="exact"/>
        <w:ind w:firstLine="2640" w:firstLineChars="600"/>
        <w:jc w:val="both"/>
        <w:outlineLvl w:val="0"/>
        <w:rPr>
          <w:rStyle w:val="24"/>
          <w:rFonts w:hint="eastAsia" w:ascii="黑体" w:hAnsi="黑体" w:eastAsia="黑体"/>
          <w:b w:val="0"/>
          <w:lang w:val="en-US" w:eastAsia="zh-CN"/>
        </w:rPr>
      </w:pPr>
      <w:r>
        <w:rPr>
          <w:rStyle w:val="24"/>
          <w:rFonts w:hint="eastAsia" w:ascii="黑体" w:hAnsi="黑体" w:eastAsia="黑体"/>
          <w:b w:val="0"/>
          <w:lang w:eastAsia="zh-CN"/>
        </w:rPr>
        <w:t>第五部分</w:t>
      </w:r>
      <w:r>
        <w:rPr>
          <w:rStyle w:val="24"/>
          <w:rFonts w:hint="eastAsia" w:ascii="黑体" w:hAnsi="黑体" w:eastAsia="黑体"/>
          <w:b w:val="0"/>
          <w:lang w:val="en-US" w:eastAsia="zh-CN"/>
        </w:rPr>
        <w:t xml:space="preserve"> </w:t>
      </w:r>
    </w:p>
    <w:p>
      <w:pPr>
        <w:numPr>
          <w:ilvl w:val="0"/>
          <w:numId w:val="0"/>
        </w:numPr>
        <w:spacing w:line="600" w:lineRule="exact"/>
        <w:jc w:val="both"/>
        <w:outlineLvl w:val="0"/>
        <w:rPr>
          <w:rFonts w:hint="eastAsia" w:ascii="仿宋" w:hAnsi="仿宋" w:eastAsia="宋体"/>
          <w:b w:val="0"/>
          <w:color w:val="000000"/>
          <w:lang w:eastAsia="zh-CN"/>
        </w:rPr>
      </w:pPr>
      <w:r>
        <w:rPr>
          <w:rStyle w:val="24"/>
          <w:rFonts w:hint="eastAsia" w:ascii="宋体" w:hAnsi="宋体" w:eastAsia="宋体" w:cs="宋体"/>
          <w:b w:val="0"/>
          <w:sz w:val="30"/>
          <w:szCs w:val="30"/>
        </w:rPr>
        <w:t>附表</w:t>
      </w:r>
      <w:bookmarkEnd w:id="55"/>
      <w:bookmarkEnd w:id="57"/>
      <w:bookmarkStart w:id="58" w:name="_Toc15396619"/>
      <w:r>
        <w:rPr>
          <w:rStyle w:val="24"/>
          <w:rFonts w:hint="eastAsia" w:ascii="宋体" w:hAnsi="宋体" w:cs="宋体"/>
          <w:b w:val="0"/>
          <w:sz w:val="30"/>
          <w:szCs w:val="30"/>
          <w:lang w:eastAsia="zh-CN"/>
        </w:rPr>
        <w:t>：</w:t>
      </w:r>
    </w:p>
    <w:p>
      <w:pPr>
        <w:numPr>
          <w:ilvl w:val="0"/>
          <w:numId w:val="4"/>
        </w:numPr>
        <w:spacing w:line="600" w:lineRule="exact"/>
        <w:jc w:val="both"/>
        <w:outlineLvl w:val="0"/>
        <w:rPr>
          <w:rStyle w:val="25"/>
          <w:rFonts w:hint="eastAsia" w:ascii="仿宋" w:hAnsi="仿宋" w:eastAsia="仿宋"/>
          <w:b w:val="0"/>
          <w:bCs w:val="0"/>
          <w:sz w:val="30"/>
          <w:szCs w:val="30"/>
        </w:rPr>
      </w:pPr>
      <w:r>
        <w:rPr>
          <w:rFonts w:hint="eastAsia" w:ascii="宋体" w:hAnsi="宋体" w:eastAsia="宋体" w:cs="宋体"/>
          <w:b w:val="0"/>
          <w:color w:val="000000"/>
          <w:sz w:val="30"/>
          <w:szCs w:val="30"/>
        </w:rPr>
        <w:t>收</w:t>
      </w:r>
      <w:r>
        <w:rPr>
          <w:rStyle w:val="25"/>
          <w:rFonts w:hint="eastAsia" w:ascii="宋体" w:hAnsi="宋体" w:eastAsia="宋体" w:cs="宋体"/>
          <w:b w:val="0"/>
          <w:bCs w:val="0"/>
          <w:sz w:val="30"/>
          <w:szCs w:val="30"/>
        </w:rPr>
        <w:t>入支</w:t>
      </w:r>
      <w:r>
        <w:rPr>
          <w:rStyle w:val="25"/>
          <w:rFonts w:hint="eastAsia" w:ascii="仿宋" w:hAnsi="仿宋" w:eastAsia="仿宋"/>
          <w:b w:val="0"/>
          <w:bCs w:val="0"/>
          <w:sz w:val="30"/>
          <w:szCs w:val="30"/>
        </w:rPr>
        <w:t>出决算总</w:t>
      </w:r>
      <w:bookmarkEnd w:id="58"/>
      <w:bookmarkStart w:id="59" w:name="_Toc15396620"/>
    </w:p>
    <w:p>
      <w:pPr>
        <w:numPr>
          <w:ilvl w:val="0"/>
          <w:numId w:val="0"/>
        </w:numPr>
        <w:spacing w:line="600" w:lineRule="exact"/>
        <w:jc w:val="both"/>
        <w:outlineLvl w:val="0"/>
        <w:rPr>
          <w:rFonts w:ascii="仿宋" w:hAnsi="仿宋" w:eastAsia="仿宋"/>
          <w:color w:val="000000" w:themeColor="text1"/>
          <w:sz w:val="30"/>
          <w:szCs w:val="30"/>
        </w:rPr>
      </w:pPr>
      <w:r>
        <w:rPr>
          <w:rFonts w:hint="eastAsia" w:ascii="仿宋" w:hAnsi="仿宋" w:eastAsia="仿宋"/>
          <w:b w:val="0"/>
          <w:color w:val="000000"/>
          <w:sz w:val="30"/>
          <w:szCs w:val="30"/>
        </w:rPr>
        <w:t>二、收</w:t>
      </w:r>
      <w:r>
        <w:rPr>
          <w:rStyle w:val="25"/>
          <w:rFonts w:hint="eastAsia" w:ascii="仿宋" w:hAnsi="仿宋" w:eastAsia="仿宋"/>
          <w:b w:val="0"/>
          <w:bCs w:val="0"/>
          <w:sz w:val="30"/>
          <w:szCs w:val="30"/>
        </w:rPr>
        <w:t>入决算表</w:t>
      </w:r>
      <w:bookmarkEnd w:id="59"/>
    </w:p>
    <w:p>
      <w:pPr>
        <w:numPr>
          <w:ilvl w:val="0"/>
          <w:numId w:val="0"/>
        </w:numPr>
        <w:spacing w:line="600" w:lineRule="exact"/>
        <w:jc w:val="both"/>
        <w:outlineLvl w:val="0"/>
        <w:rPr>
          <w:rFonts w:ascii="仿宋" w:hAnsi="仿宋" w:eastAsia="仿宋"/>
          <w:color w:val="000000" w:themeColor="text1"/>
          <w:sz w:val="30"/>
          <w:szCs w:val="30"/>
        </w:rPr>
      </w:pPr>
      <w:r>
        <w:rPr>
          <w:rStyle w:val="25"/>
          <w:rFonts w:hint="eastAsia" w:ascii="仿宋" w:hAnsi="仿宋" w:eastAsia="仿宋"/>
          <w:b w:val="0"/>
          <w:bCs w:val="0"/>
          <w:sz w:val="30"/>
          <w:szCs w:val="30"/>
        </w:rPr>
        <w:t>三、</w:t>
      </w:r>
      <w:r>
        <w:rPr>
          <w:rFonts w:hint="eastAsia" w:ascii="仿宋" w:hAnsi="仿宋" w:eastAsia="仿宋"/>
          <w:b w:val="0"/>
          <w:color w:val="000000"/>
          <w:sz w:val="30"/>
          <w:szCs w:val="30"/>
        </w:rPr>
        <w:t>支</w:t>
      </w:r>
      <w:r>
        <w:rPr>
          <w:rStyle w:val="25"/>
          <w:rFonts w:hint="eastAsia" w:ascii="仿宋" w:hAnsi="仿宋" w:eastAsia="仿宋"/>
          <w:b w:val="0"/>
          <w:bCs w:val="0"/>
          <w:sz w:val="30"/>
          <w:szCs w:val="30"/>
        </w:rPr>
        <w:t>出决算表</w:t>
      </w:r>
    </w:p>
    <w:p>
      <w:pPr>
        <w:numPr>
          <w:ilvl w:val="0"/>
          <w:numId w:val="0"/>
        </w:numPr>
        <w:spacing w:line="600" w:lineRule="exact"/>
        <w:jc w:val="both"/>
        <w:outlineLvl w:val="0"/>
        <w:rPr>
          <w:rFonts w:ascii="仿宋" w:hAnsi="仿宋" w:eastAsia="仿宋"/>
          <w:color w:val="000000" w:themeColor="text1"/>
          <w:sz w:val="30"/>
          <w:szCs w:val="30"/>
        </w:rPr>
      </w:pPr>
      <w:r>
        <w:rPr>
          <w:rStyle w:val="25"/>
          <w:rFonts w:hint="eastAsia" w:ascii="仿宋" w:hAnsi="仿宋" w:eastAsia="仿宋"/>
          <w:b w:val="0"/>
          <w:bCs w:val="0"/>
          <w:sz w:val="30"/>
          <w:szCs w:val="30"/>
        </w:rPr>
        <w:t>四、</w:t>
      </w:r>
      <w:r>
        <w:rPr>
          <w:rFonts w:hint="eastAsia" w:ascii="仿宋" w:hAnsi="仿宋" w:eastAsia="仿宋"/>
          <w:b w:val="0"/>
          <w:color w:val="000000"/>
          <w:sz w:val="30"/>
          <w:szCs w:val="30"/>
        </w:rPr>
        <w:t>财</w:t>
      </w:r>
      <w:r>
        <w:rPr>
          <w:rStyle w:val="25"/>
          <w:rFonts w:hint="eastAsia" w:ascii="仿宋" w:hAnsi="仿宋" w:eastAsia="仿宋"/>
          <w:b w:val="0"/>
          <w:bCs w:val="0"/>
          <w:sz w:val="30"/>
          <w:szCs w:val="30"/>
        </w:rPr>
        <w:t>政拨款收入支出决算总表</w:t>
      </w:r>
    </w:p>
    <w:p>
      <w:pPr>
        <w:numPr>
          <w:ilvl w:val="0"/>
          <w:numId w:val="0"/>
        </w:numPr>
        <w:spacing w:line="600" w:lineRule="exact"/>
        <w:jc w:val="both"/>
        <w:outlineLvl w:val="0"/>
        <w:rPr>
          <w:rFonts w:ascii="仿宋" w:hAnsi="仿宋" w:eastAsia="仿宋"/>
          <w:color w:val="000000" w:themeColor="text1"/>
          <w:sz w:val="30"/>
          <w:szCs w:val="30"/>
        </w:rPr>
      </w:pPr>
      <w:r>
        <w:rPr>
          <w:rStyle w:val="25"/>
          <w:rFonts w:hint="eastAsia" w:ascii="仿宋" w:hAnsi="仿宋" w:eastAsia="仿宋"/>
          <w:b w:val="0"/>
          <w:bCs w:val="0"/>
          <w:sz w:val="30"/>
          <w:szCs w:val="30"/>
        </w:rPr>
        <w:t>五、</w:t>
      </w:r>
      <w:r>
        <w:rPr>
          <w:rFonts w:hint="eastAsia" w:ascii="仿宋" w:hAnsi="仿宋" w:eastAsia="仿宋"/>
          <w:b w:val="0"/>
          <w:color w:val="000000"/>
          <w:sz w:val="30"/>
          <w:szCs w:val="30"/>
        </w:rPr>
        <w:t>财</w:t>
      </w:r>
      <w:r>
        <w:rPr>
          <w:rStyle w:val="25"/>
          <w:rFonts w:hint="eastAsia" w:ascii="仿宋" w:hAnsi="仿宋" w:eastAsia="仿宋"/>
          <w:b w:val="0"/>
          <w:bCs w:val="0"/>
          <w:sz w:val="30"/>
          <w:szCs w:val="30"/>
        </w:rPr>
        <w:t>政拨款支出决算明细表</w:t>
      </w:r>
    </w:p>
    <w:p>
      <w:pPr>
        <w:numPr>
          <w:ilvl w:val="0"/>
          <w:numId w:val="0"/>
        </w:numPr>
        <w:spacing w:line="600" w:lineRule="exact"/>
        <w:jc w:val="both"/>
        <w:outlineLvl w:val="0"/>
        <w:rPr>
          <w:rFonts w:ascii="仿宋" w:hAnsi="仿宋" w:eastAsia="仿宋"/>
          <w:color w:val="000000" w:themeColor="text1"/>
          <w:sz w:val="30"/>
          <w:szCs w:val="30"/>
        </w:rPr>
      </w:pPr>
      <w:r>
        <w:rPr>
          <w:rStyle w:val="25"/>
          <w:rFonts w:hint="eastAsia" w:ascii="仿宋" w:hAnsi="仿宋" w:eastAsia="仿宋"/>
          <w:b w:val="0"/>
          <w:bCs w:val="0"/>
          <w:sz w:val="30"/>
          <w:szCs w:val="30"/>
        </w:rPr>
        <w:t>六、</w:t>
      </w:r>
      <w:r>
        <w:rPr>
          <w:rFonts w:hint="eastAsia" w:ascii="仿宋" w:hAnsi="仿宋" w:eastAsia="仿宋"/>
          <w:b w:val="0"/>
          <w:color w:val="000000"/>
          <w:sz w:val="30"/>
          <w:szCs w:val="30"/>
        </w:rPr>
        <w:t>一</w:t>
      </w:r>
      <w:r>
        <w:rPr>
          <w:rStyle w:val="25"/>
          <w:rFonts w:hint="eastAsia" w:ascii="仿宋" w:hAnsi="仿宋" w:eastAsia="仿宋"/>
          <w:b w:val="0"/>
          <w:bCs w:val="0"/>
          <w:sz w:val="30"/>
          <w:szCs w:val="30"/>
        </w:rPr>
        <w:t>般公共预算财政拨款支出决算表</w:t>
      </w:r>
    </w:p>
    <w:p>
      <w:pPr>
        <w:numPr>
          <w:ilvl w:val="0"/>
          <w:numId w:val="0"/>
        </w:numPr>
        <w:spacing w:line="600" w:lineRule="exact"/>
        <w:jc w:val="both"/>
        <w:outlineLvl w:val="0"/>
        <w:rPr>
          <w:rFonts w:ascii="仿宋" w:hAnsi="仿宋" w:eastAsia="仿宋"/>
          <w:color w:val="000000" w:themeColor="text1"/>
          <w:sz w:val="30"/>
          <w:szCs w:val="30"/>
        </w:rPr>
      </w:pPr>
      <w:r>
        <w:rPr>
          <w:rStyle w:val="25"/>
          <w:rFonts w:hint="eastAsia" w:ascii="仿宋" w:hAnsi="仿宋" w:eastAsia="仿宋"/>
          <w:b w:val="0"/>
          <w:bCs w:val="0"/>
          <w:sz w:val="30"/>
          <w:szCs w:val="30"/>
        </w:rPr>
        <w:t>七、</w:t>
      </w:r>
      <w:r>
        <w:rPr>
          <w:rFonts w:hint="eastAsia" w:ascii="仿宋" w:hAnsi="仿宋" w:eastAsia="仿宋"/>
          <w:b w:val="0"/>
          <w:color w:val="000000"/>
          <w:sz w:val="30"/>
          <w:szCs w:val="30"/>
        </w:rPr>
        <w:t>一</w:t>
      </w:r>
      <w:r>
        <w:rPr>
          <w:rStyle w:val="25"/>
          <w:rFonts w:hint="eastAsia" w:ascii="仿宋" w:hAnsi="仿宋" w:eastAsia="仿宋"/>
          <w:b w:val="0"/>
          <w:bCs w:val="0"/>
          <w:sz w:val="30"/>
          <w:szCs w:val="30"/>
        </w:rPr>
        <w:t>般公共预算财政拨款支出决算明细表</w:t>
      </w:r>
    </w:p>
    <w:p>
      <w:pPr>
        <w:numPr>
          <w:ilvl w:val="0"/>
          <w:numId w:val="0"/>
        </w:numPr>
        <w:spacing w:line="600" w:lineRule="exact"/>
        <w:jc w:val="both"/>
        <w:outlineLvl w:val="0"/>
        <w:rPr>
          <w:rFonts w:ascii="仿宋" w:hAnsi="仿宋" w:eastAsia="仿宋"/>
          <w:color w:val="000000" w:themeColor="text1"/>
          <w:sz w:val="30"/>
          <w:szCs w:val="30"/>
        </w:rPr>
      </w:pPr>
      <w:r>
        <w:rPr>
          <w:rStyle w:val="25"/>
          <w:rFonts w:hint="eastAsia" w:ascii="仿宋" w:hAnsi="仿宋" w:eastAsia="仿宋"/>
          <w:b w:val="0"/>
          <w:bCs w:val="0"/>
          <w:sz w:val="30"/>
          <w:szCs w:val="30"/>
        </w:rPr>
        <w:t>八、</w:t>
      </w:r>
      <w:r>
        <w:rPr>
          <w:rFonts w:hint="eastAsia" w:ascii="仿宋" w:hAnsi="仿宋" w:eastAsia="仿宋"/>
          <w:b w:val="0"/>
          <w:color w:val="000000"/>
          <w:sz w:val="30"/>
          <w:szCs w:val="30"/>
        </w:rPr>
        <w:t>一</w:t>
      </w:r>
      <w:r>
        <w:rPr>
          <w:rStyle w:val="25"/>
          <w:rFonts w:hint="eastAsia" w:ascii="仿宋" w:hAnsi="仿宋" w:eastAsia="仿宋"/>
          <w:b w:val="0"/>
          <w:bCs w:val="0"/>
          <w:sz w:val="30"/>
          <w:szCs w:val="30"/>
        </w:rPr>
        <w:t>般公共预算财政拨款基本支出决算表</w:t>
      </w:r>
    </w:p>
    <w:p>
      <w:pPr>
        <w:numPr>
          <w:ilvl w:val="0"/>
          <w:numId w:val="0"/>
        </w:numPr>
        <w:spacing w:line="600" w:lineRule="exact"/>
        <w:jc w:val="both"/>
        <w:outlineLvl w:val="0"/>
        <w:rPr>
          <w:rStyle w:val="25"/>
          <w:rFonts w:hint="eastAsia" w:ascii="仿宋" w:hAnsi="仿宋" w:eastAsia="仿宋"/>
          <w:b w:val="0"/>
          <w:bCs w:val="0"/>
          <w:sz w:val="30"/>
          <w:szCs w:val="30"/>
          <w:lang w:val="en-US" w:eastAsia="zh-CN"/>
        </w:rPr>
      </w:pPr>
      <w:r>
        <w:rPr>
          <w:rStyle w:val="25"/>
          <w:rFonts w:hint="eastAsia" w:ascii="仿宋" w:hAnsi="仿宋" w:eastAsia="仿宋"/>
          <w:b w:val="0"/>
          <w:bCs w:val="0"/>
          <w:sz w:val="30"/>
          <w:szCs w:val="30"/>
        </w:rPr>
        <w:t>九、</w:t>
      </w:r>
      <w:r>
        <w:rPr>
          <w:rFonts w:hint="eastAsia" w:ascii="仿宋" w:hAnsi="仿宋" w:eastAsia="仿宋"/>
          <w:b w:val="0"/>
          <w:color w:val="000000"/>
          <w:sz w:val="30"/>
          <w:szCs w:val="30"/>
        </w:rPr>
        <w:t>一</w:t>
      </w:r>
      <w:r>
        <w:rPr>
          <w:rStyle w:val="25"/>
          <w:rFonts w:hint="eastAsia" w:ascii="仿宋" w:hAnsi="仿宋" w:eastAsia="仿宋"/>
          <w:b w:val="0"/>
          <w:bCs w:val="0"/>
          <w:sz w:val="30"/>
          <w:szCs w:val="30"/>
        </w:rPr>
        <w:t>般公共预算财政拨款项目支出决算表</w:t>
      </w:r>
      <w:r>
        <w:rPr>
          <w:rStyle w:val="25"/>
          <w:rFonts w:hint="eastAsia" w:ascii="仿宋" w:hAnsi="仿宋" w:eastAsia="仿宋"/>
          <w:b w:val="0"/>
          <w:bCs w:val="0"/>
          <w:sz w:val="30"/>
          <w:szCs w:val="30"/>
          <w:lang w:val="en-US" w:eastAsia="zh-CN"/>
        </w:rPr>
        <w:t xml:space="preserve"> </w:t>
      </w:r>
    </w:p>
    <w:p>
      <w:pPr>
        <w:numPr>
          <w:ilvl w:val="0"/>
          <w:numId w:val="0"/>
        </w:numPr>
        <w:spacing w:line="600" w:lineRule="exact"/>
        <w:jc w:val="both"/>
        <w:outlineLvl w:val="0"/>
        <w:rPr>
          <w:rStyle w:val="25"/>
          <w:rFonts w:hint="eastAsia" w:ascii="仿宋" w:hAnsi="仿宋" w:eastAsia="仿宋"/>
          <w:b w:val="0"/>
          <w:bCs w:val="0"/>
          <w:sz w:val="30"/>
          <w:szCs w:val="30"/>
        </w:rPr>
      </w:pPr>
      <w:r>
        <w:rPr>
          <w:rStyle w:val="25"/>
          <w:rFonts w:hint="eastAsia" w:ascii="仿宋" w:hAnsi="仿宋" w:eastAsia="仿宋"/>
          <w:b w:val="0"/>
          <w:bCs w:val="0"/>
          <w:sz w:val="30"/>
          <w:szCs w:val="30"/>
        </w:rPr>
        <w:t>十、</w:t>
      </w:r>
      <w:r>
        <w:rPr>
          <w:rFonts w:hint="eastAsia" w:ascii="仿宋" w:hAnsi="仿宋" w:eastAsia="仿宋"/>
          <w:b w:val="0"/>
          <w:color w:val="000000"/>
          <w:sz w:val="30"/>
          <w:szCs w:val="30"/>
        </w:rPr>
        <w:t>一</w:t>
      </w:r>
      <w:r>
        <w:rPr>
          <w:rStyle w:val="25"/>
          <w:rFonts w:hint="eastAsia" w:ascii="仿宋" w:hAnsi="仿宋" w:eastAsia="仿宋"/>
          <w:b w:val="0"/>
          <w:bCs w:val="0"/>
          <w:sz w:val="30"/>
          <w:szCs w:val="30"/>
        </w:rPr>
        <w:t>般公共预算财政拨款“三公”经费支出决算表</w:t>
      </w:r>
    </w:p>
    <w:p>
      <w:pPr>
        <w:numPr>
          <w:ilvl w:val="0"/>
          <w:numId w:val="0"/>
        </w:numPr>
        <w:spacing w:line="600" w:lineRule="exact"/>
        <w:jc w:val="both"/>
        <w:outlineLvl w:val="0"/>
        <w:rPr>
          <w:rStyle w:val="25"/>
          <w:rFonts w:hint="eastAsia" w:ascii="仿宋" w:hAnsi="仿宋" w:eastAsia="仿宋"/>
          <w:b w:val="0"/>
          <w:bCs w:val="0"/>
          <w:sz w:val="30"/>
          <w:szCs w:val="30"/>
        </w:rPr>
      </w:pPr>
      <w:r>
        <w:rPr>
          <w:rStyle w:val="25"/>
          <w:rFonts w:hint="eastAsia" w:ascii="仿宋" w:hAnsi="仿宋" w:eastAsia="仿宋"/>
          <w:b w:val="0"/>
          <w:bCs w:val="0"/>
          <w:sz w:val="30"/>
          <w:szCs w:val="30"/>
        </w:rPr>
        <w:t>十一、</w:t>
      </w:r>
      <w:r>
        <w:rPr>
          <w:rFonts w:hint="eastAsia" w:ascii="仿宋" w:hAnsi="仿宋" w:eastAsia="仿宋"/>
          <w:b w:val="0"/>
          <w:color w:val="000000"/>
          <w:sz w:val="30"/>
          <w:szCs w:val="30"/>
        </w:rPr>
        <w:t>政</w:t>
      </w:r>
      <w:r>
        <w:rPr>
          <w:rStyle w:val="25"/>
          <w:rFonts w:hint="eastAsia" w:ascii="仿宋" w:hAnsi="仿宋" w:eastAsia="仿宋"/>
          <w:b w:val="0"/>
          <w:bCs w:val="0"/>
          <w:sz w:val="30"/>
          <w:szCs w:val="30"/>
        </w:rPr>
        <w:t>府性基金预算财政拨款收入支出决算表</w:t>
      </w:r>
    </w:p>
    <w:p>
      <w:pPr>
        <w:numPr>
          <w:ilvl w:val="0"/>
          <w:numId w:val="0"/>
        </w:numPr>
        <w:spacing w:line="600" w:lineRule="exact"/>
        <w:jc w:val="both"/>
        <w:outlineLvl w:val="0"/>
        <w:rPr>
          <w:rStyle w:val="25"/>
          <w:rFonts w:hint="eastAsia" w:ascii="仿宋" w:hAnsi="仿宋" w:eastAsia="仿宋"/>
          <w:b w:val="0"/>
          <w:bCs w:val="0"/>
          <w:sz w:val="30"/>
          <w:szCs w:val="30"/>
          <w:lang w:eastAsia="zh-CN"/>
        </w:rPr>
      </w:pPr>
      <w:r>
        <w:rPr>
          <w:rStyle w:val="25"/>
          <w:rFonts w:hint="eastAsia" w:ascii="仿宋" w:hAnsi="仿宋" w:eastAsia="仿宋"/>
          <w:b w:val="0"/>
          <w:bCs w:val="0"/>
          <w:sz w:val="30"/>
          <w:szCs w:val="30"/>
        </w:rPr>
        <w:t>十二、</w:t>
      </w:r>
      <w:r>
        <w:rPr>
          <w:rFonts w:hint="eastAsia" w:ascii="仿宋" w:hAnsi="仿宋" w:eastAsia="仿宋"/>
          <w:b w:val="0"/>
          <w:color w:val="000000"/>
          <w:sz w:val="30"/>
          <w:szCs w:val="30"/>
        </w:rPr>
        <w:t>政</w:t>
      </w:r>
      <w:r>
        <w:rPr>
          <w:rStyle w:val="25"/>
          <w:rFonts w:hint="eastAsia" w:ascii="仿宋" w:hAnsi="仿宋" w:eastAsia="仿宋"/>
          <w:b w:val="0"/>
          <w:bCs w:val="0"/>
          <w:sz w:val="30"/>
          <w:szCs w:val="30"/>
        </w:rPr>
        <w:t>府性基金预算财政拨款“三公”经费支出决算</w:t>
      </w:r>
      <w:r>
        <w:rPr>
          <w:rStyle w:val="25"/>
          <w:rFonts w:hint="eastAsia" w:ascii="仿宋" w:hAnsi="仿宋" w:eastAsia="仿宋"/>
          <w:b w:val="0"/>
          <w:bCs w:val="0"/>
          <w:sz w:val="30"/>
          <w:szCs w:val="30"/>
          <w:lang w:eastAsia="zh-CN"/>
        </w:rPr>
        <w:t>。</w:t>
      </w:r>
    </w:p>
    <w:p>
      <w:pPr>
        <w:numPr>
          <w:ilvl w:val="0"/>
          <w:numId w:val="0"/>
        </w:numPr>
        <w:spacing w:line="600" w:lineRule="exact"/>
        <w:jc w:val="both"/>
        <w:outlineLvl w:val="0"/>
        <w:rPr>
          <w:rFonts w:ascii="仿宋" w:hAnsi="仿宋" w:eastAsia="仿宋"/>
          <w:color w:val="000000" w:themeColor="text1"/>
          <w:sz w:val="30"/>
          <w:szCs w:val="30"/>
        </w:rPr>
      </w:pPr>
      <w:r>
        <w:rPr>
          <w:rStyle w:val="25"/>
          <w:rFonts w:hint="eastAsia" w:ascii="仿宋" w:hAnsi="仿宋" w:eastAsia="仿宋"/>
          <w:b w:val="0"/>
          <w:bCs w:val="0"/>
          <w:sz w:val="30"/>
          <w:szCs w:val="30"/>
        </w:rPr>
        <w:t>十三、</w:t>
      </w:r>
      <w:r>
        <w:rPr>
          <w:rFonts w:hint="eastAsia" w:ascii="仿宋" w:hAnsi="仿宋" w:eastAsia="仿宋"/>
          <w:b w:val="0"/>
          <w:color w:val="000000"/>
          <w:sz w:val="30"/>
          <w:szCs w:val="30"/>
        </w:rPr>
        <w:t>国</w:t>
      </w:r>
      <w:r>
        <w:rPr>
          <w:rStyle w:val="25"/>
          <w:rFonts w:hint="eastAsia" w:ascii="仿宋" w:hAnsi="仿宋" w:eastAsia="仿宋"/>
          <w:b w:val="0"/>
          <w:bCs w:val="0"/>
          <w:sz w:val="30"/>
          <w:szCs w:val="30"/>
        </w:rPr>
        <w:t>有资本经营预算支出决算表</w:t>
      </w:r>
    </w:p>
    <w:p>
      <w:pPr>
        <w:numPr>
          <w:ilvl w:val="0"/>
          <w:numId w:val="0"/>
        </w:numPr>
        <w:spacing w:line="600" w:lineRule="exact"/>
        <w:ind w:leftChars="150" w:firstLine="840" w:firstLineChars="400"/>
        <w:jc w:val="both"/>
        <w:outlineLvl w:val="0"/>
        <w:rPr>
          <w:rFonts w:ascii="仿宋" w:hAnsi="仿宋" w:eastAsia="仿宋"/>
          <w:color w:val="000000"/>
        </w:rPr>
      </w:pPr>
    </w:p>
    <w:p>
      <w:pPr>
        <w:pStyle w:val="3"/>
        <w:rPr>
          <w:rFonts w:ascii="仿宋" w:hAnsi="仿宋" w:eastAsia="仿宋"/>
          <w:color w:val="000000" w:themeColor="text1"/>
        </w:rPr>
      </w:pPr>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994781956"/>
      </w:sdtPr>
      <w:sdtContent/>
    </w:sdt>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994781956"/>
      </w:sdtPr>
      <w:sdtContent/>
    </w:sdt>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994781956"/>
      </w:sdtPr>
      <w:sdtContent/>
    </w:sdt>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8" o:spid="_x0000_s4098"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sdt>
      <w:sdtPr>
        <w:id w:val="-1994781956"/>
      </w:sdtPr>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94523"/>
    <w:multiLevelType w:val="singleLevel"/>
    <w:tmpl w:val="CF994523"/>
    <w:lvl w:ilvl="0" w:tentative="0">
      <w:start w:val="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D90FB0"/>
    <w:rsid w:val="08543047"/>
    <w:rsid w:val="08DF5FDB"/>
    <w:rsid w:val="10C055FF"/>
    <w:rsid w:val="10EC0CEE"/>
    <w:rsid w:val="111D2171"/>
    <w:rsid w:val="11DB2201"/>
    <w:rsid w:val="16BB723D"/>
    <w:rsid w:val="18E608CE"/>
    <w:rsid w:val="1C615701"/>
    <w:rsid w:val="1E387C3C"/>
    <w:rsid w:val="23DF3336"/>
    <w:rsid w:val="240371BF"/>
    <w:rsid w:val="28FF03EA"/>
    <w:rsid w:val="29FD04D3"/>
    <w:rsid w:val="319F7F4E"/>
    <w:rsid w:val="3234096F"/>
    <w:rsid w:val="36A440DB"/>
    <w:rsid w:val="372007D3"/>
    <w:rsid w:val="3D7708B7"/>
    <w:rsid w:val="4B490B46"/>
    <w:rsid w:val="4B5B4C24"/>
    <w:rsid w:val="4E2E4031"/>
    <w:rsid w:val="4ECE2238"/>
    <w:rsid w:val="4ED61498"/>
    <w:rsid w:val="5FD56DBC"/>
    <w:rsid w:val="63CD15CB"/>
    <w:rsid w:val="675F0C0E"/>
    <w:rsid w:val="6AD55A31"/>
    <w:rsid w:val="6AF86890"/>
    <w:rsid w:val="6C176F81"/>
    <w:rsid w:val="6C6F434D"/>
    <w:rsid w:val="6D864547"/>
    <w:rsid w:val="72734D90"/>
    <w:rsid w:val="73BB0DAF"/>
    <w:rsid w:val="761832CE"/>
    <w:rsid w:val="7BCD4C1D"/>
    <w:rsid w:val="7BE201AE"/>
    <w:rsid w:val="7C5B41F2"/>
    <w:rsid w:val="7FB02822"/>
    <w:rsid w:val="E325D0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8</TotalTime>
  <ScaleCrop>false</ScaleCrop>
  <LinksUpToDate>false</LinksUpToDate>
  <CharactersWithSpaces>8536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仁可女青</cp:lastModifiedBy>
  <cp:lastPrinted>2020-07-23T10:58:00Z</cp:lastPrinted>
  <dcterms:modified xsi:type="dcterms:W3CDTF">2022-02-22T14:55:16Z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