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36"/>
          <w:szCs w:val="36"/>
        </w:rPr>
      </w:pPr>
      <w:bookmarkStart w:id="1" w:name="_Toc15377425"/>
      <w:bookmarkStart w:id="2" w:name="_Toc15377193"/>
      <w:bookmarkStart w:id="3" w:name="_Toc15396475"/>
      <w:bookmarkStart w:id="4" w:name="_Toc15378441"/>
      <w:bookmarkStart w:id="5" w:name="_Toc15396597"/>
      <w:r>
        <w:rPr>
          <w:rFonts w:ascii="黑体" w:hAnsi="黑体" w:eastAsia="黑体"/>
          <w:color w:val="000000"/>
          <w:sz w:val="36"/>
          <w:szCs w:val="36"/>
        </w:rPr>
        <w:t>201</w:t>
      </w:r>
      <w:r>
        <w:rPr>
          <w:rFonts w:hint="eastAsia" w:ascii="黑体" w:hAnsi="黑体" w:eastAsia="黑体"/>
          <w:color w:val="000000"/>
          <w:sz w:val="36"/>
          <w:szCs w:val="36"/>
          <w:lang w:val="en-US" w:eastAsia="zh-CN"/>
        </w:rPr>
        <w:t>9</w:t>
      </w:r>
      <w:r>
        <w:rPr>
          <w:rFonts w:hint="eastAsia" w:ascii="方正小标宋简体" w:hAnsi="宋体" w:eastAsia="方正小标宋简体"/>
          <w:color w:val="000000"/>
          <w:sz w:val="36"/>
          <w:szCs w:val="36"/>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36"/>
          <w:szCs w:val="36"/>
        </w:rPr>
      </w:pPr>
    </w:p>
    <w:p>
      <w:pPr>
        <w:adjustRightInd w:val="0"/>
        <w:snapToGrid w:val="0"/>
        <w:spacing w:line="360" w:lineRule="auto"/>
        <w:jc w:val="center"/>
        <w:outlineLvl w:val="0"/>
        <w:rPr>
          <w:rFonts w:ascii="方正小标宋简体" w:hAnsi="宋体" w:eastAsia="方正小标宋简体"/>
          <w:color w:val="000000"/>
          <w:sz w:val="36"/>
          <w:szCs w:val="36"/>
        </w:rPr>
      </w:pPr>
      <w:bookmarkStart w:id="6" w:name="_Toc15396476"/>
      <w:bookmarkStart w:id="7" w:name="_Toc15377194"/>
      <w:bookmarkStart w:id="8" w:name="_Toc15396598"/>
      <w:bookmarkStart w:id="9" w:name="_Toc15378442"/>
      <w:bookmarkStart w:id="10" w:name="_Toc15377426"/>
      <w:r>
        <w:rPr>
          <w:rFonts w:hint="eastAsia" w:ascii="方正小标宋简体" w:hAnsi="宋体" w:eastAsia="方正小标宋简体"/>
          <w:color w:val="000000"/>
          <w:sz w:val="36"/>
          <w:szCs w:val="36"/>
        </w:rPr>
        <w:t>四川省</w:t>
      </w:r>
      <w:bookmarkStart w:id="11" w:name="_Toc15306268"/>
      <w:r>
        <w:rPr>
          <w:rFonts w:hint="eastAsia" w:ascii="方正小标宋简体" w:hAnsi="宋体" w:eastAsia="方正小标宋简体"/>
          <w:color w:val="000000"/>
          <w:sz w:val="36"/>
          <w:szCs w:val="36"/>
        </w:rPr>
        <w:t>宣汉县</w:t>
      </w:r>
      <w:r>
        <w:rPr>
          <w:rFonts w:hint="eastAsia" w:eastAsia="方正小标宋简体" w:asciiTheme="minorHAnsi" w:hAnsiTheme="minorHAnsi"/>
          <w:color w:val="000000"/>
          <w:sz w:val="36"/>
          <w:szCs w:val="36"/>
        </w:rPr>
        <w:t>华</w:t>
      </w:r>
      <w:r>
        <w:rPr>
          <w:rFonts w:eastAsia="方正小标宋简体" w:asciiTheme="minorHAnsi" w:hAnsiTheme="minorHAnsi"/>
          <w:color w:val="000000"/>
          <w:sz w:val="36"/>
          <w:szCs w:val="36"/>
        </w:rPr>
        <w:t>景</w:t>
      </w:r>
      <w:r>
        <w:rPr>
          <w:rFonts w:hint="eastAsia" w:eastAsia="方正小标宋简体" w:asciiTheme="minorHAnsi" w:hAnsiTheme="minorHAnsi"/>
          <w:color w:val="000000"/>
          <w:sz w:val="36"/>
          <w:szCs w:val="36"/>
        </w:rPr>
        <w:t>镇</w:t>
      </w:r>
      <w:r>
        <w:rPr>
          <w:rFonts w:eastAsia="方正小标宋简体" w:asciiTheme="minorHAnsi" w:hAnsiTheme="minorHAnsi"/>
          <w:color w:val="000000"/>
          <w:sz w:val="36"/>
          <w:szCs w:val="36"/>
        </w:rPr>
        <w:t>月溪</w:t>
      </w:r>
      <w:r>
        <w:rPr>
          <w:rFonts w:hint="eastAsia" w:eastAsia="方正小标宋简体" w:asciiTheme="minorHAnsi" w:hAnsiTheme="minorHAnsi"/>
          <w:color w:val="000000"/>
          <w:sz w:val="36"/>
          <w:szCs w:val="36"/>
        </w:rPr>
        <w:t>中</w:t>
      </w:r>
      <w:r>
        <w:rPr>
          <w:rFonts w:eastAsia="方正小标宋简体" w:asciiTheme="minorHAnsi" w:hAnsiTheme="minorHAnsi"/>
          <w:color w:val="000000"/>
          <w:sz w:val="36"/>
          <w:szCs w:val="36"/>
        </w:rPr>
        <w:t>心校</w:t>
      </w:r>
      <w:r>
        <w:rPr>
          <w:rFonts w:hint="eastAsia" w:ascii="方正小标宋简体" w:hAnsi="宋体" w:eastAsia="方正小标宋简体"/>
          <w:color w:val="000000"/>
          <w:sz w:val="36"/>
          <w:szCs w:val="36"/>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Style w:val="15"/>
          <w:rFonts w:hint="eastAsia" w:ascii="仿宋" w:hAnsi="仿宋" w:eastAsia="仿宋" w:cs="Times New Roman"/>
          <w:kern w:val="2"/>
          <w:sz w:val="28"/>
          <w:szCs w:val="28"/>
          <w:lang w:val="en-US" w:eastAsia="zh-CN" w:bidi="ar-SA"/>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r>
        <w:rPr>
          <w:rStyle w:val="15"/>
          <w:rFonts w:hint="eastAsia" w:ascii="仿宋" w:hAnsi="仿宋" w:eastAsia="仿宋" w:cs="Times New Roman"/>
          <w:kern w:val="2"/>
          <w:sz w:val="28"/>
          <w:szCs w:val="28"/>
          <w:lang w:val="en-US" w:eastAsia="zh-CN" w:bidi="ar-SA"/>
        </w:rPr>
        <w:t>公开时间：2020年11月11日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w:t>
      </w:r>
      <w:r>
        <w:rPr>
          <w:rStyle w:val="15"/>
          <w:rFonts w:hint="eastAsia"/>
          <w:lang w:val="en-US" w:eastAsia="zh-CN"/>
        </w:rPr>
        <w:t>9</w:t>
      </w:r>
      <w:r>
        <w:rPr>
          <w:rStyle w:val="15"/>
          <w:rFonts w:hint="eastAsia"/>
        </w:rPr>
        <w:t>年度部门决算情况说明</w:t>
      </w:r>
      <w:r>
        <w:tab/>
      </w:r>
      <w:r>
        <w:fldChar w:fldCharType="begin"/>
      </w:r>
      <w:r>
        <w:instrText xml:space="preserve"> PAGEREF _Toc15396602 \h </w:instrText>
      </w:r>
      <w:r>
        <w:fldChar w:fldCharType="separate"/>
      </w:r>
      <w:r>
        <w:t>4</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ind w:firstLine="560" w:firstLineChars="200"/>
        <w:rPr>
          <w:rFonts w:hint="eastAsia" w:eastAsia="仿宋"/>
          <w:lang w:eastAsia="zh-CN"/>
        </w:rPr>
      </w:pPr>
      <w:r>
        <w:rPr>
          <w:rFonts w:hint="eastAsia" w:ascii="仿宋" w:hAnsi="仿宋" w:eastAsia="仿宋"/>
          <w:sz w:val="28"/>
          <w:szCs w:val="28"/>
          <w:lang w:eastAsia="zh-CN"/>
        </w:rPr>
        <w:t>十、预算绩效情况说明</w:t>
      </w:r>
      <w:r>
        <w:rPr>
          <w:rFonts w:hint="eastAsia" w:ascii="仿宋" w:hAnsi="仿宋" w:eastAsia="仿宋"/>
          <w:sz w:val="28"/>
          <w:szCs w:val="28"/>
          <w:lang w:val="en-US" w:eastAsia="zh-CN"/>
        </w:rPr>
        <w:t xml:space="preserve">  .................... ....</w:t>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15</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17</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20</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bookmarkEnd w:id="12"/>
    <w:bookmarkEnd w:id="13"/>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7199"/>
      <w:bookmarkStart w:id="19" w:name="_Toc15378446"/>
    </w:p>
    <w:p>
      <w:pPr>
        <w:pStyle w:val="5"/>
        <w:adjustRightInd w:val="0"/>
        <w:snapToGrid w:val="0"/>
        <w:spacing w:before="93" w:line="600" w:lineRule="exact"/>
        <w:ind w:firstLine="588" w:firstLineChars="210"/>
        <w:rPr>
          <w:rFonts w:ascii="仿宋" w:hAnsi="仿宋" w:eastAsia="仿宋"/>
          <w:bCs/>
          <w:color w:val="000000"/>
          <w:sz w:val="32"/>
          <w:szCs w:val="32"/>
        </w:rPr>
      </w:pPr>
      <w:r>
        <w:rPr>
          <w:rFonts w:hint="eastAsia" w:hAnsi="仿宋_GB2312" w:cs="仿宋_GB2312"/>
          <w:sz w:val="28"/>
          <w:szCs w:val="28"/>
        </w:rPr>
        <w:t>宣汉县华景镇月溪中心校辖区内一所中心校和</w:t>
      </w:r>
      <w:r>
        <w:rPr>
          <w:rFonts w:hint="eastAsia" w:hAnsi="仿宋_GB2312" w:cs="仿宋_GB2312"/>
          <w:sz w:val="28"/>
          <w:szCs w:val="28"/>
          <w:lang w:eastAsia="zh-CN"/>
        </w:rPr>
        <w:t>三</w:t>
      </w:r>
      <w:r>
        <w:rPr>
          <w:rFonts w:hint="eastAsia" w:hAnsi="仿宋_GB2312" w:cs="仿宋_GB2312"/>
          <w:sz w:val="28"/>
          <w:szCs w:val="28"/>
        </w:rPr>
        <w:t>所村小，是一所集小学教育、初中教育为一体的九年一贯制学校。</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年重点工作完成情况。</w:t>
      </w:r>
      <w:bookmarkEnd w:id="18"/>
      <w:bookmarkEnd w:id="19"/>
    </w:p>
    <w:p>
      <w:pPr>
        <w:pStyle w:val="4"/>
        <w:spacing w:before="0" w:after="0" w:line="578" w:lineRule="exact"/>
        <w:ind w:firstLine="560" w:firstLineChars="200"/>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学校高举科学发展观大旗，以“办人民满意教育”为宗旨，以“让每一个孩子健康成长，快乐学习”为办学理念，开拓创新，积极探索新形式下农村教育教学工作的新途径和新方法。坚持德育为先，育人为本，加强学生良好行为习惯的养成教育，突出教学工作的中心位置，建立高效、和谐、动态、快乐课堂，提高办学效益。让安全工作为学校保驾护航，营造氛围，落实“一岗双责制度”，确保师生平安，致力校园文化建设，优化育人环境，陶冶情操。</w:t>
      </w:r>
    </w:p>
    <w:p>
      <w:pPr>
        <w:pStyle w:val="4"/>
        <w:spacing w:before="0" w:after="0" w:line="578" w:lineRule="exact"/>
        <w:ind w:firstLine="560" w:firstLineChars="200"/>
        <w:jc w:val="left"/>
        <w:rPr>
          <w:rFonts w:ascii="仿宋" w:hAnsi="仿宋" w:eastAsia="仿宋"/>
          <w:bCs w:val="0"/>
          <w:color w:val="000000"/>
        </w:rPr>
      </w:pPr>
      <w:r>
        <w:rPr>
          <w:rFonts w:hint="eastAsia" w:ascii="仿宋_GB2312" w:hAnsi="仿宋_GB2312" w:eastAsia="仿宋_GB2312" w:cs="仿宋_GB2312"/>
          <w:b w:val="0"/>
          <w:bCs w:val="0"/>
          <w:sz w:val="28"/>
          <w:szCs w:val="28"/>
        </w:rPr>
        <w:t>一年来，学校先后获得“教育教学先进集体”、“星级平安学校”等殊荣。</w:t>
      </w: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adjustRightInd w:val="0"/>
        <w:snapToGrid w:val="0"/>
        <w:spacing w:before="93" w:line="600" w:lineRule="exact"/>
        <w:ind w:firstLine="588" w:firstLineChars="210"/>
        <w:rPr>
          <w:rFonts w:hint="eastAsia"/>
          <w:color w:val="000000"/>
          <w:sz w:val="32"/>
          <w:szCs w:val="32"/>
        </w:rPr>
      </w:pPr>
      <w:bookmarkStart w:id="22" w:name="_Toc15396602"/>
      <w:bookmarkStart w:id="23" w:name="_Toc15377204"/>
      <w:r>
        <w:rPr>
          <w:rFonts w:hint="eastAsia" w:hAnsi="仿宋_GB2312" w:cs="仿宋_GB2312"/>
          <w:sz w:val="28"/>
          <w:szCs w:val="28"/>
        </w:rPr>
        <w:t>宣汉县华景镇月溪中心校属财政全额拨款事业单位1个</w:t>
      </w:r>
      <w:r>
        <w:rPr>
          <w:rFonts w:hint="eastAsia"/>
          <w:color w:val="000000"/>
          <w:sz w:val="32"/>
          <w:szCs w:val="32"/>
        </w:rPr>
        <w:t>。</w:t>
      </w:r>
    </w:p>
    <w:p>
      <w:pPr>
        <w:pStyle w:val="5"/>
        <w:adjustRightInd w:val="0"/>
        <w:snapToGrid w:val="0"/>
        <w:spacing w:before="93" w:line="600" w:lineRule="exact"/>
        <w:ind w:firstLine="630" w:firstLineChars="210"/>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w:t>
      </w:r>
      <w:r>
        <w:rPr>
          <w:rStyle w:val="24"/>
          <w:rFonts w:hint="eastAsia" w:ascii="黑体" w:hAnsi="黑体" w:eastAsia="黑体"/>
          <w:b w:val="0"/>
          <w:bCs w:val="0"/>
          <w:lang w:val="en-US" w:eastAsia="zh-CN"/>
        </w:rPr>
        <w:t>9</w:t>
      </w:r>
      <w:r>
        <w:rPr>
          <w:rStyle w:val="24"/>
          <w:rFonts w:hint="eastAsia" w:ascii="黑体" w:hAnsi="黑体" w:eastAsia="黑体"/>
          <w:b w:val="0"/>
          <w:bCs w:val="0"/>
        </w:rPr>
        <w:t>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w:t>
      </w:r>
      <w:r>
        <w:rPr>
          <w:rFonts w:ascii="仿宋" w:hAnsi="仿宋" w:eastAsia="仿宋"/>
          <w:color w:val="000000"/>
          <w:sz w:val="32"/>
          <w:szCs w:val="32"/>
        </w:rPr>
        <w:t>支</w:t>
      </w:r>
      <w:r>
        <w:rPr>
          <w:rFonts w:hint="eastAsia" w:ascii="仿宋" w:hAnsi="仿宋" w:eastAsia="仿宋"/>
          <w:color w:val="000000"/>
          <w:sz w:val="32"/>
          <w:szCs w:val="32"/>
        </w:rPr>
        <w:t>总</w:t>
      </w:r>
      <w:r>
        <w:rPr>
          <w:rFonts w:ascii="仿宋" w:hAnsi="仿宋" w:eastAsia="仿宋"/>
          <w:color w:val="000000"/>
          <w:sz w:val="32"/>
          <w:szCs w:val="32"/>
        </w:rPr>
        <w:t>计</w:t>
      </w:r>
      <w:r>
        <w:rPr>
          <w:rFonts w:hint="eastAsia" w:ascii="仿宋" w:hAnsi="仿宋" w:eastAsia="仿宋"/>
          <w:color w:val="000000"/>
          <w:sz w:val="32"/>
          <w:szCs w:val="32"/>
          <w:lang w:val="en-US" w:eastAsia="zh-CN"/>
        </w:rPr>
        <w:t>623.11</w:t>
      </w:r>
      <w:r>
        <w:rPr>
          <w:rFonts w:hint="eastAsia" w:ascii="仿宋" w:hAnsi="仿宋" w:eastAsia="仿宋"/>
          <w:color w:val="000000"/>
          <w:sz w:val="32"/>
          <w:szCs w:val="32"/>
        </w:rPr>
        <w:t>万</w:t>
      </w:r>
      <w:r>
        <w:rPr>
          <w:rFonts w:ascii="仿宋" w:hAnsi="仿宋" w:eastAsia="仿宋"/>
          <w:color w:val="000000"/>
          <w:sz w:val="32"/>
          <w:szCs w:val="32"/>
        </w:rPr>
        <w:t>元</w:t>
      </w:r>
      <w:r>
        <w:rPr>
          <w:rFonts w:hint="eastAsia" w:ascii="仿宋" w:hAnsi="仿宋" w:eastAsia="仿宋"/>
          <w:color w:val="000000"/>
          <w:sz w:val="32"/>
          <w:szCs w:val="32"/>
        </w:rPr>
        <w:t>。与201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年相比，收、支总计各</w:t>
      </w:r>
      <w:r>
        <w:rPr>
          <w:rFonts w:hint="eastAsia" w:ascii="仿宋" w:hAnsi="仿宋" w:eastAsia="仿宋"/>
          <w:color w:val="000000"/>
          <w:sz w:val="32"/>
          <w:szCs w:val="32"/>
          <w:lang w:eastAsia="zh-CN"/>
        </w:rPr>
        <w:t>增加了</w:t>
      </w:r>
      <w:r>
        <w:rPr>
          <w:rFonts w:hint="eastAsia" w:ascii="仿宋" w:hAnsi="仿宋" w:eastAsia="仿宋"/>
          <w:color w:val="000000"/>
          <w:sz w:val="32"/>
          <w:szCs w:val="32"/>
          <w:lang w:val="en-US" w:eastAsia="zh-CN"/>
        </w:rPr>
        <w:t>7.32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增加了</w:t>
      </w:r>
      <w:r>
        <w:rPr>
          <w:rFonts w:hint="eastAsia" w:ascii="仿宋" w:hAnsi="仿宋" w:eastAsia="仿宋"/>
          <w:color w:val="000000"/>
          <w:sz w:val="32"/>
          <w:szCs w:val="32"/>
          <w:lang w:val="en-US" w:eastAsia="zh-CN"/>
        </w:rPr>
        <w:t>1</w:t>
      </w:r>
      <w:r>
        <w:rPr>
          <w:rFonts w:ascii="仿宋" w:hAnsi="仿宋" w:eastAsia="仿宋"/>
          <w:color w:val="000000"/>
          <w:sz w:val="32"/>
          <w:szCs w:val="32"/>
        </w:rPr>
        <w:t>%</w:t>
      </w:r>
      <w:r>
        <w:rPr>
          <w:rFonts w:hint="eastAsia" w:ascii="仿宋" w:hAnsi="仿宋" w:eastAsia="仿宋"/>
          <w:color w:val="000000"/>
          <w:sz w:val="32"/>
          <w:szCs w:val="32"/>
        </w:rPr>
        <w:t>。主要变动原因是由于</w:t>
      </w:r>
      <w:r>
        <w:rPr>
          <w:rFonts w:hint="eastAsia" w:ascii="仿宋" w:hAnsi="仿宋" w:eastAsia="仿宋"/>
          <w:color w:val="000000"/>
          <w:sz w:val="32"/>
          <w:szCs w:val="32"/>
          <w:lang w:eastAsia="zh-CN"/>
        </w:rPr>
        <w:t>加大教育经费的投入</w:t>
      </w:r>
      <w:r>
        <w:rPr>
          <w:rFonts w:hint="eastAsia" w:ascii="仿宋" w:hAnsi="仿宋" w:eastAsia="仿宋"/>
          <w:color w:val="000000"/>
          <w:sz w:val="32"/>
          <w:szCs w:val="32"/>
        </w:rPr>
        <w:t>。</w:t>
      </w:r>
    </w:p>
    <w:p>
      <w:pPr>
        <w:spacing w:line="600" w:lineRule="exact"/>
        <w:jc w:val="center"/>
        <w:rPr>
          <w:rFonts w:ascii="仿宋" w:hAnsi="仿宋" w:eastAsia="仿宋"/>
          <w:b/>
          <w:bCs/>
          <w:color w:val="000000"/>
          <w:sz w:val="32"/>
          <w:szCs w:val="32"/>
        </w:rPr>
      </w:pPr>
      <w:r>
        <w:rPr>
          <w:rFonts w:hint="eastAsia" w:ascii="仿宋" w:hAnsi="仿宋" w:eastAsia="仿宋"/>
          <w:b/>
          <w:bCs/>
          <w:color w:val="000000"/>
          <w:sz w:val="32"/>
          <w:szCs w:val="32"/>
        </w:rPr>
        <w:t>图1：收支决算总计变动情况图</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0</wp:posOffset>
            </wp:positionH>
            <wp:positionV relativeFrom="paragraph">
              <wp:posOffset>381000</wp:posOffset>
            </wp:positionV>
            <wp:extent cx="5274310" cy="1953895"/>
            <wp:effectExtent l="0" t="0" r="2540" b="825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hint="eastAsia" w:ascii="仿宋_GB2312" w:eastAsia="仿宋_GB2312"/>
          <w:color w:val="FF0000"/>
          <w:sz w:val="32"/>
          <w:szCs w:val="32"/>
        </w:rPr>
        <w:drawing>
          <wp:anchor distT="0" distB="0" distL="114300" distR="114300" simplePos="0" relativeHeight="251662336" behindDoc="0" locked="0" layoutInCell="1" allowOverlap="1">
            <wp:simplePos x="0" y="0"/>
            <wp:positionH relativeFrom="margin">
              <wp:align>left</wp:align>
            </wp:positionH>
            <wp:positionV relativeFrom="paragraph">
              <wp:posOffset>1143000</wp:posOffset>
            </wp:positionV>
            <wp:extent cx="5274310" cy="1586230"/>
            <wp:effectExtent l="4445" t="4445" r="17145"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623.11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623.11</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2" w:firstLineChars="200"/>
        <w:jc w:val="center"/>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图2：收入决算结构图</w:t>
      </w:r>
    </w:p>
    <w:p>
      <w:pPr>
        <w:spacing w:line="600" w:lineRule="exact"/>
        <w:ind w:firstLine="642" w:firstLineChars="200"/>
        <w:jc w:val="center"/>
        <w:rPr>
          <w:rFonts w:hint="eastAsia" w:ascii="仿宋" w:hAnsi="仿宋" w:eastAsia="仿宋"/>
          <w:b/>
          <w:bCs/>
          <w:color w:val="000000" w:themeColor="text1"/>
          <w:sz w:val="32"/>
          <w:szCs w:val="32"/>
          <w14:textFill>
            <w14:solidFill>
              <w14:schemeClr w14:val="tx1"/>
            </w14:solidFill>
          </w14:textFill>
        </w:rPr>
      </w:pPr>
    </w:p>
    <w:p>
      <w:pPr>
        <w:spacing w:line="600" w:lineRule="exact"/>
        <w:ind w:firstLine="640" w:firstLineChars="200"/>
        <w:outlineLvl w:val="1"/>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ascii="仿宋" w:hAnsi="仿宋" w:eastAsia="仿宋"/>
          <w:color w:val="000000"/>
          <w:sz w:val="32"/>
          <w:szCs w:val="32"/>
        </w:rPr>
        <w:t>6</w:t>
      </w:r>
      <w:r>
        <w:rPr>
          <w:rFonts w:hint="eastAsia" w:ascii="仿宋" w:hAnsi="仿宋" w:eastAsia="仿宋"/>
          <w:color w:val="000000"/>
          <w:sz w:val="32"/>
          <w:szCs w:val="32"/>
          <w:lang w:val="en-US" w:eastAsia="zh-CN"/>
        </w:rPr>
        <w:t>23.11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535.82</w:t>
      </w:r>
      <w:r>
        <w:rPr>
          <w:rFonts w:hint="eastAsia" w:ascii="仿宋" w:hAnsi="仿宋" w:eastAsia="仿宋"/>
          <w:color w:val="000000"/>
          <w:sz w:val="32"/>
          <w:szCs w:val="32"/>
        </w:rPr>
        <w:t>万元，占</w:t>
      </w:r>
      <w:r>
        <w:rPr>
          <w:rFonts w:ascii="仿宋" w:hAnsi="仿宋" w:eastAsia="仿宋"/>
          <w:color w:val="000000"/>
          <w:sz w:val="32"/>
          <w:szCs w:val="32"/>
        </w:rPr>
        <w:t>8</w:t>
      </w:r>
      <w:r>
        <w:rPr>
          <w:rFonts w:hint="eastAsia" w:ascii="仿宋" w:hAnsi="仿宋" w:eastAsia="仿宋"/>
          <w:color w:val="000000"/>
          <w:sz w:val="32"/>
          <w:szCs w:val="32"/>
          <w:lang w:val="en-US" w:eastAsia="zh-CN"/>
        </w:rPr>
        <w:t>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87.29</w:t>
      </w:r>
      <w:r>
        <w:rPr>
          <w:rFonts w:hint="eastAsia" w:ascii="仿宋" w:hAnsi="仿宋" w:eastAsia="仿宋"/>
          <w:color w:val="000000"/>
          <w:sz w:val="32"/>
          <w:szCs w:val="32"/>
        </w:rPr>
        <w:t>万元，占</w:t>
      </w:r>
      <w:r>
        <w:rPr>
          <w:rFonts w:ascii="仿宋" w:hAnsi="仿宋" w:eastAsia="仿宋"/>
          <w:color w:val="000000"/>
          <w:sz w:val="32"/>
          <w:szCs w:val="32"/>
        </w:rPr>
        <w:t>1</w:t>
      </w:r>
      <w:r>
        <w:rPr>
          <w:rFonts w:hint="eastAsia" w:ascii="仿宋" w:hAnsi="仿宋" w:eastAsia="仿宋"/>
          <w:color w:val="000000"/>
          <w:sz w:val="32"/>
          <w:szCs w:val="32"/>
          <w:lang w:val="en-US" w:eastAsia="zh-CN"/>
        </w:rPr>
        <w:t>4</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2" w:firstLineChars="200"/>
        <w:jc w:val="center"/>
        <w:rPr>
          <w:rFonts w:ascii="仿宋_GB2312" w:eastAsia="仿宋_GB2312"/>
          <w:color w:val="FF0000"/>
          <w:sz w:val="32"/>
          <w:szCs w:val="32"/>
        </w:rPr>
      </w:pPr>
      <w:r>
        <w:rPr>
          <w:rFonts w:hint="eastAsia" w:ascii="仿宋" w:hAnsi="仿宋" w:eastAsia="仿宋"/>
          <w:b/>
          <w:bCs/>
          <w:color w:val="000000" w:themeColor="text1"/>
          <w:sz w:val="32"/>
          <w:szCs w:val="32"/>
          <w14:textFill>
            <w14:solidFill>
              <w14:schemeClr w14:val="tx1"/>
            </w14:solidFill>
          </w14:textFill>
        </w:rPr>
        <w:t>图3：支出决算结构图</w:t>
      </w:r>
      <w:r>
        <w:rPr>
          <w:rFonts w:hint="eastAsia" w:ascii="仿宋_GB2312" w:eastAsia="仿宋_GB2312"/>
          <w:color w:val="FF0000"/>
          <w:sz w:val="32"/>
          <w:szCs w:val="32"/>
        </w:rPr>
        <w:drawing>
          <wp:anchor distT="0" distB="0" distL="114300" distR="114300" simplePos="0" relativeHeight="251663360" behindDoc="1" locked="0" layoutInCell="1" allowOverlap="1">
            <wp:simplePos x="0" y="0"/>
            <wp:positionH relativeFrom="column">
              <wp:posOffset>255905</wp:posOffset>
            </wp:positionH>
            <wp:positionV relativeFrom="paragraph">
              <wp:posOffset>408305</wp:posOffset>
            </wp:positionV>
            <wp:extent cx="5274310" cy="1579245"/>
            <wp:effectExtent l="4445" t="4445" r="17145" b="16510"/>
            <wp:wrapTight wrapText="bothSides">
              <wp:wrapPolygon>
                <wp:start x="-18" y="-61"/>
                <wp:lineTo x="-18" y="21305"/>
                <wp:lineTo x="21514" y="21305"/>
                <wp:lineTo x="21514" y="-61"/>
                <wp:lineTo x="-18" y="-61"/>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年财政拨款收、支总计</w:t>
      </w:r>
      <w:r>
        <w:rPr>
          <w:rFonts w:ascii="仿宋" w:hAnsi="仿宋" w:eastAsia="仿宋"/>
          <w:color w:val="000000"/>
          <w:sz w:val="32"/>
          <w:szCs w:val="32"/>
        </w:rPr>
        <w:t>6</w:t>
      </w:r>
      <w:r>
        <w:rPr>
          <w:rFonts w:hint="eastAsia" w:ascii="仿宋" w:hAnsi="仿宋" w:eastAsia="仿宋"/>
          <w:color w:val="000000"/>
          <w:sz w:val="32"/>
          <w:szCs w:val="32"/>
          <w:lang w:val="en-US" w:eastAsia="zh-CN"/>
        </w:rPr>
        <w:t>23.11</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年相比，财政拨款收、支总计</w:t>
      </w:r>
      <w:r>
        <w:rPr>
          <w:rFonts w:hint="eastAsia" w:ascii="仿宋" w:hAnsi="仿宋" w:eastAsia="仿宋"/>
          <w:color w:val="000000"/>
          <w:sz w:val="32"/>
          <w:szCs w:val="32"/>
          <w:lang w:eastAsia="zh-CN"/>
        </w:rPr>
        <w:t>增加了</w:t>
      </w:r>
      <w:r>
        <w:rPr>
          <w:rFonts w:hint="eastAsia" w:ascii="仿宋" w:hAnsi="仿宋" w:eastAsia="仿宋"/>
          <w:color w:val="000000"/>
          <w:sz w:val="32"/>
          <w:szCs w:val="32"/>
          <w:lang w:val="en-US" w:eastAsia="zh-CN"/>
        </w:rPr>
        <w:t>7.32</w:t>
      </w:r>
      <w:r>
        <w:rPr>
          <w:rFonts w:hint="eastAsia" w:ascii="仿宋" w:hAnsi="仿宋" w:eastAsia="仿宋"/>
          <w:color w:val="000000"/>
          <w:sz w:val="32"/>
          <w:szCs w:val="32"/>
        </w:rPr>
        <w:t>万元，增长</w:t>
      </w:r>
      <w:r>
        <w:rPr>
          <w:rFonts w:hint="eastAsia" w:ascii="仿宋" w:hAnsi="仿宋" w:eastAsia="仿宋"/>
          <w:color w:val="000000"/>
          <w:sz w:val="32"/>
          <w:szCs w:val="32"/>
          <w:lang w:eastAsia="zh-CN"/>
        </w:rPr>
        <w:t>了</w:t>
      </w:r>
      <w:r>
        <w:rPr>
          <w:rFonts w:hint="eastAsia" w:ascii="仿宋" w:hAnsi="仿宋" w:eastAsia="仿宋"/>
          <w:color w:val="000000"/>
          <w:sz w:val="32"/>
          <w:szCs w:val="32"/>
          <w:lang w:val="en-US" w:eastAsia="zh-CN"/>
        </w:rPr>
        <w:t>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脱贫攻坚，控辍保学，增加了教育投入</w:t>
      </w:r>
      <w:r>
        <w:rPr>
          <w:rFonts w:hint="eastAsia" w:ascii="仿宋" w:hAnsi="仿宋" w:eastAsia="仿宋"/>
          <w:color w:val="000000"/>
          <w:sz w:val="32"/>
          <w:szCs w:val="32"/>
        </w:rPr>
        <w:t>。</w:t>
      </w:r>
    </w:p>
    <w:p>
      <w:pPr>
        <w:spacing w:line="60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0</wp:posOffset>
            </wp:positionH>
            <wp:positionV relativeFrom="paragraph">
              <wp:posOffset>381000</wp:posOffset>
            </wp:positionV>
            <wp:extent cx="5274310" cy="1953895"/>
            <wp:effectExtent l="0" t="0" r="2540" b="825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ascii="仿宋" w:hAnsi="仿宋" w:eastAsia="仿宋"/>
          <w:color w:val="000000"/>
          <w:sz w:val="32"/>
          <w:szCs w:val="32"/>
        </w:rPr>
        <w:t>6</w:t>
      </w:r>
      <w:r>
        <w:rPr>
          <w:rFonts w:hint="eastAsia" w:ascii="仿宋" w:hAnsi="仿宋" w:eastAsia="仿宋"/>
          <w:color w:val="000000"/>
          <w:sz w:val="32"/>
          <w:szCs w:val="32"/>
          <w:lang w:val="en-US" w:eastAsia="zh-CN"/>
        </w:rPr>
        <w:t>23</w:t>
      </w:r>
      <w:r>
        <w:rPr>
          <w:rFonts w:ascii="仿宋" w:hAnsi="仿宋" w:eastAsia="仿宋"/>
          <w:color w:val="000000"/>
          <w:sz w:val="32"/>
          <w:szCs w:val="32"/>
        </w:rPr>
        <w:t>.</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增加了</w:t>
      </w:r>
      <w:r>
        <w:rPr>
          <w:rFonts w:hint="eastAsia" w:ascii="仿宋" w:hAnsi="仿宋" w:eastAsia="仿宋"/>
          <w:color w:val="000000"/>
          <w:sz w:val="32"/>
          <w:szCs w:val="32"/>
          <w:lang w:val="en-US" w:eastAsia="zh-CN"/>
        </w:rPr>
        <w:t>7.32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增长了</w:t>
      </w:r>
      <w:r>
        <w:rPr>
          <w:rFonts w:hint="eastAsia" w:ascii="仿宋" w:hAnsi="仿宋" w:eastAsia="仿宋"/>
          <w:color w:val="000000"/>
          <w:sz w:val="32"/>
          <w:szCs w:val="32"/>
          <w:lang w:val="en-US" w:eastAsia="zh-CN"/>
        </w:rPr>
        <w:t>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脱贫攻坚，控辍保学，增加了教育投入</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ascii="仿宋" w:hAnsi="仿宋" w:eastAsia="仿宋"/>
          <w:color w:val="000000" w:themeColor="text1"/>
          <w:sz w:val="32"/>
          <w:szCs w:val="32"/>
          <w14:textFill>
            <w14:solidFill>
              <w14:schemeClr w14:val="tx1"/>
            </w14:solidFill>
          </w14:textFill>
        </w:rPr>
        <w:drawing>
          <wp:anchor distT="0" distB="0" distL="114300" distR="114300" simplePos="0" relativeHeight="251659264" behindDoc="1" locked="0" layoutInCell="1" allowOverlap="1">
            <wp:simplePos x="0" y="0"/>
            <wp:positionH relativeFrom="margin">
              <wp:align>left</wp:align>
            </wp:positionH>
            <wp:positionV relativeFrom="paragraph">
              <wp:posOffset>429260</wp:posOffset>
            </wp:positionV>
            <wp:extent cx="4855845" cy="1779905"/>
            <wp:effectExtent l="0" t="0" r="1905" b="1079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b/>
          <w:bCs/>
          <w:color w:val="000000" w:themeColor="text1"/>
          <w:sz w:val="32"/>
          <w:szCs w:val="32"/>
          <w14:textFill>
            <w14:solidFill>
              <w14:schemeClr w14:val="tx1"/>
            </w14:solidFill>
          </w14:textFill>
        </w:rPr>
        <w:t>图五</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一般公共预算财政拨款支出决算变动情况</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0288" behindDoc="0" locked="0" layoutInCell="1" allowOverlap="1">
            <wp:simplePos x="0" y="0"/>
            <wp:positionH relativeFrom="margin">
              <wp:align>left</wp:align>
            </wp:positionH>
            <wp:positionV relativeFrom="paragraph">
              <wp:posOffset>1932940</wp:posOffset>
            </wp:positionV>
            <wp:extent cx="5846445" cy="1911985"/>
            <wp:effectExtent l="0" t="0" r="1905" b="1206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623.11</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515.56</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8</w:t>
      </w:r>
      <w:r>
        <w:rPr>
          <w:rFonts w:hint="eastAsia" w:ascii="仿宋" w:hAnsi="仿宋" w:eastAsia="仿宋"/>
          <w:color w:val="000000" w:themeColor="text1"/>
          <w:sz w:val="32"/>
          <w:szCs w:val="32"/>
          <w:lang w:val="en-US" w:eastAsia="zh-CN"/>
          <w14:textFill>
            <w14:solidFill>
              <w14:schemeClr w14:val="tx1"/>
            </w14:solidFill>
          </w14:textFill>
        </w:rPr>
        <w:t>2.7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51.53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文化旅游体育与传媒支出</w:t>
      </w:r>
      <w:r>
        <w:rPr>
          <w:rFonts w:hint="eastAsia" w:ascii="仿宋" w:hAnsi="仿宋" w:eastAsia="仿宋"/>
          <w:color w:val="000000" w:themeColor="text1"/>
          <w:sz w:val="32"/>
          <w:szCs w:val="32"/>
          <w:lang w:val="en-US" w:eastAsia="zh-CN"/>
          <w14:textFill>
            <w14:solidFill>
              <w14:schemeClr w14:val="tx1"/>
            </w14:solidFill>
          </w14:textFill>
        </w:rPr>
        <w:t>2万元,占0.3%,</w:t>
      </w:r>
      <w:r>
        <w:rPr>
          <w:rFonts w:hint="eastAsia" w:ascii="仿宋" w:hAnsi="仿宋" w:eastAsia="仿宋"/>
          <w:b/>
          <w:color w:val="000000" w:themeColor="text1"/>
          <w:sz w:val="32"/>
          <w:szCs w:val="32"/>
          <w:lang w:eastAsia="zh-CN"/>
          <w14:textFill>
            <w14:solidFill>
              <w14:schemeClr w14:val="tx1"/>
            </w14:solidFill>
          </w14:textFill>
        </w:rPr>
        <w:t>卫生健康支出</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8.98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3.05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住房保障支出</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lang w:val="en-US" w:eastAsia="zh-CN"/>
          <w14:textFill>
            <w14:solidFill>
              <w14:schemeClr w14:val="tx1"/>
            </w14:solidFill>
          </w14:textFill>
        </w:rPr>
        <w:t>5.04</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lang w:val="en-US" w:eastAsia="zh-CN"/>
          <w14:textFill>
            <w14:solidFill>
              <w14:schemeClr w14:val="tx1"/>
            </w14:solidFill>
          </w14:textFill>
        </w:rPr>
        <w:t>65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sz w:val="32"/>
          <w:szCs w:val="32"/>
        </w:rPr>
        <w:t xml:space="preserve"> </w:t>
      </w:r>
    </w:p>
    <w:p>
      <w:pPr>
        <w:spacing w:line="600" w:lineRule="exact"/>
        <w:ind w:firstLine="64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ascii="仿宋" w:hAnsi="仿宋" w:eastAsia="仿宋"/>
          <w:color w:val="000000"/>
          <w:sz w:val="32"/>
          <w:szCs w:val="32"/>
          <w:lang w:val="en-US" w:eastAsia="zh-CN"/>
        </w:rPr>
        <w:t>515.56</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教育（类）普通教育（款）学前</w:t>
      </w:r>
      <w:r>
        <w:rPr>
          <w:rStyle w:val="14"/>
          <w:rFonts w:ascii="仿宋" w:hAnsi="仿宋" w:eastAsia="仿宋"/>
          <w:bCs/>
          <w:color w:val="000000"/>
          <w:sz w:val="32"/>
          <w:szCs w:val="32"/>
        </w:rPr>
        <w:t>教育</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5.11</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教育（类）普通教育（款）小学</w:t>
      </w:r>
      <w:r>
        <w:rPr>
          <w:rStyle w:val="14"/>
          <w:rFonts w:ascii="仿宋" w:hAnsi="仿宋" w:eastAsia="仿宋"/>
          <w:bCs/>
          <w:color w:val="000000"/>
          <w:sz w:val="32"/>
          <w:szCs w:val="32"/>
        </w:rPr>
        <w:t>教育</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510.45</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文化旅游体育与传媒支出（类）其他文化体育与传媒支出（款）  宣传文化发展专项支出（项）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2"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社会保障和就业支出（类）行政事业单位离退休（款）  机关事业单位基本养老保险缴费支出★（项）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51.53</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2"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卫生健康支出（类）行政事业单位医疗★（款）  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18.98</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0" w:firstLineChars="200"/>
        <w:rPr>
          <w:rStyle w:val="14"/>
          <w:rFonts w:ascii="仿宋" w:hAnsi="仿宋" w:eastAsia="仿宋"/>
          <w:b w:val="0"/>
          <w:bCs/>
          <w:color w:val="000000"/>
          <w:sz w:val="32"/>
          <w:szCs w:val="32"/>
        </w:rPr>
      </w:pPr>
      <w:r>
        <w:rPr>
          <w:rStyle w:val="14"/>
          <w:rFonts w:ascii="仿宋" w:hAnsi="仿宋" w:eastAsia="仿宋"/>
          <w:b w:val="0"/>
          <w:bCs/>
          <w:color w:val="000000"/>
          <w:sz w:val="32"/>
          <w:szCs w:val="32"/>
        </w:rPr>
        <w:t>5</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住房保障支出（类）住房改革支出（款）  住房公积金（项）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lang w:val="en-US" w:eastAsia="zh-CN"/>
          <w14:textFill>
            <w14:solidFill>
              <w14:schemeClr w14:val="tx1"/>
            </w14:solidFill>
          </w14:textFill>
        </w:rPr>
        <w:t>5.04</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535.82</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4</w:t>
      </w:r>
      <w:r>
        <w:rPr>
          <w:rFonts w:hint="eastAsia" w:ascii="仿宋" w:hAnsi="仿宋" w:eastAsia="仿宋"/>
          <w:color w:val="000000"/>
          <w:sz w:val="32"/>
          <w:szCs w:val="32"/>
          <w:lang w:val="en-US" w:eastAsia="zh-CN"/>
        </w:rPr>
        <w:t>75.61</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54.59</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其他交通费、税金及附加费用、其他商品和服务支出、办公设备购置、专用设备购置、信息网络及软件购置更新、其他资本性支出等。</w:t>
      </w:r>
    </w:p>
    <w:p>
      <w:pPr>
        <w:spacing w:line="600" w:lineRule="exact"/>
        <w:ind w:firstLine="645"/>
        <w:rPr>
          <w:rFonts w:hint="default" w:ascii="仿宋" w:hAnsi="仿宋" w:eastAsia="仿宋"/>
          <w:color w:val="000000"/>
          <w:sz w:val="32"/>
          <w:szCs w:val="32"/>
          <w:lang w:val="en-US" w:eastAsia="zh-CN"/>
        </w:rPr>
      </w:pPr>
      <w:r>
        <w:rPr>
          <w:rFonts w:hint="eastAsia" w:ascii="仿宋" w:hAnsi="仿宋" w:eastAsia="仿宋"/>
          <w:color w:val="000000"/>
          <w:sz w:val="32"/>
          <w:szCs w:val="32"/>
          <w:lang w:eastAsia="zh-CN"/>
        </w:rPr>
        <w:t>对个人和家庭的补助</w:t>
      </w:r>
      <w:r>
        <w:rPr>
          <w:rFonts w:hint="eastAsia" w:ascii="仿宋" w:hAnsi="仿宋" w:eastAsia="仿宋"/>
          <w:color w:val="000000"/>
          <w:sz w:val="32"/>
          <w:szCs w:val="32"/>
          <w:lang w:val="en-US" w:eastAsia="zh-CN"/>
        </w:rPr>
        <w:t>5.62</w:t>
      </w:r>
      <w:r>
        <w:rPr>
          <w:rFonts w:hint="eastAsia" w:ascii="仿宋" w:hAnsi="仿宋" w:eastAsia="仿宋"/>
          <w:color w:val="000000"/>
          <w:sz w:val="32"/>
          <w:szCs w:val="32"/>
          <w:lang w:eastAsia="zh-CN"/>
        </w:rPr>
        <w:t>万元，</w:t>
      </w:r>
      <w:r>
        <w:rPr>
          <w:rFonts w:hint="eastAsia" w:ascii="仿宋" w:hAnsi="仿宋" w:eastAsia="仿宋"/>
          <w:color w:val="000000"/>
          <w:sz w:val="32"/>
          <w:szCs w:val="32"/>
          <w:lang w:val="en-US" w:eastAsia="zh-CN"/>
        </w:rPr>
        <w:t>主要包括抚恤金、遗属生活补助等。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年“三公”经费财政拨款支出决算中，公务接待费支出决算</w:t>
      </w:r>
      <w:r>
        <w:rPr>
          <w:rFonts w:ascii="仿宋" w:hAnsi="仿宋" w:eastAsia="仿宋"/>
          <w:color w:val="000000"/>
          <w:sz w:val="32"/>
          <w:szCs w:val="32"/>
        </w:rPr>
        <w:t>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jc w:val="center"/>
        <w:rPr>
          <w:rFonts w:ascii="仿宋" w:hAnsi="仿宋" w:eastAsia="仿宋"/>
          <w:b/>
          <w:bCs/>
          <w:color w:val="000000"/>
          <w:sz w:val="32"/>
          <w:szCs w:val="32"/>
        </w:rPr>
      </w:pPr>
      <w:r>
        <w:rPr>
          <w:rFonts w:hint="eastAsia" w:ascii="仿宋" w:hAnsi="仿宋" w:eastAsia="仿宋"/>
          <w:b/>
          <w:bCs/>
          <w:color w:val="000000"/>
          <w:sz w:val="32"/>
          <w:szCs w:val="32"/>
        </w:rPr>
        <w:t>图</w:t>
      </w:r>
      <w:r>
        <w:rPr>
          <w:rFonts w:ascii="仿宋" w:hAnsi="仿宋" w:eastAsia="仿宋"/>
          <w:b/>
          <w:bCs/>
          <w:color w:val="000000"/>
          <w:sz w:val="32"/>
          <w:szCs w:val="32"/>
        </w:rPr>
        <w:t>七：</w:t>
      </w:r>
      <w:r>
        <w:rPr>
          <w:rFonts w:hint="eastAsia" w:ascii="仿宋" w:hAnsi="仿宋" w:eastAsia="仿宋"/>
          <w:b/>
          <w:bCs/>
          <w:color w:val="000000"/>
          <w:sz w:val="32"/>
          <w:szCs w:val="32"/>
        </w:rPr>
        <w:t>“三公”经费财政拨款支出结构</w:t>
      </w:r>
    </w:p>
    <w:p>
      <w:pPr>
        <w:spacing w:line="600" w:lineRule="exact"/>
        <w:ind w:firstLine="640"/>
        <w:rPr>
          <w:rFonts w:ascii="宋体" w:hAnsi="宋体" w:cs="宋体"/>
          <w:kern w:val="0"/>
          <w:sz w:val="24"/>
        </w:rPr>
      </w:pPr>
      <w:r>
        <w:rPr>
          <w:rFonts w:ascii="宋体" w:hAnsi="宋体" w:cs="宋体"/>
          <w:kern w:val="0"/>
          <w:sz w:val="24"/>
        </w:rPr>
        <w:drawing>
          <wp:anchor distT="0" distB="0" distL="114300" distR="114300" simplePos="0" relativeHeight="251666432" behindDoc="0" locked="0" layoutInCell="1" allowOverlap="1">
            <wp:simplePos x="0" y="0"/>
            <wp:positionH relativeFrom="margin">
              <wp:posOffset>283845</wp:posOffset>
            </wp:positionH>
            <wp:positionV relativeFrom="paragraph">
              <wp:posOffset>139700</wp:posOffset>
            </wp:positionV>
            <wp:extent cx="4620895" cy="1350645"/>
            <wp:effectExtent l="0" t="0" r="8255" b="1905"/>
            <wp:wrapSquare wrapText="bothSides"/>
            <wp:docPr id="9" name="图片 9"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true"/>
                    </pic:cNvPicPr>
                  </pic:nvPicPr>
                  <pic:blipFill>
                    <a:blip r:embed="rId12">
                      <a:extLst>
                        <a:ext uri="{28A0092B-C50C-407E-A947-70E740481C1C}">
                          <a14:useLocalDpi xmlns:a14="http://schemas.microsoft.com/office/drawing/2010/main" val="false"/>
                        </a:ext>
                      </a:extLst>
                    </a:blip>
                    <a:stretch>
                      <a:fillRect/>
                    </a:stretch>
                  </pic:blipFill>
                  <pic:spPr>
                    <a:xfrm>
                      <a:off x="0" y="0"/>
                      <a:ext cx="4620895" cy="1350645"/>
                    </a:xfrm>
                    <a:prstGeom prst="rect">
                      <a:avLst/>
                    </a:prstGeom>
                    <a:noFill/>
                    <a:ln w="9525">
                      <a:noFill/>
                    </a:ln>
                  </pic:spPr>
                </pic:pic>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公务接待费支出</w:t>
      </w:r>
      <w:r>
        <w:rPr>
          <w:rFonts w:ascii="仿宋_GB2312" w:eastAsia="仿宋_GB2312"/>
          <w:color w:val="000000"/>
          <w:sz w:val="32"/>
          <w:szCs w:val="32"/>
        </w:rPr>
        <w:t>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年减少</w:t>
      </w:r>
      <w:r>
        <w:rPr>
          <w:rFonts w:ascii="仿宋_GB2312" w:eastAsia="仿宋_GB2312"/>
          <w:color w:val="000000"/>
          <w:sz w:val="32"/>
          <w:szCs w:val="32"/>
        </w:rPr>
        <w:t>0.</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8.7</w:t>
      </w:r>
      <w:r>
        <w:rPr>
          <w:rFonts w:ascii="仿宋_GB2312" w:eastAsia="仿宋_GB2312"/>
          <w:color w:val="000000"/>
          <w:sz w:val="32"/>
          <w:szCs w:val="32"/>
        </w:rPr>
        <w:t>%</w:t>
      </w:r>
      <w:r>
        <w:rPr>
          <w:rFonts w:hint="eastAsia" w:ascii="仿宋_GB2312" w:eastAsia="仿宋_GB2312"/>
          <w:color w:val="000000"/>
          <w:sz w:val="32"/>
          <w:szCs w:val="32"/>
        </w:rPr>
        <w:t>。主要原因是学校严格</w:t>
      </w:r>
      <w:r>
        <w:rPr>
          <w:rFonts w:ascii="仿宋_GB2312" w:eastAsia="仿宋_GB2312"/>
          <w:color w:val="000000"/>
          <w:sz w:val="32"/>
          <w:szCs w:val="32"/>
        </w:rPr>
        <w:t>执行上级文</w:t>
      </w:r>
      <w:r>
        <w:rPr>
          <w:rFonts w:hint="eastAsia" w:ascii="仿宋_GB2312" w:eastAsia="仿宋_GB2312"/>
          <w:color w:val="000000"/>
          <w:sz w:val="32"/>
          <w:szCs w:val="32"/>
        </w:rPr>
        <w:t>件</w:t>
      </w:r>
      <w:r>
        <w:rPr>
          <w:rFonts w:ascii="仿宋_GB2312" w:eastAsia="仿宋_GB2312"/>
          <w:color w:val="000000"/>
          <w:sz w:val="32"/>
          <w:szCs w:val="32"/>
        </w:rPr>
        <w:t>精神，厉行节约</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主要用于执行公务、开展业务活动开支的用餐费等。国内公务接待</w:t>
      </w:r>
      <w:r>
        <w:rPr>
          <w:rFonts w:hint="eastAsia" w:ascii="仿宋_GB2312" w:eastAsia="仿宋_GB2312"/>
          <w:color w:val="000000"/>
          <w:sz w:val="32"/>
          <w:szCs w:val="32"/>
          <w:lang w:val="en-US" w:eastAsia="zh-CN"/>
        </w:rPr>
        <w:t>60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399</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2</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万元，具体内容包括：</w:t>
      </w:r>
      <w:bookmarkStart w:id="46" w:name="_Toc15396610"/>
      <w:bookmarkStart w:id="47" w:name="_Toc15377218"/>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年学校安全检查、食品卫生检查指导、</w:t>
      </w:r>
      <w:r>
        <w:rPr>
          <w:rFonts w:hint="eastAsia" w:ascii="仿宋_GB2312" w:eastAsia="仿宋_GB2312"/>
          <w:color w:val="000000"/>
          <w:sz w:val="32"/>
          <w:szCs w:val="32"/>
          <w:lang w:eastAsia="zh-CN"/>
        </w:rPr>
        <w:t>脱贫攻坚、控辍保学</w:t>
      </w:r>
      <w:r>
        <w:rPr>
          <w:rFonts w:hint="eastAsia" w:ascii="仿宋_GB2312" w:eastAsia="仿宋_GB2312"/>
          <w:color w:val="000000"/>
          <w:sz w:val="32"/>
          <w:szCs w:val="32"/>
        </w:rPr>
        <w:t>指导等1.</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万元，用于接待指导我校教师业务能力培训、对学生能力检测等接待费用0.</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万元。</w:t>
      </w:r>
    </w:p>
    <w:p>
      <w:pPr>
        <w:spacing w:line="600" w:lineRule="exact"/>
        <w:ind w:firstLine="640" w:firstLineChars="200"/>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spacing w:line="580" w:lineRule="exact"/>
        <w:ind w:firstLine="320" w:firstLineChars="100"/>
        <w:rPr>
          <w:rFonts w:ascii="黑体" w:hAnsi="黑体" w:eastAsia="黑体" w:cstheme="majorBidi"/>
          <w:bCs/>
          <w:sz w:val="32"/>
          <w:szCs w:val="32"/>
        </w:rPr>
      </w:pPr>
      <w:r>
        <w:rPr>
          <w:rFonts w:hint="eastAsia" w:ascii="黑体" w:hAnsi="黑体" w:eastAsia="黑体" w:cstheme="majorBidi"/>
          <w:bCs/>
          <w:sz w:val="32"/>
          <w:szCs w:val="32"/>
        </w:rPr>
        <w:t>（一）</w:t>
      </w: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eastAsia="仿宋_GB2312"/>
          <w:color w:val="000000"/>
          <w:sz w:val="32"/>
          <w:szCs w:val="32"/>
        </w:rPr>
        <w:t>一般公共预算</w:t>
      </w:r>
      <w:r>
        <w:rPr>
          <w:rFonts w:hint="eastAsia" w:ascii="仿宋_GB2312" w:hAnsi="仿宋_GB2312" w:eastAsia="仿宋_GB2312" w:cs="仿宋_GB2312"/>
          <w:sz w:val="32"/>
          <w:szCs w:val="32"/>
        </w:rPr>
        <w:t>项目开展了预算事前绩效评估，对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年部门整体支出开展绩效自评，从评价情况来看各部门工作井然有序,教学工作成绩显著。</w:t>
      </w:r>
    </w:p>
    <w:p>
      <w:pPr>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下一步改进措施：加强对项目管理，提高项目绩效的社会效益、生态效益及其使用效率。</w:t>
      </w:r>
    </w:p>
    <w:p>
      <w:pPr>
        <w:pStyle w:val="23"/>
        <w:numPr>
          <w:ilvl w:val="0"/>
          <w:numId w:val="4"/>
        </w:numPr>
        <w:spacing w:line="580" w:lineRule="exact"/>
        <w:ind w:firstLineChars="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年度部门决算中反映、“学前教育幼儿学生建</w:t>
      </w:r>
      <w:r>
        <w:rPr>
          <w:rFonts w:ascii="仿宋_GB2312" w:hAnsi="仿宋_GB2312" w:eastAsia="仿宋_GB2312" w:cs="仿宋_GB2312"/>
          <w:sz w:val="32"/>
          <w:szCs w:val="32"/>
        </w:rPr>
        <w:t>档立卡</w:t>
      </w:r>
      <w:r>
        <w:rPr>
          <w:rFonts w:hint="eastAsia" w:ascii="仿宋_GB2312" w:hAnsi="仿宋_GB2312" w:eastAsia="仿宋_GB2312" w:cs="仿宋_GB2312"/>
          <w:sz w:val="32"/>
          <w:szCs w:val="32"/>
        </w:rPr>
        <w:t>保教费”、“义教学生营养改善计划金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“义教贫困寄宿生生活补助”、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w:t>
      </w:r>
      <w:r>
        <w:rPr>
          <w:rFonts w:ascii="仿宋_GB2312" w:hAnsi="仿宋_GB2312" w:eastAsia="仿宋_GB2312" w:cs="仿宋_GB2312"/>
          <w:sz w:val="32"/>
          <w:szCs w:val="32"/>
        </w:rPr>
        <w:t>心校</w:t>
      </w:r>
      <w:r>
        <w:rPr>
          <w:rFonts w:hint="eastAsia" w:ascii="仿宋_GB2312" w:hAnsi="仿宋_GB2312" w:eastAsia="仿宋_GB2312" w:cs="仿宋_GB2312"/>
          <w:sz w:val="32"/>
          <w:szCs w:val="32"/>
          <w:lang w:eastAsia="zh-CN"/>
        </w:rPr>
        <w:t>综合奖补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、“乡</w:t>
      </w:r>
      <w:r>
        <w:rPr>
          <w:rFonts w:ascii="仿宋_GB2312" w:hAnsi="仿宋_GB2312" w:eastAsia="仿宋_GB2312" w:cs="仿宋_GB2312"/>
          <w:sz w:val="32"/>
          <w:szCs w:val="32"/>
        </w:rPr>
        <w:t>村少年宫”</w:t>
      </w:r>
      <w:r>
        <w:rPr>
          <w:rFonts w:hint="eastAsia" w:ascii="仿宋_GB2312" w:hAnsi="仿宋_GB2312" w:eastAsia="仿宋_GB2312" w:cs="仿宋_GB2312"/>
          <w:sz w:val="32"/>
          <w:szCs w:val="32"/>
          <w:lang w:eastAsia="zh-CN"/>
        </w:rPr>
        <w:t>、“退休一次性补贴”、“县级公用经费”、“退休生活补助”</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学前教育保</w:t>
      </w:r>
      <w:r>
        <w:rPr>
          <w:rFonts w:ascii="仿宋_GB2312" w:hAnsi="仿宋_GB2312" w:eastAsia="仿宋_GB2312" w:cs="仿宋_GB2312"/>
          <w:sz w:val="32"/>
          <w:szCs w:val="32"/>
        </w:rPr>
        <w:t>教费及</w:t>
      </w:r>
      <w:r>
        <w:rPr>
          <w:rFonts w:hint="eastAsia" w:ascii="仿宋_GB2312" w:hAnsi="仿宋_GB2312" w:eastAsia="仿宋_GB2312" w:cs="仿宋_GB2312"/>
          <w:sz w:val="32"/>
          <w:szCs w:val="32"/>
        </w:rPr>
        <w:t>建档立卡贫困家庭免保教费项目绩效目标完成情况综述。项目全年预算数</w:t>
      </w:r>
      <w:r>
        <w:rPr>
          <w:rFonts w:hint="eastAsia" w:ascii="仿宋_GB2312" w:hAnsi="仿宋_GB2312" w:eastAsia="仿宋_GB2312" w:cs="仿宋_GB2312"/>
          <w:sz w:val="32"/>
          <w:szCs w:val="32"/>
          <w:lang w:val="en-US" w:eastAsia="zh-CN"/>
        </w:rPr>
        <w:t>4.78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4.78</w:t>
      </w:r>
      <w:r>
        <w:rPr>
          <w:rFonts w:hint="eastAsia" w:ascii="仿宋_GB2312" w:hAnsi="仿宋_GB2312" w:eastAsia="仿宋_GB2312" w:cs="仿宋_GB2312"/>
          <w:sz w:val="32"/>
          <w:szCs w:val="32"/>
        </w:rPr>
        <w:t>万元，完成预算的100%。</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义教学生营养改善计划金项目绩效目标完成情况综述。项目全年预算数</w:t>
      </w:r>
      <w:r>
        <w:rPr>
          <w:rFonts w:ascii="仿宋_GB2312" w:hAnsi="仿宋_GB2312" w:eastAsia="仿宋_GB2312" w:cs="仿宋_GB2312"/>
          <w:sz w:val="32"/>
          <w:szCs w:val="32"/>
        </w:rPr>
        <w:t>26.</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26.</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 义教贫困寄宿生生活补助项目绩效目标完成情况综述。项目全年预算数</w:t>
      </w:r>
      <w:r>
        <w:rPr>
          <w:rFonts w:hint="eastAsia" w:ascii="仿宋_GB2312" w:hAnsi="仿宋_GB2312" w:eastAsia="仿宋_GB2312" w:cs="仿宋_GB2312"/>
          <w:sz w:val="32"/>
          <w:szCs w:val="32"/>
          <w:lang w:val="en-US" w:eastAsia="zh-CN"/>
        </w:rPr>
        <w:t>14.52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14.52</w:t>
      </w:r>
      <w:r>
        <w:rPr>
          <w:rFonts w:hint="eastAsia" w:ascii="仿宋_GB2312" w:hAnsi="仿宋_GB2312" w:eastAsia="仿宋_GB2312" w:cs="仿宋_GB2312"/>
          <w:sz w:val="32"/>
          <w:szCs w:val="32"/>
        </w:rPr>
        <w:t>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 中</w:t>
      </w:r>
      <w:r>
        <w:rPr>
          <w:rFonts w:ascii="仿宋_GB2312" w:hAnsi="仿宋_GB2312" w:eastAsia="仿宋_GB2312" w:cs="仿宋_GB2312"/>
          <w:sz w:val="32"/>
          <w:szCs w:val="32"/>
        </w:rPr>
        <w:t>心校</w:t>
      </w:r>
      <w:r>
        <w:rPr>
          <w:rFonts w:hint="eastAsia" w:ascii="仿宋_GB2312" w:hAnsi="仿宋_GB2312" w:eastAsia="仿宋_GB2312" w:cs="仿宋_GB2312"/>
          <w:sz w:val="32"/>
          <w:szCs w:val="32"/>
          <w:lang w:eastAsia="zh-CN"/>
        </w:rPr>
        <w:t>综合奖补</w:t>
      </w:r>
      <w:r>
        <w:rPr>
          <w:rFonts w:hint="eastAsia" w:ascii="仿宋_GB2312" w:hAnsi="仿宋_GB2312" w:eastAsia="仿宋_GB2312" w:cs="仿宋_GB2312"/>
          <w:sz w:val="32"/>
          <w:szCs w:val="32"/>
        </w:rPr>
        <w:t>资金项目绩效目标完成情况综述。项目全年预算数10万元，执行数为10万元，完成预算的100%。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5、乡</w:t>
      </w:r>
      <w:r>
        <w:rPr>
          <w:rFonts w:ascii="仿宋_GB2312" w:hAnsi="仿宋_GB2312" w:eastAsia="仿宋_GB2312" w:cs="仿宋_GB2312"/>
          <w:sz w:val="32"/>
          <w:szCs w:val="32"/>
        </w:rPr>
        <w:t>村少年宫</w:t>
      </w:r>
      <w:r>
        <w:rPr>
          <w:rFonts w:hint="eastAsia" w:ascii="仿宋_GB2312" w:hAnsi="仿宋_GB2312" w:eastAsia="仿宋_GB2312" w:cs="仿宋_GB2312"/>
          <w:sz w:val="32"/>
          <w:szCs w:val="32"/>
        </w:rPr>
        <w:t>绩效目标完成情况综述。项目全年预算数</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退休一次性补贴</w:t>
      </w:r>
      <w:r>
        <w:rPr>
          <w:rFonts w:hint="eastAsia" w:ascii="仿宋_GB2312" w:hAnsi="仿宋_GB2312" w:eastAsia="仿宋_GB2312" w:cs="仿宋_GB2312"/>
          <w:sz w:val="32"/>
          <w:szCs w:val="32"/>
        </w:rPr>
        <w:t>项目绩效目标完成情况综述。项目全年预算数</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rPr>
        <w:t>万元，完成预算的100%。</w:t>
      </w:r>
    </w:p>
    <w:p>
      <w:pPr>
        <w:tabs>
          <w:tab w:val="left" w:pos="312"/>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县级公用经费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0.76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0.76</w:t>
      </w:r>
      <w:r>
        <w:rPr>
          <w:rFonts w:hint="eastAsia" w:ascii="仿宋_GB2312" w:hAnsi="仿宋_GB2312" w:eastAsia="仿宋_GB2312" w:cs="仿宋_GB2312"/>
          <w:sz w:val="32"/>
          <w:szCs w:val="32"/>
        </w:rPr>
        <w:t>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退休生活补助</w:t>
      </w:r>
      <w:r>
        <w:rPr>
          <w:rFonts w:hint="eastAsia" w:ascii="仿宋_GB2312" w:hAnsi="仿宋_GB2312" w:eastAsia="仿宋_GB2312" w:cs="仿宋_GB2312"/>
          <w:sz w:val="32"/>
          <w:szCs w:val="32"/>
        </w:rPr>
        <w:t>项目绩效目标完成情况综述。项目全年预算数</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8.99</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8.99</w:t>
      </w:r>
      <w:r>
        <w:rPr>
          <w:rFonts w:hint="eastAsia" w:ascii="仿宋_GB2312" w:hAnsi="仿宋_GB2312" w:eastAsia="仿宋_GB2312" w:cs="仿宋_GB2312"/>
          <w:sz w:val="32"/>
          <w:szCs w:val="32"/>
        </w:rPr>
        <w:t>万元，完成预算的100%。</w:t>
      </w:r>
    </w:p>
    <w:p>
      <w:pPr>
        <w:tabs>
          <w:tab w:val="left" w:pos="312"/>
        </w:tabs>
        <w:spacing w:line="580" w:lineRule="exact"/>
        <w:ind w:firstLine="640" w:firstLineChars="200"/>
        <w:rPr>
          <w:rFonts w:hint="eastAsia"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0" w:type="auto"/>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宣汉县华景镇</w:t>
            </w:r>
            <w:r>
              <w:rPr>
                <w:rFonts w:hint="eastAsia" w:ascii="宋体" w:hAnsi="宋体" w:cs="宋体"/>
                <w:color w:val="000000"/>
                <w:sz w:val="24"/>
                <w:lang w:eastAsia="zh-CN"/>
              </w:rPr>
              <w:t>月溪中心校</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87.29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87.29</w:t>
            </w:r>
          </w:p>
        </w:tc>
      </w:tr>
      <w:tr>
        <w:tblPrEx>
          <w:tblCellMar>
            <w:top w:w="0" w:type="dxa"/>
            <w:left w:w="0" w:type="dxa"/>
            <w:bottom w:w="0" w:type="dxa"/>
            <w:right w:w="0" w:type="dxa"/>
          </w:tblCellMar>
        </w:tblPrEx>
        <w:trPr>
          <w:trHeight w:val="276"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87.29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87.29</w:t>
            </w:r>
          </w:p>
        </w:tc>
      </w:tr>
      <w:tr>
        <w:tblPrEx>
          <w:tblCellMar>
            <w:top w:w="0" w:type="dxa"/>
            <w:left w:w="0" w:type="dxa"/>
            <w:bottom w:w="0" w:type="dxa"/>
            <w:right w:w="0" w:type="dxa"/>
          </w:tblCellMar>
        </w:tblPrEx>
        <w:trPr>
          <w:trHeight w:val="1511"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spacing w:line="600" w:lineRule="atLeast"/>
        <w:ind w:firstLine="640" w:firstLineChars="200"/>
        <w:rPr>
          <w:rFonts w:ascii="仿宋_GB2312" w:eastAsia="仿宋_GB2312"/>
          <w:color w:val="000000"/>
          <w:sz w:val="32"/>
          <w:szCs w:val="32"/>
        </w:rPr>
      </w:pPr>
    </w:p>
    <w:p>
      <w:pPr>
        <w:spacing w:line="580" w:lineRule="exact"/>
        <w:rPr>
          <w:rFonts w:ascii="Calibri" w:hAnsi="Calibri"/>
        </w:rPr>
      </w:pP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p>
    <w:p>
      <w:pPr>
        <w:spacing w:line="580" w:lineRule="exact"/>
        <w:rPr>
          <w:rFonts w:ascii="仿宋_GB2312" w:hAnsi="仿宋_GB2312" w:eastAsia="仿宋_GB2312" w:cs="仿宋_GB2312"/>
          <w:sz w:val="32"/>
          <w:szCs w:val="32"/>
        </w:rPr>
      </w:pPr>
    </w:p>
    <w:p>
      <w:pPr>
        <w:pStyle w:val="23"/>
        <w:numPr>
          <w:ilvl w:val="0"/>
          <w:numId w:val="4"/>
        </w:numPr>
        <w:spacing w:line="580" w:lineRule="exact"/>
        <w:ind w:firstLineChars="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pStyle w:val="23"/>
        <w:spacing w:line="580" w:lineRule="exact"/>
        <w:ind w:left="420" w:firstLine="64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年部门整体支出绩效评价情况开展自评，《宣汉县华景镇月</w:t>
      </w:r>
      <w:r>
        <w:rPr>
          <w:rFonts w:ascii="仿宋_GB2312" w:hAnsi="仿宋_GB2312" w:eastAsia="仿宋_GB2312" w:cs="仿宋_GB2312"/>
          <w:sz w:val="32"/>
          <w:szCs w:val="32"/>
        </w:rPr>
        <w:t>溪中心校</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年部门整体支出绩效评价报告》见附件1。</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日，无公务用车，无</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万元以上通用设备，无单价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4"/>
          <w:rFonts w:ascii="黑体" w:hAnsi="黑体" w:eastAsia="黑体"/>
          <w:b w:val="0"/>
        </w:rPr>
      </w:pPr>
      <w:bookmarkStart w:id="52" w:name="_Toc15377225"/>
      <w:bookmarkStart w:id="53"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教育支出（类）…（款）…（项）：指……。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文化旅游体育与传媒支出（类）…（款）…（项）：指……。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卫生健康支出（类）…（款）…（项）：指……。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住房保障</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Fonts w:hint="eastAsia" w:ascii="黑体" w:hAnsi="黑体" w:eastAsia="黑体"/>
          <w:color w:val="000000"/>
          <w:sz w:val="44"/>
          <w:szCs w:val="44"/>
        </w:rPr>
      </w:pPr>
      <w:bookmarkStart w:id="54" w:name="_Toc15396614"/>
      <w:bookmarkStart w:id="55"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4"/>
    </w:p>
    <w:p>
      <w:pPr>
        <w:spacing w:line="600" w:lineRule="exact"/>
        <w:jc w:val="center"/>
        <w:outlineLvl w:val="0"/>
        <w:rPr>
          <w:rStyle w:val="24"/>
        </w:rPr>
      </w:pPr>
    </w:p>
    <w:p>
      <w:pPr>
        <w:pStyle w:val="3"/>
        <w:rPr>
          <w:rStyle w:val="24"/>
          <w:rFonts w:ascii="仿宋" w:hAnsi="仿宋" w:eastAsia="仿宋"/>
          <w:b w:val="0"/>
          <w:bCs w:val="0"/>
          <w:sz w:val="32"/>
          <w:szCs w:val="32"/>
        </w:rPr>
      </w:pPr>
      <w:bookmarkStart w:id="56" w:name="_Toc15396615"/>
      <w:r>
        <w:rPr>
          <w:rStyle w:val="24"/>
          <w:rFonts w:hint="eastAsia" w:ascii="仿宋" w:hAnsi="仿宋" w:eastAsia="仿宋"/>
          <w:b w:val="0"/>
          <w:bCs w:val="0"/>
          <w:sz w:val="32"/>
          <w:szCs w:val="32"/>
        </w:rPr>
        <w:t>附件1</w:t>
      </w:r>
      <w:bookmarkEnd w:id="56"/>
    </w:p>
    <w:p>
      <w:pPr>
        <w:spacing w:line="600" w:lineRule="exact"/>
        <w:jc w:val="center"/>
        <w:outlineLvl w:val="0"/>
        <w:rPr>
          <w:rFonts w:ascii="黑体" w:hAnsi="黑体" w:eastAsia="黑体" w:cs="方正小标宋简体"/>
          <w:sz w:val="30"/>
          <w:szCs w:val="30"/>
        </w:rPr>
      </w:pPr>
      <w:r>
        <w:rPr>
          <w:rFonts w:hint="eastAsia" w:ascii="黑体" w:hAnsi="黑体" w:eastAsia="黑体" w:cs="方正小标宋简体"/>
          <w:sz w:val="30"/>
          <w:szCs w:val="30"/>
        </w:rPr>
        <w:t>宣汉县华景镇月溪</w:t>
      </w:r>
      <w:r>
        <w:rPr>
          <w:rFonts w:ascii="黑体" w:hAnsi="黑体" w:eastAsia="黑体" w:cs="方正小标宋简体"/>
          <w:sz w:val="30"/>
          <w:szCs w:val="30"/>
        </w:rPr>
        <w:t>中心校</w:t>
      </w:r>
      <w:r>
        <w:rPr>
          <w:rFonts w:hint="eastAsia" w:ascii="黑体" w:hAnsi="黑体" w:eastAsia="黑体" w:cs="方正小标宋简体"/>
          <w:sz w:val="30"/>
          <w:szCs w:val="30"/>
        </w:rPr>
        <w:t>201</w:t>
      </w:r>
      <w:r>
        <w:rPr>
          <w:rFonts w:hint="eastAsia" w:ascii="黑体" w:hAnsi="黑体" w:eastAsia="黑体" w:cs="方正小标宋简体"/>
          <w:sz w:val="30"/>
          <w:szCs w:val="30"/>
          <w:lang w:val="en-US" w:eastAsia="zh-CN"/>
        </w:rPr>
        <w:t>9</w:t>
      </w:r>
      <w:r>
        <w:rPr>
          <w:rFonts w:hint="eastAsia" w:ascii="黑体" w:hAnsi="黑体" w:eastAsia="黑体" w:cs="方正小标宋简体"/>
          <w:sz w:val="30"/>
          <w:szCs w:val="30"/>
        </w:rPr>
        <w:t>年部门整体支出绩效评价报告</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宣汉县华景镇月</w:t>
      </w:r>
      <w:r>
        <w:rPr>
          <w:rFonts w:ascii="仿宋_GB2312" w:hAnsi="Calibri" w:eastAsia="仿宋_GB2312" w:cs="仿宋"/>
          <w:color w:val="000000"/>
          <w:kern w:val="0"/>
          <w:sz w:val="32"/>
          <w:szCs w:val="32"/>
        </w:rPr>
        <w:t>溪中心校</w:t>
      </w:r>
      <w:r>
        <w:rPr>
          <w:rFonts w:hint="eastAsia" w:ascii="仿宋_GB2312" w:hAnsi="Calibri" w:eastAsia="仿宋_GB2312" w:cs="仿宋"/>
          <w:color w:val="000000"/>
          <w:kern w:val="0"/>
          <w:sz w:val="32"/>
          <w:szCs w:val="32"/>
        </w:rPr>
        <w:t>是一所九年</w:t>
      </w:r>
      <w:r>
        <w:rPr>
          <w:rFonts w:ascii="仿宋_GB2312" w:hAnsi="Calibri" w:eastAsia="仿宋_GB2312" w:cs="仿宋"/>
          <w:color w:val="000000"/>
          <w:kern w:val="0"/>
          <w:sz w:val="32"/>
          <w:szCs w:val="32"/>
        </w:rPr>
        <w:t>一贯制学校</w:t>
      </w:r>
      <w:r>
        <w:rPr>
          <w:rFonts w:hint="eastAsia" w:ascii="仿宋_GB2312" w:hAnsi="Calibri" w:eastAsia="仿宋_GB2312" w:cs="仿宋"/>
          <w:color w:val="000000"/>
          <w:kern w:val="0"/>
          <w:sz w:val="32"/>
          <w:szCs w:val="32"/>
        </w:rPr>
        <w:t>,主管部门为宣汉县教育科技局。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napToGrid w:val="0"/>
        <w:spacing w:line="52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宣汉县华景镇月</w:t>
      </w:r>
      <w:r>
        <w:rPr>
          <w:rFonts w:ascii="仿宋_GB2312" w:hAnsi="Calibri" w:eastAsia="仿宋_GB2312" w:cs="仿宋"/>
          <w:color w:val="000000"/>
          <w:kern w:val="0"/>
          <w:sz w:val="32"/>
          <w:szCs w:val="32"/>
        </w:rPr>
        <w:t>溪中心校</w:t>
      </w:r>
      <w:r>
        <w:rPr>
          <w:rFonts w:hint="eastAsia" w:ascii="仿宋_GB2312" w:hAnsi="Calibri" w:eastAsia="仿宋_GB2312" w:cs="仿宋"/>
          <w:color w:val="000000"/>
          <w:kern w:val="0"/>
          <w:sz w:val="32"/>
          <w:szCs w:val="32"/>
        </w:rPr>
        <w:t>的基本职能和主要工作是：</w:t>
      </w:r>
      <w:r>
        <w:rPr>
          <w:rFonts w:hint="eastAsia" w:ascii="仿宋_GB2312" w:eastAsia="仿宋_GB2312"/>
          <w:color w:val="000000"/>
          <w:sz w:val="32"/>
          <w:szCs w:val="32"/>
        </w:rPr>
        <w:t>学校高举科学发展观大旗，以“办人民满意教育”为宗旨，以“让每一个孩子健康成长，快乐学习”为办学理念，开拓创新，积极探索新形式下农村教育教学工作的新途径和新方法。坚持德育为先，育人为本，加强学生良好行为习惯的养成教育，突出教学工作的中心位置，建立高效、和谐、动态、快乐课堂，提高办学效益。让安全工作为学校保驾护航，营造氛围，落实“一岗双责制度”，确保师生平安，致力校园文化建设，优化育人环境，陶冶情操。</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napToGrid w:val="0"/>
        <w:spacing w:line="520" w:lineRule="exact"/>
        <w:ind w:firstLine="640" w:firstLineChars="200"/>
        <w:rPr>
          <w:rFonts w:ascii="仿宋" w:hAnsi="仿宋" w:eastAsia="仿宋" w:cs="仿宋_GB2312"/>
          <w:sz w:val="32"/>
          <w:szCs w:val="32"/>
        </w:rPr>
      </w:pPr>
      <w:r>
        <w:rPr>
          <w:rFonts w:hint="eastAsia" w:ascii="仿宋_GB2312" w:eastAsia="仿宋_GB2312"/>
          <w:color w:val="000000"/>
          <w:sz w:val="32"/>
          <w:szCs w:val="32"/>
        </w:rPr>
        <w:t>宣汉县华景镇月溪中心校是所集小学教育、初中教育为一体的九年一贯制义务教育学校。辖区内一所中心校和</w:t>
      </w:r>
      <w:r>
        <w:rPr>
          <w:rFonts w:hint="eastAsia" w:ascii="仿宋_GB2312" w:eastAsia="仿宋_GB2312"/>
          <w:color w:val="000000"/>
          <w:sz w:val="32"/>
          <w:szCs w:val="32"/>
          <w:lang w:eastAsia="zh-CN"/>
        </w:rPr>
        <w:t>三</w:t>
      </w:r>
      <w:r>
        <w:rPr>
          <w:rFonts w:hint="eastAsia" w:ascii="仿宋_GB2312" w:eastAsia="仿宋_GB2312"/>
          <w:color w:val="000000"/>
          <w:sz w:val="32"/>
          <w:szCs w:val="32"/>
        </w:rPr>
        <w:t>所村小。月溪中心校核编37人，现有在岗职工37人，其中在职职工27人，特岗教师10人，遗属7人。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201</w:t>
      </w:r>
      <w:r>
        <w:rPr>
          <w:rFonts w:hint="eastAsia" w:ascii="仿宋_GB2312" w:hAnsi="Calibri" w:eastAsia="仿宋_GB2312" w:cs="仿宋"/>
          <w:color w:val="000000"/>
          <w:kern w:val="0"/>
          <w:sz w:val="32"/>
          <w:szCs w:val="32"/>
          <w:lang w:val="en-US" w:eastAsia="zh-CN"/>
        </w:rPr>
        <w:t>9</w:t>
      </w:r>
      <w:r>
        <w:rPr>
          <w:rFonts w:hint="eastAsia" w:ascii="仿宋_GB2312" w:hAnsi="Calibri" w:eastAsia="仿宋_GB2312" w:cs="仿宋"/>
          <w:color w:val="000000"/>
          <w:kern w:val="0"/>
          <w:sz w:val="32"/>
          <w:szCs w:val="32"/>
        </w:rPr>
        <w:t>年收入合计</w:t>
      </w:r>
      <w:r>
        <w:rPr>
          <w:rFonts w:ascii="仿宋_GB2312" w:hAnsi="Calibri" w:eastAsia="仿宋_GB2312" w:cs="仿宋"/>
          <w:color w:val="000000"/>
          <w:kern w:val="0"/>
          <w:sz w:val="32"/>
          <w:szCs w:val="32"/>
        </w:rPr>
        <w:t>6</w:t>
      </w:r>
      <w:r>
        <w:rPr>
          <w:rFonts w:hint="eastAsia" w:ascii="仿宋_GB2312" w:hAnsi="Calibri" w:eastAsia="仿宋_GB2312" w:cs="仿宋"/>
          <w:color w:val="000000"/>
          <w:kern w:val="0"/>
          <w:sz w:val="32"/>
          <w:szCs w:val="32"/>
          <w:lang w:val="en-US" w:eastAsia="zh-CN"/>
        </w:rPr>
        <w:t>23.11</w:t>
      </w:r>
      <w:r>
        <w:rPr>
          <w:rFonts w:hint="eastAsia" w:ascii="仿宋_GB2312" w:hAnsi="Calibri" w:eastAsia="仿宋_GB2312" w:cs="仿宋"/>
          <w:color w:val="000000"/>
          <w:kern w:val="0"/>
          <w:sz w:val="32"/>
          <w:szCs w:val="32"/>
        </w:rPr>
        <w:t>万元，全部为一般公共预算财政拨款收入。</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2018年一般公共预算财政拨款支出</w:t>
      </w:r>
      <w:r>
        <w:rPr>
          <w:rFonts w:ascii="仿宋_GB2312" w:hAnsi="Calibri" w:eastAsia="仿宋_GB2312" w:cs="仿宋"/>
          <w:color w:val="000000"/>
          <w:kern w:val="0"/>
          <w:sz w:val="32"/>
          <w:szCs w:val="32"/>
        </w:rPr>
        <w:t>6</w:t>
      </w:r>
      <w:r>
        <w:rPr>
          <w:rFonts w:hint="eastAsia" w:ascii="仿宋_GB2312" w:hAnsi="Calibri" w:eastAsia="仿宋_GB2312" w:cs="仿宋"/>
          <w:color w:val="000000"/>
          <w:kern w:val="0"/>
          <w:sz w:val="32"/>
          <w:szCs w:val="32"/>
          <w:lang w:val="en-US" w:eastAsia="zh-CN"/>
        </w:rPr>
        <w:t>23.11</w:t>
      </w:r>
      <w:r>
        <w:rPr>
          <w:rFonts w:hint="eastAsia" w:ascii="仿宋_GB2312" w:hAnsi="Calibri" w:eastAsia="仿宋_GB2312" w:cs="仿宋"/>
          <w:color w:val="000000"/>
          <w:kern w:val="0"/>
          <w:sz w:val="32"/>
          <w:szCs w:val="32"/>
        </w:rPr>
        <w:t>万元，主要用于以下方面:教育支出</w:t>
      </w:r>
      <w:r>
        <w:rPr>
          <w:rFonts w:hint="eastAsia" w:ascii="仿宋" w:hAnsi="仿宋" w:eastAsia="仿宋"/>
          <w:color w:val="000000" w:themeColor="text1"/>
          <w:sz w:val="32"/>
          <w:szCs w:val="32"/>
          <w:lang w:val="en-US" w:eastAsia="zh-CN"/>
          <w14:textFill>
            <w14:solidFill>
              <w14:schemeClr w14:val="tx1"/>
            </w14:solidFill>
          </w14:textFill>
        </w:rPr>
        <w:t>515.56</w:t>
      </w:r>
      <w:r>
        <w:rPr>
          <w:rFonts w:hint="eastAsia" w:ascii="仿宋_GB2312" w:hAnsi="Calibri" w:eastAsia="仿宋_GB2312" w:cs="仿宋"/>
          <w:color w:val="000000"/>
          <w:kern w:val="0"/>
          <w:sz w:val="32"/>
          <w:szCs w:val="32"/>
        </w:rPr>
        <w:t>万元，社会保障和就业支出</w:t>
      </w:r>
      <w:r>
        <w:rPr>
          <w:rFonts w:hint="eastAsia" w:ascii="仿宋" w:hAnsi="仿宋" w:eastAsia="仿宋"/>
          <w:color w:val="000000" w:themeColor="text1"/>
          <w:sz w:val="32"/>
          <w:szCs w:val="32"/>
          <w:lang w:val="en-US" w:eastAsia="zh-CN"/>
          <w14:textFill>
            <w14:solidFill>
              <w14:schemeClr w14:val="tx1"/>
            </w14:solidFill>
          </w14:textFill>
        </w:rPr>
        <w:t>51.53</w:t>
      </w:r>
      <w:r>
        <w:rPr>
          <w:rFonts w:hint="eastAsia" w:ascii="仿宋_GB2312" w:hAnsi="Calibri" w:eastAsia="仿宋_GB2312" w:cs="仿宋"/>
          <w:color w:val="000000"/>
          <w:kern w:val="0"/>
          <w:sz w:val="32"/>
          <w:szCs w:val="32"/>
        </w:rPr>
        <w:t>万元，文化旅游体育与传媒支出</w:t>
      </w:r>
      <w:r>
        <w:rPr>
          <w:rFonts w:hint="eastAsia" w:ascii="仿宋_GB2312" w:hAnsi="Calibri" w:eastAsia="仿宋_GB2312" w:cs="仿宋"/>
          <w:color w:val="000000"/>
          <w:kern w:val="0"/>
          <w:sz w:val="32"/>
          <w:szCs w:val="32"/>
          <w:lang w:val="en-US" w:eastAsia="zh-CN"/>
        </w:rPr>
        <w:t>2万元,</w:t>
      </w:r>
      <w:r>
        <w:rPr>
          <w:rFonts w:hint="eastAsia" w:ascii="仿宋_GB2312" w:hAnsi="Calibri" w:eastAsia="仿宋_GB2312" w:cs="仿宋"/>
          <w:color w:val="000000"/>
          <w:kern w:val="0"/>
          <w:sz w:val="32"/>
          <w:szCs w:val="32"/>
          <w:lang w:eastAsia="zh-CN"/>
        </w:rPr>
        <w:t>卫生健康支出</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8.98</w:t>
      </w:r>
      <w:r>
        <w:rPr>
          <w:rFonts w:hint="eastAsia" w:ascii="仿宋" w:hAnsi="仿宋" w:eastAsia="仿宋"/>
          <w:color w:val="000000" w:themeColor="text1"/>
          <w:sz w:val="32"/>
          <w:szCs w:val="32"/>
          <w14:textFill>
            <w14:solidFill>
              <w14:schemeClr w14:val="tx1"/>
            </w14:solidFill>
          </w14:textFill>
        </w:rPr>
        <w:t>万元，</w:t>
      </w:r>
      <w:r>
        <w:rPr>
          <w:rFonts w:hint="eastAsia" w:ascii="仿宋_GB2312" w:hAnsi="Calibri" w:eastAsia="仿宋_GB2312" w:cs="仿宋"/>
          <w:color w:val="000000"/>
          <w:kern w:val="0"/>
          <w:sz w:val="32"/>
          <w:szCs w:val="32"/>
        </w:rPr>
        <w:t>住房保障支出</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lang w:val="en-US" w:eastAsia="zh-CN"/>
          <w14:textFill>
            <w14:solidFill>
              <w14:schemeClr w14:val="tx1"/>
            </w14:solidFill>
          </w14:textFill>
        </w:rPr>
        <w:t>5.04</w:t>
      </w:r>
      <w:r>
        <w:rPr>
          <w:rFonts w:hint="eastAsia" w:ascii="仿宋_GB2312" w:hAnsi="Calibri" w:eastAsia="仿宋_GB2312" w:cs="仿宋"/>
          <w:color w:val="000000"/>
          <w:kern w:val="0"/>
          <w:sz w:val="32"/>
          <w:szCs w:val="32"/>
        </w:rPr>
        <w:t>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w:t>
      </w:r>
      <w:r>
        <w:rPr>
          <w:rFonts w:hint="eastAsia" w:ascii="仿宋_GB2312" w:hAnsi="Calibri" w:eastAsia="仿宋_GB2312" w:cs="仿宋"/>
          <w:color w:val="000000"/>
          <w:kern w:val="0"/>
          <w:sz w:val="32"/>
          <w:szCs w:val="32"/>
          <w:lang w:val="en-US" w:eastAsia="zh-CN"/>
        </w:rPr>
        <w:t>9</w:t>
      </w:r>
      <w:r>
        <w:rPr>
          <w:rFonts w:hint="eastAsia" w:ascii="仿宋_GB2312" w:hAnsi="Calibri" w:eastAsia="仿宋_GB2312" w:cs="仿宋"/>
          <w:color w:val="000000"/>
          <w:kern w:val="0"/>
          <w:sz w:val="32"/>
          <w:szCs w:val="32"/>
        </w:rPr>
        <w:t>年度宣汉县华景镇月</w:t>
      </w:r>
      <w:r>
        <w:rPr>
          <w:rFonts w:ascii="仿宋_GB2312" w:hAnsi="Calibri" w:eastAsia="仿宋_GB2312" w:cs="仿宋"/>
          <w:color w:val="000000"/>
          <w:kern w:val="0"/>
          <w:sz w:val="32"/>
          <w:szCs w:val="32"/>
        </w:rPr>
        <w:t>溪中心校</w:t>
      </w:r>
      <w:r>
        <w:rPr>
          <w:rFonts w:hint="eastAsia" w:ascii="仿宋_GB2312" w:hAnsi="Calibri" w:eastAsia="仿宋_GB2312" w:cs="仿宋"/>
          <w:color w:val="000000"/>
          <w:kern w:val="0"/>
          <w:sz w:val="32"/>
          <w:szCs w:val="32"/>
        </w:rPr>
        <w:t>履职效益情况良好，认真遵守各项财务规章制度，严格执行各项支出审批程序，确保专款专用，无截留、挤占或挪用现象</w:t>
      </w:r>
      <w:r>
        <w:rPr>
          <w:rFonts w:ascii="仿宋_GB2312" w:hAnsi="Calibri" w:eastAsia="仿宋_GB2312" w:cs="仿宋"/>
          <w:color w:val="000000"/>
          <w:kern w:val="0"/>
          <w:sz w:val="32"/>
          <w:szCs w:val="32"/>
        </w:rPr>
        <w:t>发生</w:t>
      </w:r>
      <w:r>
        <w:rPr>
          <w:rFonts w:hint="eastAsia" w:ascii="仿宋_GB2312" w:hAnsi="Calibri" w:eastAsia="仿宋_GB2312" w:cs="仿宋"/>
          <w:color w:val="000000"/>
          <w:kern w:val="0"/>
          <w:sz w:val="32"/>
          <w:szCs w:val="32"/>
        </w:rPr>
        <w:t>。“三公”经费按预算执行、努力节约经费。项目按计划组织实施，确保专项资金合理使用，切实提高资金效益。部门整体支出绩效情况如下：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1、在原来相对健全的财务管理制度基础上，适时地、针对性地进行了根据</w:t>
      </w:r>
      <w:r>
        <w:rPr>
          <w:rFonts w:ascii="仿宋_GB2312" w:hAnsi="Calibri" w:eastAsia="仿宋_GB2312" w:cs="仿宋"/>
          <w:color w:val="000000"/>
          <w:kern w:val="0"/>
          <w:sz w:val="32"/>
          <w:szCs w:val="32"/>
        </w:rPr>
        <w:t>实际情况</w:t>
      </w:r>
      <w:r>
        <w:rPr>
          <w:rFonts w:hint="eastAsia" w:ascii="仿宋_GB2312" w:hAnsi="Calibri" w:eastAsia="仿宋_GB2312" w:cs="仿宋"/>
          <w:color w:val="000000"/>
          <w:kern w:val="0"/>
          <w:sz w:val="32"/>
          <w:szCs w:val="32"/>
        </w:rPr>
        <w:t>进行</w:t>
      </w:r>
      <w:r>
        <w:rPr>
          <w:rFonts w:ascii="仿宋_GB2312" w:hAnsi="Calibri" w:eastAsia="仿宋_GB2312" w:cs="仿宋"/>
          <w:color w:val="000000"/>
          <w:kern w:val="0"/>
          <w:sz w:val="32"/>
          <w:szCs w:val="32"/>
        </w:rPr>
        <w:t>修订，</w:t>
      </w:r>
      <w:r>
        <w:rPr>
          <w:rFonts w:hint="eastAsia" w:ascii="仿宋_GB2312" w:hAnsi="Calibri" w:eastAsia="仿宋_GB2312" w:cs="仿宋"/>
          <w:color w:val="000000"/>
          <w:kern w:val="0"/>
          <w:sz w:val="32"/>
          <w:szCs w:val="32"/>
        </w:rPr>
        <w:t>制度的建立更为完善。</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2、认</w:t>
      </w:r>
      <w:r>
        <w:rPr>
          <w:rFonts w:ascii="仿宋_GB2312" w:hAnsi="Calibri" w:eastAsia="仿宋_GB2312" w:cs="仿宋"/>
          <w:color w:val="000000"/>
          <w:kern w:val="0"/>
          <w:sz w:val="32"/>
          <w:szCs w:val="32"/>
        </w:rPr>
        <w:t>真</w:t>
      </w:r>
      <w:r>
        <w:rPr>
          <w:rFonts w:hint="eastAsia" w:ascii="仿宋_GB2312" w:hAnsi="Calibri" w:eastAsia="仿宋_GB2312" w:cs="仿宋"/>
          <w:color w:val="000000"/>
          <w:kern w:val="0"/>
          <w:sz w:val="32"/>
          <w:szCs w:val="32"/>
        </w:rPr>
        <w:t>贯彻落实中央</w:t>
      </w:r>
      <w:bookmarkStart w:id="71" w:name="_GoBack"/>
      <w:bookmarkEnd w:id="71"/>
      <w:r>
        <w:rPr>
          <w:rFonts w:hint="eastAsia" w:ascii="仿宋_GB2312" w:hAnsi="Calibri" w:eastAsia="仿宋_GB2312" w:cs="仿宋"/>
          <w:color w:val="000000"/>
          <w:kern w:val="0"/>
          <w:sz w:val="32"/>
          <w:szCs w:val="32"/>
        </w:rPr>
        <w:t>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3、努力</w:t>
      </w:r>
      <w:r>
        <w:rPr>
          <w:rFonts w:ascii="仿宋_GB2312" w:hAnsi="Calibri" w:eastAsia="仿宋_GB2312" w:cs="仿宋"/>
          <w:color w:val="000000"/>
          <w:kern w:val="0"/>
          <w:sz w:val="32"/>
          <w:szCs w:val="32"/>
        </w:rPr>
        <w:t>改善</w:t>
      </w:r>
      <w:r>
        <w:rPr>
          <w:rFonts w:hint="eastAsia" w:ascii="仿宋_GB2312" w:hAnsi="Calibri" w:eastAsia="仿宋_GB2312" w:cs="仿宋"/>
          <w:color w:val="000000"/>
          <w:kern w:val="0"/>
          <w:sz w:val="32"/>
          <w:szCs w:val="32"/>
        </w:rPr>
        <w:t>教师办公条件，给教育教学工作带来了很大的帮助，同时也提高了教师的工作积极性。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一是加强领导责任意识，落实管理责任；二是加强资金管理制度建设，确保机构健全、分工明确；三是加强资金支出管理，严格支出标准和范围，确保专款专用，无截留、挤占或挪用。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 w:hAnsi="仿宋" w:eastAsia="仿宋" w:cs="仿宋_GB2312"/>
          <w:sz w:val="32"/>
          <w:szCs w:val="32"/>
        </w:rPr>
        <w:t>：优良</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由于我校缺编严重，交通闭塞，故而我校本年度聘请了很多临时代课老师，学校用于临聘教师资金较多，严重制约了学校的发展。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仿宋" w:eastAsia="仿宋_GB2312"/>
          <w:sz w:val="32"/>
          <w:szCs w:val="32"/>
        </w:rPr>
        <w:t>认真加强财务管理、及时进行预算，校长是第一负责人，亲自审核把关，学校</w:t>
      </w:r>
      <w:r>
        <w:rPr>
          <w:rFonts w:hint="eastAsia" w:ascii="仿宋_GB2312" w:hAnsi="Calibri" w:eastAsia="仿宋_GB2312" w:cs="仿宋"/>
          <w:color w:val="000000"/>
          <w:kern w:val="0"/>
          <w:sz w:val="32"/>
          <w:szCs w:val="32"/>
        </w:rPr>
        <w:t>厉行节约，开源节流，严格控制支出，根据学校实际有计划地减少临聘人员，合理地运用资金，促进学校不断向前发展。</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spacing w:line="600" w:lineRule="exact"/>
        <w:jc w:val="center"/>
        <w:outlineLvl w:val="0"/>
        <w:rPr>
          <w:rStyle w:val="24"/>
          <w:rFonts w:ascii="黑体" w:hAnsi="黑体" w:eastAsia="黑体"/>
          <w:b w:val="0"/>
        </w:rPr>
      </w:pPr>
      <w:bookmarkStart w:id="57"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5"/>
      <w:bookmarkEnd w:id="57"/>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8"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8"/>
    </w:p>
    <w:p>
      <w:pPr>
        <w:pStyle w:val="3"/>
        <w:rPr>
          <w:rStyle w:val="25"/>
          <w:rFonts w:hint="eastAsia" w:ascii="仿宋" w:hAnsi="仿宋" w:eastAsia="仿宋"/>
          <w:b w:val="0"/>
          <w:bCs w:val="0"/>
          <w:lang w:eastAsia="zh-CN"/>
        </w:rPr>
      </w:pPr>
      <w:bookmarkStart w:id="59" w:name="_Toc15396620"/>
      <w:r>
        <w:rPr>
          <w:rFonts w:hint="eastAsia" w:ascii="仿宋" w:hAnsi="仿宋" w:eastAsia="仿宋"/>
          <w:b w:val="0"/>
          <w:color w:val="000000"/>
        </w:rPr>
        <w:t>二、收</w:t>
      </w:r>
      <w:r>
        <w:rPr>
          <w:rStyle w:val="25"/>
          <w:rFonts w:hint="eastAsia" w:ascii="仿宋" w:hAnsi="仿宋" w:eastAsia="仿宋"/>
          <w:b w:val="0"/>
          <w:bCs w:val="0"/>
        </w:rPr>
        <w:t>入</w:t>
      </w:r>
      <w:bookmarkEnd w:id="59"/>
      <w:bookmarkStart w:id="60" w:name="_Toc15396621"/>
      <w:r>
        <w:rPr>
          <w:rStyle w:val="25"/>
          <w:rFonts w:hint="eastAsia" w:ascii="仿宋" w:hAnsi="仿宋" w:eastAsia="仿宋"/>
          <w:b w:val="0"/>
          <w:bCs w:val="0"/>
          <w:lang w:eastAsia="zh-CN"/>
        </w:rPr>
        <w:t>决算表</w:t>
      </w:r>
    </w:p>
    <w:p>
      <w:pPr>
        <w:pStyle w:val="3"/>
        <w:rPr>
          <w:rFonts w:hint="eastAsia" w:ascii="仿宋" w:hAnsi="仿宋" w:eastAsia="仿宋"/>
          <w:color w:val="000000"/>
          <w:lang w:eastAsia="zh-CN"/>
        </w:rPr>
      </w:pPr>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w:t>
      </w:r>
      <w:bookmarkEnd w:id="60"/>
      <w:r>
        <w:rPr>
          <w:rStyle w:val="25"/>
          <w:rFonts w:hint="eastAsia" w:ascii="仿宋" w:hAnsi="仿宋" w:eastAsia="仿宋"/>
          <w:b w:val="0"/>
          <w:bCs w:val="0"/>
          <w:lang w:eastAsia="zh-CN"/>
        </w:rPr>
        <w:t>决算表</w:t>
      </w:r>
    </w:p>
    <w:p>
      <w:pPr>
        <w:pStyle w:val="3"/>
        <w:rPr>
          <w:rFonts w:ascii="仿宋" w:hAnsi="仿宋" w:eastAsia="仿宋"/>
          <w:b w:val="0"/>
          <w:color w:val="000000"/>
        </w:rPr>
      </w:pPr>
      <w:bookmarkStart w:id="61"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1"/>
    </w:p>
    <w:p>
      <w:pPr>
        <w:pStyle w:val="3"/>
        <w:rPr>
          <w:rFonts w:ascii="仿宋" w:hAnsi="仿宋" w:eastAsia="仿宋"/>
          <w:color w:val="000000"/>
        </w:rPr>
      </w:pPr>
      <w:bookmarkStart w:id="62"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2"/>
    </w:p>
    <w:p>
      <w:pPr>
        <w:pStyle w:val="3"/>
        <w:rPr>
          <w:rFonts w:ascii="仿宋" w:hAnsi="仿宋" w:eastAsia="仿宋"/>
          <w:color w:val="000000"/>
        </w:rPr>
      </w:pPr>
      <w:bookmarkStart w:id="63"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3"/>
    </w:p>
    <w:p>
      <w:pPr>
        <w:pStyle w:val="3"/>
        <w:rPr>
          <w:rFonts w:ascii="仿宋" w:hAnsi="仿宋" w:eastAsia="仿宋"/>
          <w:color w:val="000000"/>
        </w:rPr>
      </w:pPr>
      <w:bookmarkStart w:id="64"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4"/>
    </w:p>
    <w:p>
      <w:pPr>
        <w:pStyle w:val="3"/>
        <w:rPr>
          <w:rFonts w:ascii="仿宋" w:hAnsi="仿宋" w:eastAsia="仿宋"/>
          <w:color w:val="000000"/>
        </w:rPr>
      </w:pPr>
      <w:bookmarkStart w:id="65"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5"/>
    </w:p>
    <w:p>
      <w:pPr>
        <w:pStyle w:val="3"/>
        <w:rPr>
          <w:rFonts w:ascii="仿宋" w:hAnsi="仿宋" w:eastAsia="仿宋"/>
          <w:color w:val="000000"/>
        </w:rPr>
      </w:pPr>
      <w:bookmarkStart w:id="66"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6"/>
    </w:p>
    <w:p>
      <w:pPr>
        <w:pStyle w:val="3"/>
        <w:rPr>
          <w:rFonts w:ascii="仿宋" w:hAnsi="仿宋" w:eastAsia="仿宋"/>
          <w:color w:val="000000"/>
        </w:rPr>
      </w:pPr>
      <w:bookmarkStart w:id="67"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7"/>
    </w:p>
    <w:p>
      <w:pPr>
        <w:pStyle w:val="3"/>
        <w:rPr>
          <w:rFonts w:ascii="仿宋" w:hAnsi="仿宋" w:eastAsia="仿宋"/>
          <w:color w:val="000000"/>
        </w:rPr>
      </w:pPr>
      <w:bookmarkStart w:id="68"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8"/>
    </w:p>
    <w:p>
      <w:pPr>
        <w:pStyle w:val="3"/>
        <w:rPr>
          <w:rFonts w:ascii="仿宋" w:hAnsi="仿宋" w:eastAsia="仿宋"/>
          <w:color w:val="000000"/>
        </w:rPr>
      </w:pPr>
      <w:bookmarkStart w:id="69"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9"/>
    </w:p>
    <w:p>
      <w:pPr>
        <w:pStyle w:val="3"/>
        <w:rPr>
          <w:rFonts w:ascii="仿宋" w:hAnsi="仿宋" w:eastAsia="仿宋"/>
          <w:color w:val="000000" w:themeColor="text1"/>
          <w14:textFill>
            <w14:solidFill>
              <w14:schemeClr w14:val="tx1"/>
            </w14:solidFill>
          </w14:textFill>
        </w:rPr>
      </w:pPr>
      <w:bookmarkStart w:id="70"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0"/>
    </w:p>
    <w:p>
      <w:pPr>
        <w:pStyle w:val="2"/>
        <w:jc w:val="center"/>
        <w:rPr>
          <w:rFonts w:ascii="仿宋" w:hAnsi="仿宋" w:eastAsia="仿宋"/>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11</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04C4773A"/>
    <w:multiLevelType w:val="multilevel"/>
    <w:tmpl w:val="04C4773A"/>
    <w:lvl w:ilvl="0" w:tentative="0">
      <w:start w:val="2"/>
      <w:numFmt w:val="japaneseCounting"/>
      <w:lvlText w:val="（%1）"/>
      <w:lvlJc w:val="left"/>
      <w:pPr>
        <w:ind w:left="1080" w:hanging="1080"/>
      </w:pPr>
      <w:rPr>
        <w:rFonts w:hint="default" w:ascii="仿宋" w:hAnsi="仿宋" w:eastAsia="仿宋" w:cs="楷体_GB2312"/>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6F7796"/>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64589"/>
    <w:rsid w:val="00871F71"/>
    <w:rsid w:val="00885AF4"/>
    <w:rsid w:val="008939CD"/>
    <w:rsid w:val="008B768C"/>
    <w:rsid w:val="008C4DB1"/>
    <w:rsid w:val="008C4EAF"/>
    <w:rsid w:val="008C5176"/>
    <w:rsid w:val="008C7FD0"/>
    <w:rsid w:val="008E1DE7"/>
    <w:rsid w:val="008E707C"/>
    <w:rsid w:val="00900B08"/>
    <w:rsid w:val="00902155"/>
    <w:rsid w:val="00902FA3"/>
    <w:rsid w:val="00914325"/>
    <w:rsid w:val="00923564"/>
    <w:rsid w:val="0092392E"/>
    <w:rsid w:val="009315F9"/>
    <w:rsid w:val="009464C8"/>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C74AA"/>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238B9"/>
    <w:rsid w:val="00B256F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0126"/>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CF6300"/>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5324F"/>
    <w:rsid w:val="00F602DF"/>
    <w:rsid w:val="00F81FD9"/>
    <w:rsid w:val="00F841AA"/>
    <w:rsid w:val="00FA23E8"/>
    <w:rsid w:val="00FD3CC1"/>
    <w:rsid w:val="00FF1E02"/>
    <w:rsid w:val="00FF30B4"/>
    <w:rsid w:val="0ABA3DD1"/>
    <w:rsid w:val="10C055FF"/>
    <w:rsid w:val="16BB723D"/>
    <w:rsid w:val="17082460"/>
    <w:rsid w:val="19933DE8"/>
    <w:rsid w:val="1EE7777B"/>
    <w:rsid w:val="2107182A"/>
    <w:rsid w:val="240371BF"/>
    <w:rsid w:val="29FD04D3"/>
    <w:rsid w:val="31650E11"/>
    <w:rsid w:val="319F7F4E"/>
    <w:rsid w:val="33203526"/>
    <w:rsid w:val="33F768EC"/>
    <w:rsid w:val="4E1C0CA0"/>
    <w:rsid w:val="5E6F6ED1"/>
    <w:rsid w:val="66F36854"/>
    <w:rsid w:val="74E47486"/>
    <w:rsid w:val="FF6D64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收、支决算总</a:t>
            </a:r>
            <a:r>
              <a:rPr lang="zh-CN" altLang="en-US" sz="1400" b="0" i="0" u="none" strike="noStrike" baseline="0">
                <a:effectLst/>
              </a:rPr>
              <a:t>体</a:t>
            </a:r>
            <a:r>
              <a:rPr lang="zh-CN" altLang="zh-CN" sz="1400" b="0" i="0" u="none" strike="noStrike" baseline="0">
                <a:effectLst/>
              </a:rPr>
              <a:t>变动情况图</a:t>
            </a:r>
            <a:endParaRPr lang="zh-CN"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2019年</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false"/>
            <c:dispEq val="false"/>
          </c:trendline>
          <c:cat>
            <c:strRef>
              <c:f>Sheet1!$A$2:$A$3</c:f>
              <c:strCache>
                <c:ptCount val="2"/>
                <c:pt idx="0">
                  <c:v>收入</c:v>
                </c:pt>
                <c:pt idx="1">
                  <c:v>支出</c:v>
                </c:pt>
              </c:strCache>
            </c:strRef>
          </c:cat>
          <c:val>
            <c:numRef>
              <c:f>Sheet1!$B$2:$B$3</c:f>
              <c:numCache>
                <c:formatCode>General</c:formatCode>
                <c:ptCount val="2"/>
                <c:pt idx="0">
                  <c:v>623.11</c:v>
                </c:pt>
                <c:pt idx="1">
                  <c:v>623.11</c:v>
                </c:pt>
              </c:numCache>
            </c:numRef>
          </c:val>
        </c:ser>
        <c:ser>
          <c:idx val="1"/>
          <c:order val="1"/>
          <c:tx>
            <c:strRef>
              <c:f>Sheet1!$C$1</c:f>
              <c:strCache>
                <c:ptCount val="1"/>
                <c:pt idx="0">
                  <c:v>2018年</c:v>
                </c:pt>
              </c:strCache>
            </c:strRef>
          </c:tx>
          <c:spPr>
            <a:solidFill>
              <a:schemeClr val="accent2"/>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615.79</c:v>
                </c:pt>
                <c:pt idx="1">
                  <c:v>615.79</c:v>
                </c:pt>
              </c:numCache>
            </c:numRef>
          </c:val>
        </c:ser>
        <c:dLbls>
          <c:showLegendKey val="false"/>
          <c:showVal val="true"/>
          <c:showCatName val="false"/>
          <c:showSerName val="false"/>
          <c:showPercent val="false"/>
          <c:showBubbleSize val="false"/>
        </c:dLbls>
        <c:gapWidth val="219"/>
        <c:overlap val="-27"/>
        <c:axId val="647521168"/>
        <c:axId val="647522848"/>
      </c:barChart>
      <c:catAx>
        <c:axId val="647521168"/>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7522848"/>
        <c:crosses val="autoZero"/>
        <c:auto val="true"/>
        <c:lblAlgn val="ctr"/>
        <c:lblOffset val="100"/>
        <c:noMultiLvlLbl val="false"/>
      </c:catAx>
      <c:valAx>
        <c:axId val="647522848"/>
        <c:scaling>
          <c:orientation val="minMax"/>
          <c:min val="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7521168"/>
        <c:crosses val="autoZero"/>
        <c:crossBetween val="between"/>
        <c:majorUnit val="100"/>
      </c:valAx>
      <c:spPr>
        <a:noFill/>
        <a:ln>
          <a:noFill/>
        </a:ln>
        <a:effectLst/>
      </c:spPr>
    </c:plotArea>
    <c:legend>
      <c:legendPos val="r"/>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r>
              <a:rPr lang="zh-CN"/>
              <a:t>收入决算结构图</a:t>
            </a:r>
            <a:endParaRPr lang="zh-CN"/>
          </a:p>
        </c:rich>
      </c:tx>
      <c:layout/>
      <c:overlay val="false"/>
      <c:spPr>
        <a:noFill/>
        <a:ln>
          <a:noFill/>
        </a:ln>
        <a:effectLst/>
      </c:spPr>
    </c:title>
    <c:autoTitleDeleted val="false"/>
    <c:plotArea>
      <c:layout/>
      <c:pieChart>
        <c:varyColors val="true"/>
        <c:ser>
          <c:idx val="0"/>
          <c:order val="0"/>
          <c:tx>
            <c:strRef>
              <c:f>Sheet1!$B$1</c:f>
              <c:strCache>
                <c:ptCount val="1"/>
                <c:pt idx="0">
                  <c:v>收入</c:v>
                </c:pt>
              </c:strCache>
            </c:strRef>
          </c:tx>
          <c:spPr/>
          <c:explosion val="0"/>
          <c:dPt>
            <c:idx val="0"/>
            <c:bubble3D val="false"/>
            <c:explosion val="2"/>
            <c:spPr>
              <a:solidFill>
                <a:schemeClr val="accent1"/>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c:f>
              <c:strCache>
                <c:ptCount val="1"/>
                <c:pt idx="0">
                  <c:v>一般公共预算财政拨款</c:v>
                </c:pt>
              </c:strCache>
            </c:strRef>
          </c:cat>
          <c:val>
            <c:numRef>
              <c:f>Sheet1!$B$2</c:f>
              <c:numCache>
                <c:formatCode>0%</c:formatCode>
                <c:ptCount val="1"/>
                <c:pt idx="0">
                  <c:v>1</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支出决算</c:v>
                </c:pt>
              </c:strCache>
            </c:strRef>
          </c:tx>
          <c:spPr/>
          <c:explosion val="19"/>
          <c:dPt>
            <c:idx val="0"/>
            <c:bubble3D val="false"/>
            <c:explosion val="0"/>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0.86</c:v>
                </c:pt>
                <c:pt idx="1">
                  <c:v>0.14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1"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600" b="1" i="0" u="none" strike="noStrike" kern="1200" cap="all" spc="120" normalizeH="0" baseline="0">
                <a:solidFill>
                  <a:schemeClr val="tx1">
                    <a:lumMod val="65000"/>
                    <a:lumOff val="35000"/>
                  </a:schemeClr>
                </a:solidFill>
                <a:latin typeface="+mn-lt"/>
                <a:ea typeface="+mn-ea"/>
                <a:cs typeface="+mn-cs"/>
              </a:defRPr>
            </a:pPr>
            <a:r>
              <a:rPr lang="zh-CN" altLang="en-US"/>
              <a:t>图</a:t>
            </a:r>
            <a:r>
              <a:rPr lang="en-US" altLang="zh-CN"/>
              <a:t>4</a:t>
            </a:r>
            <a:r>
              <a:rPr lang="zh-CN" altLang="en-US"/>
              <a:t>：</a:t>
            </a:r>
            <a:r>
              <a:rPr lang="zh-CN"/>
              <a:t>财政拨款收、支决算总计变动情况</a:t>
            </a:r>
            <a:endParaRPr lang="zh-CN"/>
          </a:p>
        </c:rich>
      </c:tx>
      <c:layout/>
      <c:overlay val="false"/>
      <c:spPr>
        <a:noFill/>
        <a:ln>
          <a:noFill/>
        </a:ln>
        <a:effectLst/>
      </c:spPr>
    </c:title>
    <c:autoTitleDeleted val="false"/>
    <c:plotArea>
      <c:layout>
        <c:manualLayout>
          <c:layoutTarget val="inner"/>
          <c:xMode val="edge"/>
          <c:yMode val="edge"/>
          <c:x val="0.0282928003852637"/>
          <c:y val="0.412414689632759"/>
          <c:w val="0.947026246087166"/>
          <c:h val="0.444848878778031"/>
        </c:manualLayout>
      </c:layout>
      <c:barChart>
        <c:barDir val="col"/>
        <c:grouping val="clustered"/>
        <c:varyColors val="false"/>
        <c:ser>
          <c:idx val="0"/>
          <c:order val="0"/>
          <c:tx>
            <c:strRef>
              <c:f>Sheet1!$B$1</c:f>
              <c:strCache>
                <c:ptCount val="1"/>
                <c:pt idx="0">
                  <c:v>2019年</c:v>
                </c:pt>
              </c:strCache>
            </c:strRef>
          </c:tx>
          <c:spPr>
            <a:solidFill>
              <a:schemeClr val="accent1"/>
            </a:solidFill>
            <a:ln>
              <a:noFill/>
            </a:ln>
            <a:effectLst/>
          </c:spPr>
          <c:invertIfNegative val="false"/>
          <c:dLbls>
            <c:spPr>
              <a:noFill/>
              <a:ln>
                <a:noFill/>
              </a:ln>
              <a:effectLst/>
            </c:spPr>
            <c:txPr>
              <a:bodyPr rot="-5400000" spcFirstLastPara="1" vertOverflow="clip" horzOverflow="clip" vert="horz" wrap="square" lIns="38100" tIns="19050" rIns="38100" bIns="19050" anchor="ctr" anchorCtr="true">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trendline>
            <c:spPr>
              <a:ln w="19050" cap="rnd">
                <a:solidFill>
                  <a:schemeClr val="accent1"/>
                </a:solidFill>
                <a:prstDash val="sysDash"/>
              </a:ln>
              <a:effectLst/>
            </c:spPr>
            <c:trendlineType val="linear"/>
            <c:dispRSqr val="false"/>
            <c:dispEq val="false"/>
          </c:trendline>
          <c:cat>
            <c:strRef>
              <c:f>Sheet1!$A$2:$A$3</c:f>
              <c:strCache>
                <c:ptCount val="2"/>
                <c:pt idx="0">
                  <c:v>收入</c:v>
                </c:pt>
                <c:pt idx="1">
                  <c:v>支出</c:v>
                </c:pt>
              </c:strCache>
            </c:strRef>
          </c:cat>
          <c:val>
            <c:numRef>
              <c:f>Sheet1!$B$2:$B$3</c:f>
              <c:numCache>
                <c:formatCode>General</c:formatCode>
                <c:ptCount val="2"/>
                <c:pt idx="0">
                  <c:v>623.11</c:v>
                </c:pt>
                <c:pt idx="1">
                  <c:v>623.11</c:v>
                </c:pt>
              </c:numCache>
            </c:numRef>
          </c:val>
        </c:ser>
        <c:ser>
          <c:idx val="1"/>
          <c:order val="1"/>
          <c:tx>
            <c:strRef>
              <c:f>Sheet1!$C$1</c:f>
              <c:strCache>
                <c:ptCount val="1"/>
                <c:pt idx="0">
                  <c:v>2018年</c:v>
                </c:pt>
              </c:strCache>
            </c:strRef>
          </c:tx>
          <c:spPr>
            <a:solidFill>
              <a:schemeClr val="accent2"/>
            </a:solidFill>
            <a:ln>
              <a:noFill/>
            </a:ln>
            <a:effectLst/>
          </c:spPr>
          <c:invertIfNegative val="false"/>
          <c:dLbls>
            <c:spPr>
              <a:noFill/>
              <a:ln>
                <a:noFill/>
              </a:ln>
              <a:effectLst/>
            </c:spPr>
            <c:txPr>
              <a:bodyPr rot="-5400000" spcFirstLastPara="1" vertOverflow="clip" horzOverflow="clip" vert="horz" wrap="square" lIns="38100" tIns="19050" rIns="38100" bIns="19050" anchor="ctr" anchorCtr="true">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Sheet1!$A$2:$A$3</c:f>
              <c:strCache>
                <c:ptCount val="2"/>
                <c:pt idx="0">
                  <c:v>收入</c:v>
                </c:pt>
                <c:pt idx="1">
                  <c:v>支出</c:v>
                </c:pt>
              </c:strCache>
            </c:strRef>
          </c:cat>
          <c:val>
            <c:numRef>
              <c:f>Sheet1!$C$2:$C$3</c:f>
              <c:numCache>
                <c:formatCode>General</c:formatCode>
                <c:ptCount val="2"/>
                <c:pt idx="0">
                  <c:v>615.79</c:v>
                </c:pt>
                <c:pt idx="1">
                  <c:v>615.79</c:v>
                </c:pt>
              </c:numCache>
            </c:numRef>
          </c:val>
        </c:ser>
        <c:dLbls>
          <c:showLegendKey val="false"/>
          <c:showVal val="true"/>
          <c:showCatName val="false"/>
          <c:showSerName val="false"/>
          <c:showPercent val="false"/>
          <c:showBubbleSize val="false"/>
        </c:dLbls>
        <c:gapWidth val="444"/>
        <c:overlap val="-90"/>
        <c:axId val="647515008"/>
        <c:axId val="647516688"/>
      </c:barChart>
      <c:catAx>
        <c:axId val="647515008"/>
        <c:scaling>
          <c:orientation val="minMax"/>
        </c:scaling>
        <c:delete val="false"/>
        <c:axPos val="b"/>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647516688"/>
        <c:crosses val="autoZero"/>
        <c:auto val="true"/>
        <c:lblAlgn val="ctr"/>
        <c:lblOffset val="100"/>
        <c:noMultiLvlLbl val="false"/>
      </c:catAx>
      <c:valAx>
        <c:axId val="647516688"/>
        <c:scaling>
          <c:orientation val="minMax"/>
          <c:min val="100"/>
        </c:scaling>
        <c:delete val="true"/>
        <c:axPos val="l"/>
        <c:numFmt formatCode="General"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7515008"/>
        <c:crosses val="autoZero"/>
        <c:crossBetween val="between"/>
      </c:valAx>
      <c:spPr>
        <a:noFill/>
        <a:ln>
          <a:noFill/>
        </a:ln>
        <a:effectLst/>
      </c:spPr>
    </c:plotArea>
    <c:legend>
      <c:legendPos val="t"/>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4639820669729"/>
          <c:y val="0.0961538461538462"/>
          <c:w val="0.816590727257563"/>
          <c:h val="0.617266807995154"/>
        </c:manualLayout>
      </c:layout>
      <c:barChart>
        <c:barDir val="col"/>
        <c:grouping val="clustered"/>
        <c:varyColors val="false"/>
        <c:ser>
          <c:idx val="0"/>
          <c:order val="0"/>
          <c:tx>
            <c:strRef>
              <c:f>Sheet1!$B$1</c:f>
              <c:strCache>
                <c:ptCount val="1"/>
                <c:pt idx="0">
                  <c:v>2018年</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615.79</c:v>
                </c:pt>
              </c:numCache>
            </c:numRef>
          </c:val>
        </c:ser>
        <c:ser>
          <c:idx val="1"/>
          <c:order val="1"/>
          <c:tx>
            <c:strRef>
              <c:f>Sheet1!$C$1</c:f>
              <c:strCache>
                <c:ptCount val="1"/>
                <c:pt idx="0">
                  <c:v>2019年</c:v>
                </c:pt>
              </c:strCache>
            </c:strRef>
          </c:tx>
          <c:spPr>
            <a:solidFill>
              <a:schemeClr val="accent2"/>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623.11</c:v>
                </c:pt>
              </c:numCache>
            </c:numRef>
          </c:val>
        </c:ser>
        <c:dLbls>
          <c:showLegendKey val="false"/>
          <c:showVal val="true"/>
          <c:showCatName val="false"/>
          <c:showSerName val="false"/>
          <c:showPercent val="false"/>
          <c:showBubbleSize val="false"/>
        </c:dLbls>
        <c:gapWidth val="219"/>
        <c:overlap val="-27"/>
        <c:axId val="589852112"/>
        <c:axId val="589859392"/>
      </c:barChart>
      <c:catAx>
        <c:axId val="589852112"/>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89859392"/>
        <c:crosses val="autoZero"/>
        <c:auto val="true"/>
        <c:lblAlgn val="ctr"/>
        <c:lblOffset val="100"/>
        <c:noMultiLvlLbl val="false"/>
      </c:catAx>
      <c:valAx>
        <c:axId val="589859392"/>
        <c:scaling>
          <c:orientation val="minMax"/>
          <c:min val="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89852112"/>
        <c:crosses val="autoZero"/>
        <c:crossBetween val="between"/>
      </c:valAx>
      <c:dTable>
        <c:showHorzBorder val="true"/>
        <c:showVertBorder val="true"/>
        <c:showOutline val="true"/>
        <c:showKeys val="true"/>
        <c:spPr>
          <a:noFill/>
          <a:ln w="9525" cap="flat" cmpd="sng" algn="ctr">
            <a:solidFill>
              <a:schemeClr val="tx1">
                <a:lumMod val="15000"/>
                <a:lumOff val="85000"/>
              </a:schemeClr>
            </a:solidFill>
            <a:round/>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600" b="1" i="0" u="none" strike="noStrike" kern="1200" baseline="0">
                <a:solidFill>
                  <a:schemeClr val="tx1">
                    <a:lumMod val="65000"/>
                    <a:lumOff val="35000"/>
                  </a:schemeClr>
                </a:solidFill>
                <a:latin typeface="+mn-lt"/>
                <a:ea typeface="+mn-ea"/>
                <a:cs typeface="+mn-cs"/>
              </a:defRPr>
            </a:pPr>
            <a:r>
              <a:rPr lang="zh-CN" altLang="en-US" sz="1600" b="1" i="0" u="none" strike="noStrike" baseline="0">
                <a:effectLst/>
              </a:rPr>
              <a:t>图六：</a:t>
            </a:r>
            <a:r>
              <a:rPr lang="zh-CN" altLang="zh-CN" sz="1600" b="1" i="0" u="none" strike="noStrike" baseline="0">
                <a:effectLst/>
              </a:rPr>
              <a:t>一般公共预算财政拨款支出决算结构</a:t>
            </a:r>
            <a:endParaRPr lang="zh-CN" altLang="en-US"/>
          </a:p>
        </c:rich>
      </c:tx>
      <c:layout/>
      <c:overlay val="false"/>
      <c:spPr>
        <a:noFill/>
        <a:ln>
          <a:noFill/>
        </a:ln>
        <a:effectLst/>
      </c:spPr>
    </c:title>
    <c:autoTitleDeleted val="false"/>
    <c:plotArea>
      <c:layout/>
      <c:pieChart>
        <c:varyColors val="true"/>
        <c:ser>
          <c:idx val="0"/>
          <c:order val="0"/>
          <c:tx>
            <c:strRef>
              <c:f>Sheet1!$B$1</c:f>
              <c:strCache>
                <c:ptCount val="1"/>
                <c:pt idx="0">
                  <c:v>支出情况</c:v>
                </c:pt>
              </c:strCache>
            </c:strRef>
          </c:tx>
          <c:spPr/>
          <c:explosion val="0"/>
          <c:dPt>
            <c:idx val="0"/>
            <c:bubble3D val="false"/>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false"/>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false"/>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false"/>
            <c:spPr>
              <a:gradFill rotWithShape="true">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false"/>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false"/>
            <c:spPr>
              <a:gradFill rotWithShape="true">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false"/>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教育支出</c:v>
                </c:pt>
                <c:pt idx="1">
                  <c:v>文化旅游体育与传媒支出</c:v>
                </c:pt>
                <c:pt idx="2">
                  <c:v>社会保障和就业</c:v>
                </c:pt>
                <c:pt idx="3">
                  <c:v>医疗卫生支出</c:v>
                </c:pt>
                <c:pt idx="4">
                  <c:v>住房保障支出</c:v>
                </c:pt>
              </c:strCache>
            </c:strRef>
          </c:cat>
          <c:val>
            <c:numRef>
              <c:f>Sheet1!$B$2:$B$6</c:f>
              <c:numCache>
                <c:formatCode>0.00%</c:formatCode>
                <c:ptCount val="5"/>
                <c:pt idx="0">
                  <c:v>0.827</c:v>
                </c:pt>
                <c:pt idx="1">
                  <c:v>0.003</c:v>
                </c:pt>
                <c:pt idx="2">
                  <c:v>0.083</c:v>
                </c:pt>
                <c:pt idx="3">
                  <c:v>0.0305</c:v>
                </c:pt>
                <c:pt idx="4">
                  <c:v>0.0565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true">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1430</Words>
  <Characters>8155</Characters>
  <Lines>67</Lines>
  <Paragraphs>19</Paragraphs>
  <TotalTime>3</TotalTime>
  <ScaleCrop>false</ScaleCrop>
  <LinksUpToDate>false</LinksUpToDate>
  <CharactersWithSpaces>9566</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2019-09-02T09:02:00Z</dcterms:created>
  <dc:creator>张彬茜</dc:creator>
  <cp:lastModifiedBy>仁可女青</cp:lastModifiedBy>
  <cp:lastPrinted>2020-11-11T13:22:00Z</cp:lastPrinted>
  <dcterms:modified xsi:type="dcterms:W3CDTF">2022-02-22T14:51:06Z</dcterms:modified>
  <dc:title>四川省***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